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F8D79" w14:textId="77777777" w:rsidR="002101A9" w:rsidRPr="009D71F6" w:rsidRDefault="002101A9" w:rsidP="002101A9">
      <w:pPr>
        <w:pStyle w:val="Title"/>
        <w:widowControl w:val="0"/>
        <w:rPr>
          <w:rFonts w:ascii="Arial" w:hAnsi="Arial" w:cs="Arial"/>
          <w:szCs w:val="24"/>
        </w:rPr>
      </w:pPr>
      <w:r w:rsidRPr="009D71F6">
        <w:rPr>
          <w:rFonts w:ascii="Arial" w:hAnsi="Arial" w:cs="Arial"/>
          <w:szCs w:val="24"/>
        </w:rPr>
        <w:t>BEFORE</w:t>
      </w:r>
    </w:p>
    <w:p w14:paraId="5B033C10" w14:textId="77777777" w:rsidR="002101A9" w:rsidRPr="009D71F6" w:rsidRDefault="002101A9" w:rsidP="002101A9">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754"/>
        <w:gridCol w:w="632"/>
        <w:gridCol w:w="3940"/>
      </w:tblGrid>
      <w:tr w:rsidR="002101A9" w:rsidRPr="009D71F6" w14:paraId="06F7897C" w14:textId="77777777" w:rsidTr="00DD21F3">
        <w:trPr>
          <w:trHeight w:val="1458"/>
          <w:jc w:val="center"/>
        </w:trPr>
        <w:tc>
          <w:tcPr>
            <w:tcW w:w="4754" w:type="dxa"/>
          </w:tcPr>
          <w:p w14:paraId="26241B3D" w14:textId="77777777" w:rsidR="002101A9" w:rsidRPr="009D71F6" w:rsidRDefault="002101A9" w:rsidP="00DD21F3">
            <w:pPr>
              <w:widowControl w:val="0"/>
              <w:spacing w:after="0" w:line="240" w:lineRule="auto"/>
              <w:jc w:val="both"/>
              <w:rPr>
                <w:rFonts w:ascii="Arial" w:hAnsi="Arial" w:cs="Arial"/>
                <w:sz w:val="24"/>
                <w:szCs w:val="24"/>
              </w:rPr>
            </w:pPr>
            <w:r w:rsidRPr="00D57E21">
              <w:rPr>
                <w:rFonts w:ascii="Arial" w:hAnsi="Arial" w:cs="Arial"/>
                <w:sz w:val="24"/>
                <w:szCs w:val="24"/>
              </w:rPr>
              <w:t>In the Mat</w:t>
            </w:r>
            <w:r>
              <w:rPr>
                <w:rFonts w:ascii="Arial" w:hAnsi="Arial" w:cs="Arial"/>
                <w:sz w:val="24"/>
                <w:szCs w:val="24"/>
              </w:rPr>
              <w:t>ter of the Commission-Ordered Investigation of Marketing Practices in the Competitive Retail Electric Service Market</w:t>
            </w:r>
          </w:p>
        </w:tc>
        <w:tc>
          <w:tcPr>
            <w:tcW w:w="632" w:type="dxa"/>
          </w:tcPr>
          <w:p w14:paraId="5235BC70" w14:textId="77777777" w:rsidR="002101A9" w:rsidRPr="009D71F6" w:rsidRDefault="002101A9" w:rsidP="00DD21F3">
            <w:pPr>
              <w:widowControl w:val="0"/>
              <w:spacing w:after="0" w:line="240" w:lineRule="auto"/>
              <w:jc w:val="center"/>
              <w:rPr>
                <w:rFonts w:ascii="Arial" w:hAnsi="Arial" w:cs="Arial"/>
                <w:sz w:val="24"/>
                <w:szCs w:val="24"/>
              </w:rPr>
            </w:pPr>
            <w:r w:rsidRPr="009D71F6">
              <w:rPr>
                <w:rFonts w:ascii="Arial" w:hAnsi="Arial" w:cs="Arial"/>
                <w:sz w:val="24"/>
                <w:szCs w:val="24"/>
              </w:rPr>
              <w:t>)</w:t>
            </w:r>
          </w:p>
          <w:p w14:paraId="728B0740" w14:textId="77777777" w:rsidR="002101A9" w:rsidRPr="009D71F6" w:rsidRDefault="002101A9" w:rsidP="00DD21F3">
            <w:pPr>
              <w:widowControl w:val="0"/>
              <w:spacing w:after="0" w:line="240" w:lineRule="auto"/>
              <w:jc w:val="center"/>
              <w:rPr>
                <w:rFonts w:ascii="Arial" w:hAnsi="Arial" w:cs="Arial"/>
                <w:sz w:val="24"/>
                <w:szCs w:val="24"/>
              </w:rPr>
            </w:pPr>
            <w:r w:rsidRPr="009D71F6">
              <w:rPr>
                <w:rFonts w:ascii="Arial" w:hAnsi="Arial" w:cs="Arial"/>
                <w:sz w:val="24"/>
                <w:szCs w:val="24"/>
              </w:rPr>
              <w:t>)</w:t>
            </w:r>
          </w:p>
          <w:p w14:paraId="5AA21809" w14:textId="77777777" w:rsidR="002101A9" w:rsidRPr="009D71F6" w:rsidRDefault="002101A9" w:rsidP="00DD21F3">
            <w:pPr>
              <w:widowControl w:val="0"/>
              <w:spacing w:after="0" w:line="240" w:lineRule="auto"/>
              <w:jc w:val="center"/>
              <w:rPr>
                <w:rFonts w:ascii="Arial" w:hAnsi="Arial" w:cs="Arial"/>
                <w:sz w:val="24"/>
                <w:szCs w:val="24"/>
              </w:rPr>
            </w:pPr>
            <w:r w:rsidRPr="009D71F6">
              <w:rPr>
                <w:rFonts w:ascii="Arial" w:hAnsi="Arial" w:cs="Arial"/>
                <w:sz w:val="24"/>
                <w:szCs w:val="24"/>
              </w:rPr>
              <w:t>)</w:t>
            </w:r>
          </w:p>
          <w:p w14:paraId="1780FFCB" w14:textId="77777777" w:rsidR="002101A9" w:rsidRPr="009D71F6" w:rsidRDefault="002101A9" w:rsidP="00DD21F3">
            <w:pPr>
              <w:widowControl w:val="0"/>
              <w:spacing w:after="0" w:line="240" w:lineRule="auto"/>
              <w:jc w:val="center"/>
              <w:rPr>
                <w:rFonts w:ascii="Arial" w:hAnsi="Arial" w:cs="Arial"/>
                <w:sz w:val="24"/>
                <w:szCs w:val="24"/>
              </w:rPr>
            </w:pPr>
          </w:p>
          <w:p w14:paraId="4AE1BF26" w14:textId="77777777" w:rsidR="002101A9" w:rsidRPr="009D71F6" w:rsidRDefault="002101A9" w:rsidP="00DD21F3">
            <w:pPr>
              <w:widowControl w:val="0"/>
              <w:spacing w:after="0" w:line="240" w:lineRule="auto"/>
              <w:jc w:val="center"/>
              <w:rPr>
                <w:rFonts w:ascii="Arial" w:hAnsi="Arial" w:cs="Arial"/>
                <w:sz w:val="24"/>
                <w:szCs w:val="24"/>
              </w:rPr>
            </w:pPr>
          </w:p>
        </w:tc>
        <w:tc>
          <w:tcPr>
            <w:tcW w:w="3940" w:type="dxa"/>
          </w:tcPr>
          <w:p w14:paraId="516EFBAE" w14:textId="77777777" w:rsidR="002101A9" w:rsidRPr="009D71F6" w:rsidRDefault="002101A9" w:rsidP="00DD21F3">
            <w:pPr>
              <w:widowControl w:val="0"/>
              <w:spacing w:after="0" w:line="240" w:lineRule="auto"/>
              <w:rPr>
                <w:rFonts w:ascii="Arial" w:hAnsi="Arial" w:cs="Arial"/>
                <w:sz w:val="24"/>
                <w:szCs w:val="24"/>
              </w:rPr>
            </w:pPr>
          </w:p>
          <w:p w14:paraId="29BA2B1D" w14:textId="77777777" w:rsidR="002101A9" w:rsidRPr="009D71F6" w:rsidRDefault="002101A9" w:rsidP="00DD21F3">
            <w:pPr>
              <w:widowControl w:val="0"/>
              <w:spacing w:after="0" w:line="240" w:lineRule="auto"/>
              <w:rPr>
                <w:rFonts w:ascii="Arial" w:hAnsi="Arial" w:cs="Arial"/>
                <w:sz w:val="24"/>
                <w:szCs w:val="24"/>
              </w:rPr>
            </w:pPr>
            <w:r>
              <w:rPr>
                <w:rFonts w:ascii="Arial" w:hAnsi="Arial" w:cs="Arial"/>
                <w:sz w:val="24"/>
                <w:szCs w:val="24"/>
              </w:rPr>
              <w:t>Case No. 14-568-EL-COI</w:t>
            </w:r>
          </w:p>
          <w:p w14:paraId="6614B666" w14:textId="77777777" w:rsidR="002101A9" w:rsidRPr="009D71F6" w:rsidRDefault="002101A9" w:rsidP="00DD21F3">
            <w:pPr>
              <w:widowControl w:val="0"/>
              <w:spacing w:after="0" w:line="240" w:lineRule="auto"/>
              <w:rPr>
                <w:rFonts w:ascii="Arial" w:hAnsi="Arial" w:cs="Arial"/>
                <w:sz w:val="24"/>
                <w:szCs w:val="24"/>
              </w:rPr>
            </w:pPr>
          </w:p>
          <w:p w14:paraId="43A6501B" w14:textId="77777777" w:rsidR="002101A9" w:rsidRDefault="002101A9" w:rsidP="00DD21F3">
            <w:pPr>
              <w:widowControl w:val="0"/>
              <w:spacing w:after="0" w:line="240" w:lineRule="auto"/>
              <w:rPr>
                <w:rFonts w:ascii="Arial" w:hAnsi="Arial" w:cs="Arial"/>
                <w:sz w:val="24"/>
                <w:szCs w:val="24"/>
              </w:rPr>
            </w:pPr>
          </w:p>
          <w:p w14:paraId="5E5BE89C" w14:textId="77777777" w:rsidR="002101A9" w:rsidRPr="009D71F6" w:rsidRDefault="002101A9" w:rsidP="00DD21F3">
            <w:pPr>
              <w:widowControl w:val="0"/>
              <w:spacing w:after="0" w:line="240" w:lineRule="auto"/>
              <w:rPr>
                <w:rFonts w:ascii="Arial" w:hAnsi="Arial" w:cs="Arial"/>
                <w:sz w:val="24"/>
                <w:szCs w:val="24"/>
              </w:rPr>
            </w:pPr>
          </w:p>
        </w:tc>
      </w:tr>
    </w:tbl>
    <w:p w14:paraId="6162013C" w14:textId="77777777" w:rsidR="002101A9" w:rsidRPr="009D71F6" w:rsidRDefault="002101A9" w:rsidP="002101A9">
      <w:pPr>
        <w:widowControl w:val="0"/>
        <w:pBdr>
          <w:bottom w:val="single" w:sz="12" w:space="0" w:color="auto"/>
        </w:pBdr>
        <w:spacing w:after="0" w:line="240" w:lineRule="auto"/>
        <w:rPr>
          <w:rFonts w:ascii="Arial" w:hAnsi="Arial" w:cs="Arial"/>
          <w:sz w:val="24"/>
          <w:szCs w:val="24"/>
        </w:rPr>
      </w:pPr>
    </w:p>
    <w:p w14:paraId="07D63491" w14:textId="77777777" w:rsidR="002101A9" w:rsidRPr="009D71F6" w:rsidRDefault="002101A9" w:rsidP="002101A9">
      <w:pPr>
        <w:widowControl w:val="0"/>
        <w:spacing w:after="0" w:line="240" w:lineRule="auto"/>
        <w:jc w:val="center"/>
        <w:rPr>
          <w:rFonts w:ascii="Arial" w:hAnsi="Arial" w:cs="Arial"/>
          <w:b/>
          <w:bCs/>
          <w:sz w:val="24"/>
          <w:szCs w:val="24"/>
        </w:rPr>
      </w:pPr>
    </w:p>
    <w:p w14:paraId="3FAB4304" w14:textId="28911034" w:rsidR="002101A9" w:rsidRPr="009D71F6" w:rsidRDefault="002101A9" w:rsidP="002101A9">
      <w:pPr>
        <w:widowControl w:val="0"/>
        <w:spacing w:after="0" w:line="240" w:lineRule="auto"/>
        <w:jc w:val="center"/>
        <w:rPr>
          <w:rFonts w:ascii="Arial" w:hAnsi="Arial" w:cs="Arial"/>
          <w:b/>
          <w:bCs/>
          <w:sz w:val="24"/>
          <w:szCs w:val="24"/>
        </w:rPr>
      </w:pPr>
      <w:r>
        <w:rPr>
          <w:rFonts w:ascii="Arial" w:hAnsi="Arial" w:cs="Arial"/>
          <w:b/>
          <w:bCs/>
          <w:sz w:val="24"/>
          <w:szCs w:val="24"/>
        </w:rPr>
        <w:t>APPLICATION FOR REHEARING AND MEMORANDUM IN</w:t>
      </w:r>
      <w:r w:rsidR="00850AFA">
        <w:rPr>
          <w:rFonts w:ascii="Arial" w:hAnsi="Arial" w:cs="Arial"/>
          <w:b/>
          <w:bCs/>
          <w:sz w:val="24"/>
          <w:szCs w:val="24"/>
        </w:rPr>
        <w:t xml:space="preserve"> SUPPORT OF IGS ENERGY</w:t>
      </w:r>
      <w:r w:rsidRPr="009D71F6">
        <w:rPr>
          <w:rFonts w:ascii="Arial" w:hAnsi="Arial" w:cs="Arial"/>
          <w:b/>
          <w:bCs/>
          <w:sz w:val="24"/>
          <w:szCs w:val="24"/>
        </w:rPr>
        <w:t xml:space="preserve"> </w:t>
      </w:r>
    </w:p>
    <w:p w14:paraId="2836CDF7" w14:textId="77777777" w:rsidR="002101A9" w:rsidRPr="009D71F6" w:rsidRDefault="002101A9" w:rsidP="002101A9">
      <w:pPr>
        <w:widowControl w:val="0"/>
        <w:pBdr>
          <w:bottom w:val="single" w:sz="12" w:space="1" w:color="auto"/>
        </w:pBdr>
        <w:tabs>
          <w:tab w:val="left" w:pos="6461"/>
        </w:tabs>
        <w:spacing w:after="0" w:line="240" w:lineRule="auto"/>
        <w:jc w:val="center"/>
        <w:rPr>
          <w:rFonts w:ascii="Arial" w:hAnsi="Arial" w:cs="Arial"/>
          <w:sz w:val="24"/>
          <w:szCs w:val="24"/>
        </w:rPr>
      </w:pPr>
    </w:p>
    <w:p w14:paraId="59884A94" w14:textId="77777777" w:rsidR="002101A9" w:rsidRDefault="002101A9" w:rsidP="002101A9">
      <w:pPr>
        <w:spacing w:line="480" w:lineRule="auto"/>
        <w:jc w:val="both"/>
        <w:rPr>
          <w:rFonts w:ascii="Arial" w:hAnsi="Arial" w:cs="Arial"/>
          <w:sz w:val="24"/>
          <w:szCs w:val="24"/>
        </w:rPr>
      </w:pPr>
    </w:p>
    <w:p w14:paraId="5CA20567" w14:textId="77777777" w:rsidR="002101A9" w:rsidRDefault="002101A9" w:rsidP="002101A9">
      <w:pPr>
        <w:spacing w:line="480" w:lineRule="auto"/>
        <w:jc w:val="both"/>
        <w:rPr>
          <w:rFonts w:ascii="Arial" w:hAnsi="Arial" w:cs="Arial"/>
          <w:sz w:val="24"/>
          <w:szCs w:val="24"/>
        </w:rPr>
      </w:pPr>
    </w:p>
    <w:p w14:paraId="4EB62100" w14:textId="77777777" w:rsidR="002101A9" w:rsidRDefault="002101A9" w:rsidP="002101A9">
      <w:pPr>
        <w:spacing w:line="480" w:lineRule="auto"/>
        <w:jc w:val="both"/>
        <w:rPr>
          <w:rFonts w:ascii="Arial" w:hAnsi="Arial" w:cs="Arial"/>
          <w:sz w:val="24"/>
          <w:szCs w:val="24"/>
        </w:rPr>
      </w:pPr>
    </w:p>
    <w:p w14:paraId="3C1CDC02" w14:textId="77777777" w:rsidR="002101A9" w:rsidRDefault="002101A9" w:rsidP="002101A9">
      <w:pPr>
        <w:spacing w:line="480" w:lineRule="auto"/>
        <w:jc w:val="both"/>
        <w:rPr>
          <w:rFonts w:ascii="Arial" w:hAnsi="Arial" w:cs="Arial"/>
          <w:sz w:val="24"/>
          <w:szCs w:val="24"/>
        </w:rPr>
      </w:pPr>
    </w:p>
    <w:p w14:paraId="3A311EDB" w14:textId="77777777" w:rsidR="002101A9" w:rsidRPr="005C3FAC" w:rsidRDefault="002101A9" w:rsidP="002101A9">
      <w:pPr>
        <w:spacing w:line="480" w:lineRule="auto"/>
        <w:jc w:val="both"/>
        <w:rPr>
          <w:rFonts w:ascii="Arial" w:hAnsi="Arial" w:cs="Arial"/>
          <w:sz w:val="24"/>
          <w:szCs w:val="24"/>
        </w:rPr>
      </w:pPr>
    </w:p>
    <w:p w14:paraId="09798124" w14:textId="77777777" w:rsidR="005C3FAC" w:rsidRPr="005C3FAC" w:rsidRDefault="005C3FAC" w:rsidP="005C3FAC">
      <w:pPr>
        <w:spacing w:after="0" w:line="240" w:lineRule="auto"/>
        <w:ind w:left="5040"/>
        <w:rPr>
          <w:rFonts w:ascii="Arial" w:hAnsi="Arial" w:cs="Arial"/>
          <w:sz w:val="24"/>
          <w:szCs w:val="24"/>
        </w:rPr>
      </w:pPr>
      <w:r w:rsidRPr="005C3FAC">
        <w:rPr>
          <w:rFonts w:ascii="Arial" w:hAnsi="Arial" w:cs="Arial"/>
          <w:sz w:val="24"/>
          <w:szCs w:val="24"/>
        </w:rPr>
        <w:t>Joseph Oliker</w:t>
      </w:r>
      <w:r>
        <w:rPr>
          <w:rFonts w:ascii="Arial" w:hAnsi="Arial" w:cs="Arial"/>
          <w:sz w:val="24"/>
          <w:szCs w:val="24"/>
        </w:rPr>
        <w:t xml:space="preserve"> (0086088)</w:t>
      </w:r>
    </w:p>
    <w:p w14:paraId="155C03CB" w14:textId="77777777" w:rsidR="005C3FAC" w:rsidRPr="005C3FAC" w:rsidRDefault="005C3FAC" w:rsidP="005C3FAC">
      <w:pPr>
        <w:spacing w:after="0" w:line="240" w:lineRule="auto"/>
        <w:ind w:left="5040"/>
        <w:rPr>
          <w:rFonts w:ascii="Arial" w:hAnsi="Arial" w:cs="Arial"/>
          <w:sz w:val="24"/>
          <w:szCs w:val="24"/>
        </w:rPr>
      </w:pPr>
      <w:r w:rsidRPr="005C3FAC">
        <w:rPr>
          <w:rFonts w:ascii="Arial" w:hAnsi="Arial" w:cs="Arial"/>
          <w:sz w:val="24"/>
          <w:szCs w:val="24"/>
        </w:rPr>
        <w:t xml:space="preserve">Email: </w:t>
      </w:r>
      <w:hyperlink r:id="rId9" w:history="1">
        <w:r w:rsidRPr="005C3FAC">
          <w:rPr>
            <w:rStyle w:val="Hyperlink"/>
            <w:rFonts w:ascii="Arial" w:hAnsi="Arial" w:cs="Arial"/>
            <w:color w:val="auto"/>
            <w:sz w:val="24"/>
            <w:szCs w:val="24"/>
            <w:u w:val="none"/>
          </w:rPr>
          <w:t>joliker@igsenergy.com</w:t>
        </w:r>
      </w:hyperlink>
    </w:p>
    <w:p w14:paraId="060A41B1" w14:textId="77777777" w:rsidR="005C3FAC" w:rsidRDefault="005C3FAC" w:rsidP="005C3FAC">
      <w:pPr>
        <w:spacing w:after="0" w:line="240" w:lineRule="auto"/>
        <w:ind w:left="5040"/>
        <w:rPr>
          <w:rFonts w:ascii="Arial" w:hAnsi="Arial" w:cs="Arial"/>
          <w:sz w:val="24"/>
          <w:szCs w:val="24"/>
        </w:rPr>
      </w:pPr>
      <w:r>
        <w:rPr>
          <w:rFonts w:ascii="Arial" w:hAnsi="Arial" w:cs="Arial"/>
          <w:sz w:val="24"/>
          <w:szCs w:val="24"/>
        </w:rPr>
        <w:t>Counsel of Record</w:t>
      </w:r>
    </w:p>
    <w:p w14:paraId="5286C697" w14:textId="77777777" w:rsidR="005C3FAC" w:rsidRDefault="005C3FAC" w:rsidP="005C3FAC">
      <w:pPr>
        <w:spacing w:after="0" w:line="240" w:lineRule="auto"/>
        <w:ind w:left="5040"/>
        <w:rPr>
          <w:rFonts w:ascii="Arial" w:hAnsi="Arial" w:cs="Arial"/>
          <w:sz w:val="24"/>
          <w:szCs w:val="24"/>
        </w:rPr>
      </w:pPr>
      <w:r>
        <w:rPr>
          <w:rFonts w:ascii="Arial" w:hAnsi="Arial" w:cs="Arial"/>
          <w:sz w:val="24"/>
          <w:szCs w:val="24"/>
        </w:rPr>
        <w:t>Matthew White (0082859)</w:t>
      </w:r>
    </w:p>
    <w:p w14:paraId="177D7DE7" w14:textId="77777777" w:rsidR="005C3FAC" w:rsidRDefault="005C3FAC" w:rsidP="005C3FAC">
      <w:pPr>
        <w:spacing w:after="0" w:line="240" w:lineRule="auto"/>
        <w:ind w:left="5040"/>
        <w:rPr>
          <w:rFonts w:ascii="Arial" w:hAnsi="Arial" w:cs="Arial"/>
          <w:sz w:val="24"/>
          <w:szCs w:val="24"/>
        </w:rPr>
      </w:pPr>
      <w:r>
        <w:rPr>
          <w:rFonts w:ascii="Arial" w:hAnsi="Arial" w:cs="Arial"/>
          <w:sz w:val="24"/>
          <w:szCs w:val="24"/>
        </w:rPr>
        <w:t>Counsel of Record</w:t>
      </w:r>
    </w:p>
    <w:p w14:paraId="4453C1BD" w14:textId="77777777" w:rsidR="005C3FAC" w:rsidRDefault="005C3FAC" w:rsidP="005C3FAC">
      <w:pPr>
        <w:spacing w:after="0" w:line="240" w:lineRule="auto"/>
        <w:ind w:left="5040"/>
        <w:rPr>
          <w:rFonts w:ascii="Arial" w:hAnsi="Arial" w:cs="Arial"/>
          <w:sz w:val="24"/>
          <w:szCs w:val="24"/>
        </w:rPr>
      </w:pPr>
      <w:r>
        <w:rPr>
          <w:rFonts w:ascii="Arial" w:hAnsi="Arial" w:cs="Arial"/>
          <w:sz w:val="24"/>
          <w:szCs w:val="24"/>
        </w:rPr>
        <w:t>Email: mswhite@igsenergy.com</w:t>
      </w:r>
    </w:p>
    <w:p w14:paraId="5C3C39B0" w14:textId="77777777" w:rsidR="005C3FAC" w:rsidRDefault="005C3FAC" w:rsidP="005C3FAC">
      <w:pPr>
        <w:spacing w:after="0" w:line="240" w:lineRule="auto"/>
        <w:ind w:left="5040"/>
        <w:rPr>
          <w:rFonts w:ascii="Arial" w:hAnsi="Arial" w:cs="Arial"/>
          <w:sz w:val="24"/>
          <w:szCs w:val="24"/>
        </w:rPr>
      </w:pPr>
      <w:r>
        <w:rPr>
          <w:rFonts w:ascii="Arial" w:hAnsi="Arial" w:cs="Arial"/>
          <w:sz w:val="24"/>
          <w:szCs w:val="24"/>
        </w:rPr>
        <w:t>IGS Energy</w:t>
      </w:r>
    </w:p>
    <w:p w14:paraId="0D7E0077" w14:textId="77777777" w:rsidR="005C3FAC" w:rsidRDefault="005C3FAC" w:rsidP="005C3FAC">
      <w:pPr>
        <w:spacing w:after="0" w:line="240" w:lineRule="auto"/>
        <w:ind w:left="5040"/>
        <w:rPr>
          <w:rFonts w:ascii="Arial" w:hAnsi="Arial" w:cs="Arial"/>
          <w:sz w:val="24"/>
          <w:szCs w:val="24"/>
        </w:rPr>
      </w:pPr>
      <w:r>
        <w:rPr>
          <w:rFonts w:ascii="Arial" w:hAnsi="Arial" w:cs="Arial"/>
          <w:sz w:val="24"/>
          <w:szCs w:val="24"/>
        </w:rPr>
        <w:t>6100 Emerald Parkway</w:t>
      </w:r>
    </w:p>
    <w:p w14:paraId="35E47B72" w14:textId="77777777" w:rsidR="005C3FAC" w:rsidRDefault="005C3FAC" w:rsidP="005C3FAC">
      <w:pPr>
        <w:spacing w:after="0" w:line="240" w:lineRule="auto"/>
        <w:ind w:left="5040"/>
        <w:rPr>
          <w:rFonts w:ascii="Arial" w:hAnsi="Arial" w:cs="Arial"/>
          <w:sz w:val="24"/>
          <w:szCs w:val="24"/>
        </w:rPr>
      </w:pPr>
      <w:r>
        <w:rPr>
          <w:rFonts w:ascii="Arial" w:hAnsi="Arial" w:cs="Arial"/>
          <w:sz w:val="24"/>
          <w:szCs w:val="24"/>
        </w:rPr>
        <w:t>Dublin, Ohio 43016</w:t>
      </w:r>
    </w:p>
    <w:p w14:paraId="19609052" w14:textId="77777777" w:rsidR="005C3FAC" w:rsidRDefault="005C3FAC" w:rsidP="005C3FAC">
      <w:pPr>
        <w:spacing w:after="0" w:line="240" w:lineRule="auto"/>
        <w:ind w:left="5040"/>
        <w:rPr>
          <w:rFonts w:ascii="Arial" w:hAnsi="Arial" w:cs="Arial"/>
          <w:sz w:val="24"/>
          <w:szCs w:val="24"/>
        </w:rPr>
      </w:pPr>
      <w:r>
        <w:rPr>
          <w:rFonts w:ascii="Arial" w:hAnsi="Arial" w:cs="Arial"/>
          <w:sz w:val="24"/>
          <w:szCs w:val="24"/>
        </w:rPr>
        <w:t>Telephone:</w:t>
      </w:r>
      <w:r>
        <w:rPr>
          <w:rFonts w:ascii="Arial" w:hAnsi="Arial" w:cs="Arial"/>
          <w:sz w:val="24"/>
          <w:szCs w:val="24"/>
        </w:rPr>
        <w:tab/>
        <w:t>(614) 659-5000</w:t>
      </w:r>
    </w:p>
    <w:p w14:paraId="288D4D57" w14:textId="77777777" w:rsidR="005C3FAC" w:rsidRDefault="005C3FAC" w:rsidP="005C3FAC">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14:paraId="4FDCDB3F" w14:textId="77777777" w:rsidR="005C3FAC" w:rsidRDefault="005C3FAC" w:rsidP="005C3FAC">
      <w:pPr>
        <w:spacing w:after="0" w:line="240" w:lineRule="auto"/>
        <w:ind w:left="5040"/>
        <w:rPr>
          <w:rFonts w:ascii="Arial" w:hAnsi="Arial" w:cs="Arial"/>
          <w:sz w:val="24"/>
          <w:szCs w:val="24"/>
        </w:rPr>
      </w:pPr>
    </w:p>
    <w:p w14:paraId="66D3D527" w14:textId="77777777" w:rsidR="005C3FAC" w:rsidRDefault="005C3FAC" w:rsidP="005C3FAC">
      <w:pPr>
        <w:spacing w:after="0" w:line="240" w:lineRule="auto"/>
        <w:ind w:left="5040"/>
        <w:rPr>
          <w:rFonts w:ascii="Arial" w:hAnsi="Arial" w:cs="Arial"/>
          <w:b/>
          <w:i/>
          <w:sz w:val="24"/>
          <w:szCs w:val="24"/>
        </w:rPr>
      </w:pPr>
      <w:r>
        <w:rPr>
          <w:rFonts w:ascii="Arial" w:hAnsi="Arial" w:cs="Arial"/>
          <w:b/>
          <w:i/>
          <w:sz w:val="24"/>
          <w:szCs w:val="24"/>
        </w:rPr>
        <w:t>Attorneys for IGS Energy</w:t>
      </w:r>
    </w:p>
    <w:p w14:paraId="67A52E21" w14:textId="77777777" w:rsidR="002101A9" w:rsidRDefault="002101A9" w:rsidP="002101A9">
      <w:pPr>
        <w:spacing w:line="480" w:lineRule="auto"/>
        <w:jc w:val="both"/>
        <w:rPr>
          <w:rFonts w:ascii="Arial" w:hAnsi="Arial" w:cs="Arial"/>
          <w:sz w:val="24"/>
          <w:szCs w:val="24"/>
        </w:rPr>
      </w:pPr>
    </w:p>
    <w:p w14:paraId="46E79695" w14:textId="77777777" w:rsidR="005C3FAC" w:rsidRDefault="005C3FAC" w:rsidP="002101A9">
      <w:pPr>
        <w:spacing w:line="480" w:lineRule="auto"/>
        <w:jc w:val="both"/>
        <w:rPr>
          <w:rFonts w:ascii="Arial" w:hAnsi="Arial" w:cs="Arial"/>
          <w:sz w:val="24"/>
          <w:szCs w:val="24"/>
        </w:rPr>
      </w:pPr>
    </w:p>
    <w:p w14:paraId="3D88AFDD" w14:textId="77777777" w:rsidR="005C3FAC" w:rsidRDefault="005C3FAC" w:rsidP="002101A9">
      <w:pPr>
        <w:spacing w:line="480" w:lineRule="auto"/>
        <w:jc w:val="both"/>
        <w:rPr>
          <w:rFonts w:ascii="Arial" w:hAnsi="Arial" w:cs="Arial"/>
          <w:sz w:val="24"/>
          <w:szCs w:val="24"/>
        </w:rPr>
      </w:pPr>
    </w:p>
    <w:p w14:paraId="24AEC65C" w14:textId="77777777" w:rsidR="00A16B2C" w:rsidRDefault="00A16B2C" w:rsidP="00A16B2C">
      <w:pPr>
        <w:spacing w:line="480" w:lineRule="auto"/>
        <w:ind w:firstLine="360"/>
        <w:jc w:val="center"/>
        <w:rPr>
          <w:rFonts w:ascii="Arial" w:hAnsi="Arial" w:cs="Arial"/>
          <w:b/>
          <w:sz w:val="24"/>
          <w:u w:val="single"/>
        </w:rPr>
      </w:pPr>
      <w:r w:rsidRPr="00A16B2C">
        <w:rPr>
          <w:rFonts w:ascii="Arial" w:hAnsi="Arial" w:cs="Arial"/>
          <w:b/>
          <w:sz w:val="24"/>
          <w:u w:val="single"/>
        </w:rPr>
        <w:lastRenderedPageBreak/>
        <w:t>TABLE OF CONTENTS</w:t>
      </w:r>
    </w:p>
    <w:p w14:paraId="75E49B78" w14:textId="33A04C1A" w:rsidR="0000200A" w:rsidRPr="0000200A" w:rsidRDefault="0000200A" w:rsidP="0000200A">
      <w:pPr>
        <w:spacing w:line="480" w:lineRule="auto"/>
        <w:ind w:firstLine="360"/>
        <w:rPr>
          <w:rFonts w:ascii="Arial" w:hAnsi="Arial" w:cs="Arial"/>
          <w:sz w:val="24"/>
        </w:rPr>
      </w:pPr>
      <w:r>
        <w:rPr>
          <w:rFonts w:ascii="Arial" w:hAnsi="Arial" w:cs="Arial"/>
          <w:b/>
          <w:sz w:val="24"/>
        </w:rPr>
        <w:t xml:space="preserve">          </w:t>
      </w:r>
      <w:r>
        <w:rPr>
          <w:rFonts w:ascii="Arial" w:hAnsi="Arial" w:cs="Arial"/>
          <w:sz w:val="24"/>
        </w:rPr>
        <w:t>APPLICATION FOR HEAR</w:t>
      </w:r>
      <w:r w:rsidR="00850AFA">
        <w:rPr>
          <w:rFonts w:ascii="Arial" w:hAnsi="Arial" w:cs="Arial"/>
          <w:sz w:val="24"/>
        </w:rPr>
        <w:t>ING OF IGS ENERGY</w:t>
      </w:r>
      <w:r w:rsidR="00850AFA">
        <w:rPr>
          <w:rFonts w:ascii="Arial" w:hAnsi="Arial" w:cs="Arial"/>
          <w:sz w:val="24"/>
        </w:rPr>
        <w:tab/>
      </w:r>
      <w:r w:rsidR="00850AFA">
        <w:rPr>
          <w:rFonts w:ascii="Arial" w:hAnsi="Arial" w:cs="Arial"/>
          <w:sz w:val="24"/>
        </w:rPr>
        <w:tab/>
      </w:r>
      <w:r w:rsidR="00850AFA">
        <w:rPr>
          <w:rFonts w:ascii="Arial" w:hAnsi="Arial" w:cs="Arial"/>
          <w:sz w:val="24"/>
        </w:rPr>
        <w:tab/>
        <w:t xml:space="preserve">       </w:t>
      </w:r>
      <w:r>
        <w:rPr>
          <w:rFonts w:ascii="Arial" w:hAnsi="Arial" w:cs="Arial"/>
          <w:sz w:val="24"/>
        </w:rPr>
        <w:t xml:space="preserve">            3</w:t>
      </w:r>
    </w:p>
    <w:p w14:paraId="135D94D8" w14:textId="1696F09B" w:rsidR="00A16B2C" w:rsidRPr="00A16B2C" w:rsidRDefault="00A16B2C" w:rsidP="00A16B2C">
      <w:pPr>
        <w:pStyle w:val="ListParagraph"/>
        <w:numPr>
          <w:ilvl w:val="0"/>
          <w:numId w:val="9"/>
        </w:numPr>
        <w:spacing w:after="0" w:line="480" w:lineRule="auto"/>
        <w:rPr>
          <w:rFonts w:ascii="Arial" w:hAnsi="Arial" w:cs="Arial"/>
          <w:sz w:val="24"/>
        </w:rPr>
      </w:pPr>
      <w:r w:rsidRPr="00A16B2C">
        <w:rPr>
          <w:rFonts w:ascii="Arial" w:hAnsi="Arial" w:cs="Arial"/>
          <w:sz w:val="24"/>
        </w:rPr>
        <w:t xml:space="preserve">INTRODUCTION      . . . . . . . . . . . . . . . . . . . . . . . . . . . . . . . . . . . . . </w:t>
      </w:r>
      <w:r w:rsidR="00802CB2">
        <w:rPr>
          <w:rFonts w:ascii="Arial" w:hAnsi="Arial" w:cs="Arial"/>
          <w:sz w:val="24"/>
        </w:rPr>
        <w:t>.</w:t>
      </w:r>
      <w:r w:rsidRPr="00A16B2C">
        <w:rPr>
          <w:rFonts w:ascii="Arial" w:hAnsi="Arial" w:cs="Arial"/>
          <w:sz w:val="24"/>
        </w:rPr>
        <w:t xml:space="preserve">             </w:t>
      </w:r>
      <w:r>
        <w:rPr>
          <w:rFonts w:ascii="Arial" w:hAnsi="Arial" w:cs="Arial"/>
          <w:sz w:val="24"/>
        </w:rPr>
        <w:t>5</w:t>
      </w:r>
    </w:p>
    <w:p w14:paraId="6A55B0AF" w14:textId="206CFDF8" w:rsidR="00A16B2C" w:rsidRPr="00A16B2C" w:rsidRDefault="00A16B2C" w:rsidP="00A16B2C">
      <w:pPr>
        <w:spacing w:line="240" w:lineRule="auto"/>
        <w:rPr>
          <w:rFonts w:ascii="Arial" w:hAnsi="Arial" w:cs="Arial"/>
          <w:sz w:val="24"/>
        </w:rPr>
      </w:pPr>
      <w:r w:rsidRPr="00A16B2C">
        <w:rPr>
          <w:rFonts w:ascii="Arial" w:hAnsi="Arial" w:cs="Arial"/>
          <w:sz w:val="24"/>
        </w:rPr>
        <w:t xml:space="preserve">    II.</w:t>
      </w:r>
      <w:r w:rsidRPr="00A16B2C">
        <w:rPr>
          <w:rFonts w:ascii="Arial" w:hAnsi="Arial" w:cs="Arial"/>
          <w:sz w:val="24"/>
        </w:rPr>
        <w:tab/>
        <w:t xml:space="preserve">      ARGUMENT        </w:t>
      </w:r>
      <w:r>
        <w:rPr>
          <w:rFonts w:ascii="Arial" w:hAnsi="Arial" w:cs="Arial"/>
          <w:sz w:val="24"/>
        </w:rPr>
        <w:t xml:space="preserve">. . . . . </w:t>
      </w:r>
      <w:r w:rsidRPr="00A16B2C">
        <w:rPr>
          <w:rFonts w:ascii="Arial" w:hAnsi="Arial" w:cs="Arial"/>
          <w:sz w:val="24"/>
        </w:rPr>
        <w:t xml:space="preserve">. . . . . . . . . . . . . . . . . . . . . . . . . . . . . . . . . . </w:t>
      </w:r>
      <w:r w:rsidR="00802CB2">
        <w:rPr>
          <w:rFonts w:ascii="Arial" w:hAnsi="Arial" w:cs="Arial"/>
          <w:sz w:val="24"/>
        </w:rPr>
        <w:t>.</w:t>
      </w:r>
      <w:r w:rsidRPr="00A16B2C">
        <w:rPr>
          <w:rFonts w:ascii="Arial" w:hAnsi="Arial" w:cs="Arial"/>
          <w:sz w:val="24"/>
        </w:rPr>
        <w:t xml:space="preserve">     </w:t>
      </w:r>
      <w:r w:rsidR="00802CB2">
        <w:rPr>
          <w:rFonts w:ascii="Arial" w:hAnsi="Arial" w:cs="Arial"/>
          <w:sz w:val="24"/>
        </w:rPr>
        <w:t xml:space="preserve">    </w:t>
      </w:r>
      <w:r>
        <w:rPr>
          <w:rFonts w:ascii="Arial" w:hAnsi="Arial" w:cs="Arial"/>
          <w:sz w:val="24"/>
        </w:rPr>
        <w:t xml:space="preserve">    8</w:t>
      </w:r>
      <w:r w:rsidRPr="00A16B2C">
        <w:rPr>
          <w:rFonts w:ascii="Arial" w:hAnsi="Arial" w:cs="Arial"/>
          <w:sz w:val="24"/>
        </w:rPr>
        <w:t xml:space="preserve">   </w:t>
      </w:r>
    </w:p>
    <w:p w14:paraId="74681219" w14:textId="77777777" w:rsidR="00A16B2C" w:rsidRDefault="00A16B2C" w:rsidP="00A16B2C">
      <w:pPr>
        <w:pStyle w:val="ListParagraph"/>
        <w:spacing w:line="240" w:lineRule="auto"/>
        <w:ind w:left="1080"/>
        <w:jc w:val="both"/>
        <w:rPr>
          <w:rFonts w:ascii="Arial" w:hAnsi="Arial" w:cs="Arial"/>
          <w:sz w:val="24"/>
          <w:szCs w:val="24"/>
        </w:rPr>
      </w:pPr>
    </w:p>
    <w:p w14:paraId="58CCECF3" w14:textId="77777777" w:rsidR="00802CB2" w:rsidRDefault="001F4126" w:rsidP="00802CB2">
      <w:pPr>
        <w:pStyle w:val="ListParagraph"/>
        <w:numPr>
          <w:ilvl w:val="0"/>
          <w:numId w:val="1"/>
        </w:numPr>
        <w:spacing w:line="240" w:lineRule="auto"/>
        <w:jc w:val="both"/>
        <w:rPr>
          <w:rFonts w:ascii="Arial" w:hAnsi="Arial" w:cs="Arial"/>
          <w:sz w:val="24"/>
          <w:szCs w:val="24"/>
        </w:rPr>
      </w:pPr>
      <w:r w:rsidRPr="00F44532">
        <w:rPr>
          <w:rFonts w:ascii="Arial" w:hAnsi="Arial" w:cs="Arial"/>
          <w:sz w:val="24"/>
          <w:szCs w:val="24"/>
        </w:rPr>
        <w:t xml:space="preserve">The Order is unlawful and unreasonable inasmuch as it departs </w:t>
      </w:r>
      <w:r w:rsidRPr="00802CB2">
        <w:rPr>
          <w:rFonts w:ascii="Arial" w:hAnsi="Arial" w:cs="Arial"/>
          <w:sz w:val="24"/>
          <w:szCs w:val="24"/>
        </w:rPr>
        <w:t xml:space="preserve">from </w:t>
      </w:r>
    </w:p>
    <w:p w14:paraId="2B3B2997" w14:textId="77777777" w:rsidR="00802CB2" w:rsidRDefault="001F4126" w:rsidP="00802CB2">
      <w:pPr>
        <w:pStyle w:val="ListParagraph"/>
        <w:spacing w:line="240" w:lineRule="auto"/>
        <w:ind w:left="1080"/>
        <w:jc w:val="both"/>
        <w:rPr>
          <w:rFonts w:ascii="Arial" w:hAnsi="Arial" w:cs="Arial"/>
          <w:sz w:val="24"/>
          <w:szCs w:val="24"/>
        </w:rPr>
      </w:pPr>
      <w:r w:rsidRPr="00802CB2">
        <w:rPr>
          <w:rFonts w:ascii="Arial" w:hAnsi="Arial" w:cs="Arial"/>
          <w:sz w:val="24"/>
          <w:szCs w:val="24"/>
        </w:rPr>
        <w:t>the express language of OAC 4901:1-</w:t>
      </w:r>
      <w:r w:rsidR="00802CB2">
        <w:rPr>
          <w:rFonts w:ascii="Arial" w:hAnsi="Arial" w:cs="Arial"/>
          <w:sz w:val="24"/>
          <w:szCs w:val="24"/>
        </w:rPr>
        <w:t xml:space="preserve">21-05 to </w:t>
      </w:r>
      <w:r w:rsidRPr="00802CB2">
        <w:rPr>
          <w:rFonts w:ascii="Arial" w:hAnsi="Arial" w:cs="Arial"/>
          <w:sz w:val="24"/>
          <w:szCs w:val="24"/>
        </w:rPr>
        <w:t>prohibit pass-</w:t>
      </w:r>
    </w:p>
    <w:p w14:paraId="22CCFD55" w14:textId="2E633A49" w:rsidR="001F4126" w:rsidRPr="00802CB2" w:rsidRDefault="001F4126" w:rsidP="00802CB2">
      <w:pPr>
        <w:pStyle w:val="ListParagraph"/>
        <w:spacing w:line="240" w:lineRule="auto"/>
        <w:ind w:left="1080"/>
        <w:jc w:val="both"/>
        <w:rPr>
          <w:rFonts w:ascii="Arial" w:hAnsi="Arial" w:cs="Arial"/>
          <w:sz w:val="24"/>
          <w:szCs w:val="24"/>
        </w:rPr>
      </w:pPr>
      <w:r w:rsidRPr="00802CB2">
        <w:rPr>
          <w:rFonts w:ascii="Arial" w:hAnsi="Arial" w:cs="Arial"/>
          <w:sz w:val="24"/>
          <w:szCs w:val="24"/>
        </w:rPr>
        <w:t xml:space="preserve">through provisions in fixed-price contracts.  </w:t>
      </w:r>
      <w:r w:rsidR="00802CB2" w:rsidRPr="00802CB2">
        <w:rPr>
          <w:rFonts w:ascii="Arial" w:hAnsi="Arial" w:cs="Arial"/>
          <w:sz w:val="24"/>
          <w:szCs w:val="24"/>
        </w:rPr>
        <w:t xml:space="preserve">. . . . . . . . . . . . . . . . </w:t>
      </w:r>
      <w:r w:rsidR="00802CB2">
        <w:rPr>
          <w:rFonts w:ascii="Arial" w:hAnsi="Arial" w:cs="Arial"/>
          <w:sz w:val="24"/>
          <w:szCs w:val="24"/>
        </w:rPr>
        <w:t xml:space="preserve">. . . . </w:t>
      </w:r>
      <w:r w:rsidR="00802CB2" w:rsidRPr="00802CB2">
        <w:rPr>
          <w:rFonts w:ascii="Arial" w:hAnsi="Arial" w:cs="Arial"/>
          <w:sz w:val="24"/>
          <w:szCs w:val="24"/>
        </w:rPr>
        <w:t xml:space="preserve">           </w:t>
      </w:r>
      <w:r w:rsidR="00802CB2">
        <w:rPr>
          <w:rFonts w:ascii="Arial" w:hAnsi="Arial" w:cs="Arial"/>
          <w:sz w:val="24"/>
          <w:szCs w:val="24"/>
        </w:rPr>
        <w:t xml:space="preserve"> </w:t>
      </w:r>
      <w:r w:rsidR="00802CB2" w:rsidRPr="00802CB2">
        <w:rPr>
          <w:rFonts w:ascii="Arial" w:hAnsi="Arial" w:cs="Arial"/>
          <w:sz w:val="24"/>
          <w:szCs w:val="24"/>
        </w:rPr>
        <w:t>8</w:t>
      </w:r>
    </w:p>
    <w:p w14:paraId="0840B7E2" w14:textId="77777777" w:rsidR="00802CB2" w:rsidRDefault="00802CB2" w:rsidP="00A16B2C">
      <w:pPr>
        <w:pStyle w:val="ListParagraph"/>
        <w:spacing w:line="240" w:lineRule="auto"/>
        <w:ind w:left="1080"/>
        <w:jc w:val="both"/>
        <w:rPr>
          <w:rFonts w:ascii="Arial" w:hAnsi="Arial" w:cs="Arial"/>
          <w:sz w:val="24"/>
          <w:szCs w:val="24"/>
        </w:rPr>
      </w:pPr>
    </w:p>
    <w:p w14:paraId="35DB1F29" w14:textId="77777777" w:rsidR="00802CB2" w:rsidRDefault="001F4126" w:rsidP="001F4126">
      <w:pPr>
        <w:pStyle w:val="ListParagraph"/>
        <w:numPr>
          <w:ilvl w:val="0"/>
          <w:numId w:val="1"/>
        </w:numPr>
        <w:jc w:val="both"/>
        <w:rPr>
          <w:rFonts w:ascii="Arial" w:hAnsi="Arial" w:cs="Arial"/>
          <w:sz w:val="24"/>
          <w:szCs w:val="24"/>
        </w:rPr>
      </w:pPr>
      <w:r>
        <w:rPr>
          <w:rFonts w:ascii="Arial" w:hAnsi="Arial" w:cs="Arial"/>
          <w:sz w:val="24"/>
          <w:szCs w:val="24"/>
        </w:rPr>
        <w:t xml:space="preserve">The Order is unlawful and unreasonable inasmuch as it prohibited </w:t>
      </w:r>
    </w:p>
    <w:p w14:paraId="1F7068DE" w14:textId="77777777" w:rsidR="00802CB2" w:rsidRDefault="001F4126" w:rsidP="00802CB2">
      <w:pPr>
        <w:pStyle w:val="ListParagraph"/>
        <w:ind w:left="1080"/>
        <w:jc w:val="both"/>
        <w:rPr>
          <w:rFonts w:ascii="Arial" w:hAnsi="Arial" w:cs="Arial"/>
          <w:sz w:val="24"/>
          <w:szCs w:val="24"/>
        </w:rPr>
      </w:pPr>
      <w:r>
        <w:rPr>
          <w:rFonts w:ascii="Arial" w:hAnsi="Arial" w:cs="Arial"/>
          <w:sz w:val="24"/>
          <w:szCs w:val="24"/>
        </w:rPr>
        <w:t>suppliers</w:t>
      </w:r>
      <w:r w:rsidRPr="00F44532">
        <w:rPr>
          <w:rFonts w:ascii="Arial" w:hAnsi="Arial" w:cs="Arial"/>
          <w:sz w:val="24"/>
          <w:szCs w:val="24"/>
        </w:rPr>
        <w:t xml:space="preserve"> from including pass-through clauses in fixed-price contracts</w:t>
      </w:r>
    </w:p>
    <w:p w14:paraId="2F7AEDD1" w14:textId="53D1EDCC" w:rsidR="00802CB2" w:rsidRDefault="001F4126" w:rsidP="00802CB2">
      <w:pPr>
        <w:pStyle w:val="ListParagraph"/>
        <w:ind w:left="1080"/>
        <w:jc w:val="both"/>
        <w:rPr>
          <w:rFonts w:ascii="Arial" w:hAnsi="Arial" w:cs="Arial"/>
          <w:sz w:val="24"/>
          <w:szCs w:val="24"/>
        </w:rPr>
      </w:pPr>
      <w:r w:rsidRPr="00F44532">
        <w:rPr>
          <w:rFonts w:ascii="Arial" w:hAnsi="Arial" w:cs="Arial"/>
          <w:sz w:val="24"/>
          <w:szCs w:val="24"/>
        </w:rPr>
        <w:t>with comme</w:t>
      </w:r>
      <w:r>
        <w:rPr>
          <w:rFonts w:ascii="Arial" w:hAnsi="Arial" w:cs="Arial"/>
          <w:sz w:val="24"/>
          <w:szCs w:val="24"/>
        </w:rPr>
        <w:t>r</w:t>
      </w:r>
      <w:r w:rsidR="00802CB2">
        <w:rPr>
          <w:rFonts w:ascii="Arial" w:hAnsi="Arial" w:cs="Arial"/>
          <w:sz w:val="24"/>
          <w:szCs w:val="24"/>
        </w:rPr>
        <w:t xml:space="preserve">cial and industrial contracts. </w:t>
      </w:r>
      <w:r>
        <w:rPr>
          <w:rFonts w:ascii="Arial" w:hAnsi="Arial" w:cs="Arial"/>
          <w:sz w:val="24"/>
          <w:szCs w:val="24"/>
        </w:rPr>
        <w:t>The Order unjustly</w:t>
      </w:r>
      <w:r w:rsidR="00802CB2">
        <w:rPr>
          <w:rFonts w:ascii="Arial" w:hAnsi="Arial" w:cs="Arial"/>
          <w:sz w:val="24"/>
          <w:szCs w:val="24"/>
        </w:rPr>
        <w:t xml:space="preserve"> </w:t>
      </w:r>
    </w:p>
    <w:p w14:paraId="606BCF09" w14:textId="77777777" w:rsidR="00802CB2" w:rsidRDefault="001F4126" w:rsidP="00802CB2">
      <w:pPr>
        <w:pStyle w:val="ListParagraph"/>
        <w:ind w:left="1080"/>
        <w:jc w:val="both"/>
        <w:rPr>
          <w:rFonts w:ascii="Arial" w:hAnsi="Arial" w:cs="Arial"/>
          <w:sz w:val="24"/>
          <w:szCs w:val="24"/>
        </w:rPr>
      </w:pPr>
      <w:r w:rsidRPr="00802CB2">
        <w:rPr>
          <w:rFonts w:ascii="Arial" w:hAnsi="Arial" w:cs="Arial"/>
          <w:sz w:val="24"/>
          <w:szCs w:val="24"/>
        </w:rPr>
        <w:t xml:space="preserve">and unreasonably determined that such provisions are misleading, </w:t>
      </w:r>
    </w:p>
    <w:p w14:paraId="2D1F6FC2" w14:textId="2FBFD05F" w:rsidR="001F4126" w:rsidRDefault="001F4126" w:rsidP="00802CB2">
      <w:pPr>
        <w:pStyle w:val="ListParagraph"/>
        <w:ind w:left="1080"/>
        <w:jc w:val="both"/>
        <w:rPr>
          <w:rFonts w:ascii="Arial" w:hAnsi="Arial" w:cs="Arial"/>
          <w:sz w:val="24"/>
          <w:szCs w:val="24"/>
        </w:rPr>
      </w:pPr>
      <w:r w:rsidRPr="00802CB2">
        <w:rPr>
          <w:rFonts w:ascii="Arial" w:hAnsi="Arial" w:cs="Arial"/>
          <w:sz w:val="24"/>
          <w:szCs w:val="24"/>
        </w:rPr>
        <w:t>deceptive, or unconscionable.</w:t>
      </w:r>
      <w:r w:rsidR="00802CB2">
        <w:rPr>
          <w:rFonts w:ascii="Arial" w:hAnsi="Arial" w:cs="Arial"/>
          <w:sz w:val="24"/>
          <w:szCs w:val="24"/>
        </w:rPr>
        <w:t xml:space="preserve"> . . . . . . . . . . . . . . . . . . . . . . . . . . . . . . .          12</w:t>
      </w:r>
    </w:p>
    <w:p w14:paraId="3B524D09" w14:textId="77777777" w:rsidR="00802CB2" w:rsidRPr="00802CB2" w:rsidRDefault="00802CB2" w:rsidP="00802CB2">
      <w:pPr>
        <w:pStyle w:val="ListParagraph"/>
        <w:ind w:left="1080"/>
        <w:jc w:val="both"/>
        <w:rPr>
          <w:rFonts w:ascii="Arial" w:hAnsi="Arial" w:cs="Arial"/>
          <w:sz w:val="24"/>
          <w:szCs w:val="24"/>
        </w:rPr>
      </w:pPr>
    </w:p>
    <w:p w14:paraId="2F870C6C" w14:textId="77777777" w:rsidR="00802CB2" w:rsidRDefault="001F4126" w:rsidP="001F4126">
      <w:pPr>
        <w:pStyle w:val="ListParagraph"/>
        <w:numPr>
          <w:ilvl w:val="0"/>
          <w:numId w:val="1"/>
        </w:numPr>
        <w:jc w:val="both"/>
        <w:rPr>
          <w:rFonts w:ascii="Arial" w:hAnsi="Arial" w:cs="Arial"/>
          <w:sz w:val="24"/>
          <w:szCs w:val="24"/>
        </w:rPr>
      </w:pPr>
      <w:r>
        <w:rPr>
          <w:rFonts w:ascii="Arial" w:hAnsi="Arial" w:cs="Arial"/>
          <w:sz w:val="24"/>
          <w:szCs w:val="24"/>
        </w:rPr>
        <w:t>The Order’s</w:t>
      </w:r>
      <w:r w:rsidRPr="00F44532">
        <w:rPr>
          <w:rFonts w:ascii="Arial" w:hAnsi="Arial" w:cs="Arial"/>
          <w:sz w:val="24"/>
          <w:szCs w:val="24"/>
        </w:rPr>
        <w:t xml:space="preserve"> proposed definition of “fixed-price”</w:t>
      </w:r>
      <w:r>
        <w:rPr>
          <w:rFonts w:ascii="Arial" w:hAnsi="Arial" w:cs="Arial"/>
          <w:sz w:val="24"/>
          <w:szCs w:val="24"/>
        </w:rPr>
        <w:t xml:space="preserve"> is unjust and </w:t>
      </w:r>
    </w:p>
    <w:p w14:paraId="5F6218A0" w14:textId="77777777" w:rsidR="00802CB2" w:rsidRDefault="001F4126" w:rsidP="00802CB2">
      <w:pPr>
        <w:pStyle w:val="ListParagraph"/>
        <w:ind w:left="1080"/>
        <w:jc w:val="both"/>
        <w:rPr>
          <w:rFonts w:ascii="Arial" w:hAnsi="Arial" w:cs="Arial"/>
          <w:sz w:val="24"/>
          <w:szCs w:val="24"/>
        </w:rPr>
      </w:pPr>
      <w:r>
        <w:rPr>
          <w:rFonts w:ascii="Arial" w:hAnsi="Arial" w:cs="Arial"/>
          <w:sz w:val="24"/>
          <w:szCs w:val="24"/>
        </w:rPr>
        <w:t>unreasonable.  The Order would require fixed-price contract prices</w:t>
      </w:r>
    </w:p>
    <w:p w14:paraId="29DA4F4A" w14:textId="379C8D7E" w:rsidR="00802CB2" w:rsidRDefault="001F4126" w:rsidP="00802CB2">
      <w:pPr>
        <w:pStyle w:val="ListParagraph"/>
        <w:ind w:left="1080"/>
        <w:jc w:val="both"/>
        <w:rPr>
          <w:rFonts w:ascii="Arial" w:hAnsi="Arial" w:cs="Arial"/>
          <w:sz w:val="24"/>
          <w:szCs w:val="24"/>
        </w:rPr>
      </w:pPr>
      <w:r>
        <w:rPr>
          <w:rFonts w:ascii="Arial" w:hAnsi="Arial" w:cs="Arial"/>
          <w:sz w:val="24"/>
          <w:szCs w:val="24"/>
        </w:rPr>
        <w:t xml:space="preserve">to be provided only on a kilowatt hour basis for all customers. </w:t>
      </w:r>
    </w:p>
    <w:p w14:paraId="755ED99E" w14:textId="77777777" w:rsidR="00802CB2" w:rsidRDefault="001F4126" w:rsidP="00802CB2">
      <w:pPr>
        <w:pStyle w:val="ListParagraph"/>
        <w:ind w:left="1080"/>
        <w:jc w:val="both"/>
        <w:rPr>
          <w:rFonts w:ascii="Arial" w:hAnsi="Arial" w:cs="Arial"/>
          <w:sz w:val="24"/>
          <w:szCs w:val="24"/>
        </w:rPr>
      </w:pPr>
      <w:r>
        <w:rPr>
          <w:rFonts w:ascii="Arial" w:hAnsi="Arial" w:cs="Arial"/>
          <w:sz w:val="24"/>
          <w:szCs w:val="24"/>
        </w:rPr>
        <w:t xml:space="preserve">Suppliers provide commercial and industrial customers prices that </w:t>
      </w:r>
    </w:p>
    <w:p w14:paraId="79B8EEF8" w14:textId="77777777" w:rsidR="00802CB2" w:rsidRDefault="001F4126" w:rsidP="00802CB2">
      <w:pPr>
        <w:pStyle w:val="ListParagraph"/>
        <w:ind w:left="1080"/>
        <w:jc w:val="both"/>
        <w:rPr>
          <w:rFonts w:ascii="Arial" w:hAnsi="Arial" w:cs="Arial"/>
          <w:sz w:val="24"/>
          <w:szCs w:val="24"/>
        </w:rPr>
      </w:pPr>
      <w:r>
        <w:rPr>
          <w:rFonts w:ascii="Arial" w:hAnsi="Arial" w:cs="Arial"/>
          <w:sz w:val="24"/>
          <w:szCs w:val="24"/>
        </w:rPr>
        <w:t xml:space="preserve">contain several components that cannot be specified in a kilowatt hour </w:t>
      </w:r>
    </w:p>
    <w:p w14:paraId="2A0F4310" w14:textId="6CA99BC9" w:rsidR="001F4126" w:rsidRDefault="001F4126" w:rsidP="00802CB2">
      <w:pPr>
        <w:pStyle w:val="ListParagraph"/>
        <w:ind w:left="1080"/>
        <w:jc w:val="both"/>
        <w:rPr>
          <w:rFonts w:ascii="Arial" w:hAnsi="Arial" w:cs="Arial"/>
          <w:sz w:val="24"/>
          <w:szCs w:val="24"/>
        </w:rPr>
      </w:pPr>
      <w:r>
        <w:rPr>
          <w:rFonts w:ascii="Arial" w:hAnsi="Arial" w:cs="Arial"/>
          <w:sz w:val="24"/>
          <w:szCs w:val="24"/>
        </w:rPr>
        <w:t>price.</w:t>
      </w:r>
      <w:r w:rsidR="00802CB2">
        <w:rPr>
          <w:rFonts w:ascii="Arial" w:hAnsi="Arial" w:cs="Arial"/>
          <w:sz w:val="24"/>
          <w:szCs w:val="24"/>
        </w:rPr>
        <w:t xml:space="preserve"> . . . . . . . . . . . . . . . . . . . . . . . . . . . . . . . . . . . . . . . . . . . . . . . . . . .         13</w:t>
      </w:r>
    </w:p>
    <w:p w14:paraId="17EF9288" w14:textId="77777777" w:rsidR="00802CB2" w:rsidRPr="00F44532" w:rsidRDefault="00802CB2" w:rsidP="00802CB2">
      <w:pPr>
        <w:pStyle w:val="ListParagraph"/>
        <w:ind w:left="1080"/>
        <w:jc w:val="both"/>
        <w:rPr>
          <w:rFonts w:ascii="Arial" w:hAnsi="Arial" w:cs="Arial"/>
          <w:sz w:val="24"/>
          <w:szCs w:val="24"/>
        </w:rPr>
      </w:pPr>
    </w:p>
    <w:p w14:paraId="7A0E133D" w14:textId="77777777" w:rsidR="00802CB2" w:rsidRDefault="001F4126" w:rsidP="001F4126">
      <w:pPr>
        <w:pStyle w:val="ListParagraph"/>
        <w:numPr>
          <w:ilvl w:val="0"/>
          <w:numId w:val="1"/>
        </w:numPr>
        <w:jc w:val="both"/>
        <w:rPr>
          <w:rFonts w:ascii="Arial" w:hAnsi="Arial" w:cs="Arial"/>
          <w:sz w:val="24"/>
          <w:szCs w:val="24"/>
        </w:rPr>
      </w:pPr>
      <w:r w:rsidRPr="00F44532">
        <w:rPr>
          <w:rFonts w:ascii="Arial" w:hAnsi="Arial" w:cs="Arial"/>
          <w:sz w:val="24"/>
          <w:szCs w:val="24"/>
        </w:rPr>
        <w:t>The Order is unlawful and unreasonable inasmuch as the de</w:t>
      </w:r>
      <w:r>
        <w:rPr>
          <w:rFonts w:ascii="Arial" w:hAnsi="Arial" w:cs="Arial"/>
          <w:sz w:val="24"/>
          <w:szCs w:val="24"/>
        </w:rPr>
        <w:t>termination</w:t>
      </w:r>
    </w:p>
    <w:p w14:paraId="3E5CF65D" w14:textId="104E16EE" w:rsidR="00802CB2" w:rsidRDefault="001F4126" w:rsidP="00802CB2">
      <w:pPr>
        <w:pStyle w:val="ListParagraph"/>
        <w:ind w:left="1080"/>
        <w:jc w:val="both"/>
        <w:rPr>
          <w:rFonts w:ascii="Arial" w:hAnsi="Arial" w:cs="Arial"/>
          <w:sz w:val="24"/>
          <w:szCs w:val="24"/>
        </w:rPr>
      </w:pPr>
      <w:r>
        <w:rPr>
          <w:rFonts w:ascii="Arial" w:hAnsi="Arial" w:cs="Arial"/>
          <w:sz w:val="24"/>
          <w:szCs w:val="24"/>
        </w:rPr>
        <w:t xml:space="preserve">that suppliers </w:t>
      </w:r>
      <w:r w:rsidRPr="00F44532">
        <w:rPr>
          <w:rFonts w:ascii="Arial" w:hAnsi="Arial" w:cs="Arial"/>
          <w:sz w:val="24"/>
          <w:szCs w:val="24"/>
        </w:rPr>
        <w:t xml:space="preserve">may not invoke change in law provisions in </w:t>
      </w:r>
      <w:r w:rsidRPr="00802CB2">
        <w:rPr>
          <w:rFonts w:ascii="Arial" w:hAnsi="Arial" w:cs="Arial"/>
          <w:sz w:val="24"/>
          <w:szCs w:val="24"/>
        </w:rPr>
        <w:t>fixed-</w:t>
      </w:r>
    </w:p>
    <w:p w14:paraId="1ED25F9C" w14:textId="77777777" w:rsidR="00802CB2" w:rsidRDefault="001F4126" w:rsidP="00802CB2">
      <w:pPr>
        <w:pStyle w:val="ListParagraph"/>
        <w:ind w:left="1080"/>
        <w:jc w:val="both"/>
        <w:rPr>
          <w:rFonts w:ascii="Arial" w:hAnsi="Arial" w:cs="Arial"/>
          <w:sz w:val="24"/>
          <w:szCs w:val="24"/>
        </w:rPr>
      </w:pPr>
      <w:r w:rsidRPr="00802CB2">
        <w:rPr>
          <w:rFonts w:ascii="Arial" w:hAnsi="Arial" w:cs="Arial"/>
          <w:sz w:val="24"/>
          <w:szCs w:val="24"/>
        </w:rPr>
        <w:t xml:space="preserve">price contracts without obtaining affirmative customer consent is </w:t>
      </w:r>
    </w:p>
    <w:p w14:paraId="268C91A2" w14:textId="029C7EA5" w:rsidR="001F4126" w:rsidRDefault="001F4126" w:rsidP="00802CB2">
      <w:pPr>
        <w:pStyle w:val="ListParagraph"/>
        <w:ind w:left="1080"/>
        <w:jc w:val="both"/>
        <w:rPr>
          <w:rFonts w:ascii="Arial" w:hAnsi="Arial" w:cs="Arial"/>
          <w:sz w:val="24"/>
          <w:szCs w:val="24"/>
        </w:rPr>
      </w:pPr>
      <w:r w:rsidRPr="00802CB2">
        <w:rPr>
          <w:rFonts w:ascii="Arial" w:hAnsi="Arial" w:cs="Arial"/>
          <w:sz w:val="24"/>
          <w:szCs w:val="24"/>
        </w:rPr>
        <w:t>arbi</w:t>
      </w:r>
      <w:r w:rsidR="00802CB2">
        <w:rPr>
          <w:rFonts w:ascii="Arial" w:hAnsi="Arial" w:cs="Arial"/>
          <w:sz w:val="24"/>
          <w:szCs w:val="24"/>
        </w:rPr>
        <w:t>trary, unfair, and unworkable. . . . . . . . . . . . . . . . . . . . . . . . . . . . . .         15</w:t>
      </w:r>
    </w:p>
    <w:p w14:paraId="7087E138" w14:textId="77777777" w:rsidR="00802CB2" w:rsidRPr="00802CB2" w:rsidRDefault="00802CB2" w:rsidP="00802CB2">
      <w:pPr>
        <w:pStyle w:val="ListParagraph"/>
        <w:ind w:left="1080"/>
        <w:jc w:val="both"/>
        <w:rPr>
          <w:rFonts w:ascii="Arial" w:hAnsi="Arial" w:cs="Arial"/>
          <w:sz w:val="24"/>
          <w:szCs w:val="24"/>
        </w:rPr>
      </w:pPr>
    </w:p>
    <w:p w14:paraId="0D3C2E8A" w14:textId="77777777" w:rsidR="00802CB2" w:rsidRDefault="001F4126" w:rsidP="00802CB2">
      <w:pPr>
        <w:pStyle w:val="ListParagraph"/>
        <w:numPr>
          <w:ilvl w:val="0"/>
          <w:numId w:val="1"/>
        </w:numPr>
        <w:jc w:val="both"/>
        <w:rPr>
          <w:rFonts w:ascii="Arial" w:hAnsi="Arial" w:cs="Arial"/>
          <w:sz w:val="24"/>
          <w:szCs w:val="24"/>
        </w:rPr>
      </w:pPr>
      <w:r w:rsidRPr="006813C9">
        <w:rPr>
          <w:rFonts w:ascii="Arial" w:hAnsi="Arial" w:cs="Arial"/>
          <w:sz w:val="24"/>
          <w:szCs w:val="24"/>
        </w:rPr>
        <w:t xml:space="preserve">To the extent that the Order is intended to apply to contracts entered </w:t>
      </w:r>
    </w:p>
    <w:p w14:paraId="0EB56F49" w14:textId="77777777" w:rsidR="00802CB2" w:rsidRDefault="001F4126" w:rsidP="00802CB2">
      <w:pPr>
        <w:pStyle w:val="ListParagraph"/>
        <w:ind w:left="1080"/>
        <w:jc w:val="both"/>
        <w:rPr>
          <w:rFonts w:ascii="Arial" w:hAnsi="Arial" w:cs="Arial"/>
          <w:sz w:val="24"/>
          <w:szCs w:val="24"/>
        </w:rPr>
      </w:pPr>
      <w:r w:rsidRPr="006813C9">
        <w:rPr>
          <w:rFonts w:ascii="Arial" w:hAnsi="Arial" w:cs="Arial"/>
          <w:sz w:val="24"/>
          <w:szCs w:val="24"/>
        </w:rPr>
        <w:t>into</w:t>
      </w:r>
      <w:r w:rsidRPr="00802CB2">
        <w:rPr>
          <w:rFonts w:ascii="Arial" w:hAnsi="Arial" w:cs="Arial"/>
          <w:sz w:val="24"/>
          <w:szCs w:val="24"/>
        </w:rPr>
        <w:t xml:space="preserve"> prior to the date of the Order, it violates the Ohio Constitution’s </w:t>
      </w:r>
    </w:p>
    <w:p w14:paraId="48D4DE9B" w14:textId="77777777" w:rsidR="00802CB2" w:rsidRDefault="001F4126" w:rsidP="00802CB2">
      <w:pPr>
        <w:pStyle w:val="ListParagraph"/>
        <w:ind w:left="1080"/>
        <w:jc w:val="both"/>
        <w:rPr>
          <w:rFonts w:ascii="Arial" w:hAnsi="Arial" w:cs="Arial"/>
          <w:sz w:val="24"/>
          <w:szCs w:val="24"/>
        </w:rPr>
      </w:pPr>
      <w:r w:rsidRPr="00802CB2">
        <w:rPr>
          <w:rFonts w:ascii="Arial" w:hAnsi="Arial" w:cs="Arial"/>
          <w:sz w:val="24"/>
          <w:szCs w:val="24"/>
        </w:rPr>
        <w:t xml:space="preserve">prohibition against retroactive application of laws and thus unlawful </w:t>
      </w:r>
    </w:p>
    <w:p w14:paraId="3C2BA78E" w14:textId="77777777" w:rsidR="00802CB2" w:rsidRDefault="001F4126" w:rsidP="00802CB2">
      <w:pPr>
        <w:pStyle w:val="ListParagraph"/>
        <w:ind w:left="1080"/>
        <w:jc w:val="both"/>
        <w:rPr>
          <w:rFonts w:ascii="Arial" w:hAnsi="Arial" w:cs="Arial"/>
          <w:sz w:val="24"/>
          <w:szCs w:val="24"/>
        </w:rPr>
      </w:pPr>
      <w:r w:rsidRPr="00802CB2">
        <w:rPr>
          <w:rFonts w:ascii="Arial" w:hAnsi="Arial" w:cs="Arial"/>
          <w:sz w:val="24"/>
          <w:szCs w:val="24"/>
        </w:rPr>
        <w:t xml:space="preserve">and unreasonable. Because the Order was issued over a year and a </w:t>
      </w:r>
    </w:p>
    <w:p w14:paraId="16B2BD87" w14:textId="77777777" w:rsidR="00802CB2" w:rsidRDefault="001F4126" w:rsidP="00802CB2">
      <w:pPr>
        <w:pStyle w:val="ListParagraph"/>
        <w:ind w:left="1080"/>
        <w:jc w:val="both"/>
        <w:rPr>
          <w:rFonts w:ascii="Arial" w:hAnsi="Arial" w:cs="Arial"/>
          <w:sz w:val="24"/>
          <w:szCs w:val="24"/>
        </w:rPr>
      </w:pPr>
      <w:r w:rsidRPr="00802CB2">
        <w:rPr>
          <w:rFonts w:ascii="Arial" w:hAnsi="Arial" w:cs="Arial"/>
          <w:sz w:val="24"/>
          <w:szCs w:val="24"/>
        </w:rPr>
        <w:t xml:space="preserve">half after this proceeding was opened, the Order is also arbitrary, </w:t>
      </w:r>
    </w:p>
    <w:p w14:paraId="79BBBF00" w14:textId="48B31F09" w:rsidR="001F4126" w:rsidRDefault="001F4126" w:rsidP="00802CB2">
      <w:pPr>
        <w:pStyle w:val="ListParagraph"/>
        <w:ind w:left="1080"/>
        <w:jc w:val="both"/>
        <w:rPr>
          <w:rFonts w:ascii="Arial" w:hAnsi="Arial" w:cs="Arial"/>
          <w:sz w:val="24"/>
          <w:szCs w:val="24"/>
        </w:rPr>
      </w:pPr>
      <w:r w:rsidRPr="00802CB2">
        <w:rPr>
          <w:rFonts w:ascii="Arial" w:hAnsi="Arial" w:cs="Arial"/>
          <w:sz w:val="24"/>
          <w:szCs w:val="24"/>
        </w:rPr>
        <w:t>unjust, and capricious.</w:t>
      </w:r>
      <w:r w:rsidR="00802CB2">
        <w:rPr>
          <w:rFonts w:ascii="Arial" w:hAnsi="Arial" w:cs="Arial"/>
          <w:sz w:val="24"/>
          <w:szCs w:val="24"/>
        </w:rPr>
        <w:t xml:space="preserve"> . . . . . . . . . . . . . . . . . . . . . . . . . . . . . . . . . . . . . .        16</w:t>
      </w:r>
    </w:p>
    <w:p w14:paraId="108DB0AD" w14:textId="77777777" w:rsidR="00802CB2" w:rsidRPr="00802CB2" w:rsidRDefault="00802CB2" w:rsidP="00802CB2">
      <w:pPr>
        <w:pStyle w:val="ListParagraph"/>
        <w:ind w:left="1080"/>
        <w:jc w:val="both"/>
        <w:rPr>
          <w:rFonts w:ascii="Arial" w:hAnsi="Arial" w:cs="Arial"/>
          <w:sz w:val="24"/>
          <w:szCs w:val="24"/>
        </w:rPr>
      </w:pPr>
    </w:p>
    <w:p w14:paraId="26BF841D" w14:textId="77777777" w:rsidR="00802CB2" w:rsidRDefault="001F4126" w:rsidP="001F4126">
      <w:pPr>
        <w:pStyle w:val="ListParagraph"/>
        <w:numPr>
          <w:ilvl w:val="0"/>
          <w:numId w:val="1"/>
        </w:numPr>
        <w:rPr>
          <w:rFonts w:ascii="Arial" w:hAnsi="Arial" w:cs="Arial"/>
          <w:sz w:val="24"/>
          <w:szCs w:val="24"/>
        </w:rPr>
      </w:pPr>
      <w:r w:rsidRPr="001F4126">
        <w:rPr>
          <w:rFonts w:ascii="Arial" w:hAnsi="Arial" w:cs="Arial"/>
          <w:sz w:val="24"/>
          <w:szCs w:val="24"/>
        </w:rPr>
        <w:t xml:space="preserve">The Order is unlawful and unreasonable to the extent it did not grant </w:t>
      </w:r>
    </w:p>
    <w:p w14:paraId="72BD7E1E" w14:textId="462D5F16" w:rsidR="00802CB2" w:rsidRDefault="001F4126" w:rsidP="00802CB2">
      <w:pPr>
        <w:pStyle w:val="ListParagraph"/>
        <w:ind w:left="1080"/>
        <w:rPr>
          <w:rFonts w:ascii="Arial" w:hAnsi="Arial" w:cs="Arial"/>
          <w:sz w:val="24"/>
          <w:szCs w:val="24"/>
        </w:rPr>
      </w:pPr>
      <w:r w:rsidRPr="001F4126">
        <w:rPr>
          <w:rFonts w:ascii="Arial" w:hAnsi="Arial" w:cs="Arial"/>
          <w:sz w:val="24"/>
          <w:szCs w:val="24"/>
        </w:rPr>
        <w:t>IGS’s Motion to Intervene</w:t>
      </w:r>
      <w:r w:rsidR="00802CB2">
        <w:rPr>
          <w:rFonts w:ascii="Arial" w:hAnsi="Arial" w:cs="Arial"/>
          <w:sz w:val="24"/>
          <w:szCs w:val="24"/>
        </w:rPr>
        <w:t xml:space="preserve"> . . . . . . . . . . . . . . . . . . . . . . . . . . . . . . . . . . .         18</w:t>
      </w:r>
    </w:p>
    <w:p w14:paraId="55A5B172" w14:textId="77777777" w:rsidR="00802CB2" w:rsidRPr="00802CB2" w:rsidRDefault="00802CB2" w:rsidP="00802CB2">
      <w:pPr>
        <w:pStyle w:val="ListParagraph"/>
        <w:ind w:left="1080"/>
        <w:rPr>
          <w:rFonts w:ascii="Arial" w:hAnsi="Arial" w:cs="Arial"/>
          <w:sz w:val="24"/>
          <w:szCs w:val="24"/>
        </w:rPr>
      </w:pPr>
    </w:p>
    <w:p w14:paraId="0BDBBA96" w14:textId="4AC4CCB3" w:rsidR="001F4126" w:rsidRPr="0000200A" w:rsidRDefault="00802CB2" w:rsidP="0000200A">
      <w:pPr>
        <w:spacing w:line="480" w:lineRule="auto"/>
        <w:rPr>
          <w:rFonts w:ascii="Arial" w:hAnsi="Arial" w:cs="Arial"/>
          <w:sz w:val="24"/>
        </w:rPr>
      </w:pPr>
      <w:r w:rsidRPr="00802CB2">
        <w:rPr>
          <w:rFonts w:ascii="Arial" w:hAnsi="Arial" w:cs="Arial"/>
          <w:sz w:val="24"/>
        </w:rPr>
        <w:t xml:space="preserve">   III.</w:t>
      </w:r>
      <w:r w:rsidRPr="00802CB2">
        <w:rPr>
          <w:rFonts w:ascii="Arial" w:hAnsi="Arial" w:cs="Arial"/>
          <w:sz w:val="24"/>
        </w:rPr>
        <w:tab/>
        <w:t xml:space="preserve">     </w:t>
      </w:r>
      <w:r>
        <w:rPr>
          <w:rFonts w:ascii="Arial" w:hAnsi="Arial" w:cs="Arial"/>
          <w:sz w:val="24"/>
        </w:rPr>
        <w:t>CONCLUSION</w:t>
      </w:r>
      <w:r w:rsidRPr="00802CB2">
        <w:rPr>
          <w:rFonts w:ascii="Arial" w:hAnsi="Arial" w:cs="Arial"/>
          <w:sz w:val="24"/>
        </w:rPr>
        <w:t xml:space="preserve">            . . . . . . . . . . . . . . . . . . . . . . . . . . . . . . . . . . </w:t>
      </w:r>
      <w:r>
        <w:rPr>
          <w:rFonts w:ascii="Arial" w:hAnsi="Arial" w:cs="Arial"/>
          <w:sz w:val="24"/>
        </w:rPr>
        <w:t>. . . .         19</w:t>
      </w:r>
      <w:r w:rsidRPr="00802CB2">
        <w:rPr>
          <w:rFonts w:ascii="Arial" w:hAnsi="Arial" w:cs="Arial"/>
          <w:sz w:val="24"/>
        </w:rPr>
        <w:t xml:space="preserve">       </w:t>
      </w:r>
    </w:p>
    <w:p w14:paraId="3FCF940A" w14:textId="77777777" w:rsidR="002101A9" w:rsidRPr="009D71F6" w:rsidRDefault="002101A9" w:rsidP="002101A9">
      <w:pPr>
        <w:pStyle w:val="Title"/>
        <w:widowControl w:val="0"/>
        <w:rPr>
          <w:rFonts w:ascii="Arial" w:hAnsi="Arial" w:cs="Arial"/>
          <w:szCs w:val="24"/>
        </w:rPr>
      </w:pPr>
      <w:r w:rsidRPr="009D71F6">
        <w:rPr>
          <w:rFonts w:ascii="Arial" w:hAnsi="Arial" w:cs="Arial"/>
          <w:szCs w:val="24"/>
        </w:rPr>
        <w:lastRenderedPageBreak/>
        <w:t>BEFORE</w:t>
      </w:r>
    </w:p>
    <w:p w14:paraId="196F2CE9" w14:textId="77777777" w:rsidR="002101A9" w:rsidRPr="009D71F6" w:rsidRDefault="002101A9" w:rsidP="002101A9">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754"/>
        <w:gridCol w:w="632"/>
        <w:gridCol w:w="3940"/>
      </w:tblGrid>
      <w:tr w:rsidR="002101A9" w:rsidRPr="009D71F6" w14:paraId="7B49DCBD" w14:textId="77777777" w:rsidTr="00DD21F3">
        <w:trPr>
          <w:trHeight w:val="1458"/>
          <w:jc w:val="center"/>
        </w:trPr>
        <w:tc>
          <w:tcPr>
            <w:tcW w:w="4754" w:type="dxa"/>
          </w:tcPr>
          <w:p w14:paraId="591AA1FD" w14:textId="77777777" w:rsidR="002101A9" w:rsidRPr="009D71F6" w:rsidRDefault="002101A9" w:rsidP="00DD21F3">
            <w:pPr>
              <w:widowControl w:val="0"/>
              <w:spacing w:after="0" w:line="240" w:lineRule="auto"/>
              <w:jc w:val="both"/>
              <w:rPr>
                <w:rFonts w:ascii="Arial" w:hAnsi="Arial" w:cs="Arial"/>
                <w:sz w:val="24"/>
                <w:szCs w:val="24"/>
              </w:rPr>
            </w:pPr>
            <w:r w:rsidRPr="00D57E21">
              <w:rPr>
                <w:rFonts w:ascii="Arial" w:hAnsi="Arial" w:cs="Arial"/>
                <w:sz w:val="24"/>
                <w:szCs w:val="24"/>
              </w:rPr>
              <w:t>In the Mat</w:t>
            </w:r>
            <w:r>
              <w:rPr>
                <w:rFonts w:ascii="Arial" w:hAnsi="Arial" w:cs="Arial"/>
                <w:sz w:val="24"/>
                <w:szCs w:val="24"/>
              </w:rPr>
              <w:t>ter of the Commission-Ordered Investigation of Marketing Practices in the Competitive Retail Electric Service Market</w:t>
            </w:r>
          </w:p>
        </w:tc>
        <w:tc>
          <w:tcPr>
            <w:tcW w:w="632" w:type="dxa"/>
          </w:tcPr>
          <w:p w14:paraId="6DC53B5A" w14:textId="77777777" w:rsidR="002101A9" w:rsidRPr="009D71F6" w:rsidRDefault="002101A9" w:rsidP="00DD21F3">
            <w:pPr>
              <w:widowControl w:val="0"/>
              <w:spacing w:after="0" w:line="240" w:lineRule="auto"/>
              <w:jc w:val="center"/>
              <w:rPr>
                <w:rFonts w:ascii="Arial" w:hAnsi="Arial" w:cs="Arial"/>
                <w:sz w:val="24"/>
                <w:szCs w:val="24"/>
              </w:rPr>
            </w:pPr>
            <w:r w:rsidRPr="009D71F6">
              <w:rPr>
                <w:rFonts w:ascii="Arial" w:hAnsi="Arial" w:cs="Arial"/>
                <w:sz w:val="24"/>
                <w:szCs w:val="24"/>
              </w:rPr>
              <w:t>)</w:t>
            </w:r>
          </w:p>
          <w:p w14:paraId="4282E0BC" w14:textId="77777777" w:rsidR="002101A9" w:rsidRPr="009D71F6" w:rsidRDefault="002101A9" w:rsidP="00DD21F3">
            <w:pPr>
              <w:widowControl w:val="0"/>
              <w:spacing w:after="0" w:line="240" w:lineRule="auto"/>
              <w:jc w:val="center"/>
              <w:rPr>
                <w:rFonts w:ascii="Arial" w:hAnsi="Arial" w:cs="Arial"/>
                <w:sz w:val="24"/>
                <w:szCs w:val="24"/>
              </w:rPr>
            </w:pPr>
            <w:r w:rsidRPr="009D71F6">
              <w:rPr>
                <w:rFonts w:ascii="Arial" w:hAnsi="Arial" w:cs="Arial"/>
                <w:sz w:val="24"/>
                <w:szCs w:val="24"/>
              </w:rPr>
              <w:t>)</w:t>
            </w:r>
          </w:p>
          <w:p w14:paraId="31F45BA6" w14:textId="77777777" w:rsidR="002101A9" w:rsidRPr="009D71F6" w:rsidRDefault="002101A9" w:rsidP="00DD21F3">
            <w:pPr>
              <w:widowControl w:val="0"/>
              <w:spacing w:after="0" w:line="240" w:lineRule="auto"/>
              <w:jc w:val="center"/>
              <w:rPr>
                <w:rFonts w:ascii="Arial" w:hAnsi="Arial" w:cs="Arial"/>
                <w:sz w:val="24"/>
                <w:szCs w:val="24"/>
              </w:rPr>
            </w:pPr>
            <w:r w:rsidRPr="009D71F6">
              <w:rPr>
                <w:rFonts w:ascii="Arial" w:hAnsi="Arial" w:cs="Arial"/>
                <w:sz w:val="24"/>
                <w:szCs w:val="24"/>
              </w:rPr>
              <w:t>)</w:t>
            </w:r>
          </w:p>
          <w:p w14:paraId="066CB07F" w14:textId="77777777" w:rsidR="002101A9" w:rsidRPr="009D71F6" w:rsidRDefault="002101A9" w:rsidP="00DD21F3">
            <w:pPr>
              <w:widowControl w:val="0"/>
              <w:spacing w:after="0" w:line="240" w:lineRule="auto"/>
              <w:jc w:val="center"/>
              <w:rPr>
                <w:rFonts w:ascii="Arial" w:hAnsi="Arial" w:cs="Arial"/>
                <w:sz w:val="24"/>
                <w:szCs w:val="24"/>
              </w:rPr>
            </w:pPr>
          </w:p>
          <w:p w14:paraId="12BBACAA" w14:textId="77777777" w:rsidR="002101A9" w:rsidRPr="009D71F6" w:rsidRDefault="002101A9" w:rsidP="00DD21F3">
            <w:pPr>
              <w:widowControl w:val="0"/>
              <w:spacing w:after="0" w:line="240" w:lineRule="auto"/>
              <w:jc w:val="center"/>
              <w:rPr>
                <w:rFonts w:ascii="Arial" w:hAnsi="Arial" w:cs="Arial"/>
                <w:sz w:val="24"/>
                <w:szCs w:val="24"/>
              </w:rPr>
            </w:pPr>
          </w:p>
        </w:tc>
        <w:tc>
          <w:tcPr>
            <w:tcW w:w="3940" w:type="dxa"/>
          </w:tcPr>
          <w:p w14:paraId="44DBB5E5" w14:textId="77777777" w:rsidR="002101A9" w:rsidRPr="009D71F6" w:rsidRDefault="002101A9" w:rsidP="00DD21F3">
            <w:pPr>
              <w:widowControl w:val="0"/>
              <w:spacing w:after="0" w:line="240" w:lineRule="auto"/>
              <w:rPr>
                <w:rFonts w:ascii="Arial" w:hAnsi="Arial" w:cs="Arial"/>
                <w:sz w:val="24"/>
                <w:szCs w:val="24"/>
              </w:rPr>
            </w:pPr>
          </w:p>
          <w:p w14:paraId="3BDDFE9D" w14:textId="77777777" w:rsidR="002101A9" w:rsidRPr="009D71F6" w:rsidRDefault="002101A9" w:rsidP="00DD21F3">
            <w:pPr>
              <w:widowControl w:val="0"/>
              <w:spacing w:after="0" w:line="240" w:lineRule="auto"/>
              <w:rPr>
                <w:rFonts w:ascii="Arial" w:hAnsi="Arial" w:cs="Arial"/>
                <w:sz w:val="24"/>
                <w:szCs w:val="24"/>
              </w:rPr>
            </w:pPr>
            <w:r>
              <w:rPr>
                <w:rFonts w:ascii="Arial" w:hAnsi="Arial" w:cs="Arial"/>
                <w:sz w:val="24"/>
                <w:szCs w:val="24"/>
              </w:rPr>
              <w:t>Case No. 14-568-EL-COI</w:t>
            </w:r>
          </w:p>
          <w:p w14:paraId="4E7DA081" w14:textId="77777777" w:rsidR="002101A9" w:rsidRPr="009D71F6" w:rsidRDefault="002101A9" w:rsidP="00DD21F3">
            <w:pPr>
              <w:widowControl w:val="0"/>
              <w:spacing w:after="0" w:line="240" w:lineRule="auto"/>
              <w:rPr>
                <w:rFonts w:ascii="Arial" w:hAnsi="Arial" w:cs="Arial"/>
                <w:sz w:val="24"/>
                <w:szCs w:val="24"/>
              </w:rPr>
            </w:pPr>
          </w:p>
          <w:p w14:paraId="44835C0A" w14:textId="77777777" w:rsidR="002101A9" w:rsidRDefault="002101A9" w:rsidP="00DD21F3">
            <w:pPr>
              <w:widowControl w:val="0"/>
              <w:spacing w:after="0" w:line="240" w:lineRule="auto"/>
              <w:rPr>
                <w:rFonts w:ascii="Arial" w:hAnsi="Arial" w:cs="Arial"/>
                <w:sz w:val="24"/>
                <w:szCs w:val="24"/>
              </w:rPr>
            </w:pPr>
          </w:p>
          <w:p w14:paraId="7E6ECA0A" w14:textId="77777777" w:rsidR="002101A9" w:rsidRPr="009D71F6" w:rsidRDefault="002101A9" w:rsidP="00DD21F3">
            <w:pPr>
              <w:widowControl w:val="0"/>
              <w:spacing w:after="0" w:line="240" w:lineRule="auto"/>
              <w:rPr>
                <w:rFonts w:ascii="Arial" w:hAnsi="Arial" w:cs="Arial"/>
                <w:sz w:val="24"/>
                <w:szCs w:val="24"/>
              </w:rPr>
            </w:pPr>
          </w:p>
        </w:tc>
      </w:tr>
    </w:tbl>
    <w:p w14:paraId="5BA62948" w14:textId="77777777" w:rsidR="002101A9" w:rsidRPr="009D71F6" w:rsidRDefault="002101A9" w:rsidP="002101A9">
      <w:pPr>
        <w:widowControl w:val="0"/>
        <w:pBdr>
          <w:bottom w:val="single" w:sz="12" w:space="0" w:color="auto"/>
        </w:pBdr>
        <w:spacing w:after="0" w:line="240" w:lineRule="auto"/>
        <w:rPr>
          <w:rFonts w:ascii="Arial" w:hAnsi="Arial" w:cs="Arial"/>
          <w:sz w:val="24"/>
          <w:szCs w:val="24"/>
        </w:rPr>
      </w:pPr>
    </w:p>
    <w:p w14:paraId="108A9B48" w14:textId="77777777" w:rsidR="002101A9" w:rsidRPr="009D71F6" w:rsidRDefault="002101A9" w:rsidP="002101A9">
      <w:pPr>
        <w:widowControl w:val="0"/>
        <w:spacing w:after="0" w:line="240" w:lineRule="auto"/>
        <w:jc w:val="center"/>
        <w:rPr>
          <w:rFonts w:ascii="Arial" w:hAnsi="Arial" w:cs="Arial"/>
          <w:b/>
          <w:bCs/>
          <w:sz w:val="24"/>
          <w:szCs w:val="24"/>
        </w:rPr>
      </w:pPr>
    </w:p>
    <w:p w14:paraId="3073D0C1" w14:textId="19252281" w:rsidR="002101A9" w:rsidRPr="009D71F6" w:rsidRDefault="002101A9" w:rsidP="002101A9">
      <w:pPr>
        <w:widowControl w:val="0"/>
        <w:spacing w:after="0" w:line="240" w:lineRule="auto"/>
        <w:jc w:val="center"/>
        <w:rPr>
          <w:rFonts w:ascii="Arial" w:hAnsi="Arial" w:cs="Arial"/>
          <w:b/>
          <w:bCs/>
          <w:sz w:val="24"/>
          <w:szCs w:val="24"/>
        </w:rPr>
      </w:pPr>
      <w:proofErr w:type="gramStart"/>
      <w:r>
        <w:rPr>
          <w:rFonts w:ascii="Arial" w:hAnsi="Arial" w:cs="Arial"/>
          <w:b/>
          <w:bCs/>
          <w:sz w:val="24"/>
          <w:szCs w:val="24"/>
        </w:rPr>
        <w:t xml:space="preserve">APPLICATION FOR REHEARING </w:t>
      </w:r>
      <w:r w:rsidR="005C3FAC">
        <w:rPr>
          <w:rFonts w:ascii="Arial" w:hAnsi="Arial" w:cs="Arial"/>
          <w:b/>
          <w:bCs/>
          <w:sz w:val="24"/>
          <w:szCs w:val="24"/>
        </w:rPr>
        <w:t>OF</w:t>
      </w:r>
      <w:r w:rsidR="00850AFA">
        <w:rPr>
          <w:rFonts w:ascii="Arial" w:hAnsi="Arial" w:cs="Arial"/>
          <w:b/>
          <w:bCs/>
          <w:sz w:val="24"/>
          <w:szCs w:val="24"/>
        </w:rPr>
        <w:t xml:space="preserve"> IGS ENERGY</w:t>
      </w:r>
      <w:r w:rsidR="005C3FAC">
        <w:rPr>
          <w:rFonts w:ascii="Arial" w:hAnsi="Arial" w:cs="Arial"/>
          <w:b/>
          <w:bCs/>
          <w:sz w:val="24"/>
          <w:szCs w:val="24"/>
        </w:rPr>
        <w:t>.</w:t>
      </w:r>
      <w:proofErr w:type="gramEnd"/>
    </w:p>
    <w:p w14:paraId="661C4D69" w14:textId="77777777" w:rsidR="002101A9" w:rsidRPr="009D71F6" w:rsidRDefault="002101A9" w:rsidP="002101A9">
      <w:pPr>
        <w:widowControl w:val="0"/>
        <w:pBdr>
          <w:bottom w:val="single" w:sz="12" w:space="1" w:color="auto"/>
        </w:pBdr>
        <w:tabs>
          <w:tab w:val="left" w:pos="6461"/>
        </w:tabs>
        <w:spacing w:after="0" w:line="240" w:lineRule="auto"/>
        <w:jc w:val="center"/>
        <w:rPr>
          <w:rFonts w:ascii="Arial" w:hAnsi="Arial" w:cs="Arial"/>
          <w:sz w:val="24"/>
          <w:szCs w:val="24"/>
        </w:rPr>
      </w:pPr>
    </w:p>
    <w:p w14:paraId="66D2920E" w14:textId="77777777" w:rsidR="005C3FAC" w:rsidRDefault="005C3FAC" w:rsidP="005C3FAC">
      <w:pPr>
        <w:spacing w:line="480" w:lineRule="auto"/>
        <w:jc w:val="both"/>
        <w:rPr>
          <w:rFonts w:ascii="Arial" w:hAnsi="Arial" w:cs="Arial"/>
          <w:sz w:val="24"/>
          <w:szCs w:val="24"/>
        </w:rPr>
      </w:pPr>
    </w:p>
    <w:p w14:paraId="373A05EB" w14:textId="30709C5B" w:rsidR="00A67210" w:rsidRPr="00F44532" w:rsidRDefault="00A67210" w:rsidP="005C3FAC">
      <w:pPr>
        <w:spacing w:line="480" w:lineRule="auto"/>
        <w:ind w:firstLine="720"/>
        <w:jc w:val="both"/>
        <w:rPr>
          <w:rFonts w:ascii="Arial" w:hAnsi="Arial" w:cs="Arial"/>
          <w:sz w:val="24"/>
          <w:szCs w:val="24"/>
        </w:rPr>
      </w:pPr>
      <w:r w:rsidRPr="00F44532">
        <w:rPr>
          <w:rFonts w:ascii="Arial" w:hAnsi="Arial" w:cs="Arial"/>
          <w:sz w:val="24"/>
          <w:szCs w:val="24"/>
        </w:rPr>
        <w:t xml:space="preserve">Pursuant to R.C. 4903.10, Interstate Gas Supply, Inc. (“IGS”) hereby seeks rehearing of the Finding and Order (“Order”) issued by the Public Utilities Commission of Ohio </w:t>
      </w:r>
      <w:r w:rsidR="00192B2D">
        <w:rPr>
          <w:rFonts w:ascii="Arial" w:hAnsi="Arial" w:cs="Arial"/>
          <w:sz w:val="24"/>
          <w:szCs w:val="24"/>
        </w:rPr>
        <w:t xml:space="preserve">(“Commission”) </w:t>
      </w:r>
      <w:r w:rsidRPr="00F44532">
        <w:rPr>
          <w:rFonts w:ascii="Arial" w:hAnsi="Arial" w:cs="Arial"/>
          <w:sz w:val="24"/>
          <w:szCs w:val="24"/>
        </w:rPr>
        <w:t>i</w:t>
      </w:r>
      <w:r w:rsidR="00192B2D">
        <w:rPr>
          <w:rFonts w:ascii="Arial" w:hAnsi="Arial" w:cs="Arial"/>
          <w:sz w:val="24"/>
          <w:szCs w:val="24"/>
        </w:rPr>
        <w:t>n this proceeding on November 18, 2015.  I</w:t>
      </w:r>
      <w:r w:rsidR="0014256A" w:rsidRPr="00F44532">
        <w:rPr>
          <w:rFonts w:ascii="Arial" w:hAnsi="Arial" w:cs="Arial"/>
          <w:sz w:val="24"/>
          <w:szCs w:val="24"/>
        </w:rPr>
        <w:t>n reliance on Ohio A</w:t>
      </w:r>
      <w:r w:rsidR="00192B2D">
        <w:rPr>
          <w:rFonts w:ascii="Arial" w:hAnsi="Arial" w:cs="Arial"/>
          <w:sz w:val="24"/>
          <w:szCs w:val="24"/>
        </w:rPr>
        <w:t xml:space="preserve">dministrative Code (“OAC”) </w:t>
      </w:r>
      <w:r w:rsidR="0014256A" w:rsidRPr="00F44532">
        <w:rPr>
          <w:rFonts w:ascii="Arial" w:hAnsi="Arial" w:cs="Arial"/>
          <w:sz w:val="24"/>
          <w:szCs w:val="24"/>
        </w:rPr>
        <w:t>4901:1-21-05,</w:t>
      </w:r>
      <w:r w:rsidR="00192B2D">
        <w:rPr>
          <w:rFonts w:ascii="Arial" w:hAnsi="Arial" w:cs="Arial"/>
          <w:sz w:val="24"/>
          <w:szCs w:val="24"/>
        </w:rPr>
        <w:t xml:space="preserve"> the Order</w:t>
      </w:r>
      <w:r w:rsidRPr="00F44532">
        <w:rPr>
          <w:rFonts w:ascii="Arial" w:hAnsi="Arial" w:cs="Arial"/>
          <w:sz w:val="24"/>
          <w:szCs w:val="24"/>
        </w:rPr>
        <w:t xml:space="preserve"> determined that beginning January 1, 2016, no competitive retail electric service </w:t>
      </w:r>
      <w:r w:rsidR="00192B2D">
        <w:rPr>
          <w:rFonts w:ascii="Arial" w:hAnsi="Arial" w:cs="Arial"/>
          <w:sz w:val="24"/>
          <w:szCs w:val="24"/>
        </w:rPr>
        <w:t>(“CRES”</w:t>
      </w:r>
      <w:r w:rsidR="00C94252">
        <w:rPr>
          <w:rFonts w:ascii="Arial" w:hAnsi="Arial" w:cs="Arial"/>
          <w:sz w:val="24"/>
          <w:szCs w:val="24"/>
        </w:rPr>
        <w:t xml:space="preserve"> or “supplier”</w:t>
      </w:r>
      <w:r w:rsidR="00192B2D">
        <w:rPr>
          <w:rFonts w:ascii="Arial" w:hAnsi="Arial" w:cs="Arial"/>
          <w:sz w:val="24"/>
          <w:szCs w:val="24"/>
        </w:rPr>
        <w:t>)</w:t>
      </w:r>
      <w:r w:rsidR="00C94252">
        <w:rPr>
          <w:rFonts w:ascii="Arial" w:hAnsi="Arial" w:cs="Arial"/>
          <w:sz w:val="24"/>
          <w:szCs w:val="24"/>
        </w:rPr>
        <w:t xml:space="preserve"> </w:t>
      </w:r>
      <w:r w:rsidR="00192B2D">
        <w:rPr>
          <w:rFonts w:ascii="Arial" w:hAnsi="Arial" w:cs="Arial"/>
          <w:sz w:val="24"/>
          <w:szCs w:val="24"/>
        </w:rPr>
        <w:t xml:space="preserve"> contract labeled as a fixed-price contract</w:t>
      </w:r>
      <w:r w:rsidRPr="00F44532">
        <w:rPr>
          <w:rFonts w:ascii="Arial" w:hAnsi="Arial" w:cs="Arial"/>
          <w:sz w:val="24"/>
          <w:szCs w:val="24"/>
        </w:rPr>
        <w:t xml:space="preserve"> may include a clause that would allow the CRES provider to pass-through </w:t>
      </w:r>
      <w:r w:rsidR="0014256A" w:rsidRPr="00F44532">
        <w:rPr>
          <w:rFonts w:ascii="Arial" w:hAnsi="Arial" w:cs="Arial"/>
          <w:sz w:val="24"/>
          <w:szCs w:val="24"/>
        </w:rPr>
        <w:t>additional charges to customers—regardless of whether the customer is a residential, commercial, or industrial customer.</w:t>
      </w:r>
      <w:r w:rsidR="00192B2D">
        <w:rPr>
          <w:rFonts w:ascii="Arial" w:hAnsi="Arial" w:cs="Arial"/>
          <w:sz w:val="24"/>
          <w:szCs w:val="24"/>
        </w:rPr>
        <w:t xml:space="preserve">  The Order also directed Commission Staff to incorporate new definitions into Rule 4901:1-21-05.</w:t>
      </w:r>
      <w:r w:rsidRPr="00F44532">
        <w:rPr>
          <w:rFonts w:ascii="Arial" w:hAnsi="Arial" w:cs="Arial"/>
          <w:sz w:val="24"/>
          <w:szCs w:val="24"/>
        </w:rPr>
        <w:t xml:space="preserve"> </w:t>
      </w:r>
      <w:r w:rsidR="0014256A" w:rsidRPr="00F44532">
        <w:rPr>
          <w:rFonts w:ascii="Arial" w:hAnsi="Arial" w:cs="Arial"/>
          <w:sz w:val="24"/>
          <w:szCs w:val="24"/>
        </w:rPr>
        <w:t xml:space="preserve"> </w:t>
      </w:r>
      <w:r w:rsidRPr="00F44532">
        <w:rPr>
          <w:rFonts w:ascii="Arial" w:hAnsi="Arial" w:cs="Arial"/>
          <w:sz w:val="24"/>
          <w:szCs w:val="24"/>
        </w:rPr>
        <w:t xml:space="preserve">As specified further in the attached memorandum in support, the Order is unlawful and unreasonable in the following respects: </w:t>
      </w:r>
    </w:p>
    <w:p w14:paraId="4801D240" w14:textId="3CB74F1F" w:rsidR="0076287C" w:rsidRPr="00A16B2C" w:rsidRDefault="00A67210" w:rsidP="00A16B2C">
      <w:pPr>
        <w:pStyle w:val="ListParagraph"/>
        <w:numPr>
          <w:ilvl w:val="0"/>
          <w:numId w:val="12"/>
        </w:numPr>
        <w:jc w:val="both"/>
        <w:rPr>
          <w:rFonts w:ascii="Arial" w:hAnsi="Arial" w:cs="Arial"/>
          <w:sz w:val="24"/>
          <w:szCs w:val="24"/>
        </w:rPr>
      </w:pPr>
      <w:r w:rsidRPr="00A16B2C">
        <w:rPr>
          <w:rFonts w:ascii="Arial" w:hAnsi="Arial" w:cs="Arial"/>
          <w:sz w:val="24"/>
          <w:szCs w:val="24"/>
        </w:rPr>
        <w:t>The Order is u</w:t>
      </w:r>
      <w:r w:rsidR="004E24ED" w:rsidRPr="00A16B2C">
        <w:rPr>
          <w:rFonts w:ascii="Arial" w:hAnsi="Arial" w:cs="Arial"/>
          <w:sz w:val="24"/>
          <w:szCs w:val="24"/>
        </w:rPr>
        <w:t xml:space="preserve">nlawful and unreasonable </w:t>
      </w:r>
      <w:r w:rsidR="00E36473" w:rsidRPr="00A16B2C">
        <w:rPr>
          <w:rFonts w:ascii="Arial" w:hAnsi="Arial" w:cs="Arial"/>
          <w:sz w:val="24"/>
          <w:szCs w:val="24"/>
        </w:rPr>
        <w:t>inasmuch as it departs from the express</w:t>
      </w:r>
      <w:r w:rsidR="004E24ED" w:rsidRPr="00A16B2C">
        <w:rPr>
          <w:rFonts w:ascii="Arial" w:hAnsi="Arial" w:cs="Arial"/>
          <w:sz w:val="24"/>
          <w:szCs w:val="24"/>
        </w:rPr>
        <w:t xml:space="preserve"> language of</w:t>
      </w:r>
      <w:r w:rsidR="00192B2D" w:rsidRPr="00A16B2C">
        <w:rPr>
          <w:rFonts w:ascii="Arial" w:hAnsi="Arial" w:cs="Arial"/>
          <w:sz w:val="24"/>
          <w:szCs w:val="24"/>
        </w:rPr>
        <w:t xml:space="preserve"> OAC</w:t>
      </w:r>
      <w:r w:rsidR="004E24ED" w:rsidRPr="00A16B2C">
        <w:rPr>
          <w:rFonts w:ascii="Arial" w:hAnsi="Arial" w:cs="Arial"/>
          <w:sz w:val="24"/>
          <w:szCs w:val="24"/>
        </w:rPr>
        <w:t xml:space="preserve"> 4901:1-</w:t>
      </w:r>
      <w:r w:rsidR="00192B2D" w:rsidRPr="00A16B2C">
        <w:rPr>
          <w:rFonts w:ascii="Arial" w:hAnsi="Arial" w:cs="Arial"/>
          <w:sz w:val="24"/>
          <w:szCs w:val="24"/>
        </w:rPr>
        <w:t>21-05 to prohibit pass-</w:t>
      </w:r>
      <w:r w:rsidR="004E24ED" w:rsidRPr="00A16B2C">
        <w:rPr>
          <w:rFonts w:ascii="Arial" w:hAnsi="Arial" w:cs="Arial"/>
          <w:sz w:val="24"/>
          <w:szCs w:val="24"/>
        </w:rPr>
        <w:t xml:space="preserve">through provisions in fixed-price contracts. </w:t>
      </w:r>
      <w:r w:rsidR="00F44532" w:rsidRPr="00A16B2C">
        <w:rPr>
          <w:rFonts w:ascii="Arial" w:hAnsi="Arial" w:cs="Arial"/>
          <w:sz w:val="24"/>
          <w:szCs w:val="24"/>
        </w:rPr>
        <w:t xml:space="preserve"> </w:t>
      </w:r>
    </w:p>
    <w:p w14:paraId="08EBBED7" w14:textId="166AD407" w:rsidR="0014256A" w:rsidRPr="00F44532" w:rsidRDefault="0076287C" w:rsidP="00A16B2C">
      <w:pPr>
        <w:pStyle w:val="ListParagraph"/>
        <w:numPr>
          <w:ilvl w:val="0"/>
          <w:numId w:val="12"/>
        </w:numPr>
        <w:jc w:val="both"/>
        <w:rPr>
          <w:rFonts w:ascii="Arial" w:hAnsi="Arial" w:cs="Arial"/>
          <w:sz w:val="24"/>
          <w:szCs w:val="24"/>
        </w:rPr>
      </w:pPr>
      <w:r>
        <w:rPr>
          <w:rFonts w:ascii="Arial" w:hAnsi="Arial" w:cs="Arial"/>
          <w:sz w:val="24"/>
          <w:szCs w:val="24"/>
        </w:rPr>
        <w:t>The Order</w:t>
      </w:r>
      <w:r w:rsidR="00192B2D">
        <w:rPr>
          <w:rFonts w:ascii="Arial" w:hAnsi="Arial" w:cs="Arial"/>
          <w:sz w:val="24"/>
          <w:szCs w:val="24"/>
        </w:rPr>
        <w:t xml:space="preserve"> is unlawful</w:t>
      </w:r>
      <w:r>
        <w:rPr>
          <w:rFonts w:ascii="Arial" w:hAnsi="Arial" w:cs="Arial"/>
          <w:sz w:val="24"/>
          <w:szCs w:val="24"/>
        </w:rPr>
        <w:t xml:space="preserve"> and unreasonable</w:t>
      </w:r>
      <w:r w:rsidR="00192B2D">
        <w:rPr>
          <w:rFonts w:ascii="Arial" w:hAnsi="Arial" w:cs="Arial"/>
          <w:sz w:val="24"/>
          <w:szCs w:val="24"/>
        </w:rPr>
        <w:t xml:space="preserve"> inasmuch as it</w:t>
      </w:r>
      <w:r w:rsidR="00C94252">
        <w:rPr>
          <w:rFonts w:ascii="Arial" w:hAnsi="Arial" w:cs="Arial"/>
          <w:sz w:val="24"/>
          <w:szCs w:val="24"/>
        </w:rPr>
        <w:t xml:space="preserve"> prohibited suppliers</w:t>
      </w:r>
      <w:r w:rsidR="00F44532" w:rsidRPr="00F44532">
        <w:rPr>
          <w:rFonts w:ascii="Arial" w:hAnsi="Arial" w:cs="Arial"/>
          <w:sz w:val="24"/>
          <w:szCs w:val="24"/>
        </w:rPr>
        <w:t xml:space="preserve"> from including pass-through clauses in fixed-price contracts with comme</w:t>
      </w:r>
      <w:r w:rsidR="00192B2D">
        <w:rPr>
          <w:rFonts w:ascii="Arial" w:hAnsi="Arial" w:cs="Arial"/>
          <w:sz w:val="24"/>
          <w:szCs w:val="24"/>
        </w:rPr>
        <w:t>rcial and industrial contracts.  The Order unjustly and unreasonably determined that such provisions are misleading, deceptive, or unconscionable.</w:t>
      </w:r>
    </w:p>
    <w:p w14:paraId="5704EC8F" w14:textId="4BD0560C" w:rsidR="00F44532" w:rsidRPr="00F44532" w:rsidRDefault="00192B2D" w:rsidP="00A16B2C">
      <w:pPr>
        <w:pStyle w:val="ListParagraph"/>
        <w:numPr>
          <w:ilvl w:val="0"/>
          <w:numId w:val="12"/>
        </w:numPr>
        <w:jc w:val="both"/>
        <w:rPr>
          <w:rFonts w:ascii="Arial" w:hAnsi="Arial" w:cs="Arial"/>
          <w:sz w:val="24"/>
          <w:szCs w:val="24"/>
        </w:rPr>
      </w:pPr>
      <w:r>
        <w:rPr>
          <w:rFonts w:ascii="Arial" w:hAnsi="Arial" w:cs="Arial"/>
          <w:sz w:val="24"/>
          <w:szCs w:val="24"/>
        </w:rPr>
        <w:lastRenderedPageBreak/>
        <w:t>The Order’s</w:t>
      </w:r>
      <w:r w:rsidR="00F44532" w:rsidRPr="00F44532">
        <w:rPr>
          <w:rFonts w:ascii="Arial" w:hAnsi="Arial" w:cs="Arial"/>
          <w:sz w:val="24"/>
          <w:szCs w:val="24"/>
        </w:rPr>
        <w:t xml:space="preserve"> proposed definition of “fixed-price”</w:t>
      </w:r>
      <w:r>
        <w:rPr>
          <w:rFonts w:ascii="Arial" w:hAnsi="Arial" w:cs="Arial"/>
          <w:sz w:val="24"/>
          <w:szCs w:val="24"/>
        </w:rPr>
        <w:t xml:space="preserve"> is unjust and unreasonable.  The Order wou</w:t>
      </w:r>
      <w:r w:rsidR="001F4126">
        <w:rPr>
          <w:rFonts w:ascii="Arial" w:hAnsi="Arial" w:cs="Arial"/>
          <w:sz w:val="24"/>
          <w:szCs w:val="24"/>
        </w:rPr>
        <w:t>ld require fixed-price contract</w:t>
      </w:r>
      <w:r>
        <w:rPr>
          <w:rFonts w:ascii="Arial" w:hAnsi="Arial" w:cs="Arial"/>
          <w:sz w:val="24"/>
          <w:szCs w:val="24"/>
        </w:rPr>
        <w:t xml:space="preserve"> price</w:t>
      </w:r>
      <w:r w:rsidR="00164D57">
        <w:rPr>
          <w:rFonts w:ascii="Arial" w:hAnsi="Arial" w:cs="Arial"/>
          <w:sz w:val="24"/>
          <w:szCs w:val="24"/>
        </w:rPr>
        <w:t>s</w:t>
      </w:r>
      <w:r>
        <w:rPr>
          <w:rFonts w:ascii="Arial" w:hAnsi="Arial" w:cs="Arial"/>
          <w:sz w:val="24"/>
          <w:szCs w:val="24"/>
        </w:rPr>
        <w:t xml:space="preserve"> to be provided only</w:t>
      </w:r>
      <w:r w:rsidR="00C94252">
        <w:rPr>
          <w:rFonts w:ascii="Arial" w:hAnsi="Arial" w:cs="Arial"/>
          <w:sz w:val="24"/>
          <w:szCs w:val="24"/>
        </w:rPr>
        <w:t xml:space="preserve"> on</w:t>
      </w:r>
      <w:r>
        <w:rPr>
          <w:rFonts w:ascii="Arial" w:hAnsi="Arial" w:cs="Arial"/>
          <w:sz w:val="24"/>
          <w:szCs w:val="24"/>
        </w:rPr>
        <w:t xml:space="preserve"> a kilowatt hour basis for all customers.</w:t>
      </w:r>
      <w:r w:rsidR="00C94252">
        <w:rPr>
          <w:rFonts w:ascii="Arial" w:hAnsi="Arial" w:cs="Arial"/>
          <w:sz w:val="24"/>
          <w:szCs w:val="24"/>
        </w:rPr>
        <w:t xml:space="preserve"> Suppliers </w:t>
      </w:r>
      <w:r w:rsidR="00F44532">
        <w:rPr>
          <w:rFonts w:ascii="Arial" w:hAnsi="Arial" w:cs="Arial"/>
          <w:sz w:val="24"/>
          <w:szCs w:val="24"/>
        </w:rPr>
        <w:t>provide commercial and industrial customers prices that contain several c</w:t>
      </w:r>
      <w:r>
        <w:rPr>
          <w:rFonts w:ascii="Arial" w:hAnsi="Arial" w:cs="Arial"/>
          <w:sz w:val="24"/>
          <w:szCs w:val="24"/>
        </w:rPr>
        <w:t>omponents that cannot be specified in</w:t>
      </w:r>
      <w:r w:rsidR="00F44532">
        <w:rPr>
          <w:rFonts w:ascii="Arial" w:hAnsi="Arial" w:cs="Arial"/>
          <w:sz w:val="24"/>
          <w:szCs w:val="24"/>
        </w:rPr>
        <w:t xml:space="preserve"> a kilowatt hour price.</w:t>
      </w:r>
    </w:p>
    <w:p w14:paraId="72F41B76" w14:textId="20602C13" w:rsidR="00FE7265" w:rsidRDefault="004E24ED" w:rsidP="00A16B2C">
      <w:pPr>
        <w:pStyle w:val="ListParagraph"/>
        <w:numPr>
          <w:ilvl w:val="0"/>
          <w:numId w:val="12"/>
        </w:numPr>
        <w:jc w:val="both"/>
        <w:rPr>
          <w:rFonts w:ascii="Arial" w:hAnsi="Arial" w:cs="Arial"/>
          <w:sz w:val="24"/>
          <w:szCs w:val="24"/>
        </w:rPr>
      </w:pPr>
      <w:r w:rsidRPr="00F44532">
        <w:rPr>
          <w:rFonts w:ascii="Arial" w:hAnsi="Arial" w:cs="Arial"/>
          <w:sz w:val="24"/>
          <w:szCs w:val="24"/>
        </w:rPr>
        <w:t>The Order is unlawful and unreasonable inasmuch as t</w:t>
      </w:r>
      <w:r w:rsidR="00FE7265" w:rsidRPr="00F44532">
        <w:rPr>
          <w:rFonts w:ascii="Arial" w:hAnsi="Arial" w:cs="Arial"/>
          <w:sz w:val="24"/>
          <w:szCs w:val="24"/>
        </w:rPr>
        <w:t>he de</w:t>
      </w:r>
      <w:r w:rsidR="00C94252">
        <w:rPr>
          <w:rFonts w:ascii="Arial" w:hAnsi="Arial" w:cs="Arial"/>
          <w:sz w:val="24"/>
          <w:szCs w:val="24"/>
        </w:rPr>
        <w:t xml:space="preserve">termination that suppliers </w:t>
      </w:r>
      <w:r w:rsidR="00FE7265" w:rsidRPr="00F44532">
        <w:rPr>
          <w:rFonts w:ascii="Arial" w:hAnsi="Arial" w:cs="Arial"/>
          <w:sz w:val="24"/>
          <w:szCs w:val="24"/>
        </w:rPr>
        <w:t xml:space="preserve">may </w:t>
      </w:r>
      <w:r w:rsidR="00A10456" w:rsidRPr="00F44532">
        <w:rPr>
          <w:rFonts w:ascii="Arial" w:hAnsi="Arial" w:cs="Arial"/>
          <w:sz w:val="24"/>
          <w:szCs w:val="24"/>
        </w:rPr>
        <w:t xml:space="preserve">not </w:t>
      </w:r>
      <w:r w:rsidR="00FE7265" w:rsidRPr="00F44532">
        <w:rPr>
          <w:rFonts w:ascii="Arial" w:hAnsi="Arial" w:cs="Arial"/>
          <w:sz w:val="24"/>
          <w:szCs w:val="24"/>
        </w:rPr>
        <w:t>in</w:t>
      </w:r>
      <w:r w:rsidR="00A10456" w:rsidRPr="00F44532">
        <w:rPr>
          <w:rFonts w:ascii="Arial" w:hAnsi="Arial" w:cs="Arial"/>
          <w:sz w:val="24"/>
          <w:szCs w:val="24"/>
        </w:rPr>
        <w:t>voke change in law provisions in fixed-price contracts without obtaining affirmative customer con</w:t>
      </w:r>
      <w:r w:rsidRPr="00F44532">
        <w:rPr>
          <w:rFonts w:ascii="Arial" w:hAnsi="Arial" w:cs="Arial"/>
          <w:sz w:val="24"/>
          <w:szCs w:val="24"/>
        </w:rPr>
        <w:t>sent is arbitrary, unfair, and unworkable</w:t>
      </w:r>
      <w:r w:rsidR="00A10456" w:rsidRPr="00F44532">
        <w:rPr>
          <w:rFonts w:ascii="Arial" w:hAnsi="Arial" w:cs="Arial"/>
          <w:sz w:val="24"/>
          <w:szCs w:val="24"/>
        </w:rPr>
        <w:t xml:space="preserve">.  </w:t>
      </w:r>
    </w:p>
    <w:p w14:paraId="0C78D62C" w14:textId="33A3F11E" w:rsidR="006813C9" w:rsidRDefault="006813C9" w:rsidP="00A16B2C">
      <w:pPr>
        <w:pStyle w:val="ListParagraph"/>
        <w:numPr>
          <w:ilvl w:val="0"/>
          <w:numId w:val="12"/>
        </w:numPr>
        <w:jc w:val="both"/>
        <w:rPr>
          <w:rFonts w:ascii="Arial" w:hAnsi="Arial" w:cs="Arial"/>
          <w:sz w:val="24"/>
          <w:szCs w:val="24"/>
        </w:rPr>
      </w:pPr>
      <w:r w:rsidRPr="006813C9">
        <w:rPr>
          <w:rFonts w:ascii="Arial" w:hAnsi="Arial" w:cs="Arial"/>
          <w:sz w:val="24"/>
          <w:szCs w:val="24"/>
        </w:rPr>
        <w:t>To the extent that the Order is intended to apply to contracts entered into prior</w:t>
      </w:r>
      <w:r w:rsidR="001D1844">
        <w:rPr>
          <w:rFonts w:ascii="Arial" w:hAnsi="Arial" w:cs="Arial"/>
          <w:sz w:val="24"/>
          <w:szCs w:val="24"/>
        </w:rPr>
        <w:t xml:space="preserve"> to the date of the Order, it violates the Ohio Constitution’s prohibition against retroactive application of laws and thus</w:t>
      </w:r>
      <w:r w:rsidRPr="006813C9">
        <w:rPr>
          <w:rFonts w:ascii="Arial" w:hAnsi="Arial" w:cs="Arial"/>
          <w:sz w:val="24"/>
          <w:szCs w:val="24"/>
        </w:rPr>
        <w:t xml:space="preserve"> u</w:t>
      </w:r>
      <w:r w:rsidR="001D1844">
        <w:rPr>
          <w:rFonts w:ascii="Arial" w:hAnsi="Arial" w:cs="Arial"/>
          <w:sz w:val="24"/>
          <w:szCs w:val="24"/>
        </w:rPr>
        <w:t xml:space="preserve">nlawful and unreasonable. Because the Order was issued </w:t>
      </w:r>
      <w:r w:rsidRPr="006813C9">
        <w:rPr>
          <w:rFonts w:ascii="Arial" w:hAnsi="Arial" w:cs="Arial"/>
          <w:sz w:val="24"/>
          <w:szCs w:val="24"/>
        </w:rPr>
        <w:t xml:space="preserve">over a year </w:t>
      </w:r>
      <w:r w:rsidR="001D1844">
        <w:rPr>
          <w:rFonts w:ascii="Arial" w:hAnsi="Arial" w:cs="Arial"/>
          <w:sz w:val="24"/>
          <w:szCs w:val="24"/>
        </w:rPr>
        <w:t xml:space="preserve">and a half after this proceeding was opened, </w:t>
      </w:r>
      <w:r w:rsidR="00164D57">
        <w:rPr>
          <w:rFonts w:ascii="Arial" w:hAnsi="Arial" w:cs="Arial"/>
          <w:sz w:val="24"/>
          <w:szCs w:val="24"/>
        </w:rPr>
        <w:t>t</w:t>
      </w:r>
      <w:r w:rsidR="00164D57" w:rsidRPr="001D1844">
        <w:rPr>
          <w:rFonts w:ascii="Arial" w:hAnsi="Arial" w:cs="Arial"/>
          <w:sz w:val="24"/>
          <w:szCs w:val="24"/>
        </w:rPr>
        <w:t xml:space="preserve">he </w:t>
      </w:r>
      <w:r w:rsidR="001D1844" w:rsidRPr="001D1844">
        <w:rPr>
          <w:rFonts w:ascii="Arial" w:hAnsi="Arial" w:cs="Arial"/>
          <w:sz w:val="24"/>
          <w:szCs w:val="24"/>
        </w:rPr>
        <w:t>Order is also arbitrary, unjust, and capricious</w:t>
      </w:r>
      <w:r w:rsidR="001D1844">
        <w:rPr>
          <w:rFonts w:ascii="Arial" w:hAnsi="Arial" w:cs="Arial"/>
          <w:sz w:val="24"/>
          <w:szCs w:val="24"/>
        </w:rPr>
        <w:t>.</w:t>
      </w:r>
    </w:p>
    <w:p w14:paraId="22416AA5" w14:textId="0FE3ADE9" w:rsidR="001F4126" w:rsidRPr="001F4126" w:rsidRDefault="001F4126" w:rsidP="00A16B2C">
      <w:pPr>
        <w:pStyle w:val="ListParagraph"/>
        <w:numPr>
          <w:ilvl w:val="0"/>
          <w:numId w:val="12"/>
        </w:numPr>
        <w:rPr>
          <w:rFonts w:ascii="Arial" w:hAnsi="Arial" w:cs="Arial"/>
          <w:sz w:val="24"/>
          <w:szCs w:val="24"/>
        </w:rPr>
      </w:pPr>
      <w:r w:rsidRPr="001F4126">
        <w:rPr>
          <w:rFonts w:ascii="Arial" w:hAnsi="Arial" w:cs="Arial"/>
          <w:sz w:val="24"/>
          <w:szCs w:val="24"/>
        </w:rPr>
        <w:t>The Order is unlawful and unreasonable to the extent it did not grant IGS’s Motion to Intervene</w:t>
      </w:r>
    </w:p>
    <w:p w14:paraId="19CE8531" w14:textId="3365CAB0" w:rsidR="00FE7265" w:rsidRPr="00F44532" w:rsidRDefault="00FE7265" w:rsidP="002103E7">
      <w:pPr>
        <w:spacing w:line="480" w:lineRule="auto"/>
        <w:jc w:val="both"/>
        <w:rPr>
          <w:rFonts w:ascii="Arial" w:hAnsi="Arial" w:cs="Arial"/>
          <w:sz w:val="24"/>
          <w:szCs w:val="24"/>
        </w:rPr>
      </w:pPr>
      <w:r w:rsidRPr="00F44532">
        <w:rPr>
          <w:rFonts w:ascii="Arial" w:hAnsi="Arial" w:cs="Arial"/>
          <w:sz w:val="24"/>
          <w:szCs w:val="24"/>
        </w:rPr>
        <w:t xml:space="preserve">The </w:t>
      </w:r>
      <w:r w:rsidR="00164D57">
        <w:rPr>
          <w:rFonts w:ascii="Arial" w:hAnsi="Arial" w:cs="Arial"/>
          <w:sz w:val="24"/>
          <w:szCs w:val="24"/>
        </w:rPr>
        <w:t>r</w:t>
      </w:r>
      <w:r w:rsidR="00164D57" w:rsidRPr="00F44532">
        <w:rPr>
          <w:rFonts w:ascii="Arial" w:hAnsi="Arial" w:cs="Arial"/>
          <w:sz w:val="24"/>
          <w:szCs w:val="24"/>
        </w:rPr>
        <w:t xml:space="preserve">easons </w:t>
      </w:r>
      <w:r w:rsidRPr="00F44532">
        <w:rPr>
          <w:rFonts w:ascii="Arial" w:hAnsi="Arial" w:cs="Arial"/>
          <w:sz w:val="24"/>
          <w:szCs w:val="24"/>
        </w:rPr>
        <w:t>for this application for rehearing are stated further in the a</w:t>
      </w:r>
      <w:r w:rsidR="00192B2D">
        <w:rPr>
          <w:rFonts w:ascii="Arial" w:hAnsi="Arial" w:cs="Arial"/>
          <w:sz w:val="24"/>
          <w:szCs w:val="24"/>
        </w:rPr>
        <w:t xml:space="preserve">ttached memorandum in support.   IGS respectfully requests that the Commission grant this application for rehearing and correct the errors identified herein. </w:t>
      </w:r>
    </w:p>
    <w:p w14:paraId="22D85E14" w14:textId="77777777" w:rsidR="00FE7265" w:rsidRPr="00F44532" w:rsidRDefault="00FE7265" w:rsidP="00FE7265">
      <w:pPr>
        <w:rPr>
          <w:rFonts w:ascii="Arial" w:hAnsi="Arial" w:cs="Arial"/>
          <w:sz w:val="24"/>
          <w:szCs w:val="24"/>
        </w:rPr>
      </w:pPr>
    </w:p>
    <w:p w14:paraId="619DDE5C" w14:textId="77777777" w:rsidR="00FE7265" w:rsidRPr="005C3FAC" w:rsidRDefault="00FE7265" w:rsidP="00FE7265">
      <w:pPr>
        <w:rPr>
          <w:rFonts w:ascii="Arial" w:hAnsi="Arial" w:cs="Arial"/>
          <w:sz w:val="24"/>
          <w:szCs w:val="24"/>
        </w:rPr>
      </w:pPr>
      <w:r w:rsidRPr="00F44532">
        <w:rPr>
          <w:rFonts w:ascii="Arial" w:hAnsi="Arial" w:cs="Arial"/>
          <w:sz w:val="24"/>
          <w:szCs w:val="24"/>
        </w:rPr>
        <w:tab/>
      </w:r>
      <w:r w:rsidRPr="00F44532">
        <w:rPr>
          <w:rFonts w:ascii="Arial" w:hAnsi="Arial" w:cs="Arial"/>
          <w:sz w:val="24"/>
          <w:szCs w:val="24"/>
        </w:rPr>
        <w:tab/>
      </w:r>
      <w:r w:rsidRPr="00F44532">
        <w:rPr>
          <w:rFonts w:ascii="Arial" w:hAnsi="Arial" w:cs="Arial"/>
          <w:sz w:val="24"/>
          <w:szCs w:val="24"/>
        </w:rPr>
        <w:tab/>
      </w:r>
      <w:r w:rsidRPr="00F44532">
        <w:rPr>
          <w:rFonts w:ascii="Arial" w:hAnsi="Arial" w:cs="Arial"/>
          <w:sz w:val="24"/>
          <w:szCs w:val="24"/>
        </w:rPr>
        <w:tab/>
      </w:r>
      <w:r w:rsidRPr="00F44532">
        <w:rPr>
          <w:rFonts w:ascii="Arial" w:hAnsi="Arial" w:cs="Arial"/>
          <w:sz w:val="24"/>
          <w:szCs w:val="24"/>
        </w:rPr>
        <w:tab/>
      </w:r>
      <w:r w:rsidRPr="00F44532">
        <w:rPr>
          <w:rFonts w:ascii="Arial" w:hAnsi="Arial" w:cs="Arial"/>
          <w:sz w:val="24"/>
          <w:szCs w:val="24"/>
        </w:rPr>
        <w:tab/>
      </w:r>
      <w:r w:rsidRPr="00F44532">
        <w:rPr>
          <w:rFonts w:ascii="Arial" w:hAnsi="Arial" w:cs="Arial"/>
          <w:sz w:val="24"/>
          <w:szCs w:val="24"/>
        </w:rPr>
        <w:tab/>
      </w:r>
      <w:r w:rsidRPr="005C3FAC">
        <w:rPr>
          <w:rFonts w:ascii="Arial" w:hAnsi="Arial" w:cs="Arial"/>
          <w:sz w:val="24"/>
          <w:szCs w:val="24"/>
        </w:rPr>
        <w:tab/>
        <w:t>Respectfully submitted,</w:t>
      </w:r>
    </w:p>
    <w:p w14:paraId="00685900" w14:textId="77777777" w:rsidR="005C3FAC" w:rsidRPr="005C3FAC" w:rsidRDefault="005C3FAC" w:rsidP="005C3FAC">
      <w:pPr>
        <w:spacing w:after="0" w:line="240" w:lineRule="auto"/>
        <w:ind w:left="5040"/>
        <w:rPr>
          <w:rFonts w:ascii="Arial" w:hAnsi="Arial" w:cs="Arial"/>
          <w:sz w:val="24"/>
          <w:szCs w:val="24"/>
        </w:rPr>
      </w:pPr>
      <w:r w:rsidRPr="005C3FAC">
        <w:rPr>
          <w:rFonts w:ascii="Arial" w:hAnsi="Arial" w:cs="Arial"/>
          <w:sz w:val="24"/>
          <w:szCs w:val="24"/>
        </w:rPr>
        <w:tab/>
      </w:r>
    </w:p>
    <w:p w14:paraId="3E2B05DB" w14:textId="77777777" w:rsidR="005C3FAC" w:rsidRPr="005C3FAC" w:rsidRDefault="005C3FAC" w:rsidP="005C3FAC">
      <w:pPr>
        <w:spacing w:after="0" w:line="240" w:lineRule="auto"/>
        <w:ind w:left="5040"/>
        <w:rPr>
          <w:rFonts w:ascii="Arial" w:hAnsi="Arial" w:cs="Arial"/>
          <w:sz w:val="24"/>
          <w:szCs w:val="24"/>
        </w:rPr>
      </w:pPr>
      <w:r w:rsidRPr="005C3FAC">
        <w:rPr>
          <w:rFonts w:ascii="Arial" w:hAnsi="Arial" w:cs="Arial"/>
          <w:sz w:val="24"/>
          <w:szCs w:val="24"/>
        </w:rPr>
        <w:tab/>
      </w:r>
      <w:r w:rsidRPr="005C3FAC">
        <w:rPr>
          <w:rFonts w:ascii="Arial" w:hAnsi="Arial" w:cs="Arial"/>
          <w:sz w:val="24"/>
          <w:szCs w:val="24"/>
          <w:u w:val="single"/>
        </w:rPr>
        <w:t>/s/</w:t>
      </w:r>
      <w:r>
        <w:rPr>
          <w:rFonts w:ascii="Arial" w:hAnsi="Arial" w:cs="Arial"/>
          <w:sz w:val="24"/>
          <w:szCs w:val="24"/>
          <w:u w:val="single"/>
        </w:rPr>
        <w:t xml:space="preserve"> </w:t>
      </w:r>
      <w:r w:rsidRPr="005C3FAC">
        <w:rPr>
          <w:rFonts w:ascii="Arial" w:hAnsi="Arial" w:cs="Arial"/>
          <w:sz w:val="24"/>
          <w:szCs w:val="24"/>
          <w:u w:val="single"/>
        </w:rPr>
        <w:t>Joseph Oliker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C3FAC">
        <w:rPr>
          <w:rFonts w:ascii="Arial" w:hAnsi="Arial" w:cs="Arial"/>
          <w:sz w:val="24"/>
          <w:szCs w:val="24"/>
        </w:rPr>
        <w:t>Joseph Oliker (0086088)</w:t>
      </w:r>
    </w:p>
    <w:p w14:paraId="138C6686" w14:textId="77777777" w:rsidR="005C3FAC" w:rsidRPr="005C3FAC" w:rsidRDefault="005C3FAC" w:rsidP="005C3FAC">
      <w:pPr>
        <w:spacing w:after="0" w:line="240" w:lineRule="auto"/>
        <w:ind w:left="5760"/>
        <w:rPr>
          <w:rFonts w:ascii="Arial" w:hAnsi="Arial" w:cs="Arial"/>
          <w:sz w:val="24"/>
          <w:szCs w:val="24"/>
        </w:rPr>
      </w:pPr>
      <w:r w:rsidRPr="005C3FAC">
        <w:rPr>
          <w:rFonts w:ascii="Arial" w:hAnsi="Arial" w:cs="Arial"/>
          <w:sz w:val="24"/>
          <w:szCs w:val="24"/>
        </w:rPr>
        <w:t xml:space="preserve">Email: </w:t>
      </w:r>
      <w:hyperlink r:id="rId10" w:history="1">
        <w:r w:rsidRPr="005C3FAC">
          <w:rPr>
            <w:rStyle w:val="Hyperlink"/>
            <w:rFonts w:ascii="Arial" w:hAnsi="Arial" w:cs="Arial"/>
            <w:color w:val="auto"/>
            <w:sz w:val="24"/>
            <w:szCs w:val="24"/>
            <w:u w:val="none"/>
          </w:rPr>
          <w:t>joliker@igsenergy.com</w:t>
        </w:r>
      </w:hyperlink>
    </w:p>
    <w:p w14:paraId="0C45DAE1" w14:textId="77777777" w:rsidR="005C3FAC" w:rsidRPr="005C3FAC" w:rsidRDefault="005C3FAC" w:rsidP="005C3FAC">
      <w:pPr>
        <w:spacing w:after="0" w:line="240" w:lineRule="auto"/>
        <w:ind w:left="5040" w:firstLine="720"/>
        <w:rPr>
          <w:rFonts w:ascii="Arial" w:hAnsi="Arial" w:cs="Arial"/>
          <w:sz w:val="24"/>
          <w:szCs w:val="24"/>
        </w:rPr>
      </w:pPr>
      <w:r w:rsidRPr="005C3FAC">
        <w:rPr>
          <w:rFonts w:ascii="Arial" w:hAnsi="Arial" w:cs="Arial"/>
          <w:sz w:val="24"/>
          <w:szCs w:val="24"/>
        </w:rPr>
        <w:t>Counsel of Record</w:t>
      </w:r>
    </w:p>
    <w:p w14:paraId="6EEAA60E" w14:textId="77777777" w:rsidR="005C3FAC" w:rsidRPr="005C3FAC" w:rsidRDefault="005C3FAC" w:rsidP="005C3FAC">
      <w:pPr>
        <w:spacing w:after="0" w:line="240" w:lineRule="auto"/>
        <w:ind w:left="5040" w:firstLine="720"/>
        <w:rPr>
          <w:rFonts w:ascii="Arial" w:hAnsi="Arial" w:cs="Arial"/>
          <w:sz w:val="24"/>
          <w:szCs w:val="24"/>
        </w:rPr>
      </w:pPr>
      <w:r w:rsidRPr="005C3FAC">
        <w:rPr>
          <w:rFonts w:ascii="Arial" w:hAnsi="Arial" w:cs="Arial"/>
          <w:sz w:val="24"/>
          <w:szCs w:val="24"/>
        </w:rPr>
        <w:t>Matthew White (0082859)</w:t>
      </w:r>
    </w:p>
    <w:p w14:paraId="3AF14964" w14:textId="77777777" w:rsidR="005C3FAC" w:rsidRPr="005C3FAC" w:rsidRDefault="005C3FAC" w:rsidP="005C3FAC">
      <w:pPr>
        <w:spacing w:after="0" w:line="240" w:lineRule="auto"/>
        <w:ind w:left="5040" w:firstLine="720"/>
        <w:rPr>
          <w:rFonts w:ascii="Arial" w:hAnsi="Arial" w:cs="Arial"/>
          <w:sz w:val="24"/>
          <w:szCs w:val="24"/>
        </w:rPr>
      </w:pPr>
      <w:r w:rsidRPr="005C3FAC">
        <w:rPr>
          <w:rFonts w:ascii="Arial" w:hAnsi="Arial" w:cs="Arial"/>
          <w:sz w:val="24"/>
          <w:szCs w:val="24"/>
        </w:rPr>
        <w:t>Counsel of Record</w:t>
      </w:r>
    </w:p>
    <w:p w14:paraId="55996728" w14:textId="77777777" w:rsidR="005C3FAC" w:rsidRPr="005C3FAC" w:rsidRDefault="005C3FAC" w:rsidP="005C3FAC">
      <w:pPr>
        <w:spacing w:after="0" w:line="240" w:lineRule="auto"/>
        <w:ind w:left="5040" w:firstLine="720"/>
        <w:rPr>
          <w:rFonts w:ascii="Arial" w:hAnsi="Arial" w:cs="Arial"/>
          <w:sz w:val="24"/>
          <w:szCs w:val="24"/>
        </w:rPr>
      </w:pPr>
      <w:r w:rsidRPr="005C3FAC">
        <w:rPr>
          <w:rFonts w:ascii="Arial" w:hAnsi="Arial" w:cs="Arial"/>
          <w:sz w:val="24"/>
          <w:szCs w:val="24"/>
        </w:rPr>
        <w:t>Email: mswhite@igsenergy.com</w:t>
      </w:r>
    </w:p>
    <w:p w14:paraId="79173D99" w14:textId="77777777" w:rsidR="005C3FAC" w:rsidRPr="005C3FAC" w:rsidRDefault="005C3FAC" w:rsidP="005C3FAC">
      <w:pPr>
        <w:spacing w:after="0" w:line="240" w:lineRule="auto"/>
        <w:ind w:left="5040" w:firstLine="720"/>
        <w:rPr>
          <w:rFonts w:ascii="Arial" w:hAnsi="Arial" w:cs="Arial"/>
          <w:sz w:val="24"/>
          <w:szCs w:val="24"/>
        </w:rPr>
      </w:pPr>
      <w:r w:rsidRPr="005C3FAC">
        <w:rPr>
          <w:rFonts w:ascii="Arial" w:hAnsi="Arial" w:cs="Arial"/>
          <w:sz w:val="24"/>
          <w:szCs w:val="24"/>
        </w:rPr>
        <w:t>IGS Energy</w:t>
      </w:r>
    </w:p>
    <w:p w14:paraId="0BA30F25" w14:textId="77777777" w:rsidR="005C3FAC" w:rsidRPr="005C3FAC" w:rsidRDefault="005C3FAC" w:rsidP="005C3FAC">
      <w:pPr>
        <w:spacing w:after="0" w:line="240" w:lineRule="auto"/>
        <w:ind w:left="5040" w:firstLine="720"/>
        <w:rPr>
          <w:rFonts w:ascii="Arial" w:hAnsi="Arial" w:cs="Arial"/>
          <w:sz w:val="24"/>
          <w:szCs w:val="24"/>
        </w:rPr>
      </w:pPr>
      <w:r w:rsidRPr="005C3FAC">
        <w:rPr>
          <w:rFonts w:ascii="Arial" w:hAnsi="Arial" w:cs="Arial"/>
          <w:sz w:val="24"/>
          <w:szCs w:val="24"/>
        </w:rPr>
        <w:t>6100 Emerald Parkway</w:t>
      </w:r>
    </w:p>
    <w:p w14:paraId="0988BBF6" w14:textId="77777777" w:rsidR="005C3FAC" w:rsidRPr="005C3FAC" w:rsidRDefault="005C3FAC" w:rsidP="005C3FAC">
      <w:pPr>
        <w:spacing w:after="0" w:line="240" w:lineRule="auto"/>
        <w:ind w:left="5040" w:firstLine="720"/>
        <w:rPr>
          <w:rFonts w:ascii="Arial" w:hAnsi="Arial" w:cs="Arial"/>
          <w:sz w:val="24"/>
          <w:szCs w:val="24"/>
        </w:rPr>
      </w:pPr>
      <w:r w:rsidRPr="005C3FAC">
        <w:rPr>
          <w:rFonts w:ascii="Arial" w:hAnsi="Arial" w:cs="Arial"/>
          <w:sz w:val="24"/>
          <w:szCs w:val="24"/>
        </w:rPr>
        <w:t>Dublin, Ohio 43016</w:t>
      </w:r>
    </w:p>
    <w:p w14:paraId="5D9F84B6" w14:textId="77777777" w:rsidR="005C3FAC" w:rsidRPr="005C3FAC" w:rsidRDefault="005C3FAC" w:rsidP="005C3FAC">
      <w:pPr>
        <w:spacing w:after="0" w:line="240" w:lineRule="auto"/>
        <w:ind w:left="5040" w:firstLine="720"/>
        <w:rPr>
          <w:rFonts w:ascii="Arial" w:hAnsi="Arial" w:cs="Arial"/>
          <w:sz w:val="24"/>
          <w:szCs w:val="24"/>
        </w:rPr>
      </w:pPr>
      <w:r w:rsidRPr="005C3FAC">
        <w:rPr>
          <w:rFonts w:ascii="Arial" w:hAnsi="Arial" w:cs="Arial"/>
          <w:sz w:val="24"/>
          <w:szCs w:val="24"/>
        </w:rPr>
        <w:t>Telephone:</w:t>
      </w:r>
      <w:r w:rsidRPr="005C3FAC">
        <w:rPr>
          <w:rFonts w:ascii="Arial" w:hAnsi="Arial" w:cs="Arial"/>
          <w:sz w:val="24"/>
          <w:szCs w:val="24"/>
        </w:rPr>
        <w:tab/>
        <w:t>(614) 659-5000</w:t>
      </w:r>
    </w:p>
    <w:p w14:paraId="4BB32ABC" w14:textId="77777777" w:rsidR="005C3FAC" w:rsidRPr="005C3FAC" w:rsidRDefault="005C3FAC" w:rsidP="005C3FAC">
      <w:pPr>
        <w:spacing w:after="0" w:line="240" w:lineRule="auto"/>
        <w:ind w:left="5040" w:firstLine="720"/>
        <w:rPr>
          <w:rFonts w:ascii="Arial" w:hAnsi="Arial" w:cs="Arial"/>
          <w:sz w:val="24"/>
          <w:szCs w:val="24"/>
        </w:rPr>
      </w:pPr>
      <w:r w:rsidRPr="005C3FAC">
        <w:rPr>
          <w:rFonts w:ascii="Arial" w:hAnsi="Arial" w:cs="Arial"/>
          <w:sz w:val="24"/>
          <w:szCs w:val="24"/>
        </w:rPr>
        <w:t>Facsimile:</w:t>
      </w:r>
      <w:r w:rsidRPr="005C3FAC">
        <w:rPr>
          <w:rFonts w:ascii="Arial" w:hAnsi="Arial" w:cs="Arial"/>
          <w:sz w:val="24"/>
          <w:szCs w:val="24"/>
        </w:rPr>
        <w:tab/>
        <w:t>(614) 659-5073</w:t>
      </w:r>
    </w:p>
    <w:p w14:paraId="337B485D" w14:textId="77777777" w:rsidR="005C3FAC" w:rsidRPr="005C3FAC" w:rsidRDefault="005C3FAC" w:rsidP="005C3FAC">
      <w:pPr>
        <w:spacing w:after="0" w:line="240" w:lineRule="auto"/>
        <w:ind w:left="5040"/>
        <w:rPr>
          <w:rFonts w:ascii="Arial" w:hAnsi="Arial" w:cs="Arial"/>
          <w:sz w:val="24"/>
          <w:szCs w:val="24"/>
        </w:rPr>
      </w:pPr>
    </w:p>
    <w:p w14:paraId="1B93D800" w14:textId="77777777" w:rsidR="005C3FAC" w:rsidRPr="005C3FAC" w:rsidRDefault="005C3FAC" w:rsidP="005C3FAC">
      <w:pPr>
        <w:spacing w:after="0" w:line="240" w:lineRule="auto"/>
        <w:ind w:left="5040" w:firstLine="720"/>
        <w:rPr>
          <w:rFonts w:ascii="Arial" w:hAnsi="Arial" w:cs="Arial"/>
          <w:b/>
          <w:i/>
          <w:sz w:val="24"/>
          <w:szCs w:val="24"/>
        </w:rPr>
      </w:pPr>
      <w:r w:rsidRPr="005C3FAC">
        <w:rPr>
          <w:rFonts w:ascii="Arial" w:hAnsi="Arial" w:cs="Arial"/>
          <w:b/>
          <w:i/>
          <w:sz w:val="24"/>
          <w:szCs w:val="24"/>
        </w:rPr>
        <w:t>Attorneys for IGS Energy</w:t>
      </w:r>
    </w:p>
    <w:p w14:paraId="6DB25BD4" w14:textId="77777777" w:rsidR="00192B2D" w:rsidRDefault="00192B2D" w:rsidP="00FE7265">
      <w:pPr>
        <w:rPr>
          <w:rFonts w:ascii="Arial" w:hAnsi="Arial" w:cs="Arial"/>
          <w:sz w:val="24"/>
          <w:szCs w:val="24"/>
        </w:rPr>
      </w:pPr>
    </w:p>
    <w:p w14:paraId="2C938D27" w14:textId="77777777" w:rsidR="001F4126" w:rsidRDefault="001F4126" w:rsidP="00FE7265"/>
    <w:p w14:paraId="6E79BB30" w14:textId="77777777" w:rsidR="005C3FAC" w:rsidRPr="009D71F6" w:rsidRDefault="005C3FAC" w:rsidP="005C3FAC">
      <w:pPr>
        <w:pStyle w:val="Title"/>
        <w:widowControl w:val="0"/>
        <w:rPr>
          <w:rFonts w:ascii="Arial" w:hAnsi="Arial" w:cs="Arial"/>
          <w:szCs w:val="24"/>
        </w:rPr>
      </w:pPr>
      <w:r w:rsidRPr="009D71F6">
        <w:rPr>
          <w:rFonts w:ascii="Arial" w:hAnsi="Arial" w:cs="Arial"/>
          <w:szCs w:val="24"/>
        </w:rPr>
        <w:lastRenderedPageBreak/>
        <w:t>BEFORE</w:t>
      </w:r>
    </w:p>
    <w:p w14:paraId="4F0F2549" w14:textId="77777777" w:rsidR="005C3FAC" w:rsidRPr="009D71F6" w:rsidRDefault="005C3FAC" w:rsidP="005C3FAC">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754"/>
        <w:gridCol w:w="632"/>
        <w:gridCol w:w="3940"/>
      </w:tblGrid>
      <w:tr w:rsidR="005C3FAC" w:rsidRPr="009D71F6" w14:paraId="677FF522" w14:textId="77777777" w:rsidTr="00DD21F3">
        <w:trPr>
          <w:trHeight w:val="1458"/>
          <w:jc w:val="center"/>
        </w:trPr>
        <w:tc>
          <w:tcPr>
            <w:tcW w:w="4754" w:type="dxa"/>
          </w:tcPr>
          <w:p w14:paraId="13163D4F" w14:textId="77777777" w:rsidR="005C3FAC" w:rsidRPr="009D71F6" w:rsidRDefault="005C3FAC" w:rsidP="00DD21F3">
            <w:pPr>
              <w:widowControl w:val="0"/>
              <w:spacing w:after="0" w:line="240" w:lineRule="auto"/>
              <w:jc w:val="both"/>
              <w:rPr>
                <w:rFonts w:ascii="Arial" w:hAnsi="Arial" w:cs="Arial"/>
                <w:sz w:val="24"/>
                <w:szCs w:val="24"/>
              </w:rPr>
            </w:pPr>
            <w:r w:rsidRPr="00D57E21">
              <w:rPr>
                <w:rFonts w:ascii="Arial" w:hAnsi="Arial" w:cs="Arial"/>
                <w:sz w:val="24"/>
                <w:szCs w:val="24"/>
              </w:rPr>
              <w:t>In the Mat</w:t>
            </w:r>
            <w:r>
              <w:rPr>
                <w:rFonts w:ascii="Arial" w:hAnsi="Arial" w:cs="Arial"/>
                <w:sz w:val="24"/>
                <w:szCs w:val="24"/>
              </w:rPr>
              <w:t>ter of the Commission-Ordered Investigation of Marketing Practices in the Competitive Retail Electric Service Market</w:t>
            </w:r>
          </w:p>
        </w:tc>
        <w:tc>
          <w:tcPr>
            <w:tcW w:w="632" w:type="dxa"/>
          </w:tcPr>
          <w:p w14:paraId="573AC6BB" w14:textId="77777777" w:rsidR="005C3FAC" w:rsidRPr="009D71F6" w:rsidRDefault="005C3FAC" w:rsidP="00DD21F3">
            <w:pPr>
              <w:widowControl w:val="0"/>
              <w:spacing w:after="0" w:line="240" w:lineRule="auto"/>
              <w:jc w:val="center"/>
              <w:rPr>
                <w:rFonts w:ascii="Arial" w:hAnsi="Arial" w:cs="Arial"/>
                <w:sz w:val="24"/>
                <w:szCs w:val="24"/>
              </w:rPr>
            </w:pPr>
            <w:r w:rsidRPr="009D71F6">
              <w:rPr>
                <w:rFonts w:ascii="Arial" w:hAnsi="Arial" w:cs="Arial"/>
                <w:sz w:val="24"/>
                <w:szCs w:val="24"/>
              </w:rPr>
              <w:t>)</w:t>
            </w:r>
          </w:p>
          <w:p w14:paraId="04E6D545" w14:textId="77777777" w:rsidR="005C3FAC" w:rsidRPr="009D71F6" w:rsidRDefault="005C3FAC" w:rsidP="00DD21F3">
            <w:pPr>
              <w:widowControl w:val="0"/>
              <w:spacing w:after="0" w:line="240" w:lineRule="auto"/>
              <w:jc w:val="center"/>
              <w:rPr>
                <w:rFonts w:ascii="Arial" w:hAnsi="Arial" w:cs="Arial"/>
                <w:sz w:val="24"/>
                <w:szCs w:val="24"/>
              </w:rPr>
            </w:pPr>
            <w:r w:rsidRPr="009D71F6">
              <w:rPr>
                <w:rFonts w:ascii="Arial" w:hAnsi="Arial" w:cs="Arial"/>
                <w:sz w:val="24"/>
                <w:szCs w:val="24"/>
              </w:rPr>
              <w:t>)</w:t>
            </w:r>
          </w:p>
          <w:p w14:paraId="269069AC" w14:textId="77777777" w:rsidR="005C3FAC" w:rsidRPr="009D71F6" w:rsidRDefault="005C3FAC" w:rsidP="00DD21F3">
            <w:pPr>
              <w:widowControl w:val="0"/>
              <w:spacing w:after="0" w:line="240" w:lineRule="auto"/>
              <w:jc w:val="center"/>
              <w:rPr>
                <w:rFonts w:ascii="Arial" w:hAnsi="Arial" w:cs="Arial"/>
                <w:sz w:val="24"/>
                <w:szCs w:val="24"/>
              </w:rPr>
            </w:pPr>
            <w:r w:rsidRPr="009D71F6">
              <w:rPr>
                <w:rFonts w:ascii="Arial" w:hAnsi="Arial" w:cs="Arial"/>
                <w:sz w:val="24"/>
                <w:szCs w:val="24"/>
              </w:rPr>
              <w:t>)</w:t>
            </w:r>
          </w:p>
          <w:p w14:paraId="0D32A868" w14:textId="77777777" w:rsidR="005C3FAC" w:rsidRPr="009D71F6" w:rsidRDefault="005C3FAC" w:rsidP="00DD21F3">
            <w:pPr>
              <w:widowControl w:val="0"/>
              <w:spacing w:after="0" w:line="240" w:lineRule="auto"/>
              <w:jc w:val="center"/>
              <w:rPr>
                <w:rFonts w:ascii="Arial" w:hAnsi="Arial" w:cs="Arial"/>
                <w:sz w:val="24"/>
                <w:szCs w:val="24"/>
              </w:rPr>
            </w:pPr>
          </w:p>
          <w:p w14:paraId="6B7344BE" w14:textId="77777777" w:rsidR="005C3FAC" w:rsidRPr="009D71F6" w:rsidRDefault="005C3FAC" w:rsidP="00DD21F3">
            <w:pPr>
              <w:widowControl w:val="0"/>
              <w:spacing w:after="0" w:line="240" w:lineRule="auto"/>
              <w:jc w:val="center"/>
              <w:rPr>
                <w:rFonts w:ascii="Arial" w:hAnsi="Arial" w:cs="Arial"/>
                <w:sz w:val="24"/>
                <w:szCs w:val="24"/>
              </w:rPr>
            </w:pPr>
          </w:p>
        </w:tc>
        <w:tc>
          <w:tcPr>
            <w:tcW w:w="3940" w:type="dxa"/>
          </w:tcPr>
          <w:p w14:paraId="4021183F" w14:textId="77777777" w:rsidR="005C3FAC" w:rsidRPr="009D71F6" w:rsidRDefault="005C3FAC" w:rsidP="00DD21F3">
            <w:pPr>
              <w:widowControl w:val="0"/>
              <w:spacing w:after="0" w:line="240" w:lineRule="auto"/>
              <w:rPr>
                <w:rFonts w:ascii="Arial" w:hAnsi="Arial" w:cs="Arial"/>
                <w:sz w:val="24"/>
                <w:szCs w:val="24"/>
              </w:rPr>
            </w:pPr>
          </w:p>
          <w:p w14:paraId="50AC0007" w14:textId="77777777" w:rsidR="005C3FAC" w:rsidRPr="009D71F6" w:rsidRDefault="005C3FAC" w:rsidP="00DD21F3">
            <w:pPr>
              <w:widowControl w:val="0"/>
              <w:spacing w:after="0" w:line="240" w:lineRule="auto"/>
              <w:rPr>
                <w:rFonts w:ascii="Arial" w:hAnsi="Arial" w:cs="Arial"/>
                <w:sz w:val="24"/>
                <w:szCs w:val="24"/>
              </w:rPr>
            </w:pPr>
            <w:r>
              <w:rPr>
                <w:rFonts w:ascii="Arial" w:hAnsi="Arial" w:cs="Arial"/>
                <w:sz w:val="24"/>
                <w:szCs w:val="24"/>
              </w:rPr>
              <w:t>Case No. 14-568-EL-COI</w:t>
            </w:r>
          </w:p>
          <w:p w14:paraId="7189EFE5" w14:textId="77777777" w:rsidR="005C3FAC" w:rsidRPr="009D71F6" w:rsidRDefault="005C3FAC" w:rsidP="00DD21F3">
            <w:pPr>
              <w:widowControl w:val="0"/>
              <w:spacing w:after="0" w:line="240" w:lineRule="auto"/>
              <w:rPr>
                <w:rFonts w:ascii="Arial" w:hAnsi="Arial" w:cs="Arial"/>
                <w:sz w:val="24"/>
                <w:szCs w:val="24"/>
              </w:rPr>
            </w:pPr>
          </w:p>
          <w:p w14:paraId="53C51ED9" w14:textId="77777777" w:rsidR="005C3FAC" w:rsidRDefault="005C3FAC" w:rsidP="00DD21F3">
            <w:pPr>
              <w:widowControl w:val="0"/>
              <w:spacing w:after="0" w:line="240" w:lineRule="auto"/>
              <w:rPr>
                <w:rFonts w:ascii="Arial" w:hAnsi="Arial" w:cs="Arial"/>
                <w:sz w:val="24"/>
                <w:szCs w:val="24"/>
              </w:rPr>
            </w:pPr>
          </w:p>
          <w:p w14:paraId="4C3D5202" w14:textId="77777777" w:rsidR="005C3FAC" w:rsidRPr="009D71F6" w:rsidRDefault="005C3FAC" w:rsidP="00DD21F3">
            <w:pPr>
              <w:widowControl w:val="0"/>
              <w:spacing w:after="0" w:line="240" w:lineRule="auto"/>
              <w:rPr>
                <w:rFonts w:ascii="Arial" w:hAnsi="Arial" w:cs="Arial"/>
                <w:sz w:val="24"/>
                <w:szCs w:val="24"/>
              </w:rPr>
            </w:pPr>
          </w:p>
        </w:tc>
      </w:tr>
    </w:tbl>
    <w:p w14:paraId="32EC1476" w14:textId="77777777" w:rsidR="005C3FAC" w:rsidRPr="009D71F6" w:rsidRDefault="005C3FAC" w:rsidP="005C3FAC">
      <w:pPr>
        <w:widowControl w:val="0"/>
        <w:pBdr>
          <w:bottom w:val="single" w:sz="12" w:space="0" w:color="auto"/>
        </w:pBdr>
        <w:spacing w:after="0" w:line="240" w:lineRule="auto"/>
        <w:rPr>
          <w:rFonts w:ascii="Arial" w:hAnsi="Arial" w:cs="Arial"/>
          <w:sz w:val="24"/>
          <w:szCs w:val="24"/>
        </w:rPr>
      </w:pPr>
    </w:p>
    <w:p w14:paraId="25D9B70E" w14:textId="77777777" w:rsidR="005C3FAC" w:rsidRDefault="005C3FAC" w:rsidP="005C3FAC">
      <w:pPr>
        <w:widowControl w:val="0"/>
        <w:spacing w:after="0" w:line="240" w:lineRule="auto"/>
        <w:jc w:val="center"/>
        <w:rPr>
          <w:rFonts w:ascii="Arial" w:hAnsi="Arial" w:cs="Arial"/>
          <w:b/>
          <w:bCs/>
          <w:sz w:val="24"/>
          <w:szCs w:val="24"/>
        </w:rPr>
      </w:pPr>
    </w:p>
    <w:p w14:paraId="2C5052CD" w14:textId="77777777" w:rsidR="005C3FAC" w:rsidRPr="009D71F6" w:rsidRDefault="005C3FAC" w:rsidP="005C3FAC">
      <w:pPr>
        <w:widowControl w:val="0"/>
        <w:spacing w:after="0" w:line="240" w:lineRule="auto"/>
        <w:jc w:val="center"/>
        <w:rPr>
          <w:rFonts w:ascii="Arial" w:hAnsi="Arial" w:cs="Arial"/>
          <w:b/>
          <w:bCs/>
          <w:sz w:val="24"/>
          <w:szCs w:val="24"/>
        </w:rPr>
      </w:pPr>
      <w:r>
        <w:rPr>
          <w:rFonts w:ascii="Arial" w:hAnsi="Arial" w:cs="Arial"/>
          <w:b/>
          <w:bCs/>
          <w:sz w:val="24"/>
          <w:szCs w:val="24"/>
        </w:rPr>
        <w:t xml:space="preserve">MEMORANDUM IN SUPPORT </w:t>
      </w:r>
      <w:r w:rsidRPr="009D71F6">
        <w:rPr>
          <w:rFonts w:ascii="Arial" w:hAnsi="Arial" w:cs="Arial"/>
          <w:b/>
          <w:bCs/>
          <w:sz w:val="24"/>
          <w:szCs w:val="24"/>
        </w:rPr>
        <w:t xml:space="preserve"> </w:t>
      </w:r>
    </w:p>
    <w:p w14:paraId="20855D96" w14:textId="77777777" w:rsidR="005C3FAC" w:rsidRPr="009D71F6" w:rsidRDefault="005C3FAC" w:rsidP="005C3FAC">
      <w:pPr>
        <w:widowControl w:val="0"/>
        <w:pBdr>
          <w:bottom w:val="single" w:sz="12" w:space="1" w:color="auto"/>
        </w:pBdr>
        <w:tabs>
          <w:tab w:val="left" w:pos="6461"/>
        </w:tabs>
        <w:spacing w:after="0" w:line="240" w:lineRule="auto"/>
        <w:jc w:val="center"/>
        <w:rPr>
          <w:rFonts w:ascii="Arial" w:hAnsi="Arial" w:cs="Arial"/>
          <w:sz w:val="24"/>
          <w:szCs w:val="24"/>
        </w:rPr>
      </w:pPr>
    </w:p>
    <w:p w14:paraId="37641889" w14:textId="77777777" w:rsidR="00FE7265" w:rsidRPr="00A03284" w:rsidRDefault="00FE7265" w:rsidP="00FE7265">
      <w:pPr>
        <w:rPr>
          <w:b/>
        </w:rPr>
      </w:pPr>
    </w:p>
    <w:p w14:paraId="160E1FD5" w14:textId="77777777" w:rsidR="00FE7265" w:rsidRPr="00A03284" w:rsidRDefault="00FE7265" w:rsidP="00552EF1">
      <w:pPr>
        <w:pStyle w:val="ListParagraph"/>
        <w:numPr>
          <w:ilvl w:val="0"/>
          <w:numId w:val="4"/>
        </w:numPr>
        <w:jc w:val="both"/>
        <w:rPr>
          <w:rFonts w:ascii="Arial" w:hAnsi="Arial" w:cs="Arial"/>
          <w:b/>
          <w:sz w:val="24"/>
          <w:szCs w:val="24"/>
        </w:rPr>
      </w:pPr>
      <w:r w:rsidRPr="00A03284">
        <w:rPr>
          <w:rFonts w:ascii="Arial" w:hAnsi="Arial" w:cs="Arial"/>
          <w:b/>
          <w:sz w:val="24"/>
          <w:szCs w:val="24"/>
        </w:rPr>
        <w:t>INTRODUCTION</w:t>
      </w:r>
    </w:p>
    <w:p w14:paraId="36E7DC9C" w14:textId="52AA2EC0" w:rsidR="003049D2" w:rsidRDefault="003049D2" w:rsidP="00150BEC">
      <w:pPr>
        <w:spacing w:line="480" w:lineRule="auto"/>
        <w:jc w:val="both"/>
        <w:rPr>
          <w:rFonts w:ascii="Arial" w:hAnsi="Arial" w:cs="Arial"/>
          <w:sz w:val="24"/>
          <w:szCs w:val="24"/>
        </w:rPr>
      </w:pPr>
      <w:r>
        <w:rPr>
          <w:rFonts w:ascii="Arial" w:hAnsi="Arial" w:cs="Arial"/>
          <w:sz w:val="24"/>
          <w:szCs w:val="24"/>
        </w:rPr>
        <w:tab/>
      </w:r>
      <w:r w:rsidR="006255F3">
        <w:rPr>
          <w:rFonts w:ascii="Arial" w:hAnsi="Arial" w:cs="Arial"/>
          <w:sz w:val="24"/>
          <w:szCs w:val="24"/>
        </w:rPr>
        <w:t>Competitive retail electric service providers convey value to their customers through a diverse range of products and services</w:t>
      </w:r>
      <w:r w:rsidR="00CC6694">
        <w:rPr>
          <w:rFonts w:ascii="Arial" w:hAnsi="Arial" w:cs="Arial"/>
          <w:sz w:val="24"/>
          <w:szCs w:val="24"/>
        </w:rPr>
        <w:t xml:space="preserve">.  One type of product is a fixed-price contract. In these contracts, </w:t>
      </w:r>
      <w:r w:rsidR="00C94252">
        <w:rPr>
          <w:rFonts w:ascii="Arial" w:hAnsi="Arial" w:cs="Arial"/>
          <w:sz w:val="24"/>
          <w:szCs w:val="24"/>
        </w:rPr>
        <w:t>suppliers</w:t>
      </w:r>
      <w:r w:rsidR="000519DE">
        <w:rPr>
          <w:rFonts w:ascii="Arial" w:hAnsi="Arial" w:cs="Arial"/>
          <w:sz w:val="24"/>
          <w:szCs w:val="24"/>
        </w:rPr>
        <w:t xml:space="preserve"> (particularly for large commercial and industrial customers)</w:t>
      </w:r>
      <w:r w:rsidR="006255F3">
        <w:rPr>
          <w:rFonts w:ascii="Arial" w:hAnsi="Arial" w:cs="Arial"/>
          <w:sz w:val="24"/>
          <w:szCs w:val="24"/>
        </w:rPr>
        <w:t xml:space="preserve"> often include</w:t>
      </w:r>
      <w:r w:rsidR="002103E7">
        <w:rPr>
          <w:rFonts w:ascii="Arial" w:hAnsi="Arial" w:cs="Arial"/>
          <w:sz w:val="24"/>
          <w:szCs w:val="24"/>
        </w:rPr>
        <w:t xml:space="preserve"> clauses</w:t>
      </w:r>
      <w:r>
        <w:rPr>
          <w:rFonts w:ascii="Arial" w:hAnsi="Arial" w:cs="Arial"/>
          <w:sz w:val="24"/>
          <w:szCs w:val="24"/>
        </w:rPr>
        <w:t xml:space="preserve"> that provide the option</w:t>
      </w:r>
      <w:r w:rsidR="00CC6694">
        <w:rPr>
          <w:rFonts w:ascii="Arial" w:hAnsi="Arial" w:cs="Arial"/>
          <w:sz w:val="24"/>
          <w:szCs w:val="24"/>
        </w:rPr>
        <w:t xml:space="preserve"> </w:t>
      </w:r>
      <w:r w:rsidR="00192B2D">
        <w:rPr>
          <w:rFonts w:ascii="Arial" w:hAnsi="Arial" w:cs="Arial"/>
          <w:sz w:val="24"/>
          <w:szCs w:val="24"/>
        </w:rPr>
        <w:t xml:space="preserve">to pass </w:t>
      </w:r>
      <w:r>
        <w:rPr>
          <w:rFonts w:ascii="Arial" w:hAnsi="Arial" w:cs="Arial"/>
          <w:sz w:val="24"/>
          <w:szCs w:val="24"/>
        </w:rPr>
        <w:t>through</w:t>
      </w:r>
      <w:r w:rsidR="00192B2D">
        <w:rPr>
          <w:rFonts w:ascii="Arial" w:hAnsi="Arial" w:cs="Arial"/>
          <w:sz w:val="24"/>
          <w:szCs w:val="24"/>
        </w:rPr>
        <w:t xml:space="preserve"> additional</w:t>
      </w:r>
      <w:r>
        <w:rPr>
          <w:rFonts w:ascii="Arial" w:hAnsi="Arial" w:cs="Arial"/>
          <w:sz w:val="24"/>
          <w:szCs w:val="24"/>
        </w:rPr>
        <w:t xml:space="preserve"> </w:t>
      </w:r>
      <w:r w:rsidR="00192B2D">
        <w:rPr>
          <w:rFonts w:ascii="Arial" w:hAnsi="Arial" w:cs="Arial"/>
          <w:sz w:val="24"/>
          <w:szCs w:val="24"/>
        </w:rPr>
        <w:t>costs to customers that may result from</w:t>
      </w:r>
      <w:r>
        <w:rPr>
          <w:rFonts w:ascii="Arial" w:hAnsi="Arial" w:cs="Arial"/>
          <w:sz w:val="24"/>
          <w:szCs w:val="24"/>
        </w:rPr>
        <w:t xml:space="preserve"> unforeseen</w:t>
      </w:r>
      <w:r w:rsidR="00CC6694">
        <w:rPr>
          <w:rFonts w:ascii="Arial" w:hAnsi="Arial" w:cs="Arial"/>
          <w:sz w:val="24"/>
          <w:szCs w:val="24"/>
        </w:rPr>
        <w:t xml:space="preserve"> or unexpected</w:t>
      </w:r>
      <w:r>
        <w:rPr>
          <w:rFonts w:ascii="Arial" w:hAnsi="Arial" w:cs="Arial"/>
          <w:sz w:val="24"/>
          <w:szCs w:val="24"/>
        </w:rPr>
        <w:t xml:space="preserve"> circumstances</w:t>
      </w:r>
      <w:r w:rsidR="00CC6694">
        <w:rPr>
          <w:rFonts w:ascii="Arial" w:hAnsi="Arial" w:cs="Arial"/>
          <w:sz w:val="24"/>
          <w:szCs w:val="24"/>
        </w:rPr>
        <w:t xml:space="preserve"> such as a change in law</w:t>
      </w:r>
      <w:r w:rsidR="00192B2D">
        <w:rPr>
          <w:rFonts w:ascii="Arial" w:hAnsi="Arial" w:cs="Arial"/>
          <w:sz w:val="24"/>
          <w:szCs w:val="24"/>
        </w:rPr>
        <w:t xml:space="preserve"> or regulatory change</w:t>
      </w:r>
      <w:r>
        <w:rPr>
          <w:rFonts w:ascii="Arial" w:hAnsi="Arial" w:cs="Arial"/>
          <w:sz w:val="24"/>
          <w:szCs w:val="24"/>
        </w:rPr>
        <w:t xml:space="preserve">. </w:t>
      </w:r>
      <w:r w:rsidR="00C94252">
        <w:rPr>
          <w:rFonts w:ascii="Arial" w:hAnsi="Arial" w:cs="Arial"/>
          <w:sz w:val="24"/>
          <w:szCs w:val="24"/>
        </w:rPr>
        <w:t xml:space="preserve"> In so doing, the supplier </w:t>
      </w:r>
      <w:r>
        <w:rPr>
          <w:rFonts w:ascii="Arial" w:hAnsi="Arial" w:cs="Arial"/>
          <w:sz w:val="24"/>
          <w:szCs w:val="24"/>
        </w:rPr>
        <w:t>can offer</w:t>
      </w:r>
      <w:r w:rsidR="002103E7">
        <w:rPr>
          <w:rFonts w:ascii="Arial" w:hAnsi="Arial" w:cs="Arial"/>
          <w:sz w:val="24"/>
          <w:szCs w:val="24"/>
        </w:rPr>
        <w:t xml:space="preserve"> a customer</w:t>
      </w:r>
      <w:r>
        <w:rPr>
          <w:rFonts w:ascii="Arial" w:hAnsi="Arial" w:cs="Arial"/>
          <w:sz w:val="24"/>
          <w:szCs w:val="24"/>
        </w:rPr>
        <w:t xml:space="preserve"> the lowest price possible, with the understanding that</w:t>
      </w:r>
      <w:r w:rsidR="00E9760C">
        <w:rPr>
          <w:rFonts w:ascii="Arial" w:hAnsi="Arial" w:cs="Arial"/>
          <w:sz w:val="24"/>
          <w:szCs w:val="24"/>
        </w:rPr>
        <w:t xml:space="preserve"> if</w:t>
      </w:r>
      <w:r>
        <w:rPr>
          <w:rFonts w:ascii="Arial" w:hAnsi="Arial" w:cs="Arial"/>
          <w:sz w:val="24"/>
          <w:szCs w:val="24"/>
        </w:rPr>
        <w:t xml:space="preserve"> </w:t>
      </w:r>
      <w:r w:rsidR="00E9760C">
        <w:rPr>
          <w:rFonts w:ascii="Arial" w:hAnsi="Arial" w:cs="Arial"/>
          <w:sz w:val="24"/>
          <w:szCs w:val="24"/>
        </w:rPr>
        <w:t>rare regulatory</w:t>
      </w:r>
      <w:r w:rsidR="00C143AC">
        <w:rPr>
          <w:rFonts w:ascii="Arial" w:hAnsi="Arial" w:cs="Arial"/>
          <w:sz w:val="24"/>
          <w:szCs w:val="24"/>
        </w:rPr>
        <w:t xml:space="preserve"> events </w:t>
      </w:r>
      <w:r w:rsidR="00E9760C">
        <w:rPr>
          <w:rFonts w:ascii="Arial" w:hAnsi="Arial" w:cs="Arial"/>
          <w:sz w:val="24"/>
          <w:szCs w:val="24"/>
        </w:rPr>
        <w:t>occur that</w:t>
      </w:r>
      <w:r>
        <w:rPr>
          <w:rFonts w:ascii="Arial" w:hAnsi="Arial" w:cs="Arial"/>
          <w:sz w:val="24"/>
          <w:szCs w:val="24"/>
        </w:rPr>
        <w:t xml:space="preserve"> </w:t>
      </w:r>
      <w:r w:rsidR="00E9760C">
        <w:rPr>
          <w:rFonts w:ascii="Arial" w:hAnsi="Arial" w:cs="Arial"/>
          <w:sz w:val="24"/>
          <w:szCs w:val="24"/>
        </w:rPr>
        <w:t>impose unforeseeable</w:t>
      </w:r>
      <w:r>
        <w:rPr>
          <w:rFonts w:ascii="Arial" w:hAnsi="Arial" w:cs="Arial"/>
          <w:sz w:val="24"/>
          <w:szCs w:val="24"/>
        </w:rPr>
        <w:t xml:space="preserve"> additional </w:t>
      </w:r>
      <w:r w:rsidR="000519DE">
        <w:rPr>
          <w:rFonts w:ascii="Arial" w:hAnsi="Arial" w:cs="Arial"/>
          <w:sz w:val="24"/>
          <w:szCs w:val="24"/>
        </w:rPr>
        <w:t>charges, then</w:t>
      </w:r>
      <w:r w:rsidR="00E9760C">
        <w:rPr>
          <w:rFonts w:ascii="Arial" w:hAnsi="Arial" w:cs="Arial"/>
          <w:sz w:val="24"/>
          <w:szCs w:val="24"/>
        </w:rPr>
        <w:t xml:space="preserve"> those costs will be passed on to the customer.</w:t>
      </w:r>
      <w:r w:rsidR="00C94252">
        <w:rPr>
          <w:rFonts w:ascii="Arial" w:hAnsi="Arial" w:cs="Arial"/>
          <w:sz w:val="24"/>
          <w:szCs w:val="24"/>
        </w:rPr>
        <w:t xml:space="preserve">  The ability of a supplier</w:t>
      </w:r>
      <w:r w:rsidR="00CC6694">
        <w:rPr>
          <w:rFonts w:ascii="Arial" w:hAnsi="Arial" w:cs="Arial"/>
          <w:sz w:val="24"/>
          <w:szCs w:val="24"/>
        </w:rPr>
        <w:t xml:space="preserve"> to offer these types of contracts is directly at issue in this proceeding. </w:t>
      </w:r>
      <w:r>
        <w:rPr>
          <w:rFonts w:ascii="Arial" w:hAnsi="Arial" w:cs="Arial"/>
          <w:sz w:val="24"/>
          <w:szCs w:val="24"/>
        </w:rPr>
        <w:t xml:space="preserve"> </w:t>
      </w:r>
    </w:p>
    <w:p w14:paraId="78072948" w14:textId="79253AAE" w:rsidR="00C143AC" w:rsidRDefault="003049D2" w:rsidP="00150BEC">
      <w:pPr>
        <w:spacing w:line="480" w:lineRule="auto"/>
        <w:jc w:val="both"/>
        <w:rPr>
          <w:rFonts w:ascii="Arial" w:hAnsi="Arial" w:cs="Arial"/>
          <w:sz w:val="24"/>
          <w:szCs w:val="24"/>
        </w:rPr>
      </w:pPr>
      <w:r>
        <w:rPr>
          <w:rFonts w:ascii="Arial" w:hAnsi="Arial" w:cs="Arial"/>
          <w:sz w:val="24"/>
          <w:szCs w:val="24"/>
        </w:rPr>
        <w:tab/>
      </w:r>
      <w:r w:rsidR="00192B2D">
        <w:rPr>
          <w:rFonts w:ascii="Arial" w:hAnsi="Arial" w:cs="Arial"/>
          <w:sz w:val="24"/>
          <w:szCs w:val="24"/>
        </w:rPr>
        <w:t xml:space="preserve">This proceeding originated following the events of January 2014.  </w:t>
      </w:r>
      <w:r>
        <w:rPr>
          <w:rFonts w:ascii="Arial" w:hAnsi="Arial" w:cs="Arial"/>
          <w:sz w:val="24"/>
          <w:szCs w:val="24"/>
        </w:rPr>
        <w:t xml:space="preserve">Due to unseasonably cold temperatures that occurred during January 2014, </w:t>
      </w:r>
      <w:r w:rsidR="002103E7">
        <w:rPr>
          <w:rFonts w:ascii="Arial" w:hAnsi="Arial" w:cs="Arial"/>
          <w:sz w:val="24"/>
          <w:szCs w:val="24"/>
        </w:rPr>
        <w:t xml:space="preserve">PJM Interconnection LLC (“PJM”) allocated to </w:t>
      </w:r>
      <w:r>
        <w:rPr>
          <w:rFonts w:ascii="Arial" w:hAnsi="Arial" w:cs="Arial"/>
          <w:sz w:val="24"/>
          <w:szCs w:val="24"/>
        </w:rPr>
        <w:t>an unusually high amount of balancing and operating reserve</w:t>
      </w:r>
      <w:r w:rsidR="00192B2D">
        <w:rPr>
          <w:rFonts w:ascii="Arial" w:hAnsi="Arial" w:cs="Arial"/>
          <w:sz w:val="24"/>
          <w:szCs w:val="24"/>
        </w:rPr>
        <w:t xml:space="preserve"> (“BOR”)</w:t>
      </w:r>
      <w:r>
        <w:rPr>
          <w:rFonts w:ascii="Arial" w:hAnsi="Arial" w:cs="Arial"/>
          <w:sz w:val="24"/>
          <w:szCs w:val="24"/>
        </w:rPr>
        <w:t xml:space="preserve"> charges</w:t>
      </w:r>
      <w:r w:rsidR="00C94252">
        <w:rPr>
          <w:rFonts w:ascii="Arial" w:hAnsi="Arial" w:cs="Arial"/>
          <w:sz w:val="24"/>
          <w:szCs w:val="24"/>
        </w:rPr>
        <w:t xml:space="preserve"> to suppliers</w:t>
      </w:r>
      <w:r>
        <w:rPr>
          <w:rFonts w:ascii="Arial" w:hAnsi="Arial" w:cs="Arial"/>
          <w:sz w:val="24"/>
          <w:szCs w:val="24"/>
        </w:rPr>
        <w:t>—approximately $600 million, or five times the normal amount during that month.</w:t>
      </w:r>
      <w:r w:rsidR="00192B2D">
        <w:rPr>
          <w:rFonts w:ascii="Arial" w:hAnsi="Arial" w:cs="Arial"/>
          <w:sz w:val="24"/>
          <w:szCs w:val="24"/>
        </w:rPr>
        <w:t xml:space="preserve">  This unexpe</w:t>
      </w:r>
      <w:r w:rsidR="00C94252">
        <w:rPr>
          <w:rFonts w:ascii="Arial" w:hAnsi="Arial" w:cs="Arial"/>
          <w:sz w:val="24"/>
          <w:szCs w:val="24"/>
        </w:rPr>
        <w:t>cted event caused suppliers</w:t>
      </w:r>
      <w:r w:rsidR="00192B2D">
        <w:rPr>
          <w:rFonts w:ascii="Arial" w:hAnsi="Arial" w:cs="Arial"/>
          <w:sz w:val="24"/>
          <w:szCs w:val="24"/>
        </w:rPr>
        <w:t xml:space="preserve"> to </w:t>
      </w:r>
      <w:r w:rsidR="00192B2D">
        <w:rPr>
          <w:rFonts w:ascii="Arial" w:hAnsi="Arial" w:cs="Arial"/>
          <w:sz w:val="24"/>
          <w:szCs w:val="24"/>
        </w:rPr>
        <w:lastRenderedPageBreak/>
        <w:t>incur</w:t>
      </w:r>
      <w:r w:rsidR="00C143AC">
        <w:rPr>
          <w:rFonts w:ascii="Arial" w:hAnsi="Arial" w:cs="Arial"/>
          <w:sz w:val="24"/>
          <w:szCs w:val="24"/>
        </w:rPr>
        <w:t xml:space="preserve"> million</w:t>
      </w:r>
      <w:r w:rsidR="00192B2D">
        <w:rPr>
          <w:rFonts w:ascii="Arial" w:hAnsi="Arial" w:cs="Arial"/>
          <w:sz w:val="24"/>
          <w:szCs w:val="24"/>
        </w:rPr>
        <w:t>s in unhedgeable costs</w:t>
      </w:r>
      <w:r w:rsidR="002103E7">
        <w:rPr>
          <w:rFonts w:ascii="Arial" w:hAnsi="Arial" w:cs="Arial"/>
          <w:sz w:val="24"/>
          <w:szCs w:val="24"/>
        </w:rPr>
        <w:t>.  Although</w:t>
      </w:r>
      <w:r w:rsidR="00E9760C">
        <w:rPr>
          <w:rFonts w:ascii="Arial" w:hAnsi="Arial" w:cs="Arial"/>
          <w:sz w:val="24"/>
          <w:szCs w:val="24"/>
        </w:rPr>
        <w:t xml:space="preserve"> some</w:t>
      </w:r>
      <w:r w:rsidR="00C94252">
        <w:rPr>
          <w:rFonts w:ascii="Arial" w:hAnsi="Arial" w:cs="Arial"/>
          <w:sz w:val="24"/>
          <w:szCs w:val="24"/>
        </w:rPr>
        <w:t xml:space="preserve"> suppliers</w:t>
      </w:r>
      <w:r w:rsidR="00C143AC">
        <w:rPr>
          <w:rFonts w:ascii="Arial" w:hAnsi="Arial" w:cs="Arial"/>
          <w:sz w:val="24"/>
          <w:szCs w:val="24"/>
        </w:rPr>
        <w:t xml:space="preserve"> </w:t>
      </w:r>
      <w:r w:rsidR="00E9760C">
        <w:rPr>
          <w:rFonts w:ascii="Arial" w:hAnsi="Arial" w:cs="Arial"/>
          <w:sz w:val="24"/>
          <w:szCs w:val="24"/>
        </w:rPr>
        <w:t xml:space="preserve">may have </w:t>
      </w:r>
      <w:r w:rsidR="00C143AC">
        <w:rPr>
          <w:rFonts w:ascii="Arial" w:hAnsi="Arial" w:cs="Arial"/>
          <w:sz w:val="24"/>
          <w:szCs w:val="24"/>
        </w:rPr>
        <w:t>had the right</w:t>
      </w:r>
      <w:r w:rsidR="002103E7">
        <w:rPr>
          <w:rFonts w:ascii="Arial" w:hAnsi="Arial" w:cs="Arial"/>
          <w:sz w:val="24"/>
          <w:szCs w:val="24"/>
        </w:rPr>
        <w:t xml:space="preserve"> to flow </w:t>
      </w:r>
      <w:r w:rsidR="00E9760C">
        <w:rPr>
          <w:rFonts w:ascii="Arial" w:hAnsi="Arial" w:cs="Arial"/>
          <w:sz w:val="24"/>
          <w:szCs w:val="24"/>
        </w:rPr>
        <w:t xml:space="preserve">through </w:t>
      </w:r>
      <w:r w:rsidR="002103E7">
        <w:rPr>
          <w:rFonts w:ascii="Arial" w:hAnsi="Arial" w:cs="Arial"/>
          <w:sz w:val="24"/>
          <w:szCs w:val="24"/>
        </w:rPr>
        <w:t>these costs</w:t>
      </w:r>
      <w:r w:rsidR="00C143AC">
        <w:rPr>
          <w:rFonts w:ascii="Arial" w:hAnsi="Arial" w:cs="Arial"/>
          <w:sz w:val="24"/>
          <w:szCs w:val="24"/>
        </w:rPr>
        <w:t xml:space="preserve">, </w:t>
      </w:r>
      <w:r w:rsidR="002103E7">
        <w:rPr>
          <w:rFonts w:ascii="Arial" w:hAnsi="Arial" w:cs="Arial"/>
          <w:sz w:val="24"/>
          <w:szCs w:val="24"/>
        </w:rPr>
        <w:t>only a handful</w:t>
      </w:r>
      <w:r w:rsidR="000A6A1A">
        <w:rPr>
          <w:rFonts w:ascii="Arial" w:hAnsi="Arial" w:cs="Arial"/>
          <w:sz w:val="24"/>
          <w:szCs w:val="24"/>
        </w:rPr>
        <w:t>—in fact, it was likely</w:t>
      </w:r>
      <w:r w:rsidR="00C94252">
        <w:rPr>
          <w:rFonts w:ascii="Arial" w:hAnsi="Arial" w:cs="Arial"/>
          <w:sz w:val="24"/>
          <w:szCs w:val="24"/>
        </w:rPr>
        <w:t xml:space="preserve"> only</w:t>
      </w:r>
      <w:r w:rsidR="00C143AC">
        <w:rPr>
          <w:rFonts w:ascii="Arial" w:hAnsi="Arial" w:cs="Arial"/>
          <w:sz w:val="24"/>
          <w:szCs w:val="24"/>
        </w:rPr>
        <w:t xml:space="preserve"> FirstEnergy Solutions (“FES”)—</w:t>
      </w:r>
      <w:r w:rsidR="00150BEC">
        <w:rPr>
          <w:rFonts w:ascii="Arial" w:hAnsi="Arial" w:cs="Arial"/>
          <w:sz w:val="24"/>
          <w:szCs w:val="24"/>
        </w:rPr>
        <w:t xml:space="preserve">attempted </w:t>
      </w:r>
      <w:r w:rsidR="002103E7">
        <w:rPr>
          <w:rFonts w:ascii="Arial" w:hAnsi="Arial" w:cs="Arial"/>
          <w:sz w:val="24"/>
          <w:szCs w:val="24"/>
        </w:rPr>
        <w:t>to pass</w:t>
      </w:r>
      <w:r w:rsidR="00C143AC">
        <w:rPr>
          <w:rFonts w:ascii="Arial" w:hAnsi="Arial" w:cs="Arial"/>
          <w:sz w:val="24"/>
          <w:szCs w:val="24"/>
        </w:rPr>
        <w:t xml:space="preserve"> these costs onto their customers.</w:t>
      </w:r>
      <w:r w:rsidR="00150BEC">
        <w:rPr>
          <w:rFonts w:ascii="Arial" w:hAnsi="Arial" w:cs="Arial"/>
          <w:sz w:val="24"/>
          <w:szCs w:val="24"/>
        </w:rPr>
        <w:t xml:space="preserve">  </w:t>
      </w:r>
    </w:p>
    <w:p w14:paraId="45C79C7A" w14:textId="1DFEC8DE" w:rsidR="00552EF1" w:rsidRDefault="00C143AC" w:rsidP="00150BEC">
      <w:pPr>
        <w:spacing w:line="480" w:lineRule="auto"/>
        <w:jc w:val="both"/>
        <w:rPr>
          <w:rFonts w:ascii="Arial" w:hAnsi="Arial" w:cs="Arial"/>
          <w:sz w:val="24"/>
          <w:szCs w:val="24"/>
        </w:rPr>
      </w:pPr>
      <w:r>
        <w:rPr>
          <w:rFonts w:ascii="Arial" w:hAnsi="Arial" w:cs="Arial"/>
          <w:sz w:val="24"/>
          <w:szCs w:val="24"/>
        </w:rPr>
        <w:tab/>
      </w:r>
      <w:r w:rsidR="00150BEC">
        <w:rPr>
          <w:rFonts w:ascii="Arial" w:hAnsi="Arial" w:cs="Arial"/>
          <w:sz w:val="24"/>
          <w:szCs w:val="24"/>
        </w:rPr>
        <w:t xml:space="preserve">On April 9, 2014, </w:t>
      </w:r>
      <w:r w:rsidR="002103E7">
        <w:rPr>
          <w:rFonts w:ascii="Arial" w:hAnsi="Arial" w:cs="Arial"/>
          <w:sz w:val="24"/>
          <w:szCs w:val="24"/>
        </w:rPr>
        <w:t>after learning about FES’ decision to flow through</w:t>
      </w:r>
      <w:r w:rsidR="00CC6694">
        <w:rPr>
          <w:rFonts w:ascii="Arial" w:hAnsi="Arial" w:cs="Arial"/>
          <w:sz w:val="24"/>
          <w:szCs w:val="24"/>
        </w:rPr>
        <w:t xml:space="preserve"> polar BOR charges</w:t>
      </w:r>
      <w:r w:rsidR="00150BEC">
        <w:rPr>
          <w:rFonts w:ascii="Arial" w:hAnsi="Arial" w:cs="Arial"/>
          <w:sz w:val="24"/>
          <w:szCs w:val="24"/>
        </w:rPr>
        <w:t>,</w:t>
      </w:r>
      <w:r>
        <w:rPr>
          <w:rFonts w:ascii="Arial" w:hAnsi="Arial" w:cs="Arial"/>
          <w:sz w:val="24"/>
          <w:szCs w:val="24"/>
        </w:rPr>
        <w:t xml:space="preserve"> the Co</w:t>
      </w:r>
      <w:r w:rsidR="002103E7">
        <w:rPr>
          <w:rFonts w:ascii="Arial" w:hAnsi="Arial" w:cs="Arial"/>
          <w:sz w:val="24"/>
          <w:szCs w:val="24"/>
        </w:rPr>
        <w:t>mmission opened this investigation and</w:t>
      </w:r>
      <w:r w:rsidR="00FD671D">
        <w:rPr>
          <w:rFonts w:ascii="Arial" w:hAnsi="Arial" w:cs="Arial"/>
          <w:sz w:val="24"/>
          <w:szCs w:val="24"/>
        </w:rPr>
        <w:t xml:space="preserve"> solicited comments and reply comments </w:t>
      </w:r>
      <w:r w:rsidR="00150BEC">
        <w:rPr>
          <w:rFonts w:ascii="Arial" w:hAnsi="Arial" w:cs="Arial"/>
          <w:sz w:val="24"/>
          <w:szCs w:val="24"/>
        </w:rPr>
        <w:t xml:space="preserve">regarding the legitimacy </w:t>
      </w:r>
      <w:r w:rsidR="00FD671D">
        <w:rPr>
          <w:rFonts w:ascii="Arial" w:hAnsi="Arial" w:cs="Arial"/>
          <w:sz w:val="24"/>
          <w:szCs w:val="24"/>
        </w:rPr>
        <w:t xml:space="preserve">of pass through clauses.  Then, the Commission did nothing for nearly </w:t>
      </w:r>
      <w:r w:rsidR="00150BEC">
        <w:rPr>
          <w:rFonts w:ascii="Arial" w:hAnsi="Arial" w:cs="Arial"/>
          <w:sz w:val="24"/>
          <w:szCs w:val="24"/>
        </w:rPr>
        <w:t>a year and a half.</w:t>
      </w:r>
      <w:r w:rsidR="00FD671D">
        <w:rPr>
          <w:rFonts w:ascii="Arial" w:hAnsi="Arial" w:cs="Arial"/>
          <w:sz w:val="24"/>
          <w:szCs w:val="24"/>
        </w:rPr>
        <w:t xml:space="preserve">  Much occurred in that time.  FES decided against flowing through polar vortex</w:t>
      </w:r>
      <w:r w:rsidR="002103E7">
        <w:rPr>
          <w:rFonts w:ascii="Arial" w:hAnsi="Arial" w:cs="Arial"/>
          <w:sz w:val="24"/>
          <w:szCs w:val="24"/>
        </w:rPr>
        <w:t xml:space="preserve"> costs to mass market customers</w:t>
      </w:r>
      <w:r w:rsidR="00CC6694">
        <w:rPr>
          <w:rFonts w:ascii="Arial" w:hAnsi="Arial" w:cs="Arial"/>
          <w:sz w:val="24"/>
          <w:szCs w:val="24"/>
        </w:rPr>
        <w:t xml:space="preserve"> (residential)</w:t>
      </w:r>
      <w:r w:rsidR="002103E7">
        <w:rPr>
          <w:rFonts w:ascii="Arial" w:hAnsi="Arial" w:cs="Arial"/>
          <w:sz w:val="24"/>
          <w:szCs w:val="24"/>
        </w:rPr>
        <w:t>. And</w:t>
      </w:r>
      <w:r w:rsidR="00FD671D">
        <w:rPr>
          <w:rFonts w:ascii="Arial" w:hAnsi="Arial" w:cs="Arial"/>
          <w:sz w:val="24"/>
          <w:szCs w:val="24"/>
        </w:rPr>
        <w:t xml:space="preserve"> FES stopped providing service to mass marke</w:t>
      </w:r>
      <w:r w:rsidR="00CC6694">
        <w:rPr>
          <w:rFonts w:ascii="Arial" w:hAnsi="Arial" w:cs="Arial"/>
          <w:sz w:val="24"/>
          <w:szCs w:val="24"/>
        </w:rPr>
        <w:t>t</w:t>
      </w:r>
      <w:r w:rsidR="00FD671D">
        <w:rPr>
          <w:rFonts w:ascii="Arial" w:hAnsi="Arial" w:cs="Arial"/>
          <w:sz w:val="24"/>
          <w:szCs w:val="24"/>
        </w:rPr>
        <w:t xml:space="preserve"> customers altogether.</w:t>
      </w:r>
      <w:r w:rsidR="00552EF1">
        <w:rPr>
          <w:rFonts w:ascii="Arial" w:hAnsi="Arial" w:cs="Arial"/>
          <w:sz w:val="24"/>
          <w:szCs w:val="24"/>
        </w:rPr>
        <w:t xml:space="preserve">  </w:t>
      </w:r>
      <w:r w:rsidR="000A6A1A">
        <w:rPr>
          <w:rFonts w:ascii="Arial" w:hAnsi="Arial" w:cs="Arial"/>
          <w:sz w:val="24"/>
          <w:szCs w:val="24"/>
        </w:rPr>
        <w:t>Thus, the primary impetus for this proceeding evaporated o</w:t>
      </w:r>
      <w:r w:rsidR="00C94252">
        <w:rPr>
          <w:rFonts w:ascii="Arial" w:hAnsi="Arial" w:cs="Arial"/>
          <w:sz w:val="24"/>
          <w:szCs w:val="24"/>
        </w:rPr>
        <w:t>ver</w:t>
      </w:r>
      <w:r w:rsidR="000A6A1A">
        <w:rPr>
          <w:rFonts w:ascii="Arial" w:hAnsi="Arial" w:cs="Arial"/>
          <w:sz w:val="24"/>
          <w:szCs w:val="24"/>
        </w:rPr>
        <w:t>night.</w:t>
      </w:r>
    </w:p>
    <w:p w14:paraId="15CACEC3" w14:textId="2F02B278" w:rsidR="00CC6694" w:rsidRDefault="00552EF1" w:rsidP="00150BEC">
      <w:pPr>
        <w:spacing w:line="480" w:lineRule="auto"/>
        <w:jc w:val="both"/>
        <w:rPr>
          <w:rFonts w:ascii="Arial" w:hAnsi="Arial" w:cs="Arial"/>
          <w:sz w:val="24"/>
          <w:szCs w:val="24"/>
        </w:rPr>
      </w:pPr>
      <w:r>
        <w:rPr>
          <w:rFonts w:ascii="Arial" w:hAnsi="Arial" w:cs="Arial"/>
          <w:sz w:val="24"/>
          <w:szCs w:val="24"/>
        </w:rPr>
        <w:tab/>
      </w:r>
      <w:r w:rsidR="002103E7">
        <w:rPr>
          <w:rFonts w:ascii="Arial" w:hAnsi="Arial" w:cs="Arial"/>
          <w:sz w:val="24"/>
          <w:szCs w:val="24"/>
        </w:rPr>
        <w:t xml:space="preserve">After this </w:t>
      </w:r>
      <w:r w:rsidR="000A6A1A">
        <w:rPr>
          <w:rFonts w:ascii="Arial" w:hAnsi="Arial" w:cs="Arial"/>
          <w:sz w:val="24"/>
          <w:szCs w:val="24"/>
        </w:rPr>
        <w:t xml:space="preserve">eighteen month </w:t>
      </w:r>
      <w:r w:rsidR="002103E7">
        <w:rPr>
          <w:rFonts w:ascii="Arial" w:hAnsi="Arial" w:cs="Arial"/>
          <w:sz w:val="24"/>
          <w:szCs w:val="24"/>
        </w:rPr>
        <w:t>delay, o</w:t>
      </w:r>
      <w:r>
        <w:rPr>
          <w:rFonts w:ascii="Arial" w:hAnsi="Arial" w:cs="Arial"/>
          <w:sz w:val="24"/>
          <w:szCs w:val="24"/>
        </w:rPr>
        <w:t>n November 18, 2015 the Commission issued the</w:t>
      </w:r>
      <w:r w:rsidR="002103E7">
        <w:rPr>
          <w:rFonts w:ascii="Arial" w:hAnsi="Arial" w:cs="Arial"/>
          <w:sz w:val="24"/>
          <w:szCs w:val="24"/>
        </w:rPr>
        <w:t xml:space="preserve"> </w:t>
      </w:r>
      <w:r>
        <w:rPr>
          <w:rFonts w:ascii="Arial" w:hAnsi="Arial" w:cs="Arial"/>
          <w:sz w:val="24"/>
          <w:szCs w:val="24"/>
        </w:rPr>
        <w:t>Order that is the subject of this Application for Rehearing. The</w:t>
      </w:r>
      <w:r w:rsidR="00150BEC">
        <w:rPr>
          <w:rFonts w:ascii="Arial" w:hAnsi="Arial" w:cs="Arial"/>
          <w:sz w:val="24"/>
          <w:szCs w:val="24"/>
        </w:rPr>
        <w:t xml:space="preserve"> Order</w:t>
      </w:r>
      <w:r w:rsidR="00FD671D">
        <w:rPr>
          <w:rFonts w:ascii="Arial" w:hAnsi="Arial" w:cs="Arial"/>
          <w:sz w:val="24"/>
          <w:szCs w:val="24"/>
        </w:rPr>
        <w:t xml:space="preserve"> </w:t>
      </w:r>
      <w:r>
        <w:rPr>
          <w:rFonts w:ascii="Arial" w:hAnsi="Arial" w:cs="Arial"/>
          <w:sz w:val="24"/>
          <w:szCs w:val="24"/>
        </w:rPr>
        <w:t>determined</w:t>
      </w:r>
      <w:r w:rsidR="00C94252">
        <w:rPr>
          <w:rFonts w:ascii="Arial" w:hAnsi="Arial" w:cs="Arial"/>
          <w:sz w:val="24"/>
          <w:szCs w:val="24"/>
        </w:rPr>
        <w:t xml:space="preserve"> that suppliers</w:t>
      </w:r>
      <w:r w:rsidR="00150BEC">
        <w:rPr>
          <w:rFonts w:ascii="Arial" w:hAnsi="Arial" w:cs="Arial"/>
          <w:sz w:val="24"/>
          <w:szCs w:val="24"/>
        </w:rPr>
        <w:t xml:space="preserve"> may not include pass-through language in contracts with a fixed-priced label.</w:t>
      </w:r>
      <w:r w:rsidR="002103E7">
        <w:rPr>
          <w:rFonts w:ascii="Arial" w:hAnsi="Arial" w:cs="Arial"/>
          <w:sz w:val="24"/>
          <w:szCs w:val="24"/>
        </w:rPr>
        <w:t xml:space="preserve"> The Order relies exclusively</w:t>
      </w:r>
      <w:r w:rsidR="000A6A1A">
        <w:rPr>
          <w:rFonts w:ascii="Arial" w:hAnsi="Arial" w:cs="Arial"/>
          <w:sz w:val="24"/>
          <w:szCs w:val="24"/>
        </w:rPr>
        <w:t xml:space="preserve"> on OAC </w:t>
      </w:r>
      <w:r w:rsidR="002103E7">
        <w:rPr>
          <w:rFonts w:ascii="Arial" w:hAnsi="Arial" w:cs="Arial"/>
          <w:sz w:val="24"/>
          <w:szCs w:val="24"/>
        </w:rPr>
        <w:t>4901:21-05</w:t>
      </w:r>
      <w:r w:rsidR="000A6A1A">
        <w:rPr>
          <w:rFonts w:ascii="Arial" w:hAnsi="Arial" w:cs="Arial"/>
          <w:sz w:val="24"/>
          <w:szCs w:val="24"/>
        </w:rPr>
        <w:t xml:space="preserve">.  And the Order determined that its holding is applicable to all </w:t>
      </w:r>
      <w:r w:rsidR="00C94252">
        <w:rPr>
          <w:rFonts w:ascii="Arial" w:hAnsi="Arial" w:cs="Arial"/>
          <w:sz w:val="24"/>
          <w:szCs w:val="24"/>
        </w:rPr>
        <w:t>customer</w:t>
      </w:r>
      <w:r w:rsidR="000A6A1A">
        <w:rPr>
          <w:rFonts w:ascii="Arial" w:hAnsi="Arial" w:cs="Arial"/>
          <w:sz w:val="24"/>
          <w:szCs w:val="24"/>
        </w:rPr>
        <w:t xml:space="preserve"> classes</w:t>
      </w:r>
      <w:r w:rsidR="004E24ED">
        <w:rPr>
          <w:rFonts w:ascii="Arial" w:hAnsi="Arial" w:cs="Arial"/>
          <w:sz w:val="24"/>
          <w:szCs w:val="24"/>
        </w:rPr>
        <w:t>—residential, commercial, and industrial—regardless of their sophistication.</w:t>
      </w:r>
    </w:p>
    <w:p w14:paraId="206ACB89" w14:textId="51ADD63E" w:rsidR="002103E7" w:rsidRDefault="002103E7" w:rsidP="00150BEC">
      <w:pPr>
        <w:spacing w:line="480" w:lineRule="auto"/>
        <w:jc w:val="both"/>
        <w:rPr>
          <w:rFonts w:ascii="Arial" w:hAnsi="Arial" w:cs="Arial"/>
          <w:sz w:val="24"/>
          <w:szCs w:val="24"/>
        </w:rPr>
      </w:pPr>
      <w:r>
        <w:rPr>
          <w:rFonts w:ascii="Arial" w:hAnsi="Arial" w:cs="Arial"/>
          <w:sz w:val="24"/>
          <w:szCs w:val="24"/>
        </w:rPr>
        <w:tab/>
        <w:t>The Order</w:t>
      </w:r>
      <w:r w:rsidR="000A6A1A">
        <w:rPr>
          <w:rFonts w:ascii="Arial" w:hAnsi="Arial" w:cs="Arial"/>
          <w:sz w:val="24"/>
          <w:szCs w:val="24"/>
        </w:rPr>
        <w:t>, however,</w:t>
      </w:r>
      <w:r>
        <w:rPr>
          <w:rFonts w:ascii="Arial" w:hAnsi="Arial" w:cs="Arial"/>
          <w:sz w:val="24"/>
          <w:szCs w:val="24"/>
        </w:rPr>
        <w:t xml:space="preserve"> indicated that</w:t>
      </w:r>
      <w:r w:rsidR="000A6A1A">
        <w:rPr>
          <w:rFonts w:ascii="Arial" w:hAnsi="Arial" w:cs="Arial"/>
          <w:sz w:val="24"/>
          <w:szCs w:val="24"/>
        </w:rPr>
        <w:t xml:space="preserve"> regulatory c</w:t>
      </w:r>
      <w:r w:rsidR="00C94252">
        <w:rPr>
          <w:rFonts w:ascii="Arial" w:hAnsi="Arial" w:cs="Arial"/>
          <w:sz w:val="24"/>
          <w:szCs w:val="24"/>
        </w:rPr>
        <w:t>hanges may leave a supplier</w:t>
      </w:r>
      <w:r w:rsidR="000A6A1A">
        <w:rPr>
          <w:rFonts w:ascii="Arial" w:hAnsi="Arial" w:cs="Arial"/>
          <w:sz w:val="24"/>
          <w:szCs w:val="24"/>
        </w:rPr>
        <w:t xml:space="preserve"> with an uneconomic contract with no opportunity for redress.  Thus, the Order determined that</w:t>
      </w:r>
      <w:r w:rsidR="00C94252">
        <w:rPr>
          <w:rFonts w:ascii="Arial" w:hAnsi="Arial" w:cs="Arial"/>
          <w:sz w:val="24"/>
          <w:szCs w:val="24"/>
        </w:rPr>
        <w:t xml:space="preserve"> suppliers </w:t>
      </w:r>
      <w:r>
        <w:rPr>
          <w:rFonts w:ascii="Arial" w:hAnsi="Arial" w:cs="Arial"/>
          <w:sz w:val="24"/>
          <w:szCs w:val="24"/>
        </w:rPr>
        <w:t xml:space="preserve">may include in fixed-price contracts </w:t>
      </w:r>
      <w:r w:rsidR="000A6A1A">
        <w:rPr>
          <w:rFonts w:ascii="Arial" w:hAnsi="Arial" w:cs="Arial"/>
          <w:sz w:val="24"/>
          <w:szCs w:val="24"/>
        </w:rPr>
        <w:t>regulatory change/</w:t>
      </w:r>
      <w:r>
        <w:rPr>
          <w:rFonts w:ascii="Arial" w:hAnsi="Arial" w:cs="Arial"/>
          <w:sz w:val="24"/>
          <w:szCs w:val="24"/>
        </w:rPr>
        <w:t>change of law provisions th</w:t>
      </w:r>
      <w:r w:rsidR="00C94252">
        <w:rPr>
          <w:rFonts w:ascii="Arial" w:hAnsi="Arial" w:cs="Arial"/>
          <w:sz w:val="24"/>
          <w:szCs w:val="24"/>
        </w:rPr>
        <w:t>at would allow the supplier</w:t>
      </w:r>
      <w:r>
        <w:rPr>
          <w:rFonts w:ascii="Arial" w:hAnsi="Arial" w:cs="Arial"/>
          <w:sz w:val="24"/>
          <w:szCs w:val="24"/>
        </w:rPr>
        <w:t xml:space="preserve"> to renegotiate a contract with the customer’s affirmative consent.  To the extent that affirmative consent is not reached, the customer may default to t</w:t>
      </w:r>
      <w:r w:rsidR="003A1C7C">
        <w:rPr>
          <w:rFonts w:ascii="Arial" w:hAnsi="Arial" w:cs="Arial"/>
          <w:sz w:val="24"/>
          <w:szCs w:val="24"/>
        </w:rPr>
        <w:t>he standard service offer or enter a contract with an alternative supplier</w:t>
      </w:r>
      <w:r>
        <w:rPr>
          <w:rFonts w:ascii="Arial" w:hAnsi="Arial" w:cs="Arial"/>
          <w:sz w:val="24"/>
          <w:szCs w:val="24"/>
        </w:rPr>
        <w:t xml:space="preserve">—without penalty: </w:t>
      </w:r>
    </w:p>
    <w:p w14:paraId="3C0EFF31" w14:textId="77777777" w:rsidR="002103E7" w:rsidRPr="002103E7" w:rsidRDefault="002103E7" w:rsidP="002103E7">
      <w:pPr>
        <w:spacing w:line="240" w:lineRule="auto"/>
        <w:ind w:left="720" w:right="720"/>
        <w:jc w:val="both"/>
        <w:rPr>
          <w:rFonts w:ascii="Arial" w:hAnsi="Arial" w:cs="Arial"/>
          <w:sz w:val="24"/>
          <w:szCs w:val="24"/>
        </w:rPr>
      </w:pPr>
      <w:r w:rsidRPr="002103E7">
        <w:rPr>
          <w:rFonts w:ascii="Arial" w:hAnsi="Arial" w:cs="Arial"/>
          <w:sz w:val="24"/>
          <w:szCs w:val="24"/>
        </w:rPr>
        <w:lastRenderedPageBreak/>
        <w:t xml:space="preserve">The Commission recognizes that circumstances may occasionally arise over which a CRES provider has no control and no ability to hedge, such as a regulatory change in law. The Commission finds it would be inappropriate to require CRES providers in those circumstances to remain bound by an uneconomic contract with no opportunity for redress. Not only would such a requirement be inequitable for a CRES provider, but could affect consumers as well, as it could result in CRES providers charging much higher rates in fixed-price contracts in attempt to hedge, or elimination of fixed-price contracts from the market. </w:t>
      </w:r>
    </w:p>
    <w:p w14:paraId="2660CC06" w14:textId="77777777" w:rsidR="002103E7" w:rsidRDefault="002103E7" w:rsidP="002103E7">
      <w:pPr>
        <w:spacing w:line="240" w:lineRule="auto"/>
        <w:ind w:left="720" w:right="720"/>
        <w:jc w:val="both"/>
        <w:rPr>
          <w:rFonts w:ascii="Arial" w:hAnsi="Arial" w:cs="Arial"/>
          <w:sz w:val="24"/>
          <w:szCs w:val="24"/>
        </w:rPr>
      </w:pPr>
      <w:r w:rsidRPr="002103E7">
        <w:rPr>
          <w:rFonts w:ascii="Arial" w:hAnsi="Arial" w:cs="Arial"/>
          <w:sz w:val="24"/>
          <w:szCs w:val="24"/>
        </w:rPr>
        <w:t>Consequently, the Commission believes that the fixed</w:t>
      </w:r>
      <w:r w:rsidR="00CC6694">
        <w:rPr>
          <w:rFonts w:ascii="Arial" w:hAnsi="Arial" w:cs="Arial"/>
          <w:sz w:val="24"/>
          <w:szCs w:val="24"/>
        </w:rPr>
        <w:t xml:space="preserve"> </w:t>
      </w:r>
      <w:r w:rsidRPr="002103E7">
        <w:rPr>
          <w:rFonts w:ascii="Arial" w:hAnsi="Arial" w:cs="Arial"/>
          <w:sz w:val="24"/>
          <w:szCs w:val="24"/>
        </w:rPr>
        <w:t>means-fixed axiom should be balanced by continuing to permit regulatory-out clauses that would be available for CRES suppliers in very limited circumstances, which must be delineated in plain language in the clause. Regulatory</w:t>
      </w:r>
      <w:r w:rsidR="00CC6694">
        <w:rPr>
          <w:rFonts w:ascii="Arial" w:hAnsi="Arial" w:cs="Arial"/>
          <w:sz w:val="24"/>
          <w:szCs w:val="24"/>
        </w:rPr>
        <w:t xml:space="preserve"> </w:t>
      </w:r>
      <w:r w:rsidRPr="002103E7">
        <w:rPr>
          <w:rFonts w:ascii="Arial" w:hAnsi="Arial" w:cs="Arial"/>
          <w:sz w:val="24"/>
          <w:szCs w:val="24"/>
        </w:rPr>
        <w:t>out clauses allo</w:t>
      </w:r>
      <w:r w:rsidRPr="00C94252">
        <w:rPr>
          <w:rFonts w:ascii="Arial" w:hAnsi="Arial" w:cs="Arial"/>
          <w:sz w:val="24"/>
          <w:szCs w:val="24"/>
        </w:rPr>
        <w:t>w a supplier t</w:t>
      </w:r>
      <w:r w:rsidRPr="002103E7">
        <w:rPr>
          <w:rFonts w:ascii="Arial" w:hAnsi="Arial" w:cs="Arial"/>
          <w:sz w:val="24"/>
          <w:szCs w:val="24"/>
        </w:rPr>
        <w:t>o revise a contract by proposing new contract terms to the customer. If the customer affirmatively consents to the new terms, the contract would remain in place with the new terms. However, customers could affirmatively reject or passively reject the proposed terms by inaction. A customer rejecting the terms would then be permitted to pursue another CRES provider or the default service without being subjected to</w:t>
      </w:r>
      <w:r w:rsidR="00CC6694">
        <w:rPr>
          <w:rFonts w:ascii="Arial" w:hAnsi="Arial" w:cs="Arial"/>
          <w:sz w:val="24"/>
          <w:szCs w:val="24"/>
        </w:rPr>
        <w:t xml:space="preserve"> </w:t>
      </w:r>
      <w:r w:rsidRPr="002103E7">
        <w:rPr>
          <w:rFonts w:ascii="Arial" w:hAnsi="Arial" w:cs="Arial"/>
          <w:sz w:val="24"/>
          <w:szCs w:val="24"/>
        </w:rPr>
        <w:t>any penalty. The Commission further finds that regulatory-out clauses must be clearly and conspicuously stated in the contract; that any acronyms in the regulatory</w:t>
      </w:r>
      <w:r>
        <w:rPr>
          <w:rFonts w:ascii="Arial" w:hAnsi="Arial" w:cs="Arial"/>
          <w:sz w:val="24"/>
          <w:szCs w:val="24"/>
        </w:rPr>
        <w:t xml:space="preserve"> </w:t>
      </w:r>
      <w:r w:rsidRPr="002103E7">
        <w:rPr>
          <w:rFonts w:ascii="Arial" w:hAnsi="Arial" w:cs="Arial"/>
          <w:sz w:val="24"/>
          <w:szCs w:val="24"/>
        </w:rPr>
        <w:t>out clause must be defined within the contract; and that the clause must specify to a reasonable extent the circumstances under which it could be invoked</w:t>
      </w:r>
      <w:r>
        <w:rPr>
          <w:rFonts w:ascii="Arial" w:hAnsi="Arial" w:cs="Arial"/>
          <w:sz w:val="24"/>
          <w:szCs w:val="24"/>
        </w:rPr>
        <w:t xml:space="preserve">. </w:t>
      </w:r>
    </w:p>
    <w:p w14:paraId="6A7FD81F" w14:textId="65D05A40" w:rsidR="002103E7" w:rsidRDefault="002103E7" w:rsidP="00012AFA">
      <w:pPr>
        <w:spacing w:line="480" w:lineRule="auto"/>
        <w:jc w:val="both"/>
        <w:rPr>
          <w:rFonts w:ascii="Arial" w:hAnsi="Arial" w:cs="Arial"/>
          <w:sz w:val="24"/>
          <w:szCs w:val="24"/>
        </w:rPr>
      </w:pPr>
      <w:r>
        <w:rPr>
          <w:rFonts w:ascii="Arial" w:hAnsi="Arial" w:cs="Arial"/>
          <w:sz w:val="24"/>
          <w:szCs w:val="24"/>
        </w:rPr>
        <w:t xml:space="preserve">The Order </w:t>
      </w:r>
      <w:r w:rsidR="00012AFA">
        <w:rPr>
          <w:rFonts w:ascii="Arial" w:hAnsi="Arial" w:cs="Arial"/>
          <w:sz w:val="24"/>
          <w:szCs w:val="24"/>
        </w:rPr>
        <w:t>determined that the above guidelines represent the Commission’s “going forward” interpretation of its rules.  The Orde</w:t>
      </w:r>
      <w:r w:rsidR="003A1C7C">
        <w:rPr>
          <w:rFonts w:ascii="Arial" w:hAnsi="Arial" w:cs="Arial"/>
          <w:sz w:val="24"/>
          <w:szCs w:val="24"/>
        </w:rPr>
        <w:t xml:space="preserve">r indicated that suppliers </w:t>
      </w:r>
      <w:r w:rsidR="00012AFA">
        <w:rPr>
          <w:rFonts w:ascii="Arial" w:hAnsi="Arial" w:cs="Arial"/>
          <w:sz w:val="24"/>
          <w:szCs w:val="24"/>
        </w:rPr>
        <w:t>have until “</w:t>
      </w:r>
      <w:r w:rsidR="00012AFA" w:rsidRPr="00012AFA">
        <w:rPr>
          <w:rFonts w:ascii="Arial" w:hAnsi="Arial" w:cs="Arial"/>
          <w:sz w:val="24"/>
          <w:szCs w:val="24"/>
        </w:rPr>
        <w:t>January 1, 2016, to bring all marketing for contracts being mark</w:t>
      </w:r>
      <w:r w:rsidR="00012AFA">
        <w:rPr>
          <w:rFonts w:ascii="Arial" w:hAnsi="Arial" w:cs="Arial"/>
          <w:sz w:val="24"/>
          <w:szCs w:val="24"/>
        </w:rPr>
        <w:t>eted into compliance with the ‘fixed-means-fixed’</w:t>
      </w:r>
      <w:r w:rsidR="00012AFA" w:rsidRPr="00012AFA">
        <w:rPr>
          <w:rFonts w:ascii="Arial" w:hAnsi="Arial" w:cs="Arial"/>
          <w:sz w:val="24"/>
          <w:szCs w:val="24"/>
        </w:rPr>
        <w:t xml:space="preserve"> guidelines set forth in this Finding</w:t>
      </w:r>
      <w:r w:rsidR="00012AFA">
        <w:rPr>
          <w:rFonts w:ascii="Arial" w:hAnsi="Arial" w:cs="Arial"/>
          <w:sz w:val="24"/>
          <w:szCs w:val="24"/>
        </w:rPr>
        <w:t xml:space="preserve"> and Order.”</w:t>
      </w:r>
      <w:r w:rsidR="0089279F">
        <w:rPr>
          <w:rStyle w:val="FootnoteReference"/>
          <w:rFonts w:ascii="Arial" w:hAnsi="Arial" w:cs="Arial"/>
          <w:sz w:val="24"/>
          <w:szCs w:val="24"/>
        </w:rPr>
        <w:footnoteReference w:id="1"/>
      </w:r>
      <w:r w:rsidR="00CC6694">
        <w:rPr>
          <w:rFonts w:ascii="Arial" w:hAnsi="Arial" w:cs="Arial"/>
          <w:sz w:val="24"/>
          <w:szCs w:val="24"/>
        </w:rPr>
        <w:t xml:space="preserve">  </w:t>
      </w:r>
    </w:p>
    <w:p w14:paraId="45930437" w14:textId="77554B47" w:rsidR="00012AFA" w:rsidRDefault="00012AFA" w:rsidP="00012AFA">
      <w:pPr>
        <w:spacing w:line="480" w:lineRule="auto"/>
        <w:jc w:val="both"/>
        <w:rPr>
          <w:rFonts w:ascii="Arial" w:hAnsi="Arial" w:cs="Arial"/>
          <w:sz w:val="24"/>
          <w:szCs w:val="24"/>
        </w:rPr>
      </w:pPr>
      <w:r>
        <w:rPr>
          <w:rFonts w:ascii="Arial" w:hAnsi="Arial" w:cs="Arial"/>
          <w:sz w:val="24"/>
          <w:szCs w:val="24"/>
        </w:rPr>
        <w:tab/>
        <w:t>The Order further determined that the Rule 4901-21-05 is ambiguous and therefore requires clarification and modification.  To that end, the Order directed that additional definitions be incorporated into the rule related to fixed price and variable price.  The Order stated that fixed price should be defi</w:t>
      </w:r>
      <w:r w:rsidR="000A6A1A">
        <w:rPr>
          <w:rFonts w:ascii="Arial" w:hAnsi="Arial" w:cs="Arial"/>
          <w:sz w:val="24"/>
          <w:szCs w:val="24"/>
        </w:rPr>
        <w:t>n</w:t>
      </w:r>
      <w:r>
        <w:rPr>
          <w:rFonts w:ascii="Arial" w:hAnsi="Arial" w:cs="Arial"/>
          <w:sz w:val="24"/>
          <w:szCs w:val="24"/>
        </w:rPr>
        <w:t>ed as “</w:t>
      </w:r>
      <w:r w:rsidR="000A6A1A">
        <w:rPr>
          <w:rFonts w:ascii="Arial" w:hAnsi="Arial" w:cs="Arial"/>
          <w:sz w:val="24"/>
          <w:szCs w:val="24"/>
        </w:rPr>
        <w:t>[a]</w:t>
      </w:r>
      <w:r w:rsidRPr="00012AFA">
        <w:rPr>
          <w:rFonts w:ascii="Arial" w:hAnsi="Arial" w:cs="Arial"/>
          <w:sz w:val="24"/>
          <w:szCs w:val="24"/>
        </w:rPr>
        <w:t>n all-inclusive per kWh price that will remain the same for at least three billing cycles or the term</w:t>
      </w:r>
      <w:r>
        <w:rPr>
          <w:rFonts w:ascii="Arial" w:hAnsi="Arial" w:cs="Arial"/>
          <w:sz w:val="24"/>
          <w:szCs w:val="24"/>
        </w:rPr>
        <w:t xml:space="preserve"> of the contract, </w:t>
      </w:r>
      <w:r>
        <w:rPr>
          <w:rFonts w:ascii="Arial" w:hAnsi="Arial" w:cs="Arial"/>
          <w:sz w:val="24"/>
          <w:szCs w:val="24"/>
        </w:rPr>
        <w:lastRenderedPageBreak/>
        <w:t>whichever is longer.”</w:t>
      </w:r>
      <w:r w:rsidR="0089279F">
        <w:rPr>
          <w:rStyle w:val="FootnoteReference"/>
          <w:rFonts w:ascii="Arial" w:hAnsi="Arial" w:cs="Arial"/>
          <w:sz w:val="24"/>
          <w:szCs w:val="24"/>
        </w:rPr>
        <w:footnoteReference w:id="2"/>
      </w:r>
      <w:r>
        <w:rPr>
          <w:rFonts w:ascii="Arial" w:hAnsi="Arial" w:cs="Arial"/>
          <w:sz w:val="24"/>
          <w:szCs w:val="24"/>
        </w:rPr>
        <w:t xml:space="preserve">   The Order stated that variable price should be defined as “</w:t>
      </w:r>
      <w:r w:rsidR="000A6A1A">
        <w:rPr>
          <w:rFonts w:ascii="Arial" w:hAnsi="Arial" w:cs="Arial"/>
          <w:sz w:val="24"/>
          <w:szCs w:val="24"/>
        </w:rPr>
        <w:t>[a]</w:t>
      </w:r>
      <w:r w:rsidRPr="00012AFA">
        <w:rPr>
          <w:rFonts w:ascii="Arial" w:hAnsi="Arial" w:cs="Arial"/>
          <w:sz w:val="24"/>
          <w:szCs w:val="24"/>
        </w:rPr>
        <w:t>n all-inclusive per kWh price that can change, by the hour, day, month, etc., according to the terms and conditions in the s</w:t>
      </w:r>
      <w:r>
        <w:rPr>
          <w:rFonts w:ascii="Arial" w:hAnsi="Arial" w:cs="Arial"/>
          <w:sz w:val="24"/>
          <w:szCs w:val="24"/>
        </w:rPr>
        <w:t>upplier's disclosure statement.”</w:t>
      </w:r>
      <w:r w:rsidR="0089279F">
        <w:rPr>
          <w:rStyle w:val="FootnoteReference"/>
          <w:rFonts w:ascii="Arial" w:hAnsi="Arial" w:cs="Arial"/>
          <w:sz w:val="24"/>
          <w:szCs w:val="24"/>
        </w:rPr>
        <w:footnoteReference w:id="3"/>
      </w:r>
      <w:r>
        <w:rPr>
          <w:rFonts w:ascii="Arial" w:hAnsi="Arial" w:cs="Arial"/>
          <w:sz w:val="24"/>
          <w:szCs w:val="24"/>
        </w:rPr>
        <w:t xml:space="preserve">  Finally, the Order stated that introductory price should be defined as “</w:t>
      </w:r>
      <w:r w:rsidR="000A6A1A">
        <w:rPr>
          <w:rFonts w:ascii="Arial" w:hAnsi="Arial" w:cs="Arial"/>
          <w:sz w:val="24"/>
          <w:szCs w:val="24"/>
        </w:rPr>
        <w:t>[f]</w:t>
      </w:r>
      <w:r w:rsidRPr="00012AFA">
        <w:rPr>
          <w:rFonts w:ascii="Arial" w:hAnsi="Arial" w:cs="Arial"/>
          <w:sz w:val="24"/>
          <w:szCs w:val="24"/>
        </w:rPr>
        <w:t>or new customers, an all-inclusive per kWh price that will remain the same for a limited period of time between one and three billing cycles followed by a different fixed or variable per kWh price that will be in effect for the remaining billing cycles of the contract term, consistent with terms and conditions in t</w:t>
      </w:r>
      <w:r w:rsidRPr="00C94252">
        <w:rPr>
          <w:rFonts w:ascii="Arial" w:hAnsi="Arial" w:cs="Arial"/>
          <w:sz w:val="24"/>
          <w:szCs w:val="24"/>
        </w:rPr>
        <w:t>he supplier's '</w:t>
      </w:r>
      <w:r w:rsidRPr="00012AFA">
        <w:rPr>
          <w:rFonts w:ascii="Arial" w:hAnsi="Arial" w:cs="Arial"/>
          <w:sz w:val="24"/>
          <w:szCs w:val="24"/>
        </w:rPr>
        <w:t>disclosure statement</w:t>
      </w:r>
      <w:r w:rsidR="00850AFA">
        <w:rPr>
          <w:rFonts w:ascii="Arial" w:hAnsi="Arial" w:cs="Arial"/>
          <w:sz w:val="24"/>
          <w:szCs w:val="24"/>
        </w:rPr>
        <w:t>.</w:t>
      </w:r>
      <w:r w:rsidR="00164D57">
        <w:rPr>
          <w:rFonts w:ascii="Arial" w:hAnsi="Arial" w:cs="Arial"/>
          <w:sz w:val="24"/>
          <w:szCs w:val="24"/>
        </w:rPr>
        <w:t>’</w:t>
      </w:r>
      <w:r>
        <w:rPr>
          <w:rFonts w:ascii="Arial" w:hAnsi="Arial" w:cs="Arial"/>
          <w:sz w:val="24"/>
          <w:szCs w:val="24"/>
        </w:rPr>
        <w:t>”</w:t>
      </w:r>
      <w:r w:rsidR="0089279F">
        <w:rPr>
          <w:rStyle w:val="FootnoteReference"/>
          <w:rFonts w:ascii="Arial" w:hAnsi="Arial" w:cs="Arial"/>
          <w:sz w:val="24"/>
          <w:szCs w:val="24"/>
        </w:rPr>
        <w:footnoteReference w:id="4"/>
      </w:r>
    </w:p>
    <w:p w14:paraId="34157B7C" w14:textId="5B3C8A0E" w:rsidR="004E24ED" w:rsidRPr="00F44532" w:rsidRDefault="00552EF1" w:rsidP="00832A83">
      <w:pPr>
        <w:spacing w:line="480" w:lineRule="auto"/>
        <w:jc w:val="both"/>
        <w:rPr>
          <w:rFonts w:ascii="Arial" w:hAnsi="Arial" w:cs="Arial"/>
          <w:sz w:val="24"/>
          <w:szCs w:val="24"/>
        </w:rPr>
      </w:pPr>
      <w:r>
        <w:rPr>
          <w:rFonts w:ascii="Arial" w:hAnsi="Arial" w:cs="Arial"/>
          <w:sz w:val="24"/>
          <w:szCs w:val="24"/>
        </w:rPr>
        <w:tab/>
        <w:t>As discussed further below, the Order is unlawful, unreasonable, arbitrary, and capricious; thus, the Commission should reverse the Order and correc</w:t>
      </w:r>
      <w:r w:rsidR="003A1C7C">
        <w:rPr>
          <w:rFonts w:ascii="Arial" w:hAnsi="Arial" w:cs="Arial"/>
          <w:sz w:val="24"/>
          <w:szCs w:val="24"/>
        </w:rPr>
        <w:t xml:space="preserve">t the errors identified herein.  </w:t>
      </w:r>
      <w:r w:rsidR="004E24ED">
        <w:rPr>
          <w:rFonts w:ascii="Arial" w:hAnsi="Arial" w:cs="Arial"/>
          <w:sz w:val="24"/>
          <w:szCs w:val="24"/>
        </w:rPr>
        <w:t xml:space="preserve">And, as discussed in the Motion for Stay submitted by the Retail Energy Supply Association (“RESA”), IGS urges the Commission to stay the January 1, 2016 implementation date identified in the Order.  Due to the unresolved issues identified in this Application for Rehearing, as well as the pending rulemaking proceeding being undertaken by Staff, the January 1, 2016 implementation date is </w:t>
      </w:r>
      <w:r w:rsidR="004E24ED" w:rsidRPr="00F44532">
        <w:rPr>
          <w:rFonts w:ascii="Arial" w:hAnsi="Arial" w:cs="Arial"/>
          <w:sz w:val="24"/>
          <w:szCs w:val="24"/>
        </w:rPr>
        <w:t xml:space="preserve">unworkable and will lead to customer </w:t>
      </w:r>
      <w:r w:rsidR="004E24ED" w:rsidRPr="00C94252">
        <w:rPr>
          <w:rFonts w:ascii="Arial" w:hAnsi="Arial" w:cs="Arial"/>
          <w:sz w:val="24"/>
          <w:szCs w:val="24"/>
        </w:rPr>
        <w:t xml:space="preserve">and </w:t>
      </w:r>
      <w:r w:rsidR="00C94252">
        <w:rPr>
          <w:rFonts w:ascii="Arial" w:hAnsi="Arial" w:cs="Arial"/>
          <w:sz w:val="24"/>
          <w:szCs w:val="24"/>
        </w:rPr>
        <w:t>CRES provider</w:t>
      </w:r>
      <w:r w:rsidR="004E24ED" w:rsidRPr="00C94252">
        <w:rPr>
          <w:rFonts w:ascii="Arial" w:hAnsi="Arial" w:cs="Arial"/>
          <w:sz w:val="24"/>
          <w:szCs w:val="24"/>
        </w:rPr>
        <w:t xml:space="preserve"> confu</w:t>
      </w:r>
      <w:r w:rsidR="004E24ED" w:rsidRPr="00F44532">
        <w:rPr>
          <w:rFonts w:ascii="Arial" w:hAnsi="Arial" w:cs="Arial"/>
          <w:sz w:val="24"/>
          <w:szCs w:val="24"/>
        </w:rPr>
        <w:t xml:space="preserve">sion—to the detriment of the competitive market.  </w:t>
      </w:r>
    </w:p>
    <w:p w14:paraId="372F2528" w14:textId="77777777" w:rsidR="00E36473" w:rsidRDefault="00FE7265" w:rsidP="00A03284">
      <w:pPr>
        <w:pStyle w:val="ListParagraph"/>
        <w:numPr>
          <w:ilvl w:val="0"/>
          <w:numId w:val="4"/>
        </w:numPr>
        <w:rPr>
          <w:rFonts w:ascii="Arial" w:hAnsi="Arial" w:cs="Arial"/>
          <w:b/>
          <w:sz w:val="24"/>
          <w:szCs w:val="24"/>
        </w:rPr>
      </w:pPr>
      <w:r w:rsidRPr="00090404">
        <w:rPr>
          <w:rFonts w:ascii="Arial" w:hAnsi="Arial" w:cs="Arial"/>
          <w:b/>
          <w:sz w:val="24"/>
          <w:szCs w:val="24"/>
        </w:rPr>
        <w:t>ARGUMENT</w:t>
      </w:r>
    </w:p>
    <w:p w14:paraId="26B13298" w14:textId="77777777" w:rsidR="00A03284" w:rsidRPr="00A03284" w:rsidRDefault="00A03284" w:rsidP="00A03284">
      <w:pPr>
        <w:pStyle w:val="ListParagraph"/>
        <w:ind w:left="1080"/>
        <w:rPr>
          <w:rFonts w:ascii="Arial" w:hAnsi="Arial" w:cs="Arial"/>
          <w:b/>
          <w:sz w:val="24"/>
          <w:szCs w:val="24"/>
        </w:rPr>
      </w:pPr>
    </w:p>
    <w:p w14:paraId="76EEBA7F" w14:textId="60A70210" w:rsidR="00FE7265" w:rsidRPr="00F44532" w:rsidRDefault="001F4126" w:rsidP="001F4126">
      <w:pPr>
        <w:pStyle w:val="ListParagraph"/>
        <w:numPr>
          <w:ilvl w:val="0"/>
          <w:numId w:val="5"/>
        </w:numPr>
        <w:jc w:val="both"/>
        <w:rPr>
          <w:rFonts w:ascii="Arial" w:hAnsi="Arial" w:cs="Arial"/>
          <w:b/>
          <w:sz w:val="24"/>
          <w:szCs w:val="24"/>
        </w:rPr>
      </w:pPr>
      <w:r w:rsidRPr="001F4126">
        <w:rPr>
          <w:rFonts w:ascii="Arial" w:hAnsi="Arial" w:cs="Arial"/>
          <w:b/>
          <w:sz w:val="24"/>
          <w:szCs w:val="24"/>
        </w:rPr>
        <w:t>The Order is unlawful and unreasonable inasmuch as it departs from the express language of OAC 4901:1-21-05 to prohibit pass-through provis</w:t>
      </w:r>
      <w:r w:rsidR="0000200A">
        <w:rPr>
          <w:rFonts w:ascii="Arial" w:hAnsi="Arial" w:cs="Arial"/>
          <w:b/>
          <w:sz w:val="24"/>
          <w:szCs w:val="24"/>
        </w:rPr>
        <w:t>ions in fixed-price contracts</w:t>
      </w:r>
    </w:p>
    <w:p w14:paraId="3F758CB4" w14:textId="2B6348FE" w:rsidR="00712969" w:rsidRDefault="00FE7265" w:rsidP="000A6A1A">
      <w:pPr>
        <w:spacing w:line="480" w:lineRule="auto"/>
        <w:jc w:val="both"/>
        <w:rPr>
          <w:rFonts w:ascii="Arial" w:hAnsi="Arial" w:cs="Arial"/>
          <w:sz w:val="24"/>
          <w:szCs w:val="24"/>
        </w:rPr>
      </w:pPr>
      <w:r w:rsidRPr="00F44532">
        <w:rPr>
          <w:rFonts w:ascii="Arial" w:hAnsi="Arial" w:cs="Arial"/>
          <w:sz w:val="24"/>
          <w:szCs w:val="24"/>
        </w:rPr>
        <w:lastRenderedPageBreak/>
        <w:tab/>
        <w:t>In reliance on Rule 4901:1-21-05, th</w:t>
      </w:r>
      <w:r w:rsidR="00A10456" w:rsidRPr="00F44532">
        <w:rPr>
          <w:rFonts w:ascii="Arial" w:hAnsi="Arial" w:cs="Arial"/>
          <w:sz w:val="24"/>
          <w:szCs w:val="24"/>
        </w:rPr>
        <w:t>e Order</w:t>
      </w:r>
      <w:r w:rsidRPr="00F44532">
        <w:rPr>
          <w:rFonts w:ascii="Arial" w:hAnsi="Arial" w:cs="Arial"/>
          <w:sz w:val="24"/>
          <w:szCs w:val="24"/>
        </w:rPr>
        <w:t xml:space="preserve"> determined that no contract labeled fixed-price may include</w:t>
      </w:r>
      <w:r w:rsidR="00A10456" w:rsidRPr="00F44532">
        <w:rPr>
          <w:rFonts w:ascii="Arial" w:hAnsi="Arial" w:cs="Arial"/>
          <w:sz w:val="24"/>
          <w:szCs w:val="24"/>
        </w:rPr>
        <w:t xml:space="preserve"> a clau</w:t>
      </w:r>
      <w:r w:rsidR="003A1C7C">
        <w:rPr>
          <w:rFonts w:ascii="Arial" w:hAnsi="Arial" w:cs="Arial"/>
          <w:sz w:val="24"/>
          <w:szCs w:val="24"/>
        </w:rPr>
        <w:t>se that allows the supplier</w:t>
      </w:r>
      <w:r w:rsidR="00A10456" w:rsidRPr="00F44532">
        <w:rPr>
          <w:rFonts w:ascii="Arial" w:hAnsi="Arial" w:cs="Arial"/>
          <w:sz w:val="24"/>
          <w:szCs w:val="24"/>
        </w:rPr>
        <w:t xml:space="preserve"> to pass-through to the customer additional charg</w:t>
      </w:r>
      <w:r w:rsidR="00712969" w:rsidRPr="00F44532">
        <w:rPr>
          <w:rFonts w:ascii="Arial" w:hAnsi="Arial" w:cs="Arial"/>
          <w:sz w:val="24"/>
          <w:szCs w:val="24"/>
        </w:rPr>
        <w:t xml:space="preserve">es identified in the contract.  </w:t>
      </w:r>
      <w:r w:rsidR="000A6A1A">
        <w:rPr>
          <w:rFonts w:ascii="Arial" w:hAnsi="Arial" w:cs="Arial"/>
          <w:sz w:val="24"/>
          <w:szCs w:val="24"/>
        </w:rPr>
        <w:t xml:space="preserve">As discussed below, contrary to the Order, </w:t>
      </w:r>
      <w:r w:rsidR="00712969">
        <w:rPr>
          <w:rFonts w:ascii="Arial" w:hAnsi="Arial" w:cs="Arial"/>
          <w:sz w:val="24"/>
          <w:szCs w:val="24"/>
        </w:rPr>
        <w:t xml:space="preserve">that section contains </w:t>
      </w:r>
      <w:r w:rsidR="003A1C7C">
        <w:rPr>
          <w:rFonts w:ascii="Arial" w:hAnsi="Arial" w:cs="Arial"/>
          <w:sz w:val="24"/>
          <w:szCs w:val="24"/>
        </w:rPr>
        <w:t xml:space="preserve">provisions that authorize a supplier </w:t>
      </w:r>
      <w:r w:rsidR="00712969">
        <w:rPr>
          <w:rFonts w:ascii="Arial" w:hAnsi="Arial" w:cs="Arial"/>
          <w:sz w:val="24"/>
          <w:szCs w:val="24"/>
        </w:rPr>
        <w:t>to include a pass-through clause so long as it is disclosed to the customer.</w:t>
      </w:r>
      <w:r w:rsidR="00090404">
        <w:rPr>
          <w:rFonts w:ascii="Arial" w:hAnsi="Arial" w:cs="Arial"/>
          <w:sz w:val="24"/>
          <w:szCs w:val="24"/>
        </w:rPr>
        <w:t xml:space="preserve">  Thus, the Order </w:t>
      </w:r>
      <w:r w:rsidR="000A6A1A">
        <w:rPr>
          <w:rFonts w:ascii="Arial" w:hAnsi="Arial" w:cs="Arial"/>
          <w:sz w:val="24"/>
          <w:szCs w:val="24"/>
        </w:rPr>
        <w:t xml:space="preserve">unlawfully rewrote OAC </w:t>
      </w:r>
      <w:r w:rsidR="00090404">
        <w:rPr>
          <w:rFonts w:ascii="Arial" w:hAnsi="Arial" w:cs="Arial"/>
          <w:sz w:val="24"/>
          <w:szCs w:val="24"/>
        </w:rPr>
        <w:t>4901:1-21-05 outside of a rulemaking process</w:t>
      </w:r>
      <w:r w:rsidR="000A6A1A">
        <w:rPr>
          <w:rFonts w:ascii="Arial" w:hAnsi="Arial" w:cs="Arial"/>
          <w:sz w:val="24"/>
          <w:szCs w:val="24"/>
        </w:rPr>
        <w:t xml:space="preserve"> and without obtaining approval of the modification from the Joint Committee on Agency Rule Review (“JCARR”).</w:t>
      </w:r>
    </w:p>
    <w:p w14:paraId="1BA3A4E4" w14:textId="2B45C4C9" w:rsidR="00090404" w:rsidRDefault="000A6A1A" w:rsidP="000A6A1A">
      <w:pPr>
        <w:spacing w:line="480" w:lineRule="auto"/>
        <w:jc w:val="both"/>
        <w:rPr>
          <w:rFonts w:ascii="Arial" w:hAnsi="Arial" w:cs="Arial"/>
          <w:sz w:val="24"/>
          <w:szCs w:val="24"/>
        </w:rPr>
      </w:pPr>
      <w:r>
        <w:rPr>
          <w:rFonts w:ascii="Arial" w:hAnsi="Arial" w:cs="Arial"/>
          <w:sz w:val="24"/>
          <w:szCs w:val="24"/>
        </w:rPr>
        <w:tab/>
        <w:t xml:space="preserve">OAC </w:t>
      </w:r>
      <w:r w:rsidR="00712969">
        <w:rPr>
          <w:rFonts w:ascii="Arial" w:hAnsi="Arial" w:cs="Arial"/>
          <w:sz w:val="24"/>
          <w:szCs w:val="24"/>
        </w:rPr>
        <w:t>4901:1-21-05</w:t>
      </w:r>
      <w:r w:rsidR="00533ECE">
        <w:rPr>
          <w:rFonts w:ascii="Arial" w:hAnsi="Arial" w:cs="Arial"/>
          <w:sz w:val="24"/>
          <w:szCs w:val="24"/>
        </w:rPr>
        <w:t>(C)</w:t>
      </w:r>
      <w:r w:rsidR="00712969">
        <w:rPr>
          <w:rFonts w:ascii="Arial" w:hAnsi="Arial" w:cs="Arial"/>
          <w:sz w:val="24"/>
          <w:szCs w:val="24"/>
        </w:rPr>
        <w:t>, provides that it is a misleading</w:t>
      </w:r>
      <w:r w:rsidR="00533ECE">
        <w:rPr>
          <w:rFonts w:ascii="Arial" w:hAnsi="Arial" w:cs="Arial"/>
          <w:sz w:val="24"/>
          <w:szCs w:val="24"/>
        </w:rPr>
        <w:t>,</w:t>
      </w:r>
      <w:r w:rsidR="00712969">
        <w:rPr>
          <w:rFonts w:ascii="Arial" w:hAnsi="Arial" w:cs="Arial"/>
          <w:sz w:val="24"/>
          <w:szCs w:val="24"/>
        </w:rPr>
        <w:t xml:space="preserve"> deceptive</w:t>
      </w:r>
      <w:r w:rsidR="00533ECE">
        <w:rPr>
          <w:rFonts w:ascii="Arial" w:hAnsi="Arial" w:cs="Arial"/>
          <w:sz w:val="24"/>
          <w:szCs w:val="24"/>
        </w:rPr>
        <w:t xml:space="preserve">, and unconscionable sales practice </w:t>
      </w:r>
      <w:r w:rsidR="00712969">
        <w:rPr>
          <w:rFonts w:ascii="Arial" w:hAnsi="Arial" w:cs="Arial"/>
          <w:sz w:val="24"/>
          <w:szCs w:val="24"/>
        </w:rPr>
        <w:t>to fail to comply with provision (A), (B),</w:t>
      </w:r>
      <w:r>
        <w:rPr>
          <w:rStyle w:val="FootnoteReference"/>
          <w:rFonts w:ascii="Arial" w:hAnsi="Arial" w:cs="Arial"/>
          <w:sz w:val="24"/>
          <w:szCs w:val="24"/>
        </w:rPr>
        <w:footnoteReference w:id="5"/>
      </w:r>
      <w:r w:rsidR="00712969">
        <w:rPr>
          <w:rFonts w:ascii="Arial" w:hAnsi="Arial" w:cs="Arial"/>
          <w:sz w:val="24"/>
          <w:szCs w:val="24"/>
        </w:rPr>
        <w:t xml:space="preserve"> or (C) of the rule.  Provision (A) contain</w:t>
      </w:r>
      <w:r w:rsidR="00C94252">
        <w:rPr>
          <w:rFonts w:ascii="Arial" w:hAnsi="Arial" w:cs="Arial"/>
          <w:sz w:val="24"/>
          <w:szCs w:val="24"/>
        </w:rPr>
        <w:t xml:space="preserve">s specific requirements for </w:t>
      </w:r>
      <w:r w:rsidR="00712969">
        <w:rPr>
          <w:rFonts w:ascii="Arial" w:hAnsi="Arial" w:cs="Arial"/>
          <w:sz w:val="24"/>
          <w:szCs w:val="24"/>
        </w:rPr>
        <w:t>offers to residenti</w:t>
      </w:r>
      <w:r w:rsidR="00C94252">
        <w:rPr>
          <w:rFonts w:ascii="Arial" w:hAnsi="Arial" w:cs="Arial"/>
          <w:sz w:val="24"/>
          <w:szCs w:val="24"/>
        </w:rPr>
        <w:t>al and small commercial customers</w:t>
      </w:r>
      <w:r w:rsidR="00712969">
        <w:rPr>
          <w:rFonts w:ascii="Arial" w:hAnsi="Arial" w:cs="Arial"/>
          <w:sz w:val="24"/>
          <w:szCs w:val="24"/>
        </w:rPr>
        <w:t>.</w:t>
      </w:r>
      <w:r w:rsidR="00CB7332">
        <w:rPr>
          <w:rStyle w:val="FootnoteReference"/>
          <w:rFonts w:ascii="Arial" w:hAnsi="Arial" w:cs="Arial"/>
          <w:sz w:val="24"/>
          <w:szCs w:val="24"/>
        </w:rPr>
        <w:footnoteReference w:id="6"/>
      </w:r>
      <w:r w:rsidR="00533ECE">
        <w:rPr>
          <w:rFonts w:ascii="Arial" w:hAnsi="Arial" w:cs="Arial"/>
          <w:sz w:val="24"/>
          <w:szCs w:val="24"/>
        </w:rPr>
        <w:t xml:space="preserve">  The specific language of that portion of the rule</w:t>
      </w:r>
      <w:r w:rsidR="00C94252">
        <w:rPr>
          <w:rFonts w:ascii="Arial" w:hAnsi="Arial" w:cs="Arial"/>
          <w:sz w:val="24"/>
          <w:szCs w:val="24"/>
        </w:rPr>
        <w:t>, however,</w:t>
      </w:r>
      <w:r w:rsidR="003A1C7C">
        <w:rPr>
          <w:rFonts w:ascii="Arial" w:hAnsi="Arial" w:cs="Arial"/>
          <w:sz w:val="24"/>
          <w:szCs w:val="24"/>
        </w:rPr>
        <w:t xml:space="preserve"> indicates that suppliers</w:t>
      </w:r>
      <w:r w:rsidR="00533ECE">
        <w:rPr>
          <w:rFonts w:ascii="Arial" w:hAnsi="Arial" w:cs="Arial"/>
          <w:sz w:val="24"/>
          <w:szCs w:val="24"/>
        </w:rPr>
        <w:t xml:space="preserve"> may include a properly disclosed pass-through clause.</w:t>
      </w:r>
      <w:r w:rsidR="00712969">
        <w:rPr>
          <w:rFonts w:ascii="Arial" w:hAnsi="Arial" w:cs="Arial"/>
          <w:sz w:val="24"/>
          <w:szCs w:val="24"/>
        </w:rPr>
        <w:t xml:space="preserve">  </w:t>
      </w:r>
    </w:p>
    <w:p w14:paraId="6FF98DF3" w14:textId="77777777" w:rsidR="00712969" w:rsidRDefault="00712969" w:rsidP="000A6A1A">
      <w:pPr>
        <w:spacing w:line="480" w:lineRule="auto"/>
        <w:ind w:firstLine="720"/>
        <w:jc w:val="both"/>
        <w:rPr>
          <w:rFonts w:ascii="Arial" w:hAnsi="Arial" w:cs="Arial"/>
          <w:sz w:val="24"/>
          <w:szCs w:val="24"/>
        </w:rPr>
      </w:pPr>
      <w:r>
        <w:rPr>
          <w:rFonts w:ascii="Arial" w:hAnsi="Arial" w:cs="Arial"/>
          <w:sz w:val="24"/>
          <w:szCs w:val="24"/>
        </w:rPr>
        <w:t>As is relevant to this Application for Rehearing, provision (A) indicates that an offer must include the following</w:t>
      </w:r>
      <w:r w:rsidR="00533ECE">
        <w:rPr>
          <w:rFonts w:ascii="Arial" w:hAnsi="Arial" w:cs="Arial"/>
          <w:sz w:val="24"/>
          <w:szCs w:val="24"/>
        </w:rPr>
        <w:t xml:space="preserve"> items, some of which may identify a pass-through clause</w:t>
      </w:r>
      <w:r>
        <w:rPr>
          <w:rFonts w:ascii="Arial" w:hAnsi="Arial" w:cs="Arial"/>
          <w:sz w:val="24"/>
          <w:szCs w:val="24"/>
        </w:rPr>
        <w:t>:</w:t>
      </w:r>
    </w:p>
    <w:p w14:paraId="53C79C49" w14:textId="77777777" w:rsidR="00712969" w:rsidRPr="00CB7332" w:rsidRDefault="00712969" w:rsidP="00712969">
      <w:pPr>
        <w:spacing w:line="240" w:lineRule="auto"/>
        <w:ind w:left="720" w:right="720"/>
        <w:jc w:val="both"/>
        <w:rPr>
          <w:rFonts w:ascii="Arial" w:hAnsi="Arial" w:cs="Arial"/>
          <w:b/>
          <w:sz w:val="24"/>
          <w:szCs w:val="24"/>
        </w:rPr>
      </w:pPr>
      <w:r w:rsidRPr="00CB7332">
        <w:rPr>
          <w:rFonts w:ascii="Arial" w:hAnsi="Arial" w:cs="Arial"/>
          <w:b/>
          <w:sz w:val="24"/>
          <w:szCs w:val="24"/>
        </w:rPr>
        <w:lastRenderedPageBreak/>
        <w:t xml:space="preserve">(1) For fixed-rate offers, the cost per kilowatt hour for generation service and, if applicable, transmission service. </w:t>
      </w:r>
    </w:p>
    <w:p w14:paraId="2BC383D9" w14:textId="77777777" w:rsidR="00712969" w:rsidRPr="00712969" w:rsidRDefault="00712969" w:rsidP="00712969">
      <w:pPr>
        <w:spacing w:line="240" w:lineRule="auto"/>
        <w:ind w:left="720" w:right="720"/>
        <w:jc w:val="both"/>
        <w:rPr>
          <w:rFonts w:ascii="Arial" w:hAnsi="Arial" w:cs="Arial"/>
          <w:sz w:val="24"/>
          <w:szCs w:val="24"/>
        </w:rPr>
      </w:pPr>
      <w:r w:rsidRPr="00712969">
        <w:rPr>
          <w:rFonts w:ascii="Arial" w:hAnsi="Arial" w:cs="Arial"/>
          <w:sz w:val="24"/>
          <w:szCs w:val="24"/>
        </w:rPr>
        <w:t xml:space="preserve">(2) For per cent-off discounted rates, an explanation of the discount and the basis on which any discount is calculated. </w:t>
      </w:r>
    </w:p>
    <w:p w14:paraId="06A5E1D2" w14:textId="77777777" w:rsidR="00712969" w:rsidRPr="00712969" w:rsidRDefault="00712969" w:rsidP="00712969">
      <w:pPr>
        <w:spacing w:line="240" w:lineRule="auto"/>
        <w:ind w:left="720" w:right="720"/>
        <w:jc w:val="both"/>
        <w:rPr>
          <w:rFonts w:ascii="Arial" w:hAnsi="Arial" w:cs="Arial"/>
          <w:sz w:val="24"/>
          <w:szCs w:val="24"/>
        </w:rPr>
      </w:pPr>
      <w:r w:rsidRPr="00712969">
        <w:rPr>
          <w:rFonts w:ascii="Arial" w:hAnsi="Arial" w:cs="Arial"/>
          <w:sz w:val="24"/>
          <w:szCs w:val="24"/>
        </w:rPr>
        <w:t xml:space="preserve">(3) For variable rate offers, a clear and understandable explanation of the factors that will cause the price to vary, including any related indices, and how often the price can change. </w:t>
      </w:r>
    </w:p>
    <w:p w14:paraId="24D4DB6E" w14:textId="77777777" w:rsidR="00712969" w:rsidRPr="00712969" w:rsidRDefault="00712969" w:rsidP="00712969">
      <w:pPr>
        <w:spacing w:line="240" w:lineRule="auto"/>
        <w:ind w:left="720" w:right="720"/>
        <w:jc w:val="both"/>
        <w:rPr>
          <w:rFonts w:ascii="Arial" w:hAnsi="Arial" w:cs="Arial"/>
          <w:sz w:val="24"/>
          <w:szCs w:val="24"/>
        </w:rPr>
      </w:pPr>
      <w:r w:rsidRPr="00712969">
        <w:rPr>
          <w:rFonts w:ascii="Arial" w:hAnsi="Arial" w:cs="Arial"/>
          <w:sz w:val="24"/>
          <w:szCs w:val="24"/>
        </w:rPr>
        <w:t xml:space="preserve">(4) For flat-monthly rate offers, a specific listing of the rate to be charged per month for the duration of the contract. </w:t>
      </w:r>
    </w:p>
    <w:p w14:paraId="14F2CFE6" w14:textId="77777777" w:rsidR="00712969" w:rsidRPr="00CB7332" w:rsidRDefault="00712969" w:rsidP="00712969">
      <w:pPr>
        <w:spacing w:line="240" w:lineRule="auto"/>
        <w:ind w:left="720" w:right="720"/>
        <w:jc w:val="both"/>
        <w:rPr>
          <w:rFonts w:ascii="Arial" w:hAnsi="Arial" w:cs="Arial"/>
          <w:b/>
          <w:sz w:val="24"/>
          <w:szCs w:val="24"/>
        </w:rPr>
      </w:pPr>
      <w:r w:rsidRPr="00CB7332">
        <w:rPr>
          <w:rFonts w:ascii="Arial" w:hAnsi="Arial" w:cs="Arial"/>
          <w:b/>
          <w:sz w:val="24"/>
          <w:szCs w:val="24"/>
        </w:rPr>
        <w:t xml:space="preserve">(5) The amount of any other recurring or nonrecurring CRES provider charges. </w:t>
      </w:r>
    </w:p>
    <w:p w14:paraId="421E623A" w14:textId="77777777" w:rsidR="00712969" w:rsidRPr="00712969" w:rsidRDefault="00712969" w:rsidP="00712969">
      <w:pPr>
        <w:spacing w:line="240" w:lineRule="auto"/>
        <w:ind w:left="720" w:right="720"/>
        <w:jc w:val="both"/>
        <w:rPr>
          <w:rFonts w:ascii="Arial" w:hAnsi="Arial" w:cs="Arial"/>
          <w:sz w:val="24"/>
          <w:szCs w:val="24"/>
        </w:rPr>
      </w:pPr>
      <w:r w:rsidRPr="00712969">
        <w:rPr>
          <w:rFonts w:ascii="Arial" w:hAnsi="Arial" w:cs="Arial"/>
          <w:sz w:val="24"/>
          <w:szCs w:val="24"/>
        </w:rPr>
        <w:t xml:space="preserve">(6) A statement that the customer will incur additional service and delivery charges from the electric utility. </w:t>
      </w:r>
    </w:p>
    <w:p w14:paraId="22AB2357" w14:textId="77777777" w:rsidR="00CB7332" w:rsidRDefault="00712969" w:rsidP="00533ECE">
      <w:pPr>
        <w:spacing w:line="240" w:lineRule="auto"/>
        <w:ind w:left="720" w:right="720"/>
        <w:jc w:val="both"/>
        <w:rPr>
          <w:rFonts w:ascii="Arial" w:hAnsi="Arial" w:cs="Arial"/>
          <w:sz w:val="24"/>
          <w:szCs w:val="24"/>
        </w:rPr>
      </w:pPr>
      <w:r w:rsidRPr="00CB7332">
        <w:rPr>
          <w:rFonts w:ascii="Arial" w:hAnsi="Arial" w:cs="Arial"/>
          <w:b/>
          <w:sz w:val="24"/>
          <w:szCs w:val="24"/>
        </w:rPr>
        <w:t>(7) A statement of any contract contingencies or conditions precedent</w:t>
      </w:r>
      <w:r w:rsidRPr="00712969">
        <w:rPr>
          <w:rFonts w:ascii="Arial" w:hAnsi="Arial" w:cs="Arial"/>
          <w:sz w:val="24"/>
          <w:szCs w:val="24"/>
        </w:rPr>
        <w:t>.</w:t>
      </w:r>
      <w:r w:rsidR="00533ECE">
        <w:rPr>
          <w:rStyle w:val="FootnoteReference"/>
          <w:rFonts w:ascii="Arial" w:hAnsi="Arial" w:cs="Arial"/>
          <w:sz w:val="24"/>
          <w:szCs w:val="24"/>
        </w:rPr>
        <w:footnoteReference w:id="7"/>
      </w:r>
    </w:p>
    <w:p w14:paraId="1A777309" w14:textId="61F23065" w:rsidR="00090404" w:rsidRDefault="00090404" w:rsidP="00090404">
      <w:pPr>
        <w:spacing w:line="480" w:lineRule="auto"/>
        <w:jc w:val="both"/>
        <w:rPr>
          <w:rFonts w:ascii="Arial" w:hAnsi="Arial" w:cs="Arial"/>
          <w:sz w:val="24"/>
          <w:szCs w:val="24"/>
        </w:rPr>
      </w:pPr>
      <w:r>
        <w:rPr>
          <w:rFonts w:ascii="Arial" w:hAnsi="Arial" w:cs="Arial"/>
          <w:sz w:val="24"/>
          <w:szCs w:val="24"/>
        </w:rPr>
        <w:t>The rule specifically requires disclosure of</w:t>
      </w:r>
      <w:r w:rsidRPr="00090404">
        <w:rPr>
          <w:rFonts w:ascii="Arial" w:hAnsi="Arial" w:cs="Arial"/>
          <w:sz w:val="24"/>
          <w:szCs w:val="24"/>
        </w:rPr>
        <w:t xml:space="preserve"> </w:t>
      </w:r>
      <w:r w:rsidRPr="00CB7332">
        <w:rPr>
          <w:rFonts w:ascii="Arial" w:hAnsi="Arial" w:cs="Arial"/>
          <w:sz w:val="24"/>
          <w:szCs w:val="24"/>
        </w:rPr>
        <w:t>recurring and nonrecurring charges</w:t>
      </w:r>
      <w:r>
        <w:rPr>
          <w:rFonts w:ascii="Arial" w:hAnsi="Arial" w:cs="Arial"/>
          <w:sz w:val="24"/>
          <w:szCs w:val="24"/>
        </w:rPr>
        <w:t xml:space="preserve"> and any contract contingencies or conditions precedent, but it does not indicate that such charges cannot be included in a fixed-rate contract.  </w:t>
      </w:r>
      <w:r w:rsidR="00A32BFE">
        <w:rPr>
          <w:rFonts w:ascii="Arial" w:hAnsi="Arial" w:cs="Arial"/>
          <w:sz w:val="24"/>
          <w:szCs w:val="24"/>
        </w:rPr>
        <w:t>Each of t</w:t>
      </w:r>
      <w:r>
        <w:rPr>
          <w:rFonts w:ascii="Arial" w:hAnsi="Arial" w:cs="Arial"/>
          <w:sz w:val="24"/>
          <w:szCs w:val="24"/>
        </w:rPr>
        <w:t>hese provisions could each be utilized to include a pass-through provision</w:t>
      </w:r>
      <w:r w:rsidR="00C94252">
        <w:rPr>
          <w:rFonts w:ascii="Arial" w:hAnsi="Arial" w:cs="Arial"/>
          <w:sz w:val="24"/>
          <w:szCs w:val="24"/>
        </w:rPr>
        <w:t>.</w:t>
      </w:r>
    </w:p>
    <w:p w14:paraId="7384DD1C" w14:textId="76816DF6" w:rsidR="00090404" w:rsidRDefault="00090404" w:rsidP="00A32BFE">
      <w:pPr>
        <w:spacing w:line="480" w:lineRule="auto"/>
        <w:ind w:firstLine="720"/>
        <w:jc w:val="both"/>
        <w:rPr>
          <w:rFonts w:ascii="Arial" w:hAnsi="Arial" w:cs="Arial"/>
          <w:sz w:val="24"/>
          <w:szCs w:val="24"/>
        </w:rPr>
      </w:pPr>
      <w:r>
        <w:rPr>
          <w:rFonts w:ascii="Arial" w:hAnsi="Arial" w:cs="Arial"/>
          <w:sz w:val="24"/>
          <w:szCs w:val="24"/>
        </w:rPr>
        <w:t>A recurring or non-recurring charge</w:t>
      </w:r>
      <w:r w:rsidR="00A32BFE">
        <w:rPr>
          <w:rFonts w:ascii="Arial" w:hAnsi="Arial" w:cs="Arial"/>
          <w:sz w:val="24"/>
          <w:szCs w:val="24"/>
        </w:rPr>
        <w:t xml:space="preserve"> describes a charge in </w:t>
      </w:r>
      <w:r w:rsidR="00A32BFE">
        <w:rPr>
          <w:rFonts w:ascii="Arial" w:hAnsi="Arial" w:cs="Arial"/>
          <w:i/>
          <w:sz w:val="24"/>
          <w:szCs w:val="24"/>
        </w:rPr>
        <w:t xml:space="preserve">addition </w:t>
      </w:r>
      <w:r w:rsidR="00A32BFE">
        <w:rPr>
          <w:rFonts w:ascii="Arial" w:hAnsi="Arial" w:cs="Arial"/>
          <w:sz w:val="24"/>
          <w:szCs w:val="24"/>
        </w:rPr>
        <w:t>to a fixed-rate in a contract.  Clearly, the rul</w:t>
      </w:r>
      <w:r w:rsidR="003A1C7C">
        <w:rPr>
          <w:rFonts w:ascii="Arial" w:hAnsi="Arial" w:cs="Arial"/>
          <w:sz w:val="24"/>
          <w:szCs w:val="24"/>
        </w:rPr>
        <w:t>e envisions that a supplier</w:t>
      </w:r>
      <w:r w:rsidR="00A32BFE">
        <w:rPr>
          <w:rFonts w:ascii="Arial" w:hAnsi="Arial" w:cs="Arial"/>
          <w:sz w:val="24"/>
          <w:szCs w:val="24"/>
        </w:rPr>
        <w:t xml:space="preserve"> may enumerate certain terms in their contract that would allow for the pass through of certain non-recurring charges. </w:t>
      </w:r>
    </w:p>
    <w:p w14:paraId="4B2367E4" w14:textId="4BD97DB1" w:rsidR="00090404" w:rsidRDefault="00090404" w:rsidP="00A32BFE">
      <w:pPr>
        <w:spacing w:line="480" w:lineRule="auto"/>
        <w:ind w:firstLine="720"/>
        <w:jc w:val="both"/>
        <w:rPr>
          <w:rFonts w:ascii="Arial" w:hAnsi="Arial" w:cs="Arial"/>
          <w:sz w:val="24"/>
          <w:szCs w:val="24"/>
        </w:rPr>
      </w:pPr>
      <w:r>
        <w:rPr>
          <w:rFonts w:ascii="Arial" w:hAnsi="Arial" w:cs="Arial"/>
          <w:sz w:val="24"/>
          <w:szCs w:val="24"/>
        </w:rPr>
        <w:t xml:space="preserve">  </w:t>
      </w:r>
      <w:r w:rsidR="00A32BFE">
        <w:rPr>
          <w:rFonts w:ascii="Arial" w:hAnsi="Arial" w:cs="Arial"/>
          <w:sz w:val="24"/>
          <w:szCs w:val="24"/>
        </w:rPr>
        <w:t xml:space="preserve">Likewise, </w:t>
      </w:r>
      <w:r>
        <w:rPr>
          <w:rFonts w:ascii="Arial" w:hAnsi="Arial" w:cs="Arial"/>
          <w:sz w:val="24"/>
          <w:szCs w:val="24"/>
        </w:rPr>
        <w:t>Webster’s dictionary defines contingency as an event that may but is not certain to occur.</w:t>
      </w:r>
      <w:r>
        <w:rPr>
          <w:rStyle w:val="FootnoteReference"/>
          <w:rFonts w:ascii="Arial" w:hAnsi="Arial" w:cs="Arial"/>
          <w:sz w:val="24"/>
          <w:szCs w:val="24"/>
        </w:rPr>
        <w:footnoteReference w:id="8"/>
      </w:r>
      <w:r w:rsidR="00A32BFE">
        <w:rPr>
          <w:rFonts w:ascii="Arial" w:hAnsi="Arial" w:cs="Arial"/>
          <w:sz w:val="24"/>
          <w:szCs w:val="24"/>
        </w:rPr>
        <w:t xml:space="preserve">  A pass-through clause often identifies events such as additional wholesale charges or changes that may or may not occur, which would require the imposition of additio</w:t>
      </w:r>
      <w:r w:rsidR="003A1C7C">
        <w:rPr>
          <w:rFonts w:ascii="Arial" w:hAnsi="Arial" w:cs="Arial"/>
          <w:sz w:val="24"/>
          <w:szCs w:val="24"/>
        </w:rPr>
        <w:t>nal charges at the supplier</w:t>
      </w:r>
      <w:r w:rsidR="00A32BFE">
        <w:rPr>
          <w:rFonts w:ascii="Arial" w:hAnsi="Arial" w:cs="Arial"/>
          <w:sz w:val="24"/>
          <w:szCs w:val="24"/>
        </w:rPr>
        <w:t>’s election.</w:t>
      </w:r>
      <w:r>
        <w:rPr>
          <w:rFonts w:ascii="Arial" w:hAnsi="Arial" w:cs="Arial"/>
          <w:sz w:val="24"/>
          <w:szCs w:val="24"/>
        </w:rPr>
        <w:t xml:space="preserve">  Similarly, Webster’s </w:t>
      </w:r>
      <w:r>
        <w:rPr>
          <w:rFonts w:ascii="Arial" w:hAnsi="Arial" w:cs="Arial"/>
          <w:sz w:val="24"/>
          <w:szCs w:val="24"/>
        </w:rPr>
        <w:lastRenderedPageBreak/>
        <w:t>dictionary defines condition precedent as a “</w:t>
      </w:r>
      <w:r w:rsidRPr="00406B0E">
        <w:rPr>
          <w:rFonts w:ascii="Arial" w:hAnsi="Arial" w:cs="Arial"/>
          <w:sz w:val="24"/>
          <w:szCs w:val="24"/>
        </w:rPr>
        <w:t xml:space="preserve">condition whose fulfillment must precede the vesting of an estate, the taking effect of a contract, </w:t>
      </w:r>
      <w:r w:rsidRPr="00A32BFE">
        <w:rPr>
          <w:rFonts w:ascii="Arial" w:hAnsi="Arial" w:cs="Arial"/>
          <w:i/>
          <w:sz w:val="24"/>
          <w:szCs w:val="24"/>
        </w:rPr>
        <w:t>or the accruing of a right</w:t>
      </w:r>
      <w:r>
        <w:rPr>
          <w:rFonts w:ascii="Arial" w:hAnsi="Arial" w:cs="Arial"/>
          <w:sz w:val="24"/>
          <w:szCs w:val="24"/>
        </w:rPr>
        <w:t>.”</w:t>
      </w:r>
      <w:r>
        <w:rPr>
          <w:rStyle w:val="FootnoteReference"/>
          <w:rFonts w:ascii="Arial" w:hAnsi="Arial" w:cs="Arial"/>
          <w:sz w:val="24"/>
          <w:szCs w:val="24"/>
        </w:rPr>
        <w:footnoteReference w:id="9"/>
      </w:r>
      <w:r w:rsidR="00A32BFE">
        <w:rPr>
          <w:rFonts w:ascii="Arial" w:hAnsi="Arial" w:cs="Arial"/>
          <w:sz w:val="24"/>
          <w:szCs w:val="24"/>
        </w:rPr>
        <w:t xml:space="preserve">  Thus, a condition prec</w:t>
      </w:r>
      <w:r w:rsidR="00533ECE">
        <w:rPr>
          <w:rFonts w:ascii="Arial" w:hAnsi="Arial" w:cs="Arial"/>
          <w:sz w:val="24"/>
          <w:szCs w:val="24"/>
        </w:rPr>
        <w:t>edent could describe the passage of an event, regulatory change</w:t>
      </w:r>
      <w:r w:rsidR="00164D57">
        <w:rPr>
          <w:rFonts w:ascii="Arial" w:hAnsi="Arial" w:cs="Arial"/>
          <w:sz w:val="24"/>
          <w:szCs w:val="24"/>
        </w:rPr>
        <w:t>,</w:t>
      </w:r>
      <w:r w:rsidR="00533ECE">
        <w:rPr>
          <w:rFonts w:ascii="Arial" w:hAnsi="Arial" w:cs="Arial"/>
          <w:sz w:val="24"/>
          <w:szCs w:val="24"/>
        </w:rPr>
        <w:t xml:space="preserve"> or legal change</w:t>
      </w:r>
      <w:r w:rsidR="00A32BFE">
        <w:rPr>
          <w:rFonts w:ascii="Arial" w:hAnsi="Arial" w:cs="Arial"/>
          <w:sz w:val="24"/>
          <w:szCs w:val="24"/>
        </w:rPr>
        <w:t xml:space="preserve"> that would accrue a right to</w:t>
      </w:r>
      <w:r w:rsidR="00533ECE">
        <w:rPr>
          <w:rFonts w:ascii="Arial" w:hAnsi="Arial" w:cs="Arial"/>
          <w:sz w:val="24"/>
          <w:szCs w:val="24"/>
        </w:rPr>
        <w:t xml:space="preserve"> pass-through additional identified costs</w:t>
      </w:r>
      <w:r w:rsidR="00A32BFE">
        <w:rPr>
          <w:rFonts w:ascii="Arial" w:hAnsi="Arial" w:cs="Arial"/>
          <w:sz w:val="24"/>
          <w:szCs w:val="24"/>
        </w:rPr>
        <w:t xml:space="preserve"> to t</w:t>
      </w:r>
      <w:r w:rsidR="00533ECE">
        <w:rPr>
          <w:rFonts w:ascii="Arial" w:hAnsi="Arial" w:cs="Arial"/>
          <w:sz w:val="24"/>
          <w:szCs w:val="24"/>
        </w:rPr>
        <w:t>he customer</w:t>
      </w:r>
      <w:r w:rsidR="00A32BFE">
        <w:rPr>
          <w:rFonts w:ascii="Arial" w:hAnsi="Arial" w:cs="Arial"/>
          <w:sz w:val="24"/>
          <w:szCs w:val="24"/>
        </w:rPr>
        <w:t>.</w:t>
      </w:r>
      <w:r>
        <w:rPr>
          <w:rFonts w:ascii="Arial" w:hAnsi="Arial" w:cs="Arial"/>
          <w:sz w:val="24"/>
          <w:szCs w:val="24"/>
        </w:rPr>
        <w:t xml:space="preserve">   </w:t>
      </w:r>
    </w:p>
    <w:p w14:paraId="26931466" w14:textId="23378808" w:rsidR="00873DDF" w:rsidRDefault="00CB7332" w:rsidP="00533ECE">
      <w:pPr>
        <w:spacing w:line="480" w:lineRule="auto"/>
        <w:ind w:firstLine="720"/>
        <w:jc w:val="both"/>
        <w:rPr>
          <w:rFonts w:ascii="Arial" w:hAnsi="Arial" w:cs="Arial"/>
          <w:sz w:val="24"/>
          <w:szCs w:val="24"/>
        </w:rPr>
      </w:pPr>
      <w:r w:rsidRPr="00CB7332">
        <w:rPr>
          <w:rFonts w:ascii="Arial" w:hAnsi="Arial" w:cs="Arial"/>
          <w:sz w:val="24"/>
          <w:szCs w:val="24"/>
        </w:rPr>
        <w:t xml:space="preserve">The fact that the rule requires the disclosure of </w:t>
      </w:r>
      <w:r w:rsidR="00A32BFE">
        <w:rPr>
          <w:rFonts w:ascii="Arial" w:hAnsi="Arial" w:cs="Arial"/>
          <w:sz w:val="24"/>
          <w:szCs w:val="24"/>
        </w:rPr>
        <w:t>r</w:t>
      </w:r>
      <w:r w:rsidR="00A32BFE" w:rsidRPr="00CB7332">
        <w:rPr>
          <w:rFonts w:ascii="Arial" w:hAnsi="Arial" w:cs="Arial"/>
          <w:sz w:val="24"/>
          <w:szCs w:val="24"/>
        </w:rPr>
        <w:t>ecurring and non</w:t>
      </w:r>
      <w:r w:rsidR="00A32BFE">
        <w:rPr>
          <w:rFonts w:ascii="Arial" w:hAnsi="Arial" w:cs="Arial"/>
          <w:sz w:val="24"/>
          <w:szCs w:val="24"/>
        </w:rPr>
        <w:t>-</w:t>
      </w:r>
      <w:r w:rsidR="00A32BFE" w:rsidRPr="00CB7332">
        <w:rPr>
          <w:rFonts w:ascii="Arial" w:hAnsi="Arial" w:cs="Arial"/>
          <w:sz w:val="24"/>
          <w:szCs w:val="24"/>
        </w:rPr>
        <w:t>recurring charges</w:t>
      </w:r>
      <w:r w:rsidR="00A32BFE">
        <w:rPr>
          <w:rFonts w:ascii="Arial" w:hAnsi="Arial" w:cs="Arial"/>
          <w:sz w:val="24"/>
          <w:szCs w:val="24"/>
        </w:rPr>
        <w:t xml:space="preserve"> and any contract contingencies or conditions precedent</w:t>
      </w:r>
      <w:r w:rsidR="00090404">
        <w:rPr>
          <w:rFonts w:ascii="Arial" w:hAnsi="Arial" w:cs="Arial"/>
          <w:sz w:val="24"/>
          <w:szCs w:val="24"/>
        </w:rPr>
        <w:t xml:space="preserve"> charges is </w:t>
      </w:r>
      <w:r w:rsidRPr="00CB7332">
        <w:rPr>
          <w:rFonts w:ascii="Arial" w:hAnsi="Arial" w:cs="Arial"/>
          <w:sz w:val="24"/>
          <w:szCs w:val="24"/>
        </w:rPr>
        <w:t>an admission that such charges may be included in a</w:t>
      </w:r>
      <w:r w:rsidR="003A1C7C">
        <w:rPr>
          <w:rFonts w:ascii="Arial" w:hAnsi="Arial" w:cs="Arial"/>
          <w:sz w:val="24"/>
          <w:szCs w:val="24"/>
        </w:rPr>
        <w:t xml:space="preserve"> fixed-price supplier</w:t>
      </w:r>
      <w:r w:rsidRPr="00CB7332">
        <w:rPr>
          <w:rFonts w:ascii="Arial" w:hAnsi="Arial" w:cs="Arial"/>
          <w:sz w:val="24"/>
          <w:szCs w:val="24"/>
        </w:rPr>
        <w:t xml:space="preserve"> contract.</w:t>
      </w:r>
      <w:r w:rsidR="00090404">
        <w:rPr>
          <w:rFonts w:ascii="Arial" w:hAnsi="Arial" w:cs="Arial"/>
          <w:sz w:val="24"/>
          <w:szCs w:val="24"/>
        </w:rPr>
        <w:t xml:space="preserve">  I</w:t>
      </w:r>
      <w:r>
        <w:rPr>
          <w:rFonts w:ascii="Arial" w:hAnsi="Arial" w:cs="Arial"/>
          <w:sz w:val="24"/>
          <w:szCs w:val="24"/>
        </w:rPr>
        <w:t>n other words, it wou</w:t>
      </w:r>
      <w:r w:rsidR="003A1C7C">
        <w:rPr>
          <w:rFonts w:ascii="Arial" w:hAnsi="Arial" w:cs="Arial"/>
          <w:sz w:val="24"/>
          <w:szCs w:val="24"/>
        </w:rPr>
        <w:t>ld defy reason to require a supplier</w:t>
      </w:r>
      <w:r w:rsidR="00090404">
        <w:rPr>
          <w:rFonts w:ascii="Arial" w:hAnsi="Arial" w:cs="Arial"/>
          <w:sz w:val="24"/>
          <w:szCs w:val="24"/>
        </w:rPr>
        <w:t xml:space="preserve"> to disclose the above-mentioned</w:t>
      </w:r>
      <w:r>
        <w:rPr>
          <w:rFonts w:ascii="Arial" w:hAnsi="Arial" w:cs="Arial"/>
          <w:sz w:val="24"/>
          <w:szCs w:val="24"/>
        </w:rPr>
        <w:t xml:space="preserve"> contractual term</w:t>
      </w:r>
      <w:r w:rsidR="00090404">
        <w:rPr>
          <w:rFonts w:ascii="Arial" w:hAnsi="Arial" w:cs="Arial"/>
          <w:sz w:val="24"/>
          <w:szCs w:val="24"/>
        </w:rPr>
        <w:t>s in a fixed-rate contract if they were</w:t>
      </w:r>
      <w:r>
        <w:rPr>
          <w:rFonts w:ascii="Arial" w:hAnsi="Arial" w:cs="Arial"/>
          <w:sz w:val="24"/>
          <w:szCs w:val="24"/>
        </w:rPr>
        <w:t xml:space="preserve"> not permitted to be included in the contract in the first instance.</w:t>
      </w:r>
      <w:r w:rsidR="00533ECE">
        <w:rPr>
          <w:rFonts w:ascii="Arial" w:hAnsi="Arial" w:cs="Arial"/>
          <w:sz w:val="24"/>
          <w:szCs w:val="24"/>
        </w:rPr>
        <w:t xml:space="preserve">  The Order ignores the existence of these portions of rule—eff</w:t>
      </w:r>
      <w:r w:rsidR="008B0FF0">
        <w:rPr>
          <w:rFonts w:ascii="Arial" w:hAnsi="Arial" w:cs="Arial"/>
          <w:sz w:val="24"/>
          <w:szCs w:val="24"/>
        </w:rPr>
        <w:t>ectively deleting these portions</w:t>
      </w:r>
      <w:r w:rsidR="00533ECE">
        <w:rPr>
          <w:rFonts w:ascii="Arial" w:hAnsi="Arial" w:cs="Arial"/>
          <w:sz w:val="24"/>
          <w:szCs w:val="24"/>
        </w:rPr>
        <w:t xml:space="preserve"> without explanation. </w:t>
      </w:r>
      <w:r w:rsidR="008B0FF0">
        <w:rPr>
          <w:rFonts w:ascii="Arial" w:hAnsi="Arial" w:cs="Arial"/>
          <w:sz w:val="24"/>
          <w:szCs w:val="24"/>
        </w:rPr>
        <w:t xml:space="preserve"> Because</w:t>
      </w:r>
      <w:r>
        <w:rPr>
          <w:rFonts w:ascii="Arial" w:hAnsi="Arial" w:cs="Arial"/>
          <w:sz w:val="24"/>
          <w:szCs w:val="24"/>
        </w:rPr>
        <w:t xml:space="preserve"> each of the above</w:t>
      </w:r>
      <w:r w:rsidR="00090404">
        <w:rPr>
          <w:rFonts w:ascii="Arial" w:hAnsi="Arial" w:cs="Arial"/>
          <w:sz w:val="24"/>
          <w:szCs w:val="24"/>
        </w:rPr>
        <w:t>-mentioned</w:t>
      </w:r>
      <w:r>
        <w:rPr>
          <w:rFonts w:ascii="Arial" w:hAnsi="Arial" w:cs="Arial"/>
          <w:sz w:val="24"/>
          <w:szCs w:val="24"/>
        </w:rPr>
        <w:t xml:space="preserve"> contractual terms would permit the use of a pass-through clause, the Order unlawfully and unreasonably determined that fixed-rate contracts cannot include a pass-through clause.</w:t>
      </w:r>
    </w:p>
    <w:p w14:paraId="5DAA699C" w14:textId="246A5F9E" w:rsidR="00D92EF0" w:rsidRDefault="00D92EF0" w:rsidP="00D92EF0">
      <w:pPr>
        <w:spacing w:line="480" w:lineRule="auto"/>
        <w:ind w:firstLine="720"/>
        <w:jc w:val="both"/>
        <w:rPr>
          <w:rFonts w:ascii="Arial" w:hAnsi="Arial" w:cs="Arial"/>
          <w:sz w:val="24"/>
          <w:szCs w:val="24"/>
        </w:rPr>
      </w:pPr>
      <w:r>
        <w:rPr>
          <w:rFonts w:ascii="Arial" w:hAnsi="Arial" w:cs="Arial"/>
          <w:sz w:val="24"/>
          <w:szCs w:val="24"/>
        </w:rPr>
        <w:t xml:space="preserve">Finally, it is important to consider that the Commission’s determination regarding the validity of pass-through clauses may have unintended negative consequences.  While this investigation is </w:t>
      </w:r>
      <w:r w:rsidR="00164D57">
        <w:rPr>
          <w:rFonts w:ascii="Arial" w:hAnsi="Arial" w:cs="Arial"/>
          <w:sz w:val="24"/>
          <w:szCs w:val="24"/>
        </w:rPr>
        <w:t xml:space="preserve">focused </w:t>
      </w:r>
      <w:r>
        <w:rPr>
          <w:rFonts w:ascii="Arial" w:hAnsi="Arial" w:cs="Arial"/>
          <w:sz w:val="24"/>
          <w:szCs w:val="24"/>
        </w:rPr>
        <w:t xml:space="preserve">on the pass-through of additional unanticipated costs, the Order’s holding is equally applicable to the pass-through of unanticipated credits.  For example, the Commission recently issued an order in Ohio Power Company’s electric security plan case, which directed the utility to bill customers directly for transmission charges.  These transmission charges were already included in many of </w:t>
      </w:r>
      <w:r>
        <w:rPr>
          <w:rFonts w:ascii="Arial" w:hAnsi="Arial" w:cs="Arial"/>
          <w:sz w:val="24"/>
          <w:szCs w:val="24"/>
        </w:rPr>
        <w:lastRenderedPageBreak/>
        <w:t>the supplier contracts.  To the extent that a supplier had a fixed-price contract with a pass-through clause related to a regulatory change, the supplier would not be permitted to pass through to the customer the reduction that resulted from the utility billing the customer directly for transmission charges.</w:t>
      </w:r>
    </w:p>
    <w:p w14:paraId="28558540" w14:textId="37B3F8D1" w:rsidR="00CB7332" w:rsidRDefault="00873DDF" w:rsidP="00533ECE">
      <w:pPr>
        <w:spacing w:line="480" w:lineRule="auto"/>
        <w:ind w:firstLine="720"/>
        <w:jc w:val="both"/>
        <w:rPr>
          <w:rFonts w:ascii="Arial" w:hAnsi="Arial" w:cs="Arial"/>
          <w:sz w:val="24"/>
          <w:szCs w:val="24"/>
        </w:rPr>
      </w:pPr>
      <w:r>
        <w:rPr>
          <w:rFonts w:ascii="Arial" w:hAnsi="Arial" w:cs="Arial"/>
          <w:sz w:val="24"/>
          <w:szCs w:val="24"/>
        </w:rPr>
        <w:t xml:space="preserve">To be clear, IGS does not oppose further consideration of new disclosure requirements pertaining to pass-through clauses in residential and small commercial contracts.  But those changes should be considered in a separate rulemaking proceeding that provides suppliers with sufficient time to implement any changes. </w:t>
      </w:r>
      <w:r w:rsidR="00533ECE">
        <w:rPr>
          <w:rFonts w:ascii="Arial" w:hAnsi="Arial" w:cs="Arial"/>
          <w:sz w:val="24"/>
          <w:szCs w:val="24"/>
        </w:rPr>
        <w:t xml:space="preserve">  </w:t>
      </w:r>
      <w:r w:rsidR="00CB7332">
        <w:rPr>
          <w:rFonts w:ascii="Arial" w:hAnsi="Arial" w:cs="Arial"/>
          <w:sz w:val="24"/>
          <w:szCs w:val="24"/>
        </w:rPr>
        <w:t xml:space="preserve">  </w:t>
      </w:r>
    </w:p>
    <w:p w14:paraId="73E59F8B" w14:textId="1732826D" w:rsidR="00CB7332" w:rsidRPr="00A32BFE" w:rsidRDefault="00A32BFE" w:rsidP="001F4126">
      <w:pPr>
        <w:pStyle w:val="ListParagraph"/>
        <w:numPr>
          <w:ilvl w:val="0"/>
          <w:numId w:val="5"/>
        </w:numPr>
        <w:spacing w:line="240" w:lineRule="auto"/>
        <w:jc w:val="both"/>
        <w:rPr>
          <w:rFonts w:ascii="Arial" w:hAnsi="Arial" w:cs="Arial"/>
          <w:b/>
          <w:sz w:val="24"/>
          <w:szCs w:val="24"/>
        </w:rPr>
      </w:pPr>
      <w:r>
        <w:rPr>
          <w:rFonts w:ascii="Arial" w:hAnsi="Arial" w:cs="Arial"/>
          <w:b/>
          <w:sz w:val="24"/>
          <w:szCs w:val="24"/>
        </w:rPr>
        <w:t>Th</w:t>
      </w:r>
      <w:r w:rsidR="001F4126" w:rsidRPr="001F4126">
        <w:rPr>
          <w:rFonts w:ascii="Arial" w:hAnsi="Arial" w:cs="Arial"/>
          <w:b/>
          <w:sz w:val="24"/>
          <w:szCs w:val="24"/>
        </w:rPr>
        <w:t>e Order is unlawful and unreasonable inasmuch as it prohibited suppliers from including pass-through clauses in fixed-price contracts with commercial and industrial contracts.  The Order unjustly and unreasonably determined that such provisions are misleadin</w:t>
      </w:r>
      <w:r w:rsidR="001F4126">
        <w:rPr>
          <w:rFonts w:ascii="Arial" w:hAnsi="Arial" w:cs="Arial"/>
          <w:b/>
          <w:sz w:val="24"/>
          <w:szCs w:val="24"/>
        </w:rPr>
        <w:t>g, deceptive, or unconscionable</w:t>
      </w:r>
    </w:p>
    <w:p w14:paraId="4B2699A5" w14:textId="1DF068F7" w:rsidR="008B0FF0" w:rsidRDefault="0022046F" w:rsidP="0076287C">
      <w:pPr>
        <w:spacing w:line="480" w:lineRule="auto"/>
        <w:ind w:firstLine="720"/>
        <w:jc w:val="both"/>
        <w:rPr>
          <w:rFonts w:ascii="Arial" w:hAnsi="Arial" w:cs="Arial"/>
          <w:sz w:val="24"/>
          <w:szCs w:val="24"/>
        </w:rPr>
      </w:pPr>
      <w:r w:rsidRPr="00CB7332">
        <w:rPr>
          <w:rFonts w:ascii="Arial" w:hAnsi="Arial" w:cs="Arial"/>
          <w:sz w:val="24"/>
          <w:szCs w:val="24"/>
        </w:rPr>
        <w:t>The only section of OAC 4</w:t>
      </w:r>
      <w:r w:rsidR="00A32BFE">
        <w:rPr>
          <w:rFonts w:ascii="Arial" w:hAnsi="Arial" w:cs="Arial"/>
          <w:sz w:val="24"/>
          <w:szCs w:val="24"/>
        </w:rPr>
        <w:t>901:1-21-05 that</w:t>
      </w:r>
      <w:r w:rsidR="00533ECE">
        <w:rPr>
          <w:rFonts w:ascii="Arial" w:hAnsi="Arial" w:cs="Arial"/>
          <w:sz w:val="24"/>
          <w:szCs w:val="24"/>
        </w:rPr>
        <w:t xml:space="preserve"> is </w:t>
      </w:r>
      <w:r w:rsidR="00A32BFE">
        <w:rPr>
          <w:rFonts w:ascii="Arial" w:hAnsi="Arial" w:cs="Arial"/>
          <w:sz w:val="24"/>
          <w:szCs w:val="24"/>
        </w:rPr>
        <w:t>applicable</w:t>
      </w:r>
      <w:r w:rsidRPr="00CB7332">
        <w:rPr>
          <w:rFonts w:ascii="Arial" w:hAnsi="Arial" w:cs="Arial"/>
          <w:sz w:val="24"/>
          <w:szCs w:val="24"/>
        </w:rPr>
        <w:t xml:space="preserve"> to </w:t>
      </w:r>
      <w:r w:rsidR="00CA63A6" w:rsidRPr="00CB7332">
        <w:rPr>
          <w:rFonts w:ascii="Arial" w:hAnsi="Arial" w:cs="Arial"/>
          <w:sz w:val="24"/>
          <w:szCs w:val="24"/>
        </w:rPr>
        <w:t>mercantile c</w:t>
      </w:r>
      <w:r w:rsidR="00A32BFE">
        <w:rPr>
          <w:rFonts w:ascii="Arial" w:hAnsi="Arial" w:cs="Arial"/>
          <w:sz w:val="24"/>
          <w:szCs w:val="24"/>
        </w:rPr>
        <w:t>ustomers is provision</w:t>
      </w:r>
      <w:r w:rsidRPr="00CB7332">
        <w:rPr>
          <w:rFonts w:ascii="Arial" w:hAnsi="Arial" w:cs="Arial"/>
          <w:sz w:val="24"/>
          <w:szCs w:val="24"/>
        </w:rPr>
        <w:t xml:space="preserve"> (C).</w:t>
      </w:r>
      <w:r w:rsidR="00CA63A6" w:rsidRPr="00CB7332">
        <w:rPr>
          <w:rFonts w:ascii="Arial" w:hAnsi="Arial" w:cs="Arial"/>
          <w:sz w:val="24"/>
          <w:szCs w:val="24"/>
        </w:rPr>
        <w:t xml:space="preserve">  That sect</w:t>
      </w:r>
      <w:r w:rsidR="003A1C7C">
        <w:rPr>
          <w:rFonts w:ascii="Arial" w:hAnsi="Arial" w:cs="Arial"/>
          <w:sz w:val="24"/>
          <w:szCs w:val="24"/>
        </w:rPr>
        <w:t>ion provides that a supplier</w:t>
      </w:r>
      <w:r w:rsidR="00CA63A6" w:rsidRPr="00CB7332">
        <w:rPr>
          <w:rFonts w:ascii="Arial" w:hAnsi="Arial" w:cs="Arial"/>
          <w:sz w:val="24"/>
          <w:szCs w:val="24"/>
        </w:rPr>
        <w:t xml:space="preserve"> may not engage in unfair, misleading, and deceptive, or unconscionable sales acts, and includes a list of enumerated prohibited acts.</w:t>
      </w:r>
      <w:r w:rsidR="008B0FF0">
        <w:rPr>
          <w:rFonts w:ascii="Arial" w:hAnsi="Arial" w:cs="Arial"/>
          <w:sz w:val="24"/>
          <w:szCs w:val="24"/>
        </w:rPr>
        <w:t xml:space="preserve">  The </w:t>
      </w:r>
      <w:r w:rsidR="00A32BFE">
        <w:rPr>
          <w:rFonts w:ascii="Arial" w:hAnsi="Arial" w:cs="Arial"/>
          <w:sz w:val="24"/>
          <w:szCs w:val="24"/>
        </w:rPr>
        <w:t>enumerated acts, howeve</w:t>
      </w:r>
      <w:r w:rsidR="008B0FF0">
        <w:rPr>
          <w:rFonts w:ascii="Arial" w:hAnsi="Arial" w:cs="Arial"/>
          <w:sz w:val="24"/>
          <w:szCs w:val="24"/>
        </w:rPr>
        <w:t xml:space="preserve">r, are </w:t>
      </w:r>
      <w:r w:rsidR="00A32BFE">
        <w:rPr>
          <w:rFonts w:ascii="Arial" w:hAnsi="Arial" w:cs="Arial"/>
          <w:sz w:val="24"/>
          <w:szCs w:val="24"/>
        </w:rPr>
        <w:t xml:space="preserve">applicable to </w:t>
      </w:r>
      <w:r w:rsidR="008B0FF0">
        <w:rPr>
          <w:rFonts w:ascii="Arial" w:hAnsi="Arial" w:cs="Arial"/>
          <w:sz w:val="24"/>
          <w:szCs w:val="24"/>
        </w:rPr>
        <w:t xml:space="preserve">interactions with </w:t>
      </w:r>
      <w:r w:rsidR="00A32BFE">
        <w:rPr>
          <w:rFonts w:ascii="Arial" w:hAnsi="Arial" w:cs="Arial"/>
          <w:sz w:val="24"/>
          <w:szCs w:val="24"/>
        </w:rPr>
        <w:t>residential and small commercial customers, as well as promotional materials not typically provided to commercial and industrial customers.</w:t>
      </w:r>
      <w:r w:rsidR="00A32BFE">
        <w:rPr>
          <w:rStyle w:val="FootnoteReference"/>
          <w:rFonts w:ascii="Arial" w:hAnsi="Arial" w:cs="Arial"/>
          <w:sz w:val="24"/>
          <w:szCs w:val="24"/>
        </w:rPr>
        <w:footnoteReference w:id="10"/>
      </w:r>
      <w:r w:rsidR="0012473E">
        <w:rPr>
          <w:rFonts w:ascii="Arial" w:hAnsi="Arial" w:cs="Arial"/>
          <w:sz w:val="24"/>
          <w:szCs w:val="24"/>
        </w:rPr>
        <w:t xml:space="preserve">  Thus, the Order imp</w:t>
      </w:r>
      <w:r w:rsidR="008B0FF0">
        <w:rPr>
          <w:rFonts w:ascii="Arial" w:hAnsi="Arial" w:cs="Arial"/>
          <w:sz w:val="24"/>
          <w:szCs w:val="24"/>
        </w:rPr>
        <w:t>licitly determined that entering into</w:t>
      </w:r>
      <w:r w:rsidR="0012473E">
        <w:rPr>
          <w:rFonts w:ascii="Arial" w:hAnsi="Arial" w:cs="Arial"/>
          <w:sz w:val="24"/>
          <w:szCs w:val="24"/>
        </w:rPr>
        <w:t xml:space="preserve"> a fixed-price contract that contains a pass-th</w:t>
      </w:r>
      <w:r w:rsidR="008B0FF0">
        <w:rPr>
          <w:rFonts w:ascii="Arial" w:hAnsi="Arial" w:cs="Arial"/>
          <w:sz w:val="24"/>
          <w:szCs w:val="24"/>
        </w:rPr>
        <w:t>rough clause to a commercial or</w:t>
      </w:r>
      <w:r w:rsidR="0012473E">
        <w:rPr>
          <w:rFonts w:ascii="Arial" w:hAnsi="Arial" w:cs="Arial"/>
          <w:sz w:val="24"/>
          <w:szCs w:val="24"/>
        </w:rPr>
        <w:t xml:space="preserve"> industrial contract is unfair, deceptive, and unconscionable.</w:t>
      </w:r>
      <w:r w:rsidR="0076287C">
        <w:rPr>
          <w:rFonts w:ascii="Arial" w:hAnsi="Arial" w:cs="Arial"/>
          <w:sz w:val="24"/>
          <w:szCs w:val="24"/>
        </w:rPr>
        <w:t xml:space="preserve">  That determination is unjust and unreasonable.</w:t>
      </w:r>
    </w:p>
    <w:p w14:paraId="22E13C6A" w14:textId="1E9EF004" w:rsidR="0076287C" w:rsidRDefault="008B0FF0" w:rsidP="008B0FF0">
      <w:pPr>
        <w:spacing w:line="480" w:lineRule="auto"/>
        <w:ind w:firstLine="720"/>
        <w:jc w:val="both"/>
        <w:rPr>
          <w:rFonts w:ascii="Arial" w:hAnsi="Arial" w:cs="Arial"/>
          <w:sz w:val="24"/>
          <w:szCs w:val="24"/>
        </w:rPr>
      </w:pPr>
      <w:r>
        <w:rPr>
          <w:rFonts w:ascii="Arial" w:hAnsi="Arial" w:cs="Arial"/>
          <w:sz w:val="24"/>
          <w:szCs w:val="24"/>
        </w:rPr>
        <w:t>As discussed above, the rule currently allows inclusion of pass-through clauses in fixed-rate contract</w:t>
      </w:r>
      <w:r w:rsidR="00C94252">
        <w:rPr>
          <w:rFonts w:ascii="Arial" w:hAnsi="Arial" w:cs="Arial"/>
          <w:sz w:val="24"/>
          <w:szCs w:val="24"/>
        </w:rPr>
        <w:t>s</w:t>
      </w:r>
      <w:r>
        <w:rPr>
          <w:rFonts w:ascii="Arial" w:hAnsi="Arial" w:cs="Arial"/>
          <w:sz w:val="24"/>
          <w:szCs w:val="24"/>
        </w:rPr>
        <w:t xml:space="preserve"> with residential and small commercial customers.  It cannot follow </w:t>
      </w:r>
      <w:r w:rsidR="0098580D">
        <w:rPr>
          <w:rFonts w:ascii="Arial" w:hAnsi="Arial" w:cs="Arial"/>
          <w:sz w:val="24"/>
          <w:szCs w:val="24"/>
        </w:rPr>
        <w:lastRenderedPageBreak/>
        <w:t xml:space="preserve">that </w:t>
      </w:r>
      <w:r>
        <w:rPr>
          <w:rFonts w:ascii="Arial" w:hAnsi="Arial" w:cs="Arial"/>
          <w:sz w:val="24"/>
          <w:szCs w:val="24"/>
        </w:rPr>
        <w:t>it is misleading, deceptive, and unconscionable to include pass-through clause</w:t>
      </w:r>
      <w:r w:rsidR="0098580D">
        <w:rPr>
          <w:rFonts w:ascii="Arial" w:hAnsi="Arial" w:cs="Arial"/>
          <w:sz w:val="24"/>
          <w:szCs w:val="24"/>
        </w:rPr>
        <w:t xml:space="preserve"> </w:t>
      </w:r>
      <w:r>
        <w:rPr>
          <w:rFonts w:ascii="Arial" w:hAnsi="Arial" w:cs="Arial"/>
          <w:sz w:val="24"/>
          <w:szCs w:val="24"/>
        </w:rPr>
        <w:t xml:space="preserve">with more sophisticated customers. </w:t>
      </w:r>
    </w:p>
    <w:p w14:paraId="35D77072" w14:textId="7124D8EE" w:rsidR="008B0FF0" w:rsidRDefault="008B0FF0" w:rsidP="008A6850">
      <w:pPr>
        <w:spacing w:line="480" w:lineRule="auto"/>
        <w:ind w:firstLine="720"/>
        <w:jc w:val="both"/>
        <w:rPr>
          <w:rFonts w:ascii="Arial" w:hAnsi="Arial" w:cs="Arial"/>
          <w:sz w:val="24"/>
          <w:szCs w:val="24"/>
        </w:rPr>
      </w:pPr>
      <w:r>
        <w:rPr>
          <w:rFonts w:ascii="Arial" w:hAnsi="Arial" w:cs="Arial"/>
          <w:sz w:val="24"/>
          <w:szCs w:val="24"/>
        </w:rPr>
        <w:t>Moreover, i</w:t>
      </w:r>
      <w:r w:rsidR="008A6850">
        <w:rPr>
          <w:rFonts w:ascii="Arial" w:hAnsi="Arial" w:cs="Arial"/>
          <w:sz w:val="24"/>
          <w:szCs w:val="24"/>
        </w:rPr>
        <w:t>f a pass-through clause is included and properly disclosed in a contract</w:t>
      </w:r>
      <w:r>
        <w:rPr>
          <w:rFonts w:ascii="Arial" w:hAnsi="Arial" w:cs="Arial"/>
          <w:sz w:val="24"/>
          <w:szCs w:val="24"/>
        </w:rPr>
        <w:t xml:space="preserve"> with a commercial or industrial customer</w:t>
      </w:r>
      <w:r w:rsidR="008A6850">
        <w:rPr>
          <w:rFonts w:ascii="Arial" w:hAnsi="Arial" w:cs="Arial"/>
          <w:sz w:val="24"/>
          <w:szCs w:val="24"/>
        </w:rPr>
        <w:t xml:space="preserve"> that otherwise contains a fixed-price for electricity (or perhaps a fixed-price for the energy portion of the bill), it would be unjust and unreasonable to</w:t>
      </w:r>
      <w:r w:rsidR="003A1C7C">
        <w:rPr>
          <w:rFonts w:ascii="Arial" w:hAnsi="Arial" w:cs="Arial"/>
          <w:sz w:val="24"/>
          <w:szCs w:val="24"/>
        </w:rPr>
        <w:t xml:space="preserve"> determine that a supplier </w:t>
      </w:r>
      <w:r w:rsidR="008A6850">
        <w:rPr>
          <w:rFonts w:ascii="Arial" w:hAnsi="Arial" w:cs="Arial"/>
          <w:sz w:val="24"/>
          <w:szCs w:val="24"/>
        </w:rPr>
        <w:t>has done wrongdoing.</w:t>
      </w:r>
      <w:r w:rsidR="008A6850" w:rsidRPr="008A6850">
        <w:rPr>
          <w:rFonts w:ascii="Arial" w:hAnsi="Arial" w:cs="Arial"/>
          <w:sz w:val="24"/>
          <w:szCs w:val="24"/>
        </w:rPr>
        <w:t xml:space="preserve"> </w:t>
      </w:r>
      <w:r w:rsidR="008A6850">
        <w:rPr>
          <w:rFonts w:ascii="Arial" w:hAnsi="Arial" w:cs="Arial"/>
          <w:sz w:val="24"/>
          <w:szCs w:val="24"/>
        </w:rPr>
        <w:t>Commercial and industrial customers are sophisticated purchasers of electricity.</w:t>
      </w:r>
      <w:r>
        <w:rPr>
          <w:rFonts w:ascii="Arial" w:hAnsi="Arial" w:cs="Arial"/>
          <w:sz w:val="24"/>
          <w:szCs w:val="24"/>
        </w:rPr>
        <w:t xml:space="preserve">  It is clear by this proceeding and others that commercial and industrial customers are represented by counsel and review terms and conditions in their contract closely. </w:t>
      </w:r>
      <w:r w:rsidR="008A6850" w:rsidRPr="008A6850">
        <w:rPr>
          <w:rFonts w:ascii="Arial" w:hAnsi="Arial" w:cs="Arial"/>
          <w:sz w:val="24"/>
          <w:szCs w:val="24"/>
        </w:rPr>
        <w:t xml:space="preserve"> </w:t>
      </w:r>
      <w:r w:rsidR="008A6850">
        <w:rPr>
          <w:rFonts w:ascii="Arial" w:hAnsi="Arial" w:cs="Arial"/>
          <w:sz w:val="24"/>
          <w:szCs w:val="24"/>
        </w:rPr>
        <w:t>Yet, the Order assumes that these customers do not read the terms and conditions in their contracts or understand a pass-through clause.</w:t>
      </w:r>
      <w:r>
        <w:rPr>
          <w:rFonts w:ascii="Arial" w:hAnsi="Arial" w:cs="Arial"/>
          <w:sz w:val="24"/>
          <w:szCs w:val="24"/>
        </w:rPr>
        <w:t xml:space="preserve">  If a customer understands that a contract contains a pass-through provision and the nature of the costs related to the clause, it cannot follow </w:t>
      </w:r>
      <w:r w:rsidR="003A1C7C">
        <w:rPr>
          <w:rFonts w:ascii="Arial" w:hAnsi="Arial" w:cs="Arial"/>
          <w:sz w:val="24"/>
          <w:szCs w:val="24"/>
        </w:rPr>
        <w:t>that the supplier</w:t>
      </w:r>
      <w:r>
        <w:rPr>
          <w:rFonts w:ascii="Arial" w:hAnsi="Arial" w:cs="Arial"/>
          <w:sz w:val="24"/>
          <w:szCs w:val="24"/>
        </w:rPr>
        <w:t xml:space="preserve"> has mislead or deceived the customer.  </w:t>
      </w:r>
    </w:p>
    <w:p w14:paraId="25019943" w14:textId="758DE587" w:rsidR="0076287C" w:rsidRDefault="008B0FF0" w:rsidP="008A6850">
      <w:pPr>
        <w:spacing w:line="480" w:lineRule="auto"/>
        <w:ind w:firstLine="720"/>
        <w:jc w:val="both"/>
        <w:rPr>
          <w:rFonts w:ascii="Arial" w:hAnsi="Arial" w:cs="Arial"/>
          <w:sz w:val="24"/>
          <w:szCs w:val="24"/>
        </w:rPr>
      </w:pPr>
      <w:r>
        <w:rPr>
          <w:rFonts w:ascii="Arial" w:hAnsi="Arial" w:cs="Arial"/>
          <w:sz w:val="24"/>
          <w:szCs w:val="24"/>
        </w:rPr>
        <w:t xml:space="preserve">Commercial and industrial </w:t>
      </w:r>
      <w:r w:rsidR="008A6850">
        <w:rPr>
          <w:rFonts w:ascii="Arial" w:hAnsi="Arial" w:cs="Arial"/>
          <w:sz w:val="24"/>
          <w:szCs w:val="24"/>
        </w:rPr>
        <w:t>customers</w:t>
      </w:r>
      <w:r w:rsidR="0076287C">
        <w:rPr>
          <w:rFonts w:ascii="Arial" w:hAnsi="Arial" w:cs="Arial"/>
          <w:sz w:val="24"/>
          <w:szCs w:val="24"/>
        </w:rPr>
        <w:t xml:space="preserve"> are not shy to file complaints before this Commission when a </w:t>
      </w:r>
      <w:r w:rsidR="003A1C7C">
        <w:rPr>
          <w:rFonts w:ascii="Arial" w:hAnsi="Arial" w:cs="Arial"/>
          <w:sz w:val="24"/>
          <w:szCs w:val="24"/>
        </w:rPr>
        <w:t xml:space="preserve">supplier </w:t>
      </w:r>
      <w:r w:rsidR="0076287C">
        <w:rPr>
          <w:rFonts w:ascii="Arial" w:hAnsi="Arial" w:cs="Arial"/>
          <w:sz w:val="24"/>
          <w:szCs w:val="24"/>
        </w:rPr>
        <w:t>att</w:t>
      </w:r>
      <w:r w:rsidR="008A6850">
        <w:rPr>
          <w:rFonts w:ascii="Arial" w:hAnsi="Arial" w:cs="Arial"/>
          <w:sz w:val="24"/>
          <w:szCs w:val="24"/>
        </w:rPr>
        <w:t xml:space="preserve">empts to pass </w:t>
      </w:r>
      <w:r w:rsidR="0076287C">
        <w:rPr>
          <w:rFonts w:ascii="Arial" w:hAnsi="Arial" w:cs="Arial"/>
          <w:sz w:val="24"/>
          <w:szCs w:val="24"/>
        </w:rPr>
        <w:t>a cost</w:t>
      </w:r>
      <w:r w:rsidR="008A6850">
        <w:rPr>
          <w:rFonts w:ascii="Arial" w:hAnsi="Arial" w:cs="Arial"/>
          <w:sz w:val="24"/>
          <w:szCs w:val="24"/>
        </w:rPr>
        <w:t xml:space="preserve"> </w:t>
      </w:r>
      <w:r w:rsidR="0076287C">
        <w:rPr>
          <w:rFonts w:ascii="Arial" w:hAnsi="Arial" w:cs="Arial"/>
          <w:sz w:val="24"/>
          <w:szCs w:val="24"/>
        </w:rPr>
        <w:t>that is alleg</w:t>
      </w:r>
      <w:r w:rsidR="008A6850">
        <w:rPr>
          <w:rFonts w:ascii="Arial" w:hAnsi="Arial" w:cs="Arial"/>
          <w:sz w:val="24"/>
          <w:szCs w:val="24"/>
        </w:rPr>
        <w:t xml:space="preserve">edly outside the terms and condition of the contract.  Rather than place limitations on the types of contracts that willing sellers and willing sophisticated buyers may enter, the Commission should rely on the dispute resolution process that exists today and works well.   </w:t>
      </w:r>
    </w:p>
    <w:p w14:paraId="73EA2F0C" w14:textId="1BEB2032" w:rsidR="001F4126" w:rsidRPr="001F4126" w:rsidRDefault="008A6850" w:rsidP="001F4126">
      <w:pPr>
        <w:pStyle w:val="ListParagraph"/>
        <w:numPr>
          <w:ilvl w:val="0"/>
          <w:numId w:val="5"/>
        </w:numPr>
        <w:jc w:val="both"/>
        <w:rPr>
          <w:rFonts w:ascii="Arial" w:hAnsi="Arial" w:cs="Arial"/>
          <w:b/>
          <w:sz w:val="24"/>
          <w:szCs w:val="24"/>
        </w:rPr>
      </w:pPr>
      <w:r w:rsidRPr="001F4126">
        <w:rPr>
          <w:rFonts w:ascii="Arial" w:hAnsi="Arial" w:cs="Arial"/>
          <w:b/>
          <w:sz w:val="24"/>
          <w:szCs w:val="24"/>
        </w:rPr>
        <w:t>T</w:t>
      </w:r>
      <w:r w:rsidR="001F4126">
        <w:rPr>
          <w:rFonts w:ascii="Arial" w:hAnsi="Arial" w:cs="Arial"/>
          <w:b/>
          <w:sz w:val="24"/>
          <w:szCs w:val="24"/>
        </w:rPr>
        <w:t>he</w:t>
      </w:r>
      <w:r w:rsidR="001F4126" w:rsidRPr="001F4126">
        <w:rPr>
          <w:rFonts w:ascii="Arial" w:hAnsi="Arial" w:cs="Arial"/>
          <w:b/>
          <w:sz w:val="24"/>
          <w:szCs w:val="24"/>
        </w:rPr>
        <w:t xml:space="preserve"> Order’s proposed definition of “fixed-price” is unjust and unreasonable.  The Order would require fixed-price contract prices to be provided only on a kilowatt hour basis for all customers. Suppliers provide commercial and industrial customers prices that contain several components that cannot be spe</w:t>
      </w:r>
      <w:r w:rsidR="001F4126">
        <w:rPr>
          <w:rFonts w:ascii="Arial" w:hAnsi="Arial" w:cs="Arial"/>
          <w:b/>
          <w:sz w:val="24"/>
          <w:szCs w:val="24"/>
        </w:rPr>
        <w:t>cified in a kilowatt hour price</w:t>
      </w:r>
    </w:p>
    <w:p w14:paraId="372B7CA8" w14:textId="671A382E" w:rsidR="00D076FA" w:rsidRPr="001F4126" w:rsidRDefault="008A6850" w:rsidP="001F4126">
      <w:pPr>
        <w:spacing w:line="480" w:lineRule="auto"/>
        <w:ind w:firstLine="360"/>
        <w:jc w:val="both"/>
        <w:rPr>
          <w:rFonts w:ascii="Arial" w:hAnsi="Arial" w:cs="Arial"/>
          <w:sz w:val="24"/>
          <w:szCs w:val="24"/>
        </w:rPr>
      </w:pPr>
      <w:r w:rsidRPr="001F4126">
        <w:rPr>
          <w:rFonts w:ascii="Arial" w:hAnsi="Arial" w:cs="Arial"/>
          <w:sz w:val="24"/>
          <w:szCs w:val="24"/>
        </w:rPr>
        <w:t>The Order appears to have identified three labels that must be placed on a contract:  fixed, variable, and introductory.</w:t>
      </w:r>
      <w:r w:rsidR="00D076FA" w:rsidRPr="001F4126">
        <w:rPr>
          <w:rFonts w:ascii="Arial" w:hAnsi="Arial" w:cs="Arial"/>
          <w:sz w:val="24"/>
          <w:szCs w:val="24"/>
        </w:rPr>
        <w:t xml:space="preserve">  The Order proposed the following definitions:</w:t>
      </w:r>
    </w:p>
    <w:p w14:paraId="1A5A0FA7" w14:textId="77777777" w:rsidR="00D076FA" w:rsidRDefault="00D076FA" w:rsidP="00D076FA">
      <w:pPr>
        <w:pStyle w:val="ListParagraph"/>
        <w:numPr>
          <w:ilvl w:val="0"/>
          <w:numId w:val="7"/>
        </w:numPr>
        <w:spacing w:line="240" w:lineRule="auto"/>
        <w:jc w:val="both"/>
        <w:rPr>
          <w:rFonts w:ascii="Arial" w:hAnsi="Arial" w:cs="Arial"/>
          <w:sz w:val="24"/>
          <w:szCs w:val="24"/>
        </w:rPr>
      </w:pPr>
      <w:r w:rsidRPr="00D076FA">
        <w:rPr>
          <w:rFonts w:ascii="Arial" w:hAnsi="Arial" w:cs="Arial"/>
          <w:b/>
          <w:sz w:val="24"/>
          <w:szCs w:val="24"/>
        </w:rPr>
        <w:lastRenderedPageBreak/>
        <w:t>Fixed Price</w:t>
      </w:r>
      <w:r w:rsidRPr="00D076FA">
        <w:rPr>
          <w:rFonts w:ascii="Arial" w:hAnsi="Arial" w:cs="Arial"/>
          <w:sz w:val="24"/>
          <w:szCs w:val="24"/>
        </w:rPr>
        <w:t>: An</w:t>
      </w:r>
      <w:r>
        <w:rPr>
          <w:rFonts w:ascii="Arial" w:hAnsi="Arial" w:cs="Arial"/>
          <w:sz w:val="24"/>
          <w:szCs w:val="24"/>
        </w:rPr>
        <w:t xml:space="preserve"> </w:t>
      </w:r>
      <w:r w:rsidRPr="00D076FA">
        <w:rPr>
          <w:rFonts w:ascii="Arial" w:hAnsi="Arial" w:cs="Arial"/>
          <w:sz w:val="24"/>
          <w:szCs w:val="24"/>
        </w:rPr>
        <w:t>all-inclusive per kWh price that will remain the same for at</w:t>
      </w:r>
      <w:r>
        <w:rPr>
          <w:rFonts w:ascii="Arial" w:hAnsi="Arial" w:cs="Arial"/>
          <w:sz w:val="24"/>
          <w:szCs w:val="24"/>
        </w:rPr>
        <w:t xml:space="preserve"> </w:t>
      </w:r>
      <w:r w:rsidRPr="00D076FA">
        <w:rPr>
          <w:rFonts w:ascii="Arial" w:hAnsi="Arial" w:cs="Arial"/>
          <w:sz w:val="24"/>
          <w:szCs w:val="24"/>
        </w:rPr>
        <w:t>least three billing cyc</w:t>
      </w:r>
      <w:r>
        <w:rPr>
          <w:rFonts w:ascii="Arial" w:hAnsi="Arial" w:cs="Arial"/>
          <w:sz w:val="24"/>
          <w:szCs w:val="24"/>
        </w:rPr>
        <w:t xml:space="preserve">les or the term of the contract </w:t>
      </w:r>
      <w:r w:rsidRPr="00D076FA">
        <w:rPr>
          <w:rFonts w:ascii="Arial" w:hAnsi="Arial" w:cs="Arial"/>
          <w:sz w:val="24"/>
          <w:szCs w:val="24"/>
        </w:rPr>
        <w:t>whichever is longer</w:t>
      </w:r>
    </w:p>
    <w:p w14:paraId="0C172C40" w14:textId="77777777" w:rsidR="00D076FA" w:rsidRDefault="00D076FA" w:rsidP="00D076FA">
      <w:pPr>
        <w:pStyle w:val="ListParagraph"/>
        <w:spacing w:line="240" w:lineRule="auto"/>
        <w:jc w:val="both"/>
        <w:rPr>
          <w:rFonts w:ascii="Arial" w:hAnsi="Arial" w:cs="Arial"/>
          <w:sz w:val="24"/>
          <w:szCs w:val="24"/>
        </w:rPr>
      </w:pPr>
    </w:p>
    <w:p w14:paraId="700937AA" w14:textId="77777777" w:rsidR="00D076FA" w:rsidRPr="00D076FA" w:rsidRDefault="00D076FA" w:rsidP="00D076FA">
      <w:pPr>
        <w:pStyle w:val="ListParagraph"/>
        <w:numPr>
          <w:ilvl w:val="0"/>
          <w:numId w:val="7"/>
        </w:numPr>
        <w:spacing w:line="240" w:lineRule="auto"/>
        <w:jc w:val="both"/>
        <w:rPr>
          <w:rFonts w:ascii="Arial" w:hAnsi="Arial" w:cs="Arial"/>
          <w:sz w:val="24"/>
          <w:szCs w:val="24"/>
        </w:rPr>
      </w:pPr>
      <w:r w:rsidRPr="00D076FA">
        <w:rPr>
          <w:rFonts w:ascii="Arial" w:hAnsi="Arial" w:cs="Arial"/>
          <w:b/>
          <w:sz w:val="24"/>
          <w:szCs w:val="24"/>
        </w:rPr>
        <w:t>Variable Price</w:t>
      </w:r>
      <w:r w:rsidRPr="00D076FA">
        <w:rPr>
          <w:rFonts w:ascii="Arial" w:hAnsi="Arial" w:cs="Arial"/>
          <w:sz w:val="24"/>
          <w:szCs w:val="24"/>
        </w:rPr>
        <w:t>: An all-inclusive</w:t>
      </w:r>
      <w:r>
        <w:rPr>
          <w:rFonts w:ascii="Arial" w:hAnsi="Arial" w:cs="Arial"/>
          <w:sz w:val="24"/>
          <w:szCs w:val="24"/>
        </w:rPr>
        <w:t xml:space="preserve"> </w:t>
      </w:r>
      <w:r w:rsidRPr="00D076FA">
        <w:rPr>
          <w:rFonts w:ascii="Arial" w:hAnsi="Arial" w:cs="Arial"/>
          <w:sz w:val="24"/>
          <w:szCs w:val="24"/>
        </w:rPr>
        <w:t>per kWh price th</w:t>
      </w:r>
      <w:r w:rsidRPr="00C94252">
        <w:rPr>
          <w:rFonts w:ascii="Arial" w:hAnsi="Arial" w:cs="Arial"/>
          <w:sz w:val="24"/>
          <w:szCs w:val="24"/>
        </w:rPr>
        <w:t>at can change, by the hour, day, month, etc., according to the terms and conditions in the supplier's</w:t>
      </w:r>
      <w:r>
        <w:rPr>
          <w:rFonts w:ascii="Arial" w:hAnsi="Arial" w:cs="Arial"/>
          <w:sz w:val="24"/>
          <w:szCs w:val="24"/>
        </w:rPr>
        <w:t xml:space="preserve"> </w:t>
      </w:r>
      <w:r w:rsidRPr="00D076FA">
        <w:rPr>
          <w:rFonts w:ascii="Arial" w:hAnsi="Arial" w:cs="Arial"/>
          <w:sz w:val="24"/>
          <w:szCs w:val="24"/>
        </w:rPr>
        <w:t>disclosure statement</w:t>
      </w:r>
    </w:p>
    <w:p w14:paraId="2CA9593D" w14:textId="77777777" w:rsidR="00D076FA" w:rsidRPr="00D076FA" w:rsidRDefault="00D076FA" w:rsidP="00D076FA">
      <w:pPr>
        <w:pStyle w:val="ListParagraph"/>
        <w:spacing w:line="240" w:lineRule="auto"/>
        <w:jc w:val="both"/>
        <w:rPr>
          <w:rFonts w:ascii="Arial" w:hAnsi="Arial" w:cs="Arial"/>
          <w:sz w:val="24"/>
          <w:szCs w:val="24"/>
        </w:rPr>
      </w:pPr>
    </w:p>
    <w:p w14:paraId="77D142F6" w14:textId="77777777" w:rsidR="00D076FA" w:rsidRPr="0098580D" w:rsidRDefault="00D076FA" w:rsidP="0098580D">
      <w:pPr>
        <w:pStyle w:val="ListParagraph"/>
        <w:numPr>
          <w:ilvl w:val="0"/>
          <w:numId w:val="7"/>
        </w:numPr>
        <w:spacing w:line="240" w:lineRule="auto"/>
        <w:jc w:val="both"/>
        <w:rPr>
          <w:rFonts w:ascii="Arial" w:hAnsi="Arial" w:cs="Arial"/>
          <w:sz w:val="24"/>
          <w:szCs w:val="24"/>
        </w:rPr>
      </w:pPr>
      <w:r w:rsidRPr="00D076FA">
        <w:rPr>
          <w:rFonts w:ascii="Arial" w:hAnsi="Arial" w:cs="Arial"/>
          <w:b/>
          <w:sz w:val="24"/>
          <w:szCs w:val="24"/>
        </w:rPr>
        <w:t>Introductory Price</w:t>
      </w:r>
      <w:r w:rsidRPr="00D076FA">
        <w:rPr>
          <w:rFonts w:ascii="Arial" w:hAnsi="Arial" w:cs="Arial"/>
          <w:sz w:val="24"/>
          <w:szCs w:val="24"/>
        </w:rPr>
        <w:t>: For new customers, an</w:t>
      </w:r>
      <w:r>
        <w:rPr>
          <w:rFonts w:ascii="Arial" w:hAnsi="Arial" w:cs="Arial"/>
          <w:sz w:val="24"/>
          <w:szCs w:val="24"/>
        </w:rPr>
        <w:t xml:space="preserve"> </w:t>
      </w:r>
      <w:r w:rsidRPr="00D076FA">
        <w:rPr>
          <w:rFonts w:ascii="Arial" w:hAnsi="Arial" w:cs="Arial"/>
          <w:sz w:val="24"/>
          <w:szCs w:val="24"/>
        </w:rPr>
        <w:t>all-inclusive per kWh price that will remain the same for a</w:t>
      </w:r>
      <w:r>
        <w:rPr>
          <w:rFonts w:ascii="Arial" w:hAnsi="Arial" w:cs="Arial"/>
          <w:sz w:val="24"/>
          <w:szCs w:val="24"/>
        </w:rPr>
        <w:t xml:space="preserve"> </w:t>
      </w:r>
      <w:r w:rsidRPr="00D076FA">
        <w:rPr>
          <w:rFonts w:ascii="Arial" w:hAnsi="Arial" w:cs="Arial"/>
          <w:sz w:val="24"/>
          <w:szCs w:val="24"/>
        </w:rPr>
        <w:t>limited period of time between one and three billing cycles</w:t>
      </w:r>
      <w:r>
        <w:rPr>
          <w:rFonts w:ascii="Arial" w:hAnsi="Arial" w:cs="Arial"/>
          <w:sz w:val="24"/>
          <w:szCs w:val="24"/>
        </w:rPr>
        <w:t xml:space="preserve"> </w:t>
      </w:r>
      <w:r w:rsidRPr="00D076FA">
        <w:rPr>
          <w:rFonts w:ascii="Arial" w:hAnsi="Arial" w:cs="Arial"/>
          <w:sz w:val="24"/>
          <w:szCs w:val="24"/>
        </w:rPr>
        <w:t>followed by a different fixed or variable per kWh price that</w:t>
      </w:r>
      <w:r>
        <w:rPr>
          <w:rFonts w:ascii="Arial" w:hAnsi="Arial" w:cs="Arial"/>
          <w:sz w:val="24"/>
          <w:szCs w:val="24"/>
        </w:rPr>
        <w:t xml:space="preserve"> </w:t>
      </w:r>
      <w:r w:rsidRPr="00D076FA">
        <w:rPr>
          <w:rFonts w:ascii="Arial" w:hAnsi="Arial" w:cs="Arial"/>
          <w:sz w:val="24"/>
          <w:szCs w:val="24"/>
        </w:rPr>
        <w:t>will be in effect for the remaining billing cycles of the</w:t>
      </w:r>
      <w:r>
        <w:rPr>
          <w:rFonts w:ascii="Arial" w:hAnsi="Arial" w:cs="Arial"/>
          <w:sz w:val="24"/>
          <w:szCs w:val="24"/>
        </w:rPr>
        <w:t xml:space="preserve"> </w:t>
      </w:r>
      <w:r w:rsidRPr="00D076FA">
        <w:rPr>
          <w:rFonts w:ascii="Arial" w:hAnsi="Arial" w:cs="Arial"/>
          <w:sz w:val="24"/>
          <w:szCs w:val="24"/>
        </w:rPr>
        <w:t xml:space="preserve">contract term, consistent with terms and conditions </w:t>
      </w:r>
      <w:r w:rsidRPr="00C94252">
        <w:rPr>
          <w:rFonts w:ascii="Arial" w:hAnsi="Arial" w:cs="Arial"/>
          <w:sz w:val="24"/>
          <w:szCs w:val="24"/>
        </w:rPr>
        <w:t>in the supplier's 'discl</w:t>
      </w:r>
      <w:r w:rsidRPr="00D076FA">
        <w:rPr>
          <w:rFonts w:ascii="Arial" w:hAnsi="Arial" w:cs="Arial"/>
          <w:sz w:val="24"/>
          <w:szCs w:val="24"/>
        </w:rPr>
        <w:t>osure statement</w:t>
      </w:r>
    </w:p>
    <w:p w14:paraId="3202D459" w14:textId="77777777" w:rsidR="0012473E" w:rsidRDefault="00D076FA" w:rsidP="00D076FA">
      <w:pPr>
        <w:spacing w:line="480" w:lineRule="auto"/>
        <w:jc w:val="both"/>
        <w:rPr>
          <w:rFonts w:ascii="Arial" w:hAnsi="Arial" w:cs="Arial"/>
          <w:sz w:val="24"/>
          <w:szCs w:val="24"/>
        </w:rPr>
      </w:pPr>
      <w:r>
        <w:rPr>
          <w:rFonts w:ascii="Arial" w:hAnsi="Arial" w:cs="Arial"/>
          <w:sz w:val="24"/>
          <w:szCs w:val="24"/>
        </w:rPr>
        <w:t>With respect to commercial and industrial customers, t</w:t>
      </w:r>
      <w:r w:rsidR="0012473E">
        <w:rPr>
          <w:rFonts w:ascii="Arial" w:hAnsi="Arial" w:cs="Arial"/>
          <w:sz w:val="24"/>
          <w:szCs w:val="24"/>
        </w:rPr>
        <w:t>he Order’s determination is unjust and unreasonable, and, as a practical matter</w:t>
      </w:r>
      <w:r w:rsidR="0098580D">
        <w:rPr>
          <w:rFonts w:ascii="Arial" w:hAnsi="Arial" w:cs="Arial"/>
          <w:sz w:val="24"/>
          <w:szCs w:val="24"/>
        </w:rPr>
        <w:t>,</w:t>
      </w:r>
      <w:r w:rsidR="0012473E">
        <w:rPr>
          <w:rFonts w:ascii="Arial" w:hAnsi="Arial" w:cs="Arial"/>
          <w:sz w:val="24"/>
          <w:szCs w:val="24"/>
        </w:rPr>
        <w:t xml:space="preserve"> it is unworkable given the structure of the pricing provided to these classes of customers. </w:t>
      </w:r>
    </w:p>
    <w:p w14:paraId="31993346" w14:textId="42D36227" w:rsidR="00D076FA" w:rsidRDefault="00D076FA" w:rsidP="00D076FA">
      <w:pPr>
        <w:spacing w:line="480" w:lineRule="auto"/>
        <w:jc w:val="both"/>
        <w:rPr>
          <w:rFonts w:ascii="Arial" w:hAnsi="Arial" w:cs="Arial"/>
          <w:sz w:val="24"/>
          <w:szCs w:val="24"/>
        </w:rPr>
      </w:pPr>
      <w:r>
        <w:rPr>
          <w:rFonts w:ascii="Arial" w:hAnsi="Arial" w:cs="Arial"/>
          <w:sz w:val="24"/>
          <w:szCs w:val="24"/>
        </w:rPr>
        <w:tab/>
        <w:t xml:space="preserve">Initially, commercial and industrial customers do not typically enter into contracts for an </w:t>
      </w:r>
      <w:r w:rsidR="006D2E15">
        <w:rPr>
          <w:rFonts w:ascii="Arial" w:hAnsi="Arial" w:cs="Arial"/>
          <w:sz w:val="24"/>
          <w:szCs w:val="24"/>
        </w:rPr>
        <w:t>all-inclusive pr</w:t>
      </w:r>
      <w:r w:rsidR="0098580D">
        <w:rPr>
          <w:rFonts w:ascii="Arial" w:hAnsi="Arial" w:cs="Arial"/>
          <w:sz w:val="24"/>
          <w:szCs w:val="24"/>
        </w:rPr>
        <w:t xml:space="preserve">ice per </w:t>
      </w:r>
      <w:r w:rsidR="00164D57">
        <w:rPr>
          <w:rFonts w:ascii="Arial" w:hAnsi="Arial" w:cs="Arial"/>
          <w:sz w:val="24"/>
          <w:szCs w:val="24"/>
        </w:rPr>
        <w:t>kWh</w:t>
      </w:r>
      <w:r w:rsidR="0098580D">
        <w:rPr>
          <w:rFonts w:ascii="Arial" w:hAnsi="Arial" w:cs="Arial"/>
          <w:sz w:val="24"/>
          <w:szCs w:val="24"/>
        </w:rPr>
        <w:t>—they often don’t want them.  While a portion of a commercial or industrial customer contract may include a fixed-price, these customers</w:t>
      </w:r>
      <w:r>
        <w:rPr>
          <w:rFonts w:ascii="Arial" w:hAnsi="Arial" w:cs="Arial"/>
          <w:sz w:val="24"/>
          <w:szCs w:val="24"/>
        </w:rPr>
        <w:t xml:space="preserve"> enter into a host of differing </w:t>
      </w:r>
      <w:r w:rsidR="006D2E15">
        <w:rPr>
          <w:rFonts w:ascii="Arial" w:hAnsi="Arial" w:cs="Arial"/>
          <w:sz w:val="24"/>
          <w:szCs w:val="24"/>
        </w:rPr>
        <w:t xml:space="preserve">sophisticated </w:t>
      </w:r>
      <w:r>
        <w:rPr>
          <w:rFonts w:ascii="Arial" w:hAnsi="Arial" w:cs="Arial"/>
          <w:sz w:val="24"/>
          <w:szCs w:val="24"/>
        </w:rPr>
        <w:t>contractual arrangements depending on their load factor</w:t>
      </w:r>
      <w:r w:rsidR="006D2E15">
        <w:rPr>
          <w:rFonts w:ascii="Arial" w:hAnsi="Arial" w:cs="Arial"/>
          <w:sz w:val="24"/>
          <w:szCs w:val="24"/>
        </w:rPr>
        <w:t>, time of use,</w:t>
      </w:r>
      <w:r>
        <w:rPr>
          <w:rFonts w:ascii="Arial" w:hAnsi="Arial" w:cs="Arial"/>
          <w:sz w:val="24"/>
          <w:szCs w:val="24"/>
        </w:rPr>
        <w:t xml:space="preserve"> and appetite for risk.  For example, some have contracts that are fixed for a certain block</w:t>
      </w:r>
      <w:r w:rsidR="006D2E15">
        <w:rPr>
          <w:rFonts w:ascii="Arial" w:hAnsi="Arial" w:cs="Arial"/>
          <w:sz w:val="24"/>
          <w:szCs w:val="24"/>
        </w:rPr>
        <w:t xml:space="preserve"> of kilowatts</w:t>
      </w:r>
      <w:r>
        <w:rPr>
          <w:rFonts w:ascii="Arial" w:hAnsi="Arial" w:cs="Arial"/>
          <w:sz w:val="24"/>
          <w:szCs w:val="24"/>
        </w:rPr>
        <w:t xml:space="preserve"> and with the remainder of the customer</w:t>
      </w:r>
      <w:r w:rsidR="0098580D">
        <w:rPr>
          <w:rFonts w:ascii="Arial" w:hAnsi="Arial" w:cs="Arial"/>
          <w:sz w:val="24"/>
          <w:szCs w:val="24"/>
        </w:rPr>
        <w:t>’s</w:t>
      </w:r>
      <w:r>
        <w:rPr>
          <w:rFonts w:ascii="Arial" w:hAnsi="Arial" w:cs="Arial"/>
          <w:sz w:val="24"/>
          <w:szCs w:val="24"/>
        </w:rPr>
        <w:t xml:space="preserve"> usage tied to an index price.  Other customer</w:t>
      </w:r>
      <w:r w:rsidR="00C94252">
        <w:rPr>
          <w:rFonts w:ascii="Arial" w:hAnsi="Arial" w:cs="Arial"/>
          <w:sz w:val="24"/>
          <w:szCs w:val="24"/>
        </w:rPr>
        <w:t>s</w:t>
      </w:r>
      <w:r>
        <w:rPr>
          <w:rFonts w:ascii="Arial" w:hAnsi="Arial" w:cs="Arial"/>
          <w:sz w:val="24"/>
          <w:szCs w:val="24"/>
        </w:rPr>
        <w:t xml:space="preserve"> may receive a fixed price for the energy portion of their bill with a pass-through clause for th</w:t>
      </w:r>
      <w:r w:rsidR="0098580D">
        <w:rPr>
          <w:rFonts w:ascii="Arial" w:hAnsi="Arial" w:cs="Arial"/>
          <w:sz w:val="24"/>
          <w:szCs w:val="24"/>
        </w:rPr>
        <w:t>e capacity portion</w:t>
      </w:r>
      <w:r>
        <w:rPr>
          <w:rFonts w:ascii="Arial" w:hAnsi="Arial" w:cs="Arial"/>
          <w:sz w:val="24"/>
          <w:szCs w:val="24"/>
        </w:rPr>
        <w:t xml:space="preserve">.  Other customers may have two-different blocks of fixed-price energy for different times of day.  These are just a few contractual structures that exist that defy classification into the three definitional buckets identified in the Order. </w:t>
      </w:r>
    </w:p>
    <w:p w14:paraId="259EEDF2" w14:textId="77777777" w:rsidR="00DB02A2" w:rsidRDefault="008348E4" w:rsidP="00D076FA">
      <w:pPr>
        <w:spacing w:line="480" w:lineRule="auto"/>
        <w:jc w:val="both"/>
        <w:rPr>
          <w:rFonts w:ascii="Arial" w:hAnsi="Arial" w:cs="Arial"/>
          <w:sz w:val="24"/>
          <w:szCs w:val="24"/>
        </w:rPr>
      </w:pPr>
      <w:r>
        <w:rPr>
          <w:rFonts w:ascii="Arial" w:hAnsi="Arial" w:cs="Arial"/>
          <w:sz w:val="24"/>
          <w:szCs w:val="24"/>
        </w:rPr>
        <w:tab/>
        <w:t>A more workable fram</w:t>
      </w:r>
      <w:r w:rsidR="003A1C7C">
        <w:rPr>
          <w:rFonts w:ascii="Arial" w:hAnsi="Arial" w:cs="Arial"/>
          <w:sz w:val="24"/>
          <w:szCs w:val="24"/>
        </w:rPr>
        <w:t xml:space="preserve">ework would allow suppliers </w:t>
      </w:r>
      <w:r w:rsidR="0098580D">
        <w:rPr>
          <w:rFonts w:ascii="Arial" w:hAnsi="Arial" w:cs="Arial"/>
          <w:sz w:val="24"/>
          <w:szCs w:val="24"/>
        </w:rPr>
        <w:t>to</w:t>
      </w:r>
      <w:r>
        <w:rPr>
          <w:rFonts w:ascii="Arial" w:hAnsi="Arial" w:cs="Arial"/>
          <w:sz w:val="24"/>
          <w:szCs w:val="24"/>
        </w:rPr>
        <w:t xml:space="preserve"> structure their contracts for commercial and industrial </w:t>
      </w:r>
      <w:r w:rsidRPr="00C94252">
        <w:rPr>
          <w:rFonts w:ascii="Arial" w:hAnsi="Arial" w:cs="Arial"/>
          <w:sz w:val="24"/>
          <w:szCs w:val="24"/>
        </w:rPr>
        <w:t>customer</w:t>
      </w:r>
      <w:r w:rsidR="0098580D" w:rsidRPr="00C94252">
        <w:rPr>
          <w:rFonts w:ascii="Arial" w:hAnsi="Arial" w:cs="Arial"/>
          <w:sz w:val="24"/>
          <w:szCs w:val="24"/>
        </w:rPr>
        <w:t>s in any way the custom</w:t>
      </w:r>
      <w:r w:rsidR="00C94252" w:rsidRPr="00C94252">
        <w:rPr>
          <w:rFonts w:ascii="Arial" w:hAnsi="Arial" w:cs="Arial"/>
          <w:sz w:val="24"/>
          <w:szCs w:val="24"/>
        </w:rPr>
        <w:t>er</w:t>
      </w:r>
      <w:r w:rsidR="0098580D" w:rsidRPr="00C94252">
        <w:rPr>
          <w:rFonts w:ascii="Arial" w:hAnsi="Arial" w:cs="Arial"/>
          <w:sz w:val="24"/>
          <w:szCs w:val="24"/>
        </w:rPr>
        <w:t xml:space="preserve"> desires, without adding labels that will only create customer and supplier confusio</w:t>
      </w:r>
      <w:r w:rsidR="0098580D">
        <w:rPr>
          <w:rFonts w:ascii="Arial" w:hAnsi="Arial" w:cs="Arial"/>
          <w:sz w:val="24"/>
          <w:szCs w:val="24"/>
        </w:rPr>
        <w:t xml:space="preserve">n.  </w:t>
      </w:r>
    </w:p>
    <w:p w14:paraId="5D50CF35" w14:textId="77D9D53E" w:rsidR="008348E4" w:rsidRDefault="00DB02A2" w:rsidP="00D076FA">
      <w:pPr>
        <w:spacing w:line="480" w:lineRule="auto"/>
        <w:jc w:val="both"/>
        <w:rPr>
          <w:rFonts w:ascii="Arial" w:hAnsi="Arial" w:cs="Arial"/>
          <w:sz w:val="24"/>
          <w:szCs w:val="24"/>
        </w:rPr>
      </w:pPr>
      <w:r>
        <w:rPr>
          <w:rFonts w:ascii="Arial" w:hAnsi="Arial" w:cs="Arial"/>
          <w:sz w:val="24"/>
          <w:szCs w:val="24"/>
        </w:rPr>
        <w:lastRenderedPageBreak/>
        <w:tab/>
      </w:r>
      <w:r w:rsidR="0098580D">
        <w:rPr>
          <w:rFonts w:ascii="Arial" w:hAnsi="Arial" w:cs="Arial"/>
          <w:sz w:val="24"/>
          <w:szCs w:val="24"/>
        </w:rPr>
        <w:t>That being said, IGS would not object to a requirement that when a contract with a commercial and industrial customer includes</w:t>
      </w:r>
      <w:r w:rsidR="008348E4">
        <w:rPr>
          <w:rFonts w:ascii="Arial" w:hAnsi="Arial" w:cs="Arial"/>
          <w:sz w:val="24"/>
          <w:szCs w:val="24"/>
        </w:rPr>
        <w:t xml:space="preserve"> the words “fixed”, the contract should identify in close proximity that additional charges may apply under specific circumstances clearly identified in the contract. </w:t>
      </w:r>
      <w:r w:rsidR="003A1C7C">
        <w:rPr>
          <w:rFonts w:ascii="Arial" w:hAnsi="Arial" w:cs="Arial"/>
          <w:sz w:val="24"/>
          <w:szCs w:val="24"/>
        </w:rPr>
        <w:t xml:space="preserve"> For example, if a supplier</w:t>
      </w:r>
      <w:r w:rsidR="008348E4">
        <w:rPr>
          <w:rFonts w:ascii="Arial" w:hAnsi="Arial" w:cs="Arial"/>
          <w:sz w:val="24"/>
          <w:szCs w:val="24"/>
        </w:rPr>
        <w:t xml:space="preserve"> offers a fixed-price for energy with a capacity pass through, the contract could identify that the “customer will pay 6 cents per kilowatt hour with capacity pass-through as defined in terms and conditions” or “customer will pay 6 cents per kilowatt hour and customer will pay capacity charges based upon the cust</w:t>
      </w:r>
      <w:r w:rsidR="00942C9A">
        <w:rPr>
          <w:rFonts w:ascii="Arial" w:hAnsi="Arial" w:cs="Arial"/>
          <w:sz w:val="24"/>
          <w:szCs w:val="24"/>
        </w:rPr>
        <w:t xml:space="preserve">omer’s peak load contribution” </w:t>
      </w:r>
      <w:r w:rsidR="008348E4">
        <w:rPr>
          <w:rFonts w:ascii="Arial" w:hAnsi="Arial" w:cs="Arial"/>
          <w:sz w:val="24"/>
          <w:szCs w:val="24"/>
        </w:rPr>
        <w:t>or “customer will pay 6 cents per kilowatt hour subject to pass-through of charges ident</w:t>
      </w:r>
      <w:r w:rsidR="0098580D">
        <w:rPr>
          <w:rFonts w:ascii="Arial" w:hAnsi="Arial" w:cs="Arial"/>
          <w:sz w:val="24"/>
          <w:szCs w:val="24"/>
        </w:rPr>
        <w:t xml:space="preserve">ified in terms and conditions.”  Such a paradigm would strike the appropriate balance between ensuring proper disclosure of contract terms while preserving the ability to provide innovative products and services that fit specific customer needs. </w:t>
      </w:r>
    </w:p>
    <w:p w14:paraId="61CF7CD0" w14:textId="60ACECF3" w:rsidR="001F4126" w:rsidRPr="001F4126" w:rsidRDefault="00157139" w:rsidP="001F4126">
      <w:pPr>
        <w:pStyle w:val="ListParagraph"/>
        <w:numPr>
          <w:ilvl w:val="0"/>
          <w:numId w:val="5"/>
        </w:numPr>
        <w:rPr>
          <w:rFonts w:ascii="Arial" w:hAnsi="Arial" w:cs="Arial"/>
          <w:b/>
          <w:sz w:val="24"/>
          <w:szCs w:val="24"/>
        </w:rPr>
      </w:pPr>
      <w:r w:rsidRPr="001F4126">
        <w:rPr>
          <w:rFonts w:ascii="Arial" w:hAnsi="Arial" w:cs="Arial"/>
          <w:b/>
          <w:sz w:val="24"/>
          <w:szCs w:val="24"/>
        </w:rPr>
        <w:t>T</w:t>
      </w:r>
      <w:r w:rsidR="001F4126" w:rsidRPr="001F4126">
        <w:rPr>
          <w:rFonts w:ascii="Arial" w:hAnsi="Arial" w:cs="Arial"/>
          <w:b/>
          <w:sz w:val="24"/>
          <w:szCs w:val="24"/>
        </w:rPr>
        <w:t xml:space="preserve">he Order is unlawful and unreasonable inasmuch as the determination that suppliers may not invoke change in law provisions in fixed-price contracts without obtaining affirmative customer consent is arbitrary, </w:t>
      </w:r>
      <w:r w:rsidR="0000200A">
        <w:rPr>
          <w:rFonts w:ascii="Arial" w:hAnsi="Arial" w:cs="Arial"/>
          <w:b/>
          <w:sz w:val="24"/>
          <w:szCs w:val="24"/>
        </w:rPr>
        <w:t>unfair, and unworkable</w:t>
      </w:r>
      <w:r w:rsidR="001F4126" w:rsidRPr="001F4126">
        <w:rPr>
          <w:rFonts w:ascii="Arial" w:hAnsi="Arial" w:cs="Arial"/>
          <w:b/>
          <w:sz w:val="24"/>
          <w:szCs w:val="24"/>
        </w:rPr>
        <w:t xml:space="preserve"> </w:t>
      </w:r>
    </w:p>
    <w:p w14:paraId="002A08BD" w14:textId="310682AA" w:rsidR="00157139" w:rsidRPr="00157139" w:rsidRDefault="00157139" w:rsidP="001F4126">
      <w:pPr>
        <w:pStyle w:val="ListParagraph"/>
        <w:jc w:val="both"/>
        <w:rPr>
          <w:rFonts w:ascii="Arial" w:hAnsi="Arial" w:cs="Arial"/>
          <w:b/>
          <w:sz w:val="24"/>
          <w:szCs w:val="24"/>
        </w:rPr>
      </w:pPr>
    </w:p>
    <w:p w14:paraId="679DDE06" w14:textId="42693993" w:rsidR="00A03284" w:rsidRDefault="00157139" w:rsidP="00157139">
      <w:pPr>
        <w:spacing w:line="480" w:lineRule="auto"/>
        <w:ind w:firstLine="720"/>
        <w:jc w:val="both"/>
        <w:rPr>
          <w:rFonts w:ascii="Arial" w:hAnsi="Arial" w:cs="Arial"/>
          <w:sz w:val="24"/>
          <w:szCs w:val="24"/>
        </w:rPr>
      </w:pPr>
      <w:r>
        <w:rPr>
          <w:rFonts w:ascii="Arial" w:hAnsi="Arial" w:cs="Arial"/>
          <w:sz w:val="24"/>
          <w:szCs w:val="24"/>
        </w:rPr>
        <w:t>The Orde</w:t>
      </w:r>
      <w:r w:rsidR="003A1C7C">
        <w:rPr>
          <w:rFonts w:ascii="Arial" w:hAnsi="Arial" w:cs="Arial"/>
          <w:sz w:val="24"/>
          <w:szCs w:val="24"/>
        </w:rPr>
        <w:t>r recognized that suppliers</w:t>
      </w:r>
      <w:r>
        <w:rPr>
          <w:rFonts w:ascii="Arial" w:hAnsi="Arial" w:cs="Arial"/>
          <w:sz w:val="24"/>
          <w:szCs w:val="24"/>
        </w:rPr>
        <w:t xml:space="preserve"> may enter </w:t>
      </w:r>
      <w:r w:rsidR="00A03284">
        <w:rPr>
          <w:rFonts w:ascii="Arial" w:hAnsi="Arial" w:cs="Arial"/>
          <w:sz w:val="24"/>
          <w:szCs w:val="24"/>
        </w:rPr>
        <w:t>fixed-price contracts and incur unexpected costs due to regulatory orders</w:t>
      </w:r>
      <w:r>
        <w:rPr>
          <w:rFonts w:ascii="Arial" w:hAnsi="Arial" w:cs="Arial"/>
          <w:sz w:val="24"/>
          <w:szCs w:val="24"/>
        </w:rPr>
        <w:t xml:space="preserve"> or changes in law.  In light of this risk, the Order determined </w:t>
      </w:r>
      <w:r w:rsidR="003A1C7C">
        <w:rPr>
          <w:rFonts w:ascii="Arial" w:hAnsi="Arial" w:cs="Arial"/>
          <w:sz w:val="24"/>
          <w:szCs w:val="24"/>
        </w:rPr>
        <w:t xml:space="preserve">that suppliers </w:t>
      </w:r>
      <w:r w:rsidR="00A03284">
        <w:rPr>
          <w:rFonts w:ascii="Arial" w:hAnsi="Arial" w:cs="Arial"/>
          <w:sz w:val="24"/>
          <w:szCs w:val="24"/>
        </w:rPr>
        <w:t>may</w:t>
      </w:r>
      <w:r w:rsidR="00164D57">
        <w:rPr>
          <w:rFonts w:ascii="Arial" w:hAnsi="Arial" w:cs="Arial"/>
          <w:sz w:val="24"/>
          <w:szCs w:val="24"/>
        </w:rPr>
        <w:t>,</w:t>
      </w:r>
      <w:r w:rsidR="00A03284">
        <w:rPr>
          <w:rFonts w:ascii="Arial" w:hAnsi="Arial" w:cs="Arial"/>
          <w:sz w:val="24"/>
          <w:szCs w:val="24"/>
        </w:rPr>
        <w:t xml:space="preserve"> in limited</w:t>
      </w:r>
      <w:r>
        <w:rPr>
          <w:rFonts w:ascii="Arial" w:hAnsi="Arial" w:cs="Arial"/>
          <w:sz w:val="24"/>
          <w:szCs w:val="24"/>
        </w:rPr>
        <w:t xml:space="preserve"> circumstances</w:t>
      </w:r>
      <w:r w:rsidR="00164D57">
        <w:rPr>
          <w:rFonts w:ascii="Arial" w:hAnsi="Arial" w:cs="Arial"/>
          <w:sz w:val="24"/>
          <w:szCs w:val="24"/>
        </w:rPr>
        <w:t>,</w:t>
      </w:r>
      <w:r>
        <w:rPr>
          <w:rFonts w:ascii="Arial" w:hAnsi="Arial" w:cs="Arial"/>
          <w:sz w:val="24"/>
          <w:szCs w:val="24"/>
        </w:rPr>
        <w:t xml:space="preserve"> obtain affirmative </w:t>
      </w:r>
      <w:r w:rsidR="00A03284">
        <w:rPr>
          <w:rFonts w:ascii="Arial" w:hAnsi="Arial" w:cs="Arial"/>
          <w:sz w:val="24"/>
          <w:szCs w:val="24"/>
        </w:rPr>
        <w:t xml:space="preserve">customer </w:t>
      </w:r>
      <w:r>
        <w:rPr>
          <w:rFonts w:ascii="Arial" w:hAnsi="Arial" w:cs="Arial"/>
          <w:sz w:val="24"/>
          <w:szCs w:val="24"/>
        </w:rPr>
        <w:t xml:space="preserve">consent to renegotiate the terms of a contract.  But, if such consent is </w:t>
      </w:r>
      <w:r w:rsidR="00A03284">
        <w:rPr>
          <w:rFonts w:ascii="Arial" w:hAnsi="Arial" w:cs="Arial"/>
          <w:sz w:val="24"/>
          <w:szCs w:val="24"/>
        </w:rPr>
        <w:t xml:space="preserve">affirmatively denied or passively not provided, the customer may elect an alternate </w:t>
      </w:r>
      <w:r w:rsidR="00A03284" w:rsidRPr="00C94252">
        <w:rPr>
          <w:rFonts w:ascii="Arial" w:hAnsi="Arial" w:cs="Arial"/>
          <w:sz w:val="24"/>
          <w:szCs w:val="24"/>
        </w:rPr>
        <w:t>supplier</w:t>
      </w:r>
      <w:r w:rsidR="00A03284">
        <w:rPr>
          <w:rFonts w:ascii="Arial" w:hAnsi="Arial" w:cs="Arial"/>
          <w:sz w:val="24"/>
          <w:szCs w:val="24"/>
        </w:rPr>
        <w:t xml:space="preserve"> or revert to default service without penalty.  As discussed below, the process specified in the Order unjustly and </w:t>
      </w:r>
      <w:r w:rsidR="00164D57">
        <w:rPr>
          <w:rFonts w:ascii="Arial" w:hAnsi="Arial" w:cs="Arial"/>
          <w:sz w:val="24"/>
          <w:szCs w:val="24"/>
        </w:rPr>
        <w:t xml:space="preserve">unreasonably </w:t>
      </w:r>
      <w:r w:rsidR="00A03284">
        <w:rPr>
          <w:rFonts w:ascii="Arial" w:hAnsi="Arial" w:cs="Arial"/>
          <w:sz w:val="24"/>
          <w:szCs w:val="24"/>
        </w:rPr>
        <w:t>eliminates the value of a change in law/regulatory ch</w:t>
      </w:r>
      <w:r w:rsidR="003A1C7C">
        <w:rPr>
          <w:rFonts w:ascii="Arial" w:hAnsi="Arial" w:cs="Arial"/>
          <w:sz w:val="24"/>
          <w:szCs w:val="24"/>
        </w:rPr>
        <w:t>ange provision in a supplier contract</w:t>
      </w:r>
      <w:r w:rsidR="00A03284">
        <w:rPr>
          <w:rFonts w:ascii="Arial" w:hAnsi="Arial" w:cs="Arial"/>
          <w:sz w:val="24"/>
          <w:szCs w:val="24"/>
        </w:rPr>
        <w:t>.</w:t>
      </w:r>
    </w:p>
    <w:p w14:paraId="2E5B8232" w14:textId="671A246A" w:rsidR="00DD0550" w:rsidRDefault="00A03284" w:rsidP="00157139">
      <w:pPr>
        <w:spacing w:line="480" w:lineRule="auto"/>
        <w:ind w:firstLine="720"/>
        <w:jc w:val="both"/>
        <w:rPr>
          <w:rFonts w:ascii="Arial" w:hAnsi="Arial" w:cs="Arial"/>
          <w:sz w:val="24"/>
          <w:szCs w:val="24"/>
        </w:rPr>
      </w:pPr>
      <w:r>
        <w:rPr>
          <w:rFonts w:ascii="Arial" w:hAnsi="Arial" w:cs="Arial"/>
          <w:sz w:val="24"/>
          <w:szCs w:val="24"/>
        </w:rPr>
        <w:lastRenderedPageBreak/>
        <w:t>In the event that a regulatory order o</w:t>
      </w:r>
      <w:r w:rsidR="003A1C7C">
        <w:rPr>
          <w:rFonts w:ascii="Arial" w:hAnsi="Arial" w:cs="Arial"/>
          <w:sz w:val="24"/>
          <w:szCs w:val="24"/>
        </w:rPr>
        <w:t xml:space="preserve">r change requires a supplier </w:t>
      </w:r>
      <w:r>
        <w:rPr>
          <w:rFonts w:ascii="Arial" w:hAnsi="Arial" w:cs="Arial"/>
          <w:sz w:val="24"/>
          <w:szCs w:val="24"/>
        </w:rPr>
        <w:t>to incur unexpected costs, there is little l</w:t>
      </w:r>
      <w:r w:rsidR="003A1C7C">
        <w:rPr>
          <w:rFonts w:ascii="Arial" w:hAnsi="Arial" w:cs="Arial"/>
          <w:sz w:val="24"/>
          <w:szCs w:val="24"/>
        </w:rPr>
        <w:t>ikelihood that the supplier</w:t>
      </w:r>
      <w:r>
        <w:rPr>
          <w:rFonts w:ascii="Arial" w:hAnsi="Arial" w:cs="Arial"/>
          <w:sz w:val="24"/>
          <w:szCs w:val="24"/>
        </w:rPr>
        <w:t xml:space="preserve"> may obtain affirmative consent from a customer.  By allowing the customer to terminate a contract without the imposition of a penalty, a customer has every incentive to seek an offer from an alternative </w:t>
      </w:r>
      <w:r w:rsidRPr="00C94252">
        <w:rPr>
          <w:rFonts w:ascii="Arial" w:hAnsi="Arial" w:cs="Arial"/>
          <w:sz w:val="24"/>
          <w:szCs w:val="24"/>
        </w:rPr>
        <w:t>supplier.</w:t>
      </w:r>
      <w:r w:rsidR="00DD0550">
        <w:rPr>
          <w:rFonts w:ascii="Arial" w:hAnsi="Arial" w:cs="Arial"/>
          <w:sz w:val="24"/>
          <w:szCs w:val="24"/>
        </w:rPr>
        <w:t xml:space="preserve">  This is especially true if the price for energy declines after the customer enters into the contract.</w:t>
      </w:r>
      <w:r>
        <w:rPr>
          <w:rFonts w:ascii="Arial" w:hAnsi="Arial" w:cs="Arial"/>
          <w:sz w:val="24"/>
          <w:szCs w:val="24"/>
        </w:rPr>
        <w:t xml:space="preserve">  </w:t>
      </w:r>
    </w:p>
    <w:p w14:paraId="079E7D40" w14:textId="7A12B3F6" w:rsidR="00DD0550" w:rsidRDefault="00A03284" w:rsidP="00157139">
      <w:pPr>
        <w:spacing w:line="480" w:lineRule="auto"/>
        <w:ind w:firstLine="720"/>
        <w:jc w:val="both"/>
        <w:rPr>
          <w:rFonts w:ascii="Arial" w:hAnsi="Arial" w:cs="Arial"/>
          <w:sz w:val="24"/>
          <w:szCs w:val="24"/>
        </w:rPr>
      </w:pPr>
      <w:r>
        <w:rPr>
          <w:rFonts w:ascii="Arial" w:hAnsi="Arial" w:cs="Arial"/>
          <w:sz w:val="24"/>
          <w:szCs w:val="24"/>
        </w:rPr>
        <w:t>If the customer does in fact terminate their relationship wit</w:t>
      </w:r>
      <w:r w:rsidRPr="00C94252">
        <w:rPr>
          <w:rFonts w:ascii="Arial" w:hAnsi="Arial" w:cs="Arial"/>
          <w:sz w:val="24"/>
          <w:szCs w:val="24"/>
        </w:rPr>
        <w:t>h their supplier, it</w:t>
      </w:r>
      <w:r>
        <w:rPr>
          <w:rFonts w:ascii="Arial" w:hAnsi="Arial" w:cs="Arial"/>
          <w:sz w:val="24"/>
          <w:szCs w:val="24"/>
        </w:rPr>
        <w:t xml:space="preserve"> may </w:t>
      </w:r>
      <w:r w:rsidR="00DD0550">
        <w:rPr>
          <w:rFonts w:ascii="Arial" w:hAnsi="Arial" w:cs="Arial"/>
          <w:sz w:val="24"/>
          <w:szCs w:val="24"/>
        </w:rPr>
        <w:t xml:space="preserve">have a detrimental impact </w:t>
      </w:r>
      <w:r w:rsidR="0098580D">
        <w:rPr>
          <w:rFonts w:ascii="Arial" w:hAnsi="Arial" w:cs="Arial"/>
          <w:sz w:val="24"/>
          <w:szCs w:val="24"/>
        </w:rPr>
        <w:t xml:space="preserve">on the </w:t>
      </w:r>
      <w:r w:rsidR="0098580D" w:rsidRPr="00C94252">
        <w:rPr>
          <w:rFonts w:ascii="Arial" w:hAnsi="Arial" w:cs="Arial"/>
          <w:sz w:val="24"/>
          <w:szCs w:val="24"/>
        </w:rPr>
        <w:t>supplier</w:t>
      </w:r>
      <w:r w:rsidR="00C94252" w:rsidRPr="00C94252">
        <w:rPr>
          <w:rFonts w:ascii="Arial" w:hAnsi="Arial" w:cs="Arial"/>
          <w:sz w:val="24"/>
          <w:szCs w:val="24"/>
        </w:rPr>
        <w:t>’</w:t>
      </w:r>
      <w:r w:rsidR="0098580D" w:rsidRPr="00C94252">
        <w:rPr>
          <w:rFonts w:ascii="Arial" w:hAnsi="Arial" w:cs="Arial"/>
          <w:sz w:val="24"/>
          <w:szCs w:val="24"/>
        </w:rPr>
        <w:t>s he</w:t>
      </w:r>
      <w:r w:rsidR="0098580D">
        <w:rPr>
          <w:rFonts w:ascii="Arial" w:hAnsi="Arial" w:cs="Arial"/>
          <w:sz w:val="24"/>
          <w:szCs w:val="24"/>
        </w:rPr>
        <w:t>dging portfolio—rendering prior wholesale contracts uneconomic</w:t>
      </w:r>
      <w:r w:rsidR="00DD0550">
        <w:rPr>
          <w:rFonts w:ascii="Arial" w:hAnsi="Arial" w:cs="Arial"/>
          <w:sz w:val="24"/>
          <w:szCs w:val="24"/>
        </w:rPr>
        <w:t xml:space="preserve">.  For example, assume </w:t>
      </w:r>
      <w:r w:rsidR="00DD0550" w:rsidRPr="00C94252">
        <w:rPr>
          <w:rFonts w:ascii="Arial" w:hAnsi="Arial" w:cs="Arial"/>
          <w:sz w:val="24"/>
          <w:szCs w:val="24"/>
        </w:rPr>
        <w:t>that supplier</w:t>
      </w:r>
      <w:r w:rsidR="00DD0550">
        <w:rPr>
          <w:rFonts w:ascii="Arial" w:hAnsi="Arial" w:cs="Arial"/>
          <w:sz w:val="24"/>
          <w:szCs w:val="24"/>
        </w:rPr>
        <w:t xml:space="preserve"> enters into a three year contract with a 5 megawatt demand customer with an 80% load factor and hedges the customer’s energy requirements for the duration of the contract.  If a change in law occurs after one year, t</w:t>
      </w:r>
      <w:r w:rsidR="00DD0550" w:rsidRPr="00C94252">
        <w:rPr>
          <w:rFonts w:ascii="Arial" w:hAnsi="Arial" w:cs="Arial"/>
          <w:sz w:val="24"/>
          <w:szCs w:val="24"/>
        </w:rPr>
        <w:t>he supplier w</w:t>
      </w:r>
      <w:r w:rsidR="00DD0550">
        <w:rPr>
          <w:rFonts w:ascii="Arial" w:hAnsi="Arial" w:cs="Arial"/>
          <w:sz w:val="24"/>
          <w:szCs w:val="24"/>
        </w:rPr>
        <w:t>ill be left holding a forward energy contract for two remaining years that will have to be liquidated into the market.  For every $1 per mwhour that the market price is less than the contract price, th</w:t>
      </w:r>
      <w:r w:rsidR="00DD0550" w:rsidRPr="00C94252">
        <w:rPr>
          <w:rFonts w:ascii="Arial" w:hAnsi="Arial" w:cs="Arial"/>
          <w:sz w:val="24"/>
          <w:szCs w:val="24"/>
        </w:rPr>
        <w:t>e supplier</w:t>
      </w:r>
      <w:r w:rsidR="00850AFA">
        <w:rPr>
          <w:rFonts w:ascii="Arial" w:hAnsi="Arial" w:cs="Arial"/>
          <w:sz w:val="24"/>
          <w:szCs w:val="24"/>
        </w:rPr>
        <w:t xml:space="preserve"> may</w:t>
      </w:r>
      <w:r w:rsidR="00DD0550">
        <w:rPr>
          <w:rFonts w:ascii="Arial" w:hAnsi="Arial" w:cs="Arial"/>
          <w:sz w:val="24"/>
          <w:szCs w:val="24"/>
        </w:rPr>
        <w:t xml:space="preserve"> lose $70,000.  Such a result would be fundamentally unfair to t</w:t>
      </w:r>
      <w:r w:rsidR="00DD0550" w:rsidRPr="00C94252">
        <w:rPr>
          <w:rFonts w:ascii="Arial" w:hAnsi="Arial" w:cs="Arial"/>
          <w:sz w:val="24"/>
          <w:szCs w:val="24"/>
        </w:rPr>
        <w:t>he supplier if th</w:t>
      </w:r>
      <w:r w:rsidR="00DD0550">
        <w:rPr>
          <w:rFonts w:ascii="Arial" w:hAnsi="Arial" w:cs="Arial"/>
          <w:sz w:val="24"/>
          <w:szCs w:val="24"/>
        </w:rPr>
        <w:t xml:space="preserve">e regulatory change/change in law provision is properly disclosed in the contract. </w:t>
      </w:r>
    </w:p>
    <w:p w14:paraId="6637C5DB" w14:textId="159C2B7A" w:rsidR="00A03284" w:rsidRDefault="00DD0550" w:rsidP="00157139">
      <w:pPr>
        <w:spacing w:line="480" w:lineRule="auto"/>
        <w:ind w:firstLine="720"/>
        <w:jc w:val="both"/>
        <w:rPr>
          <w:rFonts w:ascii="Arial" w:hAnsi="Arial" w:cs="Arial"/>
          <w:sz w:val="24"/>
          <w:szCs w:val="24"/>
        </w:rPr>
      </w:pPr>
      <w:r>
        <w:rPr>
          <w:rFonts w:ascii="Arial" w:hAnsi="Arial" w:cs="Arial"/>
          <w:sz w:val="24"/>
          <w:szCs w:val="24"/>
        </w:rPr>
        <w:t>Rather than requiring affirmative consent, the Commissio</w:t>
      </w:r>
      <w:r w:rsidR="00C94252">
        <w:rPr>
          <w:rFonts w:ascii="Arial" w:hAnsi="Arial" w:cs="Arial"/>
          <w:sz w:val="24"/>
          <w:szCs w:val="24"/>
        </w:rPr>
        <w:t>n on rehearing should allow suppliers</w:t>
      </w:r>
      <w:r>
        <w:rPr>
          <w:rFonts w:ascii="Arial" w:hAnsi="Arial" w:cs="Arial"/>
          <w:sz w:val="24"/>
          <w:szCs w:val="24"/>
        </w:rPr>
        <w:t xml:space="preserve"> to include provisions in their contracts that allow the pass-through of additional unexpected costs that result from regulatory orders or changes in law</w:t>
      </w:r>
      <w:r w:rsidR="0098580D">
        <w:rPr>
          <w:rFonts w:ascii="Arial" w:hAnsi="Arial" w:cs="Arial"/>
          <w:sz w:val="24"/>
          <w:szCs w:val="24"/>
        </w:rPr>
        <w:t>, subject to providing customer notice</w:t>
      </w:r>
      <w:r>
        <w:rPr>
          <w:rFonts w:ascii="Arial" w:hAnsi="Arial" w:cs="Arial"/>
          <w:sz w:val="24"/>
          <w:szCs w:val="24"/>
        </w:rPr>
        <w:t xml:space="preserve">.  Such provisions should be clearly disclosed and </w:t>
      </w:r>
      <w:r w:rsidR="008348E4">
        <w:rPr>
          <w:rFonts w:ascii="Arial" w:hAnsi="Arial" w:cs="Arial"/>
          <w:sz w:val="24"/>
          <w:szCs w:val="24"/>
        </w:rPr>
        <w:t>be limited to the pass-through of costs that are actually incurred.</w:t>
      </w:r>
    </w:p>
    <w:p w14:paraId="49F94C14" w14:textId="43F4F2F6" w:rsidR="001D1844" w:rsidRPr="001F4126" w:rsidRDefault="001D1844" w:rsidP="001F4126">
      <w:pPr>
        <w:pStyle w:val="ListParagraph"/>
        <w:numPr>
          <w:ilvl w:val="0"/>
          <w:numId w:val="5"/>
        </w:numPr>
        <w:rPr>
          <w:rFonts w:ascii="Arial" w:hAnsi="Arial" w:cs="Arial"/>
          <w:b/>
          <w:sz w:val="24"/>
          <w:szCs w:val="24"/>
        </w:rPr>
      </w:pPr>
      <w:r w:rsidRPr="001F4126">
        <w:rPr>
          <w:rFonts w:ascii="Arial" w:hAnsi="Arial" w:cs="Arial"/>
          <w:b/>
          <w:sz w:val="24"/>
          <w:szCs w:val="24"/>
        </w:rPr>
        <w:t>T</w:t>
      </w:r>
      <w:r w:rsidR="001F4126" w:rsidRPr="001F4126">
        <w:rPr>
          <w:rFonts w:ascii="Arial" w:hAnsi="Arial" w:cs="Arial"/>
          <w:b/>
          <w:sz w:val="24"/>
          <w:szCs w:val="24"/>
        </w:rPr>
        <w:t xml:space="preserve">o the extent that the Order is intended to apply to contracts entered into prior to the date of the Order, it violates the Ohio Constitution’s prohibition against retroactive application of laws and thus unlawful and </w:t>
      </w:r>
      <w:r w:rsidR="001F4126" w:rsidRPr="001F4126">
        <w:rPr>
          <w:rFonts w:ascii="Arial" w:hAnsi="Arial" w:cs="Arial"/>
          <w:b/>
          <w:sz w:val="24"/>
          <w:szCs w:val="24"/>
        </w:rPr>
        <w:lastRenderedPageBreak/>
        <w:t>unreasonable. Because the Order was issued over a year and a half after this proceeding was opened, the Order is also ar</w:t>
      </w:r>
      <w:r w:rsidR="001F4126">
        <w:rPr>
          <w:rFonts w:ascii="Arial" w:hAnsi="Arial" w:cs="Arial"/>
          <w:b/>
          <w:sz w:val="24"/>
          <w:szCs w:val="24"/>
        </w:rPr>
        <w:t>bitrary, unjust, and capricious</w:t>
      </w:r>
    </w:p>
    <w:p w14:paraId="52679526" w14:textId="2094B754" w:rsidR="00F45BAA" w:rsidRPr="00850AFA" w:rsidRDefault="00F45BAA" w:rsidP="00F45BAA">
      <w:pPr>
        <w:spacing w:line="480" w:lineRule="auto"/>
        <w:ind w:left="360" w:firstLine="720"/>
        <w:jc w:val="both"/>
        <w:rPr>
          <w:rFonts w:ascii="Arial" w:hAnsi="Arial" w:cs="Arial"/>
          <w:sz w:val="24"/>
          <w:szCs w:val="24"/>
        </w:rPr>
      </w:pPr>
      <w:r>
        <w:rPr>
          <w:rFonts w:ascii="Arial" w:hAnsi="Arial" w:cs="Arial"/>
          <w:sz w:val="24"/>
          <w:szCs w:val="24"/>
        </w:rPr>
        <w:t>Although the Order indicated that suppliers must bring their contracts into compliance with the Order by January 1, 2016, it did not specifically</w:t>
      </w:r>
      <w:r w:rsidR="00885BB6">
        <w:rPr>
          <w:rFonts w:ascii="Arial" w:hAnsi="Arial" w:cs="Arial"/>
          <w:sz w:val="24"/>
          <w:szCs w:val="24"/>
        </w:rPr>
        <w:t xml:space="preserve"> exempt</w:t>
      </w:r>
      <w:r>
        <w:rPr>
          <w:rFonts w:ascii="Arial" w:hAnsi="Arial" w:cs="Arial"/>
          <w:sz w:val="24"/>
          <w:szCs w:val="24"/>
        </w:rPr>
        <w:t xml:space="preserve"> pass-through cla</w:t>
      </w:r>
      <w:r w:rsidRPr="00850AFA">
        <w:rPr>
          <w:rFonts w:ascii="Arial" w:hAnsi="Arial" w:cs="Arial"/>
          <w:sz w:val="24"/>
          <w:szCs w:val="24"/>
        </w:rPr>
        <w:t>uses in existing contract</w:t>
      </w:r>
      <w:r w:rsidR="00885BB6" w:rsidRPr="00850AFA">
        <w:rPr>
          <w:rFonts w:ascii="Arial" w:hAnsi="Arial" w:cs="Arial"/>
          <w:sz w:val="24"/>
          <w:szCs w:val="24"/>
        </w:rPr>
        <w:t xml:space="preserve">s.  As discussed below, it would be unlawful, unjust, unreasonable, arbitrary, and capricious to prohibit suppliers to invoke pass-through clauses in existing contracts.  </w:t>
      </w:r>
    </w:p>
    <w:p w14:paraId="3569E719" w14:textId="69808C62" w:rsidR="00D92EF0" w:rsidRDefault="00885BB6" w:rsidP="001D1844">
      <w:pPr>
        <w:spacing w:line="480" w:lineRule="auto"/>
        <w:ind w:left="360" w:firstLine="720"/>
        <w:jc w:val="both"/>
        <w:rPr>
          <w:rFonts w:ascii="Arial" w:hAnsi="Arial" w:cs="Arial"/>
          <w:sz w:val="24"/>
          <w:szCs w:val="24"/>
        </w:rPr>
      </w:pPr>
      <w:r w:rsidRPr="00850AFA">
        <w:rPr>
          <w:rFonts w:ascii="Arial" w:hAnsi="Arial" w:cs="Arial"/>
          <w:sz w:val="24"/>
          <w:szCs w:val="24"/>
        </w:rPr>
        <w:t>Initially,</w:t>
      </w:r>
      <w:r w:rsidR="00F411F6" w:rsidRPr="00850AFA">
        <w:rPr>
          <w:rFonts w:ascii="Arial" w:hAnsi="Arial" w:cs="Arial"/>
          <w:sz w:val="24"/>
          <w:szCs w:val="24"/>
        </w:rPr>
        <w:t xml:space="preserve"> “</w:t>
      </w:r>
      <w:r w:rsidR="00C32F93" w:rsidRPr="00850AFA">
        <w:rPr>
          <w:rFonts w:ascii="Arial" w:hAnsi="Arial" w:cs="Arial"/>
          <w:sz w:val="24"/>
          <w:szCs w:val="24"/>
        </w:rPr>
        <w:t>[s]</w:t>
      </w:r>
      <w:r w:rsidR="00F411F6" w:rsidRPr="00850AFA">
        <w:rPr>
          <w:rFonts w:ascii="Arial" w:hAnsi="Arial" w:cs="Arial"/>
          <w:sz w:val="24"/>
          <w:szCs w:val="24"/>
        </w:rPr>
        <w:t>ection 28, Article II of the Ohio Constitution provides that ‘[t]he general assembly shall have no power to pass retroactive laws."</w:t>
      </w:r>
      <w:r w:rsidR="00F411F6" w:rsidRPr="00850AFA">
        <w:rPr>
          <w:rFonts w:ascii="Arial" w:hAnsi="Arial" w:cs="Arial"/>
          <w:i/>
          <w:sz w:val="24"/>
          <w:szCs w:val="24"/>
        </w:rPr>
        <w:t xml:space="preserve"> </w:t>
      </w:r>
      <w:proofErr w:type="gramStart"/>
      <w:r w:rsidR="00F411F6" w:rsidRPr="00850AFA">
        <w:rPr>
          <w:rFonts w:ascii="Arial" w:hAnsi="Arial" w:cs="Arial"/>
          <w:i/>
          <w:sz w:val="24"/>
          <w:szCs w:val="24"/>
        </w:rPr>
        <w:t>State v. Cook</w:t>
      </w:r>
      <w:r w:rsidR="00F411F6" w:rsidRPr="00850AFA">
        <w:rPr>
          <w:rFonts w:ascii="Arial" w:hAnsi="Arial" w:cs="Arial"/>
          <w:sz w:val="24"/>
          <w:szCs w:val="24"/>
        </w:rPr>
        <w:t>, 83 Ohio St.3d 404,</w:t>
      </w:r>
      <w:r w:rsidR="0089279F" w:rsidRPr="00850AFA">
        <w:rPr>
          <w:rFonts w:ascii="Arial" w:hAnsi="Arial" w:cs="Arial"/>
          <w:sz w:val="24"/>
          <w:szCs w:val="24"/>
        </w:rPr>
        <w:t xml:space="preserve"> </w:t>
      </w:r>
      <w:r w:rsidR="00F411F6" w:rsidRPr="00850AFA">
        <w:rPr>
          <w:rFonts w:ascii="Arial" w:hAnsi="Arial" w:cs="Arial"/>
          <w:sz w:val="24"/>
          <w:szCs w:val="24"/>
        </w:rPr>
        <w:t>410 (1998).</w:t>
      </w:r>
      <w:proofErr w:type="gramEnd"/>
      <w:r w:rsidR="00F411F6" w:rsidRPr="00850AFA">
        <w:rPr>
          <w:rFonts w:ascii="Arial" w:hAnsi="Arial" w:cs="Arial"/>
          <w:sz w:val="24"/>
          <w:szCs w:val="24"/>
        </w:rPr>
        <w:t xml:space="preserve"> The Ohio Constitution</w:t>
      </w:r>
      <w:r w:rsidRPr="00850AFA">
        <w:rPr>
          <w:rFonts w:ascii="Arial" w:hAnsi="Arial" w:cs="Arial"/>
          <w:sz w:val="24"/>
          <w:szCs w:val="24"/>
        </w:rPr>
        <w:t xml:space="preserve"> prohibits retroactive application of statutes to impair vested rights in existing contracts</w:t>
      </w:r>
      <w:r w:rsidR="00691EBD" w:rsidRPr="00850AFA">
        <w:rPr>
          <w:rFonts w:ascii="Arial" w:hAnsi="Arial" w:cs="Arial"/>
          <w:sz w:val="24"/>
          <w:szCs w:val="24"/>
        </w:rPr>
        <w:t xml:space="preserve"> or create new burdens</w:t>
      </w:r>
      <w:r w:rsidRPr="00850AFA">
        <w:rPr>
          <w:rFonts w:ascii="Arial" w:hAnsi="Arial" w:cs="Arial"/>
          <w:sz w:val="24"/>
          <w:szCs w:val="24"/>
        </w:rPr>
        <w:t>.</w:t>
      </w:r>
      <w:r w:rsidR="00F411F6" w:rsidRPr="00850AFA">
        <w:rPr>
          <w:rFonts w:ascii="Arial" w:hAnsi="Arial" w:cs="Arial"/>
          <w:sz w:val="24"/>
          <w:szCs w:val="24"/>
        </w:rPr>
        <w:t xml:space="preserve">  </w:t>
      </w:r>
      <w:r w:rsidR="00F411F6" w:rsidRPr="00850AFA">
        <w:rPr>
          <w:rFonts w:ascii="Arial" w:hAnsi="Arial" w:cs="Arial"/>
          <w:i/>
          <w:sz w:val="24"/>
          <w:szCs w:val="24"/>
        </w:rPr>
        <w:t xml:space="preserve">Id. </w:t>
      </w:r>
      <w:r w:rsidR="00F411F6" w:rsidRPr="00850AFA">
        <w:rPr>
          <w:rFonts w:ascii="Arial" w:hAnsi="Arial" w:cs="Arial"/>
          <w:sz w:val="24"/>
          <w:szCs w:val="24"/>
        </w:rPr>
        <w:t>at 410-412.  This limitation a</w:t>
      </w:r>
      <w:r w:rsidR="00850AFA">
        <w:rPr>
          <w:rFonts w:ascii="Arial" w:hAnsi="Arial" w:cs="Arial"/>
          <w:sz w:val="24"/>
          <w:szCs w:val="24"/>
        </w:rPr>
        <w:t>pplies to administrative rules.</w:t>
      </w:r>
      <w:r w:rsidR="00F411F6" w:rsidRPr="00850AFA">
        <w:rPr>
          <w:rFonts w:ascii="Arial" w:hAnsi="Arial" w:cs="Arial"/>
          <w:sz w:val="24"/>
          <w:szCs w:val="24"/>
        </w:rPr>
        <w:t xml:space="preserve"> </w:t>
      </w:r>
      <w:r w:rsidR="00850AFA">
        <w:rPr>
          <w:rFonts w:ascii="Arial" w:hAnsi="Arial" w:cs="Arial"/>
          <w:i/>
          <w:sz w:val="24"/>
          <w:szCs w:val="24"/>
        </w:rPr>
        <w:t xml:space="preserve"> </w:t>
      </w:r>
      <w:proofErr w:type="gramStart"/>
      <w:r w:rsidR="00C27C5E" w:rsidRPr="00850AFA">
        <w:rPr>
          <w:rFonts w:ascii="Arial" w:hAnsi="Arial" w:cs="Arial"/>
          <w:i/>
          <w:sz w:val="24"/>
          <w:szCs w:val="24"/>
        </w:rPr>
        <w:t>Fraternal Order of Police v. Hunter</w:t>
      </w:r>
      <w:r w:rsidR="00C27C5E" w:rsidRPr="00850AFA">
        <w:rPr>
          <w:rFonts w:ascii="Arial" w:hAnsi="Arial" w:cs="Arial"/>
          <w:sz w:val="24"/>
          <w:szCs w:val="24"/>
        </w:rPr>
        <w:t>, 49 Ohio App. 2d 185, 195 (1975).</w:t>
      </w:r>
      <w:proofErr w:type="gramEnd"/>
      <w:r w:rsidR="00C27C5E" w:rsidRPr="00850AFA">
        <w:rPr>
          <w:rFonts w:ascii="Arial" w:hAnsi="Arial" w:cs="Arial"/>
          <w:sz w:val="24"/>
          <w:szCs w:val="24"/>
        </w:rPr>
        <w:t xml:space="preserve"> </w:t>
      </w:r>
      <w:r w:rsidRPr="00850AFA">
        <w:rPr>
          <w:rFonts w:ascii="Arial" w:hAnsi="Arial" w:cs="Arial"/>
          <w:sz w:val="24"/>
          <w:szCs w:val="24"/>
        </w:rPr>
        <w:t xml:space="preserve"> </w:t>
      </w:r>
      <w:r w:rsidR="00C32F93" w:rsidRPr="00850AFA">
        <w:rPr>
          <w:rFonts w:ascii="Arial" w:hAnsi="Arial" w:cs="Arial"/>
          <w:sz w:val="24"/>
          <w:szCs w:val="24"/>
        </w:rPr>
        <w:t>Ohio courts have held that</w:t>
      </w:r>
      <w:r w:rsidR="00F45BAA" w:rsidRPr="00850AFA">
        <w:rPr>
          <w:rFonts w:ascii="Arial" w:hAnsi="Arial" w:cs="Arial"/>
          <w:sz w:val="24"/>
          <w:szCs w:val="24"/>
        </w:rPr>
        <w:t xml:space="preserve"> “</w:t>
      </w:r>
      <w:r w:rsidR="00C32F93" w:rsidRPr="00850AFA">
        <w:rPr>
          <w:rFonts w:ascii="Arial" w:hAnsi="Arial" w:cs="Arial"/>
          <w:sz w:val="24"/>
          <w:szCs w:val="24"/>
        </w:rPr>
        <w:t>[r]</w:t>
      </w:r>
      <w:r w:rsidR="00F45BAA" w:rsidRPr="00850AFA">
        <w:rPr>
          <w:rFonts w:ascii="Arial" w:hAnsi="Arial" w:cs="Arial"/>
          <w:sz w:val="24"/>
          <w:szCs w:val="24"/>
        </w:rPr>
        <w:t xml:space="preserve">etroactive application of administrative rules is particularly disfavored when substantive rights are involved.”  </w:t>
      </w:r>
      <w:proofErr w:type="gramStart"/>
      <w:r w:rsidRPr="00850AFA">
        <w:rPr>
          <w:rFonts w:ascii="Arial" w:hAnsi="Arial" w:cs="Arial"/>
          <w:i/>
          <w:sz w:val="24"/>
          <w:szCs w:val="24"/>
        </w:rPr>
        <w:t xml:space="preserve">Martin v. Ohio Dept. </w:t>
      </w:r>
      <w:r w:rsidRPr="00885BB6">
        <w:rPr>
          <w:rFonts w:ascii="Arial" w:hAnsi="Arial" w:cs="Arial"/>
          <w:i/>
          <w:sz w:val="24"/>
          <w:szCs w:val="24"/>
        </w:rPr>
        <w:t>of Human Serv.</w:t>
      </w:r>
      <w:r w:rsidRPr="00885BB6">
        <w:rPr>
          <w:rFonts w:ascii="Arial" w:hAnsi="Arial" w:cs="Arial"/>
          <w:sz w:val="24"/>
          <w:szCs w:val="24"/>
        </w:rPr>
        <w:t>, 130 Ohio App. 3d 512</w:t>
      </w:r>
      <w:r>
        <w:rPr>
          <w:rFonts w:ascii="Arial" w:hAnsi="Arial" w:cs="Arial"/>
          <w:sz w:val="24"/>
          <w:szCs w:val="24"/>
        </w:rPr>
        <w:t>, 524 (1998) (Ct. Appeals, Second Dist., Champaign Co.)</w:t>
      </w:r>
      <w:r w:rsidR="00C32F93">
        <w:rPr>
          <w:rFonts w:ascii="Arial" w:hAnsi="Arial" w:cs="Arial"/>
          <w:sz w:val="24"/>
          <w:szCs w:val="24"/>
        </w:rPr>
        <w:t>.</w:t>
      </w:r>
      <w:proofErr w:type="gramEnd"/>
      <w:r w:rsidR="00C32F93">
        <w:rPr>
          <w:rFonts w:ascii="Arial" w:hAnsi="Arial" w:cs="Arial"/>
          <w:sz w:val="24"/>
          <w:szCs w:val="24"/>
        </w:rPr>
        <w:t xml:space="preserve">  The Order, if applied retroactively to existing contracts, would impair suppliers’ substantive right</w:t>
      </w:r>
      <w:r w:rsidR="00164D57">
        <w:rPr>
          <w:rFonts w:ascii="Arial" w:hAnsi="Arial" w:cs="Arial"/>
          <w:sz w:val="24"/>
          <w:szCs w:val="24"/>
        </w:rPr>
        <w:t>s</w:t>
      </w:r>
      <w:r w:rsidR="00C32F93">
        <w:rPr>
          <w:rFonts w:ascii="Arial" w:hAnsi="Arial" w:cs="Arial"/>
          <w:sz w:val="24"/>
          <w:szCs w:val="24"/>
        </w:rPr>
        <w:t xml:space="preserve"> to pass-through costs specifically enumerated in their contracts with customers.  That would violate precedent and the Ohio Constitution’s prohibition against retroactive application of law and regulation.</w:t>
      </w:r>
    </w:p>
    <w:p w14:paraId="46F2D85D" w14:textId="2C9D4038" w:rsidR="00D92EF0" w:rsidRDefault="00C32F93" w:rsidP="001D1844">
      <w:pPr>
        <w:spacing w:line="480" w:lineRule="auto"/>
        <w:ind w:left="360" w:firstLine="720"/>
        <w:jc w:val="both"/>
        <w:rPr>
          <w:rFonts w:ascii="Arial" w:hAnsi="Arial" w:cs="Arial"/>
          <w:sz w:val="24"/>
          <w:szCs w:val="24"/>
        </w:rPr>
      </w:pPr>
      <w:r>
        <w:rPr>
          <w:rFonts w:ascii="Arial" w:hAnsi="Arial" w:cs="Arial"/>
          <w:sz w:val="24"/>
          <w:szCs w:val="24"/>
        </w:rPr>
        <w:t>In this instance, retroactive application of the new regulation would be arbitrary and capricious, given that the Commission opened this proceeding</w:t>
      </w:r>
      <w:r w:rsidR="00DE701D">
        <w:rPr>
          <w:rFonts w:ascii="Arial" w:hAnsi="Arial" w:cs="Arial"/>
          <w:sz w:val="24"/>
          <w:szCs w:val="24"/>
        </w:rPr>
        <w:t xml:space="preserve"> and</w:t>
      </w:r>
      <w:r>
        <w:rPr>
          <w:rFonts w:ascii="Arial" w:hAnsi="Arial" w:cs="Arial"/>
          <w:sz w:val="24"/>
          <w:szCs w:val="24"/>
        </w:rPr>
        <w:t xml:space="preserve"> then did nothing for eighteen months.</w:t>
      </w:r>
      <w:r w:rsidR="00691EBD">
        <w:rPr>
          <w:rFonts w:ascii="Arial" w:hAnsi="Arial" w:cs="Arial"/>
          <w:sz w:val="24"/>
          <w:szCs w:val="24"/>
        </w:rPr>
        <w:t xml:space="preserve">  During that time, suppliers continued to enter </w:t>
      </w:r>
      <w:r w:rsidR="00691EBD">
        <w:rPr>
          <w:rFonts w:ascii="Arial" w:hAnsi="Arial" w:cs="Arial"/>
          <w:sz w:val="24"/>
          <w:szCs w:val="24"/>
        </w:rPr>
        <w:lastRenderedPageBreak/>
        <w:t>into fixed-price contracts with pass-through clauses. Had the Commission</w:t>
      </w:r>
      <w:r w:rsidR="00DE701D">
        <w:rPr>
          <w:rFonts w:ascii="Arial" w:hAnsi="Arial" w:cs="Arial"/>
          <w:sz w:val="24"/>
          <w:szCs w:val="24"/>
        </w:rPr>
        <w:t xml:space="preserve"> not unduly delayed its Order</w:t>
      </w:r>
      <w:r w:rsidR="00691EBD">
        <w:rPr>
          <w:rFonts w:ascii="Arial" w:hAnsi="Arial" w:cs="Arial"/>
          <w:sz w:val="24"/>
          <w:szCs w:val="24"/>
        </w:rPr>
        <w:t xml:space="preserve">, the number of contracts potentially impacted by the Order would be significantly less.   Thus, the retroactive application of the Order </w:t>
      </w:r>
      <w:r w:rsidR="00DE701D">
        <w:rPr>
          <w:rFonts w:ascii="Arial" w:hAnsi="Arial" w:cs="Arial"/>
          <w:sz w:val="24"/>
          <w:szCs w:val="24"/>
        </w:rPr>
        <w:t>to existing contracts would also be</w:t>
      </w:r>
      <w:r w:rsidR="00691EBD">
        <w:rPr>
          <w:rFonts w:ascii="Arial" w:hAnsi="Arial" w:cs="Arial"/>
          <w:sz w:val="24"/>
          <w:szCs w:val="24"/>
        </w:rPr>
        <w:t xml:space="preserve"> arbitrary and capricious. </w:t>
      </w:r>
    </w:p>
    <w:p w14:paraId="48EB0EDA" w14:textId="158D0A01" w:rsidR="001F4126" w:rsidRPr="001F4126" w:rsidRDefault="001F4126" w:rsidP="001F4126">
      <w:pPr>
        <w:pStyle w:val="ListParagraph"/>
        <w:numPr>
          <w:ilvl w:val="0"/>
          <w:numId w:val="5"/>
        </w:numPr>
        <w:spacing w:line="240" w:lineRule="auto"/>
        <w:jc w:val="both"/>
        <w:rPr>
          <w:rFonts w:ascii="Arial" w:hAnsi="Arial" w:cs="Arial"/>
          <w:b/>
          <w:sz w:val="24"/>
          <w:szCs w:val="24"/>
        </w:rPr>
      </w:pPr>
      <w:r>
        <w:rPr>
          <w:rFonts w:ascii="Arial" w:hAnsi="Arial" w:cs="Arial"/>
          <w:b/>
          <w:sz w:val="24"/>
          <w:szCs w:val="24"/>
        </w:rPr>
        <w:t>The Order is unlawful and unreasonable to the extent it did not grant IGS’s Motion to Intervene</w:t>
      </w:r>
    </w:p>
    <w:p w14:paraId="76DDA996" w14:textId="77777777" w:rsidR="001F4126" w:rsidRPr="001F4126" w:rsidRDefault="001F4126" w:rsidP="001F4126">
      <w:pPr>
        <w:spacing w:line="480" w:lineRule="auto"/>
        <w:ind w:firstLine="720"/>
        <w:jc w:val="both"/>
        <w:rPr>
          <w:rFonts w:ascii="Arial" w:hAnsi="Arial" w:cs="Arial"/>
          <w:sz w:val="24"/>
        </w:rPr>
      </w:pPr>
      <w:r w:rsidRPr="001F4126">
        <w:rPr>
          <w:rFonts w:ascii="Arial" w:hAnsi="Arial" w:cs="Arial"/>
          <w:sz w:val="24"/>
          <w:szCs w:val="24"/>
        </w:rPr>
        <w:t>The Order granted the intervention of several customer parties, but did not specifically address IGS’s Motion to Intervene, which was filed on May 9, 2014.</w:t>
      </w:r>
      <w:r w:rsidRPr="001F4126">
        <w:rPr>
          <w:rStyle w:val="FootnoteReference"/>
          <w:rFonts w:ascii="Arial" w:hAnsi="Arial" w:cs="Arial"/>
          <w:sz w:val="24"/>
        </w:rPr>
        <w:footnoteReference w:id="11"/>
      </w:r>
      <w:r w:rsidRPr="001F4126">
        <w:rPr>
          <w:rFonts w:ascii="Arial" w:hAnsi="Arial" w:cs="Arial"/>
          <w:sz w:val="24"/>
          <w:szCs w:val="24"/>
        </w:rPr>
        <w:t xml:space="preserve">  IGS assumes that the Order’s failure to grant IGS’s Motion was an oversight, but, to the extent that it was not, the Order is unlawful and unreasonable. </w:t>
      </w:r>
    </w:p>
    <w:p w14:paraId="30BFDF3F" w14:textId="77777777" w:rsidR="001F4126" w:rsidRPr="001F4126" w:rsidRDefault="001F4126" w:rsidP="001F4126">
      <w:pPr>
        <w:widowControl w:val="0"/>
        <w:spacing w:after="0" w:line="480" w:lineRule="auto"/>
        <w:ind w:firstLine="720"/>
        <w:jc w:val="both"/>
        <w:rPr>
          <w:rFonts w:ascii="Arial" w:hAnsi="Arial" w:cs="Arial"/>
          <w:sz w:val="24"/>
          <w:szCs w:val="24"/>
        </w:rPr>
      </w:pPr>
      <w:r w:rsidRPr="001F4126">
        <w:rPr>
          <w:rFonts w:ascii="Arial" w:hAnsi="Arial" w:cs="Arial"/>
          <w:sz w:val="24"/>
          <w:szCs w:val="24"/>
        </w:rPr>
        <w:t>For purposes of considering requests for leave to intervene in a Commission proceeding, the Commission’s rules provide that:</w:t>
      </w:r>
    </w:p>
    <w:p w14:paraId="4BE44230" w14:textId="77777777" w:rsidR="001F4126" w:rsidRPr="001F4126" w:rsidRDefault="001F4126" w:rsidP="001F4126">
      <w:pPr>
        <w:widowControl w:val="0"/>
        <w:ind w:left="720" w:right="720"/>
        <w:jc w:val="both"/>
        <w:rPr>
          <w:rFonts w:ascii="Arial" w:hAnsi="Arial" w:cs="Arial"/>
          <w:sz w:val="24"/>
          <w:szCs w:val="24"/>
        </w:rPr>
      </w:pPr>
      <w:r w:rsidRPr="001F4126">
        <w:rPr>
          <w:rFonts w:ascii="Arial" w:hAnsi="Arial" w:cs="Arial"/>
          <w:sz w:val="24"/>
          <w:szCs w:val="24"/>
        </w:rPr>
        <w:t>Upon timely motion, any person shall be permitted to intervene in a proceeding upon a showing that: (1) A statute of this state or the United States confers a right to intervene. (2) The person has a real and substantial interest in the proceeding, and the person is so situated that the disposition of the proceeding may, as a practical matter, impair or impede his or her ability to protect that interest, unless the person's interest is adequately represented by existing parties.</w:t>
      </w:r>
      <w:r w:rsidRPr="001F4126">
        <w:rPr>
          <w:rStyle w:val="FootnoteReference"/>
          <w:rFonts w:ascii="Arial" w:hAnsi="Arial" w:cs="Arial"/>
          <w:sz w:val="24"/>
          <w:szCs w:val="24"/>
        </w:rPr>
        <w:footnoteReference w:id="12"/>
      </w:r>
    </w:p>
    <w:p w14:paraId="0ECBFE29" w14:textId="77777777" w:rsidR="001F4126" w:rsidRPr="001F4126" w:rsidRDefault="001F4126" w:rsidP="001F4126">
      <w:pPr>
        <w:widowControl w:val="0"/>
        <w:spacing w:after="0" w:line="480" w:lineRule="auto"/>
        <w:ind w:firstLine="720"/>
        <w:jc w:val="both"/>
        <w:rPr>
          <w:rFonts w:ascii="Arial" w:hAnsi="Arial" w:cs="Arial"/>
          <w:sz w:val="24"/>
          <w:szCs w:val="24"/>
        </w:rPr>
      </w:pPr>
      <w:r w:rsidRPr="001F4126">
        <w:rPr>
          <w:rFonts w:ascii="Arial" w:hAnsi="Arial" w:cs="Arial"/>
          <w:sz w:val="24"/>
          <w:szCs w:val="24"/>
        </w:rPr>
        <w:t xml:space="preserve">Further, R.C. 4903.221(B) and Rule 4901-1-11(B), OAC, provide that the Commission, in ruling upon applications to intervene in its proceedings, shall consider the following criteria: </w:t>
      </w:r>
    </w:p>
    <w:p w14:paraId="7AC1D101" w14:textId="70FDFD07" w:rsidR="001F4126" w:rsidRDefault="001F4126" w:rsidP="001F4126">
      <w:pPr>
        <w:pStyle w:val="ListParagraph"/>
        <w:widowControl w:val="0"/>
        <w:numPr>
          <w:ilvl w:val="0"/>
          <w:numId w:val="8"/>
        </w:numPr>
        <w:spacing w:after="0" w:line="240" w:lineRule="auto"/>
        <w:ind w:right="720"/>
        <w:jc w:val="both"/>
        <w:rPr>
          <w:rFonts w:ascii="Arial" w:hAnsi="Arial" w:cs="Arial"/>
          <w:sz w:val="24"/>
        </w:rPr>
      </w:pPr>
      <w:r w:rsidRPr="001F4126">
        <w:rPr>
          <w:rFonts w:ascii="Arial" w:hAnsi="Arial" w:cs="Arial"/>
          <w:sz w:val="24"/>
        </w:rPr>
        <w:t xml:space="preserve">The nature and extent of the prospective intervener’s interest; (2) The legal position advanced by the prospective intervener and its probable relation to the merits of the case; (3) Whether the intervention by the prospective intervener will unduly prolong or delay the proceedings; (4) </w:t>
      </w:r>
      <w:r w:rsidRPr="001F4126">
        <w:rPr>
          <w:rFonts w:ascii="Arial" w:hAnsi="Arial" w:cs="Arial"/>
          <w:sz w:val="24"/>
        </w:rPr>
        <w:lastRenderedPageBreak/>
        <w:t>Whether the prospective intervener will significantly contribute to full development and equitable resolution of the factual issues.</w:t>
      </w:r>
    </w:p>
    <w:p w14:paraId="5AE0DD51" w14:textId="77777777" w:rsidR="00850AFA" w:rsidRPr="00850AFA" w:rsidRDefault="00850AFA" w:rsidP="00850AFA">
      <w:pPr>
        <w:pStyle w:val="ListParagraph"/>
        <w:widowControl w:val="0"/>
        <w:spacing w:after="0" w:line="240" w:lineRule="auto"/>
        <w:ind w:left="1080" w:right="720"/>
        <w:jc w:val="both"/>
        <w:rPr>
          <w:rFonts w:ascii="Arial" w:hAnsi="Arial" w:cs="Arial"/>
          <w:sz w:val="24"/>
        </w:rPr>
      </w:pPr>
    </w:p>
    <w:p w14:paraId="787C0AB9" w14:textId="77777777" w:rsidR="001F4126" w:rsidRPr="001F4126" w:rsidRDefault="001F4126" w:rsidP="001F4126">
      <w:pPr>
        <w:widowControl w:val="0"/>
        <w:spacing w:line="480" w:lineRule="auto"/>
        <w:jc w:val="both"/>
        <w:rPr>
          <w:rFonts w:ascii="Arial" w:hAnsi="Arial" w:cs="Arial"/>
          <w:sz w:val="24"/>
        </w:rPr>
      </w:pPr>
      <w:r w:rsidRPr="001F4126">
        <w:rPr>
          <w:rFonts w:ascii="Arial" w:hAnsi="Arial" w:cs="Arial"/>
          <w:sz w:val="24"/>
        </w:rPr>
        <w:t>As discussed in IGS’s Motion to Intervene, Comments, and this Application for Rehearing, IGS has a real and substantial interest in the resolution of this proceeding. As IGS stated in its Motion to Intervene, “IGS has a substantial interest in this proceeding, insofar as the resolution of this proceeding may impact the products that competitive retail electric service (“CRES”) providers offer to customers, as well as CRES providers’ marketing practices.”</w:t>
      </w:r>
      <w:r w:rsidRPr="001F4126">
        <w:rPr>
          <w:rStyle w:val="FootnoteReference"/>
          <w:rFonts w:ascii="Arial" w:hAnsi="Arial" w:cs="Arial"/>
          <w:sz w:val="24"/>
        </w:rPr>
        <w:footnoteReference w:id="13"/>
      </w:r>
      <w:r w:rsidRPr="001F4126">
        <w:rPr>
          <w:rFonts w:ascii="Arial" w:hAnsi="Arial" w:cs="Arial"/>
          <w:sz w:val="24"/>
        </w:rPr>
        <w:t xml:space="preserve"> </w:t>
      </w:r>
    </w:p>
    <w:p w14:paraId="49B442AF" w14:textId="399EDD6D" w:rsidR="001F4126" w:rsidRPr="001F4126" w:rsidRDefault="001F4126" w:rsidP="001F4126">
      <w:pPr>
        <w:widowControl w:val="0"/>
        <w:spacing w:line="480" w:lineRule="auto"/>
        <w:ind w:firstLine="720"/>
        <w:jc w:val="both"/>
        <w:rPr>
          <w:rFonts w:ascii="Arial" w:hAnsi="Arial" w:cs="Arial"/>
          <w:sz w:val="24"/>
        </w:rPr>
      </w:pPr>
      <w:r w:rsidRPr="001F4126">
        <w:rPr>
          <w:rFonts w:ascii="Arial" w:eastAsia="Calibri" w:hAnsi="Arial" w:cs="Arial"/>
          <w:sz w:val="24"/>
          <w:szCs w:val="24"/>
        </w:rPr>
        <w:t>IGS has direct, real, and substantial interests in this proceeding.</w:t>
      </w:r>
      <w:r w:rsidRPr="001F4126">
        <w:rPr>
          <w:rFonts w:ascii="Arial" w:hAnsi="Arial" w:cs="Arial"/>
          <w:sz w:val="24"/>
          <w:szCs w:val="24"/>
        </w:rPr>
        <w:t xml:space="preserve">  IGS’</w:t>
      </w:r>
      <w:r w:rsidR="00850AFA">
        <w:rPr>
          <w:rFonts w:ascii="Arial" w:hAnsi="Arial" w:cs="Arial"/>
          <w:sz w:val="24"/>
          <w:szCs w:val="24"/>
        </w:rPr>
        <w:t>s</w:t>
      </w:r>
      <w:r w:rsidRPr="001F4126">
        <w:rPr>
          <w:rFonts w:ascii="Arial" w:hAnsi="Arial" w:cs="Arial"/>
          <w:sz w:val="24"/>
        </w:rPr>
        <w:t xml:space="preserve"> intervention has not </w:t>
      </w:r>
      <w:r w:rsidRPr="001F4126">
        <w:rPr>
          <w:rFonts w:ascii="Arial" w:hAnsi="Arial" w:cs="Arial"/>
          <w:sz w:val="24"/>
          <w:szCs w:val="24"/>
        </w:rPr>
        <w:t>unduly delay</w:t>
      </w:r>
      <w:r w:rsidRPr="001F4126">
        <w:rPr>
          <w:rFonts w:ascii="Arial" w:hAnsi="Arial" w:cs="Arial"/>
          <w:sz w:val="24"/>
        </w:rPr>
        <w:t>ed</w:t>
      </w:r>
      <w:r w:rsidRPr="001F4126">
        <w:rPr>
          <w:rFonts w:ascii="Arial" w:hAnsi="Arial" w:cs="Arial"/>
          <w:sz w:val="24"/>
          <w:szCs w:val="24"/>
        </w:rPr>
        <w:t xml:space="preserve"> this proceeding.  Further, IGS is so situated that without IGS’ ability to fully participate in this proceeding, its substantial interest will be prejudiced. Others participating in this proceeding do not represent IGS’</w:t>
      </w:r>
      <w:r w:rsidR="00850AFA">
        <w:rPr>
          <w:rFonts w:ascii="Arial" w:hAnsi="Arial" w:cs="Arial"/>
          <w:sz w:val="24"/>
          <w:szCs w:val="24"/>
        </w:rPr>
        <w:t>s</w:t>
      </w:r>
      <w:r w:rsidRPr="001F4126">
        <w:rPr>
          <w:rFonts w:ascii="Arial" w:hAnsi="Arial" w:cs="Arial"/>
          <w:sz w:val="24"/>
          <w:szCs w:val="24"/>
        </w:rPr>
        <w:t xml:space="preserve"> interests.  Inasmuch as others participating in this proceeding cannot adequately protect IGS’</w:t>
      </w:r>
      <w:r w:rsidR="00850AFA">
        <w:rPr>
          <w:rFonts w:ascii="Arial" w:hAnsi="Arial" w:cs="Arial"/>
          <w:sz w:val="24"/>
          <w:szCs w:val="24"/>
        </w:rPr>
        <w:t>s</w:t>
      </w:r>
      <w:r w:rsidRPr="001F4126">
        <w:rPr>
          <w:rFonts w:ascii="Arial" w:hAnsi="Arial" w:cs="Arial"/>
          <w:sz w:val="24"/>
          <w:szCs w:val="24"/>
        </w:rPr>
        <w:t xml:space="preserve"> interests, it would be inappropriate to determine this proceeding without IGS’</w:t>
      </w:r>
      <w:r w:rsidR="00850AFA">
        <w:rPr>
          <w:rFonts w:ascii="Arial" w:hAnsi="Arial" w:cs="Arial"/>
          <w:sz w:val="24"/>
          <w:szCs w:val="24"/>
        </w:rPr>
        <w:t>s</w:t>
      </w:r>
      <w:r w:rsidRPr="001F4126">
        <w:rPr>
          <w:rFonts w:ascii="Arial" w:hAnsi="Arial" w:cs="Arial"/>
          <w:sz w:val="24"/>
          <w:szCs w:val="24"/>
        </w:rPr>
        <w:t xml:space="preserve"> participation. Finally, the Supreme Court of Ohio has held that intervention should be liberally allowed for those with an interest in the proceeding.</w:t>
      </w:r>
      <w:r w:rsidRPr="001F4126">
        <w:rPr>
          <w:rStyle w:val="FootnoteReference"/>
          <w:rFonts w:ascii="Arial" w:hAnsi="Arial" w:cs="Arial"/>
          <w:sz w:val="24"/>
          <w:szCs w:val="24"/>
        </w:rPr>
        <w:footnoteReference w:id="14"/>
      </w:r>
    </w:p>
    <w:p w14:paraId="7CA591F7" w14:textId="3E2F0C97" w:rsidR="001F4126" w:rsidRPr="00850AFA" w:rsidRDefault="001F4126" w:rsidP="00850AFA">
      <w:pPr>
        <w:widowControl w:val="0"/>
        <w:spacing w:line="480" w:lineRule="auto"/>
        <w:ind w:firstLine="720"/>
        <w:jc w:val="both"/>
        <w:rPr>
          <w:rFonts w:ascii="Arial" w:hAnsi="Arial" w:cs="Arial"/>
          <w:sz w:val="24"/>
        </w:rPr>
      </w:pPr>
      <w:r w:rsidRPr="001F4126">
        <w:rPr>
          <w:rFonts w:ascii="Arial" w:hAnsi="Arial" w:cs="Arial"/>
          <w:sz w:val="24"/>
        </w:rPr>
        <w:t>Accordingly, on rehearing, the Commission should grant IGS’s Motion to Intervene.</w:t>
      </w:r>
    </w:p>
    <w:p w14:paraId="04AE58F3" w14:textId="77777777" w:rsidR="005C3FAC" w:rsidRDefault="005C3FAC" w:rsidP="005C3FAC">
      <w:pPr>
        <w:pStyle w:val="ListParagraph"/>
        <w:numPr>
          <w:ilvl w:val="0"/>
          <w:numId w:val="4"/>
        </w:numPr>
        <w:spacing w:line="480" w:lineRule="auto"/>
        <w:jc w:val="both"/>
        <w:rPr>
          <w:rFonts w:ascii="Arial" w:hAnsi="Arial" w:cs="Arial"/>
          <w:b/>
          <w:sz w:val="24"/>
          <w:szCs w:val="24"/>
        </w:rPr>
      </w:pPr>
      <w:r>
        <w:rPr>
          <w:rFonts w:ascii="Arial" w:hAnsi="Arial" w:cs="Arial"/>
          <w:b/>
          <w:sz w:val="24"/>
          <w:szCs w:val="24"/>
        </w:rPr>
        <w:t>CONCLUSION</w:t>
      </w:r>
    </w:p>
    <w:p w14:paraId="2F971574" w14:textId="10002C05" w:rsidR="005C3FAC" w:rsidRPr="005C3FAC" w:rsidRDefault="005C3FAC" w:rsidP="005C3FAC">
      <w:pPr>
        <w:spacing w:line="480" w:lineRule="auto"/>
        <w:ind w:firstLine="720"/>
        <w:jc w:val="both"/>
        <w:rPr>
          <w:rFonts w:ascii="Arial" w:hAnsi="Arial" w:cs="Arial"/>
          <w:sz w:val="24"/>
          <w:szCs w:val="24"/>
        </w:rPr>
      </w:pPr>
      <w:r>
        <w:rPr>
          <w:rFonts w:ascii="Arial" w:hAnsi="Arial" w:cs="Arial"/>
          <w:sz w:val="24"/>
          <w:szCs w:val="24"/>
        </w:rPr>
        <w:t>For the reasons stated herein, IGS requests that the Commission grant this application for rehearing and correct the errors identified in the Order.</w:t>
      </w:r>
      <w:r w:rsidR="003A1C7C">
        <w:rPr>
          <w:rFonts w:ascii="Arial" w:hAnsi="Arial" w:cs="Arial"/>
          <w:sz w:val="24"/>
          <w:szCs w:val="24"/>
        </w:rPr>
        <w:t xml:space="preserve">  Moreover, IGS </w:t>
      </w:r>
      <w:r w:rsidR="003A1C7C">
        <w:rPr>
          <w:rFonts w:ascii="Arial" w:hAnsi="Arial" w:cs="Arial"/>
          <w:sz w:val="24"/>
          <w:szCs w:val="24"/>
        </w:rPr>
        <w:lastRenderedPageBreak/>
        <w:t>urges the Commission to grant the Motion for Stay filed by RESA to ensure that changes to supplier disclosure requirements are made in a manner that can be appropriately incorporated into contracts—January 1, 2016 simply does not provide sufficient time, given the uncertainty surrounding the additional compliance requirements adopted in the Order.</w:t>
      </w:r>
      <w:r w:rsidR="00860D0F">
        <w:rPr>
          <w:rFonts w:ascii="Arial" w:hAnsi="Arial" w:cs="Arial"/>
          <w:sz w:val="24"/>
          <w:szCs w:val="24"/>
        </w:rPr>
        <w:t xml:space="preserve">  Any changes that are ultimately made to OAC 4901:1-21-05 should be made within a separate rulemaking proceeding and implemented after final approval by JCARR.</w:t>
      </w:r>
    </w:p>
    <w:p w14:paraId="521EDF4D" w14:textId="77777777" w:rsidR="00DD0550" w:rsidRDefault="005C3FAC" w:rsidP="005C3FAC">
      <w:pPr>
        <w:spacing w:line="480" w:lineRule="auto"/>
        <w:ind w:firstLine="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Respectfully submitted,</w:t>
      </w:r>
    </w:p>
    <w:p w14:paraId="056976DA" w14:textId="77777777" w:rsidR="005C3FAC" w:rsidRPr="005C3FAC" w:rsidRDefault="005C3FAC" w:rsidP="005C3FAC">
      <w:pPr>
        <w:spacing w:after="0" w:line="240" w:lineRule="auto"/>
        <w:ind w:left="5040" w:firstLine="720"/>
        <w:rPr>
          <w:rFonts w:ascii="Arial" w:hAnsi="Arial" w:cs="Arial"/>
          <w:sz w:val="24"/>
          <w:szCs w:val="24"/>
        </w:rPr>
      </w:pPr>
      <w:r w:rsidRPr="00850AFA">
        <w:rPr>
          <w:rFonts w:ascii="Arial" w:hAnsi="Arial" w:cs="Arial"/>
          <w:b/>
          <w:sz w:val="24"/>
          <w:szCs w:val="24"/>
          <w:u w:val="single"/>
        </w:rPr>
        <w:t>/s/ Joseph Oliker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C3FAC">
        <w:rPr>
          <w:rFonts w:ascii="Arial" w:hAnsi="Arial" w:cs="Arial"/>
          <w:sz w:val="24"/>
          <w:szCs w:val="24"/>
        </w:rPr>
        <w:t>Joseph Oliker (0086088)</w:t>
      </w:r>
    </w:p>
    <w:p w14:paraId="3A012F8F" w14:textId="77777777" w:rsidR="005C3FAC" w:rsidRPr="005C3FAC" w:rsidRDefault="005C3FAC" w:rsidP="005C3FAC">
      <w:pPr>
        <w:spacing w:after="0" w:line="240" w:lineRule="auto"/>
        <w:ind w:left="5760"/>
        <w:rPr>
          <w:rFonts w:ascii="Arial" w:hAnsi="Arial" w:cs="Arial"/>
          <w:sz w:val="24"/>
          <w:szCs w:val="24"/>
        </w:rPr>
      </w:pPr>
      <w:r w:rsidRPr="005C3FAC">
        <w:rPr>
          <w:rFonts w:ascii="Arial" w:hAnsi="Arial" w:cs="Arial"/>
          <w:sz w:val="24"/>
          <w:szCs w:val="24"/>
        </w:rPr>
        <w:t xml:space="preserve">Email: </w:t>
      </w:r>
      <w:hyperlink r:id="rId11" w:history="1">
        <w:r w:rsidRPr="005C3FAC">
          <w:rPr>
            <w:rStyle w:val="Hyperlink"/>
            <w:rFonts w:ascii="Arial" w:hAnsi="Arial" w:cs="Arial"/>
            <w:color w:val="auto"/>
            <w:sz w:val="24"/>
            <w:szCs w:val="24"/>
            <w:u w:val="none"/>
          </w:rPr>
          <w:t>joliker@igsenergy.com</w:t>
        </w:r>
      </w:hyperlink>
    </w:p>
    <w:p w14:paraId="5A8A5AC9" w14:textId="77777777" w:rsidR="005C3FAC" w:rsidRPr="005C3FAC" w:rsidRDefault="005C3FAC" w:rsidP="005C3FAC">
      <w:pPr>
        <w:spacing w:after="0" w:line="240" w:lineRule="auto"/>
        <w:ind w:left="5040" w:firstLine="720"/>
        <w:rPr>
          <w:rFonts w:ascii="Arial" w:hAnsi="Arial" w:cs="Arial"/>
          <w:sz w:val="24"/>
          <w:szCs w:val="24"/>
        </w:rPr>
      </w:pPr>
      <w:r w:rsidRPr="005C3FAC">
        <w:rPr>
          <w:rFonts w:ascii="Arial" w:hAnsi="Arial" w:cs="Arial"/>
          <w:sz w:val="24"/>
          <w:szCs w:val="24"/>
        </w:rPr>
        <w:t>Counsel of Record</w:t>
      </w:r>
    </w:p>
    <w:p w14:paraId="08C9C90F" w14:textId="77777777" w:rsidR="005C3FAC" w:rsidRPr="005C3FAC" w:rsidRDefault="005C3FAC" w:rsidP="005C3FAC">
      <w:pPr>
        <w:spacing w:after="0" w:line="240" w:lineRule="auto"/>
        <w:ind w:left="5040" w:firstLine="720"/>
        <w:rPr>
          <w:rFonts w:ascii="Arial" w:hAnsi="Arial" w:cs="Arial"/>
          <w:sz w:val="24"/>
          <w:szCs w:val="24"/>
        </w:rPr>
      </w:pPr>
      <w:r w:rsidRPr="005C3FAC">
        <w:rPr>
          <w:rFonts w:ascii="Arial" w:hAnsi="Arial" w:cs="Arial"/>
          <w:sz w:val="24"/>
          <w:szCs w:val="24"/>
        </w:rPr>
        <w:t>Matthew White (0082859)</w:t>
      </w:r>
    </w:p>
    <w:p w14:paraId="4032F77A" w14:textId="77777777" w:rsidR="005C3FAC" w:rsidRPr="005C3FAC" w:rsidRDefault="005C3FAC" w:rsidP="005C3FAC">
      <w:pPr>
        <w:spacing w:after="0" w:line="240" w:lineRule="auto"/>
        <w:ind w:left="5040" w:firstLine="720"/>
        <w:rPr>
          <w:rFonts w:ascii="Arial" w:hAnsi="Arial" w:cs="Arial"/>
          <w:sz w:val="24"/>
          <w:szCs w:val="24"/>
        </w:rPr>
      </w:pPr>
      <w:r w:rsidRPr="005C3FAC">
        <w:rPr>
          <w:rFonts w:ascii="Arial" w:hAnsi="Arial" w:cs="Arial"/>
          <w:sz w:val="24"/>
          <w:szCs w:val="24"/>
        </w:rPr>
        <w:t>Counsel of Record</w:t>
      </w:r>
    </w:p>
    <w:p w14:paraId="7E4CD18B" w14:textId="77777777" w:rsidR="005C3FAC" w:rsidRPr="005C3FAC" w:rsidRDefault="005C3FAC" w:rsidP="005C3FAC">
      <w:pPr>
        <w:spacing w:after="0" w:line="240" w:lineRule="auto"/>
        <w:ind w:left="5040" w:firstLine="720"/>
        <w:rPr>
          <w:rFonts w:ascii="Arial" w:hAnsi="Arial" w:cs="Arial"/>
          <w:sz w:val="24"/>
          <w:szCs w:val="24"/>
        </w:rPr>
      </w:pPr>
      <w:r w:rsidRPr="005C3FAC">
        <w:rPr>
          <w:rFonts w:ascii="Arial" w:hAnsi="Arial" w:cs="Arial"/>
          <w:sz w:val="24"/>
          <w:szCs w:val="24"/>
        </w:rPr>
        <w:t>Email: mswhite@igsenergy.com</w:t>
      </w:r>
    </w:p>
    <w:p w14:paraId="640FB39C" w14:textId="77777777" w:rsidR="005C3FAC" w:rsidRPr="005C3FAC" w:rsidRDefault="005C3FAC" w:rsidP="005C3FAC">
      <w:pPr>
        <w:spacing w:after="0" w:line="240" w:lineRule="auto"/>
        <w:ind w:left="5040" w:firstLine="720"/>
        <w:rPr>
          <w:rFonts w:ascii="Arial" w:hAnsi="Arial" w:cs="Arial"/>
          <w:sz w:val="24"/>
          <w:szCs w:val="24"/>
        </w:rPr>
      </w:pPr>
      <w:r w:rsidRPr="005C3FAC">
        <w:rPr>
          <w:rFonts w:ascii="Arial" w:hAnsi="Arial" w:cs="Arial"/>
          <w:sz w:val="24"/>
          <w:szCs w:val="24"/>
        </w:rPr>
        <w:t>IGS Energy</w:t>
      </w:r>
    </w:p>
    <w:p w14:paraId="496A5A16" w14:textId="77777777" w:rsidR="005C3FAC" w:rsidRPr="005C3FAC" w:rsidRDefault="005C3FAC" w:rsidP="005C3FAC">
      <w:pPr>
        <w:spacing w:after="0" w:line="240" w:lineRule="auto"/>
        <w:ind w:left="5040" w:firstLine="720"/>
        <w:rPr>
          <w:rFonts w:ascii="Arial" w:hAnsi="Arial" w:cs="Arial"/>
          <w:sz w:val="24"/>
          <w:szCs w:val="24"/>
        </w:rPr>
      </w:pPr>
      <w:r w:rsidRPr="005C3FAC">
        <w:rPr>
          <w:rFonts w:ascii="Arial" w:hAnsi="Arial" w:cs="Arial"/>
          <w:sz w:val="24"/>
          <w:szCs w:val="24"/>
        </w:rPr>
        <w:t>6100 Emerald Parkway</w:t>
      </w:r>
    </w:p>
    <w:p w14:paraId="100EE5D9" w14:textId="77777777" w:rsidR="005C3FAC" w:rsidRPr="005C3FAC" w:rsidRDefault="005C3FAC" w:rsidP="005C3FAC">
      <w:pPr>
        <w:spacing w:after="0" w:line="240" w:lineRule="auto"/>
        <w:ind w:left="5040" w:firstLine="720"/>
        <w:rPr>
          <w:rFonts w:ascii="Arial" w:hAnsi="Arial" w:cs="Arial"/>
          <w:sz w:val="24"/>
          <w:szCs w:val="24"/>
        </w:rPr>
      </w:pPr>
      <w:r w:rsidRPr="005C3FAC">
        <w:rPr>
          <w:rFonts w:ascii="Arial" w:hAnsi="Arial" w:cs="Arial"/>
          <w:sz w:val="24"/>
          <w:szCs w:val="24"/>
        </w:rPr>
        <w:t>Dublin, Ohio 43016</w:t>
      </w:r>
    </w:p>
    <w:p w14:paraId="26945FDE" w14:textId="77777777" w:rsidR="005C3FAC" w:rsidRPr="005C3FAC" w:rsidRDefault="005C3FAC" w:rsidP="005C3FAC">
      <w:pPr>
        <w:spacing w:after="0" w:line="240" w:lineRule="auto"/>
        <w:ind w:left="5040" w:firstLine="720"/>
        <w:rPr>
          <w:rFonts w:ascii="Arial" w:hAnsi="Arial" w:cs="Arial"/>
          <w:sz w:val="24"/>
          <w:szCs w:val="24"/>
        </w:rPr>
      </w:pPr>
      <w:r w:rsidRPr="005C3FAC">
        <w:rPr>
          <w:rFonts w:ascii="Arial" w:hAnsi="Arial" w:cs="Arial"/>
          <w:sz w:val="24"/>
          <w:szCs w:val="24"/>
        </w:rPr>
        <w:t>Telephone:</w:t>
      </w:r>
      <w:r w:rsidRPr="005C3FAC">
        <w:rPr>
          <w:rFonts w:ascii="Arial" w:hAnsi="Arial" w:cs="Arial"/>
          <w:sz w:val="24"/>
          <w:szCs w:val="24"/>
        </w:rPr>
        <w:tab/>
        <w:t>(614) 659-5000</w:t>
      </w:r>
    </w:p>
    <w:p w14:paraId="252E9DAB" w14:textId="77777777" w:rsidR="005C3FAC" w:rsidRPr="005C3FAC" w:rsidRDefault="005C3FAC" w:rsidP="005C3FAC">
      <w:pPr>
        <w:spacing w:after="0" w:line="240" w:lineRule="auto"/>
        <w:ind w:left="5040" w:firstLine="720"/>
        <w:rPr>
          <w:rFonts w:ascii="Arial" w:hAnsi="Arial" w:cs="Arial"/>
          <w:sz w:val="24"/>
          <w:szCs w:val="24"/>
        </w:rPr>
      </w:pPr>
      <w:r w:rsidRPr="005C3FAC">
        <w:rPr>
          <w:rFonts w:ascii="Arial" w:hAnsi="Arial" w:cs="Arial"/>
          <w:sz w:val="24"/>
          <w:szCs w:val="24"/>
        </w:rPr>
        <w:t>Facsimile:</w:t>
      </w:r>
      <w:r w:rsidRPr="005C3FAC">
        <w:rPr>
          <w:rFonts w:ascii="Arial" w:hAnsi="Arial" w:cs="Arial"/>
          <w:sz w:val="24"/>
          <w:szCs w:val="24"/>
        </w:rPr>
        <w:tab/>
        <w:t>(614) 659-5073</w:t>
      </w:r>
    </w:p>
    <w:p w14:paraId="086370AE" w14:textId="77777777" w:rsidR="005C3FAC" w:rsidRPr="005C3FAC" w:rsidRDefault="005C3FAC" w:rsidP="005C3FAC">
      <w:pPr>
        <w:spacing w:after="0" w:line="240" w:lineRule="auto"/>
        <w:ind w:left="5040"/>
        <w:rPr>
          <w:rFonts w:ascii="Arial" w:hAnsi="Arial" w:cs="Arial"/>
          <w:sz w:val="24"/>
          <w:szCs w:val="24"/>
        </w:rPr>
      </w:pPr>
    </w:p>
    <w:p w14:paraId="69E68898" w14:textId="77777777" w:rsidR="005C3FAC" w:rsidRPr="005C3FAC" w:rsidRDefault="005C3FAC" w:rsidP="005C3FAC">
      <w:pPr>
        <w:spacing w:after="0" w:line="240" w:lineRule="auto"/>
        <w:ind w:left="5040" w:firstLine="720"/>
        <w:rPr>
          <w:rFonts w:ascii="Arial" w:hAnsi="Arial" w:cs="Arial"/>
          <w:b/>
          <w:i/>
          <w:sz w:val="24"/>
          <w:szCs w:val="24"/>
        </w:rPr>
      </w:pPr>
      <w:r w:rsidRPr="005C3FAC">
        <w:rPr>
          <w:rFonts w:ascii="Arial" w:hAnsi="Arial" w:cs="Arial"/>
          <w:b/>
          <w:i/>
          <w:sz w:val="24"/>
          <w:szCs w:val="24"/>
        </w:rPr>
        <w:t>Attorneys for IGS Energy</w:t>
      </w:r>
    </w:p>
    <w:p w14:paraId="4C1310B3" w14:textId="77777777" w:rsidR="00DD0550" w:rsidRDefault="00DD0550" w:rsidP="00157139">
      <w:pPr>
        <w:spacing w:line="480" w:lineRule="auto"/>
        <w:ind w:firstLine="720"/>
        <w:jc w:val="both"/>
        <w:rPr>
          <w:rFonts w:ascii="Arial" w:hAnsi="Arial" w:cs="Arial"/>
          <w:sz w:val="24"/>
          <w:szCs w:val="24"/>
        </w:rPr>
      </w:pPr>
    </w:p>
    <w:p w14:paraId="7F975C4A" w14:textId="77777777" w:rsidR="00850AFA" w:rsidRDefault="00850AFA" w:rsidP="00157139">
      <w:pPr>
        <w:spacing w:line="480" w:lineRule="auto"/>
        <w:ind w:firstLine="720"/>
        <w:jc w:val="both"/>
        <w:rPr>
          <w:rFonts w:ascii="Arial" w:hAnsi="Arial" w:cs="Arial"/>
          <w:sz w:val="24"/>
          <w:szCs w:val="24"/>
        </w:rPr>
      </w:pPr>
    </w:p>
    <w:p w14:paraId="6CBC8A5A" w14:textId="77777777" w:rsidR="00850AFA" w:rsidRDefault="00850AFA" w:rsidP="00157139">
      <w:pPr>
        <w:spacing w:line="480" w:lineRule="auto"/>
        <w:ind w:firstLine="720"/>
        <w:jc w:val="both"/>
        <w:rPr>
          <w:rFonts w:ascii="Arial" w:hAnsi="Arial" w:cs="Arial"/>
          <w:sz w:val="24"/>
          <w:szCs w:val="24"/>
        </w:rPr>
      </w:pPr>
    </w:p>
    <w:p w14:paraId="1814881F" w14:textId="77777777" w:rsidR="00850AFA" w:rsidRDefault="00850AFA" w:rsidP="00157139">
      <w:pPr>
        <w:spacing w:line="480" w:lineRule="auto"/>
        <w:ind w:firstLine="720"/>
        <w:jc w:val="both"/>
        <w:rPr>
          <w:rFonts w:ascii="Arial" w:hAnsi="Arial" w:cs="Arial"/>
          <w:sz w:val="24"/>
          <w:szCs w:val="24"/>
        </w:rPr>
      </w:pPr>
    </w:p>
    <w:p w14:paraId="66B6D69D" w14:textId="77777777" w:rsidR="00850AFA" w:rsidRDefault="00850AFA" w:rsidP="00157139">
      <w:pPr>
        <w:spacing w:line="480" w:lineRule="auto"/>
        <w:ind w:firstLine="720"/>
        <w:jc w:val="both"/>
        <w:rPr>
          <w:rFonts w:ascii="Arial" w:hAnsi="Arial" w:cs="Arial"/>
          <w:sz w:val="24"/>
          <w:szCs w:val="24"/>
        </w:rPr>
      </w:pPr>
    </w:p>
    <w:p w14:paraId="0F543E92" w14:textId="77777777" w:rsidR="00850AFA" w:rsidRDefault="00850AFA" w:rsidP="00157139">
      <w:pPr>
        <w:spacing w:line="480" w:lineRule="auto"/>
        <w:ind w:firstLine="720"/>
        <w:jc w:val="both"/>
        <w:rPr>
          <w:rFonts w:ascii="Arial" w:hAnsi="Arial" w:cs="Arial"/>
          <w:sz w:val="24"/>
          <w:szCs w:val="24"/>
        </w:rPr>
      </w:pPr>
    </w:p>
    <w:p w14:paraId="6A3D2FDF" w14:textId="77777777" w:rsidR="00923FCA" w:rsidRPr="009D71F6" w:rsidRDefault="00A03284" w:rsidP="00923FCA">
      <w:pPr>
        <w:spacing w:after="0" w:line="240" w:lineRule="auto"/>
        <w:jc w:val="center"/>
        <w:rPr>
          <w:rFonts w:ascii="Arial" w:eastAsia="Arial" w:hAnsi="Arial" w:cs="Arial"/>
          <w:b/>
          <w:sz w:val="24"/>
          <w:szCs w:val="24"/>
          <w:u w:val="single"/>
        </w:rPr>
      </w:pPr>
      <w:r>
        <w:rPr>
          <w:rFonts w:ascii="Arial" w:hAnsi="Arial" w:cs="Arial"/>
          <w:sz w:val="24"/>
          <w:szCs w:val="24"/>
        </w:rPr>
        <w:lastRenderedPageBreak/>
        <w:t xml:space="preserve"> </w:t>
      </w:r>
      <w:r w:rsidR="00923FCA" w:rsidRPr="009D71F6">
        <w:rPr>
          <w:rFonts w:ascii="Arial" w:eastAsia="Arial" w:hAnsi="Arial" w:cs="Arial"/>
          <w:b/>
          <w:sz w:val="24"/>
          <w:szCs w:val="24"/>
          <w:u w:val="single"/>
        </w:rPr>
        <w:t>CERTIFICATE OF SERVICE</w:t>
      </w:r>
    </w:p>
    <w:p w14:paraId="48625C28" w14:textId="77777777" w:rsidR="00923FCA" w:rsidRPr="009D71F6" w:rsidRDefault="00923FCA" w:rsidP="00923FCA">
      <w:pPr>
        <w:spacing w:after="0" w:line="240" w:lineRule="auto"/>
        <w:jc w:val="center"/>
        <w:rPr>
          <w:rFonts w:ascii="Arial" w:eastAsia="Arial" w:hAnsi="Arial" w:cs="Arial"/>
          <w:b/>
          <w:sz w:val="24"/>
          <w:szCs w:val="24"/>
          <w:u w:val="single"/>
        </w:rPr>
      </w:pPr>
    </w:p>
    <w:p w14:paraId="00764978" w14:textId="01A4BA18" w:rsidR="00923FCA" w:rsidRPr="009D71F6" w:rsidRDefault="00923FCA" w:rsidP="00923FCA">
      <w:pPr>
        <w:spacing w:after="0" w:line="240" w:lineRule="auto"/>
        <w:jc w:val="both"/>
        <w:rPr>
          <w:rFonts w:ascii="Arial" w:eastAsia="Calibri" w:hAnsi="Arial" w:cs="Arial"/>
          <w:sz w:val="24"/>
          <w:szCs w:val="24"/>
        </w:rPr>
      </w:pPr>
      <w:r w:rsidRPr="009D71F6">
        <w:rPr>
          <w:rFonts w:ascii="Arial" w:eastAsia="Arial" w:hAnsi="Arial" w:cs="Arial"/>
          <w:sz w:val="24"/>
          <w:szCs w:val="24"/>
        </w:rPr>
        <w:tab/>
      </w:r>
      <w:r w:rsidRPr="009D71F6">
        <w:rPr>
          <w:rFonts w:ascii="Arial" w:eastAsia="Calibri" w:hAnsi="Arial" w:cs="Arial"/>
          <w:sz w:val="24"/>
          <w:szCs w:val="24"/>
        </w:rPr>
        <w:t>The undersigned hereby certifies that a copy of the foregoing</w:t>
      </w:r>
      <w:r w:rsidRPr="00850AFA">
        <w:rPr>
          <w:rFonts w:ascii="Arial" w:eastAsia="Calibri" w:hAnsi="Arial" w:cs="Arial"/>
          <w:i/>
          <w:sz w:val="24"/>
          <w:szCs w:val="24"/>
        </w:rPr>
        <w:t xml:space="preserve"> Application for Rehearing and Memorandum in Support of </w:t>
      </w:r>
      <w:r w:rsidR="00366EB7">
        <w:rPr>
          <w:rFonts w:ascii="Arial" w:eastAsia="Calibri" w:hAnsi="Arial" w:cs="Arial"/>
          <w:i/>
          <w:sz w:val="24"/>
          <w:szCs w:val="24"/>
        </w:rPr>
        <w:t>IGS Energy</w:t>
      </w:r>
      <w:bookmarkStart w:id="5" w:name="_GoBack"/>
      <w:bookmarkEnd w:id="5"/>
      <w:r w:rsidRPr="009D71F6">
        <w:rPr>
          <w:rFonts w:ascii="Arial" w:eastAsia="Calibri" w:hAnsi="Arial" w:cs="Arial"/>
          <w:i/>
          <w:sz w:val="24"/>
          <w:szCs w:val="24"/>
        </w:rPr>
        <w:t xml:space="preserve"> </w:t>
      </w:r>
      <w:r w:rsidRPr="009D71F6">
        <w:rPr>
          <w:rFonts w:ascii="Arial" w:eastAsia="Calibri" w:hAnsi="Arial" w:cs="Arial"/>
          <w:sz w:val="24"/>
          <w:szCs w:val="24"/>
        </w:rPr>
        <w:t xml:space="preserve">was served this </w:t>
      </w:r>
      <w:r>
        <w:rPr>
          <w:rFonts w:ascii="Arial" w:eastAsia="Calibri" w:hAnsi="Arial" w:cs="Arial"/>
          <w:sz w:val="24"/>
          <w:szCs w:val="24"/>
        </w:rPr>
        <w:t>18th</w:t>
      </w:r>
      <w:r w:rsidRPr="009D71F6">
        <w:rPr>
          <w:rFonts w:ascii="Arial" w:eastAsia="Calibri" w:hAnsi="Arial" w:cs="Arial"/>
          <w:sz w:val="24"/>
          <w:szCs w:val="24"/>
        </w:rPr>
        <w:t xml:space="preserve"> day of </w:t>
      </w:r>
      <w:r>
        <w:rPr>
          <w:rFonts w:ascii="Arial" w:eastAsia="Calibri" w:hAnsi="Arial" w:cs="Arial"/>
          <w:sz w:val="24"/>
          <w:szCs w:val="24"/>
        </w:rPr>
        <w:t>December 2015</w:t>
      </w:r>
      <w:r w:rsidRPr="009D71F6">
        <w:rPr>
          <w:rFonts w:ascii="Arial" w:eastAsia="Calibri" w:hAnsi="Arial" w:cs="Arial"/>
          <w:sz w:val="24"/>
          <w:szCs w:val="24"/>
        </w:rPr>
        <w:t xml:space="preserve"> via electronic mail upon the following:</w:t>
      </w:r>
    </w:p>
    <w:p w14:paraId="54ED3963" w14:textId="77777777" w:rsidR="00923FCA" w:rsidRPr="009D71F6" w:rsidRDefault="00923FCA" w:rsidP="00923FCA">
      <w:pPr>
        <w:spacing w:after="0" w:line="240" w:lineRule="auto"/>
        <w:jc w:val="both"/>
        <w:rPr>
          <w:rFonts w:ascii="Arial" w:eastAsia="Calibri" w:hAnsi="Arial" w:cs="Arial"/>
          <w:sz w:val="24"/>
          <w:szCs w:val="24"/>
        </w:rPr>
      </w:pPr>
    </w:p>
    <w:p w14:paraId="2BBF7F08" w14:textId="77777777" w:rsidR="00923FCA" w:rsidRPr="009D71F6" w:rsidRDefault="00923FCA" w:rsidP="00923FCA">
      <w:pPr>
        <w:spacing w:after="0" w:line="240" w:lineRule="auto"/>
        <w:jc w:val="both"/>
        <w:rPr>
          <w:rFonts w:ascii="Arial" w:eastAsia="Arial" w:hAnsi="Arial" w:cs="Arial"/>
          <w:sz w:val="24"/>
          <w:szCs w:val="24"/>
        </w:rPr>
      </w:pPr>
    </w:p>
    <w:p w14:paraId="6C7922B5" w14:textId="77777777" w:rsidR="00923FCA" w:rsidRPr="009D71F6" w:rsidRDefault="00923FCA" w:rsidP="00923FCA">
      <w:pPr>
        <w:spacing w:after="0" w:line="240" w:lineRule="auto"/>
        <w:jc w:val="both"/>
        <w:rPr>
          <w:rFonts w:ascii="Arial" w:eastAsia="Arial" w:hAnsi="Arial" w:cs="Arial"/>
          <w:sz w:val="24"/>
          <w:szCs w:val="24"/>
        </w:rPr>
      </w:pPr>
    </w:p>
    <w:p w14:paraId="7E355A8F" w14:textId="77777777" w:rsidR="00923FCA" w:rsidRPr="009D71F6" w:rsidRDefault="00923FCA" w:rsidP="00923FCA">
      <w:pPr>
        <w:spacing w:after="0" w:line="240" w:lineRule="auto"/>
        <w:ind w:left="5040" w:firstLine="720"/>
        <w:rPr>
          <w:rFonts w:ascii="Arial" w:eastAsia="Calibri" w:hAnsi="Arial" w:cs="Arial"/>
          <w:sz w:val="24"/>
          <w:szCs w:val="24"/>
          <w:u w:val="single"/>
        </w:rPr>
      </w:pPr>
      <w:r w:rsidRPr="009D71F6">
        <w:rPr>
          <w:rFonts w:ascii="Arial" w:eastAsia="Arial" w:hAnsi="Arial" w:cs="Arial"/>
          <w:i/>
          <w:sz w:val="24"/>
          <w:szCs w:val="24"/>
          <w:u w:val="single"/>
        </w:rPr>
        <w:t xml:space="preserve">/s/ </w:t>
      </w:r>
      <w:r>
        <w:rPr>
          <w:rFonts w:ascii="Arial" w:eastAsia="Arial" w:hAnsi="Arial" w:cs="Arial"/>
          <w:i/>
          <w:sz w:val="24"/>
          <w:szCs w:val="24"/>
          <w:u w:val="single"/>
        </w:rPr>
        <w:t>Joseph Oliker_______</w:t>
      </w:r>
    </w:p>
    <w:p w14:paraId="5FE013DD" w14:textId="77777777" w:rsidR="00923FCA" w:rsidRPr="009D71F6" w:rsidRDefault="00923FCA" w:rsidP="00923FCA">
      <w:pPr>
        <w:spacing w:after="0" w:line="240" w:lineRule="auto"/>
        <w:ind w:left="5040" w:firstLine="720"/>
        <w:rPr>
          <w:rFonts w:ascii="Arial" w:hAnsi="Arial" w:cs="Arial"/>
          <w:sz w:val="24"/>
          <w:szCs w:val="24"/>
        </w:rPr>
      </w:pPr>
      <w:r>
        <w:rPr>
          <w:rFonts w:ascii="Arial" w:hAnsi="Arial" w:cs="Arial"/>
          <w:sz w:val="24"/>
          <w:szCs w:val="24"/>
        </w:rPr>
        <w:t>Joseph Oliker</w:t>
      </w:r>
    </w:p>
    <w:p w14:paraId="3266DF20" w14:textId="77777777" w:rsidR="00923FCA" w:rsidRDefault="00923FCA" w:rsidP="00923FCA">
      <w:pPr>
        <w:autoSpaceDE w:val="0"/>
        <w:autoSpaceDN w:val="0"/>
        <w:adjustRightInd w:val="0"/>
        <w:spacing w:after="0" w:line="240" w:lineRule="auto"/>
        <w:rPr>
          <w:rFonts w:ascii="Arial" w:hAnsi="Arial" w:cs="Arial"/>
          <w:sz w:val="24"/>
          <w:szCs w:val="24"/>
        </w:rPr>
      </w:pPr>
    </w:p>
    <w:p w14:paraId="2F8AA04C" w14:textId="77777777" w:rsidR="00923FCA" w:rsidRDefault="00923FCA" w:rsidP="00923FCA">
      <w:pPr>
        <w:autoSpaceDE w:val="0"/>
        <w:autoSpaceDN w:val="0"/>
        <w:adjustRightInd w:val="0"/>
        <w:spacing w:after="0" w:line="240" w:lineRule="auto"/>
        <w:rPr>
          <w:rFonts w:ascii="Arial" w:hAnsi="Arial" w:cs="Arial"/>
          <w:sz w:val="24"/>
          <w:szCs w:val="24"/>
        </w:rPr>
      </w:pPr>
    </w:p>
    <w:p w14:paraId="28F725FB" w14:textId="77777777" w:rsidR="00923FCA" w:rsidRDefault="00923FCA" w:rsidP="00923FCA">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788"/>
        <w:gridCol w:w="4788"/>
      </w:tblGrid>
      <w:tr w:rsidR="00923FCA" w14:paraId="323E882E" w14:textId="77777777" w:rsidTr="004E3286">
        <w:trPr>
          <w:trHeight w:val="7208"/>
        </w:trPr>
        <w:tc>
          <w:tcPr>
            <w:tcW w:w="4788" w:type="dxa"/>
          </w:tcPr>
          <w:p w14:paraId="4A4A05C3" w14:textId="77777777" w:rsidR="009F57A5" w:rsidRPr="004E3286" w:rsidRDefault="009F57A5" w:rsidP="009F57A5">
            <w:pPr>
              <w:autoSpaceDE w:val="0"/>
              <w:autoSpaceDN w:val="0"/>
              <w:adjustRightInd w:val="0"/>
              <w:rPr>
                <w:rFonts w:ascii="Arial" w:hAnsi="Arial" w:cs="Arial"/>
                <w:sz w:val="24"/>
                <w:szCs w:val="24"/>
              </w:rPr>
            </w:pPr>
            <w:r w:rsidRPr="004E3286">
              <w:rPr>
                <w:rFonts w:ascii="Arial" w:hAnsi="Arial" w:cs="Arial"/>
                <w:sz w:val="24"/>
                <w:szCs w:val="24"/>
              </w:rPr>
              <w:t>dboehm@BKL1awfirm.com</w:t>
            </w:r>
          </w:p>
          <w:p w14:paraId="14CBD85E" w14:textId="77777777" w:rsidR="009F57A5" w:rsidRPr="004E3286" w:rsidRDefault="009F57A5" w:rsidP="009F57A5">
            <w:pPr>
              <w:autoSpaceDE w:val="0"/>
              <w:autoSpaceDN w:val="0"/>
              <w:adjustRightInd w:val="0"/>
              <w:rPr>
                <w:rFonts w:ascii="Arial" w:hAnsi="Arial" w:cs="Arial"/>
                <w:sz w:val="24"/>
                <w:szCs w:val="24"/>
              </w:rPr>
            </w:pPr>
            <w:r w:rsidRPr="004E3286">
              <w:rPr>
                <w:rFonts w:ascii="Arial" w:hAnsi="Arial" w:cs="Arial"/>
                <w:sz w:val="24"/>
                <w:szCs w:val="24"/>
              </w:rPr>
              <w:t>mkurtz@BKLlawfirm.com</w:t>
            </w:r>
          </w:p>
          <w:p w14:paraId="6B384F69" w14:textId="77777777" w:rsidR="009F57A5" w:rsidRPr="004E3286" w:rsidRDefault="009F57A5" w:rsidP="009F57A5">
            <w:pPr>
              <w:rPr>
                <w:rFonts w:ascii="Arial" w:hAnsi="Arial" w:cs="Arial"/>
                <w:sz w:val="24"/>
                <w:szCs w:val="24"/>
              </w:rPr>
            </w:pPr>
            <w:r w:rsidRPr="004E3286">
              <w:rPr>
                <w:rFonts w:ascii="Arial" w:hAnsi="Arial" w:cs="Arial"/>
                <w:sz w:val="24"/>
                <w:szCs w:val="24"/>
              </w:rPr>
              <w:t>jkylercohn@BKLlawfirm.com</w:t>
            </w:r>
          </w:p>
          <w:p w14:paraId="6A4B5100" w14:textId="77777777" w:rsidR="009F57A5" w:rsidRPr="004E3286" w:rsidRDefault="003B029D" w:rsidP="009F57A5">
            <w:pPr>
              <w:rPr>
                <w:rFonts w:ascii="Arial" w:hAnsi="Arial" w:cs="Arial"/>
                <w:sz w:val="24"/>
                <w:szCs w:val="24"/>
              </w:rPr>
            </w:pPr>
            <w:hyperlink r:id="rId12" w:history="1">
              <w:r w:rsidR="009F57A5" w:rsidRPr="004E3286">
                <w:rPr>
                  <w:rStyle w:val="Hyperlink"/>
                  <w:rFonts w:ascii="Arial" w:hAnsi="Arial" w:cs="Arial"/>
                  <w:color w:val="auto"/>
                  <w:sz w:val="24"/>
                  <w:szCs w:val="24"/>
                  <w:u w:val="none"/>
                </w:rPr>
                <w:t>Michael.schuler@occ.ohio.gov</w:t>
              </w:r>
            </w:hyperlink>
          </w:p>
          <w:p w14:paraId="666F4F61" w14:textId="77777777" w:rsidR="009F57A5" w:rsidRPr="004E3286" w:rsidRDefault="003B029D" w:rsidP="009F57A5">
            <w:pPr>
              <w:rPr>
                <w:rFonts w:ascii="Arial" w:hAnsi="Arial" w:cs="Arial"/>
                <w:sz w:val="24"/>
                <w:szCs w:val="24"/>
              </w:rPr>
            </w:pPr>
            <w:hyperlink r:id="rId13" w:history="1">
              <w:r w:rsidR="009F57A5" w:rsidRPr="004E3286">
                <w:rPr>
                  <w:rStyle w:val="Hyperlink"/>
                  <w:rFonts w:ascii="Arial" w:hAnsi="Arial" w:cs="Arial"/>
                  <w:color w:val="auto"/>
                  <w:sz w:val="24"/>
                  <w:szCs w:val="24"/>
                  <w:u w:val="none"/>
                </w:rPr>
                <w:t>kjoseph@napower.com</w:t>
              </w:r>
            </w:hyperlink>
          </w:p>
          <w:p w14:paraId="57452908" w14:textId="77777777" w:rsidR="009F57A5" w:rsidRPr="004E3286" w:rsidRDefault="009F57A5" w:rsidP="009F57A5">
            <w:pPr>
              <w:rPr>
                <w:rFonts w:ascii="Arial" w:hAnsi="Arial" w:cs="Arial"/>
                <w:sz w:val="24"/>
                <w:szCs w:val="24"/>
              </w:rPr>
            </w:pPr>
            <w:r w:rsidRPr="004E3286">
              <w:rPr>
                <w:rFonts w:ascii="Arial" w:hAnsi="Arial" w:cs="Arial"/>
                <w:sz w:val="24"/>
                <w:szCs w:val="24"/>
              </w:rPr>
              <w:t>shopson@napower.com</w:t>
            </w:r>
          </w:p>
          <w:p w14:paraId="13440E39" w14:textId="77777777" w:rsidR="009F57A5" w:rsidRPr="004E3286" w:rsidRDefault="009F57A5" w:rsidP="009F57A5">
            <w:pPr>
              <w:rPr>
                <w:rFonts w:ascii="Arial" w:hAnsi="Arial" w:cs="Arial"/>
                <w:sz w:val="24"/>
                <w:szCs w:val="24"/>
              </w:rPr>
            </w:pPr>
            <w:r w:rsidRPr="004E3286">
              <w:rPr>
                <w:rFonts w:ascii="Arial" w:hAnsi="Arial" w:cs="Arial"/>
                <w:sz w:val="24"/>
                <w:szCs w:val="24"/>
              </w:rPr>
              <w:t>cgelo@napower.com</w:t>
            </w:r>
          </w:p>
          <w:p w14:paraId="34E24CEA" w14:textId="77777777" w:rsidR="009F57A5" w:rsidRPr="004E3286" w:rsidRDefault="003B029D" w:rsidP="009F57A5">
            <w:pPr>
              <w:rPr>
                <w:rFonts w:ascii="Arial" w:hAnsi="Arial" w:cs="Arial"/>
                <w:sz w:val="24"/>
                <w:szCs w:val="24"/>
              </w:rPr>
            </w:pPr>
            <w:hyperlink r:id="rId14" w:history="1">
              <w:r w:rsidR="009F57A5" w:rsidRPr="004E3286">
                <w:rPr>
                  <w:rStyle w:val="Hyperlink"/>
                  <w:rFonts w:ascii="Arial" w:hAnsi="Arial" w:cs="Arial"/>
                  <w:color w:val="auto"/>
                  <w:sz w:val="24"/>
                  <w:szCs w:val="24"/>
                  <w:u w:val="none"/>
                </w:rPr>
                <w:t>arobinson@napower.com</w:t>
              </w:r>
            </w:hyperlink>
          </w:p>
          <w:p w14:paraId="68AD8D4A" w14:textId="77777777" w:rsidR="009F57A5" w:rsidRPr="004E3286" w:rsidRDefault="003B029D" w:rsidP="009F57A5">
            <w:pPr>
              <w:rPr>
                <w:rFonts w:ascii="Arial" w:hAnsi="Arial" w:cs="Arial"/>
                <w:sz w:val="24"/>
                <w:szCs w:val="24"/>
              </w:rPr>
            </w:pPr>
            <w:hyperlink r:id="rId15" w:history="1">
              <w:r w:rsidR="009F57A5" w:rsidRPr="004E3286">
                <w:rPr>
                  <w:rStyle w:val="Hyperlink"/>
                  <w:rFonts w:ascii="Arial" w:hAnsi="Arial" w:cs="Arial"/>
                  <w:color w:val="auto"/>
                  <w:sz w:val="24"/>
                  <w:szCs w:val="24"/>
                  <w:u w:val="none"/>
                </w:rPr>
                <w:t>cmooney@ohiopartners.org</w:t>
              </w:r>
            </w:hyperlink>
          </w:p>
          <w:p w14:paraId="7370B8D5" w14:textId="5A9F5FD6" w:rsidR="004E3286" w:rsidRPr="004E3286" w:rsidRDefault="009F57A5" w:rsidP="00923FCA">
            <w:pPr>
              <w:autoSpaceDE w:val="0"/>
              <w:autoSpaceDN w:val="0"/>
              <w:adjustRightInd w:val="0"/>
              <w:rPr>
                <w:rFonts w:ascii="Arial" w:hAnsi="Arial" w:cs="Arial"/>
                <w:sz w:val="24"/>
                <w:szCs w:val="24"/>
              </w:rPr>
            </w:pPr>
            <w:r w:rsidRPr="004E3286">
              <w:rPr>
                <w:rFonts w:ascii="Arial" w:hAnsi="Arial" w:cs="Arial"/>
                <w:sz w:val="24"/>
                <w:szCs w:val="24"/>
              </w:rPr>
              <w:t>Debra.Bingham@occ.ohio.g</w:t>
            </w:r>
            <w:r w:rsidR="004E3286" w:rsidRPr="004E3286">
              <w:rPr>
                <w:rFonts w:ascii="Arial" w:hAnsi="Arial" w:cs="Arial"/>
                <w:sz w:val="24"/>
                <w:szCs w:val="24"/>
              </w:rPr>
              <w:t>ov bill.wright@puc.state.oh.us</w:t>
            </w:r>
            <w:r w:rsidRPr="004E3286">
              <w:rPr>
                <w:rFonts w:ascii="Arial" w:hAnsi="Arial" w:cs="Arial"/>
                <w:sz w:val="24"/>
                <w:szCs w:val="24"/>
              </w:rPr>
              <w:t xml:space="preserve"> kjoseph</w:t>
            </w:r>
            <w:r w:rsidR="004E3286" w:rsidRPr="004E3286">
              <w:rPr>
                <w:rFonts w:ascii="Arial" w:hAnsi="Arial" w:cs="Arial"/>
                <w:sz w:val="24"/>
                <w:szCs w:val="24"/>
              </w:rPr>
              <w:t>@napower.com cgelo@napower.com</w:t>
            </w:r>
            <w:r w:rsidRPr="004E3286">
              <w:rPr>
                <w:rFonts w:ascii="Arial" w:hAnsi="Arial" w:cs="Arial"/>
                <w:sz w:val="24"/>
                <w:szCs w:val="24"/>
              </w:rPr>
              <w:t xml:space="preserve"> shopson@nap</w:t>
            </w:r>
            <w:r w:rsidR="004E3286" w:rsidRPr="004E3286">
              <w:rPr>
                <w:rFonts w:ascii="Arial" w:hAnsi="Arial" w:cs="Arial"/>
                <w:sz w:val="24"/>
                <w:szCs w:val="24"/>
              </w:rPr>
              <w:t>ower.com arobinson@napower.com</w:t>
            </w:r>
            <w:r w:rsidRPr="004E3286">
              <w:rPr>
                <w:rFonts w:ascii="Arial" w:hAnsi="Arial" w:cs="Arial"/>
                <w:sz w:val="24"/>
                <w:szCs w:val="24"/>
              </w:rPr>
              <w:t xml:space="preserve"> cmooney@ohiopart</w:t>
            </w:r>
            <w:r w:rsidR="004E3286" w:rsidRPr="004E3286">
              <w:rPr>
                <w:rFonts w:ascii="Arial" w:hAnsi="Arial" w:cs="Arial"/>
                <w:sz w:val="24"/>
                <w:szCs w:val="24"/>
              </w:rPr>
              <w:t>ners.org mhpetricoff@vorys.com</w:t>
            </w:r>
            <w:r w:rsidRPr="004E3286">
              <w:rPr>
                <w:rFonts w:ascii="Arial" w:hAnsi="Arial" w:cs="Arial"/>
                <w:sz w:val="24"/>
                <w:szCs w:val="24"/>
              </w:rPr>
              <w:t xml:space="preserve"> glpetrucci@vorys.</w:t>
            </w:r>
            <w:r w:rsidR="004E3286" w:rsidRPr="004E3286">
              <w:rPr>
                <w:rFonts w:ascii="Arial" w:hAnsi="Arial" w:cs="Arial"/>
                <w:sz w:val="24"/>
                <w:szCs w:val="24"/>
              </w:rPr>
              <w:t>com gkrassen@bricker.com</w:t>
            </w:r>
            <w:r w:rsidRPr="004E3286">
              <w:rPr>
                <w:rFonts w:ascii="Arial" w:hAnsi="Arial" w:cs="Arial"/>
                <w:sz w:val="24"/>
                <w:szCs w:val="24"/>
              </w:rPr>
              <w:t xml:space="preserve"> dstinson@bricker.</w:t>
            </w:r>
            <w:r w:rsidR="004E3286" w:rsidRPr="004E3286">
              <w:rPr>
                <w:rFonts w:ascii="Arial" w:hAnsi="Arial" w:cs="Arial"/>
                <w:sz w:val="24"/>
                <w:szCs w:val="24"/>
              </w:rPr>
              <w:t>com mberedo@ci.perrysburg.oh.us</w:t>
            </w:r>
            <w:r w:rsidRPr="004E3286">
              <w:rPr>
                <w:rFonts w:ascii="Arial" w:hAnsi="Arial" w:cs="Arial"/>
                <w:sz w:val="24"/>
                <w:szCs w:val="24"/>
              </w:rPr>
              <w:t xml:space="preserve"> smhoward</w:t>
            </w:r>
            <w:r w:rsidR="004E3286" w:rsidRPr="004E3286">
              <w:rPr>
                <w:rFonts w:ascii="Arial" w:hAnsi="Arial" w:cs="Arial"/>
                <w:sz w:val="24"/>
                <w:szCs w:val="24"/>
              </w:rPr>
              <w:t>@vorys.com trhayslaw@gmail.com</w:t>
            </w:r>
            <w:r w:rsidRPr="004E3286">
              <w:rPr>
                <w:rFonts w:ascii="Arial" w:hAnsi="Arial" w:cs="Arial"/>
                <w:sz w:val="24"/>
                <w:szCs w:val="24"/>
              </w:rPr>
              <w:t xml:space="preserve"> </w:t>
            </w:r>
            <w:hyperlink r:id="rId16" w:history="1">
              <w:r w:rsidR="004E3286" w:rsidRPr="004E3286">
                <w:rPr>
                  <w:rStyle w:val="Hyperlink"/>
                  <w:rFonts w:ascii="Arial" w:hAnsi="Arial" w:cs="Arial"/>
                  <w:color w:val="auto"/>
                  <w:sz w:val="24"/>
                  <w:szCs w:val="24"/>
                  <w:u w:val="none"/>
                </w:rPr>
                <w:t>LESLIE.KOVACIK@toledo.oh.gov</w:t>
              </w:r>
            </w:hyperlink>
          </w:p>
          <w:p w14:paraId="6A2B0543" w14:textId="60C81802" w:rsidR="00923FCA" w:rsidRPr="004E3286" w:rsidRDefault="00923FCA" w:rsidP="00923FCA">
            <w:pPr>
              <w:autoSpaceDE w:val="0"/>
              <w:autoSpaceDN w:val="0"/>
              <w:adjustRightInd w:val="0"/>
              <w:rPr>
                <w:rFonts w:ascii="Arial" w:hAnsi="Arial" w:cs="Arial"/>
                <w:sz w:val="24"/>
                <w:szCs w:val="24"/>
              </w:rPr>
            </w:pPr>
          </w:p>
        </w:tc>
        <w:tc>
          <w:tcPr>
            <w:tcW w:w="4788" w:type="dxa"/>
          </w:tcPr>
          <w:p w14:paraId="618D4B97" w14:textId="46516360" w:rsidR="009F57A5" w:rsidRPr="004E3286" w:rsidRDefault="004E3286" w:rsidP="009F57A5">
            <w:pPr>
              <w:rPr>
                <w:rFonts w:ascii="Arial" w:hAnsi="Arial" w:cs="Arial"/>
                <w:sz w:val="24"/>
                <w:szCs w:val="24"/>
              </w:rPr>
            </w:pPr>
            <w:r w:rsidRPr="004E3286">
              <w:rPr>
                <w:rFonts w:ascii="Arial" w:hAnsi="Arial" w:cs="Arial"/>
                <w:sz w:val="24"/>
                <w:szCs w:val="24"/>
              </w:rPr>
              <w:t>jmcdermott@firstenergycorp.com</w:t>
            </w:r>
            <w:r w:rsidR="009F57A5" w:rsidRPr="004E3286">
              <w:rPr>
                <w:rFonts w:ascii="Arial" w:hAnsi="Arial" w:cs="Arial"/>
                <w:sz w:val="24"/>
                <w:szCs w:val="24"/>
              </w:rPr>
              <w:t xml:space="preserve"> scasto@firstenergy</w:t>
            </w:r>
            <w:r w:rsidRPr="004E3286">
              <w:rPr>
                <w:rFonts w:ascii="Arial" w:hAnsi="Arial" w:cs="Arial"/>
                <w:sz w:val="24"/>
                <w:szCs w:val="24"/>
              </w:rPr>
              <w:t>corp.com dboehm@BKLlawfirm.com</w:t>
            </w:r>
            <w:r w:rsidR="009F57A5" w:rsidRPr="004E3286">
              <w:rPr>
                <w:rFonts w:ascii="Arial" w:hAnsi="Arial" w:cs="Arial"/>
                <w:sz w:val="24"/>
                <w:szCs w:val="24"/>
              </w:rPr>
              <w:t xml:space="preserve"> mkurtz@BKLlawfirm</w:t>
            </w:r>
            <w:r w:rsidRPr="004E3286">
              <w:rPr>
                <w:rFonts w:ascii="Arial" w:hAnsi="Arial" w:cs="Arial"/>
                <w:sz w:val="24"/>
                <w:szCs w:val="24"/>
              </w:rPr>
              <w:t>.com jkylercohn@BKLlawfirm.com</w:t>
            </w:r>
            <w:r w:rsidR="009F57A5" w:rsidRPr="004E3286">
              <w:rPr>
                <w:rFonts w:ascii="Arial" w:hAnsi="Arial" w:cs="Arial"/>
                <w:sz w:val="24"/>
                <w:szCs w:val="24"/>
              </w:rPr>
              <w:t xml:space="preserve"> </w:t>
            </w:r>
            <w:r w:rsidRPr="004E3286">
              <w:rPr>
                <w:rFonts w:ascii="Arial" w:hAnsi="Arial" w:cs="Arial"/>
                <w:sz w:val="24"/>
                <w:szCs w:val="24"/>
              </w:rPr>
              <w:t>mayorsoffice@cityofparma-oh.gov</w:t>
            </w:r>
            <w:r w:rsidR="009F57A5" w:rsidRPr="004E3286">
              <w:rPr>
                <w:rFonts w:ascii="Arial" w:hAnsi="Arial" w:cs="Arial"/>
                <w:sz w:val="24"/>
                <w:szCs w:val="24"/>
              </w:rPr>
              <w:t xml:space="preserve"> tdobeck@parmalaw.o</w:t>
            </w:r>
            <w:r w:rsidRPr="004E3286">
              <w:rPr>
                <w:rFonts w:ascii="Arial" w:hAnsi="Arial" w:cs="Arial"/>
                <w:sz w:val="24"/>
                <w:szCs w:val="24"/>
              </w:rPr>
              <w:t>rg jmills@city.cleveland.oh.us</w:t>
            </w:r>
            <w:r w:rsidR="009F57A5" w:rsidRPr="004E3286">
              <w:rPr>
                <w:rFonts w:ascii="Arial" w:hAnsi="Arial" w:cs="Arial"/>
                <w:sz w:val="24"/>
                <w:szCs w:val="24"/>
              </w:rPr>
              <w:t xml:space="preserve"> cgoodman@energymarketers.co</w:t>
            </w:r>
            <w:r w:rsidRPr="004E3286">
              <w:rPr>
                <w:rFonts w:ascii="Arial" w:hAnsi="Arial" w:cs="Arial"/>
                <w:sz w:val="24"/>
                <w:szCs w:val="24"/>
              </w:rPr>
              <w:t>m srantala@energymarketers.com</w:t>
            </w:r>
            <w:r w:rsidR="009F57A5" w:rsidRPr="004E3286">
              <w:rPr>
                <w:rFonts w:ascii="Arial" w:hAnsi="Arial" w:cs="Arial"/>
                <w:sz w:val="24"/>
                <w:szCs w:val="24"/>
              </w:rPr>
              <w:t xml:space="preserve"> Bojko@carpenterlip</w:t>
            </w:r>
            <w:r w:rsidRPr="004E3286">
              <w:rPr>
                <w:rFonts w:ascii="Arial" w:hAnsi="Arial" w:cs="Arial"/>
                <w:sz w:val="24"/>
                <w:szCs w:val="24"/>
              </w:rPr>
              <w:t>ps.com</w:t>
            </w:r>
            <w:r w:rsidR="009F57A5" w:rsidRPr="004E3286">
              <w:rPr>
                <w:rFonts w:ascii="Arial" w:hAnsi="Arial" w:cs="Arial"/>
                <w:sz w:val="24"/>
                <w:szCs w:val="24"/>
              </w:rPr>
              <w:t xml:space="preserve"> ghiloni@carpenterlipps</w:t>
            </w:r>
            <w:r w:rsidRPr="004E3286">
              <w:rPr>
                <w:rFonts w:ascii="Arial" w:hAnsi="Arial" w:cs="Arial"/>
                <w:sz w:val="24"/>
                <w:szCs w:val="24"/>
              </w:rPr>
              <w:t>.com mohler@carpenterlipps.com</w:t>
            </w:r>
            <w:r w:rsidR="009F57A5" w:rsidRPr="004E3286">
              <w:rPr>
                <w:rFonts w:ascii="Arial" w:hAnsi="Arial" w:cs="Arial"/>
                <w:sz w:val="24"/>
                <w:szCs w:val="24"/>
              </w:rPr>
              <w:t xml:space="preserve"> Schmidt@sp</w:t>
            </w:r>
            <w:r w:rsidRPr="004E3286">
              <w:rPr>
                <w:rFonts w:ascii="Arial" w:hAnsi="Arial" w:cs="Arial"/>
                <w:sz w:val="24"/>
                <w:szCs w:val="24"/>
              </w:rPr>
              <w:t>pgrp.com eagleenergy@fuse.net</w:t>
            </w:r>
            <w:r w:rsidR="009F57A5" w:rsidRPr="004E3286">
              <w:rPr>
                <w:rFonts w:ascii="Arial" w:hAnsi="Arial" w:cs="Arial"/>
                <w:sz w:val="24"/>
                <w:szCs w:val="24"/>
              </w:rPr>
              <w:t xml:space="preserve"> judi.sobecki@aes.</w:t>
            </w:r>
            <w:r w:rsidRPr="004E3286">
              <w:rPr>
                <w:rFonts w:ascii="Arial" w:hAnsi="Arial" w:cs="Arial"/>
                <w:sz w:val="24"/>
                <w:szCs w:val="24"/>
              </w:rPr>
              <w:t>com mkimbrough@keglerbrown.com</w:t>
            </w:r>
            <w:r w:rsidR="009F57A5" w:rsidRPr="004E3286">
              <w:rPr>
                <w:rFonts w:ascii="Arial" w:hAnsi="Arial" w:cs="Arial"/>
                <w:sz w:val="24"/>
                <w:szCs w:val="24"/>
              </w:rPr>
              <w:t xml:space="preserve"> callwein@kegl</w:t>
            </w:r>
            <w:r w:rsidRPr="004E3286">
              <w:rPr>
                <w:rFonts w:ascii="Arial" w:hAnsi="Arial" w:cs="Arial"/>
                <w:sz w:val="24"/>
                <w:szCs w:val="24"/>
              </w:rPr>
              <w:t>erbrown.com lrussell@aarp.org</w:t>
            </w:r>
            <w:r w:rsidR="009F57A5" w:rsidRPr="004E3286">
              <w:rPr>
                <w:rFonts w:ascii="Arial" w:hAnsi="Arial" w:cs="Arial"/>
                <w:sz w:val="24"/>
                <w:szCs w:val="24"/>
              </w:rPr>
              <w:t xml:space="preserve"> anita.l</w:t>
            </w:r>
            <w:r w:rsidRPr="004E3286">
              <w:rPr>
                <w:rFonts w:ascii="Arial" w:hAnsi="Arial" w:cs="Arial"/>
                <w:sz w:val="24"/>
                <w:szCs w:val="24"/>
              </w:rPr>
              <w:t>ewis@championenergyservices.com</w:t>
            </w:r>
            <w:r w:rsidR="009F57A5" w:rsidRPr="004E3286">
              <w:rPr>
                <w:rFonts w:ascii="Arial" w:hAnsi="Arial" w:cs="Arial"/>
                <w:sz w:val="24"/>
                <w:szCs w:val="24"/>
              </w:rPr>
              <w:t xml:space="preserve"> mandy.chiles@puc.state.oh.us</w:t>
            </w:r>
          </w:p>
          <w:p w14:paraId="0499DD84" w14:textId="4E148D92" w:rsidR="009F57A5" w:rsidRPr="004E3286" w:rsidRDefault="004E3286" w:rsidP="009F57A5">
            <w:pPr>
              <w:rPr>
                <w:rFonts w:ascii="Arial" w:hAnsi="Arial" w:cs="Arial"/>
                <w:sz w:val="16"/>
                <w:szCs w:val="16"/>
              </w:rPr>
            </w:pPr>
            <w:r w:rsidRPr="004E3286">
              <w:rPr>
                <w:rFonts w:ascii="Arial" w:hAnsi="Arial" w:cs="Arial"/>
                <w:sz w:val="24"/>
                <w:szCs w:val="24"/>
              </w:rPr>
              <w:t>mswhite@igsenergy.com haydenm@firstenergycorp.com;</w:t>
            </w:r>
          </w:p>
          <w:p w14:paraId="0F75B8C8" w14:textId="77777777" w:rsidR="00923FCA" w:rsidRPr="004E3286" w:rsidRDefault="00923FCA" w:rsidP="00923FCA">
            <w:pPr>
              <w:autoSpaceDE w:val="0"/>
              <w:autoSpaceDN w:val="0"/>
              <w:adjustRightInd w:val="0"/>
              <w:rPr>
                <w:rFonts w:ascii="Arial" w:hAnsi="Arial" w:cs="Arial"/>
                <w:sz w:val="24"/>
                <w:szCs w:val="24"/>
              </w:rPr>
            </w:pPr>
          </w:p>
        </w:tc>
      </w:tr>
    </w:tbl>
    <w:p w14:paraId="2C78CF00" w14:textId="77777777" w:rsidR="00923FCA" w:rsidRDefault="00923FCA" w:rsidP="00923FCA">
      <w:pPr>
        <w:autoSpaceDE w:val="0"/>
        <w:autoSpaceDN w:val="0"/>
        <w:adjustRightInd w:val="0"/>
        <w:spacing w:after="0" w:line="240" w:lineRule="auto"/>
        <w:rPr>
          <w:rFonts w:ascii="Arial" w:hAnsi="Arial" w:cs="Arial"/>
          <w:sz w:val="24"/>
          <w:szCs w:val="24"/>
        </w:rPr>
      </w:pPr>
    </w:p>
    <w:p w14:paraId="31A9EB0C" w14:textId="77777777" w:rsidR="00923FCA" w:rsidRDefault="00923FCA" w:rsidP="00923FCA">
      <w:pPr>
        <w:autoSpaceDE w:val="0"/>
        <w:autoSpaceDN w:val="0"/>
        <w:adjustRightInd w:val="0"/>
        <w:spacing w:after="0" w:line="240" w:lineRule="auto"/>
        <w:rPr>
          <w:rFonts w:ascii="Arial" w:hAnsi="Arial" w:cs="Arial"/>
          <w:sz w:val="24"/>
          <w:szCs w:val="24"/>
        </w:rPr>
      </w:pPr>
    </w:p>
    <w:p w14:paraId="5EAB001A" w14:textId="77777777" w:rsidR="00923FCA" w:rsidRDefault="00923FCA" w:rsidP="00923FCA">
      <w:pPr>
        <w:autoSpaceDE w:val="0"/>
        <w:autoSpaceDN w:val="0"/>
        <w:adjustRightInd w:val="0"/>
        <w:spacing w:after="0" w:line="240" w:lineRule="auto"/>
        <w:rPr>
          <w:rFonts w:ascii="Arial" w:hAnsi="Arial" w:cs="Arial"/>
          <w:sz w:val="24"/>
          <w:szCs w:val="24"/>
        </w:rPr>
      </w:pPr>
    </w:p>
    <w:p w14:paraId="612FCFFE" w14:textId="77777777" w:rsidR="00923FCA" w:rsidRDefault="00923FCA" w:rsidP="00923FCA">
      <w:pPr>
        <w:autoSpaceDE w:val="0"/>
        <w:autoSpaceDN w:val="0"/>
        <w:adjustRightInd w:val="0"/>
        <w:spacing w:after="0" w:line="240" w:lineRule="auto"/>
        <w:rPr>
          <w:rFonts w:ascii="Arial" w:hAnsi="Arial" w:cs="Arial"/>
          <w:sz w:val="24"/>
          <w:szCs w:val="24"/>
        </w:rPr>
      </w:pPr>
    </w:p>
    <w:p w14:paraId="1593045A" w14:textId="77777777" w:rsidR="00FE7265" w:rsidRPr="00A10456" w:rsidRDefault="00A10456" w:rsidP="00FE7265">
      <w:pPr>
        <w:rPr>
          <w:rFonts w:ascii="Arial" w:hAnsi="Arial" w:cs="Arial"/>
          <w:sz w:val="24"/>
          <w:szCs w:val="24"/>
        </w:rPr>
      </w:pPr>
      <w:r w:rsidRPr="00A10456">
        <w:rPr>
          <w:rFonts w:ascii="Arial" w:hAnsi="Arial" w:cs="Arial"/>
          <w:sz w:val="24"/>
          <w:szCs w:val="24"/>
        </w:rPr>
        <w:t xml:space="preserve">  </w:t>
      </w:r>
    </w:p>
    <w:sectPr w:rsidR="00FE7265" w:rsidRPr="00A1045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CA42A" w14:textId="77777777" w:rsidR="003B029D" w:rsidRDefault="003B029D" w:rsidP="00406B0E">
      <w:pPr>
        <w:spacing w:after="0" w:line="240" w:lineRule="auto"/>
      </w:pPr>
      <w:r>
        <w:separator/>
      </w:r>
    </w:p>
  </w:endnote>
  <w:endnote w:type="continuationSeparator" w:id="0">
    <w:p w14:paraId="2EC07A0F" w14:textId="77777777" w:rsidR="003B029D" w:rsidRDefault="003B029D" w:rsidP="00406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12C4F" w14:textId="77777777" w:rsidR="0064168F" w:rsidRDefault="006416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758104"/>
      <w:docPartObj>
        <w:docPartGallery w:val="Page Numbers (Bottom of Page)"/>
        <w:docPartUnique/>
      </w:docPartObj>
    </w:sdtPr>
    <w:sdtEndPr>
      <w:rPr>
        <w:noProof/>
      </w:rPr>
    </w:sdtEndPr>
    <w:sdtContent>
      <w:p w14:paraId="2A6954B5" w14:textId="77777777" w:rsidR="00776E53" w:rsidRDefault="00776E53">
        <w:pPr>
          <w:pStyle w:val="Footer"/>
          <w:jc w:val="center"/>
        </w:pPr>
        <w:r>
          <w:fldChar w:fldCharType="begin"/>
        </w:r>
        <w:r>
          <w:instrText xml:space="preserve"> PAGE   \* MERGEFORMAT </w:instrText>
        </w:r>
        <w:r>
          <w:fldChar w:fldCharType="separate"/>
        </w:r>
        <w:r w:rsidR="00366EB7">
          <w:rPr>
            <w:noProof/>
          </w:rPr>
          <w:t>1</w:t>
        </w:r>
        <w:r>
          <w:rPr>
            <w:noProof/>
          </w:rPr>
          <w:fldChar w:fldCharType="end"/>
        </w:r>
      </w:p>
    </w:sdtContent>
  </w:sdt>
  <w:p w14:paraId="25E37248" w14:textId="77777777" w:rsidR="00776E53" w:rsidRDefault="00776E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609DF" w14:textId="77777777" w:rsidR="0064168F" w:rsidRDefault="00641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54A29" w14:textId="77777777" w:rsidR="003B029D" w:rsidRDefault="003B029D" w:rsidP="00406B0E">
      <w:pPr>
        <w:spacing w:after="0" w:line="240" w:lineRule="auto"/>
      </w:pPr>
      <w:r>
        <w:separator/>
      </w:r>
    </w:p>
  </w:footnote>
  <w:footnote w:type="continuationSeparator" w:id="0">
    <w:p w14:paraId="79B81F0C" w14:textId="77777777" w:rsidR="003B029D" w:rsidRDefault="003B029D" w:rsidP="00406B0E">
      <w:pPr>
        <w:spacing w:after="0" w:line="240" w:lineRule="auto"/>
      </w:pPr>
      <w:r>
        <w:continuationSeparator/>
      </w:r>
    </w:p>
  </w:footnote>
  <w:footnote w:id="1">
    <w:p w14:paraId="05234376" w14:textId="70E05FF6" w:rsidR="0089279F" w:rsidRPr="0089279F" w:rsidRDefault="0089279F">
      <w:pPr>
        <w:pStyle w:val="FootnoteText"/>
        <w:rPr>
          <w:rFonts w:ascii="Arial" w:hAnsi="Arial" w:cs="Arial"/>
        </w:rPr>
      </w:pPr>
      <w:r w:rsidRPr="0089279F">
        <w:rPr>
          <w:rStyle w:val="FootnoteReference"/>
          <w:rFonts w:ascii="Arial" w:hAnsi="Arial" w:cs="Arial"/>
        </w:rPr>
        <w:footnoteRef/>
      </w:r>
      <w:r w:rsidRPr="0089279F">
        <w:rPr>
          <w:rFonts w:ascii="Arial" w:hAnsi="Arial" w:cs="Arial"/>
        </w:rPr>
        <w:t xml:space="preserve"> Order at 13. </w:t>
      </w:r>
    </w:p>
  </w:footnote>
  <w:footnote w:id="2">
    <w:p w14:paraId="4891C1E7" w14:textId="4F9D2900" w:rsidR="0089279F" w:rsidRPr="0089279F" w:rsidRDefault="0089279F">
      <w:pPr>
        <w:pStyle w:val="FootnoteText"/>
        <w:rPr>
          <w:rFonts w:ascii="Arial" w:hAnsi="Arial" w:cs="Arial"/>
        </w:rPr>
      </w:pPr>
      <w:r w:rsidRPr="0089279F">
        <w:rPr>
          <w:rStyle w:val="FootnoteReference"/>
          <w:rFonts w:ascii="Arial" w:hAnsi="Arial" w:cs="Arial"/>
        </w:rPr>
        <w:footnoteRef/>
      </w:r>
      <w:r w:rsidRPr="0089279F">
        <w:rPr>
          <w:rFonts w:ascii="Arial" w:hAnsi="Arial" w:cs="Arial"/>
        </w:rPr>
        <w:t xml:space="preserve"> Order at 13-14.</w:t>
      </w:r>
    </w:p>
    <w:p w14:paraId="3DAEFB4A" w14:textId="77777777" w:rsidR="0089279F" w:rsidRPr="0089279F" w:rsidRDefault="0089279F">
      <w:pPr>
        <w:pStyle w:val="FootnoteText"/>
        <w:rPr>
          <w:rFonts w:ascii="Arial" w:hAnsi="Arial" w:cs="Arial"/>
        </w:rPr>
      </w:pPr>
    </w:p>
  </w:footnote>
  <w:footnote w:id="3">
    <w:p w14:paraId="19C8FC32" w14:textId="1FCBB4EE" w:rsidR="0089279F" w:rsidRPr="0089279F" w:rsidRDefault="0089279F">
      <w:pPr>
        <w:pStyle w:val="FootnoteText"/>
        <w:rPr>
          <w:rFonts w:ascii="Arial" w:hAnsi="Arial" w:cs="Arial"/>
        </w:rPr>
      </w:pPr>
      <w:r w:rsidRPr="0089279F">
        <w:rPr>
          <w:rStyle w:val="FootnoteReference"/>
          <w:rFonts w:ascii="Arial" w:hAnsi="Arial" w:cs="Arial"/>
        </w:rPr>
        <w:footnoteRef/>
      </w:r>
      <w:r w:rsidRPr="0089279F">
        <w:rPr>
          <w:rFonts w:ascii="Arial" w:hAnsi="Arial" w:cs="Arial"/>
        </w:rPr>
        <w:t xml:space="preserve"> </w:t>
      </w:r>
      <w:r w:rsidRPr="0089279F">
        <w:rPr>
          <w:rFonts w:ascii="Arial" w:hAnsi="Arial" w:cs="Arial"/>
          <w:i/>
        </w:rPr>
        <w:t xml:space="preserve">Id. </w:t>
      </w:r>
      <w:r w:rsidRPr="0089279F">
        <w:rPr>
          <w:rFonts w:ascii="Arial" w:hAnsi="Arial" w:cs="Arial"/>
        </w:rPr>
        <w:t>at 14.</w:t>
      </w:r>
    </w:p>
    <w:p w14:paraId="56EFBD63" w14:textId="77777777" w:rsidR="0089279F" w:rsidRPr="0089279F" w:rsidRDefault="0089279F">
      <w:pPr>
        <w:pStyle w:val="FootnoteText"/>
        <w:rPr>
          <w:rFonts w:ascii="Arial" w:hAnsi="Arial" w:cs="Arial"/>
        </w:rPr>
      </w:pPr>
    </w:p>
  </w:footnote>
  <w:footnote w:id="4">
    <w:p w14:paraId="5FB495D7" w14:textId="4FCF189A" w:rsidR="0089279F" w:rsidRPr="0089279F" w:rsidRDefault="0089279F">
      <w:pPr>
        <w:pStyle w:val="FootnoteText"/>
        <w:rPr>
          <w:i/>
        </w:rPr>
      </w:pPr>
      <w:r w:rsidRPr="0089279F">
        <w:rPr>
          <w:rStyle w:val="FootnoteReference"/>
          <w:rFonts w:ascii="Arial" w:hAnsi="Arial" w:cs="Arial"/>
        </w:rPr>
        <w:footnoteRef/>
      </w:r>
      <w:r w:rsidRPr="0089279F">
        <w:rPr>
          <w:rFonts w:ascii="Arial" w:hAnsi="Arial" w:cs="Arial"/>
        </w:rPr>
        <w:t xml:space="preserve"> </w:t>
      </w:r>
      <w:r w:rsidRPr="0089279F">
        <w:rPr>
          <w:rFonts w:ascii="Arial" w:hAnsi="Arial" w:cs="Arial"/>
          <w:i/>
        </w:rPr>
        <w:t xml:space="preserve">Id. </w:t>
      </w:r>
    </w:p>
  </w:footnote>
  <w:footnote w:id="5">
    <w:p w14:paraId="000220F5" w14:textId="77777777" w:rsidR="000A6A1A" w:rsidRPr="005C3FAC" w:rsidRDefault="000A6A1A" w:rsidP="000A6A1A">
      <w:pPr>
        <w:spacing w:before="100" w:beforeAutospacing="1" w:after="100" w:afterAutospacing="1" w:line="240" w:lineRule="auto"/>
        <w:jc w:val="both"/>
        <w:rPr>
          <w:rFonts w:ascii="Arial" w:eastAsia="Times New Roman" w:hAnsi="Arial" w:cs="Arial"/>
          <w:sz w:val="20"/>
          <w:szCs w:val="20"/>
        </w:rPr>
      </w:pPr>
      <w:r w:rsidRPr="005C3FAC">
        <w:rPr>
          <w:rStyle w:val="FootnoteReference"/>
          <w:rFonts w:ascii="Arial" w:hAnsi="Arial" w:cs="Arial"/>
          <w:sz w:val="20"/>
          <w:szCs w:val="20"/>
        </w:rPr>
        <w:footnoteRef/>
      </w:r>
      <w:r w:rsidRPr="005C3FAC">
        <w:rPr>
          <w:rFonts w:ascii="Arial" w:hAnsi="Arial" w:cs="Arial"/>
          <w:sz w:val="20"/>
          <w:szCs w:val="20"/>
        </w:rPr>
        <w:t xml:space="preserve"> </w:t>
      </w:r>
      <w:r w:rsidR="00533ECE">
        <w:rPr>
          <w:rFonts w:ascii="Arial" w:hAnsi="Arial" w:cs="Arial"/>
          <w:sz w:val="20"/>
          <w:szCs w:val="20"/>
        </w:rPr>
        <w:t xml:space="preserve">Provision B states </w:t>
      </w:r>
      <w:r w:rsidR="00533ECE">
        <w:rPr>
          <w:rFonts w:ascii="Arial" w:eastAsia="Times New Roman" w:hAnsi="Arial" w:cs="Arial"/>
          <w:sz w:val="20"/>
          <w:szCs w:val="20"/>
        </w:rPr>
        <w:t>“</w:t>
      </w:r>
      <w:r w:rsidRPr="005C3FAC">
        <w:rPr>
          <w:rFonts w:ascii="Arial" w:eastAsia="Times New Roman" w:hAnsi="Arial" w:cs="Arial"/>
          <w:sz w:val="20"/>
          <w:szCs w:val="20"/>
        </w:rPr>
        <w:t xml:space="preserve">A CRES provider's promotional and advertising material that is targeted for </w:t>
      </w:r>
      <w:r w:rsidRPr="005C3FAC">
        <w:rPr>
          <w:rFonts w:ascii="Arial" w:eastAsia="Times New Roman" w:hAnsi="Arial" w:cs="Arial"/>
          <w:b/>
          <w:sz w:val="20"/>
          <w:szCs w:val="20"/>
        </w:rPr>
        <w:t>residential and small commercial customers</w:t>
      </w:r>
      <w:r w:rsidRPr="005C3FAC">
        <w:rPr>
          <w:rFonts w:ascii="Arial" w:eastAsia="Times New Roman" w:hAnsi="Arial" w:cs="Arial"/>
          <w:sz w:val="20"/>
          <w:szCs w:val="20"/>
        </w:rPr>
        <w:t xml:space="preserve"> shall be provided to the commission or its staff within three business days of a request by the commission or its staff.”</w:t>
      </w:r>
      <w:r w:rsidR="00533ECE" w:rsidRPr="00533ECE">
        <w:rPr>
          <w:rFonts w:ascii="Arial" w:hAnsi="Arial" w:cs="Arial"/>
          <w:sz w:val="20"/>
          <w:szCs w:val="20"/>
        </w:rPr>
        <w:t xml:space="preserve"> </w:t>
      </w:r>
      <w:r w:rsidR="00533ECE" w:rsidRPr="000A6A1A">
        <w:rPr>
          <w:rFonts w:ascii="Arial" w:hAnsi="Arial" w:cs="Arial"/>
          <w:sz w:val="20"/>
          <w:szCs w:val="20"/>
        </w:rPr>
        <w:t>Provision (B) relates to the transmission of advertising materials to residential and small commercial customers, so that provision is not relevant to this proceeding.</w:t>
      </w:r>
    </w:p>
  </w:footnote>
  <w:footnote w:id="6">
    <w:p w14:paraId="6CB6F712" w14:textId="77777777" w:rsidR="00CB7332" w:rsidRPr="005C3FAC" w:rsidRDefault="00CB7332" w:rsidP="00CB7332">
      <w:pPr>
        <w:spacing w:before="100" w:beforeAutospacing="1" w:after="100" w:afterAutospacing="1" w:line="240" w:lineRule="auto"/>
        <w:jc w:val="both"/>
        <w:rPr>
          <w:rFonts w:ascii="Arial" w:eastAsia="Times New Roman" w:hAnsi="Arial" w:cs="Arial"/>
          <w:sz w:val="20"/>
          <w:szCs w:val="20"/>
        </w:rPr>
      </w:pPr>
      <w:r w:rsidRPr="005C3FAC">
        <w:rPr>
          <w:rStyle w:val="FootnoteReference"/>
          <w:rFonts w:ascii="Arial" w:hAnsi="Arial" w:cs="Arial"/>
          <w:sz w:val="20"/>
          <w:szCs w:val="20"/>
        </w:rPr>
        <w:footnoteRef/>
      </w:r>
      <w:r w:rsidRPr="005C3FAC">
        <w:rPr>
          <w:rFonts w:ascii="Arial" w:hAnsi="Arial" w:cs="Arial"/>
          <w:sz w:val="20"/>
          <w:szCs w:val="20"/>
        </w:rPr>
        <w:t xml:space="preserve"> </w:t>
      </w:r>
      <w:r w:rsidRPr="005C3FAC">
        <w:rPr>
          <w:rFonts w:ascii="Arial" w:eastAsia="Times New Roman" w:hAnsi="Arial" w:cs="Arial"/>
          <w:sz w:val="20"/>
          <w:szCs w:val="20"/>
        </w:rPr>
        <w:t xml:space="preserve">“(A) Each competitive retail electric service (CRES) provider that offers retail electric generation service </w:t>
      </w:r>
      <w:r w:rsidRPr="005C3FAC">
        <w:rPr>
          <w:rFonts w:ascii="Arial" w:eastAsia="Times New Roman" w:hAnsi="Arial" w:cs="Arial"/>
          <w:b/>
          <w:sz w:val="20"/>
          <w:szCs w:val="20"/>
        </w:rPr>
        <w:t>to residential or small commercial customers</w:t>
      </w:r>
      <w:r w:rsidRPr="005C3FAC">
        <w:rPr>
          <w:rFonts w:ascii="Arial" w:eastAsia="Times New Roman" w:hAnsi="Arial" w:cs="Arial"/>
          <w:sz w:val="20"/>
          <w:szCs w:val="20"/>
        </w:rPr>
        <w:t xml:space="preserve"> shall provide, in marketing materials that include or accompany a service contract, sufficient information for customers to make intelligent cost comparisons against offers they receive from other CRES providers.”</w:t>
      </w:r>
    </w:p>
    <w:p w14:paraId="423163DA" w14:textId="77777777" w:rsidR="00CB7332" w:rsidRPr="005C3FAC" w:rsidRDefault="00CB7332">
      <w:pPr>
        <w:pStyle w:val="FootnoteText"/>
        <w:rPr>
          <w:rFonts w:ascii="Arial" w:hAnsi="Arial" w:cs="Arial"/>
        </w:rPr>
      </w:pPr>
    </w:p>
  </w:footnote>
  <w:footnote w:id="7">
    <w:p w14:paraId="7BD082A0" w14:textId="77777777" w:rsidR="00533ECE" w:rsidRPr="00533ECE" w:rsidRDefault="00533ECE">
      <w:pPr>
        <w:pStyle w:val="FootnoteText"/>
        <w:rPr>
          <w:rFonts w:ascii="Arial" w:hAnsi="Arial" w:cs="Arial"/>
        </w:rPr>
      </w:pPr>
      <w:r w:rsidRPr="00533ECE">
        <w:rPr>
          <w:rStyle w:val="FootnoteReference"/>
          <w:rFonts w:ascii="Arial" w:hAnsi="Arial" w:cs="Arial"/>
        </w:rPr>
        <w:footnoteRef/>
      </w:r>
      <w:r w:rsidRPr="00533ECE">
        <w:rPr>
          <w:rFonts w:ascii="Arial" w:hAnsi="Arial" w:cs="Arial"/>
        </w:rPr>
        <w:t xml:space="preserve"> OAC 4901:1-21-05(A) (emphasis added).</w:t>
      </w:r>
    </w:p>
    <w:p w14:paraId="09302B90" w14:textId="77777777" w:rsidR="00533ECE" w:rsidRPr="00533ECE" w:rsidRDefault="00533ECE">
      <w:pPr>
        <w:pStyle w:val="FootnoteText"/>
        <w:rPr>
          <w:rFonts w:ascii="Arial" w:hAnsi="Arial" w:cs="Arial"/>
        </w:rPr>
      </w:pPr>
    </w:p>
  </w:footnote>
  <w:footnote w:id="8">
    <w:p w14:paraId="1803FB79" w14:textId="77777777" w:rsidR="00090404" w:rsidRPr="00533ECE" w:rsidRDefault="00090404" w:rsidP="00090404">
      <w:pPr>
        <w:pStyle w:val="FootnoteText"/>
        <w:rPr>
          <w:rFonts w:ascii="Arial" w:hAnsi="Arial" w:cs="Arial"/>
        </w:rPr>
      </w:pPr>
      <w:r w:rsidRPr="00533ECE">
        <w:rPr>
          <w:rStyle w:val="FootnoteReference"/>
          <w:rFonts w:ascii="Arial" w:hAnsi="Arial" w:cs="Arial"/>
        </w:rPr>
        <w:footnoteRef/>
      </w:r>
      <w:r w:rsidRPr="00533ECE">
        <w:rPr>
          <w:rFonts w:ascii="Arial" w:hAnsi="Arial" w:cs="Arial"/>
        </w:rPr>
        <w:t xml:space="preserve"> http://www.merriam-webster.com/dictionary/contingency</w:t>
      </w:r>
    </w:p>
    <w:p w14:paraId="6BD3015C" w14:textId="77777777" w:rsidR="00533ECE" w:rsidRPr="00533ECE" w:rsidRDefault="00533ECE" w:rsidP="00090404">
      <w:pPr>
        <w:pStyle w:val="FootnoteText"/>
        <w:rPr>
          <w:rFonts w:ascii="Arial" w:hAnsi="Arial" w:cs="Arial"/>
        </w:rPr>
      </w:pPr>
    </w:p>
  </w:footnote>
  <w:footnote w:id="9">
    <w:p w14:paraId="18E80D4D" w14:textId="77777777" w:rsidR="00090404" w:rsidRPr="00533ECE" w:rsidRDefault="00090404" w:rsidP="00090404">
      <w:pPr>
        <w:pStyle w:val="FootnoteText"/>
        <w:rPr>
          <w:rFonts w:ascii="Arial" w:hAnsi="Arial" w:cs="Arial"/>
        </w:rPr>
      </w:pPr>
      <w:r w:rsidRPr="00533ECE">
        <w:rPr>
          <w:rStyle w:val="FootnoteReference"/>
          <w:rFonts w:ascii="Arial" w:hAnsi="Arial" w:cs="Arial"/>
        </w:rPr>
        <w:footnoteRef/>
      </w:r>
      <w:r w:rsidRPr="00533ECE">
        <w:rPr>
          <w:rFonts w:ascii="Arial" w:hAnsi="Arial" w:cs="Arial"/>
        </w:rPr>
        <w:t xml:space="preserve"> </w:t>
      </w:r>
      <w:hyperlink r:id="rId1" w:history="1">
        <w:r w:rsidR="00A32BFE" w:rsidRPr="00533ECE">
          <w:rPr>
            <w:rStyle w:val="Hyperlink"/>
            <w:rFonts w:ascii="Arial" w:hAnsi="Arial" w:cs="Arial"/>
            <w:color w:val="auto"/>
            <w:u w:val="none"/>
          </w:rPr>
          <w:t>http://www.merriam-webster.com/dictionary/condition%20precedent</w:t>
        </w:r>
      </w:hyperlink>
      <w:r w:rsidR="00A32BFE" w:rsidRPr="00533ECE">
        <w:rPr>
          <w:rFonts w:ascii="Arial" w:hAnsi="Arial" w:cs="Arial"/>
        </w:rPr>
        <w:t xml:space="preserve"> (emphasis added)</w:t>
      </w:r>
    </w:p>
  </w:footnote>
  <w:footnote w:id="10">
    <w:p w14:paraId="19530596" w14:textId="77777777" w:rsidR="00A32BFE" w:rsidRPr="005C3FAC" w:rsidRDefault="00A32BFE" w:rsidP="008B0FF0">
      <w:pPr>
        <w:pStyle w:val="FootnoteText"/>
        <w:jc w:val="both"/>
        <w:rPr>
          <w:rFonts w:ascii="Arial" w:hAnsi="Arial" w:cs="Arial"/>
        </w:rPr>
      </w:pPr>
      <w:r w:rsidRPr="00533ECE">
        <w:rPr>
          <w:rStyle w:val="FootnoteReference"/>
          <w:rFonts w:ascii="Arial" w:hAnsi="Arial" w:cs="Arial"/>
        </w:rPr>
        <w:footnoteRef/>
      </w:r>
      <w:r w:rsidRPr="00533ECE">
        <w:rPr>
          <w:rFonts w:ascii="Arial" w:hAnsi="Arial" w:cs="Arial"/>
        </w:rPr>
        <w:t xml:space="preserve"> Rule 4901:1-21-05-(C)(8) is limited to advertising or marketing offers.  Commercial and industrial </w:t>
      </w:r>
      <w:r w:rsidRPr="005C3FAC">
        <w:rPr>
          <w:rFonts w:ascii="Arial" w:hAnsi="Arial" w:cs="Arial"/>
        </w:rPr>
        <w:t>customers normally receive</w:t>
      </w:r>
      <w:r w:rsidR="0012473E" w:rsidRPr="005C3FAC">
        <w:rPr>
          <w:rFonts w:ascii="Arial" w:hAnsi="Arial" w:cs="Arial"/>
        </w:rPr>
        <w:t xml:space="preserve"> customized pricing that would not fall under the rule.</w:t>
      </w:r>
    </w:p>
  </w:footnote>
  <w:footnote w:id="11">
    <w:p w14:paraId="75823744" w14:textId="77777777" w:rsidR="001F4126" w:rsidRDefault="001F4126" w:rsidP="001F4126">
      <w:pPr>
        <w:pStyle w:val="FootnoteText"/>
        <w:rPr>
          <w:rFonts w:ascii="Arial" w:hAnsi="Arial" w:cs="Arial"/>
        </w:rPr>
      </w:pPr>
      <w:r w:rsidRPr="00A53633">
        <w:rPr>
          <w:rStyle w:val="FootnoteReference"/>
          <w:rFonts w:ascii="Arial" w:hAnsi="Arial" w:cs="Arial"/>
        </w:rPr>
        <w:footnoteRef/>
      </w:r>
      <w:r w:rsidRPr="00A53633">
        <w:rPr>
          <w:rFonts w:ascii="Arial" w:hAnsi="Arial" w:cs="Arial"/>
        </w:rPr>
        <w:t xml:space="preserve"> Order at 2.</w:t>
      </w:r>
    </w:p>
    <w:p w14:paraId="1F8F13A2" w14:textId="77777777" w:rsidR="001F4126" w:rsidRPr="00A53633" w:rsidRDefault="001F4126" w:rsidP="001F4126">
      <w:pPr>
        <w:pStyle w:val="FootnoteText"/>
        <w:rPr>
          <w:rFonts w:ascii="Arial" w:hAnsi="Arial" w:cs="Arial"/>
        </w:rPr>
      </w:pPr>
    </w:p>
  </w:footnote>
  <w:footnote w:id="12">
    <w:p w14:paraId="4EF0DEEE" w14:textId="77777777" w:rsidR="001F4126" w:rsidRPr="00955F86" w:rsidRDefault="001F4126" w:rsidP="001F4126">
      <w:pPr>
        <w:pStyle w:val="FootnoteText"/>
        <w:rPr>
          <w:rFonts w:ascii="Arial" w:hAnsi="Arial" w:cs="Arial"/>
        </w:rPr>
      </w:pPr>
      <w:r w:rsidRPr="00955F86">
        <w:rPr>
          <w:rStyle w:val="FootnoteReference"/>
          <w:rFonts w:ascii="Arial" w:hAnsi="Arial" w:cs="Arial"/>
        </w:rPr>
        <w:footnoteRef/>
      </w:r>
      <w:r w:rsidRPr="00955F86">
        <w:rPr>
          <w:rFonts w:ascii="Arial" w:hAnsi="Arial" w:cs="Arial"/>
        </w:rPr>
        <w:t xml:space="preserve"> Rule 4901-1-11(A), OAC.</w:t>
      </w:r>
      <w:r>
        <w:rPr>
          <w:rFonts w:ascii="Arial" w:hAnsi="Arial" w:cs="Arial"/>
        </w:rPr>
        <w:br/>
      </w:r>
    </w:p>
  </w:footnote>
  <w:footnote w:id="13">
    <w:p w14:paraId="09A52954" w14:textId="77777777" w:rsidR="001F4126" w:rsidRPr="00A53633" w:rsidRDefault="001F4126" w:rsidP="001F4126">
      <w:pPr>
        <w:pStyle w:val="FootnoteText"/>
        <w:rPr>
          <w:rFonts w:ascii="Arial" w:hAnsi="Arial" w:cs="Arial"/>
        </w:rPr>
      </w:pPr>
      <w:r w:rsidRPr="00A53633">
        <w:rPr>
          <w:rStyle w:val="FootnoteReference"/>
          <w:rFonts w:ascii="Arial" w:hAnsi="Arial" w:cs="Arial"/>
        </w:rPr>
        <w:footnoteRef/>
      </w:r>
      <w:r w:rsidRPr="00A53633">
        <w:rPr>
          <w:rFonts w:ascii="Arial" w:hAnsi="Arial" w:cs="Arial"/>
        </w:rPr>
        <w:t xml:space="preserve"> Motion to Intervene</w:t>
      </w:r>
      <w:r>
        <w:rPr>
          <w:rFonts w:ascii="Arial" w:hAnsi="Arial" w:cs="Arial"/>
        </w:rPr>
        <w:t xml:space="preserve"> and Memorandum in Support of IGS</w:t>
      </w:r>
      <w:r w:rsidRPr="00A53633">
        <w:rPr>
          <w:rFonts w:ascii="Arial" w:hAnsi="Arial" w:cs="Arial"/>
        </w:rPr>
        <w:t xml:space="preserve"> at 5. </w:t>
      </w:r>
    </w:p>
    <w:p w14:paraId="202F3F54" w14:textId="77777777" w:rsidR="001F4126" w:rsidRDefault="001F4126" w:rsidP="001F4126">
      <w:pPr>
        <w:pStyle w:val="FootnoteText"/>
      </w:pPr>
    </w:p>
  </w:footnote>
  <w:footnote w:id="14">
    <w:p w14:paraId="4F9D3BC0" w14:textId="77777777" w:rsidR="001F4126" w:rsidRPr="00DE4973" w:rsidRDefault="001F4126" w:rsidP="001F4126">
      <w:pPr>
        <w:pStyle w:val="FootnoteText"/>
        <w:rPr>
          <w:rFonts w:ascii="Arial" w:hAnsi="Arial" w:cs="Arial"/>
        </w:rPr>
      </w:pPr>
      <w:r w:rsidRPr="00DE4973">
        <w:rPr>
          <w:rStyle w:val="FootnoteReference"/>
          <w:rFonts w:ascii="Arial" w:hAnsi="Arial" w:cs="Arial"/>
        </w:rPr>
        <w:footnoteRef/>
      </w:r>
      <w:r w:rsidRPr="00DE4973">
        <w:rPr>
          <w:rFonts w:ascii="Arial" w:hAnsi="Arial" w:cs="Arial"/>
        </w:rPr>
        <w:t xml:space="preserve"> </w:t>
      </w:r>
      <w:r w:rsidRPr="00DE4973">
        <w:rPr>
          <w:rStyle w:val="apple-style-span"/>
          <w:rFonts w:ascii="Arial" w:hAnsi="Arial" w:cs="Arial"/>
          <w:i/>
          <w:iCs/>
          <w:color w:val="000000"/>
        </w:rPr>
        <w:t>Ohio Consumers' Counsel v. Pub. Util. Comm.,</w:t>
      </w:r>
      <w:r w:rsidRPr="00DE4973">
        <w:rPr>
          <w:rStyle w:val="apple-converted-space"/>
          <w:rFonts w:ascii="Arial" w:hAnsi="Arial" w:cs="Arial"/>
          <w:color w:val="000000"/>
        </w:rPr>
        <w:t> </w:t>
      </w:r>
      <w:bookmarkStart w:id="0" w:name="hit1"/>
      <w:r w:rsidRPr="00DE4973">
        <w:rPr>
          <w:rStyle w:val="apple-converted-space"/>
          <w:rFonts w:ascii="Arial" w:hAnsi="Arial" w:cs="Arial"/>
          <w:color w:val="000000"/>
        </w:rPr>
        <w:t>(</w:t>
      </w:r>
      <w:r w:rsidRPr="00DE4973">
        <w:rPr>
          <w:rStyle w:val="apple-converted-space"/>
          <w:rFonts w:ascii="Arial" w:hAnsi="Arial" w:cs="Arial"/>
        </w:rPr>
        <w:t xml:space="preserve">2006) </w:t>
      </w:r>
      <w:r w:rsidRPr="00DE4973">
        <w:rPr>
          <w:rStyle w:val="apple-style-span"/>
          <w:rFonts w:ascii="Arial" w:hAnsi="Arial" w:cs="Arial"/>
        </w:rPr>
        <w:t>111</w:t>
      </w:r>
      <w:bookmarkEnd w:id="0"/>
      <w:r w:rsidRPr="00DE4973">
        <w:rPr>
          <w:rStyle w:val="apple-converted-space"/>
          <w:rFonts w:ascii="Arial" w:hAnsi="Arial" w:cs="Arial"/>
        </w:rPr>
        <w:t> </w:t>
      </w:r>
      <w:bookmarkStart w:id="1" w:name="hit2"/>
      <w:r w:rsidRPr="00DE4973">
        <w:rPr>
          <w:rStyle w:val="apple-style-span"/>
          <w:rFonts w:ascii="Arial" w:hAnsi="Arial" w:cs="Arial"/>
        </w:rPr>
        <w:t>Ohio</w:t>
      </w:r>
      <w:bookmarkStart w:id="2" w:name="hit3"/>
      <w:bookmarkEnd w:id="1"/>
      <w:r w:rsidRPr="00DE4973">
        <w:rPr>
          <w:rStyle w:val="apple-style-span"/>
          <w:rFonts w:ascii="Arial" w:hAnsi="Arial" w:cs="Arial"/>
        </w:rPr>
        <w:t>St</w:t>
      </w:r>
      <w:bookmarkEnd w:id="2"/>
      <w:r w:rsidRPr="00DE4973">
        <w:rPr>
          <w:rStyle w:val="apple-style-span"/>
          <w:rFonts w:ascii="Arial" w:hAnsi="Arial" w:cs="Arial"/>
        </w:rPr>
        <w:t>.</w:t>
      </w:r>
      <w:bookmarkStart w:id="3" w:name="hit4"/>
      <w:r w:rsidRPr="00DE4973">
        <w:rPr>
          <w:rStyle w:val="apple-style-span"/>
          <w:rFonts w:ascii="Arial" w:hAnsi="Arial" w:cs="Arial"/>
        </w:rPr>
        <w:t>3d</w:t>
      </w:r>
      <w:bookmarkEnd w:id="3"/>
      <w:r w:rsidRPr="00DE4973">
        <w:rPr>
          <w:rStyle w:val="apple-converted-space"/>
          <w:rFonts w:ascii="Arial" w:hAnsi="Arial" w:cs="Arial"/>
        </w:rPr>
        <w:t> </w:t>
      </w:r>
      <w:bookmarkStart w:id="4" w:name="hit5"/>
      <w:r w:rsidRPr="00DE4973">
        <w:rPr>
          <w:rStyle w:val="apple-style-span"/>
          <w:rFonts w:ascii="Arial" w:hAnsi="Arial" w:cs="Arial"/>
        </w:rPr>
        <w:t>384</w:t>
      </w:r>
      <w:bookmarkEnd w:id="4"/>
      <w:r w:rsidRPr="00DE4973">
        <w:rPr>
          <w:rStyle w:val="apple-style-span"/>
          <w:rFonts w:ascii="Arial" w:hAnsi="Arial" w:cs="Arial"/>
        </w:rPr>
        <w:t>,</w:t>
      </w:r>
      <w:r w:rsidRPr="00DE4973">
        <w:rPr>
          <w:rStyle w:val="apple-converted-space"/>
          <w:rFonts w:ascii="Arial" w:hAnsi="Arial" w:cs="Arial"/>
        </w:rPr>
        <w:t> </w:t>
      </w:r>
      <w:r w:rsidRPr="00DE4973">
        <w:rPr>
          <w:rStyle w:val="apple-style-span"/>
          <w:rFonts w:ascii="Arial" w:hAnsi="Arial" w:cs="Arial"/>
        </w:rPr>
        <w:t>388.</w:t>
      </w:r>
      <w:r w:rsidRPr="00DE4973">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D7359" w14:textId="77777777" w:rsidR="0064168F" w:rsidRDefault="006416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E93A4" w14:textId="77777777" w:rsidR="0064168F" w:rsidRDefault="006416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82648" w14:textId="77777777" w:rsidR="0064168F" w:rsidRDefault="006416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817DB"/>
    <w:multiLevelType w:val="hybridMultilevel"/>
    <w:tmpl w:val="8160C7C4"/>
    <w:lvl w:ilvl="0" w:tplc="973073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465263"/>
    <w:multiLevelType w:val="hybridMultilevel"/>
    <w:tmpl w:val="29E8F74C"/>
    <w:lvl w:ilvl="0" w:tplc="ED44E66A">
      <w:start w:val="1"/>
      <w:numFmt w:val="upperLetter"/>
      <w:lvlText w:val="(%1)"/>
      <w:lvlJc w:val="left"/>
      <w:pPr>
        <w:ind w:left="450" w:hanging="400"/>
      </w:pPr>
      <w:rPr>
        <w:rFonts w:hint="default"/>
        <w:color w:val="00008B"/>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
    <w:nsid w:val="39453BB1"/>
    <w:multiLevelType w:val="hybridMultilevel"/>
    <w:tmpl w:val="610EB1EA"/>
    <w:lvl w:ilvl="0" w:tplc="119258B4">
      <w:start w:val="1"/>
      <w:numFmt w:val="upperRoman"/>
      <w:lvlText w:val="%1."/>
      <w:lvlJc w:val="left"/>
      <w:pPr>
        <w:ind w:left="1080" w:hanging="720"/>
      </w:pPr>
      <w:rPr>
        <w:rFonts w:hint="default"/>
      </w:rPr>
    </w:lvl>
    <w:lvl w:ilvl="1" w:tplc="A4306380">
      <w:start w:val="1"/>
      <w:numFmt w:val="upperLetter"/>
      <w:lvlText w:val="%2."/>
      <w:lvlJc w:val="left"/>
      <w:pPr>
        <w:ind w:left="126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C91B50"/>
    <w:multiLevelType w:val="hybridMultilevel"/>
    <w:tmpl w:val="FC24910A"/>
    <w:lvl w:ilvl="0" w:tplc="4940831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B53F92"/>
    <w:multiLevelType w:val="hybridMultilevel"/>
    <w:tmpl w:val="BEC4FA78"/>
    <w:lvl w:ilvl="0" w:tplc="845C5C96">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09129C"/>
    <w:multiLevelType w:val="hybridMultilevel"/>
    <w:tmpl w:val="CF3A6F9A"/>
    <w:lvl w:ilvl="0" w:tplc="C43E2592">
      <w:start w:val="1"/>
      <w:numFmt w:val="upp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441095"/>
    <w:multiLevelType w:val="hybridMultilevel"/>
    <w:tmpl w:val="0CC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473A42"/>
    <w:multiLevelType w:val="hybridMultilevel"/>
    <w:tmpl w:val="79706426"/>
    <w:lvl w:ilvl="0" w:tplc="89CE2B3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771B54"/>
    <w:multiLevelType w:val="hybridMultilevel"/>
    <w:tmpl w:val="12CEA49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nsid w:val="79395ABA"/>
    <w:multiLevelType w:val="hybridMultilevel"/>
    <w:tmpl w:val="AE40424C"/>
    <w:lvl w:ilvl="0" w:tplc="069E5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AD467AC"/>
    <w:multiLevelType w:val="hybridMultilevel"/>
    <w:tmpl w:val="34EEEE3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C937748"/>
    <w:multiLevelType w:val="hybridMultilevel"/>
    <w:tmpl w:val="A8BCC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1"/>
  </w:num>
  <w:num w:numId="4">
    <w:abstractNumId w:val="0"/>
  </w:num>
  <w:num w:numId="5">
    <w:abstractNumId w:val="5"/>
  </w:num>
  <w:num w:numId="6">
    <w:abstractNumId w:val="11"/>
  </w:num>
  <w:num w:numId="7">
    <w:abstractNumId w:val="6"/>
  </w:num>
  <w:num w:numId="8">
    <w:abstractNumId w:val="9"/>
  </w:num>
  <w:num w:numId="9">
    <w:abstractNumId w:val="2"/>
  </w:num>
  <w:num w:numId="10">
    <w:abstractNumId w:val="7"/>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210"/>
    <w:rsid w:val="0000200A"/>
    <w:rsid w:val="00012AFA"/>
    <w:rsid w:val="000519DE"/>
    <w:rsid w:val="00087C07"/>
    <w:rsid w:val="00090404"/>
    <w:rsid w:val="00091586"/>
    <w:rsid w:val="000A6A1A"/>
    <w:rsid w:val="0012473E"/>
    <w:rsid w:val="0014256A"/>
    <w:rsid w:val="00150BEC"/>
    <w:rsid w:val="00157139"/>
    <w:rsid w:val="00164D57"/>
    <w:rsid w:val="00192B2D"/>
    <w:rsid w:val="001D1844"/>
    <w:rsid w:val="001F4126"/>
    <w:rsid w:val="002101A9"/>
    <w:rsid w:val="002103E7"/>
    <w:rsid w:val="0022046F"/>
    <w:rsid w:val="00292233"/>
    <w:rsid w:val="003049D2"/>
    <w:rsid w:val="00366EB7"/>
    <w:rsid w:val="003A1C7C"/>
    <w:rsid w:val="003B029D"/>
    <w:rsid w:val="003F41A4"/>
    <w:rsid w:val="00406B0E"/>
    <w:rsid w:val="00415905"/>
    <w:rsid w:val="004E24ED"/>
    <w:rsid w:val="004E3286"/>
    <w:rsid w:val="00533ECE"/>
    <w:rsid w:val="00552EF1"/>
    <w:rsid w:val="005C0C68"/>
    <w:rsid w:val="005C3FAC"/>
    <w:rsid w:val="006255F3"/>
    <w:rsid w:val="0064168F"/>
    <w:rsid w:val="006813C9"/>
    <w:rsid w:val="00691EBD"/>
    <w:rsid w:val="006D2E15"/>
    <w:rsid w:val="00712969"/>
    <w:rsid w:val="00731150"/>
    <w:rsid w:val="00737688"/>
    <w:rsid w:val="00751595"/>
    <w:rsid w:val="0076287C"/>
    <w:rsid w:val="00776E53"/>
    <w:rsid w:val="007839EF"/>
    <w:rsid w:val="00802CB2"/>
    <w:rsid w:val="00812811"/>
    <w:rsid w:val="00832A83"/>
    <w:rsid w:val="008348E4"/>
    <w:rsid w:val="00850AFA"/>
    <w:rsid w:val="00860D0F"/>
    <w:rsid w:val="00873DDF"/>
    <w:rsid w:val="00885BB6"/>
    <w:rsid w:val="0089279F"/>
    <w:rsid w:val="008A6850"/>
    <w:rsid w:val="008B0FF0"/>
    <w:rsid w:val="008C4154"/>
    <w:rsid w:val="00923FCA"/>
    <w:rsid w:val="00942C9A"/>
    <w:rsid w:val="0098580D"/>
    <w:rsid w:val="00994B8C"/>
    <w:rsid w:val="00994B9D"/>
    <w:rsid w:val="009F57A5"/>
    <w:rsid w:val="00A03284"/>
    <w:rsid w:val="00A10456"/>
    <w:rsid w:val="00A16B2C"/>
    <w:rsid w:val="00A32BFE"/>
    <w:rsid w:val="00A67210"/>
    <w:rsid w:val="00B012F8"/>
    <w:rsid w:val="00B72303"/>
    <w:rsid w:val="00BE1F02"/>
    <w:rsid w:val="00C143AC"/>
    <w:rsid w:val="00C27C5E"/>
    <w:rsid w:val="00C30019"/>
    <w:rsid w:val="00C32F93"/>
    <w:rsid w:val="00C94252"/>
    <w:rsid w:val="00CA63A6"/>
    <w:rsid w:val="00CB7332"/>
    <w:rsid w:val="00CC6694"/>
    <w:rsid w:val="00D03A5F"/>
    <w:rsid w:val="00D076FA"/>
    <w:rsid w:val="00D112B5"/>
    <w:rsid w:val="00D92EF0"/>
    <w:rsid w:val="00DB02A2"/>
    <w:rsid w:val="00DD0550"/>
    <w:rsid w:val="00DE701D"/>
    <w:rsid w:val="00E36473"/>
    <w:rsid w:val="00E53C70"/>
    <w:rsid w:val="00E96136"/>
    <w:rsid w:val="00E9760C"/>
    <w:rsid w:val="00F32D41"/>
    <w:rsid w:val="00F411F6"/>
    <w:rsid w:val="00F44532"/>
    <w:rsid w:val="00F45BAA"/>
    <w:rsid w:val="00F81982"/>
    <w:rsid w:val="00FD671D"/>
    <w:rsid w:val="00FE7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7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210"/>
    <w:pPr>
      <w:ind w:left="720"/>
      <w:contextualSpacing/>
    </w:pPr>
  </w:style>
  <w:style w:type="paragraph" w:styleId="FootnoteText">
    <w:name w:val="footnote text"/>
    <w:basedOn w:val="Normal"/>
    <w:link w:val="FootnoteTextChar"/>
    <w:uiPriority w:val="99"/>
    <w:unhideWhenUsed/>
    <w:rsid w:val="00406B0E"/>
    <w:pPr>
      <w:spacing w:after="0" w:line="240" w:lineRule="auto"/>
    </w:pPr>
    <w:rPr>
      <w:sz w:val="20"/>
      <w:szCs w:val="20"/>
    </w:rPr>
  </w:style>
  <w:style w:type="character" w:customStyle="1" w:styleId="FootnoteTextChar">
    <w:name w:val="Footnote Text Char"/>
    <w:basedOn w:val="DefaultParagraphFont"/>
    <w:link w:val="FootnoteText"/>
    <w:uiPriority w:val="99"/>
    <w:rsid w:val="00406B0E"/>
    <w:rPr>
      <w:sz w:val="20"/>
      <w:szCs w:val="20"/>
    </w:rPr>
  </w:style>
  <w:style w:type="character" w:styleId="FootnoteReference">
    <w:name w:val="footnote reference"/>
    <w:basedOn w:val="DefaultParagraphFont"/>
    <w:uiPriority w:val="99"/>
    <w:semiHidden/>
    <w:unhideWhenUsed/>
    <w:rsid w:val="00406B0E"/>
    <w:rPr>
      <w:vertAlign w:val="superscript"/>
    </w:rPr>
  </w:style>
  <w:style w:type="character" w:styleId="Hyperlink">
    <w:name w:val="Hyperlink"/>
    <w:basedOn w:val="DefaultParagraphFont"/>
    <w:uiPriority w:val="99"/>
    <w:unhideWhenUsed/>
    <w:rsid w:val="00A32BFE"/>
    <w:rPr>
      <w:color w:val="0563C1" w:themeColor="hyperlink"/>
      <w:u w:val="single"/>
    </w:rPr>
  </w:style>
  <w:style w:type="paragraph" w:styleId="Title">
    <w:name w:val="Title"/>
    <w:basedOn w:val="Normal"/>
    <w:link w:val="TitleChar"/>
    <w:qFormat/>
    <w:rsid w:val="002101A9"/>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101A9"/>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776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E53"/>
  </w:style>
  <w:style w:type="paragraph" w:styleId="Footer">
    <w:name w:val="footer"/>
    <w:basedOn w:val="Normal"/>
    <w:link w:val="FooterChar"/>
    <w:uiPriority w:val="99"/>
    <w:unhideWhenUsed/>
    <w:rsid w:val="00776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E53"/>
  </w:style>
  <w:style w:type="character" w:styleId="CommentReference">
    <w:name w:val="annotation reference"/>
    <w:basedOn w:val="DefaultParagraphFont"/>
    <w:uiPriority w:val="99"/>
    <w:semiHidden/>
    <w:unhideWhenUsed/>
    <w:rsid w:val="00737688"/>
    <w:rPr>
      <w:sz w:val="16"/>
      <w:szCs w:val="16"/>
    </w:rPr>
  </w:style>
  <w:style w:type="paragraph" w:styleId="CommentText">
    <w:name w:val="annotation text"/>
    <w:basedOn w:val="Normal"/>
    <w:link w:val="CommentTextChar"/>
    <w:uiPriority w:val="99"/>
    <w:semiHidden/>
    <w:unhideWhenUsed/>
    <w:rsid w:val="00737688"/>
    <w:pPr>
      <w:spacing w:line="240" w:lineRule="auto"/>
    </w:pPr>
    <w:rPr>
      <w:sz w:val="20"/>
      <w:szCs w:val="20"/>
    </w:rPr>
  </w:style>
  <w:style w:type="character" w:customStyle="1" w:styleId="CommentTextChar">
    <w:name w:val="Comment Text Char"/>
    <w:basedOn w:val="DefaultParagraphFont"/>
    <w:link w:val="CommentText"/>
    <w:uiPriority w:val="99"/>
    <w:semiHidden/>
    <w:rsid w:val="00737688"/>
    <w:rPr>
      <w:sz w:val="20"/>
      <w:szCs w:val="20"/>
    </w:rPr>
  </w:style>
  <w:style w:type="paragraph" w:styleId="CommentSubject">
    <w:name w:val="annotation subject"/>
    <w:basedOn w:val="CommentText"/>
    <w:next w:val="CommentText"/>
    <w:link w:val="CommentSubjectChar"/>
    <w:uiPriority w:val="99"/>
    <w:semiHidden/>
    <w:unhideWhenUsed/>
    <w:rsid w:val="00737688"/>
    <w:rPr>
      <w:b/>
      <w:bCs/>
    </w:rPr>
  </w:style>
  <w:style w:type="character" w:customStyle="1" w:styleId="CommentSubjectChar">
    <w:name w:val="Comment Subject Char"/>
    <w:basedOn w:val="CommentTextChar"/>
    <w:link w:val="CommentSubject"/>
    <w:uiPriority w:val="99"/>
    <w:semiHidden/>
    <w:rsid w:val="00737688"/>
    <w:rPr>
      <w:b/>
      <w:bCs/>
      <w:sz w:val="20"/>
      <w:szCs w:val="20"/>
    </w:rPr>
  </w:style>
  <w:style w:type="paragraph" w:styleId="BalloonText">
    <w:name w:val="Balloon Text"/>
    <w:basedOn w:val="Normal"/>
    <w:link w:val="BalloonTextChar"/>
    <w:uiPriority w:val="99"/>
    <w:semiHidden/>
    <w:unhideWhenUsed/>
    <w:rsid w:val="007376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688"/>
    <w:rPr>
      <w:rFonts w:ascii="Segoe UI" w:hAnsi="Segoe UI" w:cs="Segoe UI"/>
      <w:sz w:val="18"/>
      <w:szCs w:val="18"/>
    </w:rPr>
  </w:style>
  <w:style w:type="paragraph" w:styleId="Revision">
    <w:name w:val="Revision"/>
    <w:hidden/>
    <w:uiPriority w:val="99"/>
    <w:semiHidden/>
    <w:rsid w:val="00164D57"/>
    <w:pPr>
      <w:spacing w:after="0" w:line="240" w:lineRule="auto"/>
    </w:pPr>
  </w:style>
  <w:style w:type="character" w:customStyle="1" w:styleId="apple-style-span">
    <w:name w:val="apple-style-span"/>
    <w:basedOn w:val="DefaultParagraphFont"/>
    <w:rsid w:val="001F4126"/>
  </w:style>
  <w:style w:type="character" w:customStyle="1" w:styleId="apple-converted-space">
    <w:name w:val="apple-converted-space"/>
    <w:basedOn w:val="DefaultParagraphFont"/>
    <w:rsid w:val="001F4126"/>
  </w:style>
  <w:style w:type="table" w:styleId="TableGrid">
    <w:name w:val="Table Grid"/>
    <w:basedOn w:val="TableNormal"/>
    <w:uiPriority w:val="39"/>
    <w:rsid w:val="00923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210"/>
    <w:pPr>
      <w:ind w:left="720"/>
      <w:contextualSpacing/>
    </w:pPr>
  </w:style>
  <w:style w:type="paragraph" w:styleId="FootnoteText">
    <w:name w:val="footnote text"/>
    <w:basedOn w:val="Normal"/>
    <w:link w:val="FootnoteTextChar"/>
    <w:uiPriority w:val="99"/>
    <w:unhideWhenUsed/>
    <w:rsid w:val="00406B0E"/>
    <w:pPr>
      <w:spacing w:after="0" w:line="240" w:lineRule="auto"/>
    </w:pPr>
    <w:rPr>
      <w:sz w:val="20"/>
      <w:szCs w:val="20"/>
    </w:rPr>
  </w:style>
  <w:style w:type="character" w:customStyle="1" w:styleId="FootnoteTextChar">
    <w:name w:val="Footnote Text Char"/>
    <w:basedOn w:val="DefaultParagraphFont"/>
    <w:link w:val="FootnoteText"/>
    <w:uiPriority w:val="99"/>
    <w:rsid w:val="00406B0E"/>
    <w:rPr>
      <w:sz w:val="20"/>
      <w:szCs w:val="20"/>
    </w:rPr>
  </w:style>
  <w:style w:type="character" w:styleId="FootnoteReference">
    <w:name w:val="footnote reference"/>
    <w:basedOn w:val="DefaultParagraphFont"/>
    <w:uiPriority w:val="99"/>
    <w:semiHidden/>
    <w:unhideWhenUsed/>
    <w:rsid w:val="00406B0E"/>
    <w:rPr>
      <w:vertAlign w:val="superscript"/>
    </w:rPr>
  </w:style>
  <w:style w:type="character" w:styleId="Hyperlink">
    <w:name w:val="Hyperlink"/>
    <w:basedOn w:val="DefaultParagraphFont"/>
    <w:uiPriority w:val="99"/>
    <w:unhideWhenUsed/>
    <w:rsid w:val="00A32BFE"/>
    <w:rPr>
      <w:color w:val="0563C1" w:themeColor="hyperlink"/>
      <w:u w:val="single"/>
    </w:rPr>
  </w:style>
  <w:style w:type="paragraph" w:styleId="Title">
    <w:name w:val="Title"/>
    <w:basedOn w:val="Normal"/>
    <w:link w:val="TitleChar"/>
    <w:qFormat/>
    <w:rsid w:val="002101A9"/>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101A9"/>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776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E53"/>
  </w:style>
  <w:style w:type="paragraph" w:styleId="Footer">
    <w:name w:val="footer"/>
    <w:basedOn w:val="Normal"/>
    <w:link w:val="FooterChar"/>
    <w:uiPriority w:val="99"/>
    <w:unhideWhenUsed/>
    <w:rsid w:val="00776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E53"/>
  </w:style>
  <w:style w:type="character" w:styleId="CommentReference">
    <w:name w:val="annotation reference"/>
    <w:basedOn w:val="DefaultParagraphFont"/>
    <w:uiPriority w:val="99"/>
    <w:semiHidden/>
    <w:unhideWhenUsed/>
    <w:rsid w:val="00737688"/>
    <w:rPr>
      <w:sz w:val="16"/>
      <w:szCs w:val="16"/>
    </w:rPr>
  </w:style>
  <w:style w:type="paragraph" w:styleId="CommentText">
    <w:name w:val="annotation text"/>
    <w:basedOn w:val="Normal"/>
    <w:link w:val="CommentTextChar"/>
    <w:uiPriority w:val="99"/>
    <w:semiHidden/>
    <w:unhideWhenUsed/>
    <w:rsid w:val="00737688"/>
    <w:pPr>
      <w:spacing w:line="240" w:lineRule="auto"/>
    </w:pPr>
    <w:rPr>
      <w:sz w:val="20"/>
      <w:szCs w:val="20"/>
    </w:rPr>
  </w:style>
  <w:style w:type="character" w:customStyle="1" w:styleId="CommentTextChar">
    <w:name w:val="Comment Text Char"/>
    <w:basedOn w:val="DefaultParagraphFont"/>
    <w:link w:val="CommentText"/>
    <w:uiPriority w:val="99"/>
    <w:semiHidden/>
    <w:rsid w:val="00737688"/>
    <w:rPr>
      <w:sz w:val="20"/>
      <w:szCs w:val="20"/>
    </w:rPr>
  </w:style>
  <w:style w:type="paragraph" w:styleId="CommentSubject">
    <w:name w:val="annotation subject"/>
    <w:basedOn w:val="CommentText"/>
    <w:next w:val="CommentText"/>
    <w:link w:val="CommentSubjectChar"/>
    <w:uiPriority w:val="99"/>
    <w:semiHidden/>
    <w:unhideWhenUsed/>
    <w:rsid w:val="00737688"/>
    <w:rPr>
      <w:b/>
      <w:bCs/>
    </w:rPr>
  </w:style>
  <w:style w:type="character" w:customStyle="1" w:styleId="CommentSubjectChar">
    <w:name w:val="Comment Subject Char"/>
    <w:basedOn w:val="CommentTextChar"/>
    <w:link w:val="CommentSubject"/>
    <w:uiPriority w:val="99"/>
    <w:semiHidden/>
    <w:rsid w:val="00737688"/>
    <w:rPr>
      <w:b/>
      <w:bCs/>
      <w:sz w:val="20"/>
      <w:szCs w:val="20"/>
    </w:rPr>
  </w:style>
  <w:style w:type="paragraph" w:styleId="BalloonText">
    <w:name w:val="Balloon Text"/>
    <w:basedOn w:val="Normal"/>
    <w:link w:val="BalloonTextChar"/>
    <w:uiPriority w:val="99"/>
    <w:semiHidden/>
    <w:unhideWhenUsed/>
    <w:rsid w:val="007376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688"/>
    <w:rPr>
      <w:rFonts w:ascii="Segoe UI" w:hAnsi="Segoe UI" w:cs="Segoe UI"/>
      <w:sz w:val="18"/>
      <w:szCs w:val="18"/>
    </w:rPr>
  </w:style>
  <w:style w:type="paragraph" w:styleId="Revision">
    <w:name w:val="Revision"/>
    <w:hidden/>
    <w:uiPriority w:val="99"/>
    <w:semiHidden/>
    <w:rsid w:val="00164D57"/>
    <w:pPr>
      <w:spacing w:after="0" w:line="240" w:lineRule="auto"/>
    </w:pPr>
  </w:style>
  <w:style w:type="character" w:customStyle="1" w:styleId="apple-style-span">
    <w:name w:val="apple-style-span"/>
    <w:basedOn w:val="DefaultParagraphFont"/>
    <w:rsid w:val="001F4126"/>
  </w:style>
  <w:style w:type="character" w:customStyle="1" w:styleId="apple-converted-space">
    <w:name w:val="apple-converted-space"/>
    <w:basedOn w:val="DefaultParagraphFont"/>
    <w:rsid w:val="001F4126"/>
  </w:style>
  <w:style w:type="table" w:styleId="TableGrid">
    <w:name w:val="Table Grid"/>
    <w:basedOn w:val="TableNormal"/>
    <w:uiPriority w:val="39"/>
    <w:rsid w:val="00923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332974">
      <w:bodyDiv w:val="1"/>
      <w:marLeft w:val="0"/>
      <w:marRight w:val="0"/>
      <w:marTop w:val="0"/>
      <w:marBottom w:val="0"/>
      <w:divBdr>
        <w:top w:val="none" w:sz="0" w:space="0" w:color="auto"/>
        <w:left w:val="none" w:sz="0" w:space="0" w:color="auto"/>
        <w:bottom w:val="none" w:sz="0" w:space="0" w:color="auto"/>
        <w:right w:val="none" w:sz="0" w:space="0" w:color="auto"/>
      </w:divBdr>
      <w:divsChild>
        <w:div w:id="983001031">
          <w:marLeft w:val="0"/>
          <w:marRight w:val="-5040"/>
          <w:marTop w:val="0"/>
          <w:marBottom w:val="0"/>
          <w:divBdr>
            <w:top w:val="none" w:sz="0" w:space="0" w:color="auto"/>
            <w:left w:val="none" w:sz="0" w:space="0" w:color="auto"/>
            <w:bottom w:val="none" w:sz="0" w:space="0" w:color="auto"/>
            <w:right w:val="none" w:sz="0" w:space="0" w:color="auto"/>
          </w:divBdr>
          <w:divsChild>
            <w:div w:id="905921212">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joseph@napower.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Michael.schuler@occ.ohio.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ESLIE.KOVACIK@toledo.oh.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liker@igsenergy.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mooney@ohiopartners.org" TargetMode="External"/><Relationship Id="rId23" Type="http://schemas.openxmlformats.org/officeDocument/2006/relationships/fontTable" Target="fontTable.xml"/><Relationship Id="rId10" Type="http://schemas.openxmlformats.org/officeDocument/2006/relationships/hyperlink" Target="mailto:joliker@igsenergy.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oliker@igsenergy.com" TargetMode="External"/><Relationship Id="rId14" Type="http://schemas.openxmlformats.org/officeDocument/2006/relationships/hyperlink" Target="mailto:arobinson@napower.com"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merriam-webster.com/dictionary/condition%20prece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97864-8F7A-436B-9B96-E54EE557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5071</Words>
  <Characters>30379</Characters>
  <Application>Microsoft Office Word</Application>
  <DocSecurity>0</DocSecurity>
  <Lines>920</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2015-12-18T22:12:00Z</dcterms:created>
  <dcterms:modified xsi:type="dcterms:W3CDTF">2015-12-18T22:13:00Z</dcterms:modified>
</cp:coreProperties>
</file>