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CD32" w14:textId="77777777" w:rsidR="00E171D2" w:rsidRPr="005314B0" w:rsidRDefault="00E171D2" w:rsidP="00E171D2">
      <w:pPr>
        <w:spacing w:after="0"/>
        <w:jc w:val="center"/>
        <w:rPr>
          <w:b/>
        </w:rPr>
      </w:pPr>
      <w:r w:rsidRPr="005314B0">
        <w:rPr>
          <w:b/>
        </w:rPr>
        <w:t>BEFORE</w:t>
      </w:r>
    </w:p>
    <w:p w14:paraId="52B5FA4A" w14:textId="77777777" w:rsidR="00E171D2" w:rsidRPr="005314B0" w:rsidRDefault="00E171D2" w:rsidP="00E171D2">
      <w:pPr>
        <w:spacing w:after="0" w:line="480" w:lineRule="auto"/>
        <w:jc w:val="center"/>
        <w:rPr>
          <w:b/>
        </w:rPr>
      </w:pPr>
      <w:r w:rsidRPr="005314B0">
        <w:rPr>
          <w:b/>
        </w:rPr>
        <w:t>THE PUBLIC UTILITIES COMMISSION OF OHIO</w:t>
      </w:r>
    </w:p>
    <w:p w14:paraId="2A4FBDEE" w14:textId="77777777" w:rsidR="00E171D2" w:rsidRPr="005314B0" w:rsidRDefault="00E171D2" w:rsidP="00E171D2">
      <w:pPr>
        <w:spacing w:after="0"/>
        <w:jc w:val="center"/>
        <w:rPr>
          <w:b/>
        </w:rPr>
      </w:pPr>
    </w:p>
    <w:tbl>
      <w:tblPr>
        <w:tblW w:w="0" w:type="auto"/>
        <w:tblLook w:val="04A0" w:firstRow="1" w:lastRow="0" w:firstColumn="1" w:lastColumn="0" w:noHBand="0" w:noVBand="1"/>
      </w:tblPr>
      <w:tblGrid>
        <w:gridCol w:w="4655"/>
        <w:gridCol w:w="877"/>
        <w:gridCol w:w="4044"/>
      </w:tblGrid>
      <w:tr w:rsidR="00E171D2" w:rsidRPr="005314B0" w14:paraId="29270281" w14:textId="77777777" w:rsidTr="00E171D2">
        <w:tc>
          <w:tcPr>
            <w:tcW w:w="4655" w:type="dxa"/>
            <w:hideMark/>
          </w:tcPr>
          <w:p w14:paraId="50360D28" w14:textId="77777777" w:rsidR="00E171D2" w:rsidRPr="005314B0" w:rsidRDefault="00E171D2">
            <w:pPr>
              <w:autoSpaceDE w:val="0"/>
              <w:autoSpaceDN w:val="0"/>
              <w:adjustRightInd w:val="0"/>
              <w:spacing w:after="0"/>
            </w:pPr>
            <w:r w:rsidRPr="005314B0">
              <w:rPr>
                <w:rFonts w:eastAsiaTheme="minorHAnsi"/>
              </w:rPr>
              <w:t>In the Matter of the Commission’s Investigation of Ohio’s Retail Electric Service Market.</w:t>
            </w:r>
          </w:p>
        </w:tc>
        <w:tc>
          <w:tcPr>
            <w:tcW w:w="877" w:type="dxa"/>
            <w:hideMark/>
          </w:tcPr>
          <w:p w14:paraId="44A38C20" w14:textId="77777777" w:rsidR="00E171D2" w:rsidRPr="005314B0" w:rsidRDefault="00E171D2">
            <w:pPr>
              <w:spacing w:after="0"/>
            </w:pPr>
            <w:r w:rsidRPr="005314B0">
              <w:t>)</w:t>
            </w:r>
          </w:p>
          <w:p w14:paraId="5143843C" w14:textId="77777777" w:rsidR="00E171D2" w:rsidRPr="005314B0" w:rsidRDefault="00E171D2">
            <w:pPr>
              <w:spacing w:after="0"/>
            </w:pPr>
            <w:r w:rsidRPr="005314B0">
              <w:t>)</w:t>
            </w:r>
          </w:p>
          <w:p w14:paraId="2634DF1F" w14:textId="77777777" w:rsidR="00E171D2" w:rsidRPr="005314B0" w:rsidRDefault="00E171D2">
            <w:pPr>
              <w:spacing w:after="0"/>
            </w:pPr>
            <w:r w:rsidRPr="005314B0">
              <w:t>)</w:t>
            </w:r>
          </w:p>
        </w:tc>
        <w:tc>
          <w:tcPr>
            <w:tcW w:w="4044" w:type="dxa"/>
          </w:tcPr>
          <w:p w14:paraId="55605C43" w14:textId="77777777" w:rsidR="00E171D2" w:rsidRPr="005314B0" w:rsidRDefault="00E171D2">
            <w:pPr>
              <w:spacing w:after="0"/>
            </w:pPr>
          </w:p>
          <w:p w14:paraId="6CC0526D" w14:textId="77777777" w:rsidR="00E171D2" w:rsidRPr="005314B0" w:rsidRDefault="00E171D2">
            <w:pPr>
              <w:spacing w:after="0"/>
            </w:pPr>
            <w:r w:rsidRPr="005314B0">
              <w:t>Case No. 12-3151-EL-COI</w:t>
            </w:r>
          </w:p>
        </w:tc>
      </w:tr>
      <w:tr w:rsidR="00E171D2" w:rsidRPr="005314B0" w14:paraId="6F87CEC8" w14:textId="77777777" w:rsidTr="00E171D2">
        <w:tc>
          <w:tcPr>
            <w:tcW w:w="4655" w:type="dxa"/>
          </w:tcPr>
          <w:p w14:paraId="5897DFB6" w14:textId="77777777" w:rsidR="00E171D2" w:rsidRPr="005314B0" w:rsidRDefault="00E171D2">
            <w:pPr>
              <w:spacing w:after="0"/>
            </w:pPr>
          </w:p>
        </w:tc>
        <w:tc>
          <w:tcPr>
            <w:tcW w:w="877" w:type="dxa"/>
          </w:tcPr>
          <w:p w14:paraId="556E2295" w14:textId="77777777" w:rsidR="00E171D2" w:rsidRPr="005314B0" w:rsidRDefault="00E171D2">
            <w:pPr>
              <w:spacing w:after="0"/>
            </w:pPr>
          </w:p>
        </w:tc>
        <w:tc>
          <w:tcPr>
            <w:tcW w:w="4044" w:type="dxa"/>
          </w:tcPr>
          <w:p w14:paraId="7D318352" w14:textId="77777777" w:rsidR="00E171D2" w:rsidRPr="005314B0" w:rsidRDefault="00E171D2">
            <w:pPr>
              <w:spacing w:after="0"/>
            </w:pPr>
          </w:p>
        </w:tc>
      </w:tr>
      <w:tr w:rsidR="00E171D2" w:rsidRPr="005314B0" w14:paraId="74CAD2E2" w14:textId="77777777" w:rsidTr="00E171D2">
        <w:tc>
          <w:tcPr>
            <w:tcW w:w="4655" w:type="dxa"/>
            <w:hideMark/>
          </w:tcPr>
          <w:p w14:paraId="4814C15F" w14:textId="77777777" w:rsidR="00E171D2" w:rsidRPr="005314B0" w:rsidRDefault="00E171D2">
            <w:pPr>
              <w:spacing w:after="0"/>
            </w:pPr>
            <w:r w:rsidRPr="005314B0">
              <w:t>In the Matter of the Market Development Working Group.</w:t>
            </w:r>
          </w:p>
        </w:tc>
        <w:tc>
          <w:tcPr>
            <w:tcW w:w="877" w:type="dxa"/>
            <w:hideMark/>
          </w:tcPr>
          <w:p w14:paraId="5F4B36F2" w14:textId="77777777" w:rsidR="00E171D2" w:rsidRPr="005314B0" w:rsidRDefault="00E171D2">
            <w:pPr>
              <w:spacing w:after="0"/>
            </w:pPr>
            <w:r w:rsidRPr="005314B0">
              <w:t>)</w:t>
            </w:r>
          </w:p>
          <w:p w14:paraId="6387CF28" w14:textId="77777777" w:rsidR="00E171D2" w:rsidRPr="005314B0" w:rsidRDefault="00E171D2">
            <w:pPr>
              <w:spacing w:after="0"/>
            </w:pPr>
            <w:r w:rsidRPr="005314B0">
              <w:t>)</w:t>
            </w:r>
          </w:p>
        </w:tc>
        <w:tc>
          <w:tcPr>
            <w:tcW w:w="4044" w:type="dxa"/>
          </w:tcPr>
          <w:p w14:paraId="1C409618" w14:textId="77777777" w:rsidR="00E171D2" w:rsidRPr="005314B0" w:rsidRDefault="00E171D2">
            <w:pPr>
              <w:spacing w:after="0"/>
            </w:pPr>
            <w:bookmarkStart w:id="0" w:name="_GoBack"/>
            <w:bookmarkEnd w:id="0"/>
            <w:r w:rsidRPr="005314B0">
              <w:t>Case No. 14-2074-EL-EDI</w:t>
            </w:r>
          </w:p>
        </w:tc>
      </w:tr>
    </w:tbl>
    <w:p w14:paraId="240922D6" w14:textId="77777777" w:rsidR="00E171D2" w:rsidRPr="005314B0" w:rsidRDefault="00E171D2" w:rsidP="00E171D2">
      <w:pPr>
        <w:pBdr>
          <w:bottom w:val="single" w:sz="12" w:space="1" w:color="auto"/>
        </w:pBdr>
        <w:spacing w:after="0"/>
      </w:pPr>
    </w:p>
    <w:p w14:paraId="0D8A339A" w14:textId="77777777" w:rsidR="00E171D2" w:rsidRPr="005314B0" w:rsidRDefault="00E171D2" w:rsidP="00E171D2">
      <w:pPr>
        <w:spacing w:after="0"/>
        <w:jc w:val="center"/>
        <w:rPr>
          <w:b/>
        </w:rPr>
      </w:pPr>
    </w:p>
    <w:p w14:paraId="09EA55D8" w14:textId="77777777" w:rsidR="00E171D2" w:rsidRPr="005314B0" w:rsidRDefault="00EB5007" w:rsidP="00E171D2">
      <w:pPr>
        <w:spacing w:after="0"/>
        <w:jc w:val="center"/>
        <w:rPr>
          <w:b/>
        </w:rPr>
      </w:pPr>
      <w:r>
        <w:rPr>
          <w:b/>
        </w:rPr>
        <w:t>REPLY</w:t>
      </w:r>
      <w:r w:rsidR="00E171D2" w:rsidRPr="005314B0">
        <w:rPr>
          <w:b/>
        </w:rPr>
        <w:t xml:space="preserve"> COMMENTS</w:t>
      </w:r>
    </w:p>
    <w:p w14:paraId="7DEBEA19" w14:textId="77777777" w:rsidR="00E171D2" w:rsidRPr="005314B0" w:rsidRDefault="00E171D2" w:rsidP="00E171D2">
      <w:pPr>
        <w:spacing w:after="0"/>
        <w:jc w:val="center"/>
        <w:rPr>
          <w:b/>
        </w:rPr>
      </w:pPr>
      <w:r w:rsidRPr="005314B0">
        <w:rPr>
          <w:b/>
        </w:rPr>
        <w:t>OF</w:t>
      </w:r>
    </w:p>
    <w:p w14:paraId="5E80CED8" w14:textId="77777777" w:rsidR="00E171D2" w:rsidRPr="005314B0" w:rsidRDefault="00E171D2" w:rsidP="00E171D2">
      <w:pPr>
        <w:spacing w:after="0"/>
        <w:jc w:val="center"/>
        <w:rPr>
          <w:b/>
        </w:rPr>
      </w:pPr>
      <w:r w:rsidRPr="005314B0">
        <w:rPr>
          <w:b/>
        </w:rPr>
        <w:t>IGS ENERGY</w:t>
      </w:r>
    </w:p>
    <w:p w14:paraId="0E8C27C9" w14:textId="77777777" w:rsidR="00E171D2" w:rsidRPr="005314B0" w:rsidRDefault="00E171D2" w:rsidP="00E171D2">
      <w:pPr>
        <w:pBdr>
          <w:bottom w:val="single" w:sz="12" w:space="1" w:color="auto"/>
        </w:pBdr>
        <w:spacing w:after="0"/>
        <w:jc w:val="center"/>
        <w:rPr>
          <w:b/>
        </w:rPr>
      </w:pPr>
    </w:p>
    <w:p w14:paraId="31DF1267" w14:textId="77777777" w:rsidR="008F6EF9" w:rsidRPr="005314B0" w:rsidRDefault="008F6EF9"/>
    <w:p w14:paraId="79408ABA" w14:textId="564AF4A5" w:rsidR="00E47ADC" w:rsidRPr="00E47ADC" w:rsidRDefault="00E47ADC" w:rsidP="00E47ADC">
      <w:pPr>
        <w:pStyle w:val="ListParagraph"/>
        <w:numPr>
          <w:ilvl w:val="0"/>
          <w:numId w:val="4"/>
        </w:numPr>
        <w:spacing w:line="480" w:lineRule="auto"/>
        <w:rPr>
          <w:b/>
        </w:rPr>
      </w:pPr>
      <w:r w:rsidRPr="00E47ADC">
        <w:rPr>
          <w:b/>
        </w:rPr>
        <w:t>INTRODUCTION</w:t>
      </w:r>
    </w:p>
    <w:p w14:paraId="55D1BEBA" w14:textId="3D2E1AC3" w:rsidR="004D26C9" w:rsidRDefault="00E171D2" w:rsidP="00EB5007">
      <w:pPr>
        <w:spacing w:line="480" w:lineRule="auto"/>
      </w:pPr>
      <w:r w:rsidRPr="005314B0">
        <w:tab/>
      </w:r>
      <w:r w:rsidR="004D26C9">
        <w:t xml:space="preserve">IGS hereby submits these </w:t>
      </w:r>
      <w:r w:rsidR="00252BC2">
        <w:t>reply comments to the initial c</w:t>
      </w:r>
      <w:r w:rsidR="004D26C9">
        <w:t>omments filed by other parties in this proceeding.  In an effort to save judicial resources and not be duplicative, IGS supports</w:t>
      </w:r>
      <w:r w:rsidR="00216370">
        <w:t>,</w:t>
      </w:r>
      <w:r w:rsidR="004D26C9">
        <w:t xml:space="preserve"> and adopts by reference the </w:t>
      </w:r>
      <w:r w:rsidR="00252BC2">
        <w:t>reply c</w:t>
      </w:r>
      <w:r w:rsidR="004D26C9">
        <w:t xml:space="preserve">omments </w:t>
      </w:r>
      <w:r w:rsidR="00216370">
        <w:t>filed by</w:t>
      </w:r>
      <w:r w:rsidR="004D26C9">
        <w:t xml:space="preserve"> the </w:t>
      </w:r>
      <w:r w:rsidR="00216370">
        <w:t>Retail E</w:t>
      </w:r>
      <w:r w:rsidR="004D26C9">
        <w:t xml:space="preserve">nergy </w:t>
      </w:r>
      <w:r w:rsidR="00216370">
        <w:t>Supply A</w:t>
      </w:r>
      <w:r w:rsidR="004D26C9">
        <w:t>ssociation (“RESA”)</w:t>
      </w:r>
      <w:r w:rsidR="00216370">
        <w:t xml:space="preserve"> in this proceeding</w:t>
      </w:r>
      <w:r w:rsidR="004D26C9">
        <w:t>.</w:t>
      </w:r>
    </w:p>
    <w:p w14:paraId="14983E61" w14:textId="61EE2B24" w:rsidR="00E47ADC" w:rsidRPr="00E47ADC" w:rsidRDefault="00B9622F" w:rsidP="00E47ADC">
      <w:pPr>
        <w:pStyle w:val="ListParagraph"/>
        <w:numPr>
          <w:ilvl w:val="0"/>
          <w:numId w:val="4"/>
        </w:numPr>
        <w:spacing w:line="480" w:lineRule="auto"/>
        <w:rPr>
          <w:b/>
        </w:rPr>
      </w:pPr>
      <w:r>
        <w:rPr>
          <w:b/>
        </w:rPr>
        <w:t xml:space="preserve">REPLY </w:t>
      </w:r>
      <w:r w:rsidR="00E47ADC" w:rsidRPr="00E47ADC">
        <w:rPr>
          <w:b/>
        </w:rPr>
        <w:t>COMMENTS</w:t>
      </w:r>
    </w:p>
    <w:p w14:paraId="6A8EC015" w14:textId="77777777" w:rsidR="00E24740" w:rsidRPr="004D26C9" w:rsidRDefault="004D26C9" w:rsidP="004D26C9">
      <w:pPr>
        <w:pStyle w:val="ListParagraph"/>
        <w:numPr>
          <w:ilvl w:val="0"/>
          <w:numId w:val="2"/>
        </w:numPr>
        <w:spacing w:line="480" w:lineRule="auto"/>
      </w:pPr>
      <w:r w:rsidRPr="004D26C9">
        <w:rPr>
          <w:b/>
        </w:rPr>
        <w:t>The Commission Should Adopt AEP’s Referral Program</w:t>
      </w:r>
      <w:r>
        <w:t xml:space="preserve"> </w:t>
      </w:r>
      <w:r w:rsidRPr="004D26C9">
        <w:rPr>
          <w:b/>
        </w:rPr>
        <w:t xml:space="preserve">Proposal </w:t>
      </w:r>
    </w:p>
    <w:p w14:paraId="111F0BE3" w14:textId="77777777" w:rsidR="00252BC2" w:rsidRDefault="004D26C9" w:rsidP="004D26C9">
      <w:pPr>
        <w:spacing w:line="480" w:lineRule="auto"/>
      </w:pPr>
      <w:r>
        <w:tab/>
        <w:t>In its initial comments AEP recommended rejecting proposals to implement contract portability, se</w:t>
      </w:r>
      <w:r w:rsidR="002A7295">
        <w:t>amless move and instant connect.  R</w:t>
      </w:r>
      <w:r>
        <w:t>ather</w:t>
      </w:r>
      <w:r w:rsidR="00250C01">
        <w:t>, as an alternative,</w:t>
      </w:r>
      <w:r>
        <w:t xml:space="preserve"> AEP recommends adopting a</w:t>
      </w:r>
      <w:r w:rsidR="00B9622F">
        <w:t xml:space="preserve"> Standard Discount Rate Option ( aka “referral p</w:t>
      </w:r>
      <w:r>
        <w:t>rogram</w:t>
      </w:r>
      <w:r w:rsidR="00B9622F">
        <w:t>”)</w:t>
      </w:r>
      <w:r>
        <w:t xml:space="preserve"> by which customers that call </w:t>
      </w:r>
      <w:r>
        <w:lastRenderedPageBreak/>
        <w:t xml:space="preserve">in to enroll in electric service are referred to a percent off Standard Service Offer (“SSO”)  </w:t>
      </w:r>
      <w:r w:rsidR="00216370">
        <w:t>product</w:t>
      </w:r>
      <w:r>
        <w:t xml:space="preserve"> offered by a competitive retail electric supplier (“CRES”).</w:t>
      </w:r>
      <w:r w:rsidR="00B9622F">
        <w:rPr>
          <w:rStyle w:val="FootnoteReference"/>
        </w:rPr>
        <w:footnoteReference w:id="1"/>
      </w:r>
      <w:r>
        <w:t xml:space="preserve">  </w:t>
      </w:r>
    </w:p>
    <w:p w14:paraId="200A1455" w14:textId="7C61C6C1" w:rsidR="007B4480" w:rsidRDefault="00252BC2" w:rsidP="004D26C9">
      <w:pPr>
        <w:spacing w:line="480" w:lineRule="auto"/>
      </w:pPr>
      <w:r>
        <w:tab/>
      </w:r>
      <w:r w:rsidR="004E3AED">
        <w:t xml:space="preserve">IGS believes </w:t>
      </w:r>
      <w:r w:rsidR="004D26C9">
        <w:t>that contract portability, seamless move and instant connect</w:t>
      </w:r>
      <w:r w:rsidR="007B4480">
        <w:t xml:space="preserve"> should be adopted by the Commission. That said</w:t>
      </w:r>
      <w:proofErr w:type="gramStart"/>
      <w:r w:rsidR="00EF3FE9">
        <w:t>,</w:t>
      </w:r>
      <w:proofErr w:type="gramEnd"/>
      <w:r w:rsidR="007B4480">
        <w:t xml:space="preserve"> the Commission should also adopt AEP’s </w:t>
      </w:r>
      <w:r w:rsidR="00B9622F">
        <w:t xml:space="preserve">Standard Discount Rate Option </w:t>
      </w:r>
      <w:r w:rsidR="007B4480">
        <w:t>as it will help educate customers about the competitive options in the market and encourage customer engagement.</w:t>
      </w:r>
    </w:p>
    <w:p w14:paraId="27C3DB7C" w14:textId="21A44EDE" w:rsidR="00EF3FE9" w:rsidRDefault="007B4480" w:rsidP="00C27418">
      <w:pPr>
        <w:spacing w:line="480" w:lineRule="auto"/>
      </w:pPr>
      <w:r>
        <w:tab/>
        <w:t xml:space="preserve">Currently Pennsylvania has a referral program similar to </w:t>
      </w:r>
      <w:r w:rsidR="00B9622F">
        <w:t xml:space="preserve">AEP’s proposed </w:t>
      </w:r>
      <w:r w:rsidR="00B9622F">
        <w:t xml:space="preserve">Standard Discount Rate Option </w:t>
      </w:r>
      <w:r>
        <w:t xml:space="preserve">for all the major </w:t>
      </w:r>
      <w:r w:rsidR="00645181">
        <w:t>EDUs</w:t>
      </w:r>
      <w:r>
        <w:t xml:space="preserve">.  The Pennsylvania referral programs have led to tens of thousands of additional customers shopping and </w:t>
      </w:r>
      <w:r w:rsidR="002A7295">
        <w:t>has</w:t>
      </w:r>
      <w:r w:rsidR="002A7295">
        <w:t xml:space="preserve"> </w:t>
      </w:r>
      <w:r>
        <w:t xml:space="preserve">also helped customers save money had they otherwise been required to take service from the utility default rate.  Further, Ohio would not need to reinvent the wheel </w:t>
      </w:r>
      <w:r w:rsidR="00AD2251">
        <w:t>to implement referral programs</w:t>
      </w:r>
      <w:r w:rsidR="00216370">
        <w:t xml:space="preserve"> </w:t>
      </w:r>
      <w:r>
        <w:t xml:space="preserve">as it can look to Pennsylvania to adopt best practices.  </w:t>
      </w:r>
    </w:p>
    <w:p w14:paraId="13510079" w14:textId="69DC00A7" w:rsidR="00B9622F" w:rsidRDefault="00B9622F" w:rsidP="00C27418">
      <w:pPr>
        <w:spacing w:line="480" w:lineRule="auto"/>
      </w:pPr>
      <w:r>
        <w:tab/>
        <w:t>It should also be noted that t</w:t>
      </w:r>
      <w:r>
        <w:t>his concept was previously raised by RESA witness Dwayne R. Pickett in AEP Ohio’s ESP III Proceeding in Commission Case 13-2385-EL-SSO. Mr. Pickett called his proposal the Market Energy Program and based it in part on a similar program offered in Pennsylvania</w:t>
      </w:r>
      <w:r>
        <w:t>.</w:t>
      </w:r>
    </w:p>
    <w:p w14:paraId="1FC7D92C" w14:textId="46F0A6B5" w:rsidR="00024194" w:rsidRDefault="007B4480" w:rsidP="007B4480">
      <w:pPr>
        <w:pStyle w:val="ListParagraph"/>
        <w:spacing w:line="480" w:lineRule="auto"/>
        <w:ind w:left="0"/>
      </w:pPr>
      <w:r>
        <w:tab/>
      </w:r>
      <w:r w:rsidRPr="007B4480">
        <w:t xml:space="preserve">While </w:t>
      </w:r>
      <w:r>
        <w:t xml:space="preserve">IGS supports AEP’s </w:t>
      </w:r>
      <w:r w:rsidR="00B9622F">
        <w:t>Standard Discount Rate Option</w:t>
      </w:r>
      <w:r>
        <w:t>, it should not be the only measure adopted by the C</w:t>
      </w:r>
      <w:r w:rsidR="00221699">
        <w:t xml:space="preserve">ommission in this proceeding.  As IGS noted in its </w:t>
      </w:r>
      <w:r w:rsidR="00250C01">
        <w:t>I</w:t>
      </w:r>
      <w:r w:rsidR="00221699">
        <w:t xml:space="preserve">nitial </w:t>
      </w:r>
      <w:r w:rsidR="00250C01">
        <w:t>C</w:t>
      </w:r>
      <w:r w:rsidR="00221699">
        <w:t>omments, there are a number of barriers in Ohio to allowing customers to make a Choice for their electric supply.  Two of those barriers include: customers must automatically enroll in SSO service immediately upon enrollment with an EDU; and customers cannot take their CRES contract</w:t>
      </w:r>
      <w:r w:rsidR="002A7295">
        <w:t xml:space="preserve">s </w:t>
      </w:r>
      <w:r w:rsidR="002A7295">
        <w:lastRenderedPageBreak/>
        <w:t>with them when they move with</w:t>
      </w:r>
      <w:r w:rsidR="00221699">
        <w:t xml:space="preserve">in the EDU service territory. AEP’s referral program proposal will not remedy these problems. For these reasons, the Commission should </w:t>
      </w:r>
      <w:r w:rsidR="00DB5E3B">
        <w:t xml:space="preserve">also </w:t>
      </w:r>
      <w:r w:rsidR="00221699">
        <w:t xml:space="preserve">invest in moving Ohio’s competitive retail electric </w:t>
      </w:r>
      <w:r w:rsidR="00EF3FE9">
        <w:t>markets forward</w:t>
      </w:r>
      <w:r w:rsidR="00221699">
        <w:t xml:space="preserve"> </w:t>
      </w:r>
      <w:r w:rsidR="00DB5E3B">
        <w:t>by adopting</w:t>
      </w:r>
      <w:r w:rsidR="00221699">
        <w:t xml:space="preserve"> contract portability, se</w:t>
      </w:r>
      <w:r w:rsidR="00024194">
        <w:t>a</w:t>
      </w:r>
      <w:r w:rsidR="00221699">
        <w:t>mless move and instant connect</w:t>
      </w:r>
      <w:r w:rsidR="00DB5E3B">
        <w:t xml:space="preserve"> for all Ohio EDUs</w:t>
      </w:r>
      <w:r w:rsidR="00221699">
        <w:t>.</w:t>
      </w:r>
    </w:p>
    <w:p w14:paraId="50E33E81" w14:textId="77777777" w:rsidR="00024194" w:rsidRDefault="00024194" w:rsidP="00EF3FE9">
      <w:pPr>
        <w:pStyle w:val="ListParagraph"/>
        <w:numPr>
          <w:ilvl w:val="0"/>
          <w:numId w:val="2"/>
        </w:numPr>
        <w:rPr>
          <w:b/>
        </w:rPr>
      </w:pPr>
      <w:r>
        <w:rPr>
          <w:b/>
        </w:rPr>
        <w:t>The Total Costs of Implementing the Seamless Move and Instant Connect are Outweighed by the Long Term Benefits</w:t>
      </w:r>
    </w:p>
    <w:p w14:paraId="42643986" w14:textId="77777777" w:rsidR="00250C01" w:rsidRDefault="00250C01" w:rsidP="00C27418">
      <w:pPr>
        <w:pStyle w:val="ListParagraph"/>
        <w:rPr>
          <w:b/>
        </w:rPr>
      </w:pPr>
    </w:p>
    <w:p w14:paraId="38E1CCAE" w14:textId="2C3C2853" w:rsidR="00024194" w:rsidRDefault="00024194" w:rsidP="00024194">
      <w:pPr>
        <w:pStyle w:val="ListParagraph"/>
        <w:spacing w:line="480" w:lineRule="auto"/>
        <w:ind w:left="0" w:firstLine="720"/>
      </w:pPr>
      <w:r w:rsidRPr="00024194">
        <w:t xml:space="preserve">In its </w:t>
      </w:r>
      <w:r>
        <w:t>initial comments, OCC sites Staff’s cost estimate of $3.5 million</w:t>
      </w:r>
      <w:r w:rsidR="00AD2251">
        <w:t xml:space="preserve"> statewide</w:t>
      </w:r>
      <w:r>
        <w:t xml:space="preserve"> to implement instan</w:t>
      </w:r>
      <w:r w:rsidR="00861C5B">
        <w:t>t</w:t>
      </w:r>
      <w:r>
        <w:t xml:space="preserve"> connect and seamless move proposals</w:t>
      </w:r>
      <w:r w:rsidR="00216370">
        <w:t xml:space="preserve"> as a reason not to move forward with these proposals</w:t>
      </w:r>
      <w:r>
        <w:t>.</w:t>
      </w:r>
      <w:r>
        <w:rPr>
          <w:rStyle w:val="FootnoteReference"/>
        </w:rPr>
        <w:footnoteReference w:id="2"/>
      </w:r>
      <w:r w:rsidR="00216370">
        <w:t xml:space="preserve"> OCC’s rationale </w:t>
      </w:r>
      <w:r w:rsidR="00DB5E3B">
        <w:t>for opposing</w:t>
      </w:r>
      <w:r w:rsidR="007F37A9">
        <w:t xml:space="preserve"> proposals that</w:t>
      </w:r>
      <w:r w:rsidR="00216370">
        <w:t xml:space="preserve"> </w:t>
      </w:r>
      <w:r w:rsidR="00DB5E3B">
        <w:t xml:space="preserve">would </w:t>
      </w:r>
      <w:r w:rsidR="00216370">
        <w:t>improve the shopping experience for Choice customers is short-si</w:t>
      </w:r>
      <w:r w:rsidR="00861C5B">
        <w:t>gh</w:t>
      </w:r>
      <w:r w:rsidR="00216370">
        <w:t>ted.</w:t>
      </w:r>
    </w:p>
    <w:p w14:paraId="497605AE" w14:textId="41245A89" w:rsidR="007B4480" w:rsidRDefault="00216370" w:rsidP="007F37A9">
      <w:pPr>
        <w:pStyle w:val="ListParagraph"/>
        <w:spacing w:line="480" w:lineRule="auto"/>
        <w:ind w:left="0" w:firstLine="720"/>
      </w:pPr>
      <w:r>
        <w:t xml:space="preserve">$3.5 million across all </w:t>
      </w:r>
      <w:r w:rsidR="00AD2251">
        <w:t xml:space="preserve">Ohio </w:t>
      </w:r>
      <w:r>
        <w:t xml:space="preserve">customers represents </w:t>
      </w:r>
      <w:r w:rsidR="00AD2251" w:rsidRPr="00AD2251">
        <w:rPr>
          <w:i/>
        </w:rPr>
        <w:t>less than $1</w:t>
      </w:r>
      <w:r w:rsidRPr="00AD2251">
        <w:rPr>
          <w:i/>
        </w:rPr>
        <w:t xml:space="preserve"> per customer</w:t>
      </w:r>
      <w:r>
        <w:t xml:space="preserve">.  These costs spread over a period of 5 years amounts to </w:t>
      </w:r>
      <w:r w:rsidRPr="00216370">
        <w:rPr>
          <w:i/>
        </w:rPr>
        <w:t xml:space="preserve">only </w:t>
      </w:r>
      <w:r w:rsidR="00AD2251">
        <w:rPr>
          <w:i/>
        </w:rPr>
        <w:t>2</w:t>
      </w:r>
      <w:r w:rsidRPr="00216370">
        <w:rPr>
          <w:i/>
        </w:rPr>
        <w:t>0 cents per year</w:t>
      </w:r>
      <w:r>
        <w:rPr>
          <w:i/>
        </w:rPr>
        <w:t>,</w:t>
      </w:r>
      <w:r w:rsidRPr="00216370">
        <w:rPr>
          <w:i/>
        </w:rPr>
        <w:t xml:space="preserve"> per customer</w:t>
      </w:r>
      <w:r>
        <w:t xml:space="preserve">.  However, the benefits to implementing seamless move and instant connect will </w:t>
      </w:r>
      <w:r w:rsidR="00861C5B">
        <w:t>continue indefinitely</w:t>
      </w:r>
      <w:r>
        <w:t>.  Enabling customers to elect the CRES supplier of their choice and keep their CRES contract with them when they move is</w:t>
      </w:r>
      <w:r w:rsidR="00EF3FE9">
        <w:t xml:space="preserve"> surely worth</w:t>
      </w:r>
      <w:r>
        <w:t xml:space="preserve"> more than </w:t>
      </w:r>
      <w:r w:rsidR="00AD2251">
        <w:t>2</w:t>
      </w:r>
      <w:r>
        <w:t>0 cents to a customer.  For these reasons any additional costs to implement seamless move and instant connect are far outweighed by the benefits given to customers.</w:t>
      </w:r>
    </w:p>
    <w:p w14:paraId="0EE2021B" w14:textId="13B00B4C" w:rsidR="00292374" w:rsidRPr="00542FA1" w:rsidRDefault="004E3AED" w:rsidP="00292374">
      <w:pPr>
        <w:pStyle w:val="ListParagraph"/>
        <w:numPr>
          <w:ilvl w:val="0"/>
          <w:numId w:val="2"/>
        </w:numPr>
        <w:spacing w:line="480" w:lineRule="auto"/>
        <w:rPr>
          <w:b/>
        </w:rPr>
      </w:pPr>
      <w:r>
        <w:rPr>
          <w:b/>
        </w:rPr>
        <w:t>It is the Policy of the State of Ohio to Promote Competition</w:t>
      </w:r>
    </w:p>
    <w:p w14:paraId="0F776C40" w14:textId="6326518E" w:rsidR="00292374" w:rsidRDefault="00292374" w:rsidP="00292374">
      <w:pPr>
        <w:spacing w:line="480" w:lineRule="auto"/>
        <w:ind w:firstLine="720"/>
      </w:pPr>
      <w:r>
        <w:t>Duke claims that a warm transfer process would change the role of th</w:t>
      </w:r>
      <w:r w:rsidR="002A7295">
        <w:t>e electric distribution utility</w:t>
      </w:r>
      <w:r>
        <w:t xml:space="preserve"> because “[t]</w:t>
      </w:r>
      <w:proofErr w:type="spellStart"/>
      <w:r>
        <w:t>hroughout</w:t>
      </w:r>
      <w:proofErr w:type="spellEnd"/>
      <w:r>
        <w:t xml:space="preserve"> the fifteen years </w:t>
      </w:r>
      <w:r w:rsidR="004E3AED">
        <w:t>o</w:t>
      </w:r>
      <w:r>
        <w:t>f electric choice, EDUs have not been responsible for promoting choice . . . .”  Duke further claims that it should not transfer a c</w:t>
      </w:r>
      <w:r w:rsidR="002A7295">
        <w:t>ustomer call to a CRES provider</w:t>
      </w:r>
      <w:r>
        <w:t xml:space="preserve"> because “[</w:t>
      </w:r>
      <w:proofErr w:type="spellStart"/>
      <w:r>
        <w:t>i</w:t>
      </w:r>
      <w:proofErr w:type="spellEnd"/>
      <w:r>
        <w:t xml:space="preserve">]f a customer is handed off to a CRES provider and receives less than optimal service, there is no regulation to protect the customer.”  Finally, Duke </w:t>
      </w:r>
      <w:r>
        <w:lastRenderedPageBreak/>
        <w:t xml:space="preserve">claims that if a warm transfer process is adopted, it may be to the detriment to its third party vendors </w:t>
      </w:r>
      <w:proofErr w:type="spellStart"/>
      <w:r>
        <w:t>Bridgevine</w:t>
      </w:r>
      <w:proofErr w:type="spellEnd"/>
      <w:r>
        <w:t xml:space="preserve"> and </w:t>
      </w:r>
      <w:proofErr w:type="spellStart"/>
      <w:r>
        <w:t>AllConnect</w:t>
      </w:r>
      <w:proofErr w:type="spellEnd"/>
      <w:r>
        <w:t xml:space="preserve">.  Each of Duke’s arguments </w:t>
      </w:r>
      <w:proofErr w:type="gramStart"/>
      <w:r>
        <w:t>lack</w:t>
      </w:r>
      <w:proofErr w:type="gramEnd"/>
      <w:r>
        <w:t xml:space="preserve"> merit.  </w:t>
      </w:r>
    </w:p>
    <w:p w14:paraId="73808DB1" w14:textId="77777777" w:rsidR="00292374" w:rsidRDefault="00292374" w:rsidP="00292374">
      <w:pPr>
        <w:spacing w:line="480" w:lineRule="auto"/>
        <w:ind w:firstLine="720"/>
      </w:pPr>
      <w:r>
        <w:t>Initially, the state policy embodied in R.C. 4928.02 favors retail electric choice, including the requirement to promote customer education regarding electric choice.  Specifically, R.C. 4928.02(C) provides that it is the state policy to “[e]</w:t>
      </w:r>
      <w:proofErr w:type="spellStart"/>
      <w:r w:rsidRPr="00614738">
        <w:t>nsure</w:t>
      </w:r>
      <w:proofErr w:type="spellEnd"/>
      <w:r w:rsidRPr="00614738">
        <w:t xml:space="preserve"> diversity of electricity supplies and suppliers, by giving consumers effective choices over the selection of those supplies and suppliers</w:t>
      </w:r>
      <w:r>
        <w:t xml:space="preserve">.”  </w:t>
      </w:r>
      <w:r w:rsidRPr="00614738">
        <w:t xml:space="preserve"> </w:t>
      </w:r>
      <w:r>
        <w:t>R.C. 4928.02(E) provides that it is the state policy to “</w:t>
      </w:r>
      <w:r w:rsidRPr="00614738">
        <w:rPr>
          <w:i/>
        </w:rPr>
        <w:t>[e]</w:t>
      </w:r>
      <w:proofErr w:type="spellStart"/>
      <w:r w:rsidRPr="00614738">
        <w:rPr>
          <w:i/>
        </w:rPr>
        <w:t>ncourage</w:t>
      </w:r>
      <w:proofErr w:type="spellEnd"/>
      <w:r w:rsidRPr="00614738">
        <w:rPr>
          <w:i/>
        </w:rPr>
        <w:t xml:space="preserve"> cost-effective and efficient access to information </w:t>
      </w:r>
      <w:r w:rsidRPr="00614738">
        <w:t xml:space="preserve">regarding the operation of the transmission and distribution systems of electric utilities </w:t>
      </w:r>
      <w:r w:rsidRPr="00614738">
        <w:rPr>
          <w:i/>
        </w:rPr>
        <w:t>in order to promote both effective customer choice of retail electric service</w:t>
      </w:r>
      <w:r>
        <w:t>.”  Emphasis added.  Similarly, R.C. 4928.02(G) provides that it is the state policy to “[r]</w:t>
      </w:r>
      <w:proofErr w:type="spellStart"/>
      <w:r w:rsidRPr="00614738">
        <w:t>ecognize</w:t>
      </w:r>
      <w:proofErr w:type="spellEnd"/>
      <w:r w:rsidRPr="00614738">
        <w:t xml:space="preserve"> the continuing emergence of competitive electricity markets through the development and implementation of flexible regulatory treatment</w:t>
      </w:r>
      <w:r>
        <w:t>.”  Clearly, it is the policy of this state to encourage retail electric choice and to empower customers with education necessary to exercise their right to choose electric supplier products and services that fit their needs.</w:t>
      </w:r>
    </w:p>
    <w:p w14:paraId="25C8B337" w14:textId="081D050B" w:rsidR="00292374" w:rsidRPr="00542FA1" w:rsidRDefault="00292374" w:rsidP="00292374">
      <w:pPr>
        <w:spacing w:line="480" w:lineRule="auto"/>
        <w:ind w:firstLine="720"/>
      </w:pPr>
      <w:r>
        <w:t xml:space="preserve">Duke’s claim that CRES providers are not subject to Commission regulation is </w:t>
      </w:r>
      <w:r w:rsidR="004E3AED">
        <w:t>also not accurate</w:t>
      </w:r>
      <w:r>
        <w:t xml:space="preserve">.  CRES providers are subject to extensive compliance and consumer protection requirements contained in Chapter 4901:1-21 Ohio Administrative Code.  That Chapter contains 19 separate subsections that allow the Commission to regulate CRES providers, including sections that relate to solicitations, advertising, and marketing.  Thus, Duke’s claim that a warm transfer process would leave a </w:t>
      </w:r>
      <w:proofErr w:type="gramStart"/>
      <w:r>
        <w:t>dissatisfied</w:t>
      </w:r>
      <w:proofErr w:type="gramEnd"/>
      <w:r>
        <w:t xml:space="preserve"> customer without any form of recourse </w:t>
      </w:r>
      <w:r w:rsidR="004E3AED">
        <w:t>must</w:t>
      </w:r>
      <w:r>
        <w:t xml:space="preserve"> be rejected.     </w:t>
      </w:r>
    </w:p>
    <w:p w14:paraId="1F901ED2" w14:textId="66F4EA54" w:rsidR="00292374" w:rsidRDefault="00292374" w:rsidP="00292374">
      <w:pPr>
        <w:spacing w:line="480" w:lineRule="auto"/>
      </w:pPr>
      <w:r>
        <w:lastRenderedPageBreak/>
        <w:tab/>
        <w:t xml:space="preserve">Finally, Duke claims that a warm transfer process may diminish customers’ ability to get offers from </w:t>
      </w:r>
      <w:proofErr w:type="spellStart"/>
      <w:r>
        <w:t>Bridgevine</w:t>
      </w:r>
      <w:proofErr w:type="spellEnd"/>
      <w:r>
        <w:t xml:space="preserve"> and </w:t>
      </w:r>
      <w:proofErr w:type="spellStart"/>
      <w:r>
        <w:t>AllConnect</w:t>
      </w:r>
      <w:proofErr w:type="spellEnd"/>
      <w:r>
        <w:t xml:space="preserve"> regarding “new water, sewer, telephone, cable, TV, and satellite TV service . . . .” </w:t>
      </w:r>
      <w:r w:rsidR="00250C01">
        <w:t xml:space="preserve"> It appears as if Duke uses these venders to refer customers to other competitive products such and telephone and cable.</w:t>
      </w:r>
      <w:r>
        <w:t xml:space="preserve"> </w:t>
      </w:r>
    </w:p>
    <w:p w14:paraId="34B69B2B" w14:textId="7635F343" w:rsidR="00E47ADC" w:rsidRDefault="00DB5E3B" w:rsidP="00C27418">
      <w:pPr>
        <w:spacing w:line="480" w:lineRule="auto"/>
        <w:ind w:firstLine="720"/>
      </w:pPr>
      <w:r>
        <w:t>I</w:t>
      </w:r>
      <w:r w:rsidR="00292374">
        <w:t xml:space="preserve">t is </w:t>
      </w:r>
      <w:r w:rsidR="00250C01">
        <w:t>ironic that</w:t>
      </w:r>
      <w:r w:rsidR="00292374">
        <w:t xml:space="preserve"> Duke objects to referring a customer to regulated CRES providers when </w:t>
      </w:r>
      <w:r w:rsidR="004E3AED">
        <w:t>Duke already refers</w:t>
      </w:r>
      <w:r w:rsidR="00292374">
        <w:t xml:space="preserve"> customers to third parties</w:t>
      </w:r>
      <w:r w:rsidR="00AD2251">
        <w:t xml:space="preserve"> providers of TV and telephone</w:t>
      </w:r>
      <w:r w:rsidR="00292374">
        <w:t xml:space="preserve"> </w:t>
      </w:r>
      <w:r w:rsidR="00250C01">
        <w:t xml:space="preserve">(via </w:t>
      </w:r>
      <w:proofErr w:type="spellStart"/>
      <w:r w:rsidR="00250C01">
        <w:t>Bridgevine</w:t>
      </w:r>
      <w:proofErr w:type="spellEnd"/>
      <w:r w:rsidR="00250C01">
        <w:t xml:space="preserve"> and </w:t>
      </w:r>
      <w:proofErr w:type="spellStart"/>
      <w:r w:rsidR="00250C01">
        <w:t>AllConnect</w:t>
      </w:r>
      <w:proofErr w:type="spellEnd"/>
      <w:r w:rsidR="00250C01">
        <w:t xml:space="preserve">) </w:t>
      </w:r>
      <w:r w:rsidR="00292374">
        <w:t>that are not regulated by the Commission.  Moreover, it</w:t>
      </w:r>
      <w:r w:rsidR="002A7295">
        <w:t>’s</w:t>
      </w:r>
      <w:r w:rsidR="00292374">
        <w:t xml:space="preserve"> difficult to reconcile how Duke favors advocating for retail choice with respect to the </w:t>
      </w:r>
      <w:r w:rsidR="002A7295">
        <w:t>TV</w:t>
      </w:r>
      <w:r w:rsidR="00C27418">
        <w:t xml:space="preserve"> </w:t>
      </w:r>
      <w:r w:rsidR="00292374">
        <w:t xml:space="preserve">and telecommunications industry when it refuses to do so for retail electric choice.  </w:t>
      </w:r>
      <w:proofErr w:type="gramStart"/>
      <w:r w:rsidR="00292374">
        <w:t>Customers</w:t>
      </w:r>
      <w:proofErr w:type="gramEnd"/>
      <w:r w:rsidR="00292374">
        <w:t xml:space="preserve"> call Duke regarding the movement or commencement of </w:t>
      </w:r>
      <w:r w:rsidR="00292374">
        <w:rPr>
          <w:i/>
        </w:rPr>
        <w:t>electric service</w:t>
      </w:r>
      <w:r w:rsidR="00250C01">
        <w:t xml:space="preserve"> and thus Duke should take no issue with </w:t>
      </w:r>
      <w:r w:rsidR="00F7005F">
        <w:t>connecting</w:t>
      </w:r>
      <w:r w:rsidR="00250C01">
        <w:t xml:space="preserve"> those customers to competiti</w:t>
      </w:r>
      <w:r w:rsidR="002A7295">
        <w:t>ve providers like it does for TV</w:t>
      </w:r>
      <w:r w:rsidR="00250C01">
        <w:t xml:space="preserve"> and telephone</w:t>
      </w:r>
      <w:r w:rsidR="00292374">
        <w:t xml:space="preserve">.   </w:t>
      </w:r>
    </w:p>
    <w:p w14:paraId="168AB2AF" w14:textId="73AAB164" w:rsidR="00E47ADC" w:rsidRDefault="00E47ADC" w:rsidP="00E47ADC">
      <w:pPr>
        <w:pStyle w:val="ListParagraph"/>
        <w:numPr>
          <w:ilvl w:val="0"/>
          <w:numId w:val="4"/>
        </w:numPr>
        <w:spacing w:line="480" w:lineRule="auto"/>
        <w:rPr>
          <w:b/>
        </w:rPr>
      </w:pPr>
      <w:r w:rsidRPr="00E47ADC">
        <w:rPr>
          <w:b/>
        </w:rPr>
        <w:t>CONCLUSION</w:t>
      </w:r>
    </w:p>
    <w:p w14:paraId="76644AA7" w14:textId="5A04492C" w:rsidR="00E47ADC" w:rsidRPr="00E47ADC" w:rsidRDefault="00E47ADC" w:rsidP="00E47ADC">
      <w:pPr>
        <w:spacing w:line="480" w:lineRule="auto"/>
      </w:pPr>
      <w:r>
        <w:rPr>
          <w:b/>
        </w:rPr>
        <w:tab/>
      </w:r>
      <w:r w:rsidR="00B9622F">
        <w:t>Competitive retail electric markets spur on innovation in the marketplace, increase efficiencies and create a more knowledgeable and engaged customer.  That is why</w:t>
      </w:r>
      <w:r>
        <w:t xml:space="preserve"> it is important for the Commission</w:t>
      </w:r>
      <w:r w:rsidR="00B9622F">
        <w:t xml:space="preserve"> </w:t>
      </w:r>
      <w:r w:rsidR="00AD4E99">
        <w:t xml:space="preserve">to make investments that continue to move </w:t>
      </w:r>
      <w:r w:rsidR="00B9622F">
        <w:t>Ohio’s</w:t>
      </w:r>
      <w:r w:rsidR="00AD4E99">
        <w:t xml:space="preserve"> competitive retail electric markets</w:t>
      </w:r>
      <w:r w:rsidR="00B9622F">
        <w:t xml:space="preserve"> forward</w:t>
      </w:r>
      <w:r w:rsidR="00AD4E99">
        <w:t xml:space="preserve">.  For these reasons IGS respectfully asks that the Commission </w:t>
      </w:r>
      <w:proofErr w:type="gramStart"/>
      <w:r w:rsidR="00AD4E99">
        <w:t>adopt</w:t>
      </w:r>
      <w:proofErr w:type="gramEnd"/>
      <w:r w:rsidR="00AD4E99">
        <w:t xml:space="preserve"> </w:t>
      </w:r>
      <w:r w:rsidR="00B9622F">
        <w:t xml:space="preserve">the </w:t>
      </w:r>
      <w:r w:rsidR="00AD4E99">
        <w:t>recommendations contained herein.</w:t>
      </w:r>
    </w:p>
    <w:p w14:paraId="79DA77BA" w14:textId="0746ED8B" w:rsidR="005314B0" w:rsidRPr="005314B0" w:rsidRDefault="005E35DB" w:rsidP="005E35DB">
      <w:pPr>
        <w:spacing w:after="0"/>
        <w:ind w:left="5040"/>
      </w:pPr>
      <w:r w:rsidRPr="005314B0">
        <w:t>Respectfully submitted,</w:t>
      </w:r>
    </w:p>
    <w:p w14:paraId="4D3011B5" w14:textId="77777777" w:rsidR="005E35DB" w:rsidRPr="005314B0" w:rsidRDefault="005314B0" w:rsidP="005E35DB">
      <w:pPr>
        <w:spacing w:after="0"/>
        <w:ind w:left="5040"/>
        <w:jc w:val="both"/>
        <w:rPr>
          <w:rFonts w:eastAsia="Arial"/>
          <w:u w:val="single"/>
        </w:rPr>
      </w:pPr>
      <w:r>
        <w:rPr>
          <w:rFonts w:eastAsia="Arial"/>
          <w:u w:val="single"/>
        </w:rPr>
        <w:t xml:space="preserve">/s/ </w:t>
      </w:r>
      <w:r w:rsidRPr="005314B0">
        <w:rPr>
          <w:rFonts w:eastAsia="Arial"/>
          <w:i/>
          <w:u w:val="single"/>
        </w:rPr>
        <w:t>Matthew White</w:t>
      </w:r>
    </w:p>
    <w:p w14:paraId="48241F66" w14:textId="77777777" w:rsidR="005E35DB" w:rsidRPr="005314B0" w:rsidRDefault="005E35DB" w:rsidP="005E35DB">
      <w:pPr>
        <w:spacing w:after="0"/>
        <w:ind w:left="5040"/>
      </w:pPr>
      <w:r w:rsidRPr="005314B0">
        <w:t>Matthew White (0082859)</w:t>
      </w:r>
    </w:p>
    <w:p w14:paraId="2CD5734F" w14:textId="77777777" w:rsidR="005E35DB" w:rsidRPr="005314B0" w:rsidRDefault="005B0F4E" w:rsidP="005E35DB">
      <w:pPr>
        <w:spacing w:after="0"/>
        <w:ind w:left="5040"/>
      </w:pPr>
      <w:r w:rsidRPr="005314B0">
        <w:t>Counsel o</w:t>
      </w:r>
      <w:r w:rsidR="005E35DB" w:rsidRPr="005314B0">
        <w:t>f Record</w:t>
      </w:r>
    </w:p>
    <w:p w14:paraId="13B55CB8" w14:textId="77777777" w:rsidR="005E35DB" w:rsidRPr="005314B0" w:rsidRDefault="005E35DB" w:rsidP="005E35DB">
      <w:pPr>
        <w:spacing w:after="0"/>
        <w:ind w:left="5040"/>
      </w:pPr>
      <w:r w:rsidRPr="005314B0">
        <w:t>Email: mswhite@igsenergy.com</w:t>
      </w:r>
    </w:p>
    <w:p w14:paraId="2FB2A91B" w14:textId="77777777" w:rsidR="005E35DB" w:rsidRPr="005314B0" w:rsidRDefault="005E35DB" w:rsidP="005E35DB">
      <w:pPr>
        <w:spacing w:after="0"/>
        <w:ind w:left="5040"/>
      </w:pPr>
      <w:r w:rsidRPr="005314B0">
        <w:t>Interstate Gas Supply, Inc.</w:t>
      </w:r>
    </w:p>
    <w:p w14:paraId="740E355D" w14:textId="77777777" w:rsidR="005E35DB" w:rsidRPr="005314B0" w:rsidRDefault="005E35DB" w:rsidP="005E35DB">
      <w:pPr>
        <w:spacing w:after="0"/>
        <w:ind w:left="5040"/>
      </w:pPr>
      <w:r w:rsidRPr="005314B0">
        <w:t>6100 Emerald Parkway</w:t>
      </w:r>
    </w:p>
    <w:p w14:paraId="602238B4" w14:textId="77777777" w:rsidR="005E35DB" w:rsidRPr="005314B0" w:rsidRDefault="005E35DB" w:rsidP="005E35DB">
      <w:pPr>
        <w:spacing w:after="0"/>
        <w:ind w:left="5040"/>
      </w:pPr>
      <w:r w:rsidRPr="005314B0">
        <w:t>Dublin, Ohio 43016</w:t>
      </w:r>
    </w:p>
    <w:p w14:paraId="1BE63E6A" w14:textId="77777777" w:rsidR="005E35DB" w:rsidRPr="005314B0" w:rsidRDefault="005E35DB" w:rsidP="005E35DB">
      <w:pPr>
        <w:spacing w:after="0"/>
        <w:ind w:left="5040"/>
      </w:pPr>
      <w:r w:rsidRPr="005314B0">
        <w:t>Telephone:</w:t>
      </w:r>
      <w:r w:rsidRPr="005314B0">
        <w:tab/>
        <w:t>(614) 659-5000</w:t>
      </w:r>
    </w:p>
    <w:p w14:paraId="6AF526FF" w14:textId="77777777" w:rsidR="005E35DB" w:rsidRDefault="005E35DB" w:rsidP="00114CDB">
      <w:pPr>
        <w:spacing w:line="480" w:lineRule="auto"/>
      </w:pPr>
    </w:p>
    <w:p w14:paraId="59E5F135" w14:textId="77777777" w:rsidR="00FD19CD" w:rsidRDefault="00FD19CD" w:rsidP="00114CDB">
      <w:pPr>
        <w:spacing w:line="480" w:lineRule="auto"/>
      </w:pPr>
      <w:r>
        <w:tab/>
      </w:r>
    </w:p>
    <w:p w14:paraId="65635FBC" w14:textId="77777777" w:rsidR="005758E1" w:rsidRDefault="005758E1" w:rsidP="00E171D2">
      <w:pPr>
        <w:spacing w:line="480" w:lineRule="auto"/>
      </w:pPr>
      <w:r>
        <w:tab/>
      </w:r>
    </w:p>
    <w:sectPr w:rsidR="005758E1">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4A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2C4A2" w14:textId="77777777" w:rsidR="00AA2CF2" w:rsidRDefault="00AA2CF2" w:rsidP="002D3640">
      <w:pPr>
        <w:spacing w:after="0"/>
      </w:pPr>
      <w:r>
        <w:separator/>
      </w:r>
    </w:p>
  </w:endnote>
  <w:endnote w:type="continuationSeparator" w:id="0">
    <w:p w14:paraId="076A2280" w14:textId="77777777" w:rsidR="00AA2CF2" w:rsidRDefault="00AA2CF2" w:rsidP="002D3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98484"/>
      <w:docPartObj>
        <w:docPartGallery w:val="Page Numbers (Bottom of Page)"/>
        <w:docPartUnique/>
      </w:docPartObj>
    </w:sdtPr>
    <w:sdtEndPr>
      <w:rPr>
        <w:noProof/>
      </w:rPr>
    </w:sdtEndPr>
    <w:sdtContent>
      <w:p w14:paraId="1478D67D" w14:textId="77777777" w:rsidR="002D3640" w:rsidRDefault="002D3640">
        <w:pPr>
          <w:pStyle w:val="Footer"/>
          <w:jc w:val="center"/>
        </w:pPr>
        <w:r>
          <w:fldChar w:fldCharType="begin"/>
        </w:r>
        <w:r>
          <w:instrText xml:space="preserve"> PAGE   \* MERGEFORMAT </w:instrText>
        </w:r>
        <w:r>
          <w:fldChar w:fldCharType="separate"/>
        </w:r>
        <w:r w:rsidR="00120D99">
          <w:rPr>
            <w:noProof/>
          </w:rPr>
          <w:t>1</w:t>
        </w:r>
        <w:r>
          <w:rPr>
            <w:noProof/>
          </w:rPr>
          <w:fldChar w:fldCharType="end"/>
        </w:r>
      </w:p>
    </w:sdtContent>
  </w:sdt>
  <w:p w14:paraId="7AC93B1E" w14:textId="77777777" w:rsidR="002D3640" w:rsidRDefault="002D3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58A71" w14:textId="77777777" w:rsidR="00AA2CF2" w:rsidRDefault="00AA2CF2" w:rsidP="002D3640">
      <w:pPr>
        <w:spacing w:after="0"/>
      </w:pPr>
      <w:r>
        <w:separator/>
      </w:r>
    </w:p>
  </w:footnote>
  <w:footnote w:type="continuationSeparator" w:id="0">
    <w:p w14:paraId="779BC455" w14:textId="77777777" w:rsidR="00AA2CF2" w:rsidRDefault="00AA2CF2" w:rsidP="002D3640">
      <w:pPr>
        <w:spacing w:after="0"/>
      </w:pPr>
      <w:r>
        <w:continuationSeparator/>
      </w:r>
    </w:p>
  </w:footnote>
  <w:footnote w:id="1">
    <w:p w14:paraId="38F6A07F" w14:textId="1E212539" w:rsidR="00B9622F" w:rsidRDefault="00B9622F">
      <w:pPr>
        <w:pStyle w:val="FootnoteText"/>
      </w:pPr>
      <w:r>
        <w:rPr>
          <w:rStyle w:val="FootnoteReference"/>
        </w:rPr>
        <w:footnoteRef/>
      </w:r>
      <w:r>
        <w:t xml:space="preserve"> </w:t>
      </w:r>
      <w:proofErr w:type="gramStart"/>
      <w:r>
        <w:t>AEP Initial Comments at 7.</w:t>
      </w:r>
      <w:proofErr w:type="gramEnd"/>
    </w:p>
  </w:footnote>
  <w:footnote w:id="2">
    <w:p w14:paraId="7CE8FA8E" w14:textId="77777777" w:rsidR="00024194" w:rsidRDefault="00024194">
      <w:pPr>
        <w:pStyle w:val="FootnoteText"/>
      </w:pPr>
      <w:r>
        <w:rPr>
          <w:rStyle w:val="FootnoteReference"/>
        </w:rPr>
        <w:footnoteRef/>
      </w:r>
      <w:r>
        <w:t xml:space="preserve"> </w:t>
      </w:r>
      <w:proofErr w:type="gramStart"/>
      <w:r>
        <w:t xml:space="preserve">OCC Initial Comments at </w:t>
      </w:r>
      <w:r w:rsidR="000538E5">
        <w:t>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6D43"/>
    <w:multiLevelType w:val="hybridMultilevel"/>
    <w:tmpl w:val="2A289766"/>
    <w:lvl w:ilvl="0" w:tplc="34EEF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A201E"/>
    <w:multiLevelType w:val="hybridMultilevel"/>
    <w:tmpl w:val="8DD001B4"/>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
    <w:nsid w:val="67185C63"/>
    <w:multiLevelType w:val="hybridMultilevel"/>
    <w:tmpl w:val="48D0C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126128"/>
    <w:multiLevelType w:val="hybridMultilevel"/>
    <w:tmpl w:val="48D0C4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wrence Friedeman">
    <w15:presenceInfo w15:providerId="AD" w15:userId="S-1-5-21-1316090093-710254092-3585433132-10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D2"/>
    <w:rsid w:val="000065E9"/>
    <w:rsid w:val="00024194"/>
    <w:rsid w:val="000538E5"/>
    <w:rsid w:val="00075B68"/>
    <w:rsid w:val="000A0016"/>
    <w:rsid w:val="00114CDB"/>
    <w:rsid w:val="00120D99"/>
    <w:rsid w:val="00152DBE"/>
    <w:rsid w:val="00216370"/>
    <w:rsid w:val="00221699"/>
    <w:rsid w:val="00250C01"/>
    <w:rsid w:val="00252BC2"/>
    <w:rsid w:val="00292374"/>
    <w:rsid w:val="002A7295"/>
    <w:rsid w:val="002D3640"/>
    <w:rsid w:val="004613A8"/>
    <w:rsid w:val="004D26C9"/>
    <w:rsid w:val="004E3AED"/>
    <w:rsid w:val="005314B0"/>
    <w:rsid w:val="005758E1"/>
    <w:rsid w:val="005B0F4E"/>
    <w:rsid w:val="005E35DB"/>
    <w:rsid w:val="00645181"/>
    <w:rsid w:val="007855D5"/>
    <w:rsid w:val="00786009"/>
    <w:rsid w:val="007B4480"/>
    <w:rsid w:val="007F37A9"/>
    <w:rsid w:val="00861C5B"/>
    <w:rsid w:val="008D0D31"/>
    <w:rsid w:val="008F6EF9"/>
    <w:rsid w:val="009D56DF"/>
    <w:rsid w:val="00A059C0"/>
    <w:rsid w:val="00A946C5"/>
    <w:rsid w:val="00AA2CF2"/>
    <w:rsid w:val="00AD2251"/>
    <w:rsid w:val="00AD4E99"/>
    <w:rsid w:val="00B9622F"/>
    <w:rsid w:val="00C11B09"/>
    <w:rsid w:val="00C27418"/>
    <w:rsid w:val="00D15610"/>
    <w:rsid w:val="00DB5E3B"/>
    <w:rsid w:val="00E171D2"/>
    <w:rsid w:val="00E24740"/>
    <w:rsid w:val="00E47ADC"/>
    <w:rsid w:val="00EA2B31"/>
    <w:rsid w:val="00EB5007"/>
    <w:rsid w:val="00EF3FE9"/>
    <w:rsid w:val="00F0677B"/>
    <w:rsid w:val="00F6618C"/>
    <w:rsid w:val="00F7005F"/>
    <w:rsid w:val="00FD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D2"/>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10"/>
    <w:pPr>
      <w:ind w:left="720"/>
      <w:contextualSpacing/>
    </w:pPr>
  </w:style>
  <w:style w:type="paragraph" w:styleId="Header">
    <w:name w:val="header"/>
    <w:basedOn w:val="Normal"/>
    <w:link w:val="HeaderChar"/>
    <w:uiPriority w:val="99"/>
    <w:unhideWhenUsed/>
    <w:rsid w:val="002D3640"/>
    <w:pPr>
      <w:tabs>
        <w:tab w:val="center" w:pos="4680"/>
        <w:tab w:val="right" w:pos="9360"/>
      </w:tabs>
      <w:spacing w:after="0"/>
    </w:pPr>
  </w:style>
  <w:style w:type="character" w:customStyle="1" w:styleId="HeaderChar">
    <w:name w:val="Header Char"/>
    <w:basedOn w:val="DefaultParagraphFont"/>
    <w:link w:val="Header"/>
    <w:uiPriority w:val="99"/>
    <w:rsid w:val="002D3640"/>
    <w:rPr>
      <w:rFonts w:ascii="Times New Roman" w:eastAsia="Calibri" w:hAnsi="Times New Roman" w:cs="Times New Roman"/>
      <w:sz w:val="24"/>
      <w:szCs w:val="24"/>
    </w:rPr>
  </w:style>
  <w:style w:type="paragraph" w:styleId="Footer">
    <w:name w:val="footer"/>
    <w:basedOn w:val="Normal"/>
    <w:link w:val="FooterChar"/>
    <w:uiPriority w:val="99"/>
    <w:unhideWhenUsed/>
    <w:rsid w:val="002D3640"/>
    <w:pPr>
      <w:tabs>
        <w:tab w:val="center" w:pos="4680"/>
        <w:tab w:val="right" w:pos="9360"/>
      </w:tabs>
      <w:spacing w:after="0"/>
    </w:pPr>
  </w:style>
  <w:style w:type="character" w:customStyle="1" w:styleId="FooterChar">
    <w:name w:val="Footer Char"/>
    <w:basedOn w:val="DefaultParagraphFont"/>
    <w:link w:val="Footer"/>
    <w:uiPriority w:val="99"/>
    <w:rsid w:val="002D364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A2B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31"/>
    <w:rPr>
      <w:rFonts w:ascii="Tahoma" w:eastAsia="Calibri" w:hAnsi="Tahoma" w:cs="Tahoma"/>
      <w:sz w:val="16"/>
      <w:szCs w:val="16"/>
    </w:rPr>
  </w:style>
  <w:style w:type="paragraph" w:styleId="FootnoteText">
    <w:name w:val="footnote text"/>
    <w:basedOn w:val="Normal"/>
    <w:link w:val="FootnoteTextChar"/>
    <w:uiPriority w:val="99"/>
    <w:semiHidden/>
    <w:unhideWhenUsed/>
    <w:rsid w:val="00024194"/>
    <w:pPr>
      <w:spacing w:after="0"/>
    </w:pPr>
    <w:rPr>
      <w:sz w:val="20"/>
      <w:szCs w:val="20"/>
    </w:rPr>
  </w:style>
  <w:style w:type="character" w:customStyle="1" w:styleId="FootnoteTextChar">
    <w:name w:val="Footnote Text Char"/>
    <w:basedOn w:val="DefaultParagraphFont"/>
    <w:link w:val="FootnoteText"/>
    <w:uiPriority w:val="99"/>
    <w:semiHidden/>
    <w:rsid w:val="0002419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24194"/>
    <w:rPr>
      <w:vertAlign w:val="superscript"/>
    </w:rPr>
  </w:style>
  <w:style w:type="character" w:styleId="CommentReference">
    <w:name w:val="annotation reference"/>
    <w:basedOn w:val="DefaultParagraphFont"/>
    <w:uiPriority w:val="99"/>
    <w:semiHidden/>
    <w:unhideWhenUsed/>
    <w:rsid w:val="00861C5B"/>
    <w:rPr>
      <w:sz w:val="16"/>
      <w:szCs w:val="16"/>
    </w:rPr>
  </w:style>
  <w:style w:type="paragraph" w:styleId="CommentText">
    <w:name w:val="annotation text"/>
    <w:basedOn w:val="Normal"/>
    <w:link w:val="CommentTextChar"/>
    <w:uiPriority w:val="99"/>
    <w:semiHidden/>
    <w:unhideWhenUsed/>
    <w:rsid w:val="00861C5B"/>
    <w:rPr>
      <w:sz w:val="20"/>
      <w:szCs w:val="20"/>
    </w:rPr>
  </w:style>
  <w:style w:type="character" w:customStyle="1" w:styleId="CommentTextChar">
    <w:name w:val="Comment Text Char"/>
    <w:basedOn w:val="DefaultParagraphFont"/>
    <w:link w:val="CommentText"/>
    <w:uiPriority w:val="99"/>
    <w:semiHidden/>
    <w:rsid w:val="00861C5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1C5B"/>
    <w:rPr>
      <w:b/>
      <w:bCs/>
    </w:rPr>
  </w:style>
  <w:style w:type="character" w:customStyle="1" w:styleId="CommentSubjectChar">
    <w:name w:val="Comment Subject Char"/>
    <w:basedOn w:val="CommentTextChar"/>
    <w:link w:val="CommentSubject"/>
    <w:uiPriority w:val="99"/>
    <w:semiHidden/>
    <w:rsid w:val="00861C5B"/>
    <w:rPr>
      <w:rFonts w:ascii="Times New Roman" w:eastAsia="Calibri" w:hAnsi="Times New Roman" w:cs="Times New Roman"/>
      <w:b/>
      <w:bCs/>
      <w:sz w:val="20"/>
      <w:szCs w:val="20"/>
    </w:rPr>
  </w:style>
  <w:style w:type="paragraph" w:styleId="Revision">
    <w:name w:val="Revision"/>
    <w:hidden/>
    <w:uiPriority w:val="99"/>
    <w:semiHidden/>
    <w:rsid w:val="00861C5B"/>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D2"/>
    <w:pPr>
      <w:spacing w:after="24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610"/>
    <w:pPr>
      <w:ind w:left="720"/>
      <w:contextualSpacing/>
    </w:pPr>
  </w:style>
  <w:style w:type="paragraph" w:styleId="Header">
    <w:name w:val="header"/>
    <w:basedOn w:val="Normal"/>
    <w:link w:val="HeaderChar"/>
    <w:uiPriority w:val="99"/>
    <w:unhideWhenUsed/>
    <w:rsid w:val="002D3640"/>
    <w:pPr>
      <w:tabs>
        <w:tab w:val="center" w:pos="4680"/>
        <w:tab w:val="right" w:pos="9360"/>
      </w:tabs>
      <w:spacing w:after="0"/>
    </w:pPr>
  </w:style>
  <w:style w:type="character" w:customStyle="1" w:styleId="HeaderChar">
    <w:name w:val="Header Char"/>
    <w:basedOn w:val="DefaultParagraphFont"/>
    <w:link w:val="Header"/>
    <w:uiPriority w:val="99"/>
    <w:rsid w:val="002D3640"/>
    <w:rPr>
      <w:rFonts w:ascii="Times New Roman" w:eastAsia="Calibri" w:hAnsi="Times New Roman" w:cs="Times New Roman"/>
      <w:sz w:val="24"/>
      <w:szCs w:val="24"/>
    </w:rPr>
  </w:style>
  <w:style w:type="paragraph" w:styleId="Footer">
    <w:name w:val="footer"/>
    <w:basedOn w:val="Normal"/>
    <w:link w:val="FooterChar"/>
    <w:uiPriority w:val="99"/>
    <w:unhideWhenUsed/>
    <w:rsid w:val="002D3640"/>
    <w:pPr>
      <w:tabs>
        <w:tab w:val="center" w:pos="4680"/>
        <w:tab w:val="right" w:pos="9360"/>
      </w:tabs>
      <w:spacing w:after="0"/>
    </w:pPr>
  </w:style>
  <w:style w:type="character" w:customStyle="1" w:styleId="FooterChar">
    <w:name w:val="Footer Char"/>
    <w:basedOn w:val="DefaultParagraphFont"/>
    <w:link w:val="Footer"/>
    <w:uiPriority w:val="99"/>
    <w:rsid w:val="002D364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A2B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31"/>
    <w:rPr>
      <w:rFonts w:ascii="Tahoma" w:eastAsia="Calibri" w:hAnsi="Tahoma" w:cs="Tahoma"/>
      <w:sz w:val="16"/>
      <w:szCs w:val="16"/>
    </w:rPr>
  </w:style>
  <w:style w:type="paragraph" w:styleId="FootnoteText">
    <w:name w:val="footnote text"/>
    <w:basedOn w:val="Normal"/>
    <w:link w:val="FootnoteTextChar"/>
    <w:uiPriority w:val="99"/>
    <w:semiHidden/>
    <w:unhideWhenUsed/>
    <w:rsid w:val="00024194"/>
    <w:pPr>
      <w:spacing w:after="0"/>
    </w:pPr>
    <w:rPr>
      <w:sz w:val="20"/>
      <w:szCs w:val="20"/>
    </w:rPr>
  </w:style>
  <w:style w:type="character" w:customStyle="1" w:styleId="FootnoteTextChar">
    <w:name w:val="Footnote Text Char"/>
    <w:basedOn w:val="DefaultParagraphFont"/>
    <w:link w:val="FootnoteText"/>
    <w:uiPriority w:val="99"/>
    <w:semiHidden/>
    <w:rsid w:val="00024194"/>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24194"/>
    <w:rPr>
      <w:vertAlign w:val="superscript"/>
    </w:rPr>
  </w:style>
  <w:style w:type="character" w:styleId="CommentReference">
    <w:name w:val="annotation reference"/>
    <w:basedOn w:val="DefaultParagraphFont"/>
    <w:uiPriority w:val="99"/>
    <w:semiHidden/>
    <w:unhideWhenUsed/>
    <w:rsid w:val="00861C5B"/>
    <w:rPr>
      <w:sz w:val="16"/>
      <w:szCs w:val="16"/>
    </w:rPr>
  </w:style>
  <w:style w:type="paragraph" w:styleId="CommentText">
    <w:name w:val="annotation text"/>
    <w:basedOn w:val="Normal"/>
    <w:link w:val="CommentTextChar"/>
    <w:uiPriority w:val="99"/>
    <w:semiHidden/>
    <w:unhideWhenUsed/>
    <w:rsid w:val="00861C5B"/>
    <w:rPr>
      <w:sz w:val="20"/>
      <w:szCs w:val="20"/>
    </w:rPr>
  </w:style>
  <w:style w:type="character" w:customStyle="1" w:styleId="CommentTextChar">
    <w:name w:val="Comment Text Char"/>
    <w:basedOn w:val="DefaultParagraphFont"/>
    <w:link w:val="CommentText"/>
    <w:uiPriority w:val="99"/>
    <w:semiHidden/>
    <w:rsid w:val="00861C5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1C5B"/>
    <w:rPr>
      <w:b/>
      <w:bCs/>
    </w:rPr>
  </w:style>
  <w:style w:type="character" w:customStyle="1" w:styleId="CommentSubjectChar">
    <w:name w:val="Comment Subject Char"/>
    <w:basedOn w:val="CommentTextChar"/>
    <w:link w:val="CommentSubject"/>
    <w:uiPriority w:val="99"/>
    <w:semiHidden/>
    <w:rsid w:val="00861C5B"/>
    <w:rPr>
      <w:rFonts w:ascii="Times New Roman" w:eastAsia="Calibri" w:hAnsi="Times New Roman" w:cs="Times New Roman"/>
      <w:b/>
      <w:bCs/>
      <w:sz w:val="20"/>
      <w:szCs w:val="20"/>
    </w:rPr>
  </w:style>
  <w:style w:type="paragraph" w:styleId="Revision">
    <w:name w:val="Revision"/>
    <w:hidden/>
    <w:uiPriority w:val="99"/>
    <w:semiHidden/>
    <w:rsid w:val="00861C5B"/>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3FCD-E9A0-4339-A583-D116DCBD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mswhite</dc:creator>
  <cp:lastModifiedBy>mswhite</cp:lastModifiedBy>
  <cp:revision>3</cp:revision>
  <cp:lastPrinted>2016-01-20T21:39:00Z</cp:lastPrinted>
  <dcterms:created xsi:type="dcterms:W3CDTF">2016-01-20T21:43:00Z</dcterms:created>
  <dcterms:modified xsi:type="dcterms:W3CDTF">2016-01-20T21:44:00Z</dcterms:modified>
</cp:coreProperties>
</file>