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EB1" w:rsidRPr="005A6964" w:rsidRDefault="00B04EB1" w:rsidP="00825D08">
      <w:pPr>
        <w:pStyle w:val="A1"/>
        <w:spacing w:after="0" w:line="240" w:lineRule="auto"/>
        <w:jc w:val="center"/>
        <w:rPr>
          <w:b/>
        </w:rPr>
      </w:pPr>
      <w:bookmarkStart w:id="0" w:name="_GoBack"/>
      <w:bookmarkEnd w:id="0"/>
      <w:r w:rsidRPr="005A6964">
        <w:rPr>
          <w:b/>
        </w:rPr>
        <w:t>BEFORE</w:t>
      </w:r>
    </w:p>
    <w:p w:rsidR="00B04EB1" w:rsidRPr="005A6964" w:rsidRDefault="00B04EB1">
      <w:pPr>
        <w:pStyle w:val="HTMLPreformatted"/>
        <w:jc w:val="center"/>
        <w:rPr>
          <w:rFonts w:ascii="Times New Roman" w:hAnsi="Times New Roman" w:cs="Times New Roman"/>
          <w:sz w:val="24"/>
          <w:szCs w:val="24"/>
        </w:rPr>
      </w:pPr>
      <w:r w:rsidRPr="005A6964">
        <w:rPr>
          <w:rFonts w:ascii="Times New Roman" w:hAnsi="Times New Roman" w:cs="Times New Roman"/>
          <w:b/>
          <w:bCs/>
          <w:sz w:val="24"/>
          <w:szCs w:val="24"/>
        </w:rPr>
        <w:t>THE PUBLIC UTILITIES COMMISSION OF OHIO</w:t>
      </w:r>
    </w:p>
    <w:p w:rsidR="00B04EB1" w:rsidRPr="005A6964" w:rsidRDefault="00B04EB1" w:rsidP="00B04EB1">
      <w:pPr>
        <w:pStyle w:val="HTMLPreformatted"/>
        <w:rPr>
          <w:rFonts w:ascii="Times New Roman" w:hAnsi="Times New Roman" w:cs="Times New Roman"/>
          <w:sz w:val="24"/>
          <w:szCs w:val="24"/>
        </w:rPr>
      </w:pPr>
    </w:p>
    <w:tbl>
      <w:tblPr>
        <w:tblW w:w="9092" w:type="dxa"/>
        <w:tblLook w:val="01E0" w:firstRow="1" w:lastRow="1" w:firstColumn="1" w:lastColumn="1" w:noHBand="0" w:noVBand="0"/>
      </w:tblPr>
      <w:tblGrid>
        <w:gridCol w:w="4332"/>
        <w:gridCol w:w="360"/>
        <w:gridCol w:w="4400"/>
      </w:tblGrid>
      <w:tr w:rsidR="00B04EB1" w:rsidRPr="005A6964" w:rsidTr="00F45878">
        <w:trPr>
          <w:trHeight w:val="2142"/>
        </w:trPr>
        <w:tc>
          <w:tcPr>
            <w:tcW w:w="4332" w:type="dxa"/>
            <w:shd w:val="clear" w:color="auto" w:fill="auto"/>
          </w:tcPr>
          <w:p w:rsidR="00B04EB1" w:rsidRPr="005A6964" w:rsidRDefault="00B04EB1" w:rsidP="00F45878">
            <w:pPr>
              <w:autoSpaceDE w:val="0"/>
              <w:autoSpaceDN w:val="0"/>
              <w:adjustRightInd w:val="0"/>
            </w:pPr>
            <w:r w:rsidRPr="005A6964">
              <w:rPr>
                <w:rFonts w:cs="Times New Roman"/>
                <w:szCs w:val="24"/>
              </w:rPr>
              <w:t xml:space="preserve">In the Matter of the Application of Ohio Edison Company, The Cleveland Electric Illuminating Company and The Toledo Edison Company for Authority to Provide a Standard Service Offer Pursuant to R.C. § 4928.143 in the Form of an Electric Security Plan. </w:t>
            </w:r>
          </w:p>
        </w:tc>
        <w:tc>
          <w:tcPr>
            <w:tcW w:w="360" w:type="dxa"/>
            <w:shd w:val="clear" w:color="auto" w:fill="auto"/>
          </w:tcPr>
          <w:p w:rsidR="00B04EB1" w:rsidRPr="005A6964" w:rsidRDefault="00B04EB1" w:rsidP="0003375C">
            <w:pPr>
              <w:pStyle w:val="HTMLPreformatted"/>
              <w:rPr>
                <w:rFonts w:ascii="Times New Roman" w:hAnsi="Times New Roman" w:cs="Times New Roman"/>
                <w:sz w:val="24"/>
                <w:szCs w:val="24"/>
              </w:rPr>
            </w:pPr>
            <w:r w:rsidRPr="005A6964">
              <w:rPr>
                <w:rFonts w:ascii="Times New Roman" w:hAnsi="Times New Roman" w:cs="Times New Roman"/>
                <w:sz w:val="24"/>
                <w:szCs w:val="24"/>
              </w:rPr>
              <w:t>)</w:t>
            </w:r>
          </w:p>
          <w:p w:rsidR="00B04EB1" w:rsidRPr="005A6964" w:rsidRDefault="00B04EB1" w:rsidP="0003375C">
            <w:pPr>
              <w:pStyle w:val="HTMLPreformatted"/>
              <w:rPr>
                <w:rFonts w:ascii="Times New Roman" w:hAnsi="Times New Roman" w:cs="Times New Roman"/>
                <w:sz w:val="24"/>
                <w:szCs w:val="24"/>
              </w:rPr>
            </w:pPr>
            <w:r w:rsidRPr="005A6964">
              <w:rPr>
                <w:rFonts w:ascii="Times New Roman" w:hAnsi="Times New Roman" w:cs="Times New Roman"/>
                <w:sz w:val="24"/>
                <w:szCs w:val="24"/>
              </w:rPr>
              <w:t>)</w:t>
            </w:r>
          </w:p>
          <w:p w:rsidR="00B04EB1" w:rsidRPr="005A6964" w:rsidRDefault="00B04EB1" w:rsidP="0003375C">
            <w:pPr>
              <w:pStyle w:val="HTMLPreformatted"/>
              <w:rPr>
                <w:rFonts w:ascii="Times New Roman" w:hAnsi="Times New Roman" w:cs="Times New Roman"/>
                <w:sz w:val="24"/>
                <w:szCs w:val="24"/>
              </w:rPr>
            </w:pPr>
            <w:r w:rsidRPr="005A6964">
              <w:rPr>
                <w:rFonts w:ascii="Times New Roman" w:hAnsi="Times New Roman" w:cs="Times New Roman"/>
                <w:sz w:val="24"/>
                <w:szCs w:val="24"/>
              </w:rPr>
              <w:t>)</w:t>
            </w:r>
          </w:p>
          <w:p w:rsidR="00B04EB1" w:rsidRPr="005A6964" w:rsidRDefault="00B04EB1" w:rsidP="0003375C">
            <w:pPr>
              <w:pStyle w:val="HTMLPreformatted"/>
              <w:rPr>
                <w:rFonts w:ascii="Times New Roman" w:hAnsi="Times New Roman" w:cs="Times New Roman"/>
                <w:sz w:val="24"/>
                <w:szCs w:val="24"/>
              </w:rPr>
            </w:pPr>
            <w:r w:rsidRPr="005A6964">
              <w:rPr>
                <w:rFonts w:ascii="Times New Roman" w:hAnsi="Times New Roman" w:cs="Times New Roman"/>
                <w:sz w:val="24"/>
                <w:szCs w:val="24"/>
              </w:rPr>
              <w:t>)</w:t>
            </w:r>
          </w:p>
          <w:p w:rsidR="00B04EB1" w:rsidRPr="005A6964" w:rsidRDefault="00B04EB1" w:rsidP="0003375C">
            <w:pPr>
              <w:pStyle w:val="HTMLPreformatted"/>
              <w:rPr>
                <w:rFonts w:ascii="Times New Roman" w:hAnsi="Times New Roman" w:cs="Times New Roman"/>
                <w:sz w:val="24"/>
                <w:szCs w:val="24"/>
              </w:rPr>
            </w:pPr>
            <w:r w:rsidRPr="005A6964">
              <w:rPr>
                <w:rFonts w:ascii="Times New Roman" w:hAnsi="Times New Roman" w:cs="Times New Roman"/>
                <w:sz w:val="24"/>
                <w:szCs w:val="24"/>
              </w:rPr>
              <w:t>)</w:t>
            </w:r>
          </w:p>
          <w:p w:rsidR="00B04EB1" w:rsidRPr="005A6964" w:rsidRDefault="00B04EB1" w:rsidP="0003375C">
            <w:pPr>
              <w:pStyle w:val="HTMLPreformatted"/>
              <w:rPr>
                <w:rFonts w:ascii="Times New Roman" w:hAnsi="Times New Roman" w:cs="Times New Roman"/>
                <w:sz w:val="24"/>
                <w:szCs w:val="24"/>
              </w:rPr>
            </w:pPr>
            <w:r w:rsidRPr="005A6964">
              <w:rPr>
                <w:rFonts w:ascii="Times New Roman" w:hAnsi="Times New Roman" w:cs="Times New Roman"/>
                <w:sz w:val="24"/>
                <w:szCs w:val="24"/>
              </w:rPr>
              <w:t>)</w:t>
            </w:r>
          </w:p>
          <w:p w:rsidR="00B04EB1" w:rsidRPr="005A6964" w:rsidRDefault="00B04EB1" w:rsidP="0003375C">
            <w:pPr>
              <w:pStyle w:val="HTMLPreformatted"/>
              <w:rPr>
                <w:rFonts w:ascii="Times New Roman" w:hAnsi="Times New Roman" w:cs="Times New Roman"/>
                <w:sz w:val="24"/>
                <w:szCs w:val="24"/>
              </w:rPr>
            </w:pPr>
            <w:r w:rsidRPr="005A6964">
              <w:rPr>
                <w:rFonts w:ascii="Times New Roman" w:hAnsi="Times New Roman" w:cs="Times New Roman"/>
                <w:sz w:val="24"/>
                <w:szCs w:val="24"/>
              </w:rPr>
              <w:t>)</w:t>
            </w:r>
          </w:p>
          <w:p w:rsidR="00830885" w:rsidRPr="005A6964" w:rsidRDefault="00830885" w:rsidP="0003375C">
            <w:pPr>
              <w:pStyle w:val="HTMLPreformatted"/>
              <w:rPr>
                <w:rFonts w:ascii="Times New Roman" w:hAnsi="Times New Roman" w:cs="Times New Roman"/>
                <w:sz w:val="24"/>
                <w:szCs w:val="24"/>
              </w:rPr>
            </w:pPr>
            <w:r w:rsidRPr="005A6964">
              <w:rPr>
                <w:rFonts w:ascii="Times New Roman" w:hAnsi="Times New Roman" w:cs="Times New Roman"/>
                <w:sz w:val="24"/>
                <w:szCs w:val="24"/>
              </w:rPr>
              <w:t>)</w:t>
            </w:r>
          </w:p>
        </w:tc>
        <w:tc>
          <w:tcPr>
            <w:tcW w:w="4400" w:type="dxa"/>
            <w:shd w:val="clear" w:color="auto" w:fill="auto"/>
          </w:tcPr>
          <w:p w:rsidR="00B04EB1" w:rsidRPr="005A6964" w:rsidRDefault="00B04EB1" w:rsidP="0003375C">
            <w:pPr>
              <w:pStyle w:val="HTMLPreformatted"/>
              <w:rPr>
                <w:rFonts w:ascii="Times New Roman" w:hAnsi="Times New Roman" w:cs="Times New Roman"/>
                <w:sz w:val="24"/>
                <w:szCs w:val="24"/>
              </w:rPr>
            </w:pPr>
          </w:p>
          <w:p w:rsidR="00B04EB1" w:rsidRPr="005A6964" w:rsidRDefault="00B04EB1" w:rsidP="0003375C">
            <w:pPr>
              <w:pStyle w:val="HTMLPreformatted"/>
              <w:rPr>
                <w:rFonts w:ascii="Times New Roman" w:hAnsi="Times New Roman" w:cs="Times New Roman"/>
                <w:sz w:val="24"/>
                <w:szCs w:val="24"/>
              </w:rPr>
            </w:pPr>
          </w:p>
          <w:p w:rsidR="00B04EB1" w:rsidRPr="005A6964" w:rsidRDefault="00B04EB1" w:rsidP="0003375C">
            <w:pPr>
              <w:pStyle w:val="HTMLPreformatted"/>
              <w:rPr>
                <w:rFonts w:ascii="Times New Roman" w:hAnsi="Times New Roman" w:cs="Times New Roman"/>
                <w:sz w:val="24"/>
                <w:szCs w:val="24"/>
              </w:rPr>
            </w:pPr>
          </w:p>
          <w:p w:rsidR="00B04EB1" w:rsidRPr="005A6964" w:rsidRDefault="00B04EB1" w:rsidP="0003375C">
            <w:pPr>
              <w:pStyle w:val="HTMLPreformatted"/>
              <w:rPr>
                <w:rFonts w:ascii="Times New Roman" w:hAnsi="Times New Roman" w:cs="Times New Roman"/>
                <w:sz w:val="24"/>
                <w:szCs w:val="24"/>
              </w:rPr>
            </w:pPr>
            <w:r w:rsidRPr="005A6964">
              <w:rPr>
                <w:rFonts w:ascii="Times New Roman" w:hAnsi="Times New Roman" w:cs="Times New Roman"/>
                <w:sz w:val="24"/>
                <w:szCs w:val="24"/>
              </w:rPr>
              <w:t>Case No. 14-1297-EL-SSO</w:t>
            </w:r>
          </w:p>
          <w:p w:rsidR="00B04EB1" w:rsidRPr="005A6964" w:rsidRDefault="00B04EB1" w:rsidP="0003375C">
            <w:pPr>
              <w:pStyle w:val="HTMLPreformatted"/>
              <w:rPr>
                <w:rFonts w:ascii="Times New Roman" w:hAnsi="Times New Roman" w:cs="Times New Roman"/>
                <w:sz w:val="24"/>
                <w:szCs w:val="24"/>
              </w:rPr>
            </w:pPr>
          </w:p>
          <w:p w:rsidR="00B04EB1" w:rsidRPr="005A6964" w:rsidRDefault="00B04EB1" w:rsidP="0003375C">
            <w:pPr>
              <w:pStyle w:val="HTMLPreformatted"/>
              <w:rPr>
                <w:rFonts w:ascii="Times New Roman" w:hAnsi="Times New Roman" w:cs="Times New Roman"/>
                <w:sz w:val="24"/>
                <w:szCs w:val="24"/>
              </w:rPr>
            </w:pPr>
          </w:p>
        </w:tc>
      </w:tr>
    </w:tbl>
    <w:p w:rsidR="00B04EB1" w:rsidRPr="005A6964" w:rsidRDefault="00B04EB1" w:rsidP="00B04EB1">
      <w:pPr>
        <w:pStyle w:val="HTMLPreformatted"/>
        <w:contextualSpacing/>
        <w:rPr>
          <w:rFonts w:ascii="Times New Roman" w:hAnsi="Times New Roman" w:cs="Times New Roman"/>
          <w:sz w:val="24"/>
          <w:szCs w:val="24"/>
        </w:rPr>
      </w:pPr>
      <w:r w:rsidRPr="005A6964">
        <w:rPr>
          <w:rFonts w:ascii="Times New Roman" w:hAnsi="Times New Roman" w:cs="Times New Roman"/>
          <w:sz w:val="24"/>
          <w:szCs w:val="24"/>
        </w:rPr>
        <w:tab/>
      </w:r>
      <w:r w:rsidRPr="005A6964">
        <w:rPr>
          <w:rFonts w:ascii="Times New Roman" w:hAnsi="Times New Roman" w:cs="Times New Roman"/>
          <w:sz w:val="24"/>
          <w:szCs w:val="24"/>
        </w:rPr>
        <w:tab/>
      </w:r>
    </w:p>
    <w:p w:rsidR="00B04EB1" w:rsidRPr="005A6964" w:rsidRDefault="00B04EB1" w:rsidP="00B04EB1">
      <w:pPr>
        <w:pBdr>
          <w:top w:val="single" w:sz="12" w:space="1" w:color="auto"/>
        </w:pBdr>
        <w:tabs>
          <w:tab w:val="left" w:pos="-720"/>
        </w:tabs>
        <w:suppressAutoHyphens/>
        <w:spacing w:line="240" w:lineRule="auto"/>
        <w:contextualSpacing/>
        <w:rPr>
          <w:rFonts w:cs="Times New Roman"/>
          <w:b/>
          <w:spacing w:val="-3"/>
          <w:szCs w:val="24"/>
        </w:rPr>
      </w:pPr>
    </w:p>
    <w:p w:rsidR="00B04EB1" w:rsidRPr="005A6964" w:rsidRDefault="00D77B9A" w:rsidP="00B04EB1">
      <w:pPr>
        <w:spacing w:line="240" w:lineRule="auto"/>
        <w:contextualSpacing/>
        <w:jc w:val="center"/>
        <w:rPr>
          <w:rFonts w:cs="Times New Roman"/>
          <w:b/>
          <w:szCs w:val="24"/>
        </w:rPr>
      </w:pPr>
      <w:r w:rsidRPr="005A6964">
        <w:rPr>
          <w:rFonts w:cs="Times New Roman"/>
          <w:b/>
          <w:szCs w:val="24"/>
        </w:rPr>
        <w:t xml:space="preserve">REPLY </w:t>
      </w:r>
      <w:r w:rsidR="00B04EB1" w:rsidRPr="005A6964">
        <w:rPr>
          <w:rFonts w:cs="Times New Roman"/>
          <w:b/>
          <w:szCs w:val="24"/>
        </w:rPr>
        <w:t xml:space="preserve">BRIEF </w:t>
      </w:r>
    </w:p>
    <w:p w:rsidR="00B04EB1" w:rsidRPr="005A6964" w:rsidRDefault="00B04EB1" w:rsidP="00B04EB1">
      <w:pPr>
        <w:spacing w:line="240" w:lineRule="auto"/>
        <w:contextualSpacing/>
        <w:jc w:val="center"/>
        <w:rPr>
          <w:rFonts w:cs="Times New Roman"/>
          <w:b/>
          <w:szCs w:val="24"/>
        </w:rPr>
      </w:pPr>
      <w:r w:rsidRPr="005A6964">
        <w:rPr>
          <w:rFonts w:cs="Times New Roman"/>
          <w:b/>
          <w:szCs w:val="24"/>
        </w:rPr>
        <w:t>OF</w:t>
      </w:r>
    </w:p>
    <w:p w:rsidR="00B04EB1" w:rsidRPr="005A6964" w:rsidRDefault="00B04EB1" w:rsidP="00B04EB1">
      <w:pPr>
        <w:spacing w:line="240" w:lineRule="auto"/>
        <w:contextualSpacing/>
        <w:jc w:val="center"/>
        <w:rPr>
          <w:rFonts w:cs="Times New Roman"/>
          <w:b/>
          <w:szCs w:val="24"/>
        </w:rPr>
      </w:pPr>
      <w:r w:rsidRPr="005A6964">
        <w:rPr>
          <w:rFonts w:cs="Times New Roman"/>
          <w:b/>
          <w:szCs w:val="24"/>
        </w:rPr>
        <w:t>OFFICE OF THE OHIO CONSUMERS’ COUNSEL</w:t>
      </w:r>
    </w:p>
    <w:p w:rsidR="00B04EB1" w:rsidRPr="005A6964" w:rsidRDefault="00B04EB1" w:rsidP="00B04EB1">
      <w:pPr>
        <w:spacing w:line="240" w:lineRule="auto"/>
        <w:contextualSpacing/>
        <w:jc w:val="center"/>
        <w:rPr>
          <w:rFonts w:cs="Times New Roman"/>
          <w:b/>
          <w:szCs w:val="24"/>
        </w:rPr>
      </w:pPr>
      <w:r w:rsidRPr="005A6964">
        <w:rPr>
          <w:rFonts w:cs="Times New Roman"/>
          <w:b/>
          <w:szCs w:val="24"/>
        </w:rPr>
        <w:t xml:space="preserve">AND </w:t>
      </w:r>
    </w:p>
    <w:p w:rsidR="00F420CE" w:rsidRPr="005A6964" w:rsidRDefault="00B04EB1" w:rsidP="00B04EB1">
      <w:pPr>
        <w:spacing w:line="240" w:lineRule="auto"/>
        <w:contextualSpacing/>
        <w:jc w:val="center"/>
        <w:rPr>
          <w:rFonts w:cs="Times New Roman"/>
          <w:color w:val="000000"/>
        </w:rPr>
      </w:pPr>
      <w:r w:rsidRPr="005A6964">
        <w:rPr>
          <w:rFonts w:cs="Times New Roman"/>
          <w:b/>
          <w:szCs w:val="24"/>
        </w:rPr>
        <w:t>NORTHWEST OHIO AGGREGATION COALITION (AND ITS INDIVIDUAL COMMUNITIES</w:t>
      </w:r>
      <w:r w:rsidRPr="005A6964">
        <w:rPr>
          <w:rFonts w:cs="Times New Roman"/>
          <w:color w:val="000000"/>
        </w:rPr>
        <w:t xml:space="preserve">), </w:t>
      </w:r>
    </w:p>
    <w:p w:rsidR="00F420CE" w:rsidRPr="005A6964" w:rsidRDefault="0025155A" w:rsidP="00F420CE">
      <w:pPr>
        <w:spacing w:line="240" w:lineRule="auto"/>
        <w:contextualSpacing/>
        <w:jc w:val="center"/>
        <w:rPr>
          <w:rFonts w:cs="Times New Roman"/>
          <w:b/>
          <w:color w:val="000000"/>
        </w:rPr>
      </w:pPr>
      <w:r w:rsidRPr="005A6964">
        <w:rPr>
          <w:rFonts w:cs="Times New Roman"/>
          <w:b/>
          <w:color w:val="000000"/>
        </w:rPr>
        <w:t>CITY</w:t>
      </w:r>
      <w:r w:rsidR="00F420CE" w:rsidRPr="005A6964">
        <w:rPr>
          <w:rFonts w:cs="Times New Roman"/>
          <w:b/>
          <w:color w:val="000000"/>
        </w:rPr>
        <w:t xml:space="preserve"> OF HOLLAND</w:t>
      </w:r>
    </w:p>
    <w:p w:rsidR="00F420CE" w:rsidRPr="005A6964" w:rsidRDefault="00F420CE" w:rsidP="00F420CE">
      <w:pPr>
        <w:spacing w:line="240" w:lineRule="auto"/>
        <w:contextualSpacing/>
        <w:jc w:val="center"/>
        <w:rPr>
          <w:rFonts w:cs="Times New Roman"/>
          <w:color w:val="000000"/>
        </w:rPr>
      </w:pPr>
      <w:r w:rsidRPr="005A6964">
        <w:rPr>
          <w:rFonts w:cs="Times New Roman"/>
          <w:b/>
          <w:color w:val="000000"/>
        </w:rPr>
        <w:t>LAKE TOWNSHIP BOARD OF TRUSTEES </w:t>
      </w:r>
    </w:p>
    <w:p w:rsidR="00F420CE" w:rsidRPr="005A6964" w:rsidRDefault="00F420CE" w:rsidP="00F420CE">
      <w:pPr>
        <w:spacing w:line="240" w:lineRule="auto"/>
        <w:contextualSpacing/>
        <w:jc w:val="center"/>
        <w:rPr>
          <w:rFonts w:cs="Times New Roman"/>
          <w:color w:val="000000"/>
        </w:rPr>
      </w:pPr>
      <w:r w:rsidRPr="005A6964">
        <w:rPr>
          <w:rFonts w:cs="Times New Roman"/>
          <w:b/>
          <w:color w:val="000000"/>
        </w:rPr>
        <w:t>LUCAS COUNTY BOARD OF COMMISSIONERS</w:t>
      </w:r>
    </w:p>
    <w:p w:rsidR="00F420CE" w:rsidRPr="005A6964" w:rsidRDefault="00F420CE" w:rsidP="00F420CE">
      <w:pPr>
        <w:spacing w:line="240" w:lineRule="auto"/>
        <w:contextualSpacing/>
        <w:jc w:val="center"/>
        <w:rPr>
          <w:rFonts w:cs="Times New Roman"/>
          <w:b/>
          <w:color w:val="000000"/>
        </w:rPr>
      </w:pPr>
      <w:r w:rsidRPr="005A6964">
        <w:rPr>
          <w:rFonts w:cs="Times New Roman"/>
          <w:b/>
          <w:color w:val="000000"/>
        </w:rPr>
        <w:t>CITY OF MAUMEE</w:t>
      </w:r>
    </w:p>
    <w:p w:rsidR="00F420CE" w:rsidRPr="005A6964" w:rsidRDefault="00F420CE" w:rsidP="00F420CE">
      <w:pPr>
        <w:spacing w:line="240" w:lineRule="auto"/>
        <w:contextualSpacing/>
        <w:jc w:val="center"/>
        <w:rPr>
          <w:rFonts w:cs="Times New Roman"/>
          <w:b/>
          <w:color w:val="000000"/>
        </w:rPr>
      </w:pPr>
      <w:r w:rsidRPr="005A6964">
        <w:rPr>
          <w:rFonts w:cs="Times New Roman"/>
          <w:b/>
          <w:color w:val="000000"/>
        </w:rPr>
        <w:t>CITY OF NORTHWOOD</w:t>
      </w:r>
    </w:p>
    <w:p w:rsidR="00F420CE" w:rsidRPr="005A6964" w:rsidRDefault="00F420CE" w:rsidP="00F420CE">
      <w:pPr>
        <w:spacing w:line="240" w:lineRule="auto"/>
        <w:contextualSpacing/>
        <w:jc w:val="center"/>
        <w:rPr>
          <w:rFonts w:cs="Times New Roman"/>
          <w:color w:val="000000"/>
        </w:rPr>
      </w:pPr>
      <w:r w:rsidRPr="005A6964">
        <w:rPr>
          <w:rFonts w:cs="Times New Roman"/>
          <w:b/>
          <w:color w:val="000000"/>
        </w:rPr>
        <w:t>VILLAGE OF OTTAWA HILLS</w:t>
      </w:r>
    </w:p>
    <w:p w:rsidR="00F420CE" w:rsidRPr="005A6964" w:rsidRDefault="00F420CE" w:rsidP="00F420CE">
      <w:pPr>
        <w:spacing w:line="240" w:lineRule="auto"/>
        <w:contextualSpacing/>
        <w:jc w:val="center"/>
        <w:rPr>
          <w:rFonts w:cs="Times New Roman"/>
          <w:b/>
          <w:color w:val="000000"/>
        </w:rPr>
      </w:pPr>
      <w:r w:rsidRPr="005A6964">
        <w:rPr>
          <w:rFonts w:cs="Times New Roman"/>
          <w:b/>
          <w:color w:val="000000"/>
        </w:rPr>
        <w:t xml:space="preserve"> CITY OF PERRYSBURG </w:t>
      </w:r>
    </w:p>
    <w:p w:rsidR="00F420CE" w:rsidRPr="005A6964" w:rsidRDefault="00F420CE" w:rsidP="00F420CE">
      <w:pPr>
        <w:spacing w:line="240" w:lineRule="auto"/>
        <w:contextualSpacing/>
        <w:jc w:val="center"/>
        <w:rPr>
          <w:rFonts w:cs="Times New Roman"/>
          <w:b/>
          <w:color w:val="000000"/>
        </w:rPr>
      </w:pPr>
      <w:r w:rsidRPr="005A6964">
        <w:rPr>
          <w:rFonts w:cs="Times New Roman"/>
          <w:b/>
          <w:color w:val="000000"/>
        </w:rPr>
        <w:t>CITY OF SYLVANIA</w:t>
      </w:r>
    </w:p>
    <w:p w:rsidR="00F420CE" w:rsidRPr="005A6964" w:rsidRDefault="00F420CE" w:rsidP="00F420CE">
      <w:pPr>
        <w:spacing w:line="240" w:lineRule="auto"/>
        <w:contextualSpacing/>
        <w:jc w:val="center"/>
        <w:rPr>
          <w:rFonts w:cs="Times New Roman"/>
          <w:b/>
          <w:color w:val="000000"/>
        </w:rPr>
      </w:pPr>
      <w:r w:rsidRPr="005A6964">
        <w:rPr>
          <w:rFonts w:cs="Times New Roman"/>
          <w:b/>
          <w:color w:val="000000"/>
        </w:rPr>
        <w:t>CITY OF TOLEDO</w:t>
      </w:r>
    </w:p>
    <w:p w:rsidR="00B04EB1" w:rsidRPr="005A6964" w:rsidRDefault="00F420CE" w:rsidP="00F420CE">
      <w:pPr>
        <w:spacing w:line="240" w:lineRule="auto"/>
        <w:contextualSpacing/>
        <w:jc w:val="center"/>
        <w:rPr>
          <w:rFonts w:cs="Times New Roman"/>
          <w:b/>
          <w:szCs w:val="24"/>
        </w:rPr>
      </w:pPr>
      <w:r w:rsidRPr="005A6964">
        <w:rPr>
          <w:rFonts w:cs="Times New Roman"/>
          <w:b/>
          <w:color w:val="000000"/>
        </w:rPr>
        <w:t>VILLAGE OF WATERVILLE</w:t>
      </w:r>
    </w:p>
    <w:p w:rsidR="00B04EB1" w:rsidRPr="005A6964" w:rsidRDefault="00B04EB1" w:rsidP="00B04EB1">
      <w:pPr>
        <w:pBdr>
          <w:bottom w:val="single" w:sz="12" w:space="1" w:color="auto"/>
        </w:pBdr>
        <w:tabs>
          <w:tab w:val="left" w:pos="-720"/>
        </w:tabs>
        <w:suppressAutoHyphens/>
        <w:spacing w:line="240" w:lineRule="auto"/>
        <w:contextualSpacing/>
        <w:jc w:val="center"/>
        <w:rPr>
          <w:rFonts w:cs="Times New Roman"/>
          <w:b/>
          <w:spacing w:val="-3"/>
          <w:szCs w:val="24"/>
        </w:rPr>
      </w:pPr>
    </w:p>
    <w:p w:rsidR="001115FF" w:rsidRPr="005A6964" w:rsidRDefault="00B04EB1" w:rsidP="00B04EB1">
      <w:pPr>
        <w:pStyle w:val="Footer"/>
        <w:tabs>
          <w:tab w:val="clear" w:pos="8640"/>
          <w:tab w:val="left" w:pos="4320"/>
        </w:tabs>
        <w:spacing w:before="240"/>
        <w:contextualSpacing/>
      </w:pPr>
      <w:r w:rsidRPr="005A6964">
        <w:tab/>
      </w:r>
    </w:p>
    <w:p w:rsidR="001115FF" w:rsidRPr="005A6964" w:rsidRDefault="001115FF">
      <w:pPr>
        <w:rPr>
          <w:rFonts w:eastAsia="Times New Roman" w:cs="Times New Roman"/>
          <w:szCs w:val="24"/>
        </w:rPr>
      </w:pPr>
      <w:r w:rsidRPr="005A6964">
        <w:br w:type="page"/>
      </w:r>
    </w:p>
    <w:p w:rsidR="00B04EB1" w:rsidRPr="005A6964" w:rsidRDefault="001115FF" w:rsidP="00B04EB1">
      <w:pPr>
        <w:pStyle w:val="Footer"/>
        <w:tabs>
          <w:tab w:val="clear" w:pos="8640"/>
          <w:tab w:val="left" w:pos="4320"/>
        </w:tabs>
        <w:spacing w:before="240"/>
        <w:contextualSpacing/>
      </w:pPr>
      <w:r w:rsidRPr="005A6964">
        <w:lastRenderedPageBreak/>
        <w:tab/>
      </w:r>
      <w:r w:rsidR="00B04EB1" w:rsidRPr="005A6964">
        <w:t>BRUCE J. WESTON</w:t>
      </w:r>
    </w:p>
    <w:p w:rsidR="00B04EB1" w:rsidRPr="005A6964" w:rsidRDefault="00B04EB1" w:rsidP="00B04EB1">
      <w:pPr>
        <w:pStyle w:val="Footer"/>
        <w:tabs>
          <w:tab w:val="clear" w:pos="8640"/>
          <w:tab w:val="left" w:pos="4320"/>
        </w:tabs>
        <w:spacing w:before="240"/>
        <w:contextualSpacing/>
      </w:pPr>
      <w:r w:rsidRPr="005A6964">
        <w:tab/>
        <w:t>OHIO CONSUMERS’ COUNSEL</w:t>
      </w:r>
    </w:p>
    <w:p w:rsidR="00B04EB1" w:rsidRPr="005A6964" w:rsidRDefault="00B04EB1" w:rsidP="00B04EB1">
      <w:pPr>
        <w:tabs>
          <w:tab w:val="left" w:pos="4230"/>
          <w:tab w:val="left" w:pos="4320"/>
        </w:tabs>
        <w:spacing w:line="240" w:lineRule="auto"/>
        <w:ind w:left="4320"/>
        <w:contextualSpacing/>
        <w:rPr>
          <w:rFonts w:cs="Times New Roman"/>
          <w:szCs w:val="24"/>
        </w:rPr>
      </w:pPr>
    </w:p>
    <w:p w:rsidR="00830885" w:rsidRPr="005A6964" w:rsidRDefault="00B04EB1" w:rsidP="00830885">
      <w:pPr>
        <w:tabs>
          <w:tab w:val="left" w:pos="4230"/>
        </w:tabs>
        <w:spacing w:line="240" w:lineRule="auto"/>
        <w:ind w:left="4320"/>
        <w:contextualSpacing/>
        <w:rPr>
          <w:rFonts w:cs="Times New Roman"/>
          <w:szCs w:val="24"/>
        </w:rPr>
      </w:pPr>
      <w:r w:rsidRPr="005A6964">
        <w:rPr>
          <w:rFonts w:cs="Times New Roman"/>
          <w:szCs w:val="24"/>
        </w:rPr>
        <w:t>Larry S. Sauer</w:t>
      </w:r>
      <w:r w:rsidR="00830885" w:rsidRPr="005A6964">
        <w:rPr>
          <w:rFonts w:cs="Times New Roman"/>
          <w:szCs w:val="24"/>
        </w:rPr>
        <w:t xml:space="preserve"> (0039223)</w:t>
      </w:r>
    </w:p>
    <w:p w:rsidR="00B04EB1" w:rsidRPr="005A6964" w:rsidRDefault="00B04EB1" w:rsidP="00B04EB1">
      <w:pPr>
        <w:tabs>
          <w:tab w:val="left" w:pos="4230"/>
        </w:tabs>
        <w:spacing w:line="240" w:lineRule="auto"/>
        <w:ind w:left="4320"/>
        <w:contextualSpacing/>
        <w:rPr>
          <w:rFonts w:cs="Times New Roman"/>
          <w:szCs w:val="24"/>
        </w:rPr>
      </w:pPr>
      <w:r w:rsidRPr="005A6964">
        <w:rPr>
          <w:rFonts w:cs="Times New Roman"/>
          <w:szCs w:val="24"/>
        </w:rPr>
        <w:t>Counsel of Record</w:t>
      </w:r>
    </w:p>
    <w:p w:rsidR="001115FF" w:rsidRPr="005A6964" w:rsidRDefault="001115FF" w:rsidP="00F45878">
      <w:pPr>
        <w:autoSpaceDE w:val="0"/>
        <w:autoSpaceDN w:val="0"/>
        <w:adjustRightInd w:val="0"/>
        <w:spacing w:after="0" w:line="240" w:lineRule="auto"/>
        <w:ind w:left="4320"/>
        <w:rPr>
          <w:color w:val="000000"/>
        </w:rPr>
      </w:pPr>
      <w:r w:rsidRPr="005A6964">
        <w:rPr>
          <w:color w:val="000000"/>
        </w:rPr>
        <w:t>Maureen R. Willis (0020847)</w:t>
      </w:r>
    </w:p>
    <w:p w:rsidR="001115FF" w:rsidRPr="005A6964" w:rsidRDefault="001115FF" w:rsidP="001115FF">
      <w:pPr>
        <w:autoSpaceDE w:val="0"/>
        <w:autoSpaceDN w:val="0"/>
        <w:adjustRightInd w:val="0"/>
        <w:spacing w:after="0" w:line="240" w:lineRule="auto"/>
        <w:ind w:left="4320"/>
        <w:rPr>
          <w:rFonts w:cs="Times New Roman"/>
          <w:color w:val="000000"/>
          <w:szCs w:val="24"/>
        </w:rPr>
      </w:pPr>
      <w:r w:rsidRPr="005A6964">
        <w:rPr>
          <w:rFonts w:cs="Times New Roman"/>
          <w:color w:val="000000"/>
          <w:szCs w:val="24"/>
        </w:rPr>
        <w:t>William J. Michael (0070921)</w:t>
      </w:r>
    </w:p>
    <w:p w:rsidR="001115FF" w:rsidRPr="005A6964" w:rsidRDefault="001115FF" w:rsidP="00F45878">
      <w:pPr>
        <w:autoSpaceDE w:val="0"/>
        <w:autoSpaceDN w:val="0"/>
        <w:adjustRightInd w:val="0"/>
        <w:spacing w:after="0" w:line="240" w:lineRule="auto"/>
        <w:ind w:left="4320"/>
        <w:rPr>
          <w:color w:val="000000"/>
        </w:rPr>
      </w:pPr>
      <w:r w:rsidRPr="005A6964">
        <w:rPr>
          <w:color w:val="000000"/>
        </w:rPr>
        <w:t>Kevin F. Moore (0089228)</w:t>
      </w:r>
    </w:p>
    <w:p w:rsidR="001115FF" w:rsidRPr="005A6964" w:rsidRDefault="001115FF" w:rsidP="001115FF">
      <w:pPr>
        <w:autoSpaceDE w:val="0"/>
        <w:autoSpaceDN w:val="0"/>
        <w:adjustRightInd w:val="0"/>
        <w:spacing w:after="0" w:line="240" w:lineRule="auto"/>
        <w:ind w:left="4320"/>
        <w:rPr>
          <w:rFonts w:cs="Times New Roman"/>
          <w:color w:val="000000"/>
          <w:szCs w:val="24"/>
        </w:rPr>
      </w:pPr>
      <w:r w:rsidRPr="005A6964">
        <w:rPr>
          <w:rFonts w:cs="Times New Roman"/>
          <w:color w:val="000000"/>
          <w:szCs w:val="24"/>
        </w:rPr>
        <w:t>Ajay Kumar (0092208)</w:t>
      </w:r>
    </w:p>
    <w:p w:rsidR="001115FF" w:rsidRPr="005A6964" w:rsidRDefault="001115FF" w:rsidP="00F45878">
      <w:pPr>
        <w:autoSpaceDE w:val="0"/>
        <w:autoSpaceDN w:val="0"/>
        <w:adjustRightInd w:val="0"/>
        <w:spacing w:after="0" w:line="240" w:lineRule="auto"/>
        <w:ind w:left="4320"/>
        <w:rPr>
          <w:color w:val="000000"/>
        </w:rPr>
      </w:pPr>
      <w:r w:rsidRPr="005A6964">
        <w:rPr>
          <w:color w:val="000000"/>
        </w:rPr>
        <w:t>Assistant Consumers’ Counsel</w:t>
      </w:r>
    </w:p>
    <w:p w:rsidR="001115FF" w:rsidRPr="005A6964" w:rsidRDefault="001115FF" w:rsidP="00F45878">
      <w:pPr>
        <w:autoSpaceDE w:val="0"/>
        <w:autoSpaceDN w:val="0"/>
        <w:adjustRightInd w:val="0"/>
        <w:spacing w:after="0" w:line="240" w:lineRule="auto"/>
        <w:ind w:left="4320"/>
        <w:rPr>
          <w:b/>
          <w:color w:val="000000"/>
        </w:rPr>
      </w:pPr>
    </w:p>
    <w:p w:rsidR="001115FF" w:rsidRPr="005A6964" w:rsidRDefault="001115FF" w:rsidP="00F45878">
      <w:pPr>
        <w:autoSpaceDE w:val="0"/>
        <w:autoSpaceDN w:val="0"/>
        <w:adjustRightInd w:val="0"/>
        <w:spacing w:after="0" w:line="240" w:lineRule="auto"/>
        <w:ind w:left="4320"/>
        <w:rPr>
          <w:b/>
          <w:color w:val="000000"/>
        </w:rPr>
      </w:pPr>
      <w:r w:rsidRPr="005A6964">
        <w:rPr>
          <w:b/>
          <w:color w:val="000000"/>
        </w:rPr>
        <w:t>Office of the Ohio Consumers’ Counsel</w:t>
      </w:r>
    </w:p>
    <w:p w:rsidR="001115FF" w:rsidRPr="005A6964" w:rsidRDefault="001115FF" w:rsidP="00F45878">
      <w:pPr>
        <w:autoSpaceDE w:val="0"/>
        <w:autoSpaceDN w:val="0"/>
        <w:adjustRightInd w:val="0"/>
        <w:spacing w:after="0" w:line="240" w:lineRule="auto"/>
        <w:ind w:left="4320"/>
        <w:rPr>
          <w:color w:val="000000"/>
        </w:rPr>
      </w:pPr>
      <w:r w:rsidRPr="005A6964">
        <w:rPr>
          <w:color w:val="000000"/>
        </w:rPr>
        <w:t>10 West Broad Street, Suite 1800</w:t>
      </w:r>
    </w:p>
    <w:p w:rsidR="001115FF" w:rsidRPr="005A6964" w:rsidRDefault="001115FF" w:rsidP="00F45878">
      <w:pPr>
        <w:autoSpaceDE w:val="0"/>
        <w:autoSpaceDN w:val="0"/>
        <w:adjustRightInd w:val="0"/>
        <w:spacing w:after="0" w:line="240" w:lineRule="auto"/>
        <w:ind w:left="4320"/>
        <w:rPr>
          <w:color w:val="000000"/>
        </w:rPr>
      </w:pPr>
      <w:r w:rsidRPr="005A6964">
        <w:rPr>
          <w:color w:val="000000"/>
        </w:rPr>
        <w:t xml:space="preserve">Columbus, </w:t>
      </w:r>
      <w:r w:rsidRPr="005A6964">
        <w:rPr>
          <w:rFonts w:cs="Times New Roman"/>
          <w:color w:val="000000"/>
          <w:szCs w:val="24"/>
        </w:rPr>
        <w:t>Ohio 43215</w:t>
      </w:r>
      <w:r w:rsidRPr="005A6964">
        <w:rPr>
          <w:color w:val="000000"/>
        </w:rPr>
        <w:t>-3485</w:t>
      </w:r>
    </w:p>
    <w:p w:rsidR="001115FF" w:rsidRPr="005A6964" w:rsidRDefault="001115FF" w:rsidP="00F45878">
      <w:pPr>
        <w:autoSpaceDE w:val="0"/>
        <w:autoSpaceDN w:val="0"/>
        <w:adjustRightInd w:val="0"/>
        <w:spacing w:after="0" w:line="240" w:lineRule="auto"/>
        <w:ind w:left="4320"/>
        <w:rPr>
          <w:color w:val="000000"/>
        </w:rPr>
      </w:pPr>
      <w:r w:rsidRPr="005A6964">
        <w:rPr>
          <w:rFonts w:cs="Times New Roman"/>
          <w:color w:val="000000"/>
          <w:szCs w:val="24"/>
        </w:rPr>
        <w:t xml:space="preserve">Telephone [Sauer]: </w:t>
      </w:r>
      <w:r w:rsidRPr="005A6964">
        <w:rPr>
          <w:color w:val="000000"/>
        </w:rPr>
        <w:t>(614) 466-1312</w:t>
      </w:r>
    </w:p>
    <w:p w:rsidR="001115FF" w:rsidRPr="005A6964" w:rsidRDefault="001115FF" w:rsidP="001115FF">
      <w:pPr>
        <w:autoSpaceDE w:val="0"/>
        <w:autoSpaceDN w:val="0"/>
        <w:adjustRightInd w:val="0"/>
        <w:spacing w:after="0" w:line="240" w:lineRule="auto"/>
        <w:ind w:left="4320"/>
        <w:rPr>
          <w:rFonts w:cs="Times New Roman"/>
          <w:color w:val="000000"/>
          <w:szCs w:val="24"/>
        </w:rPr>
      </w:pPr>
      <w:r w:rsidRPr="005A6964">
        <w:rPr>
          <w:color w:val="000000"/>
        </w:rPr>
        <w:t>Telephone</w:t>
      </w:r>
      <w:r w:rsidRPr="005A6964">
        <w:rPr>
          <w:rFonts w:cs="Times New Roman"/>
          <w:color w:val="000000"/>
          <w:szCs w:val="24"/>
        </w:rPr>
        <w:t xml:space="preserve"> [Willis]: </w:t>
      </w:r>
      <w:r w:rsidRPr="005A6964">
        <w:rPr>
          <w:color w:val="000000"/>
        </w:rPr>
        <w:t>(614) 466-9567</w:t>
      </w:r>
    </w:p>
    <w:p w:rsidR="001115FF" w:rsidRPr="005A6964" w:rsidRDefault="001115FF" w:rsidP="00F45878">
      <w:pPr>
        <w:autoSpaceDE w:val="0"/>
        <w:autoSpaceDN w:val="0"/>
        <w:adjustRightInd w:val="0"/>
        <w:spacing w:after="0" w:line="240" w:lineRule="auto"/>
        <w:ind w:left="4320"/>
        <w:rPr>
          <w:color w:val="000000"/>
        </w:rPr>
      </w:pPr>
      <w:r w:rsidRPr="005A6964">
        <w:rPr>
          <w:color w:val="000000"/>
        </w:rPr>
        <w:t>Telephone</w:t>
      </w:r>
      <w:r w:rsidRPr="005A6964">
        <w:rPr>
          <w:rFonts w:cs="Times New Roman"/>
          <w:color w:val="000000"/>
          <w:szCs w:val="24"/>
        </w:rPr>
        <w:t xml:space="preserve"> [Michael]: (614) 466-1291</w:t>
      </w:r>
    </w:p>
    <w:p w:rsidR="001115FF" w:rsidRPr="005A6964" w:rsidRDefault="001115FF" w:rsidP="001115FF">
      <w:pPr>
        <w:autoSpaceDE w:val="0"/>
        <w:autoSpaceDN w:val="0"/>
        <w:adjustRightInd w:val="0"/>
        <w:spacing w:after="0" w:line="240" w:lineRule="auto"/>
        <w:ind w:left="4320"/>
        <w:rPr>
          <w:rFonts w:cs="Times New Roman"/>
          <w:color w:val="000000"/>
          <w:szCs w:val="24"/>
        </w:rPr>
      </w:pPr>
      <w:r w:rsidRPr="005A6964">
        <w:rPr>
          <w:rFonts w:cs="Times New Roman"/>
          <w:color w:val="000000"/>
          <w:szCs w:val="24"/>
        </w:rPr>
        <w:t>Telephone [Moore]: (614) 387-2965</w:t>
      </w:r>
    </w:p>
    <w:p w:rsidR="001115FF" w:rsidRPr="005A6964" w:rsidRDefault="001115FF" w:rsidP="001115FF">
      <w:pPr>
        <w:autoSpaceDE w:val="0"/>
        <w:autoSpaceDN w:val="0"/>
        <w:adjustRightInd w:val="0"/>
        <w:spacing w:after="0" w:line="240" w:lineRule="auto"/>
        <w:ind w:left="4320"/>
        <w:rPr>
          <w:rFonts w:cs="Times New Roman"/>
          <w:color w:val="000000"/>
          <w:szCs w:val="24"/>
        </w:rPr>
      </w:pPr>
      <w:r w:rsidRPr="005A6964">
        <w:rPr>
          <w:rFonts w:cs="Times New Roman"/>
          <w:color w:val="000000"/>
          <w:szCs w:val="24"/>
        </w:rPr>
        <w:t>Telephone [Kumar]: (614) 466-1292</w:t>
      </w:r>
    </w:p>
    <w:p w:rsidR="001115FF" w:rsidRPr="005A6964" w:rsidRDefault="001115FF" w:rsidP="001115FF">
      <w:pPr>
        <w:autoSpaceDE w:val="0"/>
        <w:autoSpaceDN w:val="0"/>
        <w:adjustRightInd w:val="0"/>
        <w:spacing w:after="0" w:line="240" w:lineRule="auto"/>
        <w:ind w:left="4320"/>
        <w:rPr>
          <w:rFonts w:cs="Times New Roman"/>
          <w:color w:val="0000FF"/>
          <w:szCs w:val="24"/>
        </w:rPr>
      </w:pPr>
      <w:r w:rsidRPr="005A6964">
        <w:rPr>
          <w:rFonts w:cs="Times New Roman"/>
          <w:color w:val="0000FF"/>
          <w:szCs w:val="24"/>
        </w:rPr>
        <w:t>Larry.sauer@occ.ohio.gov</w:t>
      </w:r>
    </w:p>
    <w:p w:rsidR="001115FF" w:rsidRPr="005A6964" w:rsidRDefault="001115FF" w:rsidP="001115FF">
      <w:pPr>
        <w:autoSpaceDE w:val="0"/>
        <w:autoSpaceDN w:val="0"/>
        <w:adjustRightInd w:val="0"/>
        <w:spacing w:after="0" w:line="240" w:lineRule="auto"/>
        <w:ind w:left="4320"/>
        <w:rPr>
          <w:rFonts w:cs="Times New Roman"/>
          <w:color w:val="0000FF"/>
          <w:szCs w:val="24"/>
        </w:rPr>
      </w:pPr>
      <w:r w:rsidRPr="005A6964">
        <w:rPr>
          <w:rFonts w:cs="Times New Roman"/>
          <w:color w:val="0000FF"/>
          <w:szCs w:val="24"/>
        </w:rPr>
        <w:t>Maureen.willis@occ.ohio.gov</w:t>
      </w:r>
    </w:p>
    <w:p w:rsidR="001115FF" w:rsidRPr="005A6964" w:rsidRDefault="001115FF" w:rsidP="001115FF">
      <w:pPr>
        <w:autoSpaceDE w:val="0"/>
        <w:autoSpaceDN w:val="0"/>
        <w:adjustRightInd w:val="0"/>
        <w:spacing w:after="0" w:line="240" w:lineRule="auto"/>
        <w:ind w:left="4320"/>
        <w:rPr>
          <w:rFonts w:cs="Times New Roman"/>
          <w:color w:val="0000FF"/>
          <w:szCs w:val="24"/>
        </w:rPr>
      </w:pPr>
      <w:r w:rsidRPr="005A6964">
        <w:rPr>
          <w:rFonts w:cs="Times New Roman"/>
          <w:color w:val="0000FF"/>
          <w:szCs w:val="24"/>
        </w:rPr>
        <w:t>William.michael@occ.ohio.gov</w:t>
      </w:r>
    </w:p>
    <w:p w:rsidR="001115FF" w:rsidRPr="005A6964" w:rsidRDefault="001115FF" w:rsidP="001115FF">
      <w:pPr>
        <w:autoSpaceDE w:val="0"/>
        <w:autoSpaceDN w:val="0"/>
        <w:adjustRightInd w:val="0"/>
        <w:spacing w:after="0" w:line="240" w:lineRule="auto"/>
        <w:ind w:left="4320"/>
        <w:rPr>
          <w:rFonts w:cs="Times New Roman"/>
          <w:color w:val="0000FF"/>
          <w:szCs w:val="24"/>
        </w:rPr>
      </w:pPr>
      <w:r w:rsidRPr="005A6964">
        <w:rPr>
          <w:rFonts w:cs="Times New Roman"/>
          <w:color w:val="0000FF"/>
          <w:szCs w:val="24"/>
        </w:rPr>
        <w:t>Kevin.moore@occ.ohio.gov</w:t>
      </w:r>
    </w:p>
    <w:p w:rsidR="001115FF" w:rsidRPr="005A6964" w:rsidRDefault="001115FF" w:rsidP="001115FF">
      <w:pPr>
        <w:autoSpaceDE w:val="0"/>
        <w:autoSpaceDN w:val="0"/>
        <w:adjustRightInd w:val="0"/>
        <w:spacing w:after="0" w:line="240" w:lineRule="auto"/>
        <w:ind w:left="4320"/>
        <w:rPr>
          <w:rFonts w:cs="Times New Roman"/>
          <w:color w:val="0000FF"/>
          <w:szCs w:val="24"/>
        </w:rPr>
      </w:pPr>
      <w:r w:rsidRPr="005A6964">
        <w:rPr>
          <w:rFonts w:cs="Times New Roman"/>
          <w:color w:val="0000FF"/>
          <w:szCs w:val="24"/>
        </w:rPr>
        <w:t>Ajay.kumar@occ.ohio.gov</w:t>
      </w:r>
    </w:p>
    <w:p w:rsidR="001115FF" w:rsidRPr="005A6964" w:rsidRDefault="001115FF" w:rsidP="00A64A74">
      <w:pPr>
        <w:autoSpaceDE w:val="0"/>
        <w:autoSpaceDN w:val="0"/>
        <w:adjustRightInd w:val="0"/>
        <w:spacing w:after="0" w:line="240" w:lineRule="auto"/>
        <w:ind w:left="4320"/>
        <w:rPr>
          <w:rFonts w:cs="Times New Roman"/>
          <w:szCs w:val="24"/>
        </w:rPr>
      </w:pPr>
    </w:p>
    <w:p w:rsidR="001115FF" w:rsidRPr="005A6964" w:rsidRDefault="001115FF" w:rsidP="00A64A74">
      <w:pPr>
        <w:autoSpaceDE w:val="0"/>
        <w:autoSpaceDN w:val="0"/>
        <w:adjustRightInd w:val="0"/>
        <w:spacing w:after="0" w:line="240" w:lineRule="auto"/>
        <w:ind w:left="4320"/>
        <w:rPr>
          <w:rFonts w:cs="Times New Roman"/>
          <w:szCs w:val="24"/>
        </w:rPr>
      </w:pPr>
    </w:p>
    <w:p w:rsidR="001115FF" w:rsidRPr="005A6964" w:rsidRDefault="001115FF" w:rsidP="00A64A74">
      <w:pPr>
        <w:autoSpaceDE w:val="0"/>
        <w:autoSpaceDN w:val="0"/>
        <w:adjustRightInd w:val="0"/>
        <w:spacing w:after="0" w:line="240" w:lineRule="auto"/>
        <w:ind w:left="4320"/>
        <w:rPr>
          <w:rFonts w:cs="Times New Roman"/>
          <w:szCs w:val="24"/>
        </w:rPr>
      </w:pPr>
    </w:p>
    <w:p w:rsidR="001115FF" w:rsidRPr="005A6964" w:rsidRDefault="001115FF" w:rsidP="00A64A74">
      <w:pPr>
        <w:autoSpaceDE w:val="0"/>
        <w:autoSpaceDN w:val="0"/>
        <w:adjustRightInd w:val="0"/>
        <w:spacing w:after="0" w:line="240" w:lineRule="auto"/>
        <w:ind w:left="4320"/>
        <w:rPr>
          <w:rFonts w:cs="Times New Roman"/>
          <w:szCs w:val="24"/>
        </w:rPr>
      </w:pPr>
    </w:p>
    <w:p w:rsidR="00830885" w:rsidRPr="005A6964" w:rsidRDefault="00A64A74" w:rsidP="00A64A74">
      <w:pPr>
        <w:autoSpaceDE w:val="0"/>
        <w:autoSpaceDN w:val="0"/>
        <w:adjustRightInd w:val="0"/>
        <w:spacing w:after="0" w:line="240" w:lineRule="auto"/>
        <w:ind w:left="4320"/>
        <w:rPr>
          <w:rFonts w:cs="Times New Roman"/>
          <w:szCs w:val="24"/>
        </w:rPr>
      </w:pPr>
      <w:r w:rsidRPr="005A6964">
        <w:rPr>
          <w:rFonts w:cs="Times New Roman"/>
          <w:szCs w:val="24"/>
        </w:rPr>
        <w:t>Thomas R. Hays (0054062</w:t>
      </w:r>
      <w:r w:rsidR="00830885" w:rsidRPr="005A6964">
        <w:rPr>
          <w:rFonts w:cs="Times New Roman"/>
          <w:szCs w:val="24"/>
        </w:rPr>
        <w:t>)</w:t>
      </w:r>
      <w:r w:rsidRPr="005A6964">
        <w:rPr>
          <w:rFonts w:cs="Times New Roman"/>
          <w:szCs w:val="24"/>
        </w:rPr>
        <w:t>,</w:t>
      </w:r>
    </w:p>
    <w:p w:rsidR="00830885" w:rsidRPr="005A6964" w:rsidRDefault="00A64A74" w:rsidP="00A64A74">
      <w:pPr>
        <w:autoSpaceDE w:val="0"/>
        <w:autoSpaceDN w:val="0"/>
        <w:adjustRightInd w:val="0"/>
        <w:spacing w:after="0" w:line="240" w:lineRule="auto"/>
        <w:ind w:left="4320"/>
        <w:rPr>
          <w:rFonts w:cs="Times New Roman"/>
          <w:szCs w:val="24"/>
        </w:rPr>
      </w:pPr>
      <w:r w:rsidRPr="005A6964">
        <w:rPr>
          <w:rFonts w:cs="Times New Roman"/>
          <w:szCs w:val="24"/>
        </w:rPr>
        <w:t>Counsel of</w:t>
      </w:r>
      <w:r w:rsidR="00830885" w:rsidRPr="005A6964">
        <w:rPr>
          <w:rFonts w:cs="Times New Roman"/>
          <w:szCs w:val="24"/>
        </w:rPr>
        <w:t xml:space="preserve"> </w:t>
      </w:r>
      <w:r w:rsidRPr="005A6964">
        <w:rPr>
          <w:rFonts w:cs="Times New Roman"/>
          <w:szCs w:val="24"/>
        </w:rPr>
        <w:t xml:space="preserve">Record </w:t>
      </w:r>
    </w:p>
    <w:p w:rsidR="00A64A74" w:rsidRPr="005A6964" w:rsidRDefault="00830885" w:rsidP="00A64A74">
      <w:pPr>
        <w:autoSpaceDE w:val="0"/>
        <w:autoSpaceDN w:val="0"/>
        <w:adjustRightInd w:val="0"/>
        <w:spacing w:after="0" w:line="240" w:lineRule="auto"/>
        <w:ind w:left="4320"/>
        <w:rPr>
          <w:rFonts w:cs="Times New Roman"/>
          <w:szCs w:val="24"/>
        </w:rPr>
      </w:pPr>
      <w:r w:rsidRPr="005A6964">
        <w:rPr>
          <w:rFonts w:cs="Times New Roman"/>
          <w:szCs w:val="24"/>
        </w:rPr>
        <w:t>F</w:t>
      </w:r>
      <w:r w:rsidR="00A64A74" w:rsidRPr="005A6964">
        <w:rPr>
          <w:rFonts w:cs="Times New Roman"/>
          <w:szCs w:val="24"/>
        </w:rPr>
        <w:t>or NOAC and the Individual</w:t>
      </w:r>
    </w:p>
    <w:p w:rsidR="00A64A74" w:rsidRPr="005A6964" w:rsidRDefault="00A64A74" w:rsidP="00A64A74">
      <w:pPr>
        <w:autoSpaceDE w:val="0"/>
        <w:autoSpaceDN w:val="0"/>
        <w:adjustRightInd w:val="0"/>
        <w:spacing w:after="0" w:line="240" w:lineRule="auto"/>
        <w:ind w:left="4320"/>
        <w:rPr>
          <w:rFonts w:cs="Times New Roman"/>
          <w:szCs w:val="24"/>
        </w:rPr>
      </w:pPr>
      <w:r w:rsidRPr="005A6964">
        <w:rPr>
          <w:rFonts w:cs="Times New Roman"/>
          <w:szCs w:val="24"/>
        </w:rPr>
        <w:t>Communities</w:t>
      </w:r>
    </w:p>
    <w:p w:rsidR="00A64A74" w:rsidRPr="005A6964" w:rsidRDefault="00A64A74" w:rsidP="00A64A74">
      <w:pPr>
        <w:autoSpaceDE w:val="0"/>
        <w:autoSpaceDN w:val="0"/>
        <w:adjustRightInd w:val="0"/>
        <w:spacing w:after="0" w:line="240" w:lineRule="auto"/>
        <w:ind w:left="4320"/>
        <w:rPr>
          <w:rFonts w:cs="Times New Roman"/>
          <w:szCs w:val="24"/>
        </w:rPr>
      </w:pPr>
      <w:r w:rsidRPr="005A6964">
        <w:rPr>
          <w:rFonts w:cs="Times New Roman"/>
          <w:szCs w:val="24"/>
        </w:rPr>
        <w:t>8355 Island Lane</w:t>
      </w:r>
    </w:p>
    <w:p w:rsidR="00A64A74" w:rsidRPr="005A6964" w:rsidRDefault="00A64A74" w:rsidP="00A64A74">
      <w:pPr>
        <w:autoSpaceDE w:val="0"/>
        <w:autoSpaceDN w:val="0"/>
        <w:adjustRightInd w:val="0"/>
        <w:spacing w:after="0" w:line="240" w:lineRule="auto"/>
        <w:ind w:left="4320"/>
        <w:rPr>
          <w:rFonts w:cs="Times New Roman"/>
          <w:szCs w:val="24"/>
        </w:rPr>
      </w:pPr>
      <w:r w:rsidRPr="005A6964">
        <w:rPr>
          <w:rFonts w:cs="Times New Roman"/>
          <w:szCs w:val="24"/>
        </w:rPr>
        <w:t>Maineville, Ohio 45039</w:t>
      </w:r>
    </w:p>
    <w:p w:rsidR="00A64A74" w:rsidRPr="005A6964" w:rsidRDefault="00A64A74" w:rsidP="00A64A74">
      <w:pPr>
        <w:autoSpaceDE w:val="0"/>
        <w:autoSpaceDN w:val="0"/>
        <w:adjustRightInd w:val="0"/>
        <w:spacing w:after="0" w:line="240" w:lineRule="auto"/>
        <w:ind w:left="4320"/>
        <w:rPr>
          <w:rFonts w:cs="Times New Roman"/>
          <w:szCs w:val="24"/>
        </w:rPr>
      </w:pPr>
      <w:r w:rsidRPr="005A6964">
        <w:rPr>
          <w:rFonts w:cs="Times New Roman"/>
          <w:szCs w:val="24"/>
        </w:rPr>
        <w:t>Telephone: 419-410-7069</w:t>
      </w:r>
    </w:p>
    <w:p w:rsidR="00A64A74" w:rsidRPr="005A6964" w:rsidRDefault="00880C30" w:rsidP="00A64A74">
      <w:pPr>
        <w:ind w:left="4320"/>
        <w:rPr>
          <w:rFonts w:cs="Times New Roman"/>
          <w:szCs w:val="24"/>
        </w:rPr>
      </w:pPr>
      <w:hyperlink r:id="rId8" w:history="1">
        <w:r w:rsidR="00A64A74" w:rsidRPr="005A6964">
          <w:rPr>
            <w:rStyle w:val="Hyperlink"/>
            <w:rFonts w:cs="Times New Roman"/>
            <w:szCs w:val="24"/>
          </w:rPr>
          <w:t>trhayslaw@gmail.com</w:t>
        </w:r>
      </w:hyperlink>
    </w:p>
    <w:p w:rsidR="00A64A74" w:rsidRPr="005A6964" w:rsidRDefault="00A64A74" w:rsidP="00A64A74">
      <w:pPr>
        <w:ind w:left="4320"/>
        <w:rPr>
          <w:rStyle w:val="Hyperlink"/>
          <w:rFonts w:cs="Times New Roman"/>
          <w:szCs w:val="24"/>
        </w:rPr>
      </w:pPr>
    </w:p>
    <w:p w:rsidR="00037F6E" w:rsidRPr="005A6964" w:rsidRDefault="00037F6E" w:rsidP="00B04EB1">
      <w:pPr>
        <w:jc w:val="center"/>
        <w:rPr>
          <w:rFonts w:cs="Times New Roman"/>
          <w:b/>
          <w:szCs w:val="24"/>
          <w:u w:val="single"/>
        </w:rPr>
        <w:sectPr w:rsidR="00037F6E" w:rsidRPr="005A6964" w:rsidSect="00D91E4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fmt="lowerRoman" w:start="1"/>
          <w:cols w:space="720"/>
          <w:docGrid w:linePitch="360"/>
        </w:sectPr>
      </w:pPr>
    </w:p>
    <w:p w:rsidR="00B04EB1" w:rsidRPr="005A6964" w:rsidRDefault="00B04EB1" w:rsidP="00B04EB1">
      <w:pPr>
        <w:jc w:val="center"/>
        <w:rPr>
          <w:rFonts w:cs="Times New Roman"/>
          <w:b/>
          <w:szCs w:val="24"/>
          <w:u w:val="single"/>
        </w:rPr>
      </w:pPr>
      <w:r w:rsidRPr="005A6964">
        <w:rPr>
          <w:rFonts w:cs="Times New Roman"/>
          <w:b/>
          <w:szCs w:val="24"/>
          <w:u w:val="single"/>
        </w:rPr>
        <w:lastRenderedPageBreak/>
        <w:t>TABLE OF CONTENTS</w:t>
      </w:r>
    </w:p>
    <w:p w:rsidR="00B04EB1" w:rsidRPr="005A6964" w:rsidRDefault="00B04EB1" w:rsidP="00B04EB1">
      <w:pPr>
        <w:jc w:val="right"/>
        <w:rPr>
          <w:rFonts w:cs="Times New Roman"/>
          <w:b/>
          <w:szCs w:val="24"/>
          <w:u w:val="single"/>
        </w:rPr>
      </w:pPr>
      <w:r w:rsidRPr="005A6964">
        <w:rPr>
          <w:rFonts w:cs="Times New Roman"/>
          <w:b/>
          <w:szCs w:val="24"/>
          <w:u w:val="single"/>
        </w:rPr>
        <w:t>Page</w:t>
      </w:r>
    </w:p>
    <w:p w:rsidR="00B7274A" w:rsidRPr="005A6964" w:rsidRDefault="00B7274A" w:rsidP="00B04EB1">
      <w:pPr>
        <w:pStyle w:val="HTMLPreformatted"/>
        <w:jc w:val="center"/>
        <w:rPr>
          <w:rFonts w:ascii="Times New Roman" w:hAnsi="Times New Roman" w:cs="Times New Roman"/>
          <w:b/>
          <w:bCs/>
          <w:sz w:val="24"/>
          <w:szCs w:val="24"/>
        </w:rPr>
      </w:pPr>
    </w:p>
    <w:p w:rsidR="005A6964" w:rsidRDefault="00F209BD">
      <w:pPr>
        <w:pStyle w:val="TOC1"/>
        <w:rPr>
          <w:rFonts w:asciiTheme="minorHAnsi" w:eastAsiaTheme="minorEastAsia" w:hAnsiTheme="minorHAnsi"/>
          <w:caps w:val="0"/>
          <w:noProof/>
          <w:sz w:val="22"/>
        </w:rPr>
      </w:pPr>
      <w:r w:rsidRPr="005A6964">
        <w:fldChar w:fldCharType="begin"/>
      </w:r>
      <w:r w:rsidRPr="005A6964">
        <w:instrText xml:space="preserve"> TOC \o "1-7" \h \z \u </w:instrText>
      </w:r>
      <w:r w:rsidRPr="005A6964">
        <w:fldChar w:fldCharType="separate"/>
      </w:r>
      <w:hyperlink w:anchor="_Toc444268990" w:history="1">
        <w:r w:rsidR="005A6964" w:rsidRPr="00BE0A34">
          <w:rPr>
            <w:rStyle w:val="Hyperlink"/>
            <w:noProof/>
          </w:rPr>
          <w:t>I.</w:t>
        </w:r>
        <w:r w:rsidR="005A6964">
          <w:rPr>
            <w:rFonts w:asciiTheme="minorHAnsi" w:eastAsiaTheme="minorEastAsia" w:hAnsiTheme="minorHAnsi"/>
            <w:caps w:val="0"/>
            <w:noProof/>
            <w:sz w:val="22"/>
          </w:rPr>
          <w:tab/>
        </w:r>
        <w:r w:rsidR="005A6964" w:rsidRPr="00BE0A34">
          <w:rPr>
            <w:rStyle w:val="Hyperlink"/>
            <w:noProof/>
          </w:rPr>
          <w:t>INTRODUCTION</w:t>
        </w:r>
        <w:r w:rsidR="005A6964">
          <w:rPr>
            <w:noProof/>
            <w:webHidden/>
          </w:rPr>
          <w:tab/>
        </w:r>
        <w:r w:rsidR="005A6964">
          <w:rPr>
            <w:noProof/>
            <w:webHidden/>
          </w:rPr>
          <w:fldChar w:fldCharType="begin"/>
        </w:r>
        <w:r w:rsidR="005A6964">
          <w:rPr>
            <w:noProof/>
            <w:webHidden/>
          </w:rPr>
          <w:instrText xml:space="preserve"> PAGEREF _Toc444268990 \h </w:instrText>
        </w:r>
        <w:r w:rsidR="005A6964">
          <w:rPr>
            <w:noProof/>
            <w:webHidden/>
          </w:rPr>
        </w:r>
        <w:r w:rsidR="005A6964">
          <w:rPr>
            <w:noProof/>
            <w:webHidden/>
          </w:rPr>
          <w:fldChar w:fldCharType="separate"/>
        </w:r>
        <w:r w:rsidR="00E625D1">
          <w:rPr>
            <w:noProof/>
            <w:webHidden/>
          </w:rPr>
          <w:t>1</w:t>
        </w:r>
        <w:r w:rsidR="005A6964">
          <w:rPr>
            <w:noProof/>
            <w:webHidden/>
          </w:rPr>
          <w:fldChar w:fldCharType="end"/>
        </w:r>
      </w:hyperlink>
    </w:p>
    <w:p w:rsidR="005A6964" w:rsidRDefault="00880C30">
      <w:pPr>
        <w:pStyle w:val="TOC1"/>
        <w:rPr>
          <w:rFonts w:asciiTheme="minorHAnsi" w:eastAsiaTheme="minorEastAsia" w:hAnsiTheme="minorHAnsi"/>
          <w:caps w:val="0"/>
          <w:noProof/>
          <w:sz w:val="22"/>
        </w:rPr>
      </w:pPr>
      <w:hyperlink w:anchor="_Toc444268991" w:history="1">
        <w:r w:rsidR="005A6964" w:rsidRPr="00BE0A34">
          <w:rPr>
            <w:rStyle w:val="Hyperlink"/>
            <w:noProof/>
          </w:rPr>
          <w:t>ii.</w:t>
        </w:r>
        <w:r w:rsidR="005A6964">
          <w:rPr>
            <w:rFonts w:asciiTheme="minorHAnsi" w:eastAsiaTheme="minorEastAsia" w:hAnsiTheme="minorHAnsi"/>
            <w:caps w:val="0"/>
            <w:noProof/>
            <w:sz w:val="22"/>
          </w:rPr>
          <w:tab/>
        </w:r>
        <w:r w:rsidR="005A6964" w:rsidRPr="00BE0A34">
          <w:rPr>
            <w:rStyle w:val="Hyperlink"/>
            <w:noProof/>
          </w:rPr>
          <w:t>STANDARD OF REVIEW</w:t>
        </w:r>
        <w:r w:rsidR="005A6964">
          <w:rPr>
            <w:noProof/>
            <w:webHidden/>
          </w:rPr>
          <w:tab/>
        </w:r>
        <w:r w:rsidR="005A6964">
          <w:rPr>
            <w:noProof/>
            <w:webHidden/>
          </w:rPr>
          <w:fldChar w:fldCharType="begin"/>
        </w:r>
        <w:r w:rsidR="005A6964">
          <w:rPr>
            <w:noProof/>
            <w:webHidden/>
          </w:rPr>
          <w:instrText xml:space="preserve"> PAGEREF _Toc444268991 \h </w:instrText>
        </w:r>
        <w:r w:rsidR="005A6964">
          <w:rPr>
            <w:noProof/>
            <w:webHidden/>
          </w:rPr>
        </w:r>
        <w:r w:rsidR="005A6964">
          <w:rPr>
            <w:noProof/>
            <w:webHidden/>
          </w:rPr>
          <w:fldChar w:fldCharType="separate"/>
        </w:r>
        <w:r w:rsidR="00E625D1">
          <w:rPr>
            <w:noProof/>
            <w:webHidden/>
          </w:rPr>
          <w:t>2</w:t>
        </w:r>
        <w:r w:rsidR="005A6964">
          <w:rPr>
            <w:noProof/>
            <w:webHidden/>
          </w:rPr>
          <w:fldChar w:fldCharType="end"/>
        </w:r>
      </w:hyperlink>
    </w:p>
    <w:p w:rsidR="005A6964" w:rsidRDefault="00880C30">
      <w:pPr>
        <w:pStyle w:val="TOC1"/>
        <w:rPr>
          <w:rFonts w:asciiTheme="minorHAnsi" w:eastAsiaTheme="minorEastAsia" w:hAnsiTheme="minorHAnsi"/>
          <w:caps w:val="0"/>
          <w:noProof/>
          <w:sz w:val="22"/>
        </w:rPr>
      </w:pPr>
      <w:hyperlink w:anchor="_Toc444268992" w:history="1">
        <w:r w:rsidR="005A6964" w:rsidRPr="00BE0A34">
          <w:rPr>
            <w:rStyle w:val="Hyperlink"/>
            <w:noProof/>
          </w:rPr>
          <w:t>iii.</w:t>
        </w:r>
        <w:r w:rsidR="005A6964">
          <w:rPr>
            <w:rFonts w:asciiTheme="minorHAnsi" w:eastAsiaTheme="minorEastAsia" w:hAnsiTheme="minorHAnsi"/>
            <w:caps w:val="0"/>
            <w:noProof/>
            <w:sz w:val="22"/>
          </w:rPr>
          <w:tab/>
        </w:r>
        <w:r w:rsidR="005A6964" w:rsidRPr="00BE0A34">
          <w:rPr>
            <w:rStyle w:val="Hyperlink"/>
            <w:noProof/>
          </w:rPr>
          <w:t>rECOMMENDATIONS</w:t>
        </w:r>
        <w:r w:rsidR="005A6964">
          <w:rPr>
            <w:noProof/>
            <w:webHidden/>
          </w:rPr>
          <w:tab/>
        </w:r>
        <w:r w:rsidR="005A6964">
          <w:rPr>
            <w:noProof/>
            <w:webHidden/>
          </w:rPr>
          <w:fldChar w:fldCharType="begin"/>
        </w:r>
        <w:r w:rsidR="005A6964">
          <w:rPr>
            <w:noProof/>
            <w:webHidden/>
          </w:rPr>
          <w:instrText xml:space="preserve"> PAGEREF _Toc444268992 \h </w:instrText>
        </w:r>
        <w:r w:rsidR="005A6964">
          <w:rPr>
            <w:noProof/>
            <w:webHidden/>
          </w:rPr>
        </w:r>
        <w:r w:rsidR="005A6964">
          <w:rPr>
            <w:noProof/>
            <w:webHidden/>
          </w:rPr>
          <w:fldChar w:fldCharType="separate"/>
        </w:r>
        <w:r w:rsidR="00E625D1">
          <w:rPr>
            <w:noProof/>
            <w:webHidden/>
          </w:rPr>
          <w:t>3</w:t>
        </w:r>
        <w:r w:rsidR="005A6964">
          <w:rPr>
            <w:noProof/>
            <w:webHidden/>
          </w:rPr>
          <w:fldChar w:fldCharType="end"/>
        </w:r>
      </w:hyperlink>
    </w:p>
    <w:p w:rsidR="005A6964" w:rsidRDefault="00880C30">
      <w:pPr>
        <w:pStyle w:val="TOC2"/>
        <w:tabs>
          <w:tab w:val="left" w:pos="1440"/>
        </w:tabs>
        <w:rPr>
          <w:rFonts w:asciiTheme="minorHAnsi" w:eastAsiaTheme="minorEastAsia" w:hAnsiTheme="minorHAnsi"/>
          <w:noProof/>
          <w:sz w:val="22"/>
        </w:rPr>
      </w:pPr>
      <w:hyperlink w:anchor="_Toc444268993" w:history="1">
        <w:r w:rsidR="005A6964" w:rsidRPr="00BE0A34">
          <w:rPr>
            <w:rStyle w:val="Hyperlink"/>
            <w:noProof/>
          </w:rPr>
          <w:t>A.</w:t>
        </w:r>
        <w:r w:rsidR="005A6964">
          <w:rPr>
            <w:rFonts w:asciiTheme="minorHAnsi" w:eastAsiaTheme="minorEastAsia" w:hAnsiTheme="minorHAnsi"/>
            <w:noProof/>
            <w:sz w:val="22"/>
          </w:rPr>
          <w:tab/>
        </w:r>
        <w:r w:rsidR="005A6964" w:rsidRPr="00BE0A34">
          <w:rPr>
            <w:rStyle w:val="Hyperlink"/>
            <w:noProof/>
          </w:rPr>
          <w:t>The PUCO should adopt an MRO to give Ohio consumers the benefits of markets.</w:t>
        </w:r>
        <w:r w:rsidR="005A6964">
          <w:rPr>
            <w:noProof/>
            <w:webHidden/>
          </w:rPr>
          <w:tab/>
        </w:r>
        <w:r w:rsidR="005A6964">
          <w:rPr>
            <w:noProof/>
            <w:webHidden/>
          </w:rPr>
          <w:fldChar w:fldCharType="begin"/>
        </w:r>
        <w:r w:rsidR="005A6964">
          <w:rPr>
            <w:noProof/>
            <w:webHidden/>
          </w:rPr>
          <w:instrText xml:space="preserve"> PAGEREF _Toc444268993 \h </w:instrText>
        </w:r>
        <w:r w:rsidR="005A6964">
          <w:rPr>
            <w:noProof/>
            <w:webHidden/>
          </w:rPr>
        </w:r>
        <w:r w:rsidR="005A6964">
          <w:rPr>
            <w:noProof/>
            <w:webHidden/>
          </w:rPr>
          <w:fldChar w:fldCharType="separate"/>
        </w:r>
        <w:r w:rsidR="00E625D1">
          <w:rPr>
            <w:noProof/>
            <w:webHidden/>
          </w:rPr>
          <w:t>3</w:t>
        </w:r>
        <w:r w:rsidR="005A6964">
          <w:rPr>
            <w:noProof/>
            <w:webHidden/>
          </w:rPr>
          <w:fldChar w:fldCharType="end"/>
        </w:r>
      </w:hyperlink>
    </w:p>
    <w:p w:rsidR="005A6964" w:rsidRDefault="00880C30">
      <w:pPr>
        <w:pStyle w:val="TOC2"/>
        <w:tabs>
          <w:tab w:val="left" w:pos="1440"/>
        </w:tabs>
        <w:rPr>
          <w:rFonts w:asciiTheme="minorHAnsi" w:eastAsiaTheme="minorEastAsia" w:hAnsiTheme="minorHAnsi"/>
          <w:noProof/>
          <w:sz w:val="22"/>
        </w:rPr>
      </w:pPr>
      <w:hyperlink w:anchor="_Toc444268994" w:history="1">
        <w:r w:rsidR="005A6964" w:rsidRPr="00BE0A34">
          <w:rPr>
            <w:rStyle w:val="Hyperlink"/>
            <w:noProof/>
          </w:rPr>
          <w:t>B.</w:t>
        </w:r>
        <w:r w:rsidR="005A6964">
          <w:rPr>
            <w:rFonts w:asciiTheme="minorHAnsi" w:eastAsiaTheme="minorEastAsia" w:hAnsiTheme="minorHAnsi"/>
            <w:noProof/>
            <w:sz w:val="22"/>
          </w:rPr>
          <w:tab/>
        </w:r>
        <w:r w:rsidR="005A6964" w:rsidRPr="00BE0A34">
          <w:rPr>
            <w:rStyle w:val="Hyperlink"/>
            <w:noProof/>
          </w:rPr>
          <w:t>There are many reasons to reject the Utilities' Electric Security Plan, in favor of a Market-Rate Offer for customers.</w:t>
        </w:r>
        <w:r w:rsidR="005A6964">
          <w:rPr>
            <w:noProof/>
            <w:webHidden/>
          </w:rPr>
          <w:tab/>
        </w:r>
        <w:r w:rsidR="005A6964">
          <w:rPr>
            <w:noProof/>
            <w:webHidden/>
          </w:rPr>
          <w:fldChar w:fldCharType="begin"/>
        </w:r>
        <w:r w:rsidR="005A6964">
          <w:rPr>
            <w:noProof/>
            <w:webHidden/>
          </w:rPr>
          <w:instrText xml:space="preserve"> PAGEREF _Toc444268994 \h </w:instrText>
        </w:r>
        <w:r w:rsidR="005A6964">
          <w:rPr>
            <w:noProof/>
            <w:webHidden/>
          </w:rPr>
        </w:r>
        <w:r w:rsidR="005A6964">
          <w:rPr>
            <w:noProof/>
            <w:webHidden/>
          </w:rPr>
          <w:fldChar w:fldCharType="separate"/>
        </w:r>
        <w:r w:rsidR="00E625D1">
          <w:rPr>
            <w:noProof/>
            <w:webHidden/>
          </w:rPr>
          <w:t>4</w:t>
        </w:r>
        <w:r w:rsidR="005A6964">
          <w:rPr>
            <w:noProof/>
            <w:webHidden/>
          </w:rPr>
          <w:fldChar w:fldCharType="end"/>
        </w:r>
      </w:hyperlink>
    </w:p>
    <w:p w:rsidR="005A6964" w:rsidRDefault="00880C30">
      <w:pPr>
        <w:pStyle w:val="TOC3"/>
        <w:tabs>
          <w:tab w:val="left" w:pos="2160"/>
        </w:tabs>
        <w:rPr>
          <w:rFonts w:asciiTheme="minorHAnsi" w:eastAsiaTheme="minorEastAsia" w:hAnsiTheme="minorHAnsi"/>
          <w:noProof/>
          <w:sz w:val="22"/>
        </w:rPr>
      </w:pPr>
      <w:hyperlink w:anchor="_Toc444268995" w:history="1">
        <w:r w:rsidR="005A6964" w:rsidRPr="00BE0A34">
          <w:rPr>
            <w:rStyle w:val="Hyperlink"/>
            <w:noProof/>
          </w:rPr>
          <w:t>1.</w:t>
        </w:r>
        <w:r w:rsidR="005A6964">
          <w:rPr>
            <w:rFonts w:asciiTheme="minorHAnsi" w:eastAsiaTheme="minorEastAsia" w:hAnsiTheme="minorHAnsi"/>
            <w:noProof/>
            <w:sz w:val="22"/>
          </w:rPr>
          <w:tab/>
        </w:r>
        <w:r w:rsidR="005A6964" w:rsidRPr="00BE0A34">
          <w:rPr>
            <w:rStyle w:val="Hyperlink"/>
            <w:noProof/>
          </w:rPr>
          <w:t>Federal law precludes the PUCO from approving an electric security plan with customers paying for a power purchase agreement (Rider RRS).</w:t>
        </w:r>
        <w:r w:rsidR="005A6964">
          <w:rPr>
            <w:noProof/>
            <w:webHidden/>
          </w:rPr>
          <w:tab/>
        </w:r>
        <w:r w:rsidR="005A6964">
          <w:rPr>
            <w:noProof/>
            <w:webHidden/>
          </w:rPr>
          <w:fldChar w:fldCharType="begin"/>
        </w:r>
        <w:r w:rsidR="005A6964">
          <w:rPr>
            <w:noProof/>
            <w:webHidden/>
          </w:rPr>
          <w:instrText xml:space="preserve"> PAGEREF _Toc444268995 \h </w:instrText>
        </w:r>
        <w:r w:rsidR="005A6964">
          <w:rPr>
            <w:noProof/>
            <w:webHidden/>
          </w:rPr>
        </w:r>
        <w:r w:rsidR="005A6964">
          <w:rPr>
            <w:noProof/>
            <w:webHidden/>
          </w:rPr>
          <w:fldChar w:fldCharType="separate"/>
        </w:r>
        <w:r w:rsidR="00E625D1">
          <w:rPr>
            <w:noProof/>
            <w:webHidden/>
          </w:rPr>
          <w:t>4</w:t>
        </w:r>
        <w:r w:rsidR="005A6964">
          <w:rPr>
            <w:noProof/>
            <w:webHidden/>
          </w:rPr>
          <w:fldChar w:fldCharType="end"/>
        </w:r>
      </w:hyperlink>
    </w:p>
    <w:p w:rsidR="005A6964" w:rsidRDefault="00880C30">
      <w:pPr>
        <w:pStyle w:val="TOC4"/>
        <w:tabs>
          <w:tab w:val="left" w:pos="2880"/>
        </w:tabs>
        <w:rPr>
          <w:rFonts w:asciiTheme="minorHAnsi" w:eastAsiaTheme="minorEastAsia" w:hAnsiTheme="minorHAnsi"/>
          <w:noProof/>
          <w:sz w:val="22"/>
        </w:rPr>
      </w:pPr>
      <w:hyperlink w:anchor="_Toc444268996" w:history="1">
        <w:r w:rsidR="005A6964" w:rsidRPr="00BE0A34">
          <w:rPr>
            <w:rStyle w:val="Hyperlink"/>
            <w:noProof/>
          </w:rPr>
          <w:t>a.</w:t>
        </w:r>
        <w:r w:rsidR="005A6964">
          <w:rPr>
            <w:rFonts w:asciiTheme="minorHAnsi" w:eastAsiaTheme="minorEastAsia" w:hAnsiTheme="minorHAnsi"/>
            <w:noProof/>
            <w:sz w:val="22"/>
          </w:rPr>
          <w:tab/>
        </w:r>
        <w:r w:rsidR="005A6964" w:rsidRPr="00BE0A34">
          <w:rPr>
            <w:rStyle w:val="Hyperlink"/>
            <w:noProof/>
          </w:rPr>
          <w:t>OEG ignores the evidentiary record showing that Rider RRS sets the price for energy, capacity, and ancillary services received by the PJM market participant – FirstEnergy – and is therefore preempted.</w:t>
        </w:r>
        <w:r w:rsidR="005A6964">
          <w:rPr>
            <w:noProof/>
            <w:webHidden/>
          </w:rPr>
          <w:tab/>
        </w:r>
        <w:r w:rsidR="005A6964">
          <w:rPr>
            <w:noProof/>
            <w:webHidden/>
          </w:rPr>
          <w:fldChar w:fldCharType="begin"/>
        </w:r>
        <w:r w:rsidR="005A6964">
          <w:rPr>
            <w:noProof/>
            <w:webHidden/>
          </w:rPr>
          <w:instrText xml:space="preserve"> PAGEREF _Toc444268996 \h </w:instrText>
        </w:r>
        <w:r w:rsidR="005A6964">
          <w:rPr>
            <w:noProof/>
            <w:webHidden/>
          </w:rPr>
        </w:r>
        <w:r w:rsidR="005A6964">
          <w:rPr>
            <w:noProof/>
            <w:webHidden/>
          </w:rPr>
          <w:fldChar w:fldCharType="separate"/>
        </w:r>
        <w:r w:rsidR="00E625D1">
          <w:rPr>
            <w:noProof/>
            <w:webHidden/>
          </w:rPr>
          <w:t>5</w:t>
        </w:r>
        <w:r w:rsidR="005A6964">
          <w:rPr>
            <w:noProof/>
            <w:webHidden/>
          </w:rPr>
          <w:fldChar w:fldCharType="end"/>
        </w:r>
      </w:hyperlink>
    </w:p>
    <w:p w:rsidR="005A6964" w:rsidRDefault="00880C30">
      <w:pPr>
        <w:pStyle w:val="TOC4"/>
        <w:tabs>
          <w:tab w:val="left" w:pos="2880"/>
        </w:tabs>
        <w:rPr>
          <w:rFonts w:asciiTheme="minorHAnsi" w:eastAsiaTheme="minorEastAsia" w:hAnsiTheme="minorHAnsi"/>
          <w:noProof/>
          <w:sz w:val="22"/>
        </w:rPr>
      </w:pPr>
      <w:hyperlink w:anchor="_Toc444268997" w:history="1">
        <w:r w:rsidR="005A6964" w:rsidRPr="00BE0A34">
          <w:rPr>
            <w:rStyle w:val="Hyperlink"/>
            <w:noProof/>
          </w:rPr>
          <w:t>b.</w:t>
        </w:r>
        <w:r w:rsidR="005A6964">
          <w:rPr>
            <w:rFonts w:asciiTheme="minorHAnsi" w:eastAsiaTheme="minorEastAsia" w:hAnsiTheme="minorHAnsi"/>
            <w:noProof/>
            <w:sz w:val="22"/>
          </w:rPr>
          <w:tab/>
        </w:r>
        <w:r w:rsidR="005A6964" w:rsidRPr="00BE0A34">
          <w:rPr>
            <w:rStyle w:val="Hyperlink"/>
            <w:noProof/>
          </w:rPr>
          <w:t>Rider RRS is preempted because the PUCO would be setting the wholesale price for energy, capacity, and ancillary services received by the PJM market participant – FirstEnergy.</w:t>
        </w:r>
        <w:r w:rsidR="005A6964">
          <w:rPr>
            <w:noProof/>
            <w:webHidden/>
          </w:rPr>
          <w:tab/>
        </w:r>
        <w:r w:rsidR="005A6964">
          <w:rPr>
            <w:noProof/>
            <w:webHidden/>
          </w:rPr>
          <w:fldChar w:fldCharType="begin"/>
        </w:r>
        <w:r w:rsidR="005A6964">
          <w:rPr>
            <w:noProof/>
            <w:webHidden/>
          </w:rPr>
          <w:instrText xml:space="preserve"> PAGEREF _Toc444268997 \h </w:instrText>
        </w:r>
        <w:r w:rsidR="005A6964">
          <w:rPr>
            <w:noProof/>
            <w:webHidden/>
          </w:rPr>
        </w:r>
        <w:r w:rsidR="005A6964">
          <w:rPr>
            <w:noProof/>
            <w:webHidden/>
          </w:rPr>
          <w:fldChar w:fldCharType="separate"/>
        </w:r>
        <w:r w:rsidR="00E625D1">
          <w:rPr>
            <w:noProof/>
            <w:webHidden/>
          </w:rPr>
          <w:t>6</w:t>
        </w:r>
        <w:r w:rsidR="005A6964">
          <w:rPr>
            <w:noProof/>
            <w:webHidden/>
          </w:rPr>
          <w:fldChar w:fldCharType="end"/>
        </w:r>
      </w:hyperlink>
    </w:p>
    <w:p w:rsidR="005A6964" w:rsidRDefault="00880C30">
      <w:pPr>
        <w:pStyle w:val="TOC5"/>
        <w:tabs>
          <w:tab w:val="left" w:pos="3600"/>
        </w:tabs>
        <w:rPr>
          <w:rFonts w:asciiTheme="minorHAnsi" w:eastAsiaTheme="minorEastAsia" w:hAnsiTheme="minorHAnsi"/>
          <w:noProof/>
          <w:sz w:val="22"/>
        </w:rPr>
      </w:pPr>
      <w:hyperlink w:anchor="_Toc444268998" w:history="1">
        <w:r w:rsidR="005A6964" w:rsidRPr="00BE0A34">
          <w:rPr>
            <w:rStyle w:val="Hyperlink"/>
            <w:noProof/>
          </w:rPr>
          <w:t>i.</w:t>
        </w:r>
        <w:r w:rsidR="005A6964">
          <w:rPr>
            <w:rFonts w:asciiTheme="minorHAnsi" w:eastAsiaTheme="minorEastAsia" w:hAnsiTheme="minorHAnsi"/>
            <w:noProof/>
            <w:sz w:val="22"/>
          </w:rPr>
          <w:tab/>
        </w:r>
        <w:r w:rsidR="005A6964" w:rsidRPr="00BE0A34">
          <w:rPr>
            <w:rStyle w:val="Hyperlink"/>
            <w:noProof/>
          </w:rPr>
          <w:t>Where, as here, a state program fixes the price received by the PJM market participant, the state program is preempted.</w:t>
        </w:r>
        <w:r w:rsidR="005A6964">
          <w:rPr>
            <w:noProof/>
            <w:webHidden/>
          </w:rPr>
          <w:tab/>
        </w:r>
        <w:r w:rsidR="005A6964">
          <w:rPr>
            <w:noProof/>
            <w:webHidden/>
          </w:rPr>
          <w:fldChar w:fldCharType="begin"/>
        </w:r>
        <w:r w:rsidR="005A6964">
          <w:rPr>
            <w:noProof/>
            <w:webHidden/>
          </w:rPr>
          <w:instrText xml:space="preserve"> PAGEREF _Toc444268998 \h </w:instrText>
        </w:r>
        <w:r w:rsidR="005A6964">
          <w:rPr>
            <w:noProof/>
            <w:webHidden/>
          </w:rPr>
        </w:r>
        <w:r w:rsidR="005A6964">
          <w:rPr>
            <w:noProof/>
            <w:webHidden/>
          </w:rPr>
          <w:fldChar w:fldCharType="separate"/>
        </w:r>
        <w:r w:rsidR="00E625D1">
          <w:rPr>
            <w:noProof/>
            <w:webHidden/>
          </w:rPr>
          <w:t>6</w:t>
        </w:r>
        <w:r w:rsidR="005A6964">
          <w:rPr>
            <w:noProof/>
            <w:webHidden/>
          </w:rPr>
          <w:fldChar w:fldCharType="end"/>
        </w:r>
      </w:hyperlink>
    </w:p>
    <w:p w:rsidR="005A6964" w:rsidRDefault="00880C30">
      <w:pPr>
        <w:pStyle w:val="TOC4"/>
        <w:tabs>
          <w:tab w:val="left" w:pos="2880"/>
        </w:tabs>
        <w:rPr>
          <w:rFonts w:asciiTheme="minorHAnsi" w:eastAsiaTheme="minorEastAsia" w:hAnsiTheme="minorHAnsi"/>
          <w:noProof/>
          <w:sz w:val="22"/>
        </w:rPr>
      </w:pPr>
      <w:hyperlink w:anchor="_Toc444268999" w:history="1">
        <w:r w:rsidR="005A6964" w:rsidRPr="00BE0A34">
          <w:rPr>
            <w:rStyle w:val="Hyperlink"/>
            <w:noProof/>
          </w:rPr>
          <w:t>c.</w:t>
        </w:r>
        <w:r w:rsidR="005A6964">
          <w:rPr>
            <w:rFonts w:asciiTheme="minorHAnsi" w:eastAsiaTheme="minorEastAsia" w:hAnsiTheme="minorHAnsi"/>
            <w:noProof/>
            <w:sz w:val="22"/>
          </w:rPr>
          <w:tab/>
        </w:r>
        <w:r w:rsidR="005A6964" w:rsidRPr="00BE0A34">
          <w:rPr>
            <w:rStyle w:val="Hyperlink"/>
            <w:noProof/>
          </w:rPr>
          <w:t>A state program, such as Rider RRS, that fixes the price received by the PJM market participant (here, FirstEnergy) is preempted regardless of whether the generation attributes are from new or existing generation.</w:t>
        </w:r>
        <w:r w:rsidR="005A6964">
          <w:rPr>
            <w:noProof/>
            <w:webHidden/>
          </w:rPr>
          <w:tab/>
        </w:r>
        <w:r w:rsidR="005A6964">
          <w:rPr>
            <w:noProof/>
            <w:webHidden/>
          </w:rPr>
          <w:fldChar w:fldCharType="begin"/>
        </w:r>
        <w:r w:rsidR="005A6964">
          <w:rPr>
            <w:noProof/>
            <w:webHidden/>
          </w:rPr>
          <w:instrText xml:space="preserve"> PAGEREF _Toc444268999 \h </w:instrText>
        </w:r>
        <w:r w:rsidR="005A6964">
          <w:rPr>
            <w:noProof/>
            <w:webHidden/>
          </w:rPr>
        </w:r>
        <w:r w:rsidR="005A6964">
          <w:rPr>
            <w:noProof/>
            <w:webHidden/>
          </w:rPr>
          <w:fldChar w:fldCharType="separate"/>
        </w:r>
        <w:r w:rsidR="00E625D1">
          <w:rPr>
            <w:noProof/>
            <w:webHidden/>
          </w:rPr>
          <w:t>8</w:t>
        </w:r>
        <w:r w:rsidR="005A6964">
          <w:rPr>
            <w:noProof/>
            <w:webHidden/>
          </w:rPr>
          <w:fldChar w:fldCharType="end"/>
        </w:r>
      </w:hyperlink>
    </w:p>
    <w:p w:rsidR="005A6964" w:rsidRDefault="00880C30">
      <w:pPr>
        <w:pStyle w:val="TOC4"/>
        <w:tabs>
          <w:tab w:val="left" w:pos="2880"/>
        </w:tabs>
        <w:rPr>
          <w:rFonts w:asciiTheme="minorHAnsi" w:eastAsiaTheme="minorEastAsia" w:hAnsiTheme="minorHAnsi"/>
          <w:noProof/>
          <w:sz w:val="22"/>
        </w:rPr>
      </w:pPr>
      <w:hyperlink w:anchor="_Toc444269000" w:history="1">
        <w:r w:rsidR="005A6964" w:rsidRPr="00BE0A34">
          <w:rPr>
            <w:rStyle w:val="Hyperlink"/>
            <w:noProof/>
          </w:rPr>
          <w:t>d.</w:t>
        </w:r>
        <w:r w:rsidR="005A6964">
          <w:rPr>
            <w:rFonts w:asciiTheme="minorHAnsi" w:eastAsiaTheme="minorEastAsia" w:hAnsiTheme="minorHAnsi"/>
            <w:noProof/>
            <w:sz w:val="22"/>
          </w:rPr>
          <w:tab/>
        </w:r>
        <w:r w:rsidR="005A6964" w:rsidRPr="00BE0A34">
          <w:rPr>
            <w:rStyle w:val="Hyperlink"/>
            <w:noProof/>
          </w:rPr>
          <w:t xml:space="preserve">State regulation, such as Rider RRS, may not intrude into areas of exclusive </w:t>
        </w:r>
        <w:r w:rsidR="005A6964" w:rsidRPr="00BE0A34">
          <w:rPr>
            <w:rStyle w:val="Hyperlink"/>
            <w:rFonts w:cs="Times New Roman"/>
            <w:noProof/>
          </w:rPr>
          <w:t>federal authority.</w:t>
        </w:r>
        <w:r w:rsidR="005A6964">
          <w:rPr>
            <w:noProof/>
            <w:webHidden/>
          </w:rPr>
          <w:tab/>
        </w:r>
        <w:r w:rsidR="005A6964">
          <w:rPr>
            <w:noProof/>
            <w:webHidden/>
          </w:rPr>
          <w:fldChar w:fldCharType="begin"/>
        </w:r>
        <w:r w:rsidR="005A6964">
          <w:rPr>
            <w:noProof/>
            <w:webHidden/>
          </w:rPr>
          <w:instrText xml:space="preserve"> PAGEREF _Toc444269000 \h </w:instrText>
        </w:r>
        <w:r w:rsidR="005A6964">
          <w:rPr>
            <w:noProof/>
            <w:webHidden/>
          </w:rPr>
        </w:r>
        <w:r w:rsidR="005A6964">
          <w:rPr>
            <w:noProof/>
            <w:webHidden/>
          </w:rPr>
          <w:fldChar w:fldCharType="separate"/>
        </w:r>
        <w:r w:rsidR="00E625D1">
          <w:rPr>
            <w:noProof/>
            <w:webHidden/>
          </w:rPr>
          <w:t>9</w:t>
        </w:r>
        <w:r w:rsidR="005A6964">
          <w:rPr>
            <w:noProof/>
            <w:webHidden/>
          </w:rPr>
          <w:fldChar w:fldCharType="end"/>
        </w:r>
      </w:hyperlink>
    </w:p>
    <w:p w:rsidR="005A6964" w:rsidRDefault="00880C30">
      <w:pPr>
        <w:pStyle w:val="TOC4"/>
        <w:tabs>
          <w:tab w:val="left" w:pos="2880"/>
        </w:tabs>
        <w:rPr>
          <w:rFonts w:asciiTheme="minorHAnsi" w:eastAsiaTheme="minorEastAsia" w:hAnsiTheme="minorHAnsi"/>
          <w:noProof/>
          <w:sz w:val="22"/>
        </w:rPr>
      </w:pPr>
      <w:hyperlink w:anchor="_Toc444269001" w:history="1">
        <w:r w:rsidR="005A6964" w:rsidRPr="00BE0A34">
          <w:rPr>
            <w:rStyle w:val="Hyperlink"/>
            <w:noProof/>
          </w:rPr>
          <w:t>e.</w:t>
        </w:r>
        <w:r w:rsidR="005A6964">
          <w:rPr>
            <w:rFonts w:asciiTheme="minorHAnsi" w:eastAsiaTheme="minorEastAsia" w:hAnsiTheme="minorHAnsi"/>
            <w:noProof/>
            <w:sz w:val="22"/>
          </w:rPr>
          <w:tab/>
        </w:r>
        <w:r w:rsidR="005A6964" w:rsidRPr="00BE0A34">
          <w:rPr>
            <w:rStyle w:val="Hyperlink"/>
            <w:noProof/>
          </w:rPr>
          <w:t xml:space="preserve">Rider RRS is well-within the scope of governing federal law, which shows that  </w:t>
        </w:r>
        <w:r w:rsidR="005A6964" w:rsidRPr="00BE0A34">
          <w:rPr>
            <w:rStyle w:val="Hyperlink"/>
            <w:rFonts w:cs="Times New Roman"/>
            <w:noProof/>
          </w:rPr>
          <w:t>Rider RRS is preempted.</w:t>
        </w:r>
        <w:r w:rsidR="005A6964">
          <w:rPr>
            <w:noProof/>
            <w:webHidden/>
          </w:rPr>
          <w:tab/>
        </w:r>
        <w:r w:rsidR="005A6964">
          <w:rPr>
            <w:noProof/>
            <w:webHidden/>
          </w:rPr>
          <w:fldChar w:fldCharType="begin"/>
        </w:r>
        <w:r w:rsidR="005A6964">
          <w:rPr>
            <w:noProof/>
            <w:webHidden/>
          </w:rPr>
          <w:instrText xml:space="preserve"> PAGEREF _Toc444269001 \h </w:instrText>
        </w:r>
        <w:r w:rsidR="005A6964">
          <w:rPr>
            <w:noProof/>
            <w:webHidden/>
          </w:rPr>
        </w:r>
        <w:r w:rsidR="005A6964">
          <w:rPr>
            <w:noProof/>
            <w:webHidden/>
          </w:rPr>
          <w:fldChar w:fldCharType="separate"/>
        </w:r>
        <w:r w:rsidR="00E625D1">
          <w:rPr>
            <w:noProof/>
            <w:webHidden/>
          </w:rPr>
          <w:t>10</w:t>
        </w:r>
        <w:r w:rsidR="005A6964">
          <w:rPr>
            <w:noProof/>
            <w:webHidden/>
          </w:rPr>
          <w:fldChar w:fldCharType="end"/>
        </w:r>
      </w:hyperlink>
    </w:p>
    <w:p w:rsidR="005A6964" w:rsidRDefault="00880C30">
      <w:pPr>
        <w:pStyle w:val="TOC3"/>
        <w:tabs>
          <w:tab w:val="left" w:pos="2160"/>
        </w:tabs>
        <w:rPr>
          <w:rFonts w:asciiTheme="minorHAnsi" w:eastAsiaTheme="minorEastAsia" w:hAnsiTheme="minorHAnsi"/>
          <w:noProof/>
          <w:sz w:val="22"/>
        </w:rPr>
      </w:pPr>
      <w:hyperlink w:anchor="_Toc444269002" w:history="1">
        <w:r w:rsidR="005A6964" w:rsidRPr="00BE0A34">
          <w:rPr>
            <w:rStyle w:val="Hyperlink"/>
            <w:noProof/>
          </w:rPr>
          <w:t xml:space="preserve">2. </w:t>
        </w:r>
        <w:r w:rsidR="005A6964">
          <w:rPr>
            <w:rFonts w:asciiTheme="minorHAnsi" w:eastAsiaTheme="minorEastAsia" w:hAnsiTheme="minorHAnsi"/>
            <w:noProof/>
            <w:sz w:val="22"/>
          </w:rPr>
          <w:tab/>
        </w:r>
        <w:r w:rsidR="005A6964" w:rsidRPr="00BE0A34">
          <w:rPr>
            <w:rStyle w:val="Hyperlink"/>
            <w:noProof/>
          </w:rPr>
          <w:t>State law precludes the PUCO from adopting FirstEnergy's electric security plan for customers.</w:t>
        </w:r>
        <w:r w:rsidR="005A6964">
          <w:rPr>
            <w:noProof/>
            <w:webHidden/>
          </w:rPr>
          <w:tab/>
        </w:r>
        <w:r w:rsidR="005A6964">
          <w:rPr>
            <w:noProof/>
            <w:webHidden/>
          </w:rPr>
          <w:fldChar w:fldCharType="begin"/>
        </w:r>
        <w:r w:rsidR="005A6964">
          <w:rPr>
            <w:noProof/>
            <w:webHidden/>
          </w:rPr>
          <w:instrText xml:space="preserve"> PAGEREF _Toc444269002 \h </w:instrText>
        </w:r>
        <w:r w:rsidR="005A6964">
          <w:rPr>
            <w:noProof/>
            <w:webHidden/>
          </w:rPr>
        </w:r>
        <w:r w:rsidR="005A6964">
          <w:rPr>
            <w:noProof/>
            <w:webHidden/>
          </w:rPr>
          <w:fldChar w:fldCharType="separate"/>
        </w:r>
        <w:r w:rsidR="00E625D1">
          <w:rPr>
            <w:noProof/>
            <w:webHidden/>
          </w:rPr>
          <w:t>11</w:t>
        </w:r>
        <w:r w:rsidR="005A6964">
          <w:rPr>
            <w:noProof/>
            <w:webHidden/>
          </w:rPr>
          <w:fldChar w:fldCharType="end"/>
        </w:r>
      </w:hyperlink>
    </w:p>
    <w:p w:rsidR="005A6964" w:rsidRDefault="00880C30">
      <w:pPr>
        <w:pStyle w:val="TOC4"/>
        <w:tabs>
          <w:tab w:val="left" w:pos="2880"/>
        </w:tabs>
        <w:rPr>
          <w:rFonts w:asciiTheme="minorHAnsi" w:eastAsiaTheme="minorEastAsia" w:hAnsiTheme="minorHAnsi"/>
          <w:noProof/>
          <w:sz w:val="22"/>
        </w:rPr>
      </w:pPr>
      <w:hyperlink w:anchor="_Toc444269003" w:history="1">
        <w:r w:rsidR="005A6964" w:rsidRPr="00BE0A34">
          <w:rPr>
            <w:rStyle w:val="Hyperlink"/>
            <w:noProof/>
          </w:rPr>
          <w:t>a.</w:t>
        </w:r>
        <w:r w:rsidR="005A6964">
          <w:rPr>
            <w:rFonts w:asciiTheme="minorHAnsi" w:eastAsiaTheme="minorEastAsia" w:hAnsiTheme="minorHAnsi"/>
            <w:noProof/>
            <w:sz w:val="22"/>
          </w:rPr>
          <w:tab/>
        </w:r>
        <w:r w:rsidR="005A6964" w:rsidRPr="00BE0A34">
          <w:rPr>
            <w:rStyle w:val="Hyperlink"/>
            <w:noProof/>
          </w:rPr>
          <w:t>First Energy has the burden of proof under R.C. 4928.143(C), and they have not met that burden.</w:t>
        </w:r>
        <w:r w:rsidR="005A6964">
          <w:rPr>
            <w:noProof/>
            <w:webHidden/>
          </w:rPr>
          <w:tab/>
        </w:r>
        <w:r w:rsidR="005A6964">
          <w:rPr>
            <w:noProof/>
            <w:webHidden/>
          </w:rPr>
          <w:fldChar w:fldCharType="begin"/>
        </w:r>
        <w:r w:rsidR="005A6964">
          <w:rPr>
            <w:noProof/>
            <w:webHidden/>
          </w:rPr>
          <w:instrText xml:space="preserve"> PAGEREF _Toc444269003 \h </w:instrText>
        </w:r>
        <w:r w:rsidR="005A6964">
          <w:rPr>
            <w:noProof/>
            <w:webHidden/>
          </w:rPr>
        </w:r>
        <w:r w:rsidR="005A6964">
          <w:rPr>
            <w:noProof/>
            <w:webHidden/>
          </w:rPr>
          <w:fldChar w:fldCharType="separate"/>
        </w:r>
        <w:r w:rsidR="00E625D1">
          <w:rPr>
            <w:noProof/>
            <w:webHidden/>
          </w:rPr>
          <w:t>11</w:t>
        </w:r>
        <w:r w:rsidR="005A6964">
          <w:rPr>
            <w:noProof/>
            <w:webHidden/>
          </w:rPr>
          <w:fldChar w:fldCharType="end"/>
        </w:r>
      </w:hyperlink>
    </w:p>
    <w:p w:rsidR="005A6964" w:rsidRDefault="00880C30">
      <w:pPr>
        <w:pStyle w:val="TOC4"/>
        <w:tabs>
          <w:tab w:val="left" w:pos="2880"/>
        </w:tabs>
        <w:rPr>
          <w:rFonts w:asciiTheme="minorHAnsi" w:eastAsiaTheme="minorEastAsia" w:hAnsiTheme="minorHAnsi"/>
          <w:noProof/>
          <w:sz w:val="22"/>
        </w:rPr>
      </w:pPr>
      <w:hyperlink w:anchor="_Toc444269004" w:history="1">
        <w:r w:rsidR="005A6964" w:rsidRPr="00BE0A34">
          <w:rPr>
            <w:rStyle w:val="Hyperlink"/>
            <w:noProof/>
          </w:rPr>
          <w:t>b.</w:t>
        </w:r>
        <w:r w:rsidR="005A6964">
          <w:rPr>
            <w:rFonts w:asciiTheme="minorHAnsi" w:eastAsiaTheme="minorEastAsia" w:hAnsiTheme="minorHAnsi"/>
            <w:noProof/>
            <w:sz w:val="22"/>
          </w:rPr>
          <w:tab/>
        </w:r>
        <w:r w:rsidR="005A6964" w:rsidRPr="00BE0A34">
          <w:rPr>
            <w:rStyle w:val="Hyperlink"/>
            <w:noProof/>
          </w:rPr>
          <w:t>Adopting FirstEnergy's electric security plan will not result in rates that are just and reasonable for customers consistent with R.C. 4905.22.</w:t>
        </w:r>
        <w:r w:rsidR="005A6964">
          <w:rPr>
            <w:noProof/>
            <w:webHidden/>
          </w:rPr>
          <w:tab/>
        </w:r>
        <w:r w:rsidR="005A6964">
          <w:rPr>
            <w:noProof/>
            <w:webHidden/>
          </w:rPr>
          <w:fldChar w:fldCharType="begin"/>
        </w:r>
        <w:r w:rsidR="005A6964">
          <w:rPr>
            <w:noProof/>
            <w:webHidden/>
          </w:rPr>
          <w:instrText xml:space="preserve"> PAGEREF _Toc444269004 \h </w:instrText>
        </w:r>
        <w:r w:rsidR="005A6964">
          <w:rPr>
            <w:noProof/>
            <w:webHidden/>
          </w:rPr>
        </w:r>
        <w:r w:rsidR="005A6964">
          <w:rPr>
            <w:noProof/>
            <w:webHidden/>
          </w:rPr>
          <w:fldChar w:fldCharType="separate"/>
        </w:r>
        <w:r w:rsidR="00E625D1">
          <w:rPr>
            <w:noProof/>
            <w:webHidden/>
          </w:rPr>
          <w:t>12</w:t>
        </w:r>
        <w:r w:rsidR="005A6964">
          <w:rPr>
            <w:noProof/>
            <w:webHidden/>
          </w:rPr>
          <w:fldChar w:fldCharType="end"/>
        </w:r>
      </w:hyperlink>
    </w:p>
    <w:p w:rsidR="005A6964" w:rsidRDefault="00880C30">
      <w:pPr>
        <w:pStyle w:val="TOC4"/>
        <w:tabs>
          <w:tab w:val="left" w:pos="2880"/>
        </w:tabs>
        <w:rPr>
          <w:rFonts w:asciiTheme="minorHAnsi" w:eastAsiaTheme="minorEastAsia" w:hAnsiTheme="minorHAnsi"/>
          <w:noProof/>
          <w:sz w:val="22"/>
        </w:rPr>
      </w:pPr>
      <w:hyperlink w:anchor="_Toc444269005" w:history="1">
        <w:r w:rsidR="005A6964" w:rsidRPr="00BE0A34">
          <w:rPr>
            <w:rStyle w:val="Hyperlink"/>
            <w:noProof/>
          </w:rPr>
          <w:t>c.</w:t>
        </w:r>
        <w:r w:rsidR="005A6964">
          <w:rPr>
            <w:rFonts w:asciiTheme="minorHAnsi" w:eastAsiaTheme="minorEastAsia" w:hAnsiTheme="minorHAnsi"/>
            <w:noProof/>
            <w:sz w:val="22"/>
          </w:rPr>
          <w:tab/>
        </w:r>
        <w:r w:rsidR="005A6964" w:rsidRPr="00BE0A34">
          <w:rPr>
            <w:rStyle w:val="Hyperlink"/>
            <w:noProof/>
          </w:rPr>
          <w:t>FirstEnergy's electric security plan is not more favorable in the aggregate to customers when compared to a market rate offer.</w:t>
        </w:r>
        <w:r w:rsidR="005A6964">
          <w:rPr>
            <w:noProof/>
            <w:webHidden/>
          </w:rPr>
          <w:tab/>
        </w:r>
        <w:r w:rsidR="005A6964">
          <w:rPr>
            <w:noProof/>
            <w:webHidden/>
          </w:rPr>
          <w:fldChar w:fldCharType="begin"/>
        </w:r>
        <w:r w:rsidR="005A6964">
          <w:rPr>
            <w:noProof/>
            <w:webHidden/>
          </w:rPr>
          <w:instrText xml:space="preserve"> PAGEREF _Toc444269005 \h </w:instrText>
        </w:r>
        <w:r w:rsidR="005A6964">
          <w:rPr>
            <w:noProof/>
            <w:webHidden/>
          </w:rPr>
        </w:r>
        <w:r w:rsidR="005A6964">
          <w:rPr>
            <w:noProof/>
            <w:webHidden/>
          </w:rPr>
          <w:fldChar w:fldCharType="separate"/>
        </w:r>
        <w:r w:rsidR="00E625D1">
          <w:rPr>
            <w:noProof/>
            <w:webHidden/>
          </w:rPr>
          <w:t>13</w:t>
        </w:r>
        <w:r w:rsidR="005A6964">
          <w:rPr>
            <w:noProof/>
            <w:webHidden/>
          </w:rPr>
          <w:fldChar w:fldCharType="end"/>
        </w:r>
      </w:hyperlink>
    </w:p>
    <w:p w:rsidR="005A6964" w:rsidRDefault="00880C30">
      <w:pPr>
        <w:pStyle w:val="TOC5"/>
        <w:tabs>
          <w:tab w:val="left" w:pos="3600"/>
        </w:tabs>
        <w:rPr>
          <w:rFonts w:asciiTheme="minorHAnsi" w:eastAsiaTheme="minorEastAsia" w:hAnsiTheme="minorHAnsi"/>
          <w:noProof/>
          <w:sz w:val="22"/>
        </w:rPr>
      </w:pPr>
      <w:hyperlink w:anchor="_Toc444269006" w:history="1">
        <w:r w:rsidR="005A6964" w:rsidRPr="00BE0A34">
          <w:rPr>
            <w:rStyle w:val="Hyperlink"/>
            <w:noProof/>
          </w:rPr>
          <w:t>i.</w:t>
        </w:r>
        <w:r w:rsidR="005A6964">
          <w:rPr>
            <w:rFonts w:asciiTheme="minorHAnsi" w:eastAsiaTheme="minorEastAsia" w:hAnsiTheme="minorHAnsi"/>
            <w:noProof/>
            <w:sz w:val="22"/>
          </w:rPr>
          <w:tab/>
        </w:r>
        <w:r w:rsidR="005A6964" w:rsidRPr="00BE0A34">
          <w:rPr>
            <w:rStyle w:val="Hyperlink"/>
            <w:noProof/>
          </w:rPr>
          <w:t>First Energy overstates and exaggerates the quantitative benefits for customers of the ESP IV.</w:t>
        </w:r>
        <w:r w:rsidR="005A6964">
          <w:rPr>
            <w:noProof/>
            <w:webHidden/>
          </w:rPr>
          <w:tab/>
        </w:r>
        <w:r w:rsidR="005A6964">
          <w:rPr>
            <w:noProof/>
            <w:webHidden/>
          </w:rPr>
          <w:fldChar w:fldCharType="begin"/>
        </w:r>
        <w:r w:rsidR="005A6964">
          <w:rPr>
            <w:noProof/>
            <w:webHidden/>
          </w:rPr>
          <w:instrText xml:space="preserve"> PAGEREF _Toc444269006 \h </w:instrText>
        </w:r>
        <w:r w:rsidR="005A6964">
          <w:rPr>
            <w:noProof/>
            <w:webHidden/>
          </w:rPr>
        </w:r>
        <w:r w:rsidR="005A6964">
          <w:rPr>
            <w:noProof/>
            <w:webHidden/>
          </w:rPr>
          <w:fldChar w:fldCharType="separate"/>
        </w:r>
        <w:r w:rsidR="00E625D1">
          <w:rPr>
            <w:noProof/>
            <w:webHidden/>
          </w:rPr>
          <w:t>14</w:t>
        </w:r>
        <w:r w:rsidR="005A6964">
          <w:rPr>
            <w:noProof/>
            <w:webHidden/>
          </w:rPr>
          <w:fldChar w:fldCharType="end"/>
        </w:r>
      </w:hyperlink>
    </w:p>
    <w:p w:rsidR="005A6964" w:rsidRDefault="00880C30">
      <w:pPr>
        <w:pStyle w:val="TOC6"/>
        <w:tabs>
          <w:tab w:val="left" w:pos="4320"/>
        </w:tabs>
        <w:rPr>
          <w:rFonts w:asciiTheme="minorHAnsi" w:hAnsiTheme="minorHAnsi"/>
          <w:noProof/>
          <w:sz w:val="22"/>
        </w:rPr>
      </w:pPr>
      <w:hyperlink w:anchor="_Toc444269007" w:history="1">
        <w:r w:rsidR="005A6964" w:rsidRPr="00BE0A34">
          <w:rPr>
            <w:rStyle w:val="Hyperlink"/>
            <w:noProof/>
          </w:rPr>
          <w:t>(a)</w:t>
        </w:r>
        <w:r w:rsidR="005A6964">
          <w:rPr>
            <w:rFonts w:asciiTheme="minorHAnsi" w:hAnsiTheme="minorHAnsi"/>
            <w:noProof/>
            <w:sz w:val="22"/>
          </w:rPr>
          <w:tab/>
        </w:r>
        <w:r w:rsidR="005A6964" w:rsidRPr="00BE0A34">
          <w:rPr>
            <w:rStyle w:val="Hyperlink"/>
            <w:noProof/>
          </w:rPr>
          <w:t>FirstEnergy’s Retail Rate Stability Rider assessment is flawed and does not assess the real harm to customers.</w:t>
        </w:r>
        <w:r w:rsidR="005A6964">
          <w:rPr>
            <w:noProof/>
            <w:webHidden/>
          </w:rPr>
          <w:tab/>
        </w:r>
        <w:r w:rsidR="005A6964">
          <w:rPr>
            <w:noProof/>
            <w:webHidden/>
          </w:rPr>
          <w:fldChar w:fldCharType="begin"/>
        </w:r>
        <w:r w:rsidR="005A6964">
          <w:rPr>
            <w:noProof/>
            <w:webHidden/>
          </w:rPr>
          <w:instrText xml:space="preserve"> PAGEREF _Toc444269007 \h </w:instrText>
        </w:r>
        <w:r w:rsidR="005A6964">
          <w:rPr>
            <w:noProof/>
            <w:webHidden/>
          </w:rPr>
        </w:r>
        <w:r w:rsidR="005A6964">
          <w:rPr>
            <w:noProof/>
            <w:webHidden/>
          </w:rPr>
          <w:fldChar w:fldCharType="separate"/>
        </w:r>
        <w:r w:rsidR="00E625D1">
          <w:rPr>
            <w:noProof/>
            <w:webHidden/>
          </w:rPr>
          <w:t>15</w:t>
        </w:r>
        <w:r w:rsidR="005A6964">
          <w:rPr>
            <w:noProof/>
            <w:webHidden/>
          </w:rPr>
          <w:fldChar w:fldCharType="end"/>
        </w:r>
      </w:hyperlink>
    </w:p>
    <w:p w:rsidR="005A6964" w:rsidRDefault="00880C30">
      <w:pPr>
        <w:pStyle w:val="TOC7"/>
        <w:tabs>
          <w:tab w:val="left" w:pos="5040"/>
        </w:tabs>
        <w:rPr>
          <w:rFonts w:asciiTheme="minorHAnsi" w:hAnsiTheme="minorHAnsi"/>
          <w:noProof/>
          <w:sz w:val="22"/>
        </w:rPr>
      </w:pPr>
      <w:hyperlink w:anchor="_Toc444269008" w:history="1">
        <w:r w:rsidR="005A6964" w:rsidRPr="00BE0A34">
          <w:rPr>
            <w:rStyle w:val="Hyperlink"/>
            <w:noProof/>
          </w:rPr>
          <w:t>(i)</w:t>
        </w:r>
        <w:r w:rsidR="005A6964">
          <w:rPr>
            <w:rFonts w:asciiTheme="minorHAnsi" w:hAnsiTheme="minorHAnsi"/>
            <w:noProof/>
            <w:sz w:val="22"/>
          </w:rPr>
          <w:tab/>
        </w:r>
        <w:r w:rsidR="005A6964" w:rsidRPr="00BE0A34">
          <w:rPr>
            <w:rStyle w:val="Hyperlink"/>
            <w:noProof/>
          </w:rPr>
          <w:t>OCC/NOPEC witness Wilson provides a more realistic assessment of the Rate Stability Rider when compared to Lisowski.</w:t>
        </w:r>
        <w:r w:rsidR="005A6964">
          <w:rPr>
            <w:noProof/>
            <w:webHidden/>
          </w:rPr>
          <w:tab/>
        </w:r>
        <w:r w:rsidR="005A6964">
          <w:rPr>
            <w:noProof/>
            <w:webHidden/>
          </w:rPr>
          <w:fldChar w:fldCharType="begin"/>
        </w:r>
        <w:r w:rsidR="005A6964">
          <w:rPr>
            <w:noProof/>
            <w:webHidden/>
          </w:rPr>
          <w:instrText xml:space="preserve"> PAGEREF _Toc444269008 \h </w:instrText>
        </w:r>
        <w:r w:rsidR="005A6964">
          <w:rPr>
            <w:noProof/>
            <w:webHidden/>
          </w:rPr>
        </w:r>
        <w:r w:rsidR="005A6964">
          <w:rPr>
            <w:noProof/>
            <w:webHidden/>
          </w:rPr>
          <w:fldChar w:fldCharType="separate"/>
        </w:r>
        <w:r w:rsidR="00E625D1">
          <w:rPr>
            <w:noProof/>
            <w:webHidden/>
          </w:rPr>
          <w:t>15</w:t>
        </w:r>
        <w:r w:rsidR="005A6964">
          <w:rPr>
            <w:noProof/>
            <w:webHidden/>
          </w:rPr>
          <w:fldChar w:fldCharType="end"/>
        </w:r>
      </w:hyperlink>
    </w:p>
    <w:p w:rsidR="005A6964" w:rsidRDefault="00880C30">
      <w:pPr>
        <w:pStyle w:val="TOC7"/>
        <w:tabs>
          <w:tab w:val="left" w:pos="5040"/>
        </w:tabs>
        <w:rPr>
          <w:rFonts w:asciiTheme="minorHAnsi" w:hAnsiTheme="minorHAnsi"/>
          <w:noProof/>
          <w:sz w:val="22"/>
        </w:rPr>
      </w:pPr>
      <w:hyperlink w:anchor="_Toc444269009" w:history="1">
        <w:r w:rsidR="005A6964" w:rsidRPr="00BE0A34">
          <w:rPr>
            <w:rStyle w:val="Hyperlink"/>
            <w:noProof/>
          </w:rPr>
          <w:t>(ii)</w:t>
        </w:r>
        <w:r w:rsidR="005A6964">
          <w:rPr>
            <w:rFonts w:asciiTheme="minorHAnsi" w:hAnsiTheme="minorHAnsi"/>
            <w:noProof/>
            <w:sz w:val="22"/>
          </w:rPr>
          <w:tab/>
        </w:r>
        <w:r w:rsidR="005A6964" w:rsidRPr="00BE0A34">
          <w:rPr>
            <w:rStyle w:val="Hyperlink"/>
            <w:noProof/>
          </w:rPr>
          <w:t>FirstEnergy’s claims are unfounded that the Rate Stability Rider provides a hedge or long-term stability for customers.</w:t>
        </w:r>
        <w:r w:rsidR="005A6964">
          <w:rPr>
            <w:noProof/>
            <w:webHidden/>
          </w:rPr>
          <w:tab/>
        </w:r>
        <w:r w:rsidR="005A6964">
          <w:rPr>
            <w:noProof/>
            <w:webHidden/>
          </w:rPr>
          <w:fldChar w:fldCharType="begin"/>
        </w:r>
        <w:r w:rsidR="005A6964">
          <w:rPr>
            <w:noProof/>
            <w:webHidden/>
          </w:rPr>
          <w:instrText xml:space="preserve"> PAGEREF _Toc444269009 \h </w:instrText>
        </w:r>
        <w:r w:rsidR="005A6964">
          <w:rPr>
            <w:noProof/>
            <w:webHidden/>
          </w:rPr>
        </w:r>
        <w:r w:rsidR="005A6964">
          <w:rPr>
            <w:noProof/>
            <w:webHidden/>
          </w:rPr>
          <w:fldChar w:fldCharType="separate"/>
        </w:r>
        <w:r w:rsidR="00E625D1">
          <w:rPr>
            <w:noProof/>
            <w:webHidden/>
          </w:rPr>
          <w:t>17</w:t>
        </w:r>
        <w:r w:rsidR="005A6964">
          <w:rPr>
            <w:noProof/>
            <w:webHidden/>
          </w:rPr>
          <w:fldChar w:fldCharType="end"/>
        </w:r>
      </w:hyperlink>
    </w:p>
    <w:p w:rsidR="005A6964" w:rsidRDefault="00880C30">
      <w:pPr>
        <w:pStyle w:val="TOC6"/>
        <w:tabs>
          <w:tab w:val="left" w:pos="4320"/>
        </w:tabs>
        <w:rPr>
          <w:rFonts w:asciiTheme="minorHAnsi" w:hAnsiTheme="minorHAnsi"/>
          <w:noProof/>
          <w:sz w:val="22"/>
        </w:rPr>
      </w:pPr>
      <w:hyperlink w:anchor="_Toc444269010" w:history="1">
        <w:r w:rsidR="005A6964" w:rsidRPr="00BE0A34">
          <w:rPr>
            <w:rStyle w:val="Hyperlink"/>
            <w:noProof/>
          </w:rPr>
          <w:t>(b)</w:t>
        </w:r>
        <w:r w:rsidR="005A6964">
          <w:rPr>
            <w:rFonts w:asciiTheme="minorHAnsi" w:hAnsiTheme="minorHAnsi"/>
            <w:noProof/>
            <w:sz w:val="22"/>
          </w:rPr>
          <w:tab/>
        </w:r>
        <w:r w:rsidR="005A6964" w:rsidRPr="00BE0A34">
          <w:rPr>
            <w:rStyle w:val="Hyperlink"/>
            <w:noProof/>
          </w:rPr>
          <w:t>The Delivery Capital Recovery Rider will cost customers dearly and violates the requirements of Ohio law.</w:t>
        </w:r>
        <w:r w:rsidR="005A6964">
          <w:rPr>
            <w:noProof/>
            <w:webHidden/>
          </w:rPr>
          <w:tab/>
        </w:r>
        <w:r w:rsidR="005A6964">
          <w:rPr>
            <w:noProof/>
            <w:webHidden/>
          </w:rPr>
          <w:fldChar w:fldCharType="begin"/>
        </w:r>
        <w:r w:rsidR="005A6964">
          <w:rPr>
            <w:noProof/>
            <w:webHidden/>
          </w:rPr>
          <w:instrText xml:space="preserve"> PAGEREF _Toc444269010 \h </w:instrText>
        </w:r>
        <w:r w:rsidR="005A6964">
          <w:rPr>
            <w:noProof/>
            <w:webHidden/>
          </w:rPr>
        </w:r>
        <w:r w:rsidR="005A6964">
          <w:rPr>
            <w:noProof/>
            <w:webHidden/>
          </w:rPr>
          <w:fldChar w:fldCharType="separate"/>
        </w:r>
        <w:r w:rsidR="00E625D1">
          <w:rPr>
            <w:noProof/>
            <w:webHidden/>
          </w:rPr>
          <w:t>18</w:t>
        </w:r>
        <w:r w:rsidR="005A6964">
          <w:rPr>
            <w:noProof/>
            <w:webHidden/>
          </w:rPr>
          <w:fldChar w:fldCharType="end"/>
        </w:r>
      </w:hyperlink>
    </w:p>
    <w:p w:rsidR="005A6964" w:rsidRDefault="00880C30">
      <w:pPr>
        <w:pStyle w:val="TOC5"/>
        <w:tabs>
          <w:tab w:val="left" w:pos="3600"/>
        </w:tabs>
        <w:rPr>
          <w:rFonts w:asciiTheme="minorHAnsi" w:eastAsiaTheme="minorEastAsia" w:hAnsiTheme="minorHAnsi"/>
          <w:noProof/>
          <w:sz w:val="22"/>
        </w:rPr>
      </w:pPr>
      <w:hyperlink w:anchor="_Toc444269011" w:history="1">
        <w:r w:rsidR="005A6964" w:rsidRPr="00BE0A34">
          <w:rPr>
            <w:rStyle w:val="Hyperlink"/>
            <w:noProof/>
          </w:rPr>
          <w:t>ii.</w:t>
        </w:r>
        <w:r w:rsidR="005A6964">
          <w:rPr>
            <w:rFonts w:asciiTheme="minorHAnsi" w:eastAsiaTheme="minorEastAsia" w:hAnsiTheme="minorHAnsi"/>
            <w:noProof/>
            <w:sz w:val="22"/>
          </w:rPr>
          <w:tab/>
        </w:r>
        <w:r w:rsidR="005A6964" w:rsidRPr="00BE0A34">
          <w:rPr>
            <w:rStyle w:val="Hyperlink"/>
            <w:noProof/>
          </w:rPr>
          <w:t>FirstEnergy claims a series of illusory qualitative benefits that do not benefit consumers.</w:t>
        </w:r>
        <w:r w:rsidR="005A6964">
          <w:rPr>
            <w:noProof/>
            <w:webHidden/>
          </w:rPr>
          <w:tab/>
        </w:r>
        <w:r w:rsidR="005A6964">
          <w:rPr>
            <w:noProof/>
            <w:webHidden/>
          </w:rPr>
          <w:fldChar w:fldCharType="begin"/>
        </w:r>
        <w:r w:rsidR="005A6964">
          <w:rPr>
            <w:noProof/>
            <w:webHidden/>
          </w:rPr>
          <w:instrText xml:space="preserve"> PAGEREF _Toc444269011 \h </w:instrText>
        </w:r>
        <w:r w:rsidR="005A6964">
          <w:rPr>
            <w:noProof/>
            <w:webHidden/>
          </w:rPr>
        </w:r>
        <w:r w:rsidR="005A6964">
          <w:rPr>
            <w:noProof/>
            <w:webHidden/>
          </w:rPr>
          <w:fldChar w:fldCharType="separate"/>
        </w:r>
        <w:r w:rsidR="00E625D1">
          <w:rPr>
            <w:noProof/>
            <w:webHidden/>
          </w:rPr>
          <w:t>20</w:t>
        </w:r>
        <w:r w:rsidR="005A6964">
          <w:rPr>
            <w:noProof/>
            <w:webHidden/>
          </w:rPr>
          <w:fldChar w:fldCharType="end"/>
        </w:r>
      </w:hyperlink>
    </w:p>
    <w:p w:rsidR="005A6964" w:rsidRDefault="00880C30">
      <w:pPr>
        <w:pStyle w:val="TOC6"/>
        <w:tabs>
          <w:tab w:val="left" w:pos="4320"/>
        </w:tabs>
        <w:rPr>
          <w:rFonts w:asciiTheme="minorHAnsi" w:hAnsiTheme="minorHAnsi"/>
          <w:noProof/>
          <w:sz w:val="22"/>
        </w:rPr>
      </w:pPr>
      <w:hyperlink w:anchor="_Toc444269012" w:history="1">
        <w:r w:rsidR="005A6964" w:rsidRPr="00BE0A34">
          <w:rPr>
            <w:rStyle w:val="Hyperlink"/>
            <w:noProof/>
          </w:rPr>
          <w:t>(a)</w:t>
        </w:r>
        <w:r w:rsidR="005A6964">
          <w:rPr>
            <w:rFonts w:asciiTheme="minorHAnsi" w:hAnsiTheme="minorHAnsi"/>
            <w:noProof/>
            <w:sz w:val="22"/>
          </w:rPr>
          <w:tab/>
        </w:r>
        <w:r w:rsidR="005A6964" w:rsidRPr="00BE0A34">
          <w:rPr>
            <w:rStyle w:val="Hyperlink"/>
            <w:noProof/>
          </w:rPr>
          <w:t>The Rate Stability Rider’s purported benefits to resource diversity are overstated.</w:t>
        </w:r>
        <w:r w:rsidR="005A6964">
          <w:rPr>
            <w:noProof/>
            <w:webHidden/>
          </w:rPr>
          <w:tab/>
        </w:r>
        <w:r w:rsidR="005A6964">
          <w:rPr>
            <w:noProof/>
            <w:webHidden/>
          </w:rPr>
          <w:fldChar w:fldCharType="begin"/>
        </w:r>
        <w:r w:rsidR="005A6964">
          <w:rPr>
            <w:noProof/>
            <w:webHidden/>
          </w:rPr>
          <w:instrText xml:space="preserve"> PAGEREF _Toc444269012 \h </w:instrText>
        </w:r>
        <w:r w:rsidR="005A6964">
          <w:rPr>
            <w:noProof/>
            <w:webHidden/>
          </w:rPr>
        </w:r>
        <w:r w:rsidR="005A6964">
          <w:rPr>
            <w:noProof/>
            <w:webHidden/>
          </w:rPr>
          <w:fldChar w:fldCharType="separate"/>
        </w:r>
        <w:r w:rsidR="00E625D1">
          <w:rPr>
            <w:noProof/>
            <w:webHidden/>
          </w:rPr>
          <w:t>21</w:t>
        </w:r>
        <w:r w:rsidR="005A6964">
          <w:rPr>
            <w:noProof/>
            <w:webHidden/>
          </w:rPr>
          <w:fldChar w:fldCharType="end"/>
        </w:r>
      </w:hyperlink>
    </w:p>
    <w:p w:rsidR="005A6964" w:rsidRDefault="00880C30">
      <w:pPr>
        <w:pStyle w:val="TOC6"/>
        <w:tabs>
          <w:tab w:val="left" w:pos="4320"/>
        </w:tabs>
        <w:rPr>
          <w:rFonts w:asciiTheme="minorHAnsi" w:hAnsiTheme="minorHAnsi"/>
          <w:noProof/>
          <w:sz w:val="22"/>
        </w:rPr>
      </w:pPr>
      <w:hyperlink w:anchor="_Toc444269013" w:history="1">
        <w:r w:rsidR="005A6964" w:rsidRPr="00BE0A34">
          <w:rPr>
            <w:rStyle w:val="Hyperlink"/>
            <w:noProof/>
          </w:rPr>
          <w:t>(b)</w:t>
        </w:r>
        <w:r w:rsidR="005A6964">
          <w:rPr>
            <w:rFonts w:asciiTheme="minorHAnsi" w:hAnsiTheme="minorHAnsi"/>
            <w:noProof/>
            <w:sz w:val="22"/>
          </w:rPr>
          <w:tab/>
        </w:r>
        <w:r w:rsidR="005A6964" w:rsidRPr="00BE0A34">
          <w:rPr>
            <w:rStyle w:val="Hyperlink"/>
            <w:noProof/>
          </w:rPr>
          <w:t>First Energy’s other commitment to resource diversity are illusory.</w:t>
        </w:r>
        <w:r w:rsidR="005A6964">
          <w:rPr>
            <w:noProof/>
            <w:webHidden/>
          </w:rPr>
          <w:tab/>
        </w:r>
        <w:r w:rsidR="005A6964">
          <w:rPr>
            <w:noProof/>
            <w:webHidden/>
          </w:rPr>
          <w:fldChar w:fldCharType="begin"/>
        </w:r>
        <w:r w:rsidR="005A6964">
          <w:rPr>
            <w:noProof/>
            <w:webHidden/>
          </w:rPr>
          <w:instrText xml:space="preserve"> PAGEREF _Toc444269013 \h </w:instrText>
        </w:r>
        <w:r w:rsidR="005A6964">
          <w:rPr>
            <w:noProof/>
            <w:webHidden/>
          </w:rPr>
        </w:r>
        <w:r w:rsidR="005A6964">
          <w:rPr>
            <w:noProof/>
            <w:webHidden/>
          </w:rPr>
          <w:fldChar w:fldCharType="separate"/>
        </w:r>
        <w:r w:rsidR="00E625D1">
          <w:rPr>
            <w:noProof/>
            <w:webHidden/>
          </w:rPr>
          <w:t>22</w:t>
        </w:r>
        <w:r w:rsidR="005A6964">
          <w:rPr>
            <w:noProof/>
            <w:webHidden/>
          </w:rPr>
          <w:fldChar w:fldCharType="end"/>
        </w:r>
      </w:hyperlink>
    </w:p>
    <w:p w:rsidR="005A6964" w:rsidRDefault="00880C30">
      <w:pPr>
        <w:pStyle w:val="TOC6"/>
        <w:tabs>
          <w:tab w:val="left" w:pos="4320"/>
        </w:tabs>
        <w:rPr>
          <w:rFonts w:asciiTheme="minorHAnsi" w:hAnsiTheme="minorHAnsi"/>
          <w:noProof/>
          <w:sz w:val="22"/>
        </w:rPr>
      </w:pPr>
      <w:hyperlink w:anchor="_Toc444269014" w:history="1">
        <w:r w:rsidR="005A6964" w:rsidRPr="00BE0A34">
          <w:rPr>
            <w:rStyle w:val="Hyperlink"/>
            <w:noProof/>
          </w:rPr>
          <w:t>(c)</w:t>
        </w:r>
        <w:r w:rsidR="005A6964">
          <w:rPr>
            <w:rFonts w:asciiTheme="minorHAnsi" w:hAnsiTheme="minorHAnsi"/>
            <w:noProof/>
            <w:sz w:val="22"/>
          </w:rPr>
          <w:tab/>
        </w:r>
        <w:r w:rsidR="005A6964" w:rsidRPr="00BE0A34">
          <w:rPr>
            <w:rStyle w:val="Hyperlink"/>
            <w:noProof/>
          </w:rPr>
          <w:t>This stipulated ESP provides no qualitative benefits to the competitive market and in fact harms the competitive market that is supposed to benefit consumers.</w:t>
        </w:r>
        <w:r w:rsidR="005A6964">
          <w:rPr>
            <w:noProof/>
            <w:webHidden/>
          </w:rPr>
          <w:tab/>
        </w:r>
        <w:r w:rsidR="005A6964">
          <w:rPr>
            <w:noProof/>
            <w:webHidden/>
          </w:rPr>
          <w:fldChar w:fldCharType="begin"/>
        </w:r>
        <w:r w:rsidR="005A6964">
          <w:rPr>
            <w:noProof/>
            <w:webHidden/>
          </w:rPr>
          <w:instrText xml:space="preserve"> PAGEREF _Toc444269014 \h </w:instrText>
        </w:r>
        <w:r w:rsidR="005A6964">
          <w:rPr>
            <w:noProof/>
            <w:webHidden/>
          </w:rPr>
        </w:r>
        <w:r w:rsidR="005A6964">
          <w:rPr>
            <w:noProof/>
            <w:webHidden/>
          </w:rPr>
          <w:fldChar w:fldCharType="separate"/>
        </w:r>
        <w:r w:rsidR="00E625D1">
          <w:rPr>
            <w:noProof/>
            <w:webHidden/>
          </w:rPr>
          <w:t>23</w:t>
        </w:r>
        <w:r w:rsidR="005A6964">
          <w:rPr>
            <w:noProof/>
            <w:webHidden/>
          </w:rPr>
          <w:fldChar w:fldCharType="end"/>
        </w:r>
      </w:hyperlink>
    </w:p>
    <w:p w:rsidR="005A6964" w:rsidRDefault="00880C30">
      <w:pPr>
        <w:pStyle w:val="TOC6"/>
        <w:tabs>
          <w:tab w:val="left" w:pos="4320"/>
        </w:tabs>
        <w:rPr>
          <w:rFonts w:asciiTheme="minorHAnsi" w:hAnsiTheme="minorHAnsi"/>
          <w:noProof/>
          <w:sz w:val="22"/>
        </w:rPr>
      </w:pPr>
      <w:hyperlink w:anchor="_Toc444269015" w:history="1">
        <w:r w:rsidR="005A6964" w:rsidRPr="00BE0A34">
          <w:rPr>
            <w:rStyle w:val="Hyperlink"/>
            <w:noProof/>
          </w:rPr>
          <w:t>(d)</w:t>
        </w:r>
        <w:r w:rsidR="005A6964">
          <w:rPr>
            <w:rFonts w:asciiTheme="minorHAnsi" w:hAnsiTheme="minorHAnsi"/>
            <w:noProof/>
            <w:sz w:val="22"/>
          </w:rPr>
          <w:tab/>
        </w:r>
        <w:r w:rsidR="005A6964" w:rsidRPr="00BE0A34">
          <w:rPr>
            <w:rStyle w:val="Hyperlink"/>
            <w:noProof/>
          </w:rPr>
          <w:t>FirstEnergy touts a base rate distribution freeze that will harm, not benefit, customers.</w:t>
        </w:r>
        <w:r w:rsidR="005A6964">
          <w:rPr>
            <w:noProof/>
            <w:webHidden/>
          </w:rPr>
          <w:tab/>
        </w:r>
        <w:r w:rsidR="005A6964">
          <w:rPr>
            <w:noProof/>
            <w:webHidden/>
          </w:rPr>
          <w:fldChar w:fldCharType="begin"/>
        </w:r>
        <w:r w:rsidR="005A6964">
          <w:rPr>
            <w:noProof/>
            <w:webHidden/>
          </w:rPr>
          <w:instrText xml:space="preserve"> PAGEREF _Toc444269015 \h </w:instrText>
        </w:r>
        <w:r w:rsidR="005A6964">
          <w:rPr>
            <w:noProof/>
            <w:webHidden/>
          </w:rPr>
        </w:r>
        <w:r w:rsidR="005A6964">
          <w:rPr>
            <w:noProof/>
            <w:webHidden/>
          </w:rPr>
          <w:fldChar w:fldCharType="separate"/>
        </w:r>
        <w:r w:rsidR="00E625D1">
          <w:rPr>
            <w:noProof/>
            <w:webHidden/>
          </w:rPr>
          <w:t>24</w:t>
        </w:r>
        <w:r w:rsidR="005A6964">
          <w:rPr>
            <w:noProof/>
            <w:webHidden/>
          </w:rPr>
          <w:fldChar w:fldCharType="end"/>
        </w:r>
      </w:hyperlink>
    </w:p>
    <w:p w:rsidR="005A6964" w:rsidRDefault="00880C30">
      <w:pPr>
        <w:pStyle w:val="TOC6"/>
        <w:tabs>
          <w:tab w:val="left" w:pos="4320"/>
        </w:tabs>
        <w:rPr>
          <w:rFonts w:asciiTheme="minorHAnsi" w:hAnsiTheme="minorHAnsi"/>
          <w:noProof/>
          <w:sz w:val="22"/>
        </w:rPr>
      </w:pPr>
      <w:hyperlink w:anchor="_Toc444269016" w:history="1">
        <w:r w:rsidR="005A6964" w:rsidRPr="00BE0A34">
          <w:rPr>
            <w:rStyle w:val="Hyperlink"/>
            <w:noProof/>
          </w:rPr>
          <w:t>(e)</w:t>
        </w:r>
        <w:r w:rsidR="005A6964">
          <w:rPr>
            <w:rFonts w:asciiTheme="minorHAnsi" w:hAnsiTheme="minorHAnsi"/>
            <w:noProof/>
            <w:sz w:val="22"/>
          </w:rPr>
          <w:tab/>
        </w:r>
        <w:r w:rsidR="005A6964" w:rsidRPr="00BE0A34">
          <w:rPr>
            <w:rStyle w:val="Hyperlink"/>
            <w:noProof/>
          </w:rPr>
          <w:t>Straight-Fixed Variable rate design will harm, not benefit, customers.</w:t>
        </w:r>
        <w:r w:rsidR="005A6964">
          <w:rPr>
            <w:noProof/>
            <w:webHidden/>
          </w:rPr>
          <w:tab/>
        </w:r>
        <w:r w:rsidR="005A6964">
          <w:rPr>
            <w:noProof/>
            <w:webHidden/>
          </w:rPr>
          <w:fldChar w:fldCharType="begin"/>
        </w:r>
        <w:r w:rsidR="005A6964">
          <w:rPr>
            <w:noProof/>
            <w:webHidden/>
          </w:rPr>
          <w:instrText xml:space="preserve"> PAGEREF _Toc444269016 \h </w:instrText>
        </w:r>
        <w:r w:rsidR="005A6964">
          <w:rPr>
            <w:noProof/>
            <w:webHidden/>
          </w:rPr>
        </w:r>
        <w:r w:rsidR="005A6964">
          <w:rPr>
            <w:noProof/>
            <w:webHidden/>
          </w:rPr>
          <w:fldChar w:fldCharType="separate"/>
        </w:r>
        <w:r w:rsidR="00E625D1">
          <w:rPr>
            <w:noProof/>
            <w:webHidden/>
          </w:rPr>
          <w:t>25</w:t>
        </w:r>
        <w:r w:rsidR="005A6964">
          <w:rPr>
            <w:noProof/>
            <w:webHidden/>
          </w:rPr>
          <w:fldChar w:fldCharType="end"/>
        </w:r>
      </w:hyperlink>
    </w:p>
    <w:p w:rsidR="005A6964" w:rsidRDefault="00880C30">
      <w:pPr>
        <w:pStyle w:val="TOC6"/>
        <w:tabs>
          <w:tab w:val="left" w:pos="4320"/>
        </w:tabs>
        <w:rPr>
          <w:rFonts w:asciiTheme="minorHAnsi" w:hAnsiTheme="minorHAnsi"/>
          <w:noProof/>
          <w:sz w:val="22"/>
        </w:rPr>
      </w:pPr>
      <w:hyperlink w:anchor="_Toc444269017" w:history="1">
        <w:r w:rsidR="005A6964" w:rsidRPr="00BE0A34">
          <w:rPr>
            <w:rStyle w:val="Hyperlink"/>
            <w:noProof/>
          </w:rPr>
          <w:t>(f)</w:t>
        </w:r>
        <w:r w:rsidR="005A6964">
          <w:rPr>
            <w:rFonts w:asciiTheme="minorHAnsi" w:hAnsiTheme="minorHAnsi"/>
            <w:noProof/>
            <w:sz w:val="22"/>
          </w:rPr>
          <w:tab/>
        </w:r>
        <w:r w:rsidR="005A6964" w:rsidRPr="00BE0A34">
          <w:rPr>
            <w:rStyle w:val="Hyperlink"/>
            <w:noProof/>
          </w:rPr>
          <w:t>FirstEnergy’s other claimed qualitative benefits are overstated or non-existent for customers.</w:t>
        </w:r>
        <w:r w:rsidR="005A6964">
          <w:rPr>
            <w:noProof/>
            <w:webHidden/>
          </w:rPr>
          <w:tab/>
        </w:r>
        <w:r w:rsidR="005A6964">
          <w:rPr>
            <w:noProof/>
            <w:webHidden/>
          </w:rPr>
          <w:fldChar w:fldCharType="begin"/>
        </w:r>
        <w:r w:rsidR="005A6964">
          <w:rPr>
            <w:noProof/>
            <w:webHidden/>
          </w:rPr>
          <w:instrText xml:space="preserve"> PAGEREF _Toc444269017 \h </w:instrText>
        </w:r>
        <w:r w:rsidR="005A6964">
          <w:rPr>
            <w:noProof/>
            <w:webHidden/>
          </w:rPr>
        </w:r>
        <w:r w:rsidR="005A6964">
          <w:rPr>
            <w:noProof/>
            <w:webHidden/>
          </w:rPr>
          <w:fldChar w:fldCharType="separate"/>
        </w:r>
        <w:r w:rsidR="00E625D1">
          <w:rPr>
            <w:noProof/>
            <w:webHidden/>
          </w:rPr>
          <w:t>26</w:t>
        </w:r>
        <w:r w:rsidR="005A6964">
          <w:rPr>
            <w:noProof/>
            <w:webHidden/>
          </w:rPr>
          <w:fldChar w:fldCharType="end"/>
        </w:r>
      </w:hyperlink>
    </w:p>
    <w:p w:rsidR="005A6964" w:rsidRDefault="00880C30">
      <w:pPr>
        <w:pStyle w:val="TOC4"/>
        <w:tabs>
          <w:tab w:val="left" w:pos="2880"/>
        </w:tabs>
        <w:rPr>
          <w:rFonts w:asciiTheme="minorHAnsi" w:eastAsiaTheme="minorEastAsia" w:hAnsiTheme="minorHAnsi"/>
          <w:noProof/>
          <w:sz w:val="22"/>
        </w:rPr>
      </w:pPr>
      <w:hyperlink w:anchor="_Toc444269018" w:history="1">
        <w:r w:rsidR="005A6964" w:rsidRPr="00BE0A34">
          <w:rPr>
            <w:rStyle w:val="Hyperlink"/>
            <w:noProof/>
          </w:rPr>
          <w:t>d.</w:t>
        </w:r>
        <w:r w:rsidR="005A6964">
          <w:rPr>
            <w:rFonts w:asciiTheme="minorHAnsi" w:eastAsiaTheme="minorEastAsia" w:hAnsiTheme="minorHAnsi"/>
            <w:noProof/>
            <w:sz w:val="22"/>
          </w:rPr>
          <w:tab/>
        </w:r>
        <w:r w:rsidR="005A6964" w:rsidRPr="00BE0A34">
          <w:rPr>
            <w:rStyle w:val="Hyperlink"/>
            <w:noProof/>
          </w:rPr>
          <w:t>The power purchase agreement (Rider RRS) is not an authorized provision that FirstEnergy can use to charge customers under Ohio law.</w:t>
        </w:r>
        <w:r w:rsidR="005A6964">
          <w:rPr>
            <w:noProof/>
            <w:webHidden/>
          </w:rPr>
          <w:tab/>
        </w:r>
        <w:r w:rsidR="005A6964">
          <w:rPr>
            <w:noProof/>
            <w:webHidden/>
          </w:rPr>
          <w:fldChar w:fldCharType="begin"/>
        </w:r>
        <w:r w:rsidR="005A6964">
          <w:rPr>
            <w:noProof/>
            <w:webHidden/>
          </w:rPr>
          <w:instrText xml:space="preserve"> PAGEREF _Toc444269018 \h </w:instrText>
        </w:r>
        <w:r w:rsidR="005A6964">
          <w:rPr>
            <w:noProof/>
            <w:webHidden/>
          </w:rPr>
        </w:r>
        <w:r w:rsidR="005A6964">
          <w:rPr>
            <w:noProof/>
            <w:webHidden/>
          </w:rPr>
          <w:fldChar w:fldCharType="separate"/>
        </w:r>
        <w:r w:rsidR="00E625D1">
          <w:rPr>
            <w:noProof/>
            <w:webHidden/>
          </w:rPr>
          <w:t>27</w:t>
        </w:r>
        <w:r w:rsidR="005A6964">
          <w:rPr>
            <w:noProof/>
            <w:webHidden/>
          </w:rPr>
          <w:fldChar w:fldCharType="end"/>
        </w:r>
      </w:hyperlink>
    </w:p>
    <w:p w:rsidR="005A6964" w:rsidRDefault="00880C30">
      <w:pPr>
        <w:pStyle w:val="TOC5"/>
        <w:tabs>
          <w:tab w:val="left" w:pos="3600"/>
        </w:tabs>
        <w:rPr>
          <w:rFonts w:asciiTheme="minorHAnsi" w:eastAsiaTheme="minorEastAsia" w:hAnsiTheme="minorHAnsi"/>
          <w:noProof/>
          <w:sz w:val="22"/>
        </w:rPr>
      </w:pPr>
      <w:hyperlink w:anchor="_Toc444269019" w:history="1">
        <w:r w:rsidR="005A6964" w:rsidRPr="00BE0A34">
          <w:rPr>
            <w:rStyle w:val="Hyperlink"/>
            <w:noProof/>
          </w:rPr>
          <w:t>i.</w:t>
        </w:r>
        <w:r w:rsidR="005A6964">
          <w:rPr>
            <w:rFonts w:asciiTheme="minorHAnsi" w:eastAsiaTheme="minorEastAsia" w:hAnsiTheme="minorHAnsi"/>
            <w:noProof/>
            <w:sz w:val="22"/>
          </w:rPr>
          <w:tab/>
        </w:r>
        <w:r w:rsidR="005A6964" w:rsidRPr="00BE0A34">
          <w:rPr>
            <w:rStyle w:val="Hyperlink"/>
            <w:noProof/>
          </w:rPr>
          <w:t xml:space="preserve"> Rider RRS is not a financial limitation on shopping by customers</w:t>
        </w:r>
        <w:r w:rsidR="005A6964">
          <w:rPr>
            <w:noProof/>
            <w:webHidden/>
          </w:rPr>
          <w:tab/>
        </w:r>
        <w:r w:rsidR="005A6964">
          <w:rPr>
            <w:noProof/>
            <w:webHidden/>
          </w:rPr>
          <w:fldChar w:fldCharType="begin"/>
        </w:r>
        <w:r w:rsidR="005A6964">
          <w:rPr>
            <w:noProof/>
            <w:webHidden/>
          </w:rPr>
          <w:instrText xml:space="preserve"> PAGEREF _Toc444269019 \h </w:instrText>
        </w:r>
        <w:r w:rsidR="005A6964">
          <w:rPr>
            <w:noProof/>
            <w:webHidden/>
          </w:rPr>
        </w:r>
        <w:r w:rsidR="005A6964">
          <w:rPr>
            <w:noProof/>
            <w:webHidden/>
          </w:rPr>
          <w:fldChar w:fldCharType="separate"/>
        </w:r>
        <w:r w:rsidR="00E625D1">
          <w:rPr>
            <w:noProof/>
            <w:webHidden/>
          </w:rPr>
          <w:t>29</w:t>
        </w:r>
        <w:r w:rsidR="005A6964">
          <w:rPr>
            <w:noProof/>
            <w:webHidden/>
          </w:rPr>
          <w:fldChar w:fldCharType="end"/>
        </w:r>
      </w:hyperlink>
    </w:p>
    <w:p w:rsidR="005A6964" w:rsidRDefault="00880C30">
      <w:pPr>
        <w:pStyle w:val="TOC5"/>
        <w:tabs>
          <w:tab w:val="left" w:pos="3600"/>
        </w:tabs>
        <w:rPr>
          <w:rFonts w:asciiTheme="minorHAnsi" w:eastAsiaTheme="minorEastAsia" w:hAnsiTheme="minorHAnsi"/>
          <w:noProof/>
          <w:sz w:val="22"/>
        </w:rPr>
      </w:pPr>
      <w:hyperlink w:anchor="_Toc444269020" w:history="1">
        <w:r w:rsidR="005A6964" w:rsidRPr="00BE0A34">
          <w:rPr>
            <w:rStyle w:val="Hyperlink"/>
            <w:noProof/>
          </w:rPr>
          <w:t>ii.</w:t>
        </w:r>
        <w:r w:rsidR="005A6964">
          <w:rPr>
            <w:rFonts w:asciiTheme="minorHAnsi" w:eastAsiaTheme="minorEastAsia" w:hAnsiTheme="minorHAnsi"/>
            <w:noProof/>
            <w:sz w:val="22"/>
          </w:rPr>
          <w:tab/>
        </w:r>
        <w:r w:rsidR="005A6964" w:rsidRPr="00BE0A34">
          <w:rPr>
            <w:rStyle w:val="Hyperlink"/>
            <w:noProof/>
          </w:rPr>
          <w:t>Rider RRS is not related to bypassability</w:t>
        </w:r>
        <w:r w:rsidR="005A6964">
          <w:rPr>
            <w:noProof/>
            <w:webHidden/>
          </w:rPr>
          <w:tab/>
        </w:r>
        <w:r w:rsidR="005A6964">
          <w:rPr>
            <w:noProof/>
            <w:webHidden/>
          </w:rPr>
          <w:fldChar w:fldCharType="begin"/>
        </w:r>
        <w:r w:rsidR="005A6964">
          <w:rPr>
            <w:noProof/>
            <w:webHidden/>
          </w:rPr>
          <w:instrText xml:space="preserve"> PAGEREF _Toc444269020 \h </w:instrText>
        </w:r>
        <w:r w:rsidR="005A6964">
          <w:rPr>
            <w:noProof/>
            <w:webHidden/>
          </w:rPr>
        </w:r>
        <w:r w:rsidR="005A6964">
          <w:rPr>
            <w:noProof/>
            <w:webHidden/>
          </w:rPr>
          <w:fldChar w:fldCharType="separate"/>
        </w:r>
        <w:r w:rsidR="00E625D1">
          <w:rPr>
            <w:noProof/>
            <w:webHidden/>
          </w:rPr>
          <w:t>32</w:t>
        </w:r>
        <w:r w:rsidR="005A6964">
          <w:rPr>
            <w:noProof/>
            <w:webHidden/>
          </w:rPr>
          <w:fldChar w:fldCharType="end"/>
        </w:r>
      </w:hyperlink>
    </w:p>
    <w:p w:rsidR="005A6964" w:rsidRDefault="00880C30">
      <w:pPr>
        <w:pStyle w:val="TOC5"/>
        <w:tabs>
          <w:tab w:val="left" w:pos="3600"/>
        </w:tabs>
        <w:rPr>
          <w:rFonts w:asciiTheme="minorHAnsi" w:eastAsiaTheme="minorEastAsia" w:hAnsiTheme="minorHAnsi"/>
          <w:noProof/>
          <w:sz w:val="22"/>
        </w:rPr>
      </w:pPr>
      <w:hyperlink w:anchor="_Toc444269021" w:history="1">
        <w:r w:rsidR="005A6964" w:rsidRPr="00BE0A34">
          <w:rPr>
            <w:rStyle w:val="Hyperlink"/>
            <w:noProof/>
          </w:rPr>
          <w:t xml:space="preserve">iii. </w:t>
        </w:r>
        <w:r w:rsidR="005A6964">
          <w:rPr>
            <w:rFonts w:asciiTheme="minorHAnsi" w:eastAsiaTheme="minorEastAsia" w:hAnsiTheme="minorHAnsi"/>
            <w:noProof/>
            <w:sz w:val="22"/>
          </w:rPr>
          <w:tab/>
        </w:r>
        <w:r w:rsidR="005A6964" w:rsidRPr="00BE0A34">
          <w:rPr>
            <w:rStyle w:val="Hyperlink"/>
            <w:noProof/>
          </w:rPr>
          <w:t>Rider RRS is not related to default service provided to customers.</w:t>
        </w:r>
        <w:r w:rsidR="005A6964">
          <w:rPr>
            <w:noProof/>
            <w:webHidden/>
          </w:rPr>
          <w:tab/>
        </w:r>
        <w:r w:rsidR="005A6964">
          <w:rPr>
            <w:noProof/>
            <w:webHidden/>
          </w:rPr>
          <w:fldChar w:fldCharType="begin"/>
        </w:r>
        <w:r w:rsidR="005A6964">
          <w:rPr>
            <w:noProof/>
            <w:webHidden/>
          </w:rPr>
          <w:instrText xml:space="preserve"> PAGEREF _Toc444269021 \h </w:instrText>
        </w:r>
        <w:r w:rsidR="005A6964">
          <w:rPr>
            <w:noProof/>
            <w:webHidden/>
          </w:rPr>
        </w:r>
        <w:r w:rsidR="005A6964">
          <w:rPr>
            <w:noProof/>
            <w:webHidden/>
          </w:rPr>
          <w:fldChar w:fldCharType="separate"/>
        </w:r>
        <w:r w:rsidR="00E625D1">
          <w:rPr>
            <w:noProof/>
            <w:webHidden/>
          </w:rPr>
          <w:t>33</w:t>
        </w:r>
        <w:r w:rsidR="005A6964">
          <w:rPr>
            <w:noProof/>
            <w:webHidden/>
          </w:rPr>
          <w:fldChar w:fldCharType="end"/>
        </w:r>
      </w:hyperlink>
    </w:p>
    <w:p w:rsidR="005A6964" w:rsidRDefault="00880C30">
      <w:pPr>
        <w:pStyle w:val="TOC5"/>
        <w:tabs>
          <w:tab w:val="left" w:pos="3600"/>
        </w:tabs>
        <w:rPr>
          <w:rFonts w:asciiTheme="minorHAnsi" w:eastAsiaTheme="minorEastAsia" w:hAnsiTheme="minorHAnsi"/>
          <w:noProof/>
          <w:sz w:val="22"/>
        </w:rPr>
      </w:pPr>
      <w:hyperlink w:anchor="_Toc444269022" w:history="1">
        <w:r w:rsidR="005A6964" w:rsidRPr="00BE0A34">
          <w:rPr>
            <w:rStyle w:val="Hyperlink"/>
            <w:noProof/>
          </w:rPr>
          <w:t>iv.</w:t>
        </w:r>
        <w:r w:rsidR="005A6964">
          <w:rPr>
            <w:rFonts w:asciiTheme="minorHAnsi" w:eastAsiaTheme="minorEastAsia" w:hAnsiTheme="minorHAnsi"/>
            <w:noProof/>
            <w:sz w:val="22"/>
          </w:rPr>
          <w:tab/>
        </w:r>
        <w:r w:rsidR="005A6964" w:rsidRPr="00BE0A34">
          <w:rPr>
            <w:rStyle w:val="Hyperlink"/>
            <w:noProof/>
          </w:rPr>
          <w:t>The Retail Rate Stability Rider does not have the effect of stabilizing or providing certainty for customers regarding retail electric service.</w:t>
        </w:r>
        <w:r w:rsidR="005A6964">
          <w:rPr>
            <w:noProof/>
            <w:webHidden/>
          </w:rPr>
          <w:tab/>
        </w:r>
        <w:r w:rsidR="005A6964">
          <w:rPr>
            <w:noProof/>
            <w:webHidden/>
          </w:rPr>
          <w:fldChar w:fldCharType="begin"/>
        </w:r>
        <w:r w:rsidR="005A6964">
          <w:rPr>
            <w:noProof/>
            <w:webHidden/>
          </w:rPr>
          <w:instrText xml:space="preserve"> PAGEREF _Toc444269022 \h </w:instrText>
        </w:r>
        <w:r w:rsidR="005A6964">
          <w:rPr>
            <w:noProof/>
            <w:webHidden/>
          </w:rPr>
        </w:r>
        <w:r w:rsidR="005A6964">
          <w:rPr>
            <w:noProof/>
            <w:webHidden/>
          </w:rPr>
          <w:fldChar w:fldCharType="separate"/>
        </w:r>
        <w:r w:rsidR="00E625D1">
          <w:rPr>
            <w:noProof/>
            <w:webHidden/>
          </w:rPr>
          <w:t>35</w:t>
        </w:r>
        <w:r w:rsidR="005A6964">
          <w:rPr>
            <w:noProof/>
            <w:webHidden/>
          </w:rPr>
          <w:fldChar w:fldCharType="end"/>
        </w:r>
      </w:hyperlink>
    </w:p>
    <w:p w:rsidR="005A6964" w:rsidRDefault="00880C30">
      <w:pPr>
        <w:pStyle w:val="TOC5"/>
        <w:tabs>
          <w:tab w:val="left" w:pos="3600"/>
        </w:tabs>
        <w:rPr>
          <w:rFonts w:asciiTheme="minorHAnsi" w:eastAsiaTheme="minorEastAsia" w:hAnsiTheme="minorHAnsi"/>
          <w:noProof/>
          <w:sz w:val="22"/>
        </w:rPr>
      </w:pPr>
      <w:hyperlink w:anchor="_Toc444269023" w:history="1">
        <w:r w:rsidR="005A6964" w:rsidRPr="00BE0A34">
          <w:rPr>
            <w:rStyle w:val="Hyperlink"/>
            <w:noProof/>
          </w:rPr>
          <w:t xml:space="preserve">v. </w:t>
        </w:r>
        <w:r w:rsidR="005A6964">
          <w:rPr>
            <w:rFonts w:asciiTheme="minorHAnsi" w:eastAsiaTheme="minorEastAsia" w:hAnsiTheme="minorHAnsi"/>
            <w:noProof/>
            <w:sz w:val="22"/>
          </w:rPr>
          <w:tab/>
        </w:r>
        <w:r w:rsidR="005A6964" w:rsidRPr="00BE0A34">
          <w:rPr>
            <w:rStyle w:val="Hyperlink"/>
            <w:noProof/>
          </w:rPr>
          <w:t>The Retail Rate Stability Rider is not a provision that qualifies as an economic development program under R.C. 4928.143(B)(2)(i).</w:t>
        </w:r>
        <w:r w:rsidR="005A6964">
          <w:rPr>
            <w:noProof/>
            <w:webHidden/>
          </w:rPr>
          <w:tab/>
        </w:r>
        <w:r w:rsidR="005A6964">
          <w:rPr>
            <w:noProof/>
            <w:webHidden/>
          </w:rPr>
          <w:fldChar w:fldCharType="begin"/>
        </w:r>
        <w:r w:rsidR="005A6964">
          <w:rPr>
            <w:noProof/>
            <w:webHidden/>
          </w:rPr>
          <w:instrText xml:space="preserve"> PAGEREF _Toc444269023 \h </w:instrText>
        </w:r>
        <w:r w:rsidR="005A6964">
          <w:rPr>
            <w:noProof/>
            <w:webHidden/>
          </w:rPr>
        </w:r>
        <w:r w:rsidR="005A6964">
          <w:rPr>
            <w:noProof/>
            <w:webHidden/>
          </w:rPr>
          <w:fldChar w:fldCharType="separate"/>
        </w:r>
        <w:r w:rsidR="00E625D1">
          <w:rPr>
            <w:noProof/>
            <w:webHidden/>
          </w:rPr>
          <w:t>37</w:t>
        </w:r>
        <w:r w:rsidR="005A6964">
          <w:rPr>
            <w:noProof/>
            <w:webHidden/>
          </w:rPr>
          <w:fldChar w:fldCharType="end"/>
        </w:r>
      </w:hyperlink>
    </w:p>
    <w:p w:rsidR="005A6964" w:rsidRDefault="00880C30">
      <w:pPr>
        <w:pStyle w:val="TOC3"/>
        <w:tabs>
          <w:tab w:val="left" w:pos="2160"/>
        </w:tabs>
        <w:rPr>
          <w:rFonts w:asciiTheme="minorHAnsi" w:eastAsiaTheme="minorEastAsia" w:hAnsiTheme="minorHAnsi"/>
          <w:noProof/>
          <w:sz w:val="22"/>
        </w:rPr>
      </w:pPr>
      <w:hyperlink w:anchor="_Toc444269024" w:history="1">
        <w:r w:rsidR="005A6964" w:rsidRPr="00BE0A34">
          <w:rPr>
            <w:rStyle w:val="Hyperlink"/>
            <w:noProof/>
          </w:rPr>
          <w:t>3.</w:t>
        </w:r>
        <w:r w:rsidR="005A6964">
          <w:rPr>
            <w:rFonts w:asciiTheme="minorHAnsi" w:eastAsiaTheme="minorEastAsia" w:hAnsiTheme="minorHAnsi"/>
            <w:noProof/>
            <w:sz w:val="22"/>
          </w:rPr>
          <w:tab/>
        </w:r>
        <w:r w:rsidR="005A6964" w:rsidRPr="00BE0A34">
          <w:rPr>
            <w:rStyle w:val="Hyperlink"/>
            <w:noProof/>
          </w:rPr>
          <w:t>Adoption of an electric security plan containing the Retail Rate Stability Rider is inconsistent with the AEP ESP III Order.</w:t>
        </w:r>
        <w:r w:rsidR="005A6964">
          <w:rPr>
            <w:noProof/>
            <w:webHidden/>
          </w:rPr>
          <w:tab/>
        </w:r>
        <w:r w:rsidR="005A6964">
          <w:rPr>
            <w:noProof/>
            <w:webHidden/>
          </w:rPr>
          <w:fldChar w:fldCharType="begin"/>
        </w:r>
        <w:r w:rsidR="005A6964">
          <w:rPr>
            <w:noProof/>
            <w:webHidden/>
          </w:rPr>
          <w:instrText xml:space="preserve"> PAGEREF _Toc444269024 \h </w:instrText>
        </w:r>
        <w:r w:rsidR="005A6964">
          <w:rPr>
            <w:noProof/>
            <w:webHidden/>
          </w:rPr>
        </w:r>
        <w:r w:rsidR="005A6964">
          <w:rPr>
            <w:noProof/>
            <w:webHidden/>
          </w:rPr>
          <w:fldChar w:fldCharType="separate"/>
        </w:r>
        <w:r w:rsidR="00E625D1">
          <w:rPr>
            <w:noProof/>
            <w:webHidden/>
          </w:rPr>
          <w:t>38</w:t>
        </w:r>
        <w:r w:rsidR="005A6964">
          <w:rPr>
            <w:noProof/>
            <w:webHidden/>
          </w:rPr>
          <w:fldChar w:fldCharType="end"/>
        </w:r>
      </w:hyperlink>
    </w:p>
    <w:p w:rsidR="005A6964" w:rsidRDefault="00880C30">
      <w:pPr>
        <w:pStyle w:val="TOC4"/>
        <w:tabs>
          <w:tab w:val="left" w:pos="2880"/>
        </w:tabs>
        <w:rPr>
          <w:rFonts w:asciiTheme="minorHAnsi" w:eastAsiaTheme="minorEastAsia" w:hAnsiTheme="minorHAnsi"/>
          <w:noProof/>
          <w:sz w:val="22"/>
        </w:rPr>
      </w:pPr>
      <w:hyperlink w:anchor="_Toc444269025" w:history="1">
        <w:r w:rsidR="005A6964" w:rsidRPr="00BE0A34">
          <w:rPr>
            <w:rStyle w:val="Hyperlink"/>
            <w:noProof/>
          </w:rPr>
          <w:t>a.</w:t>
        </w:r>
        <w:r w:rsidR="005A6964">
          <w:rPr>
            <w:rFonts w:asciiTheme="minorHAnsi" w:eastAsiaTheme="minorEastAsia" w:hAnsiTheme="minorHAnsi"/>
            <w:noProof/>
            <w:sz w:val="22"/>
          </w:rPr>
          <w:tab/>
        </w:r>
        <w:r w:rsidR="005A6964" w:rsidRPr="00BE0A34">
          <w:rPr>
            <w:rStyle w:val="Hyperlink"/>
            <w:noProof/>
          </w:rPr>
          <w:t>FirstEnergy did not satisfy the first factor in the AEP ESP III Order because the Sammis and Davis-Besse plants “do not have a financial need for Rider RRS.”</w:t>
        </w:r>
        <w:r w:rsidR="005A6964">
          <w:rPr>
            <w:noProof/>
            <w:webHidden/>
          </w:rPr>
          <w:tab/>
        </w:r>
        <w:r w:rsidR="005A6964">
          <w:rPr>
            <w:noProof/>
            <w:webHidden/>
          </w:rPr>
          <w:fldChar w:fldCharType="begin"/>
        </w:r>
        <w:r w:rsidR="005A6964">
          <w:rPr>
            <w:noProof/>
            <w:webHidden/>
          </w:rPr>
          <w:instrText xml:space="preserve"> PAGEREF _Toc444269025 \h </w:instrText>
        </w:r>
        <w:r w:rsidR="005A6964">
          <w:rPr>
            <w:noProof/>
            <w:webHidden/>
          </w:rPr>
        </w:r>
        <w:r w:rsidR="005A6964">
          <w:rPr>
            <w:noProof/>
            <w:webHidden/>
          </w:rPr>
          <w:fldChar w:fldCharType="separate"/>
        </w:r>
        <w:r w:rsidR="00E625D1">
          <w:rPr>
            <w:noProof/>
            <w:webHidden/>
          </w:rPr>
          <w:t>40</w:t>
        </w:r>
        <w:r w:rsidR="005A6964">
          <w:rPr>
            <w:noProof/>
            <w:webHidden/>
          </w:rPr>
          <w:fldChar w:fldCharType="end"/>
        </w:r>
      </w:hyperlink>
    </w:p>
    <w:p w:rsidR="005A6964" w:rsidRDefault="00880C30">
      <w:pPr>
        <w:pStyle w:val="TOC4"/>
        <w:tabs>
          <w:tab w:val="left" w:pos="2880"/>
        </w:tabs>
        <w:rPr>
          <w:rFonts w:asciiTheme="minorHAnsi" w:eastAsiaTheme="minorEastAsia" w:hAnsiTheme="minorHAnsi"/>
          <w:noProof/>
          <w:sz w:val="22"/>
        </w:rPr>
      </w:pPr>
      <w:hyperlink w:anchor="_Toc444269026" w:history="1">
        <w:r w:rsidR="005A6964" w:rsidRPr="00BE0A34">
          <w:rPr>
            <w:rStyle w:val="Hyperlink"/>
            <w:noProof/>
          </w:rPr>
          <w:t>b.</w:t>
        </w:r>
        <w:r w:rsidR="005A6964">
          <w:rPr>
            <w:rFonts w:asciiTheme="minorHAnsi" w:eastAsiaTheme="minorEastAsia" w:hAnsiTheme="minorHAnsi"/>
            <w:noProof/>
            <w:sz w:val="22"/>
          </w:rPr>
          <w:tab/>
        </w:r>
        <w:r w:rsidR="005A6964" w:rsidRPr="00BE0A34">
          <w:rPr>
            <w:rStyle w:val="Hyperlink"/>
            <w:noProof/>
          </w:rPr>
          <w:t>FirstEnergy did not satisfy the second factor of the AEP ESP III Order because the Sammis and Davis-Besse plants “are not needed in light of future reliability concerns.”</w:t>
        </w:r>
        <w:r w:rsidR="005A6964">
          <w:rPr>
            <w:noProof/>
            <w:webHidden/>
          </w:rPr>
          <w:tab/>
        </w:r>
        <w:r w:rsidR="005A6964">
          <w:rPr>
            <w:noProof/>
            <w:webHidden/>
          </w:rPr>
          <w:fldChar w:fldCharType="begin"/>
        </w:r>
        <w:r w:rsidR="005A6964">
          <w:rPr>
            <w:noProof/>
            <w:webHidden/>
          </w:rPr>
          <w:instrText xml:space="preserve"> PAGEREF _Toc444269026 \h </w:instrText>
        </w:r>
        <w:r w:rsidR="005A6964">
          <w:rPr>
            <w:noProof/>
            <w:webHidden/>
          </w:rPr>
        </w:r>
        <w:r w:rsidR="005A6964">
          <w:rPr>
            <w:noProof/>
            <w:webHidden/>
          </w:rPr>
          <w:fldChar w:fldCharType="separate"/>
        </w:r>
        <w:r w:rsidR="00E625D1">
          <w:rPr>
            <w:noProof/>
            <w:webHidden/>
          </w:rPr>
          <w:t>45</w:t>
        </w:r>
        <w:r w:rsidR="005A6964">
          <w:rPr>
            <w:noProof/>
            <w:webHidden/>
          </w:rPr>
          <w:fldChar w:fldCharType="end"/>
        </w:r>
      </w:hyperlink>
    </w:p>
    <w:p w:rsidR="005A6964" w:rsidRDefault="00880C30">
      <w:pPr>
        <w:pStyle w:val="TOC4"/>
        <w:tabs>
          <w:tab w:val="left" w:pos="2880"/>
        </w:tabs>
        <w:rPr>
          <w:rFonts w:asciiTheme="minorHAnsi" w:eastAsiaTheme="minorEastAsia" w:hAnsiTheme="minorHAnsi"/>
          <w:noProof/>
          <w:sz w:val="22"/>
        </w:rPr>
      </w:pPr>
      <w:hyperlink w:anchor="_Toc444269027" w:history="1">
        <w:r w:rsidR="005A6964" w:rsidRPr="00BE0A34">
          <w:rPr>
            <w:rStyle w:val="Hyperlink"/>
            <w:noProof/>
          </w:rPr>
          <w:t>c.</w:t>
        </w:r>
        <w:r w:rsidR="005A6964">
          <w:rPr>
            <w:rFonts w:asciiTheme="minorHAnsi" w:eastAsiaTheme="minorEastAsia" w:hAnsiTheme="minorHAnsi"/>
            <w:noProof/>
            <w:sz w:val="22"/>
          </w:rPr>
          <w:tab/>
        </w:r>
        <w:r w:rsidR="005A6964" w:rsidRPr="00BE0A34">
          <w:rPr>
            <w:rStyle w:val="Hyperlink"/>
            <w:noProof/>
          </w:rPr>
          <w:t>FirstEnergy did not satisfy the third factor of the AEP ESP III Order because the Sammis and Davis-Besse plants do not comply with all pertinent and pending environmental regulations.”</w:t>
        </w:r>
        <w:r w:rsidR="005A6964">
          <w:rPr>
            <w:noProof/>
            <w:webHidden/>
          </w:rPr>
          <w:tab/>
        </w:r>
        <w:r w:rsidR="005A6964">
          <w:rPr>
            <w:noProof/>
            <w:webHidden/>
          </w:rPr>
          <w:fldChar w:fldCharType="begin"/>
        </w:r>
        <w:r w:rsidR="005A6964">
          <w:rPr>
            <w:noProof/>
            <w:webHidden/>
          </w:rPr>
          <w:instrText xml:space="preserve"> PAGEREF _Toc444269027 \h </w:instrText>
        </w:r>
        <w:r w:rsidR="005A6964">
          <w:rPr>
            <w:noProof/>
            <w:webHidden/>
          </w:rPr>
        </w:r>
        <w:r w:rsidR="005A6964">
          <w:rPr>
            <w:noProof/>
            <w:webHidden/>
          </w:rPr>
          <w:fldChar w:fldCharType="separate"/>
        </w:r>
        <w:r w:rsidR="00E625D1">
          <w:rPr>
            <w:noProof/>
            <w:webHidden/>
          </w:rPr>
          <w:t>50</w:t>
        </w:r>
        <w:r w:rsidR="005A6964">
          <w:rPr>
            <w:noProof/>
            <w:webHidden/>
          </w:rPr>
          <w:fldChar w:fldCharType="end"/>
        </w:r>
      </w:hyperlink>
    </w:p>
    <w:p w:rsidR="005A6964" w:rsidRDefault="00880C30">
      <w:pPr>
        <w:pStyle w:val="TOC4"/>
        <w:tabs>
          <w:tab w:val="left" w:pos="2880"/>
        </w:tabs>
        <w:rPr>
          <w:rFonts w:asciiTheme="minorHAnsi" w:eastAsiaTheme="minorEastAsia" w:hAnsiTheme="minorHAnsi"/>
          <w:noProof/>
          <w:sz w:val="22"/>
        </w:rPr>
      </w:pPr>
      <w:hyperlink w:anchor="_Toc444269028" w:history="1">
        <w:r w:rsidR="005A6964" w:rsidRPr="00BE0A34">
          <w:rPr>
            <w:rStyle w:val="Hyperlink"/>
            <w:noProof/>
          </w:rPr>
          <w:t>d.</w:t>
        </w:r>
        <w:r w:rsidR="005A6964">
          <w:rPr>
            <w:rFonts w:asciiTheme="minorHAnsi" w:eastAsiaTheme="minorEastAsia" w:hAnsiTheme="minorHAnsi"/>
            <w:noProof/>
            <w:sz w:val="22"/>
          </w:rPr>
          <w:tab/>
        </w:r>
        <w:r w:rsidR="005A6964" w:rsidRPr="00BE0A34">
          <w:rPr>
            <w:rStyle w:val="Hyperlink"/>
            <w:noProof/>
          </w:rPr>
          <w:t>FirstEnergy did not satisfy the fourth factor of the AEP ESP III Order because closing the Sammis and Davis-Besse plants “would not have a negative effect on the electric prices or economic development within the state.”</w:t>
        </w:r>
        <w:r w:rsidR="005A6964">
          <w:rPr>
            <w:noProof/>
            <w:webHidden/>
          </w:rPr>
          <w:tab/>
        </w:r>
        <w:r w:rsidR="005A6964">
          <w:rPr>
            <w:noProof/>
            <w:webHidden/>
          </w:rPr>
          <w:fldChar w:fldCharType="begin"/>
        </w:r>
        <w:r w:rsidR="005A6964">
          <w:rPr>
            <w:noProof/>
            <w:webHidden/>
          </w:rPr>
          <w:instrText xml:space="preserve"> PAGEREF _Toc444269028 \h </w:instrText>
        </w:r>
        <w:r w:rsidR="005A6964">
          <w:rPr>
            <w:noProof/>
            <w:webHidden/>
          </w:rPr>
        </w:r>
        <w:r w:rsidR="005A6964">
          <w:rPr>
            <w:noProof/>
            <w:webHidden/>
          </w:rPr>
          <w:fldChar w:fldCharType="separate"/>
        </w:r>
        <w:r w:rsidR="00E625D1">
          <w:rPr>
            <w:noProof/>
            <w:webHidden/>
          </w:rPr>
          <w:t>53</w:t>
        </w:r>
        <w:r w:rsidR="005A6964">
          <w:rPr>
            <w:noProof/>
            <w:webHidden/>
          </w:rPr>
          <w:fldChar w:fldCharType="end"/>
        </w:r>
      </w:hyperlink>
    </w:p>
    <w:p w:rsidR="005A6964" w:rsidRDefault="00880C30">
      <w:pPr>
        <w:pStyle w:val="TOC4"/>
        <w:tabs>
          <w:tab w:val="left" w:pos="2880"/>
        </w:tabs>
        <w:rPr>
          <w:rFonts w:asciiTheme="minorHAnsi" w:eastAsiaTheme="minorEastAsia" w:hAnsiTheme="minorHAnsi"/>
          <w:noProof/>
          <w:sz w:val="22"/>
        </w:rPr>
      </w:pPr>
      <w:hyperlink w:anchor="_Toc444269029" w:history="1">
        <w:r w:rsidR="005A6964" w:rsidRPr="00BE0A34">
          <w:rPr>
            <w:rStyle w:val="Hyperlink"/>
            <w:noProof/>
          </w:rPr>
          <w:t>e.</w:t>
        </w:r>
        <w:r w:rsidR="005A6964">
          <w:rPr>
            <w:rFonts w:asciiTheme="minorHAnsi" w:eastAsiaTheme="minorEastAsia" w:hAnsiTheme="minorHAnsi"/>
            <w:noProof/>
            <w:sz w:val="22"/>
          </w:rPr>
          <w:tab/>
        </w:r>
        <w:r w:rsidR="005A6964" w:rsidRPr="00BE0A34">
          <w:rPr>
            <w:rStyle w:val="Hyperlink"/>
            <w:noProof/>
          </w:rPr>
          <w:t>FirstEnergy failed to satisfy additional factors for approval of Rider RRS that the PUCO identified in the AEP ESP III Order.</w:t>
        </w:r>
        <w:r w:rsidR="005A6964">
          <w:rPr>
            <w:noProof/>
            <w:webHidden/>
          </w:rPr>
          <w:tab/>
        </w:r>
        <w:r w:rsidR="005A6964">
          <w:rPr>
            <w:noProof/>
            <w:webHidden/>
          </w:rPr>
          <w:fldChar w:fldCharType="begin"/>
        </w:r>
        <w:r w:rsidR="005A6964">
          <w:rPr>
            <w:noProof/>
            <w:webHidden/>
          </w:rPr>
          <w:instrText xml:space="preserve"> PAGEREF _Toc444269029 \h </w:instrText>
        </w:r>
        <w:r w:rsidR="005A6964">
          <w:rPr>
            <w:noProof/>
            <w:webHidden/>
          </w:rPr>
        </w:r>
        <w:r w:rsidR="005A6964">
          <w:rPr>
            <w:noProof/>
            <w:webHidden/>
          </w:rPr>
          <w:fldChar w:fldCharType="separate"/>
        </w:r>
        <w:r w:rsidR="00E625D1">
          <w:rPr>
            <w:noProof/>
            <w:webHidden/>
          </w:rPr>
          <w:t>61</w:t>
        </w:r>
        <w:r w:rsidR="005A6964">
          <w:rPr>
            <w:noProof/>
            <w:webHidden/>
          </w:rPr>
          <w:fldChar w:fldCharType="end"/>
        </w:r>
      </w:hyperlink>
    </w:p>
    <w:p w:rsidR="005A6964" w:rsidRDefault="00880C30">
      <w:pPr>
        <w:pStyle w:val="TOC5"/>
        <w:tabs>
          <w:tab w:val="left" w:pos="3600"/>
        </w:tabs>
        <w:rPr>
          <w:rFonts w:asciiTheme="minorHAnsi" w:eastAsiaTheme="minorEastAsia" w:hAnsiTheme="minorHAnsi"/>
          <w:noProof/>
          <w:sz w:val="22"/>
        </w:rPr>
      </w:pPr>
      <w:hyperlink w:anchor="_Toc444269030" w:history="1">
        <w:r w:rsidR="005A6964" w:rsidRPr="00BE0A34">
          <w:rPr>
            <w:rStyle w:val="Hyperlink"/>
            <w:noProof/>
          </w:rPr>
          <w:t>i.</w:t>
        </w:r>
        <w:r w:rsidR="005A6964">
          <w:rPr>
            <w:rFonts w:asciiTheme="minorHAnsi" w:eastAsiaTheme="minorEastAsia" w:hAnsiTheme="minorHAnsi"/>
            <w:noProof/>
            <w:sz w:val="22"/>
          </w:rPr>
          <w:tab/>
        </w:r>
        <w:r w:rsidR="005A6964" w:rsidRPr="00BE0A34">
          <w:rPr>
            <w:rStyle w:val="Hyperlink"/>
            <w:noProof/>
          </w:rPr>
          <w:t>FirstEnergy failed to provide for rigorous PUCO oversight of Rider RRS.</w:t>
        </w:r>
        <w:r w:rsidR="005A6964">
          <w:rPr>
            <w:noProof/>
            <w:webHidden/>
          </w:rPr>
          <w:tab/>
        </w:r>
        <w:r w:rsidR="005A6964">
          <w:rPr>
            <w:noProof/>
            <w:webHidden/>
          </w:rPr>
          <w:fldChar w:fldCharType="begin"/>
        </w:r>
        <w:r w:rsidR="005A6964">
          <w:rPr>
            <w:noProof/>
            <w:webHidden/>
          </w:rPr>
          <w:instrText xml:space="preserve"> PAGEREF _Toc444269030 \h </w:instrText>
        </w:r>
        <w:r w:rsidR="005A6964">
          <w:rPr>
            <w:noProof/>
            <w:webHidden/>
          </w:rPr>
        </w:r>
        <w:r w:rsidR="005A6964">
          <w:rPr>
            <w:noProof/>
            <w:webHidden/>
          </w:rPr>
          <w:fldChar w:fldCharType="separate"/>
        </w:r>
        <w:r w:rsidR="00E625D1">
          <w:rPr>
            <w:noProof/>
            <w:webHidden/>
          </w:rPr>
          <w:t>61</w:t>
        </w:r>
        <w:r w:rsidR="005A6964">
          <w:rPr>
            <w:noProof/>
            <w:webHidden/>
          </w:rPr>
          <w:fldChar w:fldCharType="end"/>
        </w:r>
      </w:hyperlink>
    </w:p>
    <w:p w:rsidR="005A6964" w:rsidRDefault="00880C30">
      <w:pPr>
        <w:pStyle w:val="TOC5"/>
        <w:tabs>
          <w:tab w:val="left" w:pos="3600"/>
        </w:tabs>
        <w:rPr>
          <w:rFonts w:asciiTheme="minorHAnsi" w:eastAsiaTheme="minorEastAsia" w:hAnsiTheme="minorHAnsi"/>
          <w:noProof/>
          <w:sz w:val="22"/>
        </w:rPr>
      </w:pPr>
      <w:hyperlink w:anchor="_Toc444269031" w:history="1">
        <w:r w:rsidR="005A6964" w:rsidRPr="00BE0A34">
          <w:rPr>
            <w:rStyle w:val="Hyperlink"/>
            <w:noProof/>
          </w:rPr>
          <w:t>ii.</w:t>
        </w:r>
        <w:r w:rsidR="005A6964">
          <w:rPr>
            <w:rFonts w:asciiTheme="minorHAnsi" w:eastAsiaTheme="minorEastAsia" w:hAnsiTheme="minorHAnsi"/>
            <w:noProof/>
            <w:sz w:val="22"/>
          </w:rPr>
          <w:tab/>
        </w:r>
        <w:r w:rsidR="005A6964" w:rsidRPr="00BE0A34">
          <w:rPr>
            <w:rStyle w:val="Hyperlink"/>
            <w:noProof/>
          </w:rPr>
          <w:t>FirstEnergy failed to “commit to full information sharing with PUCO and its Staff” regarding Rider RRS.</w:t>
        </w:r>
        <w:r w:rsidR="005A6964">
          <w:rPr>
            <w:noProof/>
            <w:webHidden/>
          </w:rPr>
          <w:tab/>
        </w:r>
        <w:r w:rsidR="005A6964">
          <w:rPr>
            <w:noProof/>
            <w:webHidden/>
          </w:rPr>
          <w:fldChar w:fldCharType="begin"/>
        </w:r>
        <w:r w:rsidR="005A6964">
          <w:rPr>
            <w:noProof/>
            <w:webHidden/>
          </w:rPr>
          <w:instrText xml:space="preserve"> PAGEREF _Toc444269031 \h </w:instrText>
        </w:r>
        <w:r w:rsidR="005A6964">
          <w:rPr>
            <w:noProof/>
            <w:webHidden/>
          </w:rPr>
        </w:r>
        <w:r w:rsidR="005A6964">
          <w:rPr>
            <w:noProof/>
            <w:webHidden/>
          </w:rPr>
          <w:fldChar w:fldCharType="separate"/>
        </w:r>
        <w:r w:rsidR="00E625D1">
          <w:rPr>
            <w:noProof/>
            <w:webHidden/>
          </w:rPr>
          <w:t>64</w:t>
        </w:r>
        <w:r w:rsidR="005A6964">
          <w:rPr>
            <w:noProof/>
            <w:webHidden/>
          </w:rPr>
          <w:fldChar w:fldCharType="end"/>
        </w:r>
      </w:hyperlink>
    </w:p>
    <w:p w:rsidR="005A6964" w:rsidRDefault="00880C30">
      <w:pPr>
        <w:pStyle w:val="TOC5"/>
        <w:tabs>
          <w:tab w:val="left" w:pos="3600"/>
        </w:tabs>
        <w:rPr>
          <w:rFonts w:asciiTheme="minorHAnsi" w:eastAsiaTheme="minorEastAsia" w:hAnsiTheme="minorHAnsi"/>
          <w:noProof/>
          <w:sz w:val="22"/>
        </w:rPr>
      </w:pPr>
      <w:hyperlink w:anchor="_Toc444269032" w:history="1">
        <w:r w:rsidR="005A6964" w:rsidRPr="00BE0A34">
          <w:rPr>
            <w:rStyle w:val="Hyperlink"/>
            <w:noProof/>
          </w:rPr>
          <w:t>iii.</w:t>
        </w:r>
        <w:r w:rsidR="005A6964">
          <w:rPr>
            <w:rFonts w:asciiTheme="minorHAnsi" w:eastAsiaTheme="minorEastAsia" w:hAnsiTheme="minorHAnsi"/>
            <w:noProof/>
            <w:sz w:val="22"/>
          </w:rPr>
          <w:tab/>
        </w:r>
        <w:r w:rsidR="005A6964" w:rsidRPr="00BE0A34">
          <w:rPr>
            <w:rStyle w:val="Hyperlink"/>
            <w:noProof/>
          </w:rPr>
          <w:t>FirstEnergy failed to provide a legitimate alternative plan to “allocate Rider RRS’s financial risk between FirstEnergy and customers.”</w:t>
        </w:r>
        <w:r w:rsidR="005A6964">
          <w:rPr>
            <w:noProof/>
            <w:webHidden/>
          </w:rPr>
          <w:tab/>
        </w:r>
        <w:r w:rsidR="005A6964">
          <w:rPr>
            <w:noProof/>
            <w:webHidden/>
          </w:rPr>
          <w:fldChar w:fldCharType="begin"/>
        </w:r>
        <w:r w:rsidR="005A6964">
          <w:rPr>
            <w:noProof/>
            <w:webHidden/>
          </w:rPr>
          <w:instrText xml:space="preserve"> PAGEREF _Toc444269032 \h </w:instrText>
        </w:r>
        <w:r w:rsidR="005A6964">
          <w:rPr>
            <w:noProof/>
            <w:webHidden/>
          </w:rPr>
        </w:r>
        <w:r w:rsidR="005A6964">
          <w:rPr>
            <w:noProof/>
            <w:webHidden/>
          </w:rPr>
          <w:fldChar w:fldCharType="separate"/>
        </w:r>
        <w:r w:rsidR="00E625D1">
          <w:rPr>
            <w:noProof/>
            <w:webHidden/>
          </w:rPr>
          <w:t>65</w:t>
        </w:r>
        <w:r w:rsidR="005A6964">
          <w:rPr>
            <w:noProof/>
            <w:webHidden/>
          </w:rPr>
          <w:fldChar w:fldCharType="end"/>
        </w:r>
      </w:hyperlink>
    </w:p>
    <w:p w:rsidR="005A6964" w:rsidRDefault="00880C30">
      <w:pPr>
        <w:pStyle w:val="TOC5"/>
        <w:tabs>
          <w:tab w:val="left" w:pos="3600"/>
        </w:tabs>
        <w:rPr>
          <w:rFonts w:asciiTheme="minorHAnsi" w:eastAsiaTheme="minorEastAsia" w:hAnsiTheme="minorHAnsi"/>
          <w:noProof/>
          <w:sz w:val="22"/>
        </w:rPr>
      </w:pPr>
      <w:hyperlink w:anchor="_Toc444269033" w:history="1">
        <w:r w:rsidR="005A6964" w:rsidRPr="00BE0A34">
          <w:rPr>
            <w:rStyle w:val="Hyperlink"/>
            <w:noProof/>
          </w:rPr>
          <w:t>iv.</w:t>
        </w:r>
        <w:r w:rsidR="005A6964">
          <w:rPr>
            <w:rFonts w:asciiTheme="minorHAnsi" w:eastAsiaTheme="minorEastAsia" w:hAnsiTheme="minorHAnsi"/>
            <w:noProof/>
            <w:sz w:val="22"/>
          </w:rPr>
          <w:tab/>
        </w:r>
        <w:r w:rsidR="005A6964" w:rsidRPr="00BE0A34">
          <w:rPr>
            <w:rStyle w:val="Hyperlink"/>
            <w:noProof/>
          </w:rPr>
          <w:t>The AEP ESP III Order factors are not adequately focused on utility customers and should require FirstEnergy to demonstrate compliance with additional factors for the benefit of consumers.</w:t>
        </w:r>
        <w:r w:rsidR="005A6964">
          <w:rPr>
            <w:noProof/>
            <w:webHidden/>
          </w:rPr>
          <w:tab/>
        </w:r>
        <w:r w:rsidR="005A6964">
          <w:rPr>
            <w:noProof/>
            <w:webHidden/>
          </w:rPr>
          <w:fldChar w:fldCharType="begin"/>
        </w:r>
        <w:r w:rsidR="005A6964">
          <w:rPr>
            <w:noProof/>
            <w:webHidden/>
          </w:rPr>
          <w:instrText xml:space="preserve"> PAGEREF _Toc444269033 \h </w:instrText>
        </w:r>
        <w:r w:rsidR="005A6964">
          <w:rPr>
            <w:noProof/>
            <w:webHidden/>
          </w:rPr>
        </w:r>
        <w:r w:rsidR="005A6964">
          <w:rPr>
            <w:noProof/>
            <w:webHidden/>
          </w:rPr>
          <w:fldChar w:fldCharType="separate"/>
        </w:r>
        <w:r w:rsidR="00E625D1">
          <w:rPr>
            <w:noProof/>
            <w:webHidden/>
          </w:rPr>
          <w:t>67</w:t>
        </w:r>
        <w:r w:rsidR="005A6964">
          <w:rPr>
            <w:noProof/>
            <w:webHidden/>
          </w:rPr>
          <w:fldChar w:fldCharType="end"/>
        </w:r>
      </w:hyperlink>
    </w:p>
    <w:p w:rsidR="005A6964" w:rsidRDefault="00880C30">
      <w:pPr>
        <w:pStyle w:val="TOC3"/>
        <w:tabs>
          <w:tab w:val="left" w:pos="2160"/>
        </w:tabs>
        <w:rPr>
          <w:rFonts w:asciiTheme="minorHAnsi" w:eastAsiaTheme="minorEastAsia" w:hAnsiTheme="minorHAnsi"/>
          <w:noProof/>
          <w:sz w:val="22"/>
        </w:rPr>
      </w:pPr>
      <w:hyperlink w:anchor="_Toc444269034" w:history="1">
        <w:r w:rsidR="005A6964" w:rsidRPr="00BE0A34">
          <w:rPr>
            <w:rStyle w:val="Hyperlink"/>
            <w:noProof/>
          </w:rPr>
          <w:t>4.</w:t>
        </w:r>
        <w:r w:rsidR="005A6964">
          <w:rPr>
            <w:rFonts w:asciiTheme="minorHAnsi" w:eastAsiaTheme="minorEastAsia" w:hAnsiTheme="minorHAnsi"/>
            <w:noProof/>
            <w:sz w:val="22"/>
          </w:rPr>
          <w:tab/>
        </w:r>
        <w:r w:rsidR="005A6964" w:rsidRPr="00BE0A34">
          <w:rPr>
            <w:rStyle w:val="Hyperlink"/>
            <w:noProof/>
          </w:rPr>
          <w:t>The individual provisions of the electric security plan, as modified by the stipulations, standing on their own, are not reasonable  and do not benefit customers.</w:t>
        </w:r>
        <w:r w:rsidR="005A6964">
          <w:rPr>
            <w:noProof/>
            <w:webHidden/>
          </w:rPr>
          <w:tab/>
        </w:r>
        <w:r w:rsidR="005A6964">
          <w:rPr>
            <w:noProof/>
            <w:webHidden/>
          </w:rPr>
          <w:fldChar w:fldCharType="begin"/>
        </w:r>
        <w:r w:rsidR="005A6964">
          <w:rPr>
            <w:noProof/>
            <w:webHidden/>
          </w:rPr>
          <w:instrText xml:space="preserve"> PAGEREF _Toc444269034 \h </w:instrText>
        </w:r>
        <w:r w:rsidR="005A6964">
          <w:rPr>
            <w:noProof/>
            <w:webHidden/>
          </w:rPr>
        </w:r>
        <w:r w:rsidR="005A6964">
          <w:rPr>
            <w:noProof/>
            <w:webHidden/>
          </w:rPr>
          <w:fldChar w:fldCharType="separate"/>
        </w:r>
        <w:r w:rsidR="00E625D1">
          <w:rPr>
            <w:noProof/>
            <w:webHidden/>
          </w:rPr>
          <w:t>68</w:t>
        </w:r>
        <w:r w:rsidR="005A6964">
          <w:rPr>
            <w:noProof/>
            <w:webHidden/>
          </w:rPr>
          <w:fldChar w:fldCharType="end"/>
        </w:r>
      </w:hyperlink>
    </w:p>
    <w:p w:rsidR="005A6964" w:rsidRDefault="00880C30">
      <w:pPr>
        <w:pStyle w:val="TOC4"/>
        <w:tabs>
          <w:tab w:val="left" w:pos="2880"/>
        </w:tabs>
        <w:rPr>
          <w:rFonts w:asciiTheme="minorHAnsi" w:eastAsiaTheme="minorEastAsia" w:hAnsiTheme="minorHAnsi"/>
          <w:noProof/>
          <w:sz w:val="22"/>
        </w:rPr>
      </w:pPr>
      <w:hyperlink w:anchor="_Toc444269035" w:history="1">
        <w:r w:rsidR="005A6964" w:rsidRPr="00BE0A34">
          <w:rPr>
            <w:rStyle w:val="Hyperlink"/>
            <w:noProof/>
          </w:rPr>
          <w:t>a.</w:t>
        </w:r>
        <w:r w:rsidR="005A6964">
          <w:rPr>
            <w:rFonts w:asciiTheme="minorHAnsi" w:eastAsiaTheme="minorEastAsia" w:hAnsiTheme="minorHAnsi"/>
            <w:noProof/>
            <w:sz w:val="22"/>
          </w:rPr>
          <w:tab/>
        </w:r>
        <w:r w:rsidR="005A6964" w:rsidRPr="00BE0A34">
          <w:rPr>
            <w:rStyle w:val="Hyperlink"/>
            <w:noProof/>
          </w:rPr>
          <w:t>PUCO should not use its three-prong test for reviewing settlements to decide this case; but at a minimum the PUCO should not consider the settlement as a “package” under the three-prong settlement test.</w:t>
        </w:r>
        <w:r w:rsidR="005A6964">
          <w:rPr>
            <w:noProof/>
            <w:webHidden/>
          </w:rPr>
          <w:tab/>
        </w:r>
        <w:r w:rsidR="005A6964">
          <w:rPr>
            <w:noProof/>
            <w:webHidden/>
          </w:rPr>
          <w:fldChar w:fldCharType="begin"/>
        </w:r>
        <w:r w:rsidR="005A6964">
          <w:rPr>
            <w:noProof/>
            <w:webHidden/>
          </w:rPr>
          <w:instrText xml:space="preserve"> PAGEREF _Toc444269035 \h </w:instrText>
        </w:r>
        <w:r w:rsidR="005A6964">
          <w:rPr>
            <w:noProof/>
            <w:webHidden/>
          </w:rPr>
        </w:r>
        <w:r w:rsidR="005A6964">
          <w:rPr>
            <w:noProof/>
            <w:webHidden/>
          </w:rPr>
          <w:fldChar w:fldCharType="separate"/>
        </w:r>
        <w:r w:rsidR="00E625D1">
          <w:rPr>
            <w:noProof/>
            <w:webHidden/>
          </w:rPr>
          <w:t>69</w:t>
        </w:r>
        <w:r w:rsidR="005A6964">
          <w:rPr>
            <w:noProof/>
            <w:webHidden/>
          </w:rPr>
          <w:fldChar w:fldCharType="end"/>
        </w:r>
      </w:hyperlink>
    </w:p>
    <w:p w:rsidR="005A6964" w:rsidRDefault="00880C30">
      <w:pPr>
        <w:pStyle w:val="TOC5"/>
        <w:tabs>
          <w:tab w:val="left" w:pos="3600"/>
        </w:tabs>
        <w:rPr>
          <w:rFonts w:asciiTheme="minorHAnsi" w:eastAsiaTheme="minorEastAsia" w:hAnsiTheme="minorHAnsi"/>
          <w:noProof/>
          <w:sz w:val="22"/>
        </w:rPr>
      </w:pPr>
      <w:hyperlink w:anchor="_Toc444269036" w:history="1">
        <w:r w:rsidR="005A6964" w:rsidRPr="00BE0A34">
          <w:rPr>
            <w:rStyle w:val="Hyperlink"/>
            <w:noProof/>
          </w:rPr>
          <w:t>i.</w:t>
        </w:r>
        <w:r w:rsidR="005A6964">
          <w:rPr>
            <w:rFonts w:asciiTheme="minorHAnsi" w:eastAsiaTheme="minorEastAsia" w:hAnsiTheme="minorHAnsi"/>
            <w:noProof/>
            <w:sz w:val="22"/>
          </w:rPr>
          <w:tab/>
        </w:r>
        <w:r w:rsidR="005A6964" w:rsidRPr="00BE0A34">
          <w:rPr>
            <w:rStyle w:val="Hyperlink"/>
            <w:noProof/>
          </w:rPr>
          <w:t>The Stipulation’s federal advocacy provision holds no nexus to Rider RRS.</w:t>
        </w:r>
        <w:r w:rsidR="005A6964">
          <w:rPr>
            <w:noProof/>
            <w:webHidden/>
          </w:rPr>
          <w:tab/>
        </w:r>
        <w:r w:rsidR="005A6964">
          <w:rPr>
            <w:noProof/>
            <w:webHidden/>
          </w:rPr>
          <w:fldChar w:fldCharType="begin"/>
        </w:r>
        <w:r w:rsidR="005A6964">
          <w:rPr>
            <w:noProof/>
            <w:webHidden/>
          </w:rPr>
          <w:instrText xml:space="preserve"> PAGEREF _Toc444269036 \h </w:instrText>
        </w:r>
        <w:r w:rsidR="005A6964">
          <w:rPr>
            <w:noProof/>
            <w:webHidden/>
          </w:rPr>
        </w:r>
        <w:r w:rsidR="005A6964">
          <w:rPr>
            <w:noProof/>
            <w:webHidden/>
          </w:rPr>
          <w:fldChar w:fldCharType="separate"/>
        </w:r>
        <w:r w:rsidR="00E625D1">
          <w:rPr>
            <w:noProof/>
            <w:webHidden/>
          </w:rPr>
          <w:t>71</w:t>
        </w:r>
        <w:r w:rsidR="005A6964">
          <w:rPr>
            <w:noProof/>
            <w:webHidden/>
          </w:rPr>
          <w:fldChar w:fldCharType="end"/>
        </w:r>
      </w:hyperlink>
    </w:p>
    <w:p w:rsidR="005A6964" w:rsidRDefault="00880C30">
      <w:pPr>
        <w:pStyle w:val="TOC5"/>
        <w:tabs>
          <w:tab w:val="left" w:pos="3600"/>
        </w:tabs>
        <w:rPr>
          <w:rFonts w:asciiTheme="minorHAnsi" w:eastAsiaTheme="minorEastAsia" w:hAnsiTheme="minorHAnsi"/>
          <w:noProof/>
          <w:sz w:val="22"/>
        </w:rPr>
      </w:pPr>
      <w:hyperlink w:anchor="_Toc444269037" w:history="1">
        <w:r w:rsidR="005A6964" w:rsidRPr="00BE0A34">
          <w:rPr>
            <w:rStyle w:val="Hyperlink"/>
            <w:noProof/>
          </w:rPr>
          <w:t>ii.</w:t>
        </w:r>
        <w:r w:rsidR="005A6964">
          <w:rPr>
            <w:rFonts w:asciiTheme="minorHAnsi" w:eastAsiaTheme="minorEastAsia" w:hAnsiTheme="minorHAnsi"/>
            <w:noProof/>
            <w:sz w:val="22"/>
          </w:rPr>
          <w:tab/>
        </w:r>
        <w:r w:rsidR="005A6964" w:rsidRPr="00BE0A34">
          <w:rPr>
            <w:rStyle w:val="Hyperlink"/>
            <w:noProof/>
          </w:rPr>
          <w:t>Imposing upon consumers the transition to a straight fixed variable rate design is not appropriate for inclusion in the package of this Stipulation.</w:t>
        </w:r>
        <w:r w:rsidR="005A6964">
          <w:rPr>
            <w:noProof/>
            <w:webHidden/>
          </w:rPr>
          <w:tab/>
        </w:r>
        <w:r w:rsidR="005A6964">
          <w:rPr>
            <w:noProof/>
            <w:webHidden/>
          </w:rPr>
          <w:fldChar w:fldCharType="begin"/>
        </w:r>
        <w:r w:rsidR="005A6964">
          <w:rPr>
            <w:noProof/>
            <w:webHidden/>
          </w:rPr>
          <w:instrText xml:space="preserve"> PAGEREF _Toc444269037 \h </w:instrText>
        </w:r>
        <w:r w:rsidR="005A6964">
          <w:rPr>
            <w:noProof/>
            <w:webHidden/>
          </w:rPr>
        </w:r>
        <w:r w:rsidR="005A6964">
          <w:rPr>
            <w:noProof/>
            <w:webHidden/>
          </w:rPr>
          <w:fldChar w:fldCharType="separate"/>
        </w:r>
        <w:r w:rsidR="00E625D1">
          <w:rPr>
            <w:noProof/>
            <w:webHidden/>
          </w:rPr>
          <w:t>72</w:t>
        </w:r>
        <w:r w:rsidR="005A6964">
          <w:rPr>
            <w:noProof/>
            <w:webHidden/>
          </w:rPr>
          <w:fldChar w:fldCharType="end"/>
        </w:r>
      </w:hyperlink>
    </w:p>
    <w:p w:rsidR="005A6964" w:rsidRDefault="00880C30">
      <w:pPr>
        <w:pStyle w:val="TOC5"/>
        <w:tabs>
          <w:tab w:val="left" w:pos="3600"/>
        </w:tabs>
        <w:rPr>
          <w:rFonts w:asciiTheme="minorHAnsi" w:eastAsiaTheme="minorEastAsia" w:hAnsiTheme="minorHAnsi"/>
          <w:noProof/>
          <w:sz w:val="22"/>
        </w:rPr>
      </w:pPr>
      <w:hyperlink w:anchor="_Toc444269038" w:history="1">
        <w:r w:rsidR="005A6964" w:rsidRPr="00BE0A34">
          <w:rPr>
            <w:rStyle w:val="Hyperlink"/>
            <w:noProof/>
          </w:rPr>
          <w:t>iii.</w:t>
        </w:r>
        <w:r w:rsidR="005A6964">
          <w:rPr>
            <w:rFonts w:asciiTheme="minorHAnsi" w:eastAsiaTheme="minorEastAsia" w:hAnsiTheme="minorHAnsi"/>
            <w:noProof/>
            <w:sz w:val="22"/>
          </w:rPr>
          <w:tab/>
        </w:r>
        <w:r w:rsidR="005A6964" w:rsidRPr="00BE0A34">
          <w:rPr>
            <w:rStyle w:val="Hyperlink"/>
            <w:noProof/>
          </w:rPr>
          <w:t>Cash and cash equivalents paid to signatory parties to promote providers and their programs for low-income customers, energy efficiency and economic development have no relationship to the core issue in this case – the PPA and Rider RRS.</w:t>
        </w:r>
        <w:r w:rsidR="005A6964">
          <w:rPr>
            <w:noProof/>
            <w:webHidden/>
          </w:rPr>
          <w:tab/>
        </w:r>
        <w:r w:rsidR="005A6964">
          <w:rPr>
            <w:noProof/>
            <w:webHidden/>
          </w:rPr>
          <w:fldChar w:fldCharType="begin"/>
        </w:r>
        <w:r w:rsidR="005A6964">
          <w:rPr>
            <w:noProof/>
            <w:webHidden/>
          </w:rPr>
          <w:instrText xml:space="preserve"> PAGEREF _Toc444269038 \h </w:instrText>
        </w:r>
        <w:r w:rsidR="005A6964">
          <w:rPr>
            <w:noProof/>
            <w:webHidden/>
          </w:rPr>
        </w:r>
        <w:r w:rsidR="005A6964">
          <w:rPr>
            <w:noProof/>
            <w:webHidden/>
          </w:rPr>
          <w:fldChar w:fldCharType="separate"/>
        </w:r>
        <w:r w:rsidR="00E625D1">
          <w:rPr>
            <w:noProof/>
            <w:webHidden/>
          </w:rPr>
          <w:t>73</w:t>
        </w:r>
        <w:r w:rsidR="005A6964">
          <w:rPr>
            <w:noProof/>
            <w:webHidden/>
          </w:rPr>
          <w:fldChar w:fldCharType="end"/>
        </w:r>
      </w:hyperlink>
    </w:p>
    <w:p w:rsidR="005A6964" w:rsidRDefault="00880C30">
      <w:pPr>
        <w:pStyle w:val="TOC5"/>
        <w:tabs>
          <w:tab w:val="left" w:pos="3600"/>
        </w:tabs>
        <w:rPr>
          <w:rFonts w:asciiTheme="minorHAnsi" w:eastAsiaTheme="minorEastAsia" w:hAnsiTheme="minorHAnsi"/>
          <w:noProof/>
          <w:sz w:val="22"/>
        </w:rPr>
      </w:pPr>
      <w:hyperlink w:anchor="_Toc444269039" w:history="1">
        <w:r w:rsidR="005A6964" w:rsidRPr="00BE0A34">
          <w:rPr>
            <w:rStyle w:val="Hyperlink"/>
            <w:noProof/>
          </w:rPr>
          <w:t>iv.</w:t>
        </w:r>
        <w:r w:rsidR="005A6964">
          <w:rPr>
            <w:rFonts w:asciiTheme="minorHAnsi" w:eastAsiaTheme="minorEastAsia" w:hAnsiTheme="minorHAnsi"/>
            <w:noProof/>
            <w:sz w:val="22"/>
          </w:rPr>
          <w:tab/>
        </w:r>
        <w:r w:rsidR="005A6964" w:rsidRPr="00BE0A34">
          <w:rPr>
            <w:rStyle w:val="Hyperlink"/>
            <w:noProof/>
          </w:rPr>
          <w:t>The Side Deal with IGS is shameful, not even part of the Stipulation, and should not be included in the package of benefits analyzed by the PUCO in resolution of this case.</w:t>
        </w:r>
        <w:r w:rsidR="005A6964">
          <w:rPr>
            <w:noProof/>
            <w:webHidden/>
          </w:rPr>
          <w:tab/>
        </w:r>
        <w:r w:rsidR="005A6964">
          <w:rPr>
            <w:noProof/>
            <w:webHidden/>
          </w:rPr>
          <w:fldChar w:fldCharType="begin"/>
        </w:r>
        <w:r w:rsidR="005A6964">
          <w:rPr>
            <w:noProof/>
            <w:webHidden/>
          </w:rPr>
          <w:instrText xml:space="preserve"> PAGEREF _Toc444269039 \h </w:instrText>
        </w:r>
        <w:r w:rsidR="005A6964">
          <w:rPr>
            <w:noProof/>
            <w:webHidden/>
          </w:rPr>
        </w:r>
        <w:r w:rsidR="005A6964">
          <w:rPr>
            <w:noProof/>
            <w:webHidden/>
          </w:rPr>
          <w:fldChar w:fldCharType="separate"/>
        </w:r>
        <w:r w:rsidR="00E625D1">
          <w:rPr>
            <w:noProof/>
            <w:webHidden/>
          </w:rPr>
          <w:t>77</w:t>
        </w:r>
        <w:r w:rsidR="005A6964">
          <w:rPr>
            <w:noProof/>
            <w:webHidden/>
          </w:rPr>
          <w:fldChar w:fldCharType="end"/>
        </w:r>
      </w:hyperlink>
    </w:p>
    <w:p w:rsidR="005A6964" w:rsidRDefault="00880C30">
      <w:pPr>
        <w:pStyle w:val="TOC5"/>
        <w:tabs>
          <w:tab w:val="left" w:pos="3600"/>
        </w:tabs>
        <w:rPr>
          <w:rFonts w:asciiTheme="minorHAnsi" w:eastAsiaTheme="minorEastAsia" w:hAnsiTheme="minorHAnsi"/>
          <w:noProof/>
          <w:sz w:val="22"/>
        </w:rPr>
      </w:pPr>
      <w:hyperlink w:anchor="_Toc444269040" w:history="1">
        <w:r w:rsidR="005A6964" w:rsidRPr="00BE0A34">
          <w:rPr>
            <w:rStyle w:val="Hyperlink"/>
            <w:noProof/>
          </w:rPr>
          <w:t>v.</w:t>
        </w:r>
        <w:r w:rsidR="005A6964">
          <w:rPr>
            <w:rFonts w:asciiTheme="minorHAnsi" w:eastAsiaTheme="minorEastAsia" w:hAnsiTheme="minorHAnsi"/>
            <w:noProof/>
            <w:sz w:val="22"/>
          </w:rPr>
          <w:tab/>
        </w:r>
        <w:r w:rsidR="005A6964" w:rsidRPr="00BE0A34">
          <w:rPr>
            <w:rStyle w:val="Hyperlink"/>
            <w:noProof/>
          </w:rPr>
          <w:t>The base distribution rate freeze has no bearing or relationship on the PPA or Rider RRS, and should not be included a part of a settlement package.</w:t>
        </w:r>
        <w:r w:rsidR="005A6964">
          <w:rPr>
            <w:noProof/>
            <w:webHidden/>
          </w:rPr>
          <w:tab/>
        </w:r>
        <w:r w:rsidR="005A6964">
          <w:rPr>
            <w:noProof/>
            <w:webHidden/>
          </w:rPr>
          <w:fldChar w:fldCharType="begin"/>
        </w:r>
        <w:r w:rsidR="005A6964">
          <w:rPr>
            <w:noProof/>
            <w:webHidden/>
          </w:rPr>
          <w:instrText xml:space="preserve"> PAGEREF _Toc444269040 \h </w:instrText>
        </w:r>
        <w:r w:rsidR="005A6964">
          <w:rPr>
            <w:noProof/>
            <w:webHidden/>
          </w:rPr>
        </w:r>
        <w:r w:rsidR="005A6964">
          <w:rPr>
            <w:noProof/>
            <w:webHidden/>
          </w:rPr>
          <w:fldChar w:fldCharType="separate"/>
        </w:r>
        <w:r w:rsidR="00E625D1">
          <w:rPr>
            <w:noProof/>
            <w:webHidden/>
          </w:rPr>
          <w:t>79</w:t>
        </w:r>
        <w:r w:rsidR="005A6964">
          <w:rPr>
            <w:noProof/>
            <w:webHidden/>
          </w:rPr>
          <w:fldChar w:fldCharType="end"/>
        </w:r>
      </w:hyperlink>
    </w:p>
    <w:p w:rsidR="005A6964" w:rsidRDefault="00880C30">
      <w:pPr>
        <w:pStyle w:val="TOC3"/>
        <w:tabs>
          <w:tab w:val="left" w:pos="2160"/>
        </w:tabs>
        <w:rPr>
          <w:rFonts w:asciiTheme="minorHAnsi" w:eastAsiaTheme="minorEastAsia" w:hAnsiTheme="minorHAnsi"/>
          <w:noProof/>
          <w:sz w:val="22"/>
        </w:rPr>
      </w:pPr>
      <w:hyperlink w:anchor="_Toc444269041" w:history="1">
        <w:r w:rsidR="005A6964" w:rsidRPr="00BE0A34">
          <w:rPr>
            <w:rStyle w:val="Hyperlink"/>
            <w:noProof/>
          </w:rPr>
          <w:t>5.</w:t>
        </w:r>
        <w:r w:rsidR="005A6964">
          <w:rPr>
            <w:rFonts w:asciiTheme="minorHAnsi" w:eastAsiaTheme="minorEastAsia" w:hAnsiTheme="minorHAnsi"/>
            <w:noProof/>
            <w:sz w:val="22"/>
          </w:rPr>
          <w:tab/>
        </w:r>
        <w:r w:rsidR="005A6964" w:rsidRPr="00BE0A34">
          <w:rPr>
            <w:rStyle w:val="Hyperlink"/>
            <w:noProof/>
          </w:rPr>
          <w:t>Even if the PUCO uses the three-prong test to evaluate the stipulated electric security plan, contrary to OCC/NOAC’s recommendations, the electric security plan fails customers.</w:t>
        </w:r>
        <w:r w:rsidR="005A6964">
          <w:rPr>
            <w:noProof/>
            <w:webHidden/>
          </w:rPr>
          <w:tab/>
        </w:r>
        <w:r w:rsidR="005A6964">
          <w:rPr>
            <w:noProof/>
            <w:webHidden/>
          </w:rPr>
          <w:fldChar w:fldCharType="begin"/>
        </w:r>
        <w:r w:rsidR="005A6964">
          <w:rPr>
            <w:noProof/>
            <w:webHidden/>
          </w:rPr>
          <w:instrText xml:space="preserve"> PAGEREF _Toc444269041 \h </w:instrText>
        </w:r>
        <w:r w:rsidR="005A6964">
          <w:rPr>
            <w:noProof/>
            <w:webHidden/>
          </w:rPr>
        </w:r>
        <w:r w:rsidR="005A6964">
          <w:rPr>
            <w:noProof/>
            <w:webHidden/>
          </w:rPr>
          <w:fldChar w:fldCharType="separate"/>
        </w:r>
        <w:r w:rsidR="00E625D1">
          <w:rPr>
            <w:noProof/>
            <w:webHidden/>
          </w:rPr>
          <w:t>80</w:t>
        </w:r>
        <w:r w:rsidR="005A6964">
          <w:rPr>
            <w:noProof/>
            <w:webHidden/>
          </w:rPr>
          <w:fldChar w:fldCharType="end"/>
        </w:r>
      </w:hyperlink>
    </w:p>
    <w:p w:rsidR="005A6964" w:rsidRDefault="00880C30">
      <w:pPr>
        <w:pStyle w:val="TOC4"/>
        <w:tabs>
          <w:tab w:val="left" w:pos="2880"/>
        </w:tabs>
        <w:rPr>
          <w:rFonts w:asciiTheme="minorHAnsi" w:eastAsiaTheme="minorEastAsia" w:hAnsiTheme="minorHAnsi"/>
          <w:noProof/>
          <w:sz w:val="22"/>
        </w:rPr>
      </w:pPr>
      <w:hyperlink w:anchor="_Toc444269042" w:history="1">
        <w:r w:rsidR="005A6964" w:rsidRPr="00BE0A34">
          <w:rPr>
            <w:rStyle w:val="Hyperlink"/>
            <w:noProof/>
          </w:rPr>
          <w:t xml:space="preserve">a. </w:t>
        </w:r>
        <w:r w:rsidR="005A6964">
          <w:rPr>
            <w:rFonts w:asciiTheme="minorHAnsi" w:eastAsiaTheme="minorEastAsia" w:hAnsiTheme="minorHAnsi"/>
            <w:noProof/>
            <w:sz w:val="22"/>
          </w:rPr>
          <w:tab/>
        </w:r>
        <w:r w:rsidR="005A6964" w:rsidRPr="00BE0A34">
          <w:rPr>
            <w:rStyle w:val="Hyperlink"/>
            <w:noProof/>
          </w:rPr>
          <w:t>The parties to the Stipulations did not represent diverse interests.</w:t>
        </w:r>
        <w:r w:rsidR="005A6964">
          <w:rPr>
            <w:noProof/>
            <w:webHidden/>
          </w:rPr>
          <w:tab/>
        </w:r>
        <w:r w:rsidR="005A6964">
          <w:rPr>
            <w:noProof/>
            <w:webHidden/>
          </w:rPr>
          <w:fldChar w:fldCharType="begin"/>
        </w:r>
        <w:r w:rsidR="005A6964">
          <w:rPr>
            <w:noProof/>
            <w:webHidden/>
          </w:rPr>
          <w:instrText xml:space="preserve"> PAGEREF _Toc444269042 \h </w:instrText>
        </w:r>
        <w:r w:rsidR="005A6964">
          <w:rPr>
            <w:noProof/>
            <w:webHidden/>
          </w:rPr>
        </w:r>
        <w:r w:rsidR="005A6964">
          <w:rPr>
            <w:noProof/>
            <w:webHidden/>
          </w:rPr>
          <w:fldChar w:fldCharType="separate"/>
        </w:r>
        <w:r w:rsidR="00E625D1">
          <w:rPr>
            <w:noProof/>
            <w:webHidden/>
          </w:rPr>
          <w:t>81</w:t>
        </w:r>
        <w:r w:rsidR="005A6964">
          <w:rPr>
            <w:noProof/>
            <w:webHidden/>
          </w:rPr>
          <w:fldChar w:fldCharType="end"/>
        </w:r>
      </w:hyperlink>
    </w:p>
    <w:p w:rsidR="005A6964" w:rsidRDefault="00880C30">
      <w:pPr>
        <w:pStyle w:val="TOC5"/>
        <w:tabs>
          <w:tab w:val="left" w:pos="3600"/>
        </w:tabs>
        <w:rPr>
          <w:rFonts w:asciiTheme="minorHAnsi" w:eastAsiaTheme="minorEastAsia" w:hAnsiTheme="minorHAnsi"/>
          <w:noProof/>
          <w:sz w:val="22"/>
        </w:rPr>
      </w:pPr>
      <w:hyperlink w:anchor="_Toc444269043" w:history="1">
        <w:r w:rsidR="005A6964" w:rsidRPr="00BE0A34">
          <w:rPr>
            <w:rStyle w:val="Hyperlink"/>
            <w:noProof/>
          </w:rPr>
          <w:t xml:space="preserve">i.  </w:t>
        </w:r>
        <w:r w:rsidR="005A6964">
          <w:rPr>
            <w:rFonts w:asciiTheme="minorHAnsi" w:eastAsiaTheme="minorEastAsia" w:hAnsiTheme="minorHAnsi"/>
            <w:noProof/>
            <w:sz w:val="22"/>
          </w:rPr>
          <w:tab/>
        </w:r>
        <w:r w:rsidR="005A6964" w:rsidRPr="00BE0A34">
          <w:rPr>
            <w:rStyle w:val="Hyperlink"/>
            <w:noProof/>
          </w:rPr>
          <w:t>Prong One: The settlements were not the product of serious bargaining among capable, knowledgeable parties with diverse interests.</w:t>
        </w:r>
        <w:r w:rsidR="005A6964">
          <w:rPr>
            <w:noProof/>
            <w:webHidden/>
          </w:rPr>
          <w:tab/>
        </w:r>
        <w:r w:rsidR="005A6964">
          <w:rPr>
            <w:noProof/>
            <w:webHidden/>
          </w:rPr>
          <w:fldChar w:fldCharType="begin"/>
        </w:r>
        <w:r w:rsidR="005A6964">
          <w:rPr>
            <w:noProof/>
            <w:webHidden/>
          </w:rPr>
          <w:instrText xml:space="preserve"> PAGEREF _Toc444269043 \h </w:instrText>
        </w:r>
        <w:r w:rsidR="005A6964">
          <w:rPr>
            <w:noProof/>
            <w:webHidden/>
          </w:rPr>
        </w:r>
        <w:r w:rsidR="005A6964">
          <w:rPr>
            <w:noProof/>
            <w:webHidden/>
          </w:rPr>
          <w:fldChar w:fldCharType="separate"/>
        </w:r>
        <w:r w:rsidR="00E625D1">
          <w:rPr>
            <w:noProof/>
            <w:webHidden/>
          </w:rPr>
          <w:t>83</w:t>
        </w:r>
        <w:r w:rsidR="005A6964">
          <w:rPr>
            <w:noProof/>
            <w:webHidden/>
          </w:rPr>
          <w:fldChar w:fldCharType="end"/>
        </w:r>
      </w:hyperlink>
    </w:p>
    <w:p w:rsidR="005A6964" w:rsidRDefault="00880C30">
      <w:pPr>
        <w:pStyle w:val="TOC6"/>
        <w:tabs>
          <w:tab w:val="left" w:pos="4320"/>
        </w:tabs>
        <w:rPr>
          <w:rFonts w:asciiTheme="minorHAnsi" w:hAnsiTheme="minorHAnsi"/>
          <w:noProof/>
          <w:sz w:val="22"/>
        </w:rPr>
      </w:pPr>
      <w:hyperlink w:anchor="_Toc444269044" w:history="1">
        <w:r w:rsidR="005A6964" w:rsidRPr="00BE0A34">
          <w:rPr>
            <w:rStyle w:val="Hyperlink"/>
            <w:noProof/>
          </w:rPr>
          <w:t xml:space="preserve">a. </w:t>
        </w:r>
        <w:r w:rsidR="005A6964">
          <w:rPr>
            <w:rFonts w:asciiTheme="minorHAnsi" w:hAnsiTheme="minorHAnsi"/>
            <w:noProof/>
            <w:sz w:val="22"/>
          </w:rPr>
          <w:tab/>
        </w:r>
        <w:r w:rsidR="005A6964" w:rsidRPr="00BE0A34">
          <w:rPr>
            <w:rStyle w:val="Hyperlink"/>
            <w:noProof/>
          </w:rPr>
          <w:t>Serious bargaining did not occur.</w:t>
        </w:r>
        <w:r w:rsidR="005A6964">
          <w:rPr>
            <w:noProof/>
            <w:webHidden/>
          </w:rPr>
          <w:tab/>
        </w:r>
        <w:r w:rsidR="005A6964">
          <w:rPr>
            <w:noProof/>
            <w:webHidden/>
          </w:rPr>
          <w:fldChar w:fldCharType="begin"/>
        </w:r>
        <w:r w:rsidR="005A6964">
          <w:rPr>
            <w:noProof/>
            <w:webHidden/>
          </w:rPr>
          <w:instrText xml:space="preserve"> PAGEREF _Toc444269044 \h </w:instrText>
        </w:r>
        <w:r w:rsidR="005A6964">
          <w:rPr>
            <w:noProof/>
            <w:webHidden/>
          </w:rPr>
        </w:r>
        <w:r w:rsidR="005A6964">
          <w:rPr>
            <w:noProof/>
            <w:webHidden/>
          </w:rPr>
          <w:fldChar w:fldCharType="separate"/>
        </w:r>
        <w:r w:rsidR="00E625D1">
          <w:rPr>
            <w:noProof/>
            <w:webHidden/>
          </w:rPr>
          <w:t>85</w:t>
        </w:r>
        <w:r w:rsidR="005A6964">
          <w:rPr>
            <w:noProof/>
            <w:webHidden/>
          </w:rPr>
          <w:fldChar w:fldCharType="end"/>
        </w:r>
      </w:hyperlink>
    </w:p>
    <w:p w:rsidR="005A6964" w:rsidRDefault="00880C30">
      <w:pPr>
        <w:pStyle w:val="TOC6"/>
        <w:tabs>
          <w:tab w:val="left" w:pos="4320"/>
        </w:tabs>
        <w:rPr>
          <w:rFonts w:asciiTheme="minorHAnsi" w:hAnsiTheme="minorHAnsi"/>
          <w:noProof/>
          <w:sz w:val="22"/>
        </w:rPr>
      </w:pPr>
      <w:hyperlink w:anchor="_Toc444269045" w:history="1">
        <w:r w:rsidR="005A6964" w:rsidRPr="00BE0A34">
          <w:rPr>
            <w:rStyle w:val="Hyperlink"/>
            <w:noProof/>
          </w:rPr>
          <w:t xml:space="preserve">b. </w:t>
        </w:r>
        <w:r w:rsidR="005A6964">
          <w:rPr>
            <w:rFonts w:asciiTheme="minorHAnsi" w:hAnsiTheme="minorHAnsi"/>
            <w:noProof/>
            <w:sz w:val="22"/>
          </w:rPr>
          <w:tab/>
        </w:r>
        <w:r w:rsidR="005A6964" w:rsidRPr="00BE0A34">
          <w:rPr>
            <w:rStyle w:val="Hyperlink"/>
            <w:noProof/>
          </w:rPr>
          <w:t>Signatory parties that sign a settlement for terms paid with other people’s (customers) money should not count in the PUCO’s analysis of diversity of interest.</w:t>
        </w:r>
        <w:r w:rsidR="005A6964">
          <w:rPr>
            <w:noProof/>
            <w:webHidden/>
          </w:rPr>
          <w:tab/>
        </w:r>
        <w:r w:rsidR="005A6964">
          <w:rPr>
            <w:noProof/>
            <w:webHidden/>
          </w:rPr>
          <w:fldChar w:fldCharType="begin"/>
        </w:r>
        <w:r w:rsidR="005A6964">
          <w:rPr>
            <w:noProof/>
            <w:webHidden/>
          </w:rPr>
          <w:instrText xml:space="preserve"> PAGEREF _Toc444269045 \h </w:instrText>
        </w:r>
        <w:r w:rsidR="005A6964">
          <w:rPr>
            <w:noProof/>
            <w:webHidden/>
          </w:rPr>
        </w:r>
        <w:r w:rsidR="005A6964">
          <w:rPr>
            <w:noProof/>
            <w:webHidden/>
          </w:rPr>
          <w:fldChar w:fldCharType="separate"/>
        </w:r>
        <w:r w:rsidR="00E625D1">
          <w:rPr>
            <w:noProof/>
            <w:webHidden/>
          </w:rPr>
          <w:t>86</w:t>
        </w:r>
        <w:r w:rsidR="005A6964">
          <w:rPr>
            <w:noProof/>
            <w:webHidden/>
          </w:rPr>
          <w:fldChar w:fldCharType="end"/>
        </w:r>
      </w:hyperlink>
    </w:p>
    <w:p w:rsidR="005A6964" w:rsidRDefault="00880C30">
      <w:pPr>
        <w:pStyle w:val="TOC5"/>
        <w:tabs>
          <w:tab w:val="left" w:pos="3600"/>
        </w:tabs>
        <w:rPr>
          <w:rFonts w:asciiTheme="minorHAnsi" w:eastAsiaTheme="minorEastAsia" w:hAnsiTheme="minorHAnsi"/>
          <w:noProof/>
          <w:sz w:val="22"/>
        </w:rPr>
      </w:pPr>
      <w:hyperlink w:anchor="_Toc444269046" w:history="1">
        <w:r w:rsidR="005A6964" w:rsidRPr="00BE0A34">
          <w:rPr>
            <w:rStyle w:val="Hyperlink"/>
            <w:noProof/>
          </w:rPr>
          <w:t xml:space="preserve">ii. </w:t>
        </w:r>
        <w:r w:rsidR="005A6964">
          <w:rPr>
            <w:rFonts w:asciiTheme="minorHAnsi" w:eastAsiaTheme="minorEastAsia" w:hAnsiTheme="minorHAnsi"/>
            <w:noProof/>
            <w:sz w:val="22"/>
          </w:rPr>
          <w:tab/>
        </w:r>
        <w:r w:rsidR="005A6964" w:rsidRPr="00BE0A34">
          <w:rPr>
            <w:rStyle w:val="Hyperlink"/>
            <w:noProof/>
          </w:rPr>
          <w:t>Prong Two: The electric security plan, as modified by the stipulations, does not benefit customers and the public interest.</w:t>
        </w:r>
        <w:r w:rsidR="005A6964">
          <w:rPr>
            <w:noProof/>
            <w:webHidden/>
          </w:rPr>
          <w:tab/>
        </w:r>
        <w:r w:rsidR="005A6964">
          <w:rPr>
            <w:noProof/>
            <w:webHidden/>
          </w:rPr>
          <w:fldChar w:fldCharType="begin"/>
        </w:r>
        <w:r w:rsidR="005A6964">
          <w:rPr>
            <w:noProof/>
            <w:webHidden/>
          </w:rPr>
          <w:instrText xml:space="preserve"> PAGEREF _Toc444269046 \h </w:instrText>
        </w:r>
        <w:r w:rsidR="005A6964">
          <w:rPr>
            <w:noProof/>
            <w:webHidden/>
          </w:rPr>
        </w:r>
        <w:r w:rsidR="005A6964">
          <w:rPr>
            <w:noProof/>
            <w:webHidden/>
          </w:rPr>
          <w:fldChar w:fldCharType="separate"/>
        </w:r>
        <w:r w:rsidR="00E625D1">
          <w:rPr>
            <w:noProof/>
            <w:webHidden/>
          </w:rPr>
          <w:t>87</w:t>
        </w:r>
        <w:r w:rsidR="005A6964">
          <w:rPr>
            <w:noProof/>
            <w:webHidden/>
          </w:rPr>
          <w:fldChar w:fldCharType="end"/>
        </w:r>
      </w:hyperlink>
    </w:p>
    <w:p w:rsidR="005A6964" w:rsidRDefault="00880C30">
      <w:pPr>
        <w:pStyle w:val="TOC5"/>
        <w:tabs>
          <w:tab w:val="left" w:pos="3600"/>
        </w:tabs>
        <w:rPr>
          <w:rFonts w:asciiTheme="minorHAnsi" w:eastAsiaTheme="minorEastAsia" w:hAnsiTheme="minorHAnsi"/>
          <w:noProof/>
          <w:sz w:val="22"/>
        </w:rPr>
      </w:pPr>
      <w:hyperlink w:anchor="_Toc444269047" w:history="1">
        <w:r w:rsidR="005A6964" w:rsidRPr="00BE0A34">
          <w:rPr>
            <w:rStyle w:val="Hyperlink"/>
            <w:noProof/>
          </w:rPr>
          <w:t xml:space="preserve">iii. </w:t>
        </w:r>
        <w:r w:rsidR="005A6964">
          <w:rPr>
            <w:rFonts w:asciiTheme="minorHAnsi" w:eastAsiaTheme="minorEastAsia" w:hAnsiTheme="minorHAnsi"/>
            <w:noProof/>
            <w:sz w:val="22"/>
          </w:rPr>
          <w:tab/>
        </w:r>
        <w:r w:rsidR="005A6964" w:rsidRPr="00BE0A34">
          <w:rPr>
            <w:rStyle w:val="Hyperlink"/>
            <w:noProof/>
          </w:rPr>
          <w:t>Prong Three:  The Stipulations violate important regulatory principles and practices which harms customers.</w:t>
        </w:r>
        <w:r w:rsidR="005A6964">
          <w:rPr>
            <w:noProof/>
            <w:webHidden/>
          </w:rPr>
          <w:tab/>
        </w:r>
        <w:r w:rsidR="005A6964">
          <w:rPr>
            <w:noProof/>
            <w:webHidden/>
          </w:rPr>
          <w:fldChar w:fldCharType="begin"/>
        </w:r>
        <w:r w:rsidR="005A6964">
          <w:rPr>
            <w:noProof/>
            <w:webHidden/>
          </w:rPr>
          <w:instrText xml:space="preserve"> PAGEREF _Toc444269047 \h </w:instrText>
        </w:r>
        <w:r w:rsidR="005A6964">
          <w:rPr>
            <w:noProof/>
            <w:webHidden/>
          </w:rPr>
        </w:r>
        <w:r w:rsidR="005A6964">
          <w:rPr>
            <w:noProof/>
            <w:webHidden/>
          </w:rPr>
          <w:fldChar w:fldCharType="separate"/>
        </w:r>
        <w:r w:rsidR="00E625D1">
          <w:rPr>
            <w:noProof/>
            <w:webHidden/>
          </w:rPr>
          <w:t>102</w:t>
        </w:r>
        <w:r w:rsidR="005A6964">
          <w:rPr>
            <w:noProof/>
            <w:webHidden/>
          </w:rPr>
          <w:fldChar w:fldCharType="end"/>
        </w:r>
      </w:hyperlink>
    </w:p>
    <w:p w:rsidR="005A6964" w:rsidRDefault="00880C30">
      <w:pPr>
        <w:pStyle w:val="TOC2"/>
        <w:tabs>
          <w:tab w:val="left" w:pos="1440"/>
        </w:tabs>
        <w:rPr>
          <w:rFonts w:asciiTheme="minorHAnsi" w:eastAsiaTheme="minorEastAsia" w:hAnsiTheme="minorHAnsi"/>
          <w:noProof/>
          <w:sz w:val="22"/>
        </w:rPr>
      </w:pPr>
      <w:hyperlink w:anchor="_Toc444269048" w:history="1">
        <w:r w:rsidR="005A6964" w:rsidRPr="00BE0A34">
          <w:rPr>
            <w:rStyle w:val="Hyperlink"/>
            <w:noProof/>
          </w:rPr>
          <w:t>C.</w:t>
        </w:r>
        <w:r w:rsidR="005A6964">
          <w:rPr>
            <w:rFonts w:asciiTheme="minorHAnsi" w:eastAsiaTheme="minorEastAsia" w:hAnsiTheme="minorHAnsi"/>
            <w:noProof/>
            <w:sz w:val="22"/>
          </w:rPr>
          <w:tab/>
        </w:r>
        <w:r w:rsidR="005A6964" w:rsidRPr="00BE0A34">
          <w:rPr>
            <w:rStyle w:val="Hyperlink"/>
            <w:noProof/>
          </w:rPr>
          <w:t>The Commission should not rule on FirstEnergy’s electric security plan proposal, in accordance with  OCC's/NOAC’s recommendations to protect Ohio consumers until FERC makes a relevant determination regarding the proposed PPA transaction.</w:t>
        </w:r>
        <w:r w:rsidR="005A6964">
          <w:rPr>
            <w:noProof/>
            <w:webHidden/>
          </w:rPr>
          <w:tab/>
        </w:r>
        <w:r w:rsidR="005A6964">
          <w:rPr>
            <w:noProof/>
            <w:webHidden/>
          </w:rPr>
          <w:fldChar w:fldCharType="begin"/>
        </w:r>
        <w:r w:rsidR="005A6964">
          <w:rPr>
            <w:noProof/>
            <w:webHidden/>
          </w:rPr>
          <w:instrText xml:space="preserve"> PAGEREF _Toc444269048 \h </w:instrText>
        </w:r>
        <w:r w:rsidR="005A6964">
          <w:rPr>
            <w:noProof/>
            <w:webHidden/>
          </w:rPr>
        </w:r>
        <w:r w:rsidR="005A6964">
          <w:rPr>
            <w:noProof/>
            <w:webHidden/>
          </w:rPr>
          <w:fldChar w:fldCharType="separate"/>
        </w:r>
        <w:r w:rsidR="00E625D1">
          <w:rPr>
            <w:noProof/>
            <w:webHidden/>
          </w:rPr>
          <w:t>105</w:t>
        </w:r>
        <w:r w:rsidR="005A6964">
          <w:rPr>
            <w:noProof/>
            <w:webHidden/>
          </w:rPr>
          <w:fldChar w:fldCharType="end"/>
        </w:r>
      </w:hyperlink>
    </w:p>
    <w:p w:rsidR="005A6964" w:rsidRDefault="00880C30">
      <w:pPr>
        <w:pStyle w:val="TOC3"/>
        <w:tabs>
          <w:tab w:val="left" w:pos="2160"/>
        </w:tabs>
        <w:rPr>
          <w:rFonts w:asciiTheme="minorHAnsi" w:eastAsiaTheme="minorEastAsia" w:hAnsiTheme="minorHAnsi"/>
          <w:noProof/>
          <w:sz w:val="22"/>
        </w:rPr>
      </w:pPr>
      <w:hyperlink w:anchor="_Toc444269049" w:history="1">
        <w:r w:rsidR="005A6964" w:rsidRPr="00BE0A34">
          <w:rPr>
            <w:rStyle w:val="Hyperlink"/>
            <w:noProof/>
          </w:rPr>
          <w:t>1.</w:t>
        </w:r>
        <w:r w:rsidR="005A6964">
          <w:rPr>
            <w:rFonts w:asciiTheme="minorHAnsi" w:eastAsiaTheme="minorEastAsia" w:hAnsiTheme="minorHAnsi"/>
            <w:noProof/>
            <w:sz w:val="22"/>
          </w:rPr>
          <w:tab/>
        </w:r>
        <w:r w:rsidR="005A6964" w:rsidRPr="00BE0A34">
          <w:rPr>
            <w:rStyle w:val="Hyperlink"/>
            <w:noProof/>
          </w:rPr>
          <w:t>The most credible evidence does not show that the long-term costs of the PPA will be below market.</w:t>
        </w:r>
        <w:r w:rsidR="005A6964">
          <w:rPr>
            <w:noProof/>
            <w:webHidden/>
          </w:rPr>
          <w:tab/>
        </w:r>
        <w:r w:rsidR="005A6964">
          <w:rPr>
            <w:noProof/>
            <w:webHidden/>
          </w:rPr>
          <w:fldChar w:fldCharType="begin"/>
        </w:r>
        <w:r w:rsidR="005A6964">
          <w:rPr>
            <w:noProof/>
            <w:webHidden/>
          </w:rPr>
          <w:instrText xml:space="preserve"> PAGEREF _Toc444269049 \h </w:instrText>
        </w:r>
        <w:r w:rsidR="005A6964">
          <w:rPr>
            <w:noProof/>
            <w:webHidden/>
          </w:rPr>
        </w:r>
        <w:r w:rsidR="005A6964">
          <w:rPr>
            <w:noProof/>
            <w:webHidden/>
          </w:rPr>
          <w:fldChar w:fldCharType="separate"/>
        </w:r>
        <w:r w:rsidR="00E625D1">
          <w:rPr>
            <w:noProof/>
            <w:webHidden/>
          </w:rPr>
          <w:t>107</w:t>
        </w:r>
        <w:r w:rsidR="005A6964">
          <w:rPr>
            <w:noProof/>
            <w:webHidden/>
          </w:rPr>
          <w:fldChar w:fldCharType="end"/>
        </w:r>
      </w:hyperlink>
    </w:p>
    <w:p w:rsidR="005A6964" w:rsidRDefault="00880C30">
      <w:pPr>
        <w:pStyle w:val="TOC3"/>
        <w:tabs>
          <w:tab w:val="left" w:pos="2160"/>
        </w:tabs>
        <w:rPr>
          <w:rFonts w:asciiTheme="minorHAnsi" w:eastAsiaTheme="minorEastAsia" w:hAnsiTheme="minorHAnsi"/>
          <w:noProof/>
          <w:sz w:val="22"/>
        </w:rPr>
      </w:pPr>
      <w:hyperlink w:anchor="_Toc444269050" w:history="1">
        <w:r w:rsidR="005A6964" w:rsidRPr="00BE0A34">
          <w:rPr>
            <w:rStyle w:val="Hyperlink"/>
            <w:noProof/>
          </w:rPr>
          <w:t>2.</w:t>
        </w:r>
        <w:r w:rsidR="005A6964">
          <w:rPr>
            <w:rFonts w:asciiTheme="minorHAnsi" w:eastAsiaTheme="minorEastAsia" w:hAnsiTheme="minorHAnsi"/>
            <w:noProof/>
            <w:sz w:val="22"/>
          </w:rPr>
          <w:tab/>
        </w:r>
        <w:r w:rsidR="005A6964" w:rsidRPr="00BE0A34">
          <w:rPr>
            <w:rStyle w:val="Hyperlink"/>
            <w:noProof/>
          </w:rPr>
          <w:t>FirstEnergy’s customers are captive, and subject to significant unwarranted charges through Rider RRS.</w:t>
        </w:r>
        <w:r w:rsidR="005A6964">
          <w:rPr>
            <w:noProof/>
            <w:webHidden/>
          </w:rPr>
          <w:tab/>
        </w:r>
        <w:r w:rsidR="005A6964">
          <w:rPr>
            <w:noProof/>
            <w:webHidden/>
          </w:rPr>
          <w:fldChar w:fldCharType="begin"/>
        </w:r>
        <w:r w:rsidR="005A6964">
          <w:rPr>
            <w:noProof/>
            <w:webHidden/>
          </w:rPr>
          <w:instrText xml:space="preserve"> PAGEREF _Toc444269050 \h </w:instrText>
        </w:r>
        <w:r w:rsidR="005A6964">
          <w:rPr>
            <w:noProof/>
            <w:webHidden/>
          </w:rPr>
        </w:r>
        <w:r w:rsidR="005A6964">
          <w:rPr>
            <w:noProof/>
            <w:webHidden/>
          </w:rPr>
          <w:fldChar w:fldCharType="separate"/>
        </w:r>
        <w:r w:rsidR="00E625D1">
          <w:rPr>
            <w:noProof/>
            <w:webHidden/>
          </w:rPr>
          <w:t>109</w:t>
        </w:r>
        <w:r w:rsidR="005A6964">
          <w:rPr>
            <w:noProof/>
            <w:webHidden/>
          </w:rPr>
          <w:fldChar w:fldCharType="end"/>
        </w:r>
      </w:hyperlink>
    </w:p>
    <w:p w:rsidR="005A6964" w:rsidRDefault="00880C30">
      <w:pPr>
        <w:pStyle w:val="TOC3"/>
        <w:tabs>
          <w:tab w:val="left" w:pos="2160"/>
        </w:tabs>
        <w:rPr>
          <w:rFonts w:asciiTheme="minorHAnsi" w:eastAsiaTheme="minorEastAsia" w:hAnsiTheme="minorHAnsi"/>
          <w:noProof/>
          <w:sz w:val="22"/>
        </w:rPr>
      </w:pPr>
      <w:hyperlink w:anchor="_Toc444269051" w:history="1">
        <w:r w:rsidR="005A6964" w:rsidRPr="00BE0A34">
          <w:rPr>
            <w:rStyle w:val="Hyperlink"/>
            <w:noProof/>
          </w:rPr>
          <w:t>3.</w:t>
        </w:r>
        <w:r w:rsidR="005A6964">
          <w:rPr>
            <w:rFonts w:asciiTheme="minorHAnsi" w:eastAsiaTheme="minorEastAsia" w:hAnsiTheme="minorHAnsi"/>
            <w:noProof/>
            <w:sz w:val="22"/>
          </w:rPr>
          <w:tab/>
        </w:r>
        <w:r w:rsidR="005A6964" w:rsidRPr="00BE0A34">
          <w:rPr>
            <w:rStyle w:val="Hyperlink"/>
            <w:noProof/>
          </w:rPr>
          <w:t>It is premature for the PUCO to expressly find no evidence of affiliate abuse in this case.</w:t>
        </w:r>
        <w:r w:rsidR="005A6964">
          <w:rPr>
            <w:noProof/>
            <w:webHidden/>
          </w:rPr>
          <w:tab/>
        </w:r>
        <w:r w:rsidR="005A6964">
          <w:rPr>
            <w:noProof/>
            <w:webHidden/>
          </w:rPr>
          <w:fldChar w:fldCharType="begin"/>
        </w:r>
        <w:r w:rsidR="005A6964">
          <w:rPr>
            <w:noProof/>
            <w:webHidden/>
          </w:rPr>
          <w:instrText xml:space="preserve"> PAGEREF _Toc444269051 \h </w:instrText>
        </w:r>
        <w:r w:rsidR="005A6964">
          <w:rPr>
            <w:noProof/>
            <w:webHidden/>
          </w:rPr>
        </w:r>
        <w:r w:rsidR="005A6964">
          <w:rPr>
            <w:noProof/>
            <w:webHidden/>
          </w:rPr>
          <w:fldChar w:fldCharType="separate"/>
        </w:r>
        <w:r w:rsidR="00E625D1">
          <w:rPr>
            <w:noProof/>
            <w:webHidden/>
          </w:rPr>
          <w:t>111</w:t>
        </w:r>
        <w:r w:rsidR="005A6964">
          <w:rPr>
            <w:noProof/>
            <w:webHidden/>
          </w:rPr>
          <w:fldChar w:fldCharType="end"/>
        </w:r>
      </w:hyperlink>
    </w:p>
    <w:p w:rsidR="005A6964" w:rsidRDefault="00880C30">
      <w:pPr>
        <w:pStyle w:val="TOC1"/>
        <w:rPr>
          <w:rFonts w:asciiTheme="minorHAnsi" w:eastAsiaTheme="minorEastAsia" w:hAnsiTheme="minorHAnsi"/>
          <w:caps w:val="0"/>
          <w:noProof/>
          <w:sz w:val="22"/>
        </w:rPr>
      </w:pPr>
      <w:hyperlink w:anchor="_Toc444269052" w:history="1">
        <w:r w:rsidR="005A6964" w:rsidRPr="00BE0A34">
          <w:rPr>
            <w:rStyle w:val="Hyperlink"/>
            <w:noProof/>
          </w:rPr>
          <w:t>IV.</w:t>
        </w:r>
        <w:r w:rsidR="005A6964">
          <w:rPr>
            <w:rFonts w:asciiTheme="minorHAnsi" w:eastAsiaTheme="minorEastAsia" w:hAnsiTheme="minorHAnsi"/>
            <w:caps w:val="0"/>
            <w:noProof/>
            <w:sz w:val="22"/>
          </w:rPr>
          <w:tab/>
        </w:r>
        <w:r w:rsidR="005A6964" w:rsidRPr="00BE0A34">
          <w:rPr>
            <w:rStyle w:val="Hyperlink"/>
            <w:noProof/>
          </w:rPr>
          <w:t>CONCLUSION</w:t>
        </w:r>
        <w:r w:rsidR="005A6964">
          <w:rPr>
            <w:noProof/>
            <w:webHidden/>
          </w:rPr>
          <w:tab/>
        </w:r>
        <w:r w:rsidR="005A6964">
          <w:rPr>
            <w:noProof/>
            <w:webHidden/>
          </w:rPr>
          <w:fldChar w:fldCharType="begin"/>
        </w:r>
        <w:r w:rsidR="005A6964">
          <w:rPr>
            <w:noProof/>
            <w:webHidden/>
          </w:rPr>
          <w:instrText xml:space="preserve"> PAGEREF _Toc444269052 \h </w:instrText>
        </w:r>
        <w:r w:rsidR="005A6964">
          <w:rPr>
            <w:noProof/>
            <w:webHidden/>
          </w:rPr>
        </w:r>
        <w:r w:rsidR="005A6964">
          <w:rPr>
            <w:noProof/>
            <w:webHidden/>
          </w:rPr>
          <w:fldChar w:fldCharType="separate"/>
        </w:r>
        <w:r w:rsidR="00E625D1">
          <w:rPr>
            <w:noProof/>
            <w:webHidden/>
          </w:rPr>
          <w:t>113</w:t>
        </w:r>
        <w:r w:rsidR="005A6964">
          <w:rPr>
            <w:noProof/>
            <w:webHidden/>
          </w:rPr>
          <w:fldChar w:fldCharType="end"/>
        </w:r>
      </w:hyperlink>
    </w:p>
    <w:p w:rsidR="00B7274A" w:rsidRPr="005A6964" w:rsidRDefault="00F209BD" w:rsidP="00B7274A">
      <w:r w:rsidRPr="005A6964">
        <w:fldChar w:fldCharType="end"/>
      </w:r>
    </w:p>
    <w:p w:rsidR="00B7274A" w:rsidRPr="005A6964" w:rsidRDefault="00B7274A" w:rsidP="00B7274A"/>
    <w:p w:rsidR="00E362C6" w:rsidRPr="005A6964" w:rsidRDefault="00E362C6" w:rsidP="00B7274A">
      <w:pPr>
        <w:sectPr w:rsidR="00E362C6" w:rsidRPr="005A6964" w:rsidSect="00037F6E">
          <w:headerReference w:type="default" r:id="rId15"/>
          <w:footerReference w:type="default" r:id="rId16"/>
          <w:pgSz w:w="12240" w:h="15840"/>
          <w:pgMar w:top="720" w:right="1800" w:bottom="720" w:left="1800" w:header="720" w:footer="720" w:gutter="0"/>
          <w:pgNumType w:fmt="lowerRoman" w:start="1"/>
          <w:cols w:space="720"/>
          <w:docGrid w:linePitch="360"/>
        </w:sectPr>
      </w:pPr>
    </w:p>
    <w:p w:rsidR="00B04EB1" w:rsidRPr="005A6964" w:rsidRDefault="00B04EB1" w:rsidP="00B04EB1">
      <w:pPr>
        <w:pStyle w:val="HTMLPreformatted"/>
        <w:jc w:val="center"/>
        <w:rPr>
          <w:rFonts w:ascii="Times New Roman" w:hAnsi="Times New Roman" w:cs="Times New Roman"/>
          <w:b/>
          <w:bCs/>
          <w:sz w:val="24"/>
          <w:szCs w:val="24"/>
        </w:rPr>
      </w:pPr>
      <w:r w:rsidRPr="005A6964">
        <w:rPr>
          <w:rFonts w:ascii="Times New Roman" w:hAnsi="Times New Roman" w:cs="Times New Roman"/>
          <w:b/>
          <w:bCs/>
          <w:sz w:val="24"/>
          <w:szCs w:val="24"/>
        </w:rPr>
        <w:t>BEFORE</w:t>
      </w:r>
    </w:p>
    <w:p w:rsidR="00B04EB1" w:rsidRPr="005A6964" w:rsidRDefault="00B04EB1" w:rsidP="00B04EB1">
      <w:pPr>
        <w:pStyle w:val="HTMLPreformatted"/>
        <w:jc w:val="center"/>
        <w:rPr>
          <w:rFonts w:ascii="Times New Roman" w:hAnsi="Times New Roman" w:cs="Times New Roman"/>
          <w:sz w:val="24"/>
          <w:szCs w:val="24"/>
        </w:rPr>
      </w:pPr>
      <w:r w:rsidRPr="005A6964">
        <w:rPr>
          <w:rFonts w:ascii="Times New Roman" w:hAnsi="Times New Roman" w:cs="Times New Roman"/>
          <w:b/>
          <w:bCs/>
          <w:sz w:val="24"/>
          <w:szCs w:val="24"/>
        </w:rPr>
        <w:t>THE PUBLIC UTILITIES COMMISSION OF OHIO</w:t>
      </w:r>
    </w:p>
    <w:p w:rsidR="00B04EB1" w:rsidRPr="005A6964" w:rsidRDefault="00B04EB1" w:rsidP="00B04EB1">
      <w:pPr>
        <w:pStyle w:val="HTMLPreformatted"/>
        <w:rPr>
          <w:rFonts w:ascii="Times New Roman" w:hAnsi="Times New Roman" w:cs="Times New Roman"/>
          <w:sz w:val="24"/>
          <w:szCs w:val="24"/>
        </w:rPr>
      </w:pPr>
    </w:p>
    <w:tbl>
      <w:tblPr>
        <w:tblW w:w="9092" w:type="dxa"/>
        <w:tblLook w:val="01E0" w:firstRow="1" w:lastRow="1" w:firstColumn="1" w:lastColumn="1" w:noHBand="0" w:noVBand="0"/>
      </w:tblPr>
      <w:tblGrid>
        <w:gridCol w:w="4332"/>
        <w:gridCol w:w="360"/>
        <w:gridCol w:w="4400"/>
      </w:tblGrid>
      <w:tr w:rsidR="00B04EB1" w:rsidRPr="005A6964" w:rsidTr="008625E5">
        <w:trPr>
          <w:trHeight w:val="2142"/>
        </w:trPr>
        <w:tc>
          <w:tcPr>
            <w:tcW w:w="4332" w:type="dxa"/>
            <w:shd w:val="clear" w:color="auto" w:fill="auto"/>
          </w:tcPr>
          <w:p w:rsidR="00B04EB1" w:rsidRPr="005A6964" w:rsidRDefault="00B04EB1" w:rsidP="008625E5">
            <w:pPr>
              <w:autoSpaceDE w:val="0"/>
              <w:autoSpaceDN w:val="0"/>
              <w:adjustRightInd w:val="0"/>
            </w:pPr>
            <w:r w:rsidRPr="005A6964">
              <w:rPr>
                <w:rFonts w:cs="Times New Roman"/>
                <w:szCs w:val="24"/>
              </w:rPr>
              <w:t xml:space="preserve">In the Matter of the Application of Ohio Edison Company, The Cleveland Electric Illuminating Company and The Toledo Edison Company for Authority to Provide a Standard Service Offer Pursuant to R.C. § 4928.143 in the Form of an Electric Security Plan.                                               </w:t>
            </w:r>
          </w:p>
        </w:tc>
        <w:tc>
          <w:tcPr>
            <w:tcW w:w="360" w:type="dxa"/>
            <w:shd w:val="clear" w:color="auto" w:fill="auto"/>
          </w:tcPr>
          <w:p w:rsidR="00B04EB1" w:rsidRPr="005A6964" w:rsidRDefault="00B04EB1" w:rsidP="0003375C">
            <w:pPr>
              <w:pStyle w:val="HTMLPreformatted"/>
              <w:rPr>
                <w:rFonts w:ascii="Times New Roman" w:hAnsi="Times New Roman" w:cs="Times New Roman"/>
                <w:sz w:val="24"/>
                <w:szCs w:val="24"/>
              </w:rPr>
            </w:pPr>
            <w:r w:rsidRPr="005A6964">
              <w:rPr>
                <w:rFonts w:ascii="Times New Roman" w:hAnsi="Times New Roman" w:cs="Times New Roman"/>
                <w:sz w:val="24"/>
                <w:szCs w:val="24"/>
              </w:rPr>
              <w:t>)</w:t>
            </w:r>
          </w:p>
          <w:p w:rsidR="00B04EB1" w:rsidRPr="005A6964" w:rsidRDefault="00B04EB1" w:rsidP="0003375C">
            <w:pPr>
              <w:pStyle w:val="HTMLPreformatted"/>
              <w:rPr>
                <w:rFonts w:ascii="Times New Roman" w:hAnsi="Times New Roman" w:cs="Times New Roman"/>
                <w:sz w:val="24"/>
                <w:szCs w:val="24"/>
              </w:rPr>
            </w:pPr>
            <w:r w:rsidRPr="005A6964">
              <w:rPr>
                <w:rFonts w:ascii="Times New Roman" w:hAnsi="Times New Roman" w:cs="Times New Roman"/>
                <w:sz w:val="24"/>
                <w:szCs w:val="24"/>
              </w:rPr>
              <w:t>)</w:t>
            </w:r>
          </w:p>
          <w:p w:rsidR="00B04EB1" w:rsidRPr="005A6964" w:rsidRDefault="00B04EB1" w:rsidP="0003375C">
            <w:pPr>
              <w:pStyle w:val="HTMLPreformatted"/>
              <w:rPr>
                <w:rFonts w:ascii="Times New Roman" w:hAnsi="Times New Roman" w:cs="Times New Roman"/>
                <w:sz w:val="24"/>
                <w:szCs w:val="24"/>
              </w:rPr>
            </w:pPr>
            <w:r w:rsidRPr="005A6964">
              <w:rPr>
                <w:rFonts w:ascii="Times New Roman" w:hAnsi="Times New Roman" w:cs="Times New Roman"/>
                <w:sz w:val="24"/>
                <w:szCs w:val="24"/>
              </w:rPr>
              <w:t>)</w:t>
            </w:r>
          </w:p>
          <w:p w:rsidR="00B04EB1" w:rsidRPr="005A6964" w:rsidRDefault="00B04EB1" w:rsidP="0003375C">
            <w:pPr>
              <w:pStyle w:val="HTMLPreformatted"/>
              <w:rPr>
                <w:rFonts w:ascii="Times New Roman" w:hAnsi="Times New Roman" w:cs="Times New Roman"/>
                <w:sz w:val="24"/>
                <w:szCs w:val="24"/>
              </w:rPr>
            </w:pPr>
            <w:r w:rsidRPr="005A6964">
              <w:rPr>
                <w:rFonts w:ascii="Times New Roman" w:hAnsi="Times New Roman" w:cs="Times New Roman"/>
                <w:sz w:val="24"/>
                <w:szCs w:val="24"/>
              </w:rPr>
              <w:t>)</w:t>
            </w:r>
          </w:p>
          <w:p w:rsidR="00B04EB1" w:rsidRPr="005A6964" w:rsidRDefault="00B04EB1" w:rsidP="0003375C">
            <w:pPr>
              <w:pStyle w:val="HTMLPreformatted"/>
              <w:rPr>
                <w:rFonts w:ascii="Times New Roman" w:hAnsi="Times New Roman" w:cs="Times New Roman"/>
                <w:sz w:val="24"/>
                <w:szCs w:val="24"/>
              </w:rPr>
            </w:pPr>
            <w:r w:rsidRPr="005A6964">
              <w:rPr>
                <w:rFonts w:ascii="Times New Roman" w:hAnsi="Times New Roman" w:cs="Times New Roman"/>
                <w:sz w:val="24"/>
                <w:szCs w:val="24"/>
              </w:rPr>
              <w:t>)</w:t>
            </w:r>
          </w:p>
          <w:p w:rsidR="00B04EB1" w:rsidRPr="005A6964" w:rsidRDefault="00B04EB1" w:rsidP="0003375C">
            <w:pPr>
              <w:pStyle w:val="HTMLPreformatted"/>
              <w:rPr>
                <w:rFonts w:ascii="Times New Roman" w:hAnsi="Times New Roman" w:cs="Times New Roman"/>
                <w:sz w:val="24"/>
                <w:szCs w:val="24"/>
              </w:rPr>
            </w:pPr>
            <w:r w:rsidRPr="005A6964">
              <w:rPr>
                <w:rFonts w:ascii="Times New Roman" w:hAnsi="Times New Roman" w:cs="Times New Roman"/>
                <w:sz w:val="24"/>
                <w:szCs w:val="24"/>
              </w:rPr>
              <w:t>)</w:t>
            </w:r>
          </w:p>
          <w:p w:rsidR="00B04EB1" w:rsidRPr="005A6964" w:rsidRDefault="00B04EB1" w:rsidP="0003375C">
            <w:pPr>
              <w:pStyle w:val="HTMLPreformatted"/>
              <w:rPr>
                <w:rFonts w:ascii="Times New Roman" w:hAnsi="Times New Roman" w:cs="Times New Roman"/>
                <w:sz w:val="24"/>
                <w:szCs w:val="24"/>
              </w:rPr>
            </w:pPr>
            <w:r w:rsidRPr="005A6964">
              <w:rPr>
                <w:rFonts w:ascii="Times New Roman" w:hAnsi="Times New Roman" w:cs="Times New Roman"/>
                <w:sz w:val="24"/>
                <w:szCs w:val="24"/>
              </w:rPr>
              <w:t>)</w:t>
            </w:r>
          </w:p>
          <w:p w:rsidR="001C0558" w:rsidRPr="005A6964" w:rsidRDefault="001C0558" w:rsidP="0003375C">
            <w:pPr>
              <w:pStyle w:val="HTMLPreformatted"/>
              <w:rPr>
                <w:rFonts w:ascii="Times New Roman" w:hAnsi="Times New Roman" w:cs="Times New Roman"/>
                <w:sz w:val="24"/>
                <w:szCs w:val="24"/>
              </w:rPr>
            </w:pPr>
            <w:r w:rsidRPr="005A6964">
              <w:rPr>
                <w:rFonts w:ascii="Times New Roman" w:hAnsi="Times New Roman" w:cs="Times New Roman"/>
                <w:sz w:val="24"/>
                <w:szCs w:val="24"/>
              </w:rPr>
              <w:t>)</w:t>
            </w:r>
          </w:p>
        </w:tc>
        <w:tc>
          <w:tcPr>
            <w:tcW w:w="4400" w:type="dxa"/>
            <w:shd w:val="clear" w:color="auto" w:fill="auto"/>
          </w:tcPr>
          <w:p w:rsidR="00B04EB1" w:rsidRPr="005A6964" w:rsidRDefault="00B04EB1" w:rsidP="0003375C">
            <w:pPr>
              <w:pStyle w:val="HTMLPreformatted"/>
              <w:rPr>
                <w:rFonts w:ascii="Times New Roman" w:hAnsi="Times New Roman" w:cs="Times New Roman"/>
                <w:sz w:val="24"/>
                <w:szCs w:val="24"/>
              </w:rPr>
            </w:pPr>
          </w:p>
          <w:p w:rsidR="00B04EB1" w:rsidRPr="005A6964" w:rsidRDefault="00B04EB1" w:rsidP="0003375C">
            <w:pPr>
              <w:pStyle w:val="HTMLPreformatted"/>
              <w:rPr>
                <w:rFonts w:ascii="Times New Roman" w:hAnsi="Times New Roman" w:cs="Times New Roman"/>
                <w:sz w:val="24"/>
                <w:szCs w:val="24"/>
              </w:rPr>
            </w:pPr>
            <w:r w:rsidRPr="005A6964">
              <w:rPr>
                <w:rFonts w:ascii="Times New Roman" w:hAnsi="Times New Roman" w:cs="Times New Roman"/>
                <w:sz w:val="24"/>
                <w:szCs w:val="24"/>
              </w:rPr>
              <w:t>Case No. 14-1297-EL-SSO</w:t>
            </w:r>
          </w:p>
          <w:p w:rsidR="00B04EB1" w:rsidRPr="005A6964" w:rsidRDefault="00B04EB1" w:rsidP="0003375C">
            <w:pPr>
              <w:pStyle w:val="HTMLPreformatted"/>
              <w:rPr>
                <w:rFonts w:ascii="Times New Roman" w:hAnsi="Times New Roman" w:cs="Times New Roman"/>
                <w:sz w:val="24"/>
                <w:szCs w:val="24"/>
              </w:rPr>
            </w:pPr>
          </w:p>
          <w:p w:rsidR="00B04EB1" w:rsidRPr="005A6964" w:rsidRDefault="00B04EB1" w:rsidP="0003375C">
            <w:pPr>
              <w:pStyle w:val="HTMLPreformatted"/>
              <w:rPr>
                <w:rFonts w:ascii="Times New Roman" w:hAnsi="Times New Roman" w:cs="Times New Roman"/>
                <w:sz w:val="24"/>
                <w:szCs w:val="24"/>
              </w:rPr>
            </w:pPr>
          </w:p>
        </w:tc>
      </w:tr>
    </w:tbl>
    <w:p w:rsidR="000A70C6" w:rsidRPr="005A6964" w:rsidRDefault="00B04EB1" w:rsidP="001C0558">
      <w:pPr>
        <w:pStyle w:val="HTMLPreformatted"/>
        <w:pBdr>
          <w:bottom w:val="single" w:sz="12" w:space="1" w:color="auto"/>
        </w:pBdr>
        <w:contextualSpacing/>
      </w:pPr>
      <w:r w:rsidRPr="005A6964">
        <w:rPr>
          <w:rFonts w:ascii="Times New Roman" w:hAnsi="Times New Roman" w:cs="Times New Roman"/>
          <w:sz w:val="24"/>
          <w:szCs w:val="24"/>
        </w:rPr>
        <w:tab/>
      </w:r>
      <w:r w:rsidRPr="005A6964">
        <w:rPr>
          <w:rFonts w:ascii="Times New Roman" w:hAnsi="Times New Roman" w:cs="Times New Roman"/>
          <w:sz w:val="24"/>
          <w:szCs w:val="24"/>
        </w:rPr>
        <w:tab/>
      </w:r>
    </w:p>
    <w:p w:rsidR="00B04EB1" w:rsidRPr="005A6964" w:rsidRDefault="00D77B9A" w:rsidP="00B04EB1">
      <w:pPr>
        <w:spacing w:line="240" w:lineRule="auto"/>
        <w:contextualSpacing/>
        <w:jc w:val="center"/>
        <w:rPr>
          <w:rFonts w:cs="Times New Roman"/>
          <w:b/>
          <w:szCs w:val="24"/>
        </w:rPr>
      </w:pPr>
      <w:r w:rsidRPr="005A6964">
        <w:rPr>
          <w:rFonts w:cs="Times New Roman"/>
          <w:b/>
          <w:szCs w:val="24"/>
        </w:rPr>
        <w:t xml:space="preserve">REPLY </w:t>
      </w:r>
      <w:r w:rsidR="00B04EB1" w:rsidRPr="005A6964">
        <w:rPr>
          <w:rFonts w:cs="Times New Roman"/>
          <w:b/>
          <w:szCs w:val="24"/>
        </w:rPr>
        <w:t xml:space="preserve">BRIEF </w:t>
      </w:r>
    </w:p>
    <w:p w:rsidR="00B04EB1" w:rsidRPr="005A6964" w:rsidRDefault="00B04EB1" w:rsidP="00B04EB1">
      <w:pPr>
        <w:spacing w:line="240" w:lineRule="auto"/>
        <w:contextualSpacing/>
        <w:jc w:val="center"/>
        <w:rPr>
          <w:rFonts w:cs="Times New Roman"/>
          <w:b/>
          <w:szCs w:val="24"/>
        </w:rPr>
      </w:pPr>
      <w:r w:rsidRPr="005A6964">
        <w:rPr>
          <w:rFonts w:cs="Times New Roman"/>
          <w:b/>
          <w:szCs w:val="24"/>
        </w:rPr>
        <w:t xml:space="preserve">OF </w:t>
      </w:r>
    </w:p>
    <w:p w:rsidR="00B04EB1" w:rsidRPr="005A6964" w:rsidRDefault="00B04EB1" w:rsidP="00B04EB1">
      <w:pPr>
        <w:spacing w:line="240" w:lineRule="auto"/>
        <w:contextualSpacing/>
        <w:jc w:val="center"/>
        <w:rPr>
          <w:rFonts w:cs="Times New Roman"/>
          <w:b/>
          <w:szCs w:val="24"/>
        </w:rPr>
      </w:pPr>
      <w:r w:rsidRPr="005A6964">
        <w:rPr>
          <w:rFonts w:cs="Times New Roman"/>
          <w:b/>
          <w:szCs w:val="24"/>
        </w:rPr>
        <w:t>OFFICE OF THE OHIO CONSUMERS’ COUNSEL</w:t>
      </w:r>
    </w:p>
    <w:p w:rsidR="00B04EB1" w:rsidRPr="005A6964" w:rsidRDefault="00B04EB1" w:rsidP="00F45878">
      <w:pPr>
        <w:pBdr>
          <w:bottom w:val="single" w:sz="12" w:space="1" w:color="auto"/>
        </w:pBdr>
        <w:spacing w:line="240" w:lineRule="auto"/>
        <w:contextualSpacing/>
        <w:jc w:val="center"/>
      </w:pPr>
      <w:r w:rsidRPr="005A6964">
        <w:rPr>
          <w:rFonts w:cs="Times New Roman"/>
          <w:b/>
          <w:szCs w:val="24"/>
        </w:rPr>
        <w:t xml:space="preserve">NORTHWEST OHIO AGGREGATION COALITION  </w:t>
      </w:r>
    </w:p>
    <w:p w:rsidR="001C0558" w:rsidRPr="005A6964" w:rsidRDefault="001C0558" w:rsidP="001C0558">
      <w:pPr>
        <w:spacing w:after="0" w:line="240" w:lineRule="auto"/>
        <w:ind w:firstLine="720"/>
        <w:rPr>
          <w:rFonts w:cs="Times New Roman"/>
          <w:szCs w:val="24"/>
        </w:rPr>
      </w:pPr>
    </w:p>
    <w:p w:rsidR="00970F1F" w:rsidRPr="005A6964" w:rsidRDefault="001C0558" w:rsidP="008625E5">
      <w:pPr>
        <w:pStyle w:val="Heading1"/>
        <w:spacing w:after="0" w:line="360" w:lineRule="auto"/>
      </w:pPr>
      <w:bookmarkStart w:id="1" w:name="_Toc443404988"/>
      <w:bookmarkStart w:id="2" w:name="_Toc444268990"/>
      <w:r w:rsidRPr="005A6964">
        <w:t>I.</w:t>
      </w:r>
      <w:r w:rsidRPr="005A6964">
        <w:tab/>
      </w:r>
      <w:r w:rsidR="00970F1F" w:rsidRPr="005A6964">
        <w:t>INTRODUCTION</w:t>
      </w:r>
      <w:bookmarkEnd w:id="1"/>
      <w:bookmarkEnd w:id="2"/>
    </w:p>
    <w:p w:rsidR="00995EC3" w:rsidRPr="005A6964" w:rsidRDefault="009F7F73" w:rsidP="008625E5">
      <w:pPr>
        <w:autoSpaceDE w:val="0"/>
        <w:autoSpaceDN w:val="0"/>
        <w:adjustRightInd w:val="0"/>
        <w:spacing w:after="0" w:line="360" w:lineRule="auto"/>
        <w:ind w:firstLine="720"/>
        <w:rPr>
          <w:rFonts w:cs="Times New Roman"/>
          <w:szCs w:val="24"/>
        </w:rPr>
      </w:pPr>
      <w:r w:rsidRPr="005A6964">
        <w:rPr>
          <w:rFonts w:cs="Times New Roman"/>
          <w:szCs w:val="24"/>
        </w:rPr>
        <w:t xml:space="preserve">There is so much bad news for Ohioans in FirstEnergy’s settlement that the problems compete with each other for attention. </w:t>
      </w:r>
      <w:r w:rsidR="00512824" w:rsidRPr="005A6964">
        <w:rPr>
          <w:rFonts w:cs="Times New Roman"/>
          <w:szCs w:val="24"/>
        </w:rPr>
        <w:t xml:space="preserve">But </w:t>
      </w:r>
      <w:r w:rsidR="00DD5815" w:rsidRPr="005A6964">
        <w:rPr>
          <w:rFonts w:cs="Times New Roman"/>
          <w:szCs w:val="24"/>
        </w:rPr>
        <w:t xml:space="preserve">FirstEnergy’s case </w:t>
      </w:r>
      <w:r w:rsidR="00512824" w:rsidRPr="005A6964">
        <w:rPr>
          <w:rFonts w:cs="Times New Roman"/>
          <w:szCs w:val="24"/>
        </w:rPr>
        <w:t xml:space="preserve">is </w:t>
      </w:r>
      <w:r w:rsidR="00DD5815" w:rsidRPr="005A6964">
        <w:rPr>
          <w:rFonts w:cs="Times New Roman"/>
          <w:szCs w:val="24"/>
        </w:rPr>
        <w:t xml:space="preserve">getting ahead of a </w:t>
      </w:r>
      <w:r w:rsidR="00512824" w:rsidRPr="005A6964">
        <w:rPr>
          <w:rFonts w:cs="Times New Roman"/>
          <w:szCs w:val="24"/>
        </w:rPr>
        <w:t>ruling</w:t>
      </w:r>
      <w:r w:rsidR="00DD5815" w:rsidRPr="005A6964">
        <w:rPr>
          <w:rFonts w:cs="Times New Roman"/>
          <w:szCs w:val="24"/>
        </w:rPr>
        <w:t xml:space="preserve"> by the Federal Energy Regulatory Commission (“FERC”)</w:t>
      </w:r>
      <w:r w:rsidR="00CA3483" w:rsidRPr="005A6964">
        <w:rPr>
          <w:rFonts w:cs="Times New Roman"/>
          <w:szCs w:val="24"/>
        </w:rPr>
        <w:t xml:space="preserve"> on whether the power purchase agreement </w:t>
      </w:r>
      <w:r w:rsidR="00512824" w:rsidRPr="005A6964">
        <w:rPr>
          <w:rFonts w:cs="Times New Roman"/>
          <w:szCs w:val="24"/>
        </w:rPr>
        <w:t>is legal</w:t>
      </w:r>
      <w:r w:rsidR="00CA3483" w:rsidRPr="005A6964">
        <w:rPr>
          <w:rFonts w:cs="Times New Roman"/>
          <w:szCs w:val="24"/>
        </w:rPr>
        <w:t>.  The Public Utilities Commission of Ohio</w:t>
      </w:r>
      <w:r w:rsidRPr="005A6964">
        <w:rPr>
          <w:rFonts w:cs="Times New Roman"/>
          <w:szCs w:val="24"/>
        </w:rPr>
        <w:t xml:space="preserve"> </w:t>
      </w:r>
      <w:r w:rsidR="00CA3483" w:rsidRPr="005A6964">
        <w:rPr>
          <w:rFonts w:cs="Times New Roman"/>
          <w:szCs w:val="24"/>
        </w:rPr>
        <w:t>(“</w:t>
      </w:r>
      <w:r w:rsidRPr="005A6964">
        <w:rPr>
          <w:rFonts w:cs="Times New Roman"/>
          <w:szCs w:val="24"/>
        </w:rPr>
        <w:t>PUCO</w:t>
      </w:r>
      <w:r w:rsidR="00CA3483" w:rsidRPr="005A6964">
        <w:rPr>
          <w:rFonts w:cs="Times New Roman"/>
          <w:szCs w:val="24"/>
        </w:rPr>
        <w:t>”)</w:t>
      </w:r>
      <w:r w:rsidRPr="005A6964">
        <w:rPr>
          <w:rFonts w:cs="Times New Roman"/>
          <w:szCs w:val="24"/>
        </w:rPr>
        <w:t xml:space="preserve"> should </w:t>
      </w:r>
      <w:r w:rsidR="00CA3483" w:rsidRPr="005A6964">
        <w:rPr>
          <w:rFonts w:cs="Times New Roman"/>
          <w:szCs w:val="24"/>
        </w:rPr>
        <w:t xml:space="preserve">defer its ruling until after FERC </w:t>
      </w:r>
      <w:r w:rsidR="00512824" w:rsidRPr="005A6964">
        <w:rPr>
          <w:rFonts w:cs="Times New Roman"/>
          <w:szCs w:val="24"/>
        </w:rPr>
        <w:t>rules</w:t>
      </w:r>
      <w:r w:rsidR="00CA3483" w:rsidRPr="005A6964">
        <w:rPr>
          <w:rFonts w:cs="Times New Roman"/>
          <w:szCs w:val="24"/>
        </w:rPr>
        <w:t xml:space="preserve">.  </w:t>
      </w:r>
      <w:r w:rsidR="00512824" w:rsidRPr="005A6964">
        <w:rPr>
          <w:rFonts w:cs="Times New Roman"/>
          <w:szCs w:val="24"/>
        </w:rPr>
        <w:t>It’s time to hit the</w:t>
      </w:r>
      <w:r w:rsidR="00CA3483" w:rsidRPr="005A6964">
        <w:rPr>
          <w:rFonts w:cs="Times New Roman"/>
          <w:szCs w:val="24"/>
        </w:rPr>
        <w:t xml:space="preserve"> brakes</w:t>
      </w:r>
      <w:r w:rsidRPr="005A6964">
        <w:rPr>
          <w:rFonts w:cs="Times New Roman"/>
          <w:szCs w:val="24"/>
        </w:rPr>
        <w:t xml:space="preserve"> </w:t>
      </w:r>
      <w:r w:rsidR="00CA3483" w:rsidRPr="005A6964">
        <w:rPr>
          <w:rFonts w:cs="Times New Roman"/>
          <w:szCs w:val="24"/>
        </w:rPr>
        <w:t>t</w:t>
      </w:r>
      <w:r w:rsidRPr="005A6964">
        <w:rPr>
          <w:rFonts w:cs="Times New Roman"/>
          <w:szCs w:val="24"/>
        </w:rPr>
        <w:t>o prevent</w:t>
      </w:r>
      <w:r w:rsidR="00CA3483" w:rsidRPr="005A6964">
        <w:rPr>
          <w:rFonts w:cs="Times New Roman"/>
          <w:szCs w:val="24"/>
        </w:rPr>
        <w:t xml:space="preserve"> the possibility of</w:t>
      </w:r>
      <w:r w:rsidRPr="005A6964">
        <w:rPr>
          <w:rFonts w:cs="Times New Roman"/>
          <w:szCs w:val="24"/>
        </w:rPr>
        <w:t xml:space="preserve"> FirstEnergy collecting charges from </w:t>
      </w:r>
      <w:r w:rsidR="00512824" w:rsidRPr="005A6964">
        <w:rPr>
          <w:rFonts w:cs="Times New Roman"/>
          <w:szCs w:val="24"/>
        </w:rPr>
        <w:t xml:space="preserve">Ohioans </w:t>
      </w:r>
      <w:r w:rsidR="00CA3483" w:rsidRPr="005A6964">
        <w:rPr>
          <w:rFonts w:cs="Times New Roman"/>
          <w:szCs w:val="24"/>
        </w:rPr>
        <w:t>that would not be refunded if FERC later declares the charges to be unlawful</w:t>
      </w:r>
      <w:r w:rsidRPr="005A6964">
        <w:rPr>
          <w:rFonts w:cs="Times New Roman"/>
          <w:szCs w:val="24"/>
        </w:rPr>
        <w:t xml:space="preserve">.  Another </w:t>
      </w:r>
      <w:r w:rsidR="00CA3483" w:rsidRPr="005A6964">
        <w:rPr>
          <w:rFonts w:cs="Times New Roman"/>
          <w:szCs w:val="24"/>
        </w:rPr>
        <w:t>federal issue is</w:t>
      </w:r>
      <w:r w:rsidRPr="005A6964">
        <w:rPr>
          <w:rFonts w:cs="Times New Roman"/>
          <w:szCs w:val="24"/>
        </w:rPr>
        <w:t xml:space="preserve"> that </w:t>
      </w:r>
      <w:r w:rsidR="00CA3483" w:rsidRPr="005A6964">
        <w:rPr>
          <w:rFonts w:cs="Times New Roman"/>
          <w:szCs w:val="24"/>
        </w:rPr>
        <w:t xml:space="preserve">FERC </w:t>
      </w:r>
      <w:r w:rsidRPr="005A6964">
        <w:rPr>
          <w:rFonts w:cs="Times New Roman"/>
          <w:szCs w:val="24"/>
        </w:rPr>
        <w:t xml:space="preserve">may require the subsidized power plants to bid into markets at </w:t>
      </w:r>
      <w:r w:rsidR="00F936BD" w:rsidRPr="005A6964">
        <w:rPr>
          <w:rFonts w:cs="Times New Roman"/>
          <w:szCs w:val="24"/>
        </w:rPr>
        <w:t xml:space="preserve">their </w:t>
      </w:r>
      <w:r w:rsidR="00995EC3" w:rsidRPr="005A6964">
        <w:rPr>
          <w:rFonts w:cs="Times New Roman"/>
          <w:szCs w:val="24"/>
        </w:rPr>
        <w:t>cost</w:t>
      </w:r>
      <w:r w:rsidR="00F936BD" w:rsidRPr="005A6964">
        <w:rPr>
          <w:rFonts w:cs="Times New Roman"/>
          <w:szCs w:val="24"/>
        </w:rPr>
        <w:t xml:space="preserve">. </w:t>
      </w:r>
      <w:r w:rsidR="00995EC3" w:rsidRPr="005A6964">
        <w:rPr>
          <w:rFonts w:cs="Times New Roman"/>
          <w:szCs w:val="24"/>
        </w:rPr>
        <w:t xml:space="preserve"> </w:t>
      </w:r>
      <w:r w:rsidR="00F936BD" w:rsidRPr="005A6964">
        <w:rPr>
          <w:rFonts w:cs="Times New Roman"/>
          <w:szCs w:val="24"/>
        </w:rPr>
        <w:t xml:space="preserve">The result may be that </w:t>
      </w:r>
      <w:r w:rsidRPr="005A6964">
        <w:rPr>
          <w:rFonts w:cs="Times New Roman"/>
          <w:szCs w:val="24"/>
        </w:rPr>
        <w:t xml:space="preserve">these plants </w:t>
      </w:r>
      <w:r w:rsidR="00F936BD" w:rsidRPr="005A6964">
        <w:rPr>
          <w:rFonts w:cs="Times New Roman"/>
          <w:szCs w:val="24"/>
        </w:rPr>
        <w:t xml:space="preserve">will not </w:t>
      </w:r>
      <w:r w:rsidRPr="005A6964">
        <w:rPr>
          <w:rFonts w:cs="Times New Roman"/>
          <w:szCs w:val="24"/>
        </w:rPr>
        <w:t>clear</w:t>
      </w:r>
      <w:r w:rsidR="00995EC3" w:rsidRPr="005A6964">
        <w:rPr>
          <w:rFonts w:cs="Times New Roman"/>
          <w:szCs w:val="24"/>
        </w:rPr>
        <w:t xml:space="preserve"> </w:t>
      </w:r>
      <w:r w:rsidR="00F936BD" w:rsidRPr="005A6964">
        <w:rPr>
          <w:rFonts w:cs="Times New Roman"/>
          <w:szCs w:val="24"/>
        </w:rPr>
        <w:t>(</w:t>
      </w:r>
      <w:r w:rsidR="00995EC3" w:rsidRPr="005A6964">
        <w:rPr>
          <w:rFonts w:cs="Times New Roman"/>
          <w:szCs w:val="24"/>
        </w:rPr>
        <w:t xml:space="preserve">and thus </w:t>
      </w:r>
      <w:r w:rsidR="00F936BD" w:rsidRPr="005A6964">
        <w:rPr>
          <w:rFonts w:cs="Times New Roman"/>
          <w:szCs w:val="24"/>
        </w:rPr>
        <w:t>receive</w:t>
      </w:r>
      <w:r w:rsidR="00995EC3" w:rsidRPr="005A6964">
        <w:rPr>
          <w:rFonts w:cs="Times New Roman"/>
          <w:szCs w:val="24"/>
        </w:rPr>
        <w:t xml:space="preserve"> no revenues</w:t>
      </w:r>
      <w:r w:rsidR="00F936BD" w:rsidRPr="005A6964">
        <w:rPr>
          <w:rFonts w:cs="Times New Roman"/>
          <w:szCs w:val="24"/>
        </w:rPr>
        <w:t>)</w:t>
      </w:r>
      <w:r w:rsidRPr="005A6964">
        <w:rPr>
          <w:rFonts w:cs="Times New Roman"/>
          <w:szCs w:val="24"/>
        </w:rPr>
        <w:t xml:space="preserve">. </w:t>
      </w:r>
      <w:r w:rsidR="00F936BD" w:rsidRPr="005A6964">
        <w:rPr>
          <w:rFonts w:cs="Times New Roman"/>
          <w:szCs w:val="24"/>
        </w:rPr>
        <w:t xml:space="preserve">That </w:t>
      </w:r>
      <w:r w:rsidRPr="005A6964">
        <w:rPr>
          <w:rFonts w:cs="Times New Roman"/>
          <w:szCs w:val="24"/>
        </w:rPr>
        <w:t>mean</w:t>
      </w:r>
      <w:r w:rsidR="00F936BD" w:rsidRPr="005A6964">
        <w:rPr>
          <w:rFonts w:cs="Times New Roman"/>
          <w:szCs w:val="24"/>
        </w:rPr>
        <w:t>s that</w:t>
      </w:r>
      <w:r w:rsidRPr="005A6964">
        <w:rPr>
          <w:rFonts w:cs="Times New Roman"/>
          <w:szCs w:val="24"/>
        </w:rPr>
        <w:t xml:space="preserve"> </w:t>
      </w:r>
      <w:r w:rsidR="00C34034" w:rsidRPr="005A6964">
        <w:rPr>
          <w:rFonts w:cs="Times New Roman"/>
          <w:szCs w:val="24"/>
        </w:rPr>
        <w:t>Ohio</w:t>
      </w:r>
      <w:r w:rsidR="00F936BD" w:rsidRPr="005A6964">
        <w:rPr>
          <w:rFonts w:cs="Times New Roman"/>
          <w:szCs w:val="24"/>
        </w:rPr>
        <w:t xml:space="preserve">ans would </w:t>
      </w:r>
      <w:r w:rsidRPr="005A6964">
        <w:rPr>
          <w:rFonts w:cs="Times New Roman"/>
          <w:szCs w:val="24"/>
        </w:rPr>
        <w:t xml:space="preserve">pay FirstEnergy much more than our projection of $800 each. </w:t>
      </w:r>
    </w:p>
    <w:p w:rsidR="009F7F73" w:rsidRPr="005A6964" w:rsidRDefault="009F7F73" w:rsidP="008625E5">
      <w:pPr>
        <w:autoSpaceDE w:val="0"/>
        <w:autoSpaceDN w:val="0"/>
        <w:adjustRightInd w:val="0"/>
        <w:spacing w:after="0" w:line="360" w:lineRule="auto"/>
        <w:ind w:firstLine="720"/>
        <w:rPr>
          <w:rFonts w:cs="Times New Roman"/>
          <w:szCs w:val="24"/>
        </w:rPr>
      </w:pPr>
      <w:r w:rsidRPr="005A6964">
        <w:rPr>
          <w:rFonts w:cs="Times New Roman"/>
          <w:szCs w:val="24"/>
        </w:rPr>
        <w:t xml:space="preserve">The PUCO </w:t>
      </w:r>
      <w:r w:rsidR="00512824" w:rsidRPr="005A6964">
        <w:rPr>
          <w:rFonts w:cs="Times New Roman"/>
          <w:szCs w:val="24"/>
        </w:rPr>
        <w:t>should overrule</w:t>
      </w:r>
      <w:r w:rsidR="00F936BD" w:rsidRPr="005A6964">
        <w:rPr>
          <w:rFonts w:cs="Times New Roman"/>
          <w:szCs w:val="24"/>
        </w:rPr>
        <w:t xml:space="preserve"> FirstEnergy’s proposal for self-protection and </w:t>
      </w:r>
      <w:r w:rsidRPr="005A6964">
        <w:rPr>
          <w:rFonts w:cs="Times New Roman"/>
          <w:szCs w:val="24"/>
        </w:rPr>
        <w:t xml:space="preserve">let the markets operate </w:t>
      </w:r>
      <w:r w:rsidR="00F936BD" w:rsidRPr="005A6964">
        <w:rPr>
          <w:rFonts w:cs="Times New Roman"/>
          <w:szCs w:val="24"/>
        </w:rPr>
        <w:t xml:space="preserve">for people </w:t>
      </w:r>
      <w:r w:rsidRPr="005A6964">
        <w:rPr>
          <w:rFonts w:cs="Times New Roman"/>
          <w:szCs w:val="24"/>
        </w:rPr>
        <w:t>without government-imposed subsidies.</w:t>
      </w:r>
      <w:r w:rsidR="006A3ED8" w:rsidRPr="005A6964">
        <w:rPr>
          <w:rFonts w:cs="Times New Roman"/>
          <w:szCs w:val="24"/>
        </w:rPr>
        <w:t xml:space="preserve"> </w:t>
      </w:r>
      <w:r w:rsidR="00512824" w:rsidRPr="005A6964">
        <w:rPr>
          <w:rFonts w:cs="Times New Roman"/>
          <w:szCs w:val="24"/>
        </w:rPr>
        <w:t>It has taken too long for the slow march to implement the 1999 law, to give Ohioans the benefits of markets for electric generation</w:t>
      </w:r>
      <w:r w:rsidR="00F936BD" w:rsidRPr="005A6964">
        <w:rPr>
          <w:rFonts w:cs="Times New Roman"/>
          <w:szCs w:val="24"/>
        </w:rPr>
        <w:t xml:space="preserve">. </w:t>
      </w:r>
      <w:r w:rsidRPr="005A6964">
        <w:rPr>
          <w:rFonts w:cs="Times New Roman"/>
          <w:szCs w:val="24"/>
        </w:rPr>
        <w:t xml:space="preserve"> </w:t>
      </w:r>
      <w:r w:rsidR="008625E5" w:rsidRPr="005A6964">
        <w:rPr>
          <w:rFonts w:cs="Times New Roman"/>
          <w:szCs w:val="24"/>
        </w:rPr>
        <w:t>Indeed Dr. Choueiki testified that g</w:t>
      </w:r>
      <w:r w:rsidRPr="005A6964">
        <w:rPr>
          <w:rFonts w:cs="Times New Roman"/>
          <w:szCs w:val="24"/>
        </w:rPr>
        <w:t>ranting a PPA rider is a move in the opposite direction.</w:t>
      </w:r>
      <w:r w:rsidRPr="005A6964">
        <w:rPr>
          <w:rStyle w:val="FootnoteReference"/>
        </w:rPr>
        <w:footnoteReference w:id="2"/>
      </w:r>
    </w:p>
    <w:p w:rsidR="009F7F73" w:rsidRPr="005A6964" w:rsidRDefault="00B03C0A" w:rsidP="00E362C6">
      <w:pPr>
        <w:autoSpaceDE w:val="0"/>
        <w:autoSpaceDN w:val="0"/>
        <w:adjustRightInd w:val="0"/>
        <w:spacing w:after="0" w:line="480" w:lineRule="auto"/>
        <w:rPr>
          <w:rFonts w:cs="Times New Roman"/>
          <w:szCs w:val="24"/>
        </w:rPr>
      </w:pPr>
      <w:r w:rsidRPr="005A6964">
        <w:rPr>
          <w:rFonts w:cs="Times New Roman"/>
          <w:szCs w:val="24"/>
        </w:rPr>
        <w:tab/>
      </w:r>
      <w:r w:rsidR="009F7F73" w:rsidRPr="005A6964">
        <w:rPr>
          <w:rFonts w:cs="Times New Roman"/>
          <w:szCs w:val="24"/>
        </w:rPr>
        <w:t xml:space="preserve">The Ohio General Assembly intended for generation operations to be deregulated.  In a competitive market it is survival of the fittest.  If FirstEnergy’s generating units are not fit for competition, then they should be sold or retired.  But not subsidized on the backs of hard-working Ohioans.  </w:t>
      </w:r>
    </w:p>
    <w:p w:rsidR="00D91E4C" w:rsidRPr="005A6964" w:rsidRDefault="00D91E4C" w:rsidP="00D91E4C">
      <w:pPr>
        <w:spacing w:after="0" w:line="240" w:lineRule="auto"/>
        <w:ind w:firstLine="720"/>
        <w:rPr>
          <w:rFonts w:cs="Times New Roman"/>
          <w:szCs w:val="24"/>
        </w:rPr>
      </w:pPr>
    </w:p>
    <w:p w:rsidR="00B7274A" w:rsidRPr="005A6964" w:rsidRDefault="00B04EB1" w:rsidP="00757BB2">
      <w:pPr>
        <w:pStyle w:val="Heading1"/>
      </w:pPr>
      <w:bookmarkStart w:id="3" w:name="_Toc444268991"/>
      <w:bookmarkStart w:id="4" w:name="_Toc442804656"/>
      <w:bookmarkStart w:id="5" w:name="_Toc443404989"/>
      <w:r w:rsidRPr="005A6964">
        <w:t>ii.</w:t>
      </w:r>
      <w:r w:rsidRPr="005A6964">
        <w:tab/>
      </w:r>
      <w:r w:rsidR="00B7274A" w:rsidRPr="005A6964">
        <w:t>STANDARD OF REVIEW</w:t>
      </w:r>
      <w:bookmarkEnd w:id="3"/>
      <w:r w:rsidR="00B7274A" w:rsidRPr="005A6964">
        <w:t xml:space="preserve"> </w:t>
      </w:r>
    </w:p>
    <w:p w:rsidR="00596168" w:rsidRPr="005A6964" w:rsidRDefault="00757BB2" w:rsidP="00596168">
      <w:pPr>
        <w:autoSpaceDE w:val="0"/>
        <w:autoSpaceDN w:val="0"/>
        <w:adjustRightInd w:val="0"/>
        <w:spacing w:after="0" w:line="480" w:lineRule="auto"/>
        <w:ind w:firstLine="720"/>
        <w:rPr>
          <w:rFonts w:cs="Times New Roman"/>
          <w:szCs w:val="24"/>
        </w:rPr>
      </w:pPr>
      <w:r w:rsidRPr="005A6964">
        <w:rPr>
          <w:rFonts w:cs="Times New Roman"/>
          <w:szCs w:val="24"/>
        </w:rPr>
        <w:t xml:space="preserve"> OCC/NOAC and RESA included a comprehensive recounting of Ohio law and PUCO precedent that should be relied upon in the PUCO’s review of FirstEnergy</w:t>
      </w:r>
      <w:r w:rsidR="00716CDB" w:rsidRPr="005A6964">
        <w:rPr>
          <w:rFonts w:cs="Times New Roman"/>
          <w:szCs w:val="24"/>
        </w:rPr>
        <w:t>'s</w:t>
      </w:r>
      <w:r w:rsidRPr="005A6964">
        <w:rPr>
          <w:rFonts w:cs="Times New Roman"/>
          <w:szCs w:val="24"/>
        </w:rPr>
        <w:t xml:space="preserve"> </w:t>
      </w:r>
      <w:r w:rsidR="00716CDB" w:rsidRPr="005A6964">
        <w:rPr>
          <w:rFonts w:cs="Times New Roman"/>
          <w:szCs w:val="24"/>
        </w:rPr>
        <w:t>stipulated electric security plan</w:t>
      </w:r>
      <w:r w:rsidRPr="005A6964">
        <w:rPr>
          <w:rFonts w:cs="Times New Roman"/>
          <w:szCs w:val="24"/>
        </w:rPr>
        <w:t>.</w:t>
      </w:r>
      <w:r w:rsidRPr="005A6964">
        <w:rPr>
          <w:rStyle w:val="FootnoteReference"/>
          <w:szCs w:val="24"/>
        </w:rPr>
        <w:footnoteReference w:id="3"/>
      </w:r>
      <w:r w:rsidR="00BE6D32" w:rsidRPr="005A6964">
        <w:rPr>
          <w:rFonts w:cs="Times New Roman"/>
          <w:szCs w:val="24"/>
        </w:rPr>
        <w:t xml:space="preserve"> FirstEnergy has the burden of proof per section R.C. 4928.143(C)</w:t>
      </w:r>
      <w:r w:rsidR="00396700" w:rsidRPr="005A6964">
        <w:rPr>
          <w:rFonts w:cs="Times New Roman"/>
          <w:szCs w:val="24"/>
        </w:rPr>
        <w:t>(1)</w:t>
      </w:r>
      <w:r w:rsidR="00BE6D32" w:rsidRPr="005A6964">
        <w:rPr>
          <w:rFonts w:cs="Times New Roman"/>
          <w:szCs w:val="24"/>
        </w:rPr>
        <w:t>.</w:t>
      </w:r>
      <w:r w:rsidR="00396700" w:rsidRPr="005A6964">
        <w:rPr>
          <w:rStyle w:val="FootnoteReference"/>
          <w:rFonts w:cs="Times New Roman"/>
          <w:szCs w:val="24"/>
        </w:rPr>
        <w:footnoteReference w:id="4"/>
      </w:r>
      <w:r w:rsidR="00BE6D32" w:rsidRPr="005A6964">
        <w:rPr>
          <w:rFonts w:cs="Times New Roman"/>
          <w:szCs w:val="24"/>
        </w:rPr>
        <w:t xml:space="preserve">  </w:t>
      </w:r>
    </w:p>
    <w:p w:rsidR="005D11BF" w:rsidRPr="005A6964" w:rsidRDefault="00BE6D32" w:rsidP="00596168">
      <w:pPr>
        <w:autoSpaceDE w:val="0"/>
        <w:autoSpaceDN w:val="0"/>
        <w:adjustRightInd w:val="0"/>
        <w:spacing w:after="0" w:line="480" w:lineRule="auto"/>
        <w:ind w:firstLine="720"/>
        <w:rPr>
          <w:rFonts w:cs="Times New Roman"/>
          <w:szCs w:val="24"/>
        </w:rPr>
      </w:pPr>
      <w:r w:rsidRPr="005A6964">
        <w:rPr>
          <w:rFonts w:cs="Times New Roman"/>
          <w:szCs w:val="24"/>
        </w:rPr>
        <w:t xml:space="preserve">FirstEnergy </w:t>
      </w:r>
      <w:r w:rsidR="0025033B" w:rsidRPr="005A6964">
        <w:rPr>
          <w:rFonts w:cs="Times New Roman"/>
          <w:szCs w:val="24"/>
        </w:rPr>
        <w:t>must</w:t>
      </w:r>
      <w:r w:rsidRPr="005A6964">
        <w:rPr>
          <w:rFonts w:cs="Times New Roman"/>
          <w:szCs w:val="24"/>
        </w:rPr>
        <w:t xml:space="preserve"> demonstrate that Rider RRS meets the factors established in the </w:t>
      </w:r>
      <w:r w:rsidRPr="005A6964">
        <w:rPr>
          <w:rFonts w:cs="Times New Roman"/>
          <w:i/>
          <w:szCs w:val="24"/>
        </w:rPr>
        <w:t xml:space="preserve">AEP ESP III Case. </w:t>
      </w:r>
      <w:r w:rsidRPr="005A6964">
        <w:rPr>
          <w:rFonts w:cs="Times New Roman"/>
          <w:szCs w:val="24"/>
        </w:rPr>
        <w:t xml:space="preserve">The PUCO must </w:t>
      </w:r>
      <w:r w:rsidR="0025033B" w:rsidRPr="005A6964">
        <w:rPr>
          <w:rFonts w:cs="Times New Roman"/>
          <w:szCs w:val="24"/>
        </w:rPr>
        <w:t>determine whether</w:t>
      </w:r>
      <w:r w:rsidRPr="005A6964">
        <w:rPr>
          <w:rFonts w:cs="Times New Roman"/>
          <w:szCs w:val="24"/>
        </w:rPr>
        <w:t xml:space="preserve"> FirstEnergy’s ESP is more favorable in the aggregate than a MRO.</w:t>
      </w:r>
      <w:r w:rsidR="00E343E8" w:rsidRPr="005A6964">
        <w:rPr>
          <w:rStyle w:val="FootnoteReference"/>
          <w:rFonts w:cs="Times New Roman"/>
          <w:szCs w:val="24"/>
        </w:rPr>
        <w:footnoteReference w:id="5"/>
      </w:r>
      <w:r w:rsidRPr="005A6964">
        <w:rPr>
          <w:rFonts w:cs="Times New Roman"/>
          <w:szCs w:val="24"/>
        </w:rPr>
        <w:t xml:space="preserve"> </w:t>
      </w:r>
      <w:r w:rsidR="00396700" w:rsidRPr="005A6964">
        <w:rPr>
          <w:rFonts w:cs="Times New Roman"/>
          <w:szCs w:val="24"/>
        </w:rPr>
        <w:t>In order to determine whether an ESP passes this statutory test, the PUCO must individually examine each provision of the ESP, in light of the 14 policy objectives of R.C. 4928.02.</w:t>
      </w:r>
      <w:r w:rsidR="00396700" w:rsidRPr="005A6964">
        <w:rPr>
          <w:rStyle w:val="FootnoteReference"/>
          <w:rFonts w:cs="Times New Roman"/>
          <w:szCs w:val="24"/>
        </w:rPr>
        <w:footnoteReference w:id="6"/>
      </w:r>
      <w:r w:rsidR="00E343E8" w:rsidRPr="005A6964">
        <w:rPr>
          <w:rFonts w:cs="Times New Roman"/>
          <w:szCs w:val="24"/>
        </w:rPr>
        <w:t xml:space="preserve"> </w:t>
      </w:r>
      <w:r w:rsidR="00396700" w:rsidRPr="005A6964">
        <w:rPr>
          <w:rFonts w:cs="Times New Roman"/>
          <w:szCs w:val="24"/>
        </w:rPr>
        <w:t xml:space="preserve"> </w:t>
      </w:r>
      <w:r w:rsidRPr="005A6964">
        <w:rPr>
          <w:rFonts w:cs="Times New Roman"/>
          <w:szCs w:val="24"/>
        </w:rPr>
        <w:t xml:space="preserve">Because the ESP IV application has been modified, the PUCO must find that the </w:t>
      </w:r>
      <w:r w:rsidR="008625E5" w:rsidRPr="005A6964">
        <w:rPr>
          <w:rFonts w:cs="Times New Roman"/>
          <w:szCs w:val="24"/>
        </w:rPr>
        <w:t xml:space="preserve">Stipulated ESP </w:t>
      </w:r>
      <w:r w:rsidRPr="005A6964">
        <w:rPr>
          <w:rFonts w:cs="Times New Roman"/>
          <w:szCs w:val="24"/>
        </w:rPr>
        <w:t>passes the PUCO’s three-prong test.</w:t>
      </w:r>
      <w:r w:rsidR="00396700" w:rsidRPr="005A6964">
        <w:rPr>
          <w:rStyle w:val="FootnoteReference"/>
          <w:rFonts w:cs="Times New Roman"/>
          <w:szCs w:val="24"/>
        </w:rPr>
        <w:footnoteReference w:id="7"/>
      </w:r>
      <w:r w:rsidRPr="005A6964">
        <w:rPr>
          <w:rFonts w:cs="Times New Roman"/>
          <w:szCs w:val="24"/>
        </w:rPr>
        <w:t xml:space="preserve">  Finally, </w:t>
      </w:r>
      <w:r w:rsidR="00396700" w:rsidRPr="005A6964">
        <w:rPr>
          <w:rFonts w:cs="Times New Roman"/>
          <w:szCs w:val="24"/>
        </w:rPr>
        <w:t>the PUCO must ensure that every public utility furnishes necessary and adequate service and facilities, and that all charges for any service must be just and reasonable. R.C. 4905.22.</w:t>
      </w:r>
      <w:r w:rsidR="00396700" w:rsidRPr="005A6964">
        <w:rPr>
          <w:rStyle w:val="FootnoteReference"/>
          <w:rFonts w:cs="Times New Roman"/>
          <w:szCs w:val="24"/>
        </w:rPr>
        <w:footnoteReference w:id="8"/>
      </w:r>
    </w:p>
    <w:p w:rsidR="00716CDB" w:rsidRPr="005A6964" w:rsidRDefault="00757BB2" w:rsidP="00757BB2">
      <w:pPr>
        <w:autoSpaceDE w:val="0"/>
        <w:autoSpaceDN w:val="0"/>
        <w:adjustRightInd w:val="0"/>
        <w:spacing w:after="0" w:line="480" w:lineRule="auto"/>
        <w:ind w:firstLine="720"/>
        <w:rPr>
          <w:rFonts w:cs="Times New Roman"/>
          <w:szCs w:val="24"/>
        </w:rPr>
      </w:pPr>
      <w:r w:rsidRPr="005A6964">
        <w:rPr>
          <w:rFonts w:cs="Times New Roman"/>
          <w:szCs w:val="24"/>
        </w:rPr>
        <w:t xml:space="preserve"> OEG recommended using only the three</w:t>
      </w:r>
      <w:r w:rsidR="0025033B" w:rsidRPr="005A6964">
        <w:rPr>
          <w:rFonts w:cs="Times New Roman"/>
          <w:szCs w:val="24"/>
        </w:rPr>
        <w:t>-</w:t>
      </w:r>
      <w:r w:rsidRPr="005A6964">
        <w:rPr>
          <w:rFonts w:cs="Times New Roman"/>
          <w:szCs w:val="24"/>
        </w:rPr>
        <w:t>prong test to the exclusion of the ESP statute (R.C. 4928) or other PUCO precedent.</w:t>
      </w:r>
      <w:r w:rsidRPr="005A6964">
        <w:rPr>
          <w:rStyle w:val="FootnoteReference"/>
          <w:szCs w:val="24"/>
        </w:rPr>
        <w:footnoteReference w:id="9"/>
      </w:r>
      <w:r w:rsidRPr="005A6964">
        <w:rPr>
          <w:rFonts w:cs="Times New Roman"/>
          <w:szCs w:val="24"/>
        </w:rPr>
        <w:t xml:space="preserve">  The </w:t>
      </w:r>
      <w:r w:rsidR="008625E5" w:rsidRPr="005A6964">
        <w:rPr>
          <w:rFonts w:cs="Times New Roman"/>
          <w:szCs w:val="24"/>
        </w:rPr>
        <w:t xml:space="preserve">PUCO </w:t>
      </w:r>
      <w:r w:rsidRPr="005A6964">
        <w:rPr>
          <w:rFonts w:cs="Times New Roman"/>
          <w:szCs w:val="24"/>
        </w:rPr>
        <w:t xml:space="preserve">Staff did not have a standard of review section in </w:t>
      </w:r>
      <w:r w:rsidR="0025033B" w:rsidRPr="005A6964">
        <w:rPr>
          <w:rFonts w:cs="Times New Roman"/>
          <w:szCs w:val="24"/>
        </w:rPr>
        <w:t xml:space="preserve">its </w:t>
      </w:r>
      <w:r w:rsidRPr="005A6964">
        <w:rPr>
          <w:rFonts w:cs="Times New Roman"/>
          <w:szCs w:val="24"/>
        </w:rPr>
        <w:t>brief</w:t>
      </w:r>
      <w:r w:rsidR="0025033B" w:rsidRPr="005A6964">
        <w:rPr>
          <w:rFonts w:cs="Times New Roman"/>
          <w:szCs w:val="24"/>
        </w:rPr>
        <w:t>.  B</w:t>
      </w:r>
      <w:r w:rsidRPr="005A6964">
        <w:rPr>
          <w:rFonts w:cs="Times New Roman"/>
          <w:szCs w:val="24"/>
        </w:rPr>
        <w:t>ut</w:t>
      </w:r>
      <w:r w:rsidR="0025033B" w:rsidRPr="005A6964">
        <w:rPr>
          <w:rFonts w:cs="Times New Roman"/>
          <w:szCs w:val="24"/>
        </w:rPr>
        <w:t xml:space="preserve"> the </w:t>
      </w:r>
      <w:r w:rsidR="008625E5" w:rsidRPr="005A6964">
        <w:rPr>
          <w:rFonts w:cs="Times New Roman"/>
          <w:szCs w:val="24"/>
        </w:rPr>
        <w:t xml:space="preserve">PUCO </w:t>
      </w:r>
      <w:r w:rsidR="0025033B" w:rsidRPr="005A6964">
        <w:rPr>
          <w:rFonts w:cs="Times New Roman"/>
          <w:szCs w:val="24"/>
        </w:rPr>
        <w:t>Staff</w:t>
      </w:r>
      <w:r w:rsidRPr="005A6964">
        <w:rPr>
          <w:rFonts w:cs="Times New Roman"/>
          <w:szCs w:val="24"/>
        </w:rPr>
        <w:t xml:space="preserve"> analyzed the case only under the PUCO’s three-prong test and the AEP ESP III factors, to the exclusion of the ESP vs. MRO test.</w:t>
      </w:r>
      <w:r w:rsidRPr="005A6964">
        <w:rPr>
          <w:rStyle w:val="FootnoteReference"/>
          <w:szCs w:val="24"/>
        </w:rPr>
        <w:footnoteReference w:id="10"/>
      </w:r>
      <w:r w:rsidRPr="005A6964">
        <w:rPr>
          <w:rFonts w:cs="Times New Roman"/>
          <w:szCs w:val="24"/>
        </w:rPr>
        <w:t xml:space="preserve"> And FirstEnergy recommended the ESP v. MR</w:t>
      </w:r>
      <w:r w:rsidR="00716CDB" w:rsidRPr="005A6964">
        <w:rPr>
          <w:rFonts w:cs="Times New Roman"/>
          <w:szCs w:val="24"/>
        </w:rPr>
        <w:t>O</w:t>
      </w:r>
      <w:r w:rsidRPr="005A6964">
        <w:rPr>
          <w:rFonts w:cs="Times New Roman"/>
          <w:szCs w:val="24"/>
        </w:rPr>
        <w:t xml:space="preserve"> and the PUCO’s three-prong test, to the exclusion of the AEP ESP III factors.</w:t>
      </w:r>
      <w:r w:rsidRPr="005A6964">
        <w:rPr>
          <w:rStyle w:val="FootnoteReference"/>
          <w:szCs w:val="24"/>
        </w:rPr>
        <w:footnoteReference w:id="11"/>
      </w:r>
      <w:r w:rsidRPr="005A6964">
        <w:rPr>
          <w:rFonts w:cs="Times New Roman"/>
          <w:szCs w:val="24"/>
        </w:rPr>
        <w:t xml:space="preserve">  </w:t>
      </w:r>
    </w:p>
    <w:p w:rsidR="00757BB2" w:rsidRPr="005A6964" w:rsidRDefault="00757BB2" w:rsidP="00757BB2">
      <w:pPr>
        <w:autoSpaceDE w:val="0"/>
        <w:autoSpaceDN w:val="0"/>
        <w:adjustRightInd w:val="0"/>
        <w:spacing w:after="0" w:line="480" w:lineRule="auto"/>
        <w:ind w:firstLine="720"/>
        <w:rPr>
          <w:rFonts w:cs="Times New Roman"/>
          <w:szCs w:val="24"/>
        </w:rPr>
      </w:pPr>
      <w:r w:rsidRPr="005A6964">
        <w:rPr>
          <w:rFonts w:cs="Times New Roman"/>
          <w:szCs w:val="24"/>
        </w:rPr>
        <w:t xml:space="preserve">The PUCO must rely on the law and PUCO precedent as OCC/NOAC have advised in evaluating FirstEnergy’s proposal in order to protect consumers from FirstEnergy’s proposal in this case. </w:t>
      </w:r>
    </w:p>
    <w:p w:rsidR="00802BBE" w:rsidRPr="005A6964" w:rsidRDefault="00802BBE" w:rsidP="00802BBE">
      <w:pPr>
        <w:autoSpaceDE w:val="0"/>
        <w:autoSpaceDN w:val="0"/>
        <w:adjustRightInd w:val="0"/>
        <w:spacing w:after="0" w:line="240" w:lineRule="auto"/>
        <w:ind w:firstLine="720"/>
        <w:rPr>
          <w:rFonts w:cs="Times New Roman"/>
          <w:szCs w:val="24"/>
        </w:rPr>
      </w:pPr>
    </w:p>
    <w:p w:rsidR="00B04EB1" w:rsidRPr="005A6964" w:rsidRDefault="00B7274A" w:rsidP="00B04EB1">
      <w:pPr>
        <w:pStyle w:val="Heading1"/>
      </w:pPr>
      <w:bookmarkStart w:id="6" w:name="_Toc444268992"/>
      <w:r w:rsidRPr="005A6964">
        <w:t>iii.</w:t>
      </w:r>
      <w:r w:rsidRPr="005A6964">
        <w:tab/>
        <w:t>rECOMMENDATIONS</w:t>
      </w:r>
      <w:bookmarkEnd w:id="4"/>
      <w:bookmarkEnd w:id="5"/>
      <w:bookmarkEnd w:id="6"/>
    </w:p>
    <w:p w:rsidR="00B7274A" w:rsidRPr="005A6964" w:rsidRDefault="00B7274A" w:rsidP="00D76993">
      <w:pPr>
        <w:pStyle w:val="Heading2"/>
      </w:pPr>
      <w:bookmarkStart w:id="7" w:name="_Toc444268993"/>
      <w:r w:rsidRPr="005A6964">
        <w:t>A.</w:t>
      </w:r>
      <w:r w:rsidRPr="005A6964">
        <w:tab/>
        <w:t xml:space="preserve">The </w:t>
      </w:r>
      <w:r w:rsidR="0025033B" w:rsidRPr="005A6964">
        <w:t xml:space="preserve">PUCO </w:t>
      </w:r>
      <w:r w:rsidRPr="005A6964">
        <w:t xml:space="preserve">should adopt an MRO </w:t>
      </w:r>
      <w:r w:rsidR="0025033B" w:rsidRPr="005A6964">
        <w:t>to give Ohio consumers the benefits of markets.</w:t>
      </w:r>
      <w:bookmarkEnd w:id="7"/>
    </w:p>
    <w:p w:rsidR="005D11BF" w:rsidRPr="005A6964" w:rsidRDefault="005D11BF" w:rsidP="005D11BF">
      <w:pPr>
        <w:autoSpaceDE w:val="0"/>
        <w:autoSpaceDN w:val="0"/>
        <w:adjustRightInd w:val="0"/>
        <w:spacing w:after="0" w:line="480" w:lineRule="auto"/>
        <w:ind w:firstLine="720"/>
        <w:rPr>
          <w:rFonts w:cs="Times New Roman"/>
        </w:rPr>
      </w:pPr>
      <w:r w:rsidRPr="005A6964">
        <w:rPr>
          <w:rFonts w:cs="Times New Roman"/>
          <w:szCs w:val="24"/>
        </w:rPr>
        <w:t>FirstEnergy filed its case under R.C. 4928.143 as its fourth electric security plan (“ESP”) case, in accordance with R.C. 4928.143.</w:t>
      </w:r>
      <w:r w:rsidRPr="005A6964">
        <w:rPr>
          <w:rStyle w:val="FootnoteReference"/>
          <w:rFonts w:cs="Times New Roman"/>
          <w:szCs w:val="24"/>
        </w:rPr>
        <w:footnoteReference w:id="12"/>
      </w:r>
      <w:r w:rsidRPr="005A6964">
        <w:rPr>
          <w:rFonts w:cs="Times New Roman"/>
          <w:szCs w:val="24"/>
        </w:rPr>
        <w:t xml:space="preserve">  As recommended by OCC/NOAC, the PUCO should modify the proposed electric security plan into a market-rate offer.  The market-rate offer would serve the public interest and promote the policies of the state.  It would dispense with the Utilities’ use of financial inducements (e.g., cash and cash equivalents) to acquire support for its settlement proposals.  And the market-rate offer would end the Utilities’ lean on government to layer regulatory charges on top of market prices.</w:t>
      </w:r>
      <w:r w:rsidRPr="005A6964">
        <w:rPr>
          <w:rStyle w:val="FootnoteReference"/>
          <w:rFonts w:cs="Times New Roman"/>
          <w:szCs w:val="24"/>
        </w:rPr>
        <w:footnoteReference w:id="13"/>
      </w:r>
    </w:p>
    <w:p w:rsidR="00E343E8" w:rsidRPr="005A6964" w:rsidRDefault="00E343E8" w:rsidP="002C5E9D">
      <w:pPr>
        <w:spacing w:after="0" w:line="480" w:lineRule="auto"/>
        <w:ind w:firstLine="720"/>
        <w:rPr>
          <w:rFonts w:cs="Times New Roman"/>
          <w:szCs w:val="24"/>
        </w:rPr>
      </w:pPr>
      <w:r w:rsidRPr="005A6964">
        <w:rPr>
          <w:rFonts w:cs="Times New Roman"/>
          <w:szCs w:val="24"/>
        </w:rPr>
        <w:t xml:space="preserve">In this regard, former PUCO Chairman Snitchler proposed eliminating the electric security plan as soon as 2015: </w:t>
      </w:r>
    </w:p>
    <w:p w:rsidR="00E343E8" w:rsidRPr="005A6964" w:rsidRDefault="00E343E8" w:rsidP="00E343E8">
      <w:pPr>
        <w:spacing w:after="0" w:line="240" w:lineRule="auto"/>
        <w:ind w:left="1440" w:right="720"/>
        <w:rPr>
          <w:rFonts w:cs="Times New Roman"/>
          <w:szCs w:val="24"/>
        </w:rPr>
      </w:pPr>
      <w:r w:rsidRPr="005A6964">
        <w:rPr>
          <w:rFonts w:cs="Times New Roman"/>
          <w:szCs w:val="24"/>
        </w:rPr>
        <w:t>The fundamental, structural changes that have occurred since 2011, including resolving generation ownership and corporate separation of all investor owned utilities, eliminates the need for the ESP or MRO filing…. For these reasons, the requirement that such filings be made should be eliminated from the statute starting in 2015 or at the time 100% of the Standard Service Offer (SSO) load is secured at wholesale auction.</w:t>
      </w:r>
      <w:r w:rsidRPr="005A6964">
        <w:rPr>
          <w:rStyle w:val="FootnoteReference"/>
          <w:rFonts w:cs="Times New Roman"/>
          <w:szCs w:val="24"/>
        </w:rPr>
        <w:footnoteReference w:id="14"/>
      </w:r>
      <w:r w:rsidRPr="005A6964">
        <w:rPr>
          <w:rFonts w:cs="Times New Roman"/>
          <w:szCs w:val="24"/>
        </w:rPr>
        <w:t xml:space="preserve"> </w:t>
      </w:r>
    </w:p>
    <w:p w:rsidR="00E343E8" w:rsidRPr="005A6964" w:rsidRDefault="00E343E8" w:rsidP="00E343E8">
      <w:pPr>
        <w:spacing w:after="0" w:line="240" w:lineRule="auto"/>
        <w:ind w:firstLine="720"/>
        <w:rPr>
          <w:rFonts w:cs="Times New Roman"/>
          <w:szCs w:val="24"/>
        </w:rPr>
      </w:pPr>
    </w:p>
    <w:p w:rsidR="005D11BF" w:rsidRPr="005A6964" w:rsidRDefault="00E343E8" w:rsidP="00E362C6">
      <w:pPr>
        <w:spacing w:after="0" w:line="480" w:lineRule="auto"/>
        <w:ind w:firstLine="720"/>
      </w:pPr>
      <w:r w:rsidRPr="005A6964">
        <w:rPr>
          <w:rFonts w:cs="Times New Roman"/>
          <w:szCs w:val="24"/>
        </w:rPr>
        <w:t>Generation and distribution service for FirstEnergy have been corporately separated. And 100% of the SSO load has been, and will be, supplied through a wholesale auction.  The use of and structure of the wholesale auctions are not in dispute in this case. Now is the time to utilize a market-rate offer, and reject the harmful and unnecessary features of an ESP for Ohioans.</w:t>
      </w:r>
    </w:p>
    <w:p w:rsidR="00B7274A" w:rsidRPr="005A6964" w:rsidRDefault="00B7274A" w:rsidP="00D76993">
      <w:pPr>
        <w:pStyle w:val="Heading2"/>
      </w:pPr>
      <w:bookmarkStart w:id="8" w:name="_Toc444268994"/>
      <w:r w:rsidRPr="005A6964">
        <w:t>B.</w:t>
      </w:r>
      <w:r w:rsidRPr="005A6964">
        <w:tab/>
        <w:t>There are many reasons to reject the Utilities' Electric Security Plan, in favor of a Market</w:t>
      </w:r>
      <w:r w:rsidR="0057442C" w:rsidRPr="005A6964">
        <w:t>-</w:t>
      </w:r>
      <w:r w:rsidRPr="005A6964">
        <w:t>Rate Offer</w:t>
      </w:r>
      <w:r w:rsidR="008161A6" w:rsidRPr="005A6964">
        <w:t xml:space="preserve"> </w:t>
      </w:r>
      <w:r w:rsidR="00716CDB" w:rsidRPr="005A6964">
        <w:t>for customers</w:t>
      </w:r>
      <w:r w:rsidRPr="005A6964">
        <w:t>.</w:t>
      </w:r>
      <w:bookmarkEnd w:id="8"/>
    </w:p>
    <w:p w:rsidR="00896CEC" w:rsidRPr="005A6964" w:rsidRDefault="00896CEC" w:rsidP="00896CEC">
      <w:pPr>
        <w:pStyle w:val="Heading3"/>
      </w:pPr>
      <w:bookmarkStart w:id="9" w:name="_Toc444268995"/>
      <w:r w:rsidRPr="005A6964">
        <w:t>1.</w:t>
      </w:r>
      <w:r w:rsidRPr="005A6964">
        <w:tab/>
        <w:t xml:space="preserve">Federal law precludes the PUCO from approving an electric security plan with </w:t>
      </w:r>
      <w:r w:rsidR="0057442C" w:rsidRPr="005A6964">
        <w:t xml:space="preserve">customers paying for </w:t>
      </w:r>
      <w:r w:rsidR="00C34ED3" w:rsidRPr="005A6964">
        <w:t>a power purchase agreement (</w:t>
      </w:r>
      <w:r w:rsidRPr="005A6964">
        <w:t>Rider RRS</w:t>
      </w:r>
      <w:r w:rsidR="00C34ED3" w:rsidRPr="005A6964">
        <w:t>)</w:t>
      </w:r>
      <w:r w:rsidRPr="005A6964">
        <w:t>.</w:t>
      </w:r>
      <w:bookmarkEnd w:id="9"/>
    </w:p>
    <w:p w:rsidR="00896CEC" w:rsidRPr="005A6964" w:rsidRDefault="00896CEC" w:rsidP="00896CEC">
      <w:pPr>
        <w:spacing w:after="0" w:line="480" w:lineRule="auto"/>
        <w:rPr>
          <w:rFonts w:cs="Times New Roman"/>
          <w:szCs w:val="24"/>
        </w:rPr>
      </w:pPr>
      <w:r w:rsidRPr="005A6964">
        <w:rPr>
          <w:rFonts w:cs="Times New Roman"/>
          <w:szCs w:val="24"/>
        </w:rPr>
        <w:tab/>
        <w:t>Ignoring both the evidentiary record and governing law, the Ohio Energy Group (“OEG”) asserts that Rider RRS is not preempted.</w:t>
      </w:r>
      <w:r w:rsidRPr="005A6964">
        <w:rPr>
          <w:rStyle w:val="FootnoteReference"/>
          <w:rFonts w:cs="Times New Roman"/>
          <w:szCs w:val="24"/>
        </w:rPr>
        <w:footnoteReference w:id="15"/>
      </w:r>
      <w:r w:rsidRPr="005A6964">
        <w:rPr>
          <w:rFonts w:cs="Times New Roman"/>
          <w:szCs w:val="24"/>
        </w:rPr>
        <w:t xml:space="preserve"> </w:t>
      </w:r>
      <w:r w:rsidR="00716CDB" w:rsidRPr="005A6964">
        <w:rPr>
          <w:rFonts w:cs="Times New Roman"/>
          <w:szCs w:val="24"/>
        </w:rPr>
        <w:t xml:space="preserve"> </w:t>
      </w:r>
      <w:r w:rsidRPr="005A6964">
        <w:rPr>
          <w:rFonts w:cs="Times New Roman"/>
          <w:szCs w:val="24"/>
        </w:rPr>
        <w:t>The evidentiary record shows that Rider RRS sets the wholesale price for energy, capacity, and ancillary services received by the PJM market participant – FirstEnergy.  Under governing law, a state program that sets the wholesale price for energy, capacity, and ancillary services received by the PJM market participant is preempted.  The PUCO cannot approve an electric security plan with Rider RRS.</w:t>
      </w:r>
    </w:p>
    <w:p w:rsidR="00896CEC" w:rsidRPr="005A6964" w:rsidRDefault="00896CEC" w:rsidP="00896CEC">
      <w:pPr>
        <w:pStyle w:val="Heading4"/>
      </w:pPr>
      <w:bookmarkStart w:id="10" w:name="_Toc444268996"/>
      <w:r w:rsidRPr="005A6964">
        <w:t>a.</w:t>
      </w:r>
      <w:r w:rsidRPr="005A6964">
        <w:tab/>
        <w:t>OEG ignores the evidentiary record showing that Rider RRS sets the price for energy, capacity, and ancillary services received by the PJM market participant – FirstEnergy – and is therefore preempted.</w:t>
      </w:r>
      <w:bookmarkEnd w:id="10"/>
    </w:p>
    <w:p w:rsidR="00896CEC" w:rsidRPr="005A6964" w:rsidRDefault="00896CEC" w:rsidP="00896CEC">
      <w:pPr>
        <w:spacing w:after="0" w:line="480" w:lineRule="auto"/>
        <w:ind w:firstLine="720"/>
        <w:rPr>
          <w:rFonts w:cs="Times New Roman"/>
          <w:szCs w:val="24"/>
        </w:rPr>
      </w:pPr>
      <w:r w:rsidRPr="005A6964">
        <w:rPr>
          <w:rFonts w:cs="Times New Roman"/>
          <w:szCs w:val="24"/>
        </w:rPr>
        <w:t>OEG ignore</w:t>
      </w:r>
      <w:r w:rsidR="00C34ED3" w:rsidRPr="005A6964">
        <w:rPr>
          <w:rFonts w:cs="Times New Roman"/>
          <w:szCs w:val="24"/>
        </w:rPr>
        <w:t>s</w:t>
      </w:r>
      <w:r w:rsidRPr="005A6964">
        <w:rPr>
          <w:rFonts w:cs="Times New Roman"/>
          <w:szCs w:val="24"/>
        </w:rPr>
        <w:t xml:space="preserve"> the evidentiary record </w:t>
      </w:r>
      <w:r w:rsidR="00C34ED3" w:rsidRPr="005A6964">
        <w:rPr>
          <w:rFonts w:cs="Times New Roman"/>
          <w:szCs w:val="24"/>
        </w:rPr>
        <w:t xml:space="preserve">whereby </w:t>
      </w:r>
      <w:r w:rsidRPr="005A6964">
        <w:rPr>
          <w:rFonts w:cs="Times New Roman"/>
          <w:szCs w:val="24"/>
        </w:rPr>
        <w:t>Rider RRS will set the price received by the PJM market participant – FirstEnergy – at the contract price for the PPAs.</w:t>
      </w:r>
      <w:r w:rsidRPr="005A6964">
        <w:rPr>
          <w:rStyle w:val="FootnoteReference"/>
          <w:rFonts w:cs="Times New Roman"/>
          <w:szCs w:val="24"/>
        </w:rPr>
        <w:footnoteReference w:id="16"/>
      </w:r>
      <w:r w:rsidRPr="005A6964">
        <w:rPr>
          <w:rFonts w:cs="Times New Roman"/>
          <w:szCs w:val="24"/>
        </w:rPr>
        <w:t xml:space="preserve">  FirstEnergy Witness Savage admitted that the PPAs and Rider RRS would be “financially neutral” to FirstEnergy.</w:t>
      </w:r>
      <w:r w:rsidRPr="005A6964">
        <w:rPr>
          <w:rStyle w:val="FootnoteReference"/>
          <w:rFonts w:cs="Times New Roman"/>
          <w:szCs w:val="24"/>
        </w:rPr>
        <w:footnoteReference w:id="17"/>
      </w:r>
      <w:r w:rsidRPr="005A6964">
        <w:rPr>
          <w:rFonts w:cs="Times New Roman"/>
          <w:szCs w:val="24"/>
        </w:rPr>
        <w:t xml:space="preserve">  There is one and only one way this could be the case – the amount received by FirstEnergy for the sale into the PJM markets is fixed at the contract price for the PPAs.  </w:t>
      </w:r>
      <w:r w:rsidR="00A65CCA" w:rsidRPr="005A6964">
        <w:rPr>
          <w:rFonts w:cs="Times New Roman"/>
          <w:szCs w:val="24"/>
        </w:rPr>
        <w:t>But s</w:t>
      </w:r>
      <w:r w:rsidRPr="005A6964">
        <w:rPr>
          <w:rFonts w:cs="Times New Roman"/>
          <w:szCs w:val="24"/>
        </w:rPr>
        <w:t>uch price fixing is preempted.</w:t>
      </w:r>
      <w:r w:rsidRPr="005A6964">
        <w:rPr>
          <w:rStyle w:val="FootnoteReference"/>
          <w:rFonts w:cs="Times New Roman"/>
          <w:szCs w:val="24"/>
        </w:rPr>
        <w:footnoteReference w:id="18"/>
      </w:r>
    </w:p>
    <w:p w:rsidR="00083451" w:rsidRPr="005A6964" w:rsidRDefault="00896CEC" w:rsidP="00896CEC">
      <w:pPr>
        <w:spacing w:after="0" w:line="480" w:lineRule="auto"/>
        <w:ind w:firstLine="720"/>
        <w:rPr>
          <w:rFonts w:cs="Times New Roman"/>
          <w:szCs w:val="24"/>
        </w:rPr>
      </w:pPr>
      <w:r w:rsidRPr="005A6964">
        <w:rPr>
          <w:rFonts w:cs="Times New Roman"/>
          <w:szCs w:val="24"/>
        </w:rPr>
        <w:t>OEG characteriz</w:t>
      </w:r>
      <w:r w:rsidR="00C34ED3" w:rsidRPr="005A6964">
        <w:rPr>
          <w:rFonts w:cs="Times New Roman"/>
          <w:szCs w:val="24"/>
        </w:rPr>
        <w:t>ed</w:t>
      </w:r>
      <w:r w:rsidRPr="005A6964">
        <w:rPr>
          <w:rFonts w:cs="Times New Roman"/>
          <w:szCs w:val="24"/>
        </w:rPr>
        <w:t xml:space="preserve"> arguments</w:t>
      </w:r>
      <w:r w:rsidR="00083451" w:rsidRPr="005A6964">
        <w:rPr>
          <w:rFonts w:cs="Times New Roman"/>
          <w:szCs w:val="24"/>
        </w:rPr>
        <w:t>--</w:t>
      </w:r>
      <w:r w:rsidRPr="005A6964">
        <w:rPr>
          <w:rFonts w:cs="Times New Roman"/>
          <w:szCs w:val="24"/>
        </w:rPr>
        <w:t>that Rider RRS will distort wholesale markets</w:t>
      </w:r>
      <w:r w:rsidR="00083451" w:rsidRPr="005A6964">
        <w:rPr>
          <w:rFonts w:cs="Times New Roman"/>
          <w:szCs w:val="24"/>
        </w:rPr>
        <w:t>--</w:t>
      </w:r>
      <w:r w:rsidRPr="005A6964">
        <w:rPr>
          <w:rFonts w:cs="Times New Roman"/>
          <w:szCs w:val="24"/>
        </w:rPr>
        <w:t>as “merely theoretical</w:t>
      </w:r>
      <w:r w:rsidR="00C34ED3" w:rsidRPr="005A6964">
        <w:rPr>
          <w:rFonts w:cs="Times New Roman"/>
          <w:szCs w:val="24"/>
        </w:rPr>
        <w:t>.</w:t>
      </w:r>
      <w:r w:rsidRPr="005A6964">
        <w:rPr>
          <w:rFonts w:cs="Times New Roman"/>
          <w:szCs w:val="24"/>
        </w:rPr>
        <w:t xml:space="preserve">” </w:t>
      </w:r>
      <w:r w:rsidR="00083451" w:rsidRPr="005A6964">
        <w:rPr>
          <w:rFonts w:cs="Times New Roman"/>
          <w:szCs w:val="24"/>
        </w:rPr>
        <w:t xml:space="preserve">OEG asserted that </w:t>
      </w:r>
      <w:r w:rsidRPr="005A6964">
        <w:rPr>
          <w:rFonts w:cs="Times New Roman"/>
          <w:szCs w:val="24"/>
        </w:rPr>
        <w:t>no witness has presented a study showing that “capacity prices [will change] by 1%, or 0.1% or 0.01%[]</w:t>
      </w:r>
      <w:r w:rsidR="00083451" w:rsidRPr="005A6964">
        <w:rPr>
          <w:rFonts w:cs="Times New Roman"/>
          <w:szCs w:val="24"/>
        </w:rPr>
        <w:t>.</w:t>
      </w:r>
      <w:r w:rsidRPr="005A6964">
        <w:rPr>
          <w:rFonts w:cs="Times New Roman"/>
          <w:szCs w:val="24"/>
        </w:rPr>
        <w:t>”</w:t>
      </w:r>
      <w:r w:rsidR="00083451" w:rsidRPr="005A6964">
        <w:rPr>
          <w:rFonts w:cs="Times New Roman"/>
          <w:szCs w:val="24"/>
        </w:rPr>
        <w:t xml:space="preserve">  OEG</w:t>
      </w:r>
      <w:r w:rsidRPr="005A6964">
        <w:rPr>
          <w:rFonts w:cs="Times New Roman"/>
          <w:szCs w:val="24"/>
        </w:rPr>
        <w:t xml:space="preserve"> also ignores the record.</w:t>
      </w:r>
      <w:r w:rsidRPr="005A6964">
        <w:rPr>
          <w:rStyle w:val="FootnoteReference"/>
          <w:rFonts w:cs="Times New Roman"/>
          <w:szCs w:val="24"/>
        </w:rPr>
        <w:footnoteReference w:id="19"/>
      </w:r>
      <w:r w:rsidRPr="005A6964">
        <w:rPr>
          <w:rFonts w:cs="Times New Roman"/>
          <w:szCs w:val="24"/>
        </w:rPr>
        <w:t xml:space="preserve">  </w:t>
      </w:r>
      <w:r w:rsidR="00083451" w:rsidRPr="005A6964">
        <w:rPr>
          <w:rFonts w:cs="Times New Roman"/>
          <w:szCs w:val="24"/>
        </w:rPr>
        <w:t>OEG is mistaken on all counts.</w:t>
      </w:r>
    </w:p>
    <w:p w:rsidR="00896CEC" w:rsidRPr="005A6964" w:rsidRDefault="00896CEC" w:rsidP="00896CEC">
      <w:pPr>
        <w:spacing w:after="0" w:line="480" w:lineRule="auto"/>
        <w:ind w:firstLine="720"/>
        <w:rPr>
          <w:rFonts w:cs="Times New Roman"/>
          <w:szCs w:val="24"/>
        </w:rPr>
      </w:pPr>
      <w:r w:rsidRPr="005A6964">
        <w:rPr>
          <w:rFonts w:cs="Times New Roman"/>
          <w:szCs w:val="24"/>
        </w:rPr>
        <w:t>First, Rider RRS will set the price received by the PJM market participant – FirstEnergy – at the contract price for the PPAs.  Under the federal construct, the price received by the PJM market participant must be set by the market.  Thus, market distortion is concrete, not theoretical.</w:t>
      </w:r>
      <w:r w:rsidRPr="005A6964">
        <w:rPr>
          <w:rStyle w:val="FootnoteReference"/>
          <w:rFonts w:cs="Times New Roman"/>
          <w:szCs w:val="24"/>
        </w:rPr>
        <w:footnoteReference w:id="20"/>
      </w:r>
      <w:r w:rsidRPr="005A6964">
        <w:rPr>
          <w:rFonts w:cs="Times New Roman"/>
          <w:szCs w:val="24"/>
        </w:rPr>
        <w:t xml:space="preserve">  Second, both OCC Witness Sioshansi and the Independent Market Monitor testified that Rider RRS will distort PJM markets, and described how it would do so.</w:t>
      </w:r>
      <w:r w:rsidRPr="005A6964">
        <w:rPr>
          <w:rStyle w:val="FootnoteReference"/>
          <w:rFonts w:cs="Times New Roman"/>
          <w:szCs w:val="24"/>
        </w:rPr>
        <w:footnoteReference w:id="21"/>
      </w:r>
      <w:r w:rsidRPr="005A6964">
        <w:rPr>
          <w:rFonts w:cs="Times New Roman"/>
          <w:szCs w:val="24"/>
        </w:rPr>
        <w:t xml:space="preserve">  </w:t>
      </w:r>
    </w:p>
    <w:p w:rsidR="00B03C0A" w:rsidRPr="005A6964" w:rsidRDefault="00896CEC" w:rsidP="00896CEC">
      <w:pPr>
        <w:spacing w:after="0" w:line="480" w:lineRule="auto"/>
        <w:ind w:firstLine="720"/>
        <w:rPr>
          <w:rFonts w:cs="Times New Roman"/>
          <w:szCs w:val="24"/>
        </w:rPr>
      </w:pPr>
      <w:r w:rsidRPr="005A6964">
        <w:rPr>
          <w:rFonts w:cs="Times New Roman"/>
          <w:szCs w:val="24"/>
        </w:rPr>
        <w:t>That OEG crit</w:t>
      </w:r>
      <w:r w:rsidR="00A65CCA" w:rsidRPr="005A6964">
        <w:rPr>
          <w:rFonts w:cs="Times New Roman"/>
          <w:szCs w:val="24"/>
        </w:rPr>
        <w:t xml:space="preserve">icizes </w:t>
      </w:r>
      <w:r w:rsidRPr="005A6964">
        <w:rPr>
          <w:rFonts w:cs="Times New Roman"/>
          <w:szCs w:val="24"/>
        </w:rPr>
        <w:t>Intervenors for not quantifying how much Rider RRS will change PJM market prices confirms that OEG does not understand the preemption issue.  Because Rider RRS will set the price received by the PJM market participant – FirstEnergy – at the contract price for the PPAs, and distort wholesale markets, it does not matter how much Rider RRS will change PJM market prices.</w:t>
      </w:r>
      <w:r w:rsidRPr="005A6964">
        <w:rPr>
          <w:rStyle w:val="FootnoteReference"/>
          <w:rFonts w:cs="Times New Roman"/>
          <w:szCs w:val="24"/>
        </w:rPr>
        <w:footnoteReference w:id="22"/>
      </w:r>
      <w:r w:rsidRPr="005A6964">
        <w:rPr>
          <w:rFonts w:cs="Times New Roman"/>
          <w:szCs w:val="24"/>
        </w:rPr>
        <w:t xml:space="preserve">  </w:t>
      </w:r>
      <w:r w:rsidR="00A65CCA" w:rsidRPr="005A6964">
        <w:rPr>
          <w:rFonts w:cs="Times New Roman"/>
          <w:szCs w:val="24"/>
        </w:rPr>
        <w:t xml:space="preserve">The fact that </w:t>
      </w:r>
      <w:r w:rsidRPr="005A6964">
        <w:rPr>
          <w:rFonts w:cs="Times New Roman"/>
          <w:szCs w:val="24"/>
        </w:rPr>
        <w:t xml:space="preserve">prices will be fixed, and </w:t>
      </w:r>
      <w:r w:rsidR="00A65CCA" w:rsidRPr="005A6964">
        <w:rPr>
          <w:rFonts w:cs="Times New Roman"/>
          <w:szCs w:val="24"/>
        </w:rPr>
        <w:t xml:space="preserve">this will distort </w:t>
      </w:r>
      <w:r w:rsidRPr="005A6964">
        <w:rPr>
          <w:rFonts w:cs="Times New Roman"/>
          <w:szCs w:val="24"/>
        </w:rPr>
        <w:t>PJM markets</w:t>
      </w:r>
      <w:r w:rsidR="00A7621E" w:rsidRPr="005A6964">
        <w:rPr>
          <w:rFonts w:cs="Times New Roman"/>
          <w:szCs w:val="24"/>
        </w:rPr>
        <w:t>,</w:t>
      </w:r>
      <w:r w:rsidRPr="005A6964">
        <w:rPr>
          <w:rFonts w:cs="Times New Roman"/>
          <w:szCs w:val="24"/>
        </w:rPr>
        <w:t xml:space="preserve"> </w:t>
      </w:r>
      <w:r w:rsidR="00A65CCA" w:rsidRPr="005A6964">
        <w:rPr>
          <w:rFonts w:cs="Times New Roman"/>
          <w:szCs w:val="24"/>
        </w:rPr>
        <w:t xml:space="preserve">is important.  The degree of distortion is </w:t>
      </w:r>
    </w:p>
    <w:p w:rsidR="00896CEC" w:rsidRPr="005A6964" w:rsidRDefault="00A65CCA" w:rsidP="00B03C0A">
      <w:pPr>
        <w:spacing w:after="0" w:line="480" w:lineRule="auto"/>
        <w:rPr>
          <w:rFonts w:cs="Times New Roman"/>
          <w:szCs w:val="24"/>
        </w:rPr>
      </w:pPr>
      <w:r w:rsidRPr="005A6964">
        <w:rPr>
          <w:rFonts w:cs="Times New Roman"/>
          <w:szCs w:val="24"/>
        </w:rPr>
        <w:t>not the issue</w:t>
      </w:r>
      <w:r w:rsidR="00896CEC" w:rsidRPr="005A6964">
        <w:rPr>
          <w:rFonts w:cs="Times New Roman"/>
          <w:szCs w:val="24"/>
        </w:rPr>
        <w:t>.</w:t>
      </w:r>
      <w:r w:rsidR="00896CEC" w:rsidRPr="005A6964">
        <w:rPr>
          <w:rStyle w:val="FootnoteReference"/>
          <w:rFonts w:cs="Times New Roman"/>
          <w:szCs w:val="24"/>
        </w:rPr>
        <w:footnoteReference w:id="23"/>
      </w:r>
      <w:r w:rsidR="00896CEC" w:rsidRPr="005A6964">
        <w:rPr>
          <w:rFonts w:cs="Times New Roman"/>
          <w:szCs w:val="24"/>
        </w:rPr>
        <w:t xml:space="preserve">  As the Third Circuit has explained:  “What matters is that the [state program has] set capacity prices in the first place.”</w:t>
      </w:r>
      <w:r w:rsidR="00896CEC" w:rsidRPr="005A6964">
        <w:rPr>
          <w:rStyle w:val="FootnoteReference"/>
          <w:rFonts w:cs="Times New Roman"/>
          <w:szCs w:val="24"/>
        </w:rPr>
        <w:footnoteReference w:id="24"/>
      </w:r>
      <w:r w:rsidR="00896CEC" w:rsidRPr="005A6964">
        <w:rPr>
          <w:rFonts w:cs="Times New Roman"/>
          <w:szCs w:val="24"/>
        </w:rPr>
        <w:t xml:space="preserve"> </w:t>
      </w:r>
    </w:p>
    <w:p w:rsidR="00896CEC" w:rsidRPr="005A6964" w:rsidRDefault="00896CEC" w:rsidP="00896CEC">
      <w:pPr>
        <w:pStyle w:val="Heading4"/>
      </w:pPr>
      <w:bookmarkStart w:id="11" w:name="_Toc444268997"/>
      <w:r w:rsidRPr="005A6964">
        <w:t>b.</w:t>
      </w:r>
      <w:r w:rsidRPr="005A6964">
        <w:tab/>
        <w:t>Rider RRS</w:t>
      </w:r>
      <w:r w:rsidR="00083451" w:rsidRPr="005A6964">
        <w:t xml:space="preserve"> is preempted because the PUCO would be</w:t>
      </w:r>
      <w:r w:rsidRPr="005A6964">
        <w:t xml:space="preserve"> set</w:t>
      </w:r>
      <w:r w:rsidR="00083451" w:rsidRPr="005A6964">
        <w:t>ting</w:t>
      </w:r>
      <w:r w:rsidRPr="005A6964">
        <w:t xml:space="preserve"> the wholesale price for energy, capacity, and ancillary services received by the PJM market participant – FirstEnergy</w:t>
      </w:r>
      <w:r w:rsidR="00E817FD" w:rsidRPr="005A6964">
        <w:t>.</w:t>
      </w:r>
      <w:bookmarkEnd w:id="11"/>
    </w:p>
    <w:p w:rsidR="00896CEC" w:rsidRPr="005A6964" w:rsidRDefault="00896CEC" w:rsidP="00B30CAE">
      <w:pPr>
        <w:pStyle w:val="Heading5"/>
        <w:numPr>
          <w:ilvl w:val="0"/>
          <w:numId w:val="27"/>
        </w:numPr>
      </w:pPr>
      <w:bookmarkStart w:id="12" w:name="_Toc444268998"/>
      <w:r w:rsidRPr="005A6964">
        <w:t>Where, as here, a state program fixes the price received by the PJM market participant, the state program is preempted.</w:t>
      </w:r>
      <w:bookmarkEnd w:id="12"/>
    </w:p>
    <w:p w:rsidR="00C2102E" w:rsidRPr="005A6964" w:rsidRDefault="00E817FD" w:rsidP="00896CEC">
      <w:pPr>
        <w:spacing w:after="0" w:line="480" w:lineRule="auto"/>
        <w:ind w:firstLine="720"/>
        <w:rPr>
          <w:rFonts w:cs="Times New Roman"/>
          <w:szCs w:val="24"/>
        </w:rPr>
      </w:pPr>
      <w:r w:rsidRPr="005A6964">
        <w:rPr>
          <w:rFonts w:cs="Times New Roman"/>
          <w:szCs w:val="24"/>
        </w:rPr>
        <w:t>T</w:t>
      </w:r>
      <w:r w:rsidR="00896CEC" w:rsidRPr="005A6964">
        <w:rPr>
          <w:rFonts w:cs="Times New Roman"/>
          <w:szCs w:val="24"/>
        </w:rPr>
        <w:t xml:space="preserve">he undisputed evidence </w:t>
      </w:r>
      <w:r w:rsidRPr="005A6964">
        <w:rPr>
          <w:rFonts w:cs="Times New Roman"/>
          <w:szCs w:val="24"/>
        </w:rPr>
        <w:t xml:space="preserve">is </w:t>
      </w:r>
      <w:r w:rsidR="00896CEC" w:rsidRPr="005A6964">
        <w:rPr>
          <w:rFonts w:cs="Times New Roman"/>
          <w:szCs w:val="24"/>
        </w:rPr>
        <w:t>that</w:t>
      </w:r>
      <w:r w:rsidR="00F67961" w:rsidRPr="005A6964">
        <w:rPr>
          <w:rFonts w:cs="Times New Roman"/>
          <w:szCs w:val="24"/>
        </w:rPr>
        <w:t xml:space="preserve"> the PUCO, in setting</w:t>
      </w:r>
      <w:r w:rsidR="00896CEC" w:rsidRPr="005A6964">
        <w:rPr>
          <w:rFonts w:cs="Times New Roman"/>
          <w:szCs w:val="24"/>
        </w:rPr>
        <w:t xml:space="preserve"> FirstEnergy’s Rider RRS</w:t>
      </w:r>
      <w:r w:rsidR="00F67961" w:rsidRPr="005A6964">
        <w:rPr>
          <w:rFonts w:cs="Times New Roman"/>
          <w:szCs w:val="24"/>
        </w:rPr>
        <w:t>,</w:t>
      </w:r>
      <w:r w:rsidR="00896CEC" w:rsidRPr="005A6964">
        <w:rPr>
          <w:rFonts w:cs="Times New Roman"/>
          <w:szCs w:val="24"/>
        </w:rPr>
        <w:t xml:space="preserve"> </w:t>
      </w:r>
      <w:r w:rsidR="00F67961" w:rsidRPr="005A6964">
        <w:rPr>
          <w:rFonts w:cs="Times New Roman"/>
          <w:szCs w:val="24"/>
        </w:rPr>
        <w:t xml:space="preserve">would </w:t>
      </w:r>
      <w:r w:rsidR="00896CEC" w:rsidRPr="005A6964">
        <w:rPr>
          <w:rFonts w:cs="Times New Roman"/>
          <w:szCs w:val="24"/>
        </w:rPr>
        <w:t>set the price received by the PJM market participant – F</w:t>
      </w:r>
      <w:r w:rsidR="0014529D" w:rsidRPr="005A6964">
        <w:rPr>
          <w:rFonts w:cs="Times New Roman"/>
          <w:szCs w:val="24"/>
        </w:rPr>
        <w:t>irstEnergy</w:t>
      </w:r>
      <w:r w:rsidR="00A65CCA" w:rsidRPr="005A6964">
        <w:rPr>
          <w:rFonts w:cs="Times New Roman"/>
          <w:szCs w:val="24"/>
        </w:rPr>
        <w:t xml:space="preserve"> </w:t>
      </w:r>
      <w:r w:rsidR="00896CEC" w:rsidRPr="005A6964">
        <w:rPr>
          <w:rFonts w:cs="Times New Roman"/>
          <w:szCs w:val="24"/>
        </w:rPr>
        <w:t xml:space="preserve"> – at the contract price for the PPAs</w:t>
      </w:r>
      <w:r w:rsidR="00432F5A" w:rsidRPr="005A6964">
        <w:rPr>
          <w:rFonts w:cs="Times New Roman"/>
          <w:szCs w:val="24"/>
        </w:rPr>
        <w:t>.</w:t>
      </w:r>
      <w:r w:rsidR="00F67961" w:rsidRPr="005A6964">
        <w:rPr>
          <w:rFonts w:cs="Times New Roman"/>
          <w:szCs w:val="24"/>
        </w:rPr>
        <w:t xml:space="preserve"> </w:t>
      </w:r>
      <w:r w:rsidR="00896CEC" w:rsidRPr="005A6964">
        <w:rPr>
          <w:rFonts w:cs="Times New Roman"/>
          <w:szCs w:val="24"/>
        </w:rPr>
        <w:t xml:space="preserve"> </w:t>
      </w:r>
      <w:r w:rsidR="00F67961" w:rsidRPr="005A6964">
        <w:rPr>
          <w:rFonts w:cs="Times New Roman"/>
          <w:szCs w:val="24"/>
        </w:rPr>
        <w:t>T</w:t>
      </w:r>
      <w:r w:rsidR="00896CEC" w:rsidRPr="005A6964">
        <w:rPr>
          <w:rFonts w:cs="Times New Roman"/>
          <w:szCs w:val="24"/>
        </w:rPr>
        <w:t>he</w:t>
      </w:r>
      <w:r w:rsidR="00F67961" w:rsidRPr="005A6964">
        <w:rPr>
          <w:rFonts w:cs="Times New Roman"/>
          <w:szCs w:val="24"/>
        </w:rPr>
        <w:t>refore, the</w:t>
      </w:r>
      <w:r w:rsidR="00896CEC" w:rsidRPr="005A6964">
        <w:rPr>
          <w:rFonts w:cs="Times New Roman"/>
          <w:szCs w:val="24"/>
        </w:rPr>
        <w:t xml:space="preserve"> preemption analysis is over.  The Fourth Circuit has held that a state program where the PJM market participant (here, FirstEnergy) “receives a fixed sum for every unit of capacity and energy that it clears” is preempted.</w:t>
      </w:r>
      <w:r w:rsidR="00896CEC" w:rsidRPr="005A6964">
        <w:rPr>
          <w:rStyle w:val="FootnoteReference"/>
          <w:rFonts w:cs="Times New Roman"/>
          <w:szCs w:val="24"/>
        </w:rPr>
        <w:footnoteReference w:id="25"/>
      </w:r>
      <w:r w:rsidR="00896CEC" w:rsidRPr="005A6964">
        <w:rPr>
          <w:rFonts w:cs="Times New Roman"/>
          <w:szCs w:val="24"/>
        </w:rPr>
        <w:t xml:space="preserve">  Th</w:t>
      </w:r>
      <w:r w:rsidR="00C2102E" w:rsidRPr="005A6964">
        <w:rPr>
          <w:rFonts w:cs="Times New Roman"/>
          <w:szCs w:val="24"/>
        </w:rPr>
        <w:t>ere is preemption</w:t>
      </w:r>
      <w:r w:rsidR="00896CEC" w:rsidRPr="005A6964">
        <w:rPr>
          <w:rFonts w:cs="Times New Roman"/>
          <w:szCs w:val="24"/>
        </w:rPr>
        <w:t xml:space="preserve"> because such a program “effectively supplants the rate generated by the auction with an alternative rate preferred by the state.”</w:t>
      </w:r>
      <w:r w:rsidR="00896CEC" w:rsidRPr="005A6964">
        <w:rPr>
          <w:rStyle w:val="FootnoteReference"/>
          <w:rFonts w:cs="Times New Roman"/>
          <w:szCs w:val="24"/>
        </w:rPr>
        <w:footnoteReference w:id="26"/>
      </w:r>
      <w:r w:rsidR="00896CEC" w:rsidRPr="005A6964">
        <w:rPr>
          <w:rFonts w:cs="Times New Roman"/>
          <w:szCs w:val="24"/>
        </w:rPr>
        <w:t xml:space="preserve">  </w:t>
      </w:r>
    </w:p>
    <w:p w:rsidR="00896CEC" w:rsidRPr="005A6964" w:rsidRDefault="00896CEC" w:rsidP="00896CEC">
      <w:pPr>
        <w:spacing w:after="0" w:line="480" w:lineRule="auto"/>
        <w:ind w:firstLine="720"/>
        <w:rPr>
          <w:rFonts w:cs="Times New Roman"/>
          <w:szCs w:val="24"/>
        </w:rPr>
      </w:pPr>
      <w:r w:rsidRPr="005A6964">
        <w:rPr>
          <w:rFonts w:cs="Times New Roman"/>
          <w:szCs w:val="24"/>
        </w:rPr>
        <w:t>In so holding, the Fourth Circuit rejected the argument – similar to that made here by OEG – that the state program at issue did not set the rate because it did not directly affect the terms of any transaction in the federal market.</w:t>
      </w:r>
      <w:r w:rsidRPr="005A6964">
        <w:rPr>
          <w:rStyle w:val="FootnoteReference"/>
          <w:rFonts w:cs="Times New Roman"/>
          <w:szCs w:val="24"/>
        </w:rPr>
        <w:footnoteReference w:id="27"/>
      </w:r>
      <w:r w:rsidRPr="005A6964">
        <w:rPr>
          <w:rFonts w:cs="Times New Roman"/>
          <w:szCs w:val="24"/>
        </w:rPr>
        <w:t xml:space="preserve">  </w:t>
      </w:r>
      <w:r w:rsidR="00C2102E" w:rsidRPr="005A6964">
        <w:rPr>
          <w:rFonts w:cs="Times New Roman"/>
          <w:szCs w:val="24"/>
        </w:rPr>
        <w:t>The Court</w:t>
      </w:r>
      <w:r w:rsidRPr="005A6964">
        <w:rPr>
          <w:rFonts w:cs="Times New Roman"/>
          <w:szCs w:val="24"/>
        </w:rPr>
        <w:t xml:space="preserve"> explained that where the market participant “receives a fixed price for every unit of energy and capacity it sells in the PJM auction, regardless of the market price[,]” the fact that the state program “does not formally upset the terms of a federal transaction is no defense, since the functional results are precisely the same.”</w:t>
      </w:r>
      <w:r w:rsidRPr="005A6964">
        <w:rPr>
          <w:rStyle w:val="FootnoteReference"/>
          <w:rFonts w:cs="Times New Roman"/>
          <w:szCs w:val="24"/>
        </w:rPr>
        <w:footnoteReference w:id="28"/>
      </w:r>
    </w:p>
    <w:p w:rsidR="00896CEC" w:rsidRPr="005A6964" w:rsidRDefault="00896CEC" w:rsidP="00896CEC">
      <w:pPr>
        <w:spacing w:after="0" w:line="480" w:lineRule="auto"/>
        <w:ind w:firstLine="720"/>
        <w:rPr>
          <w:rFonts w:cs="Times New Roman"/>
          <w:szCs w:val="24"/>
        </w:rPr>
      </w:pPr>
      <w:r w:rsidRPr="005A6964">
        <w:rPr>
          <w:rFonts w:cs="Times New Roman"/>
          <w:szCs w:val="24"/>
        </w:rPr>
        <w:t>Similarly, the Third Circuit held that the state program preempted because, under the program, the PJM market participant would receive a fixed price – not the price generated by the federally sanctioned auction.</w:t>
      </w:r>
      <w:r w:rsidRPr="005A6964">
        <w:rPr>
          <w:rStyle w:val="FootnoteReference"/>
          <w:rFonts w:cs="Times New Roman"/>
          <w:szCs w:val="24"/>
        </w:rPr>
        <w:footnoteReference w:id="29"/>
      </w:r>
      <w:r w:rsidRPr="005A6964">
        <w:rPr>
          <w:rFonts w:cs="Times New Roman"/>
          <w:szCs w:val="24"/>
        </w:rPr>
        <w:t xml:space="preserve">  In so holding, the Third Circuit rejected the argument – similar to that made here by OEG – that the state program at issue was merely a “hedge” to reduce risk.</w:t>
      </w:r>
      <w:r w:rsidRPr="005A6964">
        <w:rPr>
          <w:rStyle w:val="FootnoteReference"/>
          <w:rFonts w:cs="Times New Roman"/>
          <w:szCs w:val="24"/>
        </w:rPr>
        <w:footnoteReference w:id="30"/>
      </w:r>
      <w:r w:rsidRPr="005A6964">
        <w:rPr>
          <w:rFonts w:cs="Times New Roman"/>
          <w:szCs w:val="24"/>
        </w:rPr>
        <w:t xml:space="preserve">  The court agreed with the lower court that the state was essentially setting the price for wholesale energy sales.</w:t>
      </w:r>
      <w:r w:rsidRPr="005A6964">
        <w:rPr>
          <w:rStyle w:val="FootnoteReference"/>
          <w:rFonts w:cs="Times New Roman"/>
          <w:szCs w:val="24"/>
        </w:rPr>
        <w:footnoteReference w:id="31"/>
      </w:r>
      <w:r w:rsidRPr="005A6964">
        <w:rPr>
          <w:rFonts w:cs="Times New Roman"/>
          <w:szCs w:val="24"/>
        </w:rPr>
        <w:t xml:space="preserve"> And in rejecting the argument that the state program should be saved because FERC could still review the reasonableness of the prices set under the state program, the Third Circuit explained:</w:t>
      </w:r>
    </w:p>
    <w:p w:rsidR="00896CEC" w:rsidRPr="005A6964" w:rsidRDefault="00896CEC" w:rsidP="00896CEC">
      <w:pPr>
        <w:ind w:left="1440" w:right="720"/>
        <w:rPr>
          <w:rFonts w:cs="Times New Roman"/>
          <w:szCs w:val="24"/>
        </w:rPr>
      </w:pPr>
      <w:r w:rsidRPr="005A6964">
        <w:rPr>
          <w:rFonts w:cs="Times New Roman"/>
          <w:szCs w:val="24"/>
        </w:rPr>
        <w:t xml:space="preserve">[T]his argument conflates the inquiry into [the state program’s] field of regulation with an inquiry into the reasonableness of the [state-set rates].  Here, whether the [state-set rates are] ‘just and reasonable’ capacity prices is beside the point.  </w:t>
      </w:r>
      <w:r w:rsidRPr="005A6964">
        <w:rPr>
          <w:rFonts w:cs="Times New Roman"/>
          <w:i/>
          <w:szCs w:val="24"/>
        </w:rPr>
        <w:t>What matters is that the [state program has] set capacity prices in the first place</w:t>
      </w:r>
      <w:r w:rsidRPr="005A6964">
        <w:rPr>
          <w:rFonts w:cs="Times New Roman"/>
          <w:szCs w:val="24"/>
        </w:rPr>
        <w:t>.</w:t>
      </w:r>
      <w:r w:rsidRPr="005A6964">
        <w:rPr>
          <w:rStyle w:val="FootnoteReference"/>
          <w:rFonts w:cs="Times New Roman"/>
          <w:szCs w:val="24"/>
        </w:rPr>
        <w:footnoteReference w:id="32"/>
      </w:r>
    </w:p>
    <w:p w:rsidR="00FB5286" w:rsidRPr="005A6964" w:rsidRDefault="00FB5286" w:rsidP="00B03C0A">
      <w:pPr>
        <w:spacing w:after="0" w:line="480" w:lineRule="auto"/>
      </w:pPr>
      <w:r w:rsidRPr="005A6964">
        <w:tab/>
        <w:t>The state-action of the PUCO approving Rider RRS would fix the price received by the PJM Market participant – FirstEnergy – and is therefore preempted.</w:t>
      </w:r>
    </w:p>
    <w:p w:rsidR="00896CEC" w:rsidRPr="005A6964" w:rsidRDefault="00896CEC" w:rsidP="00896CEC">
      <w:pPr>
        <w:pStyle w:val="Heading4"/>
      </w:pPr>
      <w:bookmarkStart w:id="13" w:name="_Toc444268999"/>
      <w:r w:rsidRPr="005A6964">
        <w:t>c.</w:t>
      </w:r>
      <w:r w:rsidRPr="005A6964">
        <w:tab/>
        <w:t>A state program, such as Rider RRS, that fixes the price received by the PJM market participant (here, FirstEnergy) is preempted regardless of whether</w:t>
      </w:r>
      <w:r w:rsidR="00444673" w:rsidRPr="005A6964">
        <w:t xml:space="preserve"> </w:t>
      </w:r>
      <w:r w:rsidRPr="005A6964">
        <w:t>the generation attributes are from new or existing generation.</w:t>
      </w:r>
      <w:bookmarkEnd w:id="13"/>
    </w:p>
    <w:p w:rsidR="008625E5" w:rsidRPr="005A6964" w:rsidRDefault="00896CEC" w:rsidP="00896CEC">
      <w:pPr>
        <w:spacing w:after="0" w:line="480" w:lineRule="auto"/>
        <w:rPr>
          <w:rFonts w:cs="Times New Roman"/>
          <w:szCs w:val="24"/>
        </w:rPr>
      </w:pPr>
      <w:r w:rsidRPr="005A6964">
        <w:rPr>
          <w:rFonts w:cs="Times New Roman"/>
          <w:szCs w:val="24"/>
        </w:rPr>
        <w:tab/>
        <w:t>OEG’s effort to distinguish the Third and Fourth Circuits’ decision</w:t>
      </w:r>
      <w:r w:rsidR="00C2102E" w:rsidRPr="005A6964">
        <w:rPr>
          <w:rFonts w:cs="Times New Roman"/>
          <w:szCs w:val="24"/>
        </w:rPr>
        <w:t>s</w:t>
      </w:r>
      <w:r w:rsidRPr="005A6964">
        <w:rPr>
          <w:rFonts w:cs="Times New Roman"/>
          <w:szCs w:val="24"/>
        </w:rPr>
        <w:t xml:space="preserve"> because they dealt with new generation, not existing generation, is meritless.</w:t>
      </w:r>
      <w:r w:rsidRPr="005A6964">
        <w:rPr>
          <w:rStyle w:val="FootnoteReference"/>
          <w:rFonts w:cs="Times New Roman"/>
          <w:szCs w:val="24"/>
        </w:rPr>
        <w:footnoteReference w:id="33"/>
      </w:r>
      <w:r w:rsidRPr="005A6964">
        <w:rPr>
          <w:rFonts w:cs="Times New Roman"/>
          <w:szCs w:val="24"/>
        </w:rPr>
        <w:t xml:space="preserve">  Nowhere in either decision did either court base its reasoning on that purported difference (or in any way suggest that their preemption analysis was confined to new generation).  Instead, it was the principles just described – state programs setting the price received by the PJM market participant are preempted – that underlay their decisions.</w:t>
      </w:r>
      <w:r w:rsidRPr="005A6964">
        <w:rPr>
          <w:rStyle w:val="FootnoteReference"/>
          <w:rFonts w:cs="Times New Roman"/>
          <w:szCs w:val="24"/>
        </w:rPr>
        <w:footnoteReference w:id="34"/>
      </w:r>
      <w:r w:rsidRPr="005A6964">
        <w:rPr>
          <w:rFonts w:cs="Times New Roman"/>
          <w:szCs w:val="24"/>
        </w:rPr>
        <w:t xml:space="preserve">  Both the Third and Fourth Circuits went out of their way to cut through the type of formalistic distinctions </w:t>
      </w:r>
      <w:r w:rsidR="00432F5A" w:rsidRPr="005A6964">
        <w:rPr>
          <w:rFonts w:cs="Times New Roman"/>
          <w:szCs w:val="24"/>
        </w:rPr>
        <w:t xml:space="preserve">that they were </w:t>
      </w:r>
      <w:r w:rsidR="00FB5286" w:rsidRPr="005A6964">
        <w:rPr>
          <w:rFonts w:cs="Times New Roman"/>
          <w:szCs w:val="24"/>
        </w:rPr>
        <w:t>as</w:t>
      </w:r>
      <w:r w:rsidR="004F2E85" w:rsidRPr="005A6964">
        <w:rPr>
          <w:rFonts w:cs="Times New Roman"/>
          <w:szCs w:val="24"/>
        </w:rPr>
        <w:t>ked</w:t>
      </w:r>
      <w:r w:rsidR="00FB5286" w:rsidRPr="005A6964">
        <w:rPr>
          <w:rFonts w:cs="Times New Roman"/>
          <w:szCs w:val="24"/>
        </w:rPr>
        <w:t xml:space="preserve"> them to make</w:t>
      </w:r>
      <w:r w:rsidR="0057442C" w:rsidRPr="005A6964">
        <w:rPr>
          <w:rFonts w:cs="Times New Roman"/>
          <w:szCs w:val="24"/>
        </w:rPr>
        <w:t xml:space="preserve"> </w:t>
      </w:r>
      <w:r w:rsidRPr="005A6964">
        <w:rPr>
          <w:rFonts w:cs="Times New Roman"/>
          <w:szCs w:val="24"/>
        </w:rPr>
        <w:t xml:space="preserve">to get at the substance of the state </w:t>
      </w:r>
    </w:p>
    <w:p w:rsidR="008625E5" w:rsidRPr="005A6964" w:rsidRDefault="008625E5">
      <w:pPr>
        <w:rPr>
          <w:rFonts w:cs="Times New Roman"/>
          <w:szCs w:val="24"/>
        </w:rPr>
      </w:pPr>
      <w:r w:rsidRPr="005A6964">
        <w:rPr>
          <w:rFonts w:cs="Times New Roman"/>
          <w:szCs w:val="24"/>
        </w:rPr>
        <w:br w:type="page"/>
      </w:r>
    </w:p>
    <w:p w:rsidR="00896CEC" w:rsidRPr="005A6964" w:rsidRDefault="00896CEC" w:rsidP="00896CEC">
      <w:pPr>
        <w:spacing w:after="0" w:line="480" w:lineRule="auto"/>
        <w:rPr>
          <w:rFonts w:cs="Times New Roman"/>
          <w:szCs w:val="24"/>
        </w:rPr>
      </w:pPr>
      <w:r w:rsidRPr="005A6964">
        <w:rPr>
          <w:rFonts w:cs="Times New Roman"/>
          <w:szCs w:val="24"/>
        </w:rPr>
        <w:t>programs at issue.</w:t>
      </w:r>
      <w:r w:rsidRPr="005A6964">
        <w:rPr>
          <w:rStyle w:val="FootnoteReference"/>
          <w:rFonts w:cs="Times New Roman"/>
          <w:szCs w:val="24"/>
        </w:rPr>
        <w:footnoteReference w:id="35"/>
      </w:r>
      <w:r w:rsidR="00FB5286" w:rsidRPr="005A6964">
        <w:rPr>
          <w:rFonts w:cs="Times New Roman"/>
          <w:szCs w:val="24"/>
        </w:rPr>
        <w:t xml:space="preserve"> The PUCO should do the same here with the formalistic distinctions OEG is trying to make.</w:t>
      </w:r>
      <w:r w:rsidRPr="005A6964">
        <w:rPr>
          <w:rFonts w:cs="Times New Roman"/>
          <w:szCs w:val="24"/>
        </w:rPr>
        <w:t xml:space="preserve">  </w:t>
      </w:r>
    </w:p>
    <w:p w:rsidR="00896CEC" w:rsidRPr="005A6964" w:rsidRDefault="00896CEC" w:rsidP="00896CEC">
      <w:pPr>
        <w:pStyle w:val="Heading4"/>
        <w:rPr>
          <w:rFonts w:cs="Times New Roman"/>
          <w:b w:val="0"/>
          <w:szCs w:val="24"/>
        </w:rPr>
      </w:pPr>
      <w:bookmarkStart w:id="14" w:name="_Toc444269000"/>
      <w:r w:rsidRPr="005A6964">
        <w:t>d.</w:t>
      </w:r>
      <w:r w:rsidRPr="005A6964">
        <w:tab/>
        <w:t xml:space="preserve">State regulation, such as Rider RRS, may not intrude into areas of exclusive </w:t>
      </w:r>
      <w:r w:rsidRPr="005A6964">
        <w:rPr>
          <w:rFonts w:cs="Times New Roman"/>
          <w:szCs w:val="24"/>
        </w:rPr>
        <w:t>federal authority.</w:t>
      </w:r>
      <w:bookmarkEnd w:id="14"/>
    </w:p>
    <w:p w:rsidR="00896CEC" w:rsidRPr="005A6964" w:rsidRDefault="00896CEC" w:rsidP="00896CEC">
      <w:pPr>
        <w:spacing w:after="0" w:line="480" w:lineRule="auto"/>
        <w:ind w:firstLine="720"/>
        <w:rPr>
          <w:rFonts w:cs="Times New Roman"/>
          <w:szCs w:val="24"/>
        </w:rPr>
      </w:pPr>
      <w:r w:rsidRPr="005A6964">
        <w:rPr>
          <w:rFonts w:cs="Times New Roman"/>
          <w:szCs w:val="24"/>
        </w:rPr>
        <w:t xml:space="preserve">OEG </w:t>
      </w:r>
      <w:r w:rsidR="00FB5286" w:rsidRPr="005A6964">
        <w:rPr>
          <w:rFonts w:cs="Times New Roman"/>
          <w:szCs w:val="24"/>
        </w:rPr>
        <w:t>discusses the role states play regarding generation.</w:t>
      </w:r>
      <w:r w:rsidRPr="005A6964">
        <w:rPr>
          <w:rStyle w:val="FootnoteReference"/>
          <w:rFonts w:cs="Times New Roman"/>
          <w:szCs w:val="24"/>
        </w:rPr>
        <w:footnoteReference w:id="36"/>
      </w:r>
      <w:r w:rsidRPr="005A6964">
        <w:rPr>
          <w:rFonts w:cs="Times New Roman"/>
          <w:szCs w:val="24"/>
        </w:rPr>
        <w:t xml:space="preserve"> </w:t>
      </w:r>
      <w:r w:rsidR="00FB5286" w:rsidRPr="005A6964">
        <w:rPr>
          <w:rFonts w:cs="Times New Roman"/>
          <w:szCs w:val="24"/>
        </w:rPr>
        <w:t>B</w:t>
      </w:r>
      <w:r w:rsidRPr="005A6964">
        <w:rPr>
          <w:rFonts w:cs="Times New Roman"/>
          <w:szCs w:val="24"/>
        </w:rPr>
        <w:t>oth the Third Circuit and the Fourth Circuit acknowledged that states have important roles to play regarding generation.  But those roles end – and, in fact, are preempted – where the state program sets the wholesale price received by the PJM market participant.</w:t>
      </w:r>
      <w:r w:rsidRPr="005A6964">
        <w:rPr>
          <w:rStyle w:val="FootnoteReference"/>
          <w:rFonts w:cs="Times New Roman"/>
          <w:szCs w:val="24"/>
        </w:rPr>
        <w:footnoteReference w:id="37"/>
      </w:r>
      <w:r w:rsidRPr="005A6964">
        <w:rPr>
          <w:rFonts w:cs="Times New Roman"/>
          <w:szCs w:val="24"/>
        </w:rPr>
        <w:t xml:space="preserve">  “Even where state regulation operates within its own field, it may not intrude indirectly on areas of exclusive federal authority.”</w:t>
      </w:r>
      <w:r w:rsidRPr="005A6964">
        <w:rPr>
          <w:rStyle w:val="FootnoteReference"/>
          <w:rFonts w:cs="Times New Roman"/>
          <w:szCs w:val="24"/>
        </w:rPr>
        <w:footnoteReference w:id="38"/>
      </w:r>
    </w:p>
    <w:p w:rsidR="00896CEC" w:rsidRPr="005A6964" w:rsidRDefault="00896CEC" w:rsidP="00896CEC">
      <w:pPr>
        <w:pStyle w:val="Heading4"/>
        <w:rPr>
          <w:rFonts w:cs="Times New Roman"/>
          <w:szCs w:val="24"/>
        </w:rPr>
      </w:pPr>
      <w:bookmarkStart w:id="15" w:name="_Toc444269001"/>
      <w:r w:rsidRPr="005A6964">
        <w:t>e.</w:t>
      </w:r>
      <w:r w:rsidRPr="005A6964">
        <w:tab/>
        <w:t xml:space="preserve">Rider RRS is well-within the scope of governing federal law, which shows that  </w:t>
      </w:r>
      <w:r w:rsidRPr="005A6964">
        <w:rPr>
          <w:rFonts w:cs="Times New Roman"/>
          <w:szCs w:val="24"/>
        </w:rPr>
        <w:t>Rider RRS is preempted.</w:t>
      </w:r>
      <w:bookmarkEnd w:id="15"/>
      <w:r w:rsidRPr="005A6964">
        <w:rPr>
          <w:rFonts w:cs="Times New Roman"/>
          <w:szCs w:val="24"/>
        </w:rPr>
        <w:t xml:space="preserve"> </w:t>
      </w:r>
    </w:p>
    <w:p w:rsidR="00896CEC" w:rsidRPr="005A6964" w:rsidRDefault="00896CEC" w:rsidP="00896CEC">
      <w:pPr>
        <w:spacing w:after="0" w:line="480" w:lineRule="auto"/>
        <w:ind w:firstLine="720"/>
        <w:rPr>
          <w:rFonts w:cs="Times New Roman"/>
          <w:szCs w:val="24"/>
        </w:rPr>
      </w:pPr>
      <w:r w:rsidRPr="005A6964">
        <w:rPr>
          <w:rFonts w:cs="Times New Roman"/>
          <w:szCs w:val="24"/>
        </w:rPr>
        <w:t>Contrary to what OEG would have the PUCO believe, the alleged limited scope of the Third and Fourth Circuits’ decisions does not save Rider RRS.</w:t>
      </w:r>
      <w:r w:rsidRPr="005A6964">
        <w:rPr>
          <w:rStyle w:val="FootnoteReference"/>
          <w:rFonts w:cs="Times New Roman"/>
          <w:szCs w:val="24"/>
        </w:rPr>
        <w:footnoteReference w:id="39"/>
      </w:r>
      <w:r w:rsidRPr="005A6964">
        <w:rPr>
          <w:rFonts w:cs="Times New Roman"/>
          <w:szCs w:val="24"/>
        </w:rPr>
        <w:t xml:space="preserve">  Instead, those decisions</w:t>
      </w:r>
      <w:r w:rsidR="00C2102E" w:rsidRPr="005A6964">
        <w:rPr>
          <w:rFonts w:cs="Times New Roman"/>
          <w:szCs w:val="24"/>
        </w:rPr>
        <w:t xml:space="preserve"> </w:t>
      </w:r>
      <w:r w:rsidRPr="005A6964">
        <w:rPr>
          <w:rFonts w:cs="Times New Roman"/>
          <w:szCs w:val="24"/>
        </w:rPr>
        <w:t>show that Rider RRS is preempted</w:t>
      </w:r>
      <w:r w:rsidR="00432F5A" w:rsidRPr="005A6964">
        <w:rPr>
          <w:rFonts w:cs="Times New Roman"/>
          <w:szCs w:val="24"/>
        </w:rPr>
        <w:t>.</w:t>
      </w:r>
      <w:r w:rsidRPr="005A6964">
        <w:rPr>
          <w:rFonts w:cs="Times New Roman"/>
          <w:szCs w:val="24"/>
        </w:rPr>
        <w:t xml:space="preserve"> </w:t>
      </w:r>
    </w:p>
    <w:p w:rsidR="004B347D" w:rsidRPr="005A6964" w:rsidRDefault="00896CEC" w:rsidP="00802BBE">
      <w:pPr>
        <w:spacing w:after="0" w:line="480" w:lineRule="auto"/>
        <w:ind w:firstLine="720"/>
        <w:rPr>
          <w:rFonts w:cs="Times New Roman"/>
          <w:szCs w:val="24"/>
        </w:rPr>
      </w:pPr>
      <w:r w:rsidRPr="005A6964">
        <w:rPr>
          <w:rFonts w:cs="Times New Roman"/>
          <w:szCs w:val="24"/>
        </w:rPr>
        <w:t>The Fourth Circuit explained that the state program before it (</w:t>
      </w:r>
      <w:r w:rsidR="005752A7" w:rsidRPr="005A6964">
        <w:rPr>
          <w:rFonts w:cs="Times New Roman"/>
          <w:szCs w:val="24"/>
        </w:rPr>
        <w:t>like</w:t>
      </w:r>
      <w:r w:rsidRPr="005A6964">
        <w:rPr>
          <w:rFonts w:cs="Times New Roman"/>
          <w:szCs w:val="24"/>
        </w:rPr>
        <w:t xml:space="preserve"> the program before the PUCO here)</w:t>
      </w:r>
      <w:r w:rsidR="00FB5286" w:rsidRPr="005A6964">
        <w:rPr>
          <w:rFonts w:cs="Times New Roman"/>
          <w:szCs w:val="24"/>
        </w:rPr>
        <w:t>:</w:t>
      </w:r>
      <w:r w:rsidRPr="005A6964">
        <w:rPr>
          <w:rFonts w:cs="Times New Roman"/>
          <w:szCs w:val="24"/>
        </w:rPr>
        <w:t xml:space="preserve"> </w:t>
      </w:r>
    </w:p>
    <w:p w:rsidR="004B347D" w:rsidRPr="005A6964" w:rsidRDefault="00896CEC" w:rsidP="00432F5A">
      <w:pPr>
        <w:spacing w:after="0" w:line="240" w:lineRule="auto"/>
        <w:ind w:left="1440" w:right="720"/>
        <w:rPr>
          <w:rFonts w:cs="Times New Roman"/>
          <w:szCs w:val="24"/>
        </w:rPr>
      </w:pPr>
      <w:r w:rsidRPr="005A6964">
        <w:rPr>
          <w:rFonts w:cs="Times New Roman"/>
          <w:szCs w:val="24"/>
        </w:rPr>
        <w:t>strikes at the heart of [FERC</w:t>
      </w:r>
      <w:r w:rsidR="004B347D" w:rsidRPr="005A6964">
        <w:rPr>
          <w:rFonts w:cs="Times New Roman"/>
          <w:szCs w:val="24"/>
        </w:rPr>
        <w:t>’s</w:t>
      </w:r>
      <w:r w:rsidRPr="005A6964">
        <w:rPr>
          <w:rFonts w:cs="Times New Roman"/>
          <w:szCs w:val="24"/>
        </w:rPr>
        <w:t>] statutory power to establish rates for the sale of electric energy in interstate commerce, by adopting terms and prices set by [the state], not those sanctioned by FERC.</w:t>
      </w:r>
      <w:r w:rsidRPr="005A6964">
        <w:rPr>
          <w:rStyle w:val="FootnoteReference"/>
          <w:rFonts w:cs="Times New Roman"/>
          <w:szCs w:val="24"/>
        </w:rPr>
        <w:footnoteReference w:id="40"/>
      </w:r>
      <w:r w:rsidRPr="005A6964">
        <w:rPr>
          <w:rFonts w:cs="Times New Roman"/>
          <w:szCs w:val="24"/>
        </w:rPr>
        <w:t xml:space="preserve">  </w:t>
      </w:r>
    </w:p>
    <w:p w:rsidR="004B347D" w:rsidRPr="005A6964" w:rsidRDefault="004B347D" w:rsidP="00860E50">
      <w:pPr>
        <w:spacing w:after="0" w:line="240" w:lineRule="auto"/>
        <w:ind w:firstLine="720"/>
        <w:rPr>
          <w:rFonts w:cs="Times New Roman"/>
          <w:szCs w:val="24"/>
        </w:rPr>
      </w:pPr>
    </w:p>
    <w:p w:rsidR="00C2102E" w:rsidRPr="005A6964" w:rsidRDefault="00896CEC" w:rsidP="002C5E9D">
      <w:pPr>
        <w:spacing w:after="0" w:line="480" w:lineRule="auto"/>
        <w:rPr>
          <w:rFonts w:cs="Times New Roman"/>
          <w:szCs w:val="24"/>
        </w:rPr>
      </w:pPr>
      <w:r w:rsidRPr="005A6964">
        <w:rPr>
          <w:rFonts w:cs="Times New Roman"/>
          <w:szCs w:val="24"/>
        </w:rPr>
        <w:t xml:space="preserve">Likewise, the Third Circuit (unlike the Fourth) simply did not feel it necessary to decide if the state program before it was conflict preempted </w:t>
      </w:r>
      <w:r w:rsidRPr="005A6964">
        <w:rPr>
          <w:rFonts w:cs="Times New Roman"/>
          <w:i/>
          <w:szCs w:val="24"/>
        </w:rPr>
        <w:t>because it was so clearly field preempted since it</w:t>
      </w:r>
      <w:r w:rsidR="00444673" w:rsidRPr="005A6964">
        <w:rPr>
          <w:rFonts w:cs="Times New Roman"/>
          <w:i/>
          <w:szCs w:val="24"/>
        </w:rPr>
        <w:t xml:space="preserve"> (</w:t>
      </w:r>
      <w:r w:rsidRPr="005A6964">
        <w:rPr>
          <w:rFonts w:cs="Times New Roman"/>
          <w:i/>
          <w:szCs w:val="24"/>
        </w:rPr>
        <w:t xml:space="preserve"> like Rider RRS</w:t>
      </w:r>
      <w:r w:rsidR="00444673" w:rsidRPr="005A6964">
        <w:rPr>
          <w:rFonts w:cs="Times New Roman"/>
          <w:i/>
          <w:szCs w:val="24"/>
        </w:rPr>
        <w:t>)</w:t>
      </w:r>
      <w:r w:rsidRPr="005A6964">
        <w:rPr>
          <w:rFonts w:cs="Times New Roman"/>
          <w:i/>
          <w:szCs w:val="24"/>
        </w:rPr>
        <w:t xml:space="preserve"> set the price received by the PJM market participant</w:t>
      </w:r>
      <w:r w:rsidRPr="005A6964">
        <w:rPr>
          <w:rFonts w:cs="Times New Roman"/>
          <w:szCs w:val="24"/>
        </w:rPr>
        <w:t>.</w:t>
      </w:r>
      <w:r w:rsidRPr="005A6964">
        <w:rPr>
          <w:rStyle w:val="FootnoteReference"/>
          <w:rFonts w:cs="Times New Roman"/>
          <w:szCs w:val="24"/>
        </w:rPr>
        <w:footnoteReference w:id="41"/>
      </w:r>
      <w:r w:rsidRPr="005A6964">
        <w:rPr>
          <w:rFonts w:cs="Times New Roman"/>
          <w:szCs w:val="24"/>
        </w:rPr>
        <w:t xml:space="preserve">  </w:t>
      </w:r>
    </w:p>
    <w:p w:rsidR="00896CEC" w:rsidRPr="005A6964" w:rsidRDefault="00896CEC" w:rsidP="00B03C0A">
      <w:pPr>
        <w:spacing w:after="0" w:line="480" w:lineRule="auto"/>
        <w:ind w:firstLine="720"/>
        <w:rPr>
          <w:rFonts w:cs="Times New Roman"/>
          <w:szCs w:val="24"/>
        </w:rPr>
      </w:pPr>
      <w:r w:rsidRPr="005A6964">
        <w:rPr>
          <w:rFonts w:cs="Times New Roman"/>
          <w:szCs w:val="24"/>
        </w:rPr>
        <w:t>To the degree that the Third Circuit limited the scope of its field preemption analysis, it did so only by making the unremarkable comment that something more than an “incidental effect” on interstate commerce is required.</w:t>
      </w:r>
      <w:r w:rsidRPr="005A6964">
        <w:rPr>
          <w:rStyle w:val="FootnoteReference"/>
          <w:rFonts w:cs="Times New Roman"/>
          <w:szCs w:val="24"/>
        </w:rPr>
        <w:footnoteReference w:id="42"/>
      </w:r>
      <w:r w:rsidRPr="005A6964">
        <w:rPr>
          <w:rFonts w:cs="Times New Roman"/>
          <w:szCs w:val="24"/>
        </w:rPr>
        <w:t xml:space="preserve">  But it, like the Fourth Circuit, found that there was more than an incidental effect on interstate </w:t>
      </w:r>
    </w:p>
    <w:p w:rsidR="00B52D9B" w:rsidRPr="005A6964" w:rsidRDefault="00B52D9B">
      <w:pPr>
        <w:rPr>
          <w:rFonts w:cs="Times New Roman"/>
          <w:szCs w:val="24"/>
        </w:rPr>
      </w:pPr>
      <w:r w:rsidRPr="005A6964">
        <w:rPr>
          <w:rFonts w:cs="Times New Roman"/>
          <w:szCs w:val="24"/>
        </w:rPr>
        <w:br w:type="page"/>
      </w:r>
    </w:p>
    <w:p w:rsidR="00D15DE1" w:rsidRPr="005A6964" w:rsidRDefault="00896CEC" w:rsidP="00B03C0A">
      <w:pPr>
        <w:spacing w:after="0" w:line="480" w:lineRule="auto"/>
        <w:rPr>
          <w:rFonts w:eastAsiaTheme="majorEastAsia" w:cs="Times New Roman"/>
          <w:b/>
          <w:bCs/>
          <w:szCs w:val="24"/>
        </w:rPr>
      </w:pPr>
      <w:r w:rsidRPr="005A6964">
        <w:rPr>
          <w:rFonts w:cs="Times New Roman"/>
          <w:szCs w:val="24"/>
        </w:rPr>
        <w:t>commerce.  The state program before it, like Rider RRS here, set the price received by the PJM market participant and was therefore preempted.</w:t>
      </w:r>
      <w:r w:rsidRPr="005A6964">
        <w:rPr>
          <w:rStyle w:val="FootnoteReference"/>
          <w:rFonts w:cs="Times New Roman"/>
          <w:szCs w:val="24"/>
        </w:rPr>
        <w:footnoteReference w:id="43"/>
      </w:r>
      <w:r w:rsidRPr="005A6964">
        <w:rPr>
          <w:rFonts w:cs="Times New Roman"/>
          <w:szCs w:val="24"/>
        </w:rPr>
        <w:t xml:space="preserve">   </w:t>
      </w:r>
    </w:p>
    <w:p w:rsidR="00B7274A" w:rsidRPr="005A6964" w:rsidRDefault="00940F88" w:rsidP="00940F88">
      <w:pPr>
        <w:pStyle w:val="Heading3"/>
      </w:pPr>
      <w:bookmarkStart w:id="16" w:name="_Toc444269002"/>
      <w:r w:rsidRPr="005A6964">
        <w:t>2</w:t>
      </w:r>
      <w:r w:rsidR="00B7274A" w:rsidRPr="005A6964">
        <w:t xml:space="preserve">. </w:t>
      </w:r>
      <w:r w:rsidR="00B7274A" w:rsidRPr="005A6964">
        <w:tab/>
        <w:t>State law precludes the PUCO from adopting FirstEnergy's electric security plan</w:t>
      </w:r>
      <w:r w:rsidR="00444673" w:rsidRPr="005A6964">
        <w:t xml:space="preserve"> for customers</w:t>
      </w:r>
      <w:r w:rsidR="00896CEC" w:rsidRPr="005A6964">
        <w:t>.</w:t>
      </w:r>
      <w:bookmarkEnd w:id="16"/>
      <w:r w:rsidR="00B7274A" w:rsidRPr="005A6964">
        <w:t xml:space="preserve">  </w:t>
      </w:r>
    </w:p>
    <w:p w:rsidR="00860E50" w:rsidRPr="005A6964" w:rsidRDefault="00940F88" w:rsidP="00D15DE1">
      <w:pPr>
        <w:pStyle w:val="Heading4"/>
      </w:pPr>
      <w:bookmarkStart w:id="17" w:name="_Toc444269003"/>
      <w:r w:rsidRPr="005A6964">
        <w:t>a</w:t>
      </w:r>
      <w:r w:rsidR="00D76993" w:rsidRPr="005A6964">
        <w:t>.</w:t>
      </w:r>
      <w:r w:rsidR="00D76993" w:rsidRPr="005A6964">
        <w:tab/>
        <w:t>First Energy has the burden of proof under R.C. 4928.143(C), and they have not met that burden.</w:t>
      </w:r>
      <w:bookmarkEnd w:id="17"/>
      <w:r w:rsidR="00D76993" w:rsidRPr="005A6964">
        <w:t xml:space="preserve"> </w:t>
      </w:r>
    </w:p>
    <w:p w:rsidR="00D76993" w:rsidRPr="005A6964" w:rsidRDefault="00D76993" w:rsidP="00D76993">
      <w:pPr>
        <w:spacing w:after="0" w:line="480" w:lineRule="auto"/>
        <w:ind w:firstLine="720"/>
      </w:pPr>
      <w:r w:rsidRPr="005A6964">
        <w:t>Ohio law</w:t>
      </w:r>
      <w:r w:rsidR="00C2102E" w:rsidRPr="005A6964">
        <w:t xml:space="preserve"> places</w:t>
      </w:r>
      <w:r w:rsidRPr="005A6964">
        <w:t xml:space="preserve"> the burden of proof on the electric distribution utility for an electric security plan.</w:t>
      </w:r>
      <w:r w:rsidRPr="005A6964">
        <w:rPr>
          <w:rStyle w:val="FootnoteReference"/>
        </w:rPr>
        <w:footnoteReference w:id="44"/>
      </w:r>
      <w:r w:rsidRPr="005A6964">
        <w:t xml:space="preserve"> </w:t>
      </w:r>
      <w:r w:rsidR="004B347D" w:rsidRPr="005A6964">
        <w:t>T</w:t>
      </w:r>
      <w:r w:rsidRPr="005A6964">
        <w:t xml:space="preserve">he PUCO may </w:t>
      </w:r>
      <w:r w:rsidR="004B347D" w:rsidRPr="005A6964">
        <w:t xml:space="preserve">only </w:t>
      </w:r>
      <w:r w:rsidRPr="005A6964">
        <w:t>approve an ESP if it is “more favorable in the aggregate as compared to the expected results that would otherwise apply under section 4928.142 of the Revised Code.”</w:t>
      </w:r>
      <w:r w:rsidRPr="005A6964">
        <w:rPr>
          <w:rStyle w:val="FootnoteReference"/>
        </w:rPr>
        <w:footnoteReference w:id="45"/>
      </w:r>
      <w:r w:rsidRPr="005A6964">
        <w:t xml:space="preserve"> Therefore, FirstEnergy bears the burden of proving that </w:t>
      </w:r>
      <w:r w:rsidR="002017FE" w:rsidRPr="005A6964">
        <w:t xml:space="preserve">its </w:t>
      </w:r>
      <w:r w:rsidRPr="005A6964">
        <w:t xml:space="preserve">ESP is more favorable in the aggregate </w:t>
      </w:r>
      <w:r w:rsidR="001B3385" w:rsidRPr="005A6964">
        <w:t xml:space="preserve">to customers </w:t>
      </w:r>
      <w:r w:rsidRPr="005A6964">
        <w:t xml:space="preserve">when compared to an </w:t>
      </w:r>
      <w:r w:rsidR="004B347D" w:rsidRPr="005A6964">
        <w:t>MRO</w:t>
      </w:r>
      <w:r w:rsidRPr="005A6964">
        <w:t xml:space="preserve">. FirstEnergy </w:t>
      </w:r>
      <w:r w:rsidR="002017FE" w:rsidRPr="005A6964">
        <w:t>failed</w:t>
      </w:r>
      <w:r w:rsidRPr="005A6964">
        <w:t xml:space="preserve"> that burden of proof.</w:t>
      </w:r>
    </w:p>
    <w:p w:rsidR="00B7274A" w:rsidRPr="005A6964" w:rsidRDefault="00802BBE" w:rsidP="00802BBE">
      <w:pPr>
        <w:spacing w:after="0" w:line="480" w:lineRule="auto"/>
        <w:rPr>
          <w:rFonts w:cs="Times New Roman"/>
          <w:bCs/>
          <w:szCs w:val="24"/>
        </w:rPr>
      </w:pPr>
      <w:r w:rsidRPr="005A6964">
        <w:tab/>
      </w:r>
      <w:r w:rsidR="00D76993" w:rsidRPr="005A6964">
        <w:t>When viewed in the aggregate, on quantitative factors</w:t>
      </w:r>
      <w:r w:rsidR="006449B1" w:rsidRPr="005A6964">
        <w:t>,</w:t>
      </w:r>
      <w:r w:rsidR="006770EC" w:rsidRPr="005A6964">
        <w:rPr>
          <w:rStyle w:val="FootnoteReference"/>
        </w:rPr>
        <w:footnoteReference w:id="46"/>
      </w:r>
      <w:r w:rsidR="00D76993" w:rsidRPr="005A6964">
        <w:t xml:space="preserve">FirstEnergy’s ESP provides </w:t>
      </w:r>
      <w:r w:rsidR="006449B1" w:rsidRPr="005A6964">
        <w:t xml:space="preserve">only </w:t>
      </w:r>
      <w:r w:rsidR="00D76993" w:rsidRPr="005A6964">
        <w:t>minimal benefits at great cost to the consumer.</w:t>
      </w:r>
      <w:r w:rsidR="006449B1" w:rsidRPr="005A6964">
        <w:t xml:space="preserve">  (The ESP would fail the test even if qualitative factors were considered.  But qualitative factors are not lawful to consider.</w:t>
      </w:r>
      <w:r w:rsidR="00D15DE1" w:rsidRPr="005A6964">
        <w:rPr>
          <w:rStyle w:val="FootnoteReference"/>
        </w:rPr>
        <w:footnoteReference w:id="47"/>
      </w:r>
      <w:r w:rsidR="000622A9" w:rsidRPr="005A6964">
        <w:t>)</w:t>
      </w:r>
      <w:r w:rsidR="00D76993" w:rsidRPr="005A6964">
        <w:t xml:space="preserve"> As set forth </w:t>
      </w:r>
      <w:r w:rsidR="005752A7" w:rsidRPr="005A6964">
        <w:t>below</w:t>
      </w:r>
      <w:r w:rsidR="00D76993" w:rsidRPr="005A6964">
        <w:t>, the vast majority of FirstEnergy’s touted benefits are fundamentally flawed</w:t>
      </w:r>
      <w:r w:rsidR="000622A9" w:rsidRPr="005A6964">
        <w:t xml:space="preserve">. </w:t>
      </w:r>
      <w:r w:rsidR="00D76993" w:rsidRPr="005A6964">
        <w:t xml:space="preserve"> </w:t>
      </w:r>
      <w:r w:rsidR="000622A9" w:rsidRPr="005A6964">
        <w:t>A</w:t>
      </w:r>
      <w:r w:rsidR="00D76993" w:rsidRPr="005A6964">
        <w:t xml:space="preserve">nd the quantitative calculation shows </w:t>
      </w:r>
      <w:r w:rsidR="00444673" w:rsidRPr="005A6964">
        <w:t>that customers pay $</w:t>
      </w:r>
      <w:r w:rsidR="00C20F9B" w:rsidRPr="005A6964">
        <w:t>2.9 billion</w:t>
      </w:r>
      <w:r w:rsidR="00444673" w:rsidRPr="005A6964">
        <w:t xml:space="preserve"> more under the ESP than they would pay under an MRO.</w:t>
      </w:r>
      <w:r w:rsidR="00D76993" w:rsidRPr="005A6964">
        <w:t>.</w:t>
      </w:r>
      <w:r w:rsidR="00D76993" w:rsidRPr="005A6964">
        <w:rPr>
          <w:rStyle w:val="FootnoteReference"/>
        </w:rPr>
        <w:footnoteReference w:id="48"/>
      </w:r>
      <w:r w:rsidR="00D76993" w:rsidRPr="005A6964">
        <w:t xml:space="preserve"> FirstEnergy has not met its burden of proof</w:t>
      </w:r>
      <w:r w:rsidR="00444673" w:rsidRPr="005A6964">
        <w:t>. I</w:t>
      </w:r>
      <w:r w:rsidR="00D76993" w:rsidRPr="005A6964">
        <w:t xml:space="preserve">n fact, the record </w:t>
      </w:r>
      <w:r w:rsidR="005752A7" w:rsidRPr="005A6964">
        <w:t>shows th</w:t>
      </w:r>
      <w:r w:rsidR="00D76993" w:rsidRPr="005A6964">
        <w:t xml:space="preserve">at </w:t>
      </w:r>
      <w:r w:rsidR="005752A7" w:rsidRPr="005A6964">
        <w:t>the Stipulated ESP i</w:t>
      </w:r>
      <w:r w:rsidR="00D76993" w:rsidRPr="005A6964">
        <w:t xml:space="preserve">s fundamentally flawed and should be rejected by the PUCO. </w:t>
      </w:r>
    </w:p>
    <w:p w:rsidR="002B7632" w:rsidRPr="005A6964" w:rsidRDefault="002B7632" w:rsidP="00940F88">
      <w:pPr>
        <w:pStyle w:val="Heading4"/>
      </w:pPr>
      <w:bookmarkStart w:id="18" w:name="_Toc444269004"/>
      <w:r w:rsidRPr="005A6964">
        <w:t>b.</w:t>
      </w:r>
      <w:r w:rsidRPr="005A6964">
        <w:tab/>
        <w:t xml:space="preserve">Adopting FirstEnergy's electric security plan will not result in rates that are just and reasonable </w:t>
      </w:r>
      <w:r w:rsidR="001B3385" w:rsidRPr="005A6964">
        <w:t xml:space="preserve">for customers consistent with </w:t>
      </w:r>
      <w:r w:rsidRPr="005A6964">
        <w:t>R.C. 4905.22.</w:t>
      </w:r>
      <w:bookmarkEnd w:id="18"/>
      <w:r w:rsidRPr="005A6964">
        <w:t xml:space="preserve"> </w:t>
      </w:r>
    </w:p>
    <w:p w:rsidR="002B7632" w:rsidRPr="005A6964" w:rsidRDefault="002B7632" w:rsidP="00B52D9B">
      <w:pPr>
        <w:autoSpaceDE w:val="0"/>
        <w:autoSpaceDN w:val="0"/>
        <w:adjustRightInd w:val="0"/>
        <w:spacing w:after="0" w:line="480" w:lineRule="auto"/>
        <w:ind w:firstLine="720"/>
        <w:rPr>
          <w:rFonts w:cs="Times New Roman"/>
          <w:szCs w:val="24"/>
        </w:rPr>
      </w:pPr>
      <w:r w:rsidRPr="005A6964">
        <w:rPr>
          <w:rFonts w:cs="Times New Roman"/>
          <w:szCs w:val="24"/>
        </w:rPr>
        <w:t xml:space="preserve">FirstEnergy’s electric security plan </w:t>
      </w:r>
      <w:r w:rsidR="000622A9" w:rsidRPr="005A6964">
        <w:rPr>
          <w:rFonts w:cs="Times New Roman"/>
          <w:szCs w:val="24"/>
        </w:rPr>
        <w:t xml:space="preserve">cannot be approved unless it </w:t>
      </w:r>
      <w:r w:rsidRPr="005A6964">
        <w:rPr>
          <w:rFonts w:cs="Times New Roman"/>
          <w:szCs w:val="24"/>
        </w:rPr>
        <w:t>result</w:t>
      </w:r>
      <w:r w:rsidR="000622A9" w:rsidRPr="005A6964">
        <w:rPr>
          <w:rFonts w:cs="Times New Roman"/>
          <w:szCs w:val="24"/>
        </w:rPr>
        <w:t>s</w:t>
      </w:r>
      <w:r w:rsidRPr="005A6964">
        <w:rPr>
          <w:rFonts w:cs="Times New Roman"/>
          <w:szCs w:val="24"/>
        </w:rPr>
        <w:t xml:space="preserve"> in rates that are just and reasonable under R.C.</w:t>
      </w:r>
      <w:r w:rsidR="001B3385" w:rsidRPr="005A6964">
        <w:rPr>
          <w:rFonts w:cs="Times New Roman"/>
          <w:szCs w:val="24"/>
        </w:rPr>
        <w:t xml:space="preserve"> </w:t>
      </w:r>
      <w:r w:rsidRPr="005A6964">
        <w:rPr>
          <w:rFonts w:cs="Times New Roman"/>
          <w:szCs w:val="24"/>
        </w:rPr>
        <w:t>4905.22.</w:t>
      </w:r>
      <w:r w:rsidRPr="005A6964">
        <w:rPr>
          <w:rStyle w:val="FootnoteReference"/>
          <w:rFonts w:cs="Times New Roman"/>
          <w:szCs w:val="24"/>
        </w:rPr>
        <w:footnoteReference w:id="49"/>
      </w:r>
      <w:r w:rsidRPr="005A6964">
        <w:rPr>
          <w:rFonts w:cs="Times New Roman"/>
          <w:szCs w:val="24"/>
        </w:rPr>
        <w:t xml:space="preserve">  OCC/NOAC demonstrated how</w:t>
      </w:r>
      <w:r w:rsidRPr="005A6964">
        <w:rPr>
          <w:rStyle w:val="FootnoteReference"/>
          <w:rFonts w:cs="Times New Roman"/>
          <w:szCs w:val="24"/>
        </w:rPr>
        <w:footnoteReference w:id="50"/>
      </w:r>
      <w:r w:rsidRPr="005A6964">
        <w:rPr>
          <w:rFonts w:cs="Times New Roman"/>
          <w:szCs w:val="24"/>
        </w:rPr>
        <w:t xml:space="preserve"> grid modernization,</w:t>
      </w:r>
      <w:r w:rsidRPr="005A6964">
        <w:rPr>
          <w:rStyle w:val="FootnoteReference"/>
          <w:rFonts w:cs="Times New Roman"/>
          <w:szCs w:val="24"/>
        </w:rPr>
        <w:footnoteReference w:id="51"/>
      </w:r>
      <w:r w:rsidRPr="005A6964">
        <w:rPr>
          <w:rFonts w:cs="Times New Roman"/>
          <w:szCs w:val="24"/>
        </w:rPr>
        <w:t xml:space="preserve"> Rider GDR,</w:t>
      </w:r>
      <w:r w:rsidRPr="005A6964">
        <w:rPr>
          <w:rStyle w:val="FootnoteReference"/>
          <w:rFonts w:cs="Times New Roman"/>
          <w:szCs w:val="24"/>
        </w:rPr>
        <w:footnoteReference w:id="52"/>
      </w:r>
      <w:r w:rsidRPr="005A6964">
        <w:rPr>
          <w:rFonts w:cs="Times New Roman"/>
          <w:szCs w:val="24"/>
        </w:rPr>
        <w:t xml:space="preserve"> </w:t>
      </w:r>
      <w:r w:rsidR="00802BBE" w:rsidRPr="005A6964">
        <w:rPr>
          <w:rFonts w:cs="Times New Roman"/>
          <w:szCs w:val="24"/>
        </w:rPr>
        <w:t>Ri</w:t>
      </w:r>
      <w:r w:rsidRPr="005A6964">
        <w:rPr>
          <w:rFonts w:cs="Times New Roman"/>
          <w:szCs w:val="24"/>
        </w:rPr>
        <w:t>der DCR,</w:t>
      </w:r>
      <w:r w:rsidRPr="005A6964">
        <w:rPr>
          <w:rStyle w:val="FootnoteReference"/>
          <w:rFonts w:cs="Times New Roman"/>
          <w:szCs w:val="24"/>
        </w:rPr>
        <w:footnoteReference w:id="53"/>
      </w:r>
      <w:r w:rsidRPr="005A6964">
        <w:rPr>
          <w:rFonts w:cs="Times New Roman"/>
          <w:szCs w:val="24"/>
        </w:rPr>
        <w:t xml:space="preserve"> the transition to a SFV rate design,</w:t>
      </w:r>
      <w:r w:rsidRPr="005A6964">
        <w:rPr>
          <w:rStyle w:val="FootnoteReference"/>
          <w:rFonts w:cs="Times New Roman"/>
          <w:szCs w:val="24"/>
        </w:rPr>
        <w:footnoteReference w:id="54"/>
      </w:r>
      <w:r w:rsidRPr="005A6964">
        <w:rPr>
          <w:rFonts w:cs="Times New Roman"/>
          <w:szCs w:val="24"/>
        </w:rPr>
        <w:t xml:space="preserve"> and certain cash and cash equivalents provided to signatory parties as inducement for settling the case</w:t>
      </w:r>
      <w:r w:rsidR="005752A7" w:rsidRPr="005A6964">
        <w:rPr>
          <w:rFonts w:cs="Times New Roman"/>
          <w:szCs w:val="24"/>
        </w:rPr>
        <w:t>,</w:t>
      </w:r>
      <w:r w:rsidR="006770EC" w:rsidRPr="005A6964">
        <w:rPr>
          <w:rFonts w:cs="Times New Roman"/>
          <w:szCs w:val="24"/>
        </w:rPr>
        <w:t xml:space="preserve"> will not result in rates that are just and reasonable</w:t>
      </w:r>
      <w:r w:rsidRPr="005A6964">
        <w:rPr>
          <w:rFonts w:cs="Times New Roman"/>
          <w:szCs w:val="24"/>
        </w:rPr>
        <w:t>.</w:t>
      </w:r>
      <w:r w:rsidRPr="005A6964">
        <w:rPr>
          <w:rStyle w:val="FootnoteReference"/>
          <w:rFonts w:cs="Times New Roman"/>
          <w:szCs w:val="24"/>
        </w:rPr>
        <w:footnoteReference w:id="55"/>
      </w:r>
      <w:r w:rsidRPr="005A6964">
        <w:rPr>
          <w:rFonts w:cs="Times New Roman"/>
          <w:szCs w:val="24"/>
        </w:rPr>
        <w:t xml:space="preserve">  </w:t>
      </w:r>
    </w:p>
    <w:p w:rsidR="002B7632" w:rsidRPr="005A6964" w:rsidRDefault="002B7632" w:rsidP="002C5E9D">
      <w:pPr>
        <w:autoSpaceDE w:val="0"/>
        <w:autoSpaceDN w:val="0"/>
        <w:adjustRightInd w:val="0"/>
        <w:spacing w:after="0" w:line="480" w:lineRule="auto"/>
        <w:ind w:firstLine="720"/>
        <w:rPr>
          <w:rFonts w:cs="Times New Roman"/>
          <w:szCs w:val="24"/>
        </w:rPr>
      </w:pPr>
      <w:r w:rsidRPr="005A6964">
        <w:rPr>
          <w:rFonts w:cs="Times New Roman"/>
          <w:szCs w:val="24"/>
        </w:rPr>
        <w:t>P3 an</w:t>
      </w:r>
      <w:r w:rsidR="00037F6E" w:rsidRPr="005A6964">
        <w:rPr>
          <w:rFonts w:cs="Times New Roman"/>
          <w:szCs w:val="24"/>
        </w:rPr>
        <w:t>d</w:t>
      </w:r>
      <w:r w:rsidRPr="005A6964">
        <w:rPr>
          <w:rFonts w:cs="Times New Roman"/>
          <w:szCs w:val="24"/>
        </w:rPr>
        <w:t xml:space="preserve"> EPSA </w:t>
      </w:r>
      <w:r w:rsidR="001B3385" w:rsidRPr="005A6964">
        <w:rPr>
          <w:rFonts w:cs="Times New Roman"/>
          <w:szCs w:val="24"/>
        </w:rPr>
        <w:t>also make this argument, pointing out  because  Rider RRS  unreasonably transfers  market risks to customers and is unlimited, R.C. 4905.22 is violated</w:t>
      </w:r>
      <w:r w:rsidR="000622A9" w:rsidRPr="005A6964">
        <w:rPr>
          <w:rFonts w:cs="Times New Roman"/>
          <w:szCs w:val="24"/>
        </w:rPr>
        <w:t>.</w:t>
      </w:r>
      <w:r w:rsidRPr="005A6964">
        <w:rPr>
          <w:rStyle w:val="FootnoteReference"/>
          <w:rFonts w:cs="Times New Roman"/>
          <w:szCs w:val="24"/>
        </w:rPr>
        <w:footnoteReference w:id="56"/>
      </w:r>
    </w:p>
    <w:p w:rsidR="002B7632" w:rsidRPr="005A6964" w:rsidRDefault="001B3385" w:rsidP="002B7632">
      <w:pPr>
        <w:spacing w:after="0" w:line="480" w:lineRule="auto"/>
        <w:ind w:firstLine="720"/>
        <w:rPr>
          <w:rFonts w:cs="Times New Roman"/>
          <w:szCs w:val="24"/>
        </w:rPr>
      </w:pPr>
      <w:r w:rsidRPr="005A6964">
        <w:rPr>
          <w:rFonts w:cs="Times New Roman"/>
          <w:szCs w:val="24"/>
        </w:rPr>
        <w:t xml:space="preserve">We agree.  </w:t>
      </w:r>
      <w:r w:rsidR="002B7632" w:rsidRPr="005A6964">
        <w:rPr>
          <w:rFonts w:cs="Times New Roman"/>
          <w:szCs w:val="24"/>
        </w:rPr>
        <w:t xml:space="preserve">R.C. 4905.22 requires that every public utility furnish necessary and adequate service and facilities, and that all charges for any service must be just and reasonable.  In this case, there are </w:t>
      </w:r>
      <w:r w:rsidR="000A2CDB" w:rsidRPr="005A6964">
        <w:rPr>
          <w:rFonts w:cs="Times New Roman"/>
          <w:szCs w:val="24"/>
        </w:rPr>
        <w:t xml:space="preserve">many </w:t>
      </w:r>
      <w:r w:rsidR="002B7632" w:rsidRPr="005A6964">
        <w:rPr>
          <w:rFonts w:cs="Times New Roman"/>
          <w:szCs w:val="24"/>
        </w:rPr>
        <w:t xml:space="preserve"> provisions that </w:t>
      </w:r>
      <w:r w:rsidR="000622A9" w:rsidRPr="005A6964">
        <w:rPr>
          <w:rFonts w:cs="Times New Roman"/>
          <w:szCs w:val="24"/>
        </w:rPr>
        <w:t>would</w:t>
      </w:r>
      <w:r w:rsidR="000A2CDB" w:rsidRPr="005A6964">
        <w:rPr>
          <w:rFonts w:cs="Times New Roman"/>
          <w:szCs w:val="24"/>
        </w:rPr>
        <w:t xml:space="preserve"> impose costs on customers.  And while there are estimates for some of these costs, there are many costs that FirstEnergy has no estimate for.  The potential costs to customers are unlimited as P3 and EPSA acknowledge.  And a great majority of ESP costs that customers </w:t>
      </w:r>
      <w:r w:rsidR="000622A9" w:rsidRPr="005A6964">
        <w:rPr>
          <w:rFonts w:cs="Times New Roman"/>
          <w:szCs w:val="24"/>
        </w:rPr>
        <w:t>would</w:t>
      </w:r>
      <w:r w:rsidR="000A2CDB" w:rsidRPr="005A6964">
        <w:rPr>
          <w:rFonts w:cs="Times New Roman"/>
          <w:szCs w:val="24"/>
        </w:rPr>
        <w:t xml:space="preserve"> pay under the stipulated ESP </w:t>
      </w:r>
      <w:r w:rsidR="002B7632" w:rsidRPr="005A6964">
        <w:rPr>
          <w:rFonts w:cs="Times New Roman"/>
          <w:szCs w:val="24"/>
        </w:rPr>
        <w:t>won’t be known until some future time and some future proceeding</w:t>
      </w:r>
      <w:r w:rsidR="005752A7" w:rsidRPr="005A6964">
        <w:rPr>
          <w:rFonts w:cs="Times New Roman"/>
          <w:szCs w:val="24"/>
        </w:rPr>
        <w:t>.</w:t>
      </w:r>
      <w:r w:rsidR="000A2CDB" w:rsidRPr="005A6964">
        <w:rPr>
          <w:rStyle w:val="FootnoteReference"/>
          <w:rFonts w:cs="Times New Roman"/>
          <w:szCs w:val="24"/>
        </w:rPr>
        <w:footnoteReference w:id="57"/>
      </w:r>
      <w:r w:rsidR="002B7632" w:rsidRPr="005A6964">
        <w:rPr>
          <w:rFonts w:cs="Times New Roman"/>
          <w:szCs w:val="24"/>
        </w:rPr>
        <w:t xml:space="preserve">  </w:t>
      </w:r>
      <w:r w:rsidR="000A2CDB" w:rsidRPr="005A6964">
        <w:rPr>
          <w:rFonts w:cs="Times New Roman"/>
          <w:szCs w:val="24"/>
        </w:rPr>
        <w:t xml:space="preserve">With no ability </w:t>
      </w:r>
      <w:r w:rsidR="002B7632" w:rsidRPr="005A6964">
        <w:rPr>
          <w:rFonts w:cs="Times New Roman"/>
          <w:szCs w:val="24"/>
        </w:rPr>
        <w:t xml:space="preserve">for the PUCO to assess the justness </w:t>
      </w:r>
      <w:r w:rsidR="00802BBE" w:rsidRPr="005A6964">
        <w:rPr>
          <w:rFonts w:cs="Times New Roman"/>
          <w:szCs w:val="24"/>
        </w:rPr>
        <w:t xml:space="preserve">and/or </w:t>
      </w:r>
      <w:r w:rsidR="002B7632" w:rsidRPr="005A6964">
        <w:rPr>
          <w:rFonts w:cs="Times New Roman"/>
          <w:szCs w:val="24"/>
        </w:rPr>
        <w:t>reasonableness of FirstEnergy’s ESP proposal</w:t>
      </w:r>
      <w:r w:rsidR="000A2CDB" w:rsidRPr="005A6964">
        <w:rPr>
          <w:rFonts w:cs="Times New Roman"/>
          <w:szCs w:val="24"/>
        </w:rPr>
        <w:t xml:space="preserve">, the PUCO cannot find that  R.C. 4905.22 is met and customers </w:t>
      </w:r>
      <w:r w:rsidR="00A22284" w:rsidRPr="005A6964">
        <w:rPr>
          <w:rFonts w:cs="Times New Roman"/>
          <w:szCs w:val="24"/>
        </w:rPr>
        <w:t xml:space="preserve">cannot be </w:t>
      </w:r>
      <w:r w:rsidR="000A2CDB" w:rsidRPr="005A6964">
        <w:rPr>
          <w:rFonts w:cs="Times New Roman"/>
          <w:szCs w:val="24"/>
        </w:rPr>
        <w:t>assured of just and reasonable rates during the eight</w:t>
      </w:r>
      <w:r w:rsidR="000622A9" w:rsidRPr="005A6964">
        <w:rPr>
          <w:rFonts w:cs="Times New Roman"/>
          <w:szCs w:val="24"/>
        </w:rPr>
        <w:t>-</w:t>
      </w:r>
      <w:r w:rsidR="000A2CDB" w:rsidRPr="005A6964">
        <w:rPr>
          <w:rFonts w:cs="Times New Roman"/>
          <w:szCs w:val="24"/>
        </w:rPr>
        <w:t xml:space="preserve">year ESP term.  </w:t>
      </w:r>
      <w:r w:rsidR="002B7632" w:rsidRPr="005A6964">
        <w:rPr>
          <w:rFonts w:cs="Times New Roman"/>
          <w:szCs w:val="24"/>
        </w:rPr>
        <w:t xml:space="preserve"> </w:t>
      </w:r>
    </w:p>
    <w:p w:rsidR="00D76993" w:rsidRPr="005A6964" w:rsidRDefault="00D76993" w:rsidP="00896CEC">
      <w:pPr>
        <w:pStyle w:val="Heading4"/>
      </w:pPr>
      <w:bookmarkStart w:id="19" w:name="_Toc444269005"/>
      <w:r w:rsidRPr="005A6964">
        <w:t>c.</w:t>
      </w:r>
      <w:r w:rsidRPr="005A6964">
        <w:tab/>
        <w:t xml:space="preserve">FirstEnergy's electric security plan is not more favorable in the aggregate </w:t>
      </w:r>
      <w:r w:rsidR="000A2CDB" w:rsidRPr="005A6964">
        <w:t xml:space="preserve">to customers when compared to a </w:t>
      </w:r>
      <w:r w:rsidRPr="005A6964">
        <w:t>market rate offer</w:t>
      </w:r>
      <w:r w:rsidR="000A2CDB" w:rsidRPr="005A6964">
        <w:t>.</w:t>
      </w:r>
      <w:bookmarkEnd w:id="19"/>
      <w:r w:rsidRPr="005A6964">
        <w:t xml:space="preserve"> </w:t>
      </w:r>
    </w:p>
    <w:p w:rsidR="000A2CDB" w:rsidRPr="005A6964" w:rsidRDefault="00D76993" w:rsidP="00D76993">
      <w:pPr>
        <w:spacing w:after="0" w:line="480" w:lineRule="auto"/>
        <w:ind w:firstLine="720"/>
      </w:pPr>
      <w:r w:rsidRPr="005A6964">
        <w:t>FirstEnergy claim</w:t>
      </w:r>
      <w:r w:rsidR="000A2CDB" w:rsidRPr="005A6964">
        <w:t>s</w:t>
      </w:r>
      <w:r w:rsidRPr="005A6964">
        <w:t xml:space="preserve"> that the results of the Stipulat</w:t>
      </w:r>
      <w:r w:rsidR="005752A7" w:rsidRPr="005A6964">
        <w:t>ed</w:t>
      </w:r>
      <w:r w:rsidRPr="005A6964">
        <w:t xml:space="preserve"> ESP result in a plan that is more favorable in the aggregate than a Market Rate Offer (“MRO”)</w:t>
      </w:r>
      <w:r w:rsidR="000A2CDB" w:rsidRPr="005A6964">
        <w:t>.</w:t>
      </w:r>
      <w:r w:rsidR="000A2CDB" w:rsidRPr="005A6964">
        <w:rPr>
          <w:rStyle w:val="FootnoteReference"/>
        </w:rPr>
        <w:footnoteReference w:id="58"/>
      </w:r>
      <w:r w:rsidRPr="005A6964">
        <w:t xml:space="preserve"> </w:t>
      </w:r>
      <w:r w:rsidR="000A2CDB" w:rsidRPr="005A6964">
        <w:t>But</w:t>
      </w:r>
      <w:r w:rsidRPr="005A6964">
        <w:t xml:space="preserve"> this is contradicted by the weight of the evidence. </w:t>
      </w:r>
    </w:p>
    <w:p w:rsidR="00D90DEB" w:rsidRPr="005A6964" w:rsidRDefault="000A2CDB" w:rsidP="00D90DEB">
      <w:pPr>
        <w:spacing w:after="0" w:line="480" w:lineRule="auto"/>
        <w:ind w:firstLine="720"/>
      </w:pPr>
      <w:r w:rsidRPr="005A6964">
        <w:t>As OCC/NOAC explained in their Initial Brief,</w:t>
      </w:r>
      <w:r w:rsidRPr="005A6964">
        <w:rPr>
          <w:rStyle w:val="FootnoteReference"/>
        </w:rPr>
        <w:footnoteReference w:id="59"/>
      </w:r>
      <w:r w:rsidR="00D76993" w:rsidRPr="005A6964">
        <w:t xml:space="preserve"> the MRO is more favorable in the aggregate than the </w:t>
      </w:r>
      <w:r w:rsidRPr="005A6964">
        <w:t xml:space="preserve">stipulated </w:t>
      </w:r>
      <w:r w:rsidR="00D76993" w:rsidRPr="005A6964">
        <w:t>ESP</w:t>
      </w:r>
      <w:r w:rsidR="005752A7" w:rsidRPr="005A6964">
        <w:t>.</w:t>
      </w:r>
      <w:r w:rsidR="00D90DEB" w:rsidRPr="005A6964">
        <w:t xml:space="preserve"> The PUCO should reject FirstEnergy’s stipulated ESP IV because it </w:t>
      </w:r>
      <w:r w:rsidR="00A22284" w:rsidRPr="005A6964">
        <w:t>is</w:t>
      </w:r>
      <w:r w:rsidR="00D90DEB" w:rsidRPr="005A6964">
        <w:t xml:space="preserve"> not more favorable in the aggregate to customers than an MRO.  FirstEnergy should be required, instead to file an MRO. </w:t>
      </w:r>
    </w:p>
    <w:p w:rsidR="00D90DEB" w:rsidRPr="005A6964" w:rsidRDefault="000A2CDB" w:rsidP="00D90DEB">
      <w:pPr>
        <w:spacing w:after="0" w:line="480" w:lineRule="auto"/>
        <w:ind w:firstLine="720"/>
      </w:pPr>
      <w:r w:rsidRPr="005A6964">
        <w:t>Fi</w:t>
      </w:r>
      <w:r w:rsidR="00D76993" w:rsidRPr="005A6964">
        <w:t>rstEnergy’s evaluation of the ESP versus MRO test is inherently flawed</w:t>
      </w:r>
      <w:r w:rsidRPr="005A6964">
        <w:t>.</w:t>
      </w:r>
      <w:r w:rsidR="00D76993" w:rsidRPr="005A6964">
        <w:t xml:space="preserve"> </w:t>
      </w:r>
      <w:r w:rsidR="00A665D9" w:rsidRPr="005A6964">
        <w:t>I</w:t>
      </w:r>
      <w:r w:rsidR="00D76993" w:rsidRPr="005A6964">
        <w:t>t places a</w:t>
      </w:r>
      <w:r w:rsidR="00A22284" w:rsidRPr="005A6964">
        <w:t>n</w:t>
      </w:r>
      <w:r w:rsidR="00D76993" w:rsidRPr="005A6964">
        <w:t xml:space="preserve"> </w:t>
      </w:r>
      <w:r w:rsidRPr="005A6964">
        <w:t>undue</w:t>
      </w:r>
      <w:r w:rsidR="00D76993" w:rsidRPr="005A6964">
        <w:t xml:space="preserve"> emphasis on the qualitative </w:t>
      </w:r>
      <w:r w:rsidRPr="005A6964">
        <w:t>benefits</w:t>
      </w:r>
      <w:r w:rsidR="00D90DEB" w:rsidRPr="005A6964">
        <w:t xml:space="preserve">, </w:t>
      </w:r>
      <w:r w:rsidR="002455E6" w:rsidRPr="005A6964">
        <w:t xml:space="preserve"> and minimizes</w:t>
      </w:r>
      <w:r w:rsidR="00D90DEB" w:rsidRPr="005A6964">
        <w:t xml:space="preserve"> </w:t>
      </w:r>
      <w:r w:rsidR="00D76993" w:rsidRPr="005A6964">
        <w:t>the quantitative aspect of the analysis.</w:t>
      </w:r>
      <w:r w:rsidR="00C20F9B" w:rsidRPr="005A6964">
        <w:rPr>
          <w:rStyle w:val="FootnoteReference"/>
        </w:rPr>
        <w:footnoteReference w:id="60"/>
      </w:r>
      <w:r w:rsidR="00D76993" w:rsidRPr="005A6964">
        <w:t xml:space="preserve"> </w:t>
      </w:r>
      <w:r w:rsidR="00D90DEB" w:rsidRPr="005A6964">
        <w:t>FirstEnergy gives a great deal of weight to a number of qualitative factors and claims that these qualitative benefits should be included in the analysis.</w:t>
      </w:r>
      <w:r w:rsidR="00D90DEB" w:rsidRPr="005A6964">
        <w:rPr>
          <w:rStyle w:val="FootnoteReference"/>
        </w:rPr>
        <w:footnoteReference w:id="61"/>
      </w:r>
      <w:r w:rsidR="00D90DEB" w:rsidRPr="005A6964">
        <w:t xml:space="preserve"> However, the statute only includes nine “categories of cost recovery.”</w:t>
      </w:r>
      <w:r w:rsidR="00D90DEB" w:rsidRPr="005A6964">
        <w:rPr>
          <w:rStyle w:val="FootnoteReference"/>
        </w:rPr>
        <w:footnoteReference w:id="62"/>
      </w:r>
      <w:r w:rsidR="00D90DEB" w:rsidRPr="005A6964">
        <w:t xml:space="preserve"> These “categories of cost recovery” do not include qualitative factors. Under the statute and the precedents established by the Ohio Supreme Court, the comparison between an ESP and an MRO must be on an “aggregate” basis</w:t>
      </w:r>
      <w:r w:rsidR="00D90DEB" w:rsidRPr="005A6964">
        <w:rPr>
          <w:rStyle w:val="FootnoteReference"/>
        </w:rPr>
        <w:footnoteReference w:id="63"/>
      </w:r>
      <w:r w:rsidR="00D90DEB" w:rsidRPr="005A6964">
        <w:t xml:space="preserve"> and be a straight calculation of costs, a simple quantitative analysis. </w:t>
      </w:r>
    </w:p>
    <w:p w:rsidR="00D90DEB" w:rsidRPr="005A6964" w:rsidRDefault="00D90DEB" w:rsidP="00D90DEB">
      <w:pPr>
        <w:spacing w:after="0" w:line="480" w:lineRule="auto"/>
        <w:ind w:firstLine="720"/>
      </w:pPr>
      <w:r w:rsidRPr="005A6964">
        <w:t xml:space="preserve">Assuming the PUCO can consider the qualitative benefits, which OCC/NOAC dispute, the PUCO should not rely on FirstEnergy's analysis. </w:t>
      </w:r>
      <w:r w:rsidR="00A665D9" w:rsidRPr="005A6964">
        <w:t xml:space="preserve">FirstEnergy’s </w:t>
      </w:r>
      <w:r w:rsidRPr="005A6964">
        <w:t xml:space="preserve">qualitative analysis is </w:t>
      </w:r>
      <w:r w:rsidR="00D76993" w:rsidRPr="005A6964">
        <w:t xml:space="preserve">flawed </w:t>
      </w:r>
      <w:r w:rsidRPr="005A6964">
        <w:t xml:space="preserve">because it wrongly gives FirstEnergy credit for benefits that </w:t>
      </w:r>
      <w:r w:rsidR="00D76993" w:rsidRPr="005A6964">
        <w:t xml:space="preserve">are in fact harmful to customers. </w:t>
      </w:r>
      <w:r w:rsidRPr="005A6964">
        <w:t xml:space="preserve">The same can be said for FirstEnergy's </w:t>
      </w:r>
      <w:r w:rsidR="00212B56" w:rsidRPr="005A6964">
        <w:t>flawed</w:t>
      </w:r>
      <w:r w:rsidRPr="005A6964">
        <w:t xml:space="preserve"> quantitative analysis:  </w:t>
      </w:r>
      <w:r w:rsidR="00D76993" w:rsidRPr="005A6964">
        <w:t xml:space="preserve">FirstEnergy is attempting to spin certain harmful provisions as </w:t>
      </w:r>
      <w:r w:rsidRPr="005A6964">
        <w:t xml:space="preserve">customer </w:t>
      </w:r>
      <w:r w:rsidR="00D76993" w:rsidRPr="005A6964">
        <w:t>benefits</w:t>
      </w:r>
      <w:r w:rsidRPr="005A6964">
        <w:t xml:space="preserve">.  The </w:t>
      </w:r>
      <w:r w:rsidR="00A665D9" w:rsidRPr="005A6964">
        <w:t>PUCO</w:t>
      </w:r>
      <w:r w:rsidRPr="005A6964">
        <w:t xml:space="preserve"> should not be fooled.  </w:t>
      </w:r>
      <w:r w:rsidR="00D76993" w:rsidRPr="005A6964">
        <w:t xml:space="preserve"> </w:t>
      </w:r>
    </w:p>
    <w:p w:rsidR="00D76993" w:rsidRPr="005A6964" w:rsidRDefault="00D76993" w:rsidP="00D76993">
      <w:pPr>
        <w:spacing w:after="0" w:line="480" w:lineRule="auto"/>
        <w:ind w:firstLine="720"/>
      </w:pPr>
      <w:r w:rsidRPr="005A6964">
        <w:t xml:space="preserve">The PUCO should conduct a </w:t>
      </w:r>
      <w:r w:rsidR="000B35CD" w:rsidRPr="005A6964">
        <w:t>purely</w:t>
      </w:r>
      <w:r w:rsidRPr="005A6964">
        <w:t xml:space="preserve"> quantitative </w:t>
      </w:r>
      <w:r w:rsidR="000B35CD" w:rsidRPr="005A6964">
        <w:t xml:space="preserve">analysis of the </w:t>
      </w:r>
      <w:r w:rsidRPr="005A6964">
        <w:t>benefits of the ESP versus an MRO</w:t>
      </w:r>
      <w:r w:rsidR="00212B56" w:rsidRPr="005A6964">
        <w:t xml:space="preserve"> relying on analysis independent of FirstEnergy</w:t>
      </w:r>
      <w:r w:rsidR="00260D18" w:rsidRPr="005A6964">
        <w:t>’s numbers</w:t>
      </w:r>
      <w:r w:rsidRPr="005A6964">
        <w:t xml:space="preserve">. Under such an analysis, it is </w:t>
      </w:r>
      <w:r w:rsidR="00260D18" w:rsidRPr="005A6964">
        <w:t>evident</w:t>
      </w:r>
      <w:r w:rsidRPr="005A6964">
        <w:t xml:space="preserve"> that the ESP versus MRO test does not provide sufficient benefits and is quantitatively more costly to consumers</w:t>
      </w:r>
      <w:r w:rsidR="00E93448" w:rsidRPr="005A6964">
        <w:t>.</w:t>
      </w:r>
      <w:r w:rsidRPr="005A6964">
        <w:rPr>
          <w:rStyle w:val="FootnoteReference"/>
        </w:rPr>
        <w:footnoteReference w:id="64"/>
      </w:r>
      <w:r w:rsidRPr="005A6964">
        <w:t xml:space="preserve"> </w:t>
      </w:r>
      <w:r w:rsidR="00E93448" w:rsidRPr="005A6964">
        <w:t>T</w:t>
      </w:r>
      <w:r w:rsidRPr="005A6964">
        <w:t>herefore</w:t>
      </w:r>
      <w:r w:rsidR="00E93448" w:rsidRPr="005A6964">
        <w:t>,</w:t>
      </w:r>
      <w:r w:rsidRPr="005A6964">
        <w:t xml:space="preserve"> the PUCO should require the </w:t>
      </w:r>
      <w:r w:rsidR="005752A7" w:rsidRPr="005A6964">
        <w:t>U</w:t>
      </w:r>
      <w:r w:rsidRPr="005A6964">
        <w:t>tilities to adopt an MRO.</w:t>
      </w:r>
    </w:p>
    <w:p w:rsidR="00D76993" w:rsidRPr="005A6964" w:rsidRDefault="00D76993" w:rsidP="00B30CAE">
      <w:pPr>
        <w:pStyle w:val="Heading5"/>
        <w:numPr>
          <w:ilvl w:val="0"/>
          <w:numId w:val="21"/>
        </w:numPr>
      </w:pPr>
      <w:bookmarkStart w:id="20" w:name="_Toc444269006"/>
      <w:r w:rsidRPr="005A6964">
        <w:t xml:space="preserve">First Energy overstates and exaggerates the </w:t>
      </w:r>
      <w:r w:rsidR="00802BBE" w:rsidRPr="005A6964">
        <w:t>q</w:t>
      </w:r>
      <w:r w:rsidRPr="005A6964">
        <w:t xml:space="preserve">uantitative </w:t>
      </w:r>
      <w:r w:rsidR="00802BBE" w:rsidRPr="005A6964">
        <w:t>b</w:t>
      </w:r>
      <w:r w:rsidRPr="005A6964">
        <w:t xml:space="preserve">enefits for </w:t>
      </w:r>
      <w:r w:rsidR="00802BBE" w:rsidRPr="005A6964">
        <w:t>c</w:t>
      </w:r>
      <w:r w:rsidRPr="005A6964">
        <w:t>ustomers of the ESP IV</w:t>
      </w:r>
      <w:r w:rsidR="00802BBE" w:rsidRPr="005A6964">
        <w:t>.</w:t>
      </w:r>
      <w:bookmarkEnd w:id="20"/>
    </w:p>
    <w:p w:rsidR="00D76993" w:rsidRPr="005A6964" w:rsidRDefault="00D76993" w:rsidP="00D76993">
      <w:pPr>
        <w:pStyle w:val="ListParagraph"/>
        <w:spacing w:after="0" w:line="480" w:lineRule="auto"/>
        <w:ind w:left="0" w:firstLine="720"/>
      </w:pPr>
      <w:r w:rsidRPr="005A6964">
        <w:t xml:space="preserve">FirstEnergy’s </w:t>
      </w:r>
      <w:r w:rsidR="00ED7D3A" w:rsidRPr="005A6964">
        <w:t>insufficient</w:t>
      </w:r>
      <w:r w:rsidRPr="005A6964">
        <w:t xml:space="preserve"> analysis of the quantitative benefits of the stipulated ESP are exaggerated</w:t>
      </w:r>
      <w:r w:rsidR="005752A7" w:rsidRPr="005A6964">
        <w:t>.</w:t>
      </w:r>
      <w:r w:rsidR="00D90DEB" w:rsidRPr="005A6964">
        <w:t xml:space="preserve">  They d</w:t>
      </w:r>
      <w:r w:rsidRPr="005A6964">
        <w:t xml:space="preserve">o not </w:t>
      </w:r>
      <w:r w:rsidR="00D90DEB" w:rsidRPr="005A6964">
        <w:t xml:space="preserve">account for the </w:t>
      </w:r>
      <w:r w:rsidRPr="005A6964">
        <w:t>harm that could befall customers if this ESP was adopted.</w:t>
      </w:r>
      <w:r w:rsidR="00260D18" w:rsidRPr="005A6964">
        <w:rPr>
          <w:rStyle w:val="FootnoteReference"/>
        </w:rPr>
        <w:footnoteReference w:id="65"/>
      </w:r>
      <w:r w:rsidRPr="005A6964">
        <w:t xml:space="preserve"> Furthermore, other quantitative benefits that have been claimed are simply thinly disguised detriments to customers</w:t>
      </w:r>
      <w:r w:rsidR="005752A7" w:rsidRPr="005A6964">
        <w:t>,</w:t>
      </w:r>
      <w:r w:rsidRPr="005A6964">
        <w:t xml:space="preserve"> like Rider DCR.</w:t>
      </w:r>
      <w:r w:rsidR="001D1CBF" w:rsidRPr="005A6964">
        <w:t xml:space="preserve"> </w:t>
      </w:r>
      <w:r w:rsidRPr="005A6964">
        <w:t xml:space="preserve"> </w:t>
      </w:r>
    </w:p>
    <w:p w:rsidR="00D76993" w:rsidRPr="005A6964" w:rsidRDefault="00D76993" w:rsidP="0083673C">
      <w:pPr>
        <w:pStyle w:val="Heading6"/>
      </w:pPr>
      <w:bookmarkStart w:id="21" w:name="_Toc444269007"/>
      <w:r w:rsidRPr="005A6964">
        <w:t>(a)</w:t>
      </w:r>
      <w:r w:rsidRPr="005A6964">
        <w:tab/>
        <w:t xml:space="preserve">FirstEnergy’s </w:t>
      </w:r>
      <w:r w:rsidR="00605D68" w:rsidRPr="005A6964">
        <w:t xml:space="preserve">Retail Rate Stability </w:t>
      </w:r>
      <w:r w:rsidRPr="005A6964">
        <w:t xml:space="preserve">Rider assessment is flawed and does not </w:t>
      </w:r>
      <w:r w:rsidR="005752A7" w:rsidRPr="005A6964">
        <w:t>assess</w:t>
      </w:r>
      <w:r w:rsidRPr="005A6964">
        <w:t xml:space="preserve"> the real harm</w:t>
      </w:r>
      <w:r w:rsidR="005752A7" w:rsidRPr="005A6964">
        <w:t xml:space="preserve"> </w:t>
      </w:r>
      <w:r w:rsidRPr="005A6964">
        <w:t>to customers.</w:t>
      </w:r>
      <w:bookmarkEnd w:id="21"/>
      <w:r w:rsidRPr="005A6964">
        <w:t xml:space="preserve"> </w:t>
      </w:r>
    </w:p>
    <w:p w:rsidR="00D76993" w:rsidRPr="005A6964" w:rsidRDefault="00D76993" w:rsidP="00D76993">
      <w:pPr>
        <w:spacing w:after="0" w:line="480" w:lineRule="auto"/>
        <w:ind w:firstLine="720"/>
      </w:pPr>
      <w:r w:rsidRPr="005A6964">
        <w:t xml:space="preserve">FirstEnergy uses witness Judah Rose’s </w:t>
      </w:r>
      <w:r w:rsidR="00802BBE" w:rsidRPr="005A6964">
        <w:t xml:space="preserve">energy forecast </w:t>
      </w:r>
      <w:r w:rsidRPr="005A6964">
        <w:t xml:space="preserve">numbers </w:t>
      </w:r>
      <w:r w:rsidR="00D15DE1" w:rsidRPr="005A6964">
        <w:t xml:space="preserve">as </w:t>
      </w:r>
      <w:r w:rsidR="000953F5" w:rsidRPr="005A6964">
        <w:t>inputs into the Rider RRS forecast used in the ESP versus MRO test.</w:t>
      </w:r>
      <w:r w:rsidR="000953F5" w:rsidRPr="005A6964" w:rsidDel="000953F5">
        <w:t xml:space="preserve"> </w:t>
      </w:r>
      <w:r w:rsidRPr="005A6964">
        <w:rPr>
          <w:rStyle w:val="FootnoteReference"/>
        </w:rPr>
        <w:footnoteReference w:id="66"/>
      </w:r>
      <w:r w:rsidR="00AB47C1" w:rsidRPr="005A6964">
        <w:t xml:space="preserve"> </w:t>
      </w:r>
      <w:r w:rsidR="00AC061D" w:rsidRPr="005A6964">
        <w:t>Y</w:t>
      </w:r>
      <w:r w:rsidR="00AB47C1" w:rsidRPr="005A6964">
        <w:t>et</w:t>
      </w:r>
      <w:r w:rsidR="00802BBE" w:rsidRPr="005A6964">
        <w:t xml:space="preserve"> </w:t>
      </w:r>
      <w:r w:rsidRPr="005A6964">
        <w:t xml:space="preserve">these numbers do not capture the </w:t>
      </w:r>
      <w:r w:rsidR="000B35CD" w:rsidRPr="005A6964">
        <w:t>totality of</w:t>
      </w:r>
      <w:r w:rsidRPr="005A6964">
        <w:t xml:space="preserve"> costs </w:t>
      </w:r>
      <w:r w:rsidR="000B35CD" w:rsidRPr="005A6964">
        <w:t xml:space="preserve">to be charged </w:t>
      </w:r>
      <w:r w:rsidRPr="005A6964">
        <w:t>to consumers</w:t>
      </w:r>
      <w:r w:rsidR="001D1CBF" w:rsidRPr="005A6964">
        <w:t xml:space="preserve"> under </w:t>
      </w:r>
      <w:r w:rsidRPr="005A6964">
        <w:t xml:space="preserve">Rider RRS. OCC/NOPEC witness Wilson’s </w:t>
      </w:r>
      <w:r w:rsidR="000B35CD" w:rsidRPr="005A6964">
        <w:t>projections</w:t>
      </w:r>
      <w:r w:rsidRPr="005A6964">
        <w:t xml:space="preserve"> provide a much </w:t>
      </w:r>
      <w:r w:rsidR="001D1CBF" w:rsidRPr="005A6964">
        <w:t xml:space="preserve">more realistic </w:t>
      </w:r>
      <w:r w:rsidRPr="005A6964">
        <w:t xml:space="preserve">assessment of the probable </w:t>
      </w:r>
      <w:r w:rsidR="005752A7" w:rsidRPr="005A6964">
        <w:t xml:space="preserve">costs to customers under </w:t>
      </w:r>
      <w:r w:rsidRPr="005A6964">
        <w:t>Rider RRS</w:t>
      </w:r>
      <w:r w:rsidR="001D1CBF" w:rsidRPr="005A6964">
        <w:t>.  They are based on the most recent data available, unlike witness Rose's stale pre-August 2014 projections</w:t>
      </w:r>
      <w:r w:rsidR="00CB68F4" w:rsidRPr="005A6964">
        <w:t xml:space="preserve">.  These </w:t>
      </w:r>
      <w:r w:rsidR="000953F5" w:rsidRPr="005A6964">
        <w:t xml:space="preserve">are </w:t>
      </w:r>
      <w:r w:rsidR="00CB68F4" w:rsidRPr="005A6964">
        <w:t>p</w:t>
      </w:r>
      <w:r w:rsidR="001D1CBF" w:rsidRPr="005A6964">
        <w:t>rojections the Utilities deliberately chose not to update.</w:t>
      </w:r>
      <w:r w:rsidRPr="005A6964">
        <w:t xml:space="preserve"> </w:t>
      </w:r>
    </w:p>
    <w:p w:rsidR="00D76993" w:rsidRPr="005A6964" w:rsidRDefault="00017FBD" w:rsidP="00017FBD">
      <w:pPr>
        <w:pStyle w:val="Heading7"/>
      </w:pPr>
      <w:bookmarkStart w:id="22" w:name="_Toc444269008"/>
      <w:r w:rsidRPr="005A6964">
        <w:t>(i)</w:t>
      </w:r>
      <w:r w:rsidR="00D76993" w:rsidRPr="005A6964">
        <w:tab/>
        <w:t xml:space="preserve">OCC/NOPEC witness Wilson provides a </w:t>
      </w:r>
      <w:r w:rsidR="001D1CBF" w:rsidRPr="005A6964">
        <w:t xml:space="preserve">more realistic </w:t>
      </w:r>
      <w:r w:rsidR="00D76993" w:rsidRPr="005A6964">
        <w:t xml:space="preserve">assessment of </w:t>
      </w:r>
      <w:r w:rsidR="00605D68" w:rsidRPr="005A6964">
        <w:t xml:space="preserve">the Rate Stability </w:t>
      </w:r>
      <w:r w:rsidR="00D76993" w:rsidRPr="005A6964">
        <w:t>Rider when compared to Lisowski</w:t>
      </w:r>
      <w:r w:rsidRPr="005A6964">
        <w:t>.</w:t>
      </w:r>
      <w:bookmarkEnd w:id="22"/>
    </w:p>
    <w:p w:rsidR="00D76993" w:rsidRPr="005A6964" w:rsidRDefault="00D76993" w:rsidP="00D76993">
      <w:pPr>
        <w:spacing w:after="0" w:line="480" w:lineRule="auto"/>
        <w:ind w:firstLine="720"/>
      </w:pPr>
      <w:r w:rsidRPr="005A6964">
        <w:t xml:space="preserve">OCC witness Wilson provides a more accurate assessment of Rider RRS that shows customers </w:t>
      </w:r>
      <w:r w:rsidR="001D1CBF" w:rsidRPr="005A6964">
        <w:t xml:space="preserve">will pay </w:t>
      </w:r>
      <w:r w:rsidRPr="005A6964">
        <w:t>between $2.7 billion to $3.6 billion over the eight-year term of Rider RRS.</w:t>
      </w:r>
      <w:r w:rsidRPr="005A6964">
        <w:rPr>
          <w:rStyle w:val="FootnoteReference"/>
        </w:rPr>
        <w:footnoteReference w:id="67"/>
      </w:r>
      <w:r w:rsidRPr="005A6964">
        <w:t xml:space="preserve"> This would force </w:t>
      </w:r>
      <w:r w:rsidR="000B35CD" w:rsidRPr="005A6964">
        <w:t xml:space="preserve">each of FirstEnergy’s 1.9 million </w:t>
      </w:r>
      <w:r w:rsidRPr="005A6964">
        <w:t>customers to bear an additional $800 over the course of Rider RRS.</w:t>
      </w:r>
      <w:r w:rsidRPr="005A6964">
        <w:rPr>
          <w:rStyle w:val="FootnoteReference"/>
        </w:rPr>
        <w:footnoteReference w:id="68"/>
      </w:r>
    </w:p>
    <w:p w:rsidR="005752A7" w:rsidRPr="005A6964" w:rsidRDefault="00D76993" w:rsidP="00D76993">
      <w:pPr>
        <w:spacing w:after="0" w:line="480" w:lineRule="auto"/>
        <w:ind w:firstLine="720"/>
      </w:pPr>
      <w:r w:rsidRPr="005A6964">
        <w:t>FirstEnergy witnesses Rose and Lisowski came to sharply different conclusion</w:t>
      </w:r>
      <w:r w:rsidR="005A4621" w:rsidRPr="005A6964">
        <w:t>s</w:t>
      </w:r>
      <w:r w:rsidR="001D1CBF" w:rsidRPr="005A6964">
        <w:t xml:space="preserve">.  They concluded that customers will receive a </w:t>
      </w:r>
      <w:r w:rsidRPr="005A6964">
        <w:t>$561 million</w:t>
      </w:r>
      <w:r w:rsidR="001D1CBF" w:rsidRPr="005A6964">
        <w:t xml:space="preserve"> benefit.</w:t>
      </w:r>
      <w:r w:rsidRPr="005A6964">
        <w:rPr>
          <w:rStyle w:val="FootnoteReference"/>
        </w:rPr>
        <w:footnoteReference w:id="69"/>
      </w:r>
      <w:r w:rsidRPr="005A6964">
        <w:t xml:space="preserve"> This is based on Mr. Rose’s forecasts that market prices and capacity prices will increase over the next eight years.</w:t>
      </w:r>
      <w:r w:rsidRPr="005A6964">
        <w:rPr>
          <w:rStyle w:val="FootnoteReference"/>
        </w:rPr>
        <w:footnoteReference w:id="70"/>
      </w:r>
      <w:r w:rsidRPr="005A6964">
        <w:t xml:space="preserve"> However, as OCC witness Wilson pointed out, Mr. Rose’s forecasts are mostly based on the </w:t>
      </w:r>
      <w:r w:rsidR="00F633C9" w:rsidRPr="005A6964">
        <w:t>assumption</w:t>
      </w:r>
      <w:r w:rsidRPr="005A6964">
        <w:t xml:space="preserve"> that natural gas prices are rising.</w:t>
      </w:r>
      <w:r w:rsidRPr="005A6964">
        <w:rPr>
          <w:rStyle w:val="FootnoteReference"/>
        </w:rPr>
        <w:footnoteReference w:id="71"/>
      </w:r>
      <w:r w:rsidRPr="005A6964">
        <w:t xml:space="preserve">  Wilson goes on to explain how Mr. Rose’s assumptions and scenarios are “speculative and unlikely[.]”</w:t>
      </w:r>
      <w:r w:rsidRPr="005A6964">
        <w:rPr>
          <w:rStyle w:val="FootnoteReference"/>
        </w:rPr>
        <w:footnoteReference w:id="72"/>
      </w:r>
      <w:r w:rsidRPr="005A6964">
        <w:t xml:space="preserve"> Furthermore, OCC witness Wilson’s analysis provides that even though natural gas use may grow, production will grow to meet demand and there will continue to be moderately priced supply.</w:t>
      </w:r>
      <w:r w:rsidRPr="005A6964">
        <w:rPr>
          <w:rStyle w:val="FootnoteReference"/>
        </w:rPr>
        <w:footnoteReference w:id="73"/>
      </w:r>
      <w:r w:rsidRPr="005A6964">
        <w:t xml:space="preserve"> </w:t>
      </w:r>
    </w:p>
    <w:p w:rsidR="00D76993" w:rsidRPr="005A6964" w:rsidRDefault="00D76993" w:rsidP="00D76993">
      <w:pPr>
        <w:spacing w:after="0" w:line="480" w:lineRule="auto"/>
        <w:ind w:firstLine="720"/>
      </w:pPr>
      <w:r w:rsidRPr="005A6964">
        <w:t xml:space="preserve">This </w:t>
      </w:r>
      <w:r w:rsidR="0057442C" w:rsidRPr="005A6964">
        <w:t>phenomenon</w:t>
      </w:r>
      <w:r w:rsidR="005C684F" w:rsidRPr="005A6964">
        <w:t xml:space="preserve"> </w:t>
      </w:r>
      <w:r w:rsidRPr="005A6964">
        <w:t xml:space="preserve">has been borne out </w:t>
      </w:r>
      <w:r w:rsidR="005C684F" w:rsidRPr="005A6964">
        <w:t xml:space="preserve">in </w:t>
      </w:r>
      <w:r w:rsidRPr="005A6964">
        <w:t>the most recent auction for Dominion East Ohio’s Standard Choice Offer</w:t>
      </w:r>
      <w:r w:rsidR="005C684F" w:rsidRPr="005A6964">
        <w:t xml:space="preserve">.  Those auction results indicated </w:t>
      </w:r>
      <w:r w:rsidRPr="005A6964">
        <w:t>a retail price adjustment (RPA) that was five cents below the NYMEX market rate for natural gas.</w:t>
      </w:r>
      <w:r w:rsidRPr="005A6964">
        <w:rPr>
          <w:rStyle w:val="FootnoteReference"/>
        </w:rPr>
        <w:footnoteReference w:id="74"/>
      </w:r>
    </w:p>
    <w:p w:rsidR="007A00CC" w:rsidRPr="005A6964" w:rsidRDefault="007A00CC" w:rsidP="00D76993">
      <w:pPr>
        <w:spacing w:after="0" w:line="480" w:lineRule="auto"/>
        <w:ind w:firstLine="720"/>
      </w:pPr>
      <w:r w:rsidRPr="005A6964">
        <w:t>FirstEnergy</w:t>
      </w:r>
      <w:r w:rsidR="005C684F" w:rsidRPr="005A6964">
        <w:t xml:space="preserve"> continues to rely upon Mr. Rose's stale forecast that was produced prior to the Utilities' August 2014 filing.   </w:t>
      </w:r>
      <w:r w:rsidR="000953F5" w:rsidRPr="005A6964">
        <w:t>This forecast does not take into account recent forward prices.</w:t>
      </w:r>
      <w:r w:rsidR="000953F5" w:rsidRPr="005A6964">
        <w:rPr>
          <w:rStyle w:val="FootnoteReference"/>
        </w:rPr>
        <w:footnoteReference w:id="75"/>
      </w:r>
      <w:r w:rsidR="007F5D99" w:rsidRPr="005A6964">
        <w:t xml:space="preserve"> </w:t>
      </w:r>
      <w:r w:rsidRPr="005A6964">
        <w:t xml:space="preserve">Unpersuaded by facts, </w:t>
      </w:r>
      <w:r w:rsidR="005C684F" w:rsidRPr="005A6964">
        <w:t>FirstEnergy stands by its forecasts that natural gas prices will increase throughout the eight</w:t>
      </w:r>
      <w:r w:rsidRPr="005A6964">
        <w:t>-</w:t>
      </w:r>
      <w:r w:rsidR="005C684F" w:rsidRPr="005A6964">
        <w:t>year term of the stipulated ESP</w:t>
      </w:r>
      <w:r w:rsidR="00D76993" w:rsidRPr="005A6964">
        <w:t xml:space="preserve">. </w:t>
      </w:r>
    </w:p>
    <w:p w:rsidR="00D76993" w:rsidRPr="005A6964" w:rsidRDefault="000953F5" w:rsidP="00D76993">
      <w:pPr>
        <w:spacing w:after="0" w:line="480" w:lineRule="auto"/>
        <w:ind w:firstLine="720"/>
      </w:pPr>
      <w:r w:rsidRPr="005A6964">
        <w:t>OCC’s</w:t>
      </w:r>
      <w:r w:rsidR="007A00CC" w:rsidRPr="005A6964">
        <w:t xml:space="preserve"> witness Wilson presented</w:t>
      </w:r>
      <w:r w:rsidR="00D76993" w:rsidRPr="005A6964">
        <w:t xml:space="preserve"> more </w:t>
      </w:r>
      <w:r w:rsidR="000324CF" w:rsidRPr="005A6964">
        <w:t xml:space="preserve">recent (updated) </w:t>
      </w:r>
      <w:r w:rsidR="00D02639" w:rsidRPr="005A6964">
        <w:t xml:space="preserve">and </w:t>
      </w:r>
      <w:r w:rsidR="00D76993" w:rsidRPr="005A6964">
        <w:t>accurate forecasts</w:t>
      </w:r>
      <w:r w:rsidR="007A00CC" w:rsidRPr="005A6964">
        <w:t>.</w:t>
      </w:r>
      <w:r w:rsidR="00D76993" w:rsidRPr="005A6964">
        <w:t xml:space="preserve">  </w:t>
      </w:r>
      <w:r w:rsidR="005C684F" w:rsidRPr="005A6964">
        <w:t xml:space="preserve">That cost is incorporated into the quantitative analysis conducted by OCC Witness Kahal.  </w:t>
      </w:r>
      <w:r w:rsidR="00F633C9" w:rsidRPr="005A6964">
        <w:t>OCC’s</w:t>
      </w:r>
      <w:r w:rsidR="005C684F" w:rsidRPr="005A6964">
        <w:t xml:space="preserve"> quantitative analysis</w:t>
      </w:r>
      <w:r w:rsidR="00366239" w:rsidRPr="005A6964">
        <w:t>,</w:t>
      </w:r>
      <w:r w:rsidR="005C684F" w:rsidRPr="005A6964">
        <w:t xml:space="preserve"> </w:t>
      </w:r>
      <w:r w:rsidR="00F633C9" w:rsidRPr="005A6964">
        <w:t>that includes more recent energy forecast data</w:t>
      </w:r>
      <w:r w:rsidR="00366239" w:rsidRPr="005A6964">
        <w:t>,</w:t>
      </w:r>
      <w:r w:rsidR="00F633C9" w:rsidRPr="005A6964">
        <w:t xml:space="preserve"> </w:t>
      </w:r>
      <w:r w:rsidR="005C684F" w:rsidRPr="005A6964">
        <w:t xml:space="preserve">is the reason why the PUCO should conclude that the ESP is not more favorable to customers than an MRO.  </w:t>
      </w:r>
      <w:r w:rsidR="00D76993" w:rsidRPr="005A6964">
        <w:t xml:space="preserve"> </w:t>
      </w:r>
    </w:p>
    <w:p w:rsidR="00D76993" w:rsidRPr="005A6964" w:rsidRDefault="00017FBD" w:rsidP="00017FBD">
      <w:pPr>
        <w:pStyle w:val="Heading7"/>
      </w:pPr>
      <w:bookmarkStart w:id="23" w:name="_Toc444269009"/>
      <w:r w:rsidRPr="005A6964">
        <w:t>(ii)</w:t>
      </w:r>
      <w:r w:rsidR="00D76993" w:rsidRPr="005A6964">
        <w:tab/>
        <w:t>FirstEnergy’s claims</w:t>
      </w:r>
      <w:r w:rsidR="00366239" w:rsidRPr="005A6964">
        <w:t xml:space="preserve"> are unfounded</w:t>
      </w:r>
      <w:r w:rsidR="00D76993" w:rsidRPr="005A6964">
        <w:t xml:space="preserve"> that </w:t>
      </w:r>
      <w:r w:rsidR="00605D68" w:rsidRPr="005A6964">
        <w:t>the Rate Stability R</w:t>
      </w:r>
      <w:r w:rsidR="00D76993" w:rsidRPr="005A6964">
        <w:t>ider provide</w:t>
      </w:r>
      <w:r w:rsidR="00AE6C64" w:rsidRPr="005A6964">
        <w:t>s</w:t>
      </w:r>
      <w:r w:rsidR="00D76993" w:rsidRPr="005A6964">
        <w:t xml:space="preserve"> a hedge or long-term stability</w:t>
      </w:r>
      <w:r w:rsidR="00E56EAD" w:rsidRPr="005A6964">
        <w:t xml:space="preserve"> for customers</w:t>
      </w:r>
      <w:r w:rsidR="00D76993" w:rsidRPr="005A6964">
        <w:t>.</w:t>
      </w:r>
      <w:bookmarkEnd w:id="23"/>
      <w:r w:rsidR="00D76993" w:rsidRPr="005A6964">
        <w:t xml:space="preserve"> </w:t>
      </w:r>
    </w:p>
    <w:p w:rsidR="00366239" w:rsidRPr="005A6964" w:rsidRDefault="00D76993" w:rsidP="000953F5">
      <w:pPr>
        <w:spacing w:after="0" w:line="480" w:lineRule="auto"/>
        <w:ind w:firstLine="720"/>
      </w:pPr>
      <w:r w:rsidRPr="005A6964">
        <w:t>FirstEnergy claims that Rider RRS will provide a hedge for both shopping and non-shopping customers and provide long-term stability for market prices</w:t>
      </w:r>
      <w:r w:rsidR="00B104CE" w:rsidRPr="005A6964">
        <w:t xml:space="preserve">.  </w:t>
      </w:r>
      <w:r w:rsidR="007F5D99" w:rsidRPr="005A6964">
        <w:t xml:space="preserve">But </w:t>
      </w:r>
      <w:r w:rsidRPr="005A6964">
        <w:t>price stability can be more easily achieved by staggering and laddering the SSO C</w:t>
      </w:r>
      <w:r w:rsidR="00F633C9" w:rsidRPr="005A6964">
        <w:t xml:space="preserve">ompetitive </w:t>
      </w:r>
      <w:r w:rsidRPr="005A6964">
        <w:t>B</w:t>
      </w:r>
      <w:r w:rsidR="00F633C9" w:rsidRPr="005A6964">
        <w:t xml:space="preserve">id </w:t>
      </w:r>
      <w:r w:rsidRPr="005A6964">
        <w:t>P</w:t>
      </w:r>
      <w:r w:rsidR="00F633C9" w:rsidRPr="005A6964">
        <w:t>r</w:t>
      </w:r>
      <w:r w:rsidR="00AE6C64" w:rsidRPr="005A6964">
        <w:t>oducts</w:t>
      </w:r>
      <w:r w:rsidRPr="005A6964">
        <w:t xml:space="preserve">. </w:t>
      </w:r>
    </w:p>
    <w:p w:rsidR="00B104CE" w:rsidRPr="005A6964" w:rsidRDefault="00D76993" w:rsidP="000953F5">
      <w:pPr>
        <w:spacing w:after="0" w:line="480" w:lineRule="auto"/>
        <w:ind w:firstLine="720"/>
      </w:pPr>
      <w:r w:rsidRPr="005A6964">
        <w:t xml:space="preserve">In fact, the PUCO </w:t>
      </w:r>
      <w:r w:rsidR="00B104CE" w:rsidRPr="005A6964">
        <w:t xml:space="preserve">Staff </w:t>
      </w:r>
      <w:r w:rsidRPr="005A6964">
        <w:t xml:space="preserve">has suggested these approaches as a more effective way to mitigate price volatility when compared to the </w:t>
      </w:r>
      <w:r w:rsidR="000324CF" w:rsidRPr="005A6964">
        <w:t>over-reaching a</w:t>
      </w:r>
      <w:r w:rsidRPr="005A6964">
        <w:t>pproach of Rider RRS.</w:t>
      </w:r>
      <w:r w:rsidRPr="005A6964">
        <w:rPr>
          <w:rStyle w:val="FootnoteReference"/>
        </w:rPr>
        <w:footnoteReference w:id="76"/>
      </w:r>
      <w:r w:rsidR="00B104CE" w:rsidRPr="005A6964">
        <w:t xml:space="preserve">  The PUCO itself has acknowledged that staggering and laddering are tools of price stability for customers.</w:t>
      </w:r>
      <w:r w:rsidR="00B104CE" w:rsidRPr="005A6964">
        <w:rPr>
          <w:rStyle w:val="FootnoteReference"/>
        </w:rPr>
        <w:footnoteReference w:id="77"/>
      </w:r>
      <w:r w:rsidRPr="005A6964">
        <w:t xml:space="preserve"> </w:t>
      </w:r>
    </w:p>
    <w:p w:rsidR="0032757B" w:rsidRPr="005A6964" w:rsidRDefault="00B104CE" w:rsidP="006452F0">
      <w:pPr>
        <w:spacing w:after="0" w:line="480" w:lineRule="auto"/>
      </w:pPr>
      <w:r w:rsidRPr="005A6964">
        <w:tab/>
      </w:r>
      <w:r w:rsidR="00D76993" w:rsidRPr="005A6964">
        <w:t>FirstEnergy’s arguments</w:t>
      </w:r>
      <w:r w:rsidR="00366239" w:rsidRPr="005A6964">
        <w:t xml:space="preserve"> are</w:t>
      </w:r>
      <w:r w:rsidR="00D76993" w:rsidRPr="005A6964">
        <w:t xml:space="preserve"> that staggering and laddering do not benefit shopping customers and that 4-year contracts are not long enough to hedge price volatility</w:t>
      </w:r>
      <w:r w:rsidR="006123FF" w:rsidRPr="005A6964">
        <w:t>.</w:t>
      </w:r>
      <w:r w:rsidRPr="005A6964">
        <w:rPr>
          <w:rStyle w:val="FootnoteReference"/>
        </w:rPr>
        <w:footnoteReference w:id="78"/>
      </w:r>
      <w:r w:rsidR="0032757B" w:rsidRPr="005A6964">
        <w:t xml:space="preserve"> The record reflects that there are even longer contracts -- nine year contracts--that are available to consumers, as OCC/NOPEC Witness testified.</w:t>
      </w:r>
      <w:r w:rsidR="0032757B" w:rsidRPr="005A6964">
        <w:rPr>
          <w:rStyle w:val="FootnoteReference"/>
        </w:rPr>
        <w:footnoteReference w:id="79"/>
      </w:r>
      <w:r w:rsidR="0032757B" w:rsidRPr="005A6964">
        <w:t xml:space="preserve">  The Utilities' arguments should be recognized for what they are --</w:t>
      </w:r>
      <w:r w:rsidR="00D76993" w:rsidRPr="005A6964">
        <w:t xml:space="preserve"> </w:t>
      </w:r>
      <w:r w:rsidRPr="005A6964">
        <w:t xml:space="preserve">a convenient way to rationalize a more costly (and ineffective) approach that </w:t>
      </w:r>
      <w:r w:rsidR="0032757B" w:rsidRPr="005A6964">
        <w:t xml:space="preserve">greatly </w:t>
      </w:r>
      <w:r w:rsidRPr="005A6964">
        <w:t xml:space="preserve">benefits their </w:t>
      </w:r>
      <w:r w:rsidR="0032757B" w:rsidRPr="005A6964">
        <w:t xml:space="preserve">affiliate, </w:t>
      </w:r>
      <w:r w:rsidR="007F5D99" w:rsidRPr="005A6964">
        <w:t>FES.</w:t>
      </w:r>
    </w:p>
    <w:p w:rsidR="0032757B" w:rsidRPr="005A6964" w:rsidRDefault="0032757B" w:rsidP="0032757B">
      <w:pPr>
        <w:spacing w:after="0" w:line="480" w:lineRule="auto"/>
      </w:pPr>
      <w:r w:rsidRPr="005A6964">
        <w:tab/>
        <w:t xml:space="preserve"> </w:t>
      </w:r>
      <w:r w:rsidR="00D76993" w:rsidRPr="005A6964">
        <w:t xml:space="preserve">If </w:t>
      </w:r>
      <w:r w:rsidRPr="005A6964">
        <w:t xml:space="preserve">the Commission believes the purchase power arrangement is needed to supplement other tools for stability, it should consider an arrangement where the contract would be competitively bid.  Exelon, a competitor to FES, </w:t>
      </w:r>
      <w:r w:rsidRPr="005A6964">
        <w:rPr>
          <w:szCs w:val="24"/>
        </w:rPr>
        <w:t>has offered to supply the same amount of energy and capacity at prices that would save consumers between $2 billion and $2.5 billion over proposed Rider RRS term.</w:t>
      </w:r>
      <w:r w:rsidRPr="005A6964">
        <w:rPr>
          <w:rStyle w:val="FootnoteReference"/>
          <w:szCs w:val="24"/>
        </w:rPr>
        <w:footnoteReference w:id="80"/>
      </w:r>
      <w:r w:rsidRPr="005A6964">
        <w:rPr>
          <w:szCs w:val="24"/>
        </w:rPr>
        <w:t xml:space="preserve"> Dynegy, too has indicated it would, if given the opportunity, participate in a RFP for the capacity and energy that the </w:t>
      </w:r>
      <w:r w:rsidR="008F446F" w:rsidRPr="005A6964">
        <w:rPr>
          <w:szCs w:val="24"/>
        </w:rPr>
        <w:t>Utilities</w:t>
      </w:r>
      <w:r w:rsidRPr="005A6964">
        <w:rPr>
          <w:szCs w:val="24"/>
        </w:rPr>
        <w:t xml:space="preserve"> wish to include in Rider RRS.</w:t>
      </w:r>
      <w:r w:rsidRPr="005A6964">
        <w:rPr>
          <w:rStyle w:val="FootnoteReference"/>
        </w:rPr>
        <w:footnoteReference w:id="81"/>
      </w:r>
    </w:p>
    <w:p w:rsidR="0032757B" w:rsidRPr="005A6964" w:rsidRDefault="0032757B" w:rsidP="0032757B">
      <w:pPr>
        <w:pStyle w:val="BodyText0"/>
        <w:jc w:val="left"/>
        <w:rPr>
          <w:rFonts w:ascii="Times New Roman" w:hAnsi="Times New Roman"/>
          <w:sz w:val="24"/>
          <w:szCs w:val="24"/>
        </w:rPr>
      </w:pPr>
      <w:r w:rsidRPr="005A6964">
        <w:rPr>
          <w:rFonts w:ascii="Times New Roman" w:hAnsi="Times New Roman"/>
          <w:sz w:val="24"/>
          <w:szCs w:val="24"/>
        </w:rPr>
        <w:t>To be clear, OCC/NOAC oppose Rider RRS and would continue to oppose it even if a non-affiliated supplier were substituted for FES as the seller.</w:t>
      </w:r>
      <w:r w:rsidRPr="005A6964">
        <w:rPr>
          <w:rStyle w:val="FootnoteReference"/>
          <w:rFonts w:ascii="Times New Roman" w:hAnsi="Times New Roman"/>
          <w:sz w:val="24"/>
          <w:szCs w:val="24"/>
        </w:rPr>
        <w:footnoteReference w:id="82"/>
      </w:r>
      <w:r w:rsidRPr="005A6964">
        <w:rPr>
          <w:rFonts w:ascii="Times New Roman" w:hAnsi="Times New Roman"/>
          <w:sz w:val="24"/>
          <w:szCs w:val="24"/>
        </w:rPr>
        <w:t xml:space="preserve">  Nonetheless, these additional offers remove any doubt as to the magnitude of the above-market costs that customers in the FirstEnergy’s service territories would bear under Rider RRS.  </w:t>
      </w:r>
      <w:r w:rsidR="00366239" w:rsidRPr="005A6964">
        <w:rPr>
          <w:rFonts w:ascii="Times New Roman" w:hAnsi="Times New Roman"/>
          <w:sz w:val="24"/>
          <w:szCs w:val="24"/>
        </w:rPr>
        <w:t>A</w:t>
      </w:r>
      <w:r w:rsidRPr="005A6964">
        <w:rPr>
          <w:rFonts w:ascii="Times New Roman" w:hAnsi="Times New Roman"/>
          <w:sz w:val="24"/>
          <w:szCs w:val="24"/>
        </w:rPr>
        <w:t xml:space="preserve">ssuming, </w:t>
      </w:r>
      <w:r w:rsidRPr="005A6964">
        <w:rPr>
          <w:rFonts w:ascii="Times New Roman" w:hAnsi="Times New Roman"/>
          <w:i/>
          <w:sz w:val="24"/>
          <w:szCs w:val="24"/>
        </w:rPr>
        <w:t>arguendo</w:t>
      </w:r>
      <w:r w:rsidRPr="005A6964">
        <w:rPr>
          <w:rFonts w:ascii="Times New Roman" w:hAnsi="Times New Roman"/>
          <w:sz w:val="24"/>
          <w:szCs w:val="24"/>
        </w:rPr>
        <w:t>, that</w:t>
      </w:r>
      <w:r w:rsidR="00366239" w:rsidRPr="005A6964">
        <w:rPr>
          <w:rFonts w:ascii="Times New Roman" w:hAnsi="Times New Roman"/>
          <w:sz w:val="24"/>
          <w:szCs w:val="24"/>
        </w:rPr>
        <w:t xml:space="preserve"> the PUCO authorizes</w:t>
      </w:r>
      <w:r w:rsidRPr="005A6964">
        <w:rPr>
          <w:rFonts w:ascii="Times New Roman" w:hAnsi="Times New Roman"/>
          <w:sz w:val="24"/>
          <w:szCs w:val="24"/>
        </w:rPr>
        <w:t xml:space="preserve"> FirstEnergy to enter into a PPA and </w:t>
      </w:r>
      <w:r w:rsidR="00366239" w:rsidRPr="005A6964">
        <w:rPr>
          <w:rFonts w:ascii="Times New Roman" w:hAnsi="Times New Roman"/>
          <w:sz w:val="24"/>
          <w:szCs w:val="24"/>
        </w:rPr>
        <w:t>charge for</w:t>
      </w:r>
      <w:r w:rsidRPr="005A6964">
        <w:rPr>
          <w:rFonts w:ascii="Times New Roman" w:hAnsi="Times New Roman"/>
          <w:sz w:val="24"/>
          <w:szCs w:val="24"/>
        </w:rPr>
        <w:t xml:space="preserve"> Rider RRS</w:t>
      </w:r>
      <w:r w:rsidR="00366239" w:rsidRPr="005A6964">
        <w:rPr>
          <w:rFonts w:ascii="Times New Roman" w:hAnsi="Times New Roman"/>
          <w:sz w:val="24"/>
          <w:szCs w:val="24"/>
        </w:rPr>
        <w:t>,</w:t>
      </w:r>
      <w:r w:rsidRPr="005A6964">
        <w:rPr>
          <w:rFonts w:ascii="Times New Roman" w:hAnsi="Times New Roman"/>
          <w:sz w:val="24"/>
          <w:szCs w:val="24"/>
        </w:rPr>
        <w:t xml:space="preserve"> it </w:t>
      </w:r>
      <w:r w:rsidR="00366239" w:rsidRPr="005A6964">
        <w:rPr>
          <w:rFonts w:ascii="Times New Roman" w:hAnsi="Times New Roman"/>
          <w:sz w:val="24"/>
          <w:szCs w:val="24"/>
        </w:rPr>
        <w:t>would</w:t>
      </w:r>
      <w:r w:rsidRPr="005A6964">
        <w:rPr>
          <w:rFonts w:ascii="Times New Roman" w:hAnsi="Times New Roman"/>
          <w:sz w:val="24"/>
          <w:szCs w:val="24"/>
        </w:rPr>
        <w:t xml:space="preserve"> indisputably cost Ohioans billions of dollars relative to readily available market alternatives.  </w:t>
      </w:r>
    </w:p>
    <w:p w:rsidR="00D76993" w:rsidRPr="005A6964" w:rsidRDefault="00D76993" w:rsidP="0083673C">
      <w:pPr>
        <w:pStyle w:val="Heading6"/>
      </w:pPr>
      <w:bookmarkStart w:id="24" w:name="_Toc444269010"/>
      <w:r w:rsidRPr="005A6964">
        <w:t>(</w:t>
      </w:r>
      <w:r w:rsidR="00017FBD" w:rsidRPr="005A6964">
        <w:t>b</w:t>
      </w:r>
      <w:r w:rsidRPr="005A6964">
        <w:t>)</w:t>
      </w:r>
      <w:r w:rsidRPr="005A6964">
        <w:tab/>
      </w:r>
      <w:r w:rsidR="00605D68" w:rsidRPr="005A6964">
        <w:t xml:space="preserve">The Delivery Capital Recovery </w:t>
      </w:r>
      <w:r w:rsidRPr="005A6964">
        <w:t>Rider</w:t>
      </w:r>
      <w:r w:rsidR="00605D68" w:rsidRPr="005A6964">
        <w:t xml:space="preserve"> </w:t>
      </w:r>
      <w:r w:rsidR="008F066B" w:rsidRPr="005A6964">
        <w:t xml:space="preserve">will cost customers dearly </w:t>
      </w:r>
      <w:r w:rsidRPr="005A6964">
        <w:t xml:space="preserve">and </w:t>
      </w:r>
      <w:r w:rsidR="00D81688" w:rsidRPr="005A6964">
        <w:t>violates</w:t>
      </w:r>
      <w:r w:rsidR="008161A6" w:rsidRPr="005A6964">
        <w:t xml:space="preserve"> </w:t>
      </w:r>
      <w:r w:rsidRPr="005A6964">
        <w:t xml:space="preserve">the requirements of </w:t>
      </w:r>
      <w:r w:rsidR="008F066B" w:rsidRPr="005A6964">
        <w:t>Ohio</w:t>
      </w:r>
      <w:r w:rsidRPr="005A6964">
        <w:t xml:space="preserve"> law.</w:t>
      </w:r>
      <w:bookmarkEnd w:id="24"/>
    </w:p>
    <w:p w:rsidR="008D4D40" w:rsidRPr="005A6964" w:rsidRDefault="008F066B" w:rsidP="00D76993">
      <w:pPr>
        <w:spacing w:after="0" w:line="480" w:lineRule="auto"/>
        <w:ind w:firstLine="720"/>
      </w:pPr>
      <w:r w:rsidRPr="005A6964">
        <w:t xml:space="preserve">Under the </w:t>
      </w:r>
      <w:r w:rsidR="001019CF" w:rsidRPr="005A6964">
        <w:t>settlement</w:t>
      </w:r>
      <w:r w:rsidRPr="005A6964">
        <w:t xml:space="preserve">, the Utilities seek to astronomically increase existing rates for Rider DCR.  Under the DCR proposal, FirstEnergy customers would pay </w:t>
      </w:r>
      <w:r w:rsidR="008D4D40" w:rsidRPr="005A6964">
        <w:t>$</w:t>
      </w:r>
      <w:r w:rsidR="006123FF" w:rsidRPr="005A6964">
        <w:t>915</w:t>
      </w:r>
      <w:r w:rsidR="008D4D40" w:rsidRPr="005A6964">
        <w:t xml:space="preserve"> </w:t>
      </w:r>
      <w:r w:rsidR="006123FF" w:rsidRPr="005A6964">
        <w:t>m</w:t>
      </w:r>
      <w:r w:rsidR="008D4D40" w:rsidRPr="005A6964">
        <w:t xml:space="preserve">illion </w:t>
      </w:r>
      <w:r w:rsidR="008F446F" w:rsidRPr="005A6964">
        <w:t xml:space="preserve">more (over eight years) than they currently pay for </w:t>
      </w:r>
      <w:r w:rsidR="008D4D40" w:rsidRPr="005A6964">
        <w:t>increased distribution investment.</w:t>
      </w:r>
      <w:r w:rsidR="006123FF" w:rsidRPr="005A6964">
        <w:rPr>
          <w:rStyle w:val="FootnoteReference"/>
        </w:rPr>
        <w:footnoteReference w:id="83"/>
      </w:r>
      <w:r w:rsidR="008D4D40" w:rsidRPr="005A6964">
        <w:t xml:space="preserve">  </w:t>
      </w:r>
      <w:r w:rsidR="008F446F" w:rsidRPr="005A6964">
        <w:t>In total, over the extended eight year period, customers could pay $2.5 billion  under Rider DCR.</w:t>
      </w:r>
      <w:r w:rsidR="008F446F" w:rsidRPr="005A6964">
        <w:rPr>
          <w:rStyle w:val="FootnoteReference"/>
        </w:rPr>
        <w:footnoteReference w:id="84"/>
      </w:r>
      <w:r w:rsidR="008F446F" w:rsidRPr="005A6964">
        <w:t xml:space="preserve">  </w:t>
      </w:r>
      <w:r w:rsidR="008D4D40" w:rsidRPr="005A6964">
        <w:t xml:space="preserve">And they would pay this rider without the PUCO examining distribution rates to determine whether other expenses of the utility (and the rate of return) have decreased, thereby offsetting the need for customers to fully fund </w:t>
      </w:r>
      <w:r w:rsidR="008F446F" w:rsidRPr="005A6964">
        <w:t xml:space="preserve">this massive $2.5 billion </w:t>
      </w:r>
      <w:r w:rsidR="008D4D40" w:rsidRPr="005A6964">
        <w:t xml:space="preserve">distribution investment. </w:t>
      </w:r>
    </w:p>
    <w:p w:rsidR="008D4D40" w:rsidRPr="005A6964" w:rsidRDefault="008D4D40" w:rsidP="00D76993">
      <w:pPr>
        <w:spacing w:after="0" w:line="480" w:lineRule="auto"/>
        <w:ind w:firstLine="720"/>
      </w:pPr>
      <w:r w:rsidRPr="005A6964">
        <w:t xml:space="preserve">Conveniently, </w:t>
      </w:r>
      <w:r w:rsidR="00D76993" w:rsidRPr="005A6964">
        <w:t>FirstEnergy</w:t>
      </w:r>
      <w:r w:rsidRPr="005A6964">
        <w:t xml:space="preserve"> claims that Rider DCR is </w:t>
      </w:r>
      <w:r w:rsidR="00D76993" w:rsidRPr="005A6964">
        <w:t xml:space="preserve">quantitatively neutral </w:t>
      </w:r>
      <w:r w:rsidRPr="005A6964">
        <w:t xml:space="preserve">when it comes to assessing its costs/benefits under the ESP v. MRO test.  This claim is </w:t>
      </w:r>
      <w:r w:rsidR="006123FF" w:rsidRPr="005A6964">
        <w:t>without evidence</w:t>
      </w:r>
      <w:r w:rsidRPr="005A6964">
        <w:t xml:space="preserve">, and contrary to the record. </w:t>
      </w:r>
      <w:r w:rsidR="000324CF" w:rsidRPr="005A6964">
        <w:rPr>
          <w:rStyle w:val="FootnoteReference"/>
        </w:rPr>
        <w:footnoteReference w:id="85"/>
      </w:r>
      <w:r w:rsidR="00D76993" w:rsidRPr="005A6964">
        <w:t xml:space="preserve"> OCC</w:t>
      </w:r>
      <w:r w:rsidR="001019CF" w:rsidRPr="005A6964">
        <w:t>’s</w:t>
      </w:r>
      <w:r w:rsidR="00D76993" w:rsidRPr="005A6964">
        <w:t xml:space="preserve"> analysis shows that Rider DCR would result in an increase of $90 to $180 million when compared to the alternative of an MRO combined with a base rate case.</w:t>
      </w:r>
      <w:r w:rsidR="00D76993" w:rsidRPr="005A6964">
        <w:rPr>
          <w:rStyle w:val="FootnoteReference"/>
        </w:rPr>
        <w:footnoteReference w:id="86"/>
      </w:r>
      <w:r w:rsidR="00D76993" w:rsidRPr="005A6964">
        <w:t xml:space="preserve"> </w:t>
      </w:r>
    </w:p>
    <w:p w:rsidR="00D76993" w:rsidRPr="005A6964" w:rsidRDefault="008F066B" w:rsidP="00D76993">
      <w:pPr>
        <w:spacing w:after="0" w:line="480" w:lineRule="auto"/>
        <w:ind w:firstLine="720"/>
      </w:pPr>
      <w:r w:rsidRPr="005A6964">
        <w:t>OCC/NOPEC Witness Ka</w:t>
      </w:r>
      <w:r w:rsidR="00AE6C64" w:rsidRPr="005A6964">
        <w:t>hal</w:t>
      </w:r>
      <w:r w:rsidRPr="005A6964">
        <w:t xml:space="preserve"> testified that </w:t>
      </w:r>
      <w:r w:rsidR="00D76993" w:rsidRPr="005A6964">
        <w:t>FirstEnergy has been receiving “substantial earnings on distribution service as compared to their Commission authorized rate of return.”</w:t>
      </w:r>
      <w:r w:rsidR="00D76993" w:rsidRPr="005A6964">
        <w:rPr>
          <w:rStyle w:val="FootnoteReference"/>
        </w:rPr>
        <w:footnoteReference w:id="87"/>
      </w:r>
      <w:r w:rsidR="00D76993" w:rsidRPr="005A6964">
        <w:t xml:space="preserve"> The rate of return on Rider DCR was also last determined in 2008</w:t>
      </w:r>
      <w:r w:rsidRPr="005A6964">
        <w:t xml:space="preserve">.  It does </w:t>
      </w:r>
      <w:r w:rsidR="00D76993" w:rsidRPr="005A6964">
        <w:t>not reflect the changes in the capital markets that have occurred</w:t>
      </w:r>
      <w:r w:rsidRPr="005A6964">
        <w:t xml:space="preserve"> since then.</w:t>
      </w:r>
      <w:r w:rsidRPr="005A6964">
        <w:rPr>
          <w:rStyle w:val="FootnoteReference"/>
        </w:rPr>
        <w:footnoteReference w:id="88"/>
      </w:r>
      <w:r w:rsidRPr="005A6964">
        <w:t xml:space="preserve"> In fact if Rider DCR were eliminated, </w:t>
      </w:r>
      <w:r w:rsidR="00AE6C64" w:rsidRPr="005A6964">
        <w:t xml:space="preserve">then </w:t>
      </w:r>
      <w:r w:rsidRPr="005A6964">
        <w:t>c</w:t>
      </w:r>
      <w:r w:rsidR="00D76993" w:rsidRPr="005A6964">
        <w:t>ustomers could see an annual savings of $30 million a year under an MRO when compared to ESP and total savings of $240 million</w:t>
      </w:r>
      <w:r w:rsidRPr="005A6964">
        <w:t>.</w:t>
      </w:r>
      <w:r w:rsidR="00D76993" w:rsidRPr="005A6964">
        <w:rPr>
          <w:rStyle w:val="FootnoteReference"/>
        </w:rPr>
        <w:footnoteReference w:id="89"/>
      </w:r>
      <w:r w:rsidR="00D76993" w:rsidRPr="005A6964">
        <w:t xml:space="preserve"> Under any analysis, it becomes clear that Rider DCR is not quantitatively neutral</w:t>
      </w:r>
      <w:r w:rsidRPr="005A6964">
        <w:t xml:space="preserve"> under</w:t>
      </w:r>
      <w:r w:rsidR="00D76993" w:rsidRPr="005A6964">
        <w:t xml:space="preserve"> the ESP versus MRO test. </w:t>
      </w:r>
    </w:p>
    <w:p w:rsidR="00D76993" w:rsidRPr="005A6964" w:rsidRDefault="00D76993" w:rsidP="00D76993">
      <w:pPr>
        <w:spacing w:after="0" w:line="480" w:lineRule="auto"/>
        <w:ind w:firstLine="720"/>
      </w:pPr>
      <w:r w:rsidRPr="005A6964">
        <w:t>Furthermore, Rider DCR is required to meet the statutory test where a “long-term energy delivery infrastructure modernization plan” must “ensure that customers’ and electric distribution utility’s expectations are aligned.”</w:t>
      </w:r>
      <w:r w:rsidRPr="005A6964">
        <w:rPr>
          <w:rStyle w:val="FootnoteReference"/>
        </w:rPr>
        <w:footnoteReference w:id="90"/>
      </w:r>
      <w:r w:rsidR="00802BBE" w:rsidRPr="005A6964">
        <w:t xml:space="preserve"> </w:t>
      </w:r>
      <w:r w:rsidR="008F066B" w:rsidRPr="005A6964">
        <w:t xml:space="preserve"> OCC witness Williams explained that </w:t>
      </w:r>
      <w:r w:rsidR="001019CF" w:rsidRPr="005A6964">
        <w:t>there is no alignment</w:t>
      </w:r>
      <w:r w:rsidR="008F066B" w:rsidRPr="005A6964">
        <w:t xml:space="preserve"> because customers are unwilling to pay more for distribution service, and the utilities want to charge more to increase reliability</w:t>
      </w:r>
      <w:r w:rsidRPr="005A6964">
        <w:t xml:space="preserve">: </w:t>
      </w:r>
    </w:p>
    <w:p w:rsidR="00D76993" w:rsidRPr="005A6964" w:rsidRDefault="00D76993" w:rsidP="00B351C4">
      <w:pPr>
        <w:spacing w:after="0" w:line="240" w:lineRule="auto"/>
        <w:ind w:left="1440" w:right="720"/>
      </w:pPr>
      <w:r w:rsidRPr="005A6964">
        <w:t>To the extent that the FirstEnergy customer perception survey indicates that the Utility’s customers are unwilling to pay more to avoid non-major outages, customers’ and FirstEnergy expectations concerning reliability are not aligned. Continuation and expansion of Rider DCR, as proposed by FirstEnergy is not warranted because it contradicts Ohio law.</w:t>
      </w:r>
      <w:r w:rsidRPr="005A6964">
        <w:rPr>
          <w:rStyle w:val="FootnoteReference"/>
        </w:rPr>
        <w:footnoteReference w:id="91"/>
      </w:r>
    </w:p>
    <w:p w:rsidR="00D76993" w:rsidRPr="005A6964" w:rsidRDefault="00D76993" w:rsidP="00D76993">
      <w:pPr>
        <w:spacing w:after="0" w:line="240" w:lineRule="auto"/>
        <w:ind w:left="720"/>
      </w:pPr>
    </w:p>
    <w:p w:rsidR="00D76993" w:rsidRPr="005A6964" w:rsidRDefault="008F066B" w:rsidP="006B0116">
      <w:pPr>
        <w:spacing w:after="0" w:line="480" w:lineRule="auto"/>
        <w:ind w:firstLine="720"/>
      </w:pPr>
      <w:r w:rsidRPr="005A6964">
        <w:t>T</w:t>
      </w:r>
      <w:r w:rsidR="00D76993" w:rsidRPr="005A6964">
        <w:t>he PUCO must examine customer perception and compare it to the already reliable FirstEnergy system</w:t>
      </w:r>
      <w:r w:rsidRPr="005A6964">
        <w:t xml:space="preserve">.  To approve Rider DCR, the </w:t>
      </w:r>
      <w:r w:rsidR="001019CF" w:rsidRPr="005A6964">
        <w:t>PUCO would need to find</w:t>
      </w:r>
      <w:r w:rsidRPr="005A6964">
        <w:t xml:space="preserve"> that </w:t>
      </w:r>
      <w:r w:rsidR="00AE6C64" w:rsidRPr="005A6964">
        <w:t xml:space="preserve"> FirstEnergy’s</w:t>
      </w:r>
      <w:r w:rsidR="00D76993" w:rsidRPr="005A6964">
        <w:t xml:space="preserve"> customers are actually seeking even more reliability</w:t>
      </w:r>
      <w:r w:rsidRPr="005A6964">
        <w:t xml:space="preserve"> and are willing to pay for it.  It cannot make such a finding based on the evidence (or lack of evidence) that FirstEnergy has provided. </w:t>
      </w:r>
      <w:r w:rsidR="00D76993" w:rsidRPr="005A6964">
        <w:t>Rider DCR violat</w:t>
      </w:r>
      <w:r w:rsidR="006B0116" w:rsidRPr="005A6964">
        <w:t>es</w:t>
      </w:r>
      <w:r w:rsidR="00D76993" w:rsidRPr="005A6964">
        <w:t xml:space="preserve"> Ohio law</w:t>
      </w:r>
      <w:r w:rsidR="006B0116" w:rsidRPr="005A6964">
        <w:rPr>
          <w:rStyle w:val="FootnoteReference"/>
        </w:rPr>
        <w:footnoteReference w:id="92"/>
      </w:r>
      <w:r w:rsidR="00D76993" w:rsidRPr="005A6964">
        <w:t xml:space="preserve"> and </w:t>
      </w:r>
      <w:r w:rsidR="006B0116" w:rsidRPr="005A6964">
        <w:t xml:space="preserve">is </w:t>
      </w:r>
      <w:r w:rsidR="00D76993" w:rsidRPr="005A6964">
        <w:t>a quantitative detriment under the ESP versus MRO test</w:t>
      </w:r>
      <w:r w:rsidR="000E4EB8" w:rsidRPr="005A6964">
        <w:t>.  T</w:t>
      </w:r>
      <w:r w:rsidR="006B0116" w:rsidRPr="005A6964">
        <w:t xml:space="preserve">he </w:t>
      </w:r>
      <w:r w:rsidR="00D76993" w:rsidRPr="005A6964">
        <w:t xml:space="preserve">PUCO should </w:t>
      </w:r>
      <w:r w:rsidRPr="005A6964">
        <w:t xml:space="preserve">find that increases to the existing DCR program are not warranted or statutorily justified.  </w:t>
      </w:r>
      <w:r w:rsidR="008D4D40" w:rsidRPr="005A6964">
        <w:t>And it should fully count the costs</w:t>
      </w:r>
      <w:r w:rsidR="001019CF" w:rsidRPr="005A6964">
        <w:t xml:space="preserve"> in the ESP v. MRO test</w:t>
      </w:r>
      <w:r w:rsidR="008D4D40" w:rsidRPr="005A6964">
        <w:t>, as prop</w:t>
      </w:r>
      <w:r w:rsidR="000E4EB8" w:rsidRPr="005A6964">
        <w:t>osed by OCC/NOPEC witness Kahal.</w:t>
      </w:r>
    </w:p>
    <w:p w:rsidR="00D76993" w:rsidRPr="005A6964" w:rsidRDefault="00017FBD" w:rsidP="00B30CAE">
      <w:pPr>
        <w:pStyle w:val="Heading5"/>
      </w:pPr>
      <w:bookmarkStart w:id="25" w:name="_Toc444269011"/>
      <w:r w:rsidRPr="005A6964">
        <w:t>ii</w:t>
      </w:r>
      <w:r w:rsidR="00D76993" w:rsidRPr="005A6964">
        <w:t>.</w:t>
      </w:r>
      <w:r w:rsidR="00D76993" w:rsidRPr="005A6964">
        <w:tab/>
        <w:t>FirstEnergy claims a series of illusory qualitative benefits that do not benefit consumers.</w:t>
      </w:r>
      <w:bookmarkEnd w:id="25"/>
      <w:r w:rsidR="00D76993" w:rsidRPr="005A6964">
        <w:t xml:space="preserve"> </w:t>
      </w:r>
    </w:p>
    <w:p w:rsidR="00D76993" w:rsidRPr="005A6964" w:rsidRDefault="001019CF" w:rsidP="00D76993">
      <w:pPr>
        <w:spacing w:after="0" w:line="480" w:lineRule="auto"/>
        <w:ind w:firstLine="720"/>
      </w:pPr>
      <w:r w:rsidRPr="005A6964">
        <w:t>I</w:t>
      </w:r>
      <w:r w:rsidR="00D76993" w:rsidRPr="005A6964">
        <w:t>f FirstEnergy is allowed to</w:t>
      </w:r>
      <w:r w:rsidRPr="005A6964">
        <w:t xml:space="preserve"> (wrongly)</w:t>
      </w:r>
      <w:r w:rsidR="00D76993" w:rsidRPr="005A6964">
        <w:t xml:space="preserve"> count qualitative benefits under the ESP versus MRO test, </w:t>
      </w:r>
      <w:r w:rsidRPr="005A6964">
        <w:t xml:space="preserve">the </w:t>
      </w:r>
      <w:r w:rsidR="00D76993" w:rsidRPr="005A6964">
        <w:t>claimed qualitative benefits are not benefits at all</w:t>
      </w:r>
      <w:r w:rsidRPr="005A6964">
        <w:t xml:space="preserve">. </w:t>
      </w:r>
      <w:r w:rsidR="00D76993" w:rsidRPr="005A6964">
        <w:t xml:space="preserve"> </w:t>
      </w:r>
      <w:r w:rsidRPr="005A6964">
        <w:t>R</w:t>
      </w:r>
      <w:r w:rsidR="00D76993" w:rsidRPr="005A6964">
        <w:t>ather</w:t>
      </w:r>
      <w:r w:rsidRPr="005A6964">
        <w:t>, the purported benefits are</w:t>
      </w:r>
      <w:r w:rsidR="00D76993" w:rsidRPr="005A6964">
        <w:t xml:space="preserve"> harmful to FirstEnergy’s customers. Consequently, </w:t>
      </w:r>
      <w:r w:rsidR="008D4D40" w:rsidRPr="005A6964">
        <w:t>even if qualitative benefits are counted (</w:t>
      </w:r>
      <w:r w:rsidRPr="005A6964">
        <w:t xml:space="preserve">and </w:t>
      </w:r>
      <w:r w:rsidR="008D4D40" w:rsidRPr="005A6964">
        <w:t xml:space="preserve">they should not be), the </w:t>
      </w:r>
      <w:r w:rsidR="00D76993" w:rsidRPr="005A6964">
        <w:t xml:space="preserve">purported qualitative benefits do not make the stipulated ESP more favorable in the aggregate </w:t>
      </w:r>
      <w:r w:rsidR="008D4D40" w:rsidRPr="005A6964">
        <w:t xml:space="preserve">for customers </w:t>
      </w:r>
      <w:r w:rsidR="00D76993" w:rsidRPr="005A6964">
        <w:t xml:space="preserve">when compared to a MRO. As stated before, the PUCO should reject the Utilities’ ESP  and require them to file an MRO. </w:t>
      </w:r>
    </w:p>
    <w:p w:rsidR="00D76993" w:rsidRPr="005A6964" w:rsidRDefault="00D76993" w:rsidP="0083673C">
      <w:pPr>
        <w:pStyle w:val="Heading6"/>
      </w:pPr>
      <w:bookmarkStart w:id="26" w:name="_Toc444269012"/>
      <w:r w:rsidRPr="005A6964">
        <w:t>(a)</w:t>
      </w:r>
      <w:r w:rsidRPr="005A6964">
        <w:tab/>
      </w:r>
      <w:r w:rsidR="00605D68" w:rsidRPr="005A6964">
        <w:t xml:space="preserve">The Rate Stability </w:t>
      </w:r>
      <w:r w:rsidRPr="005A6964">
        <w:t>Rider</w:t>
      </w:r>
      <w:r w:rsidR="00605D68" w:rsidRPr="005A6964">
        <w:t>’s</w:t>
      </w:r>
      <w:r w:rsidRPr="005A6964">
        <w:t xml:space="preserve"> </w:t>
      </w:r>
      <w:r w:rsidR="008D4D40" w:rsidRPr="005A6964">
        <w:t>purported benefits</w:t>
      </w:r>
      <w:r w:rsidR="00605D68" w:rsidRPr="005A6964">
        <w:t xml:space="preserve"> </w:t>
      </w:r>
      <w:r w:rsidR="008D4D40" w:rsidRPr="005A6964">
        <w:t>to</w:t>
      </w:r>
      <w:r w:rsidRPr="005A6964">
        <w:t xml:space="preserve"> resource diversity are overstated.</w:t>
      </w:r>
      <w:bookmarkEnd w:id="26"/>
    </w:p>
    <w:p w:rsidR="00D76993" w:rsidRPr="005A6964" w:rsidRDefault="00D76993" w:rsidP="00D76993">
      <w:pPr>
        <w:spacing w:after="0" w:line="480" w:lineRule="auto"/>
        <w:ind w:firstLine="720"/>
      </w:pPr>
      <w:r w:rsidRPr="005A6964">
        <w:t xml:space="preserve">FirstEnergy claims that the plants included in the proposed transaction are necessary to ensure </w:t>
      </w:r>
      <w:r w:rsidR="008D4D40" w:rsidRPr="005A6964">
        <w:t>r</w:t>
      </w:r>
      <w:r w:rsidRPr="005A6964">
        <w:t xml:space="preserve">esource </w:t>
      </w:r>
      <w:r w:rsidR="008D4D40" w:rsidRPr="005A6964">
        <w:t>d</w:t>
      </w:r>
      <w:r w:rsidRPr="005A6964">
        <w:t xml:space="preserve">iversity and prevent Ohio from becoming overly reliant on natural gas. </w:t>
      </w:r>
      <w:r w:rsidR="001019CF" w:rsidRPr="005A6964">
        <w:t>This</w:t>
      </w:r>
      <w:r w:rsidRPr="005A6964">
        <w:t xml:space="preserve"> s argument is simply a “red herring.”</w:t>
      </w:r>
      <w:r w:rsidRPr="005A6964">
        <w:rPr>
          <w:rStyle w:val="FootnoteReference"/>
        </w:rPr>
        <w:footnoteReference w:id="93"/>
      </w:r>
      <w:r w:rsidRPr="005A6964">
        <w:t xml:space="preserve"> As described by P3/EPSA witness Kalt and OCC/NOPEC witness Sioshansi, Ohio is already very dependent on coal-fired generation.</w:t>
      </w:r>
      <w:r w:rsidRPr="005A6964">
        <w:rPr>
          <w:rStyle w:val="FootnoteReference"/>
        </w:rPr>
        <w:footnoteReference w:id="94"/>
      </w:r>
      <w:r w:rsidRPr="005A6964">
        <w:t xml:space="preserve"> The majority of Ohio’s power already comes from coal</w:t>
      </w:r>
      <w:r w:rsidR="001019CF" w:rsidRPr="005A6964">
        <w:t>-</w:t>
      </w:r>
      <w:r w:rsidRPr="005A6964">
        <w:t>fired generation.</w:t>
      </w:r>
      <w:r w:rsidRPr="005A6964">
        <w:rPr>
          <w:rStyle w:val="FootnoteReference"/>
        </w:rPr>
        <w:footnoteReference w:id="95"/>
      </w:r>
      <w:r w:rsidRPr="005A6964">
        <w:t xml:space="preserve"> In fact, </w:t>
      </w:r>
      <w:r w:rsidR="00605D68" w:rsidRPr="005A6964">
        <w:t xml:space="preserve">if </w:t>
      </w:r>
      <w:r w:rsidR="008D4D40" w:rsidRPr="005A6964">
        <w:t>Ride</w:t>
      </w:r>
      <w:r w:rsidR="00387171" w:rsidRPr="005A6964">
        <w:t>r RRS is rejected, and the Rider RRS plan</w:t>
      </w:r>
      <w:r w:rsidR="008D4D40" w:rsidRPr="005A6964">
        <w:t xml:space="preserve">ts were retired and replaced with natural gas units, </w:t>
      </w:r>
      <w:r w:rsidRPr="005A6964">
        <w:t xml:space="preserve"> then Ohio’s generation mix would be</w:t>
      </w:r>
      <w:r w:rsidR="008D4D40" w:rsidRPr="005A6964">
        <w:t xml:space="preserve"> more diverse --</w:t>
      </w:r>
      <w:r w:rsidRPr="005A6964">
        <w:t xml:space="preserve"> 49% coal and 39% natural gas.</w:t>
      </w:r>
      <w:r w:rsidRPr="005A6964">
        <w:rPr>
          <w:rStyle w:val="FootnoteReference"/>
        </w:rPr>
        <w:footnoteReference w:id="96"/>
      </w:r>
      <w:r w:rsidRPr="005A6964">
        <w:t xml:space="preserve"> </w:t>
      </w:r>
    </w:p>
    <w:p w:rsidR="00D76993" w:rsidRPr="005A6964" w:rsidRDefault="00D76993" w:rsidP="00D76993">
      <w:pPr>
        <w:spacing w:after="0" w:line="480" w:lineRule="auto"/>
        <w:ind w:firstLine="720"/>
      </w:pPr>
      <w:r w:rsidRPr="005A6964">
        <w:t xml:space="preserve">Furthermore, as witness Kalt states, Ohio is </w:t>
      </w:r>
      <w:r w:rsidR="00387171" w:rsidRPr="005A6964">
        <w:t xml:space="preserve">part of </w:t>
      </w:r>
      <w:r w:rsidRPr="005A6964">
        <w:t xml:space="preserve">PJM, and it is </w:t>
      </w:r>
      <w:r w:rsidR="00426765" w:rsidRPr="005A6964">
        <w:t>the regional</w:t>
      </w:r>
      <w:r w:rsidRPr="005A6964">
        <w:t xml:space="preserve"> portfolio and resource diversity that is imp</w:t>
      </w:r>
      <w:r w:rsidR="00426765" w:rsidRPr="005A6964">
        <w:t>ortant</w:t>
      </w:r>
      <w:r w:rsidRPr="005A6964">
        <w:t xml:space="preserve"> to Ohio.</w:t>
      </w:r>
      <w:r w:rsidRPr="005A6964">
        <w:rPr>
          <w:rStyle w:val="FootnoteReference"/>
        </w:rPr>
        <w:footnoteReference w:id="97"/>
      </w:r>
      <w:r w:rsidRPr="005A6964">
        <w:t xml:space="preserve"> PJM goes to great lengths to ensure reliability and will continue to ensure that reliability will not be sacrificed by a lack of fuel diversity.</w:t>
      </w:r>
      <w:r w:rsidRPr="005A6964">
        <w:rPr>
          <w:rStyle w:val="FootnoteReference"/>
        </w:rPr>
        <w:footnoteReference w:id="98"/>
      </w:r>
      <w:r w:rsidRPr="005A6964">
        <w:t xml:space="preserve"> FirstEnergy’s claimed qualitative benefits</w:t>
      </w:r>
      <w:r w:rsidR="00DB2306" w:rsidRPr="005A6964">
        <w:t>--</w:t>
      </w:r>
      <w:r w:rsidRPr="005A6964">
        <w:t>which are provided by the resource diversity of Rider RRS</w:t>
      </w:r>
      <w:r w:rsidR="00DB2306" w:rsidRPr="005A6964">
        <w:t>--</w:t>
      </w:r>
      <w:r w:rsidRPr="005A6964">
        <w:t>are</w:t>
      </w:r>
      <w:r w:rsidR="001E1B12" w:rsidRPr="005A6964">
        <w:t xml:space="preserve"> self-serving and</w:t>
      </w:r>
      <w:r w:rsidRPr="005A6964">
        <w:t xml:space="preserve"> simply a diversion to seek cover for the subsidization of an affiliated unregulated company.</w:t>
      </w:r>
    </w:p>
    <w:p w:rsidR="00D76993" w:rsidRPr="005A6964" w:rsidRDefault="00D76993" w:rsidP="0083673C">
      <w:pPr>
        <w:pStyle w:val="Heading6"/>
      </w:pPr>
      <w:bookmarkStart w:id="27" w:name="_Toc444269013"/>
      <w:r w:rsidRPr="005A6964">
        <w:t>(b)</w:t>
      </w:r>
      <w:r w:rsidRPr="005A6964">
        <w:tab/>
        <w:t xml:space="preserve">First Energy’s other </w:t>
      </w:r>
      <w:r w:rsidR="00387171" w:rsidRPr="005A6964">
        <w:t xml:space="preserve">commitment to </w:t>
      </w:r>
      <w:r w:rsidR="000E4EB8" w:rsidRPr="005A6964">
        <w:t>r</w:t>
      </w:r>
      <w:r w:rsidRPr="005A6964">
        <w:t xml:space="preserve">esource </w:t>
      </w:r>
      <w:r w:rsidR="000E4EB8" w:rsidRPr="005A6964">
        <w:t>d</w:t>
      </w:r>
      <w:r w:rsidRPr="005A6964">
        <w:t>iversity are illusory.</w:t>
      </w:r>
      <w:bookmarkEnd w:id="27"/>
      <w:r w:rsidRPr="005A6964">
        <w:t xml:space="preserve"> </w:t>
      </w:r>
    </w:p>
    <w:p w:rsidR="00D76993" w:rsidRPr="005A6964" w:rsidRDefault="00D76993" w:rsidP="00D76993">
      <w:pPr>
        <w:pStyle w:val="ListParagraph"/>
        <w:spacing w:after="0" w:line="480" w:lineRule="auto"/>
        <w:ind w:left="0" w:firstLine="720"/>
      </w:pPr>
      <w:r w:rsidRPr="005A6964">
        <w:t>The Third Supplemental Stipulation adds a number of provisions under the dubious heading of “Resource Diversification.”</w:t>
      </w:r>
      <w:r w:rsidRPr="005A6964">
        <w:rPr>
          <w:rStyle w:val="FootnoteReference"/>
        </w:rPr>
        <w:footnoteReference w:id="99"/>
      </w:r>
      <w:r w:rsidRPr="005A6964">
        <w:t xml:space="preserve"> These provisions do not provide any increased benefit to customers and should not be considered to be a qualitative benefit under the ESP versus MRO </w:t>
      </w:r>
      <w:r w:rsidR="000E4EB8" w:rsidRPr="005A6964">
        <w:t>test</w:t>
      </w:r>
      <w:r w:rsidRPr="005A6964">
        <w:t xml:space="preserve">. </w:t>
      </w:r>
    </w:p>
    <w:p w:rsidR="00E50300" w:rsidRPr="005A6964" w:rsidRDefault="00D76993" w:rsidP="00D76993">
      <w:pPr>
        <w:spacing w:after="0" w:line="480" w:lineRule="auto"/>
        <w:ind w:firstLine="720"/>
      </w:pPr>
      <w:r w:rsidRPr="005A6964">
        <w:t xml:space="preserve">The stipulated ESP IV </w:t>
      </w:r>
      <w:r w:rsidR="000E4EB8" w:rsidRPr="005A6964">
        <w:t xml:space="preserve">makes non-binding commitments to reduce </w:t>
      </w:r>
      <w:r w:rsidRPr="005A6964">
        <w:t>CO</w:t>
      </w:r>
      <w:r w:rsidRPr="005A6964">
        <w:rPr>
          <w:vertAlign w:val="subscript"/>
        </w:rPr>
        <w:t>2</w:t>
      </w:r>
      <w:r w:rsidRPr="005A6964">
        <w:t xml:space="preserve"> emissions</w:t>
      </w:r>
      <w:r w:rsidR="000E4EB8" w:rsidRPr="005A6964">
        <w:t xml:space="preserve">, to evaluate </w:t>
      </w:r>
      <w:r w:rsidRPr="005A6964">
        <w:t>investments in batte</w:t>
      </w:r>
      <w:r w:rsidR="00802BBE" w:rsidRPr="005A6964">
        <w:t>r</w:t>
      </w:r>
      <w:r w:rsidRPr="005A6964">
        <w:t xml:space="preserve">y technology, </w:t>
      </w:r>
      <w:r w:rsidR="000E4EB8" w:rsidRPr="005A6964">
        <w:t xml:space="preserve">to </w:t>
      </w:r>
      <w:r w:rsidRPr="005A6964">
        <w:t xml:space="preserve">restore previously deactivated energy efficiency programs, </w:t>
      </w:r>
      <w:r w:rsidR="000E4EB8" w:rsidRPr="005A6964">
        <w:t xml:space="preserve">to </w:t>
      </w:r>
      <w:r w:rsidRPr="005A6964">
        <w:t xml:space="preserve">a customer engagement program, </w:t>
      </w:r>
      <w:r w:rsidR="000E4EB8" w:rsidRPr="005A6964">
        <w:t xml:space="preserve">to </w:t>
      </w:r>
      <w:r w:rsidRPr="005A6964">
        <w:t>a modified Demand Side Management (“DSE”) rider and to 100MW of new solar or wind technology.</w:t>
      </w:r>
      <w:r w:rsidRPr="005A6964">
        <w:rPr>
          <w:rStyle w:val="FootnoteReference"/>
        </w:rPr>
        <w:footnoteReference w:id="100"/>
      </w:r>
      <w:r w:rsidRPr="005A6964">
        <w:t xml:space="preserve"> However, these new provisions were simply dropped into the stipulation without any detail provided by the utilities.</w:t>
      </w:r>
      <w:r w:rsidR="00387171" w:rsidRPr="005A6964">
        <w:t xml:space="preserve">  When Ms. Mikkelsen was cross-examined on these issues, it became clear that these provisions are toothless, represent goals and not commitments, and are contingent upon many, many factors.</w:t>
      </w:r>
      <w:r w:rsidR="00426765" w:rsidRPr="005A6964">
        <w:rPr>
          <w:rStyle w:val="FootnoteReference"/>
        </w:rPr>
        <w:footnoteReference w:id="101"/>
      </w:r>
    </w:p>
    <w:p w:rsidR="00DB2306" w:rsidRPr="005A6964" w:rsidRDefault="00387171" w:rsidP="00E50300">
      <w:pPr>
        <w:spacing w:after="120" w:line="480" w:lineRule="auto"/>
        <w:ind w:firstLine="720"/>
        <w:contextualSpacing/>
        <w:rPr>
          <w:rFonts w:cs="Times New Roman"/>
          <w:szCs w:val="24"/>
        </w:rPr>
      </w:pPr>
      <w:r w:rsidRPr="005A6964">
        <w:rPr>
          <w:rFonts w:cs="Times New Roman"/>
          <w:szCs w:val="24"/>
        </w:rPr>
        <w:t xml:space="preserve">A good example of this is the provision on </w:t>
      </w:r>
      <w:r w:rsidR="00E50300" w:rsidRPr="005A6964">
        <w:rPr>
          <w:rFonts w:cs="Times New Roman"/>
          <w:szCs w:val="24"/>
        </w:rPr>
        <w:t>battery technology</w:t>
      </w:r>
      <w:r w:rsidRPr="005A6964">
        <w:rPr>
          <w:rFonts w:cs="Times New Roman"/>
          <w:szCs w:val="24"/>
        </w:rPr>
        <w:t>.</w:t>
      </w:r>
      <w:r w:rsidRPr="005A6964">
        <w:rPr>
          <w:rStyle w:val="FootnoteReference"/>
          <w:rFonts w:cs="Times New Roman"/>
          <w:szCs w:val="24"/>
        </w:rPr>
        <w:footnoteReference w:id="102"/>
      </w:r>
      <w:r w:rsidR="00E50300" w:rsidRPr="005A6964">
        <w:rPr>
          <w:rFonts w:cs="Times New Roman"/>
          <w:szCs w:val="24"/>
        </w:rPr>
        <w:t xml:space="preserve"> </w:t>
      </w:r>
      <w:r w:rsidRPr="005A6964">
        <w:rPr>
          <w:rFonts w:cs="Times New Roman"/>
          <w:szCs w:val="24"/>
        </w:rPr>
        <w:t xml:space="preserve">It </w:t>
      </w:r>
      <w:r w:rsidR="00E50300" w:rsidRPr="005A6964">
        <w:rPr>
          <w:rFonts w:cs="Times New Roman"/>
          <w:szCs w:val="24"/>
        </w:rPr>
        <w:t>lack</w:t>
      </w:r>
      <w:r w:rsidRPr="005A6964">
        <w:rPr>
          <w:rFonts w:cs="Times New Roman"/>
          <w:szCs w:val="24"/>
        </w:rPr>
        <w:t>s</w:t>
      </w:r>
      <w:r w:rsidR="00E50300" w:rsidRPr="005A6964">
        <w:rPr>
          <w:rFonts w:cs="Times New Roman"/>
          <w:szCs w:val="24"/>
        </w:rPr>
        <w:t xml:space="preserve"> any specificity </w:t>
      </w:r>
      <w:r w:rsidRPr="005A6964">
        <w:rPr>
          <w:rFonts w:cs="Times New Roman"/>
          <w:szCs w:val="24"/>
        </w:rPr>
        <w:t>or</w:t>
      </w:r>
      <w:r w:rsidR="00E50300" w:rsidRPr="005A6964">
        <w:rPr>
          <w:rFonts w:cs="Times New Roman"/>
          <w:szCs w:val="24"/>
        </w:rPr>
        <w:t xml:space="preserve"> details. FirstEnergy admits that the battery technology initiatives will be evaluated in a separate and future proceeding.</w:t>
      </w:r>
      <w:r w:rsidR="00E50300" w:rsidRPr="005A6964">
        <w:rPr>
          <w:rStyle w:val="FootnoteReference"/>
          <w:rFonts w:cs="Times New Roman"/>
          <w:szCs w:val="24"/>
        </w:rPr>
        <w:footnoteReference w:id="103"/>
      </w:r>
      <w:r w:rsidR="00E50300" w:rsidRPr="005A6964">
        <w:rPr>
          <w:rFonts w:cs="Times New Roman"/>
          <w:szCs w:val="24"/>
        </w:rPr>
        <w:t xml:space="preserve"> Accordingly, FirstEnergy confirms it would seek to charge customers only if the evaluation of the battery technology proves fruitful and the PUCO approves the program.</w:t>
      </w:r>
      <w:r w:rsidR="00E50300" w:rsidRPr="005A6964">
        <w:rPr>
          <w:rStyle w:val="FootnoteReference"/>
          <w:rFonts w:cs="Times New Roman"/>
          <w:szCs w:val="24"/>
        </w:rPr>
        <w:footnoteReference w:id="104"/>
      </w:r>
      <w:r w:rsidR="00E50300" w:rsidRPr="005A6964">
        <w:rPr>
          <w:rFonts w:cs="Times New Roman"/>
          <w:szCs w:val="24"/>
        </w:rPr>
        <w:t xml:space="preserve"> Further details </w:t>
      </w:r>
      <w:r w:rsidR="00DB2306" w:rsidRPr="005A6964">
        <w:rPr>
          <w:rFonts w:cs="Times New Roman"/>
          <w:szCs w:val="24"/>
        </w:rPr>
        <w:t xml:space="preserve">regarding </w:t>
      </w:r>
      <w:r w:rsidR="00E50300" w:rsidRPr="005A6964">
        <w:rPr>
          <w:rFonts w:cs="Times New Roman"/>
          <w:szCs w:val="24"/>
        </w:rPr>
        <w:t>FirstEnergy’s battery technology proposal are essentially non-existent</w:t>
      </w:r>
      <w:r w:rsidR="00DB2306" w:rsidRPr="005A6964">
        <w:rPr>
          <w:rFonts w:cs="Times New Roman"/>
          <w:szCs w:val="24"/>
        </w:rPr>
        <w:t xml:space="preserve"> in the record</w:t>
      </w:r>
      <w:r w:rsidR="00E50300" w:rsidRPr="005A6964">
        <w:rPr>
          <w:rFonts w:cs="Times New Roman"/>
          <w:szCs w:val="24"/>
        </w:rPr>
        <w:t xml:space="preserve">. </w:t>
      </w:r>
    </w:p>
    <w:p w:rsidR="00E50300" w:rsidRPr="005A6964" w:rsidRDefault="00E50300" w:rsidP="00E50300">
      <w:pPr>
        <w:spacing w:after="120" w:line="480" w:lineRule="auto"/>
        <w:ind w:firstLine="720"/>
        <w:contextualSpacing/>
        <w:rPr>
          <w:rFonts w:cs="Times New Roman"/>
          <w:szCs w:val="24"/>
        </w:rPr>
      </w:pPr>
      <w:r w:rsidRPr="005A6964">
        <w:rPr>
          <w:rFonts w:cs="Times New Roman"/>
          <w:szCs w:val="24"/>
        </w:rPr>
        <w:t>Indeed, FirstEnergy admits that it does not even know what investments or even potential investments will be included in these battery technology initiatives.</w:t>
      </w:r>
      <w:r w:rsidRPr="005A6964">
        <w:rPr>
          <w:rStyle w:val="FootnoteReference"/>
          <w:rFonts w:cs="Times New Roman"/>
          <w:szCs w:val="24"/>
        </w:rPr>
        <w:footnoteReference w:id="105"/>
      </w:r>
      <w:r w:rsidRPr="005A6964">
        <w:rPr>
          <w:rFonts w:cs="Times New Roman"/>
          <w:szCs w:val="24"/>
        </w:rPr>
        <w:t xml:space="preserve"> In addition, FirstEnergy provides no information about how evaluation of battery resources will be conducted.</w:t>
      </w:r>
      <w:r w:rsidR="00387171" w:rsidRPr="005A6964">
        <w:rPr>
          <w:rFonts w:cs="Times New Roman"/>
          <w:szCs w:val="24"/>
        </w:rPr>
        <w:t xml:space="preserve">  Any value to this program is likely only to accrue to FirstEnergy</w:t>
      </w:r>
      <w:r w:rsidR="00DB2306" w:rsidRPr="005A6964">
        <w:rPr>
          <w:rFonts w:cs="Times New Roman"/>
          <w:szCs w:val="24"/>
        </w:rPr>
        <w:t xml:space="preserve"> as public relations</w:t>
      </w:r>
      <w:r w:rsidR="00387171" w:rsidRPr="005A6964">
        <w:rPr>
          <w:rFonts w:cs="Times New Roman"/>
          <w:szCs w:val="24"/>
        </w:rPr>
        <w:t xml:space="preserve">.  Customer benefits simply cannot be found here.  </w:t>
      </w:r>
    </w:p>
    <w:p w:rsidR="00D76993" w:rsidRPr="005A6964" w:rsidRDefault="00D76993" w:rsidP="00D76993">
      <w:pPr>
        <w:spacing w:after="0" w:line="480" w:lineRule="auto"/>
        <w:ind w:firstLine="720"/>
      </w:pPr>
      <w:r w:rsidRPr="005A6964">
        <w:t xml:space="preserve"> As stated in OCC/NOAC’s </w:t>
      </w:r>
      <w:r w:rsidR="000324CF" w:rsidRPr="005A6964">
        <w:t>I</w:t>
      </w:r>
      <w:r w:rsidRPr="005A6964">
        <w:t xml:space="preserve">nitial </w:t>
      </w:r>
      <w:r w:rsidR="000324CF" w:rsidRPr="005A6964">
        <w:t>B</w:t>
      </w:r>
      <w:r w:rsidRPr="005A6964">
        <w:t xml:space="preserve">rief, </w:t>
      </w:r>
      <w:r w:rsidR="00DB2306" w:rsidRPr="005A6964">
        <w:t xml:space="preserve">these provisions were not proven to be </w:t>
      </w:r>
      <w:r w:rsidRPr="005A6964">
        <w:t>of any benefit at all to customers.</w:t>
      </w:r>
      <w:r w:rsidRPr="005A6964">
        <w:rPr>
          <w:rStyle w:val="FootnoteReference"/>
        </w:rPr>
        <w:footnoteReference w:id="106"/>
      </w:r>
      <w:r w:rsidRPr="005A6964">
        <w:t xml:space="preserve"> </w:t>
      </w:r>
      <w:r w:rsidR="0077513A" w:rsidRPr="005A6964">
        <w:t xml:space="preserve">And while </w:t>
      </w:r>
      <w:r w:rsidR="008161A6" w:rsidRPr="005A6964">
        <w:t>FirstEnergy</w:t>
      </w:r>
      <w:r w:rsidR="0077513A" w:rsidRPr="005A6964">
        <w:t xml:space="preserve"> had the opportunity to prove the benefits, it could not because in truth the words on paper are not commitments.  </w:t>
      </w:r>
      <w:r w:rsidRPr="005A6964">
        <w:t xml:space="preserve">Therefore it would be inappropriate to now consider them a qualitative benefit under the ESP versus MRO analysis. </w:t>
      </w:r>
    </w:p>
    <w:p w:rsidR="00D76993" w:rsidRPr="005A6964" w:rsidRDefault="00D76993" w:rsidP="0083673C">
      <w:pPr>
        <w:pStyle w:val="Heading6"/>
      </w:pPr>
      <w:bookmarkStart w:id="28" w:name="_Toc444269014"/>
      <w:r w:rsidRPr="005A6964">
        <w:t>(c)</w:t>
      </w:r>
      <w:r w:rsidRPr="005A6964">
        <w:tab/>
        <w:t>This stipulated ESP provides no qualitative benefits to the competitive market and in fact harms the competitive market</w:t>
      </w:r>
      <w:r w:rsidR="00DB2306" w:rsidRPr="005A6964">
        <w:t xml:space="preserve"> that is supposed to benefit consumers</w:t>
      </w:r>
      <w:r w:rsidRPr="005A6964">
        <w:t>.</w:t>
      </w:r>
      <w:bookmarkEnd w:id="28"/>
    </w:p>
    <w:p w:rsidR="00B12590" w:rsidRPr="005A6964" w:rsidRDefault="00DB2306" w:rsidP="00B12590">
      <w:pPr>
        <w:spacing w:after="0" w:line="480" w:lineRule="auto"/>
        <w:ind w:firstLine="720"/>
      </w:pPr>
      <w:r w:rsidRPr="005A6964">
        <w:t>H</w:t>
      </w:r>
      <w:r w:rsidR="00B12590" w:rsidRPr="005A6964">
        <w:t>arm</w:t>
      </w:r>
      <w:r w:rsidRPr="005A6964">
        <w:t xml:space="preserve"> to consumers has been detailed in our </w:t>
      </w:r>
      <w:r w:rsidR="000E4EB8" w:rsidRPr="005A6964">
        <w:t>I</w:t>
      </w:r>
      <w:r w:rsidRPr="005A6964">
        <w:t xml:space="preserve">nitial </w:t>
      </w:r>
      <w:r w:rsidR="000E4EB8" w:rsidRPr="005A6964">
        <w:t>B</w:t>
      </w:r>
      <w:r w:rsidRPr="005A6964">
        <w:t>rief, regarding the problems for</w:t>
      </w:r>
      <w:r w:rsidR="00B12590" w:rsidRPr="005A6964">
        <w:t xml:space="preserve"> competitive market</w:t>
      </w:r>
      <w:r w:rsidRPr="005A6964">
        <w:t>s</w:t>
      </w:r>
      <w:r w:rsidR="00B12590" w:rsidRPr="005A6964">
        <w:t xml:space="preserve"> from the implementation of Rider RRS.</w:t>
      </w:r>
      <w:r w:rsidR="00B12590" w:rsidRPr="005A6964">
        <w:rPr>
          <w:rStyle w:val="FootnoteReference"/>
        </w:rPr>
        <w:footnoteReference w:id="107"/>
      </w:r>
      <w:r w:rsidR="00B12590" w:rsidRPr="005A6964">
        <w:t xml:space="preserve"> By subsidizing a competitive generator, in FES, FirstEnergy makes it more difficult for the unsubsidized participants in the market to compete effectively.</w:t>
      </w:r>
      <w:r w:rsidR="00B12590" w:rsidRPr="005A6964">
        <w:rPr>
          <w:rStyle w:val="FootnoteReference"/>
        </w:rPr>
        <w:footnoteReference w:id="108"/>
      </w:r>
      <w:r w:rsidR="00B12590" w:rsidRPr="005A6964">
        <w:t xml:space="preserve"> This will harm consumers and outweigh any benefits provided by the retail market enhancements described in the stipulation. </w:t>
      </w:r>
    </w:p>
    <w:p w:rsidR="00D76993" w:rsidRPr="005A6964" w:rsidRDefault="00D76993" w:rsidP="0083673C">
      <w:pPr>
        <w:pStyle w:val="Heading6"/>
      </w:pPr>
      <w:bookmarkStart w:id="29" w:name="_Toc444269015"/>
      <w:r w:rsidRPr="005A6964">
        <w:t>(d)</w:t>
      </w:r>
      <w:r w:rsidRPr="005A6964">
        <w:tab/>
        <w:t xml:space="preserve">FirstEnergy touts a </w:t>
      </w:r>
      <w:r w:rsidR="000324CF" w:rsidRPr="005A6964">
        <w:t>b</w:t>
      </w:r>
      <w:r w:rsidRPr="005A6964">
        <w:t xml:space="preserve">ase rate distribution freeze that </w:t>
      </w:r>
      <w:r w:rsidR="00B12590" w:rsidRPr="005A6964">
        <w:t>will harm</w:t>
      </w:r>
      <w:r w:rsidR="00DB2306" w:rsidRPr="005A6964">
        <w:t>,</w:t>
      </w:r>
      <w:r w:rsidR="00B12590" w:rsidRPr="005A6964">
        <w:t xml:space="preserve"> not benefit</w:t>
      </w:r>
      <w:r w:rsidR="00DB2306" w:rsidRPr="005A6964">
        <w:t>,</w:t>
      </w:r>
      <w:r w:rsidRPr="005A6964">
        <w:t xml:space="preserve"> customers.</w:t>
      </w:r>
      <w:bookmarkEnd w:id="29"/>
      <w:r w:rsidRPr="005A6964">
        <w:t xml:space="preserve"> </w:t>
      </w:r>
    </w:p>
    <w:p w:rsidR="00D76993" w:rsidRPr="005A6964" w:rsidRDefault="00AB7BB1" w:rsidP="00D76993">
      <w:pPr>
        <w:spacing w:after="0" w:line="480" w:lineRule="auto"/>
        <w:ind w:firstLine="720"/>
      </w:pPr>
      <w:r w:rsidRPr="005A6964">
        <w:t>FirstEnergy touts a base distribution freeze as providing “relatively certain, stable and predictable” rates.</w:t>
      </w:r>
      <w:r w:rsidR="00B12590" w:rsidRPr="005A6964">
        <w:rPr>
          <w:rStyle w:val="FootnoteReference"/>
        </w:rPr>
        <w:footnoteReference w:id="109"/>
      </w:r>
      <w:r w:rsidR="00B12590" w:rsidRPr="005A6964">
        <w:t xml:space="preserve"> Under the provision, distribution rates set in 2008 would be in effect until 20</w:t>
      </w:r>
      <w:r w:rsidRPr="005A6964">
        <w:t>24</w:t>
      </w:r>
      <w:r w:rsidR="00B12590" w:rsidRPr="005A6964">
        <w:t>.</w:t>
      </w:r>
      <w:r w:rsidRPr="005A6964">
        <w:rPr>
          <w:rStyle w:val="FootnoteReference"/>
        </w:rPr>
        <w:footnoteReference w:id="110"/>
      </w:r>
      <w:r w:rsidR="00B12590" w:rsidRPr="005A6964">
        <w:t xml:space="preserve"> Instead of benefitting customers, as FirstEnergy claims, it will harm customers. Customers will be paying rates to </w:t>
      </w:r>
      <w:r w:rsidR="00D76993" w:rsidRPr="005A6964">
        <w:t xml:space="preserve">FirstEnergy </w:t>
      </w:r>
      <w:r w:rsidR="00B12590" w:rsidRPr="005A6964">
        <w:t>that guarantee F</w:t>
      </w:r>
      <w:r w:rsidRPr="005A6964">
        <w:t>irst</w:t>
      </w:r>
      <w:r w:rsidR="00B12590" w:rsidRPr="005A6964">
        <w:t>E</w:t>
      </w:r>
      <w:r w:rsidRPr="005A6964">
        <w:t>nergy</w:t>
      </w:r>
      <w:r w:rsidR="00B12590" w:rsidRPr="005A6964">
        <w:t xml:space="preserve"> will be overearning</w:t>
      </w:r>
      <w:r w:rsidR="00DB2306" w:rsidRPr="005A6964">
        <w:t xml:space="preserve"> </w:t>
      </w:r>
      <w:r w:rsidR="000E4EB8" w:rsidRPr="005A6964">
        <w:t xml:space="preserve">excess </w:t>
      </w:r>
      <w:r w:rsidR="00DB2306" w:rsidRPr="005A6964">
        <w:t>profit</w:t>
      </w:r>
      <w:r w:rsidR="000E4EB8" w:rsidRPr="005A6964">
        <w:t>s</w:t>
      </w:r>
      <w:r w:rsidR="00DB2306" w:rsidRPr="005A6964">
        <w:t xml:space="preserve"> at consumer expense</w:t>
      </w:r>
      <w:r w:rsidR="00B12590" w:rsidRPr="005A6964">
        <w:t>. A</w:t>
      </w:r>
      <w:r w:rsidR="00D76993" w:rsidRPr="005A6964">
        <w:t>s OCC witness Effron has testified, FirstEnergy is already earning a return in excess of its authorized cost of capital</w:t>
      </w:r>
      <w:r w:rsidR="00B12590" w:rsidRPr="005A6964">
        <w:t xml:space="preserve"> through its 2008 distribution rates</w:t>
      </w:r>
      <w:r w:rsidR="00D76993" w:rsidRPr="005A6964">
        <w:t>. In fact, these are calculated in the table below:</w:t>
      </w:r>
      <w:r w:rsidR="00D76993" w:rsidRPr="005A6964">
        <w:rPr>
          <w:rStyle w:val="FootnoteReference"/>
        </w:rPr>
        <w:footnoteReference w:id="111"/>
      </w:r>
    </w:p>
    <w:tbl>
      <w:tblPr>
        <w:tblStyle w:val="TableGrid"/>
        <w:tblW w:w="0" w:type="auto"/>
        <w:tblLook w:val="04A0" w:firstRow="1" w:lastRow="0" w:firstColumn="1" w:lastColumn="0" w:noHBand="0" w:noVBand="1"/>
      </w:tblPr>
      <w:tblGrid>
        <w:gridCol w:w="1819"/>
        <w:gridCol w:w="1721"/>
        <w:gridCol w:w="1797"/>
        <w:gridCol w:w="1721"/>
        <w:gridCol w:w="1798"/>
      </w:tblGrid>
      <w:tr w:rsidR="00D76993" w:rsidRPr="005A6964" w:rsidTr="00D76993">
        <w:tc>
          <w:tcPr>
            <w:tcW w:w="1819" w:type="dxa"/>
            <w:tcBorders>
              <w:top w:val="single" w:sz="4" w:space="0" w:color="auto"/>
              <w:left w:val="single" w:sz="4" w:space="0" w:color="auto"/>
              <w:bottom w:val="single" w:sz="4" w:space="0" w:color="auto"/>
              <w:right w:val="single" w:sz="4" w:space="0" w:color="auto"/>
            </w:tcBorders>
            <w:hideMark/>
          </w:tcPr>
          <w:p w:rsidR="00D76993" w:rsidRPr="005A6964" w:rsidRDefault="00D76993" w:rsidP="00D76993">
            <w:pPr>
              <w:autoSpaceDE w:val="0"/>
              <w:autoSpaceDN w:val="0"/>
              <w:adjustRightInd w:val="0"/>
              <w:contextualSpacing/>
            </w:pPr>
            <w:r w:rsidRPr="005A6964">
              <w:rPr>
                <w:rFonts w:cs="Times New Roman"/>
                <w:szCs w:val="24"/>
              </w:rPr>
              <w:br w:type="page"/>
              <w:t>Utility</w:t>
            </w:r>
          </w:p>
        </w:tc>
        <w:tc>
          <w:tcPr>
            <w:tcW w:w="1721" w:type="dxa"/>
            <w:tcBorders>
              <w:top w:val="single" w:sz="4" w:space="0" w:color="auto"/>
              <w:left w:val="single" w:sz="4" w:space="0" w:color="auto"/>
              <w:bottom w:val="single" w:sz="4" w:space="0" w:color="auto"/>
              <w:right w:val="single" w:sz="4" w:space="0" w:color="auto"/>
            </w:tcBorders>
            <w:hideMark/>
          </w:tcPr>
          <w:p w:rsidR="00D76993" w:rsidRPr="005A6964" w:rsidRDefault="00D76993" w:rsidP="00D76993">
            <w:pPr>
              <w:autoSpaceDE w:val="0"/>
              <w:autoSpaceDN w:val="0"/>
              <w:adjustRightInd w:val="0"/>
              <w:contextualSpacing/>
            </w:pPr>
            <w:r w:rsidRPr="005A6964">
              <w:rPr>
                <w:rFonts w:cs="Times New Roman"/>
                <w:szCs w:val="24"/>
              </w:rPr>
              <w:t>Earned Return on Rate Base</w:t>
            </w:r>
          </w:p>
        </w:tc>
        <w:tc>
          <w:tcPr>
            <w:tcW w:w="1797" w:type="dxa"/>
            <w:tcBorders>
              <w:top w:val="single" w:sz="4" w:space="0" w:color="auto"/>
              <w:left w:val="single" w:sz="4" w:space="0" w:color="auto"/>
              <w:bottom w:val="single" w:sz="4" w:space="0" w:color="auto"/>
              <w:right w:val="single" w:sz="4" w:space="0" w:color="auto"/>
            </w:tcBorders>
            <w:hideMark/>
          </w:tcPr>
          <w:p w:rsidR="00D76993" w:rsidRPr="005A6964" w:rsidRDefault="00D76993" w:rsidP="00D76993">
            <w:pPr>
              <w:autoSpaceDE w:val="0"/>
              <w:autoSpaceDN w:val="0"/>
              <w:adjustRightInd w:val="0"/>
              <w:contextualSpacing/>
            </w:pPr>
            <w:r w:rsidRPr="005A6964">
              <w:rPr>
                <w:rFonts w:cs="Times New Roman"/>
                <w:szCs w:val="24"/>
              </w:rPr>
              <w:t>Authorized Return on Rate Base</w:t>
            </w:r>
          </w:p>
        </w:tc>
        <w:tc>
          <w:tcPr>
            <w:tcW w:w="1721" w:type="dxa"/>
            <w:tcBorders>
              <w:top w:val="single" w:sz="4" w:space="0" w:color="auto"/>
              <w:left w:val="single" w:sz="4" w:space="0" w:color="auto"/>
              <w:bottom w:val="single" w:sz="4" w:space="0" w:color="auto"/>
              <w:right w:val="single" w:sz="4" w:space="0" w:color="auto"/>
            </w:tcBorders>
            <w:hideMark/>
          </w:tcPr>
          <w:p w:rsidR="00D76993" w:rsidRPr="005A6964" w:rsidRDefault="00D76993" w:rsidP="00D76993">
            <w:pPr>
              <w:autoSpaceDE w:val="0"/>
              <w:autoSpaceDN w:val="0"/>
              <w:adjustRightInd w:val="0"/>
              <w:contextualSpacing/>
            </w:pPr>
            <w:r w:rsidRPr="005A6964">
              <w:rPr>
                <w:rFonts w:cs="Times New Roman"/>
                <w:szCs w:val="24"/>
              </w:rPr>
              <w:t>Earned Return on Equity</w:t>
            </w:r>
          </w:p>
        </w:tc>
        <w:tc>
          <w:tcPr>
            <w:tcW w:w="1798" w:type="dxa"/>
            <w:tcBorders>
              <w:top w:val="single" w:sz="4" w:space="0" w:color="auto"/>
              <w:left w:val="single" w:sz="4" w:space="0" w:color="auto"/>
              <w:bottom w:val="single" w:sz="4" w:space="0" w:color="auto"/>
              <w:right w:val="single" w:sz="4" w:space="0" w:color="auto"/>
            </w:tcBorders>
            <w:hideMark/>
          </w:tcPr>
          <w:p w:rsidR="00D76993" w:rsidRPr="005A6964" w:rsidRDefault="00D76993" w:rsidP="00D76993">
            <w:pPr>
              <w:autoSpaceDE w:val="0"/>
              <w:autoSpaceDN w:val="0"/>
              <w:adjustRightInd w:val="0"/>
              <w:contextualSpacing/>
            </w:pPr>
            <w:r w:rsidRPr="005A6964">
              <w:rPr>
                <w:rFonts w:cs="Times New Roman"/>
                <w:szCs w:val="24"/>
              </w:rPr>
              <w:t>Authorized Return on Equity</w:t>
            </w:r>
          </w:p>
        </w:tc>
      </w:tr>
      <w:tr w:rsidR="00D76993" w:rsidRPr="005A6964" w:rsidTr="00D76993">
        <w:tc>
          <w:tcPr>
            <w:tcW w:w="1819" w:type="dxa"/>
            <w:tcBorders>
              <w:top w:val="single" w:sz="4" w:space="0" w:color="auto"/>
              <w:left w:val="single" w:sz="4" w:space="0" w:color="auto"/>
              <w:bottom w:val="single" w:sz="4" w:space="0" w:color="auto"/>
              <w:right w:val="single" w:sz="4" w:space="0" w:color="auto"/>
            </w:tcBorders>
            <w:hideMark/>
          </w:tcPr>
          <w:p w:rsidR="00D76993" w:rsidRPr="005A6964" w:rsidRDefault="00D76993" w:rsidP="00D76993">
            <w:pPr>
              <w:autoSpaceDE w:val="0"/>
              <w:autoSpaceDN w:val="0"/>
              <w:adjustRightInd w:val="0"/>
              <w:contextualSpacing/>
            </w:pPr>
            <w:r w:rsidRPr="005A6964">
              <w:rPr>
                <w:rFonts w:cs="Times New Roman"/>
                <w:szCs w:val="24"/>
              </w:rPr>
              <w:t>Ohio Edison</w:t>
            </w:r>
          </w:p>
        </w:tc>
        <w:tc>
          <w:tcPr>
            <w:tcW w:w="1721" w:type="dxa"/>
            <w:tcBorders>
              <w:top w:val="single" w:sz="4" w:space="0" w:color="auto"/>
              <w:left w:val="single" w:sz="4" w:space="0" w:color="auto"/>
              <w:bottom w:val="single" w:sz="4" w:space="0" w:color="auto"/>
              <w:right w:val="single" w:sz="4" w:space="0" w:color="auto"/>
            </w:tcBorders>
            <w:hideMark/>
          </w:tcPr>
          <w:p w:rsidR="00D76993" w:rsidRPr="005A6964" w:rsidRDefault="00D76993" w:rsidP="00D76993">
            <w:pPr>
              <w:autoSpaceDE w:val="0"/>
              <w:autoSpaceDN w:val="0"/>
              <w:adjustRightInd w:val="0"/>
              <w:contextualSpacing/>
            </w:pPr>
            <w:r w:rsidRPr="005A6964">
              <w:rPr>
                <w:rFonts w:cs="Times New Roman"/>
                <w:szCs w:val="24"/>
              </w:rPr>
              <w:t>11.2%</w:t>
            </w:r>
          </w:p>
        </w:tc>
        <w:tc>
          <w:tcPr>
            <w:tcW w:w="1797" w:type="dxa"/>
            <w:tcBorders>
              <w:top w:val="single" w:sz="4" w:space="0" w:color="auto"/>
              <w:left w:val="single" w:sz="4" w:space="0" w:color="auto"/>
              <w:bottom w:val="single" w:sz="4" w:space="0" w:color="auto"/>
              <w:right w:val="single" w:sz="4" w:space="0" w:color="auto"/>
            </w:tcBorders>
            <w:hideMark/>
          </w:tcPr>
          <w:p w:rsidR="00D76993" w:rsidRPr="005A6964" w:rsidRDefault="00D76993" w:rsidP="00D76993">
            <w:pPr>
              <w:autoSpaceDE w:val="0"/>
              <w:autoSpaceDN w:val="0"/>
              <w:adjustRightInd w:val="0"/>
              <w:contextualSpacing/>
            </w:pPr>
            <w:r w:rsidRPr="005A6964">
              <w:rPr>
                <w:rFonts w:cs="Times New Roman"/>
                <w:szCs w:val="24"/>
              </w:rPr>
              <w:t>8.48%</w:t>
            </w:r>
          </w:p>
        </w:tc>
        <w:tc>
          <w:tcPr>
            <w:tcW w:w="1721" w:type="dxa"/>
            <w:tcBorders>
              <w:top w:val="single" w:sz="4" w:space="0" w:color="auto"/>
              <w:left w:val="single" w:sz="4" w:space="0" w:color="auto"/>
              <w:bottom w:val="single" w:sz="4" w:space="0" w:color="auto"/>
              <w:right w:val="single" w:sz="4" w:space="0" w:color="auto"/>
            </w:tcBorders>
            <w:hideMark/>
          </w:tcPr>
          <w:p w:rsidR="00D76993" w:rsidRPr="005A6964" w:rsidRDefault="00D76993" w:rsidP="00D76993">
            <w:pPr>
              <w:autoSpaceDE w:val="0"/>
              <w:autoSpaceDN w:val="0"/>
              <w:adjustRightInd w:val="0"/>
              <w:contextualSpacing/>
            </w:pPr>
            <w:r w:rsidRPr="005A6964">
              <w:rPr>
                <w:rFonts w:cs="Times New Roman"/>
                <w:szCs w:val="24"/>
              </w:rPr>
              <w:t>16.0%</w:t>
            </w:r>
          </w:p>
        </w:tc>
        <w:tc>
          <w:tcPr>
            <w:tcW w:w="1798" w:type="dxa"/>
            <w:tcBorders>
              <w:top w:val="single" w:sz="4" w:space="0" w:color="auto"/>
              <w:left w:val="single" w:sz="4" w:space="0" w:color="auto"/>
              <w:bottom w:val="single" w:sz="4" w:space="0" w:color="auto"/>
              <w:right w:val="single" w:sz="4" w:space="0" w:color="auto"/>
            </w:tcBorders>
            <w:hideMark/>
          </w:tcPr>
          <w:p w:rsidR="00D76993" w:rsidRPr="005A6964" w:rsidRDefault="00D76993" w:rsidP="00D76993">
            <w:pPr>
              <w:autoSpaceDE w:val="0"/>
              <w:autoSpaceDN w:val="0"/>
              <w:adjustRightInd w:val="0"/>
              <w:contextualSpacing/>
            </w:pPr>
            <w:r w:rsidRPr="005A6964">
              <w:rPr>
                <w:rFonts w:cs="Times New Roman"/>
                <w:szCs w:val="24"/>
              </w:rPr>
              <w:t>10.5%</w:t>
            </w:r>
          </w:p>
        </w:tc>
      </w:tr>
      <w:tr w:rsidR="00D76993" w:rsidRPr="005A6964" w:rsidTr="00D76993">
        <w:tc>
          <w:tcPr>
            <w:tcW w:w="1819" w:type="dxa"/>
            <w:tcBorders>
              <w:top w:val="single" w:sz="4" w:space="0" w:color="auto"/>
              <w:left w:val="single" w:sz="4" w:space="0" w:color="auto"/>
              <w:bottom w:val="single" w:sz="4" w:space="0" w:color="auto"/>
              <w:right w:val="single" w:sz="4" w:space="0" w:color="auto"/>
            </w:tcBorders>
            <w:hideMark/>
          </w:tcPr>
          <w:p w:rsidR="00D76993" w:rsidRPr="005A6964" w:rsidRDefault="00D76993" w:rsidP="00D76993">
            <w:pPr>
              <w:autoSpaceDE w:val="0"/>
              <w:autoSpaceDN w:val="0"/>
              <w:adjustRightInd w:val="0"/>
              <w:contextualSpacing/>
            </w:pPr>
            <w:r w:rsidRPr="005A6964">
              <w:rPr>
                <w:rFonts w:cs="Times New Roman"/>
                <w:szCs w:val="24"/>
              </w:rPr>
              <w:t>Cleveland Electric Illuminating</w:t>
            </w:r>
          </w:p>
        </w:tc>
        <w:tc>
          <w:tcPr>
            <w:tcW w:w="1721" w:type="dxa"/>
            <w:tcBorders>
              <w:top w:val="single" w:sz="4" w:space="0" w:color="auto"/>
              <w:left w:val="single" w:sz="4" w:space="0" w:color="auto"/>
              <w:bottom w:val="single" w:sz="4" w:space="0" w:color="auto"/>
              <w:right w:val="single" w:sz="4" w:space="0" w:color="auto"/>
            </w:tcBorders>
            <w:hideMark/>
          </w:tcPr>
          <w:p w:rsidR="00D76993" w:rsidRPr="005A6964" w:rsidRDefault="00D76993" w:rsidP="00D76993">
            <w:pPr>
              <w:autoSpaceDE w:val="0"/>
              <w:autoSpaceDN w:val="0"/>
              <w:adjustRightInd w:val="0"/>
              <w:contextualSpacing/>
            </w:pPr>
            <w:r w:rsidRPr="005A6964">
              <w:rPr>
                <w:rFonts w:cs="Times New Roman"/>
                <w:szCs w:val="24"/>
              </w:rPr>
              <w:t>11.7%</w:t>
            </w:r>
          </w:p>
        </w:tc>
        <w:tc>
          <w:tcPr>
            <w:tcW w:w="1797" w:type="dxa"/>
            <w:tcBorders>
              <w:top w:val="single" w:sz="4" w:space="0" w:color="auto"/>
              <w:left w:val="single" w:sz="4" w:space="0" w:color="auto"/>
              <w:bottom w:val="single" w:sz="4" w:space="0" w:color="auto"/>
              <w:right w:val="single" w:sz="4" w:space="0" w:color="auto"/>
            </w:tcBorders>
            <w:hideMark/>
          </w:tcPr>
          <w:p w:rsidR="00D76993" w:rsidRPr="005A6964" w:rsidRDefault="00D76993" w:rsidP="00D76993">
            <w:pPr>
              <w:autoSpaceDE w:val="0"/>
              <w:autoSpaceDN w:val="0"/>
              <w:adjustRightInd w:val="0"/>
              <w:contextualSpacing/>
            </w:pPr>
            <w:r w:rsidRPr="005A6964">
              <w:rPr>
                <w:rFonts w:cs="Times New Roman"/>
                <w:szCs w:val="24"/>
              </w:rPr>
              <w:t>8.48%</w:t>
            </w:r>
          </w:p>
        </w:tc>
        <w:tc>
          <w:tcPr>
            <w:tcW w:w="1721" w:type="dxa"/>
            <w:tcBorders>
              <w:top w:val="single" w:sz="4" w:space="0" w:color="auto"/>
              <w:left w:val="single" w:sz="4" w:space="0" w:color="auto"/>
              <w:bottom w:val="single" w:sz="4" w:space="0" w:color="auto"/>
              <w:right w:val="single" w:sz="4" w:space="0" w:color="auto"/>
            </w:tcBorders>
            <w:hideMark/>
          </w:tcPr>
          <w:p w:rsidR="00D76993" w:rsidRPr="005A6964" w:rsidRDefault="00D76993" w:rsidP="00D76993">
            <w:pPr>
              <w:autoSpaceDE w:val="0"/>
              <w:autoSpaceDN w:val="0"/>
              <w:adjustRightInd w:val="0"/>
              <w:contextualSpacing/>
            </w:pPr>
            <w:r w:rsidRPr="005A6964">
              <w:rPr>
                <w:rFonts w:cs="Times New Roman"/>
                <w:szCs w:val="24"/>
              </w:rPr>
              <w:t>17.1%</w:t>
            </w:r>
          </w:p>
        </w:tc>
        <w:tc>
          <w:tcPr>
            <w:tcW w:w="1798" w:type="dxa"/>
            <w:tcBorders>
              <w:top w:val="single" w:sz="4" w:space="0" w:color="auto"/>
              <w:left w:val="single" w:sz="4" w:space="0" w:color="auto"/>
              <w:bottom w:val="single" w:sz="4" w:space="0" w:color="auto"/>
              <w:right w:val="single" w:sz="4" w:space="0" w:color="auto"/>
            </w:tcBorders>
            <w:hideMark/>
          </w:tcPr>
          <w:p w:rsidR="00D76993" w:rsidRPr="005A6964" w:rsidRDefault="00D76993" w:rsidP="00D76993">
            <w:pPr>
              <w:autoSpaceDE w:val="0"/>
              <w:autoSpaceDN w:val="0"/>
              <w:adjustRightInd w:val="0"/>
              <w:contextualSpacing/>
            </w:pPr>
            <w:r w:rsidRPr="005A6964">
              <w:rPr>
                <w:rFonts w:cs="Times New Roman"/>
                <w:szCs w:val="24"/>
              </w:rPr>
              <w:t>10.5%</w:t>
            </w:r>
          </w:p>
        </w:tc>
      </w:tr>
      <w:tr w:rsidR="00D76993" w:rsidRPr="005A6964" w:rsidTr="00D76993">
        <w:tc>
          <w:tcPr>
            <w:tcW w:w="1819" w:type="dxa"/>
            <w:tcBorders>
              <w:top w:val="single" w:sz="4" w:space="0" w:color="auto"/>
              <w:left w:val="single" w:sz="4" w:space="0" w:color="auto"/>
              <w:bottom w:val="single" w:sz="4" w:space="0" w:color="auto"/>
              <w:right w:val="single" w:sz="4" w:space="0" w:color="auto"/>
            </w:tcBorders>
            <w:hideMark/>
          </w:tcPr>
          <w:p w:rsidR="00D76993" w:rsidRPr="005A6964" w:rsidRDefault="00D76993" w:rsidP="00D76993">
            <w:pPr>
              <w:autoSpaceDE w:val="0"/>
              <w:autoSpaceDN w:val="0"/>
              <w:adjustRightInd w:val="0"/>
              <w:contextualSpacing/>
            </w:pPr>
            <w:r w:rsidRPr="005A6964">
              <w:rPr>
                <w:rFonts w:cs="Times New Roman"/>
                <w:szCs w:val="24"/>
              </w:rPr>
              <w:t>Toledo Edison</w:t>
            </w:r>
          </w:p>
        </w:tc>
        <w:tc>
          <w:tcPr>
            <w:tcW w:w="1721" w:type="dxa"/>
            <w:tcBorders>
              <w:top w:val="single" w:sz="4" w:space="0" w:color="auto"/>
              <w:left w:val="single" w:sz="4" w:space="0" w:color="auto"/>
              <w:bottom w:val="single" w:sz="4" w:space="0" w:color="auto"/>
              <w:right w:val="single" w:sz="4" w:space="0" w:color="auto"/>
            </w:tcBorders>
            <w:hideMark/>
          </w:tcPr>
          <w:p w:rsidR="00D76993" w:rsidRPr="005A6964" w:rsidRDefault="00D76993" w:rsidP="00D76993">
            <w:pPr>
              <w:autoSpaceDE w:val="0"/>
              <w:autoSpaceDN w:val="0"/>
              <w:adjustRightInd w:val="0"/>
              <w:contextualSpacing/>
            </w:pPr>
            <w:r w:rsidRPr="005A6964">
              <w:rPr>
                <w:rFonts w:cs="Times New Roman"/>
                <w:szCs w:val="24"/>
              </w:rPr>
              <w:t>10.7%</w:t>
            </w:r>
          </w:p>
        </w:tc>
        <w:tc>
          <w:tcPr>
            <w:tcW w:w="1797" w:type="dxa"/>
            <w:tcBorders>
              <w:top w:val="single" w:sz="4" w:space="0" w:color="auto"/>
              <w:left w:val="single" w:sz="4" w:space="0" w:color="auto"/>
              <w:bottom w:val="single" w:sz="4" w:space="0" w:color="auto"/>
              <w:right w:val="single" w:sz="4" w:space="0" w:color="auto"/>
            </w:tcBorders>
            <w:hideMark/>
          </w:tcPr>
          <w:p w:rsidR="00D76993" w:rsidRPr="005A6964" w:rsidRDefault="00D76993" w:rsidP="00D76993">
            <w:pPr>
              <w:autoSpaceDE w:val="0"/>
              <w:autoSpaceDN w:val="0"/>
              <w:adjustRightInd w:val="0"/>
              <w:contextualSpacing/>
            </w:pPr>
            <w:r w:rsidRPr="005A6964">
              <w:rPr>
                <w:rFonts w:cs="Times New Roman"/>
                <w:szCs w:val="24"/>
              </w:rPr>
              <w:t>8.48%</w:t>
            </w:r>
          </w:p>
        </w:tc>
        <w:tc>
          <w:tcPr>
            <w:tcW w:w="1721" w:type="dxa"/>
            <w:tcBorders>
              <w:top w:val="single" w:sz="4" w:space="0" w:color="auto"/>
              <w:left w:val="single" w:sz="4" w:space="0" w:color="auto"/>
              <w:bottom w:val="single" w:sz="4" w:space="0" w:color="auto"/>
              <w:right w:val="single" w:sz="4" w:space="0" w:color="auto"/>
            </w:tcBorders>
            <w:hideMark/>
          </w:tcPr>
          <w:p w:rsidR="00D76993" w:rsidRPr="005A6964" w:rsidRDefault="00D76993" w:rsidP="00D76993">
            <w:pPr>
              <w:autoSpaceDE w:val="0"/>
              <w:autoSpaceDN w:val="0"/>
              <w:adjustRightInd w:val="0"/>
              <w:contextualSpacing/>
            </w:pPr>
            <w:r w:rsidRPr="005A6964">
              <w:rPr>
                <w:rFonts w:cs="Times New Roman"/>
                <w:szCs w:val="24"/>
              </w:rPr>
              <w:t>15.1%</w:t>
            </w:r>
          </w:p>
        </w:tc>
        <w:tc>
          <w:tcPr>
            <w:tcW w:w="1798" w:type="dxa"/>
            <w:tcBorders>
              <w:top w:val="single" w:sz="4" w:space="0" w:color="auto"/>
              <w:left w:val="single" w:sz="4" w:space="0" w:color="auto"/>
              <w:bottom w:val="single" w:sz="4" w:space="0" w:color="auto"/>
              <w:right w:val="single" w:sz="4" w:space="0" w:color="auto"/>
            </w:tcBorders>
            <w:hideMark/>
          </w:tcPr>
          <w:p w:rsidR="00D76993" w:rsidRPr="005A6964" w:rsidRDefault="00D76993" w:rsidP="00D76993">
            <w:pPr>
              <w:autoSpaceDE w:val="0"/>
              <w:autoSpaceDN w:val="0"/>
              <w:adjustRightInd w:val="0"/>
              <w:contextualSpacing/>
            </w:pPr>
            <w:r w:rsidRPr="005A6964">
              <w:rPr>
                <w:rFonts w:cs="Times New Roman"/>
                <w:szCs w:val="24"/>
              </w:rPr>
              <w:t>10.5%</w:t>
            </w:r>
          </w:p>
        </w:tc>
      </w:tr>
    </w:tbl>
    <w:p w:rsidR="00D76993" w:rsidRPr="005A6964" w:rsidRDefault="00D76993" w:rsidP="00D76993">
      <w:pPr>
        <w:spacing w:after="0" w:line="240" w:lineRule="auto"/>
      </w:pPr>
    </w:p>
    <w:p w:rsidR="00D76993" w:rsidRPr="005A6964" w:rsidRDefault="00D76993" w:rsidP="00D76993">
      <w:pPr>
        <w:spacing w:after="0" w:line="480" w:lineRule="auto"/>
      </w:pPr>
      <w:r w:rsidRPr="005A6964">
        <w:t xml:space="preserve">A base distribution rate case freeze when the </w:t>
      </w:r>
      <w:r w:rsidR="000E4EB8" w:rsidRPr="005A6964">
        <w:t>utility</w:t>
      </w:r>
      <w:r w:rsidRPr="005A6964">
        <w:t xml:space="preserve"> is earning in excess of its earned return on equity only ensure</w:t>
      </w:r>
      <w:r w:rsidR="00DB2306" w:rsidRPr="005A6964">
        <w:t>s</w:t>
      </w:r>
      <w:r w:rsidRPr="005A6964">
        <w:t xml:space="preserve"> that </w:t>
      </w:r>
      <w:r w:rsidR="000E4EB8" w:rsidRPr="005A6964">
        <w:t xml:space="preserve">it </w:t>
      </w:r>
      <w:r w:rsidRPr="005A6964">
        <w:t xml:space="preserve">will keep reaping profits on the backs of its customers. </w:t>
      </w:r>
      <w:r w:rsidR="00B12590" w:rsidRPr="005A6964">
        <w:t>OCC Witness Kahal testified that the rate freeze means that the PUCO cannot examine (and adjust) distribution rates that customers will pay for sixteen years</w:t>
      </w:r>
      <w:r w:rsidRPr="005A6964">
        <w:t>:</w:t>
      </w:r>
    </w:p>
    <w:p w:rsidR="00D76993" w:rsidRPr="005A6964" w:rsidRDefault="00D76993" w:rsidP="00D76993">
      <w:pPr>
        <w:spacing w:after="0" w:line="240" w:lineRule="auto"/>
        <w:ind w:left="1440" w:right="720"/>
      </w:pPr>
      <w:r w:rsidRPr="005A6964">
        <w:t>A base rate case investigation is long overdue for the FE Utilities. The new Stipulation means that there will be no detailed rate case-type review of cost of service and rate of return for at least 16 years, i.e., 2008 to 2024. Such a delay in examining the reasonableness of distribution rates and rate of return is an improper departure from cost-based ratemaking and is unfair to customers.</w:t>
      </w:r>
      <w:r w:rsidRPr="005A6964">
        <w:rPr>
          <w:rStyle w:val="FootnoteReference"/>
        </w:rPr>
        <w:footnoteReference w:id="112"/>
      </w:r>
    </w:p>
    <w:p w:rsidR="00D76993" w:rsidRPr="005A6964" w:rsidRDefault="00D76993" w:rsidP="00D76993">
      <w:pPr>
        <w:spacing w:after="0" w:line="240" w:lineRule="auto"/>
        <w:ind w:left="720"/>
      </w:pPr>
    </w:p>
    <w:p w:rsidR="003D1FAA" w:rsidRPr="005A6964" w:rsidRDefault="00AB7BB1" w:rsidP="002C5E9D">
      <w:pPr>
        <w:spacing w:after="0" w:line="480" w:lineRule="auto"/>
      </w:pPr>
      <w:r w:rsidRPr="005A6964">
        <w:t>FirstEnergy claim</w:t>
      </w:r>
      <w:r w:rsidR="00DB2306" w:rsidRPr="005A6964">
        <w:t>s</w:t>
      </w:r>
      <w:r w:rsidRPr="005A6964">
        <w:t xml:space="preserve"> that a base distribution freeze benefits customers by providing stability and consisten</w:t>
      </w:r>
      <w:r w:rsidR="00DB2306" w:rsidRPr="005A6964">
        <w:t xml:space="preserve">cy.  But </w:t>
      </w:r>
      <w:r w:rsidRPr="005A6964">
        <w:t>FirstEnergy is consistently overcharging its customers for these distribution costs</w:t>
      </w:r>
      <w:r w:rsidR="00C55196" w:rsidRPr="005A6964">
        <w:t>.  R</w:t>
      </w:r>
      <w:r w:rsidR="00D61F38" w:rsidRPr="005A6964">
        <w:t xml:space="preserve">ates should be decreased </w:t>
      </w:r>
      <w:r w:rsidR="00C55196" w:rsidRPr="005A6964">
        <w:t>--</w:t>
      </w:r>
      <w:r w:rsidR="00D61F38" w:rsidRPr="005A6964">
        <w:t xml:space="preserve"> not kept at the same level</w:t>
      </w:r>
      <w:r w:rsidRPr="005A6964">
        <w:t>.</w:t>
      </w:r>
      <w:r w:rsidR="00113D8A" w:rsidRPr="005A6964" w:rsidDel="00113D8A">
        <w:t xml:space="preserve"> </w:t>
      </w:r>
    </w:p>
    <w:p w:rsidR="00D76993" w:rsidRPr="005A6964" w:rsidRDefault="00D76993" w:rsidP="0083673C">
      <w:pPr>
        <w:pStyle w:val="Heading6"/>
      </w:pPr>
      <w:bookmarkStart w:id="30" w:name="_Toc444269016"/>
      <w:r w:rsidRPr="005A6964">
        <w:t>(e)</w:t>
      </w:r>
      <w:r w:rsidRPr="005A6964">
        <w:tab/>
        <w:t xml:space="preserve">Straight-Fixed Variable rate design </w:t>
      </w:r>
      <w:r w:rsidR="00703F42" w:rsidRPr="005A6964">
        <w:t>will harm</w:t>
      </w:r>
      <w:r w:rsidR="00D61F38" w:rsidRPr="005A6964">
        <w:t>,</w:t>
      </w:r>
      <w:r w:rsidR="00703F42" w:rsidRPr="005A6964">
        <w:t xml:space="preserve"> not </w:t>
      </w:r>
      <w:r w:rsidRPr="005A6964">
        <w:t>benefit</w:t>
      </w:r>
      <w:r w:rsidR="00D61F38" w:rsidRPr="005A6964">
        <w:t>,</w:t>
      </w:r>
      <w:r w:rsidRPr="005A6964">
        <w:t xml:space="preserve"> </w:t>
      </w:r>
      <w:r w:rsidR="00703F42" w:rsidRPr="005A6964">
        <w:t>customers</w:t>
      </w:r>
      <w:r w:rsidRPr="005A6964">
        <w:t>.</w:t>
      </w:r>
      <w:bookmarkEnd w:id="30"/>
    </w:p>
    <w:p w:rsidR="00F3162E" w:rsidRPr="005A6964" w:rsidRDefault="00D76993" w:rsidP="00D76993">
      <w:pPr>
        <w:spacing w:after="0" w:line="480" w:lineRule="auto"/>
        <w:ind w:firstLine="720"/>
      </w:pPr>
      <w:r w:rsidRPr="005A6964">
        <w:t xml:space="preserve">There is a </w:t>
      </w:r>
      <w:r w:rsidR="00F3162E" w:rsidRPr="005A6964">
        <w:t xml:space="preserve">sad </w:t>
      </w:r>
      <w:r w:rsidRPr="005A6964">
        <w:t xml:space="preserve">irony </w:t>
      </w:r>
      <w:r w:rsidR="00F3162E" w:rsidRPr="005A6964">
        <w:t xml:space="preserve">for Ohioans </w:t>
      </w:r>
      <w:r w:rsidRPr="005A6964">
        <w:t>in FirstEnergy</w:t>
      </w:r>
      <w:r w:rsidR="003D1FAA" w:rsidRPr="005A6964">
        <w:t>’s</w:t>
      </w:r>
      <w:r w:rsidRPr="005A6964">
        <w:t xml:space="preserve"> </w:t>
      </w:r>
      <w:r w:rsidR="00703F42" w:rsidRPr="005A6964">
        <w:t>new</w:t>
      </w:r>
      <w:r w:rsidR="00F3162E" w:rsidRPr="005A6964">
        <w:t>-</w:t>
      </w:r>
      <w:r w:rsidR="00703F42" w:rsidRPr="005A6964">
        <w:t xml:space="preserve">found </w:t>
      </w:r>
      <w:r w:rsidR="00D712E5" w:rsidRPr="005A6964">
        <w:t>attraction to</w:t>
      </w:r>
      <w:r w:rsidR="00703F42" w:rsidRPr="005A6964">
        <w:t xml:space="preserve"> </w:t>
      </w:r>
      <w:r w:rsidRPr="005A6964">
        <w:t>straight-fixed variable</w:t>
      </w:r>
      <w:r w:rsidR="003D1FAA" w:rsidRPr="005A6964">
        <w:t xml:space="preserve"> (“SFV”)</w:t>
      </w:r>
      <w:r w:rsidRPr="005A6964">
        <w:t xml:space="preserve"> rate design</w:t>
      </w:r>
      <w:r w:rsidR="00703F42" w:rsidRPr="005A6964">
        <w:t xml:space="preserve">.  No less than 4 years ago FirstEnergy vehemently fought against </w:t>
      </w:r>
      <w:r w:rsidR="003D1FAA" w:rsidRPr="005A6964">
        <w:t>SFV</w:t>
      </w:r>
      <w:r w:rsidR="00F3162E" w:rsidRPr="005A6964">
        <w:t xml:space="preserve"> and high fixed charges to customers</w:t>
      </w:r>
      <w:r w:rsidR="00703F42" w:rsidRPr="005A6964">
        <w:t>. FirstEnergy</w:t>
      </w:r>
      <w:r w:rsidR="00D712E5" w:rsidRPr="005A6964">
        <w:t>’s</w:t>
      </w:r>
      <w:r w:rsidR="00703F42" w:rsidRPr="005A6964">
        <w:t xml:space="preserve"> comments </w:t>
      </w:r>
      <w:r w:rsidR="003D1FAA" w:rsidRPr="005A6964">
        <w:t>at</w:t>
      </w:r>
      <w:r w:rsidR="00703F42" w:rsidRPr="005A6964">
        <w:t xml:space="preserve"> the PUCO are replete with claims that </w:t>
      </w:r>
      <w:r w:rsidR="003D1FAA" w:rsidRPr="005A6964">
        <w:t xml:space="preserve">SFV </w:t>
      </w:r>
      <w:r w:rsidR="00113D8A" w:rsidRPr="005A6964">
        <w:t xml:space="preserve">rate design </w:t>
      </w:r>
      <w:r w:rsidR="00703F42" w:rsidRPr="005A6964">
        <w:t xml:space="preserve">will harm customers and should not be adopted. </w:t>
      </w:r>
      <w:r w:rsidRPr="005A6964">
        <w:rPr>
          <w:rStyle w:val="FootnoteReference"/>
        </w:rPr>
        <w:footnoteReference w:id="113"/>
      </w:r>
      <w:r w:rsidRPr="005A6964">
        <w:t xml:space="preserve"> </w:t>
      </w:r>
      <w:r w:rsidR="00F3162E" w:rsidRPr="005A6964">
        <w:t>But regulatory principles quickly give way to profit</w:t>
      </w:r>
      <w:r w:rsidR="00D712E5" w:rsidRPr="005A6964">
        <w:t xml:space="preserve"> objectives</w:t>
      </w:r>
      <w:r w:rsidR="00F3162E" w:rsidRPr="005A6964">
        <w:t xml:space="preserve"> for FirstEnergy. </w:t>
      </w:r>
    </w:p>
    <w:p w:rsidR="00D76993" w:rsidRPr="005A6964" w:rsidRDefault="00F3162E" w:rsidP="00D76993">
      <w:pPr>
        <w:spacing w:after="0" w:line="480" w:lineRule="auto"/>
        <w:ind w:firstLine="720"/>
      </w:pPr>
      <w:r w:rsidRPr="005A6964">
        <w:t xml:space="preserve">To barter for a PPA, </w:t>
      </w:r>
      <w:r w:rsidR="00703F42" w:rsidRPr="005A6964">
        <w:t>FirstEnergy largely ignores its previous comments</w:t>
      </w:r>
      <w:r w:rsidRPr="005A6964">
        <w:t xml:space="preserve"> against SFV.</w:t>
      </w:r>
      <w:r w:rsidR="00703F42" w:rsidRPr="005A6964">
        <w:t xml:space="preserve"> </w:t>
      </w:r>
      <w:r w:rsidRPr="005A6964">
        <w:t xml:space="preserve"> I</w:t>
      </w:r>
      <w:r w:rsidR="00703F42" w:rsidRPr="005A6964">
        <w:t>nstead</w:t>
      </w:r>
      <w:r w:rsidRPr="005A6964">
        <w:t>, it</w:t>
      </w:r>
      <w:r w:rsidR="00703F42" w:rsidRPr="005A6964">
        <w:t xml:space="preserve"> </w:t>
      </w:r>
      <w:r w:rsidR="00D76993" w:rsidRPr="005A6964">
        <w:t>claims that it</w:t>
      </w:r>
      <w:r w:rsidR="00703F42" w:rsidRPr="005A6964">
        <w:t xml:space="preserve"> is offering a </w:t>
      </w:r>
      <w:r w:rsidR="00D76993" w:rsidRPr="005A6964">
        <w:t xml:space="preserve"> transition to straight-fixed variable rate design </w:t>
      </w:r>
      <w:r w:rsidR="00703F42" w:rsidRPr="005A6964">
        <w:t xml:space="preserve">that is consistent with </w:t>
      </w:r>
      <w:r w:rsidR="00D76993" w:rsidRPr="005A6964">
        <w:t>the principle of gradualism</w:t>
      </w:r>
      <w:r w:rsidR="000324CF" w:rsidRPr="005A6964">
        <w:t>,</w:t>
      </w:r>
      <w:r w:rsidR="00D76993" w:rsidRPr="005A6964">
        <w:rPr>
          <w:rStyle w:val="FootnoteReference"/>
        </w:rPr>
        <w:footnoteReference w:id="114"/>
      </w:r>
      <w:r w:rsidR="00703F42" w:rsidRPr="005A6964">
        <w:t xml:space="preserve"> FirstEnergy's new</w:t>
      </w:r>
      <w:r w:rsidR="00D712E5" w:rsidRPr="005A6964">
        <w:t>-</w:t>
      </w:r>
      <w:r w:rsidR="00703F42" w:rsidRPr="005A6964">
        <w:t xml:space="preserve">found </w:t>
      </w:r>
      <w:r w:rsidR="00D712E5" w:rsidRPr="005A6964">
        <w:t xml:space="preserve">interest in </w:t>
      </w:r>
      <w:r w:rsidR="003D1FAA" w:rsidRPr="005A6964">
        <w:t>SFV</w:t>
      </w:r>
      <w:r w:rsidR="00703F42" w:rsidRPr="005A6964">
        <w:t xml:space="preserve"> rate design does </w:t>
      </w:r>
      <w:r w:rsidR="00C55196" w:rsidRPr="005A6964">
        <w:t xml:space="preserve">not </w:t>
      </w:r>
      <w:r w:rsidR="00D712E5" w:rsidRPr="005A6964">
        <w:t>overcome</w:t>
      </w:r>
      <w:r w:rsidR="00703F42" w:rsidRPr="005A6964">
        <w:t xml:space="preserve"> the serious issues raised by it and others </w:t>
      </w:r>
      <w:r w:rsidR="003D1FAA" w:rsidRPr="005A6964">
        <w:t>previously at the PUCO</w:t>
      </w:r>
      <w:r w:rsidR="00703F42" w:rsidRPr="005A6964">
        <w:t>.</w:t>
      </w:r>
      <w:r w:rsidR="00D76993" w:rsidRPr="005A6964">
        <w:rPr>
          <w:rStyle w:val="FootnoteReference"/>
        </w:rPr>
        <w:footnoteReference w:id="115"/>
      </w:r>
      <w:r w:rsidR="00D76993" w:rsidRPr="005A6964">
        <w:t xml:space="preserve"> </w:t>
      </w:r>
    </w:p>
    <w:p w:rsidR="00D76993" w:rsidRPr="005A6964" w:rsidRDefault="00D76993" w:rsidP="00D76993">
      <w:pPr>
        <w:spacing w:after="0" w:line="480" w:lineRule="auto"/>
        <w:ind w:firstLine="720"/>
      </w:pPr>
      <w:r w:rsidRPr="005A6964">
        <w:t xml:space="preserve">FirstEnergy </w:t>
      </w:r>
      <w:r w:rsidR="00D712E5" w:rsidRPr="005A6964">
        <w:t xml:space="preserve">previously </w:t>
      </w:r>
      <w:r w:rsidR="00703F42" w:rsidRPr="005A6964">
        <w:t xml:space="preserve">articulated </w:t>
      </w:r>
      <w:r w:rsidR="00D712E5" w:rsidRPr="005A6964">
        <w:t xml:space="preserve">that </w:t>
      </w:r>
      <w:r w:rsidRPr="005A6964">
        <w:t xml:space="preserve">shifting cost recovery </w:t>
      </w:r>
      <w:r w:rsidR="00D712E5" w:rsidRPr="005A6964">
        <w:t xml:space="preserve">using </w:t>
      </w:r>
      <w:r w:rsidRPr="005A6964">
        <w:t>straight-fixed variable rate design could harm at</w:t>
      </w:r>
      <w:r w:rsidR="00D712E5" w:rsidRPr="005A6964">
        <w:t>-</w:t>
      </w:r>
      <w:r w:rsidRPr="005A6964">
        <w:t xml:space="preserve">risk populations </w:t>
      </w:r>
      <w:r w:rsidR="006B0116" w:rsidRPr="005A6964">
        <w:t>by placing a greater burden on low-income, low-use customers and increasing the costs to the USF Rider.</w:t>
      </w:r>
      <w:r w:rsidR="006B0116" w:rsidRPr="005A6964">
        <w:rPr>
          <w:rStyle w:val="FootnoteReference"/>
        </w:rPr>
        <w:footnoteReference w:id="116"/>
      </w:r>
      <w:r w:rsidRPr="005A6964">
        <w:t xml:space="preserve"> </w:t>
      </w:r>
      <w:r w:rsidR="00A7621E" w:rsidRPr="005A6964">
        <w:t xml:space="preserve">This </w:t>
      </w:r>
      <w:r w:rsidRPr="005A6964">
        <w:t xml:space="preserve">is </w:t>
      </w:r>
      <w:r w:rsidR="003D1FAA" w:rsidRPr="005A6964">
        <w:t>in</w:t>
      </w:r>
      <w:r w:rsidRPr="005A6964">
        <w:t>consistent with the policies articulated in Ohio law.</w:t>
      </w:r>
      <w:r w:rsidRPr="005A6964">
        <w:rPr>
          <w:rStyle w:val="FootnoteReference"/>
        </w:rPr>
        <w:footnoteReference w:id="117"/>
      </w:r>
      <w:r w:rsidR="003D1FAA" w:rsidRPr="005A6964">
        <w:t xml:space="preserve"> SFV </w:t>
      </w:r>
      <w:r w:rsidR="00C55196" w:rsidRPr="005A6964">
        <w:t xml:space="preserve">also </w:t>
      </w:r>
      <w:r w:rsidR="003D1FAA" w:rsidRPr="005A6964">
        <w:t>undermines price signals and disincentiv</w:t>
      </w:r>
      <w:r w:rsidR="009A5A27" w:rsidRPr="005A6964">
        <w:t>iz</w:t>
      </w:r>
      <w:r w:rsidR="003D1FAA" w:rsidRPr="005A6964">
        <w:t>es</w:t>
      </w:r>
      <w:r w:rsidR="009A5A27" w:rsidRPr="005A6964">
        <w:t xml:space="preserve"> conservation and peak</w:t>
      </w:r>
      <w:r w:rsidR="00D712E5" w:rsidRPr="005A6964">
        <w:t>-</w:t>
      </w:r>
      <w:r w:rsidR="009A5A27" w:rsidRPr="005A6964">
        <w:t>demand reduction.</w:t>
      </w:r>
      <w:r w:rsidR="009A5A27" w:rsidRPr="005A6964">
        <w:rPr>
          <w:rStyle w:val="FootnoteReference"/>
        </w:rPr>
        <w:footnoteReference w:id="118"/>
      </w:r>
      <w:r w:rsidR="009A5A27" w:rsidRPr="005A6964">
        <w:t xml:space="preserve"> Additionally, </w:t>
      </w:r>
      <w:r w:rsidR="00D712E5" w:rsidRPr="005A6964">
        <w:t>SFV</w:t>
      </w:r>
      <w:r w:rsidR="009A5A27" w:rsidRPr="005A6964">
        <w:t xml:space="preserve"> places a greater burden on low</w:t>
      </w:r>
      <w:r w:rsidR="00D712E5" w:rsidRPr="005A6964">
        <w:t>-</w:t>
      </w:r>
      <w:r w:rsidR="009A5A27" w:rsidRPr="005A6964">
        <w:t>usage customers</w:t>
      </w:r>
      <w:r w:rsidR="00C55196" w:rsidRPr="005A6964">
        <w:t>.</w:t>
      </w:r>
      <w:r w:rsidR="009A5A27" w:rsidRPr="005A6964">
        <w:rPr>
          <w:rStyle w:val="FootnoteReference"/>
        </w:rPr>
        <w:footnoteReference w:id="119"/>
      </w:r>
      <w:r w:rsidR="003D1FAA" w:rsidRPr="005A6964">
        <w:t xml:space="preserve"> </w:t>
      </w:r>
      <w:r w:rsidRPr="005A6964">
        <w:t xml:space="preserve"> OCC has discussed these harms at length in its </w:t>
      </w:r>
      <w:r w:rsidR="00C55196" w:rsidRPr="005A6964">
        <w:t>I</w:t>
      </w:r>
      <w:r w:rsidRPr="005A6964">
        <w:t xml:space="preserve">nitial </w:t>
      </w:r>
      <w:r w:rsidR="00C55196" w:rsidRPr="005A6964">
        <w:t>B</w:t>
      </w:r>
      <w:r w:rsidRPr="005A6964">
        <w:t>rief.</w:t>
      </w:r>
      <w:r w:rsidRPr="005A6964">
        <w:rPr>
          <w:rStyle w:val="FootnoteReference"/>
        </w:rPr>
        <w:footnoteReference w:id="120"/>
      </w:r>
      <w:r w:rsidRPr="005A6964">
        <w:t xml:space="preserve"> </w:t>
      </w:r>
      <w:r w:rsidR="00703F42" w:rsidRPr="005A6964">
        <w:t xml:space="preserve">  These are not benefits of the stipulated ESP. </w:t>
      </w:r>
      <w:r w:rsidR="00C55196" w:rsidRPr="005A6964">
        <w:t xml:space="preserve"> </w:t>
      </w:r>
      <w:r w:rsidR="00703F42" w:rsidRPr="005A6964">
        <w:t xml:space="preserve">It would be unreasonable for the PUCO to </w:t>
      </w:r>
      <w:r w:rsidR="009A5A27" w:rsidRPr="005A6964">
        <w:t>adopt th</w:t>
      </w:r>
      <w:r w:rsidR="00D712E5" w:rsidRPr="005A6964">
        <w:t>is</w:t>
      </w:r>
      <w:r w:rsidR="009A5A27" w:rsidRPr="005A6964">
        <w:t xml:space="preserve"> provision</w:t>
      </w:r>
      <w:r w:rsidR="00703F42" w:rsidRPr="005A6964">
        <w:t xml:space="preserve">.  </w:t>
      </w:r>
    </w:p>
    <w:p w:rsidR="00D76993" w:rsidRPr="005A6964" w:rsidRDefault="00D76993" w:rsidP="0083673C">
      <w:pPr>
        <w:pStyle w:val="Heading6"/>
      </w:pPr>
      <w:bookmarkStart w:id="31" w:name="_Toc444269017"/>
      <w:r w:rsidRPr="005A6964">
        <w:t>(f)</w:t>
      </w:r>
      <w:r w:rsidRPr="005A6964">
        <w:tab/>
        <w:t>FirstEnergy’s other claimed qualitative benefits are overstated or non-existent</w:t>
      </w:r>
      <w:r w:rsidR="00A012B8" w:rsidRPr="005A6964">
        <w:t xml:space="preserve"> for customers</w:t>
      </w:r>
      <w:r w:rsidRPr="005A6964">
        <w:t>.</w:t>
      </w:r>
      <w:bookmarkEnd w:id="31"/>
    </w:p>
    <w:p w:rsidR="00703F42" w:rsidRPr="005A6964" w:rsidRDefault="00D76993" w:rsidP="00D76993">
      <w:pPr>
        <w:spacing w:after="0" w:line="480" w:lineRule="auto"/>
        <w:ind w:firstLine="720"/>
      </w:pPr>
      <w:r w:rsidRPr="005A6964">
        <w:t xml:space="preserve">In addition to the dubious benefits discussed above, FirstEnergy claims a number of additional qualitative benefits that follow the pattern of being either non-existent, overstated or </w:t>
      </w:r>
      <w:r w:rsidR="00C55196" w:rsidRPr="005A6964">
        <w:t>harmful</w:t>
      </w:r>
      <w:r w:rsidRPr="005A6964">
        <w:t xml:space="preserve"> to customers. These various touted “benefits” include avoided transmission costs</w:t>
      </w:r>
      <w:r w:rsidR="00802BBE" w:rsidRPr="005A6964">
        <w:t>,</w:t>
      </w:r>
      <w:r w:rsidRPr="005A6964">
        <w:rPr>
          <w:rStyle w:val="FootnoteReference"/>
        </w:rPr>
        <w:footnoteReference w:id="121"/>
      </w:r>
      <w:r w:rsidRPr="005A6964">
        <w:t xml:space="preserve"> grid modernization,</w:t>
      </w:r>
      <w:r w:rsidRPr="005A6964">
        <w:rPr>
          <w:rStyle w:val="FootnoteReference"/>
        </w:rPr>
        <w:footnoteReference w:id="122"/>
      </w:r>
      <w:r w:rsidRPr="005A6964">
        <w:t xml:space="preserve"> increased environmental compliance,</w:t>
      </w:r>
      <w:r w:rsidRPr="005A6964">
        <w:rPr>
          <w:rStyle w:val="FootnoteReference"/>
        </w:rPr>
        <w:footnoteReference w:id="123"/>
      </w:r>
      <w:r w:rsidRPr="005A6964">
        <w:t xml:space="preserve"> and economic development.</w:t>
      </w:r>
      <w:r w:rsidRPr="005A6964">
        <w:rPr>
          <w:rStyle w:val="FootnoteReference"/>
        </w:rPr>
        <w:footnoteReference w:id="124"/>
      </w:r>
      <w:r w:rsidRPr="005A6964">
        <w:t xml:space="preserve"> These supposed benefits are discussed in greater length at other portions in the brief. These provisions do not provide the </w:t>
      </w:r>
      <w:r w:rsidR="00C55196" w:rsidRPr="005A6964">
        <w:t>alleged</w:t>
      </w:r>
      <w:r w:rsidRPr="005A6964">
        <w:t xml:space="preserve"> qualitative benefits to consumers and should be discounted as part of the ESP versus MRO test. </w:t>
      </w:r>
    </w:p>
    <w:p w:rsidR="00D76993" w:rsidRPr="005A6964" w:rsidRDefault="00D76993" w:rsidP="00D76993">
      <w:pPr>
        <w:spacing w:after="0" w:line="480" w:lineRule="auto"/>
        <w:ind w:firstLine="720"/>
      </w:pPr>
      <w:r w:rsidRPr="005A6964">
        <w:t>With almost no qualitative benefits, a large amount of qualitative detriments, and a quantitative cost of nearly $3 billion</w:t>
      </w:r>
      <w:r w:rsidR="00802BBE" w:rsidRPr="005A6964">
        <w:t>,</w:t>
      </w:r>
      <w:r w:rsidRPr="005A6964">
        <w:rPr>
          <w:rStyle w:val="FootnoteReference"/>
        </w:rPr>
        <w:footnoteReference w:id="125"/>
      </w:r>
      <w:r w:rsidRPr="005A6964">
        <w:t xml:space="preserve"> the PUCO should reject the stipulated ESP and require FirstEnergy to file an MRO. </w:t>
      </w:r>
    </w:p>
    <w:p w:rsidR="003027FA" w:rsidRPr="005A6964" w:rsidRDefault="003027FA" w:rsidP="003027FA">
      <w:pPr>
        <w:pStyle w:val="Heading4"/>
      </w:pPr>
      <w:bookmarkStart w:id="32" w:name="_Toc444269018"/>
      <w:r w:rsidRPr="005A6964">
        <w:t>d.</w:t>
      </w:r>
      <w:r w:rsidRPr="005A6964">
        <w:tab/>
      </w:r>
      <w:r w:rsidR="00A012B8" w:rsidRPr="005A6964">
        <w:t>The power purchase agreement (</w:t>
      </w:r>
      <w:r w:rsidRPr="005A6964">
        <w:t>Rider RRS</w:t>
      </w:r>
      <w:r w:rsidR="00A012B8" w:rsidRPr="005A6964">
        <w:t>)</w:t>
      </w:r>
      <w:r w:rsidRPr="005A6964">
        <w:t xml:space="preserve"> is not an authorized provision </w:t>
      </w:r>
      <w:r w:rsidR="002506CD" w:rsidRPr="005A6964">
        <w:t xml:space="preserve">that FirstEnergy can </w:t>
      </w:r>
      <w:r w:rsidR="00A012B8" w:rsidRPr="005A6964">
        <w:t xml:space="preserve">use to </w:t>
      </w:r>
      <w:r w:rsidR="002506CD" w:rsidRPr="005A6964">
        <w:t xml:space="preserve">charge customers </w:t>
      </w:r>
      <w:r w:rsidRPr="005A6964">
        <w:t>under Ohio law</w:t>
      </w:r>
      <w:r w:rsidR="000324CF" w:rsidRPr="005A6964">
        <w:t>.</w:t>
      </w:r>
      <w:bookmarkEnd w:id="32"/>
      <w:r w:rsidRPr="005A6964">
        <w:t xml:space="preserve"> </w:t>
      </w:r>
    </w:p>
    <w:p w:rsidR="00B85277" w:rsidRPr="005A6964" w:rsidRDefault="003027FA" w:rsidP="003027FA">
      <w:pPr>
        <w:spacing w:after="0" w:line="480" w:lineRule="auto"/>
        <w:ind w:firstLine="720"/>
        <w:rPr>
          <w:rFonts w:cs="Times New Roman"/>
          <w:bCs/>
          <w:szCs w:val="24"/>
        </w:rPr>
      </w:pPr>
      <w:r w:rsidRPr="005A6964">
        <w:rPr>
          <w:rFonts w:cs="Times New Roman"/>
          <w:bCs/>
          <w:szCs w:val="24"/>
        </w:rPr>
        <w:t>In responding to the third prong of the stipulation</w:t>
      </w:r>
      <w:r w:rsidR="00A012B8" w:rsidRPr="005A6964">
        <w:rPr>
          <w:rFonts w:cs="Times New Roman"/>
          <w:bCs/>
          <w:szCs w:val="24"/>
        </w:rPr>
        <w:t xml:space="preserve"> (</w:t>
      </w:r>
      <w:r w:rsidR="00C55196" w:rsidRPr="005A6964">
        <w:rPr>
          <w:rFonts w:cs="Times New Roman"/>
          <w:bCs/>
          <w:szCs w:val="24"/>
        </w:rPr>
        <w:t>that the stipulation does not violate principles and practices</w:t>
      </w:r>
      <w:r w:rsidR="00A012B8" w:rsidRPr="005A6964">
        <w:rPr>
          <w:rFonts w:cs="Times New Roman"/>
          <w:bCs/>
          <w:szCs w:val="24"/>
        </w:rPr>
        <w:t>)</w:t>
      </w:r>
      <w:r w:rsidRPr="005A6964">
        <w:rPr>
          <w:rFonts w:cs="Times New Roman"/>
          <w:bCs/>
          <w:szCs w:val="24"/>
        </w:rPr>
        <w:t>, FirstEnergy, OEG, and NUCOR assert that Rider RRS is authorized under Ohio law.</w:t>
      </w:r>
      <w:r w:rsidRPr="005A6964">
        <w:rPr>
          <w:rStyle w:val="FootnoteReference"/>
          <w:rFonts w:cs="Times New Roman"/>
          <w:bCs/>
          <w:szCs w:val="24"/>
        </w:rPr>
        <w:footnoteReference w:id="126"/>
      </w:r>
      <w:r w:rsidRPr="005A6964">
        <w:rPr>
          <w:rFonts w:cs="Times New Roman"/>
          <w:bCs/>
          <w:szCs w:val="24"/>
        </w:rPr>
        <w:t xml:space="preserve"> These signatory parties rely heavily on the PUCO's Order in AEP's recent electric security plan</w:t>
      </w:r>
      <w:r w:rsidR="00B85277" w:rsidRPr="005A6964">
        <w:rPr>
          <w:rFonts w:cs="Times New Roman"/>
          <w:bCs/>
          <w:szCs w:val="24"/>
        </w:rPr>
        <w:t xml:space="preserve"> case</w:t>
      </w:r>
      <w:r w:rsidRPr="005A6964">
        <w:rPr>
          <w:rFonts w:cs="Times New Roman"/>
          <w:bCs/>
          <w:szCs w:val="24"/>
        </w:rPr>
        <w:t>, Case No. 13-2385-EL-SSO.</w:t>
      </w:r>
      <w:r w:rsidRPr="005A6964">
        <w:rPr>
          <w:rStyle w:val="FootnoteReference"/>
          <w:rFonts w:cs="Times New Roman"/>
          <w:bCs/>
          <w:szCs w:val="24"/>
        </w:rPr>
        <w:footnoteReference w:id="127"/>
      </w:r>
      <w:r w:rsidRPr="005A6964">
        <w:rPr>
          <w:rFonts w:cs="Times New Roman"/>
          <w:bCs/>
          <w:szCs w:val="24"/>
        </w:rPr>
        <w:t xml:space="preserve">  That reliance is misplaced.  </w:t>
      </w:r>
      <w:r w:rsidR="00773D4C" w:rsidRPr="005A6964">
        <w:rPr>
          <w:rFonts w:cs="Times New Roman"/>
          <w:bCs/>
          <w:szCs w:val="24"/>
        </w:rPr>
        <w:t xml:space="preserve">The PUCO has </w:t>
      </w:r>
      <w:r w:rsidRPr="005A6964">
        <w:rPr>
          <w:rFonts w:cs="Times New Roman"/>
          <w:bCs/>
          <w:szCs w:val="24"/>
        </w:rPr>
        <w:t>evade</w:t>
      </w:r>
      <w:r w:rsidR="00113D8A" w:rsidRPr="005A6964">
        <w:rPr>
          <w:rFonts w:cs="Times New Roman"/>
          <w:bCs/>
          <w:szCs w:val="24"/>
        </w:rPr>
        <w:t>d</w:t>
      </w:r>
      <w:r w:rsidRPr="005A6964">
        <w:rPr>
          <w:rFonts w:cs="Times New Roman"/>
          <w:bCs/>
          <w:szCs w:val="24"/>
        </w:rPr>
        <w:t xml:space="preserve"> Supreme Cour</w:t>
      </w:r>
      <w:r w:rsidR="00B85277" w:rsidRPr="005A6964">
        <w:rPr>
          <w:rFonts w:cs="Times New Roman"/>
          <w:bCs/>
          <w:szCs w:val="24"/>
        </w:rPr>
        <w:t>t review</w:t>
      </w:r>
      <w:r w:rsidR="00773D4C" w:rsidRPr="005A6964">
        <w:rPr>
          <w:rFonts w:cs="Times New Roman"/>
          <w:bCs/>
          <w:szCs w:val="24"/>
        </w:rPr>
        <w:t xml:space="preserve"> to date</w:t>
      </w:r>
      <w:r w:rsidR="00B85277" w:rsidRPr="005A6964">
        <w:rPr>
          <w:rFonts w:cs="Times New Roman"/>
          <w:bCs/>
          <w:szCs w:val="24"/>
        </w:rPr>
        <w:t xml:space="preserve">, </w:t>
      </w:r>
      <w:r w:rsidR="00113D8A" w:rsidRPr="005A6964">
        <w:rPr>
          <w:rFonts w:cs="Times New Roman"/>
          <w:bCs/>
          <w:szCs w:val="24"/>
        </w:rPr>
        <w:t xml:space="preserve">because </w:t>
      </w:r>
      <w:r w:rsidR="00773D4C" w:rsidRPr="005A6964">
        <w:rPr>
          <w:rFonts w:cs="Times New Roman"/>
          <w:bCs/>
          <w:szCs w:val="24"/>
        </w:rPr>
        <w:t>it has delayed issuing a ruling on rehearing</w:t>
      </w:r>
      <w:r w:rsidRPr="005A6964">
        <w:rPr>
          <w:rFonts w:cs="Times New Roman"/>
          <w:bCs/>
          <w:szCs w:val="24"/>
        </w:rPr>
        <w:t xml:space="preserve">.  </w:t>
      </w:r>
    </w:p>
    <w:p w:rsidR="003027FA" w:rsidRPr="005A6964" w:rsidRDefault="003027FA" w:rsidP="003027FA">
      <w:pPr>
        <w:spacing w:after="0" w:line="480" w:lineRule="auto"/>
        <w:ind w:firstLine="720"/>
        <w:rPr>
          <w:rFonts w:cs="Times New Roman"/>
          <w:bCs/>
          <w:szCs w:val="24"/>
        </w:rPr>
      </w:pPr>
      <w:r w:rsidRPr="005A6964">
        <w:rPr>
          <w:rFonts w:cs="Times New Roman"/>
          <w:bCs/>
          <w:szCs w:val="24"/>
        </w:rPr>
        <w:t>OCC, along with others (including IEU Ohio, OPAE, IGS</w:t>
      </w:r>
      <w:r w:rsidRPr="005A6964">
        <w:rPr>
          <w:rStyle w:val="FootnoteReference"/>
          <w:rFonts w:cs="Times New Roman"/>
          <w:bCs/>
          <w:szCs w:val="24"/>
        </w:rPr>
        <w:footnoteReference w:id="128"/>
      </w:r>
      <w:r w:rsidRPr="005A6964">
        <w:rPr>
          <w:rFonts w:cs="Times New Roman"/>
          <w:bCs/>
          <w:szCs w:val="24"/>
        </w:rPr>
        <w:t>), filed an Application for Rehearing asking the PUCO to grant rehearing on numerous PUCO findings related to AEP Ohio's purchase power agreement rider ("PPA Rider").</w:t>
      </w:r>
      <w:r w:rsidRPr="005A6964">
        <w:rPr>
          <w:rStyle w:val="FootnoteReference"/>
          <w:rFonts w:cs="Times New Roman"/>
          <w:bCs/>
          <w:szCs w:val="24"/>
        </w:rPr>
        <w:footnoteReference w:id="129"/>
      </w:r>
      <w:r w:rsidRPr="005A6964">
        <w:rPr>
          <w:rFonts w:cs="Times New Roman"/>
          <w:bCs/>
          <w:szCs w:val="24"/>
        </w:rPr>
        <w:t xml:space="preserve"> Included in OCC's application for rehearing were claims that the PUCO erred in determining the PPA Rider is a "financial limitation on customer shopping" (under R.C. 4928.143(B)(2)(d)</w:t>
      </w:r>
      <w:r w:rsidR="00B85277" w:rsidRPr="005A6964">
        <w:rPr>
          <w:rFonts w:cs="Times New Roman"/>
          <w:bCs/>
          <w:szCs w:val="24"/>
        </w:rPr>
        <w:t>)</w:t>
      </w:r>
      <w:r w:rsidRPr="005A6964">
        <w:rPr>
          <w:rFonts w:cs="Times New Roman"/>
          <w:bCs/>
          <w:szCs w:val="24"/>
        </w:rPr>
        <w:t xml:space="preserve"> and that the PPA rider provides rate stability or certainty as required under </w:t>
      </w:r>
      <w:r w:rsidR="00B85277" w:rsidRPr="005A6964">
        <w:rPr>
          <w:rFonts w:cs="Times New Roman"/>
          <w:bCs/>
          <w:szCs w:val="24"/>
        </w:rPr>
        <w:t>that statute.</w:t>
      </w:r>
      <w:r w:rsidRPr="005A6964">
        <w:rPr>
          <w:rStyle w:val="FootnoteReference"/>
          <w:rFonts w:cs="Times New Roman"/>
          <w:bCs/>
          <w:szCs w:val="24"/>
        </w:rPr>
        <w:footnoteReference w:id="130"/>
      </w:r>
      <w:r w:rsidRPr="005A6964">
        <w:rPr>
          <w:rFonts w:cs="Times New Roman"/>
          <w:bCs/>
          <w:szCs w:val="24"/>
        </w:rPr>
        <w:t xml:space="preserve"> IEU made similar and additional claims against AEP Ohio's PPA Rider.</w:t>
      </w:r>
      <w:r w:rsidR="00B85277" w:rsidRPr="005A6964">
        <w:rPr>
          <w:rStyle w:val="FootnoteReference"/>
          <w:rFonts w:cs="Times New Roman"/>
          <w:bCs/>
          <w:szCs w:val="24"/>
        </w:rPr>
        <w:footnoteReference w:id="131"/>
      </w:r>
      <w:r w:rsidRPr="005A6964">
        <w:rPr>
          <w:rFonts w:cs="Times New Roman"/>
          <w:bCs/>
          <w:szCs w:val="24"/>
        </w:rPr>
        <w:t xml:space="preserve">  </w:t>
      </w:r>
    </w:p>
    <w:p w:rsidR="003027FA" w:rsidRPr="005A6964" w:rsidRDefault="003027FA" w:rsidP="003027FA">
      <w:pPr>
        <w:spacing w:after="0" w:line="480" w:lineRule="auto"/>
        <w:ind w:firstLine="720"/>
        <w:rPr>
          <w:rFonts w:cs="Times New Roman"/>
          <w:bCs/>
          <w:szCs w:val="24"/>
        </w:rPr>
      </w:pPr>
      <w:r w:rsidRPr="005A6964">
        <w:rPr>
          <w:rFonts w:cs="Times New Roman"/>
          <w:bCs/>
          <w:szCs w:val="24"/>
        </w:rPr>
        <w:t>Initially, th</w:t>
      </w:r>
      <w:r w:rsidR="00B85277" w:rsidRPr="005A6964">
        <w:rPr>
          <w:rFonts w:cs="Times New Roman"/>
          <w:bCs/>
          <w:szCs w:val="24"/>
        </w:rPr>
        <w:t>e PUCO granted OCC's (and others</w:t>
      </w:r>
      <w:r w:rsidRPr="005A6964">
        <w:rPr>
          <w:rFonts w:cs="Times New Roman"/>
          <w:bCs/>
          <w:szCs w:val="24"/>
        </w:rPr>
        <w:t>') application for rehearing, to allow it to further consider matters specified in the applications.</w:t>
      </w:r>
      <w:r w:rsidRPr="005A6964">
        <w:rPr>
          <w:rStyle w:val="FootnoteReference"/>
          <w:rFonts w:cs="Times New Roman"/>
          <w:bCs/>
          <w:szCs w:val="24"/>
        </w:rPr>
        <w:footnoteReference w:id="132"/>
      </w:r>
      <w:r w:rsidRPr="005A6964">
        <w:rPr>
          <w:rFonts w:cs="Times New Roman"/>
          <w:bCs/>
          <w:szCs w:val="24"/>
        </w:rPr>
        <w:t xml:space="preserve"> In a subsequent entry on rehearin</w:t>
      </w:r>
      <w:r w:rsidR="00B85277" w:rsidRPr="005A6964">
        <w:rPr>
          <w:rFonts w:cs="Times New Roman"/>
          <w:bCs/>
          <w:szCs w:val="24"/>
        </w:rPr>
        <w:t>g ("Second Entry on Rehearing"),</w:t>
      </w:r>
      <w:r w:rsidRPr="005A6964">
        <w:rPr>
          <w:rFonts w:cs="Times New Roman"/>
          <w:bCs/>
          <w:szCs w:val="24"/>
        </w:rPr>
        <w:t xml:space="preserve"> issued May 28, 2015, the PUCO determined that it "will defer ruling on the assignments of error related to the PPA at this time."</w:t>
      </w:r>
      <w:r w:rsidRPr="005A6964">
        <w:rPr>
          <w:rStyle w:val="FootnoteReference"/>
          <w:rFonts w:cs="Times New Roman"/>
          <w:bCs/>
          <w:szCs w:val="24"/>
        </w:rPr>
        <w:footnoteReference w:id="133"/>
      </w:r>
      <w:r w:rsidRPr="005A6964">
        <w:rPr>
          <w:rFonts w:cs="Times New Roman"/>
          <w:bCs/>
          <w:szCs w:val="24"/>
        </w:rPr>
        <w:t xml:space="preserve">  OCC (and others) applied for rehearing on the PUCO's decision to defer ruling on the earlier applications for rehearing </w:t>
      </w:r>
      <w:r w:rsidR="00B85277" w:rsidRPr="005A6964">
        <w:rPr>
          <w:rFonts w:cs="Times New Roman"/>
          <w:bCs/>
          <w:szCs w:val="24"/>
        </w:rPr>
        <w:t xml:space="preserve">of </w:t>
      </w:r>
      <w:r w:rsidRPr="005A6964">
        <w:rPr>
          <w:rFonts w:cs="Times New Roman"/>
          <w:bCs/>
          <w:szCs w:val="24"/>
        </w:rPr>
        <w:t>the PPA Rider issues.</w:t>
      </w:r>
      <w:r w:rsidRPr="005A6964">
        <w:rPr>
          <w:rStyle w:val="FootnoteReference"/>
          <w:rFonts w:cs="Times New Roman"/>
          <w:bCs/>
          <w:szCs w:val="24"/>
        </w:rPr>
        <w:footnoteReference w:id="134"/>
      </w:r>
      <w:r w:rsidRPr="005A6964">
        <w:rPr>
          <w:rFonts w:cs="Times New Roman"/>
          <w:bCs/>
          <w:szCs w:val="24"/>
        </w:rPr>
        <w:t xml:space="preserve"> The PUCO (in a Third Entry on Rehearing) granted rehearing, once again, to allow further consideration on matters raised in the applications.</w:t>
      </w:r>
      <w:r w:rsidRPr="005A6964">
        <w:rPr>
          <w:rStyle w:val="FootnoteReference"/>
          <w:rFonts w:cs="Times New Roman"/>
          <w:bCs/>
          <w:szCs w:val="24"/>
        </w:rPr>
        <w:footnoteReference w:id="135"/>
      </w:r>
      <w:r w:rsidRPr="005A6964">
        <w:rPr>
          <w:rFonts w:cs="Times New Roman"/>
          <w:bCs/>
          <w:szCs w:val="24"/>
        </w:rPr>
        <w:t xml:space="preserve"> </w:t>
      </w:r>
      <w:r w:rsidR="00523155" w:rsidRPr="005A6964">
        <w:rPr>
          <w:rFonts w:cs="Times New Roman"/>
          <w:bCs/>
          <w:szCs w:val="24"/>
        </w:rPr>
        <w:t>Since July 22, 2015, n</w:t>
      </w:r>
      <w:r w:rsidRPr="005A6964">
        <w:rPr>
          <w:rFonts w:cs="Times New Roman"/>
          <w:bCs/>
          <w:szCs w:val="24"/>
        </w:rPr>
        <w:t>o subsequent PUCO entry has been issued to resolve the pending issues on rehearing.</w:t>
      </w:r>
    </w:p>
    <w:p w:rsidR="003027FA" w:rsidRPr="005A6964" w:rsidRDefault="003027FA" w:rsidP="003027FA">
      <w:pPr>
        <w:spacing w:after="0" w:line="480" w:lineRule="auto"/>
        <w:ind w:firstLine="720"/>
        <w:rPr>
          <w:rFonts w:cs="Times New Roman"/>
          <w:bCs/>
          <w:szCs w:val="24"/>
        </w:rPr>
      </w:pPr>
      <w:r w:rsidRPr="005A6964">
        <w:rPr>
          <w:rFonts w:cs="Times New Roman"/>
          <w:bCs/>
          <w:szCs w:val="24"/>
        </w:rPr>
        <w:t>Nonetheless, three notices of appeals were filed of the PUCO</w:t>
      </w:r>
      <w:r w:rsidR="00B85277" w:rsidRPr="005A6964">
        <w:rPr>
          <w:rFonts w:cs="Times New Roman"/>
          <w:bCs/>
          <w:szCs w:val="24"/>
        </w:rPr>
        <w:t>'</w:t>
      </w:r>
      <w:r w:rsidRPr="005A6964">
        <w:rPr>
          <w:rFonts w:cs="Times New Roman"/>
          <w:bCs/>
          <w:szCs w:val="24"/>
        </w:rPr>
        <w:t>s decision.  IEU Ohio, OCC, and ELPC (together with OEC and EDF) all filed appeals.  The PUCO however, moved to dismiss the appeals, arguing, inter alia, that its decision is an "interim Order" and does not reflect its "ultimate decision."</w:t>
      </w:r>
      <w:r w:rsidRPr="005A6964">
        <w:rPr>
          <w:rStyle w:val="FootnoteReference"/>
          <w:rFonts w:cs="Times New Roman"/>
          <w:bCs/>
          <w:szCs w:val="24"/>
        </w:rPr>
        <w:footnoteReference w:id="136"/>
      </w:r>
      <w:r w:rsidRPr="005A6964">
        <w:rPr>
          <w:rFonts w:cs="Times New Roman"/>
          <w:bCs/>
          <w:szCs w:val="24"/>
        </w:rPr>
        <w:t xml:space="preserve">  The Supreme Court agreed, and dismissed all three appeals.</w:t>
      </w:r>
      <w:r w:rsidRPr="005A6964">
        <w:rPr>
          <w:rStyle w:val="FootnoteReference"/>
          <w:rFonts w:cs="Times New Roman"/>
          <w:bCs/>
          <w:szCs w:val="24"/>
        </w:rPr>
        <w:footnoteReference w:id="137"/>
      </w:r>
      <w:r w:rsidRPr="005A6964">
        <w:rPr>
          <w:rFonts w:cs="Times New Roman"/>
          <w:bCs/>
          <w:szCs w:val="24"/>
        </w:rPr>
        <w:t xml:space="preserve">  </w:t>
      </w:r>
    </w:p>
    <w:p w:rsidR="003027FA" w:rsidRPr="005A6964" w:rsidRDefault="003027FA" w:rsidP="003027FA">
      <w:pPr>
        <w:spacing w:after="0" w:line="480" w:lineRule="auto"/>
        <w:ind w:firstLine="720"/>
        <w:rPr>
          <w:rFonts w:cs="Times New Roman"/>
          <w:bCs/>
          <w:szCs w:val="24"/>
        </w:rPr>
      </w:pPr>
      <w:r w:rsidRPr="005A6964">
        <w:rPr>
          <w:rFonts w:cs="Times New Roman"/>
          <w:bCs/>
          <w:szCs w:val="24"/>
        </w:rPr>
        <w:t xml:space="preserve">The </w:t>
      </w:r>
      <w:r w:rsidR="00B85277" w:rsidRPr="005A6964">
        <w:rPr>
          <w:rFonts w:cs="Times New Roman"/>
          <w:bCs/>
          <w:szCs w:val="24"/>
        </w:rPr>
        <w:t xml:space="preserve">AEP ESP </w:t>
      </w:r>
      <w:r w:rsidRPr="005A6964">
        <w:rPr>
          <w:rFonts w:cs="Times New Roman"/>
          <w:bCs/>
          <w:szCs w:val="24"/>
        </w:rPr>
        <w:t xml:space="preserve">Order cannot be relied upon, given the PUCO's rulings, and the ruling of the Ohio Supreme Court.  Thus, the PUCO cannot give its AEP Ohio Order the precedential weight urged by the signatory parties. The </w:t>
      </w:r>
      <w:r w:rsidR="00B85277" w:rsidRPr="005A6964">
        <w:rPr>
          <w:rFonts w:cs="Times New Roman"/>
          <w:bCs/>
          <w:szCs w:val="24"/>
        </w:rPr>
        <w:t>s</w:t>
      </w:r>
      <w:r w:rsidRPr="005A6964">
        <w:rPr>
          <w:rFonts w:cs="Times New Roman"/>
          <w:bCs/>
          <w:szCs w:val="24"/>
        </w:rPr>
        <w:t>ignatory parties</w:t>
      </w:r>
      <w:r w:rsidR="00FF05A1" w:rsidRPr="005A6964">
        <w:rPr>
          <w:rFonts w:cs="Times New Roman"/>
          <w:bCs/>
          <w:szCs w:val="24"/>
        </w:rPr>
        <w:t>’</w:t>
      </w:r>
      <w:r w:rsidRPr="005A6964">
        <w:rPr>
          <w:rFonts w:cs="Times New Roman"/>
          <w:bCs/>
          <w:szCs w:val="24"/>
        </w:rPr>
        <w:t xml:space="preserve"> claims must stand on their own, based upon the record developed in this case.  And the claims</w:t>
      </w:r>
      <w:r w:rsidR="00B85277" w:rsidRPr="005A6964">
        <w:rPr>
          <w:rFonts w:cs="Times New Roman"/>
          <w:bCs/>
          <w:szCs w:val="24"/>
        </w:rPr>
        <w:t>,</w:t>
      </w:r>
      <w:r w:rsidRPr="005A6964">
        <w:rPr>
          <w:rFonts w:cs="Times New Roman"/>
          <w:bCs/>
          <w:szCs w:val="24"/>
        </w:rPr>
        <w:t xml:space="preserve"> considered on their own</w:t>
      </w:r>
      <w:r w:rsidR="00B85277" w:rsidRPr="005A6964">
        <w:rPr>
          <w:rFonts w:cs="Times New Roman"/>
          <w:bCs/>
          <w:szCs w:val="24"/>
        </w:rPr>
        <w:t>,</w:t>
      </w:r>
      <w:r w:rsidRPr="005A6964">
        <w:rPr>
          <w:rFonts w:cs="Times New Roman"/>
          <w:bCs/>
          <w:szCs w:val="24"/>
        </w:rPr>
        <w:t xml:space="preserve"> must fail.</w:t>
      </w:r>
    </w:p>
    <w:p w:rsidR="00B85277" w:rsidRPr="005A6964" w:rsidRDefault="003027FA" w:rsidP="00860E50">
      <w:pPr>
        <w:spacing w:after="0" w:line="480" w:lineRule="auto"/>
        <w:ind w:firstLine="720"/>
        <w:rPr>
          <w:rFonts w:cs="Times New Roman"/>
          <w:bCs/>
          <w:szCs w:val="24"/>
        </w:rPr>
      </w:pPr>
      <w:r w:rsidRPr="005A6964">
        <w:rPr>
          <w:rFonts w:cs="Times New Roman"/>
          <w:bCs/>
          <w:szCs w:val="24"/>
        </w:rPr>
        <w:t>While OCC/NO</w:t>
      </w:r>
      <w:r w:rsidR="00B85277" w:rsidRPr="005A6964">
        <w:rPr>
          <w:rFonts w:cs="Times New Roman"/>
          <w:bCs/>
          <w:szCs w:val="24"/>
        </w:rPr>
        <w:t>AC</w:t>
      </w:r>
      <w:r w:rsidRPr="005A6964">
        <w:rPr>
          <w:rFonts w:cs="Times New Roman"/>
          <w:bCs/>
          <w:szCs w:val="24"/>
        </w:rPr>
        <w:t xml:space="preserve"> concede that the Rider RRS is likely to qualify as a "term, condition or charge" under R.C. 4928.143(B)(2)</w:t>
      </w:r>
      <w:r w:rsidR="00B85277" w:rsidRPr="005A6964">
        <w:rPr>
          <w:rFonts w:cs="Times New Roman"/>
          <w:bCs/>
          <w:szCs w:val="24"/>
        </w:rPr>
        <w:t>(d)</w:t>
      </w:r>
      <w:r w:rsidRPr="005A6964">
        <w:rPr>
          <w:rFonts w:cs="Times New Roman"/>
          <w:bCs/>
          <w:szCs w:val="24"/>
        </w:rPr>
        <w:t>, it fails to meet the other two criteria under R.C. 4928.143(B)(2):  that it is a charge that is defined under the statute,</w:t>
      </w:r>
      <w:r w:rsidRPr="005A6964">
        <w:rPr>
          <w:rStyle w:val="FootnoteReference"/>
          <w:rFonts w:cs="Times New Roman"/>
          <w:bCs/>
          <w:szCs w:val="24"/>
        </w:rPr>
        <w:footnoteReference w:id="138"/>
      </w:r>
      <w:r w:rsidRPr="005A6964">
        <w:rPr>
          <w:rFonts w:cs="Times New Roman"/>
          <w:bCs/>
          <w:szCs w:val="24"/>
        </w:rPr>
        <w:t xml:space="preserve"> and it stabilizes and provides certainty regarding retail electric service. </w:t>
      </w:r>
    </w:p>
    <w:p w:rsidR="003027FA" w:rsidRPr="005A6964" w:rsidRDefault="003027FA" w:rsidP="00860E50">
      <w:pPr>
        <w:spacing w:after="0" w:line="480" w:lineRule="auto"/>
        <w:ind w:firstLine="720"/>
        <w:rPr>
          <w:rFonts w:cs="Times New Roman"/>
          <w:bCs/>
          <w:szCs w:val="24"/>
        </w:rPr>
      </w:pPr>
      <w:r w:rsidRPr="005A6964">
        <w:rPr>
          <w:rFonts w:cs="Times New Roman"/>
          <w:bCs/>
          <w:szCs w:val="24"/>
        </w:rPr>
        <w:t>The signatory parties allege that Rider RRS is a "limitation on customer shopping," and is related to "bypassability" and "default service."</w:t>
      </w:r>
      <w:r w:rsidRPr="005A6964">
        <w:rPr>
          <w:rStyle w:val="FootnoteReference"/>
          <w:rFonts w:cs="Times New Roman"/>
          <w:bCs/>
          <w:szCs w:val="24"/>
        </w:rPr>
        <w:footnoteReference w:id="139"/>
      </w:r>
      <w:r w:rsidRPr="005A6964">
        <w:rPr>
          <w:rFonts w:cs="Times New Roman"/>
          <w:bCs/>
          <w:szCs w:val="24"/>
        </w:rPr>
        <w:t xml:space="preserve"> These</w:t>
      </w:r>
      <w:r w:rsidR="00B85277" w:rsidRPr="005A6964">
        <w:rPr>
          <w:rFonts w:cs="Times New Roman"/>
          <w:bCs/>
          <w:szCs w:val="24"/>
        </w:rPr>
        <w:t>,</w:t>
      </w:r>
      <w:r w:rsidRPr="005A6964">
        <w:rPr>
          <w:rFonts w:cs="Times New Roman"/>
          <w:bCs/>
          <w:szCs w:val="24"/>
        </w:rPr>
        <w:t xml:space="preserve"> however, are not cogent arguments.  The PUCO should not accept them.  Additionally, the PUCO should not accept the Utilities' claim that Rider RRS will stabilize and provide certainty regarding retail electric service.  Finally, the PUCO should reject claims that Rider RRS may be included in an electric security plan because it is a provision "under which the electric distribution utility may implement economic dev</w:t>
      </w:r>
      <w:r w:rsidR="00FF05A1" w:rsidRPr="005A6964">
        <w:rPr>
          <w:rFonts w:cs="Times New Roman"/>
          <w:bCs/>
          <w:szCs w:val="24"/>
        </w:rPr>
        <w:t>e</w:t>
      </w:r>
      <w:r w:rsidRPr="005A6964">
        <w:rPr>
          <w:rFonts w:cs="Times New Roman"/>
          <w:bCs/>
          <w:szCs w:val="24"/>
        </w:rPr>
        <w:t>lop</w:t>
      </w:r>
      <w:r w:rsidR="00FF05A1" w:rsidRPr="005A6964">
        <w:rPr>
          <w:rFonts w:cs="Times New Roman"/>
          <w:bCs/>
          <w:szCs w:val="24"/>
        </w:rPr>
        <w:t>ment</w:t>
      </w:r>
      <w:r w:rsidRPr="005A6964">
        <w:rPr>
          <w:rFonts w:cs="Times New Roman"/>
          <w:bCs/>
          <w:szCs w:val="24"/>
        </w:rPr>
        <w:t xml:space="preserve">" under R.C. 4928.142(B)(2)(i).  These claims will be discussed in detail below.  </w:t>
      </w:r>
    </w:p>
    <w:p w:rsidR="003027FA" w:rsidRPr="005A6964" w:rsidRDefault="003027FA" w:rsidP="00B30CAE">
      <w:pPr>
        <w:pStyle w:val="Heading5"/>
      </w:pPr>
      <w:bookmarkStart w:id="33" w:name="_Toc444269019"/>
      <w:r w:rsidRPr="005A6964">
        <w:t>i.</w:t>
      </w:r>
      <w:r w:rsidRPr="005A6964">
        <w:tab/>
        <w:t xml:space="preserve"> Rider RRS is not a financial limitation on shopping</w:t>
      </w:r>
      <w:r w:rsidR="002506CD" w:rsidRPr="005A6964">
        <w:t xml:space="preserve"> by customers</w:t>
      </w:r>
      <w:bookmarkEnd w:id="33"/>
    </w:p>
    <w:p w:rsidR="00B85277" w:rsidRPr="005A6964" w:rsidRDefault="003027FA" w:rsidP="003027FA">
      <w:pPr>
        <w:spacing w:after="0" w:line="480" w:lineRule="auto"/>
        <w:ind w:firstLine="720"/>
        <w:rPr>
          <w:rFonts w:cs="Times New Roman"/>
          <w:bCs/>
          <w:szCs w:val="24"/>
        </w:rPr>
      </w:pPr>
      <w:r w:rsidRPr="005A6964">
        <w:rPr>
          <w:rFonts w:cs="Times New Roman"/>
          <w:bCs/>
          <w:szCs w:val="24"/>
        </w:rPr>
        <w:t>The signatory parties spend very little time explaining how Rider RRS constitutes a "limitation on customer shopping" under R.C. 4928.143(B)(2)(d).  Apart from discussing the non-final AEP Ohio Order, there is no record cite that</w:t>
      </w:r>
      <w:r w:rsidR="00685DD6" w:rsidRPr="005A6964">
        <w:rPr>
          <w:rFonts w:cs="Times New Roman"/>
          <w:bCs/>
          <w:szCs w:val="24"/>
        </w:rPr>
        <w:t xml:space="preserve"> </w:t>
      </w:r>
      <w:r w:rsidR="00523155" w:rsidRPr="005A6964">
        <w:rPr>
          <w:rFonts w:cs="Times New Roman"/>
          <w:bCs/>
          <w:szCs w:val="24"/>
        </w:rPr>
        <w:t>supports</w:t>
      </w:r>
      <w:r w:rsidRPr="005A6964">
        <w:rPr>
          <w:rFonts w:cs="Times New Roman"/>
          <w:bCs/>
          <w:szCs w:val="24"/>
        </w:rPr>
        <w:t xml:space="preserve"> this claim.  While FirstEnergy provides a transcript cite (Tr. I at 43;18-44)</w:t>
      </w:r>
      <w:r w:rsidRPr="005A6964">
        <w:rPr>
          <w:rStyle w:val="FootnoteReference"/>
          <w:rFonts w:cs="Times New Roman"/>
          <w:bCs/>
          <w:szCs w:val="24"/>
        </w:rPr>
        <w:footnoteReference w:id="140"/>
      </w:r>
      <w:r w:rsidRPr="005A6964">
        <w:rPr>
          <w:rFonts w:cs="Times New Roman"/>
          <w:bCs/>
          <w:szCs w:val="24"/>
        </w:rPr>
        <w:t xml:space="preserve"> for its claim, that cite only provides Ms.</w:t>
      </w:r>
      <w:r w:rsidR="00037F6E" w:rsidRPr="005A6964">
        <w:rPr>
          <w:rFonts w:cs="Times New Roman"/>
          <w:bCs/>
          <w:szCs w:val="24"/>
        </w:rPr>
        <w:t xml:space="preserve"> </w:t>
      </w:r>
      <w:r w:rsidRPr="005A6964">
        <w:rPr>
          <w:rFonts w:cs="Times New Roman"/>
          <w:bCs/>
          <w:szCs w:val="24"/>
        </w:rPr>
        <w:t xml:space="preserve">Mikkelsen's thoughts on how Rider RRS amounts to a charge.  Ms. Mikkelsen never testified that Rider RRS is a "limitation on customer shopping."  </w:t>
      </w:r>
    </w:p>
    <w:p w:rsidR="003027FA" w:rsidRPr="005A6964" w:rsidRDefault="003027FA" w:rsidP="003027FA">
      <w:pPr>
        <w:spacing w:after="0" w:line="480" w:lineRule="auto"/>
        <w:ind w:firstLine="720"/>
        <w:rPr>
          <w:rFonts w:cs="Times New Roman"/>
          <w:bCs/>
          <w:szCs w:val="24"/>
        </w:rPr>
      </w:pPr>
      <w:r w:rsidRPr="005A6964">
        <w:rPr>
          <w:rFonts w:cs="Times New Roman"/>
          <w:bCs/>
          <w:szCs w:val="24"/>
        </w:rPr>
        <w:t xml:space="preserve">The PUCO is bound to make decisions here, based on the record developed in this proceeding. See R.C. 4903.09 </w:t>
      </w:r>
      <w:r w:rsidR="00037F6E" w:rsidRPr="005A6964">
        <w:rPr>
          <w:rFonts w:cs="Times New Roman"/>
          <w:bCs/>
          <w:szCs w:val="24"/>
        </w:rPr>
        <w:t>requiring</w:t>
      </w:r>
      <w:r w:rsidRPr="005A6964">
        <w:rPr>
          <w:rFonts w:cs="Times New Roman"/>
          <w:bCs/>
          <w:szCs w:val="24"/>
        </w:rPr>
        <w:t xml:space="preserve"> the PUCO to set forth "findings of fact and written opinions setting forth the reason</w:t>
      </w:r>
      <w:r w:rsidR="004F2E85" w:rsidRPr="005A6964">
        <w:rPr>
          <w:rFonts w:cs="Times New Roman"/>
          <w:bCs/>
          <w:szCs w:val="24"/>
        </w:rPr>
        <w:t>s</w:t>
      </w:r>
      <w:r w:rsidRPr="005A6964">
        <w:rPr>
          <w:rFonts w:cs="Times New Roman"/>
          <w:bCs/>
          <w:szCs w:val="24"/>
        </w:rPr>
        <w:t xml:space="preserve"> prompting the decisions arrived at, based upon said findings of fact."  There </w:t>
      </w:r>
      <w:r w:rsidR="00FF05A1" w:rsidRPr="005A6964">
        <w:rPr>
          <w:rFonts w:cs="Times New Roman"/>
          <w:bCs/>
          <w:szCs w:val="24"/>
        </w:rPr>
        <w:t>are</w:t>
      </w:r>
      <w:r w:rsidRPr="005A6964">
        <w:rPr>
          <w:rFonts w:cs="Times New Roman"/>
          <w:bCs/>
          <w:szCs w:val="24"/>
        </w:rPr>
        <w:t xml:space="preserve"> no facts or evidence in the record here that Rider RRS is a "limitation on customer shopping." Instead there are legal arguments, presented for the first time on brief, unsupported by facts or testimony.    The PUCO should on this basis alone reject Rider RRS.  But there are </w:t>
      </w:r>
      <w:r w:rsidR="00B85277" w:rsidRPr="005A6964">
        <w:rPr>
          <w:rFonts w:cs="Times New Roman"/>
          <w:bCs/>
          <w:szCs w:val="24"/>
        </w:rPr>
        <w:t xml:space="preserve">also </w:t>
      </w:r>
      <w:r w:rsidRPr="005A6964">
        <w:rPr>
          <w:rFonts w:cs="Times New Roman"/>
          <w:bCs/>
          <w:szCs w:val="24"/>
        </w:rPr>
        <w:t xml:space="preserve">more reasons to do so. </w:t>
      </w:r>
    </w:p>
    <w:p w:rsidR="00B85277" w:rsidRPr="005A6964" w:rsidRDefault="003027FA" w:rsidP="003027FA">
      <w:pPr>
        <w:spacing w:after="0" w:line="480" w:lineRule="auto"/>
        <w:ind w:firstLine="720"/>
      </w:pPr>
      <w:r w:rsidRPr="005A6964">
        <w:t>Key to the determination of whether Rider RRS constitutes a “limitation on customer shopping</w:t>
      </w:r>
      <w:r w:rsidR="00B85277" w:rsidRPr="005A6964">
        <w:t>” is the interpretation of these words.  S</w:t>
      </w:r>
      <w:r w:rsidRPr="005A6964">
        <w:t xml:space="preserve">pecifically, </w:t>
      </w:r>
      <w:r w:rsidR="00B85277" w:rsidRPr="005A6964">
        <w:t xml:space="preserve">the issue is </w:t>
      </w:r>
      <w:r w:rsidRPr="005A6964">
        <w:t xml:space="preserve">whether the phrase </w:t>
      </w:r>
      <w:r w:rsidR="00B85277" w:rsidRPr="005A6964">
        <w:t xml:space="preserve">"limitation on customer shopping" </w:t>
      </w:r>
      <w:r w:rsidRPr="005A6964">
        <w:t xml:space="preserve">contemplates a “physical” or a “financial” limitation.  </w:t>
      </w:r>
    </w:p>
    <w:p w:rsidR="003027FA" w:rsidRPr="005A6964" w:rsidRDefault="003027FA" w:rsidP="003027FA">
      <w:pPr>
        <w:spacing w:after="0" w:line="480" w:lineRule="auto"/>
        <w:ind w:firstLine="720"/>
      </w:pPr>
      <w:r w:rsidRPr="005A6964">
        <w:t xml:space="preserve">Resolution </w:t>
      </w:r>
      <w:r w:rsidR="00B85277" w:rsidRPr="005A6964">
        <w:t xml:space="preserve">of this issue </w:t>
      </w:r>
      <w:r w:rsidRPr="005A6964">
        <w:t xml:space="preserve">requires a determination of legislative intent.  In this regard, R.C. 1.42 provides:   </w:t>
      </w:r>
    </w:p>
    <w:p w:rsidR="003027FA" w:rsidRPr="005A6964" w:rsidRDefault="003027FA" w:rsidP="003027FA">
      <w:pPr>
        <w:ind w:left="1440" w:right="720"/>
      </w:pPr>
      <w:r w:rsidRPr="005A6964">
        <w:t xml:space="preserve">Words and phrases shall be read in context and construed according to the rules of grammar and common usage. Words and phrases that have acquired a technical or particular meaning, whether by legislative definition or otherwise, shall be construed accordingly. </w:t>
      </w:r>
    </w:p>
    <w:p w:rsidR="003027FA" w:rsidRPr="005A6964" w:rsidRDefault="003027FA" w:rsidP="000324CF">
      <w:pPr>
        <w:spacing w:after="0" w:line="480" w:lineRule="auto"/>
      </w:pPr>
      <w:r w:rsidRPr="005A6964">
        <w:t>Initially, it must be observed that the Ohio Revised Code, as well as the Commission’s and Ohio Supreme Court’s precedent, are replete with references that use the term “shopping” synonymously with the word “switching.”</w:t>
      </w:r>
      <w:r w:rsidRPr="005A6964">
        <w:rPr>
          <w:rStyle w:val="FootnoteReference"/>
        </w:rPr>
        <w:footnoteReference w:id="141"/>
      </w:r>
      <w:r w:rsidRPr="005A6964">
        <w:t xml:space="preserve"> Common usage dictates that the term “customer shopping” refers to customers who physically “switch” to </w:t>
      </w:r>
      <w:r w:rsidR="00B85277" w:rsidRPr="005A6964">
        <w:t>m</w:t>
      </w:r>
      <w:r w:rsidR="000324CF" w:rsidRPr="005A6964">
        <w:t>arketers</w:t>
      </w:r>
      <w:r w:rsidRPr="005A6964">
        <w:t xml:space="preserve">.  </w:t>
      </w:r>
    </w:p>
    <w:p w:rsidR="003027FA" w:rsidRPr="005A6964" w:rsidRDefault="003027FA" w:rsidP="000324CF">
      <w:pPr>
        <w:spacing w:after="0" w:line="480" w:lineRule="auto"/>
      </w:pPr>
      <w:r w:rsidRPr="005A6964">
        <w:tab/>
        <w:t xml:space="preserve">To accept FirstEnergy's interpretation, the </w:t>
      </w:r>
      <w:r w:rsidR="004F2E85" w:rsidRPr="005A6964">
        <w:t>PUCO</w:t>
      </w:r>
      <w:r w:rsidRPr="005A6964">
        <w:t xml:space="preserve"> is required to read the word “financially” into the statute. Indeed, in an attempt to make any sense of FirstEnergy's interpretation, the </w:t>
      </w:r>
      <w:r w:rsidR="004F2E85" w:rsidRPr="005A6964">
        <w:t>PUCO</w:t>
      </w:r>
      <w:r w:rsidRPr="005A6964">
        <w:t xml:space="preserve"> would have to change the entire wording of the statute from permitting “limitations of customer shopping” to permitting a </w:t>
      </w:r>
      <w:r w:rsidRPr="005A6964">
        <w:rPr>
          <w:b/>
          <w:i/>
          <w:u w:val="single"/>
        </w:rPr>
        <w:t>financial restraint on complete reliance on the retail market.</w:t>
      </w:r>
      <w:r w:rsidRPr="005A6964">
        <w:rPr>
          <w:rFonts w:cs="Times New Roman"/>
          <w:bCs/>
          <w:szCs w:val="24"/>
        </w:rPr>
        <w:t xml:space="preserve"> </w:t>
      </w:r>
    </w:p>
    <w:p w:rsidR="003027FA" w:rsidRPr="005A6964" w:rsidRDefault="003027FA" w:rsidP="003027FA">
      <w:pPr>
        <w:spacing w:after="0" w:line="480" w:lineRule="auto"/>
        <w:ind w:firstLine="720"/>
      </w:pPr>
      <w:r w:rsidRPr="005A6964">
        <w:t xml:space="preserve">Recently addressing the rules of statutory construction in </w:t>
      </w:r>
      <w:r w:rsidR="000C5383" w:rsidRPr="005A6964">
        <w:t>PUCO</w:t>
      </w:r>
      <w:r w:rsidRPr="005A6964">
        <w:t xml:space="preserve"> proceedings, the Ohio Supreme Court noted that </w:t>
      </w:r>
      <w:r w:rsidR="004F2E85" w:rsidRPr="005A6964">
        <w:t>it</w:t>
      </w:r>
      <w:r w:rsidRPr="005A6964">
        <w:t xml:space="preserve"> must rely upon the specific language in the statute and must give effect to those words:  </w:t>
      </w:r>
    </w:p>
    <w:p w:rsidR="003027FA" w:rsidRPr="005A6964" w:rsidRDefault="003027FA" w:rsidP="003027FA">
      <w:pPr>
        <w:ind w:left="1440" w:right="720"/>
      </w:pPr>
      <w:r w:rsidRPr="005A6964">
        <w:t xml:space="preserve">When interpreting a statute, a court must first examine the plain language of the statute to determine legislative intent.  </w:t>
      </w:r>
      <w:r w:rsidRPr="005A6964">
        <w:rPr>
          <w:i/>
        </w:rPr>
        <w:t>Cleveland Mobile Radio Sales, Inc. v. Verizon Wireless</w:t>
      </w:r>
      <w:r w:rsidRPr="005A6964">
        <w:t xml:space="preserve">, 113 Ohio St.3d 394, 2007-Ohio-2203, 865 N.E.2d 1275, ¶ 12.  The court must give effect to the words used, </w:t>
      </w:r>
      <w:r w:rsidRPr="005A6964">
        <w:rPr>
          <w:b/>
          <w:i/>
          <w:u w:val="single"/>
        </w:rPr>
        <w:t>making neither additions nor deletions from the words chosen by the General Assembly</w:t>
      </w:r>
      <w:r w:rsidRPr="005A6964">
        <w:t xml:space="preserve">.  </w:t>
      </w:r>
      <w:r w:rsidRPr="005A6964">
        <w:rPr>
          <w:i/>
        </w:rPr>
        <w:t>Id. See, also, Columbia Gas Transm. Corp. v. Levin</w:t>
      </w:r>
      <w:r w:rsidRPr="005A6964">
        <w:t>, 117 Ohio St.3d 122, 2008-Ohio-511, 882 N.E.2d 400, ¶ 19.  Certainly, had the General Assembly intended to require that electric distribution utilities prove that carrying costs were “necessary” before they could be recovered, it would have chosen words to that effect.</w:t>
      </w:r>
      <w:r w:rsidRPr="005A6964">
        <w:rPr>
          <w:rStyle w:val="FootnoteReference"/>
        </w:rPr>
        <w:footnoteReference w:id="142"/>
      </w:r>
      <w:r w:rsidRPr="005A6964">
        <w:t xml:space="preserve">  [Emphasis added.]</w:t>
      </w:r>
    </w:p>
    <w:p w:rsidR="003027FA" w:rsidRPr="005A6964" w:rsidRDefault="003027FA" w:rsidP="00B26CFD">
      <w:pPr>
        <w:spacing w:before="240" w:after="0" w:line="480" w:lineRule="auto"/>
      </w:pPr>
      <w:r w:rsidRPr="005A6964">
        <w:tab/>
        <w:t xml:space="preserve">FirstEnergy's addition of the word “financial” to the statute contravenes the statute's plain meaning. Thus, the proper interpretation of the phrase at issue is that an ESP may include a provision relating to limitations on customers switching to a </w:t>
      </w:r>
      <w:r w:rsidR="000C5383" w:rsidRPr="005A6964">
        <w:t>m</w:t>
      </w:r>
      <w:r w:rsidR="000324CF" w:rsidRPr="005A6964">
        <w:t>arketer</w:t>
      </w:r>
      <w:r w:rsidRPr="005A6964">
        <w:t xml:space="preserve">. </w:t>
      </w:r>
      <w:r w:rsidR="000324CF" w:rsidRPr="005A6964">
        <w:t xml:space="preserve"> </w:t>
      </w:r>
      <w:r w:rsidRPr="005A6964">
        <w:t>FirstEnergy's interpretation that permits the statute to be expanded to include a “financial” limitation on customer shopping contravenes legislative intent, as determined by R.C. 1.42, and is unlawful. And since a "financial limitation on customer shopping" is no</w:t>
      </w:r>
      <w:r w:rsidR="000324CF" w:rsidRPr="005A6964">
        <w:t xml:space="preserve">t a term expressly included in </w:t>
      </w:r>
      <w:r w:rsidRPr="005A6964">
        <w:t xml:space="preserve">the items listed in R.C. 4928.143(B)(2)(d), it cannot </w:t>
      </w:r>
      <w:r w:rsidR="00B26CFD" w:rsidRPr="005A6964">
        <w:t>justify in</w:t>
      </w:r>
      <w:r w:rsidRPr="005A6964">
        <w:t>clud</w:t>
      </w:r>
      <w:r w:rsidR="00B26CFD" w:rsidRPr="005A6964">
        <w:t>ing</w:t>
      </w:r>
      <w:r w:rsidRPr="005A6964">
        <w:t xml:space="preserve"> it in an electric security plan.  See, e.g., </w:t>
      </w:r>
      <w:r w:rsidRPr="005A6964">
        <w:rPr>
          <w:i/>
        </w:rPr>
        <w:t>In re Columbus S. Power Co</w:t>
      </w:r>
      <w:r w:rsidRPr="005A6964">
        <w:t>., 128 Ohio St.3d 512, 2011-Ohio-1788, 947 N.E.2d 655.</w:t>
      </w:r>
    </w:p>
    <w:p w:rsidR="003027FA" w:rsidRPr="005A6964" w:rsidRDefault="003027FA" w:rsidP="00B30CAE">
      <w:pPr>
        <w:pStyle w:val="Heading5"/>
      </w:pPr>
      <w:bookmarkStart w:id="34" w:name="_Toc444269020"/>
      <w:r w:rsidRPr="005A6964">
        <w:t>ii.</w:t>
      </w:r>
      <w:r w:rsidRPr="005A6964">
        <w:tab/>
        <w:t>Rider RRS is not related to bypassability</w:t>
      </w:r>
      <w:bookmarkEnd w:id="34"/>
    </w:p>
    <w:p w:rsidR="003027FA" w:rsidRPr="005A6964" w:rsidRDefault="003027FA" w:rsidP="003027FA">
      <w:pPr>
        <w:spacing w:after="0" w:line="480" w:lineRule="auto"/>
        <w:ind w:firstLine="720"/>
        <w:rPr>
          <w:rFonts w:cs="Times New Roman"/>
          <w:bCs/>
          <w:szCs w:val="24"/>
        </w:rPr>
      </w:pPr>
      <w:r w:rsidRPr="005A6964">
        <w:rPr>
          <w:rFonts w:cs="Times New Roman"/>
          <w:bCs/>
          <w:szCs w:val="24"/>
        </w:rPr>
        <w:t>In another attempt to shoehorn Rider RRS into the statute, FirstEnergy argues that Rider RRS is related to "bypassability."</w:t>
      </w:r>
      <w:r w:rsidRPr="005A6964">
        <w:rPr>
          <w:rStyle w:val="FootnoteReference"/>
          <w:rFonts w:cs="Times New Roman"/>
          <w:bCs/>
          <w:szCs w:val="24"/>
        </w:rPr>
        <w:footnoteReference w:id="143"/>
      </w:r>
      <w:r w:rsidRPr="005A6964">
        <w:rPr>
          <w:rFonts w:cs="Times New Roman"/>
          <w:bCs/>
          <w:szCs w:val="24"/>
        </w:rPr>
        <w:t xml:space="preserve"> The term "bypassability" is not </w:t>
      </w:r>
      <w:r w:rsidR="000C5383" w:rsidRPr="005A6964">
        <w:rPr>
          <w:rFonts w:cs="Times New Roman"/>
          <w:bCs/>
          <w:szCs w:val="24"/>
        </w:rPr>
        <w:t>defined by the General Assembly. But if a statute is to be construed</w:t>
      </w:r>
      <w:r w:rsidRPr="005A6964">
        <w:rPr>
          <w:rFonts w:cs="Times New Roman"/>
          <w:bCs/>
          <w:szCs w:val="24"/>
        </w:rPr>
        <w:t xml:space="preserve">, </w:t>
      </w:r>
      <w:r w:rsidR="000C5383" w:rsidRPr="005A6964">
        <w:rPr>
          <w:rFonts w:cs="Times New Roman"/>
          <w:bCs/>
          <w:szCs w:val="24"/>
        </w:rPr>
        <w:t xml:space="preserve">it must be </w:t>
      </w:r>
      <w:r w:rsidR="00AF736D" w:rsidRPr="005A6964">
        <w:rPr>
          <w:rFonts w:cs="Times New Roman"/>
          <w:bCs/>
          <w:szCs w:val="24"/>
        </w:rPr>
        <w:t>construed in</w:t>
      </w:r>
      <w:r w:rsidRPr="005A6964">
        <w:rPr>
          <w:rFonts w:cs="Times New Roman"/>
          <w:bCs/>
          <w:szCs w:val="24"/>
        </w:rPr>
        <w:t xml:space="preserve"> a reasonable manner</w:t>
      </w:r>
      <w:r w:rsidR="000C5383" w:rsidRPr="005A6964">
        <w:rPr>
          <w:rFonts w:cs="Times New Roman"/>
          <w:bCs/>
          <w:szCs w:val="24"/>
        </w:rPr>
        <w:t xml:space="preserve">.  That means the </w:t>
      </w:r>
      <w:r w:rsidRPr="005A6964">
        <w:rPr>
          <w:rFonts w:cs="Times New Roman"/>
          <w:bCs/>
          <w:szCs w:val="24"/>
        </w:rPr>
        <w:t>Ohio's Rules of Statutory Construction and the case law that has developed under those rules</w:t>
      </w:r>
      <w:r w:rsidR="000C5383" w:rsidRPr="005A6964">
        <w:rPr>
          <w:rFonts w:cs="Times New Roman"/>
          <w:bCs/>
          <w:szCs w:val="24"/>
        </w:rPr>
        <w:t xml:space="preserve"> should be followed</w:t>
      </w:r>
      <w:r w:rsidRPr="005A6964">
        <w:rPr>
          <w:rFonts w:cs="Times New Roman"/>
          <w:bCs/>
          <w:szCs w:val="24"/>
        </w:rPr>
        <w:t xml:space="preserve">.  </w:t>
      </w:r>
    </w:p>
    <w:p w:rsidR="003027FA" w:rsidRPr="005A6964" w:rsidRDefault="003027FA" w:rsidP="003027FA">
      <w:pPr>
        <w:spacing w:after="0" w:line="480" w:lineRule="auto"/>
        <w:ind w:firstLine="720"/>
        <w:rPr>
          <w:rFonts w:cs="Times New Roman"/>
          <w:bCs/>
          <w:szCs w:val="24"/>
        </w:rPr>
      </w:pPr>
      <w:r w:rsidRPr="005A6964">
        <w:rPr>
          <w:rFonts w:cs="Times New Roman"/>
          <w:bCs/>
          <w:szCs w:val="24"/>
        </w:rPr>
        <w:t xml:space="preserve">One of Ohio's Rules of Statutory Construction is R.C. 1.49.  Under R.C. 1.49 when a statute is ambiguous, a court or agency may consider, inter alia, the consequences of a particular construction in determining the intent of the Legislature.  If the interpretation of the statute produces unreasonable or absurd results, it should be avoided.  </w:t>
      </w:r>
      <w:r w:rsidRPr="005A6964">
        <w:rPr>
          <w:rFonts w:cs="Times New Roman"/>
          <w:bCs/>
          <w:i/>
          <w:szCs w:val="24"/>
        </w:rPr>
        <w:t>State ex rel. Bolin v. Ohio Environmental Protection Agency</w:t>
      </w:r>
      <w:r w:rsidRPr="005A6964">
        <w:rPr>
          <w:rFonts w:cs="Times New Roman"/>
          <w:bCs/>
          <w:szCs w:val="24"/>
        </w:rPr>
        <w:t xml:space="preserve">, 82 Ohio App.3d 410, 413, 612 N.E.2d 498 (1992) (holding that a strong presumption exists in favor of statutory construction which avoids absurd results).  </w:t>
      </w:r>
    </w:p>
    <w:p w:rsidR="003027FA" w:rsidRPr="005A6964" w:rsidRDefault="003027FA" w:rsidP="003027FA">
      <w:pPr>
        <w:spacing w:after="0" w:line="480" w:lineRule="auto"/>
        <w:ind w:firstLine="720"/>
        <w:rPr>
          <w:rFonts w:cs="Times New Roman"/>
          <w:bCs/>
          <w:szCs w:val="24"/>
        </w:rPr>
      </w:pPr>
      <w:r w:rsidRPr="005A6964">
        <w:rPr>
          <w:rFonts w:cs="Times New Roman"/>
          <w:bCs/>
          <w:szCs w:val="24"/>
        </w:rPr>
        <w:t xml:space="preserve">Another Ohio Rule of Statutory Construction is R.C. 1.47.  Under R.C. 1.47, the entire statute is intended to be effective. </w:t>
      </w:r>
    </w:p>
    <w:p w:rsidR="003027FA" w:rsidRPr="005A6964" w:rsidRDefault="003027FA" w:rsidP="003027FA">
      <w:pPr>
        <w:spacing w:after="0" w:line="480" w:lineRule="auto"/>
        <w:ind w:firstLine="720"/>
        <w:rPr>
          <w:rFonts w:cs="Times New Roman"/>
          <w:bCs/>
          <w:szCs w:val="24"/>
        </w:rPr>
      </w:pPr>
      <w:r w:rsidRPr="005A6964">
        <w:rPr>
          <w:rFonts w:cs="Times New Roman"/>
          <w:bCs/>
          <w:szCs w:val="24"/>
        </w:rPr>
        <w:t xml:space="preserve">FirstEnergy urges the PUCO to find that Rider RRS is related to bypassability because it is a non-bypassable charge.  But since all utility charges must either be "bypassable" or "non-bypassable," under FirstEnergy's interpretation, all charges would relate to "bypassability."  </w:t>
      </w:r>
    </w:p>
    <w:p w:rsidR="003027FA" w:rsidRPr="005A6964" w:rsidRDefault="003027FA" w:rsidP="003027FA">
      <w:pPr>
        <w:spacing w:after="0" w:line="480" w:lineRule="auto"/>
        <w:ind w:firstLine="720"/>
        <w:rPr>
          <w:rFonts w:cs="Times New Roman"/>
          <w:bCs/>
          <w:szCs w:val="24"/>
        </w:rPr>
      </w:pPr>
      <w:r w:rsidRPr="005A6964">
        <w:rPr>
          <w:rFonts w:cs="Times New Roman"/>
          <w:bCs/>
          <w:szCs w:val="24"/>
        </w:rPr>
        <w:t>This could not be what the General Assembly intended.  Otherwise it could lead to unreasonable or absurd results rendering subsection (d) and the entirety of R.C. 4928.143(B)(2) virtually meaningless, contrary to R.C. 1.47 and 1.49.  FirstEnergy's interpretation, if accepted, would open the floodgates to all sorts of charges.   This is contrary to the General Assembly's express intent (as construed by the Ohio Supreme Court)</w:t>
      </w:r>
      <w:r w:rsidRPr="005A6964">
        <w:rPr>
          <w:rStyle w:val="FootnoteReference"/>
          <w:rFonts w:cs="Times New Roman"/>
          <w:bCs/>
          <w:szCs w:val="24"/>
        </w:rPr>
        <w:footnoteReference w:id="144"/>
      </w:r>
      <w:r w:rsidRPr="005A6964">
        <w:rPr>
          <w:rFonts w:cs="Times New Roman"/>
          <w:bCs/>
          <w:szCs w:val="24"/>
        </w:rPr>
        <w:t xml:space="preserve"> to place limits on the provisions that an electric utility may include in its electric security plan.  For these reasons, FirstEnergy's argument that Rid</w:t>
      </w:r>
      <w:r w:rsidR="000C5383" w:rsidRPr="005A6964">
        <w:rPr>
          <w:rFonts w:cs="Times New Roman"/>
          <w:bCs/>
          <w:szCs w:val="24"/>
        </w:rPr>
        <w:t xml:space="preserve">er RRS relates to  bypassability </w:t>
      </w:r>
      <w:r w:rsidRPr="005A6964">
        <w:rPr>
          <w:rFonts w:cs="Times New Roman"/>
          <w:bCs/>
          <w:szCs w:val="24"/>
        </w:rPr>
        <w:t xml:space="preserve">should be rejected.  </w:t>
      </w:r>
    </w:p>
    <w:p w:rsidR="00DB25DA" w:rsidRPr="005A6964" w:rsidRDefault="00DB25DA" w:rsidP="00B30CAE">
      <w:pPr>
        <w:pStyle w:val="Heading5"/>
      </w:pPr>
      <w:bookmarkStart w:id="35" w:name="_Toc444269021"/>
      <w:r w:rsidRPr="005A6964">
        <w:t xml:space="preserve">iii. </w:t>
      </w:r>
      <w:r w:rsidRPr="005A6964">
        <w:tab/>
        <w:t>Rider RRS is not related to default service</w:t>
      </w:r>
      <w:r w:rsidR="002506CD" w:rsidRPr="005A6964">
        <w:t xml:space="preserve"> provided to customers</w:t>
      </w:r>
      <w:r w:rsidRPr="005A6964">
        <w:t>.</w:t>
      </w:r>
      <w:bookmarkEnd w:id="35"/>
    </w:p>
    <w:p w:rsidR="00DB25DA" w:rsidRPr="005A6964" w:rsidRDefault="00DB25DA" w:rsidP="00DB25DA">
      <w:pPr>
        <w:spacing w:after="0" w:line="480" w:lineRule="auto"/>
        <w:ind w:firstLine="720"/>
        <w:rPr>
          <w:rFonts w:cs="Times New Roman"/>
          <w:bCs/>
          <w:szCs w:val="24"/>
        </w:rPr>
      </w:pPr>
      <w:r w:rsidRPr="005A6964">
        <w:rPr>
          <w:rFonts w:cs="Times New Roman"/>
          <w:bCs/>
          <w:szCs w:val="24"/>
        </w:rPr>
        <w:t xml:space="preserve">FirstEnergy </w:t>
      </w:r>
      <w:r w:rsidR="000C5383" w:rsidRPr="005A6964">
        <w:rPr>
          <w:rFonts w:cs="Times New Roman"/>
          <w:bCs/>
          <w:szCs w:val="24"/>
        </w:rPr>
        <w:t xml:space="preserve">also </w:t>
      </w:r>
      <w:r w:rsidRPr="005A6964">
        <w:rPr>
          <w:rFonts w:cs="Times New Roman"/>
          <w:bCs/>
          <w:szCs w:val="24"/>
        </w:rPr>
        <w:t xml:space="preserve">claims that Rider RRS is related to "default service" under R.C. 4928.143(B)(2)(d), " </w:t>
      </w:r>
      <w:r w:rsidR="008161A6" w:rsidRPr="005A6964">
        <w:rPr>
          <w:rFonts w:cs="Times New Roman"/>
          <w:bCs/>
          <w:szCs w:val="24"/>
        </w:rPr>
        <w:t>i.e.</w:t>
      </w:r>
      <w:r w:rsidRPr="005A6964">
        <w:rPr>
          <w:rFonts w:cs="Times New Roman"/>
          <w:bCs/>
          <w:szCs w:val="24"/>
        </w:rPr>
        <w:t xml:space="preserve"> the companies proposed SSO."</w:t>
      </w:r>
      <w:r w:rsidRPr="005A6964">
        <w:rPr>
          <w:rStyle w:val="FootnoteReference"/>
        </w:rPr>
        <w:footnoteReference w:id="145"/>
      </w:r>
      <w:r w:rsidRPr="005A6964">
        <w:rPr>
          <w:rFonts w:cs="Times New Roman"/>
          <w:bCs/>
          <w:szCs w:val="24"/>
        </w:rPr>
        <w:t xml:space="preserve">  But this interpretation is wrong because it assumes standard service offer means the same thing as default service</w:t>
      </w:r>
      <w:r w:rsidR="000C5383" w:rsidRPr="005A6964">
        <w:rPr>
          <w:rFonts w:cs="Times New Roman"/>
          <w:bCs/>
          <w:szCs w:val="24"/>
        </w:rPr>
        <w:t>,</w:t>
      </w:r>
      <w:r w:rsidRPr="005A6964">
        <w:rPr>
          <w:rFonts w:cs="Times New Roman"/>
          <w:bCs/>
          <w:szCs w:val="24"/>
        </w:rPr>
        <w:t xml:space="preserve"> when it does not.  </w:t>
      </w:r>
    </w:p>
    <w:p w:rsidR="00DB25DA" w:rsidRPr="005A6964" w:rsidRDefault="00DB25DA" w:rsidP="007A6DE8">
      <w:pPr>
        <w:spacing w:after="0" w:line="480" w:lineRule="auto"/>
        <w:ind w:firstLine="720"/>
        <w:rPr>
          <w:rFonts w:cs="Times New Roman"/>
          <w:bCs/>
          <w:szCs w:val="24"/>
        </w:rPr>
      </w:pPr>
      <w:r w:rsidRPr="005A6964">
        <w:rPr>
          <w:rFonts w:cs="Times New Roman"/>
          <w:bCs/>
          <w:szCs w:val="24"/>
        </w:rPr>
        <w:t>Both the PUCO</w:t>
      </w:r>
      <w:r w:rsidRPr="005A6964">
        <w:rPr>
          <w:rStyle w:val="FootnoteReference"/>
        </w:rPr>
        <w:footnoteReference w:id="146"/>
      </w:r>
      <w:r w:rsidRPr="005A6964">
        <w:rPr>
          <w:rFonts w:cs="Times New Roman"/>
          <w:bCs/>
          <w:szCs w:val="24"/>
        </w:rPr>
        <w:t xml:space="preserve"> and the Ohio Supreme Court</w:t>
      </w:r>
      <w:r w:rsidRPr="005A6964">
        <w:rPr>
          <w:rStyle w:val="FootnoteReference"/>
        </w:rPr>
        <w:footnoteReference w:id="147"/>
      </w:r>
      <w:r w:rsidRPr="005A6964">
        <w:rPr>
          <w:rFonts w:cs="Times New Roman"/>
          <w:bCs/>
          <w:szCs w:val="24"/>
        </w:rPr>
        <w:t xml:space="preserve"> have recognized that "default service" is related to a utility's provider of last resort obligations as provided in R.C. 4928.14. Specifically, the Court explained that provider of last resort costs are "charges incurred by an incumbent electric distribution utility for risks associated with its statutory obligation under R.C. 4928.14(C), as the default provider, or provider of last resort, for customers who opt for another provider who then fails to provide service."</w:t>
      </w:r>
      <w:r w:rsidRPr="005A6964">
        <w:rPr>
          <w:rStyle w:val="FootnoteReference"/>
        </w:rPr>
        <w:footnoteReference w:id="148"/>
      </w:r>
      <w:r w:rsidRPr="005A6964">
        <w:rPr>
          <w:rFonts w:cs="Times New Roman"/>
          <w:bCs/>
          <w:szCs w:val="24"/>
        </w:rPr>
        <w:t xml:space="preserve"> As also noted by the Court, default service (provider of last resort) can have competitive and non-competitive components.</w:t>
      </w:r>
      <w:r w:rsidRPr="005A6964">
        <w:rPr>
          <w:rStyle w:val="FootnoteReference"/>
        </w:rPr>
        <w:footnoteReference w:id="149"/>
      </w:r>
      <w:r w:rsidRPr="005A6964">
        <w:rPr>
          <w:rFonts w:cs="Times New Roman"/>
          <w:bCs/>
          <w:szCs w:val="24"/>
        </w:rPr>
        <w:t xml:space="preserve"> </w:t>
      </w:r>
    </w:p>
    <w:p w:rsidR="00DB25DA" w:rsidRPr="005A6964" w:rsidRDefault="000C5383" w:rsidP="007A6DE8">
      <w:pPr>
        <w:spacing w:after="0" w:line="480" w:lineRule="auto"/>
        <w:ind w:firstLine="720"/>
        <w:rPr>
          <w:rFonts w:cs="Times New Roman"/>
          <w:bCs/>
          <w:szCs w:val="24"/>
        </w:rPr>
      </w:pPr>
      <w:r w:rsidRPr="005A6964">
        <w:rPr>
          <w:rFonts w:cs="Times New Roman"/>
          <w:bCs/>
          <w:szCs w:val="24"/>
        </w:rPr>
        <w:t>A</w:t>
      </w:r>
      <w:r w:rsidR="00DB25DA" w:rsidRPr="005A6964">
        <w:rPr>
          <w:rFonts w:cs="Times New Roman"/>
          <w:bCs/>
          <w:szCs w:val="24"/>
        </w:rPr>
        <w:t xml:space="preserve"> standard service offer is a term that is much more than "default service."  In R.C. 4928.141, the General Assembly defined the standard service offer in broad terms as "all </w:t>
      </w:r>
      <w:r w:rsidR="00DB25DA" w:rsidRPr="005A6964">
        <w:rPr>
          <w:rFonts w:cs="Times New Roman"/>
          <w:bCs/>
          <w:i/>
          <w:szCs w:val="24"/>
        </w:rPr>
        <w:t>competitive</w:t>
      </w:r>
      <w:r w:rsidR="00DB25DA" w:rsidRPr="005A6964">
        <w:rPr>
          <w:rFonts w:cs="Times New Roman"/>
          <w:bCs/>
          <w:szCs w:val="24"/>
        </w:rPr>
        <w:t xml:space="preserve"> retail electric services necessary to maintain essential electric service to customers, including a firm supply of electric generation service." (emphasis added).  Nonetheless, despite its broad nature, it can only consist of "competitive" compon</w:t>
      </w:r>
      <w:r w:rsidRPr="005A6964">
        <w:rPr>
          <w:rFonts w:cs="Times New Roman"/>
          <w:bCs/>
          <w:szCs w:val="24"/>
        </w:rPr>
        <w:t>ents of retail electric service, unlike default service.</w:t>
      </w:r>
      <w:r w:rsidR="00DB25DA" w:rsidRPr="005A6964">
        <w:rPr>
          <w:rFonts w:cs="Times New Roman"/>
          <w:bCs/>
          <w:szCs w:val="24"/>
        </w:rPr>
        <w:t xml:space="preserve"> </w:t>
      </w:r>
    </w:p>
    <w:p w:rsidR="00DB25DA" w:rsidRPr="005A6964" w:rsidRDefault="00DB25DA" w:rsidP="007A6DE8">
      <w:pPr>
        <w:spacing w:after="0" w:line="480" w:lineRule="auto"/>
        <w:ind w:firstLine="720"/>
        <w:rPr>
          <w:rFonts w:cs="Times New Roman"/>
          <w:bCs/>
          <w:szCs w:val="24"/>
        </w:rPr>
      </w:pPr>
      <w:r w:rsidRPr="005A6964">
        <w:rPr>
          <w:rFonts w:cs="Times New Roman"/>
          <w:bCs/>
          <w:szCs w:val="24"/>
        </w:rPr>
        <w:t xml:space="preserve">The two terms -- standard service offer and default service -- are not synonymous.  </w:t>
      </w:r>
      <w:r w:rsidR="000C5383" w:rsidRPr="005A6964">
        <w:rPr>
          <w:rFonts w:cs="Times New Roman"/>
          <w:bCs/>
          <w:szCs w:val="24"/>
        </w:rPr>
        <w:t>But</w:t>
      </w:r>
      <w:r w:rsidRPr="005A6964">
        <w:rPr>
          <w:rFonts w:cs="Times New Roman"/>
          <w:bCs/>
          <w:szCs w:val="24"/>
        </w:rPr>
        <w:t xml:space="preserve"> FirstEnergy's </w:t>
      </w:r>
      <w:r w:rsidR="000C5383" w:rsidRPr="005A6964">
        <w:rPr>
          <w:rFonts w:cs="Times New Roman"/>
          <w:bCs/>
          <w:szCs w:val="24"/>
        </w:rPr>
        <w:t xml:space="preserve">would have the </w:t>
      </w:r>
      <w:r w:rsidRPr="005A6964">
        <w:rPr>
          <w:rFonts w:cs="Times New Roman"/>
          <w:bCs/>
          <w:szCs w:val="24"/>
        </w:rPr>
        <w:t xml:space="preserve">PUCO </w:t>
      </w:r>
      <w:r w:rsidR="000C5383" w:rsidRPr="005A6964">
        <w:rPr>
          <w:rFonts w:cs="Times New Roman"/>
          <w:bCs/>
          <w:szCs w:val="24"/>
        </w:rPr>
        <w:t>treat them that way.  This defies</w:t>
      </w:r>
      <w:r w:rsidRPr="005A6964">
        <w:rPr>
          <w:rFonts w:cs="Times New Roman"/>
          <w:bCs/>
          <w:szCs w:val="24"/>
        </w:rPr>
        <w:t xml:space="preserve"> the clear definitions of those terms under the statute.  Default service under the statute means provider of last resort.  Default service does not mean the standard service offer.   </w:t>
      </w:r>
    </w:p>
    <w:p w:rsidR="00DB25DA" w:rsidRPr="005A6964" w:rsidRDefault="00DB25DA" w:rsidP="007A6DE8">
      <w:pPr>
        <w:spacing w:after="0" w:line="480" w:lineRule="auto"/>
        <w:ind w:firstLine="720"/>
        <w:rPr>
          <w:rFonts w:cs="Times New Roman"/>
          <w:bCs/>
          <w:szCs w:val="24"/>
        </w:rPr>
      </w:pPr>
      <w:r w:rsidRPr="005A6964">
        <w:rPr>
          <w:rFonts w:cs="Times New Roman"/>
          <w:bCs/>
          <w:szCs w:val="24"/>
        </w:rPr>
        <w:t xml:space="preserve">And FirstEnergy has made no claim that the costs charged to customers though Rider RRS are comprised of cost that FES incurs to be the provider of last resort.  Yet the PUCO has ruled that in order to collect POLR charges, the </w:t>
      </w:r>
      <w:r w:rsidR="000C5383" w:rsidRPr="005A6964">
        <w:rPr>
          <w:rFonts w:cs="Times New Roman"/>
          <w:bCs/>
          <w:szCs w:val="24"/>
        </w:rPr>
        <w:t>u</w:t>
      </w:r>
      <w:r w:rsidRPr="005A6964">
        <w:rPr>
          <w:rFonts w:cs="Times New Roman"/>
          <w:bCs/>
          <w:szCs w:val="24"/>
        </w:rPr>
        <w:t>tility must produce measurable and verifiable evidence of its provider of last resort costs.</w:t>
      </w:r>
      <w:r w:rsidRPr="005A6964">
        <w:rPr>
          <w:rStyle w:val="FootnoteReference"/>
        </w:rPr>
        <w:footnoteReference w:id="150"/>
      </w:r>
      <w:r w:rsidRPr="005A6964">
        <w:rPr>
          <w:rFonts w:cs="Times New Roman"/>
          <w:bCs/>
          <w:szCs w:val="24"/>
        </w:rPr>
        <w:t xml:space="preserve">  </w:t>
      </w:r>
    </w:p>
    <w:p w:rsidR="00DB25DA" w:rsidRPr="005A6964" w:rsidRDefault="00DB25DA" w:rsidP="00DB25DA">
      <w:pPr>
        <w:spacing w:after="0" w:line="480" w:lineRule="auto"/>
        <w:ind w:firstLine="720"/>
        <w:rPr>
          <w:rFonts w:cs="Times New Roman"/>
          <w:bCs/>
          <w:szCs w:val="24"/>
        </w:rPr>
      </w:pPr>
      <w:r w:rsidRPr="005A6964">
        <w:rPr>
          <w:rFonts w:cs="Times New Roman"/>
          <w:bCs/>
          <w:szCs w:val="24"/>
        </w:rPr>
        <w:t>There is no statutory justification for approving Rider RR</w:t>
      </w:r>
      <w:r w:rsidR="000C5383" w:rsidRPr="005A6964">
        <w:rPr>
          <w:rFonts w:cs="Times New Roman"/>
          <w:bCs/>
          <w:szCs w:val="24"/>
        </w:rPr>
        <w:t>S under R.</w:t>
      </w:r>
      <w:r w:rsidRPr="005A6964">
        <w:rPr>
          <w:rFonts w:cs="Times New Roman"/>
          <w:bCs/>
          <w:szCs w:val="24"/>
        </w:rPr>
        <w:t xml:space="preserve">C. 4928.143(B)(2)(d).  FirstEnergy's arguments should be rejected.   </w:t>
      </w:r>
    </w:p>
    <w:p w:rsidR="000C3292" w:rsidRPr="005A6964" w:rsidRDefault="000C3292" w:rsidP="00B30CAE">
      <w:pPr>
        <w:pStyle w:val="Heading5"/>
      </w:pPr>
      <w:bookmarkStart w:id="36" w:name="_Toc444269022"/>
      <w:r w:rsidRPr="005A6964">
        <w:t>iv.</w:t>
      </w:r>
      <w:r w:rsidRPr="005A6964">
        <w:tab/>
      </w:r>
      <w:r w:rsidR="00523155" w:rsidRPr="005A6964">
        <w:t xml:space="preserve">The Retail Rate Stability </w:t>
      </w:r>
      <w:r w:rsidRPr="005A6964">
        <w:t>Rider does not have the effect of stabilizing or providing certainty</w:t>
      </w:r>
      <w:r w:rsidR="002506CD" w:rsidRPr="005A6964">
        <w:t xml:space="preserve"> for customers</w:t>
      </w:r>
      <w:r w:rsidRPr="005A6964">
        <w:t xml:space="preserve"> regarding retail electric service.</w:t>
      </w:r>
      <w:bookmarkEnd w:id="36"/>
    </w:p>
    <w:p w:rsidR="000C3292" w:rsidRPr="005A6964" w:rsidRDefault="000C3292" w:rsidP="000C3292">
      <w:pPr>
        <w:spacing w:after="0" w:line="480" w:lineRule="auto"/>
        <w:ind w:firstLine="720"/>
        <w:rPr>
          <w:rFonts w:cs="Times New Roman"/>
          <w:bCs/>
          <w:szCs w:val="24"/>
        </w:rPr>
      </w:pPr>
      <w:r w:rsidRPr="005A6964">
        <w:rPr>
          <w:rFonts w:cs="Times New Roman"/>
          <w:bCs/>
          <w:szCs w:val="24"/>
        </w:rPr>
        <w:t>As discussed supra, Rider RRS is not a provision related to limitations on customer shopping, default service, or bypassability.  Assuming the PUCO determines otherwise, despite OCC/NOAC’s arguments to the contrary, FirstEnergy must still prove that the rider stabilizes or provides certainty for customers regarding retail electric service.  R.C. 4928.143(B)(2)(d).  It does not, as discussed in OCC/NOAC’s Initial Brief.</w:t>
      </w:r>
      <w:r w:rsidRPr="005A6964">
        <w:rPr>
          <w:rStyle w:val="FootnoteReference"/>
          <w:bCs/>
        </w:rPr>
        <w:footnoteReference w:id="151"/>
      </w:r>
      <w:r w:rsidRPr="005A6964">
        <w:rPr>
          <w:rFonts w:cs="Times New Roman"/>
          <w:bCs/>
          <w:szCs w:val="24"/>
        </w:rPr>
        <w:t xml:space="preserve"> </w:t>
      </w:r>
    </w:p>
    <w:p w:rsidR="000C3292" w:rsidRPr="005A6964" w:rsidRDefault="000C3292" w:rsidP="000C3292">
      <w:pPr>
        <w:spacing w:after="0" w:line="480" w:lineRule="auto"/>
        <w:ind w:firstLine="720"/>
        <w:rPr>
          <w:rFonts w:cs="Times New Roman"/>
          <w:bCs/>
          <w:szCs w:val="24"/>
        </w:rPr>
      </w:pPr>
      <w:r w:rsidRPr="005A6964">
        <w:rPr>
          <w:rFonts w:cs="Times New Roman"/>
          <w:bCs/>
          <w:szCs w:val="24"/>
        </w:rPr>
        <w:t>Rather than promote stable rates, Rider RRS introduces volatility to rates by adding a</w:t>
      </w:r>
      <w:r w:rsidR="00765E0B" w:rsidRPr="005A6964">
        <w:rPr>
          <w:rFonts w:cs="Times New Roman"/>
          <w:bCs/>
          <w:szCs w:val="24"/>
        </w:rPr>
        <w:t>n</w:t>
      </w:r>
      <w:r w:rsidRPr="005A6964">
        <w:rPr>
          <w:rFonts w:cs="Times New Roman"/>
          <w:bCs/>
          <w:szCs w:val="24"/>
        </w:rPr>
        <w:t xml:space="preserve"> </w:t>
      </w:r>
      <w:r w:rsidR="00AF736D" w:rsidRPr="005A6964">
        <w:rPr>
          <w:rFonts w:cs="Times New Roman"/>
          <w:bCs/>
          <w:szCs w:val="24"/>
        </w:rPr>
        <w:t xml:space="preserve">unreliable </w:t>
      </w:r>
      <w:r w:rsidRPr="005A6964">
        <w:rPr>
          <w:rFonts w:cs="Times New Roman"/>
          <w:bCs/>
          <w:szCs w:val="24"/>
        </w:rPr>
        <w:t>component to SSO rates.</w:t>
      </w:r>
      <w:r w:rsidRPr="005A6964">
        <w:rPr>
          <w:rStyle w:val="FootnoteReference"/>
          <w:bCs/>
        </w:rPr>
        <w:footnoteReference w:id="152"/>
      </w:r>
      <w:r w:rsidRPr="005A6964">
        <w:rPr>
          <w:rFonts w:cs="Times New Roman"/>
          <w:bCs/>
          <w:szCs w:val="24"/>
        </w:rPr>
        <w:t xml:space="preserve">  This is because changes in Rider RRS may move in the same direction as the SSO rates </w:t>
      </w:r>
      <w:r w:rsidR="002506CD" w:rsidRPr="005A6964">
        <w:rPr>
          <w:rFonts w:cs="Times New Roman"/>
          <w:bCs/>
          <w:szCs w:val="24"/>
        </w:rPr>
        <w:t xml:space="preserve">(set by the market) </w:t>
      </w:r>
      <w:r w:rsidRPr="005A6964">
        <w:rPr>
          <w:rFonts w:cs="Times New Roman"/>
          <w:bCs/>
          <w:szCs w:val="24"/>
        </w:rPr>
        <w:t>due to the reconciliation mechanism.</w:t>
      </w:r>
      <w:r w:rsidRPr="005A6964">
        <w:rPr>
          <w:rStyle w:val="FootnoteReference"/>
          <w:bCs/>
        </w:rPr>
        <w:footnoteReference w:id="153"/>
      </w:r>
      <w:r w:rsidRPr="005A6964">
        <w:rPr>
          <w:rFonts w:cs="Times New Roman"/>
          <w:bCs/>
          <w:szCs w:val="24"/>
        </w:rPr>
        <w:t xml:space="preserve"> </w:t>
      </w:r>
      <w:r w:rsidR="002506CD" w:rsidRPr="005A6964">
        <w:rPr>
          <w:rFonts w:cs="Times New Roman"/>
          <w:bCs/>
          <w:szCs w:val="24"/>
        </w:rPr>
        <w:t xml:space="preserve">The so-called stability is only achieved </w:t>
      </w:r>
      <w:r w:rsidR="00765E0B" w:rsidRPr="005A6964">
        <w:rPr>
          <w:rFonts w:cs="Times New Roman"/>
          <w:bCs/>
          <w:szCs w:val="24"/>
        </w:rPr>
        <w:t xml:space="preserve">on the chance </w:t>
      </w:r>
      <w:r w:rsidR="002506CD" w:rsidRPr="005A6964">
        <w:rPr>
          <w:rFonts w:cs="Times New Roman"/>
          <w:bCs/>
          <w:szCs w:val="24"/>
        </w:rPr>
        <w:t>Rider RRS moves in the opposite direction of market rates.</w:t>
      </w:r>
      <w:r w:rsidRPr="005A6964">
        <w:rPr>
          <w:rFonts w:cs="Times New Roman"/>
          <w:bCs/>
          <w:szCs w:val="24"/>
        </w:rPr>
        <w:t xml:space="preserve"> </w:t>
      </w:r>
    </w:p>
    <w:p w:rsidR="005A6964" w:rsidRPr="005A6964" w:rsidRDefault="000C3292" w:rsidP="000C3292">
      <w:pPr>
        <w:spacing w:after="0" w:line="480" w:lineRule="auto"/>
        <w:ind w:firstLine="720"/>
        <w:rPr>
          <w:rFonts w:cs="Times New Roman"/>
          <w:bCs/>
          <w:szCs w:val="24"/>
        </w:rPr>
      </w:pPr>
      <w:r w:rsidRPr="005A6964">
        <w:rPr>
          <w:rFonts w:cs="Times New Roman"/>
          <w:bCs/>
          <w:szCs w:val="24"/>
        </w:rPr>
        <w:t>And as explained, under the current competitive bid process, the rates SSO customers pay are already stable, as they reflect forward prices over one to three</w:t>
      </w:r>
      <w:r w:rsidR="00D6720C" w:rsidRPr="005A6964">
        <w:rPr>
          <w:rFonts w:cs="Times New Roman"/>
          <w:bCs/>
          <w:szCs w:val="24"/>
        </w:rPr>
        <w:t>-</w:t>
      </w:r>
      <w:r w:rsidRPr="005A6964">
        <w:rPr>
          <w:rFonts w:cs="Times New Roman"/>
          <w:bCs/>
          <w:szCs w:val="24"/>
        </w:rPr>
        <w:t>year periods.</w:t>
      </w:r>
      <w:r w:rsidRPr="005A6964">
        <w:rPr>
          <w:rStyle w:val="FootnoteReference"/>
          <w:bCs/>
        </w:rPr>
        <w:footnoteReference w:id="154"/>
      </w:r>
      <w:r w:rsidRPr="005A6964">
        <w:rPr>
          <w:rFonts w:cs="Times New Roman"/>
          <w:bCs/>
          <w:szCs w:val="24"/>
        </w:rPr>
        <w:t xml:space="preserve">  OCC/NOPEC also explained</w:t>
      </w:r>
      <w:r w:rsidRPr="005A6964">
        <w:rPr>
          <w:rStyle w:val="FootnoteReference"/>
          <w:bCs/>
        </w:rPr>
        <w:footnoteReference w:id="155"/>
      </w:r>
      <w:r w:rsidRPr="005A6964">
        <w:rPr>
          <w:rFonts w:cs="Times New Roman"/>
          <w:bCs/>
          <w:szCs w:val="24"/>
        </w:rPr>
        <w:t xml:space="preserve">  (and the PUCO Staff acknowledges</w:t>
      </w:r>
      <w:r w:rsidRPr="005A6964">
        <w:rPr>
          <w:rStyle w:val="FootnoteReference"/>
          <w:bCs/>
        </w:rPr>
        <w:footnoteReference w:id="156"/>
      </w:r>
      <w:r w:rsidRPr="005A6964">
        <w:rPr>
          <w:rFonts w:cs="Times New Roman"/>
          <w:bCs/>
          <w:szCs w:val="24"/>
        </w:rPr>
        <w:t xml:space="preserve">) there </w:t>
      </w:r>
    </w:p>
    <w:p w:rsidR="005A6964" w:rsidRPr="005A6964" w:rsidRDefault="005A6964">
      <w:pPr>
        <w:rPr>
          <w:rFonts w:cs="Times New Roman"/>
          <w:bCs/>
          <w:szCs w:val="24"/>
        </w:rPr>
      </w:pPr>
      <w:r w:rsidRPr="005A6964">
        <w:rPr>
          <w:rFonts w:cs="Times New Roman"/>
          <w:bCs/>
          <w:szCs w:val="24"/>
        </w:rPr>
        <w:br w:type="page"/>
      </w:r>
    </w:p>
    <w:p w:rsidR="000C3292" w:rsidRPr="005A6964" w:rsidRDefault="000C3292" w:rsidP="005A6964">
      <w:pPr>
        <w:spacing w:after="0" w:line="480" w:lineRule="auto"/>
        <w:rPr>
          <w:rFonts w:cs="Times New Roman"/>
          <w:bCs/>
          <w:szCs w:val="24"/>
        </w:rPr>
      </w:pPr>
      <w:r w:rsidRPr="005A6964">
        <w:rPr>
          <w:rFonts w:cs="Times New Roman"/>
          <w:bCs/>
          <w:szCs w:val="24"/>
        </w:rPr>
        <w:t xml:space="preserve">are </w:t>
      </w:r>
      <w:r w:rsidR="002506CD" w:rsidRPr="005A6964">
        <w:rPr>
          <w:rFonts w:cs="Times New Roman"/>
          <w:bCs/>
          <w:szCs w:val="24"/>
        </w:rPr>
        <w:t xml:space="preserve">current </w:t>
      </w:r>
      <w:r w:rsidRPr="005A6964">
        <w:rPr>
          <w:rFonts w:cs="Times New Roman"/>
          <w:bCs/>
          <w:szCs w:val="24"/>
        </w:rPr>
        <w:t xml:space="preserve">tools (laddering and staggering) that provide stable rates without </w:t>
      </w:r>
      <w:r w:rsidR="002506CD" w:rsidRPr="005A6964">
        <w:rPr>
          <w:rFonts w:cs="Times New Roman"/>
          <w:bCs/>
          <w:szCs w:val="24"/>
        </w:rPr>
        <w:t>huge</w:t>
      </w:r>
      <w:r w:rsidRPr="005A6964">
        <w:rPr>
          <w:rFonts w:cs="Times New Roman"/>
          <w:bCs/>
          <w:szCs w:val="24"/>
        </w:rPr>
        <w:t xml:space="preserve"> costs to customers.</w:t>
      </w:r>
      <w:r w:rsidRPr="005A6964">
        <w:rPr>
          <w:rStyle w:val="FootnoteReference"/>
          <w:bCs/>
        </w:rPr>
        <w:footnoteReference w:id="157"/>
      </w:r>
      <w:r w:rsidRPr="005A6964">
        <w:rPr>
          <w:rFonts w:cs="Times New Roman"/>
          <w:bCs/>
          <w:szCs w:val="24"/>
        </w:rPr>
        <w:t xml:space="preserve"> Rider RRS could only be considered at best a supplement to those tools.</w:t>
      </w:r>
    </w:p>
    <w:p w:rsidR="000C3292" w:rsidRPr="005A6964" w:rsidRDefault="000C3292" w:rsidP="000C3292">
      <w:pPr>
        <w:spacing w:after="0" w:line="480" w:lineRule="auto"/>
        <w:ind w:firstLine="720"/>
        <w:rPr>
          <w:rFonts w:cs="Times New Roman"/>
          <w:bCs/>
          <w:szCs w:val="24"/>
        </w:rPr>
      </w:pPr>
      <w:r w:rsidRPr="005A6964">
        <w:rPr>
          <w:rFonts w:cs="Times New Roman"/>
          <w:bCs/>
          <w:szCs w:val="24"/>
        </w:rPr>
        <w:t>And even if Rider RRS is found to be a tool for stable and certain rates for customers, contrary to OCC/NOAC/NOPEC’s arguments otherwise, the question the PUCO must grapple with is:  Is the price for stability too much for customers to pay?</w:t>
      </w:r>
    </w:p>
    <w:p w:rsidR="000C3292" w:rsidRPr="005A6964" w:rsidRDefault="002506CD" w:rsidP="000C3292">
      <w:pPr>
        <w:spacing w:after="0" w:line="480" w:lineRule="auto"/>
        <w:ind w:firstLine="720"/>
        <w:rPr>
          <w:rFonts w:cs="Times New Roman"/>
          <w:bCs/>
          <w:szCs w:val="24"/>
        </w:rPr>
      </w:pPr>
      <w:r w:rsidRPr="005A6964">
        <w:rPr>
          <w:rFonts w:cs="Times New Roman"/>
          <w:bCs/>
          <w:szCs w:val="24"/>
        </w:rPr>
        <w:t>Yes.  The</w:t>
      </w:r>
      <w:r w:rsidR="000C3292" w:rsidRPr="005A6964">
        <w:rPr>
          <w:rFonts w:cs="Times New Roman"/>
          <w:bCs/>
          <w:szCs w:val="24"/>
        </w:rPr>
        <w:t xml:space="preserve"> price for stability, including all the future risks the utilities seek to shift onto customers, away from shareholders, is much too high for customers.  Quantitatively, our best estimate is that customers will pay $3.6 billion above market prices for Rider RRS.  This cost alone (without any of the other ESP charges) translates to $800 per residential customer over the term of the electric security plan.  And this estimate does not (and cannot) possibly account for costs associated with pending federal environmental regulations—costs Professor Ferrey extensively discussed.</w:t>
      </w:r>
      <w:r w:rsidR="000C3292" w:rsidRPr="005A6964">
        <w:rPr>
          <w:rStyle w:val="FootnoteReference"/>
          <w:bCs/>
        </w:rPr>
        <w:footnoteReference w:id="158"/>
      </w:r>
      <w:r w:rsidR="000C3292" w:rsidRPr="005A6964">
        <w:rPr>
          <w:rFonts w:cs="Times New Roman"/>
          <w:bCs/>
          <w:szCs w:val="24"/>
        </w:rPr>
        <w:t xml:space="preserve">  Professor Ferrey warned that now is not the time to make a long-term commitment to purchase coal-fired power, especially on a cost</w:t>
      </w:r>
      <w:r w:rsidR="00D6720C" w:rsidRPr="005A6964">
        <w:rPr>
          <w:rFonts w:cs="Times New Roman"/>
          <w:bCs/>
          <w:szCs w:val="24"/>
        </w:rPr>
        <w:t>-</w:t>
      </w:r>
      <w:r w:rsidR="000C3292" w:rsidRPr="005A6964">
        <w:rPr>
          <w:rFonts w:cs="Times New Roman"/>
          <w:bCs/>
          <w:szCs w:val="24"/>
        </w:rPr>
        <w:t>plus basis</w:t>
      </w:r>
      <w:r w:rsidRPr="005A6964">
        <w:rPr>
          <w:rFonts w:cs="Times New Roman"/>
          <w:bCs/>
          <w:szCs w:val="24"/>
        </w:rPr>
        <w:t>,</w:t>
      </w:r>
      <w:r w:rsidR="000C3292" w:rsidRPr="005A6964">
        <w:rPr>
          <w:rFonts w:cs="Times New Roman"/>
          <w:bCs/>
          <w:szCs w:val="24"/>
        </w:rPr>
        <w:t xml:space="preserve"> as required under Rider RRS.</w:t>
      </w:r>
      <w:r w:rsidR="000C3292" w:rsidRPr="005A6964">
        <w:rPr>
          <w:rStyle w:val="FootnoteReference"/>
          <w:bCs/>
        </w:rPr>
        <w:footnoteReference w:id="159"/>
      </w:r>
      <w:r w:rsidR="000C3292" w:rsidRPr="005A6964">
        <w:rPr>
          <w:rFonts w:cs="Times New Roman"/>
          <w:bCs/>
          <w:szCs w:val="24"/>
        </w:rPr>
        <w:t xml:space="preserve"> The PUCO should not turn a deaf ear to consumers’ cries for reasonable and affordable rates, </w:t>
      </w:r>
      <w:r w:rsidR="00B26CFD" w:rsidRPr="005A6964">
        <w:rPr>
          <w:rFonts w:cs="Times New Roman"/>
          <w:bCs/>
          <w:szCs w:val="24"/>
        </w:rPr>
        <w:t>(</w:t>
      </w:r>
      <w:r w:rsidRPr="005A6964">
        <w:rPr>
          <w:rFonts w:cs="Times New Roman"/>
          <w:bCs/>
          <w:szCs w:val="24"/>
        </w:rPr>
        <w:t>what</w:t>
      </w:r>
      <w:r w:rsidR="000C3292" w:rsidRPr="005A6964">
        <w:rPr>
          <w:rFonts w:cs="Times New Roman"/>
          <w:bCs/>
          <w:szCs w:val="24"/>
        </w:rPr>
        <w:t xml:space="preserve"> consumers are entitled to under the law</w:t>
      </w:r>
      <w:r w:rsidRPr="005A6964">
        <w:rPr>
          <w:rFonts w:cs="Times New Roman"/>
          <w:bCs/>
          <w:szCs w:val="24"/>
        </w:rPr>
        <w:t xml:space="preserve"> and what they will not get if Rider RRS is adopted</w:t>
      </w:r>
      <w:r w:rsidR="00B26CFD" w:rsidRPr="005A6964">
        <w:rPr>
          <w:rFonts w:cs="Times New Roman"/>
          <w:bCs/>
          <w:szCs w:val="24"/>
        </w:rPr>
        <w:t>)</w:t>
      </w:r>
      <w:r w:rsidR="000C3292" w:rsidRPr="005A6964">
        <w:rPr>
          <w:rFonts w:cs="Times New Roman"/>
          <w:bCs/>
          <w:szCs w:val="24"/>
        </w:rPr>
        <w:t xml:space="preserve">.  </w:t>
      </w:r>
    </w:p>
    <w:p w:rsidR="000C3292" w:rsidRPr="005A6964" w:rsidRDefault="000C3292" w:rsidP="00B30CAE">
      <w:pPr>
        <w:pStyle w:val="Heading5"/>
      </w:pPr>
      <w:bookmarkStart w:id="37" w:name="_Toc444269023"/>
      <w:r w:rsidRPr="005A6964">
        <w:t xml:space="preserve">v. </w:t>
      </w:r>
      <w:r w:rsidRPr="005A6964">
        <w:tab/>
      </w:r>
      <w:r w:rsidR="00703F43" w:rsidRPr="005A6964">
        <w:t xml:space="preserve">The Retail Rate Stability </w:t>
      </w:r>
      <w:r w:rsidRPr="005A6964">
        <w:t>Rider is not a provision that qualifies as an economic development program under R.C. 4928.143(B)(2)(i).</w:t>
      </w:r>
      <w:bookmarkEnd w:id="37"/>
    </w:p>
    <w:p w:rsidR="000C3292" w:rsidRPr="005A6964" w:rsidRDefault="000C3292" w:rsidP="000C3292">
      <w:pPr>
        <w:spacing w:after="0" w:line="480" w:lineRule="auto"/>
        <w:ind w:firstLine="720"/>
        <w:rPr>
          <w:rFonts w:cs="Times New Roman"/>
          <w:bCs/>
          <w:szCs w:val="24"/>
        </w:rPr>
      </w:pPr>
      <w:r w:rsidRPr="005A6964">
        <w:rPr>
          <w:rFonts w:cs="Times New Roman"/>
          <w:bCs/>
          <w:szCs w:val="24"/>
        </w:rPr>
        <w:t>FirstEnergy claims that the economic stability program under the stipulated electric security plan falls under R.C. 4928.143(B)(2)(i) by supporting economic development.</w:t>
      </w:r>
      <w:r w:rsidRPr="005A6964">
        <w:rPr>
          <w:rStyle w:val="FootnoteReference"/>
          <w:bCs/>
        </w:rPr>
        <w:footnoteReference w:id="160"/>
      </w:r>
      <w:r w:rsidRPr="005A6964">
        <w:rPr>
          <w:rFonts w:cs="Times New Roman"/>
          <w:bCs/>
          <w:szCs w:val="24"/>
        </w:rPr>
        <w:t xml:space="preserve">  In other words FirstEnergy claims that Rider RRS is permitted under Ohio law because it qualifies as an economic development program under the statute.  FirstEnergy </w:t>
      </w:r>
      <w:r w:rsidR="00B305DA" w:rsidRPr="005A6964">
        <w:rPr>
          <w:rFonts w:cs="Times New Roman"/>
          <w:bCs/>
          <w:szCs w:val="24"/>
        </w:rPr>
        <w:t xml:space="preserve">claims </w:t>
      </w:r>
      <w:r w:rsidRPr="005A6964">
        <w:rPr>
          <w:rFonts w:cs="Times New Roman"/>
          <w:bCs/>
          <w:szCs w:val="24"/>
        </w:rPr>
        <w:t>that under the “Economic Stability Program” (AKA the Retail Stability Rider) retail electric prices from the RRS plants  will produce $56</w:t>
      </w:r>
      <w:r w:rsidR="00880014" w:rsidRPr="005A6964">
        <w:rPr>
          <w:rFonts w:cs="Times New Roman"/>
          <w:bCs/>
          <w:szCs w:val="24"/>
        </w:rPr>
        <w:t>1</w:t>
      </w:r>
      <w:r w:rsidRPr="005A6964">
        <w:rPr>
          <w:rFonts w:cs="Times New Roman"/>
          <w:bCs/>
          <w:szCs w:val="24"/>
        </w:rPr>
        <w:t xml:space="preserve"> million in benefits to customers (derived from Ms. Mikkelsen’s projections under the ESP v. MRO analysis).</w:t>
      </w:r>
      <w:r w:rsidRPr="005A6964">
        <w:rPr>
          <w:rStyle w:val="FootnoteReference"/>
          <w:bCs/>
        </w:rPr>
        <w:footnoteReference w:id="161"/>
      </w:r>
      <w:r w:rsidRPr="005A6964">
        <w:rPr>
          <w:rFonts w:cs="Times New Roman"/>
          <w:bCs/>
          <w:szCs w:val="24"/>
        </w:rPr>
        <w:t xml:space="preserve">  FirstEnergy also claims that Ohio’s economy will benefit from the program and it will lead to job retention and creation.</w:t>
      </w:r>
      <w:r w:rsidRPr="005A6964">
        <w:rPr>
          <w:rStyle w:val="FootnoteReference"/>
          <w:bCs/>
        </w:rPr>
        <w:footnoteReference w:id="162"/>
      </w:r>
      <w:r w:rsidRPr="005A6964">
        <w:rPr>
          <w:rFonts w:cs="Times New Roman"/>
          <w:bCs/>
          <w:szCs w:val="24"/>
        </w:rPr>
        <w:t xml:space="preserve"> FirstEnergy alleges that the rate stabilizing and cost avoida</w:t>
      </w:r>
      <w:r w:rsidR="00A96DC6" w:rsidRPr="005A6964">
        <w:rPr>
          <w:rFonts w:cs="Times New Roman"/>
          <w:bCs/>
          <w:szCs w:val="24"/>
        </w:rPr>
        <w:t xml:space="preserve">nce effects (all which OCC/NOAC </w:t>
      </w:r>
      <w:r w:rsidRPr="005A6964">
        <w:rPr>
          <w:rFonts w:cs="Times New Roman"/>
          <w:bCs/>
          <w:szCs w:val="24"/>
        </w:rPr>
        <w:t xml:space="preserve"> dispute) will spur economic development.  Indeed, FirstEnergy claims that the Rider RRS plants themselves are “engines of economic development.”</w:t>
      </w:r>
      <w:r w:rsidRPr="005A6964">
        <w:rPr>
          <w:rStyle w:val="FootnoteReference"/>
          <w:bCs/>
        </w:rPr>
        <w:footnoteReference w:id="163"/>
      </w:r>
    </w:p>
    <w:p w:rsidR="000C3292" w:rsidRPr="005A6964" w:rsidRDefault="009271BD" w:rsidP="000C3292">
      <w:pPr>
        <w:spacing w:after="0" w:line="480" w:lineRule="auto"/>
        <w:ind w:firstLine="720"/>
        <w:rPr>
          <w:rFonts w:cs="Verdana"/>
          <w:szCs w:val="24"/>
        </w:rPr>
      </w:pPr>
      <w:r w:rsidRPr="005A6964">
        <w:rPr>
          <w:rFonts w:cs="Verdana"/>
          <w:szCs w:val="24"/>
        </w:rPr>
        <w:t>But</w:t>
      </w:r>
      <w:r w:rsidR="000C3292" w:rsidRPr="005A6964">
        <w:rPr>
          <w:rFonts w:cs="Verdana"/>
          <w:szCs w:val="24"/>
        </w:rPr>
        <w:t>,</w:t>
      </w:r>
      <w:r w:rsidR="00403A50" w:rsidRPr="005A6964">
        <w:rPr>
          <w:rFonts w:cs="Verdana"/>
          <w:szCs w:val="24"/>
        </w:rPr>
        <w:t xml:space="preserve"> the precise wording</w:t>
      </w:r>
      <w:r w:rsidR="000C3292" w:rsidRPr="005A6964">
        <w:rPr>
          <w:rFonts w:cs="Verdana"/>
          <w:szCs w:val="24"/>
        </w:rPr>
        <w:t xml:space="preserve"> under R.C. 4928.143(B)(2)(i)</w:t>
      </w:r>
      <w:r w:rsidR="00403A50" w:rsidRPr="005A6964">
        <w:rPr>
          <w:rFonts w:cs="Verdana"/>
          <w:szCs w:val="24"/>
        </w:rPr>
        <w:t xml:space="preserve"> must be considered.  Under that section</w:t>
      </w:r>
      <w:r w:rsidR="000C3292" w:rsidRPr="005A6964">
        <w:rPr>
          <w:rFonts w:cs="Verdana"/>
          <w:szCs w:val="24"/>
        </w:rPr>
        <w:t xml:space="preserve"> a utility may include “[p]rovisions under which the electric distribution utility </w:t>
      </w:r>
      <w:r w:rsidR="000C3292" w:rsidRPr="005A6964">
        <w:rPr>
          <w:rFonts w:cs="Verdana"/>
          <w:i/>
          <w:iCs/>
          <w:szCs w:val="24"/>
        </w:rPr>
        <w:t>may implement</w:t>
      </w:r>
      <w:r w:rsidR="000C3292" w:rsidRPr="005A6964">
        <w:rPr>
          <w:rFonts w:cs="Verdana"/>
          <w:szCs w:val="24"/>
        </w:rPr>
        <w:t xml:space="preserve"> economic development, job retention, and energy efficiency programs***.”  The plain language provides for new economic development—economic development that a utility “may implement,” not existing economic development.  </w:t>
      </w:r>
    </w:p>
    <w:p w:rsidR="000C3292" w:rsidRPr="005A6964" w:rsidRDefault="000C3292" w:rsidP="000C3292">
      <w:pPr>
        <w:spacing w:after="0" w:line="480" w:lineRule="auto"/>
        <w:ind w:firstLine="720"/>
        <w:rPr>
          <w:rFonts w:cs="Verdana"/>
          <w:szCs w:val="24"/>
        </w:rPr>
      </w:pPr>
      <w:r w:rsidRPr="005A6964">
        <w:rPr>
          <w:rFonts w:cs="Verdana"/>
          <w:szCs w:val="24"/>
        </w:rPr>
        <w:t xml:space="preserve">The engines of economic development here, as acknowledged by FirstEnergy, are the Rider RRS plants themselves.  But those plants are not new tools of economic development.  They are tools that exist today.  There is nothing new about these plants.  </w:t>
      </w:r>
    </w:p>
    <w:p w:rsidR="000C3292" w:rsidRPr="005A6964" w:rsidRDefault="000C3292" w:rsidP="000C3292">
      <w:pPr>
        <w:spacing w:after="0" w:line="480" w:lineRule="auto"/>
        <w:ind w:firstLine="720"/>
        <w:rPr>
          <w:rFonts w:cs="Verdana"/>
          <w:szCs w:val="24"/>
        </w:rPr>
      </w:pPr>
      <w:r w:rsidRPr="005A6964">
        <w:rPr>
          <w:rFonts w:cs="Verdana"/>
          <w:szCs w:val="24"/>
        </w:rPr>
        <w:t>And while there are statutory provisions that permit plants (and the costs of plants) to be included in an electric security plan (see</w:t>
      </w:r>
      <w:r w:rsidR="00403A50" w:rsidRPr="005A6964">
        <w:rPr>
          <w:rFonts w:cs="Verdana"/>
          <w:szCs w:val="24"/>
        </w:rPr>
        <w:t xml:space="preserve">, e.g., </w:t>
      </w:r>
      <w:r w:rsidRPr="005A6964">
        <w:rPr>
          <w:rFonts w:cs="Verdana"/>
          <w:szCs w:val="24"/>
        </w:rPr>
        <w:t xml:space="preserve"> R.C. 4928.143(B)(2)(c</w:t>
      </w:r>
      <w:r w:rsidR="004221F7" w:rsidRPr="005A6964">
        <w:rPr>
          <w:rFonts w:cs="Verdana"/>
          <w:szCs w:val="24"/>
        </w:rPr>
        <w:t xml:space="preserve">), </w:t>
      </w:r>
      <w:r w:rsidRPr="005A6964">
        <w:rPr>
          <w:rFonts w:cs="Verdana"/>
          <w:szCs w:val="24"/>
        </w:rPr>
        <w:t xml:space="preserve"> R.C. 4928.143(B)(2)(i)</w:t>
      </w:r>
      <w:r w:rsidR="004221F7" w:rsidRPr="005A6964">
        <w:rPr>
          <w:rFonts w:cs="Verdana"/>
          <w:szCs w:val="24"/>
        </w:rPr>
        <w:t>)</w:t>
      </w:r>
      <w:r w:rsidRPr="005A6964">
        <w:rPr>
          <w:rFonts w:cs="Verdana"/>
          <w:szCs w:val="24"/>
        </w:rPr>
        <w:t xml:space="preserve">, </w:t>
      </w:r>
      <w:r w:rsidR="00126D58" w:rsidRPr="005A6964">
        <w:rPr>
          <w:rFonts w:cs="Verdana"/>
          <w:szCs w:val="24"/>
        </w:rPr>
        <w:t xml:space="preserve">Rider RRS </w:t>
      </w:r>
      <w:r w:rsidRPr="005A6964">
        <w:rPr>
          <w:rFonts w:cs="Verdana"/>
          <w:szCs w:val="24"/>
        </w:rPr>
        <w:t xml:space="preserve">is not one of them.  Rather, it is plainly related to </w:t>
      </w:r>
      <w:r w:rsidRPr="005A6964">
        <w:rPr>
          <w:rFonts w:cs="Verdana"/>
          <w:i/>
          <w:szCs w:val="24"/>
        </w:rPr>
        <w:t>new</w:t>
      </w:r>
      <w:r w:rsidRPr="005A6964">
        <w:rPr>
          <w:rFonts w:cs="Verdana"/>
          <w:szCs w:val="24"/>
        </w:rPr>
        <w:t xml:space="preserve"> economic development, not current economic development that has been repackaged and given a fancy title </w:t>
      </w:r>
      <w:r w:rsidR="004221F7" w:rsidRPr="005A6964">
        <w:rPr>
          <w:rFonts w:cs="Verdana"/>
          <w:szCs w:val="24"/>
        </w:rPr>
        <w:t>like</w:t>
      </w:r>
      <w:r w:rsidRPr="005A6964">
        <w:rPr>
          <w:rFonts w:cs="Verdana"/>
          <w:szCs w:val="24"/>
        </w:rPr>
        <w:t xml:space="preserve"> “the Economic Stability Program.”  The PUCO should not be fooled by slick packaging FirstEnergy offers that masks the true nature of its proposal</w:t>
      </w:r>
      <w:r w:rsidR="00403A50" w:rsidRPr="005A6964">
        <w:rPr>
          <w:rFonts w:cs="Verdana"/>
          <w:szCs w:val="24"/>
        </w:rPr>
        <w:t>.  That proposal is t</w:t>
      </w:r>
      <w:r w:rsidRPr="005A6964">
        <w:rPr>
          <w:rFonts w:cs="Verdana"/>
          <w:szCs w:val="24"/>
        </w:rPr>
        <w:t xml:space="preserve">o collect billions of dollars from customers for </w:t>
      </w:r>
      <w:r w:rsidR="00403A50" w:rsidRPr="005A6964">
        <w:rPr>
          <w:rFonts w:cs="Verdana"/>
          <w:szCs w:val="24"/>
        </w:rPr>
        <w:t>FirstEnergy's</w:t>
      </w:r>
      <w:r w:rsidRPr="005A6964">
        <w:rPr>
          <w:rFonts w:cs="Verdana"/>
          <w:szCs w:val="24"/>
        </w:rPr>
        <w:t xml:space="preserve"> old, uneconomic coal plants and to shift all unwanted risks and unidentified future costs away from shareholders onto customers.  The PUCO should instead focus on the letter of the law </w:t>
      </w:r>
      <w:r w:rsidR="00126D58" w:rsidRPr="005A6964">
        <w:rPr>
          <w:rFonts w:cs="Verdana"/>
          <w:szCs w:val="24"/>
        </w:rPr>
        <w:t xml:space="preserve">that </w:t>
      </w:r>
      <w:r w:rsidR="00403A50" w:rsidRPr="005A6964">
        <w:rPr>
          <w:rFonts w:cs="Verdana"/>
          <w:szCs w:val="24"/>
        </w:rPr>
        <w:t>does not</w:t>
      </w:r>
      <w:r w:rsidRPr="005A6964">
        <w:rPr>
          <w:rFonts w:cs="Verdana"/>
          <w:szCs w:val="24"/>
        </w:rPr>
        <w:t xml:space="preserve"> support FirstEnergy’s proposal.  </w:t>
      </w:r>
    </w:p>
    <w:p w:rsidR="007D6B2A" w:rsidRPr="005A6964" w:rsidRDefault="007D6B2A" w:rsidP="007D6B2A">
      <w:pPr>
        <w:pStyle w:val="Heading3"/>
      </w:pPr>
      <w:bookmarkStart w:id="38" w:name="_Toc444269024"/>
      <w:r w:rsidRPr="005A6964">
        <w:t>3.</w:t>
      </w:r>
      <w:r w:rsidRPr="005A6964">
        <w:tab/>
        <w:t xml:space="preserve">Adoption of an electric security plan containing </w:t>
      </w:r>
      <w:r w:rsidR="00703F43" w:rsidRPr="005A6964">
        <w:t xml:space="preserve">the Retail Rate Stability </w:t>
      </w:r>
      <w:r w:rsidRPr="005A6964">
        <w:t xml:space="preserve">Rider is inconsistent </w:t>
      </w:r>
      <w:r w:rsidR="009E73B8" w:rsidRPr="005A6964">
        <w:t>with the AEP ESP III Order</w:t>
      </w:r>
      <w:r w:rsidRPr="005A6964">
        <w:t>.</w:t>
      </w:r>
      <w:bookmarkEnd w:id="38"/>
    </w:p>
    <w:p w:rsidR="009E73B8" w:rsidRPr="005A6964" w:rsidRDefault="007D6B2A" w:rsidP="00FF05A1">
      <w:pPr>
        <w:spacing w:after="0" w:line="480" w:lineRule="auto"/>
        <w:ind w:firstLine="360"/>
        <w:rPr>
          <w:rFonts w:cs="Times New Roman"/>
          <w:bCs/>
          <w:szCs w:val="24"/>
        </w:rPr>
      </w:pPr>
      <w:r w:rsidRPr="005A6964">
        <w:rPr>
          <w:rFonts w:cs="Times New Roman"/>
          <w:szCs w:val="24"/>
        </w:rPr>
        <w:t xml:space="preserve">In </w:t>
      </w:r>
      <w:r w:rsidRPr="005A6964">
        <w:rPr>
          <w:rFonts w:cs="Times New Roman"/>
          <w:i/>
          <w:szCs w:val="24"/>
        </w:rPr>
        <w:t>AEP ESP III</w:t>
      </w:r>
      <w:r w:rsidRPr="005A6964">
        <w:rPr>
          <w:rStyle w:val="FootnoteReference"/>
          <w:rFonts w:cs="Times New Roman"/>
          <w:szCs w:val="24"/>
        </w:rPr>
        <w:footnoteReference w:id="164"/>
      </w:r>
      <w:r w:rsidRPr="005A6964">
        <w:rPr>
          <w:rFonts w:cs="Times New Roman"/>
          <w:szCs w:val="24"/>
        </w:rPr>
        <w:t xml:space="preserve"> the PUCO granted Ohio Power Company’s (“AEP Ohio”) request to establish a Rider (“PPA Rider”) set at zero for a </w:t>
      </w:r>
      <w:r w:rsidR="009E73B8" w:rsidRPr="005A6964">
        <w:rPr>
          <w:rFonts w:cs="Times New Roman"/>
          <w:szCs w:val="24"/>
        </w:rPr>
        <w:t xml:space="preserve">purchase power agreement </w:t>
      </w:r>
      <w:r w:rsidRPr="005A6964">
        <w:rPr>
          <w:rFonts w:cs="Times New Roman"/>
          <w:szCs w:val="24"/>
        </w:rPr>
        <w:t>similar to FirstEnergy’s proposed Rider RRS.</w:t>
      </w:r>
      <w:r w:rsidRPr="005A6964">
        <w:rPr>
          <w:rStyle w:val="FootnoteReference"/>
          <w:rFonts w:cs="Times New Roman"/>
          <w:szCs w:val="24"/>
        </w:rPr>
        <w:footnoteReference w:id="165"/>
      </w:r>
      <w:r w:rsidRPr="005A6964">
        <w:rPr>
          <w:rFonts w:cs="Times New Roman"/>
          <w:szCs w:val="24"/>
        </w:rPr>
        <w:t xml:space="preserve"> The PUCO further identified a set of conditions, which AEP Ohio had to satisfy before the PUCO would approve cost recovery for the PPA Rider.</w:t>
      </w:r>
      <w:r w:rsidRPr="005A6964">
        <w:rPr>
          <w:rStyle w:val="FootnoteReference"/>
          <w:rFonts w:cs="Times New Roman"/>
          <w:szCs w:val="24"/>
        </w:rPr>
        <w:footnoteReference w:id="166"/>
      </w:r>
      <w:r w:rsidRPr="005A6964">
        <w:rPr>
          <w:rFonts w:cs="Times New Roman"/>
          <w:szCs w:val="24"/>
        </w:rPr>
        <w:t xml:space="preserve"> </w:t>
      </w:r>
      <w:r w:rsidR="009E73B8" w:rsidRPr="005A6964">
        <w:rPr>
          <w:rFonts w:cs="Times New Roman"/>
          <w:szCs w:val="24"/>
        </w:rPr>
        <w:t xml:space="preserve">As discussed supra, </w:t>
      </w:r>
      <w:r w:rsidR="009E73B8" w:rsidRPr="005A6964">
        <w:rPr>
          <w:rFonts w:cs="Times New Roman"/>
          <w:bCs/>
          <w:szCs w:val="24"/>
        </w:rPr>
        <w:t xml:space="preserve">the AEP ESP III  Order should not be relied upon, given the PUCO's rulings, and the ruling of the Ohio Supreme Court.  It should not be given precedential weight because it lacks finality.  </w:t>
      </w:r>
    </w:p>
    <w:p w:rsidR="00A44E36" w:rsidRPr="005A6964" w:rsidRDefault="009E73B8" w:rsidP="00FF05A1">
      <w:pPr>
        <w:spacing w:after="0" w:line="480" w:lineRule="auto"/>
        <w:ind w:firstLine="360"/>
        <w:rPr>
          <w:rFonts w:cs="Times New Roman"/>
          <w:bCs/>
          <w:szCs w:val="24"/>
        </w:rPr>
      </w:pPr>
      <w:r w:rsidRPr="005A6964">
        <w:rPr>
          <w:rFonts w:cs="Times New Roman"/>
          <w:bCs/>
          <w:szCs w:val="24"/>
        </w:rPr>
        <w:t>However, the PUCO has determined that the factors it identified in the AEP ESP III Order should be addressed by parties in this case.</w:t>
      </w:r>
      <w:r w:rsidR="00A44E36" w:rsidRPr="005A6964">
        <w:rPr>
          <w:rStyle w:val="FootnoteReference"/>
          <w:rFonts w:cs="Times New Roman"/>
          <w:bCs/>
          <w:szCs w:val="24"/>
        </w:rPr>
        <w:footnoteReference w:id="167"/>
      </w:r>
      <w:r w:rsidRPr="005A6964">
        <w:rPr>
          <w:rFonts w:cs="Times New Roman"/>
          <w:bCs/>
          <w:szCs w:val="24"/>
        </w:rPr>
        <w:t xml:space="preserve"> </w:t>
      </w:r>
      <w:r w:rsidR="00A44E36" w:rsidRPr="005A6964">
        <w:rPr>
          <w:rFonts w:cs="Times New Roman"/>
          <w:bCs/>
          <w:szCs w:val="24"/>
        </w:rPr>
        <w:t xml:space="preserve">Accordingly, parties including OCC/NOPEC submitted testimony addressing those four factors.  </w:t>
      </w:r>
      <w:r w:rsidR="00ED4CFA" w:rsidRPr="005A6964">
        <w:rPr>
          <w:rFonts w:cs="Times New Roman"/>
          <w:bCs/>
          <w:szCs w:val="24"/>
        </w:rPr>
        <w:t>But</w:t>
      </w:r>
      <w:r w:rsidR="00A44E36" w:rsidRPr="005A6964">
        <w:rPr>
          <w:rFonts w:cs="Times New Roman"/>
          <w:bCs/>
          <w:szCs w:val="24"/>
        </w:rPr>
        <w:t xml:space="preserve"> OCC/NOPEC, in testimony</w:t>
      </w:r>
      <w:r w:rsidR="00A44E36" w:rsidRPr="005A6964">
        <w:rPr>
          <w:rStyle w:val="FootnoteReference"/>
          <w:rFonts w:cs="Times New Roman"/>
          <w:bCs/>
          <w:szCs w:val="24"/>
        </w:rPr>
        <w:footnoteReference w:id="168"/>
      </w:r>
      <w:r w:rsidR="00A44E36" w:rsidRPr="005A6964">
        <w:rPr>
          <w:rFonts w:cs="Times New Roman"/>
          <w:bCs/>
          <w:szCs w:val="24"/>
        </w:rPr>
        <w:t xml:space="preserve"> and </w:t>
      </w:r>
      <w:r w:rsidR="004F2E85" w:rsidRPr="005A6964">
        <w:rPr>
          <w:rFonts w:cs="Times New Roman"/>
          <w:bCs/>
          <w:szCs w:val="24"/>
        </w:rPr>
        <w:t xml:space="preserve">OCC/NOAC </w:t>
      </w:r>
      <w:r w:rsidR="00A44E36" w:rsidRPr="005A6964">
        <w:rPr>
          <w:rFonts w:cs="Times New Roman"/>
          <w:bCs/>
          <w:szCs w:val="24"/>
        </w:rPr>
        <w:t xml:space="preserve">in </w:t>
      </w:r>
      <w:r w:rsidR="004F2E85" w:rsidRPr="005A6964">
        <w:rPr>
          <w:rFonts w:cs="Times New Roman"/>
          <w:bCs/>
          <w:szCs w:val="24"/>
        </w:rPr>
        <w:t>its</w:t>
      </w:r>
      <w:r w:rsidR="00A44E36" w:rsidRPr="005A6964">
        <w:rPr>
          <w:rFonts w:cs="Times New Roman"/>
          <w:bCs/>
          <w:szCs w:val="24"/>
        </w:rPr>
        <w:t xml:space="preserve"> Initial brief</w:t>
      </w:r>
      <w:r w:rsidR="00ED4CFA" w:rsidRPr="005A6964">
        <w:rPr>
          <w:rFonts w:cs="Times New Roman"/>
          <w:bCs/>
          <w:szCs w:val="24"/>
        </w:rPr>
        <w:t>,</w:t>
      </w:r>
      <w:r w:rsidR="00A44E36" w:rsidRPr="005A6964">
        <w:rPr>
          <w:rStyle w:val="FootnoteReference"/>
          <w:rFonts w:cs="Times New Roman"/>
          <w:bCs/>
          <w:szCs w:val="24"/>
        </w:rPr>
        <w:footnoteReference w:id="169"/>
      </w:r>
      <w:r w:rsidR="00A44E36" w:rsidRPr="005A6964">
        <w:rPr>
          <w:rFonts w:cs="Times New Roman"/>
          <w:bCs/>
          <w:szCs w:val="24"/>
        </w:rPr>
        <w:t xml:space="preserve"> urged</w:t>
      </w:r>
      <w:r w:rsidR="00ED4CFA" w:rsidRPr="005A6964">
        <w:rPr>
          <w:rFonts w:cs="Times New Roman"/>
          <w:bCs/>
          <w:szCs w:val="24"/>
        </w:rPr>
        <w:t xml:space="preserve"> using </w:t>
      </w:r>
      <w:r w:rsidR="00A44E36" w:rsidRPr="005A6964">
        <w:rPr>
          <w:rFonts w:cs="Times New Roman"/>
          <w:bCs/>
          <w:szCs w:val="24"/>
        </w:rPr>
        <w:t>a wider scope of factors to evaluate Rider RRS.  The following arguments address the factors delineated in AEP ESP III Order</w:t>
      </w:r>
      <w:r w:rsidR="00ED4CFA" w:rsidRPr="005A6964">
        <w:rPr>
          <w:rFonts w:cs="Times New Roman"/>
          <w:bCs/>
          <w:szCs w:val="24"/>
        </w:rPr>
        <w:t xml:space="preserve">. </w:t>
      </w:r>
      <w:r w:rsidR="00A44E36" w:rsidRPr="005A6964">
        <w:rPr>
          <w:rFonts w:cs="Times New Roman"/>
          <w:bCs/>
          <w:szCs w:val="24"/>
        </w:rPr>
        <w:t xml:space="preserve"> </w:t>
      </w:r>
      <w:r w:rsidR="00ED4CFA" w:rsidRPr="005A6964">
        <w:rPr>
          <w:rFonts w:cs="Times New Roman"/>
          <w:bCs/>
          <w:szCs w:val="24"/>
        </w:rPr>
        <w:t>B</w:t>
      </w:r>
      <w:r w:rsidR="00A44E36" w:rsidRPr="005A6964">
        <w:rPr>
          <w:rFonts w:cs="Times New Roman"/>
          <w:bCs/>
          <w:szCs w:val="24"/>
        </w:rPr>
        <w:t>ut</w:t>
      </w:r>
      <w:r w:rsidR="00ED4CFA" w:rsidRPr="005A6964">
        <w:rPr>
          <w:rFonts w:cs="Times New Roman"/>
          <w:bCs/>
          <w:szCs w:val="24"/>
        </w:rPr>
        <w:t xml:space="preserve"> those factors are inadequate for consumer protection. And</w:t>
      </w:r>
      <w:r w:rsidR="00A44E36" w:rsidRPr="005A6964">
        <w:rPr>
          <w:rFonts w:cs="Times New Roman"/>
          <w:bCs/>
          <w:szCs w:val="24"/>
        </w:rPr>
        <w:t xml:space="preserve"> </w:t>
      </w:r>
      <w:r w:rsidR="00ED4CFA" w:rsidRPr="005A6964">
        <w:rPr>
          <w:rFonts w:cs="Times New Roman"/>
          <w:bCs/>
          <w:szCs w:val="24"/>
        </w:rPr>
        <w:t>our</w:t>
      </w:r>
      <w:r w:rsidR="00A44E36" w:rsidRPr="005A6964">
        <w:rPr>
          <w:rFonts w:cs="Times New Roman"/>
          <w:bCs/>
          <w:szCs w:val="24"/>
        </w:rPr>
        <w:t xml:space="preserve"> arguments are made with the fundamental caveat that </w:t>
      </w:r>
      <w:r w:rsidR="00ED4CFA" w:rsidRPr="005A6964">
        <w:rPr>
          <w:rFonts w:cs="Times New Roman"/>
          <w:bCs/>
          <w:szCs w:val="24"/>
        </w:rPr>
        <w:t>our</w:t>
      </w:r>
      <w:r w:rsidR="00A44E36" w:rsidRPr="005A6964">
        <w:rPr>
          <w:rFonts w:cs="Times New Roman"/>
          <w:bCs/>
          <w:szCs w:val="24"/>
        </w:rPr>
        <w:t xml:space="preserve"> views </w:t>
      </w:r>
      <w:r w:rsidR="00ED4CFA" w:rsidRPr="005A6964">
        <w:rPr>
          <w:rFonts w:cs="Times New Roman"/>
          <w:bCs/>
          <w:szCs w:val="24"/>
        </w:rPr>
        <w:t xml:space="preserve">on </w:t>
      </w:r>
      <w:r w:rsidR="00A44E36" w:rsidRPr="005A6964">
        <w:rPr>
          <w:rFonts w:cs="Times New Roman"/>
          <w:bCs/>
          <w:szCs w:val="24"/>
        </w:rPr>
        <w:t xml:space="preserve">the AEP Order (as to all PPA issues) </w:t>
      </w:r>
      <w:r w:rsidR="00ED4CFA" w:rsidRPr="005A6964">
        <w:rPr>
          <w:rFonts w:cs="Times New Roman"/>
          <w:bCs/>
          <w:szCs w:val="24"/>
        </w:rPr>
        <w:t>include that it is</w:t>
      </w:r>
      <w:r w:rsidR="00A44E36" w:rsidRPr="005A6964">
        <w:rPr>
          <w:rFonts w:cs="Times New Roman"/>
          <w:bCs/>
          <w:szCs w:val="24"/>
        </w:rPr>
        <w:t xml:space="preserve"> non-final and thus not "precedent." </w:t>
      </w:r>
    </w:p>
    <w:p w:rsidR="007D6B2A" w:rsidRPr="005A6964" w:rsidRDefault="007D6B2A" w:rsidP="00FF05A1">
      <w:pPr>
        <w:spacing w:after="0" w:line="480" w:lineRule="auto"/>
        <w:ind w:firstLine="360"/>
        <w:rPr>
          <w:rFonts w:cs="Times New Roman"/>
          <w:szCs w:val="24"/>
        </w:rPr>
      </w:pPr>
      <w:r w:rsidRPr="005A6964">
        <w:rPr>
          <w:rFonts w:cs="Times New Roman"/>
          <w:szCs w:val="24"/>
        </w:rPr>
        <w:t>FirstEnergy states that the four AEP ESP III Order factors “are to be considered if the net benefits of the proposed hedge, standing alone, are insufficient to establish that the rider would have the effect of stabilizing retail electric service.”</w:t>
      </w:r>
      <w:r w:rsidRPr="005A6964">
        <w:rPr>
          <w:rStyle w:val="FootnoteReference"/>
          <w:rFonts w:cs="Times New Roman"/>
          <w:szCs w:val="24"/>
        </w:rPr>
        <w:footnoteReference w:id="170"/>
      </w:r>
      <w:r w:rsidRPr="005A6964">
        <w:rPr>
          <w:rFonts w:cs="Times New Roman"/>
          <w:szCs w:val="24"/>
        </w:rPr>
        <w:t xml:space="preserve"> This is not true. Indeed, FirstEnergy does not cite to any case law or identify any other support for this assertion. As Staff explains, the AEP ESP III Order factors “are a set of necessary conditions that, at a minimum, must be satisfied in order for the Commission to consider approving a PPA Rider charge.”</w:t>
      </w:r>
      <w:r w:rsidRPr="005A6964">
        <w:rPr>
          <w:rStyle w:val="FootnoteReference"/>
          <w:rFonts w:cs="Times New Roman"/>
          <w:szCs w:val="24"/>
        </w:rPr>
        <w:footnoteReference w:id="171"/>
      </w:r>
      <w:r w:rsidRPr="005A6964">
        <w:rPr>
          <w:rFonts w:cs="Times New Roman"/>
          <w:szCs w:val="24"/>
        </w:rPr>
        <w:t xml:space="preserve"> FirstEnergy has failed to satisfy any of these required factors and therefore its Rider RRS should not be approved by the PUCO. </w:t>
      </w:r>
    </w:p>
    <w:p w:rsidR="007D6B2A" w:rsidRPr="005A6964" w:rsidRDefault="007D6B2A" w:rsidP="007D6B2A">
      <w:pPr>
        <w:pStyle w:val="Heading4"/>
      </w:pPr>
      <w:bookmarkStart w:id="39" w:name="_Toc444269025"/>
      <w:r w:rsidRPr="005A6964">
        <w:t>a.</w:t>
      </w:r>
      <w:r w:rsidRPr="005A6964">
        <w:tab/>
        <w:t>FirstEnergy did not satisfy the first</w:t>
      </w:r>
      <w:r w:rsidR="005E4269" w:rsidRPr="005A6964">
        <w:t xml:space="preserve"> factor in the</w:t>
      </w:r>
      <w:r w:rsidRPr="005A6964">
        <w:t xml:space="preserve"> AEP ESP III Order because </w:t>
      </w:r>
      <w:r w:rsidR="005E4269" w:rsidRPr="005A6964">
        <w:t xml:space="preserve">the </w:t>
      </w:r>
      <w:r w:rsidRPr="005A6964">
        <w:t>Sammis and Davis-Besse</w:t>
      </w:r>
      <w:r w:rsidR="005E4269" w:rsidRPr="005A6964">
        <w:t xml:space="preserve"> plants</w:t>
      </w:r>
      <w:r w:rsidRPr="005A6964">
        <w:t xml:space="preserve"> </w:t>
      </w:r>
      <w:r w:rsidR="006452F0" w:rsidRPr="005A6964">
        <w:t>“</w:t>
      </w:r>
      <w:r w:rsidRPr="005A6964">
        <w:t>do not have a financial need for Rider RRS.</w:t>
      </w:r>
      <w:r w:rsidR="006452F0" w:rsidRPr="005A6964">
        <w:t>”</w:t>
      </w:r>
      <w:bookmarkEnd w:id="39"/>
    </w:p>
    <w:p w:rsidR="003820BF" w:rsidRPr="005A6964" w:rsidRDefault="003820BF" w:rsidP="00FB5FAA">
      <w:pPr>
        <w:spacing w:after="0" w:line="480" w:lineRule="auto"/>
        <w:ind w:firstLine="720"/>
        <w:rPr>
          <w:rFonts w:cs="Times New Roman"/>
          <w:szCs w:val="24"/>
        </w:rPr>
      </w:pPr>
      <w:r w:rsidRPr="005A6964">
        <w:rPr>
          <w:rFonts w:cs="Times New Roman"/>
          <w:szCs w:val="24"/>
        </w:rPr>
        <w:t>The first AEP ESP III Order factor is whether there is a financial need for the PPA.</w:t>
      </w:r>
      <w:r w:rsidRPr="005A6964">
        <w:rPr>
          <w:rStyle w:val="FootnoteReference"/>
          <w:rFonts w:cs="Times New Roman"/>
          <w:szCs w:val="24"/>
        </w:rPr>
        <w:footnoteReference w:id="172"/>
      </w:r>
      <w:r w:rsidRPr="005A6964">
        <w:rPr>
          <w:rFonts w:cs="Times New Roman"/>
          <w:szCs w:val="24"/>
        </w:rPr>
        <w:t xml:space="preserve"> FirstEnergy alleges that it satisfies this condition for several reasons.</w:t>
      </w:r>
      <w:r w:rsidRPr="005A6964">
        <w:rPr>
          <w:rStyle w:val="FootnoteReference"/>
          <w:rFonts w:cs="Times New Roman"/>
          <w:szCs w:val="24"/>
        </w:rPr>
        <w:footnoteReference w:id="173"/>
      </w:r>
      <w:r w:rsidRPr="005A6964">
        <w:rPr>
          <w:rFonts w:cs="Times New Roman"/>
          <w:szCs w:val="24"/>
        </w:rPr>
        <w:t xml:space="preserve"> First, FirstEnergy and other signatories allege that the economic viability of the plants is in doubt</w:t>
      </w:r>
      <w:r w:rsidRPr="005A6964">
        <w:rPr>
          <w:rStyle w:val="FootnoteReference"/>
          <w:rFonts w:cs="Times New Roman"/>
          <w:szCs w:val="24"/>
        </w:rPr>
        <w:footnoteReference w:id="174"/>
      </w:r>
      <w:r w:rsidRPr="005A6964">
        <w:rPr>
          <w:rFonts w:cs="Times New Roman"/>
          <w:szCs w:val="24"/>
        </w:rPr>
        <w:t xml:space="preserve"> due to short term needs of the plants. FirstEnergy attempts to support its argument by claiming that “revenues have been at historic lows and are insufficient to cover the Plants’ costs, and thus to continue to operate the Plants, and make necessary investments.”</w:t>
      </w:r>
      <w:r w:rsidRPr="005A6964">
        <w:rPr>
          <w:rStyle w:val="FootnoteReference"/>
          <w:rFonts w:cs="Times New Roman"/>
          <w:szCs w:val="24"/>
        </w:rPr>
        <w:footnoteReference w:id="175"/>
      </w:r>
      <w:r w:rsidRPr="005A6964">
        <w:rPr>
          <w:rFonts w:cs="Times New Roman"/>
          <w:szCs w:val="24"/>
        </w:rPr>
        <w:t xml:space="preserve"> FirstEnergy claims that the projected short-term losses that the Plants will experience may require the Plants to close even if long-term projections of market prices show significant increases.</w:t>
      </w:r>
      <w:r w:rsidRPr="005A6964">
        <w:rPr>
          <w:rStyle w:val="FootnoteReference"/>
          <w:rFonts w:cs="Times New Roman"/>
          <w:szCs w:val="24"/>
        </w:rPr>
        <w:footnoteReference w:id="176"/>
      </w:r>
      <w:r w:rsidRPr="005A6964">
        <w:rPr>
          <w:rFonts w:cs="Times New Roman"/>
          <w:szCs w:val="24"/>
        </w:rPr>
        <w:t xml:space="preserve"> </w:t>
      </w:r>
    </w:p>
    <w:p w:rsidR="003820BF" w:rsidRPr="005A6964" w:rsidRDefault="003820BF" w:rsidP="009931E6">
      <w:pPr>
        <w:spacing w:after="0" w:line="480" w:lineRule="auto"/>
        <w:rPr>
          <w:rFonts w:cs="Times New Roman"/>
          <w:szCs w:val="24"/>
        </w:rPr>
      </w:pPr>
      <w:r w:rsidRPr="005A6964">
        <w:rPr>
          <w:rFonts w:cs="Times New Roman"/>
          <w:szCs w:val="24"/>
        </w:rPr>
        <w:tab/>
        <w:t>FirstEnergy apparently defines financial need as being related not just to the Rider RRS units, but more generally to the financial needs of FirstEnergy Solutions. Mr. Moul testified that sufficient revenues mean that FES would be collecting fully loaded costs.</w:t>
      </w:r>
      <w:r w:rsidRPr="005A6964">
        <w:rPr>
          <w:rStyle w:val="FootnoteReference"/>
          <w:rFonts w:cs="Times New Roman"/>
          <w:szCs w:val="24"/>
        </w:rPr>
        <w:footnoteReference w:id="177"/>
      </w:r>
      <w:r w:rsidRPr="005A6964">
        <w:rPr>
          <w:rFonts w:cs="Times New Roman"/>
          <w:szCs w:val="24"/>
        </w:rPr>
        <w:t xml:space="preserve">   The fully loaded costs of FES include, as part of the Rider RRS proposal, a guaranteed return subsidized by captive customers.</w:t>
      </w:r>
    </w:p>
    <w:p w:rsidR="003820BF" w:rsidRPr="005A6964" w:rsidRDefault="003820BF" w:rsidP="00FB5FAA">
      <w:pPr>
        <w:spacing w:after="0" w:line="480" w:lineRule="auto"/>
        <w:ind w:firstLine="720"/>
        <w:rPr>
          <w:rFonts w:cs="Times New Roman"/>
          <w:szCs w:val="24"/>
        </w:rPr>
      </w:pPr>
      <w:r w:rsidRPr="005A6964">
        <w:rPr>
          <w:rFonts w:cs="Times New Roman"/>
          <w:szCs w:val="24"/>
        </w:rPr>
        <w:t>But, there are a number of reasons why FirstEnergy's claims should be rejected.  One primary reason is that financial need is not an appropriate factor for the PUCO to consider when evaluating Rider RRS.</w:t>
      </w:r>
      <w:r w:rsidRPr="005A6964">
        <w:rPr>
          <w:rStyle w:val="FootnoteReference"/>
          <w:rFonts w:cs="Times New Roman"/>
          <w:szCs w:val="24"/>
        </w:rPr>
        <w:footnoteReference w:id="178"/>
      </w:r>
      <w:r w:rsidRPr="005A6964">
        <w:rPr>
          <w:rFonts w:cs="Times New Roman"/>
          <w:szCs w:val="24"/>
        </w:rPr>
        <w:t xml:space="preserve"> </w:t>
      </w:r>
      <w:r w:rsidR="005E4269" w:rsidRPr="005A6964">
        <w:rPr>
          <w:rFonts w:cs="Times New Roman"/>
          <w:szCs w:val="24"/>
        </w:rPr>
        <w:t>T</w:t>
      </w:r>
      <w:r w:rsidRPr="005A6964">
        <w:rPr>
          <w:rFonts w:cs="Times New Roman"/>
          <w:szCs w:val="24"/>
        </w:rPr>
        <w:t>his factor suggest</w:t>
      </w:r>
      <w:r w:rsidR="005E4269" w:rsidRPr="005A6964">
        <w:rPr>
          <w:rFonts w:cs="Times New Roman"/>
          <w:szCs w:val="24"/>
        </w:rPr>
        <w:t>s</w:t>
      </w:r>
      <w:r w:rsidRPr="005A6964">
        <w:rPr>
          <w:rFonts w:cs="Times New Roman"/>
          <w:szCs w:val="24"/>
        </w:rPr>
        <w:t xml:space="preserve"> that unregulated generators in the state would be able to recover their costs based on “financial need.”  Cost recovery based on financial need is inconsistent with a restructured market that aims to foster competition. Ohio law, as it stands today, establishes a restructured market that aims to foster competition.    </w:t>
      </w:r>
    </w:p>
    <w:p w:rsidR="003820BF" w:rsidRPr="005A6964" w:rsidRDefault="003820BF" w:rsidP="00FB5FAA">
      <w:pPr>
        <w:spacing w:after="0" w:line="480" w:lineRule="auto"/>
        <w:rPr>
          <w:rFonts w:cs="Times New Roman"/>
          <w:szCs w:val="24"/>
        </w:rPr>
      </w:pPr>
      <w:r w:rsidRPr="005A6964">
        <w:rPr>
          <w:rFonts w:cs="Times New Roman"/>
          <w:szCs w:val="24"/>
        </w:rPr>
        <w:tab/>
        <w:t>Financial need is not an appropriate factor to consider under a regime where competition and not regulation is the law.  In competitive markets returns are not guaranteed -- they are earned if entities are successful in the competitive market.  OCC Witness Dr. Rose testified in competitive markets if a generating unit cannot clear its output in the wholesale market (PJM), by producing a price-competitive product, then it will be replaced by lower offers for generation in the wholesale market and by other retail suppliers in the retail market.</w:t>
      </w:r>
      <w:r w:rsidRPr="005A6964">
        <w:rPr>
          <w:rStyle w:val="FootnoteReference"/>
          <w:rFonts w:cs="Times New Roman"/>
          <w:szCs w:val="24"/>
        </w:rPr>
        <w:footnoteReference w:id="179"/>
      </w:r>
      <w:r w:rsidRPr="005A6964">
        <w:rPr>
          <w:rFonts w:cs="Times New Roman"/>
          <w:szCs w:val="24"/>
        </w:rPr>
        <w:t xml:space="preserve">  </w:t>
      </w:r>
    </w:p>
    <w:p w:rsidR="003820BF" w:rsidRPr="005A6964" w:rsidRDefault="003820BF" w:rsidP="001745DF">
      <w:pPr>
        <w:spacing w:after="0" w:line="480" w:lineRule="auto"/>
        <w:rPr>
          <w:rFonts w:cs="Times New Roman"/>
          <w:szCs w:val="24"/>
        </w:rPr>
      </w:pPr>
      <w:r w:rsidRPr="005A6964">
        <w:rPr>
          <w:rFonts w:cs="Times New Roman"/>
          <w:szCs w:val="24"/>
        </w:rPr>
        <w:t xml:space="preserve"> </w:t>
      </w:r>
      <w:r w:rsidRPr="005A6964">
        <w:rPr>
          <w:rFonts w:cs="Times New Roman"/>
          <w:szCs w:val="24"/>
        </w:rPr>
        <w:tab/>
        <w:t>But in this case, rather than leaving the fate of Rider RRS plants to the market, Rider RRS would bailout the inefficient generation. Under Rider RRS, these Plants would earn above-market revenues through a subsidized charge to captive monopoly distribution customers.  The PUCO should not be persuaded that FirstEnergy's unregulated affiliate, FES, must receive a cost plus return guarantee for deregulated power plants it owns because FES is concerned about its earnings.</w:t>
      </w:r>
      <w:r w:rsidRPr="005A6964">
        <w:rPr>
          <w:rStyle w:val="FootnoteReference"/>
          <w:rFonts w:cs="Times New Roman"/>
          <w:szCs w:val="24"/>
        </w:rPr>
        <w:footnoteReference w:id="180"/>
      </w:r>
      <w:r w:rsidRPr="005A6964">
        <w:rPr>
          <w:rFonts w:cs="Times New Roman"/>
          <w:szCs w:val="24"/>
        </w:rPr>
        <w:t xml:space="preserve"> </w:t>
      </w:r>
    </w:p>
    <w:p w:rsidR="003820BF" w:rsidRPr="005A6964" w:rsidRDefault="003820BF" w:rsidP="003820BF">
      <w:pPr>
        <w:spacing w:after="0" w:line="480" w:lineRule="auto"/>
        <w:ind w:firstLine="720"/>
        <w:rPr>
          <w:rFonts w:cs="Times New Roman"/>
          <w:szCs w:val="24"/>
        </w:rPr>
      </w:pPr>
      <w:r w:rsidRPr="005A6964">
        <w:rPr>
          <w:rFonts w:cs="Times New Roman"/>
          <w:szCs w:val="24"/>
        </w:rPr>
        <w:t>Assuming arguendo that financial need should be considered, FirstEnergy's claims of financial need should be rejected.  FirstEnergy failed to provide any evidence demonstrating that the financial condition of FES would preclude it from withstanding a short-term loss on the Plants, in order to reap a long-term gain (provided FirstEnergy witness Mr. Judah Rose is right). Instead, the record reflects that FES is well positioned to withstand the short term losses that Mr. Rose projects for the units.</w:t>
      </w:r>
    </w:p>
    <w:p w:rsidR="003820BF" w:rsidRPr="005A6964" w:rsidRDefault="003820BF" w:rsidP="001745DF">
      <w:pPr>
        <w:spacing w:after="0" w:line="480" w:lineRule="auto"/>
        <w:rPr>
          <w:rFonts w:cs="Times New Roman"/>
          <w:szCs w:val="24"/>
        </w:rPr>
      </w:pPr>
      <w:r w:rsidRPr="005A6964">
        <w:rPr>
          <w:rFonts w:cs="Times New Roman"/>
          <w:szCs w:val="24"/>
        </w:rPr>
        <w:tab/>
        <w:t>FirstEnergy is a master of double-speak.  While it pleads for money from the PUCO, it presents a far different (rosier) financial picture to Wall Street and the investment community.</w:t>
      </w:r>
    </w:p>
    <w:p w:rsidR="003820BF" w:rsidRPr="005A6964" w:rsidRDefault="003820BF" w:rsidP="001745DF">
      <w:pPr>
        <w:spacing w:after="0" w:line="480" w:lineRule="auto"/>
        <w:rPr>
          <w:rFonts w:cs="Times New Roman"/>
          <w:szCs w:val="24"/>
        </w:rPr>
      </w:pPr>
      <w:r w:rsidRPr="005A6964">
        <w:rPr>
          <w:rFonts w:cs="Times New Roman"/>
          <w:szCs w:val="24"/>
        </w:rPr>
        <w:tab/>
        <w:t>For example, in the 2014 FirstEnergy Corp. Annual Report, FirstEnergy proclaims that it projects that its competitive business (generation provided by FES) will be self-sustaining over the short term (2015-2018), contradicting its entire case before the PUCO:</w:t>
      </w:r>
    </w:p>
    <w:p w:rsidR="003820BF" w:rsidRPr="005A6964" w:rsidRDefault="003820BF" w:rsidP="001745DF">
      <w:pPr>
        <w:spacing w:line="240" w:lineRule="auto"/>
        <w:ind w:left="1440" w:right="720"/>
        <w:contextualSpacing/>
        <w:rPr>
          <w:rFonts w:cs="Times New Roman"/>
          <w:szCs w:val="24"/>
        </w:rPr>
      </w:pPr>
      <w:r w:rsidRPr="005A6964">
        <w:rPr>
          <w:rFonts w:cs="Times New Roman"/>
          <w:szCs w:val="24"/>
        </w:rPr>
        <w:t>FirstEnergy continues to focus on maintaining the value of its competitive business given continued challenging conditions within the PJM market.  The business is projected to be self-sustaining over the next several years, with positive cash flow over the 2015-18 period.  While it cannot predict if or when power price recovery may occur, FirstEnergy believes it has taken appropriate action over the last several years to reposition this business for such recovery.</w:t>
      </w:r>
      <w:r w:rsidRPr="005A6964">
        <w:rPr>
          <w:rStyle w:val="FootnoteReference"/>
          <w:rFonts w:cs="Times New Roman"/>
          <w:szCs w:val="24"/>
        </w:rPr>
        <w:footnoteReference w:id="181"/>
      </w:r>
      <w:r w:rsidRPr="005A6964">
        <w:rPr>
          <w:rFonts w:cs="Times New Roman"/>
          <w:szCs w:val="24"/>
        </w:rPr>
        <w:t xml:space="preserve"> CES [Competitive Energy Services] expects to sell its output through a combination of retail and wholesale sales, while maintaining 10-20 million MWHs for spot wholesale sales in order to optimize risk management and market upside opportunities.</w:t>
      </w:r>
      <w:r w:rsidRPr="005A6964">
        <w:rPr>
          <w:rStyle w:val="FootnoteReference"/>
          <w:rFonts w:cs="Times New Roman"/>
          <w:szCs w:val="24"/>
        </w:rPr>
        <w:footnoteReference w:id="182"/>
      </w:r>
      <w:r w:rsidRPr="005A6964">
        <w:rPr>
          <w:rFonts w:cs="Times New Roman"/>
          <w:szCs w:val="24"/>
        </w:rPr>
        <w:t xml:space="preserve">   </w:t>
      </w:r>
    </w:p>
    <w:p w:rsidR="003820BF" w:rsidRPr="005A6964" w:rsidRDefault="003820BF" w:rsidP="003820BF">
      <w:pPr>
        <w:spacing w:line="240" w:lineRule="auto"/>
        <w:contextualSpacing/>
        <w:rPr>
          <w:rFonts w:cs="Times New Roman"/>
          <w:szCs w:val="24"/>
        </w:rPr>
      </w:pPr>
    </w:p>
    <w:p w:rsidR="005E4269" w:rsidRPr="005A6964" w:rsidRDefault="003820BF" w:rsidP="003820BF">
      <w:pPr>
        <w:spacing w:after="0" w:line="480" w:lineRule="auto"/>
        <w:ind w:firstLine="720"/>
        <w:rPr>
          <w:rFonts w:cs="Times New Roman"/>
          <w:szCs w:val="24"/>
        </w:rPr>
      </w:pPr>
      <w:r w:rsidRPr="005A6964">
        <w:rPr>
          <w:rFonts w:cs="Times New Roman"/>
          <w:szCs w:val="24"/>
        </w:rPr>
        <w:t>In addition, in that same annual report, FirstEnergy detailed its 2015-2018 Internal Cash Flow Improvement Program. Mr. Moul provided detailed testimony, on cross examination, on that program.</w:t>
      </w:r>
      <w:r w:rsidRPr="005A6964">
        <w:rPr>
          <w:rStyle w:val="FootnoteReference"/>
          <w:rFonts w:cs="Times New Roman"/>
          <w:szCs w:val="24"/>
        </w:rPr>
        <w:footnoteReference w:id="183"/>
      </w:r>
      <w:r w:rsidRPr="005A6964">
        <w:rPr>
          <w:rFonts w:cs="Times New Roman"/>
          <w:szCs w:val="24"/>
        </w:rPr>
        <w:t xml:space="preserve">  He explained that FirstEnergy Corporation has undertaken an Internal Cash Flow Improvement project which anticipates cash flow improvement savings of $453 million over the 2015 through 2017 period largely for the competitive generation segment of FES.</w:t>
      </w:r>
      <w:r w:rsidRPr="005A6964">
        <w:rPr>
          <w:rStyle w:val="FootnoteReference"/>
          <w:rFonts w:cs="Times New Roman"/>
          <w:szCs w:val="24"/>
        </w:rPr>
        <w:footnoteReference w:id="184"/>
      </w:r>
      <w:r w:rsidRPr="005A6964">
        <w:rPr>
          <w:rFonts w:cs="Times New Roman"/>
          <w:szCs w:val="24"/>
        </w:rPr>
        <w:t xml:space="preserve">   </w:t>
      </w:r>
    </w:p>
    <w:p w:rsidR="003820BF" w:rsidRPr="005A6964" w:rsidRDefault="003820BF" w:rsidP="003820BF">
      <w:pPr>
        <w:spacing w:after="0" w:line="480" w:lineRule="auto"/>
        <w:ind w:firstLine="720"/>
        <w:rPr>
          <w:rFonts w:cs="Times New Roman"/>
          <w:szCs w:val="24"/>
        </w:rPr>
      </w:pPr>
      <w:r w:rsidRPr="005A6964">
        <w:rPr>
          <w:rFonts w:cs="Times New Roman"/>
          <w:szCs w:val="24"/>
        </w:rPr>
        <w:t>This program was launched in April of 2015, by a team of senior executives.</w:t>
      </w:r>
      <w:r w:rsidRPr="005A6964">
        <w:rPr>
          <w:rStyle w:val="FootnoteReference"/>
          <w:rFonts w:cs="Times New Roman"/>
          <w:szCs w:val="24"/>
        </w:rPr>
        <w:footnoteReference w:id="185"/>
      </w:r>
      <w:r w:rsidRPr="005A6964">
        <w:rPr>
          <w:rFonts w:cs="Times New Roman"/>
          <w:szCs w:val="24"/>
        </w:rPr>
        <w:t xml:space="preserve">  It has been approved by executive management at FES.</w:t>
      </w:r>
      <w:r w:rsidRPr="005A6964">
        <w:rPr>
          <w:rStyle w:val="FootnoteReference"/>
          <w:rFonts w:cs="Times New Roman"/>
          <w:szCs w:val="24"/>
        </w:rPr>
        <w:footnoteReference w:id="186"/>
      </w:r>
      <w:r w:rsidRPr="005A6964">
        <w:rPr>
          <w:rFonts w:cs="Times New Roman"/>
          <w:szCs w:val="24"/>
        </w:rPr>
        <w:t xml:space="preserve"> Over a 12-week period of time, FirstEnergy executives identified projects that would lead to sustainable cash savings for the competitive generation services. The Cash Flow Improvement Project identifies savings that are expected to be achieved by reducing O&amp;M expenses at the competitive generation plants, reducing nuclear and fossil fuel expenses, reducing labor expenses, reducing shared-service expenses, reducing contractor and consulting expenses, and reducing miscellaneous expenses.</w:t>
      </w:r>
      <w:r w:rsidRPr="005A6964">
        <w:rPr>
          <w:rStyle w:val="FootnoteReference"/>
          <w:rFonts w:cs="Times New Roman"/>
          <w:szCs w:val="24"/>
        </w:rPr>
        <w:footnoteReference w:id="187"/>
      </w:r>
      <w:r w:rsidRPr="005A6964">
        <w:rPr>
          <w:rFonts w:cs="Times New Roman"/>
          <w:szCs w:val="24"/>
        </w:rPr>
        <w:t xml:space="preserve">  </w:t>
      </w:r>
    </w:p>
    <w:p w:rsidR="003820BF" w:rsidRPr="005A6964" w:rsidRDefault="003820BF" w:rsidP="003820BF">
      <w:pPr>
        <w:spacing w:after="0" w:line="480" w:lineRule="auto"/>
        <w:ind w:firstLine="720"/>
        <w:rPr>
          <w:rFonts w:cs="Times New Roman"/>
          <w:szCs w:val="24"/>
        </w:rPr>
      </w:pPr>
      <w:r w:rsidRPr="005A6964">
        <w:rPr>
          <w:rFonts w:cs="Times New Roman"/>
          <w:szCs w:val="24"/>
        </w:rPr>
        <w:t xml:space="preserve">The Internal Cash Flow Improvement project  along with the statements made in FirstEnergy's Annual Report belie FirstEnergy's claim that there is a dire short term financial need for funds to cover FES, and specifically the Rider RRS plants.  A $453 million improvement in cash flow for FES over the 2015 through 2017 period should go a long way toward curing any short term financial need for FES.  In fact, if $453 million improvement in cash flow is made, it will more than cover the projected losses that Mr. Rose assumes for the RRS units.  Coupled with the actions FirstEnergy has taken in repositioning its competitive market segment, it would appear that, despite statements filed with the PUCO, FES is ready to weather the next several years.  Indeed that is at least what FirstEnergy is reporting to its investors. </w:t>
      </w:r>
    </w:p>
    <w:p w:rsidR="003820BF" w:rsidRPr="005A6964" w:rsidRDefault="003820BF" w:rsidP="003820BF">
      <w:pPr>
        <w:spacing w:after="0" w:line="480" w:lineRule="auto"/>
        <w:ind w:firstLine="720"/>
        <w:rPr>
          <w:rFonts w:cs="Times New Roman"/>
          <w:szCs w:val="24"/>
        </w:rPr>
      </w:pPr>
      <w:r w:rsidRPr="005A6964">
        <w:rPr>
          <w:rFonts w:cs="Times New Roman"/>
          <w:szCs w:val="24"/>
        </w:rPr>
        <w:t xml:space="preserve">It is incumbent upon the PUCO to look to the Utilities in times of financial hardship to see what the Utilities can do to weather such a storm, before looking to the consumers to be the safety net.  In this Case, FirstEnergy has taken the necessary steps to address the financial need in order for the entire FES competitive generation business segment </w:t>
      </w:r>
      <w:r w:rsidR="00C55196" w:rsidRPr="005A6964">
        <w:rPr>
          <w:rFonts w:cs="Times New Roman"/>
          <w:szCs w:val="24"/>
        </w:rPr>
        <w:t>to</w:t>
      </w:r>
      <w:r w:rsidRPr="005A6964">
        <w:rPr>
          <w:rFonts w:cs="Times New Roman"/>
          <w:szCs w:val="24"/>
        </w:rPr>
        <w:t xml:space="preserve"> be “self-sustaining” during the projected period of financial need. For the PUCO to approve Rider RRS in light of this information merely benefits FirstEnergy’s shareholders to the detriment of consumers. Consumers who should have no skin in this game.    </w:t>
      </w:r>
    </w:p>
    <w:p w:rsidR="003820BF" w:rsidRPr="005A6964" w:rsidRDefault="003820BF" w:rsidP="003820BF">
      <w:pPr>
        <w:spacing w:line="480" w:lineRule="auto"/>
        <w:ind w:firstLine="720"/>
        <w:contextualSpacing/>
        <w:rPr>
          <w:rFonts w:cs="Times New Roman"/>
          <w:szCs w:val="24"/>
        </w:rPr>
      </w:pPr>
      <w:r w:rsidRPr="005A6964">
        <w:rPr>
          <w:rFonts w:cs="Times New Roman"/>
          <w:szCs w:val="24"/>
        </w:rPr>
        <w:t>In addition to the steps that FirstEnergy has taken to improve cash flows and the financial performance of the Plants, the PJM market has taken steps which should improve cash flows. First, PJM’s Capacity Performance product was recently approved by FERC.</w:t>
      </w:r>
      <w:r w:rsidRPr="005A6964">
        <w:rPr>
          <w:rStyle w:val="FootnoteReference"/>
          <w:rFonts w:cs="Times New Roman"/>
          <w:szCs w:val="24"/>
        </w:rPr>
        <w:footnoteReference w:id="188"/>
      </w:r>
      <w:r w:rsidRPr="005A6964">
        <w:rPr>
          <w:rFonts w:cs="Times New Roman"/>
          <w:szCs w:val="24"/>
        </w:rPr>
        <w:t xml:space="preserve">  The Capacity Performance Product has been projected to result in a significant increase in the capacity price</w:t>
      </w:r>
      <w:r w:rsidRPr="005A6964">
        <w:rPr>
          <w:rStyle w:val="FootnoteReference"/>
          <w:rFonts w:cs="Times New Roman"/>
          <w:szCs w:val="24"/>
        </w:rPr>
        <w:footnoteReference w:id="189"/>
      </w:r>
      <w:r w:rsidRPr="005A6964">
        <w:rPr>
          <w:rFonts w:cs="Times New Roman"/>
          <w:szCs w:val="24"/>
        </w:rPr>
        <w:t xml:space="preserve"> and an increase in capacity revenues for generators.  The increase in capacity revenues will cause a corresponding decrease in a generator’s financial need for a subsidy in order to operate. </w:t>
      </w:r>
    </w:p>
    <w:p w:rsidR="003820BF" w:rsidRPr="005A6964" w:rsidRDefault="003820BF" w:rsidP="001745DF">
      <w:pPr>
        <w:spacing w:after="0" w:line="480" w:lineRule="auto"/>
        <w:ind w:firstLine="720"/>
        <w:contextualSpacing/>
        <w:rPr>
          <w:rFonts w:cs="Times New Roman"/>
          <w:szCs w:val="24"/>
        </w:rPr>
      </w:pPr>
      <w:r w:rsidRPr="005A6964">
        <w:rPr>
          <w:rFonts w:cs="Times New Roman"/>
          <w:szCs w:val="24"/>
        </w:rPr>
        <w:t xml:space="preserve">The Utilities have failed to demonstrate that the Plants have a financial need that warrants the extreme and controversial approval of Rider RRS.  The competitive market will produce good years and bad years for the merchant generators participating in the PJM wholesale market.  If these Plants cannot become economic, then they should be retired or sold to an entity that can improve their economics and operate them at a profit.  But they should not remain in the hands of the Utilities unregulated affiliate propped up by customers paying Rider RRS.  </w:t>
      </w:r>
    </w:p>
    <w:p w:rsidR="007D6B2A" w:rsidRPr="005A6964" w:rsidRDefault="007D6B2A" w:rsidP="007D6B2A">
      <w:pPr>
        <w:pStyle w:val="Heading4"/>
      </w:pPr>
      <w:bookmarkStart w:id="40" w:name="_Toc444269026"/>
      <w:r w:rsidRPr="005A6964">
        <w:t>b.</w:t>
      </w:r>
      <w:r w:rsidRPr="005A6964">
        <w:tab/>
        <w:t>FirstEnergy did not satisfy the second</w:t>
      </w:r>
      <w:r w:rsidR="005C17D5" w:rsidRPr="005A6964">
        <w:t xml:space="preserve"> factor of the</w:t>
      </w:r>
      <w:r w:rsidRPr="005A6964">
        <w:t xml:space="preserve"> AEP ESP III Order because </w:t>
      </w:r>
      <w:r w:rsidR="005C17D5" w:rsidRPr="005A6964">
        <w:t xml:space="preserve">the </w:t>
      </w:r>
      <w:r w:rsidRPr="005A6964">
        <w:t>Sammis and Davis-Besse</w:t>
      </w:r>
      <w:r w:rsidR="005C17D5" w:rsidRPr="005A6964">
        <w:t xml:space="preserve"> plants</w:t>
      </w:r>
      <w:r w:rsidRPr="005A6964">
        <w:t xml:space="preserve"> </w:t>
      </w:r>
      <w:r w:rsidR="006452F0" w:rsidRPr="005A6964">
        <w:t>“</w:t>
      </w:r>
      <w:r w:rsidRPr="005A6964">
        <w:t>are not needed in light of future reliability concerns.</w:t>
      </w:r>
      <w:r w:rsidR="006452F0" w:rsidRPr="005A6964">
        <w:t>”</w:t>
      </w:r>
      <w:bookmarkEnd w:id="40"/>
    </w:p>
    <w:p w:rsidR="007D6B2A" w:rsidRPr="005A6964" w:rsidRDefault="003820BF" w:rsidP="007D6B2A">
      <w:pPr>
        <w:spacing w:after="0" w:line="480" w:lineRule="auto"/>
        <w:ind w:firstLine="720"/>
        <w:rPr>
          <w:rFonts w:cs="Times New Roman"/>
          <w:szCs w:val="24"/>
        </w:rPr>
      </w:pPr>
      <w:r w:rsidRPr="005A6964">
        <w:rPr>
          <w:rFonts w:cs="Times New Roman"/>
          <w:szCs w:val="24"/>
        </w:rPr>
        <w:t>The second factor that FirstEnergy must address under the AEP ESP III Order is the necessity of the plants, in light of future reliability concerns, including supply diversity.</w:t>
      </w:r>
      <w:r w:rsidR="005F59A6" w:rsidRPr="005A6964">
        <w:rPr>
          <w:rStyle w:val="FootnoteReference"/>
          <w:rFonts w:cs="Times New Roman"/>
          <w:szCs w:val="24"/>
        </w:rPr>
        <w:footnoteReference w:id="190"/>
      </w:r>
      <w:r w:rsidRPr="005A6964">
        <w:rPr>
          <w:rFonts w:cs="Times New Roman"/>
          <w:szCs w:val="24"/>
        </w:rPr>
        <w:t xml:space="preserve"> </w:t>
      </w:r>
      <w:r w:rsidR="007D6B2A" w:rsidRPr="005A6964">
        <w:rPr>
          <w:rFonts w:cs="Times New Roman"/>
          <w:szCs w:val="24"/>
        </w:rPr>
        <w:t>FirstEnergy and Material Sciences Corp. claim that the second AEP ESP III Order factor has also been met because the plants are needed given future reliability concerns, including the preservation of sufficient generation resource diversity.</w:t>
      </w:r>
      <w:r w:rsidR="007D6B2A" w:rsidRPr="005A6964">
        <w:rPr>
          <w:rStyle w:val="FootnoteReference"/>
          <w:rFonts w:cs="Times New Roman"/>
          <w:szCs w:val="24"/>
        </w:rPr>
        <w:footnoteReference w:id="191"/>
      </w:r>
      <w:r w:rsidR="007D6B2A" w:rsidRPr="005A6964">
        <w:rPr>
          <w:rFonts w:cs="Times New Roman"/>
          <w:szCs w:val="24"/>
        </w:rPr>
        <w:t xml:space="preserve"> This is simply not true.</w:t>
      </w:r>
    </w:p>
    <w:p w:rsidR="007D6B2A" w:rsidRPr="005A6964" w:rsidRDefault="007D6B2A" w:rsidP="007D6B2A">
      <w:pPr>
        <w:spacing w:after="0" w:line="480" w:lineRule="auto"/>
        <w:ind w:firstLine="720"/>
        <w:rPr>
          <w:rFonts w:cs="Times New Roman"/>
          <w:szCs w:val="24"/>
        </w:rPr>
      </w:pPr>
      <w:r w:rsidRPr="005A6964">
        <w:rPr>
          <w:rFonts w:cs="Times New Roman"/>
          <w:szCs w:val="24"/>
        </w:rPr>
        <w:t>First and foremost, it is important to clarify that the issue of reliability is a red herring in this proceeding because</w:t>
      </w:r>
      <w:r w:rsidR="00FB5FAA" w:rsidRPr="005A6964">
        <w:rPr>
          <w:rFonts w:cs="Times New Roman"/>
          <w:szCs w:val="24"/>
        </w:rPr>
        <w:t xml:space="preserve">, as PJM states, </w:t>
      </w:r>
      <w:r w:rsidRPr="005A6964">
        <w:rPr>
          <w:rFonts w:cs="Times New Roman"/>
          <w:szCs w:val="24"/>
        </w:rPr>
        <w:t xml:space="preserve"> FirstEnergy is not responsible for reliability or resource adequacy in Ohio or the region.</w:t>
      </w:r>
      <w:r w:rsidR="00FB5FAA" w:rsidRPr="005A6964">
        <w:rPr>
          <w:rStyle w:val="FootnoteReference"/>
          <w:rFonts w:cs="Times New Roman"/>
          <w:szCs w:val="24"/>
        </w:rPr>
        <w:footnoteReference w:id="192"/>
      </w:r>
      <w:r w:rsidRPr="005A6964">
        <w:rPr>
          <w:rFonts w:cs="Times New Roman"/>
          <w:szCs w:val="24"/>
        </w:rPr>
        <w:t xml:space="preserve"> As </w:t>
      </w:r>
      <w:r w:rsidR="003C4217" w:rsidRPr="005A6964">
        <w:rPr>
          <w:rFonts w:cs="Times New Roman"/>
          <w:szCs w:val="24"/>
        </w:rPr>
        <w:t xml:space="preserve">multiple </w:t>
      </w:r>
      <w:r w:rsidR="005F59A6" w:rsidRPr="005A6964">
        <w:rPr>
          <w:rFonts w:cs="Times New Roman"/>
          <w:szCs w:val="24"/>
        </w:rPr>
        <w:t xml:space="preserve">parties including PJM, </w:t>
      </w:r>
      <w:r w:rsidR="003C4217" w:rsidRPr="005A6964">
        <w:rPr>
          <w:rFonts w:cs="Times New Roman"/>
          <w:szCs w:val="24"/>
        </w:rPr>
        <w:t xml:space="preserve">have noted, and FirstEnergy has admitted, </w:t>
      </w:r>
      <w:r w:rsidRPr="005A6964">
        <w:rPr>
          <w:rFonts w:cs="Times New Roman"/>
          <w:szCs w:val="24"/>
        </w:rPr>
        <w:t>this responsibility falls to the Federal Energy Regulatory Commission, the North American Electric Reliability Corporation, and PJM.</w:t>
      </w:r>
      <w:r w:rsidRPr="005A6964">
        <w:rPr>
          <w:rStyle w:val="FootnoteReference"/>
          <w:rFonts w:cs="Times New Roman"/>
          <w:szCs w:val="24"/>
        </w:rPr>
        <w:footnoteReference w:id="193"/>
      </w:r>
      <w:r w:rsidRPr="005A6964">
        <w:rPr>
          <w:rFonts w:cs="Times New Roman"/>
          <w:szCs w:val="24"/>
        </w:rPr>
        <w:t xml:space="preserve"> And as FirstEnergy witness Phillips admitted at hearing, these various entities would continue to be responsible for the reliability of the electric system whether or not Sammis and Davis-Besse are retired.</w:t>
      </w:r>
      <w:r w:rsidRPr="005A6964">
        <w:rPr>
          <w:rStyle w:val="FootnoteReference"/>
          <w:rFonts w:cs="Times New Roman"/>
          <w:szCs w:val="24"/>
        </w:rPr>
        <w:footnoteReference w:id="194"/>
      </w:r>
      <w:r w:rsidRPr="005A6964">
        <w:rPr>
          <w:rFonts w:cs="Times New Roman"/>
          <w:szCs w:val="24"/>
        </w:rPr>
        <w:t xml:space="preserve"> Therefore, FirstEnergy has no responsibility to address reliability in Ohio, making the issue irrelevant.</w:t>
      </w:r>
    </w:p>
    <w:p w:rsidR="007D6B2A" w:rsidRPr="005A6964" w:rsidRDefault="007D6B2A" w:rsidP="00FF05A1">
      <w:pPr>
        <w:spacing w:after="0" w:line="480" w:lineRule="auto"/>
        <w:ind w:firstLine="720"/>
        <w:rPr>
          <w:rFonts w:cs="Times New Roman"/>
          <w:i/>
          <w:szCs w:val="24"/>
        </w:rPr>
      </w:pPr>
      <w:r w:rsidRPr="005A6964">
        <w:rPr>
          <w:rFonts w:cs="Times New Roman"/>
          <w:szCs w:val="24"/>
        </w:rPr>
        <w:t xml:space="preserve">Even if reliability was relevant in this proceeding, FirstEnergy’s claim that the </w:t>
      </w:r>
      <w:r w:rsidR="00AE30B7" w:rsidRPr="005A6964">
        <w:rPr>
          <w:rFonts w:cs="Times New Roman"/>
          <w:szCs w:val="24"/>
        </w:rPr>
        <w:t>p</w:t>
      </w:r>
      <w:r w:rsidRPr="005A6964">
        <w:rPr>
          <w:rFonts w:cs="Times New Roman"/>
          <w:szCs w:val="24"/>
        </w:rPr>
        <w:t xml:space="preserve">lants meet </w:t>
      </w:r>
      <w:r w:rsidR="005F59A6" w:rsidRPr="005A6964">
        <w:rPr>
          <w:rFonts w:cs="Times New Roman"/>
          <w:szCs w:val="24"/>
        </w:rPr>
        <w:t xml:space="preserve">a </w:t>
      </w:r>
      <w:r w:rsidRPr="005A6964">
        <w:rPr>
          <w:rFonts w:cs="Times New Roman"/>
          <w:szCs w:val="24"/>
        </w:rPr>
        <w:t>pressing reliability need in the PJM region to maintain generation diversity is simply not true.</w:t>
      </w:r>
      <w:r w:rsidRPr="005A6964">
        <w:rPr>
          <w:rStyle w:val="FootnoteReference"/>
          <w:rFonts w:cs="Times New Roman"/>
          <w:szCs w:val="24"/>
        </w:rPr>
        <w:footnoteReference w:id="195"/>
      </w:r>
      <w:r w:rsidRPr="005A6964">
        <w:rPr>
          <w:rFonts w:cs="Times New Roman"/>
          <w:szCs w:val="24"/>
        </w:rPr>
        <w:t xml:space="preserve"> </w:t>
      </w:r>
      <w:r w:rsidR="005F59A6" w:rsidRPr="005A6964">
        <w:rPr>
          <w:rFonts w:cs="Times New Roman"/>
          <w:szCs w:val="24"/>
        </w:rPr>
        <w:t>As PJM itself stated, t</w:t>
      </w:r>
      <w:r w:rsidRPr="005A6964">
        <w:rPr>
          <w:rFonts w:cs="Times New Roman"/>
          <w:szCs w:val="24"/>
        </w:rPr>
        <w:t>here is no reliability concern in the PJM region.</w:t>
      </w:r>
      <w:r w:rsidR="005F59A6" w:rsidRPr="005A6964">
        <w:rPr>
          <w:rStyle w:val="FootnoteReference"/>
          <w:rFonts w:cs="Times New Roman"/>
          <w:szCs w:val="24"/>
        </w:rPr>
        <w:footnoteReference w:id="196"/>
      </w:r>
      <w:r w:rsidRPr="005A6964">
        <w:rPr>
          <w:rFonts w:cs="Times New Roman"/>
          <w:szCs w:val="24"/>
        </w:rPr>
        <w:t xml:space="preserve"> </w:t>
      </w:r>
      <w:r w:rsidR="005F59A6" w:rsidRPr="005A6964">
        <w:rPr>
          <w:rFonts w:cs="Times New Roman"/>
          <w:szCs w:val="24"/>
        </w:rPr>
        <w:t>Indeed, a</w:t>
      </w:r>
      <w:r w:rsidRPr="005A6964">
        <w:rPr>
          <w:rFonts w:cs="Times New Roman"/>
          <w:szCs w:val="24"/>
        </w:rPr>
        <w:t>s numerous witnesses testified, resource adequacy is very healthy in PJM.</w:t>
      </w:r>
      <w:r w:rsidRPr="005A6964">
        <w:rPr>
          <w:rStyle w:val="FootnoteReference"/>
          <w:rFonts w:cs="Times New Roman"/>
          <w:szCs w:val="24"/>
        </w:rPr>
        <w:footnoteReference w:id="197"/>
      </w:r>
      <w:r w:rsidRPr="005A6964">
        <w:rPr>
          <w:rFonts w:cs="Times New Roman"/>
          <w:szCs w:val="24"/>
        </w:rPr>
        <w:t xml:space="preserve"> Therefore, the retirement of the</w:t>
      </w:r>
      <w:r w:rsidR="00AE30B7" w:rsidRPr="005A6964">
        <w:rPr>
          <w:rFonts w:cs="Times New Roman"/>
          <w:szCs w:val="24"/>
        </w:rPr>
        <w:t xml:space="preserve"> p</w:t>
      </w:r>
      <w:r w:rsidRPr="005A6964">
        <w:rPr>
          <w:rFonts w:cs="Times New Roman"/>
          <w:szCs w:val="24"/>
        </w:rPr>
        <w:t>lants would not impact reliability in the region. In fact, as several witnesses noted, the retirement of the Plants would allow customers to be served by more efficient power plants, lower</w:t>
      </w:r>
      <w:r w:rsidR="00AE30B7" w:rsidRPr="005A6964">
        <w:rPr>
          <w:rFonts w:cs="Times New Roman"/>
          <w:szCs w:val="24"/>
        </w:rPr>
        <w:t xml:space="preserve">ing their </w:t>
      </w:r>
      <w:r w:rsidRPr="005A6964">
        <w:rPr>
          <w:rFonts w:cs="Times New Roman"/>
          <w:szCs w:val="24"/>
        </w:rPr>
        <w:t>overall costs.</w:t>
      </w:r>
      <w:r w:rsidRPr="005A6964">
        <w:rPr>
          <w:rStyle w:val="FootnoteReference"/>
          <w:rFonts w:cs="Times New Roman"/>
          <w:szCs w:val="24"/>
        </w:rPr>
        <w:footnoteReference w:id="198"/>
      </w:r>
      <w:r w:rsidRPr="005A6964">
        <w:rPr>
          <w:rFonts w:cs="Times New Roman"/>
          <w:szCs w:val="24"/>
        </w:rPr>
        <w:t xml:space="preserve"> As OCC witness Wilson stated:</w:t>
      </w:r>
    </w:p>
    <w:p w:rsidR="007D6B2A" w:rsidRPr="005A6964" w:rsidRDefault="007D6B2A" w:rsidP="007D6B2A">
      <w:pPr>
        <w:spacing w:line="240" w:lineRule="auto"/>
        <w:ind w:left="1440" w:right="720"/>
        <w:contextualSpacing/>
        <w:rPr>
          <w:rFonts w:cs="Times New Roman"/>
          <w:szCs w:val="24"/>
        </w:rPr>
      </w:pPr>
      <w:r w:rsidRPr="005A6964">
        <w:rPr>
          <w:rFonts w:cs="Times New Roman"/>
          <w:szCs w:val="24"/>
        </w:rPr>
        <w:t>Whether or not the FE Companies choose to retire the Rider RRS Generation, there will be sufficient reliable capacity to serve Ohio and other areas of the PJM service territory as a result of the operation of the PJM markets, including the RPM construct. If the plants are retired, new resources, which may be new power plants, demand response, or energy efficiency, will be developed; if the plants are not retired, it is likely that some new resources will be delayed.</w:t>
      </w:r>
      <w:r w:rsidRPr="005A6964">
        <w:rPr>
          <w:rStyle w:val="FootnoteReference"/>
          <w:rFonts w:cs="Times New Roman"/>
          <w:szCs w:val="24"/>
        </w:rPr>
        <w:footnoteReference w:id="199"/>
      </w:r>
    </w:p>
    <w:p w:rsidR="007D6B2A" w:rsidRPr="005A6964" w:rsidRDefault="007D6B2A" w:rsidP="007D6B2A">
      <w:pPr>
        <w:spacing w:line="240" w:lineRule="auto"/>
        <w:ind w:left="720" w:right="720"/>
        <w:contextualSpacing/>
        <w:rPr>
          <w:rFonts w:cs="Times New Roman"/>
          <w:szCs w:val="24"/>
        </w:rPr>
      </w:pPr>
    </w:p>
    <w:p w:rsidR="007D6B2A" w:rsidRPr="005A6964" w:rsidRDefault="003C4217" w:rsidP="007D6B2A">
      <w:pPr>
        <w:spacing w:after="0" w:line="480" w:lineRule="auto"/>
        <w:rPr>
          <w:rFonts w:cs="Times New Roman"/>
          <w:szCs w:val="24"/>
        </w:rPr>
      </w:pPr>
      <w:r w:rsidRPr="005A6964">
        <w:rPr>
          <w:rFonts w:cs="Times New Roman"/>
          <w:szCs w:val="24"/>
        </w:rPr>
        <w:t xml:space="preserve">Moreover, </w:t>
      </w:r>
      <w:r w:rsidR="005F59A6" w:rsidRPr="005A6964">
        <w:rPr>
          <w:rFonts w:cs="Times New Roman"/>
          <w:szCs w:val="24"/>
        </w:rPr>
        <w:t>the potential retirement of the plants will not impact reliability in PJM.  A</w:t>
      </w:r>
      <w:r w:rsidR="007D6B2A" w:rsidRPr="005A6964">
        <w:rPr>
          <w:rFonts w:cs="Times New Roman"/>
          <w:szCs w:val="24"/>
        </w:rPr>
        <w:t>s FirstEnergy admits, a generator must notify PJM when it wishes to retire a power plant.</w:t>
      </w:r>
      <w:r w:rsidR="007D6B2A" w:rsidRPr="005A6964">
        <w:rPr>
          <w:rStyle w:val="FootnoteReference"/>
          <w:rFonts w:cs="Times New Roman"/>
          <w:szCs w:val="24"/>
        </w:rPr>
        <w:footnoteReference w:id="200"/>
      </w:r>
      <w:r w:rsidR="007D6B2A" w:rsidRPr="005A6964">
        <w:rPr>
          <w:rFonts w:cs="Times New Roman"/>
          <w:szCs w:val="24"/>
        </w:rPr>
        <w:t xml:space="preserve"> PJM will then run a series of studies to determine how that power plant’s retirement will impact the PJM system.</w:t>
      </w:r>
      <w:r w:rsidR="007D6B2A" w:rsidRPr="005A6964">
        <w:rPr>
          <w:rStyle w:val="FootnoteReference"/>
          <w:rFonts w:cs="Times New Roman"/>
          <w:szCs w:val="24"/>
        </w:rPr>
        <w:footnoteReference w:id="201"/>
      </w:r>
      <w:r w:rsidR="007D6B2A" w:rsidRPr="005A6964">
        <w:rPr>
          <w:rFonts w:cs="Times New Roman"/>
          <w:szCs w:val="24"/>
        </w:rPr>
        <w:t xml:space="preserve"> If PJM determines that the Plants are needed for reliability reasons, then PJM could implement a must-run requirement</w:t>
      </w:r>
      <w:r w:rsidR="00AE30B7" w:rsidRPr="005A6964">
        <w:rPr>
          <w:rFonts w:cs="Times New Roman"/>
          <w:szCs w:val="24"/>
        </w:rPr>
        <w:t xml:space="preserve">.  Under a must-run requirement a </w:t>
      </w:r>
      <w:r w:rsidR="007D6B2A" w:rsidRPr="005A6964">
        <w:rPr>
          <w:rFonts w:cs="Times New Roman"/>
          <w:szCs w:val="24"/>
        </w:rPr>
        <w:t xml:space="preserve"> generator is paid to keep the Plants open.</w:t>
      </w:r>
      <w:r w:rsidR="007D6B2A" w:rsidRPr="005A6964">
        <w:rPr>
          <w:rStyle w:val="FootnoteReference"/>
          <w:rFonts w:cs="Times New Roman"/>
          <w:szCs w:val="24"/>
        </w:rPr>
        <w:footnoteReference w:id="202"/>
      </w:r>
      <w:r w:rsidR="007D6B2A" w:rsidRPr="005A6964">
        <w:rPr>
          <w:rFonts w:cs="Times New Roman"/>
          <w:szCs w:val="24"/>
        </w:rPr>
        <w:t xml:space="preserve"> This arrangement would be kept in place as long as necessary to alleviate any reliability concern.</w:t>
      </w:r>
      <w:r w:rsidRPr="005A6964">
        <w:rPr>
          <w:rStyle w:val="FootnoteReference"/>
          <w:rFonts w:cs="Times New Roman"/>
          <w:szCs w:val="24"/>
        </w:rPr>
        <w:footnoteReference w:id="203"/>
      </w:r>
      <w:r w:rsidR="007D6B2A" w:rsidRPr="005A6964">
        <w:rPr>
          <w:rFonts w:cs="Times New Roman"/>
          <w:szCs w:val="24"/>
        </w:rPr>
        <w:t xml:space="preserve"> However, as FirstEnergy admitted, PJM has not performed such an analysis or study on the potential impact of Sammis and Davis-Besse’s retirement.</w:t>
      </w:r>
      <w:r w:rsidR="007D6B2A" w:rsidRPr="005A6964">
        <w:rPr>
          <w:rStyle w:val="FootnoteReference"/>
          <w:rFonts w:cs="Times New Roman"/>
          <w:szCs w:val="24"/>
        </w:rPr>
        <w:footnoteReference w:id="204"/>
      </w:r>
      <w:r w:rsidR="007D6B2A" w:rsidRPr="005A6964">
        <w:rPr>
          <w:rFonts w:cs="Times New Roman"/>
          <w:szCs w:val="24"/>
        </w:rPr>
        <w:t xml:space="preserve"> Indeed, FirstEnergy did not request PJM to perform the study.</w:t>
      </w:r>
      <w:r w:rsidR="007D6B2A" w:rsidRPr="005A6964">
        <w:rPr>
          <w:rStyle w:val="FootnoteReference"/>
          <w:rFonts w:cs="Times New Roman"/>
          <w:szCs w:val="24"/>
        </w:rPr>
        <w:footnoteReference w:id="205"/>
      </w:r>
    </w:p>
    <w:p w:rsidR="007D6B2A" w:rsidRPr="005A6964" w:rsidRDefault="007D6B2A" w:rsidP="007D6B2A">
      <w:pPr>
        <w:spacing w:after="0" w:line="480" w:lineRule="auto"/>
        <w:ind w:firstLine="720"/>
        <w:rPr>
          <w:rFonts w:cs="Times New Roman"/>
          <w:szCs w:val="24"/>
        </w:rPr>
      </w:pPr>
      <w:r w:rsidRPr="005A6964">
        <w:rPr>
          <w:rFonts w:cs="Times New Roman"/>
          <w:szCs w:val="24"/>
        </w:rPr>
        <w:t xml:space="preserve">FirstEnergy also claims that the Plants are needed to prevent an overreliance on natural gas in </w:t>
      </w:r>
      <w:r w:rsidR="003C4217" w:rsidRPr="005A6964">
        <w:rPr>
          <w:rFonts w:cs="Times New Roman"/>
          <w:szCs w:val="24"/>
        </w:rPr>
        <w:t xml:space="preserve">the </w:t>
      </w:r>
      <w:r w:rsidRPr="005A6964">
        <w:rPr>
          <w:rFonts w:cs="Times New Roman"/>
          <w:szCs w:val="24"/>
        </w:rPr>
        <w:t>PJM</w:t>
      </w:r>
      <w:r w:rsidR="003C4217" w:rsidRPr="005A6964">
        <w:rPr>
          <w:rFonts w:cs="Times New Roman"/>
          <w:szCs w:val="24"/>
        </w:rPr>
        <w:t xml:space="preserve"> region</w:t>
      </w:r>
      <w:r w:rsidRPr="005A6964">
        <w:rPr>
          <w:rFonts w:cs="Times New Roman"/>
          <w:szCs w:val="24"/>
        </w:rPr>
        <w:t>. This is factually incorrect. According to P3/EPSA witness Kalt, 70 percent of Ohio’s electricity is generated using coal-fired facilities.</w:t>
      </w:r>
      <w:r w:rsidRPr="005A6964">
        <w:rPr>
          <w:rStyle w:val="FootnoteReference"/>
          <w:rFonts w:cs="Times New Roman"/>
          <w:szCs w:val="24"/>
        </w:rPr>
        <w:footnoteReference w:id="206"/>
      </w:r>
      <w:r w:rsidRPr="005A6964">
        <w:rPr>
          <w:rFonts w:cs="Times New Roman"/>
          <w:szCs w:val="24"/>
        </w:rPr>
        <w:t xml:space="preserve"> 15.5 percent and 13.3 percent are obtained from natural gas and nuclear resources, respectively.</w:t>
      </w:r>
      <w:r w:rsidRPr="005A6964">
        <w:rPr>
          <w:rStyle w:val="FootnoteReference"/>
          <w:rFonts w:cs="Times New Roman"/>
          <w:szCs w:val="24"/>
        </w:rPr>
        <w:footnoteReference w:id="207"/>
      </w:r>
      <w:r w:rsidRPr="005A6964">
        <w:rPr>
          <w:rFonts w:cs="Times New Roman"/>
          <w:szCs w:val="24"/>
        </w:rPr>
        <w:t xml:space="preserve"> Similarly, PJM’s resource mix during 2014 contained 43.5 percent coal, 34.3 percent nuclear, and 17.3 percent natural gas.</w:t>
      </w:r>
      <w:r w:rsidRPr="005A6964">
        <w:rPr>
          <w:rStyle w:val="FootnoteReference"/>
          <w:rFonts w:cs="Times New Roman"/>
          <w:szCs w:val="24"/>
        </w:rPr>
        <w:footnoteReference w:id="208"/>
      </w:r>
      <w:r w:rsidRPr="005A6964">
        <w:rPr>
          <w:rFonts w:cs="Times New Roman"/>
          <w:szCs w:val="24"/>
        </w:rPr>
        <w:t xml:space="preserve"> Therefore, these plants do not increase the diversity of generation technologies and fuels used in the state of Ohio or PJM.</w:t>
      </w:r>
      <w:r w:rsidRPr="005A6964">
        <w:rPr>
          <w:rStyle w:val="FootnoteReference"/>
          <w:rFonts w:cs="Times New Roman"/>
          <w:szCs w:val="24"/>
        </w:rPr>
        <w:footnoteReference w:id="209"/>
      </w:r>
      <w:r w:rsidRPr="005A6964">
        <w:rPr>
          <w:rFonts w:cs="Times New Roman"/>
          <w:szCs w:val="24"/>
        </w:rPr>
        <w:t xml:space="preserve"> </w:t>
      </w:r>
    </w:p>
    <w:p w:rsidR="007D6B2A" w:rsidRPr="005A6964" w:rsidRDefault="007D6B2A" w:rsidP="007D6B2A">
      <w:pPr>
        <w:spacing w:after="0" w:line="480" w:lineRule="auto"/>
        <w:ind w:firstLine="720"/>
        <w:rPr>
          <w:rFonts w:cs="Times New Roman"/>
          <w:szCs w:val="24"/>
        </w:rPr>
      </w:pPr>
      <w:r w:rsidRPr="005A6964">
        <w:rPr>
          <w:rFonts w:cs="Times New Roman"/>
          <w:szCs w:val="24"/>
        </w:rPr>
        <w:t>FirstEnergy also alleges that the Plants must be kept open because coal and nuclear power plants are more reliable in extreme weather such as the January 2014 Polar Vortex.</w:t>
      </w:r>
      <w:r w:rsidRPr="005A6964">
        <w:rPr>
          <w:rStyle w:val="FootnoteReference"/>
          <w:rFonts w:cs="Times New Roman"/>
          <w:szCs w:val="24"/>
        </w:rPr>
        <w:footnoteReference w:id="210"/>
      </w:r>
      <w:r w:rsidRPr="005A6964">
        <w:rPr>
          <w:rFonts w:cs="Times New Roman"/>
          <w:szCs w:val="24"/>
        </w:rPr>
        <w:t xml:space="preserve"> This is factually incorrect. Coal and nuclear-fueled power plants were not immune from the reliability issues brought about by the Polar Vortex. As OEC/EDF witness Roberto </w:t>
      </w:r>
      <w:r w:rsidR="00AE30B7" w:rsidRPr="005A6964">
        <w:rPr>
          <w:rFonts w:cs="Times New Roman"/>
          <w:szCs w:val="24"/>
        </w:rPr>
        <w:t>concluded otherwise</w:t>
      </w:r>
      <w:r w:rsidRPr="005A6964">
        <w:rPr>
          <w:rFonts w:cs="Times New Roman"/>
          <w:szCs w:val="24"/>
        </w:rPr>
        <w:t>:</w:t>
      </w:r>
    </w:p>
    <w:p w:rsidR="007D6B2A" w:rsidRPr="005A6964" w:rsidRDefault="007D6B2A" w:rsidP="007D6B2A">
      <w:pPr>
        <w:spacing w:line="240" w:lineRule="auto"/>
        <w:ind w:left="1440" w:right="720"/>
        <w:contextualSpacing/>
        <w:rPr>
          <w:rFonts w:cs="Times New Roman"/>
          <w:szCs w:val="24"/>
        </w:rPr>
      </w:pPr>
      <w:r w:rsidRPr="005A6964">
        <w:rPr>
          <w:rFonts w:cs="Times New Roman"/>
          <w:szCs w:val="24"/>
        </w:rPr>
        <w:t>when put to the test of the Polar Vortex on January 7, 2014, 13, 700 MW of coal-fired generation failed to deliver as a result of “forced outages”; i.e. out of service when it had been committed. Nuclear plants were not immune either when in during the same event 1,400 MW of nuclear generation failed.</w:t>
      </w:r>
      <w:r w:rsidRPr="005A6964">
        <w:rPr>
          <w:rStyle w:val="FootnoteReference"/>
          <w:rFonts w:cs="Times New Roman"/>
          <w:szCs w:val="24"/>
        </w:rPr>
        <w:footnoteReference w:id="211"/>
      </w:r>
      <w:r w:rsidRPr="005A6964">
        <w:rPr>
          <w:rFonts w:cs="Times New Roman"/>
          <w:szCs w:val="24"/>
        </w:rPr>
        <w:t xml:space="preserve">  </w:t>
      </w:r>
    </w:p>
    <w:p w:rsidR="007D6B2A" w:rsidRPr="005A6964" w:rsidRDefault="007D6B2A" w:rsidP="007D6B2A">
      <w:pPr>
        <w:spacing w:line="240" w:lineRule="auto"/>
        <w:ind w:left="720" w:right="720"/>
        <w:contextualSpacing/>
        <w:jc w:val="both"/>
        <w:rPr>
          <w:rFonts w:cs="Times New Roman"/>
          <w:szCs w:val="24"/>
        </w:rPr>
      </w:pPr>
    </w:p>
    <w:p w:rsidR="007D6B2A" w:rsidRPr="005A6964" w:rsidRDefault="00AE30B7" w:rsidP="007D6B2A">
      <w:pPr>
        <w:spacing w:after="0" w:line="480" w:lineRule="auto"/>
        <w:rPr>
          <w:rFonts w:cs="Times New Roman"/>
          <w:szCs w:val="24"/>
        </w:rPr>
      </w:pPr>
      <w:r w:rsidRPr="005A6964">
        <w:rPr>
          <w:rFonts w:cs="Times New Roman"/>
          <w:szCs w:val="24"/>
        </w:rPr>
        <w:tab/>
      </w:r>
      <w:r w:rsidR="007D6B2A" w:rsidRPr="005A6964">
        <w:rPr>
          <w:rFonts w:cs="Times New Roman"/>
          <w:szCs w:val="24"/>
        </w:rPr>
        <w:t xml:space="preserve">FirstEnergy </w:t>
      </w:r>
      <w:r w:rsidR="003C4217" w:rsidRPr="005A6964">
        <w:rPr>
          <w:rFonts w:cs="Times New Roman"/>
          <w:szCs w:val="24"/>
        </w:rPr>
        <w:t xml:space="preserve">also </w:t>
      </w:r>
      <w:r w:rsidR="007D6B2A" w:rsidRPr="005A6964">
        <w:rPr>
          <w:rFonts w:cs="Times New Roman"/>
          <w:szCs w:val="24"/>
        </w:rPr>
        <w:t xml:space="preserve">implies that the Plants are necessary because natural gas generators may face fuel supply challenges, like they did during the </w:t>
      </w:r>
      <w:r w:rsidR="003C4217" w:rsidRPr="005A6964">
        <w:rPr>
          <w:rFonts w:cs="Times New Roman"/>
          <w:szCs w:val="24"/>
        </w:rPr>
        <w:t>P</w:t>
      </w:r>
      <w:r w:rsidR="007D6B2A" w:rsidRPr="005A6964">
        <w:rPr>
          <w:rFonts w:cs="Times New Roman"/>
          <w:szCs w:val="24"/>
        </w:rPr>
        <w:t xml:space="preserve">olar </w:t>
      </w:r>
      <w:r w:rsidR="003C4217" w:rsidRPr="005A6964">
        <w:rPr>
          <w:rFonts w:cs="Times New Roman"/>
          <w:szCs w:val="24"/>
        </w:rPr>
        <w:t>V</w:t>
      </w:r>
      <w:r w:rsidR="007D6B2A" w:rsidRPr="005A6964">
        <w:rPr>
          <w:rFonts w:cs="Times New Roman"/>
          <w:szCs w:val="24"/>
        </w:rPr>
        <w:t>ortex, in the coming years that would make them less reliable.</w:t>
      </w:r>
      <w:r w:rsidR="007D6B2A" w:rsidRPr="005A6964">
        <w:rPr>
          <w:rStyle w:val="FootnoteReference"/>
          <w:rFonts w:cs="Times New Roman"/>
          <w:szCs w:val="24"/>
        </w:rPr>
        <w:footnoteReference w:id="212"/>
      </w:r>
      <w:r w:rsidR="007D6B2A" w:rsidRPr="005A6964">
        <w:rPr>
          <w:rFonts w:cs="Times New Roman"/>
          <w:szCs w:val="24"/>
        </w:rPr>
        <w:t xml:space="preserve"> This is not true. As OCC witness Wilson </w:t>
      </w:r>
      <w:r w:rsidRPr="005A6964">
        <w:rPr>
          <w:rFonts w:cs="Times New Roman"/>
          <w:szCs w:val="24"/>
        </w:rPr>
        <w:t>testified</w:t>
      </w:r>
      <w:r w:rsidR="007D6B2A" w:rsidRPr="005A6964">
        <w:rPr>
          <w:rFonts w:cs="Times New Roman"/>
          <w:szCs w:val="24"/>
        </w:rPr>
        <w:t>, PJM has proposed new tariff rules to ensure that the power plants it relied upon for winter reliability have firm fuel supplies.</w:t>
      </w:r>
      <w:r w:rsidR="007D6B2A" w:rsidRPr="005A6964">
        <w:rPr>
          <w:rStyle w:val="FootnoteReference"/>
          <w:rFonts w:cs="Times New Roman"/>
          <w:szCs w:val="24"/>
        </w:rPr>
        <w:footnoteReference w:id="213"/>
      </w:r>
      <w:r w:rsidR="007D6B2A" w:rsidRPr="005A6964">
        <w:rPr>
          <w:rFonts w:cs="Times New Roman"/>
          <w:szCs w:val="24"/>
        </w:rPr>
        <w:t xml:space="preserve"> Mr. Wilson explains that the new rules will require capacity providers to arrange firm fuel supply in order to be considered “</w:t>
      </w:r>
      <w:r w:rsidRPr="005A6964">
        <w:rPr>
          <w:rFonts w:cs="Times New Roman"/>
          <w:szCs w:val="24"/>
        </w:rPr>
        <w:t>c</w:t>
      </w:r>
      <w:r w:rsidR="007D6B2A" w:rsidRPr="005A6964">
        <w:rPr>
          <w:rFonts w:cs="Times New Roman"/>
          <w:szCs w:val="24"/>
        </w:rPr>
        <w:t xml:space="preserve">apacity </w:t>
      </w:r>
      <w:r w:rsidRPr="005A6964">
        <w:rPr>
          <w:rFonts w:cs="Times New Roman"/>
          <w:szCs w:val="24"/>
        </w:rPr>
        <w:t>p</w:t>
      </w:r>
      <w:r w:rsidR="007D6B2A" w:rsidRPr="005A6964">
        <w:rPr>
          <w:rFonts w:cs="Times New Roman"/>
          <w:szCs w:val="24"/>
        </w:rPr>
        <w:t>erformance” resources eligible for capacity payments, and will impose substantial penalties for non-performance.</w:t>
      </w:r>
      <w:r w:rsidR="007D6B2A" w:rsidRPr="005A6964">
        <w:rPr>
          <w:rStyle w:val="FootnoteReference"/>
          <w:rFonts w:cs="Times New Roman"/>
          <w:szCs w:val="24"/>
        </w:rPr>
        <w:footnoteReference w:id="214"/>
      </w:r>
      <w:r w:rsidR="007D6B2A" w:rsidRPr="005A6964">
        <w:rPr>
          <w:rFonts w:cs="Times New Roman"/>
          <w:szCs w:val="24"/>
        </w:rPr>
        <w:t xml:space="preserve"> Therefore, in the future gas-fired generators needed for reliability will have firm fuel arrangements and will not endure the issues seen during the Polar Vortex.</w:t>
      </w:r>
      <w:r w:rsidR="007D6B2A" w:rsidRPr="005A6964">
        <w:rPr>
          <w:rStyle w:val="FootnoteReference"/>
          <w:rFonts w:cs="Times New Roman"/>
          <w:szCs w:val="24"/>
        </w:rPr>
        <w:footnoteReference w:id="215"/>
      </w:r>
    </w:p>
    <w:p w:rsidR="007D6B2A" w:rsidRPr="005A6964" w:rsidRDefault="007D6B2A" w:rsidP="007D6B2A">
      <w:pPr>
        <w:spacing w:after="0" w:line="480" w:lineRule="auto"/>
        <w:ind w:firstLine="720"/>
        <w:rPr>
          <w:rFonts w:cs="Times New Roman"/>
          <w:szCs w:val="24"/>
        </w:rPr>
      </w:pPr>
      <w:r w:rsidRPr="005A6964">
        <w:rPr>
          <w:rFonts w:cs="Times New Roman"/>
          <w:szCs w:val="24"/>
        </w:rPr>
        <w:t>FirstEnergy also claims that the Plants are needed because they, unlike renewable energy power plants, are “bedrock units” that can operate in all seasons and at all time of day or night.</w:t>
      </w:r>
      <w:r w:rsidRPr="005A6964">
        <w:rPr>
          <w:rStyle w:val="FootnoteReference"/>
          <w:rFonts w:cs="Times New Roman"/>
          <w:szCs w:val="24"/>
        </w:rPr>
        <w:footnoteReference w:id="216"/>
      </w:r>
      <w:r w:rsidRPr="005A6964">
        <w:rPr>
          <w:rFonts w:cs="Times New Roman"/>
          <w:szCs w:val="24"/>
        </w:rPr>
        <w:t xml:space="preserve"> This claim implies that</w:t>
      </w:r>
      <w:r w:rsidR="00AE30B7" w:rsidRPr="005A6964">
        <w:rPr>
          <w:rFonts w:cs="Times New Roman"/>
          <w:szCs w:val="24"/>
        </w:rPr>
        <w:t>,</w:t>
      </w:r>
      <w:r w:rsidRPr="005A6964">
        <w:rPr>
          <w:rFonts w:cs="Times New Roman"/>
          <w:szCs w:val="24"/>
        </w:rPr>
        <w:t xml:space="preserve"> without the Plants</w:t>
      </w:r>
      <w:r w:rsidR="00AE30B7" w:rsidRPr="005A6964">
        <w:rPr>
          <w:rFonts w:cs="Times New Roman"/>
          <w:szCs w:val="24"/>
        </w:rPr>
        <w:t>,</w:t>
      </w:r>
      <w:r w:rsidRPr="005A6964">
        <w:rPr>
          <w:rFonts w:cs="Times New Roman"/>
          <w:szCs w:val="24"/>
        </w:rPr>
        <w:t xml:space="preserve"> the region would have a reliability issue due to the remaining available generation mix. As shown above, this is not true. There will be no reliability issue if FES chooses to close the Plants. In addition, if anything, Ohio is overly dependent on coal.</w:t>
      </w:r>
      <w:r w:rsidRPr="005A6964">
        <w:rPr>
          <w:rStyle w:val="FootnoteReference"/>
          <w:rFonts w:cs="Times New Roman"/>
          <w:szCs w:val="24"/>
        </w:rPr>
        <w:footnoteReference w:id="217"/>
      </w:r>
      <w:r w:rsidRPr="005A6964">
        <w:rPr>
          <w:rFonts w:cs="Times New Roman"/>
          <w:szCs w:val="24"/>
        </w:rPr>
        <w:t xml:space="preserve"> </w:t>
      </w:r>
    </w:p>
    <w:p w:rsidR="007D6B2A" w:rsidRPr="005A6964" w:rsidRDefault="007D6B2A" w:rsidP="007D6B2A">
      <w:pPr>
        <w:spacing w:after="0" w:line="480" w:lineRule="auto"/>
        <w:ind w:firstLine="360"/>
        <w:rPr>
          <w:rFonts w:cs="Times New Roman"/>
          <w:szCs w:val="24"/>
        </w:rPr>
      </w:pPr>
      <w:r w:rsidRPr="005A6964">
        <w:rPr>
          <w:rFonts w:cs="Times New Roman"/>
          <w:szCs w:val="24"/>
        </w:rPr>
        <w:t xml:space="preserve">FirstEnergy also alleges that the Plants have reliability benefits </w:t>
      </w:r>
      <w:r w:rsidR="00AE30B7" w:rsidRPr="005A6964">
        <w:rPr>
          <w:rFonts w:cs="Times New Roman"/>
          <w:szCs w:val="24"/>
        </w:rPr>
        <w:t xml:space="preserve">because they are located close </w:t>
      </w:r>
      <w:r w:rsidRPr="005A6964">
        <w:rPr>
          <w:rFonts w:cs="Times New Roman"/>
          <w:szCs w:val="24"/>
        </w:rPr>
        <w:t>to FirstEnergy’s load.</w:t>
      </w:r>
      <w:r w:rsidRPr="005A6964">
        <w:rPr>
          <w:rStyle w:val="FootnoteReference"/>
          <w:rFonts w:cs="Times New Roman"/>
          <w:szCs w:val="24"/>
        </w:rPr>
        <w:footnoteReference w:id="218"/>
      </w:r>
      <w:r w:rsidRPr="005A6964">
        <w:rPr>
          <w:rFonts w:cs="Times New Roman"/>
          <w:szCs w:val="24"/>
        </w:rPr>
        <w:t xml:space="preserve"> Specifically, FirstEnergy states that increasing the distance between generation and load centers increases the potential for outages on the transmission system that affect reliability at the load center.</w:t>
      </w:r>
      <w:r w:rsidRPr="005A6964">
        <w:rPr>
          <w:rStyle w:val="FootnoteReference"/>
          <w:rFonts w:cs="Times New Roman"/>
          <w:szCs w:val="24"/>
        </w:rPr>
        <w:footnoteReference w:id="219"/>
      </w:r>
      <w:r w:rsidRPr="005A6964">
        <w:rPr>
          <w:rFonts w:cs="Times New Roman"/>
          <w:szCs w:val="24"/>
        </w:rPr>
        <w:t xml:space="preserve"> This, again, is not true. As explained earlier, PJM is responsible for monitoring and ensuring reliability in the region. Indeed, when asked at the hearing whether PJM had raised this issue as a concern, FirstEnergy witness Phillips stated that he was not aware of PJM doing so.</w:t>
      </w:r>
      <w:r w:rsidRPr="005A6964">
        <w:rPr>
          <w:rStyle w:val="FootnoteReference"/>
          <w:rFonts w:cs="Times New Roman"/>
          <w:szCs w:val="24"/>
        </w:rPr>
        <w:footnoteReference w:id="220"/>
      </w:r>
      <w:r w:rsidRPr="005A6964">
        <w:rPr>
          <w:rFonts w:cs="Times New Roman"/>
          <w:szCs w:val="24"/>
        </w:rPr>
        <w:t xml:space="preserve"> In fact, Mr. Phillips admitted that PJM will maintain reliability irrespective of the distance between generation centers and the load.</w:t>
      </w:r>
      <w:r w:rsidRPr="005A6964">
        <w:rPr>
          <w:rStyle w:val="FootnoteReference"/>
          <w:rFonts w:cs="Times New Roman"/>
          <w:szCs w:val="24"/>
        </w:rPr>
        <w:footnoteReference w:id="221"/>
      </w:r>
      <w:r w:rsidRPr="005A6964">
        <w:rPr>
          <w:rFonts w:cs="Times New Roman"/>
          <w:szCs w:val="24"/>
        </w:rPr>
        <w:t xml:space="preserve"> In addition, as OCC witness Wilson states</w:t>
      </w:r>
      <w:r w:rsidR="003C4217" w:rsidRPr="005A6964">
        <w:rPr>
          <w:rFonts w:cs="Times New Roman"/>
          <w:szCs w:val="24"/>
        </w:rPr>
        <w:t>,</w:t>
      </w:r>
      <w:r w:rsidRPr="005A6964">
        <w:rPr>
          <w:rFonts w:cs="Times New Roman"/>
          <w:szCs w:val="24"/>
        </w:rPr>
        <w:t xml:space="preserve"> there are currently a number of new power plants under construction or proposed in Ohio.</w:t>
      </w:r>
      <w:r w:rsidR="008E1838" w:rsidRPr="005A6964">
        <w:rPr>
          <w:rStyle w:val="FootnoteReference"/>
          <w:rFonts w:cs="Times New Roman"/>
          <w:szCs w:val="24"/>
        </w:rPr>
        <w:footnoteReference w:id="222"/>
      </w:r>
      <w:r w:rsidRPr="005A6964">
        <w:rPr>
          <w:rFonts w:cs="Times New Roman"/>
          <w:szCs w:val="24"/>
        </w:rPr>
        <w:t xml:space="preserve"> And, as FirstEnergy confirmed at the hearing, these new power plants could provide reliability assistance if needed.</w:t>
      </w:r>
      <w:r w:rsidRPr="005A6964">
        <w:rPr>
          <w:rStyle w:val="FootnoteReference"/>
          <w:rFonts w:cs="Times New Roman"/>
          <w:szCs w:val="24"/>
        </w:rPr>
        <w:footnoteReference w:id="223"/>
      </w:r>
    </w:p>
    <w:p w:rsidR="007D6B2A" w:rsidRPr="005A6964" w:rsidRDefault="007D6B2A" w:rsidP="007D6B2A">
      <w:pPr>
        <w:spacing w:after="0" w:line="480" w:lineRule="auto"/>
        <w:ind w:firstLine="360"/>
        <w:rPr>
          <w:rFonts w:cs="Times New Roman"/>
          <w:szCs w:val="24"/>
        </w:rPr>
      </w:pPr>
      <w:r w:rsidRPr="005A6964">
        <w:rPr>
          <w:rFonts w:cs="Times New Roman"/>
          <w:szCs w:val="24"/>
        </w:rPr>
        <w:t>FirstEnergy also alleges that if the Plants retire and more generation is imported from out of state this will decrease reliability.</w:t>
      </w:r>
      <w:r w:rsidRPr="005A6964">
        <w:rPr>
          <w:rStyle w:val="FootnoteReference"/>
          <w:rFonts w:cs="Times New Roman"/>
          <w:szCs w:val="24"/>
        </w:rPr>
        <w:footnoteReference w:id="224"/>
      </w:r>
      <w:r w:rsidRPr="005A6964">
        <w:rPr>
          <w:rFonts w:cs="Times New Roman"/>
          <w:szCs w:val="24"/>
        </w:rPr>
        <w:t xml:space="preserve"> This is not true. The fact that a state is a net importer of energy does not directly correlate to a decrease in reliability. In fact, there seems to be very little correlation if any at all. Point in fact, as FirstEnergy freely admits, Ohio has been a net importer of electric power every year from 1990 to 2013.</w:t>
      </w:r>
      <w:r w:rsidRPr="005A6964">
        <w:rPr>
          <w:rStyle w:val="FootnoteReference"/>
          <w:rFonts w:cs="Times New Roman"/>
          <w:szCs w:val="24"/>
        </w:rPr>
        <w:footnoteReference w:id="225"/>
      </w:r>
      <w:r w:rsidRPr="005A6964">
        <w:rPr>
          <w:rFonts w:cs="Times New Roman"/>
          <w:szCs w:val="24"/>
        </w:rPr>
        <w:t xml:space="preserve"> Yet, </w:t>
      </w:r>
      <w:r w:rsidR="00AE30B7" w:rsidRPr="005A6964">
        <w:rPr>
          <w:rFonts w:cs="Times New Roman"/>
          <w:szCs w:val="24"/>
        </w:rPr>
        <w:t xml:space="preserve">at the same time </w:t>
      </w:r>
      <w:r w:rsidRPr="005A6964">
        <w:rPr>
          <w:rFonts w:cs="Times New Roman"/>
          <w:szCs w:val="24"/>
        </w:rPr>
        <w:t>Ohio is not and has not been a state with electric reliability concerns. Therefore, there is no reliability issue if the Plants retire</w:t>
      </w:r>
      <w:r w:rsidR="00AE30B7" w:rsidRPr="005A6964">
        <w:rPr>
          <w:rFonts w:cs="Times New Roman"/>
          <w:szCs w:val="24"/>
        </w:rPr>
        <w:t>.</w:t>
      </w:r>
      <w:r w:rsidRPr="005A6964">
        <w:rPr>
          <w:rFonts w:cs="Times New Roman"/>
          <w:szCs w:val="24"/>
        </w:rPr>
        <w:t xml:space="preserve"> </w:t>
      </w:r>
    </w:p>
    <w:p w:rsidR="007D6B2A" w:rsidRPr="005A6964" w:rsidRDefault="007D6B2A" w:rsidP="007D6B2A">
      <w:pPr>
        <w:ind w:firstLine="720"/>
        <w:rPr>
          <w:rFonts w:cs="Times New Roman"/>
          <w:szCs w:val="24"/>
        </w:rPr>
      </w:pPr>
      <w:r w:rsidRPr="005A6964">
        <w:rPr>
          <w:rFonts w:cs="Times New Roman"/>
          <w:szCs w:val="24"/>
        </w:rPr>
        <w:t>Therefore, FirstEnergy has not satisfied the second factor of the AEP ESP III Order.</w:t>
      </w:r>
    </w:p>
    <w:p w:rsidR="007D6B2A" w:rsidRPr="005A6964" w:rsidRDefault="007D6B2A" w:rsidP="007D6B2A">
      <w:pPr>
        <w:pStyle w:val="Heading4"/>
      </w:pPr>
      <w:bookmarkStart w:id="41" w:name="_Toc444269027"/>
      <w:r w:rsidRPr="005A6964">
        <w:t>c.</w:t>
      </w:r>
      <w:r w:rsidRPr="005A6964">
        <w:tab/>
        <w:t xml:space="preserve">FirstEnergy did not satisfy the third </w:t>
      </w:r>
      <w:r w:rsidR="005C17D5" w:rsidRPr="005A6964">
        <w:t xml:space="preserve">factor of the </w:t>
      </w:r>
      <w:r w:rsidRPr="005A6964">
        <w:t>AEP ESP III Order because</w:t>
      </w:r>
      <w:r w:rsidR="005C17D5" w:rsidRPr="005A6964">
        <w:t xml:space="preserve"> the</w:t>
      </w:r>
      <w:r w:rsidRPr="005A6964">
        <w:t xml:space="preserve"> Sammis and Davis-Besse</w:t>
      </w:r>
      <w:r w:rsidR="005C17D5" w:rsidRPr="005A6964">
        <w:t xml:space="preserve"> plants</w:t>
      </w:r>
      <w:r w:rsidRPr="005A6964">
        <w:t xml:space="preserve"> </w:t>
      </w:r>
      <w:r w:rsidR="00AE30B7" w:rsidRPr="005A6964">
        <w:t xml:space="preserve">do not </w:t>
      </w:r>
      <w:r w:rsidRPr="005A6964">
        <w:t>compl</w:t>
      </w:r>
      <w:r w:rsidR="00AE30B7" w:rsidRPr="005A6964">
        <w:t>y</w:t>
      </w:r>
      <w:r w:rsidRPr="005A6964">
        <w:t xml:space="preserve"> with all </w:t>
      </w:r>
      <w:r w:rsidR="00763303" w:rsidRPr="005A6964">
        <w:t xml:space="preserve">pertinent and </w:t>
      </w:r>
      <w:r w:rsidRPr="005A6964">
        <w:t>pending environmental regulations.</w:t>
      </w:r>
      <w:r w:rsidR="006452F0" w:rsidRPr="005A6964">
        <w:t>”</w:t>
      </w:r>
      <w:bookmarkEnd w:id="41"/>
    </w:p>
    <w:p w:rsidR="007D6B2A" w:rsidRPr="005A6964" w:rsidRDefault="003820BF" w:rsidP="007D6B2A">
      <w:pPr>
        <w:spacing w:after="0" w:line="480" w:lineRule="auto"/>
        <w:ind w:firstLine="720"/>
        <w:rPr>
          <w:rFonts w:cs="Times New Roman"/>
          <w:szCs w:val="24"/>
        </w:rPr>
      </w:pPr>
      <w:r w:rsidRPr="005A6964">
        <w:rPr>
          <w:rFonts w:cs="Times New Roman"/>
          <w:szCs w:val="24"/>
        </w:rPr>
        <w:t>The third factor that FirstEnergy must address under the AEP ESP III Order is a description of how the Plants are compliant with all pertinent environmental regulations and  its plan for compliance with pending environmental regulations.</w:t>
      </w:r>
      <w:r w:rsidRPr="005A6964">
        <w:rPr>
          <w:rStyle w:val="FootnoteReference"/>
          <w:rFonts w:cs="Times New Roman"/>
          <w:szCs w:val="24"/>
        </w:rPr>
        <w:footnoteReference w:id="226"/>
      </w:r>
      <w:r w:rsidR="007D6B2A" w:rsidRPr="005A6964">
        <w:rPr>
          <w:rFonts w:cs="Times New Roman"/>
          <w:szCs w:val="24"/>
        </w:rPr>
        <w:t>FirstEnergy maintains that it satisfies the third factor of the AEP ESP III Order because the Plants are compliant with all existing environmental regulations</w:t>
      </w:r>
      <w:r w:rsidRPr="005A6964">
        <w:rPr>
          <w:rFonts w:cs="Times New Roman"/>
          <w:szCs w:val="24"/>
        </w:rPr>
        <w:t xml:space="preserve"> and have plans to comply with pending or known future environmental regulations</w:t>
      </w:r>
      <w:r w:rsidR="007D6B2A" w:rsidRPr="005A6964">
        <w:rPr>
          <w:rFonts w:cs="Times New Roman"/>
          <w:szCs w:val="24"/>
        </w:rPr>
        <w:t>.</w:t>
      </w:r>
      <w:r w:rsidR="007D6B2A" w:rsidRPr="005A6964">
        <w:rPr>
          <w:rStyle w:val="FootnoteReference"/>
          <w:rFonts w:cs="Times New Roman"/>
          <w:szCs w:val="24"/>
        </w:rPr>
        <w:footnoteReference w:id="227"/>
      </w:r>
      <w:r w:rsidR="007D6B2A" w:rsidRPr="005A6964">
        <w:rPr>
          <w:rFonts w:cs="Times New Roman"/>
          <w:szCs w:val="24"/>
        </w:rPr>
        <w:t xml:space="preserve"> This is not true because there is still a great amount of uncertainty regarding Sammis’ compliance with a number of environmental regulations.</w:t>
      </w:r>
    </w:p>
    <w:p w:rsidR="007D6B2A" w:rsidRPr="005A6964" w:rsidRDefault="007D6B2A" w:rsidP="007D6B2A">
      <w:pPr>
        <w:autoSpaceDE w:val="0"/>
        <w:autoSpaceDN w:val="0"/>
        <w:adjustRightInd w:val="0"/>
        <w:spacing w:after="0" w:line="480" w:lineRule="auto"/>
        <w:ind w:firstLine="720"/>
        <w:rPr>
          <w:rFonts w:cs="Times New Roman"/>
          <w:szCs w:val="24"/>
        </w:rPr>
      </w:pPr>
      <w:r w:rsidRPr="005A6964">
        <w:rPr>
          <w:rFonts w:cs="Times New Roman"/>
          <w:szCs w:val="24"/>
        </w:rPr>
        <w:t>First, as FirstEnergy admits, the Coal Combustion Residuals (“CCR”)</w:t>
      </w:r>
      <w:r w:rsidRPr="005A6964">
        <w:rPr>
          <w:rStyle w:val="FootnoteReference"/>
          <w:rFonts w:cs="Times New Roman"/>
          <w:szCs w:val="24"/>
        </w:rPr>
        <w:footnoteReference w:id="228"/>
      </w:r>
      <w:r w:rsidRPr="005A6964">
        <w:rPr>
          <w:rFonts w:cs="Times New Roman"/>
          <w:szCs w:val="24"/>
        </w:rPr>
        <w:t xml:space="preserve"> Rule and the Effluent Limitations Guidelines (“ELG”)</w:t>
      </w:r>
      <w:r w:rsidRPr="005A6964">
        <w:rPr>
          <w:rStyle w:val="FootnoteReference"/>
          <w:rFonts w:cs="Times New Roman"/>
          <w:szCs w:val="24"/>
        </w:rPr>
        <w:footnoteReference w:id="229"/>
      </w:r>
      <w:r w:rsidRPr="005A6964">
        <w:rPr>
          <w:rFonts w:cs="Times New Roman"/>
          <w:szCs w:val="24"/>
        </w:rPr>
        <w:t xml:space="preserve"> could require FirstEnergy to make </w:t>
      </w:r>
      <w:r w:rsidR="00D314C2" w:rsidRPr="005A6964">
        <w:rPr>
          <w:rFonts w:cs="Times New Roman"/>
          <w:szCs w:val="24"/>
        </w:rPr>
        <w:t>modifications to Sammis, requiring additional expenditures by FES (expenditures which under the stipulated ESP customers would pay).  F</w:t>
      </w:r>
      <w:r w:rsidRPr="005A6964">
        <w:rPr>
          <w:rFonts w:cs="Times New Roman"/>
          <w:szCs w:val="24"/>
        </w:rPr>
        <w:t>irstEnergy maintains that treatment for selenium required by the ELGs would cost $8 to $18 million spread over three to four years</w:t>
      </w:r>
      <w:r w:rsidRPr="005A6964">
        <w:rPr>
          <w:rStyle w:val="FootnoteReference"/>
          <w:rFonts w:cs="Times New Roman"/>
          <w:szCs w:val="24"/>
        </w:rPr>
        <w:footnoteReference w:id="230"/>
      </w:r>
      <w:r w:rsidRPr="005A6964">
        <w:rPr>
          <w:rFonts w:cs="Times New Roman"/>
          <w:szCs w:val="24"/>
        </w:rPr>
        <w:t xml:space="preserve"> and that it would cost $3 to $5 million to address the bottom ash waste stream, including lining of a bottom ash pond, under the ELG and CCR rules.</w:t>
      </w:r>
      <w:r w:rsidRPr="005A6964">
        <w:rPr>
          <w:rStyle w:val="FootnoteReference"/>
          <w:rFonts w:cs="Times New Roman"/>
          <w:szCs w:val="24"/>
        </w:rPr>
        <w:footnoteReference w:id="231"/>
      </w:r>
      <w:r w:rsidRPr="005A6964">
        <w:rPr>
          <w:rFonts w:cs="Times New Roman"/>
          <w:szCs w:val="24"/>
        </w:rPr>
        <w:t xml:space="preserve"> However, as Sierra Club notes in its Initial Brief, FirstEnergy has provided no basis or support for such cost estimates or for the suggestion that those estimates are the total that Sammis would be required to expend to achieve compliance with the ELG and CCR rules. In fact, FirstEnergy acknowledged that it has never produced a study of ELG compliance methods or costs.</w:t>
      </w:r>
      <w:r w:rsidRPr="005A6964">
        <w:rPr>
          <w:rStyle w:val="FootnoteReference"/>
          <w:rFonts w:cs="Times New Roman"/>
          <w:szCs w:val="24"/>
        </w:rPr>
        <w:footnoteReference w:id="232"/>
      </w:r>
      <w:r w:rsidRPr="005A6964">
        <w:rPr>
          <w:rFonts w:cs="Times New Roman"/>
          <w:szCs w:val="24"/>
        </w:rPr>
        <w:t xml:space="preserve"> Further, FirstEnergy admits that its CCR rules analysis will not be completed until 2017.</w:t>
      </w:r>
      <w:r w:rsidRPr="005A6964">
        <w:rPr>
          <w:rStyle w:val="FootnoteReference"/>
          <w:rFonts w:cs="Times New Roman"/>
          <w:szCs w:val="24"/>
        </w:rPr>
        <w:footnoteReference w:id="233"/>
      </w:r>
      <w:r w:rsidRPr="005A6964">
        <w:rPr>
          <w:rFonts w:cs="Times New Roman"/>
          <w:szCs w:val="24"/>
        </w:rPr>
        <w:t xml:space="preserve"> Therefore, FirstEnergy has failed to carry its burden in demonstrating that its plants are in compliance with all </w:t>
      </w:r>
      <w:r w:rsidR="00AF2FEF" w:rsidRPr="005A6964">
        <w:rPr>
          <w:rFonts w:cs="Times New Roman"/>
          <w:szCs w:val="24"/>
        </w:rPr>
        <w:t xml:space="preserve">pertinent or pending </w:t>
      </w:r>
      <w:r w:rsidRPr="005A6964">
        <w:rPr>
          <w:rFonts w:cs="Times New Roman"/>
          <w:szCs w:val="24"/>
        </w:rPr>
        <w:t>environmental regulations.</w:t>
      </w:r>
    </w:p>
    <w:p w:rsidR="005C17D5" w:rsidRPr="005A6964" w:rsidRDefault="007D6B2A" w:rsidP="007D6B2A">
      <w:pPr>
        <w:spacing w:after="0" w:line="480" w:lineRule="auto"/>
        <w:ind w:firstLine="720"/>
        <w:rPr>
          <w:rFonts w:cs="Times New Roman"/>
          <w:szCs w:val="24"/>
        </w:rPr>
      </w:pPr>
      <w:r w:rsidRPr="005A6964">
        <w:rPr>
          <w:rFonts w:cs="Times New Roman"/>
          <w:szCs w:val="24"/>
        </w:rPr>
        <w:t xml:space="preserve">FirstEnergy and Material Sciences claim that the U.S. Environmental Protection Agency’s (“EPA”) October 2015 reduction of the national ozone standard from 75 parts per billion (“ppb”) to 70 ppb will not </w:t>
      </w:r>
      <w:r w:rsidR="00D314C2" w:rsidRPr="005A6964">
        <w:rPr>
          <w:rFonts w:cs="Times New Roman"/>
          <w:szCs w:val="24"/>
        </w:rPr>
        <w:t>affect</w:t>
      </w:r>
      <w:r w:rsidRPr="005A6964">
        <w:rPr>
          <w:rFonts w:cs="Times New Roman"/>
          <w:szCs w:val="24"/>
        </w:rPr>
        <w:t xml:space="preserve"> Sammis.</w:t>
      </w:r>
      <w:r w:rsidRPr="005A6964">
        <w:rPr>
          <w:rStyle w:val="FootnoteReference"/>
          <w:rFonts w:cs="Times New Roman"/>
          <w:szCs w:val="24"/>
        </w:rPr>
        <w:footnoteReference w:id="234"/>
      </w:r>
      <w:r w:rsidRPr="005A6964">
        <w:rPr>
          <w:rFonts w:cs="Times New Roman"/>
          <w:szCs w:val="24"/>
        </w:rPr>
        <w:t xml:space="preserve"> </w:t>
      </w:r>
      <w:r w:rsidR="008E1838" w:rsidRPr="005A6964">
        <w:rPr>
          <w:rFonts w:cs="Times New Roman"/>
          <w:szCs w:val="24"/>
        </w:rPr>
        <w:t xml:space="preserve">FirstEnergy </w:t>
      </w:r>
      <w:r w:rsidRPr="005A6964">
        <w:rPr>
          <w:rFonts w:cs="Times New Roman"/>
          <w:szCs w:val="24"/>
        </w:rPr>
        <w:t>state</w:t>
      </w:r>
      <w:r w:rsidR="008E1838" w:rsidRPr="005A6964">
        <w:rPr>
          <w:rFonts w:cs="Times New Roman"/>
          <w:szCs w:val="24"/>
        </w:rPr>
        <w:t>s</w:t>
      </w:r>
      <w:r w:rsidRPr="005A6964">
        <w:rPr>
          <w:rFonts w:cs="Times New Roman"/>
          <w:szCs w:val="24"/>
        </w:rPr>
        <w:t xml:space="preserve"> that Sammis, while in a county that is designated nonattainment (or below minimum standards), is in an area</w:t>
      </w:r>
      <w:r w:rsidR="003820BF" w:rsidRPr="005A6964">
        <w:rPr>
          <w:rFonts w:cs="Times New Roman"/>
          <w:szCs w:val="24"/>
        </w:rPr>
        <w:t xml:space="preserve"> within that county</w:t>
      </w:r>
      <w:r w:rsidRPr="005A6964">
        <w:rPr>
          <w:rFonts w:cs="Times New Roman"/>
          <w:szCs w:val="24"/>
        </w:rPr>
        <w:t xml:space="preserve"> that is currently in attainment with the 2015 ozone standard.</w:t>
      </w:r>
      <w:r w:rsidRPr="005A6964">
        <w:rPr>
          <w:rStyle w:val="FootnoteReference"/>
          <w:rFonts w:cs="Times New Roman"/>
          <w:szCs w:val="24"/>
        </w:rPr>
        <w:footnoteReference w:id="235"/>
      </w:r>
      <w:r w:rsidRPr="005A6964">
        <w:rPr>
          <w:rFonts w:cs="Times New Roman"/>
          <w:szCs w:val="24"/>
        </w:rPr>
        <w:t xml:space="preserve"> However, as OCC witness Ferrey states, the U.S. EPA’s Science Advisory Committee (“CASAC”) had concluded that there was scientific evidence warranting further reductions to the ozone standard to a tighter 60-70 ppb concentration.</w:t>
      </w:r>
      <w:r w:rsidRPr="005A6964">
        <w:rPr>
          <w:rStyle w:val="FootnoteReference"/>
          <w:rFonts w:cs="Times New Roman"/>
          <w:szCs w:val="24"/>
        </w:rPr>
        <w:footnoteReference w:id="236"/>
      </w:r>
      <w:r w:rsidRPr="005A6964">
        <w:rPr>
          <w:rFonts w:cs="Times New Roman"/>
          <w:szCs w:val="24"/>
        </w:rPr>
        <w:t xml:space="preserve"> </w:t>
      </w:r>
    </w:p>
    <w:p w:rsidR="007D6B2A" w:rsidRPr="005A6964" w:rsidRDefault="007D6B2A" w:rsidP="007D6B2A">
      <w:pPr>
        <w:spacing w:after="0" w:line="480" w:lineRule="auto"/>
        <w:ind w:firstLine="720"/>
        <w:rPr>
          <w:rFonts w:cs="Times New Roman"/>
          <w:szCs w:val="24"/>
        </w:rPr>
      </w:pPr>
      <w:r w:rsidRPr="005A6964">
        <w:rPr>
          <w:rFonts w:cs="Times New Roman"/>
          <w:szCs w:val="24"/>
        </w:rPr>
        <w:t>In fact, as Professor Ferrey notes, the CASAC suggested that maintaining an adequate margin of safety could require a reduction in the ozone standard to less than 60 ppb.</w:t>
      </w:r>
      <w:r w:rsidRPr="005A6964">
        <w:rPr>
          <w:rStyle w:val="FootnoteReference"/>
          <w:rFonts w:cs="Times New Roman"/>
          <w:szCs w:val="24"/>
        </w:rPr>
        <w:footnoteReference w:id="237"/>
      </w:r>
      <w:r w:rsidRPr="005A6964">
        <w:rPr>
          <w:rFonts w:cs="Times New Roman"/>
          <w:szCs w:val="24"/>
        </w:rPr>
        <w:t xml:space="preserve"> </w:t>
      </w:r>
      <w:r w:rsidR="003820BF" w:rsidRPr="005A6964">
        <w:rPr>
          <w:rFonts w:cs="Times New Roman"/>
          <w:szCs w:val="24"/>
        </w:rPr>
        <w:t>Therefore, w</w:t>
      </w:r>
      <w:r w:rsidRPr="005A6964">
        <w:rPr>
          <w:rFonts w:cs="Times New Roman"/>
          <w:szCs w:val="24"/>
        </w:rPr>
        <w:t xml:space="preserve">hile the U.S. EPA’s latest regulations only lowered the standard to 70 ppb, Professor Ferrey’s testimony </w:t>
      </w:r>
      <w:r w:rsidR="003820BF" w:rsidRPr="005A6964">
        <w:rPr>
          <w:rFonts w:cs="Times New Roman"/>
          <w:szCs w:val="24"/>
        </w:rPr>
        <w:t xml:space="preserve">shows </w:t>
      </w:r>
      <w:r w:rsidRPr="005A6964">
        <w:rPr>
          <w:rFonts w:cs="Times New Roman"/>
          <w:szCs w:val="24"/>
        </w:rPr>
        <w:t xml:space="preserve">that the standard </w:t>
      </w:r>
      <w:r w:rsidR="003820BF" w:rsidRPr="005A6964">
        <w:rPr>
          <w:rFonts w:cs="Times New Roman"/>
          <w:szCs w:val="24"/>
        </w:rPr>
        <w:t xml:space="preserve">could </w:t>
      </w:r>
      <w:r w:rsidRPr="005A6964">
        <w:rPr>
          <w:rFonts w:cs="Times New Roman"/>
          <w:szCs w:val="24"/>
        </w:rPr>
        <w:t xml:space="preserve">be lowered further in the near future. If this occurs, Sammis and the surrounding area could be in a non-compliance, which would require </w:t>
      </w:r>
      <w:r w:rsidR="00D314C2" w:rsidRPr="005A6964">
        <w:rPr>
          <w:rFonts w:cs="Times New Roman"/>
          <w:szCs w:val="24"/>
        </w:rPr>
        <w:t xml:space="preserve">FES to </w:t>
      </w:r>
      <w:r w:rsidRPr="005A6964">
        <w:rPr>
          <w:rFonts w:cs="Times New Roman"/>
          <w:szCs w:val="24"/>
        </w:rPr>
        <w:t xml:space="preserve">installing additional control measures. </w:t>
      </w:r>
      <w:r w:rsidR="00D314C2" w:rsidRPr="005A6964">
        <w:rPr>
          <w:rFonts w:cs="Times New Roman"/>
          <w:szCs w:val="24"/>
        </w:rPr>
        <w:t xml:space="preserve">Again under the stipulated ESP, FirstEnergy's customers would pay for these expenditures. </w:t>
      </w:r>
    </w:p>
    <w:p w:rsidR="007D6B2A" w:rsidRPr="005A6964" w:rsidRDefault="007D6B2A" w:rsidP="00FF05A1">
      <w:pPr>
        <w:spacing w:after="0" w:line="480" w:lineRule="auto"/>
        <w:ind w:firstLine="720"/>
        <w:rPr>
          <w:rFonts w:cs="Times New Roman"/>
          <w:szCs w:val="24"/>
        </w:rPr>
      </w:pPr>
      <w:r w:rsidRPr="005A6964">
        <w:rPr>
          <w:rFonts w:cs="Times New Roman"/>
          <w:szCs w:val="24"/>
        </w:rPr>
        <w:t>There is also uncertainty regarding Sammis’ compliance with the U.S. EPA’s Clean Power Plan. FirstEnergy admits that the Clean Power Plan is uncertain in that its full impact on Ohio will not be known until 2018-2022.</w:t>
      </w:r>
      <w:r w:rsidRPr="005A6964">
        <w:rPr>
          <w:rStyle w:val="FootnoteReference"/>
          <w:rFonts w:cs="Times New Roman"/>
          <w:szCs w:val="24"/>
        </w:rPr>
        <w:footnoteReference w:id="238"/>
      </w:r>
      <w:r w:rsidRPr="005A6964">
        <w:rPr>
          <w:rFonts w:cs="Times New Roman"/>
          <w:szCs w:val="24"/>
        </w:rPr>
        <w:t xml:space="preserve"> It also states that the Clean Power Plan is not source specific so it imposes no obligations specifically on Sammis.</w:t>
      </w:r>
      <w:r w:rsidRPr="005A6964">
        <w:rPr>
          <w:rStyle w:val="FootnoteReference"/>
          <w:rFonts w:cs="Times New Roman"/>
          <w:szCs w:val="24"/>
        </w:rPr>
        <w:footnoteReference w:id="239"/>
      </w:r>
      <w:r w:rsidRPr="005A6964">
        <w:rPr>
          <w:rFonts w:cs="Times New Roman"/>
          <w:szCs w:val="24"/>
        </w:rPr>
        <w:t xml:space="preserve"> For that reason, FirstEnergy states that no compliance plan has been developed.</w:t>
      </w:r>
      <w:r w:rsidRPr="005A6964">
        <w:rPr>
          <w:rStyle w:val="FootnoteReference"/>
          <w:rFonts w:cs="Times New Roman"/>
          <w:szCs w:val="24"/>
        </w:rPr>
        <w:footnoteReference w:id="240"/>
      </w:r>
      <w:r w:rsidRPr="005A6964">
        <w:rPr>
          <w:rFonts w:cs="Times New Roman"/>
          <w:szCs w:val="24"/>
        </w:rPr>
        <w:t xml:space="preserve"> </w:t>
      </w:r>
      <w:r w:rsidR="00D314C2" w:rsidRPr="005A6964">
        <w:rPr>
          <w:rFonts w:cs="Times New Roman"/>
          <w:szCs w:val="24"/>
        </w:rPr>
        <w:tab/>
      </w:r>
      <w:r w:rsidRPr="005A6964">
        <w:rPr>
          <w:rFonts w:cs="Times New Roman"/>
          <w:szCs w:val="24"/>
        </w:rPr>
        <w:t xml:space="preserve">FirstEnergy </w:t>
      </w:r>
      <w:r w:rsidR="00D314C2" w:rsidRPr="005A6964">
        <w:rPr>
          <w:rFonts w:cs="Times New Roman"/>
          <w:szCs w:val="24"/>
        </w:rPr>
        <w:t xml:space="preserve">arguments </w:t>
      </w:r>
      <w:r w:rsidRPr="005A6964">
        <w:rPr>
          <w:rFonts w:cs="Times New Roman"/>
          <w:szCs w:val="24"/>
        </w:rPr>
        <w:t>has proven our point</w:t>
      </w:r>
      <w:r w:rsidR="00D314C2" w:rsidRPr="005A6964">
        <w:rPr>
          <w:rFonts w:cs="Times New Roman"/>
          <w:szCs w:val="24"/>
        </w:rPr>
        <w:t xml:space="preserve"> --</w:t>
      </w:r>
      <w:r w:rsidRPr="005A6964">
        <w:rPr>
          <w:rFonts w:cs="Times New Roman"/>
          <w:szCs w:val="24"/>
        </w:rPr>
        <w:t xml:space="preserve"> that in the middle of the 8-year term of Rider RRS, the Clean Power Plan could go into effect. This leaves a considerable amount of uncertainty as to Sammis’ compliance with a major environmental regulation.</w:t>
      </w:r>
      <w:r w:rsidRPr="005A6964">
        <w:rPr>
          <w:rStyle w:val="FootnoteReference"/>
          <w:rFonts w:cs="Times New Roman"/>
          <w:szCs w:val="24"/>
        </w:rPr>
        <w:footnoteReference w:id="241"/>
      </w:r>
      <w:r w:rsidRPr="005A6964">
        <w:rPr>
          <w:rFonts w:cs="Times New Roman"/>
          <w:szCs w:val="24"/>
        </w:rPr>
        <w:t xml:space="preserve"> It could also result in Sammis becoming economically inefficient to continue operating</w:t>
      </w:r>
      <w:r w:rsidR="00D314C2" w:rsidRPr="005A6964">
        <w:rPr>
          <w:rFonts w:cs="Times New Roman"/>
          <w:szCs w:val="24"/>
        </w:rPr>
        <w:t xml:space="preserve"> </w:t>
      </w:r>
      <w:r w:rsidRPr="005A6964">
        <w:rPr>
          <w:rStyle w:val="FootnoteReference"/>
          <w:rFonts w:cs="Times New Roman"/>
          <w:szCs w:val="24"/>
        </w:rPr>
        <w:footnoteReference w:id="242"/>
      </w:r>
      <w:r w:rsidR="00D314C2" w:rsidRPr="005A6964">
        <w:rPr>
          <w:rFonts w:cs="Times New Roman"/>
          <w:szCs w:val="24"/>
        </w:rPr>
        <w:t xml:space="preserve"> and under the stipulated ESP, the economic inefficiencies of the plant become the problem of customers, not shareholders.  </w:t>
      </w:r>
      <w:r w:rsidRPr="005A6964">
        <w:rPr>
          <w:rFonts w:cs="Times New Roman"/>
          <w:szCs w:val="24"/>
        </w:rPr>
        <w:t>As Professor Ferrey notes, implementation of the Rider RRS should be postponed until these pending federal regulation</w:t>
      </w:r>
      <w:r w:rsidR="004B59C9" w:rsidRPr="005A6964">
        <w:rPr>
          <w:rFonts w:cs="Times New Roman"/>
          <w:szCs w:val="24"/>
        </w:rPr>
        <w:t>s</w:t>
      </w:r>
      <w:r w:rsidRPr="005A6964">
        <w:rPr>
          <w:rFonts w:cs="Times New Roman"/>
          <w:szCs w:val="24"/>
        </w:rPr>
        <w:t xml:space="preserve"> are better able to be determined.</w:t>
      </w:r>
      <w:r w:rsidRPr="005A6964">
        <w:rPr>
          <w:rStyle w:val="FootnoteReference"/>
          <w:rFonts w:cs="Times New Roman"/>
          <w:szCs w:val="24"/>
        </w:rPr>
        <w:footnoteReference w:id="243"/>
      </w:r>
      <w:r w:rsidRPr="005A6964">
        <w:rPr>
          <w:rFonts w:cs="Times New Roman"/>
          <w:szCs w:val="24"/>
        </w:rPr>
        <w:t xml:space="preserve"> This would allow the PUCO to obtain critical pieces of information before making a decision.</w:t>
      </w:r>
      <w:r w:rsidRPr="005A6964">
        <w:rPr>
          <w:rStyle w:val="FootnoteReference"/>
          <w:rFonts w:cs="Times New Roman"/>
          <w:szCs w:val="24"/>
        </w:rPr>
        <w:footnoteReference w:id="244"/>
      </w:r>
    </w:p>
    <w:p w:rsidR="007D6B2A" w:rsidRPr="005A6964" w:rsidRDefault="006452F0" w:rsidP="007D6B2A">
      <w:pPr>
        <w:pStyle w:val="Heading4"/>
      </w:pPr>
      <w:bookmarkStart w:id="42" w:name="_Toc444269028"/>
      <w:r w:rsidRPr="005A6964">
        <w:t>d</w:t>
      </w:r>
      <w:r w:rsidR="007D6B2A" w:rsidRPr="005A6964">
        <w:t>.</w:t>
      </w:r>
      <w:r w:rsidR="007D6B2A" w:rsidRPr="005A6964">
        <w:tab/>
        <w:t>FirstEnergy did not satisfy the fourth</w:t>
      </w:r>
      <w:r w:rsidR="005C17D5" w:rsidRPr="005A6964">
        <w:t xml:space="preserve"> factor of the</w:t>
      </w:r>
      <w:r w:rsidR="007D6B2A" w:rsidRPr="005A6964">
        <w:t xml:space="preserve"> AEP ESP III Order because closing</w:t>
      </w:r>
      <w:r w:rsidR="005C17D5" w:rsidRPr="005A6964">
        <w:t xml:space="preserve"> the</w:t>
      </w:r>
      <w:r w:rsidR="007D6B2A" w:rsidRPr="005A6964">
        <w:t xml:space="preserve"> Sammis and Davis-Besse </w:t>
      </w:r>
      <w:r w:rsidR="005C17D5" w:rsidRPr="005A6964">
        <w:t xml:space="preserve">plants </w:t>
      </w:r>
      <w:r w:rsidRPr="005A6964">
        <w:t>“</w:t>
      </w:r>
      <w:r w:rsidR="007D6B2A" w:rsidRPr="005A6964">
        <w:t>would not have a negative effect on the electric prices or economic development within the state.</w:t>
      </w:r>
      <w:r w:rsidRPr="005A6964">
        <w:t>”</w:t>
      </w:r>
      <w:bookmarkEnd w:id="42"/>
    </w:p>
    <w:p w:rsidR="007D6B2A" w:rsidRPr="005A6964" w:rsidRDefault="00D314C2" w:rsidP="003B70C9">
      <w:pPr>
        <w:spacing w:after="0" w:line="480" w:lineRule="auto"/>
        <w:ind w:firstLine="720"/>
        <w:rPr>
          <w:rFonts w:cs="Times New Roman"/>
          <w:szCs w:val="24"/>
        </w:rPr>
      </w:pPr>
      <w:r w:rsidRPr="005A6964">
        <w:rPr>
          <w:rFonts w:cs="Times New Roman"/>
          <w:szCs w:val="24"/>
        </w:rPr>
        <w:t>The fourth factor the PUCO set for</w:t>
      </w:r>
      <w:r w:rsidR="003820BF" w:rsidRPr="005A6964">
        <w:rPr>
          <w:rFonts w:cs="Times New Roman"/>
          <w:szCs w:val="24"/>
        </w:rPr>
        <w:t>th</w:t>
      </w:r>
      <w:r w:rsidRPr="005A6964">
        <w:rPr>
          <w:rFonts w:cs="Times New Roman"/>
          <w:szCs w:val="24"/>
        </w:rPr>
        <w:t xml:space="preserve"> in the AEP ESP Order is</w:t>
      </w:r>
      <w:r w:rsidR="003820BF" w:rsidRPr="005A6964">
        <w:rPr>
          <w:rFonts w:cs="Times New Roman"/>
          <w:szCs w:val="24"/>
        </w:rPr>
        <w:t xml:space="preserve"> the impact that the closure of the plants would have on electric prices and the resulting effect on economic development within the state.</w:t>
      </w:r>
      <w:r w:rsidR="003820BF" w:rsidRPr="005A6964">
        <w:rPr>
          <w:rStyle w:val="FootnoteReference"/>
          <w:rFonts w:cs="Times New Roman"/>
          <w:szCs w:val="24"/>
        </w:rPr>
        <w:footnoteReference w:id="245"/>
      </w:r>
      <w:r w:rsidRPr="005A6964">
        <w:rPr>
          <w:rFonts w:cs="Times New Roman"/>
          <w:szCs w:val="24"/>
        </w:rPr>
        <w:t xml:space="preserve">  </w:t>
      </w:r>
      <w:r w:rsidR="007D6B2A" w:rsidRPr="005A6964">
        <w:rPr>
          <w:rFonts w:cs="Times New Roman"/>
          <w:szCs w:val="24"/>
        </w:rPr>
        <w:t xml:space="preserve">FirstEnergy and other signatories claim that </w:t>
      </w:r>
      <w:r w:rsidR="008E1838" w:rsidRPr="005A6964">
        <w:rPr>
          <w:rFonts w:cs="Times New Roman"/>
          <w:szCs w:val="24"/>
        </w:rPr>
        <w:t xml:space="preserve">the </w:t>
      </w:r>
      <w:r w:rsidR="007D6B2A" w:rsidRPr="005A6964">
        <w:rPr>
          <w:rFonts w:cs="Times New Roman"/>
          <w:szCs w:val="24"/>
        </w:rPr>
        <w:t>fourth AEP ESP III Order factor is satisfied because closing the plants would have a significant negative impact on electric prices and retail rate stability, with a resulting negative impact on economic development.</w:t>
      </w:r>
      <w:r w:rsidR="007D6B2A" w:rsidRPr="005A6964">
        <w:rPr>
          <w:rStyle w:val="FootnoteReference"/>
          <w:rFonts w:cs="Times New Roman"/>
          <w:szCs w:val="24"/>
        </w:rPr>
        <w:footnoteReference w:id="246"/>
      </w:r>
      <w:r w:rsidR="007D6B2A" w:rsidRPr="005A6964">
        <w:rPr>
          <w:rFonts w:cs="Times New Roman"/>
          <w:szCs w:val="24"/>
        </w:rPr>
        <w:t xml:space="preserve"> In support of this claim, FirstEnergy states that the PJM IMM, Dr. Bowring, “admitted at hearing, this fact is a matter worthy of Commission concern.” This</w:t>
      </w:r>
      <w:r w:rsidR="006773AD" w:rsidRPr="005A6964">
        <w:rPr>
          <w:rFonts w:cs="Times New Roman"/>
          <w:szCs w:val="24"/>
        </w:rPr>
        <w:t xml:space="preserve"> </w:t>
      </w:r>
      <w:r w:rsidR="007D6B2A" w:rsidRPr="005A6964">
        <w:rPr>
          <w:rFonts w:cs="Times New Roman"/>
          <w:szCs w:val="24"/>
        </w:rPr>
        <w:t>is simply not true. Dr. Bowring only admitted that the closure of generation plants would have an impact on electric prices, not necessarily a negative impact.</w:t>
      </w:r>
      <w:r w:rsidR="007D6B2A" w:rsidRPr="005A6964">
        <w:rPr>
          <w:rStyle w:val="FootnoteReference"/>
          <w:rFonts w:cs="Times New Roman"/>
          <w:szCs w:val="24"/>
        </w:rPr>
        <w:footnoteReference w:id="247"/>
      </w:r>
    </w:p>
    <w:p w:rsidR="007D6B2A" w:rsidRPr="005A6964" w:rsidRDefault="007D6B2A" w:rsidP="00FF05A1">
      <w:pPr>
        <w:spacing w:after="0" w:line="480" w:lineRule="auto"/>
        <w:rPr>
          <w:rFonts w:cs="Times New Roman"/>
          <w:szCs w:val="24"/>
        </w:rPr>
      </w:pPr>
      <w:r w:rsidRPr="005A6964">
        <w:rPr>
          <w:rFonts w:cs="Times New Roman"/>
          <w:szCs w:val="24"/>
        </w:rPr>
        <w:tab/>
        <w:t xml:space="preserve">On the contrary, the predominant message throughout this proceeding has been that approving the Rider RRS and forcing customers to subsidize economic generation is what would have a significant negative impact on Ohio. As OCC/NOPEC witness Rose put it: “Allowing a special class of generation owners to pass their above-market costs through to customers will simply increase prices within the state, discourage entry by other suppliers, and not help develop a functioning retail market that would benefit the </w:t>
      </w:r>
    </w:p>
    <w:p w:rsidR="007D6B2A" w:rsidRPr="005A6964" w:rsidRDefault="007D6B2A" w:rsidP="007D6B2A">
      <w:pPr>
        <w:spacing w:after="0" w:line="480" w:lineRule="auto"/>
        <w:rPr>
          <w:rFonts w:cs="Times New Roman"/>
          <w:szCs w:val="24"/>
        </w:rPr>
      </w:pPr>
      <w:r w:rsidRPr="005A6964">
        <w:rPr>
          <w:rFonts w:cs="Times New Roman"/>
          <w:szCs w:val="24"/>
        </w:rPr>
        <w:t>state in the long run.”</w:t>
      </w:r>
      <w:r w:rsidRPr="005A6964">
        <w:rPr>
          <w:rStyle w:val="FootnoteReference"/>
          <w:rFonts w:cs="Times New Roman"/>
          <w:szCs w:val="24"/>
        </w:rPr>
        <w:footnoteReference w:id="248"/>
      </w:r>
      <w:r w:rsidRPr="005A6964">
        <w:rPr>
          <w:rFonts w:cs="Times New Roman"/>
          <w:szCs w:val="24"/>
        </w:rPr>
        <w:t xml:space="preserve"> Alternatively, allowing uneconomic generation to exit the market and be replaced by new and more efficient generation would be a positive occurrence for Ohio and its customers.</w:t>
      </w:r>
    </w:p>
    <w:p w:rsidR="007D6B2A" w:rsidRPr="005A6964" w:rsidRDefault="007D6B2A" w:rsidP="007D6B2A">
      <w:pPr>
        <w:spacing w:after="0" w:line="480" w:lineRule="auto"/>
        <w:ind w:firstLine="720"/>
        <w:rPr>
          <w:rFonts w:cs="Times New Roman"/>
          <w:szCs w:val="24"/>
        </w:rPr>
      </w:pPr>
      <w:r w:rsidRPr="005A6964">
        <w:rPr>
          <w:rFonts w:cs="Times New Roman"/>
          <w:szCs w:val="24"/>
        </w:rPr>
        <w:t>FirstEnergy alleges that if the Plants close customers would have to pay for transmission upgrades that could increase prices by $1.7 to $4.1 billion.</w:t>
      </w:r>
      <w:r w:rsidRPr="005A6964">
        <w:rPr>
          <w:rStyle w:val="FootnoteReference"/>
          <w:rFonts w:cs="Times New Roman"/>
          <w:szCs w:val="24"/>
        </w:rPr>
        <w:footnoteReference w:id="249"/>
      </w:r>
      <w:r w:rsidRPr="005A6964">
        <w:rPr>
          <w:rFonts w:cs="Times New Roman"/>
          <w:szCs w:val="24"/>
        </w:rPr>
        <w:t xml:space="preserve"> This claim is misleading at best. First, it is important to note that FirstEnergy did not request PJM, the entity obligated to conduct transmission impact studies, to conduct or assist </w:t>
      </w:r>
      <w:r w:rsidR="00D314C2" w:rsidRPr="005A6964">
        <w:rPr>
          <w:rFonts w:cs="Times New Roman"/>
          <w:szCs w:val="24"/>
        </w:rPr>
        <w:t>it</w:t>
      </w:r>
      <w:r w:rsidRPr="005A6964">
        <w:rPr>
          <w:rFonts w:cs="Times New Roman"/>
          <w:szCs w:val="24"/>
        </w:rPr>
        <w:t xml:space="preserve"> in conducting </w:t>
      </w:r>
      <w:r w:rsidR="008E1838" w:rsidRPr="005A6964">
        <w:rPr>
          <w:rFonts w:cs="Times New Roman"/>
          <w:szCs w:val="24"/>
        </w:rPr>
        <w:t xml:space="preserve">a transmission impact </w:t>
      </w:r>
      <w:r w:rsidRPr="005A6964">
        <w:rPr>
          <w:rFonts w:cs="Times New Roman"/>
          <w:szCs w:val="24"/>
        </w:rPr>
        <w:t>study in this proceeding.</w:t>
      </w:r>
      <w:r w:rsidRPr="005A6964">
        <w:rPr>
          <w:rStyle w:val="FootnoteReference"/>
          <w:rFonts w:cs="Times New Roman"/>
          <w:szCs w:val="24"/>
        </w:rPr>
        <w:footnoteReference w:id="250"/>
      </w:r>
      <w:r w:rsidR="003820BF" w:rsidRPr="005A6964">
        <w:rPr>
          <w:rFonts w:cs="Times New Roman"/>
          <w:szCs w:val="24"/>
        </w:rPr>
        <w:t xml:space="preserve"> In fact, despite the Stipulation’s assertion to the contrary,</w:t>
      </w:r>
      <w:r w:rsidR="003820BF" w:rsidRPr="005A6964">
        <w:rPr>
          <w:rStyle w:val="FootnoteReference"/>
          <w:rFonts w:cs="Times New Roman"/>
          <w:szCs w:val="24"/>
        </w:rPr>
        <w:footnoteReference w:id="251"/>
      </w:r>
      <w:r w:rsidR="003820BF" w:rsidRPr="005A6964">
        <w:rPr>
          <w:rFonts w:cs="Times New Roman"/>
          <w:szCs w:val="24"/>
        </w:rPr>
        <w:t xml:space="preserve"> there is no evidence in the record that FirstEnergy utilized any independent consultant to conduct the transmission impact study. The two witnesses that offered testimony on the transmission impact study were both </w:t>
      </w:r>
      <w:r w:rsidR="008161A6" w:rsidRPr="005A6964">
        <w:rPr>
          <w:rFonts w:cs="Times New Roman"/>
          <w:szCs w:val="24"/>
        </w:rPr>
        <w:t>employed</w:t>
      </w:r>
      <w:r w:rsidR="003820BF" w:rsidRPr="005A6964">
        <w:rPr>
          <w:rFonts w:cs="Times New Roman"/>
          <w:szCs w:val="24"/>
        </w:rPr>
        <w:t xml:space="preserve"> by FirstEnergy Service Company.</w:t>
      </w:r>
      <w:r w:rsidR="003820BF" w:rsidRPr="005A6964">
        <w:rPr>
          <w:rStyle w:val="FootnoteReference"/>
          <w:rFonts w:cs="Times New Roman"/>
          <w:szCs w:val="24"/>
        </w:rPr>
        <w:footnoteReference w:id="252"/>
      </w:r>
      <w:r w:rsidR="003820BF" w:rsidRPr="005A6964">
        <w:rPr>
          <w:rFonts w:cs="Times New Roman"/>
          <w:szCs w:val="24"/>
        </w:rPr>
        <w:t xml:space="preserve"> </w:t>
      </w:r>
      <w:r w:rsidRPr="005A6964">
        <w:rPr>
          <w:rFonts w:cs="Times New Roman"/>
          <w:szCs w:val="24"/>
        </w:rPr>
        <w:t xml:space="preserve"> Th</w:t>
      </w:r>
      <w:r w:rsidR="003820BF" w:rsidRPr="005A6964">
        <w:rPr>
          <w:rFonts w:cs="Times New Roman"/>
          <w:szCs w:val="24"/>
        </w:rPr>
        <w:t>ese</w:t>
      </w:r>
      <w:r w:rsidRPr="005A6964">
        <w:rPr>
          <w:rFonts w:cs="Times New Roman"/>
          <w:szCs w:val="24"/>
        </w:rPr>
        <w:t xml:space="preserve"> fact</w:t>
      </w:r>
      <w:r w:rsidR="003820BF" w:rsidRPr="005A6964">
        <w:rPr>
          <w:rFonts w:cs="Times New Roman"/>
          <w:szCs w:val="24"/>
        </w:rPr>
        <w:t>s</w:t>
      </w:r>
      <w:r w:rsidRPr="005A6964">
        <w:rPr>
          <w:rFonts w:cs="Times New Roman"/>
          <w:szCs w:val="24"/>
        </w:rPr>
        <w:t xml:space="preserve"> alone show the unreliability of and potential for biased results in FirstEnergy’s study.</w:t>
      </w:r>
    </w:p>
    <w:p w:rsidR="00B5100D" w:rsidRPr="005A6964" w:rsidRDefault="007D6B2A" w:rsidP="007D6B2A">
      <w:pPr>
        <w:spacing w:after="0" w:line="480" w:lineRule="auto"/>
        <w:ind w:firstLine="720"/>
        <w:rPr>
          <w:rFonts w:cs="Times New Roman"/>
          <w:szCs w:val="24"/>
        </w:rPr>
      </w:pPr>
      <w:r w:rsidRPr="005A6964">
        <w:rPr>
          <w:rFonts w:cs="Times New Roman"/>
          <w:szCs w:val="24"/>
        </w:rPr>
        <w:t>It is also important to note at the outset that FirstEnergy has never stated that the Plants will close if Rider RRS is not approved</w:t>
      </w:r>
      <w:r w:rsidR="00B5100D" w:rsidRPr="005A6964">
        <w:rPr>
          <w:rFonts w:cs="Times New Roman"/>
          <w:szCs w:val="24"/>
        </w:rPr>
        <w:t xml:space="preserve">.  But the economic development study </w:t>
      </w:r>
      <w:r w:rsidRPr="005A6964">
        <w:rPr>
          <w:rFonts w:cs="Times New Roman"/>
          <w:szCs w:val="24"/>
        </w:rPr>
        <w:t>assume</w:t>
      </w:r>
      <w:r w:rsidR="00B5100D" w:rsidRPr="005A6964">
        <w:rPr>
          <w:rFonts w:cs="Times New Roman"/>
          <w:szCs w:val="24"/>
        </w:rPr>
        <w:t>s otherwise.  It assumes th</w:t>
      </w:r>
      <w:r w:rsidRPr="005A6964">
        <w:rPr>
          <w:rFonts w:cs="Times New Roman"/>
          <w:szCs w:val="24"/>
        </w:rPr>
        <w:t>at both Sammis and Davis-Besse would close in full for purposes of its transmission impact study.</w:t>
      </w:r>
      <w:r w:rsidRPr="005A6964">
        <w:rPr>
          <w:rStyle w:val="FootnoteReference"/>
          <w:rFonts w:cs="Times New Roman"/>
          <w:szCs w:val="24"/>
        </w:rPr>
        <w:footnoteReference w:id="253"/>
      </w:r>
      <w:r w:rsidRPr="005A6964">
        <w:rPr>
          <w:rFonts w:cs="Times New Roman"/>
          <w:szCs w:val="24"/>
        </w:rPr>
        <w:t xml:space="preserve"> Thus, the study assumed that all seven units at the Sammis plant would close at the same time.</w:t>
      </w:r>
      <w:r w:rsidRPr="005A6964">
        <w:rPr>
          <w:rStyle w:val="FootnoteReference"/>
          <w:rFonts w:cs="Times New Roman"/>
          <w:szCs w:val="24"/>
        </w:rPr>
        <w:footnoteReference w:id="254"/>
      </w:r>
      <w:r w:rsidRPr="005A6964">
        <w:rPr>
          <w:rFonts w:cs="Times New Roman"/>
          <w:szCs w:val="24"/>
        </w:rPr>
        <w:t xml:space="preserve"> The chances of this occurring are remote. </w:t>
      </w:r>
    </w:p>
    <w:p w:rsidR="007D6B2A" w:rsidRPr="005A6964" w:rsidRDefault="007D6B2A" w:rsidP="007D6B2A">
      <w:pPr>
        <w:spacing w:after="0" w:line="480" w:lineRule="auto"/>
        <w:ind w:firstLine="720"/>
        <w:rPr>
          <w:rFonts w:cs="Times New Roman"/>
          <w:szCs w:val="24"/>
        </w:rPr>
      </w:pPr>
      <w:r w:rsidRPr="005A6964">
        <w:rPr>
          <w:rFonts w:cs="Times New Roman"/>
          <w:szCs w:val="24"/>
        </w:rPr>
        <w:t>In addition, the assumption that all the plants will retire discounts the possibility that, if retirements were to occur, only a limited number of generating units at Sammis might retire, and the rest would remain in service.</w:t>
      </w:r>
      <w:r w:rsidRPr="005A6964">
        <w:rPr>
          <w:rStyle w:val="FootnoteReference"/>
          <w:rFonts w:cs="Times New Roman"/>
          <w:szCs w:val="24"/>
        </w:rPr>
        <w:footnoteReference w:id="255"/>
      </w:r>
      <w:r w:rsidRPr="005A6964">
        <w:rPr>
          <w:rFonts w:cs="Times New Roman"/>
          <w:szCs w:val="24"/>
        </w:rPr>
        <w:t xml:space="preserve"> Such scenarios should be evaluated by the PUCO in order to give some additional perspective to FirstEnergy’s “all or nothing evaluation of transmission cost impact.”</w:t>
      </w:r>
      <w:r w:rsidRPr="005A6964">
        <w:rPr>
          <w:rStyle w:val="FootnoteReference"/>
          <w:rFonts w:cs="Times New Roman"/>
          <w:szCs w:val="24"/>
        </w:rPr>
        <w:footnoteReference w:id="256"/>
      </w:r>
      <w:r w:rsidRPr="005A6964">
        <w:rPr>
          <w:rFonts w:cs="Times New Roman"/>
          <w:szCs w:val="24"/>
        </w:rPr>
        <w:t xml:space="preserve"> As </w:t>
      </w:r>
      <w:r w:rsidR="006B7AD5" w:rsidRPr="005A6964">
        <w:rPr>
          <w:rFonts w:cs="Times New Roman"/>
          <w:szCs w:val="24"/>
        </w:rPr>
        <w:t>Sierra Club witness</w:t>
      </w:r>
      <w:r w:rsidRPr="005A6964">
        <w:rPr>
          <w:rFonts w:cs="Times New Roman"/>
          <w:szCs w:val="24"/>
        </w:rPr>
        <w:t xml:space="preserve"> Lanzalotta explains:</w:t>
      </w:r>
    </w:p>
    <w:p w:rsidR="007D6B2A" w:rsidRPr="005A6964" w:rsidRDefault="007D6B2A" w:rsidP="007D6B2A">
      <w:pPr>
        <w:spacing w:line="240" w:lineRule="auto"/>
        <w:ind w:left="1440" w:right="720"/>
        <w:contextualSpacing/>
        <w:rPr>
          <w:rFonts w:cs="Times New Roman"/>
          <w:szCs w:val="24"/>
        </w:rPr>
      </w:pPr>
      <w:r w:rsidRPr="005A6964">
        <w:rPr>
          <w:rFonts w:cs="Times New Roman"/>
          <w:szCs w:val="24"/>
        </w:rPr>
        <w:t>scenarios in which only a portion of the Sammis units retired are likely to have smaller resultant transmission system overloads than would be the case if all of the Sammis were retired at once, and might avoid the need for some of the transmission reinforcements needed if all the units are retired at once.</w:t>
      </w:r>
      <w:r w:rsidRPr="005A6964">
        <w:rPr>
          <w:rStyle w:val="FootnoteReference"/>
          <w:rFonts w:cs="Times New Roman"/>
          <w:szCs w:val="24"/>
        </w:rPr>
        <w:footnoteReference w:id="257"/>
      </w:r>
    </w:p>
    <w:p w:rsidR="007D6B2A" w:rsidRPr="005A6964" w:rsidRDefault="007D6B2A" w:rsidP="007D6B2A">
      <w:pPr>
        <w:spacing w:line="240" w:lineRule="auto"/>
        <w:ind w:right="720"/>
        <w:contextualSpacing/>
        <w:jc w:val="both"/>
        <w:rPr>
          <w:rFonts w:cs="Times New Roman"/>
          <w:szCs w:val="24"/>
        </w:rPr>
      </w:pPr>
    </w:p>
    <w:p w:rsidR="007D6B2A" w:rsidRPr="005A6964" w:rsidRDefault="007D6B2A" w:rsidP="007D6B2A">
      <w:pPr>
        <w:spacing w:line="480" w:lineRule="auto"/>
        <w:ind w:right="720"/>
        <w:contextualSpacing/>
        <w:rPr>
          <w:rFonts w:cs="Times New Roman"/>
          <w:szCs w:val="24"/>
        </w:rPr>
      </w:pPr>
      <w:r w:rsidRPr="005A6964">
        <w:rPr>
          <w:rFonts w:cs="Times New Roman"/>
          <w:szCs w:val="24"/>
        </w:rPr>
        <w:t>Therefore, FirstEnergy’s study is an extreme scenario that</w:t>
      </w:r>
      <w:r w:rsidR="00B5100D" w:rsidRPr="005A6964">
        <w:rPr>
          <w:rFonts w:cs="Times New Roman"/>
          <w:szCs w:val="24"/>
        </w:rPr>
        <w:t xml:space="preserve"> </w:t>
      </w:r>
      <w:r w:rsidRPr="005A6964">
        <w:rPr>
          <w:rFonts w:cs="Times New Roman"/>
          <w:szCs w:val="24"/>
        </w:rPr>
        <w:t xml:space="preserve">is not worthy of any serious consideration in this proceeding. </w:t>
      </w:r>
    </w:p>
    <w:p w:rsidR="007D6B2A" w:rsidRPr="005A6964" w:rsidRDefault="007D6B2A" w:rsidP="007D6B2A">
      <w:pPr>
        <w:spacing w:line="480" w:lineRule="auto"/>
        <w:ind w:right="720" w:firstLine="720"/>
        <w:contextualSpacing/>
        <w:rPr>
          <w:rFonts w:cs="Times New Roman"/>
          <w:szCs w:val="24"/>
        </w:rPr>
      </w:pPr>
      <w:r w:rsidRPr="005A6964">
        <w:rPr>
          <w:rFonts w:cs="Times New Roman"/>
          <w:szCs w:val="24"/>
        </w:rPr>
        <w:t>Additionally, FirstEnergy’s study does not take into the account the possibility for new generation to take the place of retiring generation. This is a fatal error because, as Mr. Lanzalotta aptly notes, “If those plants retired, but a new generating unit came online that was connected to the grid at an appropriate location, that could reduce the need for some of the transmission upgrades” cited by FirstEnergy.</w:t>
      </w:r>
      <w:r w:rsidRPr="005A6964">
        <w:rPr>
          <w:rStyle w:val="FootnoteReference"/>
          <w:rFonts w:cs="Times New Roman"/>
          <w:szCs w:val="24"/>
        </w:rPr>
        <w:footnoteReference w:id="258"/>
      </w:r>
      <w:r w:rsidRPr="005A6964">
        <w:rPr>
          <w:rFonts w:cs="Times New Roman"/>
          <w:szCs w:val="24"/>
        </w:rPr>
        <w:t xml:space="preserve"> At the hearing FirstEnergy witness Phillips either denied knowledge of or admitted that certain power plants, which are under various phases of construction in Ohio, were not included in FirstEnergy’s transmission impact study.</w:t>
      </w:r>
      <w:r w:rsidRPr="005A6964">
        <w:rPr>
          <w:rStyle w:val="FootnoteReference"/>
          <w:rFonts w:cs="Times New Roman"/>
          <w:szCs w:val="24"/>
        </w:rPr>
        <w:footnoteReference w:id="259"/>
      </w:r>
      <w:r w:rsidRPr="005A6964">
        <w:rPr>
          <w:rFonts w:cs="Times New Roman"/>
          <w:szCs w:val="24"/>
        </w:rPr>
        <w:t xml:space="preserve"> Such an oversight leaves an inaccurate and incomplete study.</w:t>
      </w:r>
    </w:p>
    <w:p w:rsidR="007D6B2A" w:rsidRPr="005A6964" w:rsidRDefault="007D6B2A" w:rsidP="007D6B2A">
      <w:pPr>
        <w:spacing w:after="0" w:line="480" w:lineRule="auto"/>
        <w:rPr>
          <w:rFonts w:cs="Times New Roman"/>
          <w:szCs w:val="24"/>
        </w:rPr>
      </w:pPr>
      <w:r w:rsidRPr="005A6964">
        <w:rPr>
          <w:rFonts w:cs="Times New Roman"/>
          <w:szCs w:val="24"/>
        </w:rPr>
        <w:tab/>
        <w:t>In addition, the cost estimates associated with FirstEnergy’s transmission impact study are not reliable. The estimate provided by FirstEnergy witness Cunningham to reconduct</w:t>
      </w:r>
      <w:r w:rsidR="00B5100D" w:rsidRPr="005A6964">
        <w:rPr>
          <w:rFonts w:cs="Times New Roman"/>
          <w:szCs w:val="24"/>
        </w:rPr>
        <w:t>ored</w:t>
      </w:r>
      <w:r w:rsidRPr="005A6964">
        <w:rPr>
          <w:rFonts w:cs="Times New Roman"/>
          <w:szCs w:val="24"/>
        </w:rPr>
        <w:t xml:space="preserve"> all overloaded transmission lines was $436.5 million. FirstEnergy witness Phillips produced an estimate of $1.1 billion based on rebuilding all the overloaded transmission lines. Mr. Phillips supports this conclusion by saying that some lines will need to be rebuilt, not reconductored.</w:t>
      </w:r>
      <w:r w:rsidRPr="005A6964">
        <w:rPr>
          <w:rStyle w:val="FootnoteReference"/>
          <w:rFonts w:cs="Times New Roman"/>
          <w:szCs w:val="24"/>
        </w:rPr>
        <w:footnoteReference w:id="260"/>
      </w:r>
      <w:r w:rsidRPr="005A6964">
        <w:rPr>
          <w:rFonts w:cs="Times New Roman"/>
          <w:szCs w:val="24"/>
        </w:rPr>
        <w:t xml:space="preserve"> However, the likelihood that all the transmission lines would need to be rebuilt is very small.</w:t>
      </w:r>
      <w:r w:rsidRPr="005A6964">
        <w:rPr>
          <w:rStyle w:val="FootnoteReference"/>
          <w:rFonts w:cs="Times New Roman"/>
          <w:szCs w:val="24"/>
        </w:rPr>
        <w:footnoteReference w:id="261"/>
      </w:r>
      <w:r w:rsidRPr="005A6964">
        <w:rPr>
          <w:rFonts w:cs="Times New Roman"/>
          <w:szCs w:val="24"/>
        </w:rPr>
        <w:t xml:space="preserve"> </w:t>
      </w:r>
    </w:p>
    <w:p w:rsidR="007D6B2A" w:rsidRPr="005A6964" w:rsidRDefault="007D6B2A" w:rsidP="007D6B2A">
      <w:pPr>
        <w:spacing w:after="0" w:line="480" w:lineRule="auto"/>
        <w:rPr>
          <w:rFonts w:cs="Times New Roman"/>
          <w:szCs w:val="24"/>
        </w:rPr>
      </w:pPr>
      <w:r w:rsidRPr="005A6964">
        <w:rPr>
          <w:rFonts w:cs="Times New Roman"/>
          <w:szCs w:val="24"/>
        </w:rPr>
        <w:tab/>
        <w:t xml:space="preserve">In addition, FirstEnergy’s study does not appear to take into account the fact that some of these transmission lines may have already outlived </w:t>
      </w:r>
      <w:r w:rsidR="00037F6E" w:rsidRPr="005A6964">
        <w:rPr>
          <w:rFonts w:cs="Times New Roman"/>
          <w:szCs w:val="24"/>
        </w:rPr>
        <w:t>their</w:t>
      </w:r>
      <w:r w:rsidRPr="005A6964">
        <w:rPr>
          <w:rFonts w:cs="Times New Roman"/>
          <w:szCs w:val="24"/>
        </w:rPr>
        <w:t xml:space="preserve"> useful life and would require repair or replacement regardless of whether the Plants retire.</w:t>
      </w:r>
      <w:r w:rsidRPr="005A6964">
        <w:rPr>
          <w:rStyle w:val="FootnoteReference"/>
          <w:rFonts w:cs="Times New Roman"/>
          <w:szCs w:val="24"/>
        </w:rPr>
        <w:footnoteReference w:id="262"/>
      </w:r>
      <w:r w:rsidRPr="005A6964">
        <w:rPr>
          <w:rFonts w:cs="Times New Roman"/>
          <w:szCs w:val="24"/>
        </w:rPr>
        <w:t xml:space="preserve"> Typical transmission structures have service li</w:t>
      </w:r>
      <w:r w:rsidR="003B70C9" w:rsidRPr="005A6964">
        <w:rPr>
          <w:rFonts w:cs="Times New Roman"/>
          <w:szCs w:val="24"/>
        </w:rPr>
        <w:t>ves</w:t>
      </w:r>
      <w:r w:rsidRPr="005A6964">
        <w:rPr>
          <w:rFonts w:cs="Times New Roman"/>
          <w:szCs w:val="24"/>
        </w:rPr>
        <w:t xml:space="preserve"> of 40-50 years.</w:t>
      </w:r>
      <w:r w:rsidRPr="005A6964">
        <w:rPr>
          <w:rStyle w:val="FootnoteReference"/>
          <w:rFonts w:cs="Times New Roman"/>
          <w:szCs w:val="24"/>
        </w:rPr>
        <w:footnoteReference w:id="263"/>
      </w:r>
      <w:r w:rsidRPr="005A6964">
        <w:rPr>
          <w:rFonts w:cs="Times New Roman"/>
          <w:szCs w:val="24"/>
        </w:rPr>
        <w:t xml:space="preserve"> Some of the lines identified by FirstEnergy as needing reconductoring or replacement may be at the end of that life. Therefore, not all the costs of transmission line maintenance would be attributable to the retirement of the Plants.</w:t>
      </w:r>
    </w:p>
    <w:p w:rsidR="007D6B2A" w:rsidRPr="005A6964" w:rsidRDefault="007D6B2A" w:rsidP="007D6B2A">
      <w:pPr>
        <w:spacing w:after="0" w:line="480" w:lineRule="auto"/>
        <w:rPr>
          <w:rFonts w:cs="Times New Roman"/>
          <w:szCs w:val="24"/>
        </w:rPr>
      </w:pPr>
      <w:r w:rsidRPr="005A6964">
        <w:rPr>
          <w:rFonts w:cs="Times New Roman"/>
          <w:szCs w:val="24"/>
        </w:rPr>
        <w:tab/>
        <w:t>Finally, there is no reliable estimate of how much of the transmission reliability costs would be allocated to FirstEnergy’s customers. Mr. Phillips states that it is difficult to predict how such costs would be allocated among customers because the ultimate combination of new facilities and re-conductored or rebuilt facilities is unknown.</w:t>
      </w:r>
      <w:r w:rsidRPr="005A6964">
        <w:rPr>
          <w:rStyle w:val="FootnoteReference"/>
          <w:rFonts w:cs="Times New Roman"/>
          <w:szCs w:val="24"/>
        </w:rPr>
        <w:footnoteReference w:id="264"/>
      </w:r>
      <w:r w:rsidRPr="005A6964">
        <w:rPr>
          <w:rFonts w:cs="Times New Roman"/>
          <w:szCs w:val="24"/>
        </w:rPr>
        <w:t xml:space="preserve"> FirstEnergy witness Mikkelsen attempts to determine these costs but provides no basis for whether or why FirstEnergy ratepayers would be responsible for the stated proportion of the costs.</w:t>
      </w:r>
      <w:r w:rsidRPr="005A6964">
        <w:rPr>
          <w:rStyle w:val="FootnoteReference"/>
          <w:rFonts w:cs="Times New Roman"/>
          <w:szCs w:val="24"/>
        </w:rPr>
        <w:footnoteReference w:id="265"/>
      </w:r>
    </w:p>
    <w:p w:rsidR="00B5100D" w:rsidRPr="005A6964" w:rsidRDefault="007D6B2A" w:rsidP="007D6B2A">
      <w:pPr>
        <w:spacing w:after="0" w:line="480" w:lineRule="auto"/>
        <w:ind w:firstLine="720"/>
        <w:rPr>
          <w:rFonts w:cs="Times New Roman"/>
          <w:szCs w:val="24"/>
        </w:rPr>
      </w:pPr>
      <w:r w:rsidRPr="005A6964">
        <w:rPr>
          <w:rFonts w:cs="Times New Roman"/>
          <w:szCs w:val="24"/>
        </w:rPr>
        <w:t xml:space="preserve">FirstEnergy also claims that the alleged risk of higher, more volatile and unstable electric rates </w:t>
      </w:r>
      <w:r w:rsidR="00FF05A1" w:rsidRPr="005A6964">
        <w:rPr>
          <w:rFonts w:cs="Times New Roman"/>
          <w:szCs w:val="24"/>
        </w:rPr>
        <w:t>are</w:t>
      </w:r>
      <w:r w:rsidRPr="005A6964">
        <w:rPr>
          <w:rFonts w:cs="Times New Roman"/>
          <w:szCs w:val="24"/>
        </w:rPr>
        <w:t xml:space="preserve"> a threat to economic development.</w:t>
      </w:r>
      <w:r w:rsidRPr="005A6964">
        <w:rPr>
          <w:rStyle w:val="FootnoteReference"/>
          <w:rFonts w:cs="Times New Roman"/>
          <w:szCs w:val="24"/>
        </w:rPr>
        <w:footnoteReference w:id="266"/>
      </w:r>
      <w:r w:rsidRPr="005A6964">
        <w:rPr>
          <w:rFonts w:cs="Times New Roman"/>
          <w:szCs w:val="24"/>
        </w:rPr>
        <w:t xml:space="preserve"> FirstEnergy is wrong.</w:t>
      </w:r>
      <w:r w:rsidRPr="005A6964">
        <w:rPr>
          <w:rStyle w:val="FootnoteReference"/>
          <w:rFonts w:cs="Times New Roman"/>
          <w:szCs w:val="24"/>
        </w:rPr>
        <w:footnoteReference w:id="267"/>
      </w:r>
      <w:r w:rsidRPr="005A6964">
        <w:rPr>
          <w:rFonts w:cs="Times New Roman"/>
          <w:szCs w:val="24"/>
        </w:rPr>
        <w:t xml:space="preserve"> Rider RRS would not necessarily lead to more stable rates for shopping or non-shopping customers.</w:t>
      </w:r>
    </w:p>
    <w:p w:rsidR="007D6B2A" w:rsidRPr="005A6964" w:rsidRDefault="007D6B2A" w:rsidP="007D6B2A">
      <w:pPr>
        <w:spacing w:after="0" w:line="480" w:lineRule="auto"/>
        <w:ind w:firstLine="720"/>
        <w:rPr>
          <w:rFonts w:cs="Times New Roman"/>
          <w:szCs w:val="24"/>
        </w:rPr>
      </w:pPr>
      <w:r w:rsidRPr="005A6964">
        <w:rPr>
          <w:rFonts w:cs="Times New Roman"/>
          <w:szCs w:val="24"/>
        </w:rPr>
        <w:t xml:space="preserve"> OCC witness Wilson explained that the rate that non-shopping customers pay is based on the blending of multiple auctions and tends to reflect forward prices at the time of the auction plus a markup.</w:t>
      </w:r>
      <w:r w:rsidRPr="005A6964">
        <w:rPr>
          <w:rStyle w:val="FootnoteReference"/>
          <w:rFonts w:cs="Times New Roman"/>
          <w:szCs w:val="24"/>
        </w:rPr>
        <w:footnoteReference w:id="268"/>
      </w:r>
      <w:r w:rsidRPr="005A6964">
        <w:rPr>
          <w:rFonts w:cs="Times New Roman"/>
          <w:szCs w:val="24"/>
        </w:rPr>
        <w:t xml:space="preserve"> As Mr. Wilson states, the rate paid by non-shopping customers will tend to be stable over time because forward prices tend to be fairly stable.</w:t>
      </w:r>
      <w:r w:rsidRPr="005A6964">
        <w:rPr>
          <w:rStyle w:val="FootnoteReference"/>
          <w:rFonts w:cs="Times New Roman"/>
          <w:szCs w:val="24"/>
        </w:rPr>
        <w:footnoteReference w:id="269"/>
      </w:r>
      <w:r w:rsidRPr="005A6964">
        <w:rPr>
          <w:rFonts w:cs="Times New Roman"/>
          <w:szCs w:val="24"/>
        </w:rPr>
        <w:t xml:space="preserve"> Rider RRS charges will be reconciled on an annual basis. Thus, Rider RRS will result in a customer charge or credit depending upon whether market prices were relatively high or low in the prior year. Therefore, “as SSO customers’ rates change from year to year reflecting movements in forward prices, the changes in the Rider RRS amounts may move the same direction or opposite direction to SSO rates. It cannot be assumed, therefore, that Rider RRS will tend to hedge or stabilize SSO customers’ rates.”</w:t>
      </w:r>
      <w:r w:rsidRPr="005A6964">
        <w:rPr>
          <w:rStyle w:val="FootnoteReference"/>
          <w:rFonts w:cs="Times New Roman"/>
          <w:szCs w:val="24"/>
        </w:rPr>
        <w:footnoteReference w:id="270"/>
      </w:r>
    </w:p>
    <w:p w:rsidR="007D6B2A" w:rsidRPr="005A6964" w:rsidRDefault="007D6B2A" w:rsidP="007D6B2A">
      <w:pPr>
        <w:spacing w:after="0" w:line="480" w:lineRule="auto"/>
        <w:ind w:firstLine="720"/>
        <w:rPr>
          <w:rFonts w:cs="Times New Roman"/>
          <w:szCs w:val="24"/>
        </w:rPr>
      </w:pPr>
      <w:r w:rsidRPr="005A6964">
        <w:rPr>
          <w:rFonts w:cs="Times New Roman"/>
          <w:szCs w:val="24"/>
        </w:rPr>
        <w:t xml:space="preserve">Customers who are served by </w:t>
      </w:r>
      <w:r w:rsidR="00B32788" w:rsidRPr="005A6964">
        <w:rPr>
          <w:rFonts w:cs="Times New Roman"/>
          <w:szCs w:val="24"/>
        </w:rPr>
        <w:t>Marketers</w:t>
      </w:r>
      <w:r w:rsidRPr="005A6964">
        <w:rPr>
          <w:rFonts w:cs="Times New Roman"/>
          <w:szCs w:val="24"/>
        </w:rPr>
        <w:t xml:space="preserve"> will pay prices that fluctuate or stabilize depending on the choices they make that reflect their preferences.</w:t>
      </w:r>
      <w:r w:rsidRPr="005A6964">
        <w:rPr>
          <w:rStyle w:val="FootnoteReference"/>
          <w:rFonts w:cs="Times New Roman"/>
          <w:szCs w:val="24"/>
        </w:rPr>
        <w:footnoteReference w:id="271"/>
      </w:r>
      <w:r w:rsidRPr="005A6964">
        <w:rPr>
          <w:rFonts w:cs="Times New Roman"/>
          <w:szCs w:val="24"/>
        </w:rPr>
        <w:t xml:space="preserve"> But Rider RRS could work against the wishes of many customers. OCC witness Wilson sums it up by stating: “Customers supplied by </w:t>
      </w:r>
      <w:r w:rsidR="00B32788" w:rsidRPr="005A6964">
        <w:rPr>
          <w:rFonts w:cs="Times New Roman"/>
          <w:szCs w:val="24"/>
        </w:rPr>
        <w:t>Marketers</w:t>
      </w:r>
      <w:r w:rsidRPr="005A6964">
        <w:rPr>
          <w:rFonts w:cs="Times New Roman"/>
          <w:szCs w:val="24"/>
        </w:rPr>
        <w:t xml:space="preserve"> have made decisions about how they wish their electric supply to be priced as market prices rise and fall, balancing cost, risk, and other considerations. Rider RRS would add an additional element that might work counter to customers’ desires and choices.”</w:t>
      </w:r>
      <w:r w:rsidRPr="005A6964">
        <w:rPr>
          <w:rStyle w:val="FootnoteReference"/>
          <w:rFonts w:cs="Times New Roman"/>
          <w:szCs w:val="24"/>
        </w:rPr>
        <w:footnoteReference w:id="272"/>
      </w:r>
    </w:p>
    <w:p w:rsidR="007D6B2A" w:rsidRPr="005A6964" w:rsidRDefault="007D6B2A" w:rsidP="007D6B2A">
      <w:pPr>
        <w:spacing w:after="0" w:line="480" w:lineRule="auto"/>
        <w:ind w:firstLine="720"/>
        <w:rPr>
          <w:rFonts w:cs="Times New Roman"/>
          <w:szCs w:val="24"/>
        </w:rPr>
      </w:pPr>
      <w:r w:rsidRPr="005A6964">
        <w:rPr>
          <w:rFonts w:cs="Times New Roman"/>
          <w:szCs w:val="24"/>
        </w:rPr>
        <w:t>In addition, Staff Witness Choueiki explains that Rider RRS is not necessary because the staggering and laddering approach that the PUCO has used in past SSO auctions mitigates price volatility. In addition, Dr. Choueiki explains that “customers that shop often hedge their risk by purchasing fixed rate contracts for a one-year, or longer, period. These fixed rate contracts help customers reduce their exposure to the high volatility that may be observed in the day-ahead and real-time hourly markets.”</w:t>
      </w:r>
      <w:r w:rsidRPr="005A6964">
        <w:rPr>
          <w:rStyle w:val="FootnoteReference"/>
          <w:rFonts w:cs="Times New Roman"/>
          <w:szCs w:val="24"/>
        </w:rPr>
        <w:footnoteReference w:id="273"/>
      </w:r>
    </w:p>
    <w:p w:rsidR="007D6B2A" w:rsidRPr="005A6964" w:rsidRDefault="007D6B2A" w:rsidP="007D6B2A">
      <w:pPr>
        <w:spacing w:after="0" w:line="480" w:lineRule="auto"/>
        <w:ind w:firstLine="720"/>
        <w:rPr>
          <w:rFonts w:cs="Times New Roman"/>
          <w:szCs w:val="24"/>
        </w:rPr>
      </w:pPr>
      <w:r w:rsidRPr="005A6964">
        <w:rPr>
          <w:rFonts w:cs="Times New Roman"/>
          <w:szCs w:val="24"/>
        </w:rPr>
        <w:t>FirstEnergy claims that the Plants themselves provide significant economic benefit in the way of jobs, tax revenue, and economic activity.</w:t>
      </w:r>
      <w:r w:rsidRPr="005A6964">
        <w:rPr>
          <w:rStyle w:val="FootnoteReference"/>
          <w:rFonts w:cs="Times New Roman"/>
          <w:szCs w:val="24"/>
        </w:rPr>
        <w:footnoteReference w:id="274"/>
      </w:r>
      <w:r w:rsidRPr="005A6964">
        <w:rPr>
          <w:rFonts w:cs="Times New Roman"/>
          <w:szCs w:val="24"/>
        </w:rPr>
        <w:t xml:space="preserve"> In an attempt to support this conclusion, FirstEnergy points to a study conducted by FirstEnergy witness Murley that was purported to show the economic impact that Plants currently have and the impact of their retirement.</w:t>
      </w:r>
      <w:r w:rsidRPr="005A6964">
        <w:rPr>
          <w:rStyle w:val="FootnoteReference"/>
          <w:rFonts w:cs="Times New Roman"/>
          <w:szCs w:val="24"/>
        </w:rPr>
        <w:footnoteReference w:id="275"/>
      </w:r>
      <w:r w:rsidRPr="005A6964">
        <w:rPr>
          <w:rFonts w:cs="Times New Roman"/>
          <w:szCs w:val="24"/>
        </w:rPr>
        <w:t xml:space="preserve"> The Utilities’ economic impact study</w:t>
      </w:r>
      <w:r w:rsidR="00B5100D" w:rsidRPr="005A6964">
        <w:rPr>
          <w:rFonts w:cs="Times New Roman"/>
          <w:szCs w:val="24"/>
        </w:rPr>
        <w:t xml:space="preserve"> </w:t>
      </w:r>
      <w:r w:rsidR="00B30CAE" w:rsidRPr="005A6964">
        <w:rPr>
          <w:rFonts w:cs="Times New Roman"/>
          <w:szCs w:val="24"/>
        </w:rPr>
        <w:t xml:space="preserve">is overstated and </w:t>
      </w:r>
      <w:r w:rsidRPr="005A6964">
        <w:rPr>
          <w:rFonts w:cs="Times New Roman"/>
          <w:szCs w:val="24"/>
        </w:rPr>
        <w:t>unreliab</w:t>
      </w:r>
      <w:r w:rsidR="00B30CAE" w:rsidRPr="005A6964">
        <w:rPr>
          <w:rFonts w:cs="Times New Roman"/>
          <w:szCs w:val="24"/>
        </w:rPr>
        <w:t>le</w:t>
      </w:r>
      <w:r w:rsidRPr="005A6964">
        <w:rPr>
          <w:rFonts w:cs="Times New Roman"/>
          <w:szCs w:val="24"/>
        </w:rPr>
        <w:t xml:space="preserve">. First and foremost, </w:t>
      </w:r>
      <w:r w:rsidR="003820BF" w:rsidRPr="005A6964">
        <w:rPr>
          <w:rFonts w:cs="Times New Roman"/>
          <w:szCs w:val="24"/>
        </w:rPr>
        <w:t>the</w:t>
      </w:r>
      <w:r w:rsidRPr="005A6964">
        <w:rPr>
          <w:rFonts w:cs="Times New Roman"/>
          <w:szCs w:val="24"/>
        </w:rPr>
        <w:t xml:space="preserve"> study is, implicitly, a comparison between the effects of the Plants closing and staying open</w:t>
      </w:r>
      <w:r w:rsidR="003820BF" w:rsidRPr="005A6964">
        <w:rPr>
          <w:rFonts w:cs="Times New Roman"/>
          <w:szCs w:val="24"/>
        </w:rPr>
        <w:t>.</w:t>
      </w:r>
      <w:r w:rsidRPr="005A6964">
        <w:rPr>
          <w:rFonts w:cs="Times New Roman"/>
          <w:szCs w:val="24"/>
        </w:rPr>
        <w:t xml:space="preserve"> </w:t>
      </w:r>
      <w:r w:rsidR="003820BF" w:rsidRPr="005A6964">
        <w:rPr>
          <w:rFonts w:cs="Times New Roman"/>
          <w:szCs w:val="24"/>
        </w:rPr>
        <w:t xml:space="preserve">Yet, </w:t>
      </w:r>
      <w:r w:rsidRPr="005A6964">
        <w:rPr>
          <w:rFonts w:cs="Times New Roman"/>
          <w:szCs w:val="24"/>
        </w:rPr>
        <w:t>FirstEnergy has not provided affirmative evidence showing that the Plants will not be able to recoup their future avoidable costs and, consequently, be a legitimate retirement risk.</w:t>
      </w:r>
      <w:r w:rsidR="003820BF" w:rsidRPr="005A6964">
        <w:rPr>
          <w:rFonts w:cs="Times New Roman"/>
          <w:szCs w:val="24"/>
        </w:rPr>
        <w:t xml:space="preserve"> Therefore, the study is not relevant.</w:t>
      </w:r>
    </w:p>
    <w:p w:rsidR="007D6B2A" w:rsidRPr="005A6964" w:rsidRDefault="007D6B2A" w:rsidP="007D6B2A">
      <w:pPr>
        <w:spacing w:after="0" w:line="480" w:lineRule="auto"/>
        <w:rPr>
          <w:rFonts w:cs="Times New Roman"/>
          <w:szCs w:val="24"/>
        </w:rPr>
      </w:pPr>
      <w:r w:rsidRPr="005A6964">
        <w:rPr>
          <w:rFonts w:cs="Times New Roman"/>
          <w:szCs w:val="24"/>
        </w:rPr>
        <w:tab/>
        <w:t>Another major problem with FirstEnergy’s economic impact study is that it assumes all economic output, employment, and tax collections associated with continued operations of the facilities is lost to Ohio and replaced by electricity imported from other states if the facilities close.</w:t>
      </w:r>
      <w:r w:rsidRPr="005A6964">
        <w:rPr>
          <w:rStyle w:val="FootnoteReference"/>
          <w:rFonts w:cs="Times New Roman"/>
          <w:szCs w:val="24"/>
        </w:rPr>
        <w:footnoteReference w:id="276"/>
      </w:r>
      <w:r w:rsidRPr="005A6964">
        <w:rPr>
          <w:rFonts w:cs="Times New Roman"/>
          <w:szCs w:val="24"/>
        </w:rPr>
        <w:t xml:space="preserve"> This assumption ignores the economic benefits that Ohio would receive if replacement generation were constructed in the state.</w:t>
      </w:r>
      <w:r w:rsidRPr="005A6964">
        <w:rPr>
          <w:rStyle w:val="FootnoteReference"/>
          <w:rFonts w:cs="Times New Roman"/>
          <w:szCs w:val="24"/>
        </w:rPr>
        <w:footnoteReference w:id="277"/>
      </w:r>
      <w:r w:rsidRPr="005A6964">
        <w:rPr>
          <w:rFonts w:cs="Times New Roman"/>
          <w:szCs w:val="24"/>
        </w:rPr>
        <w:t xml:space="preserve"> Moreover, the study ignores the fact that the loss of production from the Plants would most likely result in an increase in production at existing Ohio plants.</w:t>
      </w:r>
      <w:r w:rsidRPr="005A6964">
        <w:rPr>
          <w:rStyle w:val="FootnoteReference"/>
          <w:rFonts w:cs="Times New Roman"/>
          <w:szCs w:val="24"/>
        </w:rPr>
        <w:footnoteReference w:id="278"/>
      </w:r>
      <w:r w:rsidRPr="005A6964">
        <w:rPr>
          <w:rFonts w:cs="Times New Roman"/>
          <w:szCs w:val="24"/>
        </w:rPr>
        <w:t xml:space="preserve"> Such a scenario would generally redirect any lost economic benefits from the plants closure back into Ohio.</w:t>
      </w:r>
    </w:p>
    <w:p w:rsidR="007D6B2A" w:rsidRPr="005A6964" w:rsidRDefault="007D6B2A" w:rsidP="007D6B2A">
      <w:pPr>
        <w:spacing w:after="0" w:line="480" w:lineRule="auto"/>
        <w:rPr>
          <w:rFonts w:cs="Times New Roman"/>
          <w:szCs w:val="24"/>
        </w:rPr>
      </w:pPr>
      <w:r w:rsidRPr="005A6964">
        <w:rPr>
          <w:rFonts w:cs="Times New Roman"/>
          <w:szCs w:val="24"/>
        </w:rPr>
        <w:tab/>
        <w:t xml:space="preserve">Another </w:t>
      </w:r>
      <w:r w:rsidR="00B5100D" w:rsidRPr="005A6964">
        <w:rPr>
          <w:rFonts w:cs="Times New Roman"/>
          <w:szCs w:val="24"/>
        </w:rPr>
        <w:t xml:space="preserve">flaw </w:t>
      </w:r>
      <w:r w:rsidRPr="005A6964">
        <w:rPr>
          <w:rFonts w:cs="Times New Roman"/>
          <w:szCs w:val="24"/>
        </w:rPr>
        <w:t>in the economic impact study is that it completely ignores the costs associated with retiring the Plants.</w:t>
      </w:r>
      <w:r w:rsidRPr="005A6964">
        <w:rPr>
          <w:rStyle w:val="FootnoteReference"/>
          <w:rFonts w:cs="Times New Roman"/>
          <w:szCs w:val="24"/>
        </w:rPr>
        <w:footnoteReference w:id="279"/>
      </w:r>
      <w:r w:rsidRPr="005A6964">
        <w:rPr>
          <w:rFonts w:cs="Times New Roman"/>
          <w:szCs w:val="24"/>
        </w:rPr>
        <w:t xml:space="preserve"> This would include the costs to perform the necessary permitting, engineering, deconstruction, waste containment, and disposal activities.</w:t>
      </w:r>
      <w:r w:rsidRPr="005A6964">
        <w:rPr>
          <w:rStyle w:val="FootnoteReference"/>
          <w:rFonts w:cs="Times New Roman"/>
          <w:szCs w:val="24"/>
        </w:rPr>
        <w:footnoteReference w:id="280"/>
      </w:r>
      <w:r w:rsidRPr="005A6964">
        <w:rPr>
          <w:rFonts w:cs="Times New Roman"/>
          <w:szCs w:val="24"/>
        </w:rPr>
        <w:t xml:space="preserve"> As P3/EPSA witness Kalt states, the Nuclear Regulatory Commission estimates the costs to decommission, deconstruct and decontaminate a single reactor, such as Davis-Besse, to be approximately $300 to $400 million.</w:t>
      </w:r>
      <w:r w:rsidRPr="005A6964">
        <w:rPr>
          <w:rStyle w:val="FootnoteReference"/>
          <w:rFonts w:cs="Times New Roman"/>
          <w:szCs w:val="24"/>
        </w:rPr>
        <w:footnoteReference w:id="281"/>
      </w:r>
      <w:r w:rsidRPr="005A6964">
        <w:rPr>
          <w:rFonts w:cs="Times New Roman"/>
          <w:szCs w:val="24"/>
        </w:rPr>
        <w:t xml:space="preserve"> Dr. Kalt also explains that under FirstEnergy’s economic impact study, such spending accrues as economic benefits to the affected region.</w:t>
      </w:r>
      <w:r w:rsidRPr="005A6964">
        <w:rPr>
          <w:rStyle w:val="FootnoteReference"/>
          <w:rFonts w:cs="Times New Roman"/>
          <w:szCs w:val="24"/>
        </w:rPr>
        <w:footnoteReference w:id="282"/>
      </w:r>
      <w:r w:rsidRPr="005A6964">
        <w:rPr>
          <w:rFonts w:cs="Times New Roman"/>
          <w:szCs w:val="24"/>
        </w:rPr>
        <w:t xml:space="preserve"> The omission of this fact further shows that the study is not reliable.</w:t>
      </w:r>
    </w:p>
    <w:p w:rsidR="003820BF" w:rsidRPr="005A6964" w:rsidRDefault="003820BF" w:rsidP="007D6B2A">
      <w:pPr>
        <w:spacing w:after="0" w:line="480" w:lineRule="auto"/>
        <w:rPr>
          <w:rFonts w:cs="Times New Roman"/>
          <w:szCs w:val="24"/>
        </w:rPr>
      </w:pPr>
      <w:r w:rsidRPr="005A6964">
        <w:rPr>
          <w:rFonts w:cs="Times New Roman"/>
          <w:szCs w:val="24"/>
        </w:rPr>
        <w:tab/>
        <w:t>Moreover, the economic impact study is flawed because it did not consider the costs or benefits of changes in electricity prices.</w:t>
      </w:r>
      <w:r w:rsidRPr="005A6964">
        <w:rPr>
          <w:rStyle w:val="FootnoteReference"/>
          <w:rFonts w:cs="Times New Roman"/>
          <w:szCs w:val="24"/>
        </w:rPr>
        <w:footnoteReference w:id="283"/>
      </w:r>
      <w:r w:rsidRPr="005A6964">
        <w:rPr>
          <w:rFonts w:cs="Times New Roman"/>
          <w:szCs w:val="24"/>
        </w:rPr>
        <w:t xml:space="preserve"> As shown above, OCC witness Wilson projects that customers will pay much higher rates if Rider RRS is approved. On the contrary, FirstEnergy projects that customers will pay lower rates over the long-run.</w:t>
      </w:r>
      <w:r w:rsidRPr="005A6964">
        <w:rPr>
          <w:rStyle w:val="FootnoteReference"/>
          <w:rFonts w:cs="Times New Roman"/>
          <w:szCs w:val="24"/>
        </w:rPr>
        <w:footnoteReference w:id="284"/>
      </w:r>
      <w:r w:rsidRPr="005A6964">
        <w:rPr>
          <w:rFonts w:cs="Times New Roman"/>
          <w:szCs w:val="24"/>
        </w:rPr>
        <w:t xml:space="preserve"> However, FirstEnergy did not include Rider RRS’s </w:t>
      </w:r>
      <w:r w:rsidR="008161A6" w:rsidRPr="005A6964">
        <w:rPr>
          <w:rFonts w:cs="Times New Roman"/>
          <w:szCs w:val="24"/>
        </w:rPr>
        <w:t>effect</w:t>
      </w:r>
      <w:r w:rsidRPr="005A6964">
        <w:rPr>
          <w:rFonts w:cs="Times New Roman"/>
          <w:szCs w:val="24"/>
        </w:rPr>
        <w:t xml:space="preserve"> on electricity prices in its economic impact.</w:t>
      </w:r>
      <w:r w:rsidRPr="005A6964">
        <w:rPr>
          <w:rStyle w:val="FootnoteReference"/>
          <w:rFonts w:cs="Times New Roman"/>
          <w:szCs w:val="24"/>
        </w:rPr>
        <w:footnoteReference w:id="285"/>
      </w:r>
      <w:r w:rsidRPr="005A6964">
        <w:rPr>
          <w:rFonts w:cs="Times New Roman"/>
          <w:szCs w:val="24"/>
        </w:rPr>
        <w:t xml:space="preserve"> At the hearing, FirstEnergy admitted that while such an analysis was possible, “a more appropriate approach would be a cost/benefit analysis.”</w:t>
      </w:r>
      <w:r w:rsidRPr="005A6964">
        <w:rPr>
          <w:rStyle w:val="FootnoteReference"/>
          <w:rFonts w:cs="Times New Roman"/>
          <w:szCs w:val="24"/>
        </w:rPr>
        <w:footnoteReference w:id="286"/>
      </w:r>
      <w:r w:rsidRPr="005A6964">
        <w:rPr>
          <w:rFonts w:cs="Times New Roman"/>
          <w:szCs w:val="24"/>
        </w:rPr>
        <w:t xml:space="preserve">  Yet, when asked if it had done a cost/benefit analysis FirstEnergy admitted: “I did not do a cost benefit analysis.”</w:t>
      </w:r>
      <w:r w:rsidRPr="005A6964">
        <w:rPr>
          <w:rStyle w:val="FootnoteReference"/>
          <w:rFonts w:cs="Times New Roman"/>
          <w:szCs w:val="24"/>
        </w:rPr>
        <w:footnoteReference w:id="287"/>
      </w:r>
      <w:r w:rsidRPr="005A6964">
        <w:rPr>
          <w:rFonts w:cs="Times New Roman"/>
          <w:szCs w:val="24"/>
        </w:rPr>
        <w:t xml:space="preserve"> Omitting such analyses from the economic impact study in this proceeding further proves that the study is inaccurate and unreliable.</w:t>
      </w:r>
    </w:p>
    <w:p w:rsidR="007D6B2A" w:rsidRPr="005A6964" w:rsidRDefault="007D6B2A" w:rsidP="007D6B2A">
      <w:pPr>
        <w:spacing w:after="0" w:line="480" w:lineRule="auto"/>
        <w:rPr>
          <w:rFonts w:cs="Times New Roman"/>
          <w:szCs w:val="24"/>
        </w:rPr>
      </w:pPr>
      <w:r w:rsidRPr="005A6964">
        <w:rPr>
          <w:rFonts w:cs="Times New Roman"/>
          <w:szCs w:val="24"/>
        </w:rPr>
        <w:tab/>
        <w:t>Lastly, the study fails to account for costs avoided assuming that the Plants would close because it emphasizes economic output as a primary indicator of economic impacts. As a measure of economic impact, economic output represents gross effects, as opposed to net effects. As Dr. Kalt explains:</w:t>
      </w:r>
    </w:p>
    <w:p w:rsidR="007D6B2A" w:rsidRPr="005A6964" w:rsidRDefault="007D6B2A" w:rsidP="007D6B2A">
      <w:pPr>
        <w:spacing w:line="240" w:lineRule="auto"/>
        <w:ind w:left="1440" w:right="720"/>
        <w:contextualSpacing/>
        <w:rPr>
          <w:rFonts w:cs="Times New Roman"/>
          <w:szCs w:val="24"/>
        </w:rPr>
      </w:pPr>
      <w:r w:rsidRPr="005A6964">
        <w:rPr>
          <w:rFonts w:cs="Times New Roman"/>
          <w:szCs w:val="24"/>
        </w:rPr>
        <w:t>For example, the cost of purchased coal at Sammis is included by Ms. Murley as economic output of the electricity industry in the region of Ohio she studies. The coal at issue, however, is sourced from a variety of mines outside of Ohio. The loss of coal sales would impact the coal producing region outside of the state, but not the coal-consuming region to any significant degree. Thus, economic output overstates the presumed economic impact of plant closure.</w:t>
      </w:r>
      <w:r w:rsidRPr="005A6964">
        <w:rPr>
          <w:rStyle w:val="FootnoteReference"/>
          <w:rFonts w:cs="Times New Roman"/>
          <w:szCs w:val="24"/>
        </w:rPr>
        <w:footnoteReference w:id="288"/>
      </w:r>
    </w:p>
    <w:p w:rsidR="007D6B2A" w:rsidRPr="005A6964" w:rsidRDefault="007D6B2A" w:rsidP="007D6B2A">
      <w:pPr>
        <w:spacing w:line="240" w:lineRule="auto"/>
        <w:ind w:left="720" w:right="720"/>
        <w:contextualSpacing/>
        <w:jc w:val="both"/>
        <w:rPr>
          <w:rFonts w:cs="Times New Roman"/>
          <w:szCs w:val="24"/>
        </w:rPr>
      </w:pPr>
    </w:p>
    <w:p w:rsidR="009271BD" w:rsidRPr="005A6964" w:rsidRDefault="009271BD" w:rsidP="009271BD">
      <w:pPr>
        <w:spacing w:line="480" w:lineRule="auto"/>
      </w:pPr>
      <w:r w:rsidRPr="005A6964">
        <w:tab/>
      </w:r>
      <w:r w:rsidR="007D6B2A" w:rsidRPr="005A6964">
        <w:t>Therefore, the FirstEnergy economic impact study is unreliable and FirstEnergy has failed to demonstrate that closing the Plants would have a negative economic impact on Ohio.</w:t>
      </w:r>
      <w:r w:rsidR="007D6B2A" w:rsidRPr="005A6964">
        <w:tab/>
      </w:r>
    </w:p>
    <w:p w:rsidR="003820BF" w:rsidRPr="005A6964" w:rsidRDefault="009271BD" w:rsidP="009271BD">
      <w:pPr>
        <w:pStyle w:val="Heading4"/>
      </w:pPr>
      <w:bookmarkStart w:id="43" w:name="_Toc444269029"/>
      <w:r w:rsidRPr="005A6964">
        <w:t>e.</w:t>
      </w:r>
      <w:r w:rsidRPr="005A6964">
        <w:tab/>
      </w:r>
      <w:r w:rsidR="007D6B2A" w:rsidRPr="005A6964">
        <w:t>FirstEnergy failed to satisfy additional factors for approval of Rider RRS that the PUCO identified in the AEP ESP III Order.</w:t>
      </w:r>
      <w:bookmarkEnd w:id="43"/>
    </w:p>
    <w:p w:rsidR="007D6B2A" w:rsidRPr="005A6964" w:rsidRDefault="007D6B2A" w:rsidP="00B30CAE">
      <w:pPr>
        <w:pStyle w:val="Heading5"/>
      </w:pPr>
      <w:bookmarkStart w:id="44" w:name="_Toc444269030"/>
      <w:r w:rsidRPr="005A6964">
        <w:t>i.</w:t>
      </w:r>
      <w:r w:rsidRPr="005A6964">
        <w:tab/>
        <w:t>FirstEnergy failed to provide for rigorous PUCO oversight of Rider RRS.</w:t>
      </w:r>
      <w:bookmarkEnd w:id="44"/>
    </w:p>
    <w:p w:rsidR="007D6B2A" w:rsidRPr="005A6964" w:rsidRDefault="003820BF" w:rsidP="007D6B2A">
      <w:pPr>
        <w:spacing w:after="0" w:line="480" w:lineRule="auto"/>
        <w:ind w:firstLine="720"/>
        <w:rPr>
          <w:rFonts w:cs="Times New Roman"/>
          <w:szCs w:val="24"/>
        </w:rPr>
      </w:pPr>
      <w:r w:rsidRPr="005A6964">
        <w:t>As Staff witness Dr. Choueiki stated</w:t>
      </w:r>
      <w:r w:rsidR="00B30CAE" w:rsidRPr="005A6964">
        <w:t>,</w:t>
      </w:r>
      <w:r w:rsidRPr="005A6964">
        <w:rPr>
          <w:rFonts w:cs="Times New Roman"/>
          <w:szCs w:val="24"/>
        </w:rPr>
        <w:t xml:space="preserve"> the four</w:t>
      </w:r>
      <w:r w:rsidR="00B30CAE" w:rsidRPr="005A6964">
        <w:rPr>
          <w:rFonts w:cs="Times New Roman"/>
          <w:szCs w:val="24"/>
        </w:rPr>
        <w:t xml:space="preserve"> AEP ESP III Order</w:t>
      </w:r>
      <w:r w:rsidRPr="005A6964">
        <w:rPr>
          <w:rFonts w:cs="Times New Roman"/>
          <w:szCs w:val="24"/>
        </w:rPr>
        <w:t xml:space="preserve"> factors identified above </w:t>
      </w:r>
      <w:r w:rsidR="00B30CAE" w:rsidRPr="005A6964">
        <w:rPr>
          <w:rFonts w:cs="Times New Roman"/>
          <w:szCs w:val="24"/>
        </w:rPr>
        <w:t>are</w:t>
      </w:r>
      <w:r w:rsidRPr="005A6964">
        <w:rPr>
          <w:rFonts w:cs="Times New Roman"/>
          <w:szCs w:val="24"/>
        </w:rPr>
        <w:t xml:space="preserve"> necessary but not sufficient for granting a PPA.</w:t>
      </w:r>
      <w:r w:rsidRPr="005A6964">
        <w:rPr>
          <w:rStyle w:val="FootnoteReference"/>
          <w:rFonts w:cs="Times New Roman"/>
          <w:szCs w:val="24"/>
        </w:rPr>
        <w:footnoteReference w:id="289"/>
      </w:r>
      <w:r w:rsidRPr="005A6964">
        <w:rPr>
          <w:rFonts w:cs="Times New Roman"/>
          <w:szCs w:val="24"/>
        </w:rPr>
        <w:t xml:space="preserve"> Dr. Choueiki testified that the AEP ESP III Order identified additional necessary conditions that a </w:t>
      </w:r>
      <w:r w:rsidR="008161A6" w:rsidRPr="005A6964">
        <w:rPr>
          <w:rFonts w:cs="Times New Roman"/>
          <w:szCs w:val="24"/>
        </w:rPr>
        <w:t>utility</w:t>
      </w:r>
      <w:r w:rsidRPr="005A6964">
        <w:rPr>
          <w:rFonts w:cs="Times New Roman"/>
          <w:szCs w:val="24"/>
        </w:rPr>
        <w:t xml:space="preserve"> must address before the PUCO should approve a PPA Rider.</w:t>
      </w:r>
      <w:r w:rsidRPr="005A6964">
        <w:rPr>
          <w:rStyle w:val="FootnoteReference"/>
          <w:rFonts w:cs="Times New Roman"/>
          <w:szCs w:val="24"/>
        </w:rPr>
        <w:footnoteReference w:id="290"/>
      </w:r>
      <w:r w:rsidRPr="005A6964">
        <w:rPr>
          <w:rFonts w:cs="Times New Roman"/>
          <w:szCs w:val="24"/>
        </w:rPr>
        <w:t xml:space="preserve"> One of the </w:t>
      </w:r>
      <w:r w:rsidR="007D6B2A" w:rsidRPr="005A6964">
        <w:rPr>
          <w:rFonts w:cs="Times New Roman"/>
          <w:szCs w:val="24"/>
        </w:rPr>
        <w:t>additional necessary condition</w:t>
      </w:r>
      <w:r w:rsidRPr="005A6964">
        <w:rPr>
          <w:rFonts w:cs="Times New Roman"/>
          <w:szCs w:val="24"/>
        </w:rPr>
        <w:t>s</w:t>
      </w:r>
      <w:r w:rsidR="007D6B2A" w:rsidRPr="005A6964">
        <w:rPr>
          <w:rFonts w:cs="Times New Roman"/>
          <w:szCs w:val="24"/>
        </w:rPr>
        <w:t xml:space="preserve"> that the PUCO identified must be satisfied in order for it to approve Rider RRS is rigorous PUCO oversight of the Rider.</w:t>
      </w:r>
      <w:r w:rsidR="007D6B2A" w:rsidRPr="005A6964">
        <w:rPr>
          <w:rStyle w:val="FootnoteReference"/>
          <w:rFonts w:cs="Times New Roman"/>
          <w:szCs w:val="24"/>
        </w:rPr>
        <w:footnoteReference w:id="291"/>
      </w:r>
      <w:r w:rsidR="007D6B2A" w:rsidRPr="005A6964">
        <w:rPr>
          <w:rFonts w:cs="Times New Roman"/>
          <w:szCs w:val="24"/>
        </w:rPr>
        <w:t xml:space="preserve"> Various Intervenors state in their Initial Brief that the Stipulation satisfies this </w:t>
      </w:r>
      <w:r w:rsidR="00037F6E" w:rsidRPr="005A6964">
        <w:rPr>
          <w:rFonts w:cs="Times New Roman"/>
          <w:szCs w:val="24"/>
        </w:rPr>
        <w:t>requirement</w:t>
      </w:r>
      <w:r w:rsidR="007D6B2A" w:rsidRPr="005A6964">
        <w:rPr>
          <w:rFonts w:cs="Times New Roman"/>
          <w:szCs w:val="24"/>
        </w:rPr>
        <w:t>.</w:t>
      </w:r>
      <w:r w:rsidR="007D6B2A" w:rsidRPr="005A6964">
        <w:rPr>
          <w:rStyle w:val="FootnoteReference"/>
          <w:rFonts w:cs="Times New Roman"/>
          <w:szCs w:val="24"/>
        </w:rPr>
        <w:footnoteReference w:id="292"/>
      </w:r>
      <w:r w:rsidR="007D6B2A" w:rsidRPr="005A6964">
        <w:rPr>
          <w:rFonts w:cs="Times New Roman"/>
          <w:szCs w:val="24"/>
        </w:rPr>
        <w:t xml:space="preserve"> Yet, the evidence in </w:t>
      </w:r>
      <w:r w:rsidR="008E1838" w:rsidRPr="005A6964">
        <w:rPr>
          <w:rFonts w:cs="Times New Roman"/>
          <w:szCs w:val="24"/>
        </w:rPr>
        <w:t xml:space="preserve">the </w:t>
      </w:r>
      <w:r w:rsidR="007D6B2A" w:rsidRPr="005A6964">
        <w:rPr>
          <w:rFonts w:cs="Times New Roman"/>
          <w:szCs w:val="24"/>
        </w:rPr>
        <w:t xml:space="preserve">record shows that the contemplated Stipulation does not </w:t>
      </w:r>
      <w:r w:rsidR="00F57D2C" w:rsidRPr="005A6964">
        <w:rPr>
          <w:rFonts w:cs="Times New Roman"/>
          <w:szCs w:val="24"/>
        </w:rPr>
        <w:t>provide for rigorous PUCO oversight.</w:t>
      </w:r>
      <w:r w:rsidR="007D6B2A" w:rsidRPr="005A6964">
        <w:rPr>
          <w:rFonts w:cs="Times New Roman"/>
          <w:szCs w:val="24"/>
        </w:rPr>
        <w:t xml:space="preserve">. </w:t>
      </w:r>
    </w:p>
    <w:p w:rsidR="007D6B2A" w:rsidRPr="005A6964" w:rsidRDefault="007D6B2A" w:rsidP="007D6B2A">
      <w:pPr>
        <w:spacing w:after="0" w:line="480" w:lineRule="auto"/>
        <w:ind w:firstLine="720"/>
        <w:rPr>
          <w:rFonts w:cs="Times New Roman"/>
          <w:szCs w:val="24"/>
        </w:rPr>
      </w:pPr>
      <w:r w:rsidRPr="005A6964">
        <w:rPr>
          <w:rFonts w:cs="Times New Roman"/>
          <w:szCs w:val="24"/>
        </w:rPr>
        <w:t>For example, the Stipulation allows the PUCO only a specific review of revenue and cost data used in determining the PPA Rider.</w:t>
      </w:r>
      <w:r w:rsidRPr="005A6964">
        <w:rPr>
          <w:rStyle w:val="FootnoteReference"/>
          <w:rFonts w:cs="Times New Roman"/>
          <w:szCs w:val="24"/>
        </w:rPr>
        <w:footnoteReference w:id="293"/>
      </w:r>
      <w:r w:rsidRPr="005A6964">
        <w:rPr>
          <w:rFonts w:cs="Times New Roman"/>
          <w:szCs w:val="24"/>
        </w:rPr>
        <w:t xml:space="preserve"> However, to pursue prudency or rate issues related to the PPAs, the PUCO would be forced to complain to FERC.</w:t>
      </w:r>
      <w:r w:rsidRPr="005A6964">
        <w:rPr>
          <w:rStyle w:val="FootnoteReference"/>
          <w:rFonts w:cs="Times New Roman"/>
          <w:szCs w:val="24"/>
        </w:rPr>
        <w:footnoteReference w:id="294"/>
      </w:r>
      <w:r w:rsidRPr="005A6964">
        <w:rPr>
          <w:rFonts w:cs="Times New Roman"/>
          <w:szCs w:val="24"/>
        </w:rPr>
        <w:t xml:space="preserve"> Such a scenario does not give the PUCO enough control or oversight over the proposed Rider.</w:t>
      </w:r>
    </w:p>
    <w:p w:rsidR="003820BF" w:rsidRPr="005A6964" w:rsidRDefault="007D6B2A" w:rsidP="007D6B2A">
      <w:pPr>
        <w:spacing w:after="0" w:line="480" w:lineRule="auto"/>
        <w:ind w:firstLine="720"/>
        <w:rPr>
          <w:rFonts w:cs="Times New Roman"/>
          <w:szCs w:val="24"/>
        </w:rPr>
      </w:pPr>
      <w:r w:rsidRPr="005A6964">
        <w:rPr>
          <w:rFonts w:cs="Times New Roman"/>
          <w:szCs w:val="24"/>
        </w:rPr>
        <w:t>FirstEnergy also states that it, not customers, would be responsible for amounts disallowed for recovery through Rider RRS.</w:t>
      </w:r>
      <w:r w:rsidRPr="005A6964">
        <w:rPr>
          <w:rStyle w:val="FootnoteReference"/>
          <w:rFonts w:cs="Times New Roman"/>
          <w:szCs w:val="24"/>
        </w:rPr>
        <w:footnoteReference w:id="295"/>
      </w:r>
      <w:r w:rsidRPr="005A6964">
        <w:rPr>
          <w:rFonts w:cs="Times New Roman"/>
          <w:szCs w:val="24"/>
        </w:rPr>
        <w:t xml:space="preserve"> But, as OCC/NOAC noted in its Initial Brief, the PPA has an early termination clause that would permit FirstEnergy to terminate the PPA if the PUCO were to discontinue or disallow retail rate recovery.</w:t>
      </w:r>
      <w:r w:rsidRPr="005A6964">
        <w:rPr>
          <w:rStyle w:val="FootnoteReference"/>
          <w:rFonts w:cs="Times New Roman"/>
          <w:szCs w:val="24"/>
        </w:rPr>
        <w:footnoteReference w:id="296"/>
      </w:r>
      <w:r w:rsidRPr="005A6964">
        <w:rPr>
          <w:rFonts w:cs="Times New Roman"/>
          <w:szCs w:val="24"/>
        </w:rPr>
        <w:t xml:space="preserve"> In the event of a cost disallowance by the PUCO or any termination, these costs would be borne not by FES but by FirstEnergy. And while the Utilities would not be able to pass these costs on to customers</w:t>
      </w:r>
      <w:r w:rsidR="00F57D2C" w:rsidRPr="005A6964">
        <w:rPr>
          <w:rFonts w:cs="Times New Roman"/>
          <w:szCs w:val="24"/>
        </w:rPr>
        <w:t xml:space="preserve"> through Rider </w:t>
      </w:r>
      <w:r w:rsidR="003820BF" w:rsidRPr="005A6964">
        <w:rPr>
          <w:rFonts w:cs="Times New Roman"/>
          <w:szCs w:val="24"/>
        </w:rPr>
        <w:t>RRS</w:t>
      </w:r>
      <w:r w:rsidR="00F57D2C" w:rsidRPr="005A6964">
        <w:rPr>
          <w:rFonts w:cs="Times New Roman"/>
          <w:szCs w:val="24"/>
        </w:rPr>
        <w:t xml:space="preserve"> </w:t>
      </w:r>
      <w:r w:rsidRPr="005A6964">
        <w:rPr>
          <w:rFonts w:cs="Times New Roman"/>
          <w:szCs w:val="24"/>
        </w:rPr>
        <w:t>, they would be financially harmed by the non-recovery of these costs, while their competitive affiliate and thus shareholders are ensured a guaranteed recovery of the PPA charges/costs to the Utilities.</w:t>
      </w:r>
      <w:r w:rsidRPr="005A6964">
        <w:rPr>
          <w:rStyle w:val="FootnoteReference"/>
          <w:rFonts w:cs="Times New Roman"/>
          <w:szCs w:val="24"/>
        </w:rPr>
        <w:footnoteReference w:id="297"/>
      </w:r>
      <w:r w:rsidR="003820BF" w:rsidRPr="005A6964">
        <w:rPr>
          <w:rFonts w:cs="Times New Roman"/>
          <w:szCs w:val="24"/>
        </w:rPr>
        <w:t xml:space="preserve"> </w:t>
      </w:r>
      <w:r w:rsidRPr="005A6964">
        <w:rPr>
          <w:rFonts w:cs="Times New Roman"/>
          <w:szCs w:val="24"/>
        </w:rPr>
        <w:t xml:space="preserve"> FirstEnergy’s obligation would harm its financial solvency and decrease its ability to provide reliable service.</w:t>
      </w:r>
      <w:r w:rsidR="003820BF" w:rsidRPr="005A6964">
        <w:rPr>
          <w:rFonts w:cs="Times New Roman"/>
          <w:szCs w:val="24"/>
        </w:rPr>
        <w:t xml:space="preserve"> </w:t>
      </w:r>
      <w:r w:rsidRPr="005A6964">
        <w:rPr>
          <w:rFonts w:cs="Times New Roman"/>
          <w:szCs w:val="24"/>
        </w:rPr>
        <w:t xml:space="preserve">Accordingly, the PUCO’s practical ability to ensure reasonable rates to customers is seriously compromised by the PPA’s review clause, even if it has rigorous oversight (which it does not as discussed earlier). </w:t>
      </w:r>
    </w:p>
    <w:p w:rsidR="007D6B2A" w:rsidRPr="005A6964" w:rsidRDefault="003820BF" w:rsidP="007D6B2A">
      <w:pPr>
        <w:spacing w:after="0" w:line="480" w:lineRule="auto"/>
        <w:ind w:firstLine="720"/>
        <w:rPr>
          <w:rFonts w:cs="Times New Roman"/>
          <w:szCs w:val="24"/>
        </w:rPr>
      </w:pPr>
      <w:r w:rsidRPr="005A6964">
        <w:rPr>
          <w:rFonts w:cs="Times New Roman"/>
          <w:szCs w:val="24"/>
        </w:rPr>
        <w:t xml:space="preserve">In addition, a cost disallowance by the PUCO could also impact customers through the </w:t>
      </w:r>
      <w:r w:rsidR="008161A6" w:rsidRPr="005A6964">
        <w:rPr>
          <w:rFonts w:cs="Times New Roman"/>
          <w:szCs w:val="24"/>
        </w:rPr>
        <w:t>Significantly</w:t>
      </w:r>
      <w:r w:rsidRPr="005A6964">
        <w:rPr>
          <w:rFonts w:cs="Times New Roman"/>
          <w:szCs w:val="24"/>
        </w:rPr>
        <w:t xml:space="preserve"> Excessive Earnings Test (“SEET”). Under R.C. 4928.143(F), at the end of each annual period of the ESP, the Utility has the burden to show that its earnings were not </w:t>
      </w:r>
      <w:r w:rsidR="008161A6" w:rsidRPr="005A6964">
        <w:rPr>
          <w:rFonts w:cs="Times New Roman"/>
          <w:szCs w:val="24"/>
        </w:rPr>
        <w:t>significantly</w:t>
      </w:r>
      <w:r w:rsidRPr="005A6964">
        <w:rPr>
          <w:rFonts w:cs="Times New Roman"/>
          <w:szCs w:val="24"/>
        </w:rPr>
        <w:t xml:space="preserve"> excessive. Significantly excessive earnings are determined “by whether the earned return on common equity of the electric distribution utility is significantly in excess of the return on common equity that was earned during the same period by publicly traded companies, including utilities, that face comparable business and financial risk.”</w:t>
      </w:r>
      <w:r w:rsidRPr="005A6964">
        <w:rPr>
          <w:rStyle w:val="FootnoteReference"/>
          <w:rFonts w:cs="Times New Roman"/>
          <w:szCs w:val="24"/>
        </w:rPr>
        <w:footnoteReference w:id="298"/>
      </w:r>
      <w:r w:rsidRPr="005A6964">
        <w:rPr>
          <w:rFonts w:cs="Times New Roman"/>
          <w:szCs w:val="24"/>
        </w:rPr>
        <w:t xml:space="preserve"> If the PUCO finds that such adjustments, in the aggregate, did result in significantly excessive earnings, it shall require the  utility to return to consumers the amount of the excess by prospective adjustments.</w:t>
      </w:r>
      <w:r w:rsidRPr="005A6964">
        <w:rPr>
          <w:rStyle w:val="FootnoteReference"/>
          <w:rFonts w:cs="Times New Roman"/>
          <w:szCs w:val="24"/>
        </w:rPr>
        <w:footnoteReference w:id="299"/>
      </w:r>
      <w:r w:rsidRPr="005A6964">
        <w:rPr>
          <w:rFonts w:cs="Times New Roman"/>
          <w:szCs w:val="24"/>
        </w:rPr>
        <w:t xml:space="preserve"> As FirstEnergy admitted, if FirstEner</w:t>
      </w:r>
      <w:r w:rsidR="001322F0" w:rsidRPr="005A6964">
        <w:rPr>
          <w:rFonts w:cs="Times New Roman"/>
          <w:szCs w:val="24"/>
        </w:rPr>
        <w:t>g</w:t>
      </w:r>
      <w:r w:rsidRPr="005A6964">
        <w:rPr>
          <w:rFonts w:cs="Times New Roman"/>
          <w:szCs w:val="24"/>
        </w:rPr>
        <w:t>y experiences losses through</w:t>
      </w:r>
      <w:r w:rsidRPr="005A6964">
        <w:t xml:space="preserve"> disallowances under Rider RRS, those losses will be factored into the utility’s statutory  SEET.</w:t>
      </w:r>
      <w:r w:rsidRPr="005A6964">
        <w:rPr>
          <w:rStyle w:val="FootnoteReference"/>
        </w:rPr>
        <w:footnoteReference w:id="300"/>
      </w:r>
      <w:r w:rsidRPr="005A6964">
        <w:t xml:space="preserve"> That is, if FirstEnergy experiences losses it will decrease FirstEnergy’s return on equity. If FirstEnergy has a lower return on equity then it will be more likely to pass the SEET review. And, if FirstEnergy passes the SEET review then customers will not receive a refund from SEET as is statutorily required. </w:t>
      </w:r>
    </w:p>
    <w:p w:rsidR="007D6B2A" w:rsidRPr="005A6964" w:rsidRDefault="007D6B2A" w:rsidP="007D6B2A">
      <w:pPr>
        <w:spacing w:after="0" w:line="480" w:lineRule="auto"/>
        <w:ind w:firstLine="720"/>
        <w:rPr>
          <w:rFonts w:cs="Times New Roman"/>
          <w:szCs w:val="24"/>
        </w:rPr>
      </w:pPr>
      <w:r w:rsidRPr="005A6964">
        <w:rPr>
          <w:rFonts w:cs="Times New Roman"/>
          <w:szCs w:val="24"/>
        </w:rPr>
        <w:t xml:space="preserve">Finally, </w:t>
      </w:r>
      <w:r w:rsidR="001322F0" w:rsidRPr="005A6964">
        <w:rPr>
          <w:rFonts w:cs="Times New Roman"/>
          <w:szCs w:val="24"/>
        </w:rPr>
        <w:t xml:space="preserve">the PUCO </w:t>
      </w:r>
      <w:r w:rsidRPr="005A6964">
        <w:rPr>
          <w:rFonts w:cs="Times New Roman"/>
          <w:szCs w:val="24"/>
        </w:rPr>
        <w:t>Staff claims that the “Stipulation will provide that the PPA units are managed efficiently and bid competitively in the PJM market with full Commission oversight to assure compliance."</w:t>
      </w:r>
      <w:r w:rsidRPr="005A6964">
        <w:rPr>
          <w:rStyle w:val="FootnoteReference"/>
          <w:rFonts w:cs="Times New Roman"/>
          <w:szCs w:val="24"/>
        </w:rPr>
        <w:footnoteReference w:id="301"/>
      </w:r>
      <w:r w:rsidRPr="005A6964">
        <w:rPr>
          <w:rFonts w:cs="Times New Roman"/>
          <w:szCs w:val="24"/>
        </w:rPr>
        <w:t xml:space="preserve"> However, there is no language on page eight of the Stipulation, which Staff cites to in its Initial </w:t>
      </w:r>
      <w:r w:rsidR="00037F6E" w:rsidRPr="005A6964">
        <w:rPr>
          <w:rFonts w:cs="Times New Roman"/>
          <w:szCs w:val="24"/>
        </w:rPr>
        <w:t>Brief</w:t>
      </w:r>
      <w:r w:rsidR="008E1838" w:rsidRPr="005A6964">
        <w:rPr>
          <w:rFonts w:cs="Times New Roman"/>
          <w:szCs w:val="24"/>
        </w:rPr>
        <w:t>,</w:t>
      </w:r>
      <w:r w:rsidR="00037F6E" w:rsidRPr="005A6964">
        <w:rPr>
          <w:rFonts w:cs="Times New Roman"/>
          <w:szCs w:val="24"/>
        </w:rPr>
        <w:t xml:space="preserve"> </w:t>
      </w:r>
      <w:r w:rsidR="001322F0" w:rsidRPr="005A6964">
        <w:rPr>
          <w:rFonts w:cs="Times New Roman"/>
          <w:szCs w:val="24"/>
        </w:rPr>
        <w:t>that</w:t>
      </w:r>
      <w:r w:rsidR="007F7A3B" w:rsidRPr="005A6964">
        <w:rPr>
          <w:rFonts w:cs="Times New Roman"/>
          <w:szCs w:val="24"/>
        </w:rPr>
        <w:t xml:space="preserve"> </w:t>
      </w:r>
      <w:r w:rsidRPr="005A6964">
        <w:rPr>
          <w:rFonts w:cs="Times New Roman"/>
          <w:szCs w:val="24"/>
        </w:rPr>
        <w:t>addresses or provides for such assurances.</w:t>
      </w:r>
      <w:r w:rsidRPr="005A6964">
        <w:rPr>
          <w:rStyle w:val="FootnoteReference"/>
          <w:rFonts w:cs="Times New Roman"/>
          <w:szCs w:val="24"/>
        </w:rPr>
        <w:footnoteReference w:id="302"/>
      </w:r>
      <w:r w:rsidRPr="005A6964">
        <w:rPr>
          <w:rFonts w:cs="Times New Roman"/>
          <w:szCs w:val="24"/>
        </w:rPr>
        <w:t xml:space="preserve"> The assurance provided from FirstEnergy regarding its bidding strategy is that it “will evaluate market conditions at the time offers are made and will implement a strategy that attempts to maximize revenue.”</w:t>
      </w:r>
      <w:r w:rsidRPr="005A6964">
        <w:rPr>
          <w:rStyle w:val="FootnoteReference"/>
          <w:rFonts w:cs="Times New Roman"/>
          <w:szCs w:val="24"/>
        </w:rPr>
        <w:footnoteReference w:id="303"/>
      </w:r>
      <w:r w:rsidRPr="005A6964">
        <w:rPr>
          <w:rFonts w:cs="Times New Roman"/>
          <w:szCs w:val="24"/>
        </w:rPr>
        <w:t xml:space="preserve"> This statement cannot be seen as a serious commitment or legally binding obligation to operate the </w:t>
      </w:r>
      <w:r w:rsidR="008E1838" w:rsidRPr="005A6964">
        <w:rPr>
          <w:rFonts w:cs="Times New Roman"/>
          <w:szCs w:val="24"/>
        </w:rPr>
        <w:t>P</w:t>
      </w:r>
      <w:r w:rsidRPr="005A6964">
        <w:rPr>
          <w:rFonts w:cs="Times New Roman"/>
          <w:szCs w:val="24"/>
        </w:rPr>
        <w:t>lants contemplated in Rider RRS in a just and reasonable way. And, it should not be seen as a commitment that bolsters the PUCO’s alleged oversight of the proposal.</w:t>
      </w:r>
    </w:p>
    <w:p w:rsidR="007D6B2A" w:rsidRPr="005A6964" w:rsidRDefault="007D6B2A" w:rsidP="00B30CAE">
      <w:pPr>
        <w:pStyle w:val="Heading5"/>
      </w:pPr>
      <w:bookmarkStart w:id="45" w:name="_Toc444269031"/>
      <w:r w:rsidRPr="005A6964">
        <w:t>ii.</w:t>
      </w:r>
      <w:r w:rsidRPr="005A6964">
        <w:tab/>
        <w:t xml:space="preserve">FirstEnergy failed to </w:t>
      </w:r>
      <w:r w:rsidR="006452F0" w:rsidRPr="005A6964">
        <w:t>“</w:t>
      </w:r>
      <w:r w:rsidRPr="005A6964">
        <w:t>commit to full information sharing with PUCO and its Staff</w:t>
      </w:r>
      <w:r w:rsidR="006452F0" w:rsidRPr="005A6964">
        <w:t>”</w:t>
      </w:r>
      <w:r w:rsidRPr="005A6964">
        <w:t xml:space="preserve"> regarding Rider RRS.</w:t>
      </w:r>
      <w:bookmarkEnd w:id="45"/>
      <w:r w:rsidRPr="005A6964">
        <w:t xml:space="preserve"> </w:t>
      </w:r>
    </w:p>
    <w:p w:rsidR="00C24E45" w:rsidRPr="005A6964" w:rsidRDefault="003820BF" w:rsidP="00C24E45">
      <w:pPr>
        <w:spacing w:after="0" w:line="480" w:lineRule="auto"/>
        <w:ind w:firstLine="720"/>
        <w:rPr>
          <w:rFonts w:cs="Times New Roman"/>
          <w:szCs w:val="24"/>
        </w:rPr>
      </w:pPr>
      <w:r w:rsidRPr="005A6964">
        <w:rPr>
          <w:rFonts w:cs="Times New Roman"/>
          <w:szCs w:val="24"/>
        </w:rPr>
        <w:t xml:space="preserve">An additional condition </w:t>
      </w:r>
      <w:r w:rsidR="008161A6" w:rsidRPr="005A6964">
        <w:rPr>
          <w:rFonts w:cs="Times New Roman"/>
          <w:szCs w:val="24"/>
        </w:rPr>
        <w:t>identified</w:t>
      </w:r>
      <w:r w:rsidRPr="005A6964">
        <w:rPr>
          <w:rFonts w:cs="Times New Roman"/>
          <w:szCs w:val="24"/>
        </w:rPr>
        <w:t xml:space="preserve"> in the AEP ESP III Order is a commitment to full information sharing with the PUCO and its staff.</w:t>
      </w:r>
      <w:r w:rsidRPr="005A6964">
        <w:rPr>
          <w:rStyle w:val="FootnoteReference"/>
          <w:rFonts w:cs="Times New Roman"/>
          <w:szCs w:val="24"/>
        </w:rPr>
        <w:footnoteReference w:id="304"/>
      </w:r>
      <w:r w:rsidRPr="005A6964">
        <w:rPr>
          <w:rFonts w:cs="Times New Roman"/>
          <w:szCs w:val="24"/>
        </w:rPr>
        <w:t xml:space="preserve"> </w:t>
      </w:r>
      <w:r w:rsidR="007D6B2A" w:rsidRPr="005A6964">
        <w:rPr>
          <w:rFonts w:cs="Times New Roman"/>
          <w:szCs w:val="24"/>
        </w:rPr>
        <w:t xml:space="preserve">FirstEnergy and PUCO Staff state that FirstEnergy will provide Staff, </w:t>
      </w:r>
      <w:r w:rsidR="00C24E45" w:rsidRPr="005A6964">
        <w:rPr>
          <w:rFonts w:cs="Times New Roman"/>
          <w:szCs w:val="24"/>
        </w:rPr>
        <w:t xml:space="preserve">upon reasonable </w:t>
      </w:r>
      <w:r w:rsidR="007D6B2A" w:rsidRPr="005A6964">
        <w:rPr>
          <w:rFonts w:cs="Times New Roman"/>
          <w:szCs w:val="24"/>
        </w:rPr>
        <w:t>request, with FES’s fleet information on any cost component to assist Staff as it conducts its review of Rider RRS.</w:t>
      </w:r>
      <w:r w:rsidR="007D6B2A" w:rsidRPr="005A6964">
        <w:rPr>
          <w:rStyle w:val="FootnoteReference"/>
          <w:rFonts w:cs="Times New Roman"/>
          <w:szCs w:val="24"/>
        </w:rPr>
        <w:footnoteReference w:id="305"/>
      </w:r>
      <w:r w:rsidR="00C24E45" w:rsidRPr="005A6964">
        <w:rPr>
          <w:rFonts w:cs="Times New Roman"/>
          <w:szCs w:val="24"/>
        </w:rPr>
        <w:t xml:space="preserve"> </w:t>
      </w:r>
      <w:r w:rsidRPr="005A6964">
        <w:rPr>
          <w:rFonts w:cs="Times New Roman"/>
          <w:szCs w:val="24"/>
        </w:rPr>
        <w:t xml:space="preserve">This commitment </w:t>
      </w:r>
      <w:r w:rsidR="007D6B2A" w:rsidRPr="005A6964">
        <w:rPr>
          <w:rFonts w:cs="Times New Roman"/>
          <w:szCs w:val="24"/>
        </w:rPr>
        <w:t xml:space="preserve">is not equivalent to “full information sharing.” </w:t>
      </w:r>
    </w:p>
    <w:p w:rsidR="00C24E45" w:rsidRPr="005A6964" w:rsidRDefault="00C24E45" w:rsidP="00C24E45">
      <w:pPr>
        <w:spacing w:after="0" w:line="480" w:lineRule="auto"/>
        <w:ind w:firstLine="720"/>
        <w:rPr>
          <w:rFonts w:cs="Times New Roman"/>
          <w:szCs w:val="24"/>
        </w:rPr>
      </w:pPr>
      <w:r w:rsidRPr="005A6964">
        <w:rPr>
          <w:rFonts w:cs="Times New Roman"/>
          <w:szCs w:val="24"/>
        </w:rPr>
        <w:t>First,</w:t>
      </w:r>
      <w:r w:rsidR="00F36E30" w:rsidRPr="005A6964">
        <w:rPr>
          <w:rFonts w:cs="Times New Roman"/>
          <w:szCs w:val="24"/>
        </w:rPr>
        <w:t xml:space="preserve"> </w:t>
      </w:r>
      <w:r w:rsidRPr="005A6964">
        <w:rPr>
          <w:rFonts w:cs="Times New Roman"/>
          <w:szCs w:val="24"/>
        </w:rPr>
        <w:t xml:space="preserve">Staff does not have a </w:t>
      </w:r>
      <w:r w:rsidRPr="005A6964">
        <w:rPr>
          <w:rFonts w:cs="Times New Roman"/>
          <w:i/>
          <w:szCs w:val="24"/>
        </w:rPr>
        <w:t>right</w:t>
      </w:r>
      <w:r w:rsidRPr="005A6964">
        <w:rPr>
          <w:rFonts w:cs="Times New Roman"/>
          <w:szCs w:val="24"/>
        </w:rPr>
        <w:t xml:space="preserve"> to a full information review. Staff must determine what information it wants to receive and then request that information from FirstEnergy.</w:t>
      </w:r>
      <w:r w:rsidRPr="005A6964">
        <w:rPr>
          <w:rStyle w:val="FootnoteReference"/>
          <w:rFonts w:cs="Times New Roman"/>
          <w:szCs w:val="24"/>
        </w:rPr>
        <w:footnoteReference w:id="306"/>
      </w:r>
      <w:r w:rsidRPr="005A6964">
        <w:rPr>
          <w:rFonts w:cs="Times New Roman"/>
          <w:szCs w:val="24"/>
        </w:rPr>
        <w:t xml:space="preserve"> FirstEnergy </w:t>
      </w:r>
      <w:r w:rsidR="001322F0" w:rsidRPr="005A6964">
        <w:rPr>
          <w:rFonts w:cs="Times New Roman"/>
          <w:szCs w:val="24"/>
        </w:rPr>
        <w:t>might</w:t>
      </w:r>
      <w:r w:rsidRPr="005A6964">
        <w:rPr>
          <w:rFonts w:cs="Times New Roman"/>
          <w:szCs w:val="24"/>
        </w:rPr>
        <w:t xml:space="preserve"> then refuse to share the information. This is not compliant with full information sharing.</w:t>
      </w:r>
    </w:p>
    <w:p w:rsidR="003820BF" w:rsidRPr="005A6964" w:rsidRDefault="00C24E45" w:rsidP="00C24E45">
      <w:pPr>
        <w:spacing w:after="0" w:line="480" w:lineRule="auto"/>
        <w:ind w:firstLine="720"/>
        <w:rPr>
          <w:rFonts w:cs="Times New Roman"/>
          <w:szCs w:val="24"/>
        </w:rPr>
      </w:pPr>
      <w:r w:rsidRPr="005A6964">
        <w:rPr>
          <w:rFonts w:cs="Times New Roman"/>
          <w:szCs w:val="24"/>
        </w:rPr>
        <w:t xml:space="preserve">Second, the information that Staff can review is limited to FES’s fleet information on “any cost component.” This is not a “full information” review. </w:t>
      </w:r>
      <w:r w:rsidR="00F36E30" w:rsidRPr="005A6964">
        <w:rPr>
          <w:rFonts w:cs="Times New Roman"/>
          <w:szCs w:val="24"/>
        </w:rPr>
        <w:t>I</w:t>
      </w:r>
      <w:r w:rsidR="007D6B2A" w:rsidRPr="005A6964">
        <w:rPr>
          <w:rFonts w:cs="Times New Roman"/>
          <w:szCs w:val="24"/>
        </w:rPr>
        <w:t>n compliance with R.C. 4905.15, FirstEnergy should be required to furnish to the PUCO, in such form and at such times as the PUCO requires, such accounts, reports, and information as shall show completely and in detail the entire operation of the public utility in furnishing the unit of its product or service to the public.</w:t>
      </w:r>
      <w:r w:rsidR="007D6B2A" w:rsidRPr="005A6964">
        <w:rPr>
          <w:rStyle w:val="FootnoteReference"/>
          <w:rFonts w:cs="Times New Roman"/>
          <w:szCs w:val="24"/>
        </w:rPr>
        <w:footnoteReference w:id="307"/>
      </w:r>
      <w:r w:rsidR="007D6B2A" w:rsidRPr="005A6964">
        <w:rPr>
          <w:rFonts w:cs="Times New Roman"/>
          <w:szCs w:val="24"/>
        </w:rPr>
        <w:t xml:space="preserve"> </w:t>
      </w:r>
      <w:r w:rsidR="003820BF" w:rsidRPr="005A6964">
        <w:rPr>
          <w:rFonts w:cs="Times New Roman"/>
          <w:szCs w:val="24"/>
        </w:rPr>
        <w:t xml:space="preserve">Thus, the PUCO will not have the ability to fully review all purchasing and expenses of FES.  </w:t>
      </w:r>
    </w:p>
    <w:p w:rsidR="00C24E45" w:rsidRPr="005A6964" w:rsidRDefault="003820BF" w:rsidP="003820BF">
      <w:pPr>
        <w:spacing w:after="0" w:line="480" w:lineRule="auto"/>
        <w:ind w:firstLine="720"/>
        <w:rPr>
          <w:rFonts w:cs="Times New Roman"/>
          <w:szCs w:val="24"/>
        </w:rPr>
      </w:pPr>
      <w:r w:rsidRPr="005A6964">
        <w:rPr>
          <w:rFonts w:cs="Times New Roman"/>
          <w:szCs w:val="24"/>
        </w:rPr>
        <w:t>In addition, FirstEnergy admitted that not all information related to the proposed Rider RRS will necessarily be available. A</w:t>
      </w:r>
      <w:r w:rsidR="00C24E45" w:rsidRPr="005A6964">
        <w:rPr>
          <w:rFonts w:cs="Times New Roman"/>
          <w:szCs w:val="24"/>
        </w:rPr>
        <w:t xml:space="preserve">s several intervenors state and </w:t>
      </w:r>
      <w:r w:rsidRPr="005A6964">
        <w:rPr>
          <w:rFonts w:cs="Times New Roman"/>
          <w:szCs w:val="24"/>
        </w:rPr>
        <w:t>FirstEnergy witness Mikkelsen admitted</w:t>
      </w:r>
      <w:r w:rsidR="00C24E45" w:rsidRPr="005A6964">
        <w:rPr>
          <w:rFonts w:cs="Times New Roman"/>
          <w:szCs w:val="24"/>
        </w:rPr>
        <w:t>,</w:t>
      </w:r>
      <w:r w:rsidRPr="005A6964">
        <w:rPr>
          <w:rFonts w:cs="Times New Roman"/>
          <w:szCs w:val="24"/>
        </w:rPr>
        <w:t xml:space="preserve"> OVEC has made no commitment to share information with the PUCO.</w:t>
      </w:r>
      <w:r w:rsidRPr="005A6964">
        <w:rPr>
          <w:rStyle w:val="FootnoteReference"/>
          <w:rFonts w:cs="Times New Roman"/>
          <w:szCs w:val="24"/>
        </w:rPr>
        <w:footnoteReference w:id="308"/>
      </w:r>
      <w:r w:rsidRPr="005A6964">
        <w:rPr>
          <w:rFonts w:cs="Times New Roman"/>
          <w:szCs w:val="24"/>
        </w:rPr>
        <w:t xml:space="preserve"> Indeed, Ms. Mikkelsen confirmed that the information sharing commitment in the Stipulation does not extend to information that’s solely in the possession of OVEC.</w:t>
      </w:r>
      <w:r w:rsidRPr="005A6964">
        <w:rPr>
          <w:rStyle w:val="FootnoteReference"/>
          <w:rFonts w:cs="Times New Roman"/>
          <w:szCs w:val="24"/>
        </w:rPr>
        <w:footnoteReference w:id="309"/>
      </w:r>
      <w:r w:rsidRPr="005A6964">
        <w:rPr>
          <w:rFonts w:cs="Times New Roman"/>
          <w:szCs w:val="24"/>
        </w:rPr>
        <w:t xml:space="preserve"> </w:t>
      </w:r>
    </w:p>
    <w:p w:rsidR="00F36E30" w:rsidRPr="005A6964" w:rsidRDefault="00F36E30" w:rsidP="00F36E30">
      <w:pPr>
        <w:spacing w:after="0" w:line="480" w:lineRule="auto"/>
        <w:ind w:firstLine="720"/>
        <w:rPr>
          <w:rFonts w:cs="Times New Roman"/>
          <w:szCs w:val="24"/>
        </w:rPr>
      </w:pPr>
      <w:r w:rsidRPr="005A6964">
        <w:rPr>
          <w:rFonts w:cs="Times New Roman"/>
          <w:szCs w:val="24"/>
        </w:rPr>
        <w:t>Next, as P3</w:t>
      </w:r>
      <w:r w:rsidR="00C24E45" w:rsidRPr="005A6964">
        <w:rPr>
          <w:rFonts w:cs="Times New Roman"/>
          <w:szCs w:val="24"/>
        </w:rPr>
        <w:t>/EPSA state,</w:t>
      </w:r>
      <w:r w:rsidRPr="005A6964">
        <w:rPr>
          <w:rFonts w:cs="Times New Roman"/>
          <w:szCs w:val="24"/>
        </w:rPr>
        <w:t xml:space="preserve"> the Stipulation does not provide for information sharing related to any bilateral contracts between FirstEnergy and third parties.</w:t>
      </w:r>
      <w:r w:rsidRPr="005A6964">
        <w:rPr>
          <w:rStyle w:val="FootnoteReference"/>
          <w:rFonts w:cs="Times New Roman"/>
          <w:szCs w:val="24"/>
        </w:rPr>
        <w:footnoteReference w:id="310"/>
      </w:r>
      <w:r w:rsidR="00C24E45" w:rsidRPr="005A6964">
        <w:rPr>
          <w:rFonts w:cs="Times New Roman"/>
          <w:szCs w:val="24"/>
        </w:rPr>
        <w:t xml:space="preserve"> </w:t>
      </w:r>
      <w:r w:rsidRPr="005A6964">
        <w:rPr>
          <w:rFonts w:cs="Times New Roman"/>
          <w:szCs w:val="24"/>
        </w:rPr>
        <w:t>Nothing under the Stipulation precludes FE from entering into bilateral contracts with third parties.</w:t>
      </w:r>
      <w:r w:rsidRPr="005A6964">
        <w:rPr>
          <w:rStyle w:val="FootnoteReference"/>
          <w:rFonts w:cs="Times New Roman"/>
          <w:szCs w:val="24"/>
        </w:rPr>
        <w:footnoteReference w:id="311"/>
      </w:r>
      <w:r w:rsidRPr="005A6964">
        <w:rPr>
          <w:rFonts w:cs="Times New Roman"/>
          <w:szCs w:val="24"/>
        </w:rPr>
        <w:t xml:space="preserve"> Under the Stipulation, Staff would not have access to information related to that contract because Section V.3.b. only applies to FES’ fleet information.</w:t>
      </w:r>
      <w:r w:rsidRPr="005A6964">
        <w:rPr>
          <w:rStyle w:val="FootnoteReference"/>
          <w:rFonts w:cs="Times New Roman"/>
          <w:szCs w:val="24"/>
        </w:rPr>
        <w:footnoteReference w:id="312"/>
      </w:r>
    </w:p>
    <w:p w:rsidR="007D6B2A" w:rsidRPr="005A6964" w:rsidRDefault="003820BF" w:rsidP="003820BF">
      <w:pPr>
        <w:spacing w:after="0" w:line="480" w:lineRule="auto"/>
        <w:ind w:firstLine="720"/>
        <w:rPr>
          <w:rFonts w:cs="Times New Roman"/>
          <w:szCs w:val="24"/>
        </w:rPr>
      </w:pPr>
      <w:r w:rsidRPr="005A6964">
        <w:rPr>
          <w:rFonts w:cs="Times New Roman"/>
          <w:szCs w:val="24"/>
        </w:rPr>
        <w:t xml:space="preserve">Therefore, the Stipulation does not </w:t>
      </w:r>
      <w:r w:rsidR="008161A6" w:rsidRPr="005A6964">
        <w:rPr>
          <w:rFonts w:cs="Times New Roman"/>
          <w:szCs w:val="24"/>
        </w:rPr>
        <w:t>commit</w:t>
      </w:r>
      <w:r w:rsidRPr="005A6964">
        <w:rPr>
          <w:rFonts w:cs="Times New Roman"/>
          <w:szCs w:val="24"/>
        </w:rPr>
        <w:t xml:space="preserve">  to full information sharing</w:t>
      </w:r>
      <w:r w:rsidR="001322F0" w:rsidRPr="005A6964">
        <w:rPr>
          <w:rFonts w:cs="Times New Roman"/>
          <w:szCs w:val="24"/>
        </w:rPr>
        <w:t>.</w:t>
      </w:r>
      <w:r w:rsidRPr="005A6964">
        <w:rPr>
          <w:rFonts w:cs="Times New Roman"/>
          <w:szCs w:val="24"/>
        </w:rPr>
        <w:t xml:space="preserve"> </w:t>
      </w:r>
      <w:r w:rsidR="001322F0" w:rsidRPr="005A6964">
        <w:rPr>
          <w:rFonts w:cs="Times New Roman"/>
          <w:szCs w:val="24"/>
        </w:rPr>
        <w:t>A</w:t>
      </w:r>
      <w:r w:rsidRPr="005A6964">
        <w:rPr>
          <w:rFonts w:cs="Times New Roman"/>
          <w:szCs w:val="24"/>
        </w:rPr>
        <w:t xml:space="preserve">nd </w:t>
      </w:r>
      <w:r w:rsidR="007D6B2A" w:rsidRPr="005A6964">
        <w:rPr>
          <w:rFonts w:cs="Times New Roman"/>
          <w:szCs w:val="24"/>
        </w:rPr>
        <w:t xml:space="preserve">FirstEnergy’s approach to avoiding regulatory scrutiny of its re-regulatory plan should be denied. </w:t>
      </w:r>
    </w:p>
    <w:p w:rsidR="007D6B2A" w:rsidRPr="005A6964" w:rsidRDefault="00B30CAE" w:rsidP="00B30CAE">
      <w:pPr>
        <w:pStyle w:val="Heading5"/>
      </w:pPr>
      <w:bookmarkStart w:id="46" w:name="_Toc444269032"/>
      <w:r w:rsidRPr="005A6964">
        <w:t>iii.</w:t>
      </w:r>
      <w:r w:rsidRPr="005A6964">
        <w:tab/>
      </w:r>
      <w:r w:rsidR="007D6B2A" w:rsidRPr="005A6964">
        <w:t xml:space="preserve">FirstEnergy failed to provide a legitimate alternative plan to </w:t>
      </w:r>
      <w:r w:rsidR="006452F0" w:rsidRPr="005A6964">
        <w:t>“</w:t>
      </w:r>
      <w:r w:rsidR="007D6B2A" w:rsidRPr="005A6964">
        <w:t>allocate Rider RRS’s financial risk between FirstEnergy and customers.</w:t>
      </w:r>
      <w:r w:rsidR="006452F0" w:rsidRPr="005A6964">
        <w:t>”</w:t>
      </w:r>
      <w:bookmarkEnd w:id="46"/>
    </w:p>
    <w:p w:rsidR="00F57D2C" w:rsidRPr="005A6964" w:rsidRDefault="007D6B2A" w:rsidP="007D6B2A">
      <w:pPr>
        <w:spacing w:after="0" w:line="480" w:lineRule="auto"/>
        <w:ind w:firstLine="720"/>
        <w:rPr>
          <w:rFonts w:cs="Times New Roman"/>
          <w:szCs w:val="24"/>
        </w:rPr>
      </w:pPr>
      <w:r w:rsidRPr="005A6964">
        <w:rPr>
          <w:rFonts w:cs="Times New Roman"/>
          <w:szCs w:val="24"/>
        </w:rPr>
        <w:t>Another necessary condition that the PUCO identified must be satisfied in order for it to approve Rider RRS is a risk</w:t>
      </w:r>
      <w:r w:rsidR="001322F0" w:rsidRPr="005A6964">
        <w:rPr>
          <w:rFonts w:cs="Times New Roman"/>
          <w:szCs w:val="24"/>
        </w:rPr>
        <w:t>-</w:t>
      </w:r>
      <w:r w:rsidRPr="005A6964">
        <w:rPr>
          <w:rFonts w:cs="Times New Roman"/>
          <w:szCs w:val="24"/>
        </w:rPr>
        <w:t xml:space="preserve">sharing mechanism of the rider’s risk between FirstEnergy and its </w:t>
      </w:r>
      <w:r w:rsidR="001322F0" w:rsidRPr="005A6964">
        <w:rPr>
          <w:rFonts w:cs="Times New Roman"/>
          <w:szCs w:val="24"/>
        </w:rPr>
        <w:t>customers</w:t>
      </w:r>
      <w:r w:rsidRPr="005A6964">
        <w:rPr>
          <w:rFonts w:cs="Times New Roman"/>
          <w:szCs w:val="24"/>
        </w:rPr>
        <w:t>.</w:t>
      </w:r>
      <w:r w:rsidRPr="005A6964">
        <w:rPr>
          <w:rStyle w:val="FootnoteReference"/>
          <w:rFonts w:cs="Times New Roman"/>
          <w:szCs w:val="24"/>
        </w:rPr>
        <w:footnoteReference w:id="313"/>
      </w:r>
      <w:r w:rsidRPr="005A6964">
        <w:rPr>
          <w:rFonts w:cs="Times New Roman"/>
          <w:szCs w:val="24"/>
        </w:rPr>
        <w:t xml:space="preserve"> As FirstEnergy states, the Stipulation contemplates a risk-sharing mechanism that potentially provides up to $100 million in credits to customers for years five through eight of Rider RRS.</w:t>
      </w:r>
      <w:r w:rsidRPr="005A6964">
        <w:rPr>
          <w:rStyle w:val="FootnoteReference"/>
          <w:rFonts w:cs="Times New Roman"/>
          <w:szCs w:val="24"/>
        </w:rPr>
        <w:footnoteReference w:id="314"/>
      </w:r>
      <w:r w:rsidR="003820BF" w:rsidRPr="005A6964">
        <w:rPr>
          <w:rFonts w:cs="Times New Roman"/>
          <w:szCs w:val="24"/>
        </w:rPr>
        <w:t xml:space="preserve"> For example, through the risk sharing mechanism customers will receive a credit in Year 5 of $10 million in the </w:t>
      </w:r>
      <w:r w:rsidR="008161A6" w:rsidRPr="005A6964">
        <w:rPr>
          <w:rFonts w:cs="Times New Roman"/>
          <w:szCs w:val="24"/>
        </w:rPr>
        <w:t>aggregate</w:t>
      </w:r>
      <w:r w:rsidR="003820BF" w:rsidRPr="005A6964">
        <w:rPr>
          <w:rFonts w:cs="Times New Roman"/>
          <w:szCs w:val="24"/>
        </w:rPr>
        <w:t>.</w:t>
      </w:r>
      <w:r w:rsidR="003820BF" w:rsidRPr="005A6964">
        <w:rPr>
          <w:rStyle w:val="FootnoteReference"/>
          <w:rFonts w:cs="Times New Roman"/>
          <w:szCs w:val="24"/>
        </w:rPr>
        <w:footnoteReference w:id="315"/>
      </w:r>
      <w:r w:rsidR="003820BF" w:rsidRPr="005A6964">
        <w:rPr>
          <w:rFonts w:cs="Times New Roman"/>
          <w:szCs w:val="24"/>
        </w:rPr>
        <w:t xml:space="preserve"> If Rider RRS produces an aggregate credit of $6 million, FirstEnergy will contribute an additional $4 million to consumers.</w:t>
      </w:r>
      <w:r w:rsidR="003820BF" w:rsidRPr="005A6964">
        <w:rPr>
          <w:rStyle w:val="FootnoteReference"/>
          <w:rFonts w:cs="Times New Roman"/>
          <w:szCs w:val="24"/>
        </w:rPr>
        <w:footnoteReference w:id="316"/>
      </w:r>
      <w:r w:rsidR="003820BF" w:rsidRPr="005A6964">
        <w:rPr>
          <w:rFonts w:cs="Times New Roman"/>
          <w:szCs w:val="24"/>
        </w:rPr>
        <w:t xml:space="preserve"> If Rider RRS produces a credit of $15 million, FirstEnergy do</w:t>
      </w:r>
      <w:r w:rsidR="001322F0" w:rsidRPr="005A6964">
        <w:rPr>
          <w:rFonts w:cs="Times New Roman"/>
          <w:szCs w:val="24"/>
        </w:rPr>
        <w:t>es</w:t>
      </w:r>
      <w:r w:rsidR="003820BF" w:rsidRPr="005A6964">
        <w:rPr>
          <w:rFonts w:cs="Times New Roman"/>
          <w:szCs w:val="24"/>
        </w:rPr>
        <w:t xml:space="preserve"> not have an obligation to provide an additional credit to consumers.</w:t>
      </w:r>
      <w:r w:rsidR="003820BF" w:rsidRPr="005A6964">
        <w:rPr>
          <w:rStyle w:val="FootnoteReference"/>
          <w:rFonts w:cs="Times New Roman"/>
          <w:szCs w:val="24"/>
        </w:rPr>
        <w:footnoteReference w:id="317"/>
      </w:r>
      <w:r w:rsidR="003820BF" w:rsidRPr="005A6964">
        <w:rPr>
          <w:rFonts w:cs="Times New Roman"/>
          <w:szCs w:val="24"/>
        </w:rPr>
        <w:t xml:space="preserve"> Therefore, the benefit to customers is not guaranteed.</w:t>
      </w:r>
      <w:r w:rsidRPr="005A6964">
        <w:rPr>
          <w:rFonts w:cs="Times New Roman"/>
          <w:szCs w:val="24"/>
        </w:rPr>
        <w:t xml:space="preserve"> </w:t>
      </w:r>
      <w:r w:rsidR="003820BF" w:rsidRPr="005A6964">
        <w:rPr>
          <w:rFonts w:cs="Times New Roman"/>
          <w:szCs w:val="24"/>
        </w:rPr>
        <w:t>T</w:t>
      </w:r>
      <w:r w:rsidRPr="005A6964">
        <w:rPr>
          <w:rFonts w:cs="Times New Roman"/>
          <w:szCs w:val="24"/>
        </w:rPr>
        <w:t xml:space="preserve">his is not true </w:t>
      </w:r>
      <w:r w:rsidR="00F57D2C" w:rsidRPr="005A6964">
        <w:rPr>
          <w:rFonts w:cs="Times New Roman"/>
          <w:szCs w:val="24"/>
        </w:rPr>
        <w:t xml:space="preserve">risk </w:t>
      </w:r>
      <w:r w:rsidRPr="005A6964">
        <w:rPr>
          <w:rFonts w:cs="Times New Roman"/>
          <w:szCs w:val="24"/>
        </w:rPr>
        <w:t xml:space="preserve">sharing </w:t>
      </w:r>
      <w:r w:rsidR="00F57D2C" w:rsidRPr="005A6964">
        <w:rPr>
          <w:rFonts w:cs="Times New Roman"/>
          <w:szCs w:val="24"/>
        </w:rPr>
        <w:t>between FirstEnergy and its customers.</w:t>
      </w:r>
    </w:p>
    <w:p w:rsidR="007D6B2A" w:rsidRPr="005A6964" w:rsidRDefault="007D6B2A" w:rsidP="007D6B2A">
      <w:pPr>
        <w:spacing w:after="0" w:line="480" w:lineRule="auto"/>
        <w:ind w:firstLine="720"/>
        <w:rPr>
          <w:rFonts w:cs="Times New Roman"/>
          <w:szCs w:val="24"/>
        </w:rPr>
      </w:pPr>
      <w:r w:rsidRPr="005A6964">
        <w:rPr>
          <w:rFonts w:cs="Times New Roman"/>
          <w:szCs w:val="24"/>
        </w:rPr>
        <w:t>FirstEnergy’s risk is capped at $100 million while customers’ risk is not capped. OCC witness Wilson has projected that Rider RRS will cost Ohioans approximately $3.6 billion. FirstEnergy’s risk-sharing proposal would</w:t>
      </w:r>
      <w:r w:rsidR="003820BF" w:rsidRPr="005A6964">
        <w:rPr>
          <w:rFonts w:cs="Times New Roman"/>
          <w:szCs w:val="24"/>
        </w:rPr>
        <w:t xml:space="preserve"> only potentially</w:t>
      </w:r>
      <w:r w:rsidRPr="005A6964">
        <w:rPr>
          <w:rFonts w:cs="Times New Roman"/>
          <w:szCs w:val="24"/>
        </w:rPr>
        <w:t xml:space="preserve"> cover a paltry $100 million of this cost. That would leave $3.5 billion to be paid by customers. And while the final expenses could be even higher for customers, FirstEnergy’s risk will never exceed $100 million. This is not a just and reasonable deal for consumers. </w:t>
      </w:r>
    </w:p>
    <w:p w:rsidR="007D6B2A" w:rsidRPr="005A6964" w:rsidRDefault="007D6B2A" w:rsidP="007D6B2A">
      <w:pPr>
        <w:spacing w:after="0" w:line="480" w:lineRule="auto"/>
        <w:ind w:firstLine="720"/>
        <w:rPr>
          <w:rFonts w:cs="Times New Roman"/>
          <w:szCs w:val="24"/>
        </w:rPr>
      </w:pPr>
      <w:r w:rsidRPr="005A6964">
        <w:rPr>
          <w:rFonts w:cs="Times New Roman"/>
          <w:szCs w:val="24"/>
        </w:rPr>
        <w:t>As discussed by OCC witness Wilson, a reasonable risk-sharing proposal would modify Rider RRS so that it is cost-neutral for customers, at least in an ex ante, forecast expected value sense, and so that the actual net cost or benefit of the Plants would be shared between FirstEnergy and customers.</w:t>
      </w:r>
      <w:r w:rsidRPr="005A6964">
        <w:rPr>
          <w:rStyle w:val="FootnoteReference"/>
          <w:rFonts w:cs="Times New Roman"/>
          <w:szCs w:val="24"/>
        </w:rPr>
        <w:footnoteReference w:id="318"/>
      </w:r>
      <w:r w:rsidRPr="005A6964">
        <w:rPr>
          <w:rFonts w:cs="Times New Roman"/>
          <w:szCs w:val="24"/>
        </w:rPr>
        <w:t xml:space="preserve"> Such a sharing rule would provide customers some protection, and would also restore some of the incentives to FirstEnergy to maximize revenues and minimize costs that Rider RRS, as proposed, eliminates.</w:t>
      </w:r>
      <w:r w:rsidRPr="005A6964">
        <w:rPr>
          <w:rStyle w:val="FootnoteReference"/>
          <w:rFonts w:cs="Times New Roman"/>
          <w:szCs w:val="24"/>
        </w:rPr>
        <w:footnoteReference w:id="319"/>
      </w:r>
    </w:p>
    <w:p w:rsidR="00B30CAE" w:rsidRPr="005A6964" w:rsidRDefault="00B30CAE" w:rsidP="00B30CAE">
      <w:pPr>
        <w:pStyle w:val="Heading5"/>
      </w:pPr>
      <w:bookmarkStart w:id="47" w:name="_Toc444269033"/>
      <w:r w:rsidRPr="005A6964">
        <w:t>iv.</w:t>
      </w:r>
      <w:r w:rsidRPr="005A6964">
        <w:tab/>
        <w:t>The AEP ESP III Order factors are not adequately focused on utility customers and should require FirstEnergy to demonstrate compliance with additional factors for the benefit of consumers.</w:t>
      </w:r>
      <w:bookmarkEnd w:id="47"/>
    </w:p>
    <w:p w:rsidR="009931E6" w:rsidRPr="005A6964" w:rsidRDefault="009931E6" w:rsidP="008C4F4C">
      <w:pPr>
        <w:spacing w:line="480" w:lineRule="auto"/>
      </w:pPr>
      <w:r w:rsidRPr="005A6964">
        <w:tab/>
        <w:t>FirstEnergy asserts that it satisfies the factors established by the PUCO in the AEP ESP III Order.</w:t>
      </w:r>
      <w:r w:rsidRPr="005A6964">
        <w:rPr>
          <w:rStyle w:val="FootnoteReference"/>
        </w:rPr>
        <w:footnoteReference w:id="320"/>
      </w:r>
      <w:r w:rsidR="008C4F4C" w:rsidRPr="005A6964">
        <w:t xml:space="preserve"> Yet, as OCC/NOAC stated in its Initial Brief, the AEP ESP III Order factors are inadequate for consumer protection and should be expanded.</w:t>
      </w:r>
      <w:r w:rsidR="008C4F4C" w:rsidRPr="005A6964">
        <w:rPr>
          <w:rStyle w:val="FootnoteReference"/>
        </w:rPr>
        <w:footnoteReference w:id="321"/>
      </w:r>
      <w:r w:rsidR="008C4F4C" w:rsidRPr="005A6964">
        <w:t xml:space="preserve">  OCC/NOAC recommends that the PUCO additionally consider whether the PPAs and Rider RRS benefit customers.  With the balanced consideration of benefits of the Rider RRS to FirstEnergy and FES, as well as to consumer interests, the PUCO will be in a position to evaluate the </w:t>
      </w:r>
      <w:r w:rsidR="008C4F4C" w:rsidRPr="005A6964">
        <w:rPr>
          <w:i/>
        </w:rPr>
        <w:t xml:space="preserve">net </w:t>
      </w:r>
      <w:r w:rsidR="008C4F4C" w:rsidRPr="005A6964">
        <w:t>benefits of the PPA and Rider RRS and, thus, determine whether the Rider RRS is in the public interest.</w:t>
      </w:r>
      <w:r w:rsidR="008C4F4C" w:rsidRPr="005A6964">
        <w:rPr>
          <w:rStyle w:val="FootnoteReference"/>
        </w:rPr>
        <w:footnoteReference w:id="322"/>
      </w:r>
      <w:r w:rsidR="008C4F4C" w:rsidRPr="005A6964">
        <w:t xml:space="preserve"> The additional quantitative factors the PUCO should consider fall into two categories:  (1) the Rider RRS’s potential cost/detriment to consumers and (2) the cost of achieving the same benefits that the PPA and Rider RRS provide compared to alternatives that could provide greater benefits.</w:t>
      </w:r>
      <w:r w:rsidR="008C4F4C" w:rsidRPr="005A6964">
        <w:rPr>
          <w:rStyle w:val="FootnoteReference"/>
        </w:rPr>
        <w:footnoteReference w:id="323"/>
      </w:r>
      <w:r w:rsidR="008C4F4C" w:rsidRPr="005A6964">
        <w:t xml:space="preserve">  Indeed, failure to consider these additional factors could result in unreasonable rates and violations of state policy.</w:t>
      </w:r>
      <w:r w:rsidR="008C4F4C" w:rsidRPr="005A6964">
        <w:rPr>
          <w:rStyle w:val="FootnoteReference"/>
        </w:rPr>
        <w:footnoteReference w:id="324"/>
      </w:r>
    </w:p>
    <w:p w:rsidR="000E3396" w:rsidRPr="005A6964" w:rsidRDefault="000E3396" w:rsidP="000E3396">
      <w:pPr>
        <w:pStyle w:val="Heading3"/>
        <w:rPr>
          <w:b w:val="0"/>
          <w:bCs w:val="0"/>
        </w:rPr>
      </w:pPr>
      <w:bookmarkStart w:id="48" w:name="_Toc444269034"/>
      <w:r w:rsidRPr="005A6964">
        <w:t>4.</w:t>
      </w:r>
      <w:r w:rsidRPr="005A6964">
        <w:tab/>
        <w:t>The individual provisions of the electric security plan, as modified by the stipulations, standing on their own, are not reasonable  and do not benefit customers.</w:t>
      </w:r>
      <w:bookmarkEnd w:id="48"/>
      <w:r w:rsidRPr="005A6964">
        <w:t xml:space="preserve"> </w:t>
      </w:r>
    </w:p>
    <w:p w:rsidR="001322F0" w:rsidRPr="005A6964" w:rsidRDefault="000E3396" w:rsidP="000E3396">
      <w:pPr>
        <w:spacing w:after="0" w:line="480" w:lineRule="auto"/>
        <w:ind w:firstLine="720"/>
        <w:rPr>
          <w:rFonts w:cs="Times New Roman"/>
          <w:szCs w:val="24"/>
        </w:rPr>
      </w:pPr>
      <w:r w:rsidRPr="005A6964">
        <w:rPr>
          <w:rFonts w:cs="Times New Roman"/>
          <w:szCs w:val="24"/>
        </w:rPr>
        <w:t xml:space="preserve">The practice of shopping for signatures </w:t>
      </w:r>
      <w:r w:rsidR="001322F0" w:rsidRPr="005A6964">
        <w:rPr>
          <w:rFonts w:cs="Times New Roman"/>
          <w:szCs w:val="24"/>
        </w:rPr>
        <w:t>should not be countenanced by the PUCO</w:t>
      </w:r>
      <w:r w:rsidRPr="005A6964">
        <w:rPr>
          <w:rFonts w:cs="Times New Roman"/>
          <w:szCs w:val="24"/>
        </w:rPr>
        <w:t xml:space="preserve">.  It is </w:t>
      </w:r>
      <w:r w:rsidR="001322F0" w:rsidRPr="005A6964">
        <w:rPr>
          <w:rFonts w:cs="Times New Roman"/>
          <w:szCs w:val="24"/>
        </w:rPr>
        <w:t xml:space="preserve">all the worse where utilities, such as here, fund their financial inducements for signatures with </w:t>
      </w:r>
      <w:r w:rsidRPr="005A6964">
        <w:rPr>
          <w:rFonts w:cs="Times New Roman"/>
          <w:szCs w:val="24"/>
        </w:rPr>
        <w:t>other</w:t>
      </w:r>
      <w:r w:rsidR="001322F0" w:rsidRPr="005A6964">
        <w:rPr>
          <w:rFonts w:cs="Times New Roman"/>
          <w:szCs w:val="24"/>
        </w:rPr>
        <w:t xml:space="preserve"> people’s money.</w:t>
      </w:r>
      <w:r w:rsidRPr="005A6964">
        <w:rPr>
          <w:rFonts w:cs="Times New Roman"/>
          <w:szCs w:val="24"/>
        </w:rPr>
        <w:t xml:space="preserve"> </w:t>
      </w:r>
    </w:p>
    <w:p w:rsidR="000E3396" w:rsidRPr="005A6964" w:rsidRDefault="000E3396" w:rsidP="000E3396">
      <w:pPr>
        <w:spacing w:after="0" w:line="480" w:lineRule="auto"/>
        <w:ind w:firstLine="720"/>
        <w:rPr>
          <w:rFonts w:cs="Times New Roman"/>
          <w:szCs w:val="24"/>
        </w:rPr>
      </w:pPr>
      <w:r w:rsidRPr="005A6964">
        <w:rPr>
          <w:rFonts w:cs="Times New Roman"/>
          <w:szCs w:val="24"/>
        </w:rPr>
        <w:t>This practice also contributes to the failure of these inducements to have a nexus to the utility’s core issue before the PUCO.  These onerous terms are harmful to FirstEnergy’s customers who would be asked to pay Rider RRS plus all the inducements to the other signatory parties. For that reason, the PUCO should not consider the Stipulation as a package</w:t>
      </w:r>
      <w:r w:rsidR="009B0B4B" w:rsidRPr="005A6964">
        <w:rPr>
          <w:rFonts w:cs="Times New Roman"/>
          <w:szCs w:val="24"/>
        </w:rPr>
        <w:t xml:space="preserve"> under the second and third prongs</w:t>
      </w:r>
      <w:r w:rsidRPr="005A6964">
        <w:rPr>
          <w:rFonts w:cs="Times New Roman"/>
          <w:szCs w:val="24"/>
        </w:rPr>
        <w:t xml:space="preserve">. </w:t>
      </w:r>
    </w:p>
    <w:p w:rsidR="000E3396" w:rsidRPr="005A6964" w:rsidRDefault="000E3396" w:rsidP="000E3396">
      <w:pPr>
        <w:spacing w:after="0" w:line="480" w:lineRule="auto"/>
        <w:ind w:firstLine="720"/>
        <w:rPr>
          <w:rFonts w:cs="Times New Roman"/>
          <w:szCs w:val="24"/>
        </w:rPr>
      </w:pPr>
      <w:r w:rsidRPr="005A6964">
        <w:rPr>
          <w:rFonts w:cs="Times New Roman"/>
          <w:szCs w:val="24"/>
        </w:rPr>
        <w:t>Because the signatures on the settlement were obtained through financial inducements, and financed with other people’s money--being Ohioans’ hard-earned money</w:t>
      </w:r>
      <w:r w:rsidR="00B52D9B" w:rsidRPr="005A6964">
        <w:rPr>
          <w:rFonts w:cs="Times New Roman"/>
          <w:szCs w:val="24"/>
        </w:rPr>
        <w:t xml:space="preserve"> the PUCO should n</w:t>
      </w:r>
      <w:r w:rsidR="006D364E" w:rsidRPr="005A6964">
        <w:rPr>
          <w:rFonts w:cs="Times New Roman"/>
          <w:szCs w:val="24"/>
        </w:rPr>
        <w:t>ot</w:t>
      </w:r>
      <w:r w:rsidR="00B52D9B" w:rsidRPr="005A6964">
        <w:rPr>
          <w:rFonts w:cs="Times New Roman"/>
          <w:szCs w:val="24"/>
        </w:rPr>
        <w:t xml:space="preserve"> accept at face value </w:t>
      </w:r>
      <w:r w:rsidR="006D364E" w:rsidRPr="005A6964">
        <w:rPr>
          <w:rFonts w:cs="Times New Roman"/>
          <w:szCs w:val="24"/>
        </w:rPr>
        <w:t xml:space="preserve">that </w:t>
      </w:r>
      <w:r w:rsidR="00B52D9B" w:rsidRPr="005A6964">
        <w:rPr>
          <w:rFonts w:cs="Times New Roman"/>
          <w:szCs w:val="24"/>
        </w:rPr>
        <w:t>the first prong of the PUCO’s settlement standard has been met.</w:t>
      </w:r>
      <w:r w:rsidRPr="005A6964">
        <w:rPr>
          <w:rFonts w:cs="Times New Roman"/>
          <w:szCs w:val="24"/>
        </w:rPr>
        <w:t xml:space="preserve"> The settlement was not negotiated in a give-and-take exchange yielding the best result (for consumers) at the settlement’s conclusion. The Stipulation should not be evaluated under the three-prong test.  At </w:t>
      </w:r>
      <w:r w:rsidR="00FB1BF4" w:rsidRPr="005A6964">
        <w:rPr>
          <w:rFonts w:cs="Times New Roman"/>
          <w:szCs w:val="24"/>
        </w:rPr>
        <w:t>a minimum</w:t>
      </w:r>
      <w:r w:rsidRPr="005A6964">
        <w:rPr>
          <w:rFonts w:cs="Times New Roman"/>
          <w:szCs w:val="24"/>
        </w:rPr>
        <w:t>, it should not be viewed as a package.</w:t>
      </w:r>
    </w:p>
    <w:p w:rsidR="000E3396" w:rsidRPr="005A6964" w:rsidRDefault="000E3396" w:rsidP="000E3396">
      <w:pPr>
        <w:spacing w:after="0" w:line="480" w:lineRule="auto"/>
        <w:ind w:firstLine="720"/>
        <w:rPr>
          <w:rFonts w:cs="Times New Roman"/>
          <w:bCs/>
          <w:szCs w:val="24"/>
        </w:rPr>
      </w:pPr>
      <w:r w:rsidRPr="005A6964">
        <w:rPr>
          <w:rFonts w:cs="Times New Roman"/>
          <w:bCs/>
          <w:szCs w:val="24"/>
        </w:rPr>
        <w:t>Furthermore, because the inducements to sign the Stipulation bear no relationship to the core of FirstEnergy’s Application, Rider RRS, the Stipulation should not be viewed as a package with regards to the PUCO’s second and third prongs of the test.</w:t>
      </w:r>
      <w:r w:rsidRPr="005A6964">
        <w:rPr>
          <w:rStyle w:val="FootnoteReference"/>
          <w:rFonts w:cs="Times New Roman"/>
          <w:bCs/>
          <w:szCs w:val="24"/>
        </w:rPr>
        <w:footnoteReference w:id="325"/>
      </w:r>
      <w:r w:rsidRPr="005A6964">
        <w:rPr>
          <w:rFonts w:cs="Times New Roman"/>
          <w:bCs/>
          <w:szCs w:val="24"/>
        </w:rPr>
        <w:t xml:space="preserve"> Finally, it was argued that these unrelated terms that induced others to sign the Stipulation should be evaluate</w:t>
      </w:r>
      <w:r w:rsidR="0067716D" w:rsidRPr="005A6964">
        <w:rPr>
          <w:rFonts w:cs="Times New Roman"/>
          <w:bCs/>
          <w:szCs w:val="24"/>
        </w:rPr>
        <w:t>d</w:t>
      </w:r>
      <w:r w:rsidRPr="005A6964">
        <w:rPr>
          <w:rFonts w:cs="Times New Roman"/>
          <w:bCs/>
          <w:szCs w:val="24"/>
        </w:rPr>
        <w:t xml:space="preserve"> on their own merits, and not under the three-prong test for this Stipulation.</w:t>
      </w:r>
      <w:r w:rsidRPr="005A6964">
        <w:rPr>
          <w:rStyle w:val="FootnoteReference"/>
          <w:rFonts w:cs="Times New Roman"/>
          <w:bCs/>
          <w:szCs w:val="24"/>
        </w:rPr>
        <w:footnoteReference w:id="326"/>
      </w:r>
      <w:r w:rsidRPr="005A6964">
        <w:rPr>
          <w:rFonts w:cs="Times New Roman"/>
          <w:bCs/>
          <w:szCs w:val="24"/>
        </w:rPr>
        <w:tab/>
      </w:r>
    </w:p>
    <w:p w:rsidR="000E3396" w:rsidRPr="005A6964" w:rsidRDefault="000E3396" w:rsidP="000E3396">
      <w:pPr>
        <w:spacing w:after="0" w:line="480" w:lineRule="auto"/>
        <w:ind w:firstLine="720"/>
        <w:rPr>
          <w:rFonts w:cs="Times New Roman"/>
          <w:bCs/>
          <w:szCs w:val="24"/>
        </w:rPr>
      </w:pPr>
      <w:r w:rsidRPr="005A6964">
        <w:rPr>
          <w:rFonts w:cs="Times New Roman"/>
          <w:bCs/>
          <w:szCs w:val="24"/>
        </w:rPr>
        <w:t>Not surprising, the signatories who filed a brief found the three-prong test to be a comfortable and familiar path for them to follow in order to argue for the Stipulation’s approval to the PUCO.</w:t>
      </w:r>
      <w:r w:rsidRPr="005A6964">
        <w:rPr>
          <w:rStyle w:val="FootnoteReference"/>
          <w:rFonts w:cs="Times New Roman"/>
          <w:bCs/>
          <w:szCs w:val="24"/>
        </w:rPr>
        <w:footnoteReference w:id="327"/>
      </w:r>
      <w:r w:rsidRPr="005A6964">
        <w:rPr>
          <w:rFonts w:cs="Times New Roman"/>
          <w:bCs/>
          <w:szCs w:val="24"/>
        </w:rPr>
        <w:t xml:space="preserve">  However, PUCO precedent has cautioned that such settlements where signatory parties receive cash and cash equivalents will not be looked upon favorably.</w:t>
      </w:r>
      <w:r w:rsidRPr="005A6964">
        <w:rPr>
          <w:rStyle w:val="FootnoteReference"/>
          <w:rFonts w:cs="Times New Roman"/>
          <w:bCs/>
          <w:szCs w:val="24"/>
        </w:rPr>
        <w:footnoteReference w:id="328"/>
      </w:r>
      <w:r w:rsidRPr="005A6964">
        <w:rPr>
          <w:rFonts w:cs="Times New Roman"/>
          <w:bCs/>
          <w:szCs w:val="24"/>
        </w:rPr>
        <w:t xml:space="preserve"> The PUCO should follow its guidance in this regard, and not view the Stipulation in this case as a package.  </w:t>
      </w:r>
      <w:r w:rsidR="005E32A7" w:rsidRPr="005A6964">
        <w:rPr>
          <w:rFonts w:cs="Times New Roman"/>
          <w:bCs/>
          <w:szCs w:val="24"/>
        </w:rPr>
        <w:t xml:space="preserve">Because there are provisions that are </w:t>
      </w:r>
      <w:r w:rsidRPr="005A6964">
        <w:rPr>
          <w:rFonts w:cs="Times New Roman"/>
          <w:szCs w:val="24"/>
        </w:rPr>
        <w:t xml:space="preserve">unrelated to the core issue in this case (the PPA and Rider RRS), </w:t>
      </w:r>
      <w:r w:rsidR="005E32A7" w:rsidRPr="005A6964">
        <w:rPr>
          <w:rFonts w:cs="Times New Roman"/>
          <w:szCs w:val="24"/>
        </w:rPr>
        <w:t>and</w:t>
      </w:r>
      <w:r w:rsidRPr="005A6964">
        <w:rPr>
          <w:rFonts w:cs="Times New Roman"/>
          <w:szCs w:val="24"/>
        </w:rPr>
        <w:t xml:space="preserve"> also because </w:t>
      </w:r>
      <w:r w:rsidR="005E32A7" w:rsidRPr="005A6964">
        <w:rPr>
          <w:rFonts w:cs="Times New Roman"/>
          <w:szCs w:val="24"/>
        </w:rPr>
        <w:t xml:space="preserve">for many of </w:t>
      </w:r>
      <w:r w:rsidRPr="005A6964">
        <w:rPr>
          <w:rFonts w:cs="Times New Roman"/>
          <w:szCs w:val="24"/>
        </w:rPr>
        <w:t>the specific giveaways customers (not the Utilities or their shareholders) would be paying for the agreed upon subsidies. “</w:t>
      </w:r>
      <w:r w:rsidRPr="005A6964">
        <w:rPr>
          <w:rFonts w:cs="Times New Roman"/>
          <w:bCs/>
          <w:iCs/>
          <w:szCs w:val="24"/>
        </w:rPr>
        <w:t>This approach is not an appropriate way to conduct ratemaking and public policymaking.”</w:t>
      </w:r>
      <w:r w:rsidRPr="005A6964">
        <w:rPr>
          <w:rStyle w:val="FootnoteReference"/>
          <w:rFonts w:cs="Times New Roman"/>
          <w:bCs/>
          <w:iCs/>
          <w:szCs w:val="24"/>
        </w:rPr>
        <w:footnoteReference w:id="329"/>
      </w:r>
    </w:p>
    <w:p w:rsidR="000E3396" w:rsidRPr="005A6964" w:rsidRDefault="000E3396" w:rsidP="000E3396">
      <w:pPr>
        <w:pStyle w:val="Heading4"/>
      </w:pPr>
      <w:bookmarkStart w:id="49" w:name="_Toc444269035"/>
      <w:r w:rsidRPr="005A6964">
        <w:t>a.</w:t>
      </w:r>
      <w:r w:rsidRPr="005A6964">
        <w:tab/>
        <w:t>PUCO should not use its three-prong test for reviewing settlements to decide this case; but at a minimum the PUCO should not consider the settlement as a “package” under the three-prong settlement test.</w:t>
      </w:r>
      <w:bookmarkEnd w:id="49"/>
    </w:p>
    <w:p w:rsidR="000E3396" w:rsidRPr="005A6964" w:rsidRDefault="000E3396" w:rsidP="000E3396">
      <w:pPr>
        <w:spacing w:after="0" w:line="480" w:lineRule="auto"/>
        <w:ind w:firstLine="720"/>
        <w:rPr>
          <w:rFonts w:cs="Times New Roman"/>
          <w:szCs w:val="24"/>
        </w:rPr>
      </w:pPr>
      <w:r w:rsidRPr="005A6964">
        <w:rPr>
          <w:rFonts w:cs="Times New Roman"/>
          <w:szCs w:val="24"/>
        </w:rPr>
        <w:t>The settlement is a hodgepodge of unrelated terms that should disqualify it from being considered as a “package” under the second and third prongs of the PUCO’s settlement test.</w:t>
      </w:r>
      <w:r w:rsidRPr="005A6964">
        <w:rPr>
          <w:rStyle w:val="FootnoteReference"/>
          <w:rFonts w:cs="Times New Roman"/>
          <w:szCs w:val="24"/>
        </w:rPr>
        <w:footnoteReference w:id="330"/>
      </w:r>
      <w:r w:rsidRPr="005A6964">
        <w:rPr>
          <w:rFonts w:cs="Times New Roman"/>
          <w:szCs w:val="24"/>
        </w:rPr>
        <w:t xml:space="preserve">  For treatment as a package, a settlement should have terms that, in the context of an application, have a sufficient nexus between each other and can be lawfully and reasonably considered in the case as filed.</w:t>
      </w:r>
      <w:r w:rsidRPr="005A6964">
        <w:rPr>
          <w:rStyle w:val="FootnoteReference"/>
          <w:rFonts w:cs="Times New Roman"/>
          <w:szCs w:val="24"/>
        </w:rPr>
        <w:footnoteReference w:id="331"/>
      </w:r>
      <w:r w:rsidRPr="005A6964">
        <w:rPr>
          <w:rFonts w:cs="Times New Roman"/>
          <w:szCs w:val="24"/>
        </w:rPr>
        <w:t xml:space="preserve"> </w:t>
      </w:r>
      <w:r w:rsidR="005E32A7" w:rsidRPr="005A6964">
        <w:rPr>
          <w:rFonts w:cs="Times New Roman"/>
          <w:szCs w:val="24"/>
        </w:rPr>
        <w:t>Stipulation t</w:t>
      </w:r>
      <w:r w:rsidRPr="005A6964">
        <w:rPr>
          <w:rFonts w:cs="Times New Roman"/>
          <w:szCs w:val="24"/>
        </w:rPr>
        <w:t xml:space="preserve">erms </w:t>
      </w:r>
      <w:r w:rsidR="005E32A7" w:rsidRPr="005A6964">
        <w:rPr>
          <w:rFonts w:cs="Times New Roman"/>
          <w:szCs w:val="24"/>
        </w:rPr>
        <w:t xml:space="preserve">pertaining to implementing federal advocacy and a transition to SFV rate design have no connection </w:t>
      </w:r>
      <w:r w:rsidR="006D364E" w:rsidRPr="005A6964">
        <w:rPr>
          <w:rFonts w:cs="Times New Roman"/>
          <w:szCs w:val="24"/>
        </w:rPr>
        <w:t>to</w:t>
      </w:r>
      <w:r w:rsidR="005E32A7" w:rsidRPr="005A6964">
        <w:rPr>
          <w:rFonts w:cs="Times New Roman"/>
          <w:szCs w:val="24"/>
        </w:rPr>
        <w:t xml:space="preserve"> the PPA or Rider RRS.  Terms </w:t>
      </w:r>
      <w:r w:rsidRPr="005A6964">
        <w:rPr>
          <w:rFonts w:cs="Times New Roman"/>
          <w:szCs w:val="24"/>
        </w:rPr>
        <w:t xml:space="preserve">that are merely inducements to join the settlement </w:t>
      </w:r>
      <w:r w:rsidR="005E32A7" w:rsidRPr="005A6964">
        <w:rPr>
          <w:rFonts w:cs="Times New Roman"/>
          <w:szCs w:val="24"/>
        </w:rPr>
        <w:t xml:space="preserve">and the IGS side deal </w:t>
      </w:r>
      <w:r w:rsidRPr="005A6964">
        <w:rPr>
          <w:rFonts w:cs="Times New Roman"/>
          <w:szCs w:val="24"/>
        </w:rPr>
        <w:t xml:space="preserve">lack a reasonable nexus to the subject of the case, the PPA and Rider RRS, and are therefore not a package.  In a case allegedly about “hedging” electric generation costs, there is no nexus to the various terms and issues that have shown up for the first time at case-end in a settlement--other than the terms induced others to sign.  </w:t>
      </w:r>
    </w:p>
    <w:p w:rsidR="005E3DCC" w:rsidRPr="005A6964" w:rsidRDefault="008C0E4F" w:rsidP="005D74C9">
      <w:pPr>
        <w:spacing w:after="0" w:line="480" w:lineRule="auto"/>
        <w:ind w:firstLine="720"/>
        <w:rPr>
          <w:rFonts w:cs="Times New Roman"/>
          <w:szCs w:val="24"/>
        </w:rPr>
      </w:pPr>
      <w:r w:rsidRPr="005A6964">
        <w:rPr>
          <w:rFonts w:cs="Times New Roman"/>
          <w:szCs w:val="24"/>
        </w:rPr>
        <w:t xml:space="preserve">OCC’s/NOAC’s position was shared by </w:t>
      </w:r>
      <w:r w:rsidR="005E3DCC" w:rsidRPr="005A6964">
        <w:rPr>
          <w:rFonts w:cs="Times New Roman"/>
          <w:szCs w:val="24"/>
        </w:rPr>
        <w:t xml:space="preserve">ELPC witness Rabago </w:t>
      </w:r>
      <w:r w:rsidRPr="005A6964">
        <w:rPr>
          <w:rFonts w:cs="Times New Roman"/>
          <w:szCs w:val="24"/>
        </w:rPr>
        <w:t xml:space="preserve">who </w:t>
      </w:r>
      <w:r w:rsidR="005E3DCC" w:rsidRPr="005A6964">
        <w:rPr>
          <w:rFonts w:cs="Times New Roman"/>
          <w:szCs w:val="24"/>
        </w:rPr>
        <w:t>recommended that the PUCO give no weight to the settlement terms that supplement or expand the Utilities’ Application because so many of those terms have no direct relationship to FirstEnergy’s proposal.</w:t>
      </w:r>
      <w:r w:rsidR="005E3DCC" w:rsidRPr="005A6964">
        <w:rPr>
          <w:rStyle w:val="FootnoteReference"/>
          <w:rFonts w:cs="Times New Roman"/>
          <w:szCs w:val="24"/>
        </w:rPr>
        <w:footnoteReference w:id="332"/>
      </w:r>
      <w:r w:rsidR="005D74C9" w:rsidRPr="005A6964">
        <w:rPr>
          <w:rFonts w:cs="Times New Roman"/>
          <w:szCs w:val="24"/>
        </w:rPr>
        <w:t xml:space="preserve"> </w:t>
      </w:r>
      <w:r w:rsidRPr="005A6964">
        <w:rPr>
          <w:rFonts w:cs="Times New Roman"/>
          <w:szCs w:val="24"/>
        </w:rPr>
        <w:t xml:space="preserve">Furthermore, </w:t>
      </w:r>
      <w:r w:rsidR="005D74C9" w:rsidRPr="005A6964">
        <w:rPr>
          <w:rFonts w:cs="Times New Roman"/>
          <w:szCs w:val="24"/>
        </w:rPr>
        <w:t>RESA witness Kalt said that if the PUCO would give the stipulation deference as a “package” it would allow for terms that are unreasonable or even outrageous for consumers to be accepted, in the name of considering the package without items having to individually withstand PUCO scrutiny.</w:t>
      </w:r>
      <w:r w:rsidR="005D74C9" w:rsidRPr="005A6964">
        <w:rPr>
          <w:rStyle w:val="FootnoteReference"/>
          <w:rFonts w:cs="Times New Roman"/>
          <w:szCs w:val="24"/>
        </w:rPr>
        <w:footnoteReference w:id="333"/>
      </w:r>
      <w:r w:rsidR="005D74C9" w:rsidRPr="005A6964">
        <w:rPr>
          <w:rFonts w:cs="Times New Roman"/>
          <w:szCs w:val="24"/>
        </w:rPr>
        <w:t xml:space="preserve">  It should not be done.  As RESA witness Kalt further recommends, each provision should be taken head on and reviewed on its own merits. </w:t>
      </w:r>
      <w:r w:rsidR="005D74C9" w:rsidRPr="005A6964">
        <w:rPr>
          <w:rStyle w:val="FootnoteReference"/>
          <w:rFonts w:cs="Times New Roman"/>
          <w:szCs w:val="24"/>
        </w:rPr>
        <w:footnoteReference w:id="334"/>
      </w:r>
      <w:r w:rsidR="005D74C9" w:rsidRPr="005A6964">
        <w:rPr>
          <w:rFonts w:cs="Times New Roman"/>
          <w:szCs w:val="24"/>
        </w:rPr>
        <w:t xml:space="preserve">  </w:t>
      </w:r>
    </w:p>
    <w:p w:rsidR="000E3396" w:rsidRPr="005A6964" w:rsidRDefault="000E3396" w:rsidP="000E3396">
      <w:pPr>
        <w:spacing w:after="0" w:line="480" w:lineRule="auto"/>
        <w:ind w:firstLine="720"/>
        <w:rPr>
          <w:rFonts w:cs="Times New Roman"/>
          <w:szCs w:val="24"/>
        </w:rPr>
      </w:pPr>
      <w:r w:rsidRPr="005A6964">
        <w:rPr>
          <w:rFonts w:cs="Times New Roman"/>
          <w:szCs w:val="24"/>
        </w:rPr>
        <w:t>The terms in the Third Supplemental Stipulation are specifically tailored to the individual parties to be induced to sign (generally at the expense of other customers)</w:t>
      </w:r>
      <w:r w:rsidR="008D1BBE" w:rsidRPr="005A6964">
        <w:rPr>
          <w:rFonts w:cs="Times New Roman"/>
          <w:szCs w:val="24"/>
        </w:rPr>
        <w:t xml:space="preserve">.  This </w:t>
      </w:r>
      <w:r w:rsidRPr="005A6964">
        <w:rPr>
          <w:rFonts w:cs="Times New Roman"/>
          <w:szCs w:val="24"/>
        </w:rPr>
        <w:t>should not be confused with benefits to customers generally or the public interest.  This section of the brief does not address the merits (or lack thereof) of these various unrelated provisions, but rather addresses why they do not belong as part of a settlement package for the PUCO to review in its deliberations of this proceeding.</w:t>
      </w:r>
    </w:p>
    <w:p w:rsidR="000E3396" w:rsidRPr="005A6964" w:rsidRDefault="000E3396" w:rsidP="00B30CAE">
      <w:pPr>
        <w:pStyle w:val="Heading5"/>
        <w:numPr>
          <w:ilvl w:val="0"/>
          <w:numId w:val="15"/>
        </w:numPr>
      </w:pPr>
      <w:bookmarkStart w:id="50" w:name="_Toc444269036"/>
      <w:r w:rsidRPr="005A6964">
        <w:t>The</w:t>
      </w:r>
      <w:r w:rsidR="006225B9" w:rsidRPr="005A6964">
        <w:t xml:space="preserve"> Stipulation’s</w:t>
      </w:r>
      <w:r w:rsidRPr="005A6964">
        <w:t xml:space="preserve"> federal advocacy provision</w:t>
      </w:r>
      <w:r w:rsidR="006225B9" w:rsidRPr="005A6964">
        <w:t xml:space="preserve"> </w:t>
      </w:r>
      <w:r w:rsidRPr="005A6964">
        <w:t>holds no nexus to Rider RRS.</w:t>
      </w:r>
      <w:bookmarkEnd w:id="50"/>
    </w:p>
    <w:p w:rsidR="00A948E8" w:rsidRPr="005A6964" w:rsidRDefault="000E3396" w:rsidP="001D6009">
      <w:pPr>
        <w:autoSpaceDE w:val="0"/>
        <w:autoSpaceDN w:val="0"/>
        <w:adjustRightInd w:val="0"/>
        <w:spacing w:after="0" w:line="480" w:lineRule="auto"/>
        <w:ind w:firstLine="720"/>
        <w:rPr>
          <w:rFonts w:cs="Times New Roman"/>
          <w:szCs w:val="24"/>
        </w:rPr>
      </w:pPr>
      <w:r w:rsidRPr="005A6964">
        <w:rPr>
          <w:rFonts w:cs="Times New Roman"/>
          <w:bCs/>
          <w:szCs w:val="24"/>
        </w:rPr>
        <w:t>The Third Supplemental Stipulation includes a provision that “</w:t>
      </w:r>
      <w:r w:rsidRPr="005A6964">
        <w:rPr>
          <w:rFonts w:cs="Times New Roman"/>
          <w:szCs w:val="24"/>
        </w:rPr>
        <w:t xml:space="preserve">requires the Companies to engage in advocacy at the federal level to promote market enhancements </w:t>
      </w:r>
    </w:p>
    <w:p w:rsidR="000E3396" w:rsidRPr="005A6964" w:rsidRDefault="000E3396" w:rsidP="005D74C9">
      <w:pPr>
        <w:autoSpaceDE w:val="0"/>
        <w:autoSpaceDN w:val="0"/>
        <w:adjustRightInd w:val="0"/>
        <w:spacing w:after="0" w:line="480" w:lineRule="auto"/>
        <w:rPr>
          <w:rFonts w:cs="Times New Roman"/>
          <w:szCs w:val="24"/>
        </w:rPr>
      </w:pPr>
      <w:r w:rsidRPr="005A6964">
        <w:rPr>
          <w:szCs w:val="24"/>
        </w:rPr>
        <w:t>such as a longer term capacity product or similar market improvements.</w:t>
      </w:r>
      <w:r w:rsidRPr="005A6964">
        <w:rPr>
          <w:rStyle w:val="FootnoteReference"/>
          <w:szCs w:val="24"/>
        </w:rPr>
        <w:footnoteReference w:id="335"/>
      </w:r>
      <w:r w:rsidRPr="005A6964">
        <w:rPr>
          <w:szCs w:val="24"/>
        </w:rPr>
        <w:t xml:space="preserve"> Under the Third Supplemental Stipulation, prior to making any filings related to such advocacy, the Companies will inform Staff of their intentions.  In addition, during the eight year term of Stipulated ESP IV, the Companies will provide the Commission with a public, quarterly update regarding the Companies’ take on the state of wholesale electricity markets.</w:t>
      </w:r>
      <w:r w:rsidRPr="005A6964">
        <w:rPr>
          <w:rStyle w:val="FootnoteReference"/>
          <w:szCs w:val="24"/>
        </w:rPr>
        <w:footnoteReference w:id="336"/>
      </w:r>
      <w:r w:rsidRPr="005A6964">
        <w:rPr>
          <w:szCs w:val="24"/>
        </w:rPr>
        <w:t xml:space="preserve">  FirstEnergy’s Initial Brief </w:t>
      </w:r>
      <w:r w:rsidR="008D1BBE" w:rsidRPr="005A6964">
        <w:rPr>
          <w:szCs w:val="24"/>
        </w:rPr>
        <w:t>does not discuss</w:t>
      </w:r>
      <w:r w:rsidRPr="005A6964">
        <w:rPr>
          <w:szCs w:val="24"/>
        </w:rPr>
        <w:t xml:space="preserve"> or elaborat</w:t>
      </w:r>
      <w:r w:rsidR="008D1BBE" w:rsidRPr="005A6964">
        <w:rPr>
          <w:szCs w:val="24"/>
        </w:rPr>
        <w:t xml:space="preserve">e </w:t>
      </w:r>
      <w:r w:rsidRPr="005A6964">
        <w:rPr>
          <w:szCs w:val="24"/>
        </w:rPr>
        <w:t xml:space="preserve"> as to how this provision benefits customers or the public interest.  There is no discussion as to how this provision relates to the core issue in this case – the PPA or Rider RRS.  In fact the quarterly updates FirstEnergy provides to the PUCO, is “from the [Utilities’] perspective,”</w:t>
      </w:r>
      <w:r w:rsidRPr="005A6964">
        <w:rPr>
          <w:rStyle w:val="FootnoteReference"/>
          <w:szCs w:val="24"/>
        </w:rPr>
        <w:footnoteReference w:id="337"/>
      </w:r>
      <w:r w:rsidRPr="005A6964">
        <w:rPr>
          <w:szCs w:val="24"/>
        </w:rPr>
        <w:t xml:space="preserve"> not the customers’ perspective.  Therefore, this provision should not be included as part of the package being evaluated by the PUCO in this case.</w:t>
      </w:r>
      <w:r w:rsidRPr="005A6964">
        <w:rPr>
          <w:rFonts w:cs="Times New Roman"/>
          <w:szCs w:val="24"/>
        </w:rPr>
        <w:tab/>
      </w:r>
    </w:p>
    <w:p w:rsidR="000E3396" w:rsidRPr="005A6964" w:rsidRDefault="006225B9" w:rsidP="00B30CAE">
      <w:pPr>
        <w:pStyle w:val="Heading5"/>
        <w:numPr>
          <w:ilvl w:val="0"/>
          <w:numId w:val="15"/>
        </w:numPr>
      </w:pPr>
      <w:bookmarkStart w:id="51" w:name="_Toc444269037"/>
      <w:r w:rsidRPr="005A6964">
        <w:t xml:space="preserve">Imposing upon consumers the </w:t>
      </w:r>
      <w:r w:rsidR="000E3396" w:rsidRPr="005A6964">
        <w:t>transition to a straight fixed variable rate design is not appropriate for inclusion in the package of this Stipulation.</w:t>
      </w:r>
      <w:bookmarkEnd w:id="51"/>
    </w:p>
    <w:p w:rsidR="000E3396" w:rsidRPr="005A6964" w:rsidRDefault="000E3396" w:rsidP="000E3396">
      <w:pPr>
        <w:autoSpaceDE w:val="0"/>
        <w:autoSpaceDN w:val="0"/>
        <w:adjustRightInd w:val="0"/>
        <w:spacing w:after="0" w:line="480" w:lineRule="auto"/>
        <w:ind w:firstLine="720"/>
        <w:rPr>
          <w:rFonts w:cs="Times New Roman"/>
          <w:szCs w:val="24"/>
        </w:rPr>
      </w:pPr>
      <w:r w:rsidRPr="005A6964">
        <w:rPr>
          <w:rFonts w:cs="Times New Roman"/>
          <w:szCs w:val="24"/>
        </w:rPr>
        <w:t xml:space="preserve">FirstEnergy argues that Stipulated ESP IV provides for the Companies to file a case before the PUCO to transition to a proposed straight fixed variable (“SFV”) cost recovery mechanism for residential customers’ base distribution rates. </w:t>
      </w:r>
      <w:r w:rsidR="008D1BBE" w:rsidRPr="005A6964">
        <w:rPr>
          <w:rFonts w:cs="Times New Roman"/>
          <w:szCs w:val="24"/>
        </w:rPr>
        <w:t>FirstEnergy alleges that t</w:t>
      </w:r>
      <w:r w:rsidRPr="005A6964">
        <w:rPr>
          <w:rFonts w:cs="Times New Roman"/>
          <w:szCs w:val="24"/>
        </w:rPr>
        <w:t xml:space="preserve">his qualitatively benefits customers by giving the PUCO and interested parties a proposed decoupling mechanism to evaluate, </w:t>
      </w:r>
      <w:r w:rsidRPr="005A6964">
        <w:rPr>
          <w:rFonts w:cs="Times New Roman"/>
          <w:b/>
          <w:szCs w:val="24"/>
        </w:rPr>
        <w:t>an opportunity they would not have absent Stipulated ESP IV</w:t>
      </w:r>
      <w:r w:rsidRPr="005A6964">
        <w:rPr>
          <w:rFonts w:cs="Times New Roman"/>
          <w:szCs w:val="24"/>
        </w:rPr>
        <w:t>.</w:t>
      </w:r>
      <w:r w:rsidRPr="005A6964">
        <w:rPr>
          <w:rStyle w:val="FootnoteReference"/>
          <w:rFonts w:cs="Times New Roman"/>
          <w:szCs w:val="24"/>
        </w:rPr>
        <w:footnoteReference w:id="338"/>
      </w:r>
      <w:r w:rsidRPr="005A6964">
        <w:rPr>
          <w:rFonts w:cs="Times New Roman"/>
          <w:szCs w:val="24"/>
        </w:rPr>
        <w:t xml:space="preserve">  This statement is patently untrue.  FirstEnergy could propose a straight fixed variable rate design in its next distribution rate case. </w:t>
      </w:r>
    </w:p>
    <w:p w:rsidR="000E3396" w:rsidRPr="005A6964" w:rsidRDefault="000E3396" w:rsidP="000E3396">
      <w:pPr>
        <w:autoSpaceDE w:val="0"/>
        <w:autoSpaceDN w:val="0"/>
        <w:adjustRightInd w:val="0"/>
        <w:spacing w:after="0" w:line="480" w:lineRule="auto"/>
        <w:ind w:firstLine="720"/>
        <w:rPr>
          <w:rFonts w:cs="Times New Roman"/>
          <w:szCs w:val="24"/>
        </w:rPr>
      </w:pPr>
      <w:r w:rsidRPr="005A6964">
        <w:rPr>
          <w:rFonts w:cs="Times New Roman"/>
          <w:szCs w:val="24"/>
        </w:rPr>
        <w:t>The PUCO instituted a proceeding to review possible changes in electric distribution rate design (Case No. 10-3126-EL-UNC) (“Distribution Rate Design Proceeding”).</w:t>
      </w:r>
      <w:r w:rsidRPr="005A6964">
        <w:rPr>
          <w:rStyle w:val="FootnoteReference"/>
          <w:rFonts w:cs="Times New Roman"/>
          <w:szCs w:val="24"/>
        </w:rPr>
        <w:footnoteReference w:id="339"/>
      </w:r>
      <w:r w:rsidRPr="005A6964">
        <w:rPr>
          <w:rFonts w:cs="Times New Roman"/>
          <w:szCs w:val="24"/>
        </w:rPr>
        <w:t xml:space="preserve">  In that proceeding FirstEnergy filed comments that included a discussion of SFV rate design.  In those comments, FirstEnergy generally opposed the use of SFV rates, and recommended that "</w:t>
      </w:r>
      <w:r w:rsidRPr="005A6964">
        <w:rPr>
          <w:rFonts w:cs="Times New Roman"/>
          <w:b/>
          <w:szCs w:val="24"/>
        </w:rPr>
        <w:t>any efforts to implement a straight fixed variable approach for electric utilities not move forward until the electric utility's filing of its next base distribution rate case."</w:t>
      </w:r>
      <w:r w:rsidRPr="005A6964">
        <w:rPr>
          <w:rStyle w:val="FootnoteReference"/>
          <w:rFonts w:cs="Times New Roman"/>
          <w:szCs w:val="24"/>
        </w:rPr>
        <w:footnoteReference w:id="340"/>
      </w:r>
      <w:r w:rsidRPr="005A6964">
        <w:rPr>
          <w:rFonts w:cs="Times New Roman"/>
          <w:b/>
          <w:szCs w:val="24"/>
        </w:rPr>
        <w:t xml:space="preserve"> </w:t>
      </w:r>
      <w:r w:rsidRPr="005A6964">
        <w:rPr>
          <w:rFonts w:cs="Times New Roman"/>
          <w:szCs w:val="24"/>
        </w:rPr>
        <w:t xml:space="preserve">In that same proceeding, the PUCO issued an Entry that made it clear that it has "determined that </w:t>
      </w:r>
      <w:r w:rsidRPr="005A6964">
        <w:rPr>
          <w:rFonts w:cs="Times New Roman"/>
          <w:b/>
          <w:bCs/>
          <w:szCs w:val="24"/>
        </w:rPr>
        <w:t>the most appropriate proceeding for additional opportunities for input would be in each electric utility's next distribution rate case</w:t>
      </w:r>
      <w:r w:rsidRPr="005A6964">
        <w:rPr>
          <w:rFonts w:cs="Times New Roman"/>
          <w:szCs w:val="24"/>
        </w:rPr>
        <w:t>, where implementation of SFV rate design should be considered. … Nothing in the Order precludes any party from commenting on or presenting evidence regarding a specific rate design that is proposed as part of a utility's distribution rate case by the utility, Staff or any other party."</w:t>
      </w:r>
      <w:r w:rsidRPr="005A6964">
        <w:rPr>
          <w:rStyle w:val="FootnoteReference"/>
          <w:rFonts w:cs="Times New Roman"/>
          <w:szCs w:val="24"/>
        </w:rPr>
        <w:footnoteReference w:id="341"/>
      </w:r>
    </w:p>
    <w:p w:rsidR="000E3396" w:rsidRPr="005A6964" w:rsidRDefault="000E3396" w:rsidP="000E3396">
      <w:pPr>
        <w:autoSpaceDE w:val="0"/>
        <w:autoSpaceDN w:val="0"/>
        <w:adjustRightInd w:val="0"/>
        <w:spacing w:after="0" w:line="480" w:lineRule="auto"/>
        <w:ind w:firstLine="720"/>
        <w:rPr>
          <w:rFonts w:cs="Times New Roman"/>
          <w:szCs w:val="24"/>
        </w:rPr>
      </w:pPr>
      <w:r w:rsidRPr="005A6964">
        <w:rPr>
          <w:rFonts w:cs="Times New Roman"/>
          <w:szCs w:val="24"/>
        </w:rPr>
        <w:t xml:space="preserve">The PUCO’s Distribution Rate Design Proceeding demonstrated that the inclusion of the SFV rate design as a provision in the Stipulation in this proceeding was unnecessary.  Transitioning to a Straight Fixed Variable rate design from both FirstEnergy’s and the PUCO’s perspectives would be more appropriately addressed in the Utilities’ next distribution rate case.   Therefore, because the Straight Fixed Variable rate design has no nexus to Rider RRS, this provision should be evaluated on its own merits in the Utilities’ next base distribution rate case, and should not be considered as part of a package for the consideration of the Stipulation under the PUCO’s three-prong test.    </w:t>
      </w:r>
    </w:p>
    <w:p w:rsidR="000E3396" w:rsidRPr="005A6964" w:rsidRDefault="000E3396" w:rsidP="00B30CAE">
      <w:pPr>
        <w:pStyle w:val="Heading5"/>
        <w:numPr>
          <w:ilvl w:val="0"/>
          <w:numId w:val="15"/>
        </w:numPr>
      </w:pPr>
      <w:bookmarkStart w:id="52" w:name="_Toc444269038"/>
      <w:r w:rsidRPr="005A6964">
        <w:t>Cash and cash equivalents paid to signatory parties to promote</w:t>
      </w:r>
      <w:r w:rsidR="001151A0" w:rsidRPr="005A6964">
        <w:t xml:space="preserve"> providers and their programs for</w:t>
      </w:r>
      <w:r w:rsidRPr="005A6964">
        <w:t xml:space="preserve"> low-income customers, energy efficiency and economic development have no relationship to the core issue in this case – the PPA and Rider RRS.</w:t>
      </w:r>
      <w:bookmarkEnd w:id="52"/>
      <w:r w:rsidRPr="005A6964">
        <w:t xml:space="preserve"> </w:t>
      </w:r>
      <w:r w:rsidRPr="005A6964">
        <w:tab/>
      </w:r>
    </w:p>
    <w:p w:rsidR="00EF503A" w:rsidRPr="005A6964" w:rsidRDefault="000E3396" w:rsidP="000E3396">
      <w:pPr>
        <w:spacing w:after="0" w:line="480" w:lineRule="auto"/>
        <w:ind w:firstLine="720"/>
        <w:rPr>
          <w:rFonts w:cs="Times New Roman"/>
          <w:szCs w:val="24"/>
        </w:rPr>
      </w:pPr>
      <w:r w:rsidRPr="005A6964">
        <w:rPr>
          <w:rFonts w:cs="Times New Roman"/>
          <w:szCs w:val="24"/>
        </w:rPr>
        <w:t xml:space="preserve">The Third Supplemental Stipulation proposed </w:t>
      </w:r>
      <w:r w:rsidR="001151A0" w:rsidRPr="005A6964">
        <w:rPr>
          <w:rFonts w:cs="Times New Roman"/>
          <w:szCs w:val="24"/>
        </w:rPr>
        <w:t>that the PUCO authorize</w:t>
      </w:r>
      <w:r w:rsidRPr="005A6964">
        <w:rPr>
          <w:rFonts w:cs="Times New Roman"/>
          <w:szCs w:val="24"/>
        </w:rPr>
        <w:t xml:space="preserve"> pay</w:t>
      </w:r>
      <w:r w:rsidR="001151A0" w:rsidRPr="005A6964">
        <w:rPr>
          <w:rFonts w:cs="Times New Roman"/>
          <w:szCs w:val="24"/>
        </w:rPr>
        <w:t>ing</w:t>
      </w:r>
      <w:r w:rsidRPr="005A6964">
        <w:rPr>
          <w:rFonts w:cs="Times New Roman"/>
          <w:szCs w:val="24"/>
        </w:rPr>
        <w:t xml:space="preserve"> OPAE $1,000,000 per year from 2016 to 2023, for a total of $8,000,000, to fund a “fuel fund” to be administered by OPAE.</w:t>
      </w:r>
      <w:r w:rsidRPr="005A6964">
        <w:rPr>
          <w:rStyle w:val="FootnoteReference"/>
          <w:rFonts w:cs="Times New Roman"/>
          <w:szCs w:val="24"/>
        </w:rPr>
        <w:footnoteReference w:id="342"/>
      </w:r>
      <w:r w:rsidRPr="005A6964">
        <w:rPr>
          <w:rFonts w:cs="Times New Roman"/>
          <w:szCs w:val="24"/>
        </w:rPr>
        <w:t xml:space="preserve"> OPAE will also receive five percent of the $6,000,000 per year for 8 years for the Community Connections program, which will be charged to customers through Rider DSE or other applicable rider, as an “administrative fee.”</w:t>
      </w:r>
      <w:r w:rsidRPr="005A6964">
        <w:rPr>
          <w:rStyle w:val="FootnoteReference"/>
          <w:rFonts w:cs="Times New Roman"/>
          <w:szCs w:val="24"/>
        </w:rPr>
        <w:footnoteReference w:id="343"/>
      </w:r>
      <w:r w:rsidRPr="005A6964">
        <w:rPr>
          <w:rFonts w:cs="Times New Roman"/>
          <w:szCs w:val="24"/>
        </w:rPr>
        <w:t xml:space="preserve"> </w:t>
      </w:r>
      <w:r w:rsidR="001151A0" w:rsidRPr="005A6964">
        <w:rPr>
          <w:rFonts w:cs="Times New Roman"/>
          <w:szCs w:val="24"/>
        </w:rPr>
        <w:t>In total</w:t>
      </w:r>
      <w:r w:rsidRPr="005A6964">
        <w:rPr>
          <w:rFonts w:cs="Times New Roman"/>
          <w:szCs w:val="24"/>
        </w:rPr>
        <w:t>, OPAE will receive $2,400,000 under the Stipulation. Additionally, the Cleveland Housing Network will be allocated $1.7 million of this annual funding for each year of the ESP for a total of $13.6 million.</w:t>
      </w:r>
      <w:r w:rsidRPr="005A6964">
        <w:rPr>
          <w:rStyle w:val="FootnoteReference"/>
          <w:rFonts w:cs="Times New Roman"/>
          <w:szCs w:val="24"/>
        </w:rPr>
        <w:footnoteReference w:id="344"/>
      </w:r>
      <w:r w:rsidR="00403A50" w:rsidRPr="005A6964">
        <w:rPr>
          <w:rFonts w:cs="Times New Roman"/>
          <w:szCs w:val="24"/>
        </w:rPr>
        <w:t xml:space="preserve">  Accordingly, OPAE and Cleveland Housing Network's signatures on the settlement were obtained through financial inducements</w:t>
      </w:r>
      <w:r w:rsidR="001151A0" w:rsidRPr="005A6964">
        <w:rPr>
          <w:rFonts w:cs="Times New Roman"/>
          <w:szCs w:val="24"/>
        </w:rPr>
        <w:t xml:space="preserve"> </w:t>
      </w:r>
      <w:r w:rsidR="00403A50" w:rsidRPr="005A6964">
        <w:rPr>
          <w:rFonts w:cs="Times New Roman"/>
          <w:szCs w:val="24"/>
        </w:rPr>
        <w:t xml:space="preserve">financed with other people’s money--being Ohioans’ hard-earned money. </w:t>
      </w:r>
      <w:r w:rsidR="00EF503A" w:rsidRPr="005A6964">
        <w:rPr>
          <w:rFonts w:cs="Times New Roman"/>
          <w:szCs w:val="24"/>
        </w:rPr>
        <w:t xml:space="preserve">  </w:t>
      </w:r>
    </w:p>
    <w:p w:rsidR="00147DDB" w:rsidRPr="005A6964" w:rsidRDefault="00147DDB" w:rsidP="00147DDB">
      <w:pPr>
        <w:spacing w:after="0" w:line="480" w:lineRule="auto"/>
        <w:ind w:firstLine="720"/>
        <w:rPr>
          <w:rFonts w:cs="Times New Roman"/>
          <w:szCs w:val="24"/>
        </w:rPr>
      </w:pPr>
      <w:r w:rsidRPr="005A6964">
        <w:rPr>
          <w:rFonts w:cs="Times New Roman"/>
          <w:szCs w:val="24"/>
        </w:rPr>
        <w:t>PUCO Staff Witness Scheck</w:t>
      </w:r>
      <w:r w:rsidR="001151A0" w:rsidRPr="005A6964">
        <w:rPr>
          <w:rFonts w:cs="Times New Roman"/>
          <w:szCs w:val="24"/>
        </w:rPr>
        <w:t xml:space="preserve"> </w:t>
      </w:r>
      <w:r w:rsidRPr="005A6964">
        <w:rPr>
          <w:rFonts w:cs="Times New Roman"/>
          <w:szCs w:val="24"/>
        </w:rPr>
        <w:t>expressed concerns about whether the Community Connections program had been implemented efficiently.  He testified that the Staff did not know if savings that had been achieved under the program were achieved in the most cost-effective and efficient manner.</w:t>
      </w:r>
      <w:r w:rsidRPr="005A6964">
        <w:rPr>
          <w:rStyle w:val="FootnoteReference"/>
          <w:rFonts w:cs="Times New Roman"/>
          <w:szCs w:val="24"/>
        </w:rPr>
        <w:footnoteReference w:id="345"/>
      </w:r>
      <w:r w:rsidRPr="005A6964">
        <w:rPr>
          <w:rFonts w:cs="Times New Roman"/>
          <w:szCs w:val="24"/>
        </w:rPr>
        <w:t xml:space="preserve">  As a result, he recommended that the program be competitively bid to assure maximum savings to customers:</w:t>
      </w:r>
    </w:p>
    <w:p w:rsidR="00147DDB" w:rsidRPr="005A6964" w:rsidRDefault="00147DDB" w:rsidP="00DD1D5E">
      <w:pPr>
        <w:autoSpaceDE w:val="0"/>
        <w:autoSpaceDN w:val="0"/>
        <w:adjustRightInd w:val="0"/>
        <w:spacing w:after="0" w:line="240" w:lineRule="auto"/>
        <w:ind w:left="2160" w:right="720" w:hanging="720"/>
        <w:rPr>
          <w:rFonts w:cs="Times New Roman"/>
          <w:szCs w:val="24"/>
        </w:rPr>
      </w:pPr>
      <w:r w:rsidRPr="005A6964">
        <w:rPr>
          <w:rFonts w:cs="Times New Roman"/>
          <w:sz w:val="26"/>
          <w:szCs w:val="26"/>
        </w:rPr>
        <w:t xml:space="preserve">Q. </w:t>
      </w:r>
      <w:r w:rsidR="00DD1D5E" w:rsidRPr="005A6964">
        <w:rPr>
          <w:rFonts w:cs="Times New Roman"/>
          <w:sz w:val="26"/>
          <w:szCs w:val="26"/>
        </w:rPr>
        <w:tab/>
      </w:r>
      <w:r w:rsidRPr="005A6964">
        <w:rPr>
          <w:rFonts w:cs="Times New Roman"/>
          <w:szCs w:val="24"/>
        </w:rPr>
        <w:t>What would you recommend the Companies do with respect to the Community Connections low income program?</w:t>
      </w:r>
    </w:p>
    <w:p w:rsidR="00147DDB" w:rsidRPr="005A6964" w:rsidRDefault="00147DDB" w:rsidP="00147DDB">
      <w:pPr>
        <w:autoSpaceDE w:val="0"/>
        <w:autoSpaceDN w:val="0"/>
        <w:adjustRightInd w:val="0"/>
        <w:spacing w:after="0" w:line="240" w:lineRule="auto"/>
        <w:ind w:left="1440" w:firstLine="60"/>
        <w:rPr>
          <w:rFonts w:cs="Times New Roman"/>
          <w:szCs w:val="24"/>
        </w:rPr>
      </w:pPr>
    </w:p>
    <w:p w:rsidR="00147DDB" w:rsidRPr="005A6964" w:rsidRDefault="00147DDB" w:rsidP="00DD1D5E">
      <w:pPr>
        <w:autoSpaceDE w:val="0"/>
        <w:autoSpaceDN w:val="0"/>
        <w:adjustRightInd w:val="0"/>
        <w:spacing w:after="0" w:line="240" w:lineRule="auto"/>
        <w:ind w:left="2250" w:right="720" w:hanging="810"/>
        <w:rPr>
          <w:rFonts w:cs="Times New Roman"/>
          <w:szCs w:val="24"/>
        </w:rPr>
      </w:pPr>
      <w:r w:rsidRPr="005A6964">
        <w:rPr>
          <w:rFonts w:cs="Times New Roman"/>
          <w:szCs w:val="24"/>
        </w:rPr>
        <w:t xml:space="preserve">A. </w:t>
      </w:r>
      <w:r w:rsidR="00DD1D5E" w:rsidRPr="005A6964">
        <w:rPr>
          <w:rFonts w:cs="Times New Roman"/>
          <w:szCs w:val="24"/>
        </w:rPr>
        <w:tab/>
      </w:r>
      <w:r w:rsidRPr="005A6964">
        <w:rPr>
          <w:rFonts w:cs="Times New Roman"/>
          <w:szCs w:val="24"/>
        </w:rPr>
        <w:t>The Staff does not believe that the Community Connections Program has been competitively sourced in the past. The Staff recommends that the Community Connections Program be competitively bid out as a way to achieve the maximum of savings per dollar spent by the Companies to acquire the benefits of reducing low income customers’ bills. In many cases, low income customers are percentage of income payment plan (PIPP) customers as well, so reducing their costs through the Community Connections Program would also net a reduction in the costs paid by all other customers who pay into the universal service fund that funds the PIPP</w:t>
      </w:r>
    </w:p>
    <w:p w:rsidR="00147DDB" w:rsidRPr="005A6964" w:rsidRDefault="00DD1D5E" w:rsidP="00DD1D5E">
      <w:pPr>
        <w:autoSpaceDE w:val="0"/>
        <w:autoSpaceDN w:val="0"/>
        <w:adjustRightInd w:val="0"/>
        <w:spacing w:after="0" w:line="240" w:lineRule="auto"/>
        <w:ind w:left="2250" w:right="720" w:hanging="810"/>
        <w:rPr>
          <w:rStyle w:val="FootnoteReference"/>
          <w:rFonts w:cs="Times New Roman"/>
          <w:szCs w:val="24"/>
        </w:rPr>
      </w:pPr>
      <w:r w:rsidRPr="005A6964">
        <w:rPr>
          <w:rFonts w:cs="Times New Roman"/>
          <w:szCs w:val="24"/>
        </w:rPr>
        <w:tab/>
      </w:r>
      <w:r w:rsidR="00147DDB" w:rsidRPr="005A6964">
        <w:rPr>
          <w:rFonts w:cs="Times New Roman"/>
          <w:szCs w:val="24"/>
        </w:rPr>
        <w:t>Program.</w:t>
      </w:r>
      <w:r w:rsidR="00147DDB" w:rsidRPr="005A6964">
        <w:rPr>
          <w:rStyle w:val="FootnoteReference"/>
          <w:rFonts w:cs="Times New Roman"/>
          <w:szCs w:val="24"/>
        </w:rPr>
        <w:t xml:space="preserve"> </w:t>
      </w:r>
      <w:r w:rsidR="00147DDB" w:rsidRPr="005A6964">
        <w:rPr>
          <w:rStyle w:val="FootnoteReference"/>
          <w:rFonts w:cs="Times New Roman"/>
          <w:szCs w:val="24"/>
        </w:rPr>
        <w:footnoteReference w:id="346"/>
      </w:r>
    </w:p>
    <w:p w:rsidR="00147DDB" w:rsidRPr="005A6964" w:rsidRDefault="00147DDB" w:rsidP="00147DDB">
      <w:pPr>
        <w:spacing w:after="0" w:line="240" w:lineRule="auto"/>
        <w:ind w:firstLine="720"/>
        <w:rPr>
          <w:rFonts w:cs="Times New Roman"/>
          <w:szCs w:val="24"/>
        </w:rPr>
      </w:pPr>
      <w:r w:rsidRPr="005A6964">
        <w:rPr>
          <w:rFonts w:cs="Times New Roman"/>
          <w:szCs w:val="24"/>
        </w:rPr>
        <w:t xml:space="preserve"> </w:t>
      </w:r>
    </w:p>
    <w:p w:rsidR="00DC2E3B" w:rsidRPr="005A6964" w:rsidRDefault="00147DDB" w:rsidP="00147DDB">
      <w:pPr>
        <w:spacing w:after="0" w:line="480" w:lineRule="auto"/>
        <w:ind w:firstLine="720"/>
        <w:rPr>
          <w:rFonts w:cs="Times New Roman"/>
          <w:sz w:val="26"/>
          <w:szCs w:val="26"/>
        </w:rPr>
      </w:pPr>
      <w:r w:rsidRPr="005A6964">
        <w:rPr>
          <w:rFonts w:cs="Times New Roman"/>
          <w:szCs w:val="24"/>
        </w:rPr>
        <w:t>The PUCO should heed the advice of Mr. Scheck. If the Stipulation is approved and the Community Connections Program funded, it should be competitively sourced to maximize</w:t>
      </w:r>
      <w:r w:rsidRPr="005A6964">
        <w:rPr>
          <w:rFonts w:cs="Times New Roman"/>
          <w:sz w:val="26"/>
          <w:szCs w:val="26"/>
        </w:rPr>
        <w:t xml:space="preserve"> the savings from the program</w:t>
      </w:r>
      <w:r w:rsidR="001151A0" w:rsidRPr="005A6964">
        <w:rPr>
          <w:rFonts w:cs="Times New Roman"/>
          <w:sz w:val="26"/>
          <w:szCs w:val="26"/>
        </w:rPr>
        <w:t xml:space="preserve"> for Ohio consumers who pay to fund programs for the consumers who receive the benefits that others pay</w:t>
      </w:r>
      <w:r w:rsidRPr="005A6964">
        <w:rPr>
          <w:rFonts w:cs="Times New Roman"/>
          <w:sz w:val="26"/>
          <w:szCs w:val="26"/>
        </w:rPr>
        <w:t xml:space="preserve">.  </w:t>
      </w:r>
    </w:p>
    <w:p w:rsidR="000E3396" w:rsidRPr="005A6964" w:rsidRDefault="000E3396" w:rsidP="000E3396">
      <w:pPr>
        <w:spacing w:after="0" w:line="480" w:lineRule="auto"/>
        <w:ind w:firstLine="720"/>
        <w:rPr>
          <w:rFonts w:cs="Times New Roman"/>
          <w:szCs w:val="24"/>
        </w:rPr>
      </w:pPr>
      <w:r w:rsidRPr="005A6964">
        <w:rPr>
          <w:rFonts w:cs="Times New Roman"/>
          <w:szCs w:val="24"/>
        </w:rPr>
        <w:t>FirstEnergy is also funding ($8 million over eight years) for a pilot Customer Advisory Agency to “ensure the preservation and growth of the competitive market in Ohio.”</w:t>
      </w:r>
      <w:r w:rsidRPr="005A6964">
        <w:rPr>
          <w:rStyle w:val="FootnoteReference"/>
          <w:rFonts w:cs="Times New Roman"/>
          <w:szCs w:val="24"/>
        </w:rPr>
        <w:footnoteReference w:id="347"/>
      </w:r>
      <w:r w:rsidRPr="005A6964">
        <w:rPr>
          <w:rFonts w:cs="Times New Roman"/>
          <w:szCs w:val="24"/>
        </w:rPr>
        <w:t xml:space="preserve">  Finally, FirstEnergy has included in the Stipulation a provision to promote economic development programs in its service territory by supplying $3 million per year (for 8 years).</w:t>
      </w:r>
      <w:r w:rsidRPr="005A6964">
        <w:rPr>
          <w:rStyle w:val="FootnoteReference"/>
          <w:rFonts w:cs="Times New Roman"/>
          <w:szCs w:val="24"/>
        </w:rPr>
        <w:footnoteReference w:id="348"/>
      </w:r>
    </w:p>
    <w:p w:rsidR="00EF503A" w:rsidRPr="005A6964" w:rsidRDefault="000E3396" w:rsidP="00403A50">
      <w:pPr>
        <w:spacing w:after="0" w:line="480" w:lineRule="auto"/>
        <w:ind w:firstLine="720"/>
        <w:rPr>
          <w:rFonts w:cs="Times New Roman"/>
          <w:szCs w:val="24"/>
        </w:rPr>
      </w:pPr>
      <w:r w:rsidRPr="005A6964">
        <w:rPr>
          <w:rFonts w:cs="Times New Roman"/>
          <w:szCs w:val="24"/>
        </w:rPr>
        <w:t>FirstEnergy has included the economic development funding, low</w:t>
      </w:r>
      <w:r w:rsidR="000029E7" w:rsidRPr="005A6964">
        <w:rPr>
          <w:rFonts w:cs="Times New Roman"/>
          <w:szCs w:val="24"/>
        </w:rPr>
        <w:t>-</w:t>
      </w:r>
      <w:r w:rsidRPr="005A6964">
        <w:rPr>
          <w:rFonts w:cs="Times New Roman"/>
          <w:szCs w:val="24"/>
        </w:rPr>
        <w:t>income funding and consumer advisory agency funding provisions in their Initial Brief as quantitative benefits.</w:t>
      </w:r>
      <w:r w:rsidRPr="005A6964">
        <w:rPr>
          <w:rStyle w:val="FootnoteReference"/>
          <w:rFonts w:cs="Times New Roman"/>
          <w:szCs w:val="24"/>
        </w:rPr>
        <w:footnoteReference w:id="349"/>
      </w:r>
      <w:r w:rsidRPr="005A6964">
        <w:rPr>
          <w:rFonts w:cs="Times New Roman"/>
          <w:szCs w:val="24"/>
        </w:rPr>
        <w:t xml:space="preserve"> The Utilities highlight the fact that they will not seek to recover the costs associated with these items from customers.</w:t>
      </w:r>
      <w:r w:rsidRPr="005A6964">
        <w:rPr>
          <w:rStyle w:val="FootnoteReference"/>
          <w:rFonts w:cs="Times New Roman"/>
          <w:szCs w:val="24"/>
        </w:rPr>
        <w:footnoteReference w:id="350"/>
      </w:r>
      <w:r w:rsidRPr="005A6964">
        <w:rPr>
          <w:rFonts w:cs="Times New Roman"/>
          <w:szCs w:val="24"/>
        </w:rPr>
        <w:t xml:space="preserve">  However, the small scale of these provisions help demonstrate why they should not be included as part of a settlement package.  In total FirstEnergy is funding these programs over the 8</w:t>
      </w:r>
      <w:r w:rsidR="00B8272F" w:rsidRPr="005A6964">
        <w:rPr>
          <w:rFonts w:cs="Times New Roman"/>
          <w:szCs w:val="24"/>
        </w:rPr>
        <w:t>-</w:t>
      </w:r>
      <w:r w:rsidRPr="005A6964">
        <w:rPr>
          <w:rFonts w:cs="Times New Roman"/>
          <w:szCs w:val="24"/>
        </w:rPr>
        <w:t xml:space="preserve">year term of the ESP at $52.04 million.  Contrast that with the estimated $3.6 billion (or more) potential cost to consumers if Rider RRS is approved by the PUCO.  The PUCO should not consider these </w:t>
      </w:r>
      <w:r w:rsidR="00B8272F" w:rsidRPr="005A6964">
        <w:rPr>
          <w:rFonts w:cs="Times New Roman"/>
          <w:szCs w:val="24"/>
        </w:rPr>
        <w:t xml:space="preserve">small </w:t>
      </w:r>
      <w:r w:rsidRPr="005A6964">
        <w:rPr>
          <w:rFonts w:cs="Times New Roman"/>
          <w:szCs w:val="24"/>
        </w:rPr>
        <w:t xml:space="preserve">provisions, which served to induce certain parties to sign the Third Supplemental Stipulation, as part of a settlement package.  </w:t>
      </w:r>
    </w:p>
    <w:p w:rsidR="00403A50" w:rsidRPr="005A6964" w:rsidRDefault="00207BE3" w:rsidP="00403A50">
      <w:pPr>
        <w:spacing w:after="0" w:line="480" w:lineRule="auto"/>
        <w:ind w:firstLine="720"/>
        <w:rPr>
          <w:rFonts w:cs="Times New Roman"/>
          <w:szCs w:val="24"/>
        </w:rPr>
      </w:pPr>
      <w:r w:rsidRPr="005A6964">
        <w:rPr>
          <w:rFonts w:cs="Times New Roman"/>
          <w:szCs w:val="24"/>
        </w:rPr>
        <w:t>The</w:t>
      </w:r>
      <w:r w:rsidR="000E3396" w:rsidRPr="005A6964">
        <w:rPr>
          <w:rFonts w:cs="Times New Roman"/>
          <w:szCs w:val="24"/>
        </w:rPr>
        <w:t xml:space="preserve"> proposed Customer Advisory Agency consists of FirstEnergy allocating funding to the CHN, CPA, and CEOGC to presumably inform customers about competitive choices.</w:t>
      </w:r>
      <w:r w:rsidR="000E3396" w:rsidRPr="005A6964">
        <w:rPr>
          <w:rStyle w:val="FootnoteReference"/>
          <w:rFonts w:cs="Times New Roman"/>
          <w:szCs w:val="24"/>
        </w:rPr>
        <w:footnoteReference w:id="351"/>
      </w:r>
      <w:r w:rsidR="000E3396" w:rsidRPr="005A6964">
        <w:rPr>
          <w:rFonts w:cs="Times New Roman"/>
          <w:szCs w:val="24"/>
        </w:rPr>
        <w:t xml:space="preserve"> </w:t>
      </w:r>
      <w:r w:rsidR="00403A50" w:rsidRPr="005A6964">
        <w:rPr>
          <w:rFonts w:cs="Times New Roman"/>
          <w:szCs w:val="24"/>
        </w:rPr>
        <w:t>The work of the proposed Customer Advisory Agency appears to be duplicative of the efforts of the OCC and the PUCO in advancing state competitive policies as enumerated in R.C. 4928.02.</w:t>
      </w:r>
      <w:r w:rsidR="006D364E" w:rsidRPr="005A6964">
        <w:rPr>
          <w:rStyle w:val="FootnoteReference"/>
          <w:rFonts w:cs="Times New Roman"/>
          <w:szCs w:val="24"/>
        </w:rPr>
        <w:footnoteReference w:id="352"/>
      </w:r>
      <w:r w:rsidR="00403A50" w:rsidRPr="005A6964">
        <w:rPr>
          <w:rFonts w:cs="Times New Roman"/>
          <w:szCs w:val="24"/>
        </w:rPr>
        <w:t xml:space="preserve"> Both agencies provide resources to help Ohio consumers understand competitive choices that might be available.</w:t>
      </w:r>
      <w:r w:rsidR="00403A50" w:rsidRPr="005A6964">
        <w:rPr>
          <w:rStyle w:val="FootnoteReference"/>
          <w:rFonts w:cs="Times New Roman"/>
          <w:szCs w:val="24"/>
        </w:rPr>
        <w:footnoteReference w:id="353"/>
      </w:r>
      <w:r w:rsidR="00E50300" w:rsidRPr="005A6964">
        <w:rPr>
          <w:rFonts w:cs="Times New Roman"/>
          <w:szCs w:val="24"/>
        </w:rPr>
        <w:t xml:space="preserve">  Duplication is not necessary and begs the question of whether the Customer Advisory Agency is just intended to become another future signatory for FirstEnergy settlements.  </w:t>
      </w:r>
    </w:p>
    <w:p w:rsidR="00651BD6" w:rsidRPr="005A6964" w:rsidRDefault="00651BD6" w:rsidP="00651BD6">
      <w:pPr>
        <w:spacing w:after="0" w:line="480" w:lineRule="auto"/>
        <w:ind w:firstLine="720"/>
        <w:rPr>
          <w:rFonts w:cs="Times New Roman"/>
          <w:szCs w:val="24"/>
        </w:rPr>
      </w:pPr>
      <w:r w:rsidRPr="005A6964">
        <w:rPr>
          <w:rFonts w:cs="Times New Roman"/>
          <w:szCs w:val="24"/>
        </w:rPr>
        <w:t xml:space="preserve">Ironically, the three agencies predominately provide assistance to low-income Ohioans who may be </w:t>
      </w:r>
      <w:r w:rsidRPr="005A6964">
        <w:rPr>
          <w:rFonts w:cs="Times New Roman"/>
          <w:i/>
          <w:szCs w:val="24"/>
        </w:rPr>
        <w:t>ineligible</w:t>
      </w:r>
      <w:r w:rsidRPr="005A6964">
        <w:rPr>
          <w:rFonts w:cs="Times New Roman"/>
          <w:szCs w:val="24"/>
        </w:rPr>
        <w:t xml:space="preserve"> to make competitive choices for an energy supplier if they are on the PIPP Plus program. Again, this further demonstrates these low income programs to be more window dressing than a serious provision that should be included in a package of benefits in support of the Third Supplemental Stipulation.  </w:t>
      </w:r>
    </w:p>
    <w:p w:rsidR="00147DDB" w:rsidRPr="005A6964" w:rsidRDefault="00147DDB" w:rsidP="00147DDB">
      <w:pPr>
        <w:spacing w:after="0" w:line="480" w:lineRule="auto"/>
        <w:ind w:firstLine="720"/>
        <w:rPr>
          <w:rFonts w:cs="Times New Roman"/>
          <w:szCs w:val="24"/>
        </w:rPr>
      </w:pPr>
      <w:r w:rsidRPr="005A6964">
        <w:rPr>
          <w:rFonts w:cs="Times New Roman"/>
          <w:szCs w:val="24"/>
        </w:rPr>
        <w:t xml:space="preserve">And the </w:t>
      </w:r>
      <w:r w:rsidR="00B8272F" w:rsidRPr="005A6964">
        <w:rPr>
          <w:rFonts w:cs="Times New Roman"/>
          <w:szCs w:val="24"/>
        </w:rPr>
        <w:t>financial inducements</w:t>
      </w:r>
      <w:r w:rsidRPr="005A6964">
        <w:rPr>
          <w:rFonts w:cs="Times New Roman"/>
          <w:szCs w:val="24"/>
        </w:rPr>
        <w:t xml:space="preserve"> continue.  COSE and AICUO are being provided with $0.54 million and $0.4 million, respectively, in association with the Ohio Energy Efficiency Resource Program.</w:t>
      </w:r>
      <w:r w:rsidRPr="005A6964">
        <w:rPr>
          <w:rStyle w:val="FootnoteReference"/>
          <w:rFonts w:cs="Times New Roman"/>
          <w:szCs w:val="24"/>
        </w:rPr>
        <w:footnoteReference w:id="354"/>
      </w:r>
      <w:r w:rsidRPr="005A6964">
        <w:rPr>
          <w:rFonts w:cs="Times New Roman"/>
          <w:szCs w:val="24"/>
        </w:rPr>
        <w:t xml:space="preserve"> Akron is receiving the unquantified benefit of FirstEnergy agreeing to keep its headquarters in the Akron area for the length of the proposed ESP.</w:t>
      </w:r>
      <w:r w:rsidRPr="005A6964">
        <w:rPr>
          <w:rStyle w:val="FootnoteReference"/>
          <w:rFonts w:cs="Times New Roman"/>
          <w:szCs w:val="24"/>
        </w:rPr>
        <w:footnoteReference w:id="355"/>
      </w:r>
      <w:r w:rsidRPr="005A6964">
        <w:rPr>
          <w:rFonts w:cs="Times New Roman"/>
          <w:szCs w:val="24"/>
        </w:rPr>
        <w:t xml:space="preserve">  </w:t>
      </w:r>
    </w:p>
    <w:p w:rsidR="00EF503A" w:rsidRPr="005A6964" w:rsidRDefault="000E3396" w:rsidP="00EF503A">
      <w:pPr>
        <w:spacing w:after="0" w:line="480" w:lineRule="auto"/>
        <w:ind w:firstLine="720"/>
        <w:rPr>
          <w:rFonts w:cs="Times New Roman"/>
          <w:szCs w:val="24"/>
        </w:rPr>
      </w:pPr>
      <w:r w:rsidRPr="005A6964">
        <w:rPr>
          <w:rFonts w:cs="Times New Roman"/>
          <w:szCs w:val="24"/>
        </w:rPr>
        <w:t xml:space="preserve">It should not be lost on the PUCO that none of these signatory parties that received the cash and cash equivalents discussed above filed an initial brief in support of the Utilities’ proposal in this case. </w:t>
      </w:r>
      <w:r w:rsidR="00147DDB" w:rsidRPr="005A6964">
        <w:rPr>
          <w:rFonts w:cs="Times New Roman"/>
          <w:szCs w:val="24"/>
        </w:rPr>
        <w:t>T</w:t>
      </w:r>
      <w:r w:rsidRPr="005A6964">
        <w:rPr>
          <w:rFonts w:cs="Times New Roman"/>
          <w:szCs w:val="24"/>
        </w:rPr>
        <w:t xml:space="preserve">he PUCO should not include the cash and cash equivalent provisions of the Third Supplemental Stipulation </w:t>
      </w:r>
      <w:r w:rsidR="00147DDB" w:rsidRPr="005A6964">
        <w:rPr>
          <w:rFonts w:cs="Times New Roman"/>
          <w:szCs w:val="24"/>
        </w:rPr>
        <w:t xml:space="preserve">when it is considering the merits of the stipulation  These pay outs </w:t>
      </w:r>
      <w:r w:rsidRPr="005A6964">
        <w:rPr>
          <w:rFonts w:cs="Times New Roman"/>
          <w:szCs w:val="24"/>
        </w:rPr>
        <w:t xml:space="preserve">merely served as inducements in exchange for signatures on the settlement, to be included as a package of benefits for resolving this case. </w:t>
      </w:r>
      <w:r w:rsidR="00147DDB" w:rsidRPr="005A6964">
        <w:rPr>
          <w:rFonts w:cs="Times New Roman"/>
          <w:szCs w:val="24"/>
        </w:rPr>
        <w:t>It is bad public policy</w:t>
      </w:r>
      <w:r w:rsidR="00B8272F" w:rsidRPr="005A6964">
        <w:rPr>
          <w:rFonts w:cs="Times New Roman"/>
          <w:szCs w:val="24"/>
        </w:rPr>
        <w:t>.</w:t>
      </w:r>
    </w:p>
    <w:p w:rsidR="000E3396" w:rsidRPr="005A6964" w:rsidRDefault="000E3396" w:rsidP="00B30CAE">
      <w:pPr>
        <w:pStyle w:val="Heading5"/>
        <w:numPr>
          <w:ilvl w:val="0"/>
          <w:numId w:val="15"/>
        </w:numPr>
      </w:pPr>
      <w:bookmarkStart w:id="53" w:name="_Toc444269039"/>
      <w:r w:rsidRPr="005A6964">
        <w:t>The Side Deal with IGS is</w:t>
      </w:r>
      <w:r w:rsidR="001777CB" w:rsidRPr="005A6964">
        <w:t xml:space="preserve"> shameful,</w:t>
      </w:r>
      <w:r w:rsidRPr="005A6964">
        <w:t xml:space="preserve"> not even part of the Stipulation, and should not be included in the package of benefits analyzed by the PUCO in resolution of this case.</w:t>
      </w:r>
      <w:bookmarkEnd w:id="53"/>
    </w:p>
    <w:p w:rsidR="009C15AC" w:rsidRPr="005A6964" w:rsidRDefault="000E3396" w:rsidP="00A948E8">
      <w:pPr>
        <w:spacing w:after="0" w:line="480" w:lineRule="auto"/>
        <w:ind w:firstLine="720"/>
        <w:rPr>
          <w:rFonts w:cs="Times New Roman"/>
          <w:bCs/>
          <w:szCs w:val="24"/>
        </w:rPr>
      </w:pPr>
      <w:r w:rsidRPr="005A6964">
        <w:rPr>
          <w:rFonts w:cs="Times New Roman"/>
          <w:bCs/>
          <w:szCs w:val="24"/>
        </w:rPr>
        <w:t>The IGS side deal with FirstEnergy is just that, a side deal.  It is not part of the Third Supplemental Stipulation, and thus has no nexus to the core issue in this case.  No other signatories to the Third Supplemental Stipulation signed the side deal.</w:t>
      </w:r>
      <w:r w:rsidR="00141DA5" w:rsidRPr="005A6964">
        <w:rPr>
          <w:rFonts w:cs="Times New Roman"/>
          <w:bCs/>
          <w:szCs w:val="24"/>
        </w:rPr>
        <w:t xml:space="preserve">  </w:t>
      </w:r>
      <w:r w:rsidR="00A27685" w:rsidRPr="005A6964">
        <w:rPr>
          <w:rFonts w:cs="Times New Roman"/>
          <w:bCs/>
          <w:szCs w:val="24"/>
        </w:rPr>
        <w:t>If one wondered how much worse for consumers could a case get that already used billions of dollars of Ohioans’ money for a power purchase agreement, IGS and FirstEnergy provided an answer</w:t>
      </w:r>
      <w:r w:rsidR="00141DA5" w:rsidRPr="005A6964">
        <w:rPr>
          <w:rFonts w:cs="Times New Roman"/>
          <w:bCs/>
          <w:szCs w:val="24"/>
        </w:rPr>
        <w:t>.</w:t>
      </w:r>
      <w:r w:rsidR="00A27685" w:rsidRPr="005A6964">
        <w:rPr>
          <w:rFonts w:cs="Times New Roman"/>
          <w:bCs/>
          <w:szCs w:val="24"/>
        </w:rPr>
        <w:t xml:space="preserve">  Their idea is to increase the standard offer that consumers pay. For </w:t>
      </w:r>
    </w:p>
    <w:p w:rsidR="00147DDB" w:rsidRPr="005A6964" w:rsidRDefault="00A27685" w:rsidP="009C15AC">
      <w:pPr>
        <w:spacing w:after="0" w:line="480" w:lineRule="auto"/>
        <w:rPr>
          <w:rFonts w:cs="Times New Roman"/>
          <w:bCs/>
          <w:szCs w:val="24"/>
        </w:rPr>
      </w:pPr>
      <w:r w:rsidRPr="005A6964">
        <w:rPr>
          <w:rFonts w:cs="Times New Roman"/>
          <w:bCs/>
          <w:szCs w:val="24"/>
        </w:rPr>
        <w:t>shame.</w:t>
      </w:r>
      <w:r w:rsidR="00141DA5" w:rsidRPr="005A6964">
        <w:rPr>
          <w:rFonts w:cs="Times New Roman"/>
          <w:bCs/>
          <w:szCs w:val="24"/>
        </w:rPr>
        <w:t xml:space="preserve">  </w:t>
      </w:r>
      <w:r w:rsidR="005E32A7" w:rsidRPr="005A6964">
        <w:rPr>
          <w:rFonts w:cs="Times New Roman"/>
          <w:bCs/>
          <w:szCs w:val="24"/>
        </w:rPr>
        <w:t xml:space="preserve">The side deal is intended to eliminate the standard offer from the consumers’ shopping cart.  However, the standard offer is required </w:t>
      </w:r>
      <w:r w:rsidR="006D364E" w:rsidRPr="005A6964">
        <w:rPr>
          <w:rFonts w:cs="Times New Roman"/>
          <w:bCs/>
          <w:szCs w:val="24"/>
        </w:rPr>
        <w:t>under</w:t>
      </w:r>
      <w:r w:rsidR="005E32A7" w:rsidRPr="005A6964">
        <w:rPr>
          <w:rFonts w:cs="Times New Roman"/>
          <w:bCs/>
          <w:szCs w:val="24"/>
        </w:rPr>
        <w:t xml:space="preserve"> R.C. 4928.141.</w:t>
      </w:r>
      <w:r w:rsidR="00625EDC" w:rsidRPr="005A6964">
        <w:rPr>
          <w:rStyle w:val="FootnoteReference"/>
          <w:rFonts w:cs="Times New Roman"/>
          <w:bCs/>
          <w:szCs w:val="24"/>
        </w:rPr>
        <w:footnoteReference w:id="356"/>
      </w:r>
      <w:r w:rsidR="00625EDC" w:rsidRPr="005A6964">
        <w:rPr>
          <w:rFonts w:cs="Times New Roman"/>
          <w:bCs/>
          <w:szCs w:val="24"/>
        </w:rPr>
        <w:t xml:space="preserve">. </w:t>
      </w:r>
      <w:r w:rsidR="005E32A7" w:rsidRPr="005A6964">
        <w:rPr>
          <w:rFonts w:cs="Times New Roman"/>
          <w:bCs/>
          <w:szCs w:val="24"/>
        </w:rPr>
        <w:t xml:space="preserve"> In fact, t</w:t>
      </w:r>
      <w:r w:rsidR="00141DA5" w:rsidRPr="005A6964">
        <w:rPr>
          <w:rFonts w:cs="Times New Roman"/>
          <w:bCs/>
          <w:szCs w:val="24"/>
        </w:rPr>
        <w:t>he PUCO has previously rejected</w:t>
      </w:r>
      <w:r w:rsidR="00C530C9" w:rsidRPr="005A6964">
        <w:rPr>
          <w:rFonts w:cs="Times New Roman"/>
          <w:bCs/>
          <w:szCs w:val="24"/>
        </w:rPr>
        <w:t xml:space="preserve"> this awful idea to diminish the consumer protection of the standard offer,</w:t>
      </w:r>
      <w:r w:rsidR="00625EDC" w:rsidRPr="005A6964">
        <w:rPr>
          <w:rFonts w:cs="Times New Roman"/>
          <w:bCs/>
          <w:szCs w:val="24"/>
        </w:rPr>
        <w:t xml:space="preserve"> and should </w:t>
      </w:r>
      <w:r w:rsidR="00C530C9" w:rsidRPr="005A6964">
        <w:rPr>
          <w:rFonts w:cs="Times New Roman"/>
          <w:bCs/>
          <w:szCs w:val="24"/>
        </w:rPr>
        <w:t>reject it</w:t>
      </w:r>
      <w:r w:rsidR="00625EDC" w:rsidRPr="005A6964">
        <w:rPr>
          <w:rFonts w:cs="Times New Roman"/>
          <w:bCs/>
          <w:szCs w:val="24"/>
        </w:rPr>
        <w:t xml:space="preserve"> again.</w:t>
      </w:r>
      <w:r w:rsidR="000E3396" w:rsidRPr="005A6964">
        <w:rPr>
          <w:rFonts w:cs="Times New Roman"/>
          <w:bCs/>
          <w:szCs w:val="24"/>
        </w:rPr>
        <w:t xml:space="preserve"> </w:t>
      </w:r>
    </w:p>
    <w:p w:rsidR="00141DA5" w:rsidRPr="005A6964" w:rsidRDefault="000E3396" w:rsidP="00141DA5">
      <w:pPr>
        <w:spacing w:after="0" w:line="480" w:lineRule="auto"/>
        <w:ind w:firstLine="720"/>
        <w:rPr>
          <w:rFonts w:cs="Times New Roman"/>
          <w:bCs/>
          <w:szCs w:val="24"/>
        </w:rPr>
      </w:pPr>
      <w:r w:rsidRPr="005A6964">
        <w:rPr>
          <w:rFonts w:cs="Times New Roman"/>
          <w:bCs/>
          <w:szCs w:val="24"/>
        </w:rPr>
        <w:t xml:space="preserve"> No other signatory parties offer support</w:t>
      </w:r>
      <w:r w:rsidR="00C530C9" w:rsidRPr="005A6964">
        <w:rPr>
          <w:rFonts w:cs="Times New Roman"/>
          <w:bCs/>
          <w:szCs w:val="24"/>
        </w:rPr>
        <w:t xml:space="preserve"> of the standard offer increase,</w:t>
      </w:r>
      <w:r w:rsidRPr="005A6964">
        <w:rPr>
          <w:rFonts w:cs="Times New Roman"/>
          <w:bCs/>
          <w:szCs w:val="24"/>
        </w:rPr>
        <w:t xml:space="preserve"> in testimony or their briefs.  FirstEnergy doesn’t address it in testimony or brief.</w:t>
      </w:r>
      <w:r w:rsidRPr="005A6964">
        <w:rPr>
          <w:rStyle w:val="FootnoteReference"/>
          <w:rFonts w:cs="Times New Roman"/>
          <w:bCs/>
          <w:szCs w:val="24"/>
        </w:rPr>
        <w:footnoteReference w:id="357"/>
      </w:r>
      <w:r w:rsidRPr="005A6964">
        <w:rPr>
          <w:rFonts w:cs="Times New Roman"/>
          <w:bCs/>
          <w:szCs w:val="24"/>
        </w:rPr>
        <w:t xml:space="preserve">  </w:t>
      </w:r>
      <w:r w:rsidR="00141DA5" w:rsidRPr="005A6964">
        <w:rPr>
          <w:rFonts w:cs="Times New Roman"/>
          <w:bCs/>
          <w:szCs w:val="24"/>
        </w:rPr>
        <w:t>However, to demonstrate the fact that this side deal is unneeded the PUCO need look no further than FirstEnergy’s Initial Brief where it touts “</w:t>
      </w:r>
      <w:r w:rsidR="00141DA5" w:rsidRPr="005A6964">
        <w:rPr>
          <w:rFonts w:cs="Times New Roman"/>
          <w:szCs w:val="24"/>
        </w:rPr>
        <w:t>the [Utilities’] territories have the highest shopping levels in the State</w:t>
      </w:r>
      <w:r w:rsidR="00C530C9" w:rsidRPr="005A6964">
        <w:rPr>
          <w:rFonts w:cs="Times New Roman"/>
          <w:szCs w:val="24"/>
        </w:rPr>
        <w:t>.</w:t>
      </w:r>
      <w:r w:rsidR="00141DA5" w:rsidRPr="005A6964">
        <w:rPr>
          <w:rFonts w:cs="Times New Roman"/>
          <w:szCs w:val="24"/>
        </w:rPr>
        <w:t>”</w:t>
      </w:r>
      <w:r w:rsidR="00141DA5" w:rsidRPr="005A6964">
        <w:rPr>
          <w:rStyle w:val="FootnoteReference"/>
          <w:rFonts w:cs="Times New Roman"/>
          <w:szCs w:val="24"/>
        </w:rPr>
        <w:footnoteReference w:id="358"/>
      </w:r>
    </w:p>
    <w:p w:rsidR="003F5B66" w:rsidRPr="005A6964" w:rsidRDefault="00141DA5" w:rsidP="00177A3D">
      <w:pPr>
        <w:pStyle w:val="CommentText"/>
        <w:spacing w:line="480" w:lineRule="auto"/>
        <w:ind w:firstLine="720"/>
        <w:rPr>
          <w:sz w:val="24"/>
          <w:szCs w:val="24"/>
        </w:rPr>
      </w:pPr>
      <w:r w:rsidRPr="005A6964">
        <w:rPr>
          <w:sz w:val="24"/>
          <w:szCs w:val="24"/>
        </w:rPr>
        <w:t>The PUCO should also note that IGS had</w:t>
      </w:r>
      <w:r w:rsidR="003F5B66" w:rsidRPr="005A6964">
        <w:rPr>
          <w:sz w:val="24"/>
          <w:szCs w:val="24"/>
        </w:rPr>
        <w:t xml:space="preserve"> made </w:t>
      </w:r>
      <w:r w:rsidRPr="005A6964">
        <w:rPr>
          <w:sz w:val="24"/>
          <w:szCs w:val="24"/>
        </w:rPr>
        <w:t xml:space="preserve">this or a similar proposal in the PUCO’s investigation of Ohio’s retail Electric Service Market (Case No. 12-3151-EL-COI).  </w:t>
      </w:r>
      <w:r w:rsidR="003F5B66" w:rsidRPr="005A6964">
        <w:rPr>
          <w:sz w:val="24"/>
          <w:szCs w:val="24"/>
        </w:rPr>
        <w:t>In that Case, the PUCO rejected IGS’s proposal to eliminate the SSOP as the default service.  IGS stated in comments:</w:t>
      </w:r>
    </w:p>
    <w:p w:rsidR="003F5B66" w:rsidRPr="005A6964" w:rsidRDefault="003F5B66" w:rsidP="00DD1D5E">
      <w:pPr>
        <w:autoSpaceDE w:val="0"/>
        <w:autoSpaceDN w:val="0"/>
        <w:adjustRightInd w:val="0"/>
        <w:spacing w:after="0" w:line="240" w:lineRule="auto"/>
        <w:ind w:left="720" w:right="720" w:firstLine="720"/>
        <w:rPr>
          <w:rFonts w:cs="Times New Roman"/>
          <w:szCs w:val="24"/>
        </w:rPr>
      </w:pPr>
      <w:r w:rsidRPr="005A6964">
        <w:rPr>
          <w:rFonts w:cs="Times New Roman"/>
          <w:szCs w:val="24"/>
        </w:rPr>
        <w:t>IGS disagrees with Staffs conclusion and asserts that the</w:t>
      </w:r>
    </w:p>
    <w:p w:rsidR="003F5B66" w:rsidRPr="005A6964" w:rsidRDefault="003F5B66" w:rsidP="00177A3D">
      <w:pPr>
        <w:autoSpaceDE w:val="0"/>
        <w:autoSpaceDN w:val="0"/>
        <w:adjustRightInd w:val="0"/>
        <w:spacing w:after="0" w:line="240" w:lineRule="auto"/>
        <w:ind w:left="720" w:firstLine="720"/>
        <w:rPr>
          <w:rFonts w:cs="Times New Roman"/>
          <w:szCs w:val="24"/>
        </w:rPr>
      </w:pPr>
      <w:r w:rsidRPr="005A6964">
        <w:rPr>
          <w:rFonts w:cs="Times New Roman"/>
          <w:szCs w:val="24"/>
        </w:rPr>
        <w:t>current SSO structure severely inhibits customer awareness</w:t>
      </w:r>
    </w:p>
    <w:p w:rsidR="003F5B66" w:rsidRPr="005A6964" w:rsidRDefault="003F5B66" w:rsidP="00177A3D">
      <w:pPr>
        <w:autoSpaceDE w:val="0"/>
        <w:autoSpaceDN w:val="0"/>
        <w:adjustRightInd w:val="0"/>
        <w:spacing w:after="0" w:line="240" w:lineRule="auto"/>
        <w:ind w:left="720" w:firstLine="720"/>
        <w:rPr>
          <w:rFonts w:cs="Times New Roman"/>
          <w:szCs w:val="24"/>
        </w:rPr>
      </w:pPr>
      <w:r w:rsidRPr="005A6964">
        <w:rPr>
          <w:rFonts w:cs="Times New Roman"/>
          <w:szCs w:val="24"/>
        </w:rPr>
        <w:t>and participation in competitive markets, making awareness</w:t>
      </w:r>
    </w:p>
    <w:p w:rsidR="003F5B66" w:rsidRPr="005A6964" w:rsidRDefault="003F5B66" w:rsidP="00177A3D">
      <w:pPr>
        <w:autoSpaceDE w:val="0"/>
        <w:autoSpaceDN w:val="0"/>
        <w:adjustRightInd w:val="0"/>
        <w:spacing w:after="0" w:line="240" w:lineRule="auto"/>
        <w:ind w:left="720" w:firstLine="720"/>
        <w:rPr>
          <w:rFonts w:cs="Times New Roman"/>
          <w:szCs w:val="24"/>
        </w:rPr>
      </w:pPr>
      <w:r w:rsidRPr="005A6964">
        <w:rPr>
          <w:rFonts w:cs="Times New Roman"/>
          <w:szCs w:val="24"/>
        </w:rPr>
        <w:t>and participation unlikely to increase if the current default</w:t>
      </w:r>
    </w:p>
    <w:p w:rsidR="003F5B66" w:rsidRPr="005A6964" w:rsidRDefault="003F5B66" w:rsidP="00177A3D">
      <w:pPr>
        <w:autoSpaceDE w:val="0"/>
        <w:autoSpaceDN w:val="0"/>
        <w:adjustRightInd w:val="0"/>
        <w:spacing w:after="0" w:line="240" w:lineRule="auto"/>
        <w:ind w:left="720" w:firstLine="720"/>
        <w:rPr>
          <w:rFonts w:cs="Times New Roman"/>
          <w:szCs w:val="24"/>
        </w:rPr>
      </w:pPr>
      <w:r w:rsidRPr="005A6964">
        <w:rPr>
          <w:rFonts w:cs="Times New Roman"/>
          <w:szCs w:val="24"/>
        </w:rPr>
        <w:t>rate structure is maintained. IGS urges the Commission to</w:t>
      </w:r>
    </w:p>
    <w:p w:rsidR="003F5B66" w:rsidRPr="005A6964" w:rsidRDefault="003F5B66" w:rsidP="00177A3D">
      <w:pPr>
        <w:autoSpaceDE w:val="0"/>
        <w:autoSpaceDN w:val="0"/>
        <w:adjustRightInd w:val="0"/>
        <w:spacing w:after="0" w:line="240" w:lineRule="auto"/>
        <w:ind w:left="720" w:firstLine="720"/>
        <w:rPr>
          <w:rFonts w:cs="Times New Roman"/>
          <w:szCs w:val="24"/>
        </w:rPr>
      </w:pPr>
      <w:r w:rsidRPr="005A6964">
        <w:rPr>
          <w:rFonts w:cs="Times New Roman"/>
          <w:szCs w:val="24"/>
        </w:rPr>
        <w:t>take affirmative and immediate steps to transition beyond</w:t>
      </w:r>
    </w:p>
    <w:p w:rsidR="003F5B66" w:rsidRPr="005A6964" w:rsidRDefault="003F5B66" w:rsidP="00177A3D">
      <w:pPr>
        <w:autoSpaceDE w:val="0"/>
        <w:autoSpaceDN w:val="0"/>
        <w:adjustRightInd w:val="0"/>
        <w:spacing w:after="0" w:line="240" w:lineRule="auto"/>
        <w:ind w:left="720" w:firstLine="720"/>
        <w:rPr>
          <w:rFonts w:cs="Times New Roman"/>
          <w:szCs w:val="24"/>
        </w:rPr>
      </w:pPr>
      <w:r w:rsidRPr="005A6964">
        <w:rPr>
          <w:rFonts w:cs="Times New Roman"/>
          <w:szCs w:val="24"/>
        </w:rPr>
        <w:t>the current default rate structure and to allow customers to</w:t>
      </w:r>
    </w:p>
    <w:p w:rsidR="003F5B66" w:rsidRPr="005A6964" w:rsidRDefault="003F5B66" w:rsidP="00177A3D">
      <w:pPr>
        <w:autoSpaceDE w:val="0"/>
        <w:autoSpaceDN w:val="0"/>
        <w:adjustRightInd w:val="0"/>
        <w:spacing w:after="0" w:line="240" w:lineRule="auto"/>
        <w:ind w:left="720" w:firstLine="720"/>
        <w:rPr>
          <w:rFonts w:cs="Times New Roman"/>
          <w:szCs w:val="24"/>
        </w:rPr>
      </w:pPr>
      <w:r w:rsidRPr="005A6964">
        <w:rPr>
          <w:rFonts w:cs="Times New Roman"/>
          <w:szCs w:val="24"/>
        </w:rPr>
        <w:t>choose immediately a non-SSO product when they sign up</w:t>
      </w:r>
    </w:p>
    <w:p w:rsidR="009C15AC" w:rsidRPr="005A6964" w:rsidRDefault="003F5B66" w:rsidP="00DD1D5E">
      <w:pPr>
        <w:pStyle w:val="CommentText"/>
        <w:spacing w:line="480" w:lineRule="auto"/>
        <w:ind w:left="720" w:firstLine="720"/>
        <w:rPr>
          <w:szCs w:val="24"/>
        </w:rPr>
      </w:pPr>
      <w:r w:rsidRPr="005A6964">
        <w:rPr>
          <w:szCs w:val="24"/>
        </w:rPr>
        <w:t>for distribution service.</w:t>
      </w:r>
      <w:r w:rsidRPr="005A6964">
        <w:rPr>
          <w:rStyle w:val="FootnoteReference"/>
          <w:szCs w:val="24"/>
        </w:rPr>
        <w:footnoteReference w:id="359"/>
      </w:r>
    </w:p>
    <w:p w:rsidR="003F5B66" w:rsidRPr="005A6964" w:rsidRDefault="00141DA5" w:rsidP="00177A3D">
      <w:pPr>
        <w:pStyle w:val="CommentText"/>
        <w:spacing w:line="480" w:lineRule="auto"/>
        <w:ind w:firstLine="720"/>
        <w:rPr>
          <w:sz w:val="24"/>
          <w:szCs w:val="24"/>
        </w:rPr>
      </w:pPr>
      <w:r w:rsidRPr="005A6964">
        <w:rPr>
          <w:sz w:val="24"/>
          <w:szCs w:val="24"/>
        </w:rPr>
        <w:t>The PUCO rejected it</w:t>
      </w:r>
      <w:r w:rsidR="003F5B66" w:rsidRPr="005A6964">
        <w:rPr>
          <w:sz w:val="24"/>
          <w:szCs w:val="24"/>
        </w:rPr>
        <w:t xml:space="preserve"> IGS proposal instead deciding:</w:t>
      </w:r>
    </w:p>
    <w:p w:rsidR="00141DA5" w:rsidRPr="005A6964" w:rsidRDefault="003F5B66" w:rsidP="009C15AC">
      <w:pPr>
        <w:autoSpaceDE w:val="0"/>
        <w:autoSpaceDN w:val="0"/>
        <w:adjustRightInd w:val="0"/>
        <w:spacing w:after="0" w:line="240" w:lineRule="auto"/>
        <w:ind w:left="1440" w:right="720"/>
        <w:rPr>
          <w:szCs w:val="24"/>
        </w:rPr>
      </w:pPr>
      <w:r w:rsidRPr="005A6964">
        <w:rPr>
          <w:rFonts w:cs="Times New Roman"/>
          <w:szCs w:val="24"/>
        </w:rPr>
        <w:t>as recommended by Staff and supported by the majority of conunenting stakeholders, that the SSO should remain the default service at present. As</w:t>
      </w:r>
      <w:r w:rsidR="009C15AC" w:rsidRPr="005A6964">
        <w:rPr>
          <w:rFonts w:cs="Times New Roman"/>
          <w:szCs w:val="24"/>
        </w:rPr>
        <w:t xml:space="preserve"> </w:t>
      </w:r>
      <w:r w:rsidRPr="005A6964">
        <w:rPr>
          <w:rFonts w:cs="Times New Roman"/>
          <w:szCs w:val="24"/>
        </w:rPr>
        <w:t>discussed in the Work Plan, the auction process has, to date,</w:t>
      </w:r>
      <w:r w:rsidR="009C15AC" w:rsidRPr="005A6964">
        <w:rPr>
          <w:rFonts w:cs="Times New Roman"/>
          <w:szCs w:val="24"/>
        </w:rPr>
        <w:t xml:space="preserve"> </w:t>
      </w:r>
      <w:r w:rsidRPr="005A6964">
        <w:rPr>
          <w:rFonts w:cs="Times New Roman"/>
          <w:szCs w:val="24"/>
        </w:rPr>
        <w:t>been successful in producing competitive prices and benefits</w:t>
      </w:r>
      <w:r w:rsidR="009C15AC" w:rsidRPr="005A6964">
        <w:rPr>
          <w:rFonts w:cs="Times New Roman"/>
          <w:szCs w:val="24"/>
        </w:rPr>
        <w:t xml:space="preserve"> </w:t>
      </w:r>
      <w:r w:rsidRPr="005A6964">
        <w:rPr>
          <w:rFonts w:cs="Times New Roman"/>
          <w:szCs w:val="24"/>
        </w:rPr>
        <w:t>for even those customers who currently choose not to shop</w:t>
      </w:r>
      <w:r w:rsidR="009C15AC" w:rsidRPr="005A6964">
        <w:rPr>
          <w:rFonts w:cs="Times New Roman"/>
          <w:szCs w:val="24"/>
        </w:rPr>
        <w:t xml:space="preserve"> </w:t>
      </w:r>
      <w:r w:rsidRPr="005A6964">
        <w:rPr>
          <w:szCs w:val="24"/>
        </w:rPr>
        <w:t>for their own supplier.</w:t>
      </w:r>
      <w:r w:rsidRPr="005A6964">
        <w:rPr>
          <w:rStyle w:val="FootnoteReference"/>
          <w:szCs w:val="24"/>
        </w:rPr>
        <w:footnoteReference w:id="360"/>
      </w:r>
      <w:r w:rsidR="00141DA5" w:rsidRPr="005A6964">
        <w:rPr>
          <w:szCs w:val="24"/>
        </w:rPr>
        <w:t xml:space="preserve"> </w:t>
      </w:r>
    </w:p>
    <w:p w:rsidR="009C15AC" w:rsidRPr="005A6964" w:rsidRDefault="009C15AC" w:rsidP="009C15AC">
      <w:pPr>
        <w:autoSpaceDE w:val="0"/>
        <w:autoSpaceDN w:val="0"/>
        <w:adjustRightInd w:val="0"/>
        <w:spacing w:after="0" w:line="240" w:lineRule="auto"/>
        <w:ind w:left="1440" w:right="720"/>
        <w:rPr>
          <w:szCs w:val="24"/>
        </w:rPr>
      </w:pPr>
    </w:p>
    <w:p w:rsidR="00625EDC" w:rsidRPr="005A6964" w:rsidRDefault="003F5B66" w:rsidP="009C15AC">
      <w:pPr>
        <w:spacing w:after="0" w:line="480" w:lineRule="auto"/>
        <w:ind w:firstLine="720"/>
      </w:pPr>
      <w:r w:rsidRPr="005A6964">
        <w:rPr>
          <w:rFonts w:cs="Times New Roman"/>
          <w:bCs/>
          <w:szCs w:val="24"/>
        </w:rPr>
        <w:t xml:space="preserve">IGS has tried unsuccessfully to eliminate the standard offer in the 12-3151 PUCO market investigation case.  The side deal is </w:t>
      </w:r>
      <w:r w:rsidR="00625EDC" w:rsidRPr="005A6964">
        <w:rPr>
          <w:rFonts w:cs="Times New Roman"/>
          <w:bCs/>
          <w:szCs w:val="24"/>
        </w:rPr>
        <w:t xml:space="preserve">merely </w:t>
      </w:r>
      <w:r w:rsidRPr="005A6964">
        <w:rPr>
          <w:rFonts w:cs="Times New Roman"/>
          <w:bCs/>
          <w:szCs w:val="24"/>
        </w:rPr>
        <w:t xml:space="preserve">a repackaging of its prior proposal in the </w:t>
      </w:r>
      <w:r w:rsidR="00625EDC" w:rsidRPr="005A6964">
        <w:rPr>
          <w:rFonts w:cs="Times New Roman"/>
          <w:bCs/>
          <w:szCs w:val="24"/>
        </w:rPr>
        <w:t>12-3151 case. Therefore, the</w:t>
      </w:r>
      <w:r w:rsidR="00625EDC" w:rsidRPr="005A6964">
        <w:t xml:space="preserve"> doctrines of res judicata and collateral estoppel operate to preclude the relitigation of a point of law or fact that was at issue in a former action between the same parties and was passed upon by a court of competent jurisdiction.  The doctrine of collateral estoppel has been applied to administrative proceedings.</w:t>
      </w:r>
      <w:r w:rsidR="00625EDC" w:rsidRPr="005A6964">
        <w:rPr>
          <w:rStyle w:val="FootnoteReference"/>
        </w:rPr>
        <w:footnoteReference w:id="361"/>
      </w:r>
      <w:r w:rsidR="00625EDC" w:rsidRPr="005A6964">
        <w:t xml:space="preserve"> </w:t>
      </w:r>
    </w:p>
    <w:p w:rsidR="00E96A77" w:rsidRPr="005A6964" w:rsidRDefault="00141DA5" w:rsidP="00A948E8">
      <w:pPr>
        <w:spacing w:after="0" w:line="480" w:lineRule="auto"/>
        <w:ind w:firstLine="720"/>
        <w:rPr>
          <w:rFonts w:cs="Times New Roman"/>
          <w:bCs/>
          <w:szCs w:val="24"/>
        </w:rPr>
      </w:pPr>
      <w:r w:rsidRPr="005A6964">
        <w:rPr>
          <w:rFonts w:cs="Times New Roman"/>
          <w:bCs/>
          <w:szCs w:val="24"/>
        </w:rPr>
        <w:t>The side deal</w:t>
      </w:r>
      <w:r w:rsidR="000E3396" w:rsidRPr="005A6964">
        <w:rPr>
          <w:rFonts w:cs="Times New Roman"/>
          <w:bCs/>
          <w:szCs w:val="24"/>
        </w:rPr>
        <w:t xml:space="preserve"> should not be considered part of the package that the PUCO evaluates in deliberation of this case. </w:t>
      </w:r>
    </w:p>
    <w:p w:rsidR="000E3396" w:rsidRPr="005A6964" w:rsidRDefault="000E3396" w:rsidP="00B03C0A">
      <w:pPr>
        <w:pStyle w:val="Heading5"/>
        <w:numPr>
          <w:ilvl w:val="0"/>
          <w:numId w:val="15"/>
        </w:numPr>
      </w:pPr>
      <w:bookmarkStart w:id="54" w:name="_Toc444269040"/>
      <w:r w:rsidRPr="005A6964">
        <w:t>The base distribution rate freeze has no bearing or relationship on the PPA or Rider RRS, and should not be included a part of a settlement package.</w:t>
      </w:r>
      <w:bookmarkEnd w:id="54"/>
      <w:r w:rsidRPr="005A6964">
        <w:t xml:space="preserve">  </w:t>
      </w:r>
    </w:p>
    <w:p w:rsidR="000E3396" w:rsidRPr="005A6964" w:rsidRDefault="000E3396" w:rsidP="00A948E8">
      <w:pPr>
        <w:spacing w:after="0" w:line="480" w:lineRule="auto"/>
        <w:ind w:firstLine="720"/>
        <w:rPr>
          <w:rFonts w:cs="Times New Roman"/>
          <w:szCs w:val="24"/>
        </w:rPr>
      </w:pPr>
      <w:r w:rsidRPr="005A6964">
        <w:rPr>
          <w:rFonts w:cs="Times New Roman"/>
          <w:szCs w:val="24"/>
        </w:rPr>
        <w:t>FirstEnergy has extended the base distribution rate freeze through the 8-year term of the ESP, assuming that base rate cases and the DCR rider create a “wash” where the cost increases under both are presumed to be the same.</w:t>
      </w:r>
      <w:r w:rsidRPr="005A6964">
        <w:rPr>
          <w:rFonts w:cs="Times New Roman"/>
          <w:szCs w:val="24"/>
          <w:vertAlign w:val="superscript"/>
        </w:rPr>
        <w:footnoteReference w:id="362"/>
      </w:r>
      <w:r w:rsidRPr="005A6964">
        <w:rPr>
          <w:rFonts w:cs="Times New Roman"/>
          <w:szCs w:val="24"/>
        </w:rPr>
        <w:t xml:space="preserve">  The benefits of a distribution rate freeze have no relationship to the PPA and Rider RRS, and are illusory because during this same 8-year term, FirstEnergy will be increasing its spending caps for Rider DCR by $30 million per year (between June 1, 2016 and May 31, 2019), $20 million per year (between June 1, 2019 and May 31, 2022), and $10 million per year (between June 1, 2022 and May 31, 2014).</w:t>
      </w:r>
      <w:r w:rsidRPr="005A6964">
        <w:rPr>
          <w:rStyle w:val="FootnoteReference"/>
          <w:rFonts w:cs="Times New Roman"/>
          <w:szCs w:val="24"/>
        </w:rPr>
        <w:footnoteReference w:id="363"/>
      </w:r>
    </w:p>
    <w:p w:rsidR="000E3396" w:rsidRPr="005A6964" w:rsidRDefault="000E3396" w:rsidP="00A948E8">
      <w:pPr>
        <w:spacing w:after="0" w:line="480" w:lineRule="auto"/>
        <w:ind w:firstLine="720"/>
        <w:rPr>
          <w:rFonts w:cs="Times New Roman"/>
          <w:szCs w:val="24"/>
        </w:rPr>
      </w:pPr>
      <w:r w:rsidRPr="005A6964">
        <w:rPr>
          <w:rFonts w:cs="Times New Roman"/>
          <w:szCs w:val="24"/>
        </w:rPr>
        <w:t>In addition, Wal-Mart noted how complex FirstEnergy’s distribution rates are.  Wal-Mart stated:</w:t>
      </w:r>
    </w:p>
    <w:p w:rsidR="000E3396" w:rsidRPr="005A6964" w:rsidRDefault="000E3396" w:rsidP="000E3396">
      <w:pPr>
        <w:autoSpaceDE w:val="0"/>
        <w:autoSpaceDN w:val="0"/>
        <w:adjustRightInd w:val="0"/>
        <w:spacing w:after="0" w:line="240" w:lineRule="auto"/>
        <w:ind w:left="1440" w:right="720"/>
        <w:rPr>
          <w:rFonts w:cs="Times New Roman"/>
          <w:szCs w:val="24"/>
        </w:rPr>
      </w:pPr>
      <w:r w:rsidRPr="005A6964">
        <w:rPr>
          <w:rFonts w:cs="Times New Roman"/>
          <w:szCs w:val="24"/>
        </w:rPr>
        <w:t xml:space="preserve">The Companies' rates are inordinately complex, and the Companies' proposal here </w:t>
      </w:r>
      <w:r w:rsidR="00037F6E" w:rsidRPr="005A6964">
        <w:rPr>
          <w:rFonts w:cs="Times New Roman"/>
          <w:szCs w:val="24"/>
        </w:rPr>
        <w:t>does not lessen that complexity.</w:t>
      </w:r>
      <w:r w:rsidRPr="005A6964">
        <w:rPr>
          <w:rFonts w:cs="Times New Roman"/>
          <w:sz w:val="16"/>
          <w:szCs w:val="16"/>
        </w:rPr>
        <w:t xml:space="preserve"> </w:t>
      </w:r>
      <w:r w:rsidRPr="005A6964">
        <w:rPr>
          <w:rFonts w:cs="Times New Roman"/>
          <w:szCs w:val="24"/>
        </w:rPr>
        <w:t xml:space="preserve">In fact, the Companies' proposal in this case makes changes to nine existing rate riders, creates two new rate riders, and eliminates six other rate schedules, riders, or portions thereof, while leaving nearly 30 other rate schedules and riders unchanged. </w:t>
      </w:r>
      <w:r w:rsidRPr="005A6964">
        <w:rPr>
          <w:rFonts w:cs="Times New Roman"/>
          <w:sz w:val="16"/>
          <w:szCs w:val="16"/>
        </w:rPr>
        <w:t xml:space="preserve"> </w:t>
      </w:r>
      <w:r w:rsidRPr="005A6964">
        <w:rPr>
          <w:rFonts w:cs="Times New Roman"/>
          <w:szCs w:val="24"/>
        </w:rPr>
        <w:t xml:space="preserve">For a commercial customer such as Walmart who wishes to engage in a bill analysis, it must examine more than 30 rates schedules or riders as well as applicable base rates to determine the billing impact. </w:t>
      </w:r>
      <w:r w:rsidRPr="005A6964">
        <w:rPr>
          <w:rFonts w:cs="Times New Roman"/>
          <w:sz w:val="16"/>
          <w:szCs w:val="16"/>
        </w:rPr>
        <w:t xml:space="preserve"> </w:t>
      </w:r>
      <w:r w:rsidRPr="005A6964">
        <w:rPr>
          <w:rFonts w:cs="Times New Roman"/>
          <w:szCs w:val="24"/>
        </w:rPr>
        <w:t>As a company who operates throughout the United States, Walmart deals with numerous electric utilities. In Walmart's experience, the Companies' rate schedules require more extensive analysis than most other utilities with which it does business.</w:t>
      </w:r>
      <w:r w:rsidRPr="005A6964">
        <w:rPr>
          <w:rFonts w:cs="Times New Roman"/>
          <w:sz w:val="16"/>
          <w:szCs w:val="16"/>
        </w:rPr>
        <w:t xml:space="preserve"> </w:t>
      </w:r>
      <w:r w:rsidRPr="005A6964">
        <w:rPr>
          <w:rFonts w:cs="Times New Roman"/>
          <w:szCs w:val="24"/>
        </w:rPr>
        <w:t>The situation with the Companies is, simply put, untenable, and it is quite frankly unreasonable to force customers to undertake such a complex and confusing review of the Companies' rate and rider framework simply to understand their monthly electric bills.</w:t>
      </w:r>
      <w:r w:rsidRPr="005A6964">
        <w:rPr>
          <w:rStyle w:val="FootnoteReference"/>
          <w:rFonts w:cs="Times New Roman"/>
          <w:szCs w:val="24"/>
        </w:rPr>
        <w:footnoteReference w:id="364"/>
      </w:r>
    </w:p>
    <w:p w:rsidR="000E3396" w:rsidRPr="005A6964" w:rsidRDefault="000E3396" w:rsidP="000E3396">
      <w:pPr>
        <w:autoSpaceDE w:val="0"/>
        <w:autoSpaceDN w:val="0"/>
        <w:adjustRightInd w:val="0"/>
        <w:spacing w:after="0" w:line="240" w:lineRule="auto"/>
        <w:rPr>
          <w:rFonts w:cs="Times New Roman"/>
          <w:szCs w:val="24"/>
        </w:rPr>
      </w:pPr>
    </w:p>
    <w:p w:rsidR="000E3396" w:rsidRPr="005A6964" w:rsidRDefault="000E3396" w:rsidP="000E3396">
      <w:pPr>
        <w:autoSpaceDE w:val="0"/>
        <w:autoSpaceDN w:val="0"/>
        <w:adjustRightInd w:val="0"/>
        <w:spacing w:after="0" w:line="480" w:lineRule="auto"/>
        <w:rPr>
          <w:rFonts w:cs="Times New Roman"/>
          <w:szCs w:val="24"/>
        </w:rPr>
      </w:pPr>
      <w:r w:rsidRPr="005A6964">
        <w:rPr>
          <w:rFonts w:cs="Times New Roman"/>
          <w:szCs w:val="24"/>
        </w:rPr>
        <w:tab/>
        <w:t>Wal-Mart’s recommended solution is for the Utilities to file a base distribution rate.  Wal-Mart stated:</w:t>
      </w:r>
    </w:p>
    <w:p w:rsidR="000E3396" w:rsidRPr="005A6964" w:rsidRDefault="000E3396" w:rsidP="000E3396">
      <w:pPr>
        <w:autoSpaceDE w:val="0"/>
        <w:autoSpaceDN w:val="0"/>
        <w:adjustRightInd w:val="0"/>
        <w:spacing w:after="0" w:line="240" w:lineRule="auto"/>
        <w:ind w:left="1440" w:right="720"/>
        <w:rPr>
          <w:rFonts w:cs="Times New Roman"/>
          <w:szCs w:val="24"/>
        </w:rPr>
      </w:pPr>
      <w:r w:rsidRPr="005A6964">
        <w:rPr>
          <w:rFonts w:cs="Times New Roman"/>
          <w:szCs w:val="24"/>
        </w:rPr>
        <w:t>Accordingly, the Commission should take this opportunity to evaluate ways to simplify the Companies' rate structure.</w:t>
      </w:r>
      <w:r w:rsidRPr="005A6964">
        <w:rPr>
          <w:rFonts w:cs="Times New Roman"/>
          <w:sz w:val="16"/>
          <w:szCs w:val="16"/>
        </w:rPr>
        <w:t xml:space="preserve"> </w:t>
      </w:r>
      <w:r w:rsidRPr="005A6964">
        <w:rPr>
          <w:rFonts w:cs="Times New Roman"/>
          <w:szCs w:val="24"/>
        </w:rPr>
        <w:t>In pertinent part, the Commission should require the Companies to file a base rate case timed to coincide with the conclusion of the initial proposed ESP term so the multitude of cost elements reflected in the currently overwhelming number of (current and as proposed) rates and riders can be examined and potentially rolled into base rates.</w:t>
      </w:r>
      <w:r w:rsidRPr="005A6964">
        <w:rPr>
          <w:rStyle w:val="FootnoteReference"/>
          <w:rFonts w:cs="Times New Roman"/>
          <w:szCs w:val="24"/>
        </w:rPr>
        <w:footnoteReference w:id="365"/>
      </w:r>
    </w:p>
    <w:p w:rsidR="009C15AC" w:rsidRPr="005A6964" w:rsidRDefault="009C15AC" w:rsidP="000E3396">
      <w:pPr>
        <w:autoSpaceDE w:val="0"/>
        <w:autoSpaceDN w:val="0"/>
        <w:adjustRightInd w:val="0"/>
        <w:spacing w:after="0" w:line="240" w:lineRule="auto"/>
        <w:ind w:left="1440" w:right="720"/>
        <w:rPr>
          <w:rFonts w:cs="Times New Roman"/>
          <w:szCs w:val="24"/>
        </w:rPr>
      </w:pPr>
    </w:p>
    <w:p w:rsidR="000E3396" w:rsidRPr="005A6964" w:rsidRDefault="000E3396" w:rsidP="000E3396">
      <w:pPr>
        <w:autoSpaceDE w:val="0"/>
        <w:autoSpaceDN w:val="0"/>
        <w:adjustRightInd w:val="0"/>
        <w:spacing w:after="0" w:line="480" w:lineRule="auto"/>
        <w:rPr>
          <w:rFonts w:cs="Times New Roman"/>
          <w:szCs w:val="24"/>
        </w:rPr>
      </w:pPr>
      <w:r w:rsidRPr="005A6964">
        <w:rPr>
          <w:rFonts w:cs="Times New Roman"/>
          <w:szCs w:val="24"/>
        </w:rPr>
        <w:t xml:space="preserve">The distribution rate freeze is without a nexus to the PPA and Rider RRS.  It perpetuates the complexity that is built into FirstEnergy’s rate structure.  Therefore, the PUCO should not include this provision as part of a settlement package when evaluating the PPA and Rider RRS in this case. </w:t>
      </w:r>
    </w:p>
    <w:p w:rsidR="00B7274A" w:rsidRPr="005A6964" w:rsidRDefault="00B7274A" w:rsidP="00037F6E">
      <w:pPr>
        <w:pStyle w:val="Heading3"/>
      </w:pPr>
      <w:bookmarkStart w:id="55" w:name="_Toc444269041"/>
      <w:r w:rsidRPr="005A6964">
        <w:t>5.</w:t>
      </w:r>
      <w:r w:rsidRPr="005A6964">
        <w:tab/>
        <w:t>Even if the PUCO uses the three</w:t>
      </w:r>
      <w:r w:rsidR="00C530C9" w:rsidRPr="005A6964">
        <w:t>-</w:t>
      </w:r>
      <w:r w:rsidRPr="005A6964">
        <w:t>prong test to evaluate the stipulated electric security plan, contrary to OCC/NO</w:t>
      </w:r>
      <w:r w:rsidR="004221F7" w:rsidRPr="005A6964">
        <w:t>AC</w:t>
      </w:r>
      <w:r w:rsidR="00C530C9" w:rsidRPr="005A6964">
        <w:t>’s</w:t>
      </w:r>
      <w:r w:rsidRPr="005A6964">
        <w:t xml:space="preserve"> recommendations, the electric security plan fails</w:t>
      </w:r>
      <w:r w:rsidR="00E50300" w:rsidRPr="005A6964">
        <w:t xml:space="preserve"> customers</w:t>
      </w:r>
      <w:r w:rsidR="00763303" w:rsidRPr="005A6964">
        <w:t>.</w:t>
      </w:r>
      <w:bookmarkEnd w:id="55"/>
    </w:p>
    <w:p w:rsidR="00B7274A" w:rsidRPr="005A6964" w:rsidRDefault="00B7274A" w:rsidP="002D7454">
      <w:pPr>
        <w:spacing w:after="0" w:line="480" w:lineRule="auto"/>
        <w:rPr>
          <w:szCs w:val="24"/>
        </w:rPr>
      </w:pPr>
      <w:r w:rsidRPr="005A6964">
        <w:rPr>
          <w:sz w:val="28"/>
          <w:szCs w:val="28"/>
        </w:rPr>
        <w:tab/>
      </w:r>
      <w:r w:rsidRPr="005A6964">
        <w:rPr>
          <w:szCs w:val="24"/>
        </w:rPr>
        <w:t xml:space="preserve">The PUCO should adopt OCC/NOAC's recommendation to review the Stipulation </w:t>
      </w:r>
      <w:r w:rsidR="00212C26" w:rsidRPr="005A6964">
        <w:rPr>
          <w:szCs w:val="24"/>
        </w:rPr>
        <w:t>outside of the three-prong test, as explained earlier in this brief.</w:t>
      </w:r>
      <w:r w:rsidRPr="005A6964">
        <w:rPr>
          <w:szCs w:val="24"/>
        </w:rPr>
        <w:t xml:space="preserve">   If</w:t>
      </w:r>
      <w:r w:rsidR="00212C26" w:rsidRPr="005A6964">
        <w:rPr>
          <w:szCs w:val="24"/>
        </w:rPr>
        <w:t xml:space="preserve"> the PUCO declines to do so, </w:t>
      </w:r>
      <w:r w:rsidRPr="005A6964">
        <w:rPr>
          <w:szCs w:val="24"/>
        </w:rPr>
        <w:t xml:space="preserve">then </w:t>
      </w:r>
      <w:r w:rsidR="00212C26" w:rsidRPr="005A6964">
        <w:rPr>
          <w:szCs w:val="24"/>
        </w:rPr>
        <w:t>it</w:t>
      </w:r>
      <w:r w:rsidRPr="005A6964">
        <w:rPr>
          <w:szCs w:val="24"/>
        </w:rPr>
        <w:t xml:space="preserve"> should accept our recommendations</w:t>
      </w:r>
      <w:r w:rsidRPr="005A6964">
        <w:rPr>
          <w:rStyle w:val="FootnoteReference"/>
          <w:szCs w:val="24"/>
        </w:rPr>
        <w:footnoteReference w:id="366"/>
      </w:r>
      <w:r w:rsidRPr="005A6964">
        <w:rPr>
          <w:szCs w:val="24"/>
        </w:rPr>
        <w:t xml:space="preserve"> which elaborate on why the </w:t>
      </w:r>
      <w:r w:rsidR="00212C26" w:rsidRPr="005A6964">
        <w:rPr>
          <w:szCs w:val="24"/>
        </w:rPr>
        <w:t>stipulated electric security plan</w:t>
      </w:r>
      <w:r w:rsidRPr="005A6964">
        <w:rPr>
          <w:szCs w:val="24"/>
        </w:rPr>
        <w:t xml:space="preserve"> should fail under all three of</w:t>
      </w:r>
      <w:r w:rsidR="00212C26" w:rsidRPr="005A6964">
        <w:rPr>
          <w:szCs w:val="24"/>
        </w:rPr>
        <w:t xml:space="preserve"> the prongs of the PUCO's three</w:t>
      </w:r>
      <w:r w:rsidRPr="005A6964">
        <w:rPr>
          <w:szCs w:val="24"/>
        </w:rPr>
        <w:t xml:space="preserve"> prong test.  </w:t>
      </w:r>
    </w:p>
    <w:p w:rsidR="00B7274A" w:rsidRPr="005A6964" w:rsidRDefault="00037F6E" w:rsidP="00FC4971">
      <w:pPr>
        <w:pStyle w:val="Heading4"/>
      </w:pPr>
      <w:bookmarkStart w:id="56" w:name="_Toc444269042"/>
      <w:r w:rsidRPr="005A6964">
        <w:t>a</w:t>
      </w:r>
      <w:r w:rsidR="00446CF5" w:rsidRPr="005A6964">
        <w:t xml:space="preserve">. </w:t>
      </w:r>
      <w:r w:rsidR="00446CF5" w:rsidRPr="005A6964">
        <w:tab/>
      </w:r>
      <w:r w:rsidR="00B7274A" w:rsidRPr="005A6964">
        <w:t>The parties to the Stipulation</w:t>
      </w:r>
      <w:r w:rsidR="00346162" w:rsidRPr="005A6964">
        <w:t>s</w:t>
      </w:r>
      <w:r w:rsidR="00B7274A" w:rsidRPr="005A6964">
        <w:t xml:space="preserve"> did not represent diverse interests</w:t>
      </w:r>
      <w:r w:rsidR="00FC4971" w:rsidRPr="005A6964">
        <w:t>.</w:t>
      </w:r>
      <w:bookmarkEnd w:id="56"/>
      <w:r w:rsidR="00B7274A" w:rsidRPr="005A6964">
        <w:t xml:space="preserve"> </w:t>
      </w:r>
    </w:p>
    <w:p w:rsidR="004B6CBA" w:rsidRPr="005A6964" w:rsidRDefault="00037F6E" w:rsidP="002D7454">
      <w:pPr>
        <w:spacing w:after="0" w:line="480" w:lineRule="auto"/>
        <w:rPr>
          <w:szCs w:val="24"/>
        </w:rPr>
      </w:pPr>
      <w:r w:rsidRPr="005A6964">
        <w:rPr>
          <w:szCs w:val="24"/>
        </w:rPr>
        <w:tab/>
      </w:r>
      <w:r w:rsidR="00346162" w:rsidRPr="005A6964">
        <w:rPr>
          <w:szCs w:val="24"/>
        </w:rPr>
        <w:t>OCC/NOAC explained in their Initial Brief why the stipulations are not representative of a diversity of interests.</w:t>
      </w:r>
      <w:r w:rsidR="00346162" w:rsidRPr="005A6964">
        <w:rPr>
          <w:rStyle w:val="FootnoteReference"/>
          <w:szCs w:val="24"/>
        </w:rPr>
        <w:footnoteReference w:id="367"/>
      </w:r>
      <w:r w:rsidR="00346162" w:rsidRPr="005A6964">
        <w:rPr>
          <w:szCs w:val="24"/>
        </w:rPr>
        <w:t xml:space="preserve">  Rather</w:t>
      </w:r>
      <w:r w:rsidR="008F446F" w:rsidRPr="005A6964">
        <w:rPr>
          <w:szCs w:val="24"/>
        </w:rPr>
        <w:t>,</w:t>
      </w:r>
      <w:r w:rsidR="00346162" w:rsidRPr="005A6964">
        <w:rPr>
          <w:szCs w:val="24"/>
        </w:rPr>
        <w:t xml:space="preserve"> it is the non-signatory parties who have </w:t>
      </w:r>
      <w:r w:rsidR="00584F49" w:rsidRPr="005A6964">
        <w:rPr>
          <w:szCs w:val="24"/>
        </w:rPr>
        <w:t xml:space="preserve">unique and </w:t>
      </w:r>
      <w:r w:rsidR="00346162" w:rsidRPr="005A6964">
        <w:rPr>
          <w:szCs w:val="24"/>
        </w:rPr>
        <w:t xml:space="preserve">diverse interests, but are united in their opposition to the Utilities' stipulated electric security plan.  </w:t>
      </w:r>
      <w:r w:rsidR="004B6CBA" w:rsidRPr="005A6964">
        <w:rPr>
          <w:szCs w:val="24"/>
        </w:rPr>
        <w:t>The non-signatories represent a wide range of interests that should not be discounted:  marketers and power producers,</w:t>
      </w:r>
      <w:r w:rsidR="004B6CBA" w:rsidRPr="005A6964">
        <w:rPr>
          <w:rStyle w:val="FootnoteReference"/>
          <w:szCs w:val="24"/>
        </w:rPr>
        <w:footnoteReference w:id="368"/>
      </w:r>
      <w:r w:rsidR="004B6CBA" w:rsidRPr="005A6964">
        <w:rPr>
          <w:szCs w:val="24"/>
        </w:rPr>
        <w:t xml:space="preserve"> environmental interests,</w:t>
      </w:r>
      <w:r w:rsidR="004B6CBA" w:rsidRPr="005A6964">
        <w:rPr>
          <w:rStyle w:val="FootnoteReference"/>
          <w:szCs w:val="24"/>
        </w:rPr>
        <w:footnoteReference w:id="369"/>
      </w:r>
      <w:r w:rsidR="004B6CBA" w:rsidRPr="005A6964">
        <w:rPr>
          <w:szCs w:val="24"/>
        </w:rPr>
        <w:t xml:space="preserve"> aggregators,</w:t>
      </w:r>
      <w:r w:rsidR="004B6CBA" w:rsidRPr="005A6964">
        <w:rPr>
          <w:rStyle w:val="FootnoteReference"/>
          <w:szCs w:val="24"/>
        </w:rPr>
        <w:footnoteReference w:id="370"/>
      </w:r>
      <w:r w:rsidR="004B6CBA" w:rsidRPr="005A6964">
        <w:rPr>
          <w:szCs w:val="24"/>
        </w:rPr>
        <w:t xml:space="preserve"> the independent market monitor, residential customers</w:t>
      </w:r>
      <w:r w:rsidR="008F446F" w:rsidRPr="005A6964">
        <w:rPr>
          <w:szCs w:val="24"/>
        </w:rPr>
        <w:t>, and various manufacturers</w:t>
      </w:r>
      <w:r w:rsidR="004B6CBA" w:rsidRPr="005A6964">
        <w:rPr>
          <w:szCs w:val="24"/>
        </w:rPr>
        <w:t xml:space="preserve">.  </w:t>
      </w:r>
      <w:r w:rsidR="00584F49" w:rsidRPr="005A6964">
        <w:rPr>
          <w:szCs w:val="24"/>
        </w:rPr>
        <w:t xml:space="preserve">The fact that so many divergent and important interests are not represented speaks volumes.  The PUCO should listen.   </w:t>
      </w:r>
    </w:p>
    <w:p w:rsidR="00B62B35" w:rsidRPr="005A6964" w:rsidRDefault="004B6CBA" w:rsidP="002D7454">
      <w:pPr>
        <w:spacing w:after="0" w:line="480" w:lineRule="auto"/>
        <w:rPr>
          <w:szCs w:val="24"/>
        </w:rPr>
      </w:pPr>
      <w:r w:rsidRPr="005A6964">
        <w:rPr>
          <w:szCs w:val="24"/>
        </w:rPr>
        <w:tab/>
        <w:t xml:space="preserve">In addressing the diversity of interests criterion, several of the signatory parties allege that residential customers </w:t>
      </w:r>
      <w:r w:rsidR="00851EBA" w:rsidRPr="005A6964">
        <w:rPr>
          <w:szCs w:val="24"/>
        </w:rPr>
        <w:t>(</w:t>
      </w:r>
      <w:r w:rsidRPr="005A6964">
        <w:rPr>
          <w:szCs w:val="24"/>
        </w:rPr>
        <w:t>beyond low</w:t>
      </w:r>
      <w:r w:rsidR="00C530C9" w:rsidRPr="005A6964">
        <w:rPr>
          <w:szCs w:val="24"/>
        </w:rPr>
        <w:t>-</w:t>
      </w:r>
      <w:r w:rsidRPr="005A6964">
        <w:rPr>
          <w:szCs w:val="24"/>
        </w:rPr>
        <w:t xml:space="preserve">income customers) were represented by the signatory parties.  </w:t>
      </w:r>
      <w:r w:rsidR="00584F49" w:rsidRPr="005A6964">
        <w:rPr>
          <w:szCs w:val="24"/>
        </w:rPr>
        <w:t xml:space="preserve">And </w:t>
      </w:r>
      <w:r w:rsidR="00B62B35" w:rsidRPr="005A6964">
        <w:rPr>
          <w:szCs w:val="24"/>
        </w:rPr>
        <w:t xml:space="preserve">there are claims that </w:t>
      </w:r>
      <w:r w:rsidR="00584F49" w:rsidRPr="005A6964">
        <w:rPr>
          <w:szCs w:val="24"/>
        </w:rPr>
        <w:t>that the PUCO Staff represents all customers and the public interest.</w:t>
      </w:r>
      <w:r w:rsidR="00584F49" w:rsidRPr="005A6964">
        <w:rPr>
          <w:rStyle w:val="FootnoteReference"/>
          <w:szCs w:val="24"/>
        </w:rPr>
        <w:footnoteReference w:id="371"/>
      </w:r>
      <w:r w:rsidR="00584F49" w:rsidRPr="005A6964">
        <w:rPr>
          <w:szCs w:val="24"/>
        </w:rPr>
        <w:t xml:space="preserve"> </w:t>
      </w:r>
      <w:r w:rsidRPr="005A6964">
        <w:rPr>
          <w:szCs w:val="24"/>
        </w:rPr>
        <w:t>These claims are untrue</w:t>
      </w:r>
      <w:r w:rsidR="00B62B35" w:rsidRPr="005A6964">
        <w:rPr>
          <w:szCs w:val="24"/>
        </w:rPr>
        <w:t xml:space="preserve">.  They lack record support. </w:t>
      </w:r>
      <w:r w:rsidR="00584F49" w:rsidRPr="005A6964">
        <w:rPr>
          <w:szCs w:val="24"/>
        </w:rPr>
        <w:t xml:space="preserve"> </w:t>
      </w:r>
      <w:r w:rsidRPr="005A6964">
        <w:rPr>
          <w:szCs w:val="24"/>
        </w:rPr>
        <w:tab/>
      </w:r>
    </w:p>
    <w:p w:rsidR="00A555C4" w:rsidRPr="005A6964" w:rsidRDefault="00207BE3" w:rsidP="00A555C4">
      <w:pPr>
        <w:pStyle w:val="DirectNext"/>
        <w:spacing w:line="480" w:lineRule="auto"/>
        <w:ind w:left="0" w:firstLine="720"/>
      </w:pPr>
      <w:r w:rsidRPr="005A6964">
        <w:t>With respect to the notion that low</w:t>
      </w:r>
      <w:r w:rsidR="00E50300" w:rsidRPr="005A6964">
        <w:t>-</w:t>
      </w:r>
      <w:r w:rsidRPr="005A6964">
        <w:t>income customers are represented in the settlement process, the PUCO should consider the fact that at least one of those low income signatory parties, the Consume</w:t>
      </w:r>
      <w:r w:rsidR="00A555C4" w:rsidRPr="005A6964">
        <w:t>r</w:t>
      </w:r>
      <w:r w:rsidRPr="005A6964">
        <w:t xml:space="preserve"> Protection Association, is defunct.  That information has been </w:t>
      </w:r>
      <w:r w:rsidR="008161A6" w:rsidRPr="005A6964">
        <w:t>proffered</w:t>
      </w:r>
      <w:r w:rsidRPr="005A6964">
        <w:t xml:space="preserve"> by OMA.  The Attorney Examiner precluded OMA </w:t>
      </w:r>
      <w:r w:rsidRPr="005A6964">
        <w:br/>
        <w:t xml:space="preserve">Witness </w:t>
      </w:r>
      <w:r w:rsidR="00A555C4" w:rsidRPr="005A6964">
        <w:t xml:space="preserve">Professor </w:t>
      </w:r>
      <w:r w:rsidRPr="005A6964">
        <w:t xml:space="preserve">Hill from submitting pertinent information on this issue.   </w:t>
      </w:r>
    </w:p>
    <w:p w:rsidR="00A555C4" w:rsidRPr="005A6964" w:rsidRDefault="00A555C4" w:rsidP="00A555C4">
      <w:pPr>
        <w:pStyle w:val="DirectNext"/>
        <w:spacing w:line="480" w:lineRule="auto"/>
        <w:ind w:left="0" w:firstLine="720"/>
      </w:pPr>
      <w:r w:rsidRPr="005A6964">
        <w:t>The pro</w:t>
      </w:r>
      <w:r w:rsidR="001A4978" w:rsidRPr="005A6964">
        <w:t>f</w:t>
      </w:r>
      <w:r w:rsidRPr="005A6964">
        <w:t xml:space="preserve">fered evidence </w:t>
      </w:r>
      <w:r w:rsidR="00E50300" w:rsidRPr="005A6964">
        <w:t xml:space="preserve">raises </w:t>
      </w:r>
      <w:r w:rsidRPr="005A6964">
        <w:t xml:space="preserve">questions about </w:t>
      </w:r>
      <w:r w:rsidR="00E50300" w:rsidRPr="005A6964">
        <w:t xml:space="preserve">the </w:t>
      </w:r>
      <w:r w:rsidRPr="005A6964">
        <w:t xml:space="preserve">settlement process.  If the concerns </w:t>
      </w:r>
      <w:r w:rsidR="0022506D" w:rsidRPr="005A6964">
        <w:t xml:space="preserve">regarding the Consumer Protection Association are true, then it is an understatement to request that </w:t>
      </w:r>
      <w:r w:rsidRPr="005A6964">
        <w:t xml:space="preserve">the PUCO should give no weight to the Consumer Protection Association's December 1, 2015 signature on the Third Supplemental Stipulation.  </w:t>
      </w:r>
      <w:r w:rsidR="00C530C9" w:rsidRPr="005A6964">
        <w:t xml:space="preserve">And a </w:t>
      </w:r>
      <w:r w:rsidRPr="005A6964">
        <w:t>PUCO inquiry</w:t>
      </w:r>
      <w:r w:rsidR="00C530C9" w:rsidRPr="005A6964">
        <w:t xml:space="preserve"> about its settlement process</w:t>
      </w:r>
      <w:r w:rsidRPr="005A6964">
        <w:t xml:space="preserve"> should include: (1) </w:t>
      </w:r>
      <w:r w:rsidR="00AF77DD" w:rsidRPr="005A6964">
        <w:t xml:space="preserve">that a </w:t>
      </w:r>
      <w:r w:rsidR="00343E37" w:rsidRPr="005A6964">
        <w:t>signatory</w:t>
      </w:r>
      <w:r w:rsidR="00AF77DD" w:rsidRPr="005A6964">
        <w:t xml:space="preserve"> cannot </w:t>
      </w:r>
      <w:r w:rsidRPr="005A6964">
        <w:t>be considered a capable knowledgeable party, with regards to the first-prong</w:t>
      </w:r>
      <w:r w:rsidR="00AF77DD" w:rsidRPr="005A6964">
        <w:t xml:space="preserve"> of the test</w:t>
      </w:r>
      <w:r w:rsidRPr="005A6964">
        <w:t xml:space="preserve">, if it has shut its doors in August, and is no longer providing services to Ohioans? (2) </w:t>
      </w:r>
      <w:r w:rsidR="00343E37" w:rsidRPr="005A6964">
        <w:t xml:space="preserve">that </w:t>
      </w:r>
      <w:r w:rsidRPr="005A6964">
        <w:t>the Consumer Protection A</w:t>
      </w:r>
      <w:r w:rsidR="00075628" w:rsidRPr="005A6964">
        <w:t>ssociation</w:t>
      </w:r>
      <w:r w:rsidRPr="005A6964">
        <w:t xml:space="preserve"> </w:t>
      </w:r>
      <w:r w:rsidR="00343E37" w:rsidRPr="005A6964">
        <w:t xml:space="preserve">would be challenged </w:t>
      </w:r>
      <w:r w:rsidR="00EE3AA2" w:rsidRPr="005A6964">
        <w:t xml:space="preserve">if it is defunct; (3) </w:t>
      </w:r>
      <w:r w:rsidR="00343E37" w:rsidRPr="005A6964">
        <w:t xml:space="preserve">that it is questionable how the </w:t>
      </w:r>
      <w:r w:rsidR="00AF77DD" w:rsidRPr="005A6964">
        <w:t>Consumer Protection A</w:t>
      </w:r>
      <w:r w:rsidR="00075628" w:rsidRPr="005A6964">
        <w:t>ssociation</w:t>
      </w:r>
      <w:r w:rsidR="00AF77DD" w:rsidRPr="005A6964">
        <w:t xml:space="preserve"> </w:t>
      </w:r>
      <w:r w:rsidR="00343E37" w:rsidRPr="005A6964">
        <w:t xml:space="preserve">could </w:t>
      </w:r>
      <w:r w:rsidR="00075628" w:rsidRPr="005A6964">
        <w:t>sign the Third Supp</w:t>
      </w:r>
      <w:r w:rsidR="00EE3AA2" w:rsidRPr="005A6964">
        <w:t>lem</w:t>
      </w:r>
      <w:r w:rsidR="00075628" w:rsidRPr="005A6964">
        <w:t>ental</w:t>
      </w:r>
      <w:r w:rsidR="00EE3AA2" w:rsidRPr="005A6964">
        <w:t xml:space="preserve"> Stipulation </w:t>
      </w:r>
      <w:r w:rsidR="00343E37" w:rsidRPr="005A6964">
        <w:t xml:space="preserve">with FirstEnergy </w:t>
      </w:r>
      <w:r w:rsidR="00EE3AA2" w:rsidRPr="005A6964">
        <w:t>if it was defunct? And (4) how will the settlement funding for the so-called Consumer Protection A</w:t>
      </w:r>
      <w:r w:rsidR="00075628" w:rsidRPr="005A6964">
        <w:t xml:space="preserve">ssociation </w:t>
      </w:r>
      <w:r w:rsidR="00EE3AA2" w:rsidRPr="005A6964">
        <w:t xml:space="preserve"> </w:t>
      </w:r>
      <w:r w:rsidR="00AF77DD" w:rsidRPr="005A6964">
        <w:t>(and any money it would receive)</w:t>
      </w:r>
      <w:r w:rsidR="00C530C9" w:rsidRPr="005A6964">
        <w:t xml:space="preserve"> </w:t>
      </w:r>
      <w:r w:rsidR="00343E37" w:rsidRPr="005A6964">
        <w:t xml:space="preserve">be addressed regarding </w:t>
      </w:r>
      <w:r w:rsidR="00C530C9" w:rsidRPr="005A6964">
        <w:t>the</w:t>
      </w:r>
      <w:r w:rsidRPr="005A6964">
        <w:t xml:space="preserve"> Third Supplemental Stipulation</w:t>
      </w:r>
      <w:r w:rsidR="00C73C27" w:rsidRPr="005A6964">
        <w:t>?</w:t>
      </w:r>
      <w:r w:rsidRPr="005A6964">
        <w:t xml:space="preserve"> </w:t>
      </w:r>
    </w:p>
    <w:p w:rsidR="00A555C4" w:rsidRPr="005A6964" w:rsidRDefault="00A555C4" w:rsidP="00A555C4">
      <w:pPr>
        <w:pStyle w:val="DirectNext"/>
        <w:spacing w:line="480" w:lineRule="auto"/>
        <w:ind w:left="0" w:firstLine="720"/>
      </w:pPr>
      <w:r w:rsidRPr="005A6964">
        <w:t>F</w:t>
      </w:r>
      <w:r w:rsidR="00E50300" w:rsidRPr="005A6964">
        <w:t xml:space="preserve">urthermore, </w:t>
      </w:r>
      <w:r w:rsidRPr="005A6964">
        <w:t xml:space="preserve">the PUCO should reverse the Attorney Examiner’s ruling that excluded Professor Hill’s </w:t>
      </w:r>
      <w:r w:rsidR="004221F7" w:rsidRPr="005A6964">
        <w:t xml:space="preserve">testimony on the Consumer Protection Association.  </w:t>
      </w:r>
      <w:r w:rsidRPr="005A6964">
        <w:t xml:space="preserve">If this </w:t>
      </w:r>
      <w:r w:rsidR="004221F7" w:rsidRPr="005A6964">
        <w:t xml:space="preserve">information is true, </w:t>
      </w:r>
      <w:r w:rsidRPr="005A6964">
        <w:t xml:space="preserve">as Professor Hill alleges, </w:t>
      </w:r>
      <w:r w:rsidR="00EE3AA2" w:rsidRPr="005A6964">
        <w:rPr>
          <w:rStyle w:val="FootnoteReference"/>
        </w:rPr>
        <w:footnoteReference w:id="372"/>
      </w:r>
      <w:r w:rsidRPr="005A6964">
        <w:t xml:space="preserve">then </w:t>
      </w:r>
      <w:r w:rsidR="00343E37" w:rsidRPr="005A6964">
        <w:t>these entities have parlayed three signatures (now should only be two if the Consumer Protection Association if defunct) into four, further deluding the alleged diversity of interest in the Stipulation, under the first prong.</w:t>
      </w:r>
      <w:r w:rsidR="00075628" w:rsidRPr="005A6964">
        <w:t xml:space="preserve"> The number of “consumer” parties that make up the “Citizen Coalition” (if that organization should be considered, on its own, as a signatory party) is reduced by one, because Consumer Protection Association is defunct.  </w:t>
      </w:r>
      <w:r w:rsidR="00343E37" w:rsidRPr="005A6964">
        <w:t xml:space="preserve">Note also, regarding the leveraging of signatures, that </w:t>
      </w:r>
      <w:r w:rsidR="00075628" w:rsidRPr="005A6964">
        <w:t>the Cleveland Housing Network (a signatory party)</w:t>
      </w:r>
      <w:r w:rsidR="0057442C" w:rsidRPr="005A6964">
        <w:t xml:space="preserve"> is also a member of OPAE</w:t>
      </w:r>
      <w:r w:rsidR="0057442C" w:rsidRPr="005A6964">
        <w:rPr>
          <w:rStyle w:val="FootnoteReference"/>
        </w:rPr>
        <w:footnoteReference w:id="373"/>
      </w:r>
      <w:r w:rsidR="0057442C" w:rsidRPr="005A6964">
        <w:t xml:space="preserve"> (another signatory party). Given these inter-relationships between th</w:t>
      </w:r>
      <w:r w:rsidR="00343E37" w:rsidRPr="005A6964">
        <w:t>ose</w:t>
      </w:r>
      <w:r w:rsidR="0057442C" w:rsidRPr="005A6964">
        <w:t xml:space="preserve"> signatory parties, the clarity of the diversity of interest under the PUCO’s first-prong is blurred.</w:t>
      </w:r>
    </w:p>
    <w:p w:rsidR="004B6CBA" w:rsidRPr="005A6964" w:rsidRDefault="00A555C4" w:rsidP="002D7454">
      <w:pPr>
        <w:spacing w:after="0" w:line="480" w:lineRule="auto"/>
        <w:rPr>
          <w:szCs w:val="24"/>
        </w:rPr>
      </w:pPr>
      <w:r w:rsidRPr="005A6964">
        <w:rPr>
          <w:szCs w:val="24"/>
        </w:rPr>
        <w:tab/>
      </w:r>
      <w:r w:rsidR="00CC4DB1" w:rsidRPr="005A6964">
        <w:rPr>
          <w:szCs w:val="24"/>
        </w:rPr>
        <w:t xml:space="preserve">There are other issues raised by the signatory parties that bear upon questions of who the signatory parties really represent.  </w:t>
      </w:r>
      <w:r w:rsidR="004B6CBA" w:rsidRPr="005A6964">
        <w:rPr>
          <w:szCs w:val="24"/>
        </w:rPr>
        <w:t>NUCOR claims that "moderate income residential customers" were represented by signatory parties, citing to FirstEnergy Ex.</w:t>
      </w:r>
      <w:r w:rsidR="008161A6" w:rsidRPr="005A6964">
        <w:rPr>
          <w:szCs w:val="24"/>
        </w:rPr>
        <w:t xml:space="preserve"> </w:t>
      </w:r>
      <w:r w:rsidRPr="005A6964">
        <w:rPr>
          <w:szCs w:val="24"/>
        </w:rPr>
        <w:t>155</w:t>
      </w:r>
      <w:r w:rsidR="004B6CBA" w:rsidRPr="005A6964">
        <w:rPr>
          <w:szCs w:val="24"/>
        </w:rPr>
        <w:t>, the Fifth Supplemental Testimony of Witness Mikkelsen at 2-3.</w:t>
      </w:r>
      <w:r w:rsidR="00851EBA" w:rsidRPr="005A6964">
        <w:rPr>
          <w:rStyle w:val="FootnoteReference"/>
          <w:szCs w:val="24"/>
        </w:rPr>
        <w:footnoteReference w:id="374"/>
      </w:r>
      <w:r w:rsidR="00851EBA" w:rsidRPr="005A6964">
        <w:rPr>
          <w:szCs w:val="24"/>
        </w:rPr>
        <w:t xml:space="preserve"> But when</w:t>
      </w:r>
      <w:r w:rsidR="004B6CBA" w:rsidRPr="005A6964">
        <w:rPr>
          <w:szCs w:val="24"/>
        </w:rPr>
        <w:t xml:space="preserve"> Ms. Mikkelsen's testimony </w:t>
      </w:r>
      <w:r w:rsidR="00851EBA" w:rsidRPr="005A6964">
        <w:rPr>
          <w:szCs w:val="24"/>
        </w:rPr>
        <w:t xml:space="preserve">is examined, </w:t>
      </w:r>
      <w:r w:rsidR="004B6CBA" w:rsidRPr="005A6964">
        <w:rPr>
          <w:szCs w:val="24"/>
        </w:rPr>
        <w:t xml:space="preserve"> no such claim is </w:t>
      </w:r>
      <w:r w:rsidR="00851EBA" w:rsidRPr="005A6964">
        <w:rPr>
          <w:szCs w:val="24"/>
        </w:rPr>
        <w:t>found.</w:t>
      </w:r>
      <w:r w:rsidR="004B6CBA" w:rsidRPr="005A6964">
        <w:rPr>
          <w:szCs w:val="24"/>
        </w:rPr>
        <w:t xml:space="preserve">  </w:t>
      </w:r>
      <w:r w:rsidR="00851EBA" w:rsidRPr="005A6964">
        <w:rPr>
          <w:szCs w:val="24"/>
        </w:rPr>
        <w:t>Similarly, the PUCO Staff claims that the city of Akron represents residential customers,</w:t>
      </w:r>
      <w:r w:rsidR="00851EBA" w:rsidRPr="005A6964">
        <w:rPr>
          <w:rStyle w:val="FootnoteReference"/>
          <w:szCs w:val="24"/>
        </w:rPr>
        <w:footnoteReference w:id="375"/>
      </w:r>
      <w:r w:rsidR="00851EBA" w:rsidRPr="005A6964">
        <w:rPr>
          <w:szCs w:val="24"/>
        </w:rPr>
        <w:t xml:space="preserve"> but </w:t>
      </w:r>
      <w:r w:rsidR="004221F7" w:rsidRPr="005A6964">
        <w:rPr>
          <w:szCs w:val="24"/>
        </w:rPr>
        <w:t xml:space="preserve">Akron’s </w:t>
      </w:r>
      <w:r w:rsidR="00851EBA" w:rsidRPr="005A6964">
        <w:rPr>
          <w:szCs w:val="24"/>
        </w:rPr>
        <w:t>motion to intervene suggests otherwise.</w:t>
      </w:r>
      <w:r w:rsidR="00851EBA" w:rsidRPr="005A6964">
        <w:rPr>
          <w:rStyle w:val="FootnoteReference"/>
          <w:szCs w:val="24"/>
        </w:rPr>
        <w:footnoteReference w:id="376"/>
      </w:r>
    </w:p>
    <w:p w:rsidR="00207BE3" w:rsidRPr="005A6964" w:rsidRDefault="00584F49" w:rsidP="002D7454">
      <w:pPr>
        <w:spacing w:after="0" w:line="480" w:lineRule="auto"/>
        <w:rPr>
          <w:szCs w:val="24"/>
        </w:rPr>
      </w:pPr>
      <w:r w:rsidRPr="005A6964">
        <w:rPr>
          <w:szCs w:val="24"/>
        </w:rPr>
        <w:tab/>
      </w:r>
      <w:r w:rsidR="00B62B35" w:rsidRPr="005A6964">
        <w:rPr>
          <w:szCs w:val="24"/>
        </w:rPr>
        <w:t xml:space="preserve">And </w:t>
      </w:r>
      <w:r w:rsidR="004221F7" w:rsidRPr="005A6964">
        <w:rPr>
          <w:szCs w:val="24"/>
        </w:rPr>
        <w:t>wh</w:t>
      </w:r>
      <w:r w:rsidR="00B44F6E" w:rsidRPr="005A6964">
        <w:rPr>
          <w:szCs w:val="24"/>
        </w:rPr>
        <w:t>ile</w:t>
      </w:r>
      <w:r w:rsidR="004221F7" w:rsidRPr="005A6964">
        <w:rPr>
          <w:szCs w:val="24"/>
        </w:rPr>
        <w:t xml:space="preserve"> </w:t>
      </w:r>
      <w:r w:rsidR="00B62B35" w:rsidRPr="005A6964">
        <w:rPr>
          <w:szCs w:val="24"/>
        </w:rPr>
        <w:t>FirstEnergy claims that</w:t>
      </w:r>
      <w:r w:rsidRPr="005A6964">
        <w:rPr>
          <w:szCs w:val="24"/>
        </w:rPr>
        <w:t xml:space="preserve"> the PUCO Staff represents all customers and the public interest</w:t>
      </w:r>
      <w:r w:rsidR="004221F7" w:rsidRPr="005A6964">
        <w:rPr>
          <w:szCs w:val="24"/>
        </w:rPr>
        <w:t>,</w:t>
      </w:r>
      <w:r w:rsidR="00B62B35" w:rsidRPr="005A6964">
        <w:rPr>
          <w:rStyle w:val="FootnoteReference"/>
          <w:szCs w:val="24"/>
        </w:rPr>
        <w:footnoteReference w:id="377"/>
      </w:r>
      <w:r w:rsidR="00B62B35" w:rsidRPr="005A6964">
        <w:rPr>
          <w:szCs w:val="24"/>
        </w:rPr>
        <w:t xml:space="preserve"> </w:t>
      </w:r>
      <w:r w:rsidR="004221F7" w:rsidRPr="005A6964">
        <w:rPr>
          <w:szCs w:val="24"/>
        </w:rPr>
        <w:t>t</w:t>
      </w:r>
      <w:r w:rsidR="00B62B35" w:rsidRPr="005A6964">
        <w:rPr>
          <w:szCs w:val="24"/>
        </w:rPr>
        <w:t>he record is silent on this fact. FirstEnergy's reliance on witness</w:t>
      </w:r>
      <w:r w:rsidR="00726EC9" w:rsidRPr="005A6964">
        <w:rPr>
          <w:szCs w:val="24"/>
        </w:rPr>
        <w:t xml:space="preserve"> </w:t>
      </w:r>
      <w:r w:rsidR="00B62B35" w:rsidRPr="005A6964">
        <w:rPr>
          <w:szCs w:val="24"/>
        </w:rPr>
        <w:t>Mikkelsen is misplaced.</w:t>
      </w:r>
      <w:r w:rsidRPr="005A6964">
        <w:rPr>
          <w:szCs w:val="24"/>
        </w:rPr>
        <w:t xml:space="preserve">.  </w:t>
      </w:r>
      <w:r w:rsidR="00B62B35" w:rsidRPr="005A6964">
        <w:rPr>
          <w:szCs w:val="24"/>
        </w:rPr>
        <w:t xml:space="preserve">Tellingly, the PUCO Staff itself does not make this bold claim. </w:t>
      </w:r>
      <w:r w:rsidR="00B7274A" w:rsidRPr="005A6964">
        <w:rPr>
          <w:szCs w:val="24"/>
        </w:rPr>
        <w:tab/>
      </w:r>
    </w:p>
    <w:p w:rsidR="00037F6E" w:rsidRPr="005A6964" w:rsidRDefault="00037F6E" w:rsidP="00B30CAE">
      <w:pPr>
        <w:pStyle w:val="Heading5"/>
      </w:pPr>
      <w:bookmarkStart w:id="57" w:name="_Toc444269043"/>
      <w:r w:rsidRPr="005A6964">
        <w:t xml:space="preserve">i.  </w:t>
      </w:r>
      <w:r w:rsidRPr="005A6964">
        <w:tab/>
        <w:t>Prong One: The settlements were not the product of serious bargaining among capable, knowledgeable parties with diverse interests.</w:t>
      </w:r>
      <w:bookmarkEnd w:id="57"/>
    </w:p>
    <w:p w:rsidR="00037F6E" w:rsidRPr="005A6964" w:rsidRDefault="00037F6E" w:rsidP="00037F6E">
      <w:pPr>
        <w:spacing w:after="0" w:line="480" w:lineRule="auto"/>
        <w:rPr>
          <w:szCs w:val="24"/>
        </w:rPr>
      </w:pPr>
      <w:r w:rsidRPr="005A6964">
        <w:rPr>
          <w:sz w:val="28"/>
          <w:szCs w:val="28"/>
        </w:rPr>
        <w:tab/>
      </w:r>
      <w:r w:rsidRPr="005A6964">
        <w:rPr>
          <w:szCs w:val="24"/>
        </w:rPr>
        <w:t>As explained in the OCC/NOAC Initial Brief, the settlement agreements that modified the ESP were not the product of serious bargaining among knowledgeable parties with diverse interests.</w:t>
      </w:r>
      <w:r w:rsidRPr="005A6964">
        <w:rPr>
          <w:rStyle w:val="FootnoteReference"/>
          <w:szCs w:val="24"/>
        </w:rPr>
        <w:footnoteReference w:id="378"/>
      </w:r>
      <w:r w:rsidRPr="005A6964">
        <w:rPr>
          <w:szCs w:val="24"/>
        </w:rPr>
        <w:t xml:space="preserve"> </w:t>
      </w:r>
      <w:r w:rsidR="0039178E" w:rsidRPr="005A6964">
        <w:rPr>
          <w:szCs w:val="24"/>
        </w:rPr>
        <w:t xml:space="preserve">For one matter, there is </w:t>
      </w:r>
      <w:r w:rsidRPr="005A6964">
        <w:rPr>
          <w:szCs w:val="24"/>
        </w:rPr>
        <w:t xml:space="preserve">unequal bargaining </w:t>
      </w:r>
      <w:r w:rsidR="0039178E" w:rsidRPr="005A6964">
        <w:rPr>
          <w:szCs w:val="24"/>
        </w:rPr>
        <w:t xml:space="preserve">due to the superior bargaining position that </w:t>
      </w:r>
      <w:r w:rsidRPr="005A6964">
        <w:rPr>
          <w:szCs w:val="24"/>
        </w:rPr>
        <w:t>FirstEnergy holds.  Under R.C. 4928.143(C)(2)(a), if the PUCO modifies FirstEnergy's application, FirstEnergy may withdraw it</w:t>
      </w:r>
      <w:r w:rsidR="0039178E" w:rsidRPr="005A6964">
        <w:rPr>
          <w:szCs w:val="24"/>
        </w:rPr>
        <w:t>s application if the PUCO modifies it</w:t>
      </w:r>
      <w:r w:rsidRPr="005A6964">
        <w:rPr>
          <w:szCs w:val="24"/>
        </w:rPr>
        <w:t>.  A utility's ultimate power to withdraw its application if it does not agree with any modification is an insurmountable obstacle to engaging in serious negotiations</w:t>
      </w:r>
      <w:r w:rsidR="00CC4DB1" w:rsidRPr="005A6964">
        <w:rPr>
          <w:szCs w:val="24"/>
        </w:rPr>
        <w:t>.</w:t>
      </w:r>
      <w:r w:rsidR="0039178E" w:rsidRPr="005A6964">
        <w:rPr>
          <w:rStyle w:val="FootnoteReference"/>
          <w:szCs w:val="24"/>
        </w:rPr>
        <w:footnoteReference w:id="379"/>
      </w:r>
      <w:r w:rsidR="001D6009" w:rsidRPr="005A6964">
        <w:rPr>
          <w:szCs w:val="24"/>
        </w:rPr>
        <w:t xml:space="preserve"> </w:t>
      </w:r>
      <w:r w:rsidRPr="005A6964">
        <w:rPr>
          <w:szCs w:val="24"/>
        </w:rPr>
        <w:t xml:space="preserve">This explains why the stipulations only minimally modified the core provisions of the Utilities' application and Rider RRS.  And it explains why the PUCO Staff concessions were enormous--nothing short of a complete reversal of its principled opposition to much of FirstEnergy's electric security plan, including Rider RRS.      </w:t>
      </w:r>
    </w:p>
    <w:p w:rsidR="00037F6E" w:rsidRPr="005A6964" w:rsidRDefault="00037F6E" w:rsidP="00037F6E">
      <w:pPr>
        <w:spacing w:after="0" w:line="480" w:lineRule="auto"/>
        <w:rPr>
          <w:szCs w:val="24"/>
        </w:rPr>
      </w:pPr>
      <w:r w:rsidRPr="005A6964">
        <w:rPr>
          <w:szCs w:val="24"/>
        </w:rPr>
        <w:tab/>
        <w:t xml:space="preserve">Several signatories to the Stipulations presented </w:t>
      </w:r>
      <w:r w:rsidR="002B27AC" w:rsidRPr="005A6964">
        <w:rPr>
          <w:szCs w:val="24"/>
        </w:rPr>
        <w:t>minimal</w:t>
      </w:r>
      <w:r w:rsidRPr="005A6964">
        <w:rPr>
          <w:szCs w:val="24"/>
        </w:rPr>
        <w:t xml:space="preserve"> arguments that the first prong of the stipulation was met.  In this regard the PUCO Staff claimed that the Stipulation results from serious bargaining among knowledgeable parties is "obvious."</w:t>
      </w:r>
      <w:r w:rsidRPr="005A6964">
        <w:rPr>
          <w:rStyle w:val="FootnoteReference"/>
          <w:szCs w:val="24"/>
        </w:rPr>
        <w:footnoteReference w:id="380"/>
      </w:r>
      <w:r w:rsidRPr="005A6964">
        <w:rPr>
          <w:szCs w:val="24"/>
        </w:rPr>
        <w:t xml:space="preserve"> </w:t>
      </w:r>
      <w:r w:rsidR="0039178E" w:rsidRPr="005A6964">
        <w:rPr>
          <w:szCs w:val="24"/>
        </w:rPr>
        <w:t xml:space="preserve">If it’s so obvious, then it should be easy to explain – but the Staff did not do so.  In fact, relatively little is known about FirstEnergy’s bargaining with the PUCO Staff.  </w:t>
      </w:r>
      <w:r w:rsidRPr="005A6964">
        <w:rPr>
          <w:szCs w:val="24"/>
        </w:rPr>
        <w:t>Kroger also summarily claimed (without argument or citation) that the first prong of the test has been met.</w:t>
      </w:r>
      <w:r w:rsidRPr="005A6964">
        <w:rPr>
          <w:rStyle w:val="FootnoteReference"/>
          <w:szCs w:val="24"/>
        </w:rPr>
        <w:footnoteReference w:id="381"/>
      </w:r>
      <w:r w:rsidRPr="005A6964">
        <w:rPr>
          <w:szCs w:val="24"/>
        </w:rPr>
        <w:t xml:space="preserve">  </w:t>
      </w:r>
      <w:r w:rsidR="0039178E" w:rsidRPr="005A6964">
        <w:rPr>
          <w:szCs w:val="24"/>
        </w:rPr>
        <w:t>NUCOR claimed that “hard” and “good faith negoti</w:t>
      </w:r>
      <w:r w:rsidR="0013080F" w:rsidRPr="005A6964">
        <w:rPr>
          <w:szCs w:val="24"/>
        </w:rPr>
        <w:t>ati</w:t>
      </w:r>
      <w:r w:rsidR="0039178E" w:rsidRPr="005A6964">
        <w:rPr>
          <w:szCs w:val="24"/>
        </w:rPr>
        <w:t>ons” took place, referring to FirstEnergy Witness Mikkelsen’s testimony of Dec. 22, 2014.  NUCOR Initial Brief at 7.  In that testimony though, Ms. Mikkelsen was only referring to negoti</w:t>
      </w:r>
      <w:r w:rsidR="0013080F" w:rsidRPr="005A6964">
        <w:rPr>
          <w:szCs w:val="24"/>
        </w:rPr>
        <w:t>ations</w:t>
      </w:r>
      <w:r w:rsidR="0039178E" w:rsidRPr="005A6964">
        <w:rPr>
          <w:szCs w:val="24"/>
        </w:rPr>
        <w:t xml:space="preserve"> related to the De</w:t>
      </w:r>
      <w:r w:rsidR="0013080F" w:rsidRPr="005A6964">
        <w:rPr>
          <w:szCs w:val="24"/>
        </w:rPr>
        <w:t>c</w:t>
      </w:r>
      <w:r w:rsidR="0039178E" w:rsidRPr="005A6964">
        <w:rPr>
          <w:szCs w:val="24"/>
        </w:rPr>
        <w:t>ember 2014 stipulation.  And most importantly, Ms. Mikkelsen did not use the words “hard” or “good faith” to describe the negoti</w:t>
      </w:r>
      <w:r w:rsidR="0013080F" w:rsidRPr="005A6964">
        <w:rPr>
          <w:szCs w:val="24"/>
        </w:rPr>
        <w:t>ations</w:t>
      </w:r>
      <w:r w:rsidR="0039178E" w:rsidRPr="005A6964">
        <w:rPr>
          <w:szCs w:val="24"/>
        </w:rPr>
        <w:t>.  NUCOR’s embellished claim is not support</w:t>
      </w:r>
      <w:r w:rsidR="006D364E" w:rsidRPr="005A6964">
        <w:rPr>
          <w:szCs w:val="24"/>
        </w:rPr>
        <w:t>ed</w:t>
      </w:r>
      <w:r w:rsidR="0039178E" w:rsidRPr="005A6964">
        <w:rPr>
          <w:szCs w:val="24"/>
        </w:rPr>
        <w:t xml:space="preserve"> by the reco</w:t>
      </w:r>
      <w:r w:rsidR="006D364E" w:rsidRPr="005A6964">
        <w:rPr>
          <w:szCs w:val="24"/>
        </w:rPr>
        <w:t>r</w:t>
      </w:r>
      <w:r w:rsidR="0039178E" w:rsidRPr="005A6964">
        <w:rPr>
          <w:szCs w:val="24"/>
        </w:rPr>
        <w:t>d, and accordingly, should be given little if any weight.  See also NUCOR Brief at 8 where NUCOR alleg</w:t>
      </w:r>
      <w:r w:rsidR="0013080F" w:rsidRPr="005A6964">
        <w:rPr>
          <w:szCs w:val="24"/>
        </w:rPr>
        <w:t>e</w:t>
      </w:r>
      <w:r w:rsidR="0039178E" w:rsidRPr="005A6964">
        <w:rPr>
          <w:szCs w:val="24"/>
        </w:rPr>
        <w:t>s that there can be no question that there was extensive bargaining and give and take among the parties to the stipulation.  Again, NUCOR provides no</w:t>
      </w:r>
      <w:r w:rsidR="0013080F" w:rsidRPr="005A6964">
        <w:rPr>
          <w:szCs w:val="24"/>
        </w:rPr>
        <w:t xml:space="preserve"> </w:t>
      </w:r>
      <w:r w:rsidR="0039178E" w:rsidRPr="005A6964">
        <w:rPr>
          <w:szCs w:val="24"/>
        </w:rPr>
        <w:t>evidence to support this allegation.</w:t>
      </w:r>
      <w:r w:rsidR="0013080F" w:rsidRPr="005A6964">
        <w:rPr>
          <w:szCs w:val="24"/>
        </w:rPr>
        <w:t xml:space="preserve"> </w:t>
      </w:r>
      <w:r w:rsidRPr="005A6964">
        <w:rPr>
          <w:szCs w:val="24"/>
        </w:rPr>
        <w:t xml:space="preserve">These allegations, provided without record support or reasoning, should be given no weight.  </w:t>
      </w:r>
    </w:p>
    <w:p w:rsidR="00037F6E" w:rsidRPr="005A6964" w:rsidRDefault="00037F6E" w:rsidP="00037F6E">
      <w:pPr>
        <w:spacing w:after="0" w:line="480" w:lineRule="auto"/>
        <w:rPr>
          <w:szCs w:val="24"/>
        </w:rPr>
      </w:pPr>
      <w:r w:rsidRPr="005A6964">
        <w:rPr>
          <w:szCs w:val="24"/>
        </w:rPr>
        <w:tab/>
        <w:t>Other parties including the Utilities, Ohio Energy Group, NUCOR, and Material Sciences weighed in, all concluding that there were serious negotiations</w:t>
      </w:r>
      <w:r w:rsidRPr="005A6964">
        <w:rPr>
          <w:rStyle w:val="FootnoteReference"/>
          <w:szCs w:val="24"/>
        </w:rPr>
        <w:footnoteReference w:id="382"/>
      </w:r>
      <w:r w:rsidRPr="005A6964">
        <w:rPr>
          <w:szCs w:val="24"/>
        </w:rPr>
        <w:t xml:space="preserve"> with knowledgeable parties, representing diverse interests.</w:t>
      </w:r>
      <w:r w:rsidRPr="005A6964">
        <w:rPr>
          <w:rStyle w:val="FootnoteReference"/>
          <w:szCs w:val="24"/>
        </w:rPr>
        <w:footnoteReference w:id="383"/>
      </w:r>
      <w:r w:rsidRPr="005A6964">
        <w:rPr>
          <w:szCs w:val="24"/>
        </w:rPr>
        <w:t xml:space="preserve">  These claims will be addressed seriatim.</w:t>
      </w:r>
    </w:p>
    <w:p w:rsidR="00037F6E" w:rsidRPr="005A6964" w:rsidRDefault="00037F6E" w:rsidP="0083673C">
      <w:pPr>
        <w:pStyle w:val="Heading6"/>
      </w:pPr>
      <w:bookmarkStart w:id="58" w:name="_Toc444269044"/>
      <w:r w:rsidRPr="005A6964">
        <w:t xml:space="preserve">a. </w:t>
      </w:r>
      <w:r w:rsidRPr="005A6964">
        <w:tab/>
        <w:t xml:space="preserve">Serious </w:t>
      </w:r>
      <w:r w:rsidR="0013080F" w:rsidRPr="005A6964">
        <w:t>bargaining</w:t>
      </w:r>
      <w:r w:rsidRPr="005A6964">
        <w:t xml:space="preserve"> did not occur.</w:t>
      </w:r>
      <w:bookmarkEnd w:id="58"/>
    </w:p>
    <w:p w:rsidR="00037F6E" w:rsidRPr="005A6964" w:rsidRDefault="00037F6E" w:rsidP="00037F6E">
      <w:pPr>
        <w:spacing w:after="0" w:line="480" w:lineRule="auto"/>
        <w:rPr>
          <w:szCs w:val="24"/>
        </w:rPr>
      </w:pPr>
      <w:r w:rsidRPr="005A6964">
        <w:rPr>
          <w:sz w:val="28"/>
          <w:szCs w:val="28"/>
        </w:rPr>
        <w:tab/>
      </w:r>
      <w:r w:rsidRPr="005A6964">
        <w:rPr>
          <w:szCs w:val="24"/>
        </w:rPr>
        <w:t>Several of the signatory parties stressed that the negotiations were lengthy, occurring over a series of months, where all had the opportunity to participate.</w:t>
      </w:r>
      <w:r w:rsidRPr="005A6964">
        <w:rPr>
          <w:rStyle w:val="FootnoteReference"/>
          <w:szCs w:val="24"/>
        </w:rPr>
        <w:footnoteReference w:id="384"/>
      </w:r>
      <w:r w:rsidRPr="005A6964">
        <w:rPr>
          <w:szCs w:val="24"/>
        </w:rPr>
        <w:t xml:space="preserve"> NUCOR also alleges that serious bargaining is present because, inter alia, there was a "persistent effort put forth by FirstEnergy and the other parties to get more parties to join along after the initial Stipulation was filed."</w:t>
      </w:r>
      <w:r w:rsidRPr="005A6964">
        <w:rPr>
          <w:rStyle w:val="FootnoteReference"/>
          <w:szCs w:val="24"/>
        </w:rPr>
        <w:footnoteReference w:id="385"/>
      </w:r>
      <w:r w:rsidRPr="005A6964">
        <w:rPr>
          <w:szCs w:val="24"/>
        </w:rPr>
        <w:t xml:space="preserve"> OEG claims that parties were able to work sincerely to reach such a reasonable resolution.</w:t>
      </w:r>
      <w:r w:rsidRPr="005A6964">
        <w:rPr>
          <w:rStyle w:val="FootnoteReference"/>
          <w:szCs w:val="24"/>
        </w:rPr>
        <w:footnoteReference w:id="386"/>
      </w:r>
      <w:r w:rsidRPr="005A6964">
        <w:rPr>
          <w:szCs w:val="24"/>
        </w:rPr>
        <w:t xml:space="preserve"> </w:t>
      </w:r>
    </w:p>
    <w:p w:rsidR="00037F6E" w:rsidRPr="005A6964" w:rsidRDefault="00037F6E" w:rsidP="00037F6E">
      <w:pPr>
        <w:spacing w:after="0" w:line="480" w:lineRule="auto"/>
        <w:rPr>
          <w:szCs w:val="24"/>
        </w:rPr>
      </w:pPr>
      <w:r w:rsidRPr="005A6964">
        <w:rPr>
          <w:szCs w:val="24"/>
        </w:rPr>
        <w:t xml:space="preserve"> </w:t>
      </w:r>
      <w:r w:rsidRPr="005A6964">
        <w:rPr>
          <w:szCs w:val="24"/>
        </w:rPr>
        <w:tab/>
        <w:t xml:space="preserve"> </w:t>
      </w:r>
      <w:r w:rsidR="0013080F" w:rsidRPr="005A6964">
        <w:rPr>
          <w:szCs w:val="24"/>
        </w:rPr>
        <w:t>M</w:t>
      </w:r>
      <w:r w:rsidRPr="005A6964">
        <w:rPr>
          <w:szCs w:val="24"/>
        </w:rPr>
        <w:t>eetings did occur, discussions did take place, parties had an opportunity to speak with FirstEnergy, and there were continuous efforts by FirstEnergy to solicit</w:t>
      </w:r>
      <w:r w:rsidR="0013080F" w:rsidRPr="005A6964">
        <w:rPr>
          <w:szCs w:val="24"/>
        </w:rPr>
        <w:t xml:space="preserve"> (or induce)</w:t>
      </w:r>
      <w:r w:rsidRPr="005A6964">
        <w:rPr>
          <w:szCs w:val="24"/>
        </w:rPr>
        <w:t xml:space="preserve"> additional signatories. But here the opportunity to negotiate does not equate to the ability to meaningfully negotiate.  </w:t>
      </w:r>
    </w:p>
    <w:p w:rsidR="00037F6E" w:rsidRPr="005A6964" w:rsidRDefault="00037F6E" w:rsidP="00037F6E">
      <w:pPr>
        <w:spacing w:after="0" w:line="480" w:lineRule="auto"/>
        <w:rPr>
          <w:szCs w:val="24"/>
        </w:rPr>
      </w:pPr>
      <w:r w:rsidRPr="005A6964">
        <w:rPr>
          <w:szCs w:val="24"/>
        </w:rPr>
        <w:tab/>
        <w:t xml:space="preserve">The PUCO should acknowledge </w:t>
      </w:r>
      <w:r w:rsidR="0013080F" w:rsidRPr="005A6964">
        <w:rPr>
          <w:szCs w:val="24"/>
        </w:rPr>
        <w:t xml:space="preserve">(and solve) </w:t>
      </w:r>
      <w:r w:rsidRPr="005A6964">
        <w:rPr>
          <w:szCs w:val="24"/>
        </w:rPr>
        <w:t xml:space="preserve">the </w:t>
      </w:r>
      <w:r w:rsidR="0013080F" w:rsidRPr="005A6964">
        <w:rPr>
          <w:szCs w:val="24"/>
        </w:rPr>
        <w:t xml:space="preserve">problem with its settlement process where there is unequal bargaining power between bargainers.  The utility (here FirstEnergy) has superior bargaining power.  </w:t>
      </w:r>
      <w:r w:rsidRPr="005A6964">
        <w:rPr>
          <w:szCs w:val="24"/>
        </w:rPr>
        <w:t xml:space="preserve">Accordingly, </w:t>
      </w:r>
      <w:r w:rsidR="0013080F" w:rsidRPr="005A6964">
        <w:rPr>
          <w:szCs w:val="24"/>
        </w:rPr>
        <w:t xml:space="preserve">the PUCO </w:t>
      </w:r>
      <w:r w:rsidRPr="005A6964">
        <w:rPr>
          <w:szCs w:val="24"/>
        </w:rPr>
        <w:t xml:space="preserve">should </w:t>
      </w:r>
      <w:r w:rsidR="0013080F" w:rsidRPr="005A6964">
        <w:rPr>
          <w:szCs w:val="24"/>
        </w:rPr>
        <w:t xml:space="preserve">discount and reject </w:t>
      </w:r>
      <w:r w:rsidRPr="005A6964">
        <w:rPr>
          <w:szCs w:val="24"/>
        </w:rPr>
        <w:t xml:space="preserve">arguments that the first prong of the settlement standard has been met.  </w:t>
      </w:r>
    </w:p>
    <w:p w:rsidR="00A555C4" w:rsidRPr="005A6964" w:rsidRDefault="00A555C4" w:rsidP="0083673C">
      <w:pPr>
        <w:pStyle w:val="Heading6"/>
      </w:pPr>
      <w:bookmarkStart w:id="59" w:name="_Toc444269045"/>
      <w:r w:rsidRPr="005A6964">
        <w:t xml:space="preserve">b. </w:t>
      </w:r>
      <w:r w:rsidR="001D6009" w:rsidRPr="005A6964">
        <w:tab/>
      </w:r>
      <w:r w:rsidRPr="005A6964">
        <w:t xml:space="preserve">Signatory parties that sign a settlement </w:t>
      </w:r>
      <w:r w:rsidR="0013080F" w:rsidRPr="005A6964">
        <w:t xml:space="preserve">for terms paid with other people’s (customers) money </w:t>
      </w:r>
      <w:r w:rsidRPr="005A6964">
        <w:t>should not count in the PUCO’s analysis of diversity of inter</w:t>
      </w:r>
      <w:r w:rsidR="00CC4DB1" w:rsidRPr="005A6964">
        <w:t>est.</w:t>
      </w:r>
      <w:bookmarkEnd w:id="59"/>
    </w:p>
    <w:p w:rsidR="00A555C4" w:rsidRPr="005A6964" w:rsidRDefault="00A555C4" w:rsidP="004A684F">
      <w:pPr>
        <w:spacing w:after="0" w:line="480" w:lineRule="auto"/>
      </w:pPr>
      <w:r w:rsidRPr="005A6964">
        <w:tab/>
        <w:t xml:space="preserve">The Third Supplemental Stipulation is </w:t>
      </w:r>
      <w:r w:rsidR="00CC4DB1" w:rsidRPr="005A6964">
        <w:t>replete</w:t>
      </w:r>
      <w:r w:rsidRPr="005A6964">
        <w:t xml:space="preserve"> with signatory parties who were induced to sign the settlement, in exchange for cash and cash equivalents.  These inducements by and large are paid with other people’s money.  In those circumstances, the PUCO should not count that signatory party, whether a party representing low-income consumers or a large corporate customer, in the analysis of diversity of interests under prong one.  </w:t>
      </w:r>
    </w:p>
    <w:p w:rsidR="0013080F" w:rsidRPr="005A6964" w:rsidRDefault="0013080F" w:rsidP="004A684F">
      <w:pPr>
        <w:spacing w:after="0" w:line="480" w:lineRule="auto"/>
      </w:pPr>
      <w:r w:rsidRPr="005A6964">
        <w:tab/>
        <w:t>The PUCO’s requirement for serious bargaining should not be considered satisfied where the settlement outcome is that the utility induced a party to sign by giving the party cash or cash equivalents to be paid by another party.  For the public interest and fair gove</w:t>
      </w:r>
      <w:r w:rsidR="004A684F" w:rsidRPr="005A6964">
        <w:t>r</w:t>
      </w:r>
      <w:r w:rsidRPr="005A6964">
        <w:t>nment, the PUCO should end what Professor Hill (for OMAEG) termed the “redistributive coalition”</w:t>
      </w:r>
      <w:r w:rsidRPr="005A6964">
        <w:rPr>
          <w:rStyle w:val="FootnoteReference"/>
        </w:rPr>
        <w:footnoteReference w:id="387"/>
      </w:r>
      <w:r w:rsidR="004A684F" w:rsidRPr="005A6964">
        <w:t xml:space="preserve"> in PUCO settlements where money/wealth is transferred from one party (those in “the club”)</w:t>
      </w:r>
      <w:r w:rsidR="004A684F" w:rsidRPr="005A6964">
        <w:rPr>
          <w:rStyle w:val="FootnoteReference"/>
        </w:rPr>
        <w:footnoteReference w:id="388"/>
      </w:r>
      <w:r w:rsidR="004A684F" w:rsidRPr="005A6964">
        <w:t xml:space="preserve"> to another because “they can’ in PUCO negotiations.</w:t>
      </w:r>
      <w:r w:rsidR="004A684F" w:rsidRPr="005A6964">
        <w:rPr>
          <w:rStyle w:val="FootnoteReference"/>
        </w:rPr>
        <w:footnoteReference w:id="389"/>
      </w:r>
    </w:p>
    <w:p w:rsidR="00037F6E" w:rsidRPr="005A6964" w:rsidRDefault="00A555C4" w:rsidP="004A684F">
      <w:pPr>
        <w:spacing w:after="0" w:line="480" w:lineRule="auto"/>
      </w:pPr>
      <w:r w:rsidRPr="005A6964">
        <w:tab/>
      </w:r>
      <w:r w:rsidR="004A684F" w:rsidRPr="005A6964">
        <w:t>This practice of offering case and cash equivalents to obtain signatures also contributes to the failure of various settlement terms to have a nexus to the utility’s core issue before the PUCO.  Thus, the settlement includes a hodgepodge of issues that should require separate applications or cases to be fairly heard in a public process.</w:t>
      </w:r>
      <w:r w:rsidRPr="005A6964">
        <w:t xml:space="preserve"> </w:t>
      </w:r>
    </w:p>
    <w:p w:rsidR="00186389" w:rsidRPr="005A6964" w:rsidRDefault="00186389" w:rsidP="00DD1D5E">
      <w:pPr>
        <w:spacing w:after="0" w:line="480" w:lineRule="auto"/>
        <w:ind w:firstLine="720"/>
        <w:rPr>
          <w:rFonts w:cs="Times New Roman"/>
          <w:szCs w:val="24"/>
        </w:rPr>
      </w:pPr>
      <w:r w:rsidRPr="005A6964">
        <w:rPr>
          <w:rFonts w:cs="Times New Roman"/>
          <w:sz w:val="26"/>
          <w:szCs w:val="26"/>
        </w:rPr>
        <w:t>For instance, l</w:t>
      </w:r>
      <w:r w:rsidRPr="005A6964">
        <w:t xml:space="preserve">ow-income programs should be addressed (and funded) in a more generic manner than the utility case approach.  Utility cases involving issues of great consequence to millions of Ohioans should not be manipulated according to utility inducements for the signature of a small fraction of consumers to take a utility desired action. </w:t>
      </w:r>
    </w:p>
    <w:p w:rsidR="004A684F" w:rsidRPr="005A6964" w:rsidRDefault="004A684F" w:rsidP="00DD1D5E">
      <w:pPr>
        <w:spacing w:after="0" w:line="480" w:lineRule="auto"/>
        <w:rPr>
          <w:szCs w:val="24"/>
        </w:rPr>
      </w:pPr>
    </w:p>
    <w:p w:rsidR="00B7274A" w:rsidRPr="005A6964" w:rsidRDefault="00C2535D" w:rsidP="00B30CAE">
      <w:pPr>
        <w:pStyle w:val="Heading5"/>
      </w:pPr>
      <w:bookmarkStart w:id="60" w:name="_Toc444269046"/>
      <w:r w:rsidRPr="005A6964">
        <w:t xml:space="preserve">ii. </w:t>
      </w:r>
      <w:r w:rsidR="004B18FD" w:rsidRPr="005A6964">
        <w:tab/>
      </w:r>
      <w:r w:rsidRPr="005A6964">
        <w:t xml:space="preserve">Prong Two: The electric security plan, as modified by the stipulations, does not benefit customers and </w:t>
      </w:r>
      <w:r w:rsidR="00186389" w:rsidRPr="005A6964">
        <w:t xml:space="preserve">the </w:t>
      </w:r>
      <w:r w:rsidRPr="005A6964">
        <w:t>public interest.</w:t>
      </w:r>
      <w:bookmarkEnd w:id="60"/>
      <w:r w:rsidRPr="005A6964">
        <w:t xml:space="preserve"> </w:t>
      </w:r>
    </w:p>
    <w:p w:rsidR="00C2754E" w:rsidRPr="005A6964" w:rsidRDefault="00B7274A" w:rsidP="00A948E8">
      <w:pPr>
        <w:spacing w:after="0" w:line="480" w:lineRule="auto"/>
        <w:rPr>
          <w:szCs w:val="24"/>
        </w:rPr>
      </w:pPr>
      <w:r w:rsidRPr="005A6964">
        <w:rPr>
          <w:szCs w:val="24"/>
        </w:rPr>
        <w:tab/>
      </w:r>
      <w:r w:rsidR="008C586F" w:rsidRPr="005A6964">
        <w:rPr>
          <w:szCs w:val="24"/>
        </w:rPr>
        <w:t>In OCC/NOPEC's Initial Brief, we explained that any benefits to customers under the stipulations pale in comparison to harms that will be inflicted upon them.</w:t>
      </w:r>
      <w:r w:rsidR="008C586F" w:rsidRPr="005A6964">
        <w:rPr>
          <w:rStyle w:val="FootnoteReference"/>
          <w:szCs w:val="24"/>
        </w:rPr>
        <w:footnoteReference w:id="390"/>
      </w:r>
      <w:r w:rsidR="008C586F" w:rsidRPr="005A6964">
        <w:rPr>
          <w:szCs w:val="24"/>
        </w:rPr>
        <w:t xml:space="preserve"> This is </w:t>
      </w:r>
      <w:r w:rsidR="00CC4DB1" w:rsidRPr="005A6964">
        <w:rPr>
          <w:szCs w:val="24"/>
        </w:rPr>
        <w:t>because there are</w:t>
      </w:r>
      <w:r w:rsidR="008C586F" w:rsidRPr="005A6964">
        <w:rPr>
          <w:szCs w:val="24"/>
        </w:rPr>
        <w:t xml:space="preserve"> numerous and wide reaching provisions that will compel </w:t>
      </w:r>
      <w:r w:rsidR="00C2754E" w:rsidRPr="005A6964">
        <w:rPr>
          <w:szCs w:val="24"/>
        </w:rPr>
        <w:t xml:space="preserve">all </w:t>
      </w:r>
      <w:r w:rsidR="008C586F" w:rsidRPr="005A6964">
        <w:rPr>
          <w:szCs w:val="24"/>
        </w:rPr>
        <w:t>customers to pay</w:t>
      </w:r>
      <w:r w:rsidR="00B41423" w:rsidRPr="005A6964">
        <w:rPr>
          <w:szCs w:val="24"/>
        </w:rPr>
        <w:t>,</w:t>
      </w:r>
      <w:r w:rsidR="008C586F" w:rsidRPr="005A6964">
        <w:rPr>
          <w:szCs w:val="24"/>
        </w:rPr>
        <w:t xml:space="preserve"> </w:t>
      </w:r>
      <w:r w:rsidR="00B41423" w:rsidRPr="005A6964">
        <w:rPr>
          <w:szCs w:val="24"/>
        </w:rPr>
        <w:t xml:space="preserve">for the next eight years, </w:t>
      </w:r>
      <w:r w:rsidR="008C586F" w:rsidRPr="005A6964">
        <w:rPr>
          <w:szCs w:val="24"/>
        </w:rPr>
        <w:t>billions of dollars above</w:t>
      </w:r>
      <w:r w:rsidR="002B27AC" w:rsidRPr="005A6964">
        <w:rPr>
          <w:szCs w:val="24"/>
        </w:rPr>
        <w:t>-</w:t>
      </w:r>
      <w:r w:rsidR="008C586F" w:rsidRPr="005A6964">
        <w:rPr>
          <w:szCs w:val="24"/>
        </w:rPr>
        <w:t xml:space="preserve"> market based rates</w:t>
      </w:r>
      <w:r w:rsidR="00CC4DB1" w:rsidRPr="005A6964">
        <w:rPr>
          <w:szCs w:val="24"/>
        </w:rPr>
        <w:t>.</w:t>
      </w:r>
      <w:r w:rsidR="00B41423" w:rsidRPr="005A6964">
        <w:rPr>
          <w:szCs w:val="24"/>
        </w:rPr>
        <w:t xml:space="preserve"> The additional costs spring from, inter alia, Rider RRS,</w:t>
      </w:r>
      <w:r w:rsidR="00B41423" w:rsidRPr="005A6964">
        <w:rPr>
          <w:rStyle w:val="FootnoteReference"/>
          <w:szCs w:val="24"/>
        </w:rPr>
        <w:footnoteReference w:id="391"/>
      </w:r>
      <w:r w:rsidR="0020316B" w:rsidRPr="005A6964">
        <w:rPr>
          <w:szCs w:val="24"/>
        </w:rPr>
        <w:t xml:space="preserve"> </w:t>
      </w:r>
      <w:r w:rsidR="00B41423" w:rsidRPr="005A6964">
        <w:rPr>
          <w:szCs w:val="24"/>
        </w:rPr>
        <w:t>the Distribution Capital Recovery Rider</w:t>
      </w:r>
      <w:r w:rsidR="0020316B" w:rsidRPr="005A6964">
        <w:rPr>
          <w:szCs w:val="24"/>
        </w:rPr>
        <w:t>,</w:t>
      </w:r>
      <w:r w:rsidR="00B41423" w:rsidRPr="005A6964">
        <w:rPr>
          <w:rStyle w:val="FootnoteReference"/>
          <w:szCs w:val="24"/>
        </w:rPr>
        <w:footnoteReference w:id="392"/>
      </w:r>
      <w:r w:rsidR="00B41423" w:rsidRPr="005A6964">
        <w:rPr>
          <w:szCs w:val="24"/>
        </w:rPr>
        <w:t xml:space="preserve"> and the Governmental Directives Rider. </w:t>
      </w:r>
      <w:r w:rsidR="0020316B" w:rsidRPr="005A6964">
        <w:rPr>
          <w:rStyle w:val="FootnoteReference"/>
          <w:szCs w:val="24"/>
        </w:rPr>
        <w:footnoteReference w:id="393"/>
      </w:r>
      <w:r w:rsidR="00B41423" w:rsidRPr="005A6964">
        <w:rPr>
          <w:szCs w:val="24"/>
        </w:rPr>
        <w:t xml:space="preserve"> </w:t>
      </w:r>
      <w:r w:rsidR="00E55314" w:rsidRPr="005A6964">
        <w:rPr>
          <w:szCs w:val="24"/>
        </w:rPr>
        <w:t>And</w:t>
      </w:r>
      <w:r w:rsidR="00C22BC8" w:rsidRPr="005A6964">
        <w:rPr>
          <w:szCs w:val="24"/>
        </w:rPr>
        <w:t xml:space="preserve"> to be clear,</w:t>
      </w:r>
      <w:r w:rsidR="00E55314" w:rsidRPr="005A6964">
        <w:rPr>
          <w:szCs w:val="24"/>
        </w:rPr>
        <w:t xml:space="preserve"> the Utilities have not identified the universe of costs customers will </w:t>
      </w:r>
      <w:r w:rsidR="00C22BC8" w:rsidRPr="005A6964">
        <w:rPr>
          <w:szCs w:val="24"/>
        </w:rPr>
        <w:t xml:space="preserve">likely </w:t>
      </w:r>
      <w:r w:rsidR="00E55314" w:rsidRPr="005A6964">
        <w:rPr>
          <w:szCs w:val="24"/>
        </w:rPr>
        <w:t xml:space="preserve">bear under the electric security plan.  The Utilities conveniently have no answers for what future costs lie ahead for </w:t>
      </w:r>
      <w:r w:rsidR="005C171D" w:rsidRPr="005A6964">
        <w:rPr>
          <w:szCs w:val="24"/>
        </w:rPr>
        <w:t xml:space="preserve">customers under </w:t>
      </w:r>
      <w:r w:rsidR="00E55314" w:rsidRPr="005A6964">
        <w:rPr>
          <w:szCs w:val="24"/>
        </w:rPr>
        <w:t xml:space="preserve">initiatives they are asking </w:t>
      </w:r>
      <w:r w:rsidR="005C171D" w:rsidRPr="005A6964">
        <w:rPr>
          <w:szCs w:val="24"/>
        </w:rPr>
        <w:t xml:space="preserve">(or will be asking) </w:t>
      </w:r>
      <w:r w:rsidR="00E55314" w:rsidRPr="005A6964">
        <w:rPr>
          <w:szCs w:val="24"/>
        </w:rPr>
        <w:t>the PUCO to approve:  grid modernization</w:t>
      </w:r>
      <w:r w:rsidR="005C171D" w:rsidRPr="005A6964">
        <w:rPr>
          <w:szCs w:val="24"/>
        </w:rPr>
        <w:t>, governmental directives cost recovery, resource diversification</w:t>
      </w:r>
      <w:r w:rsidR="00C22BC8" w:rsidRPr="005A6964">
        <w:rPr>
          <w:szCs w:val="24"/>
        </w:rPr>
        <w:t>,</w:t>
      </w:r>
      <w:r w:rsidR="005C171D" w:rsidRPr="005A6964">
        <w:rPr>
          <w:szCs w:val="24"/>
        </w:rPr>
        <w:t xml:space="preserve"> and straight fixed variable rate design.</w:t>
      </w:r>
      <w:r w:rsidR="00C2754E" w:rsidRPr="005A6964">
        <w:rPr>
          <w:szCs w:val="24"/>
        </w:rPr>
        <w:t xml:space="preserve"> </w:t>
      </w:r>
    </w:p>
    <w:p w:rsidR="000B0277" w:rsidRPr="005A6964" w:rsidRDefault="00C2754E" w:rsidP="00A948E8">
      <w:pPr>
        <w:spacing w:after="0" w:line="480" w:lineRule="auto"/>
        <w:rPr>
          <w:szCs w:val="24"/>
        </w:rPr>
      </w:pPr>
      <w:r w:rsidRPr="005A6964">
        <w:rPr>
          <w:szCs w:val="24"/>
        </w:rPr>
        <w:tab/>
        <w:t xml:space="preserve"> </w:t>
      </w:r>
      <w:r w:rsidR="00C22BC8" w:rsidRPr="005A6964">
        <w:rPr>
          <w:szCs w:val="24"/>
        </w:rPr>
        <w:t>As OCC/NOPEC's Initial Brief explains, a</w:t>
      </w:r>
      <w:r w:rsidRPr="005A6964">
        <w:rPr>
          <w:szCs w:val="24"/>
        </w:rPr>
        <w:t xml:space="preserve">ll customers will also suffer under provisions </w:t>
      </w:r>
      <w:r w:rsidR="000A41EC" w:rsidRPr="005A6964">
        <w:rPr>
          <w:szCs w:val="24"/>
        </w:rPr>
        <w:t xml:space="preserve">in the stipulations that unreasonably </w:t>
      </w:r>
      <w:r w:rsidRPr="005A6964">
        <w:rPr>
          <w:szCs w:val="24"/>
        </w:rPr>
        <w:t xml:space="preserve">and unlawfully </w:t>
      </w:r>
      <w:r w:rsidR="000A41EC" w:rsidRPr="005A6964">
        <w:rPr>
          <w:szCs w:val="24"/>
        </w:rPr>
        <w:t xml:space="preserve">shift risks </w:t>
      </w:r>
      <w:r w:rsidRPr="005A6964">
        <w:rPr>
          <w:szCs w:val="24"/>
        </w:rPr>
        <w:t>(</w:t>
      </w:r>
      <w:r w:rsidR="000A41EC" w:rsidRPr="005A6964">
        <w:rPr>
          <w:szCs w:val="24"/>
        </w:rPr>
        <w:t>and costs</w:t>
      </w:r>
      <w:r w:rsidRPr="005A6964">
        <w:rPr>
          <w:szCs w:val="24"/>
        </w:rPr>
        <w:t>)</w:t>
      </w:r>
      <w:r w:rsidR="000A41EC" w:rsidRPr="005A6964">
        <w:rPr>
          <w:szCs w:val="24"/>
        </w:rPr>
        <w:t xml:space="preserve"> away from the utility </w:t>
      </w:r>
      <w:r w:rsidRPr="005A6964">
        <w:rPr>
          <w:szCs w:val="24"/>
        </w:rPr>
        <w:t>and onto their backs.</w:t>
      </w:r>
      <w:r w:rsidR="000A41EC" w:rsidRPr="005A6964">
        <w:rPr>
          <w:rStyle w:val="FootnoteReference"/>
          <w:szCs w:val="24"/>
        </w:rPr>
        <w:footnoteReference w:id="394"/>
      </w:r>
      <w:r w:rsidR="000A41EC" w:rsidRPr="005A6964">
        <w:rPr>
          <w:szCs w:val="24"/>
        </w:rPr>
        <w:t xml:space="preserve"> </w:t>
      </w:r>
      <w:r w:rsidR="000B0277" w:rsidRPr="005A6964">
        <w:rPr>
          <w:szCs w:val="24"/>
        </w:rPr>
        <w:t>As noted by the Independent Market Monitor, FirstEnergy has not demonstrated and cannot demonstrate why customers should bear these costs and take these risks, if a well-informed generation owner is not willing to do so.</w:t>
      </w:r>
      <w:r w:rsidR="000B0277" w:rsidRPr="005A6964">
        <w:rPr>
          <w:rStyle w:val="FootnoteReference"/>
          <w:szCs w:val="24"/>
        </w:rPr>
        <w:footnoteReference w:id="395"/>
      </w:r>
      <w:r w:rsidR="000B0277" w:rsidRPr="005A6964">
        <w:rPr>
          <w:szCs w:val="24"/>
        </w:rPr>
        <w:t xml:space="preserve"> We agree with the Independent Market Monitor that "[i]t is not in the interest of Ohio customers to assume the risks associated with the RRS Assets for the same reasons that FirstEnergy seeks through the Rider RR</w:t>
      </w:r>
      <w:r w:rsidR="003865A4" w:rsidRPr="005A6964">
        <w:rPr>
          <w:szCs w:val="24"/>
        </w:rPr>
        <w:t>S</w:t>
      </w:r>
      <w:r w:rsidR="000B0277" w:rsidRPr="005A6964">
        <w:rPr>
          <w:szCs w:val="24"/>
        </w:rPr>
        <w:t xml:space="preserve"> to avoid such risks for its shareholders."</w:t>
      </w:r>
      <w:r w:rsidR="000B0277" w:rsidRPr="005A6964">
        <w:rPr>
          <w:rStyle w:val="FootnoteReference"/>
          <w:szCs w:val="24"/>
        </w:rPr>
        <w:footnoteReference w:id="396"/>
      </w:r>
      <w:r w:rsidR="000B0277" w:rsidRPr="005A6964">
        <w:rPr>
          <w:szCs w:val="24"/>
        </w:rPr>
        <w:t xml:space="preserve"> </w:t>
      </w:r>
    </w:p>
    <w:p w:rsidR="00C22BC8" w:rsidRPr="005A6964" w:rsidRDefault="000B0277" w:rsidP="002D7454">
      <w:pPr>
        <w:spacing w:after="0" w:line="480" w:lineRule="auto"/>
        <w:rPr>
          <w:szCs w:val="24"/>
        </w:rPr>
      </w:pPr>
      <w:r w:rsidRPr="005A6964">
        <w:rPr>
          <w:szCs w:val="24"/>
        </w:rPr>
        <w:tab/>
      </w:r>
      <w:r w:rsidR="000A41EC" w:rsidRPr="005A6964">
        <w:rPr>
          <w:szCs w:val="24"/>
        </w:rPr>
        <w:t>And there are provisions in the stipulations that</w:t>
      </w:r>
      <w:r w:rsidR="00C2754E" w:rsidRPr="005A6964">
        <w:rPr>
          <w:szCs w:val="24"/>
        </w:rPr>
        <w:t xml:space="preserve"> specifically harm residential customers by </w:t>
      </w:r>
      <w:r w:rsidR="000A41EC" w:rsidRPr="005A6964">
        <w:rPr>
          <w:szCs w:val="24"/>
        </w:rPr>
        <w:t>shift</w:t>
      </w:r>
      <w:r w:rsidR="00C2754E" w:rsidRPr="005A6964">
        <w:rPr>
          <w:szCs w:val="24"/>
        </w:rPr>
        <w:t xml:space="preserve">ing </w:t>
      </w:r>
      <w:r w:rsidR="000A41EC" w:rsidRPr="005A6964">
        <w:rPr>
          <w:szCs w:val="24"/>
        </w:rPr>
        <w:t>costs</w:t>
      </w:r>
      <w:r w:rsidR="00C2754E" w:rsidRPr="005A6964">
        <w:rPr>
          <w:szCs w:val="24"/>
        </w:rPr>
        <w:t xml:space="preserve"> to them to pay for the financial inducements</w:t>
      </w:r>
      <w:r w:rsidR="00C22BC8" w:rsidRPr="005A6964">
        <w:rPr>
          <w:szCs w:val="24"/>
        </w:rPr>
        <w:t xml:space="preserve"> flowing freely</w:t>
      </w:r>
      <w:r w:rsidR="00C2754E" w:rsidRPr="005A6964">
        <w:rPr>
          <w:szCs w:val="24"/>
        </w:rPr>
        <w:t xml:space="preserve"> to other signatory parties.</w:t>
      </w:r>
      <w:r w:rsidR="000A41EC" w:rsidRPr="005A6964">
        <w:rPr>
          <w:rStyle w:val="FootnoteReference"/>
          <w:szCs w:val="24"/>
        </w:rPr>
        <w:footnoteReference w:id="397"/>
      </w:r>
      <w:r w:rsidRPr="005A6964">
        <w:rPr>
          <w:szCs w:val="24"/>
        </w:rPr>
        <w:t xml:space="preserve"> These provisions favor a select few signatories at the expense of the overwhelming majority of other customers.</w:t>
      </w:r>
      <w:r w:rsidRPr="005A6964">
        <w:rPr>
          <w:rStyle w:val="FootnoteReference"/>
          <w:szCs w:val="24"/>
        </w:rPr>
        <w:footnoteReference w:id="398"/>
      </w:r>
    </w:p>
    <w:p w:rsidR="00B7274A" w:rsidRPr="005A6964" w:rsidRDefault="00C22BC8" w:rsidP="002D7454">
      <w:pPr>
        <w:spacing w:after="0" w:line="480" w:lineRule="auto"/>
        <w:rPr>
          <w:szCs w:val="24"/>
        </w:rPr>
      </w:pPr>
      <w:r w:rsidRPr="005A6964">
        <w:rPr>
          <w:szCs w:val="24"/>
        </w:rPr>
        <w:tab/>
      </w:r>
      <w:r w:rsidR="000B0277" w:rsidRPr="005A6964">
        <w:rPr>
          <w:szCs w:val="24"/>
        </w:rPr>
        <w:t>W</w:t>
      </w:r>
      <w:r w:rsidR="0020316B" w:rsidRPr="005A6964">
        <w:rPr>
          <w:szCs w:val="24"/>
        </w:rPr>
        <w:t xml:space="preserve">hile the Utilities tout the benefits of these and other provisions of the stipulated ESP, the benefits are </w:t>
      </w:r>
      <w:r w:rsidR="00943323" w:rsidRPr="005A6964">
        <w:rPr>
          <w:szCs w:val="24"/>
        </w:rPr>
        <w:t>overstated, vague, or unsupported.</w:t>
      </w:r>
      <w:r w:rsidR="00943323" w:rsidRPr="005A6964">
        <w:rPr>
          <w:rStyle w:val="FootnoteReference"/>
          <w:szCs w:val="24"/>
        </w:rPr>
        <w:footnoteReference w:id="399"/>
      </w:r>
      <w:r w:rsidR="00943323" w:rsidRPr="005A6964">
        <w:rPr>
          <w:szCs w:val="24"/>
        </w:rPr>
        <w:t xml:space="preserve"> </w:t>
      </w:r>
      <w:r w:rsidRPr="005A6964">
        <w:rPr>
          <w:szCs w:val="24"/>
        </w:rPr>
        <w:t>To the contrary, many of the so-called benefits are far more likely to harm customers.</w:t>
      </w:r>
      <w:r w:rsidRPr="005A6964">
        <w:rPr>
          <w:rStyle w:val="FootnoteReference"/>
          <w:szCs w:val="24"/>
        </w:rPr>
        <w:footnoteReference w:id="400"/>
      </w:r>
      <w:r w:rsidRPr="005A6964">
        <w:rPr>
          <w:szCs w:val="24"/>
        </w:rPr>
        <w:t xml:space="preserve">  </w:t>
      </w:r>
    </w:p>
    <w:p w:rsidR="00901561" w:rsidRPr="005A6964" w:rsidRDefault="00790B67" w:rsidP="00A948E8">
      <w:pPr>
        <w:spacing w:after="0" w:line="480" w:lineRule="auto"/>
        <w:rPr>
          <w:rFonts w:cs="Times New Roman"/>
          <w:szCs w:val="24"/>
        </w:rPr>
      </w:pPr>
      <w:r w:rsidRPr="005A6964">
        <w:rPr>
          <w:sz w:val="28"/>
          <w:szCs w:val="28"/>
        </w:rPr>
        <w:tab/>
      </w:r>
      <w:r w:rsidRPr="005A6964">
        <w:rPr>
          <w:rFonts w:cs="Times New Roman"/>
          <w:szCs w:val="24"/>
        </w:rPr>
        <w:t>The Utilities claim that ESP IV provides qualitative and quantitative benefits that it identified in the ESP v. MRO calculation.</w:t>
      </w:r>
      <w:r w:rsidRPr="005A6964">
        <w:rPr>
          <w:rStyle w:val="FootnoteReference"/>
          <w:rFonts w:cs="Times New Roman"/>
          <w:szCs w:val="24"/>
        </w:rPr>
        <w:footnoteReference w:id="401"/>
      </w:r>
      <w:r w:rsidRPr="005A6964">
        <w:rPr>
          <w:rFonts w:cs="Times New Roman"/>
          <w:szCs w:val="24"/>
        </w:rPr>
        <w:t xml:space="preserve">   OEG chimes in, arguing that the stipulation provides beneficial modifications to FirstEnergy's power </w:t>
      </w:r>
      <w:r w:rsidR="00186389" w:rsidRPr="005A6964">
        <w:rPr>
          <w:rFonts w:cs="Times New Roman"/>
          <w:szCs w:val="24"/>
        </w:rPr>
        <w:t xml:space="preserve">purchase </w:t>
      </w:r>
      <w:r w:rsidRPr="005A6964">
        <w:rPr>
          <w:rFonts w:cs="Times New Roman"/>
          <w:szCs w:val="24"/>
        </w:rPr>
        <w:t>agreement proposal.</w:t>
      </w:r>
      <w:r w:rsidRPr="005A6964">
        <w:rPr>
          <w:rStyle w:val="FootnoteReference"/>
          <w:rFonts w:cs="Times New Roman"/>
          <w:szCs w:val="24"/>
        </w:rPr>
        <w:footnoteReference w:id="402"/>
      </w:r>
      <w:r w:rsidRPr="005A6964">
        <w:rPr>
          <w:rFonts w:cs="Times New Roman"/>
          <w:szCs w:val="24"/>
        </w:rPr>
        <w:t xml:space="preserve"> </w:t>
      </w:r>
      <w:r w:rsidR="00901561" w:rsidRPr="005A6964">
        <w:rPr>
          <w:rFonts w:cs="Times New Roman"/>
          <w:szCs w:val="24"/>
        </w:rPr>
        <w:t>The PUCO Staff offers meager support for the stipulations when it summarily opines (without record support) that the benefits are "large and broad,</w:t>
      </w:r>
      <w:r w:rsidRPr="005A6964">
        <w:rPr>
          <w:rFonts w:cs="Times New Roman"/>
          <w:szCs w:val="24"/>
        </w:rPr>
        <w:t>"</w:t>
      </w:r>
      <w:r w:rsidR="00901561" w:rsidRPr="005A6964">
        <w:rPr>
          <w:rStyle w:val="FootnoteReference"/>
          <w:rFonts w:cs="Times New Roman"/>
          <w:szCs w:val="24"/>
        </w:rPr>
        <w:footnoteReference w:id="403"/>
      </w:r>
      <w:r w:rsidRPr="005A6964">
        <w:rPr>
          <w:rFonts w:cs="Times New Roman"/>
          <w:szCs w:val="24"/>
        </w:rPr>
        <w:t xml:space="preserve">  </w:t>
      </w:r>
      <w:r w:rsidR="00901561" w:rsidRPr="005A6964">
        <w:rPr>
          <w:rFonts w:cs="Times New Roman"/>
          <w:szCs w:val="24"/>
        </w:rPr>
        <w:t>"</w:t>
      </w:r>
      <w:r w:rsidRPr="005A6964">
        <w:rPr>
          <w:rFonts w:cs="Times New Roman"/>
          <w:szCs w:val="24"/>
        </w:rPr>
        <w:t>touch many customers</w:t>
      </w:r>
      <w:r w:rsidR="00901561" w:rsidRPr="005A6964">
        <w:rPr>
          <w:rFonts w:cs="Times New Roman"/>
          <w:szCs w:val="24"/>
        </w:rPr>
        <w:t>,"</w:t>
      </w:r>
      <w:r w:rsidRPr="005A6964">
        <w:rPr>
          <w:rFonts w:cs="Times New Roman"/>
          <w:szCs w:val="24"/>
        </w:rPr>
        <w:t xml:space="preserve"> and </w:t>
      </w:r>
      <w:r w:rsidR="00901561" w:rsidRPr="005A6964">
        <w:rPr>
          <w:rFonts w:cs="Times New Roman"/>
          <w:szCs w:val="24"/>
        </w:rPr>
        <w:t>"</w:t>
      </w:r>
      <w:r w:rsidRPr="005A6964">
        <w:rPr>
          <w:rFonts w:cs="Times New Roman"/>
          <w:szCs w:val="24"/>
        </w:rPr>
        <w:t>are self-explanatory."</w:t>
      </w:r>
      <w:r w:rsidR="00901561" w:rsidRPr="005A6964">
        <w:rPr>
          <w:rStyle w:val="FootnoteReference"/>
          <w:rFonts w:cs="Times New Roman"/>
          <w:szCs w:val="24"/>
        </w:rPr>
        <w:footnoteReference w:id="404"/>
      </w:r>
      <w:r w:rsidRPr="005A6964">
        <w:rPr>
          <w:rFonts w:cs="Times New Roman"/>
          <w:szCs w:val="24"/>
        </w:rPr>
        <w:t xml:space="preserve">  </w:t>
      </w:r>
    </w:p>
    <w:p w:rsidR="00E873FF" w:rsidRPr="005A6964" w:rsidRDefault="00901561" w:rsidP="002D7454">
      <w:pPr>
        <w:spacing w:after="0" w:line="480" w:lineRule="auto"/>
        <w:rPr>
          <w:rFonts w:cs="Times New Roman"/>
          <w:szCs w:val="24"/>
        </w:rPr>
      </w:pPr>
      <w:r w:rsidRPr="005A6964">
        <w:rPr>
          <w:rFonts w:cs="Times New Roman"/>
          <w:szCs w:val="24"/>
        </w:rPr>
        <w:tab/>
      </w:r>
      <w:r w:rsidR="00C77DFC" w:rsidRPr="005A6964">
        <w:rPr>
          <w:rFonts w:cs="Times New Roman"/>
          <w:szCs w:val="24"/>
        </w:rPr>
        <w:t>Much of the Utilities' claims center upon its idyllic view of its Rider RRS.  The notion that Rider RRS will greatly benefit customers is disabused in OCC/NO</w:t>
      </w:r>
      <w:r w:rsidR="00186389" w:rsidRPr="005A6964">
        <w:rPr>
          <w:rFonts w:cs="Times New Roman"/>
          <w:szCs w:val="24"/>
        </w:rPr>
        <w:t>AC</w:t>
      </w:r>
      <w:r w:rsidR="00C77DFC" w:rsidRPr="005A6964">
        <w:rPr>
          <w:rFonts w:cs="Times New Roman"/>
          <w:szCs w:val="24"/>
        </w:rPr>
        <w:t>'s Initial Brief.</w:t>
      </w:r>
      <w:r w:rsidR="00C77DFC" w:rsidRPr="005A6964">
        <w:rPr>
          <w:rStyle w:val="FootnoteReference"/>
          <w:rFonts w:cs="Times New Roman"/>
          <w:szCs w:val="24"/>
        </w:rPr>
        <w:footnoteReference w:id="405"/>
      </w:r>
      <w:r w:rsidR="00C77DFC" w:rsidRPr="005A6964">
        <w:rPr>
          <w:rFonts w:cs="Times New Roman"/>
          <w:szCs w:val="24"/>
        </w:rPr>
        <w:t xml:space="preserve">  Additionally,</w:t>
      </w:r>
      <w:r w:rsidR="005F1425" w:rsidRPr="005A6964">
        <w:rPr>
          <w:rFonts w:cs="Times New Roman"/>
          <w:szCs w:val="24"/>
        </w:rPr>
        <w:t xml:space="preserve"> OCC/NOAC address</w:t>
      </w:r>
      <w:r w:rsidR="00CC4DB1" w:rsidRPr="005A6964">
        <w:rPr>
          <w:rFonts w:cs="Times New Roman"/>
          <w:szCs w:val="24"/>
        </w:rPr>
        <w:t xml:space="preserve"> many</w:t>
      </w:r>
      <w:r w:rsidR="00C77DFC" w:rsidRPr="005A6964">
        <w:rPr>
          <w:rFonts w:cs="Times New Roman"/>
          <w:szCs w:val="24"/>
        </w:rPr>
        <w:t xml:space="preserve"> of the so-called benefits of Rider RRS in </w:t>
      </w:r>
      <w:r w:rsidR="005F1425" w:rsidRPr="005A6964">
        <w:rPr>
          <w:rFonts w:cs="Times New Roman"/>
          <w:szCs w:val="24"/>
        </w:rPr>
        <w:t>a</w:t>
      </w:r>
      <w:r w:rsidR="00C77DFC" w:rsidRPr="005A6964">
        <w:rPr>
          <w:rFonts w:cs="Times New Roman"/>
          <w:szCs w:val="24"/>
        </w:rPr>
        <w:t xml:space="preserve"> later section of this Reply Brief.</w:t>
      </w:r>
      <w:r w:rsidR="005A6964" w:rsidRPr="005A6964">
        <w:rPr>
          <w:rFonts w:cs="Times New Roman"/>
          <w:szCs w:val="24"/>
        </w:rPr>
        <w:t xml:space="preserve"> </w:t>
      </w:r>
      <w:r w:rsidR="00C77DFC" w:rsidRPr="005A6964">
        <w:rPr>
          <w:rFonts w:cs="Times New Roman"/>
          <w:szCs w:val="24"/>
        </w:rPr>
        <w:t xml:space="preserve"> </w:t>
      </w:r>
      <w:r w:rsidR="00E873FF" w:rsidRPr="005A6964">
        <w:rPr>
          <w:rFonts w:cs="Times New Roman"/>
          <w:szCs w:val="24"/>
        </w:rPr>
        <w:t xml:space="preserve">The PUCO should </w:t>
      </w:r>
      <w:r w:rsidR="00CC4DB1" w:rsidRPr="005A6964">
        <w:rPr>
          <w:rFonts w:cs="Times New Roman"/>
          <w:szCs w:val="24"/>
        </w:rPr>
        <w:t xml:space="preserve">wonder, </w:t>
      </w:r>
      <w:r w:rsidR="00E873FF" w:rsidRPr="005A6964">
        <w:rPr>
          <w:rFonts w:cs="Times New Roman"/>
          <w:szCs w:val="24"/>
        </w:rPr>
        <w:t xml:space="preserve"> i</w:t>
      </w:r>
      <w:r w:rsidR="005F1425" w:rsidRPr="005A6964">
        <w:rPr>
          <w:rFonts w:cs="Times New Roman"/>
          <w:szCs w:val="24"/>
        </w:rPr>
        <w:t>f Rider RRS is such a great benefit to customers, why did FirstEnergy have to offer so many incentives to so many parties to induce them to endorse</w:t>
      </w:r>
      <w:r w:rsidR="00CC4DB1" w:rsidRPr="005A6964">
        <w:rPr>
          <w:rFonts w:cs="Times New Roman"/>
          <w:szCs w:val="24"/>
        </w:rPr>
        <w:t xml:space="preserve"> (or not oppose)</w:t>
      </w:r>
      <w:r w:rsidR="005F1425" w:rsidRPr="005A6964">
        <w:rPr>
          <w:rFonts w:cs="Times New Roman"/>
          <w:szCs w:val="24"/>
        </w:rPr>
        <w:t xml:space="preserve"> it?  </w:t>
      </w:r>
    </w:p>
    <w:p w:rsidR="00E873FF" w:rsidRPr="005A6964" w:rsidRDefault="00E873FF" w:rsidP="002D7454">
      <w:pPr>
        <w:spacing w:after="0" w:line="480" w:lineRule="auto"/>
        <w:rPr>
          <w:rFonts w:cs="Times New Roman"/>
          <w:szCs w:val="24"/>
        </w:rPr>
      </w:pPr>
      <w:r w:rsidRPr="005A6964">
        <w:rPr>
          <w:rFonts w:cs="Times New Roman"/>
          <w:szCs w:val="24"/>
        </w:rPr>
        <w:tab/>
      </w:r>
      <w:r w:rsidR="005F1425" w:rsidRPr="005A6964">
        <w:rPr>
          <w:rFonts w:cs="Times New Roman"/>
          <w:szCs w:val="24"/>
        </w:rPr>
        <w:t>This only serves to</w:t>
      </w:r>
      <w:r w:rsidRPr="005A6964">
        <w:rPr>
          <w:rFonts w:cs="Times New Roman"/>
          <w:szCs w:val="24"/>
        </w:rPr>
        <w:t xml:space="preserve"> highlight the important point that both</w:t>
      </w:r>
      <w:r w:rsidR="005F1425" w:rsidRPr="005A6964">
        <w:rPr>
          <w:rFonts w:cs="Times New Roman"/>
          <w:szCs w:val="24"/>
        </w:rPr>
        <w:t xml:space="preserve"> RESA Witness Kalt and </w:t>
      </w:r>
      <w:r w:rsidR="004A6F92" w:rsidRPr="005A6964">
        <w:rPr>
          <w:rFonts w:cs="Times New Roman"/>
          <w:szCs w:val="24"/>
        </w:rPr>
        <w:t xml:space="preserve">ELPC </w:t>
      </w:r>
      <w:r w:rsidR="005F1425" w:rsidRPr="005A6964">
        <w:rPr>
          <w:rFonts w:cs="Times New Roman"/>
          <w:szCs w:val="24"/>
        </w:rPr>
        <w:t>Witness Rab</w:t>
      </w:r>
      <w:r w:rsidR="008161A6" w:rsidRPr="005A6964">
        <w:rPr>
          <w:rFonts w:cs="Times New Roman"/>
          <w:szCs w:val="24"/>
        </w:rPr>
        <w:t>a</w:t>
      </w:r>
      <w:r w:rsidR="005F1425" w:rsidRPr="005A6964">
        <w:rPr>
          <w:rFonts w:cs="Times New Roman"/>
          <w:szCs w:val="24"/>
        </w:rPr>
        <w:t xml:space="preserve">go </w:t>
      </w:r>
      <w:r w:rsidRPr="005A6964">
        <w:rPr>
          <w:rFonts w:cs="Times New Roman"/>
          <w:szCs w:val="24"/>
        </w:rPr>
        <w:t>advanced at the evidentiary hearing</w:t>
      </w:r>
      <w:r w:rsidR="004A6F92" w:rsidRPr="005A6964">
        <w:rPr>
          <w:rFonts w:cs="Times New Roman"/>
          <w:szCs w:val="24"/>
        </w:rPr>
        <w:t>:</w:t>
      </w:r>
      <w:r w:rsidR="004A6F92" w:rsidRPr="005A6964">
        <w:rPr>
          <w:rStyle w:val="FootnoteReference"/>
          <w:rFonts w:cs="Times New Roman"/>
          <w:szCs w:val="24"/>
        </w:rPr>
        <w:footnoteReference w:id="406"/>
      </w:r>
      <w:r w:rsidRPr="005A6964">
        <w:rPr>
          <w:rFonts w:cs="Times New Roman"/>
          <w:szCs w:val="24"/>
        </w:rPr>
        <w:t xml:space="preserve">  </w:t>
      </w:r>
      <w:r w:rsidR="005F1425" w:rsidRPr="005A6964">
        <w:rPr>
          <w:rFonts w:cs="Times New Roman"/>
          <w:szCs w:val="24"/>
        </w:rPr>
        <w:t xml:space="preserve">the PUCO should </w:t>
      </w:r>
      <w:r w:rsidR="004A6F92" w:rsidRPr="005A6964">
        <w:rPr>
          <w:rFonts w:cs="Times New Roman"/>
          <w:szCs w:val="24"/>
        </w:rPr>
        <w:t xml:space="preserve">consider Rider RRS (and all stipulation provisions) on its own individual merit-- </w:t>
      </w:r>
      <w:r w:rsidR="005F1425" w:rsidRPr="005A6964">
        <w:rPr>
          <w:rFonts w:cs="Times New Roman"/>
          <w:szCs w:val="24"/>
        </w:rPr>
        <w:t>not as part of a package</w:t>
      </w:r>
      <w:r w:rsidRPr="005A6964">
        <w:rPr>
          <w:rFonts w:cs="Times New Roman"/>
          <w:szCs w:val="24"/>
        </w:rPr>
        <w:t xml:space="preserve">.  </w:t>
      </w:r>
      <w:r w:rsidR="004A6F92" w:rsidRPr="005A6964">
        <w:rPr>
          <w:rFonts w:cs="Times New Roman"/>
          <w:szCs w:val="24"/>
        </w:rPr>
        <w:t>OCC/NO</w:t>
      </w:r>
      <w:r w:rsidR="00186389" w:rsidRPr="005A6964">
        <w:rPr>
          <w:rFonts w:cs="Times New Roman"/>
          <w:szCs w:val="24"/>
        </w:rPr>
        <w:t>AC</w:t>
      </w:r>
      <w:r w:rsidR="004A6F92" w:rsidRPr="005A6964">
        <w:rPr>
          <w:rFonts w:cs="Times New Roman"/>
          <w:szCs w:val="24"/>
        </w:rPr>
        <w:t>'s Initial Brief discussed this position in detail.</w:t>
      </w:r>
      <w:r w:rsidR="004A6F92" w:rsidRPr="005A6964">
        <w:rPr>
          <w:rStyle w:val="FootnoteReference"/>
          <w:rFonts w:cs="Times New Roman"/>
          <w:szCs w:val="24"/>
        </w:rPr>
        <w:footnoteReference w:id="407"/>
      </w:r>
      <w:r w:rsidR="004A6F92" w:rsidRPr="005A6964">
        <w:rPr>
          <w:rFonts w:cs="Times New Roman"/>
          <w:szCs w:val="24"/>
        </w:rPr>
        <w:t xml:space="preserve"> Further arguments are also presented in another section of this Reply Brief.</w:t>
      </w:r>
    </w:p>
    <w:p w:rsidR="00186389" w:rsidRPr="005A6964" w:rsidRDefault="004A6F92" w:rsidP="00DD1D5E">
      <w:pPr>
        <w:spacing w:after="0" w:line="480" w:lineRule="auto"/>
        <w:rPr>
          <w:rFonts w:cs="Times New Roman"/>
          <w:szCs w:val="24"/>
        </w:rPr>
      </w:pPr>
      <w:r w:rsidRPr="005A6964">
        <w:rPr>
          <w:rFonts w:cs="Times New Roman"/>
          <w:szCs w:val="24"/>
        </w:rPr>
        <w:tab/>
      </w:r>
      <w:r w:rsidR="00240441" w:rsidRPr="005A6964">
        <w:rPr>
          <w:rFonts w:cs="Times New Roman"/>
          <w:szCs w:val="24"/>
        </w:rPr>
        <w:t>The Utilities claim a multitude of benefits exist</w:t>
      </w:r>
      <w:r w:rsidR="00D621B8" w:rsidRPr="005A6964">
        <w:rPr>
          <w:rFonts w:cs="Times New Roman"/>
          <w:szCs w:val="24"/>
        </w:rPr>
        <w:t>s</w:t>
      </w:r>
      <w:r w:rsidR="00240441" w:rsidRPr="005A6964">
        <w:rPr>
          <w:rFonts w:cs="Times New Roman"/>
          <w:szCs w:val="24"/>
        </w:rPr>
        <w:t xml:space="preserve"> under the electric security plan as modified by the Stipulations.</w:t>
      </w:r>
      <w:r w:rsidR="00240441" w:rsidRPr="005A6964">
        <w:rPr>
          <w:rStyle w:val="FootnoteReference"/>
          <w:rFonts w:cs="Times New Roman"/>
          <w:szCs w:val="24"/>
        </w:rPr>
        <w:footnoteReference w:id="408"/>
      </w:r>
      <w:r w:rsidR="00240441" w:rsidRPr="005A6964">
        <w:rPr>
          <w:rFonts w:cs="Times New Roman"/>
          <w:szCs w:val="24"/>
        </w:rPr>
        <w:t xml:space="preserve"> </w:t>
      </w:r>
      <w:r w:rsidR="00186389" w:rsidRPr="005A6964">
        <w:rPr>
          <w:rFonts w:cs="Times New Roman"/>
          <w:szCs w:val="24"/>
        </w:rPr>
        <w:t>We address settlement assertions as follows:</w:t>
      </w:r>
      <w:r w:rsidR="00240441" w:rsidRPr="005A6964">
        <w:rPr>
          <w:rFonts w:cs="Times New Roman"/>
          <w:szCs w:val="24"/>
        </w:rPr>
        <w:t xml:space="preserve">  </w:t>
      </w:r>
    </w:p>
    <w:p w:rsidR="0033469B" w:rsidRPr="005A6964" w:rsidRDefault="00186389" w:rsidP="00FC4971">
      <w:pPr>
        <w:pStyle w:val="ListParagraph"/>
        <w:numPr>
          <w:ilvl w:val="0"/>
          <w:numId w:val="6"/>
        </w:numPr>
        <w:spacing w:line="240" w:lineRule="auto"/>
        <w:ind w:left="2160" w:right="720" w:hanging="720"/>
        <w:rPr>
          <w:rFonts w:cs="Times New Roman"/>
          <w:szCs w:val="24"/>
        </w:rPr>
      </w:pPr>
      <w:r w:rsidRPr="005A6964">
        <w:rPr>
          <w:rFonts w:cs="Times New Roman"/>
          <w:szCs w:val="24"/>
        </w:rPr>
        <w:t xml:space="preserve">FirstEnergy Assertion:  </w:t>
      </w:r>
      <w:r w:rsidR="00240441" w:rsidRPr="005A6964">
        <w:rPr>
          <w:rFonts w:cs="Times New Roman"/>
          <w:szCs w:val="24"/>
        </w:rPr>
        <w:t>Continuation of the</w:t>
      </w:r>
      <w:r w:rsidR="0033469B" w:rsidRPr="005A6964">
        <w:rPr>
          <w:rFonts w:cs="Times New Roman"/>
          <w:szCs w:val="24"/>
        </w:rPr>
        <w:t xml:space="preserve"> successful competitive bid process</w:t>
      </w:r>
      <w:r w:rsidR="00790B67" w:rsidRPr="005A6964">
        <w:rPr>
          <w:rFonts w:cs="Times New Roman"/>
          <w:szCs w:val="24"/>
        </w:rPr>
        <w:t xml:space="preserve"> approved by the PUCO</w:t>
      </w:r>
      <w:r w:rsidR="0029709C" w:rsidRPr="005A6964">
        <w:rPr>
          <w:rStyle w:val="FootnoteReference"/>
          <w:rFonts w:cs="Times New Roman"/>
          <w:szCs w:val="24"/>
        </w:rPr>
        <w:footnoteReference w:id="409"/>
      </w:r>
      <w:r w:rsidR="0033469B" w:rsidRPr="005A6964">
        <w:rPr>
          <w:rFonts w:cs="Times New Roman"/>
          <w:szCs w:val="24"/>
        </w:rPr>
        <w:t xml:space="preserve"> </w:t>
      </w:r>
    </w:p>
    <w:p w:rsidR="0033469B" w:rsidRPr="005A6964" w:rsidRDefault="0033469B" w:rsidP="0033469B">
      <w:pPr>
        <w:pStyle w:val="ListParagraph"/>
        <w:spacing w:line="240" w:lineRule="auto"/>
        <w:ind w:left="1440"/>
        <w:rPr>
          <w:rFonts w:cs="Times New Roman"/>
          <w:szCs w:val="24"/>
        </w:rPr>
      </w:pPr>
    </w:p>
    <w:p w:rsidR="00DD1D5E" w:rsidRPr="005A6964" w:rsidRDefault="0033469B" w:rsidP="005A6964">
      <w:pPr>
        <w:pStyle w:val="ListParagraph"/>
        <w:spacing w:line="480" w:lineRule="auto"/>
        <w:ind w:left="0" w:firstLine="720"/>
        <w:rPr>
          <w:rFonts w:cs="Times New Roman"/>
          <w:szCs w:val="24"/>
        </w:rPr>
      </w:pPr>
      <w:r w:rsidRPr="005A6964">
        <w:rPr>
          <w:rFonts w:cs="Times New Roman"/>
          <w:szCs w:val="24"/>
        </w:rPr>
        <w:t>The competitive bid process has been successful in allowing SSO customers to benefit from historically low prices for capacity and energy.  However, under the stipulations, customers will be paying subsidies over and above the prices paid under the competitive bid process.  And under the ESP customers will be paying for many different provisions that have not been s</w:t>
      </w:r>
      <w:r w:rsidR="00331309" w:rsidRPr="005A6964">
        <w:rPr>
          <w:rFonts w:cs="Times New Roman"/>
          <w:szCs w:val="24"/>
        </w:rPr>
        <w:t xml:space="preserve">hown to benefit them.  OCC/NOAC </w:t>
      </w:r>
      <w:r w:rsidRPr="005A6964">
        <w:rPr>
          <w:rFonts w:cs="Times New Roman"/>
          <w:szCs w:val="24"/>
        </w:rPr>
        <w:t>support the pure competitive bid process</w:t>
      </w:r>
      <w:r w:rsidR="0029709C" w:rsidRPr="005A6964">
        <w:rPr>
          <w:rFonts w:cs="Times New Roman"/>
          <w:szCs w:val="24"/>
        </w:rPr>
        <w:t xml:space="preserve"> offered as a market rate offer, enabled under R.C. 4928.142.  </w:t>
      </w:r>
      <w:r w:rsidRPr="005A6964">
        <w:rPr>
          <w:rFonts w:cs="Times New Roman"/>
          <w:szCs w:val="24"/>
        </w:rPr>
        <w:tab/>
      </w:r>
    </w:p>
    <w:p w:rsidR="00621311" w:rsidRPr="005A6964" w:rsidRDefault="00186389" w:rsidP="00FC4971">
      <w:pPr>
        <w:pStyle w:val="ListParagraph"/>
        <w:numPr>
          <w:ilvl w:val="0"/>
          <w:numId w:val="6"/>
        </w:numPr>
        <w:spacing w:line="240" w:lineRule="auto"/>
        <w:ind w:left="2160" w:right="720" w:hanging="720"/>
        <w:rPr>
          <w:rFonts w:cs="Times New Roman"/>
          <w:szCs w:val="24"/>
        </w:rPr>
      </w:pPr>
      <w:r w:rsidRPr="005A6964">
        <w:rPr>
          <w:rFonts w:cs="Times New Roman"/>
          <w:szCs w:val="24"/>
        </w:rPr>
        <w:t xml:space="preserve">FirstEnergy Assertion:  </w:t>
      </w:r>
      <w:r w:rsidR="00790B67" w:rsidRPr="005A6964">
        <w:rPr>
          <w:rFonts w:cs="Times New Roman"/>
          <w:szCs w:val="24"/>
        </w:rPr>
        <w:t>Ensures reasonably priced and reliable distribution service</w:t>
      </w:r>
      <w:r w:rsidR="00621311" w:rsidRPr="005A6964">
        <w:rPr>
          <w:rStyle w:val="FootnoteReference"/>
          <w:rFonts w:cs="Times New Roman"/>
          <w:szCs w:val="24"/>
        </w:rPr>
        <w:footnoteReference w:id="410"/>
      </w:r>
    </w:p>
    <w:p w:rsidR="00FC4971" w:rsidRPr="005A6964" w:rsidRDefault="00FC4971" w:rsidP="00FC4971">
      <w:pPr>
        <w:pStyle w:val="ListParagraph"/>
        <w:spacing w:line="240" w:lineRule="auto"/>
        <w:ind w:left="2160" w:right="720"/>
        <w:rPr>
          <w:rFonts w:cs="Times New Roman"/>
          <w:szCs w:val="24"/>
        </w:rPr>
      </w:pPr>
    </w:p>
    <w:p w:rsidR="00FA7597" w:rsidRPr="005A6964" w:rsidRDefault="00621311" w:rsidP="002D7454">
      <w:pPr>
        <w:pStyle w:val="ListParagraph"/>
        <w:spacing w:line="480" w:lineRule="auto"/>
        <w:ind w:left="0" w:firstLine="720"/>
        <w:rPr>
          <w:rFonts w:cs="Times New Roman"/>
          <w:szCs w:val="24"/>
        </w:rPr>
      </w:pPr>
      <w:r w:rsidRPr="005A6964">
        <w:rPr>
          <w:rFonts w:cs="Times New Roman"/>
          <w:szCs w:val="24"/>
        </w:rPr>
        <w:t>As explained in detail in OCC/NO</w:t>
      </w:r>
      <w:r w:rsidR="00331309" w:rsidRPr="005A6964">
        <w:rPr>
          <w:rFonts w:cs="Times New Roman"/>
          <w:szCs w:val="24"/>
        </w:rPr>
        <w:t>AC</w:t>
      </w:r>
      <w:r w:rsidRPr="005A6964">
        <w:rPr>
          <w:rFonts w:cs="Times New Roman"/>
          <w:szCs w:val="24"/>
        </w:rPr>
        <w:t xml:space="preserve">'s Initial </w:t>
      </w:r>
      <w:r w:rsidR="00D621B8" w:rsidRPr="005A6964">
        <w:rPr>
          <w:rFonts w:cs="Times New Roman"/>
          <w:szCs w:val="24"/>
        </w:rPr>
        <w:t>B</w:t>
      </w:r>
      <w:r w:rsidRPr="005A6964">
        <w:rPr>
          <w:rFonts w:cs="Times New Roman"/>
          <w:szCs w:val="24"/>
        </w:rPr>
        <w:t>rief, adding $900 million to customers' distribution bills is not consistent with reasonably priced and reliable distribution service.</w:t>
      </w:r>
      <w:r w:rsidR="00FA7597" w:rsidRPr="005A6964">
        <w:rPr>
          <w:rFonts w:cs="Times New Roman"/>
          <w:szCs w:val="24"/>
        </w:rPr>
        <w:t xml:space="preserve">  Additionally, a</w:t>
      </w:r>
      <w:r w:rsidRPr="005A6964">
        <w:rPr>
          <w:rFonts w:cs="Times New Roman"/>
          <w:szCs w:val="24"/>
        </w:rPr>
        <w:t xml:space="preserve">s testified by OCC Witness </w:t>
      </w:r>
      <w:r w:rsidR="00FA7597" w:rsidRPr="005A6964">
        <w:rPr>
          <w:rFonts w:cs="Times New Roman"/>
          <w:szCs w:val="24"/>
        </w:rPr>
        <w:t>Effron</w:t>
      </w:r>
      <w:r w:rsidRPr="005A6964">
        <w:rPr>
          <w:rFonts w:cs="Times New Roman"/>
          <w:szCs w:val="24"/>
        </w:rPr>
        <w:t xml:space="preserve">, all three utilities are potentially overearning </w:t>
      </w:r>
      <w:r w:rsidR="00FA7597" w:rsidRPr="005A6964">
        <w:rPr>
          <w:rFonts w:cs="Times New Roman"/>
          <w:szCs w:val="24"/>
        </w:rPr>
        <w:t xml:space="preserve">substantially </w:t>
      </w:r>
      <w:r w:rsidRPr="005A6964">
        <w:rPr>
          <w:rFonts w:cs="Times New Roman"/>
          <w:szCs w:val="24"/>
        </w:rPr>
        <w:t>for distribution utility service.</w:t>
      </w:r>
      <w:r w:rsidRPr="005A6964">
        <w:rPr>
          <w:rStyle w:val="FootnoteReference"/>
          <w:rFonts w:cs="Times New Roman"/>
          <w:szCs w:val="24"/>
        </w:rPr>
        <w:footnoteReference w:id="411"/>
      </w:r>
      <w:r w:rsidR="00FA7597" w:rsidRPr="005A6964">
        <w:rPr>
          <w:rFonts w:cs="Times New Roman"/>
          <w:szCs w:val="24"/>
        </w:rPr>
        <w:t xml:space="preserve"> This is due in part to distribution rates (and Rider DCR) incorporating a stale 10.5% return on equity</w:t>
      </w:r>
      <w:r w:rsidR="00FA7597" w:rsidRPr="005A6964">
        <w:rPr>
          <w:rStyle w:val="FootnoteReference"/>
          <w:rFonts w:cs="Times New Roman"/>
          <w:szCs w:val="24"/>
        </w:rPr>
        <w:footnoteReference w:id="412"/>
      </w:r>
      <w:r w:rsidR="00FA7597" w:rsidRPr="005A6964">
        <w:rPr>
          <w:rFonts w:cs="Times New Roman"/>
          <w:szCs w:val="24"/>
        </w:rPr>
        <w:t xml:space="preserve"> --a return which is not reasonable under current market conditions.</w:t>
      </w:r>
      <w:r w:rsidR="002F25E4" w:rsidRPr="005A6964">
        <w:rPr>
          <w:rStyle w:val="FootnoteReference"/>
          <w:rFonts w:cs="Times New Roman"/>
          <w:szCs w:val="24"/>
        </w:rPr>
        <w:footnoteReference w:id="413"/>
      </w:r>
      <w:r w:rsidR="00FA7597" w:rsidRPr="005A6964">
        <w:rPr>
          <w:rFonts w:cs="Times New Roman"/>
          <w:szCs w:val="24"/>
        </w:rPr>
        <w:t xml:space="preserve"> </w:t>
      </w:r>
    </w:p>
    <w:p w:rsidR="00F72314" w:rsidRPr="005A6964" w:rsidRDefault="00FA7597" w:rsidP="002D7454">
      <w:pPr>
        <w:pStyle w:val="ListParagraph"/>
        <w:spacing w:line="480" w:lineRule="auto"/>
        <w:ind w:left="0" w:firstLine="720"/>
        <w:rPr>
          <w:rFonts w:cs="Times New Roman"/>
          <w:szCs w:val="24"/>
        </w:rPr>
      </w:pPr>
      <w:r w:rsidRPr="005A6964">
        <w:rPr>
          <w:rFonts w:cs="Times New Roman"/>
          <w:szCs w:val="24"/>
        </w:rPr>
        <w:t>Allowing the Utilities to freeze distribution rates at 2007 levels does not little to ensure reasonably priced and reliable distribution service.  The PUCO should reject</w:t>
      </w:r>
      <w:r w:rsidR="00F72314" w:rsidRPr="005A6964">
        <w:rPr>
          <w:rFonts w:cs="Times New Roman"/>
          <w:szCs w:val="24"/>
        </w:rPr>
        <w:t xml:space="preserve"> outright</w:t>
      </w:r>
      <w:r w:rsidRPr="005A6964">
        <w:rPr>
          <w:rFonts w:cs="Times New Roman"/>
          <w:szCs w:val="24"/>
        </w:rPr>
        <w:t xml:space="preserve"> the notion that distribution rates set over nine years ago are appropriate for customers today</w:t>
      </w:r>
      <w:r w:rsidR="00F72314" w:rsidRPr="005A6964">
        <w:rPr>
          <w:rFonts w:cs="Times New Roman"/>
          <w:szCs w:val="24"/>
        </w:rPr>
        <w:t xml:space="preserve">.  And it should not even consider holding those outdated distribution rates at 2007 levels for the next eight years. </w:t>
      </w:r>
    </w:p>
    <w:p w:rsidR="00501097" w:rsidRPr="005A6964" w:rsidRDefault="00F72314" w:rsidP="002D7454">
      <w:pPr>
        <w:pStyle w:val="ListParagraph"/>
        <w:spacing w:line="480" w:lineRule="auto"/>
        <w:ind w:left="0" w:firstLine="720"/>
        <w:rPr>
          <w:rFonts w:cs="Times New Roman"/>
          <w:szCs w:val="24"/>
        </w:rPr>
      </w:pPr>
      <w:r w:rsidRPr="005A6964">
        <w:rPr>
          <w:rFonts w:cs="Times New Roman"/>
          <w:szCs w:val="24"/>
        </w:rPr>
        <w:t>The PUCO should instead heed the advice of PUCO Staff Witness McCarter who testified that the utilities should file a distribution rate case no later than May 31, 2018.</w:t>
      </w:r>
      <w:r w:rsidRPr="005A6964">
        <w:rPr>
          <w:rStyle w:val="FootnoteReference"/>
          <w:rFonts w:cs="Times New Roman"/>
          <w:szCs w:val="24"/>
        </w:rPr>
        <w:footnoteReference w:id="414"/>
      </w:r>
      <w:r w:rsidRPr="005A6964">
        <w:rPr>
          <w:rFonts w:cs="Times New Roman"/>
          <w:szCs w:val="24"/>
        </w:rPr>
        <w:t xml:space="preserve"> Ms. McCarter conveyed the PUCO Staff 's </w:t>
      </w:r>
      <w:r w:rsidR="00501097" w:rsidRPr="005A6964">
        <w:rPr>
          <w:rFonts w:cs="Times New Roman"/>
          <w:szCs w:val="24"/>
        </w:rPr>
        <w:t>principle that a "holistic periodic review of each company's finances is necessary to ensure that all costs are being appropriately incurred and recovered."</w:t>
      </w:r>
      <w:r w:rsidR="00501097" w:rsidRPr="005A6964">
        <w:rPr>
          <w:rStyle w:val="FootnoteReference"/>
          <w:rFonts w:cs="Times New Roman"/>
          <w:szCs w:val="24"/>
        </w:rPr>
        <w:footnoteReference w:id="415"/>
      </w:r>
      <w:r w:rsidR="00501097" w:rsidRPr="005A6964">
        <w:rPr>
          <w:rFonts w:cs="Times New Roman"/>
          <w:szCs w:val="24"/>
        </w:rPr>
        <w:t xml:space="preserve"> She explained that a rate case permits the overall earnings of utilities to be reviewed along with all expenses and revenues.</w:t>
      </w:r>
      <w:r w:rsidR="00501097" w:rsidRPr="005A6964">
        <w:rPr>
          <w:rStyle w:val="FootnoteReference"/>
          <w:rFonts w:cs="Times New Roman"/>
          <w:szCs w:val="24"/>
        </w:rPr>
        <w:footnoteReference w:id="416"/>
      </w:r>
      <w:r w:rsidR="00501097" w:rsidRPr="005A6964">
        <w:rPr>
          <w:rFonts w:cs="Times New Roman"/>
          <w:szCs w:val="24"/>
        </w:rPr>
        <w:t xml:space="preserve"> </w:t>
      </w:r>
      <w:r w:rsidR="00037F6E" w:rsidRPr="005A6964">
        <w:rPr>
          <w:rFonts w:cs="Times New Roman"/>
          <w:szCs w:val="24"/>
        </w:rPr>
        <w:t>Ms.</w:t>
      </w:r>
      <w:r w:rsidR="00501097" w:rsidRPr="005A6964">
        <w:rPr>
          <w:rFonts w:cs="Times New Roman"/>
          <w:szCs w:val="24"/>
        </w:rPr>
        <w:t xml:space="preserve"> McCarter further declared that "Staff believes it is a prudent regulatory practice to gain a holistic understanding of the regulated distribution company on a regular basis</w:t>
      </w:r>
      <w:r w:rsidR="00790B67" w:rsidRPr="005A6964">
        <w:rPr>
          <w:rFonts w:cs="Times New Roman"/>
          <w:szCs w:val="24"/>
        </w:rPr>
        <w:t>.</w:t>
      </w:r>
      <w:r w:rsidR="00501097" w:rsidRPr="005A6964">
        <w:rPr>
          <w:rFonts w:cs="Times New Roman"/>
          <w:szCs w:val="24"/>
        </w:rPr>
        <w:t>"</w:t>
      </w:r>
      <w:r w:rsidR="00331309" w:rsidRPr="005A6964">
        <w:rPr>
          <w:rFonts w:cs="Times New Roman"/>
          <w:szCs w:val="24"/>
        </w:rPr>
        <w:t xml:space="preserve"> T</w:t>
      </w:r>
      <w:r w:rsidR="002F25E4" w:rsidRPr="005A6964">
        <w:rPr>
          <w:rFonts w:cs="Times New Roman"/>
          <w:szCs w:val="24"/>
        </w:rPr>
        <w:t>his sound advice demonstrates</w:t>
      </w:r>
      <w:r w:rsidR="00501097" w:rsidRPr="005A6964">
        <w:rPr>
          <w:rFonts w:cs="Times New Roman"/>
          <w:szCs w:val="24"/>
        </w:rPr>
        <w:t xml:space="preserve"> the detrimental effect of the distribution rate provisions of the stipulations.  </w:t>
      </w:r>
    </w:p>
    <w:p w:rsidR="002D79D1" w:rsidRPr="005A6964" w:rsidRDefault="00186389" w:rsidP="00E91118">
      <w:pPr>
        <w:pStyle w:val="ListParagraph"/>
        <w:numPr>
          <w:ilvl w:val="0"/>
          <w:numId w:val="6"/>
        </w:numPr>
        <w:spacing w:line="240" w:lineRule="auto"/>
        <w:ind w:left="2160" w:right="720" w:hanging="720"/>
        <w:rPr>
          <w:rFonts w:cs="Times New Roman"/>
          <w:i/>
          <w:szCs w:val="24"/>
        </w:rPr>
      </w:pPr>
      <w:r w:rsidRPr="005A6964">
        <w:rPr>
          <w:rFonts w:cs="Times New Roman"/>
          <w:szCs w:val="24"/>
        </w:rPr>
        <w:t xml:space="preserve">FirstEnergy Assertion:  </w:t>
      </w:r>
      <w:r w:rsidR="00790B67" w:rsidRPr="005A6964">
        <w:rPr>
          <w:rFonts w:cs="Times New Roman"/>
          <w:szCs w:val="24"/>
        </w:rPr>
        <w:t>Grid Modernization will empower customers</w:t>
      </w:r>
      <w:r w:rsidR="002D79D1" w:rsidRPr="005A6964">
        <w:rPr>
          <w:rStyle w:val="FootnoteReference"/>
          <w:rFonts w:cs="Times New Roman"/>
          <w:szCs w:val="24"/>
        </w:rPr>
        <w:footnoteReference w:id="417"/>
      </w:r>
    </w:p>
    <w:p w:rsidR="00E91118" w:rsidRPr="005A6964" w:rsidRDefault="00FA4DF6" w:rsidP="00E91118">
      <w:pPr>
        <w:pStyle w:val="ListParagraph"/>
        <w:spacing w:line="240" w:lineRule="auto"/>
        <w:ind w:left="0" w:firstLine="720"/>
        <w:rPr>
          <w:rFonts w:cs="Times New Roman"/>
          <w:i/>
          <w:szCs w:val="24"/>
        </w:rPr>
      </w:pPr>
      <w:r w:rsidRPr="005A6964">
        <w:rPr>
          <w:rFonts w:cs="Times New Roman"/>
          <w:i/>
          <w:szCs w:val="24"/>
        </w:rPr>
        <w:t xml:space="preserve"> </w:t>
      </w:r>
    </w:p>
    <w:p w:rsidR="002D79D1" w:rsidRPr="005A6964" w:rsidRDefault="002D79D1" w:rsidP="00FA4DF6">
      <w:pPr>
        <w:pStyle w:val="ListParagraph"/>
        <w:spacing w:line="480" w:lineRule="auto"/>
        <w:ind w:left="0" w:firstLine="720"/>
        <w:rPr>
          <w:rFonts w:cs="Times New Roman"/>
          <w:szCs w:val="24"/>
        </w:rPr>
      </w:pPr>
      <w:r w:rsidRPr="005A6964">
        <w:rPr>
          <w:rFonts w:cs="Times New Roman"/>
          <w:szCs w:val="24"/>
        </w:rPr>
        <w:t>The Utilities claim that the grid modernization provisions of the stipulation will benefit custome</w:t>
      </w:r>
      <w:r w:rsidR="002F25E4" w:rsidRPr="005A6964">
        <w:rPr>
          <w:rFonts w:cs="Times New Roman"/>
          <w:szCs w:val="24"/>
        </w:rPr>
        <w:t>rs.  They claim that certain in</w:t>
      </w:r>
      <w:r w:rsidRPr="005A6964">
        <w:rPr>
          <w:rFonts w:cs="Times New Roman"/>
          <w:szCs w:val="24"/>
        </w:rPr>
        <w:t>itiatives, if implemented, "should lead to customer savings and promote retail competition in the state of Ohio."</w:t>
      </w:r>
      <w:r w:rsidRPr="005A6964">
        <w:rPr>
          <w:rStyle w:val="FootnoteReference"/>
          <w:rFonts w:cs="Times New Roman"/>
          <w:szCs w:val="24"/>
        </w:rPr>
        <w:footnoteReference w:id="418"/>
      </w:r>
      <w:r w:rsidRPr="005A6964">
        <w:rPr>
          <w:rFonts w:cs="Times New Roman"/>
          <w:szCs w:val="24"/>
        </w:rPr>
        <w:t xml:space="preserve">  </w:t>
      </w:r>
    </w:p>
    <w:p w:rsidR="00DE0718" w:rsidRPr="005A6964" w:rsidRDefault="002D79D1" w:rsidP="00FA4DF6">
      <w:pPr>
        <w:pStyle w:val="ListParagraph"/>
        <w:spacing w:line="480" w:lineRule="auto"/>
        <w:ind w:left="0" w:firstLine="720"/>
        <w:rPr>
          <w:rFonts w:cs="Times New Roman"/>
          <w:szCs w:val="24"/>
        </w:rPr>
      </w:pPr>
      <w:r w:rsidRPr="005A6964">
        <w:rPr>
          <w:rFonts w:cs="Times New Roman"/>
          <w:szCs w:val="24"/>
        </w:rPr>
        <w:t>FirstEnergy did not reveal its grid modernization plan to the stipulating parties.  It did not rev</w:t>
      </w:r>
      <w:r w:rsidR="00DE0718" w:rsidRPr="005A6964">
        <w:rPr>
          <w:rFonts w:cs="Times New Roman"/>
          <w:szCs w:val="24"/>
        </w:rPr>
        <w:t>e</w:t>
      </w:r>
      <w:r w:rsidRPr="005A6964">
        <w:rPr>
          <w:rFonts w:cs="Times New Roman"/>
          <w:szCs w:val="24"/>
        </w:rPr>
        <w:t>al its grid modernization plan to the non-stipulating parties.  And it did not reveal its grid modernization plan to the PUCO.  Instead, it insists that the grid modernization plan will be revealed in time -- 90 days after the filing of the stipulated ESP</w:t>
      </w:r>
      <w:r w:rsidR="00DE0718" w:rsidRPr="005A6964">
        <w:rPr>
          <w:rFonts w:cs="Times New Roman"/>
          <w:szCs w:val="24"/>
        </w:rPr>
        <w:t xml:space="preserve">.  </w:t>
      </w:r>
      <w:r w:rsidRPr="005A6964">
        <w:rPr>
          <w:rFonts w:cs="Times New Roman"/>
          <w:szCs w:val="24"/>
        </w:rPr>
        <w:t xml:space="preserve"> </w:t>
      </w:r>
    </w:p>
    <w:p w:rsidR="00186389" w:rsidRPr="005A6964" w:rsidRDefault="00DE0718" w:rsidP="00FA4DF6">
      <w:pPr>
        <w:pStyle w:val="ListParagraph"/>
        <w:spacing w:line="480" w:lineRule="auto"/>
        <w:ind w:left="0" w:firstLine="720"/>
        <w:rPr>
          <w:rFonts w:cs="Times New Roman"/>
          <w:szCs w:val="24"/>
        </w:rPr>
      </w:pPr>
      <w:r w:rsidRPr="005A6964">
        <w:rPr>
          <w:rFonts w:cs="Times New Roman"/>
          <w:szCs w:val="24"/>
        </w:rPr>
        <w:t xml:space="preserve">So the PUCO and customers are being asked to trust First Energy that, inter alia, 1) there will be more than theoretical benefits to customers; 2) that the benefits of the undefined program will exceed the costs; 3) that the costs will be reasonable and 4) the provisions of the program will be acceptable to the PUCO and will be implemented.   This simply is too much to ask.  The PUCO, because of the inherent </w:t>
      </w:r>
      <w:r w:rsidR="009C15AC" w:rsidRPr="005A6964">
        <w:rPr>
          <w:rFonts w:cs="Times New Roman"/>
          <w:szCs w:val="24"/>
        </w:rPr>
        <w:t>uncertainty</w:t>
      </w:r>
      <w:r w:rsidRPr="005A6964">
        <w:rPr>
          <w:rFonts w:cs="Times New Roman"/>
          <w:szCs w:val="24"/>
        </w:rPr>
        <w:t xml:space="preserve"> of the grid modernization program, should give it no weight.</w:t>
      </w:r>
      <w:r w:rsidR="00763303" w:rsidRPr="005A6964">
        <w:rPr>
          <w:rStyle w:val="FootnoteReference"/>
          <w:rFonts w:cs="Times New Roman"/>
          <w:szCs w:val="24"/>
        </w:rPr>
        <w:footnoteReference w:id="419"/>
      </w:r>
      <w:r w:rsidRPr="005A6964">
        <w:rPr>
          <w:rFonts w:cs="Times New Roman"/>
          <w:szCs w:val="24"/>
        </w:rPr>
        <w:t xml:space="preserve"> </w:t>
      </w:r>
    </w:p>
    <w:p w:rsidR="00DE0718" w:rsidRPr="005A6964" w:rsidRDefault="00186389" w:rsidP="00FA4DF6">
      <w:pPr>
        <w:pStyle w:val="ListParagraph"/>
        <w:spacing w:line="480" w:lineRule="auto"/>
        <w:ind w:left="0" w:firstLine="720"/>
        <w:rPr>
          <w:rFonts w:cs="Times New Roman"/>
          <w:szCs w:val="24"/>
        </w:rPr>
      </w:pPr>
      <w:r w:rsidRPr="005A6964">
        <w:rPr>
          <w:rFonts w:cs="Times New Roman"/>
          <w:szCs w:val="24"/>
        </w:rPr>
        <w:t>R.C. 4909.15 contains a ratemaking process that is based on the science of regulating monopoly distribution utilities for the protection of captive distribution customers.  In the public interest, the PUCO should use that process for co</w:t>
      </w:r>
      <w:r w:rsidR="00E91118" w:rsidRPr="005A6964">
        <w:rPr>
          <w:rFonts w:cs="Times New Roman"/>
          <w:szCs w:val="24"/>
        </w:rPr>
        <w:t>nsidering</w:t>
      </w:r>
      <w:r w:rsidRPr="005A6964">
        <w:rPr>
          <w:rFonts w:cs="Times New Roman"/>
          <w:szCs w:val="24"/>
        </w:rPr>
        <w:t xml:space="preserve"> utility investment and related cha</w:t>
      </w:r>
      <w:r w:rsidR="00E91118" w:rsidRPr="005A6964">
        <w:rPr>
          <w:rFonts w:cs="Times New Roman"/>
          <w:szCs w:val="24"/>
        </w:rPr>
        <w:t>r</w:t>
      </w:r>
      <w:r w:rsidRPr="005A6964">
        <w:rPr>
          <w:rFonts w:cs="Times New Roman"/>
          <w:szCs w:val="24"/>
        </w:rPr>
        <w:t xml:space="preserve">ges, and it should dispense </w:t>
      </w:r>
      <w:r w:rsidR="00E91118" w:rsidRPr="005A6964">
        <w:rPr>
          <w:rFonts w:cs="Times New Roman"/>
          <w:szCs w:val="24"/>
        </w:rPr>
        <w:t>with</w:t>
      </w:r>
      <w:r w:rsidRPr="005A6964">
        <w:rPr>
          <w:rFonts w:cs="Times New Roman"/>
          <w:szCs w:val="24"/>
        </w:rPr>
        <w:t xml:space="preserve"> FirstEnergy’s approach.</w:t>
      </w:r>
      <w:r w:rsidR="00212C26" w:rsidRPr="005A6964">
        <w:rPr>
          <w:rFonts w:cs="Times New Roman"/>
          <w:szCs w:val="24"/>
        </w:rPr>
        <w:t xml:space="preserve"> </w:t>
      </w:r>
    </w:p>
    <w:p w:rsidR="00A55A9B" w:rsidRPr="005A6964" w:rsidRDefault="00E91118" w:rsidP="00FC4971">
      <w:pPr>
        <w:pStyle w:val="ListParagraph"/>
        <w:numPr>
          <w:ilvl w:val="0"/>
          <w:numId w:val="6"/>
        </w:numPr>
        <w:spacing w:line="240" w:lineRule="auto"/>
        <w:ind w:left="2160" w:right="720" w:hanging="720"/>
        <w:rPr>
          <w:rFonts w:cs="Times New Roman"/>
          <w:szCs w:val="24"/>
        </w:rPr>
      </w:pPr>
      <w:r w:rsidRPr="005A6964">
        <w:rPr>
          <w:rFonts w:cs="Times New Roman"/>
          <w:szCs w:val="24"/>
        </w:rPr>
        <w:t xml:space="preserve">FirstEnergy Assertion:  </w:t>
      </w:r>
      <w:r w:rsidR="00790B67" w:rsidRPr="005A6964">
        <w:rPr>
          <w:rFonts w:cs="Times New Roman"/>
          <w:szCs w:val="24"/>
        </w:rPr>
        <w:t>Significant commitment is made to resource diversification</w:t>
      </w:r>
      <w:r w:rsidR="00A55A9B" w:rsidRPr="005A6964">
        <w:rPr>
          <w:rStyle w:val="FootnoteReference"/>
          <w:rFonts w:cs="Times New Roman"/>
          <w:szCs w:val="24"/>
        </w:rPr>
        <w:footnoteReference w:id="420"/>
      </w:r>
      <w:r w:rsidR="00790B67" w:rsidRPr="005A6964">
        <w:rPr>
          <w:rFonts w:cs="Times New Roman"/>
          <w:szCs w:val="24"/>
        </w:rPr>
        <w:t xml:space="preserve"> </w:t>
      </w:r>
    </w:p>
    <w:p w:rsidR="00FC4971" w:rsidRPr="005A6964" w:rsidRDefault="00FC4971" w:rsidP="00FC4971">
      <w:pPr>
        <w:pStyle w:val="ListParagraph"/>
        <w:spacing w:line="240" w:lineRule="auto"/>
        <w:ind w:left="2160" w:right="720"/>
        <w:rPr>
          <w:rFonts w:cs="Times New Roman"/>
          <w:szCs w:val="24"/>
        </w:rPr>
      </w:pPr>
    </w:p>
    <w:p w:rsidR="00763303" w:rsidRPr="005A6964" w:rsidRDefault="00A55A9B" w:rsidP="00E91118">
      <w:pPr>
        <w:pStyle w:val="ListParagraph"/>
        <w:spacing w:line="480" w:lineRule="auto"/>
        <w:ind w:left="0" w:firstLine="720"/>
        <w:rPr>
          <w:rFonts w:cs="Times New Roman"/>
          <w:szCs w:val="24"/>
        </w:rPr>
      </w:pPr>
      <w:r w:rsidRPr="005A6964">
        <w:rPr>
          <w:rFonts w:cs="Times New Roman"/>
          <w:szCs w:val="24"/>
        </w:rPr>
        <w:t xml:space="preserve">FirstEnergy claims it is making "an unprecedented </w:t>
      </w:r>
      <w:r w:rsidR="00037F6E" w:rsidRPr="005A6964">
        <w:rPr>
          <w:rFonts w:cs="Times New Roman"/>
          <w:szCs w:val="24"/>
        </w:rPr>
        <w:t>commitment</w:t>
      </w:r>
      <w:r w:rsidRPr="005A6964">
        <w:rPr>
          <w:rFonts w:cs="Times New Roman"/>
          <w:szCs w:val="24"/>
        </w:rPr>
        <w:t xml:space="preserve"> to the promotion of future resource diversity in Ohio."</w:t>
      </w:r>
      <w:r w:rsidRPr="005A6964">
        <w:rPr>
          <w:rStyle w:val="FootnoteReference"/>
          <w:rFonts w:cs="Times New Roman"/>
          <w:szCs w:val="24"/>
        </w:rPr>
        <w:footnoteReference w:id="421"/>
      </w:r>
      <w:r w:rsidRPr="005A6964">
        <w:rPr>
          <w:rFonts w:cs="Times New Roman"/>
          <w:szCs w:val="24"/>
        </w:rPr>
        <w:t xml:space="preserve">  </w:t>
      </w:r>
      <w:r w:rsidR="00E91118" w:rsidRPr="005A6964">
        <w:rPr>
          <w:rFonts w:cs="Times New Roman"/>
          <w:szCs w:val="24"/>
        </w:rPr>
        <w:t>But t</w:t>
      </w:r>
      <w:r w:rsidR="00A129FA" w:rsidRPr="005A6964">
        <w:rPr>
          <w:rFonts w:cs="Times New Roman"/>
          <w:szCs w:val="24"/>
        </w:rPr>
        <w:t xml:space="preserve">he provisions are toothless, being either subject to contingencies or unenforceable.  </w:t>
      </w:r>
      <w:r w:rsidR="00E91118" w:rsidRPr="005A6964">
        <w:rPr>
          <w:rFonts w:cs="Times New Roman"/>
          <w:szCs w:val="24"/>
        </w:rPr>
        <w:t xml:space="preserve">And the provisions defy the freeze on alternative energy enacted by the Ohio General Assembly in Senate Bill 310 (with which FirstEnergy would be well acquainted).  Further it should be noted that FirstEnergy is, in essence, selling back to the state and Ohioans, </w:t>
      </w:r>
      <w:r w:rsidR="00E91118" w:rsidRPr="005A6964">
        <w:rPr>
          <w:rFonts w:cs="Times New Roman"/>
          <w:i/>
          <w:szCs w:val="24"/>
        </w:rPr>
        <w:t xml:space="preserve">at a </w:t>
      </w:r>
      <w:r w:rsidR="00E91118" w:rsidRPr="005A6964">
        <w:rPr>
          <w:rFonts w:cs="Times New Roman"/>
          <w:szCs w:val="24"/>
        </w:rPr>
        <w:t>premium, renewables and energy efficiency that were frozen in Senate Bill 310.  The FirstEnergy premium includes higher shared savings on energy efficiency (meaning higher FirstEnergy profits to be paid by Ohioans).  And the premium includes customers now having to subsidize the PPA power</w:t>
      </w:r>
      <w:r w:rsidR="00DD1D5E" w:rsidRPr="005A6964">
        <w:rPr>
          <w:rFonts w:cs="Times New Roman"/>
          <w:szCs w:val="24"/>
        </w:rPr>
        <w:t xml:space="preserve"> </w:t>
      </w:r>
      <w:r w:rsidR="00E91118" w:rsidRPr="005A6964">
        <w:rPr>
          <w:rFonts w:cs="Times New Roman"/>
          <w:szCs w:val="24"/>
        </w:rPr>
        <w:t>plants for the privilege of receiving FirstEnergy’s alternative energy proposals.</w:t>
      </w:r>
      <w:r w:rsidR="00A129FA" w:rsidRPr="005A6964">
        <w:rPr>
          <w:rFonts w:cs="Times New Roman"/>
          <w:szCs w:val="24"/>
        </w:rPr>
        <w:t xml:space="preserve"> </w:t>
      </w:r>
    </w:p>
    <w:p w:rsidR="00FA4DF6" w:rsidRPr="005A6964" w:rsidRDefault="00E91118" w:rsidP="00E91118">
      <w:pPr>
        <w:pStyle w:val="ListParagraph"/>
        <w:numPr>
          <w:ilvl w:val="0"/>
          <w:numId w:val="7"/>
        </w:numPr>
        <w:spacing w:line="240" w:lineRule="auto"/>
        <w:ind w:left="2160" w:right="720" w:hanging="720"/>
        <w:rPr>
          <w:rFonts w:cs="Times New Roman"/>
          <w:i/>
          <w:szCs w:val="24"/>
        </w:rPr>
      </w:pPr>
      <w:r w:rsidRPr="005A6964">
        <w:rPr>
          <w:rFonts w:cs="Times New Roman"/>
          <w:szCs w:val="24"/>
        </w:rPr>
        <w:t xml:space="preserve">FirstEnergy Assertion:  </w:t>
      </w:r>
      <w:r w:rsidR="00790B67" w:rsidRPr="005A6964">
        <w:rPr>
          <w:rFonts w:cs="Times New Roman"/>
          <w:szCs w:val="24"/>
        </w:rPr>
        <w:t>Benefits from Straight Fixed Variable Cost Rate Design</w:t>
      </w:r>
      <w:r w:rsidR="00A129FA" w:rsidRPr="005A6964">
        <w:rPr>
          <w:rStyle w:val="FootnoteReference"/>
          <w:rFonts w:cs="Times New Roman"/>
          <w:szCs w:val="24"/>
        </w:rPr>
        <w:footnoteReference w:id="422"/>
      </w:r>
    </w:p>
    <w:p w:rsidR="00E91118" w:rsidRPr="005A6964" w:rsidRDefault="00E91118" w:rsidP="00E91118">
      <w:pPr>
        <w:pStyle w:val="ListParagraph"/>
        <w:spacing w:line="240" w:lineRule="auto"/>
        <w:ind w:left="0" w:firstLine="720"/>
        <w:rPr>
          <w:rFonts w:cs="Times New Roman"/>
          <w:szCs w:val="24"/>
        </w:rPr>
      </w:pPr>
    </w:p>
    <w:p w:rsidR="008F0439" w:rsidRPr="005A6964" w:rsidRDefault="00212C26" w:rsidP="00FA4DF6">
      <w:pPr>
        <w:pStyle w:val="ListParagraph"/>
        <w:spacing w:line="480" w:lineRule="auto"/>
        <w:ind w:left="0" w:firstLine="720"/>
        <w:rPr>
          <w:rFonts w:cs="Times New Roman"/>
          <w:i/>
          <w:szCs w:val="24"/>
        </w:rPr>
      </w:pPr>
      <w:r w:rsidRPr="005A6964">
        <w:rPr>
          <w:rFonts w:cs="Times New Roman"/>
          <w:szCs w:val="24"/>
        </w:rPr>
        <w:t>As explained in OCC/</w:t>
      </w:r>
      <w:r w:rsidR="00A129FA" w:rsidRPr="005A6964">
        <w:rPr>
          <w:rFonts w:cs="Times New Roman"/>
          <w:szCs w:val="24"/>
        </w:rPr>
        <w:t>NO</w:t>
      </w:r>
      <w:r w:rsidRPr="005A6964">
        <w:rPr>
          <w:rFonts w:cs="Times New Roman"/>
          <w:szCs w:val="24"/>
        </w:rPr>
        <w:t>AC</w:t>
      </w:r>
      <w:r w:rsidR="00A129FA" w:rsidRPr="005A6964">
        <w:rPr>
          <w:rFonts w:cs="Times New Roman"/>
          <w:szCs w:val="24"/>
        </w:rPr>
        <w:t xml:space="preserve"> </w:t>
      </w:r>
      <w:r w:rsidRPr="005A6964">
        <w:rPr>
          <w:rFonts w:cs="Times New Roman"/>
          <w:szCs w:val="24"/>
        </w:rPr>
        <w:t>I</w:t>
      </w:r>
      <w:r w:rsidR="00A129FA" w:rsidRPr="005A6964">
        <w:rPr>
          <w:rFonts w:cs="Times New Roman"/>
          <w:szCs w:val="24"/>
        </w:rPr>
        <w:t xml:space="preserve">nitial </w:t>
      </w:r>
      <w:r w:rsidRPr="005A6964">
        <w:rPr>
          <w:rFonts w:cs="Times New Roman"/>
          <w:szCs w:val="24"/>
        </w:rPr>
        <w:t>B</w:t>
      </w:r>
      <w:r w:rsidR="00A129FA" w:rsidRPr="005A6964">
        <w:rPr>
          <w:rFonts w:cs="Times New Roman"/>
          <w:szCs w:val="24"/>
        </w:rPr>
        <w:t xml:space="preserve">rief, utilizing a straight fixed variable rate design for </w:t>
      </w:r>
      <w:r w:rsidR="008F0439" w:rsidRPr="005A6964">
        <w:rPr>
          <w:rFonts w:cs="Times New Roman"/>
          <w:szCs w:val="24"/>
        </w:rPr>
        <w:t xml:space="preserve">residential customers would </w:t>
      </w:r>
      <w:r w:rsidR="00A129FA" w:rsidRPr="005A6964">
        <w:rPr>
          <w:rFonts w:cs="Times New Roman"/>
          <w:szCs w:val="24"/>
        </w:rPr>
        <w:t>harm, not benefit customers.</w:t>
      </w:r>
      <w:r w:rsidR="00A129FA" w:rsidRPr="005A6964">
        <w:rPr>
          <w:rStyle w:val="FootnoteReference"/>
          <w:rFonts w:cs="Times New Roman"/>
          <w:szCs w:val="24"/>
        </w:rPr>
        <w:footnoteReference w:id="423"/>
      </w:r>
      <w:r w:rsidR="00A129FA" w:rsidRPr="005A6964">
        <w:rPr>
          <w:rFonts w:cs="Times New Roman"/>
          <w:szCs w:val="24"/>
        </w:rPr>
        <w:t xml:space="preserve"> FirstEnergy acknowledged this in comments docketed at the PUCO in </w:t>
      </w:r>
      <w:r w:rsidR="008F0439" w:rsidRPr="005A6964">
        <w:rPr>
          <w:rFonts w:cs="Times New Roman"/>
          <w:szCs w:val="24"/>
        </w:rPr>
        <w:t>2011.</w:t>
      </w:r>
      <w:r w:rsidR="008F0439" w:rsidRPr="005A6964">
        <w:rPr>
          <w:rStyle w:val="FootnoteReference"/>
          <w:rFonts w:cs="Times New Roman"/>
          <w:szCs w:val="24"/>
        </w:rPr>
        <w:footnoteReference w:id="424"/>
      </w:r>
      <w:r w:rsidR="008F0439" w:rsidRPr="005A6964">
        <w:rPr>
          <w:rFonts w:cs="Times New Roman"/>
          <w:szCs w:val="24"/>
        </w:rPr>
        <w:t xml:space="preserve">  </w:t>
      </w:r>
      <w:r w:rsidR="00A55A9B" w:rsidRPr="005A6964">
        <w:rPr>
          <w:rFonts w:cs="Times New Roman"/>
          <w:szCs w:val="24"/>
        </w:rPr>
        <w:tab/>
      </w:r>
    </w:p>
    <w:p w:rsidR="002F25E4" w:rsidRPr="005A6964" w:rsidRDefault="00E91118" w:rsidP="00E91118">
      <w:pPr>
        <w:pStyle w:val="ListParagraph"/>
        <w:numPr>
          <w:ilvl w:val="0"/>
          <w:numId w:val="7"/>
        </w:numPr>
        <w:spacing w:after="0" w:line="240" w:lineRule="auto"/>
        <w:ind w:left="2160" w:right="720" w:hanging="720"/>
        <w:rPr>
          <w:rFonts w:cs="Times New Roman"/>
          <w:szCs w:val="24"/>
        </w:rPr>
      </w:pPr>
      <w:r w:rsidRPr="005A6964">
        <w:rPr>
          <w:rFonts w:cs="Times New Roman"/>
          <w:szCs w:val="24"/>
        </w:rPr>
        <w:t xml:space="preserve">FirstEnergy Assertion:  </w:t>
      </w:r>
      <w:r w:rsidR="00790B67" w:rsidRPr="005A6964">
        <w:rPr>
          <w:rFonts w:cs="Times New Roman"/>
          <w:szCs w:val="24"/>
        </w:rPr>
        <w:t>Reasonably priced and reliable transmission service</w:t>
      </w:r>
      <w:r w:rsidR="008F0439" w:rsidRPr="005A6964">
        <w:rPr>
          <w:rStyle w:val="FootnoteReference"/>
          <w:rFonts w:cs="Times New Roman"/>
          <w:szCs w:val="24"/>
        </w:rPr>
        <w:footnoteReference w:id="425"/>
      </w:r>
      <w:r w:rsidR="002F25E4" w:rsidRPr="005A6964">
        <w:rPr>
          <w:rFonts w:cs="Times New Roman"/>
          <w:szCs w:val="24"/>
        </w:rPr>
        <w:t xml:space="preserve"> </w:t>
      </w:r>
    </w:p>
    <w:p w:rsidR="00E91118" w:rsidRPr="005A6964" w:rsidRDefault="002F25E4" w:rsidP="00E91118">
      <w:pPr>
        <w:spacing w:after="0" w:line="240" w:lineRule="auto"/>
        <w:rPr>
          <w:rFonts w:cs="Times New Roman"/>
          <w:szCs w:val="24"/>
        </w:rPr>
      </w:pPr>
      <w:r w:rsidRPr="005A6964">
        <w:rPr>
          <w:rFonts w:cs="Times New Roman"/>
          <w:szCs w:val="24"/>
        </w:rPr>
        <w:tab/>
      </w:r>
    </w:p>
    <w:p w:rsidR="00372AA0" w:rsidRPr="005A6964" w:rsidRDefault="00E91118" w:rsidP="00FA4DF6">
      <w:pPr>
        <w:spacing w:after="0" w:line="480" w:lineRule="auto"/>
        <w:rPr>
          <w:rFonts w:cs="Times New Roman"/>
          <w:szCs w:val="24"/>
        </w:rPr>
      </w:pPr>
      <w:r w:rsidRPr="005A6964">
        <w:rPr>
          <w:rFonts w:cs="Times New Roman"/>
          <w:szCs w:val="24"/>
        </w:rPr>
        <w:tab/>
      </w:r>
      <w:r w:rsidR="002F25E4" w:rsidRPr="005A6964">
        <w:rPr>
          <w:rFonts w:cs="Times New Roman"/>
          <w:szCs w:val="24"/>
        </w:rPr>
        <w:t>The Utilities claim that under the stipulated electric security plan, it will continue its commitment to not seek recovery from retail customers of certain legacy PJM Regional Transmission Expansion Plan ("RTEP") costs.</w:t>
      </w:r>
      <w:r w:rsidR="002F25E4" w:rsidRPr="005A6964">
        <w:rPr>
          <w:rStyle w:val="FootnoteReference"/>
          <w:rFonts w:cs="Times New Roman"/>
          <w:szCs w:val="24"/>
        </w:rPr>
        <w:footnoteReference w:id="426"/>
      </w:r>
      <w:r w:rsidR="002F25E4" w:rsidRPr="005A6964">
        <w:rPr>
          <w:rFonts w:cs="Times New Roman"/>
          <w:szCs w:val="24"/>
        </w:rPr>
        <w:t xml:space="preserve">  The Utilities also claim that the updates to Rider NMB will result in lower overall costs for customers.</w:t>
      </w:r>
      <w:r w:rsidR="002F25E4" w:rsidRPr="005A6964">
        <w:rPr>
          <w:rStyle w:val="FootnoteReference"/>
          <w:rFonts w:cs="Times New Roman"/>
          <w:szCs w:val="24"/>
        </w:rPr>
        <w:footnoteReference w:id="427"/>
      </w:r>
      <w:r w:rsidR="00372AA0" w:rsidRPr="005A6964">
        <w:rPr>
          <w:rFonts w:cs="Times New Roman"/>
          <w:szCs w:val="24"/>
        </w:rPr>
        <w:t xml:space="preserve">  FirstEnergy </w:t>
      </w:r>
      <w:r w:rsidRPr="005A6964">
        <w:rPr>
          <w:rFonts w:cs="Times New Roman"/>
          <w:szCs w:val="24"/>
        </w:rPr>
        <w:t>assets</w:t>
      </w:r>
      <w:r w:rsidR="00372AA0" w:rsidRPr="005A6964">
        <w:rPr>
          <w:rFonts w:cs="Times New Roman"/>
          <w:szCs w:val="24"/>
        </w:rPr>
        <w:t xml:space="preserve"> that this will occur because of two factors:  1)the changes reduce the risk premium for SSO suppliers and 2)customers will only pay the non-market based costs without risk adders or mark-ups.</w:t>
      </w:r>
      <w:r w:rsidR="00372AA0" w:rsidRPr="005A6964">
        <w:rPr>
          <w:rStyle w:val="FootnoteReference"/>
          <w:rFonts w:cs="Times New Roman"/>
          <w:szCs w:val="24"/>
        </w:rPr>
        <w:footnoteReference w:id="428"/>
      </w:r>
      <w:r w:rsidR="00372AA0" w:rsidRPr="005A6964">
        <w:rPr>
          <w:rFonts w:cs="Times New Roman"/>
          <w:i/>
          <w:szCs w:val="24"/>
        </w:rPr>
        <w:t xml:space="preserve"> </w:t>
      </w:r>
      <w:r w:rsidR="00372AA0" w:rsidRPr="005A6964">
        <w:rPr>
          <w:rFonts w:cs="Times New Roman"/>
          <w:szCs w:val="24"/>
        </w:rPr>
        <w:t>NUCOR claims the Rider NMB pilot program allowing pilot participants to opt out of paying the rider "has the potential to provide benefits to customers participating in the pilot, as well as to non-participating customers by lowering the overall cost of the system and maintaining reliability."</w:t>
      </w:r>
      <w:r w:rsidR="00372AA0" w:rsidRPr="005A6964">
        <w:rPr>
          <w:rStyle w:val="FootnoteReference"/>
          <w:rFonts w:cs="Times New Roman"/>
          <w:szCs w:val="24"/>
        </w:rPr>
        <w:footnoteReference w:id="429"/>
      </w:r>
      <w:r w:rsidR="00372AA0" w:rsidRPr="005A6964">
        <w:rPr>
          <w:rFonts w:cs="Times New Roman"/>
          <w:szCs w:val="24"/>
        </w:rPr>
        <w:t xml:space="preserve"> These claims are easily debunked.  </w:t>
      </w:r>
    </w:p>
    <w:p w:rsidR="00755EBE" w:rsidRPr="005A6964" w:rsidRDefault="00372AA0" w:rsidP="00FA4DF6">
      <w:pPr>
        <w:spacing w:after="0" w:line="480" w:lineRule="auto"/>
        <w:rPr>
          <w:rFonts w:cs="Times New Roman"/>
          <w:szCs w:val="24"/>
        </w:rPr>
      </w:pPr>
      <w:r w:rsidRPr="005A6964">
        <w:rPr>
          <w:rFonts w:cs="Times New Roman"/>
          <w:szCs w:val="24"/>
        </w:rPr>
        <w:tab/>
      </w:r>
      <w:r w:rsidR="00755EBE" w:rsidRPr="005A6964">
        <w:rPr>
          <w:rFonts w:cs="Times New Roman"/>
          <w:szCs w:val="24"/>
        </w:rPr>
        <w:t>FirstEnergy is obliged to provide adequate service to each and every Ohioan.  This obligation extends to furnishing "necessary and adequate service and facilities" that are "adequate and in all respects just and reasonable." R.C. 4905.22.  This means that furnishing reasonably priced an</w:t>
      </w:r>
      <w:r w:rsidR="00331309" w:rsidRPr="005A6964">
        <w:rPr>
          <w:rFonts w:cs="Times New Roman"/>
          <w:szCs w:val="24"/>
        </w:rPr>
        <w:t>d reliable transmission service</w:t>
      </w:r>
      <w:r w:rsidR="00755EBE" w:rsidRPr="005A6964">
        <w:rPr>
          <w:rFonts w:cs="Times New Roman"/>
          <w:szCs w:val="24"/>
        </w:rPr>
        <w:t xml:space="preserve"> should not be considered as an added benefit to the stipulation.  FirstEnergy is obliged under the law to do so.  </w:t>
      </w:r>
      <w:r w:rsidR="00E91118" w:rsidRPr="005A6964">
        <w:rPr>
          <w:rFonts w:cs="Times New Roman"/>
          <w:szCs w:val="24"/>
        </w:rPr>
        <w:t>The PUCO should not require customers to buy, at a premium, adequate service that FirstEnergy is required under law to provide and that consumers are already paying.</w:t>
      </w:r>
      <w:r w:rsidR="00755EBE" w:rsidRPr="005A6964">
        <w:rPr>
          <w:rFonts w:cs="Times New Roman"/>
          <w:szCs w:val="24"/>
        </w:rPr>
        <w:t xml:space="preserve"> </w:t>
      </w:r>
    </w:p>
    <w:p w:rsidR="00431E2C" w:rsidRPr="005A6964" w:rsidRDefault="00755EBE" w:rsidP="00FA4DF6">
      <w:pPr>
        <w:spacing w:after="0" w:line="480" w:lineRule="auto"/>
        <w:rPr>
          <w:rFonts w:cs="Times New Roman"/>
          <w:szCs w:val="24"/>
        </w:rPr>
      </w:pPr>
      <w:r w:rsidRPr="005A6964">
        <w:rPr>
          <w:rFonts w:cs="Times New Roman"/>
          <w:szCs w:val="24"/>
        </w:rPr>
        <w:tab/>
      </w:r>
      <w:r w:rsidR="00BC6873" w:rsidRPr="005A6964">
        <w:rPr>
          <w:rFonts w:cs="Times New Roman"/>
          <w:szCs w:val="24"/>
        </w:rPr>
        <w:t>Specifically, w</w:t>
      </w:r>
      <w:r w:rsidR="008C09C6" w:rsidRPr="005A6964">
        <w:rPr>
          <w:rFonts w:cs="Times New Roman"/>
          <w:szCs w:val="24"/>
        </w:rPr>
        <w:t xml:space="preserve">ith respect to the RTEP costs, it should be noted that FirstEnergy is already bound to continue its commitment not to seek recovery from retail customers of legacy RTEP costs.  This is because the Utilities signed a stipulation, which was approved by the PUCO, that continues that commitment until </w:t>
      </w:r>
      <w:r w:rsidR="00D864C4" w:rsidRPr="005A6964">
        <w:rPr>
          <w:rFonts w:cs="Times New Roman"/>
          <w:szCs w:val="24"/>
        </w:rPr>
        <w:t>"</w:t>
      </w:r>
      <w:r w:rsidR="008C09C6" w:rsidRPr="005A6964">
        <w:rPr>
          <w:rFonts w:cs="Times New Roman"/>
          <w:i/>
          <w:szCs w:val="24"/>
        </w:rPr>
        <w:t>t</w:t>
      </w:r>
      <w:r w:rsidR="00431E2C" w:rsidRPr="005A6964">
        <w:rPr>
          <w:rFonts w:cs="Times New Roman"/>
          <w:i/>
          <w:szCs w:val="24"/>
        </w:rPr>
        <w:t>he l</w:t>
      </w:r>
      <w:r w:rsidR="00D864C4" w:rsidRPr="005A6964">
        <w:rPr>
          <w:rFonts w:cs="Times New Roman"/>
          <w:i/>
          <w:szCs w:val="24"/>
        </w:rPr>
        <w:t>onger of"</w:t>
      </w:r>
      <w:r w:rsidR="00431E2C" w:rsidRPr="005A6964">
        <w:rPr>
          <w:rFonts w:cs="Times New Roman"/>
          <w:szCs w:val="24"/>
        </w:rPr>
        <w:t xml:space="preserve"> of May 31, 2016 or when a total of $360 million of RTEP costs have been paid by the Utilities.</w:t>
      </w:r>
      <w:r w:rsidR="00431E2C" w:rsidRPr="005A6964">
        <w:rPr>
          <w:rStyle w:val="FootnoteReference"/>
          <w:rFonts w:cs="Times New Roman"/>
          <w:szCs w:val="24"/>
        </w:rPr>
        <w:footnoteReference w:id="430"/>
      </w:r>
      <w:r w:rsidR="00431E2C" w:rsidRPr="005A6964">
        <w:rPr>
          <w:rFonts w:cs="Times New Roman"/>
          <w:szCs w:val="24"/>
        </w:rPr>
        <w:t xml:space="preserve">  Ms. Mikkelsen testified that the Utilities "have made payments of just over $80 million</w:t>
      </w:r>
      <w:r w:rsidR="00D864C4" w:rsidRPr="005A6964">
        <w:rPr>
          <w:rFonts w:cs="Times New Roman"/>
          <w:szCs w:val="24"/>
        </w:rPr>
        <w:t>.</w:t>
      </w:r>
      <w:r w:rsidR="00431E2C" w:rsidRPr="005A6964">
        <w:rPr>
          <w:rFonts w:cs="Times New Roman"/>
          <w:szCs w:val="24"/>
        </w:rPr>
        <w:t>"</w:t>
      </w:r>
      <w:r w:rsidR="00431E2C" w:rsidRPr="005A6964">
        <w:rPr>
          <w:rStyle w:val="FootnoteReference"/>
          <w:rFonts w:cs="Times New Roman"/>
          <w:szCs w:val="24"/>
        </w:rPr>
        <w:footnoteReference w:id="431"/>
      </w:r>
      <w:r w:rsidR="00D864C4" w:rsidRPr="005A6964">
        <w:rPr>
          <w:rFonts w:cs="Times New Roman"/>
          <w:szCs w:val="24"/>
        </w:rPr>
        <w:t xml:space="preserve"> </w:t>
      </w:r>
      <w:r w:rsidR="004A3A42" w:rsidRPr="005A6964">
        <w:rPr>
          <w:rFonts w:cs="Times New Roman"/>
          <w:szCs w:val="24"/>
        </w:rPr>
        <w:t>T</w:t>
      </w:r>
      <w:r w:rsidR="00D864C4" w:rsidRPr="005A6964">
        <w:rPr>
          <w:rFonts w:cs="Times New Roman"/>
          <w:szCs w:val="24"/>
        </w:rPr>
        <w:t>he sun has not set on FirstEnergy's commitment</w:t>
      </w:r>
      <w:r w:rsidR="004A3A42" w:rsidRPr="005A6964">
        <w:rPr>
          <w:rFonts w:cs="Times New Roman"/>
          <w:szCs w:val="24"/>
        </w:rPr>
        <w:t>.  The</w:t>
      </w:r>
      <w:r w:rsidR="00D864C4" w:rsidRPr="005A6964">
        <w:rPr>
          <w:rFonts w:cs="Times New Roman"/>
          <w:szCs w:val="24"/>
        </w:rPr>
        <w:t xml:space="preserve"> PUCO should not consider </w:t>
      </w:r>
      <w:r w:rsidR="004A3A42" w:rsidRPr="005A6964">
        <w:rPr>
          <w:rFonts w:cs="Times New Roman"/>
          <w:szCs w:val="24"/>
        </w:rPr>
        <w:t xml:space="preserve">this prior existing </w:t>
      </w:r>
      <w:r w:rsidR="00D864C4" w:rsidRPr="005A6964">
        <w:rPr>
          <w:rFonts w:cs="Times New Roman"/>
          <w:szCs w:val="24"/>
        </w:rPr>
        <w:t>commitment as a new benefit of this electric security plan.</w:t>
      </w:r>
      <w:r w:rsidR="00763303" w:rsidRPr="005A6964">
        <w:rPr>
          <w:rStyle w:val="FootnoteReference"/>
          <w:rFonts w:cs="Times New Roman"/>
          <w:szCs w:val="24"/>
        </w:rPr>
        <w:footnoteReference w:id="432"/>
      </w:r>
      <w:r w:rsidR="00D864C4" w:rsidRPr="005A6964">
        <w:rPr>
          <w:rFonts w:cs="Times New Roman"/>
          <w:szCs w:val="24"/>
        </w:rPr>
        <w:t xml:space="preserve">  </w:t>
      </w:r>
      <w:r w:rsidR="00431E2C" w:rsidRPr="005A6964">
        <w:rPr>
          <w:rFonts w:cs="Times New Roman"/>
          <w:szCs w:val="24"/>
        </w:rPr>
        <w:tab/>
        <w:t>Ironically, even though the Utilities w</w:t>
      </w:r>
      <w:r w:rsidR="00D864C4" w:rsidRPr="005A6964">
        <w:rPr>
          <w:rFonts w:cs="Times New Roman"/>
          <w:szCs w:val="24"/>
        </w:rPr>
        <w:t xml:space="preserve">ould have the PUCO believe their </w:t>
      </w:r>
      <w:r w:rsidR="004A3A42" w:rsidRPr="005A6964">
        <w:rPr>
          <w:rFonts w:cs="Times New Roman"/>
          <w:szCs w:val="24"/>
        </w:rPr>
        <w:t>RTEP</w:t>
      </w:r>
      <w:r w:rsidR="00431E2C" w:rsidRPr="005A6964">
        <w:rPr>
          <w:rFonts w:cs="Times New Roman"/>
          <w:szCs w:val="24"/>
        </w:rPr>
        <w:t xml:space="preserve"> proposal benefits customers, they are </w:t>
      </w:r>
      <w:r w:rsidR="00D864C4" w:rsidRPr="005A6964">
        <w:rPr>
          <w:rFonts w:cs="Times New Roman"/>
          <w:szCs w:val="24"/>
        </w:rPr>
        <w:t>at the same time seeking to diminish its value</w:t>
      </w:r>
      <w:r w:rsidR="004A3A42" w:rsidRPr="005A6964">
        <w:rPr>
          <w:rFonts w:cs="Times New Roman"/>
          <w:szCs w:val="24"/>
        </w:rPr>
        <w:t>.  They do so</w:t>
      </w:r>
      <w:r w:rsidR="00D864C4" w:rsidRPr="005A6964">
        <w:rPr>
          <w:rFonts w:cs="Times New Roman"/>
          <w:szCs w:val="24"/>
        </w:rPr>
        <w:t xml:space="preserve"> by counting other costs (MISO Transmission Expansion Plan costs -Legacy MTEP") toward their commitment </w:t>
      </w:r>
      <w:r w:rsidRPr="005A6964">
        <w:rPr>
          <w:rFonts w:cs="Times New Roman"/>
          <w:szCs w:val="24"/>
        </w:rPr>
        <w:t>not to charge Ohioans $360 mi</w:t>
      </w:r>
      <w:r w:rsidR="00D864C4" w:rsidRPr="005A6964">
        <w:rPr>
          <w:rFonts w:cs="Times New Roman"/>
          <w:szCs w:val="24"/>
        </w:rPr>
        <w:t>llion of Legacy RTEP costs.</w:t>
      </w:r>
      <w:r w:rsidRPr="005A6964">
        <w:rPr>
          <w:rStyle w:val="FootnoteReference"/>
          <w:rFonts w:cs="Times New Roman"/>
          <w:szCs w:val="24"/>
        </w:rPr>
        <w:footnoteReference w:id="433"/>
      </w:r>
      <w:r w:rsidR="00D864C4" w:rsidRPr="005A6964">
        <w:rPr>
          <w:rFonts w:cs="Times New Roman"/>
          <w:szCs w:val="24"/>
        </w:rPr>
        <w:t xml:space="preserve">  OCC Witness Hixon testified </w:t>
      </w:r>
      <w:r w:rsidRPr="005A6964">
        <w:rPr>
          <w:rFonts w:cs="Times New Roman"/>
          <w:szCs w:val="24"/>
        </w:rPr>
        <w:t>against FirstEnergy's proposal because it is contrary to the commitment FirstEnergy made</w:t>
      </w:r>
      <w:r w:rsidR="00BC6873" w:rsidRPr="005A6964">
        <w:rPr>
          <w:rFonts w:cs="Times New Roman"/>
          <w:szCs w:val="24"/>
        </w:rPr>
        <w:t xml:space="preserve"> in the stipulation.</w:t>
      </w:r>
      <w:r w:rsidR="00BC6873" w:rsidRPr="005A6964">
        <w:rPr>
          <w:rStyle w:val="FootnoteReference"/>
          <w:rFonts w:cs="Times New Roman"/>
          <w:szCs w:val="24"/>
        </w:rPr>
        <w:footnoteReference w:id="434"/>
      </w:r>
      <w:r w:rsidR="00BC6873" w:rsidRPr="005A6964">
        <w:rPr>
          <w:rFonts w:cs="Times New Roman"/>
          <w:szCs w:val="24"/>
        </w:rPr>
        <w:t xml:space="preserve">  </w:t>
      </w:r>
      <w:r w:rsidR="00431E2C" w:rsidRPr="005A6964">
        <w:rPr>
          <w:rFonts w:cs="Times New Roman"/>
          <w:szCs w:val="24"/>
        </w:rPr>
        <w:t xml:space="preserve"> </w:t>
      </w:r>
    </w:p>
    <w:p w:rsidR="003E4A00" w:rsidRPr="005A6964" w:rsidRDefault="00431E2C" w:rsidP="00FA4DF6">
      <w:pPr>
        <w:spacing w:after="0" w:line="480" w:lineRule="auto"/>
        <w:rPr>
          <w:rFonts w:cs="Times New Roman"/>
          <w:szCs w:val="24"/>
        </w:rPr>
      </w:pPr>
      <w:r w:rsidRPr="005A6964">
        <w:rPr>
          <w:rFonts w:cs="Times New Roman"/>
          <w:szCs w:val="24"/>
        </w:rPr>
        <w:tab/>
      </w:r>
      <w:r w:rsidR="00BC6873" w:rsidRPr="005A6964">
        <w:rPr>
          <w:rFonts w:cs="Times New Roman"/>
          <w:szCs w:val="24"/>
        </w:rPr>
        <w:t xml:space="preserve">With respect to Rider NMB, </w:t>
      </w:r>
      <w:r w:rsidR="003E4A00" w:rsidRPr="005A6964">
        <w:rPr>
          <w:rFonts w:cs="Times New Roman"/>
          <w:szCs w:val="24"/>
        </w:rPr>
        <w:t>the record reflects that the Rider NMB could harm, not benefit customers.  Recall Staff Witness Hecker's testimony that opposed Rider NMB.</w:t>
      </w:r>
      <w:r w:rsidR="003E4A00" w:rsidRPr="005A6964">
        <w:rPr>
          <w:rStyle w:val="FootnoteReference"/>
          <w:rFonts w:cs="Times New Roman"/>
          <w:szCs w:val="24"/>
        </w:rPr>
        <w:footnoteReference w:id="435"/>
      </w:r>
      <w:r w:rsidR="003E4A00" w:rsidRPr="005A6964">
        <w:rPr>
          <w:rFonts w:cs="Times New Roman"/>
          <w:szCs w:val="24"/>
        </w:rPr>
        <w:t xml:space="preserve">  Mr. Hecker </w:t>
      </w:r>
      <w:r w:rsidR="00BC6873" w:rsidRPr="005A6964">
        <w:rPr>
          <w:rFonts w:cs="Times New Roman"/>
          <w:szCs w:val="24"/>
        </w:rPr>
        <w:t>maintained</w:t>
      </w:r>
      <w:r w:rsidR="003E4A00" w:rsidRPr="005A6964">
        <w:rPr>
          <w:rFonts w:cs="Times New Roman"/>
          <w:szCs w:val="24"/>
        </w:rPr>
        <w:t xml:space="preserve"> that the shifting of costs into Rider NMB "could result in certain customers being charged twice for these costs."</w:t>
      </w:r>
      <w:r w:rsidR="003E4A00" w:rsidRPr="005A6964">
        <w:rPr>
          <w:rStyle w:val="FootnoteReference"/>
          <w:rFonts w:cs="Times New Roman"/>
          <w:szCs w:val="24"/>
        </w:rPr>
        <w:footnoteReference w:id="436"/>
      </w:r>
    </w:p>
    <w:p w:rsidR="008C09C6" w:rsidRPr="005A6964" w:rsidRDefault="003E4A00" w:rsidP="00FA4DF6">
      <w:pPr>
        <w:spacing w:after="0" w:line="480" w:lineRule="auto"/>
        <w:rPr>
          <w:rFonts w:cs="Times New Roman"/>
          <w:szCs w:val="24"/>
        </w:rPr>
      </w:pPr>
      <w:r w:rsidRPr="005A6964">
        <w:rPr>
          <w:rFonts w:cs="Times New Roman"/>
          <w:szCs w:val="24"/>
        </w:rPr>
        <w:tab/>
        <w:t>Mor</w:t>
      </w:r>
      <w:r w:rsidR="004A2C89" w:rsidRPr="005A6964">
        <w:rPr>
          <w:rFonts w:cs="Times New Roman"/>
          <w:szCs w:val="24"/>
        </w:rPr>
        <w:t>eo</w:t>
      </w:r>
      <w:r w:rsidRPr="005A6964">
        <w:rPr>
          <w:rFonts w:cs="Times New Roman"/>
          <w:szCs w:val="24"/>
        </w:rPr>
        <w:t xml:space="preserve">ver, </w:t>
      </w:r>
      <w:r w:rsidR="004A2C89" w:rsidRPr="005A6964">
        <w:rPr>
          <w:rFonts w:cs="Times New Roman"/>
          <w:szCs w:val="24"/>
        </w:rPr>
        <w:t xml:space="preserve">claims that Rider NMB </w:t>
      </w:r>
      <w:r w:rsidR="004A2C89" w:rsidRPr="005A6964">
        <w:rPr>
          <w:rFonts w:cs="Times New Roman"/>
          <w:i/>
          <w:szCs w:val="24"/>
        </w:rPr>
        <w:t>will</w:t>
      </w:r>
      <w:r w:rsidR="004A2C89" w:rsidRPr="005A6964">
        <w:rPr>
          <w:rFonts w:cs="Times New Roman"/>
          <w:szCs w:val="24"/>
        </w:rPr>
        <w:t xml:space="preserve"> lower costs to customers are not supported by record evidence.  FirstEnergy's claim that costs to customers will be lowered presumes that SSO suppliers and CRES will pass cost reductions through to customers.  There is no </w:t>
      </w:r>
      <w:r w:rsidR="00D621B8" w:rsidRPr="005A6964">
        <w:rPr>
          <w:rFonts w:cs="Times New Roman"/>
          <w:szCs w:val="24"/>
        </w:rPr>
        <w:t xml:space="preserve">requirement or </w:t>
      </w:r>
      <w:r w:rsidR="004A2C89" w:rsidRPr="005A6964">
        <w:rPr>
          <w:rFonts w:cs="Times New Roman"/>
          <w:szCs w:val="24"/>
        </w:rPr>
        <w:t xml:space="preserve">guarantee that this will happen as a result of the changes FirstEnergy proposes.  And the PUCO has no authority to require SSO suppliers to reduce charges to customers.  </w:t>
      </w:r>
    </w:p>
    <w:p w:rsidR="003E4A00" w:rsidRPr="005A6964" w:rsidRDefault="008C09C6" w:rsidP="00FC4971">
      <w:pPr>
        <w:spacing w:after="0" w:line="480" w:lineRule="auto"/>
        <w:rPr>
          <w:rFonts w:cs="Times New Roman"/>
          <w:szCs w:val="24"/>
        </w:rPr>
      </w:pPr>
      <w:r w:rsidRPr="005A6964">
        <w:rPr>
          <w:rFonts w:cs="Times New Roman"/>
          <w:szCs w:val="24"/>
        </w:rPr>
        <w:tab/>
      </w:r>
      <w:r w:rsidR="003E4A00" w:rsidRPr="005A6964">
        <w:rPr>
          <w:rFonts w:cs="Times New Roman"/>
          <w:szCs w:val="24"/>
        </w:rPr>
        <w:t>NUCOR's claim</w:t>
      </w:r>
      <w:r w:rsidR="004A3A42" w:rsidRPr="005A6964">
        <w:rPr>
          <w:rFonts w:cs="Times New Roman"/>
          <w:szCs w:val="24"/>
        </w:rPr>
        <w:t xml:space="preserve"> of benefits</w:t>
      </w:r>
      <w:r w:rsidR="003E4A00" w:rsidRPr="005A6964">
        <w:rPr>
          <w:rFonts w:cs="Times New Roman"/>
          <w:szCs w:val="24"/>
        </w:rPr>
        <w:t xml:space="preserve">, like many of the claims in its Initial Brief, </w:t>
      </w:r>
      <w:r w:rsidR="004A2C89" w:rsidRPr="005A6964">
        <w:rPr>
          <w:rFonts w:cs="Times New Roman"/>
          <w:szCs w:val="24"/>
        </w:rPr>
        <w:t>is made without record citation or support</w:t>
      </w:r>
      <w:r w:rsidR="00755ADC" w:rsidRPr="005A6964">
        <w:rPr>
          <w:rFonts w:cs="Times New Roman"/>
          <w:szCs w:val="24"/>
        </w:rPr>
        <w:t xml:space="preserve">. </w:t>
      </w:r>
      <w:r w:rsidR="004A2C89" w:rsidRPr="005A6964">
        <w:rPr>
          <w:rFonts w:cs="Times New Roman"/>
          <w:szCs w:val="24"/>
        </w:rPr>
        <w:t xml:space="preserve"> In fact, when Ms. Mikkelsen was cross-examined </w:t>
      </w:r>
      <w:r w:rsidR="00755ADC" w:rsidRPr="005A6964">
        <w:rPr>
          <w:rFonts w:cs="Times New Roman"/>
          <w:szCs w:val="24"/>
        </w:rPr>
        <w:t>on this issue, she testified that under the NMB pilot program there could be no change to the remaining customers who pay Rider NMB, there could be a higher charge to remaining customers, or there could be a lower charge</w:t>
      </w:r>
      <w:r w:rsidRPr="005A6964">
        <w:rPr>
          <w:rFonts w:cs="Times New Roman"/>
          <w:szCs w:val="24"/>
        </w:rPr>
        <w:t xml:space="preserve"> to customers</w:t>
      </w:r>
      <w:r w:rsidR="00755ADC" w:rsidRPr="005A6964">
        <w:rPr>
          <w:rFonts w:cs="Times New Roman"/>
          <w:szCs w:val="24"/>
        </w:rPr>
        <w:t>.</w:t>
      </w:r>
      <w:r w:rsidR="00755ADC" w:rsidRPr="005A6964">
        <w:rPr>
          <w:rStyle w:val="FootnoteReference"/>
          <w:rFonts w:cs="Times New Roman"/>
          <w:szCs w:val="24"/>
        </w:rPr>
        <w:footnoteReference w:id="437"/>
      </w:r>
      <w:r w:rsidR="00BC6873" w:rsidRPr="005A6964">
        <w:rPr>
          <w:rFonts w:cs="Times New Roman"/>
          <w:szCs w:val="24"/>
        </w:rPr>
        <w:t xml:space="preserve">  In other words, it is anybody's guess as to what impact the pilot program will have on the costs other customers pay.  </w:t>
      </w:r>
      <w:r w:rsidR="004A3A42" w:rsidRPr="005A6964">
        <w:rPr>
          <w:rFonts w:cs="Times New Roman"/>
          <w:szCs w:val="24"/>
        </w:rPr>
        <w:t>NUCOR claim of benefits is</w:t>
      </w:r>
      <w:r w:rsidR="00331309" w:rsidRPr="005A6964">
        <w:rPr>
          <w:rFonts w:cs="Times New Roman"/>
          <w:szCs w:val="24"/>
        </w:rPr>
        <w:t xml:space="preserve"> thus</w:t>
      </w:r>
      <w:r w:rsidR="004A3A42" w:rsidRPr="005A6964">
        <w:rPr>
          <w:rFonts w:cs="Times New Roman"/>
          <w:szCs w:val="24"/>
        </w:rPr>
        <w:t xml:space="preserve"> illusory.  </w:t>
      </w:r>
    </w:p>
    <w:p w:rsidR="00BC6873" w:rsidRPr="005A6964" w:rsidRDefault="00217A40" w:rsidP="00FC4971">
      <w:pPr>
        <w:pStyle w:val="ListParagraph"/>
        <w:numPr>
          <w:ilvl w:val="0"/>
          <w:numId w:val="9"/>
        </w:numPr>
        <w:spacing w:line="480" w:lineRule="auto"/>
        <w:ind w:left="2160" w:right="720" w:hanging="720"/>
        <w:rPr>
          <w:rFonts w:cs="Times New Roman"/>
          <w:szCs w:val="24"/>
        </w:rPr>
      </w:pPr>
      <w:r w:rsidRPr="005A6964">
        <w:rPr>
          <w:rFonts w:cs="Times New Roman"/>
          <w:szCs w:val="24"/>
        </w:rPr>
        <w:t xml:space="preserve">FirstEnergy Assertion:  </w:t>
      </w:r>
      <w:r w:rsidR="00790B67" w:rsidRPr="005A6964">
        <w:rPr>
          <w:rFonts w:cs="Times New Roman"/>
          <w:szCs w:val="24"/>
        </w:rPr>
        <w:t>Promotes economic development</w:t>
      </w:r>
      <w:r w:rsidR="00BC6873" w:rsidRPr="005A6964">
        <w:rPr>
          <w:rStyle w:val="FootnoteReference"/>
          <w:rFonts w:cs="Times New Roman"/>
          <w:szCs w:val="24"/>
        </w:rPr>
        <w:footnoteReference w:id="438"/>
      </w:r>
      <w:r w:rsidR="00790B67" w:rsidRPr="005A6964">
        <w:rPr>
          <w:rFonts w:cs="Times New Roman"/>
          <w:szCs w:val="24"/>
        </w:rPr>
        <w:t xml:space="preserve"> </w:t>
      </w:r>
    </w:p>
    <w:p w:rsidR="00740FDF" w:rsidRPr="005A6964" w:rsidRDefault="00BC6873" w:rsidP="00FA4DF6">
      <w:pPr>
        <w:pStyle w:val="ListParagraph"/>
        <w:spacing w:line="480" w:lineRule="auto"/>
        <w:ind w:left="0" w:firstLine="720"/>
        <w:rPr>
          <w:rFonts w:cs="Times New Roman"/>
          <w:szCs w:val="24"/>
        </w:rPr>
      </w:pPr>
      <w:r w:rsidRPr="005A6964">
        <w:rPr>
          <w:rFonts w:cs="Times New Roman"/>
          <w:szCs w:val="24"/>
        </w:rPr>
        <w:t>To a large extent, OCC/NOAC have already addressed these claims in their Initial Brief.</w:t>
      </w:r>
      <w:r w:rsidRPr="005A6964">
        <w:rPr>
          <w:rStyle w:val="FootnoteReference"/>
          <w:rFonts w:cs="Times New Roman"/>
          <w:szCs w:val="24"/>
        </w:rPr>
        <w:footnoteReference w:id="439"/>
      </w:r>
      <w:r w:rsidR="008F5765" w:rsidRPr="005A6964">
        <w:rPr>
          <w:rFonts w:cs="Times New Roman"/>
          <w:szCs w:val="24"/>
        </w:rPr>
        <w:t xml:space="preserve">  </w:t>
      </w:r>
      <w:r w:rsidR="00740FDF" w:rsidRPr="005A6964">
        <w:rPr>
          <w:rFonts w:cs="Times New Roman"/>
          <w:szCs w:val="24"/>
        </w:rPr>
        <w:t>As discussed, t</w:t>
      </w:r>
      <w:r w:rsidR="008F5765" w:rsidRPr="005A6964">
        <w:rPr>
          <w:rFonts w:cs="Times New Roman"/>
          <w:szCs w:val="24"/>
        </w:rPr>
        <w:t xml:space="preserve">hese claims </w:t>
      </w:r>
      <w:r w:rsidR="00740FDF" w:rsidRPr="005A6964">
        <w:rPr>
          <w:rFonts w:cs="Times New Roman"/>
          <w:szCs w:val="24"/>
        </w:rPr>
        <w:t>should not be given substantial weight because they are n</w:t>
      </w:r>
      <w:r w:rsidR="008F5765" w:rsidRPr="005A6964">
        <w:rPr>
          <w:rFonts w:cs="Times New Roman"/>
          <w:szCs w:val="24"/>
        </w:rPr>
        <w:t xml:space="preserve">ot supported by the record.  </w:t>
      </w:r>
      <w:r w:rsidR="00740FDF" w:rsidRPr="005A6964">
        <w:rPr>
          <w:rFonts w:cs="Times New Roman"/>
          <w:szCs w:val="24"/>
        </w:rPr>
        <w:t xml:space="preserve">For instance, for FirstEnergy's economic development analysis to ring true, one would have to assume that </w:t>
      </w:r>
      <w:r w:rsidR="008F5765" w:rsidRPr="005A6964">
        <w:rPr>
          <w:rFonts w:cs="Times New Roman"/>
          <w:szCs w:val="24"/>
        </w:rPr>
        <w:t xml:space="preserve">Davis Besse and </w:t>
      </w:r>
      <w:r w:rsidR="00587657" w:rsidRPr="005A6964">
        <w:rPr>
          <w:rFonts w:cs="Times New Roman"/>
          <w:szCs w:val="24"/>
        </w:rPr>
        <w:t>WH Sammis</w:t>
      </w:r>
      <w:r w:rsidR="008F5765" w:rsidRPr="005A6964">
        <w:rPr>
          <w:rFonts w:cs="Times New Roman"/>
          <w:szCs w:val="24"/>
        </w:rPr>
        <w:t xml:space="preserve"> (the Rider RRS plants) </w:t>
      </w:r>
      <w:r w:rsidR="008F5765" w:rsidRPr="005A6964">
        <w:rPr>
          <w:rFonts w:cs="Times New Roman"/>
          <w:i/>
          <w:szCs w:val="24"/>
        </w:rPr>
        <w:t>will be retired</w:t>
      </w:r>
      <w:r w:rsidR="008F5765" w:rsidRPr="005A6964">
        <w:rPr>
          <w:rFonts w:cs="Times New Roman"/>
          <w:szCs w:val="24"/>
        </w:rPr>
        <w:t xml:space="preserve"> if Rider RRS is not approved</w:t>
      </w:r>
      <w:r w:rsidR="00740FDF" w:rsidRPr="005A6964">
        <w:rPr>
          <w:rFonts w:cs="Times New Roman"/>
          <w:szCs w:val="24"/>
        </w:rPr>
        <w:t>.</w:t>
      </w:r>
      <w:r w:rsidR="008F5765" w:rsidRPr="005A6964">
        <w:rPr>
          <w:rFonts w:cs="Times New Roman"/>
          <w:szCs w:val="24"/>
        </w:rPr>
        <w:t xml:space="preserve">  </w:t>
      </w:r>
      <w:r w:rsidR="00740FDF" w:rsidRPr="005A6964">
        <w:rPr>
          <w:rFonts w:cs="Times New Roman"/>
          <w:szCs w:val="24"/>
        </w:rPr>
        <w:t>But, t</w:t>
      </w:r>
      <w:r w:rsidR="008F5765" w:rsidRPr="005A6964">
        <w:rPr>
          <w:rFonts w:cs="Times New Roman"/>
          <w:i/>
          <w:szCs w:val="24"/>
        </w:rPr>
        <w:t xml:space="preserve">here was no evidence </w:t>
      </w:r>
      <w:r w:rsidR="00740FDF" w:rsidRPr="005A6964">
        <w:rPr>
          <w:rFonts w:cs="Times New Roman"/>
          <w:i/>
          <w:szCs w:val="24"/>
        </w:rPr>
        <w:t xml:space="preserve">presented </w:t>
      </w:r>
      <w:r w:rsidR="008F5765" w:rsidRPr="005A6964">
        <w:rPr>
          <w:rFonts w:cs="Times New Roman"/>
          <w:i/>
          <w:szCs w:val="24"/>
        </w:rPr>
        <w:t>that establishes that FES will retire these units if Rider RRS is not approved.</w:t>
      </w:r>
      <w:r w:rsidR="00740FDF" w:rsidRPr="005A6964">
        <w:rPr>
          <w:rFonts w:cs="Times New Roman"/>
          <w:i/>
          <w:szCs w:val="24"/>
        </w:rPr>
        <w:t xml:space="preserve"> </w:t>
      </w:r>
      <w:r w:rsidR="00DD3883" w:rsidRPr="005A6964">
        <w:rPr>
          <w:rFonts w:cs="Times New Roman"/>
          <w:szCs w:val="24"/>
        </w:rPr>
        <w:t>Accordingly NUCOR's claim that Rider RRS will preserve jobs at Sammis and Davis Besse</w:t>
      </w:r>
      <w:r w:rsidR="00DD3883" w:rsidRPr="005A6964">
        <w:rPr>
          <w:rStyle w:val="FootnoteReference"/>
          <w:rFonts w:cs="Times New Roman"/>
          <w:szCs w:val="24"/>
        </w:rPr>
        <w:footnoteReference w:id="440"/>
      </w:r>
      <w:r w:rsidR="00DD3883" w:rsidRPr="005A6964">
        <w:rPr>
          <w:rFonts w:cs="Times New Roman"/>
          <w:szCs w:val="24"/>
        </w:rPr>
        <w:t xml:space="preserve"> should be given no weight.  </w:t>
      </w:r>
    </w:p>
    <w:p w:rsidR="00790B67" w:rsidRPr="005A6964" w:rsidRDefault="00740FDF" w:rsidP="00FA4DF6">
      <w:pPr>
        <w:pStyle w:val="ListParagraph"/>
        <w:spacing w:line="480" w:lineRule="auto"/>
        <w:ind w:left="0" w:firstLine="720"/>
        <w:rPr>
          <w:rFonts w:cs="Times New Roman"/>
          <w:szCs w:val="24"/>
        </w:rPr>
      </w:pPr>
      <w:r w:rsidRPr="005A6964">
        <w:rPr>
          <w:rFonts w:cs="Times New Roman"/>
          <w:szCs w:val="24"/>
        </w:rPr>
        <w:t>Additionally, as OCC Witness Sioshansi testified</w:t>
      </w:r>
      <w:r w:rsidR="00331309" w:rsidRPr="005A6964">
        <w:rPr>
          <w:rFonts w:cs="Times New Roman"/>
          <w:szCs w:val="24"/>
        </w:rPr>
        <w:t>,</w:t>
      </w:r>
      <w:r w:rsidRPr="005A6964">
        <w:rPr>
          <w:rFonts w:cs="Times New Roman"/>
          <w:szCs w:val="24"/>
        </w:rPr>
        <w:t xml:space="preserve"> the economic benefits touted by FirstEnergy are overstated because they fail to consider the effect of keeping potentially inefficient plants running and potential entry </w:t>
      </w:r>
      <w:r w:rsidR="00DD3883" w:rsidRPr="005A6964">
        <w:rPr>
          <w:rFonts w:cs="Times New Roman"/>
          <w:szCs w:val="24"/>
        </w:rPr>
        <w:t>of new generating or transmission assets if the Rider RRS units are retired.</w:t>
      </w:r>
      <w:r w:rsidR="00DD3883" w:rsidRPr="005A6964">
        <w:rPr>
          <w:rStyle w:val="FootnoteReference"/>
          <w:rFonts w:cs="Times New Roman"/>
          <w:szCs w:val="24"/>
        </w:rPr>
        <w:footnoteReference w:id="441"/>
      </w:r>
      <w:r w:rsidR="00DD3883" w:rsidRPr="005A6964">
        <w:rPr>
          <w:rFonts w:cs="Times New Roman"/>
          <w:szCs w:val="24"/>
        </w:rPr>
        <w:t xml:space="preserve">  OCC/NOPEC Witness Wilson also testified that Rider RRS will result in higher retail rates for customers.  These charges will mean that FirstEnergy's customers will have less disposable income available.  Yet FirstEnergy's economic development analysis did not consider this effect</w:t>
      </w:r>
      <w:r w:rsidR="004A3A42" w:rsidRPr="005A6964">
        <w:rPr>
          <w:rFonts w:cs="Times New Roman"/>
          <w:szCs w:val="24"/>
        </w:rPr>
        <w:t>.</w:t>
      </w:r>
      <w:r w:rsidR="00DD3883" w:rsidRPr="005A6964">
        <w:rPr>
          <w:rFonts w:cs="Times New Roman"/>
          <w:szCs w:val="24"/>
        </w:rPr>
        <w:t xml:space="preserve"> </w:t>
      </w:r>
      <w:r w:rsidR="004A3A42" w:rsidRPr="005A6964">
        <w:rPr>
          <w:rFonts w:cs="Times New Roman"/>
          <w:szCs w:val="24"/>
        </w:rPr>
        <w:t xml:space="preserve">Such countervailing effects </w:t>
      </w:r>
      <w:r w:rsidR="00DD3883" w:rsidRPr="005A6964">
        <w:rPr>
          <w:rFonts w:cs="Times New Roman"/>
          <w:szCs w:val="24"/>
        </w:rPr>
        <w:t xml:space="preserve">would diminish the positive economic impact results that </w:t>
      </w:r>
      <w:r w:rsidR="00037F6E" w:rsidRPr="005A6964">
        <w:rPr>
          <w:rFonts w:cs="Times New Roman"/>
          <w:szCs w:val="24"/>
        </w:rPr>
        <w:t>FirstEnergy</w:t>
      </w:r>
      <w:r w:rsidR="00DD3883" w:rsidRPr="005A6964">
        <w:rPr>
          <w:rFonts w:cs="Times New Roman"/>
          <w:szCs w:val="24"/>
        </w:rPr>
        <w:t xml:space="preserve"> presents. OCC/N</w:t>
      </w:r>
      <w:r w:rsidR="005F6203" w:rsidRPr="005A6964">
        <w:rPr>
          <w:rFonts w:cs="Times New Roman"/>
          <w:szCs w:val="24"/>
        </w:rPr>
        <w:t>OAC</w:t>
      </w:r>
      <w:r w:rsidR="00DD3883" w:rsidRPr="005A6964">
        <w:rPr>
          <w:rFonts w:cs="Times New Roman"/>
          <w:szCs w:val="24"/>
        </w:rPr>
        <w:t xml:space="preserve"> also address these arguments in more detail in a later section in this brief.</w:t>
      </w:r>
    </w:p>
    <w:p w:rsidR="005A6964" w:rsidRPr="005A6964" w:rsidRDefault="005A6964">
      <w:pPr>
        <w:rPr>
          <w:rFonts w:cs="Times New Roman"/>
          <w:szCs w:val="24"/>
        </w:rPr>
      </w:pPr>
      <w:r w:rsidRPr="005A6964">
        <w:rPr>
          <w:rFonts w:cs="Times New Roman"/>
          <w:szCs w:val="24"/>
        </w:rPr>
        <w:br w:type="page"/>
      </w:r>
    </w:p>
    <w:p w:rsidR="005F6203" w:rsidRPr="005A6964" w:rsidRDefault="00217A40" w:rsidP="00217A40">
      <w:pPr>
        <w:pStyle w:val="ListParagraph"/>
        <w:numPr>
          <w:ilvl w:val="0"/>
          <w:numId w:val="8"/>
        </w:numPr>
        <w:spacing w:line="240" w:lineRule="auto"/>
        <w:ind w:left="2160" w:right="720" w:hanging="720"/>
        <w:rPr>
          <w:rFonts w:cs="Times New Roman"/>
          <w:szCs w:val="24"/>
        </w:rPr>
      </w:pPr>
      <w:r w:rsidRPr="005A6964">
        <w:rPr>
          <w:rFonts w:cs="Times New Roman"/>
          <w:szCs w:val="24"/>
        </w:rPr>
        <w:t xml:space="preserve">FirstEnergy Assertion:  </w:t>
      </w:r>
      <w:r w:rsidR="00790B67" w:rsidRPr="005A6964">
        <w:rPr>
          <w:rFonts w:cs="Times New Roman"/>
          <w:szCs w:val="24"/>
        </w:rPr>
        <w:t>Enhances the competitive retail market</w:t>
      </w:r>
      <w:r w:rsidR="005F6203" w:rsidRPr="005A6964">
        <w:rPr>
          <w:rStyle w:val="FootnoteReference"/>
          <w:rFonts w:cs="Times New Roman"/>
          <w:szCs w:val="24"/>
        </w:rPr>
        <w:footnoteReference w:id="442"/>
      </w:r>
    </w:p>
    <w:p w:rsidR="00217A40" w:rsidRPr="005A6964" w:rsidRDefault="00217A40" w:rsidP="00217A40">
      <w:pPr>
        <w:pStyle w:val="ListParagraph"/>
        <w:spacing w:line="240" w:lineRule="auto"/>
        <w:ind w:left="0" w:firstLine="720"/>
        <w:rPr>
          <w:rFonts w:cs="Times New Roman"/>
          <w:szCs w:val="24"/>
        </w:rPr>
      </w:pPr>
    </w:p>
    <w:p w:rsidR="005F6203" w:rsidRPr="005A6964" w:rsidRDefault="005F6203" w:rsidP="00FA4DF6">
      <w:pPr>
        <w:pStyle w:val="ListParagraph"/>
        <w:spacing w:line="480" w:lineRule="auto"/>
        <w:ind w:left="0" w:firstLine="720"/>
        <w:rPr>
          <w:rFonts w:cs="Times New Roman"/>
          <w:szCs w:val="24"/>
        </w:rPr>
      </w:pPr>
      <w:r w:rsidRPr="005A6964">
        <w:rPr>
          <w:rFonts w:cs="Times New Roman"/>
          <w:szCs w:val="24"/>
        </w:rPr>
        <w:t>FirstEnergy alleges that its stipulated ESP IV will continue the factors that led to the highest shopping levels in the state.</w:t>
      </w:r>
      <w:r w:rsidRPr="005A6964">
        <w:rPr>
          <w:rStyle w:val="FootnoteReference"/>
          <w:rFonts w:cs="Times New Roman"/>
          <w:szCs w:val="24"/>
        </w:rPr>
        <w:footnoteReference w:id="443"/>
      </w:r>
      <w:r w:rsidRPr="005A6964">
        <w:rPr>
          <w:rFonts w:cs="Times New Roman"/>
          <w:szCs w:val="24"/>
        </w:rPr>
        <w:t xml:space="preserve"> </w:t>
      </w:r>
      <w:r w:rsidR="004A3A42" w:rsidRPr="005A6964">
        <w:rPr>
          <w:rFonts w:cs="Times New Roman"/>
          <w:szCs w:val="24"/>
        </w:rPr>
        <w:t>FirstEnergy</w:t>
      </w:r>
      <w:r w:rsidRPr="005A6964">
        <w:rPr>
          <w:rFonts w:cs="Times New Roman"/>
          <w:szCs w:val="24"/>
        </w:rPr>
        <w:t xml:space="preserve"> also alleges that it will provide retail market enhancements that further the development of the retail market.</w:t>
      </w:r>
      <w:r w:rsidRPr="005A6964">
        <w:rPr>
          <w:rStyle w:val="FootnoteReference"/>
          <w:rFonts w:cs="Times New Roman"/>
          <w:szCs w:val="24"/>
        </w:rPr>
        <w:footnoteReference w:id="444"/>
      </w:r>
      <w:r w:rsidRPr="005A6964">
        <w:rPr>
          <w:rFonts w:cs="Times New Roman"/>
          <w:szCs w:val="24"/>
        </w:rPr>
        <w:t xml:space="preserve"> </w:t>
      </w:r>
      <w:r w:rsidR="004A3A42" w:rsidRPr="005A6964">
        <w:rPr>
          <w:rFonts w:cs="Times New Roman"/>
          <w:szCs w:val="24"/>
        </w:rPr>
        <w:t>OCC/NOAC addressed these claims in its Initial Brief.</w:t>
      </w:r>
      <w:r w:rsidR="004A3A42" w:rsidRPr="005A6964">
        <w:rPr>
          <w:rStyle w:val="FootnoteReference"/>
          <w:rFonts w:cs="Times New Roman"/>
          <w:szCs w:val="24"/>
        </w:rPr>
        <w:footnoteReference w:id="445"/>
      </w:r>
      <w:r w:rsidR="00217A40" w:rsidRPr="005A6964">
        <w:rPr>
          <w:rFonts w:cs="Times New Roman"/>
          <w:szCs w:val="24"/>
        </w:rPr>
        <w:t xml:space="preserve">  At the outset, it should be noted that having “the highest shopping levels” is not in and of itself, the objective for consumer benefits.  The objective includes consumers saving money with their choices.</w:t>
      </w:r>
    </w:p>
    <w:p w:rsidR="00E92136" w:rsidRPr="005A6964" w:rsidRDefault="00AA2B1E" w:rsidP="00FA4DF6">
      <w:pPr>
        <w:pStyle w:val="ListParagraph"/>
        <w:spacing w:line="480" w:lineRule="auto"/>
        <w:ind w:left="0" w:firstLine="720"/>
        <w:rPr>
          <w:rFonts w:cs="Times New Roman"/>
          <w:szCs w:val="24"/>
        </w:rPr>
      </w:pPr>
      <w:r w:rsidRPr="005A6964">
        <w:rPr>
          <w:rFonts w:cs="Times New Roman"/>
          <w:szCs w:val="24"/>
        </w:rPr>
        <w:t xml:space="preserve">FirstEnergy fails to mention, however, that a key and unprecedented feature of its ESP IV is Rider RRS.  And Rider RRS will have a </w:t>
      </w:r>
      <w:r w:rsidR="005F6203" w:rsidRPr="005A6964">
        <w:rPr>
          <w:rFonts w:cs="Times New Roman"/>
          <w:szCs w:val="24"/>
        </w:rPr>
        <w:t xml:space="preserve">detrimental effect </w:t>
      </w:r>
      <w:r w:rsidRPr="005A6964">
        <w:rPr>
          <w:rFonts w:cs="Times New Roman"/>
          <w:szCs w:val="24"/>
        </w:rPr>
        <w:t>on competition, as discussed in OCC/NOAC's Initial Brief</w:t>
      </w:r>
      <w:r w:rsidRPr="005A6964">
        <w:rPr>
          <w:rStyle w:val="FootnoteReference"/>
          <w:rFonts w:cs="Times New Roman"/>
          <w:szCs w:val="24"/>
        </w:rPr>
        <w:footnoteReference w:id="446"/>
      </w:r>
      <w:r w:rsidRPr="005A6964">
        <w:rPr>
          <w:rFonts w:cs="Times New Roman"/>
          <w:szCs w:val="24"/>
        </w:rPr>
        <w:t xml:space="preserve"> </w:t>
      </w:r>
      <w:r w:rsidR="00E92136" w:rsidRPr="005A6964">
        <w:rPr>
          <w:rFonts w:cs="Times New Roman"/>
          <w:szCs w:val="24"/>
        </w:rPr>
        <w:t>and iterated in later portions of this Reply Brief.</w:t>
      </w:r>
    </w:p>
    <w:p w:rsidR="00E92136" w:rsidRPr="005A6964" w:rsidRDefault="00FD67E2" w:rsidP="00FA4DF6">
      <w:pPr>
        <w:pStyle w:val="ListParagraph"/>
        <w:spacing w:line="480" w:lineRule="auto"/>
        <w:ind w:left="0" w:firstLine="720"/>
        <w:rPr>
          <w:rFonts w:cs="Times New Roman"/>
          <w:szCs w:val="24"/>
        </w:rPr>
      </w:pPr>
      <w:r w:rsidRPr="005A6964">
        <w:rPr>
          <w:rFonts w:cs="Times New Roman"/>
          <w:szCs w:val="24"/>
        </w:rPr>
        <w:t>Indeed, the Independent Market Monitor</w:t>
      </w:r>
      <w:r w:rsidR="00AE138D" w:rsidRPr="005A6964">
        <w:rPr>
          <w:rFonts w:cs="Times New Roman"/>
          <w:szCs w:val="24"/>
        </w:rPr>
        <w:t>, an organization created to objectively monitor the compet</w:t>
      </w:r>
      <w:r w:rsidR="00E92136" w:rsidRPr="005A6964">
        <w:rPr>
          <w:rFonts w:cs="Times New Roman"/>
          <w:szCs w:val="24"/>
        </w:rPr>
        <w:t>itiveness</w:t>
      </w:r>
      <w:r w:rsidR="00AE138D" w:rsidRPr="005A6964">
        <w:rPr>
          <w:rFonts w:cs="Times New Roman"/>
          <w:szCs w:val="24"/>
        </w:rPr>
        <w:t xml:space="preserve"> of PJM markets</w:t>
      </w:r>
      <w:r w:rsidR="00AE138D" w:rsidRPr="005A6964">
        <w:rPr>
          <w:rStyle w:val="FootnoteReference"/>
          <w:rFonts w:cs="Times New Roman"/>
          <w:szCs w:val="24"/>
        </w:rPr>
        <w:footnoteReference w:id="447"/>
      </w:r>
      <w:r w:rsidR="00E92136" w:rsidRPr="005A6964">
        <w:rPr>
          <w:rFonts w:cs="Times New Roman"/>
          <w:szCs w:val="24"/>
        </w:rPr>
        <w:t xml:space="preserve"> opposed Rider RRS because of its negative impacts.  </w:t>
      </w:r>
      <w:r w:rsidRPr="005A6964">
        <w:rPr>
          <w:rFonts w:cs="Times New Roman"/>
          <w:szCs w:val="24"/>
        </w:rPr>
        <w:t>Witness Bowring</w:t>
      </w:r>
      <w:r w:rsidRPr="005A6964">
        <w:rPr>
          <w:rStyle w:val="FootnoteReference"/>
          <w:rFonts w:cs="Times New Roman"/>
          <w:szCs w:val="24"/>
        </w:rPr>
        <w:footnoteReference w:id="448"/>
      </w:r>
      <w:r w:rsidRPr="005A6964">
        <w:rPr>
          <w:rFonts w:cs="Times New Roman"/>
          <w:szCs w:val="24"/>
        </w:rPr>
        <w:t xml:space="preserve"> concluded that Rider RRS was a subsidy which provides incentives for non-competitive offers and is inconsistent with competition in the PJM wholesale markets.</w:t>
      </w:r>
      <w:r w:rsidR="00AE138D" w:rsidRPr="005A6964">
        <w:rPr>
          <w:rStyle w:val="FootnoteReference"/>
          <w:rFonts w:cs="Times New Roman"/>
          <w:szCs w:val="24"/>
        </w:rPr>
        <w:footnoteReference w:id="449"/>
      </w:r>
      <w:r w:rsidR="00AE138D" w:rsidRPr="005A6964">
        <w:rPr>
          <w:rFonts w:cs="Times New Roman"/>
          <w:szCs w:val="24"/>
        </w:rPr>
        <w:t xml:space="preserve"> Mr. Bowring testified that Rider RRS would constitute a subsidy analogous to the subsidies proposed in New Jersey and Maryland, both of which were found to be inconsistent with competition in wholesale markets.</w:t>
      </w:r>
      <w:r w:rsidR="00AE138D" w:rsidRPr="005A6964">
        <w:rPr>
          <w:rStyle w:val="FootnoteReference"/>
          <w:rFonts w:cs="Times New Roman"/>
          <w:szCs w:val="24"/>
        </w:rPr>
        <w:footnoteReference w:id="450"/>
      </w:r>
      <w:r w:rsidR="00AE138D" w:rsidRPr="005A6964">
        <w:rPr>
          <w:rFonts w:cs="Times New Roman"/>
          <w:szCs w:val="24"/>
        </w:rPr>
        <w:t xml:space="preserve"> Mr. Bowring testified that the subsidy would have price suppressive effects, making it difficult or impossible for generating units without subsidies to compete in the market.</w:t>
      </w:r>
      <w:r w:rsidR="00AE138D" w:rsidRPr="005A6964">
        <w:rPr>
          <w:rStyle w:val="FootnoteReference"/>
          <w:rFonts w:cs="Times New Roman"/>
          <w:szCs w:val="24"/>
        </w:rPr>
        <w:footnoteReference w:id="451"/>
      </w:r>
      <w:r w:rsidR="00AE138D" w:rsidRPr="005A6964">
        <w:rPr>
          <w:rFonts w:cs="Times New Roman"/>
          <w:szCs w:val="24"/>
        </w:rPr>
        <w:t xml:space="preserve"> </w:t>
      </w:r>
    </w:p>
    <w:p w:rsidR="00331309" w:rsidRPr="005A6964" w:rsidRDefault="00E92136" w:rsidP="00FA4DF6">
      <w:pPr>
        <w:pStyle w:val="ListParagraph"/>
        <w:spacing w:line="480" w:lineRule="auto"/>
        <w:ind w:left="0" w:firstLine="720"/>
        <w:rPr>
          <w:rFonts w:cs="Times New Roman"/>
          <w:szCs w:val="24"/>
        </w:rPr>
      </w:pPr>
      <w:r w:rsidRPr="005A6964">
        <w:rPr>
          <w:rFonts w:cs="Times New Roman"/>
          <w:szCs w:val="24"/>
        </w:rPr>
        <w:t xml:space="preserve">The Independent Market Monitor is not alone in opposing Rider RRS because it is anti-competitive.  </w:t>
      </w:r>
    </w:p>
    <w:p w:rsidR="00217A40" w:rsidRPr="005A6964" w:rsidRDefault="004B18FD" w:rsidP="00DD1D5E">
      <w:pPr>
        <w:pStyle w:val="ListParagraph"/>
        <w:spacing w:line="480" w:lineRule="auto"/>
        <w:ind w:left="0" w:firstLine="720"/>
        <w:rPr>
          <w:rFonts w:cs="Times New Roman"/>
          <w:szCs w:val="24"/>
        </w:rPr>
      </w:pPr>
      <w:r w:rsidRPr="005A6964">
        <w:rPr>
          <w:rFonts w:cs="Times New Roman"/>
          <w:szCs w:val="24"/>
        </w:rPr>
        <w:t>T</w:t>
      </w:r>
      <w:r w:rsidR="00FD67E2" w:rsidRPr="005A6964">
        <w:rPr>
          <w:rFonts w:cs="Times New Roman"/>
          <w:szCs w:val="24"/>
        </w:rPr>
        <w:t xml:space="preserve">he PUCO </w:t>
      </w:r>
      <w:r w:rsidR="00790B67" w:rsidRPr="005A6964">
        <w:rPr>
          <w:rFonts w:cs="Times New Roman"/>
          <w:szCs w:val="24"/>
        </w:rPr>
        <w:t>Staff claims that although anti-competitive claims may be made, no quantitative analysis on either a wholesale or retail basis has been provided.</w:t>
      </w:r>
      <w:r w:rsidR="00FD67E2" w:rsidRPr="005A6964">
        <w:rPr>
          <w:rStyle w:val="FootnoteReference"/>
          <w:rFonts w:cs="Times New Roman"/>
          <w:szCs w:val="24"/>
        </w:rPr>
        <w:footnoteReference w:id="452"/>
      </w:r>
      <w:r w:rsidR="00790B67" w:rsidRPr="005A6964">
        <w:rPr>
          <w:rFonts w:cs="Times New Roman"/>
          <w:szCs w:val="24"/>
        </w:rPr>
        <w:t xml:space="preserve"> </w:t>
      </w:r>
      <w:r w:rsidR="00E92136" w:rsidRPr="005A6964">
        <w:rPr>
          <w:rFonts w:cs="Times New Roman"/>
          <w:szCs w:val="24"/>
        </w:rPr>
        <w:t xml:space="preserve"> This claim has little merit.  To suggest that the PUCO should discount the anti-competitive claims on this basis would be a der</w:t>
      </w:r>
      <w:r w:rsidR="006527E4" w:rsidRPr="005A6964">
        <w:rPr>
          <w:rFonts w:cs="Times New Roman"/>
          <w:szCs w:val="24"/>
        </w:rPr>
        <w:t>o</w:t>
      </w:r>
      <w:r w:rsidR="00E92136" w:rsidRPr="005A6964">
        <w:rPr>
          <w:rFonts w:cs="Times New Roman"/>
          <w:szCs w:val="24"/>
        </w:rPr>
        <w:t>g</w:t>
      </w:r>
      <w:r w:rsidR="006527E4" w:rsidRPr="005A6964">
        <w:rPr>
          <w:rFonts w:cs="Times New Roman"/>
          <w:szCs w:val="24"/>
        </w:rPr>
        <w:t>a</w:t>
      </w:r>
      <w:r w:rsidR="00E92136" w:rsidRPr="005A6964">
        <w:rPr>
          <w:rFonts w:cs="Times New Roman"/>
          <w:szCs w:val="24"/>
        </w:rPr>
        <w:t>tion of its duty</w:t>
      </w:r>
      <w:r w:rsidR="006527E4" w:rsidRPr="005A6964">
        <w:rPr>
          <w:rFonts w:cs="Times New Roman"/>
          <w:szCs w:val="24"/>
        </w:rPr>
        <w:t xml:space="preserve">, among other things, to ensure effective competition by avoiding anti-competitive subsidies.  And it seems schizophrenic to only consider quantitative analysis in this regard, when the PUCO has whole-heartedly endorsed counting qualitative benefits in these proceedings.  </w:t>
      </w:r>
    </w:p>
    <w:p w:rsidR="006527E4" w:rsidRPr="005A6964" w:rsidRDefault="00217A40" w:rsidP="00217A40">
      <w:pPr>
        <w:pStyle w:val="ListParagraph"/>
        <w:numPr>
          <w:ilvl w:val="0"/>
          <w:numId w:val="8"/>
        </w:numPr>
        <w:spacing w:line="240" w:lineRule="auto"/>
        <w:ind w:left="2160" w:right="720" w:hanging="720"/>
        <w:rPr>
          <w:rFonts w:cs="Times New Roman"/>
          <w:szCs w:val="24"/>
        </w:rPr>
      </w:pPr>
      <w:r w:rsidRPr="005A6964">
        <w:rPr>
          <w:rFonts w:cs="Times New Roman"/>
          <w:szCs w:val="24"/>
        </w:rPr>
        <w:t xml:space="preserve">FirstEnergy Assertion:  FirstEnergy Assertion:  </w:t>
      </w:r>
      <w:r w:rsidR="00790B67" w:rsidRPr="005A6964">
        <w:rPr>
          <w:rFonts w:cs="Times New Roman"/>
          <w:szCs w:val="24"/>
        </w:rPr>
        <w:t>Supports low income customers</w:t>
      </w:r>
      <w:r w:rsidR="006527E4" w:rsidRPr="005A6964">
        <w:rPr>
          <w:rStyle w:val="FootnoteReference"/>
          <w:rFonts w:cs="Times New Roman"/>
          <w:szCs w:val="24"/>
        </w:rPr>
        <w:footnoteReference w:id="453"/>
      </w:r>
    </w:p>
    <w:p w:rsidR="00217A40" w:rsidRPr="005A6964" w:rsidRDefault="00217A40" w:rsidP="00217A40">
      <w:pPr>
        <w:pStyle w:val="ListParagraph"/>
        <w:spacing w:line="240" w:lineRule="auto"/>
        <w:ind w:left="0" w:firstLine="720"/>
        <w:rPr>
          <w:rFonts w:cs="Times New Roman"/>
          <w:szCs w:val="24"/>
        </w:rPr>
      </w:pPr>
    </w:p>
    <w:p w:rsidR="00A55A9B" w:rsidRPr="005A6964" w:rsidRDefault="006527E4" w:rsidP="00FA4DF6">
      <w:pPr>
        <w:pStyle w:val="ListParagraph"/>
        <w:spacing w:line="480" w:lineRule="auto"/>
        <w:ind w:left="0" w:firstLine="720"/>
        <w:rPr>
          <w:rFonts w:cs="Times New Roman"/>
          <w:szCs w:val="24"/>
        </w:rPr>
      </w:pPr>
      <w:r w:rsidRPr="005A6964">
        <w:rPr>
          <w:rFonts w:cs="Times New Roman"/>
          <w:szCs w:val="24"/>
        </w:rPr>
        <w:t>As OCC/NOAC discussed in its Initial Brief, the low income support provided under the stipulation does little to offset the $3.6 billion increase that will come with Rider RRS.</w:t>
      </w:r>
      <w:r w:rsidR="00640B22" w:rsidRPr="005A6964">
        <w:rPr>
          <w:rStyle w:val="FootnoteReference"/>
          <w:rFonts w:cs="Times New Roman"/>
          <w:szCs w:val="24"/>
        </w:rPr>
        <w:footnoteReference w:id="454"/>
      </w:r>
      <w:r w:rsidRPr="005A6964">
        <w:rPr>
          <w:rFonts w:cs="Times New Roman"/>
          <w:szCs w:val="24"/>
        </w:rPr>
        <w:t xml:space="preserve">  Low income customers </w:t>
      </w:r>
      <w:r w:rsidR="00640B22" w:rsidRPr="005A6964">
        <w:rPr>
          <w:rFonts w:cs="Times New Roman"/>
          <w:szCs w:val="24"/>
        </w:rPr>
        <w:t>will still be forced to pay an additional $800 per customer for that charge, in addition to other charges embedded in the stipulated plan.  Additionally, if a straight fixed variable rate design is implemented, as planned under the stipulations, low income customers are likely to be negatively impacted, a fact FirstEnergy itself concedes.</w:t>
      </w:r>
      <w:r w:rsidR="00640B22" w:rsidRPr="005A6964">
        <w:rPr>
          <w:rStyle w:val="FootnoteReference"/>
          <w:rFonts w:cs="Times New Roman"/>
          <w:szCs w:val="24"/>
        </w:rPr>
        <w:footnoteReference w:id="455"/>
      </w:r>
      <w:r w:rsidR="00A55A9B" w:rsidRPr="005A6964">
        <w:rPr>
          <w:rFonts w:cs="Times New Roman"/>
          <w:szCs w:val="24"/>
        </w:rPr>
        <w:t xml:space="preserve"> </w:t>
      </w:r>
    </w:p>
    <w:p w:rsidR="00E7547D" w:rsidRPr="005A6964" w:rsidRDefault="00217A40" w:rsidP="00FC4971">
      <w:pPr>
        <w:pStyle w:val="ListParagraph"/>
        <w:numPr>
          <w:ilvl w:val="0"/>
          <w:numId w:val="5"/>
        </w:numPr>
        <w:spacing w:line="480" w:lineRule="auto"/>
        <w:ind w:right="720" w:hanging="720"/>
        <w:rPr>
          <w:rFonts w:cs="Times New Roman"/>
          <w:szCs w:val="24"/>
        </w:rPr>
      </w:pPr>
      <w:r w:rsidRPr="005A6964">
        <w:rPr>
          <w:rFonts w:cs="Times New Roman"/>
          <w:szCs w:val="24"/>
        </w:rPr>
        <w:t xml:space="preserve">FirstEnergy Assertion:  </w:t>
      </w:r>
      <w:r w:rsidR="00790B67" w:rsidRPr="005A6964">
        <w:rPr>
          <w:rFonts w:cs="Times New Roman"/>
          <w:szCs w:val="24"/>
        </w:rPr>
        <w:t>Provides numerous other benefits</w:t>
      </w:r>
      <w:r w:rsidR="00DF2FFB" w:rsidRPr="005A6964">
        <w:rPr>
          <w:rStyle w:val="FootnoteReference"/>
          <w:rFonts w:cs="Times New Roman"/>
          <w:szCs w:val="24"/>
        </w:rPr>
        <w:footnoteReference w:id="456"/>
      </w:r>
      <w:r w:rsidR="00790B67" w:rsidRPr="005A6964">
        <w:rPr>
          <w:rFonts w:cs="Times New Roman"/>
          <w:szCs w:val="24"/>
        </w:rPr>
        <w:t xml:space="preserve"> </w:t>
      </w:r>
    </w:p>
    <w:p w:rsidR="00E7547D" w:rsidRPr="005A6964" w:rsidRDefault="00DF2FFB" w:rsidP="00FA4DF6">
      <w:pPr>
        <w:pStyle w:val="ListParagraph"/>
        <w:spacing w:line="480" w:lineRule="auto"/>
        <w:ind w:left="0" w:firstLine="720"/>
        <w:rPr>
          <w:rFonts w:cs="Times New Roman"/>
          <w:szCs w:val="24"/>
        </w:rPr>
      </w:pPr>
      <w:r w:rsidRPr="005A6964">
        <w:rPr>
          <w:rFonts w:cs="Times New Roman"/>
          <w:szCs w:val="24"/>
        </w:rPr>
        <w:t>FirstEnergy alleges there are numerous other miscellaneous benefits of the stipulated ESP.  Several of these benefi</w:t>
      </w:r>
      <w:r w:rsidR="00E7547D" w:rsidRPr="005A6964">
        <w:rPr>
          <w:rFonts w:cs="Times New Roman"/>
          <w:szCs w:val="24"/>
        </w:rPr>
        <w:t xml:space="preserve">ts are occurring already as a result of existing mechanisms that continue on their own impetus.  For instance, timely recovery for compliance with renewable mandates is something other PUCO proceedings address.  The same can be said for the recovery of lost distribution revenues and SEET adjustments.    </w:t>
      </w:r>
    </w:p>
    <w:p w:rsidR="00A3322A" w:rsidRPr="005A6964" w:rsidRDefault="00ED02E6" w:rsidP="00FA4DF6">
      <w:pPr>
        <w:pStyle w:val="ListParagraph"/>
        <w:spacing w:line="480" w:lineRule="auto"/>
        <w:ind w:left="0" w:firstLine="720"/>
        <w:rPr>
          <w:rFonts w:cs="Times New Roman"/>
          <w:szCs w:val="24"/>
        </w:rPr>
      </w:pPr>
      <w:r w:rsidRPr="005A6964">
        <w:rPr>
          <w:rFonts w:cs="Times New Roman"/>
          <w:szCs w:val="24"/>
        </w:rPr>
        <w:t xml:space="preserve">Both NUCOR and </w:t>
      </w:r>
      <w:r w:rsidR="00E7547D" w:rsidRPr="005A6964">
        <w:rPr>
          <w:rFonts w:cs="Times New Roman"/>
          <w:szCs w:val="24"/>
        </w:rPr>
        <w:t xml:space="preserve">OEG </w:t>
      </w:r>
      <w:r w:rsidRPr="005A6964">
        <w:rPr>
          <w:rFonts w:cs="Times New Roman"/>
          <w:szCs w:val="24"/>
        </w:rPr>
        <w:t>extol the benefits of the interruptible service provisions of the stipulation</w:t>
      </w:r>
      <w:r w:rsidR="00217A40" w:rsidRPr="005A6964">
        <w:rPr>
          <w:rFonts w:cs="Times New Roman"/>
          <w:szCs w:val="24"/>
        </w:rPr>
        <w:t xml:space="preserve"> which, by no coincidence, are subsidies that NUCOR and OEG will receive courtesy of other customers paying</w:t>
      </w:r>
      <w:r w:rsidRPr="005A6964">
        <w:rPr>
          <w:rFonts w:cs="Times New Roman"/>
          <w:szCs w:val="24"/>
        </w:rPr>
        <w:t>.</w:t>
      </w:r>
      <w:r w:rsidRPr="005A6964">
        <w:rPr>
          <w:rStyle w:val="FootnoteReference"/>
          <w:rFonts w:cs="Times New Roman"/>
          <w:szCs w:val="24"/>
        </w:rPr>
        <w:footnoteReference w:id="457"/>
      </w:r>
      <w:r w:rsidRPr="005A6964">
        <w:rPr>
          <w:rFonts w:cs="Times New Roman"/>
          <w:szCs w:val="24"/>
        </w:rPr>
        <w:t xml:space="preserve">   OEG argues that </w:t>
      </w:r>
      <w:r w:rsidR="009F6F2F" w:rsidRPr="005A6964">
        <w:rPr>
          <w:rFonts w:cs="Times New Roman"/>
          <w:szCs w:val="24"/>
        </w:rPr>
        <w:t xml:space="preserve">the expansion </w:t>
      </w:r>
      <w:r w:rsidRPr="005A6964">
        <w:rPr>
          <w:rFonts w:cs="Times New Roman"/>
          <w:szCs w:val="24"/>
        </w:rPr>
        <w:t xml:space="preserve">of Rider ELR </w:t>
      </w:r>
      <w:r w:rsidR="00217A40" w:rsidRPr="005A6964">
        <w:rPr>
          <w:rFonts w:cs="Times New Roman"/>
          <w:szCs w:val="24"/>
        </w:rPr>
        <w:t xml:space="preserve">(for interruptible service) </w:t>
      </w:r>
      <w:r w:rsidR="009F6F2F" w:rsidRPr="005A6964">
        <w:rPr>
          <w:rFonts w:cs="Times New Roman"/>
          <w:szCs w:val="24"/>
        </w:rPr>
        <w:t xml:space="preserve">for the eight year term of the ESP benefits customers and does not </w:t>
      </w:r>
      <w:r w:rsidR="00790B67" w:rsidRPr="005A6964">
        <w:rPr>
          <w:rFonts w:cs="Times New Roman"/>
          <w:szCs w:val="24"/>
        </w:rPr>
        <w:t xml:space="preserve"> impose unreasonable costs on customers</w:t>
      </w:r>
      <w:r w:rsidR="009F6F2F" w:rsidRPr="005A6964">
        <w:rPr>
          <w:rFonts w:cs="Times New Roman"/>
          <w:szCs w:val="24"/>
        </w:rPr>
        <w:t xml:space="preserve"> who must pay for the program.</w:t>
      </w:r>
      <w:r w:rsidR="009F6F2F" w:rsidRPr="005A6964">
        <w:rPr>
          <w:rStyle w:val="FootnoteReference"/>
          <w:rFonts w:cs="Times New Roman"/>
          <w:szCs w:val="24"/>
        </w:rPr>
        <w:footnoteReference w:id="458"/>
      </w:r>
      <w:r w:rsidR="009F6F2F" w:rsidRPr="005A6964">
        <w:rPr>
          <w:rFonts w:cs="Times New Roman"/>
          <w:szCs w:val="24"/>
        </w:rPr>
        <w:t xml:space="preserve">  </w:t>
      </w:r>
      <w:r w:rsidR="00AE56B0" w:rsidRPr="005A6964">
        <w:rPr>
          <w:rFonts w:cs="Times New Roman"/>
          <w:szCs w:val="24"/>
        </w:rPr>
        <w:t xml:space="preserve">In this regard, </w:t>
      </w:r>
      <w:r w:rsidR="009F6F2F" w:rsidRPr="005A6964">
        <w:rPr>
          <w:rFonts w:cs="Times New Roman"/>
          <w:szCs w:val="24"/>
        </w:rPr>
        <w:t xml:space="preserve">OEG points out that </w:t>
      </w:r>
      <w:r w:rsidR="00AE56B0" w:rsidRPr="005A6964">
        <w:rPr>
          <w:rFonts w:cs="Times New Roman"/>
          <w:szCs w:val="24"/>
        </w:rPr>
        <w:t>the cost of the expanded ELR program will be o</w:t>
      </w:r>
      <w:r w:rsidR="00790B67" w:rsidRPr="005A6964">
        <w:rPr>
          <w:rFonts w:cs="Times New Roman"/>
          <w:szCs w:val="24"/>
        </w:rPr>
        <w:t xml:space="preserve">ffset by 80% </w:t>
      </w:r>
      <w:r w:rsidR="00AE56B0" w:rsidRPr="005A6964">
        <w:rPr>
          <w:rFonts w:cs="Times New Roman"/>
          <w:szCs w:val="24"/>
        </w:rPr>
        <w:t xml:space="preserve">of the </w:t>
      </w:r>
      <w:r w:rsidR="00790B67" w:rsidRPr="005A6964">
        <w:rPr>
          <w:rFonts w:cs="Times New Roman"/>
          <w:szCs w:val="24"/>
        </w:rPr>
        <w:t>revenue received from PJM for bidding</w:t>
      </w:r>
      <w:r w:rsidR="00AE56B0" w:rsidRPr="005A6964">
        <w:rPr>
          <w:rFonts w:cs="Times New Roman"/>
          <w:szCs w:val="24"/>
        </w:rPr>
        <w:t xml:space="preserve"> the </w:t>
      </w:r>
      <w:r w:rsidR="00037F6E" w:rsidRPr="005A6964">
        <w:rPr>
          <w:rFonts w:cs="Times New Roman"/>
          <w:szCs w:val="24"/>
        </w:rPr>
        <w:t>interruptible</w:t>
      </w:r>
      <w:r w:rsidR="00790B67" w:rsidRPr="005A6964">
        <w:rPr>
          <w:rFonts w:cs="Times New Roman"/>
          <w:szCs w:val="24"/>
        </w:rPr>
        <w:t xml:space="preserve"> load into capacity auctions</w:t>
      </w:r>
      <w:r w:rsidR="00AE56B0" w:rsidRPr="005A6964">
        <w:rPr>
          <w:rFonts w:cs="Times New Roman"/>
          <w:szCs w:val="24"/>
        </w:rPr>
        <w:t xml:space="preserve">. </w:t>
      </w:r>
    </w:p>
    <w:p w:rsidR="00A3322A" w:rsidRPr="005A6964" w:rsidRDefault="00AE56B0" w:rsidP="00FA4DF6">
      <w:pPr>
        <w:pStyle w:val="ListParagraph"/>
        <w:spacing w:line="480" w:lineRule="auto"/>
        <w:ind w:left="0" w:firstLine="720"/>
        <w:rPr>
          <w:rFonts w:cs="Times New Roman"/>
          <w:szCs w:val="24"/>
        </w:rPr>
      </w:pPr>
      <w:r w:rsidRPr="005A6964">
        <w:rPr>
          <w:rFonts w:cs="Times New Roman"/>
          <w:szCs w:val="24"/>
        </w:rPr>
        <w:t xml:space="preserve">But the </w:t>
      </w:r>
      <w:r w:rsidR="00217A40" w:rsidRPr="005A6964">
        <w:rPr>
          <w:rFonts w:cs="Times New Roman"/>
          <w:szCs w:val="24"/>
        </w:rPr>
        <w:t>PUCO</w:t>
      </w:r>
      <w:r w:rsidRPr="005A6964">
        <w:rPr>
          <w:rFonts w:cs="Times New Roman"/>
          <w:szCs w:val="24"/>
        </w:rPr>
        <w:t xml:space="preserve"> should understand that the costs customers may pay for the ELR program </w:t>
      </w:r>
      <w:r w:rsidR="008276A6" w:rsidRPr="005A6964">
        <w:rPr>
          <w:rFonts w:cs="Times New Roman"/>
          <w:szCs w:val="24"/>
        </w:rPr>
        <w:t xml:space="preserve">for the next eight years </w:t>
      </w:r>
      <w:r w:rsidRPr="005A6964">
        <w:rPr>
          <w:rFonts w:cs="Times New Roman"/>
          <w:szCs w:val="24"/>
        </w:rPr>
        <w:t>may be very costly for FE Utilities' customers, as OCC/NOPEC Witness Kahal warned.</w:t>
      </w:r>
      <w:r w:rsidRPr="005A6964">
        <w:rPr>
          <w:rStyle w:val="FootnoteReference"/>
          <w:rFonts w:cs="Times New Roman"/>
          <w:szCs w:val="24"/>
        </w:rPr>
        <w:footnoteReference w:id="459"/>
      </w:r>
      <w:r w:rsidRPr="005A6964">
        <w:rPr>
          <w:rFonts w:cs="Times New Roman"/>
          <w:szCs w:val="24"/>
        </w:rPr>
        <w:t xml:space="preserve"> While OEG would have the PUCO believe that customers will pay little due to the revenue credit received </w:t>
      </w:r>
      <w:r w:rsidR="008276A6" w:rsidRPr="005A6964">
        <w:rPr>
          <w:rFonts w:cs="Times New Roman"/>
          <w:szCs w:val="24"/>
        </w:rPr>
        <w:t>under</w:t>
      </w:r>
      <w:r w:rsidRPr="005A6964">
        <w:rPr>
          <w:rFonts w:cs="Times New Roman"/>
          <w:szCs w:val="24"/>
        </w:rPr>
        <w:t xml:space="preserve"> the auctions, the facts get in the way of this argument.  </w:t>
      </w:r>
    </w:p>
    <w:p w:rsidR="00A3322A" w:rsidRPr="005A6964" w:rsidRDefault="00A3322A" w:rsidP="00FA4DF6">
      <w:pPr>
        <w:pStyle w:val="ListParagraph"/>
        <w:spacing w:line="480" w:lineRule="auto"/>
        <w:ind w:left="0" w:firstLine="720"/>
        <w:rPr>
          <w:rFonts w:cs="Times New Roman"/>
          <w:szCs w:val="24"/>
        </w:rPr>
      </w:pPr>
      <w:r w:rsidRPr="005A6964">
        <w:rPr>
          <w:rFonts w:cs="Times New Roman"/>
          <w:szCs w:val="24"/>
        </w:rPr>
        <w:t>In reality the offsetting revenues will deflect only about 40% of the customers</w:t>
      </w:r>
      <w:r w:rsidR="004A3A42" w:rsidRPr="005A6964">
        <w:rPr>
          <w:rFonts w:cs="Times New Roman"/>
          <w:szCs w:val="24"/>
        </w:rPr>
        <w:t>'</w:t>
      </w:r>
      <w:r w:rsidRPr="005A6964">
        <w:rPr>
          <w:rFonts w:cs="Times New Roman"/>
          <w:szCs w:val="24"/>
        </w:rPr>
        <w:t xml:space="preserve"> cost of the ELR program</w:t>
      </w:r>
      <w:r w:rsidR="00615D52" w:rsidRPr="005A6964">
        <w:rPr>
          <w:rFonts w:cs="Times New Roman"/>
          <w:szCs w:val="24"/>
        </w:rPr>
        <w:t>:</w:t>
      </w:r>
      <w:r w:rsidRPr="005A6964">
        <w:rPr>
          <w:rFonts w:cs="Times New Roman"/>
          <w:szCs w:val="24"/>
        </w:rPr>
        <w:t xml:space="preserve"> </w:t>
      </w:r>
      <w:r w:rsidR="00615D52" w:rsidRPr="005A6964">
        <w:rPr>
          <w:rFonts w:cs="Times New Roman"/>
          <w:szCs w:val="24"/>
        </w:rPr>
        <w:t>Customers will be paying $10/kw-month to support the ELR program.</w:t>
      </w:r>
      <w:r w:rsidR="00331309" w:rsidRPr="005A6964">
        <w:rPr>
          <w:rStyle w:val="FootnoteReference"/>
          <w:rFonts w:cs="Times New Roman"/>
          <w:szCs w:val="24"/>
        </w:rPr>
        <w:footnoteReference w:id="460"/>
      </w:r>
      <w:r w:rsidR="00615D52" w:rsidRPr="005A6964">
        <w:rPr>
          <w:rFonts w:cs="Times New Roman"/>
          <w:szCs w:val="24"/>
        </w:rPr>
        <w:t xml:space="preserve">  </w:t>
      </w:r>
      <w:r w:rsidRPr="005A6964">
        <w:rPr>
          <w:rFonts w:cs="Times New Roman"/>
          <w:szCs w:val="24"/>
        </w:rPr>
        <w:t>Using the base residual auction results for the next three years,</w:t>
      </w:r>
      <w:r w:rsidRPr="005A6964">
        <w:rPr>
          <w:rStyle w:val="FootnoteReference"/>
          <w:rFonts w:cs="Times New Roman"/>
          <w:szCs w:val="24"/>
        </w:rPr>
        <w:footnoteReference w:id="461"/>
      </w:r>
      <w:r w:rsidRPr="005A6964">
        <w:rPr>
          <w:rFonts w:cs="Times New Roman"/>
          <w:szCs w:val="24"/>
        </w:rPr>
        <w:t xml:space="preserve"> the credits to FirstEnergy customers for capacity costs will be as follows:</w:t>
      </w:r>
    </w:p>
    <w:p w:rsidR="00A3322A" w:rsidRPr="005A6964" w:rsidRDefault="00A3322A" w:rsidP="00A3322A">
      <w:r w:rsidRPr="005A6964">
        <w:rPr>
          <w:rFonts w:cs="Times New Roman"/>
          <w:szCs w:val="24"/>
        </w:rPr>
        <w:tab/>
      </w:r>
      <w:r w:rsidRPr="005A6964">
        <w:rPr>
          <w:rFonts w:cs="Times New Roman"/>
          <w:szCs w:val="24"/>
        </w:rPr>
        <w:tab/>
      </w:r>
      <w:r w:rsidRPr="005A6964">
        <w:rPr>
          <w:rFonts w:cs="Times New Roman"/>
          <w:szCs w:val="24"/>
        </w:rPr>
        <w:tab/>
      </w:r>
      <w:r w:rsidRPr="005A6964">
        <w:rPr>
          <w:rFonts w:cs="Times New Roman"/>
          <w:szCs w:val="24"/>
        </w:rPr>
        <w:tab/>
      </w:r>
      <w:r w:rsidRPr="005A6964">
        <w:t>2016/2017:          $3.26</w:t>
      </w:r>
    </w:p>
    <w:p w:rsidR="00A3322A" w:rsidRPr="005A6964" w:rsidRDefault="00A3322A" w:rsidP="00A3322A">
      <w:r w:rsidRPr="005A6964">
        <w:tab/>
      </w:r>
      <w:r w:rsidRPr="005A6964">
        <w:tab/>
      </w:r>
      <w:r w:rsidRPr="005A6964">
        <w:tab/>
      </w:r>
      <w:r w:rsidRPr="005A6964">
        <w:tab/>
        <w:t>2017/2018:          $3.69</w:t>
      </w:r>
    </w:p>
    <w:p w:rsidR="00A3322A" w:rsidRPr="005A6964" w:rsidRDefault="00A3322A" w:rsidP="00A3322A">
      <w:r w:rsidRPr="005A6964">
        <w:tab/>
      </w:r>
      <w:r w:rsidRPr="005A6964">
        <w:tab/>
      </w:r>
      <w:r w:rsidRPr="005A6964">
        <w:tab/>
      </w:r>
      <w:r w:rsidRPr="005A6964">
        <w:tab/>
        <w:t>2018/2019:          $4.01</w:t>
      </w:r>
      <w:r w:rsidRPr="005A6964">
        <w:rPr>
          <w:rStyle w:val="FootnoteReference"/>
        </w:rPr>
        <w:footnoteReference w:id="462"/>
      </w:r>
      <w:r w:rsidRPr="005A6964">
        <w:t xml:space="preserve"> </w:t>
      </w:r>
    </w:p>
    <w:p w:rsidR="001D7643" w:rsidRPr="005A6964" w:rsidRDefault="00331309" w:rsidP="00FA4DF6">
      <w:pPr>
        <w:spacing w:after="0" w:line="480" w:lineRule="auto"/>
      </w:pPr>
      <w:r w:rsidRPr="005A6964">
        <w:t>This means that customers will continue to pay (over the next three years at least) around $6</w:t>
      </w:r>
      <w:r w:rsidR="001D7643" w:rsidRPr="005A6964">
        <w:t xml:space="preserve">/kw-month to </w:t>
      </w:r>
      <w:r w:rsidR="00217A40" w:rsidRPr="005A6964">
        <w:t xml:space="preserve">subsidize </w:t>
      </w:r>
      <w:r w:rsidR="001D7643" w:rsidRPr="005A6964">
        <w:t xml:space="preserve">ELR </w:t>
      </w:r>
      <w:r w:rsidR="001B10FB" w:rsidRPr="005A6964">
        <w:t>participants</w:t>
      </w:r>
      <w:r w:rsidR="00217A40" w:rsidRPr="005A6964">
        <w:t xml:space="preserve"> such as NUCOR and OEG’s members</w:t>
      </w:r>
      <w:r w:rsidR="001D7643" w:rsidRPr="005A6964">
        <w:t>.</w:t>
      </w:r>
    </w:p>
    <w:p w:rsidR="00DD1D5E" w:rsidRPr="005A6964" w:rsidRDefault="00A3322A" w:rsidP="005A6964">
      <w:pPr>
        <w:spacing w:after="0" w:line="480" w:lineRule="auto"/>
      </w:pPr>
      <w:r w:rsidRPr="005A6964">
        <w:tab/>
      </w:r>
      <w:r w:rsidR="008276A6" w:rsidRPr="005A6964">
        <w:t>Moreo</w:t>
      </w:r>
      <w:r w:rsidR="00615D52" w:rsidRPr="005A6964">
        <w:t xml:space="preserve">ver, the level of Rider ELR has not been proven to be either reasonable or necessary to encourage entities to participate in load response reduction.  </w:t>
      </w:r>
      <w:r w:rsidRPr="005A6964">
        <w:t>R</w:t>
      </w:r>
      <w:r w:rsidR="00615D52" w:rsidRPr="005A6964">
        <w:t xml:space="preserve">ider ELR participants will be receiving payments funded by customers under two forms:  </w:t>
      </w:r>
      <w:r w:rsidRPr="005A6964">
        <w:t xml:space="preserve">a $10/kw-month </w:t>
      </w:r>
      <w:r w:rsidR="00615D52" w:rsidRPr="005A6964">
        <w:t xml:space="preserve">payment </w:t>
      </w:r>
      <w:r w:rsidRPr="005A6964">
        <w:t>from FirstEnergy</w:t>
      </w:r>
      <w:r w:rsidR="00615D52" w:rsidRPr="005A6964">
        <w:t xml:space="preserve"> and</w:t>
      </w:r>
      <w:r w:rsidRPr="005A6964">
        <w:t xml:space="preserve"> 20% of the revenue from the PJM load response </w:t>
      </w:r>
    </w:p>
    <w:p w:rsidR="00A3322A" w:rsidRPr="005A6964" w:rsidRDefault="00A3322A" w:rsidP="00FA4DF6">
      <w:pPr>
        <w:spacing w:after="0" w:line="480" w:lineRule="auto"/>
      </w:pPr>
      <w:r w:rsidRPr="005A6964">
        <w:t>program.</w:t>
      </w:r>
      <w:r w:rsidRPr="005A6964">
        <w:rPr>
          <w:rStyle w:val="FootnoteReference"/>
        </w:rPr>
        <w:footnoteReference w:id="463"/>
      </w:r>
      <w:r w:rsidRPr="005A6964">
        <w:t xml:space="preserve">  </w:t>
      </w:r>
      <w:r w:rsidR="008276A6" w:rsidRPr="005A6964">
        <w:t>Thus, b</w:t>
      </w:r>
      <w:r w:rsidR="00615D52" w:rsidRPr="005A6964">
        <w:t xml:space="preserve">eyond the 20% incentive payment, under the proposed ELR, customers will be funding an additional $6 incentive.  </w:t>
      </w:r>
      <w:r w:rsidRPr="005A6964">
        <w:t>This</w:t>
      </w:r>
      <w:r w:rsidR="00615D52" w:rsidRPr="005A6964">
        <w:t xml:space="preserve"> </w:t>
      </w:r>
      <w:r w:rsidRPr="005A6964">
        <w:t xml:space="preserve">program is another </w:t>
      </w:r>
      <w:r w:rsidR="00615D52" w:rsidRPr="005A6964">
        <w:t xml:space="preserve">example of a financial inducement that </w:t>
      </w:r>
      <w:r w:rsidR="008276A6" w:rsidRPr="005A6964">
        <w:t xml:space="preserve">brought parties to the stipulation, paid for by others, including non-signatories. </w:t>
      </w:r>
    </w:p>
    <w:p w:rsidR="00790B67" w:rsidRPr="005A6964" w:rsidRDefault="008276A6" w:rsidP="00FA4DF6">
      <w:pPr>
        <w:spacing w:after="0" w:line="480" w:lineRule="auto"/>
        <w:rPr>
          <w:rFonts w:cs="Times New Roman"/>
          <w:szCs w:val="24"/>
        </w:rPr>
      </w:pPr>
      <w:r w:rsidRPr="005A6964">
        <w:rPr>
          <w:rFonts w:cs="Times New Roman"/>
          <w:szCs w:val="24"/>
        </w:rPr>
        <w:tab/>
      </w:r>
      <w:r w:rsidR="00790B67" w:rsidRPr="005A6964">
        <w:rPr>
          <w:rFonts w:cs="Times New Roman"/>
          <w:szCs w:val="24"/>
        </w:rPr>
        <w:t>Kroger argues that the ra</w:t>
      </w:r>
      <w:r w:rsidR="004A3A42" w:rsidRPr="005A6964">
        <w:rPr>
          <w:rFonts w:cs="Times New Roman"/>
          <w:szCs w:val="24"/>
        </w:rPr>
        <w:t xml:space="preserve">te design of Rider RRS and the </w:t>
      </w:r>
      <w:r w:rsidR="00790B67" w:rsidRPr="005A6964">
        <w:rPr>
          <w:rFonts w:cs="Times New Roman"/>
          <w:szCs w:val="24"/>
        </w:rPr>
        <w:t>HLF experimental rate will benefit rat</w:t>
      </w:r>
      <w:r w:rsidRPr="005A6964">
        <w:rPr>
          <w:rFonts w:cs="Times New Roman"/>
          <w:szCs w:val="24"/>
        </w:rPr>
        <w:t>epayers and the public interest.</w:t>
      </w:r>
      <w:r w:rsidRPr="005A6964">
        <w:rPr>
          <w:rStyle w:val="FootnoteReference"/>
          <w:rFonts w:cs="Times New Roman"/>
          <w:szCs w:val="24"/>
        </w:rPr>
        <w:footnoteReference w:id="464"/>
      </w:r>
      <w:r w:rsidRPr="005A6964">
        <w:rPr>
          <w:rFonts w:cs="Times New Roman"/>
          <w:szCs w:val="24"/>
        </w:rPr>
        <w:t xml:space="preserve">  </w:t>
      </w:r>
      <w:r w:rsidR="00790B67" w:rsidRPr="005A6964">
        <w:rPr>
          <w:rFonts w:cs="Times New Roman"/>
          <w:szCs w:val="24"/>
        </w:rPr>
        <w:t xml:space="preserve">Kroger </w:t>
      </w:r>
      <w:r w:rsidRPr="005A6964">
        <w:rPr>
          <w:rFonts w:cs="Times New Roman"/>
          <w:szCs w:val="24"/>
        </w:rPr>
        <w:t xml:space="preserve">notes </w:t>
      </w:r>
      <w:r w:rsidR="00790B67" w:rsidRPr="005A6964">
        <w:rPr>
          <w:rFonts w:cs="Times New Roman"/>
          <w:szCs w:val="24"/>
        </w:rPr>
        <w:t xml:space="preserve">that originally the </w:t>
      </w:r>
      <w:r w:rsidRPr="005A6964">
        <w:rPr>
          <w:rFonts w:cs="Times New Roman"/>
          <w:szCs w:val="24"/>
        </w:rPr>
        <w:t>Utilities</w:t>
      </w:r>
      <w:r w:rsidR="00790B67" w:rsidRPr="005A6964">
        <w:rPr>
          <w:rFonts w:cs="Times New Roman"/>
          <w:szCs w:val="24"/>
        </w:rPr>
        <w:t xml:space="preserve"> </w:t>
      </w:r>
      <w:r w:rsidR="004A3A42" w:rsidRPr="005A6964">
        <w:rPr>
          <w:rFonts w:cs="Times New Roman"/>
          <w:szCs w:val="24"/>
        </w:rPr>
        <w:t>p</w:t>
      </w:r>
      <w:r w:rsidR="00790B67" w:rsidRPr="005A6964">
        <w:rPr>
          <w:rFonts w:cs="Times New Roman"/>
          <w:szCs w:val="24"/>
        </w:rPr>
        <w:t>roposed allocating the RRS rider based on demand, and then converting the allocated revenue requiremen</w:t>
      </w:r>
      <w:r w:rsidR="001D7643" w:rsidRPr="005A6964">
        <w:rPr>
          <w:rFonts w:cs="Times New Roman"/>
          <w:szCs w:val="24"/>
        </w:rPr>
        <w:t>t to an energy charge.  In the s</w:t>
      </w:r>
      <w:r w:rsidR="00790B67" w:rsidRPr="005A6964">
        <w:rPr>
          <w:rFonts w:cs="Times New Roman"/>
          <w:szCs w:val="24"/>
        </w:rPr>
        <w:t>tipulation</w:t>
      </w:r>
      <w:r w:rsidR="001D7643" w:rsidRPr="005A6964">
        <w:rPr>
          <w:rFonts w:cs="Times New Roman"/>
          <w:szCs w:val="24"/>
        </w:rPr>
        <w:t>s</w:t>
      </w:r>
      <w:r w:rsidR="00790B67" w:rsidRPr="005A6964">
        <w:rPr>
          <w:rFonts w:cs="Times New Roman"/>
          <w:szCs w:val="24"/>
        </w:rPr>
        <w:t xml:space="preserve"> this rate design was modified to be based on billing demand only.  </w:t>
      </w:r>
      <w:r w:rsidR="004A3A42" w:rsidRPr="005A6964">
        <w:rPr>
          <w:rFonts w:cs="Times New Roman"/>
          <w:szCs w:val="24"/>
        </w:rPr>
        <w:t>Kro</w:t>
      </w:r>
      <w:r w:rsidRPr="005A6964">
        <w:rPr>
          <w:rFonts w:cs="Times New Roman"/>
          <w:szCs w:val="24"/>
        </w:rPr>
        <w:t xml:space="preserve">ger insists that such a </w:t>
      </w:r>
      <w:r w:rsidR="004A3A42" w:rsidRPr="005A6964">
        <w:rPr>
          <w:rFonts w:cs="Times New Roman"/>
          <w:szCs w:val="24"/>
        </w:rPr>
        <w:t>m</w:t>
      </w:r>
      <w:r w:rsidR="00790B67" w:rsidRPr="005A6964">
        <w:rPr>
          <w:rFonts w:cs="Times New Roman"/>
          <w:szCs w:val="24"/>
        </w:rPr>
        <w:t>odification properly aligns costs</w:t>
      </w:r>
      <w:r w:rsidRPr="005A6964">
        <w:rPr>
          <w:rFonts w:cs="Times New Roman"/>
          <w:szCs w:val="24"/>
        </w:rPr>
        <w:t xml:space="preserve"> a</w:t>
      </w:r>
      <w:r w:rsidR="00790B67" w:rsidRPr="005A6964">
        <w:rPr>
          <w:rFonts w:cs="Times New Roman"/>
          <w:szCs w:val="24"/>
        </w:rPr>
        <w:t>nd is consistent with cost causation</w:t>
      </w:r>
      <w:r w:rsidRPr="005A6964">
        <w:rPr>
          <w:rFonts w:cs="Times New Roman"/>
          <w:szCs w:val="24"/>
        </w:rPr>
        <w:t>.  This argument seems aimed at convincing the PUCO that stipulated</w:t>
      </w:r>
      <w:r w:rsidR="00790B67" w:rsidRPr="005A6964">
        <w:rPr>
          <w:rFonts w:cs="Times New Roman"/>
          <w:i/>
          <w:szCs w:val="24"/>
        </w:rPr>
        <w:t xml:space="preserve"> </w:t>
      </w:r>
      <w:r w:rsidR="00790B67" w:rsidRPr="005A6964">
        <w:rPr>
          <w:rFonts w:cs="Times New Roman"/>
          <w:szCs w:val="24"/>
        </w:rPr>
        <w:t>Rider RRS allocation is less harmful to customers than the filed application.</w:t>
      </w:r>
      <w:r w:rsidR="00790B67" w:rsidRPr="005A6964">
        <w:rPr>
          <w:rFonts w:cs="Times New Roman"/>
          <w:i/>
          <w:szCs w:val="24"/>
        </w:rPr>
        <w:t xml:space="preserve"> </w:t>
      </w:r>
      <w:r w:rsidRPr="005A6964">
        <w:rPr>
          <w:rFonts w:cs="Times New Roman"/>
          <w:szCs w:val="24"/>
        </w:rPr>
        <w:t>And while this may or may not be true, it fails to affirmatively</w:t>
      </w:r>
      <w:r w:rsidR="00790B67" w:rsidRPr="005A6964">
        <w:rPr>
          <w:rFonts w:cs="Times New Roman"/>
          <w:i/>
          <w:szCs w:val="24"/>
        </w:rPr>
        <w:t xml:space="preserve"> </w:t>
      </w:r>
      <w:r w:rsidRPr="005A6964">
        <w:rPr>
          <w:rFonts w:cs="Times New Roman"/>
          <w:szCs w:val="24"/>
        </w:rPr>
        <w:t xml:space="preserve">prove that the </w:t>
      </w:r>
      <w:r w:rsidR="00790B67" w:rsidRPr="005A6964">
        <w:rPr>
          <w:rFonts w:cs="Times New Roman"/>
          <w:szCs w:val="24"/>
        </w:rPr>
        <w:t>stipulation is in the public interest.</w:t>
      </w:r>
    </w:p>
    <w:p w:rsidR="00790B67" w:rsidRPr="005A6964" w:rsidRDefault="008276A6" w:rsidP="00FA4DF6">
      <w:pPr>
        <w:spacing w:after="0" w:line="480" w:lineRule="auto"/>
        <w:rPr>
          <w:rFonts w:cs="Times New Roman"/>
          <w:szCs w:val="24"/>
        </w:rPr>
      </w:pPr>
      <w:r w:rsidRPr="005A6964">
        <w:rPr>
          <w:rFonts w:cs="Times New Roman"/>
          <w:szCs w:val="24"/>
        </w:rPr>
        <w:tab/>
      </w:r>
      <w:r w:rsidR="00790B67" w:rsidRPr="005A6964">
        <w:rPr>
          <w:rFonts w:cs="Times New Roman"/>
          <w:szCs w:val="24"/>
        </w:rPr>
        <w:t xml:space="preserve">Kroger </w:t>
      </w:r>
      <w:r w:rsidRPr="005A6964">
        <w:rPr>
          <w:rFonts w:cs="Times New Roman"/>
          <w:szCs w:val="24"/>
        </w:rPr>
        <w:t xml:space="preserve">also </w:t>
      </w:r>
      <w:r w:rsidR="00790B67" w:rsidRPr="005A6964">
        <w:rPr>
          <w:rFonts w:cs="Times New Roman"/>
          <w:szCs w:val="24"/>
        </w:rPr>
        <w:t>argues that the HLF experimental rate should be supported because it benefits high load factor customers and will enable them to improve their consumption profile during peak periods, which "will potentially result in more cost-efficient energy consumption by these customers."</w:t>
      </w:r>
      <w:r w:rsidRPr="005A6964">
        <w:rPr>
          <w:rStyle w:val="FootnoteReference"/>
          <w:rFonts w:cs="Times New Roman"/>
          <w:szCs w:val="24"/>
        </w:rPr>
        <w:footnoteReference w:id="465"/>
      </w:r>
      <w:r w:rsidR="00790B67" w:rsidRPr="005A6964">
        <w:rPr>
          <w:rFonts w:cs="Times New Roman"/>
          <w:szCs w:val="24"/>
        </w:rPr>
        <w:t xml:space="preserve"> </w:t>
      </w:r>
      <w:r w:rsidRPr="005A6964">
        <w:rPr>
          <w:rFonts w:cs="Times New Roman"/>
          <w:szCs w:val="24"/>
        </w:rPr>
        <w:t>The pro</w:t>
      </w:r>
      <w:r w:rsidR="00F71B3D" w:rsidRPr="005A6964">
        <w:rPr>
          <w:rFonts w:cs="Times New Roman"/>
          <w:szCs w:val="24"/>
        </w:rPr>
        <w:t>blem with this argument is</w:t>
      </w:r>
      <w:r w:rsidR="00527E17" w:rsidRPr="005A6964">
        <w:rPr>
          <w:rFonts w:cs="Times New Roman"/>
          <w:szCs w:val="24"/>
        </w:rPr>
        <w:t xml:space="preserve">, as Kroger admits, this is only a </w:t>
      </w:r>
      <w:r w:rsidR="00790B67" w:rsidRPr="005A6964">
        <w:rPr>
          <w:rFonts w:cs="Times New Roman"/>
          <w:szCs w:val="24"/>
        </w:rPr>
        <w:t>potential benefit.</w:t>
      </w:r>
    </w:p>
    <w:p w:rsidR="00B7274A" w:rsidRPr="005A6964" w:rsidRDefault="00527E17" w:rsidP="00FA4DF6">
      <w:pPr>
        <w:spacing w:after="0" w:line="480" w:lineRule="auto"/>
        <w:rPr>
          <w:rFonts w:cs="Times New Roman"/>
          <w:szCs w:val="24"/>
        </w:rPr>
      </w:pPr>
      <w:r w:rsidRPr="005A6964">
        <w:rPr>
          <w:rFonts w:cs="Times New Roman"/>
          <w:szCs w:val="24"/>
        </w:rPr>
        <w:tab/>
      </w:r>
      <w:r w:rsidR="00790B67" w:rsidRPr="005A6964">
        <w:rPr>
          <w:rFonts w:cs="Times New Roman"/>
          <w:szCs w:val="24"/>
        </w:rPr>
        <w:t xml:space="preserve">Kroger also argues </w:t>
      </w:r>
      <w:r w:rsidRPr="005A6964">
        <w:rPr>
          <w:rFonts w:cs="Times New Roman"/>
          <w:szCs w:val="24"/>
        </w:rPr>
        <w:t xml:space="preserve">that the HLF experimental rate </w:t>
      </w:r>
      <w:r w:rsidR="00790B67" w:rsidRPr="005A6964">
        <w:rPr>
          <w:rFonts w:cs="Times New Roman"/>
          <w:szCs w:val="24"/>
        </w:rPr>
        <w:t>will benefit the public interest because it will "encourage high load factor customers that participate in the program to find ways to further improve their load profile, which results in a reduction in demand levels during peak periods.</w:t>
      </w:r>
      <w:r w:rsidRPr="005A6964">
        <w:rPr>
          <w:rStyle w:val="FootnoteReference"/>
          <w:rFonts w:cs="Times New Roman"/>
          <w:szCs w:val="24"/>
        </w:rPr>
        <w:footnoteReference w:id="466"/>
      </w:r>
      <w:r w:rsidR="00790B67" w:rsidRPr="005A6964">
        <w:rPr>
          <w:rFonts w:cs="Times New Roman"/>
          <w:szCs w:val="24"/>
        </w:rPr>
        <w:t xml:space="preserve">  </w:t>
      </w:r>
      <w:r w:rsidRPr="005A6964">
        <w:rPr>
          <w:rFonts w:cs="Times New Roman"/>
          <w:szCs w:val="24"/>
        </w:rPr>
        <w:t xml:space="preserve">Again, Kroger mixes up the potential with the actual.  There is no (nor can there be) guaranteed </w:t>
      </w:r>
      <w:r w:rsidR="00790B67" w:rsidRPr="005A6964">
        <w:rPr>
          <w:rFonts w:cs="Times New Roman"/>
          <w:szCs w:val="24"/>
        </w:rPr>
        <w:t>reduction in demand level</w:t>
      </w:r>
      <w:r w:rsidRPr="005A6964">
        <w:rPr>
          <w:rFonts w:cs="Times New Roman"/>
          <w:szCs w:val="24"/>
        </w:rPr>
        <w:t xml:space="preserve"> for this program which has one participant, Kroger.</w:t>
      </w:r>
      <w:r w:rsidRPr="005A6964">
        <w:rPr>
          <w:rFonts w:cs="Times New Roman"/>
          <w:i/>
          <w:szCs w:val="24"/>
        </w:rPr>
        <w:t xml:space="preserve">  </w:t>
      </w:r>
      <w:r w:rsidR="00790B67" w:rsidRPr="005A6964">
        <w:rPr>
          <w:rFonts w:cs="Times New Roman"/>
          <w:szCs w:val="24"/>
        </w:rPr>
        <w:tab/>
      </w:r>
    </w:p>
    <w:p w:rsidR="004B18FD" w:rsidRPr="005A6964" w:rsidRDefault="004B18FD" w:rsidP="00B30CAE">
      <w:pPr>
        <w:pStyle w:val="Heading5"/>
      </w:pPr>
      <w:bookmarkStart w:id="61" w:name="_Toc444269047"/>
      <w:r w:rsidRPr="005A6964">
        <w:t xml:space="preserve">iii. </w:t>
      </w:r>
      <w:r w:rsidRPr="005A6964">
        <w:tab/>
        <w:t>Prong Three:  The Stipulations violate important regulatory principles and practices</w:t>
      </w:r>
      <w:r w:rsidR="00F71B3D" w:rsidRPr="005A6964">
        <w:t xml:space="preserve"> which harms customers</w:t>
      </w:r>
      <w:r w:rsidRPr="005A6964">
        <w:t>.</w:t>
      </w:r>
      <w:bookmarkEnd w:id="61"/>
    </w:p>
    <w:p w:rsidR="004B18FD" w:rsidRPr="005A6964" w:rsidRDefault="004B18FD" w:rsidP="005A6964">
      <w:pPr>
        <w:spacing w:after="0" w:line="480" w:lineRule="auto"/>
        <w:rPr>
          <w:szCs w:val="24"/>
        </w:rPr>
      </w:pPr>
      <w:r w:rsidRPr="005A6964">
        <w:rPr>
          <w:sz w:val="28"/>
          <w:szCs w:val="28"/>
        </w:rPr>
        <w:tab/>
      </w:r>
      <w:r w:rsidRPr="005A6964">
        <w:rPr>
          <w:szCs w:val="24"/>
        </w:rPr>
        <w:t>OCC/NOAC discussed (in their Initial Brief) the numerous ways that the stipulated electric security plan violates Ohio law, along with policies and regulations that were intended to provide consumers benefits from the competitive market.</w:t>
      </w:r>
      <w:r w:rsidRPr="005A6964">
        <w:rPr>
          <w:szCs w:val="24"/>
          <w:vertAlign w:val="superscript"/>
        </w:rPr>
        <w:footnoteReference w:id="467"/>
      </w:r>
      <w:r w:rsidRPr="005A6964">
        <w:rPr>
          <w:szCs w:val="24"/>
        </w:rPr>
        <w:t xml:space="preserve">  Further discussion is also presented in this Reply brief. </w:t>
      </w:r>
    </w:p>
    <w:p w:rsidR="004B18FD" w:rsidRPr="005A6964" w:rsidRDefault="004B18FD" w:rsidP="005A6964">
      <w:pPr>
        <w:spacing w:after="0" w:line="480" w:lineRule="auto"/>
        <w:rPr>
          <w:szCs w:val="24"/>
        </w:rPr>
      </w:pPr>
      <w:r w:rsidRPr="005A6964">
        <w:rPr>
          <w:szCs w:val="24"/>
        </w:rPr>
        <w:tab/>
        <w:t>A number of signatory parties allege that the Stipulation satisfies the third prong.</w:t>
      </w:r>
      <w:r w:rsidRPr="005A6964">
        <w:rPr>
          <w:szCs w:val="24"/>
          <w:vertAlign w:val="superscript"/>
        </w:rPr>
        <w:footnoteReference w:id="468"/>
      </w:r>
      <w:r w:rsidRPr="005A6964">
        <w:rPr>
          <w:szCs w:val="24"/>
        </w:rPr>
        <w:t xml:space="preserve"> Both Kroger and the PUCO Staff allege that none of the individual provision</w:t>
      </w:r>
      <w:r w:rsidR="00F71B3D" w:rsidRPr="005A6964">
        <w:rPr>
          <w:szCs w:val="24"/>
        </w:rPr>
        <w:t>s</w:t>
      </w:r>
      <w:r w:rsidRPr="005A6964">
        <w:rPr>
          <w:szCs w:val="24"/>
        </w:rPr>
        <w:t xml:space="preserve"> is inconsistent with or violates any important Commission principles or policies.</w:t>
      </w:r>
      <w:r w:rsidRPr="005A6964">
        <w:rPr>
          <w:szCs w:val="24"/>
          <w:vertAlign w:val="superscript"/>
        </w:rPr>
        <w:footnoteReference w:id="469"/>
      </w:r>
      <w:r w:rsidRPr="005A6964">
        <w:rPr>
          <w:szCs w:val="24"/>
        </w:rPr>
        <w:t xml:space="preserve"> </w:t>
      </w:r>
      <w:r w:rsidRPr="005A6964">
        <w:rPr>
          <w:szCs w:val="24"/>
        </w:rPr>
        <w:tab/>
        <w:t xml:space="preserve">But their analysis, like other signatory parties' analysis, is far from complete.  </w:t>
      </w:r>
    </w:p>
    <w:p w:rsidR="004B18FD" w:rsidRPr="005A6964" w:rsidRDefault="004B18FD" w:rsidP="004B18FD">
      <w:pPr>
        <w:spacing w:after="0" w:line="480" w:lineRule="auto"/>
        <w:rPr>
          <w:szCs w:val="24"/>
        </w:rPr>
      </w:pPr>
      <w:r w:rsidRPr="005A6964">
        <w:rPr>
          <w:szCs w:val="24"/>
        </w:rPr>
        <w:tab/>
        <w:t xml:space="preserve">What the signatory parties do not address is more telling than what they do.  Neither Kroger nor the PUCO Staff bothered to address arguments over the many statutes violated by the stipulations, as briefed by OCC/NOAC.  Those statutes violated by the stipulated electric security plan include R.C. 4928.38, 4928.02(A), 4928.02(C), 4928.02(H), </w:t>
      </w:r>
      <w:r w:rsidR="00F71B3D" w:rsidRPr="005A6964">
        <w:rPr>
          <w:szCs w:val="24"/>
        </w:rPr>
        <w:t xml:space="preserve">and </w:t>
      </w:r>
      <w:r w:rsidRPr="005A6964">
        <w:rPr>
          <w:szCs w:val="24"/>
        </w:rPr>
        <w:t>4928.02(N).  And like all the other signatory parties, they failed to  address the Utilities' failure to meet the "four AEP factors"--factors that Dr. Choue</w:t>
      </w:r>
      <w:r w:rsidR="00037F6E" w:rsidRPr="005A6964">
        <w:rPr>
          <w:szCs w:val="24"/>
        </w:rPr>
        <w:t>i</w:t>
      </w:r>
      <w:r w:rsidRPr="005A6964">
        <w:rPr>
          <w:szCs w:val="24"/>
        </w:rPr>
        <w:t>ki described as necessary, but not sufficient for the PUCO to authorize Rider RRS.</w:t>
      </w:r>
      <w:r w:rsidRPr="005A6964">
        <w:rPr>
          <w:szCs w:val="24"/>
          <w:vertAlign w:val="superscript"/>
        </w:rPr>
        <w:footnoteReference w:id="470"/>
      </w:r>
      <w:r w:rsidRPr="005A6964">
        <w:rPr>
          <w:szCs w:val="24"/>
        </w:rPr>
        <w:t xml:space="preserve">  They, like the other signatory parties, do not address the sufficient factors -- additional factors that should be met in order to approve a mechanism like Rider RRS.  Nor did PUCO Staff, Kroger, or any of the signatory parties explain how the Government Directives Rider, the excessive return on equity, the grid modernization provisions, the resource diversification provisions, and the move to straight fixed variable rate design are consistent with PUCO policy or practice.  They are not. And the Signatory Parties failed to </w:t>
      </w:r>
      <w:r w:rsidR="00F71B3D" w:rsidRPr="005A6964">
        <w:rPr>
          <w:szCs w:val="24"/>
        </w:rPr>
        <w:t>address</w:t>
      </w:r>
      <w:r w:rsidRPr="005A6964">
        <w:rPr>
          <w:szCs w:val="24"/>
        </w:rPr>
        <w:t xml:space="preserve"> the unjust and unreasonable rates customers will have to pay, in violation of R.C. 4905.22.  To take the signatory parties' word that the stipulation does not violate provisions of the stipulation would be folly.  </w:t>
      </w:r>
    </w:p>
    <w:p w:rsidR="004B18FD" w:rsidRPr="005A6964" w:rsidRDefault="004B18FD" w:rsidP="004B18FD">
      <w:pPr>
        <w:spacing w:after="0" w:line="480" w:lineRule="auto"/>
        <w:rPr>
          <w:szCs w:val="24"/>
        </w:rPr>
      </w:pPr>
      <w:r w:rsidRPr="005A6964">
        <w:rPr>
          <w:szCs w:val="24"/>
        </w:rPr>
        <w:tab/>
        <w:t xml:space="preserve">FirstEnergy, OEG and NUCOR put forth more effort than both the Staff and Kroger in this regard, but still come up short in proving that the </w:t>
      </w:r>
      <w:r w:rsidR="00F71B3D" w:rsidRPr="005A6964">
        <w:rPr>
          <w:szCs w:val="24"/>
        </w:rPr>
        <w:t>s</w:t>
      </w:r>
      <w:r w:rsidRPr="005A6964">
        <w:rPr>
          <w:szCs w:val="24"/>
        </w:rPr>
        <w:t>tipulat</w:t>
      </w:r>
      <w:r w:rsidR="00F71B3D" w:rsidRPr="005A6964">
        <w:rPr>
          <w:szCs w:val="24"/>
        </w:rPr>
        <w:t>ed ESP</w:t>
      </w:r>
      <w:r w:rsidRPr="005A6964">
        <w:rPr>
          <w:szCs w:val="24"/>
        </w:rPr>
        <w:t xml:space="preserve"> does not violate PUCO policies and precedent.</w:t>
      </w:r>
      <w:r w:rsidRPr="005A6964">
        <w:rPr>
          <w:szCs w:val="24"/>
          <w:vertAlign w:val="superscript"/>
        </w:rPr>
        <w:footnoteReference w:id="471"/>
      </w:r>
      <w:r w:rsidRPr="005A6964">
        <w:rPr>
          <w:szCs w:val="24"/>
        </w:rPr>
        <w:t xml:space="preserve">  A common theme among the briefs of these three signatory parties is that Rider RRS is authorized under Ohio law.</w:t>
      </w:r>
      <w:r w:rsidRPr="005A6964">
        <w:rPr>
          <w:szCs w:val="24"/>
          <w:vertAlign w:val="superscript"/>
        </w:rPr>
        <w:footnoteReference w:id="472"/>
      </w:r>
      <w:r w:rsidRPr="005A6964">
        <w:rPr>
          <w:szCs w:val="24"/>
        </w:rPr>
        <w:t xml:space="preserve">  This argument was </w:t>
      </w:r>
      <w:r w:rsidR="00F71B3D" w:rsidRPr="005A6964">
        <w:rPr>
          <w:szCs w:val="24"/>
        </w:rPr>
        <w:t>addressed in this brief earlier</w:t>
      </w:r>
      <w:r w:rsidRPr="005A6964">
        <w:rPr>
          <w:szCs w:val="24"/>
        </w:rPr>
        <w:t xml:space="preserve"> and will not be repeated here.  </w:t>
      </w:r>
    </w:p>
    <w:p w:rsidR="004B18FD" w:rsidRPr="005A6964" w:rsidRDefault="004B18FD" w:rsidP="004B18FD">
      <w:pPr>
        <w:spacing w:after="0" w:line="480" w:lineRule="auto"/>
        <w:rPr>
          <w:szCs w:val="24"/>
        </w:rPr>
      </w:pPr>
      <w:r w:rsidRPr="005A6964">
        <w:rPr>
          <w:szCs w:val="24"/>
        </w:rPr>
        <w:tab/>
        <w:t>OEG also alleges that Rider RR</w:t>
      </w:r>
      <w:r w:rsidR="00763303" w:rsidRPr="005A6964">
        <w:rPr>
          <w:szCs w:val="24"/>
        </w:rPr>
        <w:t>S</w:t>
      </w:r>
      <w:r w:rsidRPr="005A6964">
        <w:rPr>
          <w:szCs w:val="24"/>
        </w:rPr>
        <w:t xml:space="preserve"> is not preempted by FERC's jurisdiction.</w:t>
      </w:r>
      <w:r w:rsidRPr="005A6964">
        <w:rPr>
          <w:szCs w:val="24"/>
          <w:vertAlign w:val="superscript"/>
        </w:rPr>
        <w:footnoteReference w:id="473"/>
      </w:r>
    </w:p>
    <w:p w:rsidR="004B18FD" w:rsidRPr="005A6964" w:rsidRDefault="004B18FD" w:rsidP="004B18FD">
      <w:pPr>
        <w:spacing w:after="0" w:line="480" w:lineRule="auto"/>
        <w:rPr>
          <w:szCs w:val="24"/>
        </w:rPr>
      </w:pPr>
      <w:r w:rsidRPr="005A6964">
        <w:rPr>
          <w:szCs w:val="24"/>
        </w:rPr>
        <w:t xml:space="preserve">These arguments as well are addressed in a separate portion of this brief. </w:t>
      </w:r>
    </w:p>
    <w:p w:rsidR="004B18FD" w:rsidRPr="005A6964" w:rsidRDefault="004B18FD" w:rsidP="004B18FD">
      <w:pPr>
        <w:spacing w:after="0" w:line="480" w:lineRule="auto"/>
        <w:rPr>
          <w:szCs w:val="24"/>
        </w:rPr>
      </w:pPr>
      <w:r w:rsidRPr="005A6964">
        <w:rPr>
          <w:szCs w:val="24"/>
        </w:rPr>
        <w:tab/>
        <w:t>OEG's remaining arguments are that Rider RRS is not an anti-competitive subsidy that is prohibited by 4928.02(H), and that the PUCO has authority under R.C. 4928.02 to ensure the adequacy and reliability of electric service in Ohio.</w:t>
      </w:r>
      <w:r w:rsidRPr="005A6964">
        <w:rPr>
          <w:szCs w:val="24"/>
          <w:vertAlign w:val="superscript"/>
        </w:rPr>
        <w:footnoteReference w:id="474"/>
      </w:r>
      <w:r w:rsidRPr="005A6964">
        <w:rPr>
          <w:szCs w:val="24"/>
        </w:rPr>
        <w:t xml:space="preserve">  The PUCO should not be persuaded by such arguments as they are not well founded and are contradicted by the record in this case.</w:t>
      </w:r>
      <w:r w:rsidRPr="005A6964">
        <w:rPr>
          <w:szCs w:val="24"/>
        </w:rPr>
        <w:tab/>
        <w:t xml:space="preserve"> </w:t>
      </w:r>
    </w:p>
    <w:p w:rsidR="004B18FD" w:rsidRPr="005A6964" w:rsidRDefault="004B18FD" w:rsidP="004B18FD">
      <w:pPr>
        <w:spacing w:after="0" w:line="480" w:lineRule="auto"/>
        <w:rPr>
          <w:szCs w:val="24"/>
        </w:rPr>
      </w:pPr>
      <w:r w:rsidRPr="005A6964">
        <w:rPr>
          <w:szCs w:val="24"/>
        </w:rPr>
        <w:tab/>
      </w:r>
      <w:r w:rsidR="00463ACF" w:rsidRPr="005A6964">
        <w:rPr>
          <w:szCs w:val="24"/>
        </w:rPr>
        <w:t>While OEG claims that there is no subsidy because customers are getting something,</w:t>
      </w:r>
      <w:r w:rsidR="00463ACF" w:rsidRPr="005A6964">
        <w:rPr>
          <w:rStyle w:val="FootnoteReference"/>
          <w:szCs w:val="24"/>
        </w:rPr>
        <w:footnoteReference w:id="475"/>
      </w:r>
      <w:r w:rsidR="00463ACF" w:rsidRPr="005A6964">
        <w:rPr>
          <w:szCs w:val="24"/>
        </w:rPr>
        <w:t xml:space="preserve"> that argument is not well made.  </w:t>
      </w:r>
      <w:r w:rsidRPr="005A6964">
        <w:rPr>
          <w:szCs w:val="24"/>
        </w:rPr>
        <w:t>The definition of a subsidy is money that is paid usually by a government to keep the price of a product or service low or to help a business or organization to continue to function.</w:t>
      </w:r>
      <w:r w:rsidRPr="005A6964">
        <w:rPr>
          <w:szCs w:val="24"/>
          <w:vertAlign w:val="superscript"/>
        </w:rPr>
        <w:footnoteReference w:id="476"/>
      </w:r>
      <w:r w:rsidRPr="005A6964">
        <w:rPr>
          <w:szCs w:val="24"/>
        </w:rPr>
        <w:t xml:space="preserve">  Here the PUCO (government) would require customers to pay for the full price of generation (vs. market price) so that FirstEnergy Solutions</w:t>
      </w:r>
      <w:r w:rsidR="00F71B3D" w:rsidRPr="005A6964">
        <w:rPr>
          <w:szCs w:val="24"/>
        </w:rPr>
        <w:t xml:space="preserve"> (unregulated subsidiary of FirstEnergy) </w:t>
      </w:r>
      <w:r w:rsidRPr="005A6964">
        <w:rPr>
          <w:szCs w:val="24"/>
        </w:rPr>
        <w:t xml:space="preserve">can continue to operate Davis Besse and </w:t>
      </w:r>
      <w:r w:rsidR="007C0207" w:rsidRPr="005A6964">
        <w:rPr>
          <w:szCs w:val="24"/>
        </w:rPr>
        <w:t>WH Sammis</w:t>
      </w:r>
      <w:r w:rsidRPr="005A6964">
        <w:rPr>
          <w:szCs w:val="24"/>
        </w:rPr>
        <w:t>.  The fact that customers may receive something in return for $3.6 billion worth of subsidies does not change the fact that this is a subsidy.  A subsidy is a subsidy.  Rather any "benefits," if they occur, weigh into whether the subsidy can in some sense be conside</w:t>
      </w:r>
      <w:r w:rsidR="00F71B3D" w:rsidRPr="005A6964">
        <w:rPr>
          <w:szCs w:val="24"/>
        </w:rPr>
        <w:t>red "reasonable."  And OCC/NOAC</w:t>
      </w:r>
      <w:r w:rsidRPr="005A6964">
        <w:rPr>
          <w:szCs w:val="24"/>
        </w:rPr>
        <w:t xml:space="preserve"> have presented arguments explaining how benefits from Rider RRS are overstated, illusory, or harmful.  Thus, the subsidy exists and is not reasonable, contrary to OEG assertions otherwise.</w:t>
      </w:r>
    </w:p>
    <w:p w:rsidR="004B18FD" w:rsidRPr="005A6964" w:rsidRDefault="004B18FD" w:rsidP="00463ACF">
      <w:pPr>
        <w:spacing w:after="0" w:line="480" w:lineRule="auto"/>
        <w:rPr>
          <w:szCs w:val="24"/>
        </w:rPr>
      </w:pPr>
      <w:r w:rsidRPr="005A6964">
        <w:rPr>
          <w:szCs w:val="24"/>
        </w:rPr>
        <w:tab/>
        <w:t xml:space="preserve">    OEG's claim that the subsidy is not anti-competitive</w:t>
      </w:r>
      <w:r w:rsidR="00463ACF" w:rsidRPr="005A6964">
        <w:rPr>
          <w:rStyle w:val="FootnoteReference"/>
          <w:szCs w:val="24"/>
        </w:rPr>
        <w:footnoteReference w:id="477"/>
      </w:r>
      <w:r w:rsidRPr="005A6964">
        <w:rPr>
          <w:szCs w:val="24"/>
        </w:rPr>
        <w:t xml:space="preserve"> because it does not impact the SSO auctions is wrong.  The record in this case reflects that even though Rider RRS is a financial transaction, where the physical supply of power will be unaffected, it has an indisputable impact on offerings into the PJM market.  IMM Witness Bowering identified the subsidy as a mechanism making it difficult or impossible for other generating units (without subsides) to compete in the market.</w:t>
      </w:r>
      <w:r w:rsidRPr="005A6964">
        <w:rPr>
          <w:szCs w:val="24"/>
          <w:vertAlign w:val="superscript"/>
        </w:rPr>
        <w:footnoteReference w:id="478"/>
      </w:r>
      <w:r w:rsidRPr="005A6964">
        <w:rPr>
          <w:szCs w:val="24"/>
        </w:rPr>
        <w:t xml:space="preserve">  </w:t>
      </w:r>
    </w:p>
    <w:p w:rsidR="004B18FD" w:rsidRPr="005A6964" w:rsidRDefault="004B18FD" w:rsidP="004B18FD">
      <w:pPr>
        <w:spacing w:after="0" w:line="480" w:lineRule="auto"/>
        <w:rPr>
          <w:szCs w:val="24"/>
        </w:rPr>
      </w:pPr>
      <w:r w:rsidRPr="005A6964">
        <w:rPr>
          <w:szCs w:val="24"/>
        </w:rPr>
        <w:tab/>
        <w:t xml:space="preserve"> Neither R.C. 4928.02 nor any other provision of the Ohio Revised Code gives the PUCO authority to approve Rider RRS.   While the PUCO may take actions to ensure adequacy and reliability of electric service, its actions must be grounded in specific statutory authority and must not conflict with other laws.  As explained in another section of this Brief, the law does not permit Rider RRS to be approved</w:t>
      </w:r>
      <w:r w:rsidR="00463ACF" w:rsidRPr="005A6964">
        <w:rPr>
          <w:szCs w:val="24"/>
        </w:rPr>
        <w:t xml:space="preserve">.  The PUCO should not </w:t>
      </w:r>
      <w:r w:rsidR="00C37996" w:rsidRPr="005A6964">
        <w:rPr>
          <w:szCs w:val="24"/>
        </w:rPr>
        <w:t>meddl</w:t>
      </w:r>
      <w:r w:rsidR="00463ACF" w:rsidRPr="005A6964">
        <w:rPr>
          <w:szCs w:val="24"/>
        </w:rPr>
        <w:t>e</w:t>
      </w:r>
      <w:r w:rsidR="00C37996" w:rsidRPr="005A6964">
        <w:rPr>
          <w:szCs w:val="24"/>
        </w:rPr>
        <w:t xml:space="preserve"> in wholesale transactions</w:t>
      </w:r>
      <w:r w:rsidR="00463ACF" w:rsidRPr="005A6964">
        <w:rPr>
          <w:szCs w:val="24"/>
        </w:rPr>
        <w:t>.</w:t>
      </w:r>
      <w:r w:rsidRPr="005A6964">
        <w:rPr>
          <w:szCs w:val="24"/>
        </w:rPr>
        <w:t xml:space="preserve">  And approving Rider RRS conflicts with other statutory provisions, including, but not limited to, R.C. 4928.38.  The PUCO should reject Rider RRS.  </w:t>
      </w:r>
    </w:p>
    <w:p w:rsidR="009F7F73" w:rsidRPr="005A6964" w:rsidRDefault="009F7F73" w:rsidP="009F7F73">
      <w:pPr>
        <w:pStyle w:val="Heading2"/>
      </w:pPr>
      <w:bookmarkStart w:id="62" w:name="_Toc444269048"/>
      <w:r w:rsidRPr="005A6964">
        <w:t>C.</w:t>
      </w:r>
      <w:r w:rsidRPr="005A6964">
        <w:tab/>
      </w:r>
      <w:r w:rsidR="005E32A7" w:rsidRPr="005A6964">
        <w:t>T</w:t>
      </w:r>
      <w:r w:rsidRPr="005A6964">
        <w:t xml:space="preserve">he Commission </w:t>
      </w:r>
      <w:r w:rsidR="0022506D" w:rsidRPr="005A6964">
        <w:t xml:space="preserve">should not rule on </w:t>
      </w:r>
      <w:r w:rsidRPr="005A6964">
        <w:t>FirstEnergy’s electric security plan</w:t>
      </w:r>
      <w:r w:rsidR="0022506D" w:rsidRPr="005A6964">
        <w:t xml:space="preserve"> proposal, in accordance with </w:t>
      </w:r>
      <w:r w:rsidRPr="005A6964">
        <w:t xml:space="preserve"> OCC's/NOAC’s recommendations to protect Ohio consumers</w:t>
      </w:r>
      <w:r w:rsidR="0022506D" w:rsidRPr="005A6964">
        <w:t xml:space="preserve"> until </w:t>
      </w:r>
      <w:r w:rsidRPr="005A6964">
        <w:t>FERC makes a relevant determination</w:t>
      </w:r>
      <w:r w:rsidR="0022506D" w:rsidRPr="005A6964">
        <w:t xml:space="preserve"> regarding the proposed PPA transaction</w:t>
      </w:r>
      <w:r w:rsidRPr="005A6964">
        <w:t>.</w:t>
      </w:r>
      <w:bookmarkEnd w:id="62"/>
    </w:p>
    <w:p w:rsidR="00140A0F" w:rsidRPr="005A6964" w:rsidRDefault="009F7F73" w:rsidP="009F7F73">
      <w:pPr>
        <w:spacing w:after="0" w:line="480" w:lineRule="auto"/>
        <w:ind w:firstLine="720"/>
        <w:rPr>
          <w:rFonts w:cs="Times New Roman"/>
          <w:szCs w:val="24"/>
        </w:rPr>
      </w:pPr>
      <w:r w:rsidRPr="005A6964">
        <w:rPr>
          <w:rFonts w:cs="Times New Roman"/>
          <w:szCs w:val="24"/>
        </w:rPr>
        <w:t>OCC/NOAC recommended that the PUCO not rule on the FirstEnergy ESP Case until the FERC rules on the January 27, 2016, Electric Power Supply Association, et al. filed complaints against FirstEnergy and FES,</w:t>
      </w:r>
      <w:r w:rsidRPr="005A6964">
        <w:rPr>
          <w:rFonts w:cs="Times New Roman"/>
          <w:szCs w:val="24"/>
          <w:vertAlign w:val="superscript"/>
        </w:rPr>
        <w:footnoteReference w:id="479"/>
      </w:r>
      <w:r w:rsidRPr="005A6964">
        <w:rPr>
          <w:rFonts w:cs="Times New Roman"/>
          <w:szCs w:val="24"/>
        </w:rPr>
        <w:t xml:space="preserve">  as well as, AEP Generation Resources and Ohio Power Company</w:t>
      </w:r>
      <w:r w:rsidRPr="005A6964">
        <w:rPr>
          <w:rFonts w:cs="Times New Roman"/>
          <w:szCs w:val="24"/>
          <w:vertAlign w:val="superscript"/>
        </w:rPr>
        <w:footnoteReference w:id="480"/>
      </w:r>
      <w:r w:rsidRPr="005A6964">
        <w:rPr>
          <w:rFonts w:cs="Times New Roman"/>
          <w:szCs w:val="24"/>
        </w:rPr>
        <w:t xml:space="preserve"> (“EPSA Complaints”).  EPSA asked FERC to review FirstEnergy’s affiliate agreement with its generating affiliate (“PPA”) to ensure against competitive abuse and to protect consumers from unjust and unreasonable charges.  </w:t>
      </w:r>
    </w:p>
    <w:p w:rsidR="009F7F73" w:rsidRPr="005A6964" w:rsidRDefault="009F7F73" w:rsidP="009F7F73">
      <w:pPr>
        <w:spacing w:after="0" w:line="480" w:lineRule="auto"/>
        <w:ind w:firstLine="720"/>
        <w:rPr>
          <w:rFonts w:cs="Times New Roman"/>
          <w:szCs w:val="24"/>
        </w:rPr>
      </w:pPr>
      <w:r w:rsidRPr="005A6964">
        <w:rPr>
          <w:rFonts w:cs="Times New Roman"/>
          <w:szCs w:val="24"/>
        </w:rPr>
        <w:t>OEG anticipated that parties opposing Rider RRS might make such arguments.  To counter such arguments, OEG proposed the PUCO make the following express findings:</w:t>
      </w:r>
    </w:p>
    <w:p w:rsidR="009F7F73" w:rsidRPr="005A6964" w:rsidRDefault="009F7F73" w:rsidP="009F7F73">
      <w:pPr>
        <w:autoSpaceDE w:val="0"/>
        <w:autoSpaceDN w:val="0"/>
        <w:adjustRightInd w:val="0"/>
        <w:spacing w:after="0" w:line="240" w:lineRule="auto"/>
        <w:ind w:left="1440" w:right="720"/>
        <w:rPr>
          <w:rFonts w:cs="Times New Roman"/>
          <w:szCs w:val="24"/>
        </w:rPr>
      </w:pPr>
      <w:r w:rsidRPr="005A6964">
        <w:rPr>
          <w:rFonts w:cs="Times New Roman"/>
          <w:szCs w:val="24"/>
        </w:rPr>
        <w:t>Some parties argue that the PPA may violate FERC’s Edgar standards for affiliate transactions, alleging that the costs of the PPA are higher than what FirstEnergy would pay at market. In fact, on January 27, 2016, a complaint was filed at FERC collaterally attacking this proceeding by requesting that FERC rescind FirstEnergy Corporation’s affiliate power sales waiver and undertake the same review process to allegedly protect Ohio consumers as this Commission). The FERC complainants, many of whom are also parties to this case, apparently feel that this Commission is ill-equipped to protect Ohio customers through the conditions it imposes for RRS Rider approval. It is important that this Commission demonstrate to the public, to FERC, and to the courts that its review and approval process is consistent with state law and will result in rates that are stable, just, and reasonable. To that end, and in addition to all of the other benefits contained in the Stipulation, FirstEnergy’s projections demonstrate that the costs of the PPA are estimated to be below-market over the eight-year term of the PPA. Consequently, the Commission should make an express finding that the most credible evidence demonstrates that the long-term costs of the PPA are projected to be below-market. Similarly, the Commission should make two additional findings to avert potential Edgar arguments. First, the Commission should make an express finding that FirstEnergy’s customers are not “captive” given that there is retail competition in Ohio. Second, the Commission should expressly find that FirstEnergy’s Rider RRS proposal is consistent with Ohio corporate separation laws and that there is no definitive evidence of affiliate abuse within the record of this case.</w:t>
      </w:r>
      <w:r w:rsidRPr="005A6964">
        <w:rPr>
          <w:rFonts w:cs="Times New Roman"/>
          <w:szCs w:val="24"/>
          <w:vertAlign w:val="superscript"/>
        </w:rPr>
        <w:footnoteReference w:id="481"/>
      </w:r>
    </w:p>
    <w:p w:rsidR="009F7F73" w:rsidRPr="005A6964" w:rsidRDefault="009F7F73" w:rsidP="009F7F73">
      <w:pPr>
        <w:autoSpaceDE w:val="0"/>
        <w:autoSpaceDN w:val="0"/>
        <w:adjustRightInd w:val="0"/>
        <w:spacing w:after="0" w:line="240" w:lineRule="auto"/>
        <w:ind w:left="1440"/>
        <w:rPr>
          <w:rFonts w:cs="Times New Roman"/>
          <w:sz w:val="21"/>
          <w:szCs w:val="21"/>
        </w:rPr>
      </w:pPr>
    </w:p>
    <w:p w:rsidR="009F7F73" w:rsidRPr="005A6964" w:rsidRDefault="009F7F73" w:rsidP="00FA4DF6">
      <w:pPr>
        <w:autoSpaceDE w:val="0"/>
        <w:autoSpaceDN w:val="0"/>
        <w:adjustRightInd w:val="0"/>
        <w:spacing w:after="0" w:line="480" w:lineRule="auto"/>
        <w:rPr>
          <w:rFonts w:cs="Times New Roman"/>
          <w:szCs w:val="24"/>
        </w:rPr>
      </w:pPr>
      <w:r w:rsidRPr="005A6964">
        <w:rPr>
          <w:rFonts w:cs="Times New Roman"/>
          <w:szCs w:val="24"/>
        </w:rPr>
        <w:t>The PUCO should not make such express findings, and instead await FERC action in the EPSA Complaints.</w:t>
      </w:r>
    </w:p>
    <w:p w:rsidR="009F7F73" w:rsidRPr="005A6964" w:rsidRDefault="009F7F73" w:rsidP="00FA4DF6">
      <w:pPr>
        <w:spacing w:after="0" w:line="480" w:lineRule="auto"/>
        <w:ind w:firstLine="720"/>
        <w:rPr>
          <w:rFonts w:cs="Times New Roman"/>
          <w:szCs w:val="24"/>
        </w:rPr>
      </w:pPr>
      <w:r w:rsidRPr="005A6964">
        <w:rPr>
          <w:rFonts w:cs="Times New Roman"/>
          <w:szCs w:val="24"/>
        </w:rPr>
        <w:t xml:space="preserve">EPSA is asking FERC to rescind a waiver of the corporate affiliate power sales restrictions previously granted to FirstEnergy, because FERC did not grant the waiver contemplating the current circumstances of the PPA. Rescinding the waiver granted to the FirstEnergy and AEP makes sense because FERC’s core responsibility is </w:t>
      </w:r>
      <w:r w:rsidR="00140A0F" w:rsidRPr="005A6964">
        <w:rPr>
          <w:rFonts w:cs="Times New Roman"/>
          <w:szCs w:val="24"/>
        </w:rPr>
        <w:t>to</w:t>
      </w:r>
      <w:r w:rsidRPr="005A6964">
        <w:rPr>
          <w:rFonts w:cs="Times New Roman"/>
          <w:szCs w:val="24"/>
        </w:rPr>
        <w:t>: "guard the consumer from exploitation by non-competitive electric power companies.”</w:t>
      </w:r>
      <w:r w:rsidRPr="005A6964">
        <w:rPr>
          <w:rFonts w:cs="Times New Roman"/>
          <w:szCs w:val="24"/>
          <w:vertAlign w:val="superscript"/>
        </w:rPr>
        <w:footnoteReference w:id="482"/>
      </w:r>
      <w:r w:rsidRPr="005A6964">
        <w:rPr>
          <w:rFonts w:cs="Times New Roman"/>
          <w:szCs w:val="24"/>
        </w:rPr>
        <w:t xml:space="preserve">  Naturally, FERC does not need to concern itself with affiliate abuse when “non-traditional” affiliates without captive customers are involved.</w:t>
      </w:r>
      <w:r w:rsidRPr="005A6964">
        <w:rPr>
          <w:rFonts w:cs="Times New Roman"/>
          <w:szCs w:val="24"/>
          <w:vertAlign w:val="superscript"/>
        </w:rPr>
        <w:footnoteReference w:id="483"/>
      </w:r>
      <w:r w:rsidRPr="005A6964">
        <w:rPr>
          <w:rFonts w:cs="Times New Roman"/>
          <w:szCs w:val="24"/>
        </w:rPr>
        <w:t xml:space="preserve">  However, that is not the situation in this case, and is contrary to the express findings OEG asks the PUCO to make.</w:t>
      </w:r>
    </w:p>
    <w:p w:rsidR="009F7F73" w:rsidRPr="005A6964" w:rsidRDefault="009F7F73" w:rsidP="009F7F73">
      <w:pPr>
        <w:pStyle w:val="Heading3"/>
      </w:pPr>
      <w:bookmarkStart w:id="63" w:name="_Toc444269049"/>
      <w:r w:rsidRPr="005A6964">
        <w:t>1.</w:t>
      </w:r>
      <w:r w:rsidRPr="005A6964">
        <w:tab/>
        <w:t>The most credible evidence does not show that the long-term costs of the PPA will be below market.</w:t>
      </w:r>
      <w:bookmarkEnd w:id="63"/>
    </w:p>
    <w:p w:rsidR="009F7F73" w:rsidRPr="005A6964" w:rsidRDefault="009F7F73" w:rsidP="009F7F73">
      <w:pPr>
        <w:spacing w:after="0" w:line="480" w:lineRule="auto"/>
        <w:ind w:firstLine="720"/>
        <w:rPr>
          <w:rFonts w:cs="Times New Roman"/>
          <w:szCs w:val="24"/>
        </w:rPr>
      </w:pPr>
      <w:r w:rsidRPr="005A6964">
        <w:rPr>
          <w:rFonts w:cs="Times New Roman"/>
          <w:szCs w:val="24"/>
        </w:rPr>
        <w:t>OEG implores the PUCO to find that the most credible evidence demonstrates that that the long-term costs of the PPA are projected to be below market.</w:t>
      </w:r>
      <w:r w:rsidRPr="005A6964">
        <w:rPr>
          <w:rFonts w:cs="Times New Roman"/>
          <w:szCs w:val="24"/>
          <w:vertAlign w:val="superscript"/>
        </w:rPr>
        <w:footnoteReference w:id="484"/>
      </w:r>
      <w:r w:rsidRPr="005A6964">
        <w:rPr>
          <w:rFonts w:cs="Times New Roman"/>
          <w:szCs w:val="24"/>
        </w:rPr>
        <w:t xml:space="preserve">  For the PUCO to make such a finding requires the PUCO to rely on FirstEnergy’s projections.  That reliance would be unjust and unreasonable.</w:t>
      </w:r>
    </w:p>
    <w:p w:rsidR="009F7F73" w:rsidRPr="005A6964" w:rsidRDefault="009F7F73" w:rsidP="009F7F73">
      <w:pPr>
        <w:autoSpaceDE w:val="0"/>
        <w:autoSpaceDN w:val="0"/>
        <w:adjustRightInd w:val="0"/>
        <w:spacing w:after="0" w:line="480" w:lineRule="auto"/>
        <w:ind w:firstLine="720"/>
        <w:rPr>
          <w:rFonts w:cs="Times New Roman"/>
          <w:szCs w:val="24"/>
        </w:rPr>
      </w:pPr>
      <w:r w:rsidRPr="005A6964">
        <w:rPr>
          <w:rFonts w:cs="Times New Roman"/>
          <w:szCs w:val="24"/>
        </w:rPr>
        <w:t xml:space="preserve">There are at least two reasons why FirstEnergy’s projections should be surrounded in distrust. First, because FES (and presumably shareholders and investors) is unwilling to bear that risk, there is no rational reason for why FirstEnergy's customers should be obligated to do so. If a couple years of losses could lead to a $420 million benefit, there is no rational reason why the shareholders would not insist on keeping that for themselves.  Second, the benefit projected by FirstEnergy is based upon energy prices from </w:t>
      </w:r>
      <w:r w:rsidR="00140A0F" w:rsidRPr="005A6964">
        <w:rPr>
          <w:rFonts w:cs="Times New Roman"/>
          <w:szCs w:val="24"/>
        </w:rPr>
        <w:t xml:space="preserve">before </w:t>
      </w:r>
      <w:r w:rsidRPr="005A6964">
        <w:rPr>
          <w:rFonts w:cs="Times New Roman"/>
          <w:szCs w:val="24"/>
        </w:rPr>
        <w:t xml:space="preserve">August 2014, when the Application was filed.  FirstEnergy witness Rose has not updated his market price estimates for more current activity. </w:t>
      </w:r>
    </w:p>
    <w:p w:rsidR="009F7F73" w:rsidRPr="005A6964" w:rsidRDefault="009F7F73" w:rsidP="009F7F73">
      <w:pPr>
        <w:spacing w:after="0" w:line="480" w:lineRule="auto"/>
        <w:ind w:firstLine="720"/>
        <w:rPr>
          <w:rFonts w:cs="Times New Roman"/>
          <w:szCs w:val="24"/>
        </w:rPr>
      </w:pPr>
      <w:r w:rsidRPr="005A6964">
        <w:rPr>
          <w:rFonts w:cs="Times New Roman"/>
          <w:szCs w:val="24"/>
        </w:rPr>
        <w:t xml:space="preserve">With regards to projections, Staff witness Choueiki had an interesting observation on forecasts and their reliability after three years. </w:t>
      </w:r>
      <w:r w:rsidR="00140A0F" w:rsidRPr="005A6964">
        <w:rPr>
          <w:rFonts w:cs="Times New Roman"/>
          <w:szCs w:val="24"/>
        </w:rPr>
        <w:t xml:space="preserve">His observation underlied his filed recommendation to limit customers exposure to Rider RRS to no more than three years.  position that limited the  </w:t>
      </w:r>
      <w:r w:rsidRPr="005A6964">
        <w:rPr>
          <w:rFonts w:cs="Times New Roman"/>
          <w:szCs w:val="24"/>
        </w:rPr>
        <w:t xml:space="preserve"> On cross-examination Dr. Choueiki stated:</w:t>
      </w:r>
    </w:p>
    <w:p w:rsidR="009F7F73" w:rsidRPr="005A6964" w:rsidRDefault="009F7F73" w:rsidP="009F7F73">
      <w:pPr>
        <w:autoSpaceDE w:val="0"/>
        <w:autoSpaceDN w:val="0"/>
        <w:adjustRightInd w:val="0"/>
        <w:spacing w:after="0" w:line="240" w:lineRule="auto"/>
        <w:rPr>
          <w:rFonts w:ascii="TTE1DE2AA8t00" w:hAnsi="TTE1DE2AA8t00" w:cs="TTE1DE2AA8t00"/>
          <w:sz w:val="25"/>
          <w:szCs w:val="25"/>
        </w:rPr>
      </w:pPr>
    </w:p>
    <w:p w:rsidR="009F7F73" w:rsidRPr="005A6964" w:rsidRDefault="009F7F73" w:rsidP="00FC4971">
      <w:pPr>
        <w:autoSpaceDE w:val="0"/>
        <w:autoSpaceDN w:val="0"/>
        <w:adjustRightInd w:val="0"/>
        <w:spacing w:after="0" w:line="240" w:lineRule="auto"/>
        <w:ind w:left="2160" w:right="720" w:hanging="720"/>
        <w:rPr>
          <w:rFonts w:cs="Times New Roman"/>
          <w:szCs w:val="24"/>
        </w:rPr>
      </w:pPr>
      <w:r w:rsidRPr="005A6964">
        <w:rPr>
          <w:rFonts w:cs="Times New Roman"/>
          <w:szCs w:val="24"/>
        </w:rPr>
        <w:t xml:space="preserve">Q. </w:t>
      </w:r>
      <w:r w:rsidR="00FC4971" w:rsidRPr="005A6964">
        <w:rPr>
          <w:rFonts w:cs="Times New Roman"/>
          <w:szCs w:val="24"/>
        </w:rPr>
        <w:tab/>
      </w:r>
      <w:r w:rsidRPr="005A6964">
        <w:rPr>
          <w:rFonts w:cs="Times New Roman"/>
          <w:szCs w:val="24"/>
        </w:rPr>
        <w:t>If the projections show</w:t>
      </w:r>
      <w:r w:rsidR="00FC4971" w:rsidRPr="005A6964">
        <w:rPr>
          <w:rFonts w:cs="Times New Roman"/>
          <w:szCs w:val="24"/>
        </w:rPr>
        <w:t xml:space="preserve"> </w:t>
      </w:r>
      <w:r w:rsidRPr="005A6964">
        <w:rPr>
          <w:rFonts w:cs="Times New Roman"/>
          <w:szCs w:val="24"/>
        </w:rPr>
        <w:t>that there is no net benefit -- no net financial</w:t>
      </w:r>
      <w:r w:rsidR="00FC4971" w:rsidRPr="005A6964">
        <w:rPr>
          <w:rFonts w:cs="Times New Roman"/>
          <w:szCs w:val="24"/>
        </w:rPr>
        <w:t xml:space="preserve"> </w:t>
      </w:r>
      <w:r w:rsidRPr="005A6964">
        <w:rPr>
          <w:rFonts w:cs="Times New Roman"/>
          <w:szCs w:val="24"/>
        </w:rPr>
        <w:t>benefit to customers over the initial three years of</w:t>
      </w:r>
      <w:r w:rsidR="00FC4971" w:rsidRPr="005A6964">
        <w:rPr>
          <w:rFonts w:cs="Times New Roman"/>
          <w:szCs w:val="24"/>
        </w:rPr>
        <w:t xml:space="preserve"> </w:t>
      </w:r>
      <w:r w:rsidRPr="005A6964">
        <w:rPr>
          <w:rFonts w:cs="Times New Roman"/>
          <w:szCs w:val="24"/>
        </w:rPr>
        <w:t>the ESP of the -- of the rider, what is the basis for</w:t>
      </w:r>
      <w:r w:rsidR="00FC4971" w:rsidRPr="005A6964">
        <w:rPr>
          <w:rFonts w:cs="Times New Roman"/>
          <w:szCs w:val="24"/>
        </w:rPr>
        <w:t xml:space="preserve"> </w:t>
      </w:r>
      <w:r w:rsidRPr="005A6964">
        <w:rPr>
          <w:rFonts w:cs="Times New Roman"/>
          <w:szCs w:val="24"/>
        </w:rPr>
        <w:t>your recommendation that the rider should be cut off</w:t>
      </w:r>
      <w:r w:rsidR="00FC4971" w:rsidRPr="005A6964">
        <w:rPr>
          <w:rFonts w:cs="Times New Roman"/>
          <w:szCs w:val="24"/>
        </w:rPr>
        <w:t xml:space="preserve"> </w:t>
      </w:r>
      <w:r w:rsidRPr="005A6964">
        <w:rPr>
          <w:rFonts w:cs="Times New Roman"/>
          <w:szCs w:val="24"/>
        </w:rPr>
        <w:t>at the end of three years?</w:t>
      </w:r>
    </w:p>
    <w:p w:rsidR="009F7F73" w:rsidRPr="005A6964" w:rsidRDefault="009F7F73" w:rsidP="009F7F73">
      <w:pPr>
        <w:autoSpaceDE w:val="0"/>
        <w:autoSpaceDN w:val="0"/>
        <w:adjustRightInd w:val="0"/>
        <w:spacing w:after="0" w:line="240" w:lineRule="auto"/>
        <w:rPr>
          <w:rFonts w:cs="Times New Roman"/>
          <w:szCs w:val="24"/>
        </w:rPr>
      </w:pPr>
    </w:p>
    <w:p w:rsidR="009F7F73" w:rsidRPr="005A6964" w:rsidRDefault="009F7F73" w:rsidP="00FE66F7">
      <w:pPr>
        <w:autoSpaceDE w:val="0"/>
        <w:autoSpaceDN w:val="0"/>
        <w:adjustRightInd w:val="0"/>
        <w:spacing w:after="0" w:line="240" w:lineRule="auto"/>
        <w:ind w:left="2160" w:right="720" w:hanging="720"/>
        <w:rPr>
          <w:rFonts w:cs="Times New Roman"/>
          <w:szCs w:val="24"/>
        </w:rPr>
      </w:pPr>
      <w:r w:rsidRPr="005A6964">
        <w:rPr>
          <w:rFonts w:cs="Times New Roman"/>
          <w:szCs w:val="24"/>
        </w:rPr>
        <w:t xml:space="preserve">A. </w:t>
      </w:r>
      <w:r w:rsidR="00FC4971" w:rsidRPr="005A6964">
        <w:rPr>
          <w:rFonts w:cs="Times New Roman"/>
          <w:szCs w:val="24"/>
        </w:rPr>
        <w:tab/>
      </w:r>
      <w:r w:rsidRPr="005A6964">
        <w:rPr>
          <w:rFonts w:cs="Times New Roman"/>
          <w:szCs w:val="24"/>
        </w:rPr>
        <w:t>Because I'm not sure -- I have zero --the level of comfort and the forecast past three</w:t>
      </w:r>
      <w:r w:rsidR="00FE66F7" w:rsidRPr="005A6964">
        <w:rPr>
          <w:rFonts w:cs="Times New Roman"/>
          <w:szCs w:val="24"/>
        </w:rPr>
        <w:t xml:space="preserve"> </w:t>
      </w:r>
      <w:r w:rsidRPr="005A6964">
        <w:rPr>
          <w:rFonts w:cs="Times New Roman"/>
          <w:szCs w:val="24"/>
        </w:rPr>
        <w:t>years, the error on uncertainty is over a hundred</w:t>
      </w:r>
      <w:r w:rsidR="00FE66F7" w:rsidRPr="005A6964">
        <w:rPr>
          <w:rFonts w:cs="Times New Roman"/>
          <w:szCs w:val="24"/>
        </w:rPr>
        <w:t xml:space="preserve"> </w:t>
      </w:r>
      <w:r w:rsidRPr="005A6964">
        <w:rPr>
          <w:rFonts w:cs="Times New Roman"/>
          <w:szCs w:val="24"/>
        </w:rPr>
        <w:t>percent in my mind that I -- although there might be</w:t>
      </w:r>
      <w:r w:rsidR="00FE66F7" w:rsidRPr="005A6964">
        <w:rPr>
          <w:rFonts w:cs="Times New Roman"/>
          <w:szCs w:val="24"/>
        </w:rPr>
        <w:t xml:space="preserve"> </w:t>
      </w:r>
      <w:r w:rsidRPr="005A6964">
        <w:rPr>
          <w:rFonts w:cs="Times New Roman"/>
          <w:szCs w:val="24"/>
        </w:rPr>
        <w:t>a cost the first three years, I see more danger in</w:t>
      </w:r>
      <w:r w:rsidR="00FE66F7" w:rsidRPr="005A6964">
        <w:rPr>
          <w:rFonts w:cs="Times New Roman"/>
          <w:szCs w:val="24"/>
        </w:rPr>
        <w:t xml:space="preserve"> </w:t>
      </w:r>
      <w:r w:rsidRPr="005A6964">
        <w:rPr>
          <w:rFonts w:cs="Times New Roman"/>
          <w:szCs w:val="24"/>
        </w:rPr>
        <w:t>future years. So I'm not weighing anything on the</w:t>
      </w:r>
      <w:r w:rsidR="00FE66F7" w:rsidRPr="005A6964">
        <w:rPr>
          <w:rFonts w:cs="Times New Roman"/>
          <w:szCs w:val="24"/>
        </w:rPr>
        <w:t xml:space="preserve"> </w:t>
      </w:r>
      <w:r w:rsidRPr="005A6964">
        <w:rPr>
          <w:rFonts w:cs="Times New Roman"/>
          <w:szCs w:val="24"/>
        </w:rPr>
        <w:t>credits that would be -- would show up in the future.</w:t>
      </w:r>
      <w:r w:rsidR="00FE66F7" w:rsidRPr="005A6964">
        <w:rPr>
          <w:rFonts w:cs="Times New Roman"/>
          <w:szCs w:val="24"/>
        </w:rPr>
        <w:t xml:space="preserve"> </w:t>
      </w:r>
      <w:r w:rsidRPr="005A6964">
        <w:rPr>
          <w:rFonts w:cs="Times New Roman"/>
          <w:szCs w:val="24"/>
        </w:rPr>
        <w:t>So I am limiting the exposure by three years.</w:t>
      </w:r>
    </w:p>
    <w:p w:rsidR="00FE66F7" w:rsidRPr="005A6964" w:rsidRDefault="00FE66F7" w:rsidP="00FE66F7">
      <w:pPr>
        <w:autoSpaceDE w:val="0"/>
        <w:autoSpaceDN w:val="0"/>
        <w:adjustRightInd w:val="0"/>
        <w:spacing w:after="0" w:line="240" w:lineRule="auto"/>
        <w:ind w:left="2160" w:right="720" w:hanging="720"/>
        <w:rPr>
          <w:rFonts w:cs="Times New Roman"/>
          <w:szCs w:val="24"/>
        </w:rPr>
      </w:pPr>
    </w:p>
    <w:p w:rsidR="009F7F73" w:rsidRPr="005A6964" w:rsidRDefault="009F7F73" w:rsidP="00FE66F7">
      <w:pPr>
        <w:autoSpaceDE w:val="0"/>
        <w:autoSpaceDN w:val="0"/>
        <w:adjustRightInd w:val="0"/>
        <w:spacing w:after="0" w:line="240" w:lineRule="auto"/>
        <w:ind w:left="2160" w:right="720" w:hanging="720"/>
        <w:rPr>
          <w:rFonts w:cs="Times New Roman"/>
          <w:szCs w:val="24"/>
        </w:rPr>
      </w:pPr>
      <w:r w:rsidRPr="005A6964">
        <w:rPr>
          <w:rFonts w:cs="Times New Roman"/>
          <w:szCs w:val="24"/>
        </w:rPr>
        <w:t xml:space="preserve">Q. </w:t>
      </w:r>
      <w:r w:rsidR="00FE66F7" w:rsidRPr="005A6964">
        <w:rPr>
          <w:rFonts w:cs="Times New Roman"/>
          <w:szCs w:val="24"/>
        </w:rPr>
        <w:tab/>
      </w:r>
      <w:r w:rsidRPr="005A6964">
        <w:rPr>
          <w:rFonts w:cs="Times New Roman"/>
          <w:szCs w:val="24"/>
        </w:rPr>
        <w:t>Okay. When you read the order in these</w:t>
      </w:r>
      <w:r w:rsidR="00FE66F7" w:rsidRPr="005A6964">
        <w:rPr>
          <w:rFonts w:cs="Times New Roman"/>
          <w:szCs w:val="24"/>
        </w:rPr>
        <w:t xml:space="preserve"> </w:t>
      </w:r>
      <w:r w:rsidRPr="005A6964">
        <w:rPr>
          <w:rFonts w:cs="Times New Roman"/>
          <w:szCs w:val="24"/>
        </w:rPr>
        <w:t>cases in preparing your testimony, you gave no</w:t>
      </w:r>
      <w:r w:rsidR="00FE66F7" w:rsidRPr="005A6964">
        <w:rPr>
          <w:rFonts w:cs="Times New Roman"/>
          <w:szCs w:val="24"/>
        </w:rPr>
        <w:t xml:space="preserve"> </w:t>
      </w:r>
      <w:r w:rsidRPr="005A6964">
        <w:rPr>
          <w:rFonts w:cs="Times New Roman"/>
          <w:szCs w:val="24"/>
        </w:rPr>
        <w:t>consideration -- you don't think it's important to</w:t>
      </w:r>
      <w:r w:rsidR="00FE66F7" w:rsidRPr="005A6964">
        <w:rPr>
          <w:rFonts w:cs="Times New Roman"/>
          <w:szCs w:val="24"/>
        </w:rPr>
        <w:t xml:space="preserve"> </w:t>
      </w:r>
      <w:r w:rsidRPr="005A6964">
        <w:rPr>
          <w:rFonts w:cs="Times New Roman"/>
          <w:szCs w:val="24"/>
        </w:rPr>
        <w:t>consider whether the -- whether the projections show</w:t>
      </w:r>
      <w:r w:rsidR="00FE66F7" w:rsidRPr="005A6964">
        <w:rPr>
          <w:rFonts w:cs="Times New Roman"/>
          <w:szCs w:val="24"/>
        </w:rPr>
        <w:t xml:space="preserve"> </w:t>
      </w:r>
      <w:r w:rsidRPr="005A6964">
        <w:rPr>
          <w:rFonts w:cs="Times New Roman"/>
          <w:szCs w:val="24"/>
        </w:rPr>
        <w:t>that the rider will produce any net financial benefit</w:t>
      </w:r>
      <w:r w:rsidR="00FE66F7" w:rsidRPr="005A6964">
        <w:rPr>
          <w:rFonts w:cs="Times New Roman"/>
          <w:szCs w:val="24"/>
        </w:rPr>
        <w:t xml:space="preserve"> </w:t>
      </w:r>
      <w:r w:rsidRPr="005A6964">
        <w:rPr>
          <w:rFonts w:cs="Times New Roman"/>
          <w:szCs w:val="24"/>
        </w:rPr>
        <w:t>to the customers, and you are simply looking at these</w:t>
      </w:r>
      <w:r w:rsidR="00FE66F7" w:rsidRPr="005A6964">
        <w:rPr>
          <w:rFonts w:cs="Times New Roman"/>
          <w:szCs w:val="24"/>
        </w:rPr>
        <w:t xml:space="preserve"> </w:t>
      </w:r>
      <w:r w:rsidRPr="005A6964">
        <w:rPr>
          <w:rFonts w:cs="Times New Roman"/>
          <w:szCs w:val="24"/>
        </w:rPr>
        <w:t>other considerations that the Commission should take</w:t>
      </w:r>
      <w:r w:rsidR="00FE66F7" w:rsidRPr="005A6964">
        <w:rPr>
          <w:rFonts w:cs="Times New Roman"/>
          <w:szCs w:val="24"/>
        </w:rPr>
        <w:t xml:space="preserve"> </w:t>
      </w:r>
      <w:r w:rsidRPr="005A6964">
        <w:rPr>
          <w:rFonts w:cs="Times New Roman"/>
          <w:szCs w:val="24"/>
        </w:rPr>
        <w:t>into account in any event?</w:t>
      </w:r>
    </w:p>
    <w:p w:rsidR="009F7F73" w:rsidRPr="005A6964" w:rsidRDefault="009F7F73" w:rsidP="009F7F73">
      <w:pPr>
        <w:autoSpaceDE w:val="0"/>
        <w:autoSpaceDN w:val="0"/>
        <w:adjustRightInd w:val="0"/>
        <w:spacing w:after="0" w:line="240" w:lineRule="auto"/>
        <w:rPr>
          <w:rFonts w:cs="Times New Roman"/>
          <w:szCs w:val="24"/>
        </w:rPr>
      </w:pPr>
    </w:p>
    <w:p w:rsidR="009F7F73" w:rsidRPr="005A6964" w:rsidRDefault="009F7F73" w:rsidP="00FE66F7">
      <w:pPr>
        <w:autoSpaceDE w:val="0"/>
        <w:autoSpaceDN w:val="0"/>
        <w:adjustRightInd w:val="0"/>
        <w:spacing w:after="0" w:line="240" w:lineRule="auto"/>
        <w:ind w:left="2160" w:right="720" w:hanging="720"/>
        <w:rPr>
          <w:rFonts w:cs="Times New Roman"/>
          <w:szCs w:val="24"/>
        </w:rPr>
      </w:pPr>
      <w:r w:rsidRPr="005A6964">
        <w:rPr>
          <w:rFonts w:cs="Times New Roman"/>
          <w:szCs w:val="24"/>
        </w:rPr>
        <w:t xml:space="preserve"> A. </w:t>
      </w:r>
      <w:r w:rsidR="00FE66F7" w:rsidRPr="005A6964">
        <w:rPr>
          <w:rFonts w:cs="Times New Roman"/>
          <w:szCs w:val="24"/>
        </w:rPr>
        <w:tab/>
      </w:r>
      <w:r w:rsidRPr="005A6964">
        <w:rPr>
          <w:rFonts w:cs="Times New Roman"/>
          <w:szCs w:val="24"/>
        </w:rPr>
        <w:t>Okay. So in my mind, the first three</w:t>
      </w:r>
      <w:r w:rsidR="00FE66F7" w:rsidRPr="005A6964">
        <w:rPr>
          <w:rFonts w:cs="Times New Roman"/>
          <w:szCs w:val="24"/>
        </w:rPr>
        <w:t xml:space="preserve"> </w:t>
      </w:r>
      <w:r w:rsidRPr="005A6964">
        <w:rPr>
          <w:rFonts w:cs="Times New Roman"/>
          <w:szCs w:val="24"/>
        </w:rPr>
        <w:t>years I can give you a forecast within plus or minus</w:t>
      </w:r>
      <w:r w:rsidR="00FE66F7" w:rsidRPr="005A6964">
        <w:rPr>
          <w:rFonts w:cs="Times New Roman"/>
          <w:szCs w:val="24"/>
        </w:rPr>
        <w:t xml:space="preserve"> </w:t>
      </w:r>
      <w:r w:rsidRPr="005A6964">
        <w:rPr>
          <w:rFonts w:cs="Times New Roman"/>
          <w:szCs w:val="24"/>
        </w:rPr>
        <w:t>3 percent. My group does that all the time, and I</w:t>
      </w:r>
      <w:r w:rsidR="00FE66F7" w:rsidRPr="005A6964">
        <w:rPr>
          <w:rFonts w:cs="Times New Roman"/>
          <w:szCs w:val="24"/>
        </w:rPr>
        <w:t xml:space="preserve"> </w:t>
      </w:r>
      <w:r w:rsidRPr="005A6964">
        <w:rPr>
          <w:rFonts w:cs="Times New Roman"/>
          <w:szCs w:val="24"/>
        </w:rPr>
        <w:t>commend them on that. Their accuracy is very well in</w:t>
      </w:r>
      <w:r w:rsidR="00FE66F7" w:rsidRPr="005A6964">
        <w:rPr>
          <w:rFonts w:cs="Times New Roman"/>
          <w:szCs w:val="24"/>
        </w:rPr>
        <w:t xml:space="preserve"> </w:t>
      </w:r>
      <w:r w:rsidRPr="005A6964">
        <w:rPr>
          <w:rFonts w:cs="Times New Roman"/>
          <w:szCs w:val="24"/>
        </w:rPr>
        <w:t>predicting SSO clearing prices. The minute you go</w:t>
      </w:r>
      <w:r w:rsidR="00FE66F7" w:rsidRPr="005A6964">
        <w:rPr>
          <w:rFonts w:cs="Times New Roman"/>
          <w:szCs w:val="24"/>
        </w:rPr>
        <w:t xml:space="preserve"> </w:t>
      </w:r>
      <w:r w:rsidRPr="005A6964">
        <w:rPr>
          <w:rFonts w:cs="Times New Roman"/>
          <w:szCs w:val="24"/>
        </w:rPr>
        <w:t>past or we don't know anything about what their</w:t>
      </w:r>
      <w:r w:rsidR="00FE66F7" w:rsidRPr="005A6964">
        <w:rPr>
          <w:rFonts w:cs="Times New Roman"/>
          <w:szCs w:val="24"/>
        </w:rPr>
        <w:t xml:space="preserve"> </w:t>
      </w:r>
      <w:r w:rsidRPr="005A6964">
        <w:rPr>
          <w:rFonts w:cs="Times New Roman"/>
          <w:szCs w:val="24"/>
        </w:rPr>
        <w:t>transparent capacity price is, the error goes up by</w:t>
      </w:r>
      <w:r w:rsidR="00FE66F7" w:rsidRPr="005A6964">
        <w:rPr>
          <w:rFonts w:cs="Times New Roman"/>
          <w:szCs w:val="24"/>
        </w:rPr>
        <w:t xml:space="preserve"> </w:t>
      </w:r>
      <w:r w:rsidRPr="005A6964">
        <w:rPr>
          <w:rFonts w:cs="Times New Roman"/>
          <w:szCs w:val="24"/>
        </w:rPr>
        <w:t>100 percent. So I am not willing to go past that.</w:t>
      </w:r>
      <w:r w:rsidRPr="005A6964">
        <w:rPr>
          <w:rFonts w:cs="Times New Roman"/>
          <w:szCs w:val="24"/>
          <w:vertAlign w:val="superscript"/>
        </w:rPr>
        <w:footnoteReference w:id="485"/>
      </w:r>
    </w:p>
    <w:p w:rsidR="009F7F73" w:rsidRPr="005A6964" w:rsidRDefault="009F7F73" w:rsidP="009F7F73">
      <w:pPr>
        <w:autoSpaceDE w:val="0"/>
        <w:autoSpaceDN w:val="0"/>
        <w:adjustRightInd w:val="0"/>
        <w:spacing w:after="0" w:line="240" w:lineRule="auto"/>
        <w:rPr>
          <w:rFonts w:cs="Times New Roman"/>
          <w:szCs w:val="24"/>
        </w:rPr>
      </w:pPr>
    </w:p>
    <w:p w:rsidR="009F7F73" w:rsidRPr="005A6964" w:rsidRDefault="009F7F73" w:rsidP="009F7F73">
      <w:pPr>
        <w:spacing w:after="0" w:line="480" w:lineRule="auto"/>
        <w:rPr>
          <w:rFonts w:cs="Times New Roman"/>
          <w:szCs w:val="24"/>
        </w:rPr>
      </w:pPr>
      <w:r w:rsidRPr="005A6964">
        <w:rPr>
          <w:rFonts w:cs="Times New Roman"/>
          <w:szCs w:val="24"/>
        </w:rPr>
        <w:t>In Dr. Choueiki’s opinion, FirstEnergy’s forecasts are soon to be three years old, and subject to significant errors going forward.  FirstEnergy had ample opportunity to updater its projections, but chose not to. Therefore, the PUCO should not rely on FirstEnergy’s projections for Rider RRS charges/credits.</w:t>
      </w:r>
    </w:p>
    <w:p w:rsidR="00140A0F" w:rsidRPr="005A6964" w:rsidRDefault="009F7F73" w:rsidP="009F7F73">
      <w:pPr>
        <w:spacing w:after="0" w:line="480" w:lineRule="auto"/>
        <w:ind w:firstLine="720"/>
        <w:rPr>
          <w:rFonts w:cs="Times New Roman"/>
          <w:szCs w:val="24"/>
        </w:rPr>
      </w:pPr>
      <w:r w:rsidRPr="005A6964">
        <w:rPr>
          <w:rFonts w:cs="Times New Roman"/>
          <w:szCs w:val="24"/>
        </w:rPr>
        <w:t>In</w:t>
      </w:r>
      <w:r w:rsidR="00140A0F" w:rsidRPr="005A6964">
        <w:rPr>
          <w:rFonts w:cs="Times New Roman"/>
          <w:szCs w:val="24"/>
        </w:rPr>
        <w:t xml:space="preserve"> contrast, </w:t>
      </w:r>
      <w:r w:rsidRPr="005A6964">
        <w:rPr>
          <w:rFonts w:cs="Times New Roman"/>
          <w:szCs w:val="24"/>
        </w:rPr>
        <w:t xml:space="preserve">OCC witness Wilson has updated his estimated cost to consumers and found that cost to be $3.6 billion ($800 per customer) over the 8-year term.  This; however, is a best case scenario.  The worst case scenario for consumers is the PPA units are offered into the market and they don’t clear.  </w:t>
      </w:r>
      <w:r w:rsidR="00140A0F" w:rsidRPr="005A6964">
        <w:rPr>
          <w:rFonts w:cs="Times New Roman"/>
          <w:szCs w:val="24"/>
        </w:rPr>
        <w:t xml:space="preserve">In other words consumers pay the full costs of these units, with no incoming revenues to offset those costs.  </w:t>
      </w:r>
    </w:p>
    <w:p w:rsidR="009F7F73" w:rsidRPr="005A6964" w:rsidRDefault="009F7F73" w:rsidP="009F7F73">
      <w:pPr>
        <w:spacing w:after="0" w:line="480" w:lineRule="auto"/>
        <w:ind w:firstLine="720"/>
        <w:rPr>
          <w:rFonts w:asciiTheme="minorHAnsi" w:hAnsiTheme="minorHAnsi" w:cs="Times New Roman"/>
          <w:sz w:val="22"/>
          <w:szCs w:val="24"/>
        </w:rPr>
      </w:pPr>
      <w:r w:rsidRPr="005A6964">
        <w:rPr>
          <w:rFonts w:cs="Times New Roman"/>
          <w:szCs w:val="24"/>
        </w:rPr>
        <w:t>The PJM Independent Market Monitor has included arguments in his testimony that the PPA units should be offered at cost to protect the competitive market from the inherent subsidy the PPA arrangement provides.</w:t>
      </w:r>
      <w:r w:rsidRPr="005A6964">
        <w:rPr>
          <w:rFonts w:cs="Times New Roman"/>
          <w:szCs w:val="24"/>
          <w:vertAlign w:val="superscript"/>
        </w:rPr>
        <w:footnoteReference w:id="486"/>
      </w:r>
      <w:r w:rsidRPr="005A6964">
        <w:rPr>
          <w:rFonts w:cs="Times New Roman"/>
          <w:szCs w:val="24"/>
        </w:rPr>
        <w:t xml:space="preserve"> </w:t>
      </w:r>
      <w:r w:rsidR="00140A0F" w:rsidRPr="005A6964">
        <w:rPr>
          <w:rFonts w:cs="Times New Roman"/>
          <w:szCs w:val="24"/>
        </w:rPr>
        <w:t xml:space="preserve">If </w:t>
      </w:r>
      <w:r w:rsidRPr="005A6964">
        <w:rPr>
          <w:rFonts w:cs="Times New Roman"/>
          <w:szCs w:val="24"/>
        </w:rPr>
        <w:t xml:space="preserve"> these uneconomic </w:t>
      </w:r>
      <w:r w:rsidR="00140A0F" w:rsidRPr="005A6964">
        <w:rPr>
          <w:rFonts w:cs="Times New Roman"/>
          <w:szCs w:val="24"/>
        </w:rPr>
        <w:t xml:space="preserve">unit are </w:t>
      </w:r>
      <w:r w:rsidRPr="005A6964">
        <w:rPr>
          <w:rFonts w:cs="Times New Roman"/>
          <w:szCs w:val="24"/>
        </w:rPr>
        <w:t xml:space="preserve"> bid in at cost, </w:t>
      </w:r>
      <w:r w:rsidR="00140A0F" w:rsidRPr="005A6964">
        <w:rPr>
          <w:rFonts w:cs="Times New Roman"/>
          <w:szCs w:val="24"/>
        </w:rPr>
        <w:t xml:space="preserve">it is likely </w:t>
      </w:r>
      <w:r w:rsidR="008161A6" w:rsidRPr="005A6964">
        <w:rPr>
          <w:rFonts w:cs="Times New Roman"/>
          <w:szCs w:val="24"/>
        </w:rPr>
        <w:t>that</w:t>
      </w:r>
      <w:r w:rsidRPr="005A6964">
        <w:rPr>
          <w:rFonts w:cs="Times New Roman"/>
          <w:szCs w:val="24"/>
        </w:rPr>
        <w:t xml:space="preserve"> these units will not clear, and the worst case scenario for consumers becomes a reality.  Either scenario represents an unjust and unreasonable outcome for consumers that should not be approved by the PUCO.</w:t>
      </w:r>
    </w:p>
    <w:p w:rsidR="009F7F73" w:rsidRPr="005A6964" w:rsidRDefault="009F7F73" w:rsidP="009F7F73">
      <w:pPr>
        <w:spacing w:after="0" w:line="480" w:lineRule="auto"/>
        <w:ind w:firstLine="720"/>
        <w:rPr>
          <w:rFonts w:cs="Times New Roman"/>
          <w:szCs w:val="24"/>
        </w:rPr>
      </w:pPr>
      <w:r w:rsidRPr="005A6964">
        <w:rPr>
          <w:rFonts w:cs="Times New Roman"/>
          <w:szCs w:val="24"/>
        </w:rPr>
        <w:t>OCC’s witness Wilson has projected Rider RRS cost to consumers, under the best case scenario (the PPA Units clear), to be $3.6 billion.  Mr. Wilson’s estimated cost to consumers presumes a revenue stream to offset the PPA unit costs. That eventuality (the PPA units do not clear) would mean that there are no capacity (as well as energy) revenues from the market to offset the costs and guaranteed profit of those units.  The</w:t>
      </w:r>
      <w:r w:rsidR="001E639D" w:rsidRPr="005A6964">
        <w:rPr>
          <w:rFonts w:cs="Times New Roman"/>
          <w:szCs w:val="24"/>
        </w:rPr>
        <w:t xml:space="preserve"> costs to consumers could skyrocket.</w:t>
      </w:r>
      <w:r w:rsidRPr="005A6964">
        <w:rPr>
          <w:rFonts w:cs="Times New Roman"/>
          <w:szCs w:val="24"/>
        </w:rPr>
        <w:t xml:space="preserve"> Therefore, FirstEnergy’s projections cannot be the most credible evidence the PUCO has to rely upon in this case.</w:t>
      </w:r>
    </w:p>
    <w:p w:rsidR="009F7F73" w:rsidRPr="005A6964" w:rsidRDefault="009F7F73" w:rsidP="009F7F73">
      <w:pPr>
        <w:pStyle w:val="Heading3"/>
      </w:pPr>
      <w:bookmarkStart w:id="64" w:name="_Toc444269050"/>
      <w:r w:rsidRPr="005A6964">
        <w:t>2.</w:t>
      </w:r>
      <w:r w:rsidRPr="005A6964">
        <w:tab/>
        <w:t>FirstEnergy’s customers are captive, and subject to significant unwarranted charges through Rider RRS.</w:t>
      </w:r>
      <w:bookmarkEnd w:id="64"/>
    </w:p>
    <w:p w:rsidR="00FE66F7" w:rsidRPr="005A6964" w:rsidRDefault="009F7F73" w:rsidP="00A948E8">
      <w:pPr>
        <w:spacing w:after="0" w:line="480" w:lineRule="auto"/>
        <w:ind w:firstLine="720"/>
        <w:rPr>
          <w:rFonts w:cs="Times New Roman"/>
          <w:szCs w:val="24"/>
        </w:rPr>
      </w:pPr>
      <w:r w:rsidRPr="005A6964">
        <w:rPr>
          <w:rFonts w:cs="Times New Roman"/>
          <w:szCs w:val="24"/>
        </w:rPr>
        <w:t>OEG has proposed that the PUCO make a finding the FirstEnergy’s customers are not captive given there is retail competition in Ohio.</w:t>
      </w:r>
      <w:r w:rsidRPr="005A6964">
        <w:rPr>
          <w:rFonts w:cs="Times New Roman"/>
          <w:szCs w:val="24"/>
          <w:vertAlign w:val="superscript"/>
        </w:rPr>
        <w:footnoteReference w:id="487"/>
      </w:r>
      <w:r w:rsidRPr="005A6964">
        <w:rPr>
          <w:rFonts w:cs="Times New Roman"/>
          <w:szCs w:val="24"/>
        </w:rPr>
        <w:t xml:space="preserve"> </w:t>
      </w:r>
      <w:r w:rsidR="001E639D" w:rsidRPr="005A6964">
        <w:rPr>
          <w:rFonts w:cs="Times New Roman"/>
          <w:szCs w:val="24"/>
        </w:rPr>
        <w:t xml:space="preserve"> </w:t>
      </w:r>
      <w:r w:rsidR="004F5746" w:rsidRPr="005A6964">
        <w:rPr>
          <w:rFonts w:cs="Times New Roman"/>
          <w:szCs w:val="24"/>
        </w:rPr>
        <w:t xml:space="preserve">However, this is an issue of importance to FERC, and </w:t>
      </w:r>
      <w:r w:rsidR="0022506D" w:rsidRPr="005A6964">
        <w:rPr>
          <w:rFonts w:cs="Times New Roman"/>
          <w:szCs w:val="24"/>
        </w:rPr>
        <w:t xml:space="preserve">cannot be as easily determined by the PUCO, as OEG suggests. Because </w:t>
      </w:r>
      <w:r w:rsidR="001E639D" w:rsidRPr="005A6964">
        <w:rPr>
          <w:rFonts w:cs="Times New Roman"/>
          <w:szCs w:val="24"/>
        </w:rPr>
        <w:t>despite the presence of retail competition, Rider RRS is non</w:t>
      </w:r>
      <w:r w:rsidR="008161A6" w:rsidRPr="005A6964">
        <w:rPr>
          <w:rFonts w:cs="Times New Roman"/>
          <w:szCs w:val="24"/>
        </w:rPr>
        <w:t>-</w:t>
      </w:r>
      <w:r w:rsidR="001E639D" w:rsidRPr="005A6964">
        <w:rPr>
          <w:rFonts w:cs="Times New Roman"/>
          <w:szCs w:val="24"/>
        </w:rPr>
        <w:t xml:space="preserve">bypassable </w:t>
      </w:r>
      <w:r w:rsidR="0022506D" w:rsidRPr="005A6964">
        <w:rPr>
          <w:rFonts w:cs="Times New Roman"/>
          <w:szCs w:val="24"/>
        </w:rPr>
        <w:t xml:space="preserve">and by its nature </w:t>
      </w:r>
      <w:r w:rsidR="001E639D" w:rsidRPr="005A6964">
        <w:rPr>
          <w:rFonts w:cs="Times New Roman"/>
          <w:szCs w:val="24"/>
        </w:rPr>
        <w:t xml:space="preserve">creates captive customers.  As such, </w:t>
      </w:r>
      <w:r w:rsidRPr="005A6964">
        <w:rPr>
          <w:rFonts w:cs="Times New Roman"/>
          <w:szCs w:val="24"/>
        </w:rPr>
        <w:t xml:space="preserve">OEG’s statement is irreconcilable with the facts in this case and reality.  </w:t>
      </w:r>
    </w:p>
    <w:p w:rsidR="005A6964" w:rsidRPr="005A6964" w:rsidRDefault="005A6964">
      <w:pPr>
        <w:rPr>
          <w:rFonts w:cs="Times New Roman"/>
          <w:szCs w:val="24"/>
        </w:rPr>
      </w:pPr>
      <w:r w:rsidRPr="005A6964">
        <w:rPr>
          <w:rFonts w:cs="Times New Roman"/>
          <w:szCs w:val="24"/>
        </w:rPr>
        <w:br w:type="page"/>
      </w:r>
    </w:p>
    <w:p w:rsidR="009F7F73" w:rsidRPr="005A6964" w:rsidRDefault="009F7F73" w:rsidP="009F7F73">
      <w:pPr>
        <w:spacing w:after="0" w:line="480" w:lineRule="auto"/>
        <w:ind w:firstLine="720"/>
        <w:rPr>
          <w:rFonts w:cs="Times New Roman"/>
          <w:szCs w:val="24"/>
        </w:rPr>
      </w:pPr>
      <w:r w:rsidRPr="005A6964">
        <w:rPr>
          <w:rFonts w:cs="Times New Roman"/>
          <w:szCs w:val="24"/>
        </w:rPr>
        <w:t>Rider RRS is non-bypassable.</w:t>
      </w:r>
      <w:r w:rsidRPr="005A6964">
        <w:rPr>
          <w:rFonts w:cs="Times New Roman"/>
          <w:szCs w:val="24"/>
          <w:vertAlign w:val="superscript"/>
        </w:rPr>
        <w:footnoteReference w:id="488"/>
      </w:r>
      <w:r w:rsidRPr="005A6964">
        <w:rPr>
          <w:rFonts w:cs="Times New Roman"/>
          <w:szCs w:val="24"/>
        </w:rPr>
        <w:t xml:space="preserve">  All FirstEnergy customers must pay a charge through Rider RRS.</w:t>
      </w:r>
      <w:r w:rsidRPr="005A6964">
        <w:rPr>
          <w:rFonts w:cs="Times New Roman"/>
          <w:szCs w:val="24"/>
          <w:vertAlign w:val="superscript"/>
        </w:rPr>
        <w:footnoteReference w:id="489"/>
      </w:r>
      <w:r w:rsidRPr="005A6964">
        <w:rPr>
          <w:rFonts w:cs="Times New Roman"/>
          <w:szCs w:val="24"/>
        </w:rPr>
        <w:t xml:space="preserve"> Therefore, customers cannot avoid this charge by leaving FirstEnergy’s SSO rate and taking generation service from a Marketer.  As EPSA stated in its Complaint against FirstEnergy and FES, “[t]hese retail customers could not be more captive with respect to costs of the Affiliate PPA if they were locked in a cage with a greedy tiger.”</w:t>
      </w:r>
      <w:r w:rsidRPr="005A6964">
        <w:rPr>
          <w:rFonts w:cs="Times New Roman"/>
          <w:szCs w:val="24"/>
          <w:vertAlign w:val="superscript"/>
        </w:rPr>
        <w:footnoteReference w:id="490"/>
      </w:r>
    </w:p>
    <w:p w:rsidR="001E639D" w:rsidRPr="005A6964" w:rsidRDefault="009F7F73" w:rsidP="009F7F73">
      <w:pPr>
        <w:spacing w:after="0" w:line="480" w:lineRule="auto"/>
        <w:ind w:firstLine="720"/>
        <w:rPr>
          <w:rFonts w:cs="Times New Roman"/>
          <w:szCs w:val="24"/>
        </w:rPr>
      </w:pPr>
      <w:r w:rsidRPr="005A6964">
        <w:rPr>
          <w:rFonts w:cs="Times New Roman"/>
          <w:szCs w:val="24"/>
        </w:rPr>
        <w:t>This issue is important to FERC’s analysis, because to protect against affiliate abuse, FERC’s market-based rate regulations expressly provide that “no wholesale sale of electric energy or capacity may be made between a franchised public utility with captive customers and a market-regulated power sales affiliate without first receiving Commission authorization for the transaction under section 205 of the [Federal Power Act].”</w:t>
      </w:r>
      <w:r w:rsidRPr="005A6964">
        <w:rPr>
          <w:rFonts w:cs="Times New Roman"/>
          <w:szCs w:val="24"/>
          <w:vertAlign w:val="superscript"/>
        </w:rPr>
        <w:footnoteReference w:id="491"/>
      </w:r>
      <w:r w:rsidRPr="005A6964">
        <w:rPr>
          <w:rFonts w:cs="Times New Roman"/>
          <w:szCs w:val="24"/>
        </w:rPr>
        <w:t xml:space="preserve"> For purposes of these restrictions, “captive customers” are “wholesale or retail electric energy customers served by a franchised public utility under cost-based regulation.”</w:t>
      </w:r>
      <w:r w:rsidRPr="005A6964">
        <w:rPr>
          <w:rFonts w:cs="Times New Roman"/>
          <w:szCs w:val="24"/>
          <w:vertAlign w:val="superscript"/>
        </w:rPr>
        <w:footnoteReference w:id="492"/>
      </w:r>
      <w:r w:rsidRPr="005A6964">
        <w:rPr>
          <w:rFonts w:cs="Times New Roman"/>
          <w:szCs w:val="24"/>
        </w:rPr>
        <w:t xml:space="preserve">  FES received a waiver under FERC’s market based rate authority</w:t>
      </w:r>
      <w:r w:rsidR="001E639D" w:rsidRPr="005A6964">
        <w:rPr>
          <w:rFonts w:cs="Times New Roman"/>
          <w:szCs w:val="24"/>
        </w:rPr>
        <w:t>.  Appar</w:t>
      </w:r>
      <w:r w:rsidR="004F5746" w:rsidRPr="005A6964">
        <w:rPr>
          <w:rFonts w:cs="Times New Roman"/>
          <w:szCs w:val="24"/>
        </w:rPr>
        <w:t>e</w:t>
      </w:r>
      <w:r w:rsidR="001E639D" w:rsidRPr="005A6964">
        <w:rPr>
          <w:rFonts w:cs="Times New Roman"/>
          <w:szCs w:val="24"/>
        </w:rPr>
        <w:t>ntly, however, this was</w:t>
      </w:r>
      <w:r w:rsidRPr="005A6964">
        <w:rPr>
          <w:rFonts w:cs="Times New Roman"/>
          <w:szCs w:val="24"/>
        </w:rPr>
        <w:t xml:space="preserve"> because FirstEnergy had no captive retail customers</w:t>
      </w:r>
      <w:r w:rsidR="001E639D" w:rsidRPr="005A6964">
        <w:rPr>
          <w:rFonts w:cs="Times New Roman"/>
          <w:szCs w:val="24"/>
        </w:rPr>
        <w:t>.  This is generally the case in states, like Ohio, with retail choice.</w:t>
      </w:r>
      <w:r w:rsidRPr="005A6964">
        <w:rPr>
          <w:rFonts w:cs="Times New Roman"/>
          <w:szCs w:val="24"/>
        </w:rPr>
        <w:t xml:space="preserve">, </w:t>
      </w:r>
      <w:r w:rsidR="001E639D" w:rsidRPr="005A6964">
        <w:rPr>
          <w:rFonts w:cs="Times New Roman"/>
          <w:szCs w:val="24"/>
        </w:rPr>
        <w:t xml:space="preserve">In Ohio customers </w:t>
      </w:r>
      <w:r w:rsidRPr="005A6964">
        <w:rPr>
          <w:rFonts w:cs="Times New Roman"/>
          <w:szCs w:val="24"/>
        </w:rPr>
        <w:t xml:space="preserve">can purchase their power requirements at market-based rates from competitive electric retail suppliers.  </w:t>
      </w:r>
    </w:p>
    <w:p w:rsidR="009F7F73" w:rsidRPr="005A6964" w:rsidRDefault="001E639D" w:rsidP="009F7F73">
      <w:pPr>
        <w:spacing w:after="0" w:line="480" w:lineRule="auto"/>
        <w:ind w:firstLine="720"/>
        <w:rPr>
          <w:rFonts w:cs="Times New Roman"/>
          <w:szCs w:val="24"/>
        </w:rPr>
      </w:pPr>
      <w:r w:rsidRPr="005A6964">
        <w:rPr>
          <w:rFonts w:cs="Times New Roman"/>
          <w:szCs w:val="24"/>
        </w:rPr>
        <w:t xml:space="preserve">But </w:t>
      </w:r>
      <w:r w:rsidR="009F7F73" w:rsidRPr="005A6964">
        <w:rPr>
          <w:rFonts w:cs="Times New Roman"/>
          <w:szCs w:val="24"/>
        </w:rPr>
        <w:t>FERC’s granting of the waiver, did not</w:t>
      </w:r>
      <w:r w:rsidRPr="005A6964">
        <w:rPr>
          <w:rFonts w:cs="Times New Roman"/>
          <w:szCs w:val="24"/>
        </w:rPr>
        <w:t xml:space="preserve"> (and could not have)</w:t>
      </w:r>
      <w:r w:rsidR="009F7F73" w:rsidRPr="005A6964">
        <w:rPr>
          <w:rFonts w:cs="Times New Roman"/>
          <w:szCs w:val="24"/>
        </w:rPr>
        <w:t xml:space="preserve"> contemplate</w:t>
      </w:r>
      <w:r w:rsidRPr="005A6964">
        <w:rPr>
          <w:rFonts w:cs="Times New Roman"/>
          <w:szCs w:val="24"/>
        </w:rPr>
        <w:t>d</w:t>
      </w:r>
      <w:r w:rsidR="009F7F73" w:rsidRPr="005A6964">
        <w:rPr>
          <w:rFonts w:cs="Times New Roman"/>
          <w:szCs w:val="24"/>
        </w:rPr>
        <w:t xml:space="preserve"> the PPA, and its non</w:t>
      </w:r>
      <w:r w:rsidR="00037F6E" w:rsidRPr="005A6964">
        <w:rPr>
          <w:rFonts w:cs="Times New Roman"/>
          <w:szCs w:val="24"/>
        </w:rPr>
        <w:t>-</w:t>
      </w:r>
      <w:r w:rsidR="009F7F73" w:rsidRPr="005A6964">
        <w:rPr>
          <w:rFonts w:cs="Times New Roman"/>
          <w:szCs w:val="24"/>
        </w:rPr>
        <w:t>bypassable collection mechanism – Rider RRS.</w:t>
      </w:r>
      <w:r w:rsidRPr="005A6964">
        <w:rPr>
          <w:rFonts w:cs="Times New Roman"/>
          <w:szCs w:val="24"/>
        </w:rPr>
        <w:t xml:space="preserve">  Rider RRS was </w:t>
      </w:r>
      <w:r w:rsidR="00400417" w:rsidRPr="005A6964">
        <w:rPr>
          <w:rFonts w:cs="Times New Roman"/>
          <w:szCs w:val="24"/>
        </w:rPr>
        <w:t>not in exist</w:t>
      </w:r>
      <w:r w:rsidRPr="005A6964">
        <w:rPr>
          <w:rFonts w:cs="Times New Roman"/>
          <w:szCs w:val="24"/>
        </w:rPr>
        <w:t>ence when FES received its waiver.</w:t>
      </w:r>
      <w:r w:rsidR="0022506D" w:rsidRPr="005A6964">
        <w:rPr>
          <w:rFonts w:cs="Times New Roman"/>
          <w:szCs w:val="24"/>
        </w:rPr>
        <w:t xml:space="preserve">  But now, FirstEnergy’s distribution customers will be subject to Rider RRS.</w:t>
      </w:r>
      <w:r w:rsidRPr="005A6964">
        <w:rPr>
          <w:rFonts w:cs="Times New Roman"/>
          <w:szCs w:val="24"/>
        </w:rPr>
        <w:t xml:space="preserve">  </w:t>
      </w:r>
    </w:p>
    <w:p w:rsidR="009F7F73" w:rsidRPr="005A6964" w:rsidRDefault="009F7F73" w:rsidP="00FE66F7">
      <w:pPr>
        <w:spacing w:after="0" w:line="480" w:lineRule="auto"/>
        <w:ind w:firstLine="720"/>
        <w:rPr>
          <w:rFonts w:cs="Times New Roman"/>
          <w:szCs w:val="24"/>
        </w:rPr>
      </w:pPr>
      <w:r w:rsidRPr="005A6964">
        <w:rPr>
          <w:rFonts w:cs="Times New Roman"/>
          <w:szCs w:val="24"/>
        </w:rPr>
        <w:t xml:space="preserve">But for the overwhelming number of FirstEnergy’s 1.9 million customers there is no escape from Rider RRS – they are captive, and that is reality. </w:t>
      </w:r>
      <w:r w:rsidR="0022506D" w:rsidRPr="005A6964">
        <w:rPr>
          <w:rFonts w:cs="Times New Roman"/>
          <w:szCs w:val="24"/>
        </w:rPr>
        <w:t xml:space="preserve">  F</w:t>
      </w:r>
      <w:r w:rsidRPr="005A6964">
        <w:rPr>
          <w:rFonts w:cs="Times New Roman"/>
          <w:szCs w:val="24"/>
        </w:rPr>
        <w:t xml:space="preserve">or purposes of FERC’s analysis, these customers are all captive.  OEG’s urging that the PUCO find otherwise is disingenuous, and contrary to the unrefuted facts in this case.  Therefore, the PUCO should not rule on the PPA until FERC rules on the EPSA Complaints.  </w:t>
      </w:r>
    </w:p>
    <w:p w:rsidR="009F7F73" w:rsidRPr="005A6964" w:rsidRDefault="009F7F73" w:rsidP="009F7F73">
      <w:pPr>
        <w:pStyle w:val="Heading3"/>
      </w:pPr>
      <w:bookmarkStart w:id="65" w:name="_Toc444269051"/>
      <w:r w:rsidRPr="005A6964">
        <w:t>3.</w:t>
      </w:r>
      <w:r w:rsidRPr="005A6964">
        <w:tab/>
        <w:t>It is premature for the PUCO to expressly find no evidence of affiliate abuse in this case.</w:t>
      </w:r>
      <w:bookmarkEnd w:id="65"/>
    </w:p>
    <w:p w:rsidR="009F7F73" w:rsidRPr="005A6964" w:rsidRDefault="009F7F73" w:rsidP="009F7F73">
      <w:pPr>
        <w:autoSpaceDE w:val="0"/>
        <w:autoSpaceDN w:val="0"/>
        <w:adjustRightInd w:val="0"/>
        <w:spacing w:after="0" w:line="480" w:lineRule="auto"/>
        <w:ind w:firstLine="720"/>
        <w:rPr>
          <w:rFonts w:cs="Times New Roman"/>
          <w:szCs w:val="24"/>
        </w:rPr>
      </w:pPr>
      <w:r w:rsidRPr="005A6964">
        <w:rPr>
          <w:rFonts w:cs="Times New Roman"/>
          <w:szCs w:val="24"/>
        </w:rPr>
        <w:t>OEG further recommends the PUCO expressly find that FirstEnergy’s Rider RRS proposal is consistent with Ohio corporate separation laws and that there is no definitive evidence of affiliate.</w:t>
      </w:r>
      <w:r w:rsidRPr="005A6964">
        <w:rPr>
          <w:rFonts w:cs="Times New Roman"/>
          <w:szCs w:val="24"/>
          <w:vertAlign w:val="superscript"/>
        </w:rPr>
        <w:footnoteReference w:id="493"/>
      </w:r>
      <w:r w:rsidRPr="005A6964">
        <w:rPr>
          <w:rFonts w:cs="Times New Roman"/>
          <w:szCs w:val="24"/>
        </w:rPr>
        <w:t xml:space="preserve">  Again, OEG is trying to get out in front of FERC, and send the federal regulator a message that all is well in Ohio.  Nothing could be further from the truth.</w:t>
      </w:r>
    </w:p>
    <w:p w:rsidR="009F7F73" w:rsidRPr="005A6964" w:rsidRDefault="009F7F73" w:rsidP="009F7F73">
      <w:pPr>
        <w:spacing w:after="0" w:line="480" w:lineRule="auto"/>
        <w:ind w:firstLine="720"/>
        <w:rPr>
          <w:rFonts w:cs="Times New Roman"/>
          <w:szCs w:val="24"/>
        </w:rPr>
      </w:pPr>
      <w:r w:rsidRPr="005A6964">
        <w:rPr>
          <w:rFonts w:cs="Times New Roman"/>
          <w:szCs w:val="24"/>
        </w:rPr>
        <w:t>Since the inception of its market-based rate program, FERC has recognized the risk of self-dealing and other affiliate abuse that exists when a franchised utility transacts with its affiliates.  Accordingly, it has made clear that “it is essential that ratepayers be protected and that transactions be above suspicion in order to ensure that the market is not distorted.”</w:t>
      </w:r>
      <w:r w:rsidRPr="005A6964">
        <w:rPr>
          <w:rFonts w:cs="Times New Roman"/>
          <w:szCs w:val="24"/>
          <w:vertAlign w:val="superscript"/>
        </w:rPr>
        <w:footnoteReference w:id="494"/>
      </w:r>
      <w:r w:rsidRPr="005A6964">
        <w:rPr>
          <w:rFonts w:cs="Times New Roman"/>
          <w:szCs w:val="24"/>
        </w:rPr>
        <w:t xml:space="preserve">  To protect against affiliate abuse, the Commission’s market-based rate regulations expressly provide that “no wholesale sale of electric energy or capacity may be made between a franchised public utility with captive customers and a market-regulated power sales affiliate without first receiving Commission authorization for the transaction under section 205 of the [FPA].”</w:t>
      </w:r>
      <w:r w:rsidRPr="005A6964">
        <w:rPr>
          <w:rFonts w:cs="Times New Roman"/>
          <w:szCs w:val="24"/>
          <w:vertAlign w:val="superscript"/>
        </w:rPr>
        <w:footnoteReference w:id="495"/>
      </w:r>
      <w:r w:rsidRPr="005A6964">
        <w:rPr>
          <w:rFonts w:cs="Times New Roman"/>
          <w:szCs w:val="24"/>
        </w:rPr>
        <w:t xml:space="preserve">  </w:t>
      </w:r>
    </w:p>
    <w:p w:rsidR="009F7F73" w:rsidRPr="005A6964" w:rsidRDefault="009F7F73" w:rsidP="00FA4DF6">
      <w:pPr>
        <w:spacing w:after="0" w:line="480" w:lineRule="auto"/>
        <w:ind w:firstLine="720"/>
        <w:rPr>
          <w:rFonts w:eastAsia="Calibri" w:cs="Times New Roman"/>
          <w:kern w:val="18"/>
          <w:szCs w:val="24"/>
        </w:rPr>
      </w:pPr>
      <w:r w:rsidRPr="005A6964">
        <w:rPr>
          <w:rFonts w:eastAsia="Calibri" w:cs="Times New Roman"/>
          <w:kern w:val="18"/>
          <w:szCs w:val="24"/>
        </w:rPr>
        <w:t>FERC has also long recognized that, absent adequate safeguards, a “power marketer could sell power to its affiliated franchised public utility at an above market price, and that affiliated utility could then pass those costs through to its captive customers.”</w:t>
      </w:r>
      <w:r w:rsidRPr="005A6964">
        <w:rPr>
          <w:rFonts w:eastAsia="Calibri" w:cs="Times New Roman"/>
          <w:kern w:val="18"/>
          <w:szCs w:val="24"/>
          <w:vertAlign w:val="superscript"/>
        </w:rPr>
        <w:footnoteReference w:id="496"/>
      </w:r>
      <w:r w:rsidRPr="005A6964">
        <w:rPr>
          <w:rFonts w:eastAsia="Calibri" w:cs="Times New Roman"/>
          <w:kern w:val="18"/>
          <w:szCs w:val="24"/>
        </w:rPr>
        <w:t xml:space="preserve">  That is precisely what is occurring here:  FES will be selling power to the FirstEnergy at an above-market price, and the FirstEnergy will then pass those costs through to their captive customers.  Indeed, this case effectively involves what FERC has previously described as an “extreme example” of such affiliate abuse:  “a holding company that siphons funds from a franchised public utility to support its failing market-regulated power sales affiliate . . . .”</w:t>
      </w:r>
      <w:r w:rsidRPr="005A6964">
        <w:rPr>
          <w:rFonts w:eastAsia="Calibri" w:cs="Times New Roman"/>
          <w:kern w:val="18"/>
          <w:szCs w:val="24"/>
          <w:vertAlign w:val="superscript"/>
        </w:rPr>
        <w:footnoteReference w:id="497"/>
      </w:r>
    </w:p>
    <w:p w:rsidR="009F7F73" w:rsidRPr="005A6964" w:rsidRDefault="009F7F73" w:rsidP="009F7F73">
      <w:pPr>
        <w:spacing w:after="0" w:line="480" w:lineRule="auto"/>
        <w:ind w:firstLine="720"/>
        <w:rPr>
          <w:rFonts w:cs="Times New Roman"/>
          <w:szCs w:val="24"/>
        </w:rPr>
      </w:pPr>
      <w:r w:rsidRPr="005A6964">
        <w:rPr>
          <w:rFonts w:cs="Times New Roman"/>
          <w:szCs w:val="24"/>
        </w:rPr>
        <w:t>This case presents a textbook opportunity for affiliate abuse.  And the PUCO has no bases to find otherwise.  There is merely a term sheet between FES and FirstEnergy governing the PPA.  FirstEnergy testified there is no final executed agreement.</w:t>
      </w:r>
      <w:r w:rsidRPr="005A6964">
        <w:rPr>
          <w:rFonts w:cs="Times New Roman"/>
          <w:szCs w:val="24"/>
          <w:vertAlign w:val="superscript"/>
        </w:rPr>
        <w:footnoteReference w:id="498"/>
      </w:r>
      <w:r w:rsidRPr="005A6964">
        <w:rPr>
          <w:rFonts w:cs="Times New Roman"/>
          <w:szCs w:val="24"/>
        </w:rPr>
        <w:t xml:space="preserve">  So the term sheet could be subsequently modified upon the negotiation of a final PPA, at this time, the PUCO has not seen the PPA.  If the term sheet is approved and subsequently modified in the final PPA, there could be affiliate abuses within the executed contract.  Therefore, at this stage of the process, it is impossible, and premature for the PUCO to definitively find that under the PPA there is no evidence of affiliate abuse.  It is incredulous for OEG to request the PUCO to decide otherwise.   </w:t>
      </w:r>
    </w:p>
    <w:p w:rsidR="0022506D" w:rsidRPr="005A6964" w:rsidRDefault="00F36134" w:rsidP="00DD1D5E">
      <w:pPr>
        <w:spacing w:after="0" w:line="480" w:lineRule="auto"/>
        <w:rPr>
          <w:rFonts w:cs="Times New Roman"/>
          <w:szCs w:val="24"/>
        </w:rPr>
      </w:pPr>
      <w:r w:rsidRPr="005A6964">
        <w:rPr>
          <w:rFonts w:cs="Times New Roman"/>
          <w:szCs w:val="24"/>
        </w:rPr>
        <w:tab/>
      </w:r>
      <w:r w:rsidR="009F7F73" w:rsidRPr="005A6964">
        <w:rPr>
          <w:rFonts w:cs="Times New Roman"/>
          <w:szCs w:val="24"/>
        </w:rPr>
        <w:t>For these reasons, the PUCO should not rule in this case, until the FERC rules on the EPSA Complaints.  FirstEnergy has said their plan is about consumers paying upfront and potentially benefitting later. But consumers should not have to pay a penny if FERC ultimately declares the plans to be unlawful.  In this regard, FirstEnergy has protected itself in the settlement from making any refunds to consumers, if he PUCO’s order authorizing the PPA is invalidated.</w:t>
      </w:r>
      <w:r w:rsidR="0022506D" w:rsidRPr="005A6964">
        <w:rPr>
          <w:rStyle w:val="FootnoteReference"/>
          <w:rFonts w:cs="Times New Roman"/>
          <w:szCs w:val="24"/>
        </w:rPr>
        <w:footnoteReference w:id="499"/>
      </w:r>
      <w:r w:rsidR="009F7F73" w:rsidRPr="005A6964">
        <w:rPr>
          <w:rFonts w:cs="Times New Roman"/>
          <w:szCs w:val="24"/>
        </w:rPr>
        <w:t xml:space="preserve"> The PUCO should not cater to FirstEnergy’s’ request to deny refunds to consumers. FERC may ultimately invalidate the PUCO’s actions.  Therefore, the PUCO should not rule on this case, until there is a ruling from FERC on the EPSA Complaints. At a minimum, the PUCO should reject FirstEnergy’s settlement term of no refunds to customers, and require refunds for such reasons as FERC (or a court of competent jurisdiction) invalidating the PUCO’s order.</w:t>
      </w:r>
      <w:bookmarkStart w:id="66" w:name="_Toc443054284"/>
      <w:bookmarkStart w:id="67" w:name="_Toc442804758"/>
      <w:bookmarkStart w:id="68" w:name="_Toc443405084"/>
    </w:p>
    <w:p w:rsidR="00DD1D5E" w:rsidRPr="005A6964" w:rsidRDefault="00DD1D5E" w:rsidP="00DD1D5E">
      <w:pPr>
        <w:spacing w:after="0" w:line="240" w:lineRule="auto"/>
        <w:rPr>
          <w:rFonts w:eastAsiaTheme="majorEastAsia" w:cs="Times New Roman"/>
          <w:b/>
          <w:bCs/>
          <w:caps/>
          <w:szCs w:val="24"/>
        </w:rPr>
      </w:pPr>
    </w:p>
    <w:p w:rsidR="005061A2" w:rsidRPr="005A6964" w:rsidRDefault="00B7274A" w:rsidP="005061A2">
      <w:pPr>
        <w:pStyle w:val="Heading1"/>
      </w:pPr>
      <w:bookmarkStart w:id="69" w:name="_Toc444269052"/>
      <w:r w:rsidRPr="005A6964">
        <w:t>IV</w:t>
      </w:r>
      <w:r w:rsidR="005061A2" w:rsidRPr="005A6964">
        <w:t>.</w:t>
      </w:r>
      <w:r w:rsidR="005061A2" w:rsidRPr="005A6964">
        <w:tab/>
        <w:t>CONCLUSION</w:t>
      </w:r>
      <w:bookmarkEnd w:id="66"/>
      <w:bookmarkEnd w:id="67"/>
      <w:bookmarkEnd w:id="68"/>
      <w:bookmarkEnd w:id="69"/>
      <w:r w:rsidR="005061A2" w:rsidRPr="005A6964">
        <w:t xml:space="preserve">  </w:t>
      </w:r>
    </w:p>
    <w:p w:rsidR="00B63B18" w:rsidRPr="005A6964" w:rsidRDefault="00B63B18" w:rsidP="00B63B18">
      <w:pPr>
        <w:autoSpaceDE w:val="0"/>
        <w:autoSpaceDN w:val="0"/>
        <w:adjustRightInd w:val="0"/>
        <w:spacing w:after="0" w:line="480" w:lineRule="auto"/>
        <w:ind w:firstLine="720"/>
        <w:rPr>
          <w:rFonts w:cs="Times New Roman"/>
          <w:szCs w:val="24"/>
        </w:rPr>
      </w:pPr>
      <w:r w:rsidRPr="005A6964">
        <w:rPr>
          <w:rFonts w:cs="Times New Roman"/>
          <w:szCs w:val="24"/>
        </w:rPr>
        <w:t>FirstEnergy’s Settlement and Application would cost Ohio’s retail customers a</w:t>
      </w:r>
    </w:p>
    <w:p w:rsidR="00B63B18" w:rsidRPr="005A6964" w:rsidRDefault="00B63B18" w:rsidP="00B63B18">
      <w:pPr>
        <w:autoSpaceDE w:val="0"/>
        <w:autoSpaceDN w:val="0"/>
        <w:adjustRightInd w:val="0"/>
        <w:spacing w:after="0" w:line="480" w:lineRule="auto"/>
      </w:pPr>
      <w:r w:rsidRPr="005A6964">
        <w:rPr>
          <w:rFonts w:cs="Times New Roman"/>
          <w:szCs w:val="24"/>
        </w:rPr>
        <w:t xml:space="preserve">projected $3.6  billion ($800 per customer) over the eight-year PPA term. The cost to Ohioans would be “dramatically” more money if federal officials require the power plants to bid into markets at their cost and the plants receive no revenue to offset the consumer subsidies under </w:t>
      </w:r>
      <w:r w:rsidR="007F5D99" w:rsidRPr="005A6964">
        <w:rPr>
          <w:rFonts w:cs="Times New Roman"/>
          <w:szCs w:val="24"/>
        </w:rPr>
        <w:t>FirstEnergy</w:t>
      </w:r>
      <w:r w:rsidRPr="005A6964">
        <w:rPr>
          <w:rFonts w:cs="Times New Roman"/>
          <w:szCs w:val="24"/>
        </w:rPr>
        <w:t xml:space="preserve">’s proposed PPA. Additionally, the settlement’s re-regulatory proposal would diverge from Ohio’s policy for using markets to determine electric generation prices (instead of government regulators imposing subsidies). The PUCO should take a stand for Ohio policy, markets and the consumer protection that state policy for markets provides to 1.9 million </w:t>
      </w:r>
      <w:r w:rsidR="009A6FE2" w:rsidRPr="005A6964">
        <w:rPr>
          <w:rFonts w:cs="Times New Roman"/>
          <w:szCs w:val="24"/>
        </w:rPr>
        <w:t xml:space="preserve">residential </w:t>
      </w:r>
      <w:r w:rsidRPr="005A6964">
        <w:rPr>
          <w:rFonts w:cs="Times New Roman"/>
          <w:szCs w:val="24"/>
        </w:rPr>
        <w:t>FirstEnergy consumers.</w:t>
      </w:r>
    </w:p>
    <w:p w:rsidR="005061A2" w:rsidRPr="005A6964" w:rsidRDefault="005A6964" w:rsidP="005061A2">
      <w:pPr>
        <w:rPr>
          <w:rFonts w:cs="Times New Roman"/>
          <w:szCs w:val="24"/>
        </w:rPr>
      </w:pPr>
      <w:r w:rsidRPr="005A6964">
        <w:rPr>
          <w:rFonts w:cs="Times New Roman"/>
          <w:szCs w:val="24"/>
        </w:rPr>
        <w:tab/>
      </w:r>
      <w:r w:rsidRPr="005A6964">
        <w:rPr>
          <w:rFonts w:cs="Times New Roman"/>
          <w:szCs w:val="24"/>
        </w:rPr>
        <w:tab/>
      </w:r>
      <w:r w:rsidRPr="005A6964">
        <w:rPr>
          <w:rFonts w:cs="Times New Roman"/>
          <w:szCs w:val="24"/>
        </w:rPr>
        <w:tab/>
      </w:r>
      <w:r w:rsidRPr="005A6964">
        <w:rPr>
          <w:rFonts w:cs="Times New Roman"/>
          <w:szCs w:val="24"/>
        </w:rPr>
        <w:tab/>
      </w:r>
      <w:r w:rsidRPr="005A6964">
        <w:rPr>
          <w:rFonts w:cs="Times New Roman"/>
          <w:szCs w:val="24"/>
        </w:rPr>
        <w:tab/>
      </w:r>
      <w:r w:rsidRPr="005A6964">
        <w:rPr>
          <w:rFonts w:cs="Times New Roman"/>
          <w:szCs w:val="24"/>
        </w:rPr>
        <w:tab/>
      </w:r>
      <w:r w:rsidR="005061A2" w:rsidRPr="005A6964">
        <w:rPr>
          <w:rFonts w:cs="Times New Roman"/>
          <w:szCs w:val="24"/>
        </w:rPr>
        <w:t>Respectfully submitted,</w:t>
      </w:r>
      <w:r w:rsidR="005061A2" w:rsidRPr="005A6964">
        <w:rPr>
          <w:rFonts w:cs="Times New Roman"/>
          <w:szCs w:val="24"/>
        </w:rPr>
        <w:tab/>
      </w:r>
    </w:p>
    <w:p w:rsidR="005061A2" w:rsidRPr="005A6964" w:rsidRDefault="005061A2" w:rsidP="005061A2">
      <w:pPr>
        <w:pStyle w:val="Footer"/>
        <w:tabs>
          <w:tab w:val="clear" w:pos="4320"/>
          <w:tab w:val="clear" w:pos="8640"/>
          <w:tab w:val="left" w:pos="3600"/>
        </w:tabs>
        <w:spacing w:before="240"/>
        <w:ind w:firstLine="48"/>
        <w:contextualSpacing/>
      </w:pPr>
      <w:r w:rsidRPr="005A6964">
        <w:tab/>
      </w:r>
      <w:r w:rsidRPr="005A6964">
        <w:tab/>
        <w:t>BRUCE J. WESTON</w:t>
      </w:r>
    </w:p>
    <w:p w:rsidR="005061A2" w:rsidRPr="005A6964" w:rsidRDefault="005061A2" w:rsidP="005061A2">
      <w:pPr>
        <w:pStyle w:val="Footer"/>
        <w:tabs>
          <w:tab w:val="clear" w:pos="4320"/>
          <w:tab w:val="clear" w:pos="8640"/>
          <w:tab w:val="left" w:pos="3600"/>
        </w:tabs>
        <w:spacing w:before="240"/>
        <w:ind w:firstLine="48"/>
        <w:contextualSpacing/>
      </w:pPr>
      <w:r w:rsidRPr="005A6964">
        <w:tab/>
      </w:r>
      <w:r w:rsidRPr="005A6964">
        <w:tab/>
        <w:t>OHIO CONSUMERS’ COUNSEL</w:t>
      </w:r>
    </w:p>
    <w:p w:rsidR="005061A2" w:rsidRPr="005A6964" w:rsidRDefault="005061A2" w:rsidP="005061A2">
      <w:pPr>
        <w:tabs>
          <w:tab w:val="left" w:pos="4230"/>
          <w:tab w:val="left" w:pos="4320"/>
        </w:tabs>
        <w:spacing w:line="240" w:lineRule="auto"/>
        <w:ind w:left="4320"/>
        <w:contextualSpacing/>
        <w:rPr>
          <w:rFonts w:cs="Times New Roman"/>
          <w:szCs w:val="24"/>
        </w:rPr>
      </w:pPr>
    </w:p>
    <w:p w:rsidR="005061A2" w:rsidRPr="005A6964" w:rsidRDefault="000C7763" w:rsidP="005061A2">
      <w:pPr>
        <w:tabs>
          <w:tab w:val="left" w:pos="4230"/>
        </w:tabs>
        <w:spacing w:line="240" w:lineRule="auto"/>
        <w:ind w:left="4320"/>
        <w:contextualSpacing/>
        <w:rPr>
          <w:rFonts w:cs="Times New Roman"/>
          <w:iCs/>
          <w:szCs w:val="24"/>
        </w:rPr>
      </w:pPr>
      <w:r w:rsidRPr="005A6964">
        <w:rPr>
          <w:rFonts w:cs="Times New Roman"/>
          <w:i/>
          <w:iCs/>
          <w:szCs w:val="24"/>
          <w:u w:val="single"/>
        </w:rPr>
        <w:t>/s/ Larry S. Sauer</w:t>
      </w:r>
      <w:r w:rsidR="008B5AE4" w:rsidRPr="005A6964">
        <w:rPr>
          <w:rFonts w:cs="Times New Roman"/>
          <w:iCs/>
          <w:szCs w:val="24"/>
        </w:rPr>
        <w:t>_______________</w:t>
      </w:r>
      <w:r w:rsidR="005061A2" w:rsidRPr="005A6964">
        <w:rPr>
          <w:rFonts w:cs="Times New Roman"/>
          <w:iCs/>
          <w:szCs w:val="24"/>
        </w:rPr>
        <w:tab/>
      </w:r>
    </w:p>
    <w:p w:rsidR="005061A2" w:rsidRPr="005A6964" w:rsidRDefault="005061A2" w:rsidP="005061A2">
      <w:pPr>
        <w:tabs>
          <w:tab w:val="left" w:pos="4230"/>
        </w:tabs>
        <w:spacing w:line="240" w:lineRule="auto"/>
        <w:ind w:left="4320"/>
        <w:contextualSpacing/>
        <w:rPr>
          <w:rFonts w:cs="Times New Roman"/>
          <w:szCs w:val="24"/>
        </w:rPr>
      </w:pPr>
      <w:r w:rsidRPr="005A6964">
        <w:rPr>
          <w:rFonts w:cs="Times New Roman"/>
          <w:szCs w:val="24"/>
        </w:rPr>
        <w:t>Larry S. Sauer (0039223)</w:t>
      </w:r>
    </w:p>
    <w:p w:rsidR="005061A2" w:rsidRPr="005A6964" w:rsidRDefault="005061A2" w:rsidP="005061A2">
      <w:pPr>
        <w:tabs>
          <w:tab w:val="left" w:pos="4230"/>
        </w:tabs>
        <w:spacing w:line="240" w:lineRule="auto"/>
        <w:ind w:left="4320"/>
        <w:contextualSpacing/>
        <w:rPr>
          <w:rFonts w:cs="Times New Roman"/>
          <w:szCs w:val="24"/>
        </w:rPr>
      </w:pPr>
      <w:r w:rsidRPr="005A6964">
        <w:rPr>
          <w:rFonts w:cs="Times New Roman"/>
          <w:szCs w:val="24"/>
        </w:rPr>
        <w:t>Counsel of Record</w:t>
      </w:r>
    </w:p>
    <w:p w:rsidR="005061A2" w:rsidRPr="005A6964" w:rsidRDefault="005061A2" w:rsidP="005061A2">
      <w:pPr>
        <w:autoSpaceDE w:val="0"/>
        <w:autoSpaceDN w:val="0"/>
        <w:adjustRightInd w:val="0"/>
        <w:spacing w:after="0" w:line="240" w:lineRule="auto"/>
        <w:ind w:left="4320"/>
        <w:rPr>
          <w:rFonts w:cs="Times New Roman"/>
          <w:color w:val="000000"/>
          <w:szCs w:val="24"/>
        </w:rPr>
      </w:pPr>
      <w:r w:rsidRPr="005A6964">
        <w:rPr>
          <w:rFonts w:cs="Times New Roman"/>
          <w:color w:val="000000"/>
          <w:szCs w:val="24"/>
        </w:rPr>
        <w:t>Maureen R. Willis (0020847)</w:t>
      </w:r>
    </w:p>
    <w:p w:rsidR="005061A2" w:rsidRPr="005A6964" w:rsidRDefault="005061A2" w:rsidP="005061A2">
      <w:pPr>
        <w:autoSpaceDE w:val="0"/>
        <w:autoSpaceDN w:val="0"/>
        <w:adjustRightInd w:val="0"/>
        <w:spacing w:after="0" w:line="240" w:lineRule="auto"/>
        <w:ind w:left="4320"/>
        <w:rPr>
          <w:rFonts w:cs="Times New Roman"/>
          <w:color w:val="000000"/>
          <w:szCs w:val="24"/>
        </w:rPr>
      </w:pPr>
      <w:r w:rsidRPr="005A6964">
        <w:rPr>
          <w:rFonts w:cs="Times New Roman"/>
          <w:color w:val="000000"/>
          <w:szCs w:val="24"/>
        </w:rPr>
        <w:t>William J. Michael (0070921)</w:t>
      </w:r>
    </w:p>
    <w:p w:rsidR="005061A2" w:rsidRPr="005A6964" w:rsidRDefault="005061A2" w:rsidP="005061A2">
      <w:pPr>
        <w:autoSpaceDE w:val="0"/>
        <w:autoSpaceDN w:val="0"/>
        <w:adjustRightInd w:val="0"/>
        <w:spacing w:after="0" w:line="240" w:lineRule="auto"/>
        <w:ind w:left="4320"/>
        <w:rPr>
          <w:color w:val="000000"/>
        </w:rPr>
      </w:pPr>
      <w:r w:rsidRPr="005A6964">
        <w:rPr>
          <w:color w:val="000000"/>
        </w:rPr>
        <w:t>Kevin F. Moore (0089228)</w:t>
      </w:r>
    </w:p>
    <w:p w:rsidR="005061A2" w:rsidRPr="005A6964" w:rsidRDefault="005061A2" w:rsidP="005061A2">
      <w:pPr>
        <w:autoSpaceDE w:val="0"/>
        <w:autoSpaceDN w:val="0"/>
        <w:adjustRightInd w:val="0"/>
        <w:spacing w:after="0" w:line="240" w:lineRule="auto"/>
        <w:ind w:left="4320"/>
        <w:rPr>
          <w:rFonts w:cs="Times New Roman"/>
          <w:color w:val="000000"/>
          <w:szCs w:val="24"/>
        </w:rPr>
      </w:pPr>
      <w:r w:rsidRPr="005A6964">
        <w:rPr>
          <w:rFonts w:cs="Times New Roman"/>
          <w:color w:val="000000"/>
          <w:szCs w:val="24"/>
        </w:rPr>
        <w:t>Ajay Kumar (0092208)</w:t>
      </w:r>
    </w:p>
    <w:p w:rsidR="005061A2" w:rsidRPr="005A6964" w:rsidRDefault="005061A2" w:rsidP="005061A2">
      <w:pPr>
        <w:autoSpaceDE w:val="0"/>
        <w:autoSpaceDN w:val="0"/>
        <w:adjustRightInd w:val="0"/>
        <w:spacing w:after="0" w:line="240" w:lineRule="auto"/>
        <w:ind w:left="4320"/>
        <w:rPr>
          <w:color w:val="000000"/>
        </w:rPr>
      </w:pPr>
      <w:r w:rsidRPr="005A6964">
        <w:rPr>
          <w:color w:val="000000"/>
        </w:rPr>
        <w:t>Assistant Consumers’ Counsel</w:t>
      </w:r>
    </w:p>
    <w:p w:rsidR="005061A2" w:rsidRPr="005A6964" w:rsidRDefault="005061A2" w:rsidP="005061A2">
      <w:pPr>
        <w:autoSpaceDE w:val="0"/>
        <w:autoSpaceDN w:val="0"/>
        <w:adjustRightInd w:val="0"/>
        <w:spacing w:after="0" w:line="240" w:lineRule="auto"/>
        <w:ind w:left="4320"/>
        <w:rPr>
          <w:b/>
          <w:color w:val="000000"/>
        </w:rPr>
      </w:pPr>
    </w:p>
    <w:p w:rsidR="005061A2" w:rsidRPr="005A6964" w:rsidRDefault="005061A2" w:rsidP="005061A2">
      <w:pPr>
        <w:autoSpaceDE w:val="0"/>
        <w:autoSpaceDN w:val="0"/>
        <w:adjustRightInd w:val="0"/>
        <w:spacing w:after="0" w:line="240" w:lineRule="auto"/>
        <w:ind w:left="4320"/>
        <w:rPr>
          <w:b/>
          <w:color w:val="000000"/>
        </w:rPr>
      </w:pPr>
      <w:r w:rsidRPr="005A6964">
        <w:rPr>
          <w:b/>
          <w:color w:val="000000"/>
        </w:rPr>
        <w:t>Office of the Ohio Consumers’ Counsel</w:t>
      </w:r>
    </w:p>
    <w:p w:rsidR="005061A2" w:rsidRPr="005A6964" w:rsidRDefault="005061A2" w:rsidP="005061A2">
      <w:pPr>
        <w:autoSpaceDE w:val="0"/>
        <w:autoSpaceDN w:val="0"/>
        <w:adjustRightInd w:val="0"/>
        <w:spacing w:after="0" w:line="240" w:lineRule="auto"/>
        <w:ind w:left="4320"/>
        <w:rPr>
          <w:color w:val="000000"/>
        </w:rPr>
      </w:pPr>
      <w:r w:rsidRPr="005A6964">
        <w:rPr>
          <w:color w:val="000000"/>
        </w:rPr>
        <w:t>10 West Broad Street, Suite 1800</w:t>
      </w:r>
    </w:p>
    <w:p w:rsidR="005061A2" w:rsidRPr="005A6964" w:rsidRDefault="005061A2" w:rsidP="005061A2">
      <w:pPr>
        <w:autoSpaceDE w:val="0"/>
        <w:autoSpaceDN w:val="0"/>
        <w:adjustRightInd w:val="0"/>
        <w:spacing w:after="0" w:line="240" w:lineRule="auto"/>
        <w:ind w:left="4320"/>
        <w:rPr>
          <w:color w:val="000000"/>
        </w:rPr>
      </w:pPr>
      <w:r w:rsidRPr="005A6964">
        <w:rPr>
          <w:color w:val="000000"/>
        </w:rPr>
        <w:t>Columbus, Ohio 43215-3485</w:t>
      </w:r>
    </w:p>
    <w:p w:rsidR="005061A2" w:rsidRPr="005A6964" w:rsidRDefault="005061A2" w:rsidP="005061A2">
      <w:pPr>
        <w:autoSpaceDE w:val="0"/>
        <w:autoSpaceDN w:val="0"/>
        <w:adjustRightInd w:val="0"/>
        <w:spacing w:after="0" w:line="240" w:lineRule="auto"/>
        <w:ind w:left="4320"/>
        <w:rPr>
          <w:color w:val="000000"/>
        </w:rPr>
      </w:pPr>
      <w:r w:rsidRPr="005A6964">
        <w:rPr>
          <w:rFonts w:cs="Times New Roman"/>
          <w:color w:val="000000"/>
          <w:szCs w:val="24"/>
        </w:rPr>
        <w:t xml:space="preserve">Telephone [Sauer]: </w:t>
      </w:r>
      <w:r w:rsidRPr="005A6964">
        <w:rPr>
          <w:color w:val="000000"/>
        </w:rPr>
        <w:t>(614) 466-1312</w:t>
      </w:r>
    </w:p>
    <w:p w:rsidR="005061A2" w:rsidRPr="005A6964" w:rsidRDefault="005061A2" w:rsidP="005061A2">
      <w:pPr>
        <w:autoSpaceDE w:val="0"/>
        <w:autoSpaceDN w:val="0"/>
        <w:adjustRightInd w:val="0"/>
        <w:spacing w:after="0" w:line="240" w:lineRule="auto"/>
        <w:ind w:left="4320"/>
        <w:rPr>
          <w:rFonts w:cs="Times New Roman"/>
          <w:color w:val="000000"/>
          <w:szCs w:val="24"/>
        </w:rPr>
      </w:pPr>
      <w:r w:rsidRPr="005A6964">
        <w:rPr>
          <w:color w:val="000000"/>
        </w:rPr>
        <w:t>Telephone</w:t>
      </w:r>
      <w:r w:rsidRPr="005A6964">
        <w:rPr>
          <w:rFonts w:cs="Times New Roman"/>
          <w:color w:val="000000"/>
          <w:szCs w:val="24"/>
        </w:rPr>
        <w:t xml:space="preserve"> [Willis]: </w:t>
      </w:r>
      <w:r w:rsidRPr="005A6964">
        <w:rPr>
          <w:color w:val="000000"/>
        </w:rPr>
        <w:t>(614) 466-</w:t>
      </w:r>
      <w:r w:rsidRPr="005A6964">
        <w:rPr>
          <w:rFonts w:cs="Times New Roman"/>
          <w:color w:val="000000"/>
          <w:szCs w:val="24"/>
        </w:rPr>
        <w:t>9567</w:t>
      </w:r>
    </w:p>
    <w:p w:rsidR="005061A2" w:rsidRPr="005A6964" w:rsidRDefault="005061A2" w:rsidP="005061A2">
      <w:pPr>
        <w:autoSpaceDE w:val="0"/>
        <w:autoSpaceDN w:val="0"/>
        <w:adjustRightInd w:val="0"/>
        <w:spacing w:after="0" w:line="240" w:lineRule="auto"/>
        <w:ind w:left="4320"/>
        <w:rPr>
          <w:color w:val="000000"/>
        </w:rPr>
      </w:pPr>
      <w:r w:rsidRPr="005A6964">
        <w:rPr>
          <w:color w:val="000000"/>
        </w:rPr>
        <w:t>Telephone</w:t>
      </w:r>
      <w:r w:rsidRPr="005A6964">
        <w:rPr>
          <w:rFonts w:cs="Times New Roman"/>
          <w:color w:val="000000"/>
          <w:szCs w:val="24"/>
        </w:rPr>
        <w:t xml:space="preserve"> [Michael]: (614) 466-1291</w:t>
      </w:r>
    </w:p>
    <w:p w:rsidR="005061A2" w:rsidRPr="005A6964" w:rsidRDefault="005061A2" w:rsidP="005061A2">
      <w:pPr>
        <w:autoSpaceDE w:val="0"/>
        <w:autoSpaceDN w:val="0"/>
        <w:adjustRightInd w:val="0"/>
        <w:spacing w:after="0" w:line="240" w:lineRule="auto"/>
        <w:ind w:left="4320"/>
        <w:rPr>
          <w:rFonts w:cs="Times New Roman"/>
          <w:color w:val="000000"/>
          <w:szCs w:val="24"/>
        </w:rPr>
      </w:pPr>
      <w:r w:rsidRPr="005A6964">
        <w:rPr>
          <w:rFonts w:cs="Times New Roman"/>
          <w:color w:val="000000"/>
          <w:szCs w:val="24"/>
        </w:rPr>
        <w:t>Telephone [Moore]: (614) 387-2965</w:t>
      </w:r>
    </w:p>
    <w:p w:rsidR="005061A2" w:rsidRPr="005A6964" w:rsidRDefault="005061A2" w:rsidP="005061A2">
      <w:pPr>
        <w:autoSpaceDE w:val="0"/>
        <w:autoSpaceDN w:val="0"/>
        <w:adjustRightInd w:val="0"/>
        <w:spacing w:after="0" w:line="240" w:lineRule="auto"/>
        <w:ind w:left="4320"/>
        <w:rPr>
          <w:rFonts w:cs="Times New Roman"/>
          <w:color w:val="000000"/>
          <w:szCs w:val="24"/>
        </w:rPr>
      </w:pPr>
      <w:r w:rsidRPr="005A6964">
        <w:rPr>
          <w:rFonts w:cs="Times New Roman"/>
          <w:color w:val="000000"/>
          <w:szCs w:val="24"/>
        </w:rPr>
        <w:t>Telephone [Kumar]: (614) 466-1292</w:t>
      </w:r>
    </w:p>
    <w:p w:rsidR="005061A2" w:rsidRPr="005A6964" w:rsidRDefault="005061A2" w:rsidP="005061A2">
      <w:pPr>
        <w:autoSpaceDE w:val="0"/>
        <w:autoSpaceDN w:val="0"/>
        <w:adjustRightInd w:val="0"/>
        <w:spacing w:after="0" w:line="240" w:lineRule="auto"/>
        <w:ind w:left="4320"/>
        <w:rPr>
          <w:rFonts w:cs="Times New Roman"/>
          <w:color w:val="0000FF"/>
          <w:szCs w:val="24"/>
        </w:rPr>
      </w:pPr>
      <w:r w:rsidRPr="005A6964">
        <w:rPr>
          <w:rFonts w:cs="Times New Roman"/>
          <w:color w:val="0000FF"/>
          <w:szCs w:val="24"/>
        </w:rPr>
        <w:t>Larry.sauer@occ.ohio.gov</w:t>
      </w:r>
    </w:p>
    <w:p w:rsidR="005061A2" w:rsidRPr="005A6964" w:rsidRDefault="005061A2" w:rsidP="005061A2">
      <w:pPr>
        <w:autoSpaceDE w:val="0"/>
        <w:autoSpaceDN w:val="0"/>
        <w:adjustRightInd w:val="0"/>
        <w:spacing w:after="0" w:line="240" w:lineRule="auto"/>
        <w:ind w:left="4320"/>
        <w:rPr>
          <w:rFonts w:cs="Times New Roman"/>
          <w:color w:val="0000FF"/>
          <w:szCs w:val="24"/>
        </w:rPr>
      </w:pPr>
      <w:r w:rsidRPr="005A6964">
        <w:rPr>
          <w:rFonts w:cs="Times New Roman"/>
          <w:color w:val="0000FF"/>
          <w:szCs w:val="24"/>
        </w:rPr>
        <w:t>Maureen.willis@occ.ohio.gov</w:t>
      </w:r>
    </w:p>
    <w:p w:rsidR="005061A2" w:rsidRPr="005A6964" w:rsidRDefault="005061A2" w:rsidP="005061A2">
      <w:pPr>
        <w:autoSpaceDE w:val="0"/>
        <w:autoSpaceDN w:val="0"/>
        <w:adjustRightInd w:val="0"/>
        <w:spacing w:after="0" w:line="240" w:lineRule="auto"/>
        <w:ind w:left="4320"/>
        <w:rPr>
          <w:rFonts w:cs="Times New Roman"/>
          <w:color w:val="0000FF"/>
          <w:szCs w:val="24"/>
        </w:rPr>
      </w:pPr>
      <w:r w:rsidRPr="005A6964">
        <w:rPr>
          <w:rFonts w:cs="Times New Roman"/>
          <w:color w:val="0000FF"/>
          <w:szCs w:val="24"/>
        </w:rPr>
        <w:t>William.michael@occ.ohio.gov</w:t>
      </w:r>
    </w:p>
    <w:p w:rsidR="005061A2" w:rsidRPr="005A6964" w:rsidRDefault="005061A2" w:rsidP="005061A2">
      <w:pPr>
        <w:autoSpaceDE w:val="0"/>
        <w:autoSpaceDN w:val="0"/>
        <w:adjustRightInd w:val="0"/>
        <w:spacing w:after="0" w:line="240" w:lineRule="auto"/>
        <w:ind w:left="4320"/>
        <w:rPr>
          <w:rFonts w:cs="Times New Roman"/>
          <w:color w:val="0000FF"/>
          <w:szCs w:val="24"/>
        </w:rPr>
      </w:pPr>
      <w:r w:rsidRPr="005A6964">
        <w:rPr>
          <w:rFonts w:cs="Times New Roman"/>
          <w:color w:val="0000FF"/>
          <w:szCs w:val="24"/>
        </w:rPr>
        <w:t>Kevin.moore@occ.ohio.gov</w:t>
      </w:r>
    </w:p>
    <w:p w:rsidR="005061A2" w:rsidRPr="005A6964" w:rsidRDefault="005061A2" w:rsidP="005061A2">
      <w:pPr>
        <w:autoSpaceDE w:val="0"/>
        <w:autoSpaceDN w:val="0"/>
        <w:adjustRightInd w:val="0"/>
        <w:spacing w:after="0" w:line="240" w:lineRule="auto"/>
        <w:ind w:left="4320"/>
        <w:rPr>
          <w:rFonts w:cs="Times New Roman"/>
          <w:color w:val="0000FF"/>
          <w:szCs w:val="24"/>
        </w:rPr>
      </w:pPr>
      <w:r w:rsidRPr="005A6964">
        <w:rPr>
          <w:rFonts w:cs="Times New Roman"/>
          <w:color w:val="0000FF"/>
          <w:szCs w:val="24"/>
        </w:rPr>
        <w:t>Ajay.kumar@occ.ohio.gov</w:t>
      </w:r>
    </w:p>
    <w:p w:rsidR="005061A2" w:rsidRPr="005A6964" w:rsidRDefault="005061A2" w:rsidP="005061A2">
      <w:pPr>
        <w:autoSpaceDE w:val="0"/>
        <w:autoSpaceDN w:val="0"/>
        <w:adjustRightInd w:val="0"/>
        <w:spacing w:after="0" w:line="240" w:lineRule="auto"/>
        <w:ind w:left="4320"/>
        <w:rPr>
          <w:color w:val="000000"/>
        </w:rPr>
      </w:pPr>
      <w:r w:rsidRPr="005A6964">
        <w:rPr>
          <w:rFonts w:cs="Times New Roman"/>
          <w:color w:val="000000"/>
          <w:szCs w:val="24"/>
        </w:rPr>
        <w:t>(All attorneys will</w:t>
      </w:r>
      <w:r w:rsidRPr="005A6964">
        <w:rPr>
          <w:color w:val="000000"/>
        </w:rPr>
        <w:t xml:space="preserve"> accept service via email)</w:t>
      </w:r>
    </w:p>
    <w:p w:rsidR="001D6009" w:rsidRPr="005A6964" w:rsidRDefault="001D6009">
      <w:pPr>
        <w:rPr>
          <w:rFonts w:cs="Times New Roman"/>
          <w:i/>
          <w:szCs w:val="24"/>
          <w:u w:val="single"/>
        </w:rPr>
      </w:pPr>
    </w:p>
    <w:p w:rsidR="008B5AE4" w:rsidRPr="005A6964" w:rsidRDefault="000C7763" w:rsidP="005061A2">
      <w:pPr>
        <w:autoSpaceDE w:val="0"/>
        <w:autoSpaceDN w:val="0"/>
        <w:adjustRightInd w:val="0"/>
        <w:spacing w:after="0" w:line="240" w:lineRule="auto"/>
        <w:ind w:left="4320"/>
        <w:rPr>
          <w:rFonts w:cs="Times New Roman"/>
          <w:szCs w:val="24"/>
        </w:rPr>
      </w:pPr>
      <w:r w:rsidRPr="005A6964">
        <w:rPr>
          <w:rFonts w:cs="Times New Roman"/>
          <w:i/>
          <w:szCs w:val="24"/>
          <w:u w:val="single"/>
        </w:rPr>
        <w:t>/s/ Thomas R. Hays</w:t>
      </w:r>
      <w:r w:rsidR="008B5AE4" w:rsidRPr="005A6964">
        <w:rPr>
          <w:rFonts w:cs="Times New Roman"/>
          <w:szCs w:val="24"/>
        </w:rPr>
        <w:t>_______________</w:t>
      </w:r>
    </w:p>
    <w:p w:rsidR="005061A2" w:rsidRPr="005A6964" w:rsidRDefault="005061A2" w:rsidP="005061A2">
      <w:pPr>
        <w:autoSpaceDE w:val="0"/>
        <w:autoSpaceDN w:val="0"/>
        <w:adjustRightInd w:val="0"/>
        <w:spacing w:after="0" w:line="240" w:lineRule="auto"/>
        <w:ind w:left="4320"/>
        <w:rPr>
          <w:rFonts w:cs="Times New Roman"/>
          <w:szCs w:val="24"/>
        </w:rPr>
      </w:pPr>
      <w:r w:rsidRPr="005A6964">
        <w:rPr>
          <w:rFonts w:cs="Times New Roman"/>
          <w:szCs w:val="24"/>
        </w:rPr>
        <w:t xml:space="preserve">Thomas R. Hays (0054062), </w:t>
      </w:r>
    </w:p>
    <w:p w:rsidR="005061A2" w:rsidRPr="005A6964" w:rsidRDefault="005061A2" w:rsidP="005061A2">
      <w:pPr>
        <w:autoSpaceDE w:val="0"/>
        <w:autoSpaceDN w:val="0"/>
        <w:adjustRightInd w:val="0"/>
        <w:spacing w:after="0" w:line="240" w:lineRule="auto"/>
        <w:ind w:left="4320"/>
        <w:rPr>
          <w:rFonts w:cs="Times New Roman"/>
          <w:szCs w:val="24"/>
        </w:rPr>
      </w:pPr>
      <w:r w:rsidRPr="005A6964">
        <w:rPr>
          <w:rFonts w:cs="Times New Roman"/>
          <w:szCs w:val="24"/>
        </w:rPr>
        <w:t xml:space="preserve">Counsel of Record </w:t>
      </w:r>
    </w:p>
    <w:p w:rsidR="005061A2" w:rsidRPr="005A6964" w:rsidRDefault="005061A2" w:rsidP="005061A2">
      <w:pPr>
        <w:autoSpaceDE w:val="0"/>
        <w:autoSpaceDN w:val="0"/>
        <w:adjustRightInd w:val="0"/>
        <w:spacing w:after="0" w:line="240" w:lineRule="auto"/>
        <w:ind w:left="4320"/>
        <w:rPr>
          <w:rFonts w:cs="Times New Roman"/>
          <w:szCs w:val="24"/>
        </w:rPr>
      </w:pPr>
      <w:r w:rsidRPr="005A6964">
        <w:rPr>
          <w:rFonts w:cs="Times New Roman"/>
          <w:szCs w:val="24"/>
        </w:rPr>
        <w:t>For NOAC and the Individual</w:t>
      </w:r>
    </w:p>
    <w:p w:rsidR="005061A2" w:rsidRPr="005A6964" w:rsidRDefault="005061A2" w:rsidP="005061A2">
      <w:pPr>
        <w:autoSpaceDE w:val="0"/>
        <w:autoSpaceDN w:val="0"/>
        <w:adjustRightInd w:val="0"/>
        <w:spacing w:after="0" w:line="240" w:lineRule="auto"/>
        <w:ind w:left="4320"/>
        <w:rPr>
          <w:rFonts w:cs="Times New Roman"/>
          <w:szCs w:val="24"/>
        </w:rPr>
      </w:pPr>
      <w:r w:rsidRPr="005A6964">
        <w:rPr>
          <w:rFonts w:cs="Times New Roman"/>
          <w:szCs w:val="24"/>
        </w:rPr>
        <w:t>Communities</w:t>
      </w:r>
    </w:p>
    <w:p w:rsidR="005061A2" w:rsidRPr="005A6964" w:rsidRDefault="005061A2" w:rsidP="005061A2">
      <w:pPr>
        <w:autoSpaceDE w:val="0"/>
        <w:autoSpaceDN w:val="0"/>
        <w:adjustRightInd w:val="0"/>
        <w:spacing w:after="0" w:line="240" w:lineRule="auto"/>
        <w:ind w:left="4320"/>
        <w:rPr>
          <w:rFonts w:cs="Times New Roman"/>
          <w:szCs w:val="24"/>
        </w:rPr>
      </w:pPr>
      <w:r w:rsidRPr="005A6964">
        <w:rPr>
          <w:rFonts w:cs="Times New Roman"/>
          <w:szCs w:val="24"/>
        </w:rPr>
        <w:t>8355 Island Lane</w:t>
      </w:r>
    </w:p>
    <w:p w:rsidR="005061A2" w:rsidRPr="005A6964" w:rsidRDefault="005061A2" w:rsidP="005061A2">
      <w:pPr>
        <w:autoSpaceDE w:val="0"/>
        <w:autoSpaceDN w:val="0"/>
        <w:adjustRightInd w:val="0"/>
        <w:spacing w:after="0" w:line="240" w:lineRule="auto"/>
        <w:ind w:left="4320"/>
        <w:rPr>
          <w:rFonts w:cs="Times New Roman"/>
          <w:szCs w:val="24"/>
        </w:rPr>
      </w:pPr>
      <w:r w:rsidRPr="005A6964">
        <w:rPr>
          <w:rFonts w:cs="Times New Roman"/>
          <w:szCs w:val="24"/>
        </w:rPr>
        <w:t>Maineville, Ohio 45039</w:t>
      </w:r>
    </w:p>
    <w:p w:rsidR="005061A2" w:rsidRPr="005A6964" w:rsidRDefault="005061A2" w:rsidP="005061A2">
      <w:pPr>
        <w:autoSpaceDE w:val="0"/>
        <w:autoSpaceDN w:val="0"/>
        <w:adjustRightInd w:val="0"/>
        <w:spacing w:after="0" w:line="240" w:lineRule="auto"/>
        <w:ind w:left="4320"/>
        <w:rPr>
          <w:rFonts w:cs="Times New Roman"/>
          <w:szCs w:val="24"/>
        </w:rPr>
      </w:pPr>
      <w:r w:rsidRPr="005A6964">
        <w:rPr>
          <w:rFonts w:cs="Times New Roman"/>
          <w:szCs w:val="24"/>
        </w:rPr>
        <w:t>Telephone: 419-410-7069</w:t>
      </w:r>
    </w:p>
    <w:p w:rsidR="005061A2" w:rsidRPr="005A6964" w:rsidRDefault="00880C30" w:rsidP="005061A2">
      <w:pPr>
        <w:autoSpaceDE w:val="0"/>
        <w:autoSpaceDN w:val="0"/>
        <w:adjustRightInd w:val="0"/>
        <w:spacing w:after="0" w:line="240" w:lineRule="auto"/>
        <w:ind w:left="4320"/>
        <w:rPr>
          <w:rFonts w:cs="Times New Roman"/>
          <w:szCs w:val="24"/>
        </w:rPr>
      </w:pPr>
      <w:hyperlink r:id="rId17" w:history="1">
        <w:r w:rsidR="005061A2" w:rsidRPr="005A6964">
          <w:rPr>
            <w:rStyle w:val="Hyperlink"/>
            <w:rFonts w:cs="Times New Roman"/>
            <w:szCs w:val="24"/>
          </w:rPr>
          <w:t>trhayslaw@gmail.com</w:t>
        </w:r>
      </w:hyperlink>
    </w:p>
    <w:p w:rsidR="005061A2" w:rsidRPr="005A6964" w:rsidRDefault="005061A2" w:rsidP="005061A2">
      <w:pPr>
        <w:autoSpaceDE w:val="0"/>
        <w:autoSpaceDN w:val="0"/>
        <w:adjustRightInd w:val="0"/>
        <w:spacing w:after="0" w:line="240" w:lineRule="auto"/>
        <w:ind w:left="4320"/>
        <w:rPr>
          <w:rFonts w:cs="Times New Roman"/>
          <w:szCs w:val="24"/>
        </w:rPr>
      </w:pPr>
      <w:r w:rsidRPr="005A6964">
        <w:t>(Will accept service via email)</w:t>
      </w:r>
    </w:p>
    <w:p w:rsidR="005061A2" w:rsidRPr="005A6964" w:rsidRDefault="005061A2" w:rsidP="005061A2">
      <w:pPr>
        <w:autoSpaceDE w:val="0"/>
        <w:autoSpaceDN w:val="0"/>
        <w:adjustRightInd w:val="0"/>
        <w:spacing w:after="0" w:line="240" w:lineRule="auto"/>
        <w:ind w:left="4320"/>
        <w:rPr>
          <w:rFonts w:cs="Times New Roman"/>
          <w:szCs w:val="24"/>
        </w:rPr>
      </w:pPr>
      <w:r w:rsidRPr="005A6964">
        <w:rPr>
          <w:rFonts w:cs="Times New Roman"/>
          <w:szCs w:val="24"/>
        </w:rPr>
        <w:br w:type="page"/>
      </w:r>
    </w:p>
    <w:p w:rsidR="005061A2" w:rsidRPr="005A6964" w:rsidRDefault="005061A2" w:rsidP="005061A2">
      <w:pPr>
        <w:jc w:val="center"/>
        <w:rPr>
          <w:rFonts w:cs="Times New Roman"/>
          <w:b/>
          <w:szCs w:val="24"/>
          <w:u w:val="single"/>
        </w:rPr>
      </w:pPr>
      <w:r w:rsidRPr="005A6964">
        <w:rPr>
          <w:rFonts w:cs="Times New Roman"/>
          <w:b/>
          <w:bCs/>
          <w:szCs w:val="24"/>
          <w:u w:val="single"/>
        </w:rPr>
        <w:t>CERTIFICATE OF SERVICE</w:t>
      </w:r>
    </w:p>
    <w:p w:rsidR="005061A2" w:rsidRPr="005A6964" w:rsidRDefault="005061A2" w:rsidP="005061A2">
      <w:pPr>
        <w:suppressAutoHyphens/>
        <w:spacing w:line="480" w:lineRule="auto"/>
        <w:ind w:firstLine="720"/>
        <w:rPr>
          <w:rFonts w:cs="Times New Roman"/>
          <w:szCs w:val="24"/>
        </w:rPr>
      </w:pPr>
      <w:r w:rsidRPr="005A6964">
        <w:rPr>
          <w:rFonts w:cs="Times New Roman"/>
          <w:szCs w:val="24"/>
        </w:rPr>
        <w:t xml:space="preserve">It is hereby certified that a true copy of the foregoing </w:t>
      </w:r>
      <w:r w:rsidR="00D77B9A" w:rsidRPr="005A6964">
        <w:rPr>
          <w:rFonts w:cs="Times New Roman"/>
          <w:szCs w:val="24"/>
        </w:rPr>
        <w:t xml:space="preserve">Reply </w:t>
      </w:r>
      <w:r w:rsidRPr="005A6964">
        <w:rPr>
          <w:rFonts w:cs="Times New Roman"/>
          <w:iCs/>
          <w:szCs w:val="24"/>
        </w:rPr>
        <w:t>Brief</w:t>
      </w:r>
      <w:r w:rsidRPr="005A6964">
        <w:rPr>
          <w:rFonts w:cs="Times New Roman"/>
          <w:szCs w:val="24"/>
        </w:rPr>
        <w:t xml:space="preserve"> was served upon the persons listed below via electronic transmission this </w:t>
      </w:r>
      <w:r w:rsidR="00D77B9A" w:rsidRPr="005A6964">
        <w:rPr>
          <w:rFonts w:cs="Times New Roman"/>
          <w:szCs w:val="24"/>
        </w:rPr>
        <w:t>2</w:t>
      </w:r>
      <w:r w:rsidRPr="005A6964">
        <w:rPr>
          <w:rFonts w:cs="Times New Roman"/>
          <w:szCs w:val="24"/>
        </w:rPr>
        <w:t>6</w:t>
      </w:r>
      <w:r w:rsidRPr="005A6964">
        <w:rPr>
          <w:rFonts w:cs="Times New Roman"/>
          <w:szCs w:val="24"/>
          <w:vertAlign w:val="superscript"/>
        </w:rPr>
        <w:t>th</w:t>
      </w:r>
      <w:r w:rsidRPr="005A6964">
        <w:rPr>
          <w:rFonts w:cs="Times New Roman"/>
          <w:szCs w:val="24"/>
        </w:rPr>
        <w:t xml:space="preserve"> day of February, 2016.</w:t>
      </w:r>
    </w:p>
    <w:p w:rsidR="008B5AE4" w:rsidRPr="005A6964" w:rsidRDefault="005061A2" w:rsidP="005061A2">
      <w:pPr>
        <w:pStyle w:val="EndnoteText"/>
        <w:widowControl/>
        <w:rPr>
          <w:rFonts w:ascii="Times New Roman" w:hAnsi="Times New Roman"/>
          <w:snapToGrid/>
          <w:szCs w:val="24"/>
        </w:rPr>
      </w:pPr>
      <w:r w:rsidRPr="005A6964">
        <w:rPr>
          <w:rFonts w:ascii="Times New Roman" w:hAnsi="Times New Roman"/>
          <w:snapToGrid/>
          <w:szCs w:val="24"/>
        </w:rPr>
        <w:tab/>
      </w:r>
      <w:r w:rsidRPr="005A6964">
        <w:rPr>
          <w:rFonts w:ascii="Times New Roman" w:hAnsi="Times New Roman"/>
          <w:snapToGrid/>
          <w:szCs w:val="24"/>
        </w:rPr>
        <w:tab/>
      </w:r>
      <w:r w:rsidRPr="005A6964">
        <w:rPr>
          <w:rFonts w:ascii="Times New Roman" w:hAnsi="Times New Roman"/>
          <w:snapToGrid/>
          <w:szCs w:val="24"/>
        </w:rPr>
        <w:tab/>
      </w:r>
      <w:r w:rsidRPr="005A6964">
        <w:rPr>
          <w:rFonts w:ascii="Times New Roman" w:hAnsi="Times New Roman"/>
          <w:snapToGrid/>
          <w:szCs w:val="24"/>
        </w:rPr>
        <w:tab/>
      </w:r>
      <w:r w:rsidRPr="005A6964">
        <w:rPr>
          <w:rFonts w:ascii="Times New Roman" w:hAnsi="Times New Roman"/>
          <w:snapToGrid/>
          <w:szCs w:val="24"/>
        </w:rPr>
        <w:tab/>
      </w:r>
      <w:r w:rsidRPr="005A6964">
        <w:rPr>
          <w:rFonts w:ascii="Times New Roman" w:hAnsi="Times New Roman"/>
          <w:snapToGrid/>
          <w:szCs w:val="24"/>
        </w:rPr>
        <w:tab/>
      </w:r>
      <w:r w:rsidRPr="005A6964">
        <w:rPr>
          <w:rFonts w:ascii="Times New Roman" w:hAnsi="Times New Roman"/>
          <w:snapToGrid/>
          <w:szCs w:val="24"/>
        </w:rPr>
        <w:tab/>
      </w:r>
      <w:r w:rsidR="000C7763" w:rsidRPr="005A6964">
        <w:rPr>
          <w:rFonts w:ascii="Times New Roman" w:hAnsi="Times New Roman"/>
          <w:i/>
          <w:snapToGrid/>
          <w:szCs w:val="24"/>
          <w:u w:val="single"/>
        </w:rPr>
        <w:t>/s/ Larry S. Sauer</w:t>
      </w:r>
      <w:r w:rsidR="008B5AE4" w:rsidRPr="005A6964">
        <w:rPr>
          <w:rFonts w:ascii="Times New Roman" w:hAnsi="Times New Roman"/>
          <w:snapToGrid/>
          <w:szCs w:val="24"/>
        </w:rPr>
        <w:t>_________</w:t>
      </w:r>
    </w:p>
    <w:p w:rsidR="005061A2" w:rsidRPr="005A6964" w:rsidRDefault="008B5AE4" w:rsidP="005061A2">
      <w:pPr>
        <w:pStyle w:val="EndnoteText"/>
        <w:widowControl/>
        <w:rPr>
          <w:rFonts w:ascii="Times New Roman" w:hAnsi="Times New Roman"/>
          <w:snapToGrid/>
          <w:szCs w:val="24"/>
        </w:rPr>
      </w:pPr>
      <w:r w:rsidRPr="005A6964">
        <w:rPr>
          <w:rFonts w:ascii="Times New Roman" w:hAnsi="Times New Roman"/>
          <w:snapToGrid/>
          <w:szCs w:val="24"/>
        </w:rPr>
        <w:tab/>
      </w:r>
      <w:r w:rsidRPr="005A6964">
        <w:rPr>
          <w:rFonts w:ascii="Times New Roman" w:hAnsi="Times New Roman"/>
          <w:snapToGrid/>
          <w:szCs w:val="24"/>
        </w:rPr>
        <w:tab/>
      </w:r>
      <w:r w:rsidRPr="005A6964">
        <w:rPr>
          <w:rFonts w:ascii="Times New Roman" w:hAnsi="Times New Roman"/>
          <w:snapToGrid/>
          <w:szCs w:val="24"/>
        </w:rPr>
        <w:tab/>
      </w:r>
      <w:r w:rsidRPr="005A6964">
        <w:rPr>
          <w:rFonts w:ascii="Times New Roman" w:hAnsi="Times New Roman"/>
          <w:snapToGrid/>
          <w:szCs w:val="24"/>
        </w:rPr>
        <w:tab/>
      </w:r>
      <w:r w:rsidRPr="005A6964">
        <w:rPr>
          <w:rFonts w:ascii="Times New Roman" w:hAnsi="Times New Roman"/>
          <w:snapToGrid/>
          <w:szCs w:val="24"/>
        </w:rPr>
        <w:tab/>
      </w:r>
      <w:r w:rsidRPr="005A6964">
        <w:rPr>
          <w:rFonts w:ascii="Times New Roman" w:hAnsi="Times New Roman"/>
          <w:snapToGrid/>
          <w:szCs w:val="24"/>
        </w:rPr>
        <w:tab/>
      </w:r>
      <w:r w:rsidRPr="005A6964">
        <w:rPr>
          <w:rFonts w:ascii="Times New Roman" w:hAnsi="Times New Roman"/>
          <w:snapToGrid/>
          <w:szCs w:val="24"/>
        </w:rPr>
        <w:tab/>
      </w:r>
      <w:r w:rsidR="005061A2" w:rsidRPr="005A6964">
        <w:rPr>
          <w:rFonts w:ascii="Times New Roman" w:hAnsi="Times New Roman"/>
          <w:snapToGrid/>
          <w:szCs w:val="24"/>
        </w:rPr>
        <w:t>Larry S. Sauer</w:t>
      </w:r>
    </w:p>
    <w:p w:rsidR="005061A2" w:rsidRPr="005A6964" w:rsidRDefault="005061A2" w:rsidP="005061A2">
      <w:pPr>
        <w:pStyle w:val="EndnoteText"/>
        <w:widowControl/>
        <w:rPr>
          <w:rFonts w:ascii="Times New Roman" w:hAnsi="Times New Roman"/>
          <w:snapToGrid/>
          <w:szCs w:val="24"/>
        </w:rPr>
      </w:pPr>
      <w:r w:rsidRPr="005A6964">
        <w:rPr>
          <w:rFonts w:ascii="Times New Roman" w:hAnsi="Times New Roman"/>
          <w:snapToGrid/>
          <w:szCs w:val="24"/>
        </w:rPr>
        <w:tab/>
      </w:r>
      <w:r w:rsidRPr="005A6964">
        <w:rPr>
          <w:rFonts w:ascii="Times New Roman" w:hAnsi="Times New Roman"/>
          <w:snapToGrid/>
          <w:szCs w:val="24"/>
        </w:rPr>
        <w:tab/>
      </w:r>
      <w:r w:rsidRPr="005A6964">
        <w:rPr>
          <w:rFonts w:ascii="Times New Roman" w:hAnsi="Times New Roman"/>
          <w:snapToGrid/>
          <w:szCs w:val="24"/>
        </w:rPr>
        <w:tab/>
      </w:r>
      <w:r w:rsidRPr="005A6964">
        <w:rPr>
          <w:rFonts w:ascii="Times New Roman" w:hAnsi="Times New Roman"/>
          <w:snapToGrid/>
          <w:szCs w:val="24"/>
        </w:rPr>
        <w:tab/>
      </w:r>
      <w:r w:rsidRPr="005A6964">
        <w:rPr>
          <w:rFonts w:ascii="Times New Roman" w:hAnsi="Times New Roman"/>
          <w:snapToGrid/>
          <w:szCs w:val="24"/>
        </w:rPr>
        <w:tab/>
      </w:r>
      <w:r w:rsidRPr="005A6964">
        <w:rPr>
          <w:rFonts w:ascii="Times New Roman" w:hAnsi="Times New Roman"/>
          <w:snapToGrid/>
          <w:szCs w:val="24"/>
        </w:rPr>
        <w:tab/>
      </w:r>
      <w:r w:rsidRPr="005A6964">
        <w:rPr>
          <w:rFonts w:ascii="Times New Roman" w:hAnsi="Times New Roman"/>
          <w:snapToGrid/>
          <w:szCs w:val="24"/>
        </w:rPr>
        <w:tab/>
        <w:t>Assistant Consumers’ Counsel</w:t>
      </w:r>
    </w:p>
    <w:p w:rsidR="005061A2" w:rsidRPr="005A6964" w:rsidRDefault="005061A2" w:rsidP="005061A2">
      <w:pPr>
        <w:pStyle w:val="CommentText"/>
        <w:jc w:val="center"/>
        <w:rPr>
          <w:b/>
          <w:u w:val="single"/>
        </w:rPr>
      </w:pPr>
    </w:p>
    <w:p w:rsidR="005061A2" w:rsidRPr="005A6964" w:rsidRDefault="005061A2" w:rsidP="005061A2">
      <w:pPr>
        <w:pStyle w:val="CommentText"/>
        <w:jc w:val="center"/>
        <w:rPr>
          <w:b/>
          <w:sz w:val="24"/>
          <w:szCs w:val="24"/>
          <w:u w:val="single"/>
        </w:rPr>
      </w:pPr>
      <w:r w:rsidRPr="005A6964">
        <w:rPr>
          <w:b/>
          <w:sz w:val="24"/>
          <w:szCs w:val="24"/>
          <w:u w:val="single"/>
        </w:rPr>
        <w:t>SERVICE LIST</w:t>
      </w:r>
    </w:p>
    <w:p w:rsidR="008F3817" w:rsidRPr="005A6964" w:rsidRDefault="008F3817" w:rsidP="005061A2">
      <w:pPr>
        <w:pStyle w:val="CommentText"/>
        <w:jc w:val="center"/>
        <w:rPr>
          <w:b/>
          <w:sz w:val="24"/>
          <w:szCs w:val="24"/>
          <w:u w:val="single"/>
        </w:rPr>
      </w:pPr>
    </w:p>
    <w:tbl>
      <w:tblPr>
        <w:tblW w:w="0" w:type="auto"/>
        <w:tblLook w:val="01E0" w:firstRow="1" w:lastRow="1" w:firstColumn="1" w:lastColumn="1" w:noHBand="0" w:noVBand="0"/>
      </w:tblPr>
      <w:tblGrid>
        <w:gridCol w:w="4428"/>
        <w:gridCol w:w="4428"/>
      </w:tblGrid>
      <w:tr w:rsidR="008F3817" w:rsidRPr="00036909" w:rsidTr="007D6B2A">
        <w:tc>
          <w:tcPr>
            <w:tcW w:w="4428" w:type="dxa"/>
          </w:tcPr>
          <w:p w:rsidR="008F3817" w:rsidRPr="005A6964" w:rsidRDefault="00880C30" w:rsidP="008F3817">
            <w:pPr>
              <w:autoSpaceDE w:val="0"/>
              <w:autoSpaceDN w:val="0"/>
              <w:adjustRightInd w:val="0"/>
              <w:spacing w:after="0" w:line="240" w:lineRule="auto"/>
              <w:rPr>
                <w:rFonts w:cs="Times New Roman"/>
                <w:szCs w:val="24"/>
              </w:rPr>
            </w:pPr>
            <w:hyperlink r:id="rId18" w:history="1">
              <w:r w:rsidR="008F3817" w:rsidRPr="005A6964">
                <w:rPr>
                  <w:rStyle w:val="Hyperlink"/>
                </w:rPr>
                <w:t>Thomas.mcnamee@puc.state.oh.us</w:t>
              </w:r>
            </w:hyperlink>
          </w:p>
          <w:p w:rsidR="008F3817" w:rsidRPr="005A6964" w:rsidRDefault="00880C30" w:rsidP="008F3817">
            <w:pPr>
              <w:autoSpaceDE w:val="0"/>
              <w:autoSpaceDN w:val="0"/>
              <w:adjustRightInd w:val="0"/>
              <w:spacing w:after="0" w:line="240" w:lineRule="auto"/>
              <w:rPr>
                <w:rFonts w:cs="Times New Roman"/>
                <w:color w:val="0000FF" w:themeColor="hyperlink"/>
                <w:szCs w:val="24"/>
                <w:u w:val="single"/>
              </w:rPr>
            </w:pPr>
            <w:hyperlink r:id="rId19" w:history="1">
              <w:r w:rsidR="008F3817" w:rsidRPr="005A6964">
                <w:rPr>
                  <w:rStyle w:val="Hyperlink"/>
                </w:rPr>
                <w:t>Thomas.lindgren@puc.state.oh.us</w:t>
              </w:r>
            </w:hyperlink>
          </w:p>
          <w:p w:rsidR="008F3817" w:rsidRPr="005A6964" w:rsidRDefault="00880C30" w:rsidP="008F3817">
            <w:pPr>
              <w:autoSpaceDE w:val="0"/>
              <w:autoSpaceDN w:val="0"/>
              <w:adjustRightInd w:val="0"/>
              <w:spacing w:after="0" w:line="240" w:lineRule="auto"/>
              <w:rPr>
                <w:rFonts w:cs="Times New Roman"/>
                <w:color w:val="0000FF" w:themeColor="hyperlink"/>
                <w:szCs w:val="24"/>
                <w:u w:val="single"/>
              </w:rPr>
            </w:pPr>
            <w:hyperlink r:id="rId20" w:history="1">
              <w:r w:rsidR="008F3817" w:rsidRPr="005A6964">
                <w:rPr>
                  <w:rStyle w:val="Hyperlink"/>
                </w:rPr>
                <w:t>Steven.beeler@puc.state.oh.us</w:t>
              </w:r>
            </w:hyperlink>
          </w:p>
          <w:p w:rsidR="008F3817" w:rsidRPr="005A6964" w:rsidRDefault="00880C30" w:rsidP="008F3817">
            <w:pPr>
              <w:autoSpaceDE w:val="0"/>
              <w:autoSpaceDN w:val="0"/>
              <w:adjustRightInd w:val="0"/>
              <w:spacing w:after="0" w:line="240" w:lineRule="auto"/>
              <w:rPr>
                <w:rFonts w:cs="Times New Roman"/>
                <w:szCs w:val="24"/>
              </w:rPr>
            </w:pPr>
            <w:hyperlink r:id="rId21" w:history="1">
              <w:r w:rsidR="008F3817" w:rsidRPr="005A6964">
                <w:rPr>
                  <w:rStyle w:val="Hyperlink"/>
                </w:rPr>
                <w:t>mkurtz@BKLlawfirm.com</w:t>
              </w:r>
            </w:hyperlink>
          </w:p>
          <w:p w:rsidR="008F3817" w:rsidRPr="005A6964" w:rsidRDefault="00880C30" w:rsidP="008F3817">
            <w:pPr>
              <w:autoSpaceDE w:val="0"/>
              <w:autoSpaceDN w:val="0"/>
              <w:adjustRightInd w:val="0"/>
              <w:spacing w:after="0" w:line="240" w:lineRule="auto"/>
              <w:rPr>
                <w:rFonts w:cs="Times New Roman"/>
                <w:szCs w:val="24"/>
              </w:rPr>
            </w:pPr>
            <w:hyperlink r:id="rId22" w:history="1">
              <w:r w:rsidR="008F3817" w:rsidRPr="005A6964">
                <w:rPr>
                  <w:rStyle w:val="Hyperlink"/>
                </w:rPr>
                <w:t>kboehm@BKLlawfirm.com</w:t>
              </w:r>
            </w:hyperlink>
          </w:p>
          <w:p w:rsidR="008F3817" w:rsidRPr="005A6964" w:rsidRDefault="00880C30" w:rsidP="008F3817">
            <w:pPr>
              <w:autoSpaceDE w:val="0"/>
              <w:autoSpaceDN w:val="0"/>
              <w:adjustRightInd w:val="0"/>
              <w:spacing w:after="0" w:line="240" w:lineRule="auto"/>
              <w:rPr>
                <w:rFonts w:cs="Times New Roman"/>
                <w:szCs w:val="24"/>
              </w:rPr>
            </w:pPr>
            <w:hyperlink r:id="rId23" w:history="1">
              <w:r w:rsidR="008F3817" w:rsidRPr="005A6964">
                <w:rPr>
                  <w:rStyle w:val="Hyperlink"/>
                </w:rPr>
                <w:t>jkylercohn@BKLlawfirm.com</w:t>
              </w:r>
            </w:hyperlink>
          </w:p>
          <w:p w:rsidR="008F3817" w:rsidRPr="005A6964" w:rsidRDefault="00880C30" w:rsidP="008F3817">
            <w:pPr>
              <w:autoSpaceDE w:val="0"/>
              <w:autoSpaceDN w:val="0"/>
              <w:adjustRightInd w:val="0"/>
              <w:spacing w:after="0" w:line="240" w:lineRule="auto"/>
              <w:rPr>
                <w:rFonts w:cs="Times New Roman"/>
                <w:color w:val="0000FF"/>
                <w:szCs w:val="24"/>
              </w:rPr>
            </w:pPr>
            <w:hyperlink r:id="rId24" w:history="1">
              <w:r w:rsidR="008F3817" w:rsidRPr="005A6964">
                <w:rPr>
                  <w:rStyle w:val="Hyperlink"/>
                </w:rPr>
                <w:t>stnourse@aep.com</w:t>
              </w:r>
            </w:hyperlink>
          </w:p>
          <w:p w:rsidR="008F3817" w:rsidRPr="005A6964" w:rsidRDefault="00880C30" w:rsidP="008F3817">
            <w:pPr>
              <w:autoSpaceDE w:val="0"/>
              <w:autoSpaceDN w:val="0"/>
              <w:adjustRightInd w:val="0"/>
              <w:spacing w:after="0" w:line="240" w:lineRule="auto"/>
              <w:rPr>
                <w:rFonts w:cs="Times New Roman"/>
                <w:color w:val="0000FF"/>
                <w:szCs w:val="24"/>
              </w:rPr>
            </w:pPr>
            <w:hyperlink r:id="rId25" w:history="1">
              <w:r w:rsidR="008F3817" w:rsidRPr="005A6964">
                <w:rPr>
                  <w:rStyle w:val="Hyperlink"/>
                </w:rPr>
                <w:t>mjsatterwhite@aep.com</w:t>
              </w:r>
            </w:hyperlink>
          </w:p>
          <w:p w:rsidR="008F3817" w:rsidRPr="005A6964" w:rsidRDefault="00880C30" w:rsidP="008F3817">
            <w:pPr>
              <w:autoSpaceDE w:val="0"/>
              <w:autoSpaceDN w:val="0"/>
              <w:adjustRightInd w:val="0"/>
              <w:spacing w:after="0" w:line="240" w:lineRule="auto"/>
              <w:rPr>
                <w:rFonts w:cs="Times New Roman"/>
                <w:color w:val="0000FF" w:themeColor="hyperlink"/>
                <w:szCs w:val="24"/>
                <w:u w:val="single"/>
              </w:rPr>
            </w:pPr>
            <w:hyperlink r:id="rId26" w:history="1">
              <w:r w:rsidR="008F3817" w:rsidRPr="005A6964">
                <w:rPr>
                  <w:rStyle w:val="Hyperlink"/>
                </w:rPr>
                <w:t>yalami@aep.com</w:t>
              </w:r>
            </w:hyperlink>
          </w:p>
          <w:p w:rsidR="008F3817" w:rsidRPr="005A6964" w:rsidRDefault="00880C30" w:rsidP="008F3817">
            <w:pPr>
              <w:autoSpaceDE w:val="0"/>
              <w:autoSpaceDN w:val="0"/>
              <w:adjustRightInd w:val="0"/>
              <w:spacing w:after="0" w:line="240" w:lineRule="auto"/>
              <w:rPr>
                <w:rFonts w:cs="Times New Roman"/>
                <w:color w:val="0000FF" w:themeColor="hyperlink"/>
                <w:szCs w:val="24"/>
                <w:u w:val="single"/>
              </w:rPr>
            </w:pPr>
            <w:hyperlink r:id="rId27" w:history="1">
              <w:r w:rsidR="008F3817" w:rsidRPr="005A6964">
                <w:rPr>
                  <w:rStyle w:val="Hyperlink"/>
                </w:rPr>
                <w:t>Jennifer.spinosi@directenergy.com</w:t>
              </w:r>
            </w:hyperlink>
          </w:p>
          <w:p w:rsidR="008F3817" w:rsidRPr="005A6964" w:rsidRDefault="00880C30" w:rsidP="008F3817">
            <w:pPr>
              <w:autoSpaceDE w:val="0"/>
              <w:autoSpaceDN w:val="0"/>
              <w:adjustRightInd w:val="0"/>
              <w:spacing w:after="0" w:line="240" w:lineRule="auto"/>
              <w:rPr>
                <w:rFonts w:cs="Times New Roman"/>
                <w:color w:val="0000FF"/>
                <w:szCs w:val="24"/>
              </w:rPr>
            </w:pPr>
            <w:hyperlink r:id="rId28" w:history="1">
              <w:r w:rsidR="008F3817" w:rsidRPr="005A6964">
                <w:rPr>
                  <w:rStyle w:val="Hyperlink"/>
                </w:rPr>
                <w:t>ghull@eckertseamans.com</w:t>
              </w:r>
            </w:hyperlink>
          </w:p>
          <w:p w:rsidR="008F3817" w:rsidRPr="005A6964" w:rsidRDefault="00880C30" w:rsidP="008F3817">
            <w:pPr>
              <w:autoSpaceDE w:val="0"/>
              <w:autoSpaceDN w:val="0"/>
              <w:adjustRightInd w:val="0"/>
              <w:spacing w:after="0" w:line="240" w:lineRule="auto"/>
              <w:rPr>
                <w:rFonts w:cs="Times New Roman"/>
                <w:szCs w:val="24"/>
              </w:rPr>
            </w:pPr>
            <w:hyperlink r:id="rId29" w:history="1">
              <w:r w:rsidR="008F3817" w:rsidRPr="005A6964">
                <w:rPr>
                  <w:rStyle w:val="Hyperlink"/>
                </w:rPr>
                <w:t>dparram@taftlaw.com</w:t>
              </w:r>
            </w:hyperlink>
          </w:p>
          <w:p w:rsidR="008F3817" w:rsidRPr="005A6964" w:rsidRDefault="00880C30" w:rsidP="008F3817">
            <w:pPr>
              <w:autoSpaceDE w:val="0"/>
              <w:autoSpaceDN w:val="0"/>
              <w:adjustRightInd w:val="0"/>
              <w:spacing w:after="0" w:line="240" w:lineRule="auto"/>
              <w:rPr>
                <w:rFonts w:cs="Times New Roman"/>
                <w:szCs w:val="24"/>
              </w:rPr>
            </w:pPr>
            <w:hyperlink r:id="rId30" w:history="1">
              <w:r w:rsidR="008F3817" w:rsidRPr="005A6964">
                <w:rPr>
                  <w:rStyle w:val="Hyperlink"/>
                </w:rPr>
                <w:t>Schmidt@sppgrp.com</w:t>
              </w:r>
            </w:hyperlink>
          </w:p>
          <w:p w:rsidR="008F3817" w:rsidRPr="005A6964" w:rsidRDefault="00880C30" w:rsidP="008F3817">
            <w:pPr>
              <w:autoSpaceDE w:val="0"/>
              <w:autoSpaceDN w:val="0"/>
              <w:adjustRightInd w:val="0"/>
              <w:spacing w:after="0" w:line="240" w:lineRule="auto"/>
              <w:rPr>
                <w:rFonts w:cs="Times New Roman"/>
                <w:color w:val="0000FF"/>
                <w:szCs w:val="24"/>
              </w:rPr>
            </w:pPr>
            <w:hyperlink r:id="rId31" w:history="1">
              <w:r w:rsidR="008F3817" w:rsidRPr="005A6964">
                <w:rPr>
                  <w:rStyle w:val="Hyperlink"/>
                </w:rPr>
                <w:t>ricks@ohanet.org</w:t>
              </w:r>
            </w:hyperlink>
          </w:p>
          <w:p w:rsidR="008F3817" w:rsidRPr="005A6964" w:rsidRDefault="00880C30" w:rsidP="008F3817">
            <w:pPr>
              <w:autoSpaceDE w:val="0"/>
              <w:autoSpaceDN w:val="0"/>
              <w:adjustRightInd w:val="0"/>
              <w:spacing w:after="0" w:line="240" w:lineRule="auto"/>
              <w:rPr>
                <w:rFonts w:cs="Times New Roman"/>
                <w:color w:val="0000FF"/>
                <w:szCs w:val="24"/>
              </w:rPr>
            </w:pPr>
            <w:hyperlink r:id="rId32" w:history="1">
              <w:r w:rsidR="008F3817" w:rsidRPr="005A6964">
                <w:rPr>
                  <w:rStyle w:val="Hyperlink"/>
                </w:rPr>
                <w:t>tobrien@bricker.com</w:t>
              </w:r>
            </w:hyperlink>
          </w:p>
          <w:p w:rsidR="008F3817" w:rsidRPr="005A6964" w:rsidRDefault="00880C30" w:rsidP="008F3817">
            <w:pPr>
              <w:autoSpaceDE w:val="0"/>
              <w:autoSpaceDN w:val="0"/>
              <w:adjustRightInd w:val="0"/>
              <w:spacing w:after="0" w:line="240" w:lineRule="auto"/>
              <w:rPr>
                <w:rFonts w:cs="Times New Roman"/>
                <w:szCs w:val="24"/>
              </w:rPr>
            </w:pPr>
            <w:hyperlink r:id="rId33" w:history="1">
              <w:r w:rsidR="008F3817" w:rsidRPr="005A6964">
                <w:rPr>
                  <w:rStyle w:val="Hyperlink"/>
                </w:rPr>
                <w:t>mkl@smxblaw.com</w:t>
              </w:r>
            </w:hyperlink>
          </w:p>
          <w:p w:rsidR="008F3817" w:rsidRPr="005A6964" w:rsidRDefault="00880C30" w:rsidP="008F3817">
            <w:pPr>
              <w:autoSpaceDE w:val="0"/>
              <w:autoSpaceDN w:val="0"/>
              <w:adjustRightInd w:val="0"/>
              <w:spacing w:after="0" w:line="240" w:lineRule="auto"/>
              <w:rPr>
                <w:rFonts w:cs="Times New Roman"/>
                <w:szCs w:val="24"/>
              </w:rPr>
            </w:pPr>
            <w:hyperlink r:id="rId34" w:history="1">
              <w:r w:rsidR="008F3817" w:rsidRPr="005A6964">
                <w:rPr>
                  <w:rStyle w:val="Hyperlink"/>
                </w:rPr>
                <w:t>gas@smxblaw.com</w:t>
              </w:r>
            </w:hyperlink>
          </w:p>
          <w:p w:rsidR="008F3817" w:rsidRPr="005A6964" w:rsidRDefault="00880C30" w:rsidP="008F3817">
            <w:pPr>
              <w:autoSpaceDE w:val="0"/>
              <w:autoSpaceDN w:val="0"/>
              <w:adjustRightInd w:val="0"/>
              <w:spacing w:after="0" w:line="240" w:lineRule="auto"/>
              <w:rPr>
                <w:rFonts w:cs="Times New Roman"/>
                <w:szCs w:val="24"/>
              </w:rPr>
            </w:pPr>
            <w:hyperlink r:id="rId35" w:history="1">
              <w:r w:rsidR="008F3817" w:rsidRPr="005A6964">
                <w:rPr>
                  <w:rStyle w:val="Hyperlink"/>
                </w:rPr>
                <w:t>wttpmlc@aol.com</w:t>
              </w:r>
            </w:hyperlink>
          </w:p>
          <w:p w:rsidR="008F3817" w:rsidRPr="005A6964" w:rsidRDefault="00880C30" w:rsidP="008F3817">
            <w:pPr>
              <w:autoSpaceDE w:val="0"/>
              <w:autoSpaceDN w:val="0"/>
              <w:adjustRightInd w:val="0"/>
              <w:spacing w:after="0" w:line="240" w:lineRule="auto"/>
              <w:rPr>
                <w:rFonts w:cs="Times New Roman"/>
                <w:szCs w:val="24"/>
              </w:rPr>
            </w:pPr>
            <w:hyperlink r:id="rId36" w:history="1">
              <w:r w:rsidR="008F3817" w:rsidRPr="005A6964">
                <w:rPr>
                  <w:rStyle w:val="Hyperlink"/>
                </w:rPr>
                <w:t>lhawrot@spilmanlaw.com</w:t>
              </w:r>
            </w:hyperlink>
          </w:p>
          <w:p w:rsidR="008F3817" w:rsidRPr="005A6964" w:rsidRDefault="00880C30" w:rsidP="008F3817">
            <w:pPr>
              <w:autoSpaceDE w:val="0"/>
              <w:autoSpaceDN w:val="0"/>
              <w:adjustRightInd w:val="0"/>
              <w:spacing w:after="0" w:line="240" w:lineRule="auto"/>
              <w:rPr>
                <w:rFonts w:cs="Times New Roman"/>
                <w:color w:val="0000FF"/>
                <w:szCs w:val="24"/>
              </w:rPr>
            </w:pPr>
            <w:hyperlink r:id="rId37" w:history="1">
              <w:r w:rsidR="008F3817" w:rsidRPr="005A6964">
                <w:rPr>
                  <w:rStyle w:val="Hyperlink"/>
                </w:rPr>
                <w:t>dwilliamson@spilmanlaw.com</w:t>
              </w:r>
            </w:hyperlink>
          </w:p>
          <w:p w:rsidR="008F3817" w:rsidRPr="005A6964" w:rsidRDefault="00880C30" w:rsidP="008F3817">
            <w:pPr>
              <w:autoSpaceDE w:val="0"/>
              <w:autoSpaceDN w:val="0"/>
              <w:adjustRightInd w:val="0"/>
              <w:spacing w:after="0" w:line="240" w:lineRule="auto"/>
              <w:rPr>
                <w:rFonts w:cs="Times New Roman"/>
                <w:color w:val="0000FF"/>
                <w:szCs w:val="24"/>
              </w:rPr>
            </w:pPr>
            <w:hyperlink r:id="rId38" w:history="1">
              <w:r w:rsidR="008F3817" w:rsidRPr="005A6964">
                <w:rPr>
                  <w:rStyle w:val="Hyperlink"/>
                </w:rPr>
                <w:t>blanghenry@city.cleveland.oh.us</w:t>
              </w:r>
            </w:hyperlink>
          </w:p>
          <w:p w:rsidR="008F3817" w:rsidRPr="005A6964" w:rsidRDefault="00880C30" w:rsidP="008F3817">
            <w:pPr>
              <w:autoSpaceDE w:val="0"/>
              <w:autoSpaceDN w:val="0"/>
              <w:adjustRightInd w:val="0"/>
              <w:spacing w:after="0" w:line="240" w:lineRule="auto"/>
              <w:rPr>
                <w:rFonts w:cs="Times New Roman"/>
                <w:color w:val="0000FF"/>
                <w:szCs w:val="24"/>
              </w:rPr>
            </w:pPr>
            <w:hyperlink r:id="rId39" w:history="1">
              <w:r w:rsidR="008F3817" w:rsidRPr="005A6964">
                <w:rPr>
                  <w:rStyle w:val="Hyperlink"/>
                </w:rPr>
                <w:t>hmadorsky@city.cleveland.oh.us</w:t>
              </w:r>
            </w:hyperlink>
          </w:p>
          <w:p w:rsidR="008F3817" w:rsidRPr="005A6964" w:rsidRDefault="00880C30" w:rsidP="008F3817">
            <w:pPr>
              <w:autoSpaceDE w:val="0"/>
              <w:autoSpaceDN w:val="0"/>
              <w:adjustRightInd w:val="0"/>
              <w:spacing w:after="0" w:line="240" w:lineRule="auto"/>
              <w:rPr>
                <w:rFonts w:cs="Times New Roman"/>
                <w:color w:val="0000FF" w:themeColor="hyperlink"/>
                <w:szCs w:val="24"/>
                <w:u w:val="single"/>
              </w:rPr>
            </w:pPr>
            <w:hyperlink r:id="rId40" w:history="1">
              <w:r w:rsidR="008F3817" w:rsidRPr="005A6964">
                <w:rPr>
                  <w:rStyle w:val="Hyperlink"/>
                </w:rPr>
                <w:t>kryan@city.cleveland.oh.us</w:t>
              </w:r>
            </w:hyperlink>
          </w:p>
          <w:p w:rsidR="008F3817" w:rsidRPr="005A6964" w:rsidRDefault="00880C30" w:rsidP="008F3817">
            <w:pPr>
              <w:autoSpaceDE w:val="0"/>
              <w:autoSpaceDN w:val="0"/>
              <w:adjustRightInd w:val="0"/>
              <w:spacing w:after="0" w:line="240" w:lineRule="auto"/>
              <w:rPr>
                <w:rFonts w:cs="Times New Roman"/>
                <w:szCs w:val="24"/>
              </w:rPr>
            </w:pPr>
            <w:hyperlink r:id="rId41" w:history="1">
              <w:r w:rsidR="008F3817" w:rsidRPr="005A6964">
                <w:rPr>
                  <w:rStyle w:val="Hyperlink"/>
                </w:rPr>
                <w:t>mdortch@kravitzllc.com</w:t>
              </w:r>
            </w:hyperlink>
          </w:p>
          <w:p w:rsidR="008F3817" w:rsidRPr="005A6964" w:rsidRDefault="00880C30" w:rsidP="008F3817">
            <w:pPr>
              <w:autoSpaceDE w:val="0"/>
              <w:autoSpaceDN w:val="0"/>
              <w:adjustRightInd w:val="0"/>
              <w:spacing w:after="0" w:line="240" w:lineRule="auto"/>
              <w:rPr>
                <w:rFonts w:cs="Times New Roman"/>
                <w:szCs w:val="24"/>
              </w:rPr>
            </w:pPr>
            <w:hyperlink r:id="rId42" w:history="1">
              <w:r w:rsidR="008F3817" w:rsidRPr="005A6964">
                <w:rPr>
                  <w:rStyle w:val="Hyperlink"/>
                </w:rPr>
                <w:t>rparsons@kravitzllc.com</w:t>
              </w:r>
            </w:hyperlink>
          </w:p>
          <w:p w:rsidR="008F3817" w:rsidRPr="005A6964" w:rsidRDefault="00880C30" w:rsidP="008F3817">
            <w:pPr>
              <w:autoSpaceDE w:val="0"/>
              <w:autoSpaceDN w:val="0"/>
              <w:adjustRightInd w:val="0"/>
              <w:spacing w:after="0" w:line="240" w:lineRule="auto"/>
              <w:rPr>
                <w:rFonts w:cs="Times New Roman"/>
                <w:szCs w:val="24"/>
              </w:rPr>
            </w:pPr>
            <w:hyperlink r:id="rId43" w:history="1">
              <w:r w:rsidR="008F3817" w:rsidRPr="005A6964">
                <w:rPr>
                  <w:rStyle w:val="Hyperlink"/>
                </w:rPr>
                <w:t>gkrassen@bricker.com</w:t>
              </w:r>
            </w:hyperlink>
          </w:p>
          <w:p w:rsidR="008F3817" w:rsidRPr="005A6964" w:rsidRDefault="00880C30" w:rsidP="008F3817">
            <w:pPr>
              <w:autoSpaceDE w:val="0"/>
              <w:autoSpaceDN w:val="0"/>
              <w:adjustRightInd w:val="0"/>
              <w:spacing w:after="0" w:line="240" w:lineRule="auto"/>
              <w:rPr>
                <w:rFonts w:cs="Times New Roman"/>
                <w:szCs w:val="24"/>
              </w:rPr>
            </w:pPr>
            <w:hyperlink r:id="rId44" w:history="1">
              <w:r w:rsidR="008F3817" w:rsidRPr="005A6964">
                <w:rPr>
                  <w:rStyle w:val="Hyperlink"/>
                </w:rPr>
                <w:t>dstinson@bricker.com</w:t>
              </w:r>
            </w:hyperlink>
          </w:p>
          <w:p w:rsidR="008F3817" w:rsidRPr="005A6964" w:rsidRDefault="00880C30" w:rsidP="008F3817">
            <w:pPr>
              <w:autoSpaceDE w:val="0"/>
              <w:autoSpaceDN w:val="0"/>
              <w:adjustRightInd w:val="0"/>
              <w:spacing w:after="0" w:line="240" w:lineRule="auto"/>
              <w:rPr>
                <w:rFonts w:cs="Times New Roman"/>
                <w:szCs w:val="24"/>
              </w:rPr>
            </w:pPr>
            <w:hyperlink r:id="rId45" w:history="1">
              <w:r w:rsidR="008F3817" w:rsidRPr="005A6964">
                <w:rPr>
                  <w:rStyle w:val="Hyperlink"/>
                </w:rPr>
                <w:t>dborchers@bricker.com</w:t>
              </w:r>
            </w:hyperlink>
          </w:p>
          <w:p w:rsidR="008F3817" w:rsidRPr="005A6964" w:rsidRDefault="00880C30" w:rsidP="008F3817">
            <w:pPr>
              <w:autoSpaceDE w:val="0"/>
              <w:autoSpaceDN w:val="0"/>
              <w:adjustRightInd w:val="0"/>
              <w:spacing w:after="0" w:line="240" w:lineRule="auto"/>
              <w:rPr>
                <w:rFonts w:cs="Times New Roman"/>
                <w:color w:val="0000FF" w:themeColor="hyperlink"/>
                <w:szCs w:val="24"/>
                <w:u w:val="single"/>
              </w:rPr>
            </w:pPr>
            <w:hyperlink r:id="rId46" w:history="1">
              <w:r w:rsidR="008F3817" w:rsidRPr="005A6964">
                <w:rPr>
                  <w:rStyle w:val="Hyperlink"/>
                </w:rPr>
                <w:t>DFolk@akronohio.gov</w:t>
              </w:r>
            </w:hyperlink>
          </w:p>
          <w:p w:rsidR="008F3817" w:rsidRPr="005A6964" w:rsidRDefault="00880C30" w:rsidP="008F3817">
            <w:pPr>
              <w:autoSpaceDE w:val="0"/>
              <w:autoSpaceDN w:val="0"/>
              <w:adjustRightInd w:val="0"/>
              <w:spacing w:after="0" w:line="240" w:lineRule="auto"/>
              <w:rPr>
                <w:rFonts w:cs="Times New Roman"/>
                <w:color w:val="0000FF" w:themeColor="hyperlink"/>
                <w:szCs w:val="24"/>
                <w:u w:val="single"/>
              </w:rPr>
            </w:pPr>
            <w:hyperlink r:id="rId47" w:history="1">
              <w:r w:rsidR="008F3817" w:rsidRPr="005A6964">
                <w:rPr>
                  <w:rStyle w:val="Hyperlink"/>
                </w:rPr>
                <w:t>mkimbrough@keglerbrown.com</w:t>
              </w:r>
            </w:hyperlink>
          </w:p>
          <w:p w:rsidR="008F3817" w:rsidRPr="005A6964" w:rsidRDefault="00880C30" w:rsidP="008F3817">
            <w:pPr>
              <w:autoSpaceDE w:val="0"/>
              <w:autoSpaceDN w:val="0"/>
              <w:adjustRightInd w:val="0"/>
              <w:spacing w:after="0" w:line="240" w:lineRule="auto"/>
              <w:rPr>
                <w:rFonts w:cs="Times New Roman"/>
                <w:color w:val="0000FF"/>
                <w:szCs w:val="24"/>
              </w:rPr>
            </w:pPr>
            <w:hyperlink r:id="rId48" w:history="1">
              <w:r w:rsidR="008F3817" w:rsidRPr="005A6964">
                <w:rPr>
                  <w:rStyle w:val="Hyperlink"/>
                </w:rPr>
                <w:t>sechler@carpenterlipps.com</w:t>
              </w:r>
            </w:hyperlink>
          </w:p>
          <w:p w:rsidR="008F3817" w:rsidRPr="005A6964" w:rsidRDefault="00880C30" w:rsidP="008F3817">
            <w:pPr>
              <w:autoSpaceDE w:val="0"/>
              <w:autoSpaceDN w:val="0"/>
              <w:adjustRightInd w:val="0"/>
              <w:spacing w:after="0" w:line="240" w:lineRule="auto"/>
              <w:rPr>
                <w:rFonts w:cs="Times New Roman"/>
                <w:color w:val="0000FF"/>
                <w:szCs w:val="24"/>
              </w:rPr>
            </w:pPr>
            <w:hyperlink r:id="rId49" w:history="1">
              <w:r w:rsidR="008F3817" w:rsidRPr="005A6964">
                <w:rPr>
                  <w:rStyle w:val="Hyperlink"/>
                </w:rPr>
                <w:t>gpoulos@enernoc.com</w:t>
              </w:r>
            </w:hyperlink>
          </w:p>
          <w:p w:rsidR="008F3817" w:rsidRPr="005A6964" w:rsidRDefault="00880C30" w:rsidP="008F3817">
            <w:pPr>
              <w:autoSpaceDE w:val="0"/>
              <w:autoSpaceDN w:val="0"/>
              <w:adjustRightInd w:val="0"/>
              <w:spacing w:after="0" w:line="240" w:lineRule="auto"/>
              <w:rPr>
                <w:rFonts w:cs="Times New Roman"/>
                <w:color w:val="0000FF"/>
                <w:szCs w:val="24"/>
              </w:rPr>
            </w:pPr>
            <w:hyperlink r:id="rId50" w:history="1">
              <w:r w:rsidR="008F3817" w:rsidRPr="005A6964">
                <w:rPr>
                  <w:rStyle w:val="Hyperlink"/>
                </w:rPr>
                <w:t>toddm@wamenergylaw.com</w:t>
              </w:r>
            </w:hyperlink>
          </w:p>
          <w:p w:rsidR="008F3817" w:rsidRPr="005A6964" w:rsidRDefault="00880C30" w:rsidP="008F3817">
            <w:pPr>
              <w:autoSpaceDE w:val="0"/>
              <w:autoSpaceDN w:val="0"/>
              <w:adjustRightInd w:val="0"/>
              <w:spacing w:after="0" w:line="240" w:lineRule="auto"/>
              <w:rPr>
                <w:rFonts w:cs="Times New Roman"/>
                <w:color w:val="0000FF"/>
                <w:szCs w:val="24"/>
              </w:rPr>
            </w:pPr>
            <w:hyperlink r:id="rId51" w:history="1">
              <w:r w:rsidR="008F3817" w:rsidRPr="005A6964">
                <w:rPr>
                  <w:rStyle w:val="Hyperlink"/>
                </w:rPr>
                <w:t>dwolff@crowell.com</w:t>
              </w:r>
            </w:hyperlink>
          </w:p>
          <w:p w:rsidR="008F3817" w:rsidRPr="005A6964" w:rsidRDefault="00880C30" w:rsidP="008F3817">
            <w:pPr>
              <w:autoSpaceDE w:val="0"/>
              <w:autoSpaceDN w:val="0"/>
              <w:adjustRightInd w:val="0"/>
              <w:spacing w:after="0" w:line="240" w:lineRule="auto"/>
              <w:rPr>
                <w:rFonts w:cs="Times New Roman"/>
                <w:color w:val="0000FF"/>
                <w:szCs w:val="24"/>
              </w:rPr>
            </w:pPr>
            <w:hyperlink r:id="rId52" w:history="1">
              <w:r w:rsidR="008F3817" w:rsidRPr="005A6964">
                <w:rPr>
                  <w:rStyle w:val="Hyperlink"/>
                </w:rPr>
                <w:t>rlehfeldt@crowell.com</w:t>
              </w:r>
            </w:hyperlink>
          </w:p>
          <w:p w:rsidR="008F3817" w:rsidRPr="005A6964" w:rsidRDefault="00880C30" w:rsidP="008F3817">
            <w:pPr>
              <w:autoSpaceDE w:val="0"/>
              <w:autoSpaceDN w:val="0"/>
              <w:adjustRightInd w:val="0"/>
              <w:spacing w:after="0" w:line="240" w:lineRule="auto"/>
              <w:rPr>
                <w:rStyle w:val="Hyperlink"/>
              </w:rPr>
            </w:pPr>
            <w:hyperlink r:id="rId53" w:history="1">
              <w:r w:rsidR="008F3817" w:rsidRPr="005A6964">
                <w:rPr>
                  <w:rStyle w:val="Hyperlink"/>
                </w:rPr>
                <w:t>rkelter@elpc.org</w:t>
              </w:r>
            </w:hyperlink>
          </w:p>
          <w:p w:rsidR="008F3817" w:rsidRPr="005A6964" w:rsidRDefault="00880C30" w:rsidP="008F3817">
            <w:pPr>
              <w:autoSpaceDE w:val="0"/>
              <w:autoSpaceDN w:val="0"/>
              <w:adjustRightInd w:val="0"/>
              <w:spacing w:after="0" w:line="240" w:lineRule="auto"/>
              <w:rPr>
                <w:rFonts w:cs="Times New Roman"/>
                <w:szCs w:val="24"/>
              </w:rPr>
            </w:pPr>
            <w:hyperlink r:id="rId54" w:history="1">
              <w:r w:rsidR="008F3817" w:rsidRPr="005A6964">
                <w:rPr>
                  <w:rStyle w:val="Hyperlink"/>
                </w:rPr>
                <w:t>evelyn.robinson@pjm.com</w:t>
              </w:r>
            </w:hyperlink>
          </w:p>
          <w:p w:rsidR="008F3817" w:rsidRPr="005A6964" w:rsidRDefault="008F3817" w:rsidP="008F3817">
            <w:pPr>
              <w:autoSpaceDE w:val="0"/>
              <w:autoSpaceDN w:val="0"/>
              <w:adjustRightInd w:val="0"/>
              <w:spacing w:after="0" w:line="240" w:lineRule="auto"/>
              <w:rPr>
                <w:rFonts w:cs="Times New Roman"/>
                <w:color w:val="0000FF"/>
                <w:szCs w:val="24"/>
              </w:rPr>
            </w:pPr>
          </w:p>
          <w:p w:rsidR="008F3817" w:rsidRPr="005A6964" w:rsidRDefault="008F3817" w:rsidP="008F3817">
            <w:pPr>
              <w:autoSpaceDE w:val="0"/>
              <w:autoSpaceDN w:val="0"/>
              <w:adjustRightInd w:val="0"/>
              <w:spacing w:after="0" w:line="240" w:lineRule="auto"/>
              <w:rPr>
                <w:rFonts w:eastAsia="Times New Roman" w:cs="Times New Roman"/>
                <w:color w:val="000000"/>
                <w:szCs w:val="24"/>
              </w:rPr>
            </w:pPr>
          </w:p>
          <w:p w:rsidR="008F3817" w:rsidRPr="005A6964" w:rsidRDefault="008F3817" w:rsidP="008F3817">
            <w:pPr>
              <w:autoSpaceDE w:val="0"/>
              <w:autoSpaceDN w:val="0"/>
              <w:adjustRightInd w:val="0"/>
              <w:spacing w:after="0" w:line="240" w:lineRule="auto"/>
              <w:rPr>
                <w:rFonts w:cs="Times New Roman"/>
                <w:color w:val="000000"/>
                <w:szCs w:val="24"/>
              </w:rPr>
            </w:pPr>
            <w:r w:rsidRPr="005A6964">
              <w:rPr>
                <w:rFonts w:cs="Times New Roman"/>
                <w:color w:val="000000"/>
                <w:szCs w:val="24"/>
              </w:rPr>
              <w:t>Attorney Examiners:</w:t>
            </w:r>
          </w:p>
          <w:p w:rsidR="008F3817" w:rsidRPr="005A6964" w:rsidRDefault="008F3817" w:rsidP="008F3817">
            <w:pPr>
              <w:autoSpaceDE w:val="0"/>
              <w:autoSpaceDN w:val="0"/>
              <w:adjustRightInd w:val="0"/>
              <w:spacing w:after="0" w:line="240" w:lineRule="auto"/>
              <w:rPr>
                <w:rFonts w:cs="Times New Roman"/>
                <w:szCs w:val="24"/>
              </w:rPr>
            </w:pPr>
          </w:p>
          <w:p w:rsidR="008F3817" w:rsidRPr="005A6964" w:rsidRDefault="00880C30" w:rsidP="008F3817">
            <w:pPr>
              <w:autoSpaceDE w:val="0"/>
              <w:autoSpaceDN w:val="0"/>
              <w:adjustRightInd w:val="0"/>
              <w:spacing w:after="0" w:line="240" w:lineRule="auto"/>
              <w:rPr>
                <w:rFonts w:cs="Times New Roman"/>
                <w:color w:val="000000"/>
                <w:szCs w:val="24"/>
              </w:rPr>
            </w:pPr>
            <w:hyperlink r:id="rId55" w:history="1">
              <w:r w:rsidR="008F3817" w:rsidRPr="005A6964">
                <w:rPr>
                  <w:rStyle w:val="Hyperlink"/>
                </w:rPr>
                <w:t>Gregory.price@puc.state.oh.us</w:t>
              </w:r>
            </w:hyperlink>
          </w:p>
          <w:p w:rsidR="008F3817" w:rsidRPr="005A6964" w:rsidRDefault="00880C30" w:rsidP="008F3817">
            <w:pPr>
              <w:autoSpaceDE w:val="0"/>
              <w:autoSpaceDN w:val="0"/>
              <w:adjustRightInd w:val="0"/>
              <w:spacing w:after="0" w:line="240" w:lineRule="auto"/>
              <w:rPr>
                <w:rFonts w:cs="Times New Roman"/>
                <w:color w:val="0000FF"/>
                <w:szCs w:val="24"/>
                <w:u w:val="single"/>
              </w:rPr>
            </w:pPr>
            <w:hyperlink r:id="rId56" w:history="1">
              <w:r w:rsidR="008F3817" w:rsidRPr="005A6964">
                <w:rPr>
                  <w:rStyle w:val="Hyperlink"/>
                </w:rPr>
                <w:t>Mandy.willey@puc.state.oh.us</w:t>
              </w:r>
            </w:hyperlink>
          </w:p>
          <w:p w:rsidR="008F3817" w:rsidRPr="005A6964" w:rsidRDefault="00880C30" w:rsidP="008F3817">
            <w:pPr>
              <w:autoSpaceDE w:val="0"/>
              <w:autoSpaceDN w:val="0"/>
              <w:adjustRightInd w:val="0"/>
              <w:spacing w:after="0" w:line="240" w:lineRule="auto"/>
              <w:rPr>
                <w:rFonts w:cs="Times New Roman"/>
                <w:color w:val="0000FF"/>
                <w:szCs w:val="24"/>
                <w:u w:val="single"/>
              </w:rPr>
            </w:pPr>
            <w:hyperlink r:id="rId57" w:history="1">
              <w:r w:rsidR="008F3817" w:rsidRPr="005A6964">
                <w:rPr>
                  <w:rStyle w:val="Hyperlink"/>
                </w:rPr>
                <w:t>Megan.addison@puc.state.oh.us</w:t>
              </w:r>
            </w:hyperlink>
          </w:p>
          <w:p w:rsidR="008F3817" w:rsidRPr="005A6964" w:rsidRDefault="008F3817" w:rsidP="008F3817">
            <w:pPr>
              <w:autoSpaceDE w:val="0"/>
              <w:autoSpaceDN w:val="0"/>
              <w:adjustRightInd w:val="0"/>
              <w:spacing w:after="0" w:line="240" w:lineRule="auto"/>
              <w:rPr>
                <w:rFonts w:cs="Times New Roman"/>
                <w:bCs/>
                <w:szCs w:val="24"/>
              </w:rPr>
            </w:pPr>
          </w:p>
        </w:tc>
        <w:tc>
          <w:tcPr>
            <w:tcW w:w="4428" w:type="dxa"/>
            <w:hideMark/>
          </w:tcPr>
          <w:p w:rsidR="008F3817" w:rsidRPr="005A6964" w:rsidRDefault="00880C30" w:rsidP="008F3817">
            <w:pPr>
              <w:autoSpaceDE w:val="0"/>
              <w:autoSpaceDN w:val="0"/>
              <w:adjustRightInd w:val="0"/>
              <w:spacing w:after="0" w:line="240" w:lineRule="auto"/>
              <w:rPr>
                <w:rFonts w:cs="Times New Roman"/>
                <w:i/>
                <w:szCs w:val="24"/>
              </w:rPr>
            </w:pPr>
            <w:hyperlink r:id="rId58" w:history="1">
              <w:r w:rsidR="008F3817" w:rsidRPr="005A6964">
                <w:rPr>
                  <w:rStyle w:val="Hyperlink"/>
                </w:rPr>
                <w:t>burkj@firstenergycorp.com</w:t>
              </w:r>
            </w:hyperlink>
          </w:p>
          <w:p w:rsidR="008F3817" w:rsidRPr="005A6964" w:rsidRDefault="00880C30" w:rsidP="008F3817">
            <w:pPr>
              <w:autoSpaceDE w:val="0"/>
              <w:autoSpaceDN w:val="0"/>
              <w:adjustRightInd w:val="0"/>
              <w:spacing w:after="0" w:line="240" w:lineRule="auto"/>
              <w:rPr>
                <w:rFonts w:cs="Times New Roman"/>
                <w:szCs w:val="24"/>
              </w:rPr>
            </w:pPr>
            <w:hyperlink r:id="rId59" w:history="1">
              <w:r w:rsidR="008F3817" w:rsidRPr="005A6964">
                <w:rPr>
                  <w:rStyle w:val="Hyperlink"/>
                </w:rPr>
                <w:t>cdunn@firstenergycorp.com</w:t>
              </w:r>
            </w:hyperlink>
          </w:p>
          <w:p w:rsidR="008F3817" w:rsidRPr="005A6964" w:rsidRDefault="00880C30" w:rsidP="008F3817">
            <w:pPr>
              <w:autoSpaceDE w:val="0"/>
              <w:autoSpaceDN w:val="0"/>
              <w:adjustRightInd w:val="0"/>
              <w:spacing w:after="0" w:line="240" w:lineRule="auto"/>
              <w:rPr>
                <w:rFonts w:cs="Times New Roman"/>
                <w:szCs w:val="24"/>
              </w:rPr>
            </w:pPr>
            <w:hyperlink r:id="rId60" w:history="1">
              <w:r w:rsidR="008F3817" w:rsidRPr="005A6964">
                <w:rPr>
                  <w:rStyle w:val="Hyperlink"/>
                </w:rPr>
                <w:t>jlang@calfee.com</w:t>
              </w:r>
            </w:hyperlink>
          </w:p>
          <w:p w:rsidR="008F3817" w:rsidRPr="005A6964" w:rsidRDefault="00880C30" w:rsidP="008F3817">
            <w:pPr>
              <w:autoSpaceDE w:val="0"/>
              <w:autoSpaceDN w:val="0"/>
              <w:adjustRightInd w:val="0"/>
              <w:spacing w:after="0" w:line="240" w:lineRule="auto"/>
              <w:rPr>
                <w:rFonts w:cs="Times New Roman"/>
                <w:color w:val="0000FF"/>
                <w:szCs w:val="24"/>
                <w:u w:val="single"/>
              </w:rPr>
            </w:pPr>
            <w:hyperlink r:id="rId61" w:history="1">
              <w:r w:rsidR="008F3817" w:rsidRPr="005A6964">
                <w:rPr>
                  <w:rStyle w:val="Hyperlink"/>
                </w:rPr>
                <w:t>talexander@calfee.com</w:t>
              </w:r>
            </w:hyperlink>
          </w:p>
          <w:p w:rsidR="008F3817" w:rsidRPr="005A6964" w:rsidRDefault="00880C30" w:rsidP="008F3817">
            <w:pPr>
              <w:tabs>
                <w:tab w:val="left" w:pos="2693"/>
              </w:tabs>
              <w:autoSpaceDE w:val="0"/>
              <w:autoSpaceDN w:val="0"/>
              <w:adjustRightInd w:val="0"/>
              <w:spacing w:after="0" w:line="240" w:lineRule="auto"/>
              <w:rPr>
                <w:rFonts w:cs="Times New Roman"/>
                <w:szCs w:val="24"/>
              </w:rPr>
            </w:pPr>
            <w:hyperlink r:id="rId62" w:history="1">
              <w:r w:rsidR="008F3817" w:rsidRPr="005A6964">
                <w:rPr>
                  <w:rStyle w:val="Hyperlink"/>
                </w:rPr>
                <w:t>dakutik@jonesday.com</w:t>
              </w:r>
            </w:hyperlink>
          </w:p>
          <w:p w:rsidR="008F3817" w:rsidRPr="005A6964" w:rsidRDefault="00880C30" w:rsidP="008F3817">
            <w:pPr>
              <w:autoSpaceDE w:val="0"/>
              <w:autoSpaceDN w:val="0"/>
              <w:adjustRightInd w:val="0"/>
              <w:spacing w:after="0" w:line="240" w:lineRule="auto"/>
              <w:rPr>
                <w:rFonts w:cs="Times New Roman"/>
                <w:szCs w:val="24"/>
              </w:rPr>
            </w:pPr>
            <w:hyperlink r:id="rId63" w:history="1">
              <w:r w:rsidR="008F3817" w:rsidRPr="005A6964">
                <w:rPr>
                  <w:rStyle w:val="Hyperlink"/>
                </w:rPr>
                <w:t>sam@mwncmh.com</w:t>
              </w:r>
            </w:hyperlink>
          </w:p>
          <w:p w:rsidR="008F3817" w:rsidRPr="005A6964" w:rsidRDefault="00880C30" w:rsidP="008F3817">
            <w:pPr>
              <w:autoSpaceDE w:val="0"/>
              <w:autoSpaceDN w:val="0"/>
              <w:adjustRightInd w:val="0"/>
              <w:spacing w:after="0" w:line="240" w:lineRule="auto"/>
              <w:rPr>
                <w:rFonts w:cs="Times New Roman"/>
                <w:szCs w:val="24"/>
              </w:rPr>
            </w:pPr>
            <w:hyperlink r:id="rId64" w:history="1">
              <w:r w:rsidR="008F3817" w:rsidRPr="005A6964">
                <w:rPr>
                  <w:rStyle w:val="Hyperlink"/>
                </w:rPr>
                <w:t>fdarr@mwncmh.com</w:t>
              </w:r>
            </w:hyperlink>
          </w:p>
          <w:p w:rsidR="008F3817" w:rsidRPr="005A6964" w:rsidRDefault="00880C30" w:rsidP="008F3817">
            <w:pPr>
              <w:autoSpaceDE w:val="0"/>
              <w:autoSpaceDN w:val="0"/>
              <w:adjustRightInd w:val="0"/>
              <w:spacing w:after="0" w:line="240" w:lineRule="auto"/>
              <w:rPr>
                <w:rFonts w:cs="Times New Roman"/>
                <w:szCs w:val="24"/>
              </w:rPr>
            </w:pPr>
            <w:hyperlink r:id="rId65" w:history="1">
              <w:r w:rsidR="008F3817" w:rsidRPr="005A6964">
                <w:rPr>
                  <w:rStyle w:val="Hyperlink"/>
                </w:rPr>
                <w:t>mpritchard@mwncmh.com</w:t>
              </w:r>
            </w:hyperlink>
          </w:p>
          <w:p w:rsidR="008F3817" w:rsidRPr="005A6964" w:rsidRDefault="00880C30" w:rsidP="008F3817">
            <w:pPr>
              <w:autoSpaceDE w:val="0"/>
              <w:autoSpaceDN w:val="0"/>
              <w:adjustRightInd w:val="0"/>
              <w:spacing w:after="0" w:line="240" w:lineRule="auto"/>
              <w:rPr>
                <w:rFonts w:cs="Times New Roman"/>
                <w:color w:val="0000FF"/>
                <w:szCs w:val="24"/>
              </w:rPr>
            </w:pPr>
            <w:hyperlink r:id="rId66" w:history="1">
              <w:r w:rsidR="008F3817" w:rsidRPr="005A6964">
                <w:rPr>
                  <w:rStyle w:val="Hyperlink"/>
                </w:rPr>
                <w:t>cmooney@ohiopartners.org</w:t>
              </w:r>
            </w:hyperlink>
          </w:p>
          <w:p w:rsidR="008F3817" w:rsidRPr="005A6964" w:rsidRDefault="00880C30" w:rsidP="008F3817">
            <w:pPr>
              <w:tabs>
                <w:tab w:val="left" w:pos="-720"/>
              </w:tabs>
              <w:suppressAutoHyphens/>
              <w:spacing w:after="0" w:line="240" w:lineRule="auto"/>
              <w:jc w:val="both"/>
              <w:rPr>
                <w:rFonts w:cs="Times New Roman"/>
                <w:snapToGrid w:val="0"/>
                <w:color w:val="0000FF"/>
                <w:spacing w:val="-3"/>
                <w:szCs w:val="24"/>
              </w:rPr>
            </w:pPr>
            <w:hyperlink r:id="rId67" w:history="1">
              <w:r w:rsidR="008F3817" w:rsidRPr="005A6964">
                <w:rPr>
                  <w:rStyle w:val="Hyperlink"/>
                  <w:snapToGrid w:val="0"/>
                  <w:spacing w:val="-3"/>
                </w:rPr>
                <w:t>callwein@keglerbrown.com</w:t>
              </w:r>
            </w:hyperlink>
          </w:p>
          <w:p w:rsidR="008F3817" w:rsidRPr="005A6964" w:rsidRDefault="00880C30" w:rsidP="008F3817">
            <w:pPr>
              <w:tabs>
                <w:tab w:val="left" w:pos="-720"/>
              </w:tabs>
              <w:suppressAutoHyphens/>
              <w:spacing w:after="0" w:line="240" w:lineRule="auto"/>
              <w:jc w:val="both"/>
              <w:rPr>
                <w:rFonts w:cs="Times New Roman"/>
                <w:snapToGrid w:val="0"/>
                <w:spacing w:val="-3"/>
                <w:szCs w:val="24"/>
              </w:rPr>
            </w:pPr>
            <w:hyperlink r:id="rId68" w:history="1">
              <w:r w:rsidR="008F3817" w:rsidRPr="005A6964">
                <w:rPr>
                  <w:rStyle w:val="Hyperlink"/>
                  <w:snapToGrid w:val="0"/>
                  <w:spacing w:val="-3"/>
                </w:rPr>
                <w:t>joliker@igsenergy.com</w:t>
              </w:r>
            </w:hyperlink>
          </w:p>
          <w:p w:rsidR="008F3817" w:rsidRPr="005A6964" w:rsidRDefault="00880C30" w:rsidP="008F3817">
            <w:pPr>
              <w:tabs>
                <w:tab w:val="left" w:pos="-720"/>
              </w:tabs>
              <w:suppressAutoHyphens/>
              <w:spacing w:after="0" w:line="240" w:lineRule="auto"/>
              <w:jc w:val="both"/>
              <w:rPr>
                <w:rFonts w:cs="Times New Roman"/>
                <w:snapToGrid w:val="0"/>
                <w:spacing w:val="-3"/>
                <w:szCs w:val="24"/>
              </w:rPr>
            </w:pPr>
            <w:hyperlink r:id="rId69" w:history="1">
              <w:r w:rsidR="008F3817" w:rsidRPr="005A6964">
                <w:rPr>
                  <w:rStyle w:val="Hyperlink"/>
                  <w:snapToGrid w:val="0"/>
                  <w:spacing w:val="-3"/>
                </w:rPr>
                <w:t>mswhite@igsenergy.com</w:t>
              </w:r>
            </w:hyperlink>
          </w:p>
          <w:p w:rsidR="008F3817" w:rsidRPr="005A6964" w:rsidRDefault="00880C30" w:rsidP="008F3817">
            <w:pPr>
              <w:tabs>
                <w:tab w:val="left" w:pos="-720"/>
              </w:tabs>
              <w:suppressAutoHyphens/>
              <w:spacing w:after="0" w:line="240" w:lineRule="auto"/>
              <w:jc w:val="both"/>
              <w:rPr>
                <w:rFonts w:cs="Times New Roman"/>
                <w:bCs/>
                <w:snapToGrid w:val="0"/>
                <w:spacing w:val="-3"/>
                <w:szCs w:val="24"/>
              </w:rPr>
            </w:pPr>
            <w:hyperlink r:id="rId70" w:history="1">
              <w:r w:rsidR="008F3817" w:rsidRPr="005A6964">
                <w:rPr>
                  <w:rStyle w:val="Hyperlink"/>
                  <w:snapToGrid w:val="0"/>
                  <w:spacing w:val="-3"/>
                </w:rPr>
                <w:t>Bojko@carpenterlipps.com</w:t>
              </w:r>
            </w:hyperlink>
          </w:p>
          <w:p w:rsidR="008F3817" w:rsidRPr="005A6964" w:rsidRDefault="00880C30" w:rsidP="008F3817">
            <w:pPr>
              <w:tabs>
                <w:tab w:val="left" w:pos="-720"/>
              </w:tabs>
              <w:suppressAutoHyphens/>
              <w:spacing w:after="0" w:line="240" w:lineRule="auto"/>
              <w:jc w:val="both"/>
              <w:rPr>
                <w:rFonts w:eastAsia="Times New Roman" w:cs="Times New Roman"/>
                <w:szCs w:val="24"/>
              </w:rPr>
            </w:pPr>
            <w:hyperlink r:id="rId71" w:history="1">
              <w:r w:rsidR="008F3817" w:rsidRPr="005A6964">
                <w:rPr>
                  <w:rStyle w:val="Hyperlink"/>
                </w:rPr>
                <w:t>ghiloni@carpenterlipps.com</w:t>
              </w:r>
            </w:hyperlink>
          </w:p>
          <w:p w:rsidR="008F3817" w:rsidRPr="005A6964" w:rsidRDefault="00880C30" w:rsidP="008F3817">
            <w:pPr>
              <w:tabs>
                <w:tab w:val="left" w:pos="-720"/>
              </w:tabs>
              <w:suppressAutoHyphens/>
              <w:spacing w:after="0" w:line="240" w:lineRule="auto"/>
              <w:jc w:val="both"/>
              <w:rPr>
                <w:rFonts w:cs="Times New Roman"/>
                <w:bCs/>
                <w:snapToGrid w:val="0"/>
                <w:spacing w:val="-3"/>
                <w:szCs w:val="24"/>
              </w:rPr>
            </w:pPr>
            <w:hyperlink r:id="rId72" w:history="1">
              <w:r w:rsidR="008F3817" w:rsidRPr="005A6964">
                <w:rPr>
                  <w:rStyle w:val="Hyperlink"/>
                  <w:snapToGrid w:val="0"/>
                  <w:spacing w:val="-3"/>
                </w:rPr>
                <w:t>barthroyer@aol.com</w:t>
              </w:r>
            </w:hyperlink>
          </w:p>
          <w:p w:rsidR="008F3817" w:rsidRPr="005A6964" w:rsidRDefault="00880C30" w:rsidP="008F3817">
            <w:pPr>
              <w:tabs>
                <w:tab w:val="left" w:pos="-720"/>
              </w:tabs>
              <w:suppressAutoHyphens/>
              <w:spacing w:after="0" w:line="240" w:lineRule="auto"/>
              <w:jc w:val="both"/>
              <w:rPr>
                <w:rFonts w:cs="Times New Roman"/>
                <w:bCs/>
                <w:snapToGrid w:val="0"/>
                <w:spacing w:val="-3"/>
                <w:szCs w:val="24"/>
              </w:rPr>
            </w:pPr>
            <w:hyperlink r:id="rId73" w:history="1">
              <w:r w:rsidR="008F3817" w:rsidRPr="005A6964">
                <w:rPr>
                  <w:rStyle w:val="Hyperlink"/>
                  <w:snapToGrid w:val="0"/>
                  <w:spacing w:val="-3"/>
                </w:rPr>
                <w:t>athompson@taftlaw.com</w:t>
              </w:r>
            </w:hyperlink>
          </w:p>
          <w:p w:rsidR="008F3817" w:rsidRPr="005A6964" w:rsidRDefault="00880C30" w:rsidP="008F3817">
            <w:pPr>
              <w:tabs>
                <w:tab w:val="left" w:pos="-720"/>
              </w:tabs>
              <w:suppressAutoHyphens/>
              <w:spacing w:after="0" w:line="240" w:lineRule="auto"/>
              <w:jc w:val="both"/>
              <w:rPr>
                <w:rFonts w:cs="Times New Roman"/>
                <w:bCs/>
                <w:snapToGrid w:val="0"/>
                <w:spacing w:val="-3"/>
                <w:szCs w:val="24"/>
              </w:rPr>
            </w:pPr>
            <w:hyperlink r:id="rId74" w:history="1">
              <w:r w:rsidR="008F3817" w:rsidRPr="005A6964">
                <w:rPr>
                  <w:rStyle w:val="Hyperlink"/>
                  <w:snapToGrid w:val="0"/>
                  <w:spacing w:val="-3"/>
                </w:rPr>
                <w:t>Christopher.miller@icemiller.com</w:t>
              </w:r>
            </w:hyperlink>
          </w:p>
          <w:p w:rsidR="008F3817" w:rsidRPr="005A6964" w:rsidRDefault="00880C30" w:rsidP="008F3817">
            <w:pPr>
              <w:tabs>
                <w:tab w:val="left" w:pos="-720"/>
              </w:tabs>
              <w:suppressAutoHyphens/>
              <w:spacing w:after="0" w:line="240" w:lineRule="auto"/>
              <w:jc w:val="both"/>
              <w:rPr>
                <w:rFonts w:cs="Times New Roman"/>
                <w:bCs/>
                <w:snapToGrid w:val="0"/>
                <w:spacing w:val="-3"/>
                <w:szCs w:val="24"/>
              </w:rPr>
            </w:pPr>
            <w:hyperlink r:id="rId75" w:history="1">
              <w:r w:rsidR="008F3817" w:rsidRPr="005A6964">
                <w:rPr>
                  <w:rStyle w:val="Hyperlink"/>
                  <w:snapToGrid w:val="0"/>
                  <w:spacing w:val="-3"/>
                </w:rPr>
                <w:t>Gregory.dunn@icemiller.com</w:t>
              </w:r>
            </w:hyperlink>
          </w:p>
          <w:p w:rsidR="008F3817" w:rsidRPr="005A6964" w:rsidRDefault="00880C30" w:rsidP="008F3817">
            <w:pPr>
              <w:tabs>
                <w:tab w:val="left" w:pos="-720"/>
              </w:tabs>
              <w:suppressAutoHyphens/>
              <w:spacing w:after="0" w:line="240" w:lineRule="auto"/>
              <w:jc w:val="both"/>
              <w:rPr>
                <w:rFonts w:cs="Times New Roman"/>
                <w:bCs/>
                <w:snapToGrid w:val="0"/>
                <w:spacing w:val="-3"/>
                <w:szCs w:val="24"/>
              </w:rPr>
            </w:pPr>
            <w:hyperlink r:id="rId76" w:history="1">
              <w:r w:rsidR="008F3817" w:rsidRPr="005A6964">
                <w:rPr>
                  <w:rStyle w:val="Hyperlink"/>
                  <w:snapToGrid w:val="0"/>
                  <w:spacing w:val="-3"/>
                </w:rPr>
                <w:t>Jeremy.grayem@icemiller.com</w:t>
              </w:r>
            </w:hyperlink>
          </w:p>
          <w:p w:rsidR="008F3817" w:rsidRPr="005A6964" w:rsidRDefault="00880C30" w:rsidP="008F3817">
            <w:pPr>
              <w:autoSpaceDE w:val="0"/>
              <w:autoSpaceDN w:val="0"/>
              <w:adjustRightInd w:val="0"/>
              <w:spacing w:after="0" w:line="240" w:lineRule="auto"/>
              <w:rPr>
                <w:rFonts w:cs="Times New Roman"/>
                <w:color w:val="0000FF"/>
                <w:szCs w:val="24"/>
              </w:rPr>
            </w:pPr>
            <w:hyperlink r:id="rId77" w:history="1">
              <w:r w:rsidR="008F3817" w:rsidRPr="005A6964">
                <w:rPr>
                  <w:rStyle w:val="Hyperlink"/>
                </w:rPr>
                <w:t>blanghenry@city.cleveland.oh.us</w:t>
              </w:r>
            </w:hyperlink>
          </w:p>
          <w:p w:rsidR="008F3817" w:rsidRPr="005A6964" w:rsidRDefault="00880C30" w:rsidP="008F3817">
            <w:pPr>
              <w:autoSpaceDE w:val="0"/>
              <w:autoSpaceDN w:val="0"/>
              <w:adjustRightInd w:val="0"/>
              <w:spacing w:after="0" w:line="240" w:lineRule="auto"/>
              <w:rPr>
                <w:rFonts w:cs="Times New Roman"/>
                <w:color w:val="0000FF"/>
                <w:szCs w:val="24"/>
              </w:rPr>
            </w:pPr>
            <w:hyperlink r:id="rId78" w:history="1">
              <w:r w:rsidR="008F3817" w:rsidRPr="005A6964">
                <w:rPr>
                  <w:rStyle w:val="Hyperlink"/>
                </w:rPr>
                <w:t>hmadorsky@city.cleveland.oh.us</w:t>
              </w:r>
            </w:hyperlink>
          </w:p>
          <w:p w:rsidR="008F3817" w:rsidRPr="005A6964" w:rsidRDefault="00880C30" w:rsidP="008F3817">
            <w:pPr>
              <w:tabs>
                <w:tab w:val="left" w:pos="-720"/>
              </w:tabs>
              <w:suppressAutoHyphens/>
              <w:spacing w:after="0" w:line="240" w:lineRule="auto"/>
              <w:jc w:val="both"/>
              <w:rPr>
                <w:rFonts w:cs="Times New Roman"/>
                <w:color w:val="0000FF" w:themeColor="hyperlink"/>
                <w:szCs w:val="24"/>
                <w:u w:val="single"/>
              </w:rPr>
            </w:pPr>
            <w:hyperlink r:id="rId79" w:history="1">
              <w:r w:rsidR="008F3817" w:rsidRPr="005A6964">
                <w:rPr>
                  <w:rStyle w:val="Hyperlink"/>
                </w:rPr>
                <w:t>kryan@city.cleveland.oh.us</w:t>
              </w:r>
            </w:hyperlink>
          </w:p>
          <w:p w:rsidR="008F3817" w:rsidRPr="005A6964" w:rsidRDefault="00880C30" w:rsidP="008F3817">
            <w:pPr>
              <w:tabs>
                <w:tab w:val="left" w:pos="-720"/>
              </w:tabs>
              <w:suppressAutoHyphens/>
              <w:spacing w:after="0" w:line="240" w:lineRule="auto"/>
              <w:jc w:val="both"/>
              <w:rPr>
                <w:rFonts w:cs="Times New Roman"/>
                <w:color w:val="0000FF" w:themeColor="hyperlink"/>
                <w:szCs w:val="24"/>
                <w:u w:val="single"/>
              </w:rPr>
            </w:pPr>
            <w:hyperlink r:id="rId80" w:history="1">
              <w:r w:rsidR="008F3817" w:rsidRPr="005A6964">
                <w:rPr>
                  <w:rStyle w:val="Hyperlink"/>
                </w:rPr>
                <w:t>tdougherty@theOEC.org</w:t>
              </w:r>
            </w:hyperlink>
          </w:p>
          <w:p w:rsidR="008F3817" w:rsidRPr="005A6964" w:rsidRDefault="00880C30" w:rsidP="008F3817">
            <w:pPr>
              <w:tabs>
                <w:tab w:val="left" w:pos="-720"/>
              </w:tabs>
              <w:suppressAutoHyphens/>
              <w:spacing w:after="0" w:line="240" w:lineRule="auto"/>
              <w:jc w:val="both"/>
              <w:rPr>
                <w:rFonts w:cs="Times New Roman"/>
                <w:color w:val="0000FF" w:themeColor="hyperlink"/>
                <w:szCs w:val="24"/>
                <w:u w:val="single"/>
              </w:rPr>
            </w:pPr>
            <w:hyperlink r:id="rId81" w:history="1">
              <w:r w:rsidR="008F3817" w:rsidRPr="005A6964">
                <w:rPr>
                  <w:rStyle w:val="Hyperlink"/>
                </w:rPr>
                <w:t>jfinnigan@edf.org</w:t>
              </w:r>
            </w:hyperlink>
          </w:p>
          <w:p w:rsidR="008F3817" w:rsidRPr="005A6964" w:rsidRDefault="00880C30" w:rsidP="008F3817">
            <w:pPr>
              <w:tabs>
                <w:tab w:val="left" w:pos="-720"/>
              </w:tabs>
              <w:suppressAutoHyphens/>
              <w:spacing w:after="0" w:line="240" w:lineRule="auto"/>
              <w:jc w:val="both"/>
              <w:rPr>
                <w:rFonts w:cs="Times New Roman"/>
                <w:color w:val="0000FF" w:themeColor="hyperlink"/>
                <w:szCs w:val="24"/>
                <w:u w:val="single"/>
              </w:rPr>
            </w:pPr>
            <w:hyperlink r:id="rId82" w:history="1">
              <w:r w:rsidR="008F3817" w:rsidRPr="005A6964">
                <w:rPr>
                  <w:rStyle w:val="Hyperlink"/>
                </w:rPr>
                <w:t>Marilyn@wflawfirm.com</w:t>
              </w:r>
            </w:hyperlink>
          </w:p>
          <w:p w:rsidR="008F3817" w:rsidRPr="005A6964" w:rsidRDefault="00880C30" w:rsidP="008F3817">
            <w:pPr>
              <w:tabs>
                <w:tab w:val="left" w:pos="-720"/>
              </w:tabs>
              <w:suppressAutoHyphens/>
              <w:spacing w:after="0" w:line="240" w:lineRule="auto"/>
              <w:jc w:val="both"/>
              <w:rPr>
                <w:rFonts w:cs="Times New Roman"/>
                <w:color w:val="0000FF" w:themeColor="hyperlink"/>
                <w:szCs w:val="24"/>
                <w:u w:val="single"/>
              </w:rPr>
            </w:pPr>
            <w:hyperlink r:id="rId83" w:history="1">
              <w:r w:rsidR="008F3817" w:rsidRPr="005A6964">
                <w:rPr>
                  <w:rStyle w:val="Hyperlink"/>
                </w:rPr>
                <w:t>todonnell@dickinsonwright.com</w:t>
              </w:r>
            </w:hyperlink>
          </w:p>
          <w:p w:rsidR="008F3817" w:rsidRPr="005A6964" w:rsidRDefault="00880C30" w:rsidP="008F3817">
            <w:pPr>
              <w:tabs>
                <w:tab w:val="left" w:pos="-720"/>
              </w:tabs>
              <w:suppressAutoHyphens/>
              <w:spacing w:after="0" w:line="240" w:lineRule="auto"/>
              <w:jc w:val="both"/>
              <w:rPr>
                <w:rFonts w:cs="Times New Roman"/>
                <w:color w:val="0000FF" w:themeColor="hyperlink"/>
                <w:szCs w:val="24"/>
                <w:u w:val="single"/>
              </w:rPr>
            </w:pPr>
            <w:hyperlink r:id="rId84" w:history="1">
              <w:r w:rsidR="008F3817" w:rsidRPr="005A6964">
                <w:rPr>
                  <w:rStyle w:val="Hyperlink"/>
                </w:rPr>
                <w:t>matt@matthewcoxlaw.com</w:t>
              </w:r>
            </w:hyperlink>
          </w:p>
          <w:p w:rsidR="008F3817" w:rsidRPr="005A6964" w:rsidRDefault="00880C30" w:rsidP="008F3817">
            <w:pPr>
              <w:tabs>
                <w:tab w:val="left" w:pos="-720"/>
              </w:tabs>
              <w:suppressAutoHyphens/>
              <w:spacing w:after="0" w:line="240" w:lineRule="auto"/>
              <w:jc w:val="both"/>
              <w:rPr>
                <w:rFonts w:cs="Times New Roman"/>
                <w:color w:val="0000FF"/>
                <w:szCs w:val="24"/>
              </w:rPr>
            </w:pPr>
            <w:hyperlink r:id="rId85" w:history="1">
              <w:r w:rsidR="008F3817" w:rsidRPr="005A6964">
                <w:rPr>
                  <w:rStyle w:val="Hyperlink"/>
                </w:rPr>
                <w:t>mfleisher@elpc.org</w:t>
              </w:r>
            </w:hyperlink>
          </w:p>
          <w:p w:rsidR="008F3817" w:rsidRPr="005A6964" w:rsidRDefault="00880C30" w:rsidP="008F3817">
            <w:pPr>
              <w:tabs>
                <w:tab w:val="left" w:pos="-720"/>
              </w:tabs>
              <w:suppressAutoHyphens/>
              <w:spacing w:after="0" w:line="240" w:lineRule="auto"/>
              <w:jc w:val="both"/>
              <w:rPr>
                <w:rFonts w:cs="Times New Roman"/>
                <w:color w:val="0000FF" w:themeColor="hyperlink"/>
                <w:szCs w:val="24"/>
                <w:u w:val="single"/>
              </w:rPr>
            </w:pPr>
            <w:hyperlink r:id="rId86" w:history="1">
              <w:r w:rsidR="008F3817" w:rsidRPr="005A6964">
                <w:rPr>
                  <w:rStyle w:val="Hyperlink"/>
                </w:rPr>
                <w:t>drinebolt@ohiopartners.org</w:t>
              </w:r>
            </w:hyperlink>
          </w:p>
          <w:p w:rsidR="008F3817" w:rsidRPr="005A6964" w:rsidRDefault="00880C30" w:rsidP="008F3817">
            <w:pPr>
              <w:tabs>
                <w:tab w:val="left" w:pos="-720"/>
              </w:tabs>
              <w:suppressAutoHyphens/>
              <w:spacing w:after="0" w:line="240" w:lineRule="auto"/>
              <w:jc w:val="both"/>
              <w:rPr>
                <w:rFonts w:cs="Times New Roman"/>
                <w:color w:val="0000FF" w:themeColor="hyperlink"/>
                <w:szCs w:val="24"/>
                <w:u w:val="single"/>
              </w:rPr>
            </w:pPr>
            <w:hyperlink r:id="rId87" w:history="1">
              <w:r w:rsidR="008F3817" w:rsidRPr="005A6964">
                <w:rPr>
                  <w:rStyle w:val="Hyperlink"/>
                </w:rPr>
                <w:t>meissnerjoseph@yahoo.com</w:t>
              </w:r>
            </w:hyperlink>
          </w:p>
          <w:p w:rsidR="008F3817" w:rsidRPr="005A6964" w:rsidRDefault="00880C30" w:rsidP="008F3817">
            <w:pPr>
              <w:tabs>
                <w:tab w:val="left" w:pos="-720"/>
              </w:tabs>
              <w:suppressAutoHyphens/>
              <w:spacing w:after="0" w:line="240" w:lineRule="auto"/>
              <w:jc w:val="both"/>
              <w:rPr>
                <w:rFonts w:cs="Times New Roman"/>
                <w:color w:val="0000FF"/>
                <w:szCs w:val="24"/>
              </w:rPr>
            </w:pPr>
            <w:hyperlink r:id="rId88" w:history="1">
              <w:r w:rsidR="008F3817" w:rsidRPr="005A6964">
                <w:rPr>
                  <w:rStyle w:val="Hyperlink"/>
                </w:rPr>
                <w:t>LeslieKovacik@toledo.oh.gov</w:t>
              </w:r>
            </w:hyperlink>
          </w:p>
          <w:p w:rsidR="008F3817" w:rsidRPr="005A6964" w:rsidRDefault="00880C30" w:rsidP="008F3817">
            <w:pPr>
              <w:tabs>
                <w:tab w:val="left" w:pos="-720"/>
              </w:tabs>
              <w:suppressAutoHyphens/>
              <w:spacing w:after="0" w:line="240" w:lineRule="auto"/>
              <w:jc w:val="both"/>
              <w:rPr>
                <w:rFonts w:cs="Times New Roman"/>
                <w:color w:val="0000FF"/>
                <w:szCs w:val="24"/>
              </w:rPr>
            </w:pPr>
            <w:hyperlink r:id="rId89" w:history="1">
              <w:r w:rsidR="008F3817" w:rsidRPr="005A6964">
                <w:rPr>
                  <w:rStyle w:val="Hyperlink"/>
                </w:rPr>
                <w:t>trhayslaw@gmail.com</w:t>
              </w:r>
            </w:hyperlink>
          </w:p>
          <w:p w:rsidR="008F3817" w:rsidRPr="005A6964" w:rsidRDefault="00880C30" w:rsidP="008F3817">
            <w:pPr>
              <w:tabs>
                <w:tab w:val="left" w:pos="-720"/>
              </w:tabs>
              <w:suppressAutoHyphens/>
              <w:spacing w:after="0" w:line="240" w:lineRule="auto"/>
              <w:jc w:val="both"/>
              <w:rPr>
                <w:rFonts w:cs="Times New Roman"/>
                <w:szCs w:val="24"/>
              </w:rPr>
            </w:pPr>
            <w:hyperlink r:id="rId90" w:history="1">
              <w:r w:rsidR="008F3817" w:rsidRPr="005A6964">
                <w:rPr>
                  <w:rStyle w:val="Hyperlink"/>
                </w:rPr>
                <w:t>Jeffrey.mayes@monitoringanalytics.com</w:t>
              </w:r>
            </w:hyperlink>
          </w:p>
          <w:p w:rsidR="008F3817" w:rsidRPr="005A6964" w:rsidRDefault="00880C30" w:rsidP="008F3817">
            <w:pPr>
              <w:tabs>
                <w:tab w:val="left" w:pos="-720"/>
              </w:tabs>
              <w:suppressAutoHyphens/>
              <w:spacing w:after="0" w:line="240" w:lineRule="auto"/>
              <w:jc w:val="both"/>
              <w:rPr>
                <w:rFonts w:cs="Times New Roman"/>
                <w:szCs w:val="24"/>
              </w:rPr>
            </w:pPr>
            <w:hyperlink r:id="rId91" w:history="1">
              <w:r w:rsidR="008F3817" w:rsidRPr="005A6964">
                <w:rPr>
                  <w:rStyle w:val="Hyperlink"/>
                </w:rPr>
                <w:t>mhpetricoff@vorys.com</w:t>
              </w:r>
            </w:hyperlink>
          </w:p>
          <w:p w:rsidR="008F3817" w:rsidRPr="005A6964" w:rsidRDefault="00880C30" w:rsidP="008F3817">
            <w:pPr>
              <w:tabs>
                <w:tab w:val="left" w:pos="-720"/>
              </w:tabs>
              <w:suppressAutoHyphens/>
              <w:spacing w:after="0" w:line="240" w:lineRule="auto"/>
              <w:jc w:val="both"/>
              <w:rPr>
                <w:rFonts w:cs="Times New Roman"/>
                <w:szCs w:val="24"/>
              </w:rPr>
            </w:pPr>
            <w:hyperlink r:id="rId92" w:history="1">
              <w:r w:rsidR="008F3817" w:rsidRPr="005A6964">
                <w:rPr>
                  <w:rStyle w:val="Hyperlink"/>
                </w:rPr>
                <w:t>mjsettineri@vorys.com</w:t>
              </w:r>
            </w:hyperlink>
          </w:p>
          <w:p w:rsidR="008F3817" w:rsidRPr="005A6964" w:rsidRDefault="00880C30" w:rsidP="008F3817">
            <w:pPr>
              <w:tabs>
                <w:tab w:val="left" w:pos="-720"/>
              </w:tabs>
              <w:suppressAutoHyphens/>
              <w:spacing w:after="0" w:line="240" w:lineRule="auto"/>
              <w:jc w:val="both"/>
              <w:rPr>
                <w:rFonts w:cs="Times New Roman"/>
                <w:szCs w:val="24"/>
              </w:rPr>
            </w:pPr>
            <w:hyperlink r:id="rId93" w:history="1">
              <w:r w:rsidR="008F3817" w:rsidRPr="005A6964">
                <w:rPr>
                  <w:rStyle w:val="Hyperlink"/>
                </w:rPr>
                <w:t>glpetrucci@vorys.com</w:t>
              </w:r>
            </w:hyperlink>
          </w:p>
          <w:p w:rsidR="008F3817" w:rsidRPr="005A6964" w:rsidRDefault="00880C30" w:rsidP="008F3817">
            <w:pPr>
              <w:tabs>
                <w:tab w:val="left" w:pos="-720"/>
              </w:tabs>
              <w:suppressAutoHyphens/>
              <w:spacing w:after="0" w:line="240" w:lineRule="auto"/>
              <w:jc w:val="both"/>
              <w:rPr>
                <w:rFonts w:cs="Times New Roman"/>
                <w:color w:val="0000FF"/>
                <w:szCs w:val="24"/>
              </w:rPr>
            </w:pPr>
            <w:hyperlink r:id="rId94" w:history="1">
              <w:r w:rsidR="008F3817" w:rsidRPr="005A6964">
                <w:rPr>
                  <w:rStyle w:val="Hyperlink"/>
                </w:rPr>
                <w:t>msoules@earthjustice.org</w:t>
              </w:r>
            </w:hyperlink>
          </w:p>
          <w:p w:rsidR="008F3817" w:rsidRPr="00822EDD" w:rsidRDefault="00880C30" w:rsidP="008F3817">
            <w:pPr>
              <w:tabs>
                <w:tab w:val="left" w:pos="-720"/>
              </w:tabs>
              <w:suppressAutoHyphens/>
              <w:spacing w:after="0" w:line="240" w:lineRule="auto"/>
              <w:jc w:val="both"/>
              <w:rPr>
                <w:rFonts w:cs="Times New Roman"/>
                <w:bCs/>
                <w:snapToGrid w:val="0"/>
                <w:spacing w:val="-3"/>
                <w:szCs w:val="24"/>
              </w:rPr>
            </w:pPr>
            <w:hyperlink r:id="rId95" w:history="1">
              <w:r w:rsidR="008F3817" w:rsidRPr="005A6964">
                <w:rPr>
                  <w:rStyle w:val="Hyperlink"/>
                </w:rPr>
                <w:t>sfisk@earthjustice.org</w:t>
              </w:r>
            </w:hyperlink>
          </w:p>
        </w:tc>
      </w:tr>
    </w:tbl>
    <w:p w:rsidR="008F3817" w:rsidRPr="00CA6688" w:rsidRDefault="008F3817" w:rsidP="008F3817">
      <w:pPr>
        <w:spacing w:after="0" w:line="240" w:lineRule="auto"/>
        <w:jc w:val="center"/>
        <w:rPr>
          <w:rFonts w:cs="Times New Roman"/>
          <w:szCs w:val="24"/>
        </w:rPr>
      </w:pPr>
    </w:p>
    <w:p w:rsidR="005061A2" w:rsidRPr="00CA6688" w:rsidRDefault="005061A2" w:rsidP="008F3817">
      <w:pPr>
        <w:spacing w:after="0" w:line="240" w:lineRule="auto"/>
        <w:jc w:val="center"/>
        <w:rPr>
          <w:rFonts w:cs="Times New Roman"/>
          <w:szCs w:val="24"/>
        </w:rPr>
      </w:pPr>
    </w:p>
    <w:p w:rsidR="005061A2" w:rsidRPr="00247ABD" w:rsidRDefault="005061A2" w:rsidP="008F3817">
      <w:pPr>
        <w:spacing w:after="0" w:line="240" w:lineRule="auto"/>
        <w:rPr>
          <w:rFonts w:cs="Times New Roman"/>
          <w:b/>
          <w:bCs/>
          <w:szCs w:val="24"/>
          <w:u w:val="single"/>
        </w:rPr>
      </w:pPr>
    </w:p>
    <w:p w:rsidR="005061A2" w:rsidRPr="006A785C" w:rsidRDefault="005061A2" w:rsidP="008F3817">
      <w:pPr>
        <w:spacing w:after="0" w:line="240" w:lineRule="auto"/>
      </w:pPr>
    </w:p>
    <w:p w:rsidR="005061A2" w:rsidRDefault="005061A2" w:rsidP="008F3817">
      <w:pPr>
        <w:pStyle w:val="DirectNext"/>
        <w:spacing w:line="240" w:lineRule="auto"/>
        <w:ind w:left="0" w:firstLine="720"/>
      </w:pPr>
    </w:p>
    <w:sectPr w:rsidR="005061A2" w:rsidSect="008625E5">
      <w:headerReference w:type="default" r:id="rId96"/>
      <w:footerReference w:type="default" r:id="rId97"/>
      <w:pgSz w:w="12240" w:h="15840"/>
      <w:pgMar w:top="720" w:right="1800" w:bottom="720" w:left="1800" w:header="720" w:footer="720" w:gutter="0"/>
      <w:pgNumType w:start="1"/>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24ED22" w15:done="0"/>
  <w15:commentEx w15:paraId="3DAA142F" w15:done="0"/>
  <w15:commentEx w15:paraId="40D518F4" w15:done="0"/>
  <w15:commentEx w15:paraId="4A2B263A" w15:done="0"/>
  <w15:commentEx w15:paraId="3E6C631E" w15:done="0"/>
  <w15:commentEx w15:paraId="54EE7FC0" w15:done="0"/>
  <w15:commentEx w15:paraId="746653E3" w15:done="0"/>
  <w15:commentEx w15:paraId="14AD1CFC" w15:done="0"/>
  <w15:commentEx w15:paraId="503DAA37" w15:done="0"/>
  <w15:commentEx w15:paraId="68B7E26F" w15:done="0"/>
  <w15:commentEx w15:paraId="7D96D282" w15:done="0"/>
  <w15:commentEx w15:paraId="7176B016" w15:done="0"/>
  <w15:commentEx w15:paraId="714E2E2E" w15:done="0"/>
  <w15:commentEx w15:paraId="5F4E9405" w15:done="0"/>
  <w15:commentEx w15:paraId="649160A7" w15:done="0"/>
  <w15:commentEx w15:paraId="3835C288" w15:done="0"/>
  <w15:commentEx w15:paraId="0174A969" w15:done="0"/>
  <w15:commentEx w15:paraId="7393D7FD" w15:done="0"/>
  <w15:commentEx w15:paraId="09D2039E" w15:done="0"/>
  <w15:commentEx w15:paraId="58E18968" w15:done="0"/>
  <w15:commentEx w15:paraId="62357FB8" w15:done="0"/>
  <w15:commentEx w15:paraId="5F613FC8" w15:done="0"/>
  <w15:commentEx w15:paraId="30D8D62A" w15:done="0"/>
  <w15:commentEx w15:paraId="523A0002" w15:done="0"/>
  <w15:commentEx w15:paraId="072DB860" w15:done="0"/>
  <w15:commentEx w15:paraId="28655DF3" w15:done="0"/>
  <w15:commentEx w15:paraId="2A59A765" w15:done="0"/>
  <w15:commentEx w15:paraId="099CE26D" w15:done="0"/>
  <w15:commentEx w15:paraId="62A728EA" w15:done="0"/>
  <w15:commentEx w15:paraId="41D9977D" w15:done="0"/>
  <w15:commentEx w15:paraId="53956143" w15:done="0"/>
  <w15:commentEx w15:paraId="24C132CA" w15:done="0"/>
  <w15:commentEx w15:paraId="22C634FE" w15:done="0"/>
  <w15:commentEx w15:paraId="28EBC44C" w15:done="0"/>
  <w15:commentEx w15:paraId="77D67125" w15:done="0"/>
  <w15:commentEx w15:paraId="78BF9AF7" w15:done="0"/>
  <w15:commentEx w15:paraId="69A8DFC0" w15:done="0"/>
  <w15:commentEx w15:paraId="0E9CC9DB" w15:done="0"/>
  <w15:commentEx w15:paraId="2FF888C3" w15:done="0"/>
  <w15:commentEx w15:paraId="6CA36F23" w15:done="0"/>
  <w15:commentEx w15:paraId="54EB8ACC" w15:done="0"/>
  <w15:commentEx w15:paraId="6B38A254" w15:done="0"/>
  <w15:commentEx w15:paraId="76B851C5" w15:done="0"/>
  <w15:commentEx w15:paraId="1825EA14" w15:done="0"/>
  <w15:commentEx w15:paraId="0191D052" w15:done="0"/>
  <w15:commentEx w15:paraId="51F17F1A" w15:done="0"/>
  <w15:commentEx w15:paraId="38A5F3D2" w15:done="0"/>
  <w15:commentEx w15:paraId="51878964" w15:done="0"/>
  <w15:commentEx w15:paraId="57AEB3D1" w15:done="0"/>
  <w15:commentEx w15:paraId="643547BE" w15:done="0"/>
  <w15:commentEx w15:paraId="6B0E36A9" w15:done="0"/>
  <w15:commentEx w15:paraId="1B53EE27" w15:done="0"/>
  <w15:commentEx w15:paraId="7DE41246" w15:done="0"/>
  <w15:commentEx w15:paraId="374FF98D" w15:done="0"/>
  <w15:commentEx w15:paraId="319E0BE7" w15:done="0"/>
  <w15:commentEx w15:paraId="173B7C28" w15:done="0"/>
  <w15:commentEx w15:paraId="6016B8D6" w15:done="0"/>
  <w15:commentEx w15:paraId="168B07ED" w15:done="0"/>
  <w15:commentEx w15:paraId="62BDCD52" w15:done="0"/>
  <w15:commentEx w15:paraId="267AABFE" w15:done="0"/>
  <w15:commentEx w15:paraId="4B24E3A6" w15:done="0"/>
  <w15:commentEx w15:paraId="613E2FDE" w15:done="0"/>
  <w15:commentEx w15:paraId="29BF4C50" w15:done="0"/>
  <w15:commentEx w15:paraId="2ADF6BC9" w15:done="0"/>
  <w15:commentEx w15:paraId="5836C5E0" w15:done="0"/>
  <w15:commentEx w15:paraId="485203A2" w15:done="0"/>
  <w15:commentEx w15:paraId="0D622EDA" w15:done="0"/>
  <w15:commentEx w15:paraId="0AAC223D" w15:done="0"/>
  <w15:commentEx w15:paraId="08AA24C0" w15:done="0"/>
  <w15:commentEx w15:paraId="0250A223" w15:done="0"/>
  <w15:commentEx w15:paraId="6A68B7A8" w15:done="0"/>
  <w15:commentEx w15:paraId="4E5AA8E9" w15:done="0"/>
  <w15:commentEx w15:paraId="070ECD50" w15:done="0"/>
  <w15:commentEx w15:paraId="5DE7214B" w15:done="0"/>
  <w15:commentEx w15:paraId="06F53309" w15:done="0"/>
  <w15:commentEx w15:paraId="07B38C42" w15:done="0"/>
  <w15:commentEx w15:paraId="0E1864FF" w15:done="0"/>
  <w15:commentEx w15:paraId="58E733C5" w15:done="0"/>
  <w15:commentEx w15:paraId="38BA020E" w15:done="0"/>
  <w15:commentEx w15:paraId="52EDA5BB" w15:done="0"/>
  <w15:commentEx w15:paraId="01FBDE30" w15:done="0"/>
  <w15:commentEx w15:paraId="36879674" w15:done="0"/>
  <w15:commentEx w15:paraId="0AA3B0C5" w15:done="0"/>
  <w15:commentEx w15:paraId="44C12AC4" w15:done="0"/>
  <w15:commentEx w15:paraId="419279B2" w15:done="0"/>
  <w15:commentEx w15:paraId="2B5368FF" w15:done="0"/>
  <w15:commentEx w15:paraId="39EFD57B" w15:done="0"/>
  <w15:commentEx w15:paraId="40DD972A" w15:done="0"/>
  <w15:commentEx w15:paraId="0FFD0B0A" w15:done="0"/>
  <w15:commentEx w15:paraId="799D3DDE" w15:done="0"/>
  <w15:commentEx w15:paraId="205B798B" w15:done="0"/>
  <w15:commentEx w15:paraId="705281C4" w15:done="0"/>
  <w15:commentEx w15:paraId="284925DB" w15:done="0"/>
  <w15:commentEx w15:paraId="193DFA88" w15:done="0"/>
  <w15:commentEx w15:paraId="79C1012E" w15:done="0"/>
  <w15:commentEx w15:paraId="7C573060" w15:done="0"/>
  <w15:commentEx w15:paraId="37E7DE05" w15:done="0"/>
  <w15:commentEx w15:paraId="553D2521" w15:done="0"/>
  <w15:commentEx w15:paraId="25C64F7D" w15:done="0"/>
  <w15:commentEx w15:paraId="43E4227C" w15:done="0"/>
  <w15:commentEx w15:paraId="220BD21B" w15:done="0"/>
  <w15:commentEx w15:paraId="3A880E3B" w15:done="0"/>
  <w15:commentEx w15:paraId="1096BEA9" w15:done="0"/>
  <w15:commentEx w15:paraId="021D08FA" w15:done="0"/>
  <w15:commentEx w15:paraId="2EEE1F69" w15:done="0"/>
  <w15:commentEx w15:paraId="0037C8A8" w15:done="0"/>
  <w15:commentEx w15:paraId="77198069" w15:done="0"/>
  <w15:commentEx w15:paraId="286042DE" w15:done="0"/>
  <w15:commentEx w15:paraId="0FF21724" w15:done="0"/>
  <w15:commentEx w15:paraId="556E8769" w15:done="0"/>
  <w15:commentEx w15:paraId="0C4D9DFD" w15:done="0"/>
  <w15:commentEx w15:paraId="18B2BA65" w15:done="0"/>
  <w15:commentEx w15:paraId="1BA5731C" w15:done="0"/>
  <w15:commentEx w15:paraId="353DB86A" w15:done="0"/>
  <w15:commentEx w15:paraId="1BD879AD" w15:done="0"/>
  <w15:commentEx w15:paraId="5AC09A0B" w15:done="0"/>
  <w15:commentEx w15:paraId="29E27AAE" w15:done="0"/>
  <w15:commentEx w15:paraId="70892127" w15:done="0"/>
  <w15:commentEx w15:paraId="57C9BAFF" w15:done="0"/>
  <w15:commentEx w15:paraId="71179CC7" w15:done="0"/>
  <w15:commentEx w15:paraId="31E67DD2" w15:done="0"/>
  <w15:commentEx w15:paraId="7275C11F" w15:done="0"/>
  <w15:commentEx w15:paraId="2A7EA851" w15:done="0"/>
  <w15:commentEx w15:paraId="580BEE30" w15:done="0"/>
  <w15:commentEx w15:paraId="5CBD7B35" w15:done="0"/>
  <w15:commentEx w15:paraId="6C2C7CF0" w15:done="0"/>
  <w15:commentEx w15:paraId="01C1F77B" w15:done="0"/>
  <w15:commentEx w15:paraId="093FD991" w15:done="0"/>
  <w15:commentEx w15:paraId="718A45C6" w15:done="0"/>
  <w15:commentEx w15:paraId="60A3B34E" w15:done="0"/>
  <w15:commentEx w15:paraId="0322A81B" w15:done="0"/>
  <w15:commentEx w15:paraId="6397D572" w15:done="0"/>
  <w15:commentEx w15:paraId="52E454C0" w15:done="0"/>
  <w15:commentEx w15:paraId="1C942E88" w15:done="0"/>
  <w15:commentEx w15:paraId="7BC9D6A4" w15:done="0"/>
  <w15:commentEx w15:paraId="093C5D79" w15:done="0"/>
  <w15:commentEx w15:paraId="6BDAA33A" w15:done="0"/>
  <w15:commentEx w15:paraId="3DB4D1B8" w15:done="0"/>
  <w15:commentEx w15:paraId="5CDE5E2D" w15:done="0"/>
  <w15:commentEx w15:paraId="59CFD87C" w15:done="0"/>
  <w15:commentEx w15:paraId="15B0FBB8" w15:done="0"/>
  <w15:commentEx w15:paraId="41B5802F" w15:done="0"/>
  <w15:commentEx w15:paraId="6B0369B5" w15:done="0"/>
  <w15:commentEx w15:paraId="7CFB2E66" w15:done="0"/>
  <w15:commentEx w15:paraId="4B3003C1" w15:done="0"/>
  <w15:commentEx w15:paraId="0C0CD0F8" w15:done="0"/>
  <w15:commentEx w15:paraId="62B96301" w15:done="0"/>
  <w15:commentEx w15:paraId="7D17FDF1" w15:done="0"/>
  <w15:commentEx w15:paraId="1C760BED" w15:done="0"/>
  <w15:commentEx w15:paraId="77B442DC" w15:done="0"/>
  <w15:commentEx w15:paraId="5975E1DD" w15:done="0"/>
  <w15:commentEx w15:paraId="1A66C383" w15:done="0"/>
  <w15:commentEx w15:paraId="73674577" w15:done="0"/>
  <w15:commentEx w15:paraId="5BE0CE01" w15:done="0"/>
  <w15:commentEx w15:paraId="5A4BEC3B" w15:done="0"/>
  <w15:commentEx w15:paraId="2DB2748B" w15:done="0"/>
  <w15:commentEx w15:paraId="322DBB8F" w15:done="0"/>
  <w15:commentEx w15:paraId="1F81263B" w15:done="0"/>
  <w15:commentEx w15:paraId="38A471A3" w15:done="0"/>
  <w15:commentEx w15:paraId="17A849A4" w15:done="0"/>
  <w15:commentEx w15:paraId="2E1DE0BC" w15:done="0"/>
  <w15:commentEx w15:paraId="4B436310" w15:done="0"/>
  <w15:commentEx w15:paraId="733C43B0" w15:done="0"/>
  <w15:commentEx w15:paraId="69FD9FD6" w15:done="0"/>
  <w15:commentEx w15:paraId="41E9B9F8" w15:done="0"/>
  <w15:commentEx w15:paraId="3E904825" w15:done="0"/>
  <w15:commentEx w15:paraId="402C803E" w15:done="0"/>
  <w15:commentEx w15:paraId="0640AB56" w15:done="0"/>
  <w15:commentEx w15:paraId="79F9A96D" w15:done="0"/>
  <w15:commentEx w15:paraId="79E5BAB9" w15:done="0"/>
  <w15:commentEx w15:paraId="7D393C6C" w15:done="0"/>
  <w15:commentEx w15:paraId="17CFE6C2" w15:done="0"/>
  <w15:commentEx w15:paraId="1DD46D21" w15:done="0"/>
  <w15:commentEx w15:paraId="796B5DDB" w15:done="0"/>
  <w15:commentEx w15:paraId="26FC96B7" w15:done="0"/>
  <w15:commentEx w15:paraId="432EC392" w15:done="0"/>
  <w15:commentEx w15:paraId="741190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B23" w:rsidRDefault="00375B23" w:rsidP="00B04EB1">
      <w:pPr>
        <w:spacing w:after="0" w:line="240" w:lineRule="auto"/>
      </w:pPr>
      <w:r>
        <w:separator/>
      </w:r>
    </w:p>
  </w:endnote>
  <w:endnote w:type="continuationSeparator" w:id="0">
    <w:p w:rsidR="00375B23" w:rsidRDefault="00375B23" w:rsidP="00B04EB1">
      <w:pPr>
        <w:spacing w:after="0" w:line="240" w:lineRule="auto"/>
      </w:pPr>
      <w:r>
        <w:continuationSeparator/>
      </w:r>
    </w:p>
  </w:endnote>
  <w:endnote w:type="continuationNotice" w:id="1">
    <w:p w:rsidR="00375B23" w:rsidRDefault="00375B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TE1DE2AA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D1" w:rsidRDefault="00E625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4E" w:rsidRDefault="006D364E">
    <w:pPr>
      <w:pStyle w:val="Footer"/>
      <w:jc w:val="center"/>
    </w:pPr>
  </w:p>
  <w:p w:rsidR="006D364E" w:rsidRDefault="006D36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D1" w:rsidRDefault="00E625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622326"/>
      <w:docPartObj>
        <w:docPartGallery w:val="Page Numbers (Bottom of Page)"/>
        <w:docPartUnique/>
      </w:docPartObj>
    </w:sdtPr>
    <w:sdtEndPr>
      <w:rPr>
        <w:noProof/>
      </w:rPr>
    </w:sdtEndPr>
    <w:sdtContent>
      <w:p w:rsidR="006D364E" w:rsidRDefault="006D364E">
        <w:pPr>
          <w:pStyle w:val="Footer"/>
          <w:jc w:val="center"/>
        </w:pPr>
        <w:r>
          <w:fldChar w:fldCharType="begin"/>
        </w:r>
        <w:r>
          <w:instrText xml:space="preserve"> PAGE   \* MERGEFORMAT </w:instrText>
        </w:r>
        <w:r>
          <w:fldChar w:fldCharType="separate"/>
        </w:r>
        <w:r w:rsidR="00E625D1">
          <w:rPr>
            <w:noProof/>
          </w:rPr>
          <w:t>v</w:t>
        </w:r>
        <w:r>
          <w:rPr>
            <w:noProof/>
          </w:rPr>
          <w:fldChar w:fldCharType="end"/>
        </w:r>
      </w:p>
    </w:sdtContent>
  </w:sdt>
  <w:p w:rsidR="006D364E" w:rsidRDefault="006D364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475328"/>
      <w:docPartObj>
        <w:docPartGallery w:val="Page Numbers (Bottom of Page)"/>
        <w:docPartUnique/>
      </w:docPartObj>
    </w:sdtPr>
    <w:sdtEndPr>
      <w:rPr>
        <w:noProof/>
      </w:rPr>
    </w:sdtEndPr>
    <w:sdtContent>
      <w:p w:rsidR="006D364E" w:rsidRDefault="006D364E">
        <w:pPr>
          <w:pStyle w:val="Footer"/>
          <w:jc w:val="center"/>
        </w:pPr>
        <w:r>
          <w:fldChar w:fldCharType="begin"/>
        </w:r>
        <w:r>
          <w:instrText xml:space="preserve"> PAGE   \* MERGEFORMAT </w:instrText>
        </w:r>
        <w:r>
          <w:fldChar w:fldCharType="separate"/>
        </w:r>
        <w:r w:rsidR="00E625D1">
          <w:rPr>
            <w:noProof/>
          </w:rPr>
          <w:t>116</w:t>
        </w:r>
        <w:r>
          <w:rPr>
            <w:noProof/>
          </w:rPr>
          <w:fldChar w:fldCharType="end"/>
        </w:r>
      </w:p>
    </w:sdtContent>
  </w:sdt>
  <w:p w:rsidR="006D364E" w:rsidRDefault="006D3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B23" w:rsidRDefault="00375B23" w:rsidP="00B04EB1">
      <w:pPr>
        <w:spacing w:after="0" w:line="240" w:lineRule="auto"/>
      </w:pPr>
      <w:r>
        <w:separator/>
      </w:r>
    </w:p>
  </w:footnote>
  <w:footnote w:type="continuationSeparator" w:id="0">
    <w:p w:rsidR="00375B23" w:rsidRDefault="00375B23" w:rsidP="00B04EB1">
      <w:pPr>
        <w:spacing w:after="0" w:line="240" w:lineRule="auto"/>
      </w:pPr>
      <w:r>
        <w:continuationSeparator/>
      </w:r>
    </w:p>
  </w:footnote>
  <w:footnote w:type="continuationNotice" w:id="1">
    <w:p w:rsidR="00375B23" w:rsidRDefault="00375B23">
      <w:pPr>
        <w:spacing w:after="0" w:line="240" w:lineRule="auto"/>
      </w:pPr>
    </w:p>
  </w:footnote>
  <w:footnote w:id="2">
    <w:p w:rsidR="006D364E" w:rsidRPr="00232D0D" w:rsidRDefault="006D364E" w:rsidP="00232D0D">
      <w:pPr>
        <w:autoSpaceDE w:val="0"/>
        <w:autoSpaceDN w:val="0"/>
        <w:adjustRightInd w:val="0"/>
        <w:spacing w:after="120" w:line="240" w:lineRule="auto"/>
        <w:rPr>
          <w:rFonts w:cs="Times New Roman"/>
          <w:sz w:val="20"/>
          <w:szCs w:val="20"/>
        </w:rPr>
      </w:pPr>
      <w:r w:rsidRPr="00232D0D">
        <w:rPr>
          <w:rStyle w:val="FootnoteReference"/>
          <w:rFonts w:cs="Times New Roman"/>
          <w:sz w:val="20"/>
          <w:szCs w:val="20"/>
        </w:rPr>
        <w:footnoteRef/>
      </w:r>
      <w:r w:rsidRPr="00232D0D">
        <w:rPr>
          <w:rFonts w:cs="Times New Roman"/>
          <w:sz w:val="20"/>
          <w:szCs w:val="20"/>
        </w:rPr>
        <w:t xml:space="preserve"> Proffer Tr. Vol. XXX at 6118 -6122 (October 16, 2015), Proffer OCC Ex. 30 the testimony of Dr. Hisham Choueiki in Case No. 14-841-EL-SSO and OCC Ex. 31 the testimony of Dr. Hisham Choueiki in Case No. 13-2385 See also, AEP Ohio ESP III, Case No. 13-2385-EL-SSO, Prefiled Testimony of Staff Witness Choueiki at 9 (May 20, 2014).</w:t>
      </w:r>
    </w:p>
  </w:footnote>
  <w:footnote w:id="3">
    <w:p w:rsidR="006D364E" w:rsidRPr="00232D0D" w:rsidRDefault="006D364E" w:rsidP="00232D0D">
      <w:pPr>
        <w:pStyle w:val="FootnoteText"/>
        <w:spacing w:after="120"/>
        <w:rPr>
          <w:rFonts w:ascii="Times New Roman" w:hAnsi="Times New Roman"/>
          <w:i/>
        </w:rPr>
      </w:pPr>
      <w:r w:rsidRPr="00232D0D">
        <w:rPr>
          <w:rStyle w:val="FootnoteReference"/>
          <w:rFonts w:ascii="Times New Roman" w:eastAsiaTheme="majorEastAsia" w:hAnsi="Times New Roman"/>
        </w:rPr>
        <w:footnoteRef/>
      </w:r>
      <w:r w:rsidRPr="00232D0D">
        <w:rPr>
          <w:rFonts w:ascii="Times New Roman" w:hAnsi="Times New Roman"/>
        </w:rPr>
        <w:t xml:space="preserve"> OCC/NOAC Initial Brief at 8-11.  See</w:t>
      </w:r>
      <w:r w:rsidRPr="00232D0D">
        <w:rPr>
          <w:rFonts w:ascii="Times New Roman" w:hAnsi="Times New Roman"/>
          <w:i/>
        </w:rPr>
        <w:t xml:space="preserve"> </w:t>
      </w:r>
      <w:r w:rsidRPr="00232D0D">
        <w:rPr>
          <w:rFonts w:ascii="Times New Roman" w:hAnsi="Times New Roman"/>
        </w:rPr>
        <w:t>also RESA Initial Brief at 9-11.</w:t>
      </w:r>
    </w:p>
  </w:footnote>
  <w:footnote w:id="4">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OCC/NOAC Initial Brief at 11.</w:t>
      </w:r>
    </w:p>
  </w:footnote>
  <w:footnote w:id="5">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OCC/NOAC Initial Brief at 8.</w:t>
      </w:r>
    </w:p>
  </w:footnote>
  <w:footnote w:id="6">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OCC/NOAC Initial Brief at 8.</w:t>
      </w:r>
    </w:p>
  </w:footnote>
  <w:footnote w:id="7">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OCC/NOAC Initial Brief at 9-10.</w:t>
      </w:r>
    </w:p>
  </w:footnote>
  <w:footnote w:id="8">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OCC/NOAC Initial Brief at 8-9.</w:t>
      </w:r>
    </w:p>
  </w:footnote>
  <w:footnote w:id="9">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OEG Initial Brief at 3.</w:t>
      </w:r>
    </w:p>
  </w:footnote>
  <w:footnote w:id="10">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See</w:t>
      </w:r>
      <w:r w:rsidRPr="00232D0D">
        <w:rPr>
          <w:rFonts w:ascii="Times New Roman" w:hAnsi="Times New Roman"/>
          <w:i/>
        </w:rPr>
        <w:t xml:space="preserve"> </w:t>
      </w:r>
      <w:r>
        <w:rPr>
          <w:rFonts w:ascii="Times New Roman" w:hAnsi="Times New Roman"/>
        </w:rPr>
        <w:t xml:space="preserve">PUCO </w:t>
      </w:r>
      <w:r w:rsidRPr="00232D0D">
        <w:rPr>
          <w:rFonts w:ascii="Times New Roman" w:hAnsi="Times New Roman"/>
        </w:rPr>
        <w:t>Staff Initial Brief.</w:t>
      </w:r>
    </w:p>
  </w:footnote>
  <w:footnote w:id="11">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FirstEnergy Initial Brief at 9-11. </w:t>
      </w:r>
    </w:p>
  </w:footnote>
  <w:footnote w:id="12">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FirstEnergy Initial Brief at 1.</w:t>
      </w:r>
    </w:p>
  </w:footnote>
  <w:footnote w:id="13">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OCC/NOAC Initial Brief at 8.</w:t>
      </w:r>
    </w:p>
  </w:footnote>
  <w:footnote w:id="14">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w:t>
      </w:r>
      <w:r w:rsidRPr="00232D0D">
        <w:rPr>
          <w:rFonts w:ascii="Times New Roman" w:hAnsi="Times New Roman"/>
          <w:i/>
        </w:rPr>
        <w:t>In the Matter of the Commission’s Investigation of Ohio’s Retail Electric Service Market,</w:t>
      </w:r>
      <w:r w:rsidRPr="00232D0D">
        <w:rPr>
          <w:rFonts w:ascii="Times New Roman" w:hAnsi="Times New Roman"/>
        </w:rPr>
        <w:t xml:space="preserve"> Case No. 12-3151-EL-COI, Concurring Opinion at 3 (Mar. 26, 2014).  </w:t>
      </w:r>
    </w:p>
  </w:footnote>
  <w:footnote w:id="15">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w:t>
      </w:r>
      <w:r>
        <w:rPr>
          <w:rFonts w:ascii="Times New Roman" w:hAnsi="Times New Roman"/>
        </w:rPr>
        <w:t>OEG Initial Brief.</w:t>
      </w:r>
    </w:p>
  </w:footnote>
  <w:footnote w:id="16">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See</w:t>
      </w:r>
      <w:r w:rsidRPr="00232D0D">
        <w:rPr>
          <w:rFonts w:ascii="Times New Roman" w:hAnsi="Times New Roman"/>
          <w:i/>
        </w:rPr>
        <w:t xml:space="preserve"> </w:t>
      </w:r>
      <w:r w:rsidRPr="0057442C">
        <w:rPr>
          <w:rFonts w:ascii="Times New Roman" w:hAnsi="Times New Roman"/>
        </w:rPr>
        <w:t xml:space="preserve">generally </w:t>
      </w:r>
      <w:r w:rsidRPr="00232D0D">
        <w:rPr>
          <w:rFonts w:ascii="Times New Roman" w:hAnsi="Times New Roman"/>
        </w:rPr>
        <w:t>OCC’s Initial Brief at 15-16.</w:t>
      </w:r>
    </w:p>
  </w:footnote>
  <w:footnote w:id="17">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Tr. XVII at 3640 (Savage).</w:t>
      </w:r>
    </w:p>
  </w:footnote>
  <w:footnote w:id="18">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See </w:t>
      </w:r>
      <w:r w:rsidRPr="00232D0D">
        <w:rPr>
          <w:rFonts w:ascii="Times New Roman" w:hAnsi="Times New Roman"/>
          <w:i/>
        </w:rPr>
        <w:t>PPL EnergyPlus, LLC v. Nazarian</w:t>
      </w:r>
      <w:r w:rsidRPr="00232D0D">
        <w:rPr>
          <w:rFonts w:ascii="Times New Roman" w:hAnsi="Times New Roman"/>
        </w:rPr>
        <w:t>, 753 F.3d 467, 476-77 (4</w:t>
      </w:r>
      <w:r w:rsidRPr="00232D0D">
        <w:rPr>
          <w:rFonts w:ascii="Times New Roman" w:hAnsi="Times New Roman"/>
          <w:vertAlign w:val="superscript"/>
        </w:rPr>
        <w:t>th</w:t>
      </w:r>
      <w:r w:rsidRPr="00232D0D">
        <w:rPr>
          <w:rFonts w:ascii="Times New Roman" w:hAnsi="Times New Roman"/>
        </w:rPr>
        <w:t xml:space="preserve"> Cir. 2014); </w:t>
      </w:r>
      <w:r w:rsidRPr="00232D0D">
        <w:rPr>
          <w:rFonts w:ascii="Times New Roman" w:hAnsi="Times New Roman"/>
          <w:i/>
        </w:rPr>
        <w:t>PPL EnergyPlus, LLC v. Solomon</w:t>
      </w:r>
      <w:r w:rsidRPr="00232D0D">
        <w:rPr>
          <w:rFonts w:ascii="Times New Roman" w:hAnsi="Times New Roman"/>
        </w:rPr>
        <w:t>, 766 F.3d 241, 252-54 (3</w:t>
      </w:r>
      <w:r w:rsidRPr="00232D0D">
        <w:rPr>
          <w:rFonts w:ascii="Times New Roman" w:hAnsi="Times New Roman"/>
          <w:vertAlign w:val="superscript"/>
        </w:rPr>
        <w:t>rd</w:t>
      </w:r>
      <w:r w:rsidRPr="00232D0D">
        <w:rPr>
          <w:rFonts w:ascii="Times New Roman" w:hAnsi="Times New Roman"/>
        </w:rPr>
        <w:t xml:space="preserve"> Cir. 2014).</w:t>
      </w:r>
    </w:p>
  </w:footnote>
  <w:footnote w:id="19">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See</w:t>
      </w:r>
      <w:r w:rsidRPr="00232D0D">
        <w:rPr>
          <w:rFonts w:ascii="Times New Roman" w:hAnsi="Times New Roman"/>
          <w:i/>
        </w:rPr>
        <w:t xml:space="preserve"> </w:t>
      </w:r>
      <w:r w:rsidRPr="00232D0D">
        <w:rPr>
          <w:rFonts w:ascii="Times New Roman" w:hAnsi="Times New Roman"/>
        </w:rPr>
        <w:t xml:space="preserve">OEG’s </w:t>
      </w:r>
      <w:r>
        <w:rPr>
          <w:rFonts w:ascii="Times New Roman" w:hAnsi="Times New Roman"/>
        </w:rPr>
        <w:t xml:space="preserve">Initial </w:t>
      </w:r>
      <w:r w:rsidRPr="00232D0D">
        <w:rPr>
          <w:rFonts w:ascii="Times New Roman" w:hAnsi="Times New Roman"/>
        </w:rPr>
        <w:t>Brief at 19.</w:t>
      </w:r>
    </w:p>
  </w:footnote>
  <w:footnote w:id="20">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See</w:t>
      </w:r>
      <w:r w:rsidRPr="00232D0D">
        <w:rPr>
          <w:rFonts w:ascii="Times New Roman" w:hAnsi="Times New Roman"/>
          <w:i/>
        </w:rPr>
        <w:t xml:space="preserve">, </w:t>
      </w:r>
      <w:r w:rsidRPr="00232D0D">
        <w:rPr>
          <w:rFonts w:ascii="Times New Roman" w:hAnsi="Times New Roman"/>
        </w:rPr>
        <w:t>e.g.</w:t>
      </w:r>
      <w:r w:rsidRPr="00232D0D">
        <w:rPr>
          <w:rFonts w:ascii="Times New Roman" w:hAnsi="Times New Roman"/>
          <w:i/>
        </w:rPr>
        <w:t>, Nazarian</w:t>
      </w:r>
      <w:r w:rsidRPr="00232D0D">
        <w:rPr>
          <w:rFonts w:ascii="Times New Roman" w:hAnsi="Times New Roman"/>
        </w:rPr>
        <w:t>, 753 F.3d at 479 (explaining that the state program at issue “set the price received at wholesale” and “therefore directly conflict[s] with the au</w:t>
      </w:r>
      <w:r>
        <w:rPr>
          <w:rFonts w:ascii="Times New Roman" w:hAnsi="Times New Roman"/>
        </w:rPr>
        <w:t>ction rates approved by FERC.”)</w:t>
      </w:r>
    </w:p>
  </w:footnote>
  <w:footnote w:id="21">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See</w:t>
      </w:r>
      <w:r w:rsidRPr="00232D0D">
        <w:rPr>
          <w:rFonts w:ascii="Times New Roman" w:hAnsi="Times New Roman"/>
          <w:i/>
        </w:rPr>
        <w:t xml:space="preserve"> </w:t>
      </w:r>
      <w:r w:rsidRPr="00232D0D">
        <w:rPr>
          <w:rFonts w:ascii="Times New Roman" w:hAnsi="Times New Roman"/>
        </w:rPr>
        <w:t>OCC’s Initial Brief at 17-18.</w:t>
      </w:r>
    </w:p>
  </w:footnote>
  <w:footnote w:id="22">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See</w:t>
      </w:r>
      <w:r w:rsidRPr="00232D0D">
        <w:rPr>
          <w:rFonts w:ascii="Times New Roman" w:hAnsi="Times New Roman"/>
          <w:i/>
        </w:rPr>
        <w:t xml:space="preserve"> Solomon</w:t>
      </w:r>
      <w:r w:rsidRPr="00232D0D">
        <w:rPr>
          <w:rFonts w:ascii="Times New Roman" w:hAnsi="Times New Roman"/>
        </w:rPr>
        <w:t>, 766 F.3d at 253.</w:t>
      </w:r>
    </w:p>
  </w:footnote>
  <w:footnote w:id="23">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See</w:t>
      </w:r>
      <w:r w:rsidRPr="00232D0D">
        <w:rPr>
          <w:rFonts w:ascii="Times New Roman" w:hAnsi="Times New Roman"/>
          <w:i/>
        </w:rPr>
        <w:t xml:space="preserve"> </w:t>
      </w:r>
      <w:r w:rsidRPr="00432F5A">
        <w:rPr>
          <w:rFonts w:ascii="Times New Roman" w:hAnsi="Times New Roman"/>
        </w:rPr>
        <w:t>id.</w:t>
      </w:r>
      <w:r w:rsidRPr="00232D0D">
        <w:rPr>
          <w:rFonts w:ascii="Times New Roman" w:hAnsi="Times New Roman"/>
          <w:i/>
        </w:rPr>
        <w:t xml:space="preserve"> </w:t>
      </w:r>
      <w:r w:rsidRPr="00232D0D">
        <w:rPr>
          <w:rFonts w:ascii="Times New Roman" w:hAnsi="Times New Roman"/>
        </w:rPr>
        <w:t xml:space="preserve">at 252-54; </w:t>
      </w:r>
      <w:r w:rsidRPr="00232D0D">
        <w:rPr>
          <w:rFonts w:ascii="Times New Roman" w:hAnsi="Times New Roman"/>
          <w:i/>
        </w:rPr>
        <w:t>Nazarian</w:t>
      </w:r>
      <w:r w:rsidRPr="00232D0D">
        <w:rPr>
          <w:rFonts w:ascii="Times New Roman" w:hAnsi="Times New Roman"/>
        </w:rPr>
        <w:t>, 753 F.3d at 476-78.</w:t>
      </w:r>
    </w:p>
  </w:footnote>
  <w:footnote w:id="24">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See</w:t>
      </w:r>
      <w:r w:rsidRPr="00232D0D">
        <w:rPr>
          <w:rFonts w:ascii="Times New Roman" w:hAnsi="Times New Roman"/>
          <w:i/>
        </w:rPr>
        <w:t xml:space="preserve"> Solomon</w:t>
      </w:r>
      <w:r w:rsidRPr="00232D0D">
        <w:rPr>
          <w:rFonts w:ascii="Times New Roman" w:hAnsi="Times New Roman"/>
        </w:rPr>
        <w:t>, 766 F.3d at 253.  What also matters, under well-established Ohio law, is that there must be record support for PUCO decisions.  See</w:t>
      </w:r>
      <w:r w:rsidRPr="00232D0D">
        <w:rPr>
          <w:rFonts w:ascii="Times New Roman" w:hAnsi="Times New Roman"/>
          <w:i/>
        </w:rPr>
        <w:t xml:space="preserve">, </w:t>
      </w:r>
      <w:r w:rsidRPr="00432F5A">
        <w:rPr>
          <w:rFonts w:ascii="Times New Roman" w:hAnsi="Times New Roman"/>
        </w:rPr>
        <w:t>e.g.,</w:t>
      </w:r>
      <w:r w:rsidRPr="00232D0D">
        <w:rPr>
          <w:rFonts w:ascii="Times New Roman" w:hAnsi="Times New Roman"/>
          <w:i/>
        </w:rPr>
        <w:t xml:space="preserve"> Tongren v. PUC</w:t>
      </w:r>
      <w:r w:rsidRPr="00232D0D">
        <w:rPr>
          <w:rFonts w:ascii="Times New Roman" w:hAnsi="Times New Roman"/>
        </w:rPr>
        <w:t>, 85 Ohio St. 3d 87 (1999); See</w:t>
      </w:r>
      <w:r w:rsidRPr="00232D0D">
        <w:rPr>
          <w:rFonts w:ascii="Times New Roman" w:hAnsi="Times New Roman"/>
          <w:i/>
        </w:rPr>
        <w:t xml:space="preserve"> </w:t>
      </w:r>
      <w:r w:rsidRPr="00432F5A">
        <w:rPr>
          <w:rFonts w:ascii="Times New Roman" w:hAnsi="Times New Roman"/>
        </w:rPr>
        <w:t>also</w:t>
      </w:r>
      <w:r w:rsidRPr="00232D0D">
        <w:rPr>
          <w:rFonts w:ascii="Times New Roman" w:hAnsi="Times New Roman"/>
          <w:i/>
        </w:rPr>
        <w:t xml:space="preserve"> </w:t>
      </w:r>
      <w:r w:rsidRPr="00232D0D">
        <w:rPr>
          <w:rFonts w:ascii="Times New Roman" w:hAnsi="Times New Roman"/>
        </w:rPr>
        <w:t>R.C. 4903.09.  Although OEG asserts that “cost-based compensation for generation is prevalent in PJM and has been since the inception of PJM’s capacity market in 2007[,]” it does not cite any record support for the assertion.  See</w:t>
      </w:r>
      <w:r w:rsidRPr="00232D0D">
        <w:rPr>
          <w:rFonts w:ascii="Times New Roman" w:hAnsi="Times New Roman"/>
          <w:i/>
        </w:rPr>
        <w:t xml:space="preserve"> </w:t>
      </w:r>
      <w:r w:rsidRPr="00232D0D">
        <w:rPr>
          <w:rFonts w:ascii="Times New Roman" w:hAnsi="Times New Roman"/>
        </w:rPr>
        <w:t xml:space="preserve">OEG’s Post-Hearing Brief at 18.  In light of </w:t>
      </w:r>
      <w:r w:rsidRPr="00232D0D">
        <w:rPr>
          <w:rFonts w:ascii="Times New Roman" w:hAnsi="Times New Roman"/>
          <w:i/>
        </w:rPr>
        <w:t xml:space="preserve">Tongren </w:t>
      </w:r>
      <w:r w:rsidRPr="00232D0D">
        <w:rPr>
          <w:rFonts w:ascii="Times New Roman" w:hAnsi="Times New Roman"/>
        </w:rPr>
        <w:t>and R.C. 4903.09, the PUCO cannot possibly sanction OEG’s assertion.  This is especially so since OEG has not provided the PUCO with any evidentiary support that the alleged “cost-based generation” it discusses is in any way comparable to FirstEnergy’s Rider RRS; the nature, extent, and scope of the regulatory structure of the states where the alleged “cost-based generation” operates; or if the alleged “cost-based generation” purportedly bid into PJM markets receives a state-fixed price for its bids regardless of the PJM clearing price, as FirstEnergy would were the PUCO to approve Rider RRS.</w:t>
      </w:r>
    </w:p>
  </w:footnote>
  <w:footnote w:id="25">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w:t>
      </w:r>
      <w:r w:rsidRPr="00232D0D">
        <w:rPr>
          <w:rFonts w:ascii="Times New Roman" w:hAnsi="Times New Roman"/>
          <w:i/>
        </w:rPr>
        <w:t>Nazarian</w:t>
      </w:r>
      <w:r w:rsidRPr="00232D0D">
        <w:rPr>
          <w:rFonts w:ascii="Times New Roman" w:hAnsi="Times New Roman"/>
        </w:rPr>
        <w:t>, 753 F.3d at 476.</w:t>
      </w:r>
    </w:p>
  </w:footnote>
  <w:footnote w:id="26">
    <w:p w:rsidR="006D364E" w:rsidRPr="00432F5A"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w:t>
      </w:r>
      <w:r w:rsidRPr="00432F5A">
        <w:rPr>
          <w:rFonts w:ascii="Times New Roman" w:hAnsi="Times New Roman"/>
        </w:rPr>
        <w:t>Id.</w:t>
      </w:r>
    </w:p>
  </w:footnote>
  <w:footnote w:id="27">
    <w:p w:rsidR="006D364E" w:rsidRPr="00432F5A" w:rsidRDefault="006D364E" w:rsidP="00232D0D">
      <w:pPr>
        <w:pStyle w:val="FootnoteText"/>
        <w:spacing w:after="120"/>
        <w:rPr>
          <w:rFonts w:ascii="Times New Roman" w:hAnsi="Times New Roman"/>
        </w:rPr>
      </w:pPr>
      <w:r w:rsidRPr="00432F5A">
        <w:rPr>
          <w:rStyle w:val="FootnoteReference"/>
          <w:rFonts w:ascii="Times New Roman" w:eastAsiaTheme="majorEastAsia" w:hAnsi="Times New Roman"/>
        </w:rPr>
        <w:footnoteRef/>
      </w:r>
      <w:r w:rsidRPr="00432F5A">
        <w:rPr>
          <w:rFonts w:ascii="Times New Roman" w:hAnsi="Times New Roman"/>
        </w:rPr>
        <w:t xml:space="preserve"> See id.</w:t>
      </w:r>
    </w:p>
  </w:footnote>
  <w:footnote w:id="28">
    <w:p w:rsidR="006D364E" w:rsidRPr="00432F5A" w:rsidRDefault="006D364E" w:rsidP="00232D0D">
      <w:pPr>
        <w:pStyle w:val="FootnoteText"/>
        <w:spacing w:after="120"/>
        <w:rPr>
          <w:rFonts w:ascii="Times New Roman" w:hAnsi="Times New Roman"/>
        </w:rPr>
      </w:pPr>
      <w:r w:rsidRPr="00432F5A">
        <w:rPr>
          <w:rStyle w:val="FootnoteReference"/>
          <w:rFonts w:ascii="Times New Roman" w:eastAsiaTheme="majorEastAsia" w:hAnsi="Times New Roman"/>
        </w:rPr>
        <w:footnoteRef/>
      </w:r>
      <w:r w:rsidRPr="00432F5A">
        <w:rPr>
          <w:rFonts w:ascii="Times New Roman" w:hAnsi="Times New Roman"/>
        </w:rPr>
        <w:t xml:space="preserve"> See id. at 476-77.</w:t>
      </w:r>
    </w:p>
  </w:footnote>
  <w:footnote w:id="29">
    <w:p w:rsidR="006D364E" w:rsidRPr="00432F5A" w:rsidRDefault="006D364E" w:rsidP="00232D0D">
      <w:pPr>
        <w:pStyle w:val="FootnoteText"/>
        <w:spacing w:after="120"/>
        <w:rPr>
          <w:rFonts w:ascii="Times New Roman" w:hAnsi="Times New Roman"/>
        </w:rPr>
      </w:pPr>
      <w:r w:rsidRPr="00432F5A">
        <w:rPr>
          <w:rStyle w:val="FootnoteReference"/>
          <w:rFonts w:ascii="Times New Roman" w:eastAsiaTheme="majorEastAsia" w:hAnsi="Times New Roman"/>
        </w:rPr>
        <w:footnoteRef/>
      </w:r>
      <w:r w:rsidRPr="00432F5A">
        <w:rPr>
          <w:rFonts w:ascii="Times New Roman" w:hAnsi="Times New Roman"/>
        </w:rPr>
        <w:t xml:space="preserve"> See Solomon, 766 F.3d at 252.</w:t>
      </w:r>
    </w:p>
  </w:footnote>
  <w:footnote w:id="30">
    <w:p w:rsidR="006D364E" w:rsidRPr="00432F5A" w:rsidRDefault="006D364E" w:rsidP="00232D0D">
      <w:pPr>
        <w:pStyle w:val="FootnoteText"/>
        <w:spacing w:after="120"/>
        <w:rPr>
          <w:rFonts w:ascii="Times New Roman" w:hAnsi="Times New Roman"/>
        </w:rPr>
      </w:pPr>
      <w:r w:rsidRPr="00432F5A">
        <w:rPr>
          <w:rStyle w:val="FootnoteReference"/>
          <w:rFonts w:ascii="Times New Roman" w:eastAsiaTheme="majorEastAsia" w:hAnsi="Times New Roman"/>
        </w:rPr>
        <w:footnoteRef/>
      </w:r>
      <w:r w:rsidRPr="00432F5A">
        <w:rPr>
          <w:rFonts w:ascii="Times New Roman" w:hAnsi="Times New Roman"/>
        </w:rPr>
        <w:t xml:space="preserve"> See id. at 252-53.</w:t>
      </w:r>
    </w:p>
  </w:footnote>
  <w:footnote w:id="31">
    <w:p w:rsidR="006D364E" w:rsidRPr="00432F5A" w:rsidRDefault="006D364E" w:rsidP="00232D0D">
      <w:pPr>
        <w:pStyle w:val="FootnoteText"/>
        <w:spacing w:after="120"/>
        <w:rPr>
          <w:rFonts w:ascii="Times New Roman" w:hAnsi="Times New Roman"/>
        </w:rPr>
      </w:pPr>
      <w:r w:rsidRPr="00432F5A">
        <w:rPr>
          <w:rStyle w:val="FootnoteReference"/>
          <w:rFonts w:ascii="Times New Roman" w:eastAsiaTheme="majorEastAsia" w:hAnsi="Times New Roman"/>
        </w:rPr>
        <w:footnoteRef/>
      </w:r>
      <w:r w:rsidRPr="00432F5A">
        <w:rPr>
          <w:rFonts w:ascii="Times New Roman" w:hAnsi="Times New Roman"/>
        </w:rPr>
        <w:t xml:space="preserve"> See id. at 253.</w:t>
      </w:r>
    </w:p>
  </w:footnote>
  <w:footnote w:id="32">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See</w:t>
      </w:r>
      <w:r w:rsidRPr="00432F5A">
        <w:rPr>
          <w:rFonts w:ascii="Times New Roman" w:hAnsi="Times New Roman"/>
        </w:rPr>
        <w:t xml:space="preserve"> id. (</w:t>
      </w:r>
      <w:r w:rsidRPr="00FB5286">
        <w:rPr>
          <w:rFonts w:ascii="Times New Roman" w:hAnsi="Times New Roman"/>
        </w:rPr>
        <w:t xml:space="preserve">emphasis </w:t>
      </w:r>
      <w:r w:rsidRPr="00232D0D">
        <w:rPr>
          <w:rFonts w:ascii="Times New Roman" w:hAnsi="Times New Roman"/>
        </w:rPr>
        <w:t>added).</w:t>
      </w:r>
    </w:p>
  </w:footnote>
  <w:footnote w:id="33">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See</w:t>
      </w:r>
      <w:r w:rsidRPr="00232D0D">
        <w:rPr>
          <w:rFonts w:ascii="Times New Roman" w:hAnsi="Times New Roman"/>
          <w:i/>
        </w:rPr>
        <w:t xml:space="preserve"> </w:t>
      </w:r>
      <w:r w:rsidRPr="00232D0D">
        <w:rPr>
          <w:rFonts w:ascii="Times New Roman" w:hAnsi="Times New Roman"/>
        </w:rPr>
        <w:t>OEG’s Post-Hearing Brief at 17.</w:t>
      </w:r>
    </w:p>
  </w:footnote>
  <w:footnote w:id="34">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See</w:t>
      </w:r>
      <w:r w:rsidRPr="00232D0D">
        <w:rPr>
          <w:rFonts w:ascii="Times New Roman" w:hAnsi="Times New Roman"/>
          <w:i/>
        </w:rPr>
        <w:t xml:space="preserve"> Nazarian</w:t>
      </w:r>
      <w:r w:rsidRPr="00232D0D">
        <w:rPr>
          <w:rFonts w:ascii="Times New Roman" w:hAnsi="Times New Roman"/>
        </w:rPr>
        <w:t xml:space="preserve">, 753 F.3d at 476-77 (“[W]e conclude that the [state program] is field preempted because it functionally sets the rate that the [PJM market participant] receives for its sales in the PJM auction.”); </w:t>
      </w:r>
      <w:r w:rsidRPr="00232D0D">
        <w:rPr>
          <w:rFonts w:ascii="Times New Roman" w:hAnsi="Times New Roman"/>
          <w:i/>
        </w:rPr>
        <w:t>Solomon</w:t>
      </w:r>
      <w:r w:rsidRPr="00232D0D">
        <w:rPr>
          <w:rFonts w:ascii="Times New Roman" w:hAnsi="Times New Roman"/>
        </w:rPr>
        <w:t xml:space="preserve">, 766 F.3d at 252-54.  OEG’s attempt to distinguish </w:t>
      </w:r>
      <w:r w:rsidRPr="00232D0D">
        <w:rPr>
          <w:rFonts w:ascii="Times New Roman" w:hAnsi="Times New Roman"/>
          <w:i/>
        </w:rPr>
        <w:t xml:space="preserve">Nazarain </w:t>
      </w:r>
      <w:r w:rsidRPr="00232D0D">
        <w:rPr>
          <w:rFonts w:ascii="Times New Roman" w:hAnsi="Times New Roman"/>
        </w:rPr>
        <w:t xml:space="preserve">and </w:t>
      </w:r>
      <w:r w:rsidRPr="00232D0D">
        <w:rPr>
          <w:rFonts w:ascii="Times New Roman" w:hAnsi="Times New Roman"/>
          <w:i/>
        </w:rPr>
        <w:t xml:space="preserve">Solomon </w:t>
      </w:r>
      <w:r w:rsidRPr="00232D0D">
        <w:rPr>
          <w:rFonts w:ascii="Times New Roman" w:hAnsi="Times New Roman"/>
        </w:rPr>
        <w:t>based on the Minimum Offer Price Rule (“MOPR”) is also misplaced.  Again, neither decision was based on MOPR.  The Fourth Circuit did not even discuss MOPR in connection with its field preemption analysis.  See</w:t>
      </w:r>
      <w:r w:rsidRPr="00232D0D">
        <w:rPr>
          <w:rFonts w:ascii="Times New Roman" w:hAnsi="Times New Roman"/>
          <w:i/>
        </w:rPr>
        <w:t xml:space="preserve"> Nazarian</w:t>
      </w:r>
      <w:r w:rsidRPr="00232D0D">
        <w:rPr>
          <w:rFonts w:ascii="Times New Roman" w:hAnsi="Times New Roman"/>
        </w:rPr>
        <w:t xml:space="preserve">, 753 F.3d at 474-78.  Its discussion of MOPR in connection with its conflict preemption analysis resulted from </w:t>
      </w:r>
      <w:r w:rsidRPr="00432F5A">
        <w:rPr>
          <w:rFonts w:ascii="Times New Roman" w:hAnsi="Times New Roman"/>
        </w:rPr>
        <w:t xml:space="preserve">Appellants </w:t>
      </w:r>
      <w:r w:rsidRPr="00232D0D">
        <w:rPr>
          <w:rFonts w:ascii="Times New Roman" w:hAnsi="Times New Roman"/>
        </w:rPr>
        <w:t xml:space="preserve">asserting that MOPR </w:t>
      </w:r>
      <w:r w:rsidRPr="00232D0D">
        <w:rPr>
          <w:rFonts w:ascii="Times New Roman" w:hAnsi="Times New Roman"/>
          <w:i/>
        </w:rPr>
        <w:t>saved</w:t>
      </w:r>
      <w:r w:rsidRPr="00232D0D">
        <w:rPr>
          <w:rFonts w:ascii="Times New Roman" w:hAnsi="Times New Roman"/>
        </w:rPr>
        <w:t xml:space="preserve"> the state program at issue (an assertion rejected by the court).  See</w:t>
      </w:r>
      <w:r w:rsidRPr="00232D0D">
        <w:rPr>
          <w:rFonts w:ascii="Times New Roman" w:hAnsi="Times New Roman"/>
          <w:i/>
        </w:rPr>
        <w:t xml:space="preserve"> id. </w:t>
      </w:r>
      <w:r w:rsidRPr="00232D0D">
        <w:rPr>
          <w:rFonts w:ascii="Times New Roman" w:hAnsi="Times New Roman"/>
        </w:rPr>
        <w:t xml:space="preserve">at 479.  The Third Circuit in </w:t>
      </w:r>
      <w:r w:rsidRPr="00232D0D">
        <w:rPr>
          <w:rFonts w:ascii="Times New Roman" w:hAnsi="Times New Roman"/>
          <w:i/>
        </w:rPr>
        <w:t xml:space="preserve">Solomon </w:t>
      </w:r>
      <w:r w:rsidRPr="00232D0D">
        <w:rPr>
          <w:rFonts w:ascii="Times New Roman" w:hAnsi="Times New Roman"/>
        </w:rPr>
        <w:t>did not even discuss MOPR.  See</w:t>
      </w:r>
      <w:r w:rsidRPr="00232D0D">
        <w:rPr>
          <w:rFonts w:ascii="Times New Roman" w:hAnsi="Times New Roman"/>
          <w:i/>
        </w:rPr>
        <w:t xml:space="preserve"> Solomon</w:t>
      </w:r>
      <w:r w:rsidRPr="00232D0D">
        <w:rPr>
          <w:rFonts w:ascii="Times New Roman" w:hAnsi="Times New Roman"/>
        </w:rPr>
        <w:t>.</w:t>
      </w:r>
    </w:p>
  </w:footnote>
  <w:footnote w:id="35">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See</w:t>
      </w:r>
      <w:r w:rsidRPr="00232D0D">
        <w:rPr>
          <w:rFonts w:ascii="Times New Roman" w:hAnsi="Times New Roman"/>
          <w:i/>
        </w:rPr>
        <w:t xml:space="preserve">, </w:t>
      </w:r>
      <w:r w:rsidRPr="00432F5A">
        <w:rPr>
          <w:rFonts w:ascii="Times New Roman" w:hAnsi="Times New Roman"/>
        </w:rPr>
        <w:t>e.g</w:t>
      </w:r>
      <w:r w:rsidRPr="00232D0D">
        <w:rPr>
          <w:rFonts w:ascii="Times New Roman" w:hAnsi="Times New Roman"/>
          <w:i/>
        </w:rPr>
        <w:t>., Nazarian</w:t>
      </w:r>
      <w:r w:rsidRPr="00232D0D">
        <w:rPr>
          <w:rFonts w:ascii="Times New Roman" w:hAnsi="Times New Roman"/>
        </w:rPr>
        <w:t xml:space="preserve">, 753 F.3d at 476-77 (rejecting argument that the state program did not fix the rate that PJM actually paid to the market participant and explaining that “[t]he fact that [the state program] does not formally upset the terms of a federal transaction is no defense, since the functional results are precisely the same.”); </w:t>
      </w:r>
      <w:r w:rsidRPr="00232D0D">
        <w:rPr>
          <w:rFonts w:ascii="Times New Roman" w:hAnsi="Times New Roman"/>
          <w:i/>
        </w:rPr>
        <w:t xml:space="preserve">id. </w:t>
      </w:r>
      <w:r w:rsidRPr="00232D0D">
        <w:rPr>
          <w:rFonts w:ascii="Times New Roman" w:hAnsi="Times New Roman"/>
        </w:rPr>
        <w:t xml:space="preserve">at 476-77 (discussing authority that requires states to give full effect to FERC-mandated wholesale rates on the demand side and concluding that “it stands to reason that they are also required to do so on the supply side.”); </w:t>
      </w:r>
      <w:r w:rsidRPr="00232D0D">
        <w:rPr>
          <w:rFonts w:ascii="Times New Roman" w:hAnsi="Times New Roman"/>
          <w:i/>
        </w:rPr>
        <w:t>Solomon</w:t>
      </w:r>
      <w:r w:rsidRPr="00232D0D">
        <w:rPr>
          <w:rFonts w:ascii="Times New Roman" w:hAnsi="Times New Roman"/>
        </w:rPr>
        <w:t xml:space="preserve">, 766 F.3d at 253-54 (rejecting argument that state program was saved because aimed at state’s lawful exercise of authority to promote new generation resources, explaining that state could not do so by regulating wholesale rates); </w:t>
      </w:r>
      <w:r w:rsidRPr="00432F5A">
        <w:rPr>
          <w:rFonts w:ascii="Times New Roman" w:hAnsi="Times New Roman"/>
        </w:rPr>
        <w:t>id</w:t>
      </w:r>
      <w:r w:rsidRPr="00232D0D">
        <w:rPr>
          <w:rFonts w:ascii="Times New Roman" w:hAnsi="Times New Roman"/>
          <w:i/>
        </w:rPr>
        <w:t xml:space="preserve">. </w:t>
      </w:r>
      <w:r w:rsidRPr="00232D0D">
        <w:rPr>
          <w:rFonts w:ascii="Times New Roman" w:hAnsi="Times New Roman"/>
        </w:rPr>
        <w:t>at 254 (rejecting argument that state program saved because it incorporated, rather than repudiated, PJM clearing prices notwithstanding that the state program “artfully steps around the capacity transactions facilitated by PJM.”).</w:t>
      </w:r>
    </w:p>
  </w:footnote>
  <w:footnote w:id="36">
    <w:p w:rsidR="006D364E" w:rsidRPr="00232D0D" w:rsidRDefault="006D364E" w:rsidP="00232D0D">
      <w:pPr>
        <w:pStyle w:val="FootnoteText"/>
        <w:spacing w:after="120"/>
        <w:rPr>
          <w:rFonts w:ascii="Times New Roman" w:hAnsi="Times New Roman"/>
          <w:i/>
        </w:rPr>
      </w:pPr>
      <w:r w:rsidRPr="00232D0D">
        <w:rPr>
          <w:rStyle w:val="FootnoteReference"/>
          <w:rFonts w:ascii="Times New Roman" w:eastAsiaTheme="majorEastAsia" w:hAnsi="Times New Roman"/>
        </w:rPr>
        <w:footnoteRef/>
      </w:r>
      <w:r w:rsidRPr="00232D0D">
        <w:rPr>
          <w:rFonts w:ascii="Times New Roman" w:hAnsi="Times New Roman"/>
        </w:rPr>
        <w:t xml:space="preserve"> See</w:t>
      </w:r>
      <w:r w:rsidRPr="00232D0D">
        <w:rPr>
          <w:rFonts w:ascii="Times New Roman" w:hAnsi="Times New Roman"/>
          <w:i/>
        </w:rPr>
        <w:t xml:space="preserve"> </w:t>
      </w:r>
      <w:r w:rsidRPr="00232D0D">
        <w:rPr>
          <w:rFonts w:ascii="Times New Roman" w:hAnsi="Times New Roman"/>
        </w:rPr>
        <w:t xml:space="preserve">OEG Post-Hearing Brief at 17.  In this regard, OEG’s citation to 16 U.S.C. sec. 824.o(i)(3) is revealing.  The statute reserves to states the authority to “take action to ensure the safety, adequacy, and reliability of electric service </w:t>
      </w:r>
      <w:r w:rsidRPr="00232D0D">
        <w:rPr>
          <w:rFonts w:ascii="Times New Roman" w:hAnsi="Times New Roman"/>
          <w:i/>
        </w:rPr>
        <w:t xml:space="preserve">within that State, as long as such action is not inconsistent with any reliability standard </w:t>
      </w:r>
      <w:r w:rsidRPr="00232D0D">
        <w:rPr>
          <w:rFonts w:ascii="Times New Roman" w:hAnsi="Times New Roman"/>
        </w:rPr>
        <w:t xml:space="preserve">. . . .”  16 U.S.C. sec. 824.o(i)(3) (italics added).  The statute is not implicated by Rider RRS.  The statute applies to local distribution service, </w:t>
      </w:r>
      <w:r w:rsidRPr="00232D0D">
        <w:rPr>
          <w:rFonts w:ascii="Times New Roman" w:hAnsi="Times New Roman"/>
          <w:i/>
        </w:rPr>
        <w:t xml:space="preserve">not </w:t>
      </w:r>
      <w:r w:rsidRPr="00232D0D">
        <w:rPr>
          <w:rFonts w:ascii="Times New Roman" w:hAnsi="Times New Roman"/>
        </w:rPr>
        <w:t>wholesale markets or generators.  See</w:t>
      </w:r>
      <w:r w:rsidRPr="00232D0D">
        <w:rPr>
          <w:rFonts w:ascii="Times New Roman" w:hAnsi="Times New Roman"/>
          <w:i/>
        </w:rPr>
        <w:t xml:space="preserve"> id.</w:t>
      </w:r>
      <w:r w:rsidRPr="00232D0D">
        <w:rPr>
          <w:rFonts w:ascii="Times New Roman" w:hAnsi="Times New Roman"/>
        </w:rPr>
        <w:t>; See</w:t>
      </w:r>
      <w:r w:rsidRPr="00232D0D">
        <w:rPr>
          <w:rFonts w:ascii="Times New Roman" w:hAnsi="Times New Roman"/>
          <w:i/>
        </w:rPr>
        <w:t xml:space="preserve"> also </w:t>
      </w:r>
      <w:r w:rsidRPr="00232D0D">
        <w:rPr>
          <w:rFonts w:ascii="Times New Roman" w:hAnsi="Times New Roman"/>
        </w:rPr>
        <w:t>16 U.S.C. 824o(i)(2).  As OEG admits, Rider RRS does not apply to local distribution service.  OEG Post-Hearing Brief at 19 (“Under the Rider RRS construct, customers will still purchase 100% of their physical generation needs from CRES providers or through the SSO auctions just as they do today.”).  Further, the PUCO cannot exercise its authority in a manner preempted by federal law, which it would be were it to approve Rider RRS.  See</w:t>
      </w:r>
      <w:r w:rsidRPr="00232D0D">
        <w:rPr>
          <w:rFonts w:ascii="Times New Roman" w:hAnsi="Times New Roman"/>
          <w:i/>
        </w:rPr>
        <w:t xml:space="preserve"> Nazarian</w:t>
      </w:r>
      <w:r w:rsidRPr="00232D0D">
        <w:rPr>
          <w:rFonts w:ascii="Times New Roman" w:hAnsi="Times New Roman"/>
        </w:rPr>
        <w:t xml:space="preserve">, 753 F.3d at 477 (“Although states plainly retain substantial latitude in directly regulating generation facilities, they may not exercise this authority in a way that impinges on FERC’s exclusive power to specify wholesale rates.”); </w:t>
      </w:r>
      <w:r w:rsidRPr="00232D0D">
        <w:rPr>
          <w:rFonts w:ascii="Times New Roman" w:hAnsi="Times New Roman"/>
          <w:i/>
        </w:rPr>
        <w:t>Solomon</w:t>
      </w:r>
      <w:r w:rsidRPr="00232D0D">
        <w:rPr>
          <w:rFonts w:ascii="Times New Roman" w:hAnsi="Times New Roman"/>
        </w:rPr>
        <w:t>, 766 F.3d at 253-54 (acknowledging state authority regarding constructing power plants, but emphasizing that such authority ends with setting the price received by the PJM market participant).  For the same reasons, OEG’s reliance on R.C. 4928.02 is misplaced.  See</w:t>
      </w:r>
      <w:r w:rsidRPr="00232D0D">
        <w:rPr>
          <w:rFonts w:ascii="Times New Roman" w:hAnsi="Times New Roman"/>
          <w:i/>
        </w:rPr>
        <w:t xml:space="preserve"> </w:t>
      </w:r>
      <w:r w:rsidRPr="00232D0D">
        <w:rPr>
          <w:rFonts w:ascii="Times New Roman" w:hAnsi="Times New Roman"/>
        </w:rPr>
        <w:t>OEG’s Post-Hearing Brief at 17.  That statute applies to retail service, not wholesale markets or generators.  See</w:t>
      </w:r>
      <w:r w:rsidRPr="00232D0D">
        <w:rPr>
          <w:rFonts w:ascii="Times New Roman" w:hAnsi="Times New Roman"/>
          <w:i/>
        </w:rPr>
        <w:t xml:space="preserve"> </w:t>
      </w:r>
      <w:r w:rsidRPr="00232D0D">
        <w:rPr>
          <w:rFonts w:ascii="Times New Roman" w:hAnsi="Times New Roman"/>
        </w:rPr>
        <w:t>R.C. 4928.02.</w:t>
      </w:r>
      <w:r w:rsidRPr="00232D0D">
        <w:rPr>
          <w:rFonts w:ascii="Times New Roman" w:hAnsi="Times New Roman"/>
          <w:i/>
        </w:rPr>
        <w:t xml:space="preserve"> </w:t>
      </w:r>
    </w:p>
  </w:footnote>
  <w:footnote w:id="37">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See</w:t>
      </w:r>
      <w:r w:rsidRPr="00232D0D">
        <w:rPr>
          <w:rFonts w:ascii="Times New Roman" w:hAnsi="Times New Roman"/>
          <w:i/>
        </w:rPr>
        <w:t xml:space="preserve"> Nazarian</w:t>
      </w:r>
      <w:r w:rsidRPr="00232D0D">
        <w:rPr>
          <w:rFonts w:ascii="Times New Roman" w:hAnsi="Times New Roman"/>
        </w:rPr>
        <w:t xml:space="preserve">, 753 F.3d at 477 (“Although states plainly retain substantial latitude in directly regulating generation facilities, they may not exercise this authority in a way that impinges on FERC’s exclusive power to specify wholesale rates.”); </w:t>
      </w:r>
      <w:r w:rsidRPr="00232D0D">
        <w:rPr>
          <w:rFonts w:ascii="Times New Roman" w:hAnsi="Times New Roman"/>
          <w:i/>
        </w:rPr>
        <w:t>Solomon</w:t>
      </w:r>
      <w:r w:rsidRPr="00232D0D">
        <w:rPr>
          <w:rFonts w:ascii="Times New Roman" w:hAnsi="Times New Roman"/>
        </w:rPr>
        <w:t>, 766 F.3d at 253-54 (acknowledging state authority regarding constructing power plants, but emphasizing that such authority ends with setting the price received by the PJM market participant).</w:t>
      </w:r>
    </w:p>
  </w:footnote>
  <w:footnote w:id="38">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See</w:t>
      </w:r>
      <w:r w:rsidRPr="00232D0D">
        <w:rPr>
          <w:rFonts w:ascii="Times New Roman" w:hAnsi="Times New Roman"/>
          <w:i/>
        </w:rPr>
        <w:t xml:space="preserve"> Nazarian</w:t>
      </w:r>
      <w:r w:rsidRPr="00232D0D">
        <w:rPr>
          <w:rFonts w:ascii="Times New Roman" w:hAnsi="Times New Roman"/>
        </w:rPr>
        <w:t>, 753 F.3d at 475-76 (quotations and citation omitted).</w:t>
      </w:r>
    </w:p>
  </w:footnote>
  <w:footnote w:id="39">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See</w:t>
      </w:r>
      <w:r w:rsidRPr="00232D0D">
        <w:rPr>
          <w:rFonts w:ascii="Times New Roman" w:hAnsi="Times New Roman"/>
          <w:i/>
        </w:rPr>
        <w:t xml:space="preserve"> </w:t>
      </w:r>
      <w:r w:rsidRPr="00232D0D">
        <w:rPr>
          <w:rFonts w:ascii="Times New Roman" w:hAnsi="Times New Roman"/>
        </w:rPr>
        <w:t xml:space="preserve">OEG </w:t>
      </w:r>
      <w:r>
        <w:rPr>
          <w:rFonts w:ascii="Times New Roman" w:hAnsi="Times New Roman"/>
        </w:rPr>
        <w:t xml:space="preserve">Initial </w:t>
      </w:r>
      <w:r w:rsidRPr="00232D0D">
        <w:rPr>
          <w:rFonts w:ascii="Times New Roman" w:hAnsi="Times New Roman"/>
        </w:rPr>
        <w:t>Brief at 18.</w:t>
      </w:r>
    </w:p>
  </w:footnote>
  <w:footnote w:id="40">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w:t>
      </w:r>
      <w:r w:rsidRPr="00232D0D">
        <w:rPr>
          <w:rFonts w:ascii="Times New Roman" w:hAnsi="Times New Roman"/>
          <w:i/>
        </w:rPr>
        <w:t>Nazarian</w:t>
      </w:r>
      <w:r w:rsidRPr="00232D0D">
        <w:rPr>
          <w:rFonts w:ascii="Times New Roman" w:hAnsi="Times New Roman"/>
        </w:rPr>
        <w:t>, 753 F.3d at 478.  Here, as explained above based on FirstEnergy’s own testimony, the price received by the PJM market participant (FirstEnergy) is fixed at the PPAs’ contract price, regardless of the market price.  See</w:t>
      </w:r>
      <w:r w:rsidRPr="005752A7">
        <w:rPr>
          <w:rFonts w:ascii="Times New Roman" w:hAnsi="Times New Roman"/>
        </w:rPr>
        <w:t xml:space="preserve"> supra</w:t>
      </w:r>
      <w:r w:rsidRPr="00232D0D">
        <w:rPr>
          <w:rFonts w:ascii="Times New Roman" w:hAnsi="Times New Roman"/>
        </w:rPr>
        <w:t>.  The price sanctioned by FERC is the price resulting from the federally sanctioned auctions.  See</w:t>
      </w:r>
      <w:r w:rsidRPr="00232D0D">
        <w:rPr>
          <w:rFonts w:ascii="Times New Roman" w:hAnsi="Times New Roman"/>
          <w:i/>
        </w:rPr>
        <w:t xml:space="preserve"> </w:t>
      </w:r>
      <w:r w:rsidRPr="005752A7">
        <w:rPr>
          <w:rFonts w:ascii="Times New Roman" w:hAnsi="Times New Roman"/>
        </w:rPr>
        <w:t>id.</w:t>
      </w:r>
      <w:r w:rsidRPr="00232D0D">
        <w:rPr>
          <w:rFonts w:ascii="Times New Roman" w:hAnsi="Times New Roman"/>
          <w:i/>
        </w:rPr>
        <w:t xml:space="preserve"> </w:t>
      </w:r>
      <w:r w:rsidRPr="00232D0D">
        <w:rPr>
          <w:rFonts w:ascii="Times New Roman" w:hAnsi="Times New Roman"/>
        </w:rPr>
        <w:t>at 477 (state program preempted because PJM market participant “receives a fixed price for every unit of energy and capacity it sells in the PJM auction, regardless of the market price.”).</w:t>
      </w:r>
    </w:p>
  </w:footnote>
  <w:footnote w:id="41">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See</w:t>
      </w:r>
      <w:r w:rsidRPr="00232D0D">
        <w:rPr>
          <w:rFonts w:ascii="Times New Roman" w:hAnsi="Times New Roman"/>
          <w:i/>
        </w:rPr>
        <w:t xml:space="preserve"> Solomon</w:t>
      </w:r>
      <w:r w:rsidRPr="00232D0D">
        <w:rPr>
          <w:rFonts w:ascii="Times New Roman" w:hAnsi="Times New Roman"/>
        </w:rPr>
        <w:t>, 766 F.3d at 254-55.  OEG’s block quote is misleading in this respect. See</w:t>
      </w:r>
      <w:r w:rsidRPr="00232D0D">
        <w:rPr>
          <w:rFonts w:ascii="Times New Roman" w:hAnsi="Times New Roman"/>
          <w:i/>
        </w:rPr>
        <w:t xml:space="preserve"> </w:t>
      </w:r>
      <w:r w:rsidRPr="00232D0D">
        <w:rPr>
          <w:rFonts w:ascii="Times New Roman" w:hAnsi="Times New Roman"/>
        </w:rPr>
        <w:t>OEG Post-Hearing Brief at 18.  The Third Circuit said it had no occasion to conclude that PJM’s markets preempt any state act that might intersect a market rule (that is, no occasion to address conflict preemption) because the state program attempted to regulate an exclusively federal field and, thus, was field preempted.  See</w:t>
      </w:r>
      <w:r w:rsidRPr="00232D0D">
        <w:rPr>
          <w:rFonts w:ascii="Times New Roman" w:hAnsi="Times New Roman"/>
          <w:i/>
        </w:rPr>
        <w:t xml:space="preserve"> Solomon</w:t>
      </w:r>
      <w:r w:rsidRPr="00232D0D">
        <w:rPr>
          <w:rFonts w:ascii="Times New Roman" w:hAnsi="Times New Roman"/>
        </w:rPr>
        <w:t>, 766 F.3d at 254-55.</w:t>
      </w:r>
    </w:p>
  </w:footnote>
  <w:footnote w:id="42">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See</w:t>
      </w:r>
      <w:r w:rsidRPr="00232D0D">
        <w:rPr>
          <w:rFonts w:ascii="Times New Roman" w:hAnsi="Times New Roman"/>
          <w:i/>
        </w:rPr>
        <w:t xml:space="preserve"> </w:t>
      </w:r>
      <w:r w:rsidRPr="005752A7">
        <w:rPr>
          <w:rFonts w:ascii="Times New Roman" w:hAnsi="Times New Roman"/>
        </w:rPr>
        <w:t>id</w:t>
      </w:r>
      <w:r w:rsidRPr="00232D0D">
        <w:rPr>
          <w:rFonts w:ascii="Times New Roman" w:hAnsi="Times New Roman"/>
          <w:i/>
        </w:rPr>
        <w:t xml:space="preserve">. </w:t>
      </w:r>
      <w:r w:rsidRPr="00232D0D">
        <w:rPr>
          <w:rFonts w:ascii="Times New Roman" w:hAnsi="Times New Roman"/>
        </w:rPr>
        <w:t>at 255.</w:t>
      </w:r>
    </w:p>
  </w:footnote>
  <w:footnote w:id="43">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See</w:t>
      </w:r>
      <w:r w:rsidRPr="00232D0D">
        <w:rPr>
          <w:rFonts w:ascii="Times New Roman" w:hAnsi="Times New Roman"/>
          <w:i/>
        </w:rPr>
        <w:t xml:space="preserve"> </w:t>
      </w:r>
      <w:r w:rsidRPr="005752A7">
        <w:rPr>
          <w:rFonts w:ascii="Times New Roman" w:hAnsi="Times New Roman"/>
        </w:rPr>
        <w:t>id.</w:t>
      </w:r>
      <w:r w:rsidRPr="00232D0D">
        <w:rPr>
          <w:rFonts w:ascii="Times New Roman" w:hAnsi="Times New Roman"/>
          <w:i/>
        </w:rPr>
        <w:t xml:space="preserve"> </w:t>
      </w:r>
      <w:r w:rsidRPr="00232D0D">
        <w:rPr>
          <w:rFonts w:ascii="Times New Roman" w:hAnsi="Times New Roman"/>
        </w:rPr>
        <w:t>at 252-54.  OEG asserts that “Rider RRS will not affect either the supply of nor the demand for energy and capacity in the PJM market.”  OEG Post-Hearing Brief at 17.  Apparently trying to explain itself, OEG later asserts that the “generation supply bid into the PJM markets will not change if the Rider is approved[]” and the PPA Units “will continue to bid into those markets, regardless of whether Rider RRS is approved.”  See</w:t>
      </w:r>
      <w:r w:rsidRPr="00232D0D">
        <w:rPr>
          <w:rFonts w:ascii="Times New Roman" w:hAnsi="Times New Roman"/>
          <w:i/>
        </w:rPr>
        <w:t xml:space="preserve"> id. </w:t>
      </w:r>
      <w:r w:rsidRPr="00232D0D">
        <w:rPr>
          <w:rFonts w:ascii="Times New Roman" w:hAnsi="Times New Roman"/>
        </w:rPr>
        <w:t xml:space="preserve">at 19.  Such assertions are meritless in light of </w:t>
      </w:r>
      <w:r w:rsidRPr="00232D0D">
        <w:rPr>
          <w:rFonts w:ascii="Times New Roman" w:hAnsi="Times New Roman"/>
          <w:i/>
        </w:rPr>
        <w:t xml:space="preserve">Nazarian </w:t>
      </w:r>
      <w:r w:rsidRPr="00232D0D">
        <w:rPr>
          <w:rFonts w:ascii="Times New Roman" w:hAnsi="Times New Roman"/>
        </w:rPr>
        <w:t xml:space="preserve">and </w:t>
      </w:r>
      <w:r w:rsidRPr="00232D0D">
        <w:rPr>
          <w:rFonts w:ascii="Times New Roman" w:hAnsi="Times New Roman"/>
          <w:i/>
        </w:rPr>
        <w:t>Solomon</w:t>
      </w:r>
      <w:r w:rsidRPr="00232D0D">
        <w:rPr>
          <w:rFonts w:ascii="Times New Roman" w:hAnsi="Times New Roman"/>
        </w:rPr>
        <w:t>.  As explained in this section, the courts in each case held that a state program that fixes the price received by the PJM market participant, such as Rider RRS, is preempted.  Period.  OEG’s assertions are also contradicted by FirstEnergy Witness Moul’s testimony.  He said that the “economic viability of the Plants is in doubt.”  See</w:t>
      </w:r>
      <w:r w:rsidRPr="00232D0D">
        <w:rPr>
          <w:rFonts w:ascii="Times New Roman" w:hAnsi="Times New Roman"/>
          <w:i/>
        </w:rPr>
        <w:t xml:space="preserve"> </w:t>
      </w:r>
      <w:r w:rsidRPr="00232D0D">
        <w:rPr>
          <w:rFonts w:ascii="Times New Roman" w:hAnsi="Times New Roman"/>
        </w:rPr>
        <w:t>Direct Testimony of Donald Moul (FirstEnergy Ex. 28, filed August 4, 2014) at 2:17.  According to FirstEnergy Witness Moul, “the plants may not survive to See” better days.  See</w:t>
      </w:r>
      <w:r w:rsidRPr="00232D0D">
        <w:rPr>
          <w:rFonts w:ascii="Times New Roman" w:hAnsi="Times New Roman"/>
          <w:i/>
        </w:rPr>
        <w:t xml:space="preserve"> </w:t>
      </w:r>
      <w:r w:rsidRPr="005752A7">
        <w:rPr>
          <w:rFonts w:ascii="Times New Roman" w:hAnsi="Times New Roman"/>
        </w:rPr>
        <w:t>id.</w:t>
      </w:r>
      <w:r w:rsidRPr="00232D0D">
        <w:rPr>
          <w:rFonts w:ascii="Times New Roman" w:hAnsi="Times New Roman"/>
          <w:i/>
        </w:rPr>
        <w:t xml:space="preserve"> </w:t>
      </w:r>
      <w:r w:rsidRPr="00232D0D">
        <w:rPr>
          <w:rFonts w:ascii="Times New Roman" w:hAnsi="Times New Roman"/>
        </w:rPr>
        <w:t>at 2:21-22.  The contradiction, which seriously calls into question the veracity of both OEG’s assertions and FirstEnergy Witness Moul’s testimony, is not the end of the story.  Were OEG’s assertions believed, then FirstEnergy’s Rider RRS fails the first factor from the PUCO’s Opinion and Order in AEP Ohio’s ESP III case – financial need.  See</w:t>
      </w:r>
      <w:r w:rsidRPr="00232D0D">
        <w:rPr>
          <w:rFonts w:ascii="Times New Roman" w:hAnsi="Times New Roman"/>
          <w:i/>
        </w:rPr>
        <w:t xml:space="preserve"> In re Ohio Power</w:t>
      </w:r>
      <w:r w:rsidRPr="00232D0D">
        <w:rPr>
          <w:rFonts w:ascii="Times New Roman" w:hAnsi="Times New Roman"/>
        </w:rPr>
        <w:t>, Case No. 13-2385-EL-SSO, Opinion and Order at 25.</w:t>
      </w:r>
      <w:r w:rsidRPr="00232D0D">
        <w:rPr>
          <w:rFonts w:ascii="Times New Roman" w:hAnsi="Times New Roman"/>
          <w:i/>
        </w:rPr>
        <w:t xml:space="preserve">  </w:t>
      </w:r>
      <w:r w:rsidRPr="00232D0D">
        <w:rPr>
          <w:rFonts w:ascii="Times New Roman" w:hAnsi="Times New Roman"/>
        </w:rPr>
        <w:t>If the Plants will continue to bid into the PJM markets irrespective of the outcome on Rider RRS, they obviously are not in financial need.  Were FirstEnergy Witness Moul’s testimony believed, then there is a likelihood that</w:t>
      </w:r>
      <w:r w:rsidRPr="00232D0D">
        <w:rPr>
          <w:rFonts w:ascii="Times New Roman" w:hAnsi="Times New Roman"/>
          <w:i/>
        </w:rPr>
        <w:t xml:space="preserve"> </w:t>
      </w:r>
      <w:r w:rsidRPr="00232D0D">
        <w:rPr>
          <w:rFonts w:ascii="Times New Roman" w:hAnsi="Times New Roman"/>
        </w:rPr>
        <w:t xml:space="preserve">supply </w:t>
      </w:r>
      <w:r w:rsidRPr="00232D0D">
        <w:rPr>
          <w:rFonts w:ascii="Times New Roman" w:hAnsi="Times New Roman"/>
          <w:i/>
        </w:rPr>
        <w:t>will</w:t>
      </w:r>
      <w:r w:rsidRPr="00232D0D">
        <w:rPr>
          <w:rFonts w:ascii="Times New Roman" w:hAnsi="Times New Roman"/>
        </w:rPr>
        <w:t xml:space="preserve"> be effected if Rider RRS is not approved, undercutting the very premise of OEG’s assertions. </w:t>
      </w:r>
    </w:p>
  </w:footnote>
  <w:footnote w:id="44">
    <w:p w:rsidR="006D364E" w:rsidRPr="00232D0D" w:rsidRDefault="006D364E" w:rsidP="00D15DE1">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See R.C. 4928.143(C)(1) (“The burden of proof in the proceeding shall be on the electric distribution utility.”)</w:t>
      </w:r>
    </w:p>
  </w:footnote>
  <w:footnote w:id="45">
    <w:p w:rsidR="006D364E" w:rsidRPr="00232D0D" w:rsidRDefault="006D364E" w:rsidP="000953F5">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R.C. 4928.143(C)(1). Additionally, R.C. 4928.142 describes the Market Rate Offer (“MRO”). </w:t>
      </w:r>
    </w:p>
  </w:footnote>
  <w:footnote w:id="46">
    <w:p w:rsidR="006D364E" w:rsidRPr="00232D0D" w:rsidRDefault="006D364E" w:rsidP="006B0116">
      <w:pPr>
        <w:pStyle w:val="FootnoteText"/>
        <w:spacing w:after="120"/>
        <w:rPr>
          <w:rFonts w:ascii="Times New Roman" w:hAnsi="Times New Roman"/>
          <w:i/>
        </w:rPr>
      </w:pPr>
      <w:r w:rsidRPr="00232D0D">
        <w:rPr>
          <w:rStyle w:val="FootnoteReference"/>
          <w:rFonts w:ascii="Times New Roman" w:hAnsi="Times New Roman"/>
        </w:rPr>
        <w:footnoteRef/>
      </w:r>
      <w:r w:rsidRPr="00232D0D">
        <w:rPr>
          <w:rFonts w:ascii="Times New Roman" w:hAnsi="Times New Roman"/>
        </w:rPr>
        <w:t xml:space="preserve"> </w:t>
      </w:r>
      <w:r w:rsidRPr="00232D0D">
        <w:rPr>
          <w:rFonts w:ascii="Times New Roman" w:hAnsi="Times New Roman"/>
          <w:i/>
        </w:rPr>
        <w:t xml:space="preserve">See </w:t>
      </w:r>
      <w:r w:rsidRPr="00232D0D">
        <w:rPr>
          <w:rFonts w:ascii="Times New Roman" w:hAnsi="Times New Roman"/>
        </w:rPr>
        <w:t xml:space="preserve"> </w:t>
      </w:r>
      <w:r w:rsidRPr="005752A7">
        <w:rPr>
          <w:rFonts w:ascii="Times New Roman" w:hAnsi="Times New Roman"/>
        </w:rPr>
        <w:t xml:space="preserve">infra </w:t>
      </w:r>
      <w:r w:rsidRPr="00232D0D">
        <w:rPr>
          <w:rFonts w:ascii="Times New Roman" w:hAnsi="Times New Roman"/>
          <w:i/>
        </w:rPr>
        <w:t>at 17.</w:t>
      </w:r>
    </w:p>
  </w:footnote>
  <w:footnote w:id="47">
    <w:p w:rsidR="006D364E" w:rsidRPr="00D15DE1" w:rsidRDefault="006D364E" w:rsidP="00D15DE1">
      <w:pPr>
        <w:pStyle w:val="FootnoteText"/>
        <w:spacing w:after="120"/>
        <w:rPr>
          <w:rFonts w:ascii="Times New Roman" w:hAnsi="Times New Roman"/>
        </w:rPr>
      </w:pPr>
      <w:r w:rsidRPr="00D15DE1">
        <w:rPr>
          <w:rStyle w:val="FootnoteReference"/>
          <w:rFonts w:ascii="Times New Roman" w:hAnsi="Times New Roman"/>
        </w:rPr>
        <w:footnoteRef/>
      </w:r>
      <w:r w:rsidRPr="00D15DE1">
        <w:rPr>
          <w:rFonts w:ascii="Times New Roman" w:hAnsi="Times New Roman"/>
        </w:rPr>
        <w:t xml:space="preserve"> See OCC/NOAC Initial Brief at 51.</w:t>
      </w:r>
    </w:p>
  </w:footnote>
  <w:footnote w:id="48">
    <w:p w:rsidR="006D364E" w:rsidRPr="00232D0D" w:rsidRDefault="006D364E" w:rsidP="00D15DE1">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See OCC/NOPEC Ex. 11 at 27 (Kahal Second Supplemental).</w:t>
      </w:r>
    </w:p>
  </w:footnote>
  <w:footnote w:id="49">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OCC/NOAC Initial Brief at 163-171, See</w:t>
      </w:r>
      <w:r w:rsidRPr="00232D0D">
        <w:rPr>
          <w:rFonts w:ascii="Times New Roman" w:hAnsi="Times New Roman"/>
          <w:i/>
        </w:rPr>
        <w:t xml:space="preserve"> </w:t>
      </w:r>
      <w:r w:rsidRPr="005752A7">
        <w:rPr>
          <w:rFonts w:ascii="Times New Roman" w:hAnsi="Times New Roman"/>
        </w:rPr>
        <w:t xml:space="preserve">also </w:t>
      </w:r>
      <w:r w:rsidRPr="00232D0D">
        <w:rPr>
          <w:rFonts w:ascii="Times New Roman" w:hAnsi="Times New Roman"/>
        </w:rPr>
        <w:t>OMA Initial Brief at 35.</w:t>
      </w:r>
    </w:p>
  </w:footnote>
  <w:footnote w:id="50">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OCC/NOAC Initial Brief at 163-166.</w:t>
      </w:r>
    </w:p>
  </w:footnote>
  <w:footnote w:id="51">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OCC/NOAC Initial Brief at 166.</w:t>
      </w:r>
    </w:p>
  </w:footnote>
  <w:footnote w:id="52">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OCC/NOAC Initial Brief at 167.</w:t>
      </w:r>
    </w:p>
  </w:footnote>
  <w:footnote w:id="53">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OCC/NOAC Initial Brief at 167 -169.</w:t>
      </w:r>
    </w:p>
  </w:footnote>
  <w:footnote w:id="54">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OCC/NOAC Initial Brief at 169-170.</w:t>
      </w:r>
    </w:p>
  </w:footnote>
  <w:footnote w:id="55">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OCC/NOAC Initial Brief at 171.</w:t>
      </w:r>
    </w:p>
  </w:footnote>
  <w:footnote w:id="56">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P3/EPSA Initial Brief at 19.</w:t>
      </w:r>
    </w:p>
  </w:footnote>
  <w:footnote w:id="57">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Those provisions were expounded upon in OCC’s/NOAC’s Initial Brief, and will not be restated herein.   See OCC Initial Brief </w:t>
      </w:r>
      <w:r>
        <w:rPr>
          <w:rFonts w:ascii="Times New Roman" w:hAnsi="Times New Roman"/>
        </w:rPr>
        <w:t>at 163-171.</w:t>
      </w:r>
      <w:r w:rsidRPr="00232D0D">
        <w:rPr>
          <w:rFonts w:ascii="Times New Roman" w:hAnsi="Times New Roman"/>
        </w:rPr>
        <w:t xml:space="preserve">  </w:t>
      </w:r>
    </w:p>
  </w:footnote>
  <w:footnote w:id="58">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w:t>
      </w:r>
      <w:r>
        <w:rPr>
          <w:rFonts w:ascii="Times New Roman" w:hAnsi="Times New Roman"/>
        </w:rPr>
        <w:t>FirstEnergy Initial Brief at 11.</w:t>
      </w:r>
      <w:r w:rsidRPr="00232D0D">
        <w:rPr>
          <w:rFonts w:ascii="Times New Roman" w:hAnsi="Times New Roman"/>
        </w:rPr>
        <w:t xml:space="preserve">  </w:t>
      </w:r>
    </w:p>
  </w:footnote>
  <w:footnote w:id="59">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w:t>
      </w:r>
      <w:r w:rsidRPr="005752A7">
        <w:rPr>
          <w:rFonts w:ascii="Times New Roman" w:hAnsi="Times New Roman"/>
        </w:rPr>
        <w:t xml:space="preserve">See </w:t>
      </w:r>
      <w:r w:rsidRPr="00232D0D">
        <w:rPr>
          <w:rFonts w:ascii="Times New Roman" w:hAnsi="Times New Roman"/>
        </w:rPr>
        <w:t xml:space="preserve">OCC/NOAC Initial Brief at 50-67. </w:t>
      </w:r>
    </w:p>
  </w:footnote>
  <w:footnote w:id="60">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FirstEnergy goes to great lengths to describe the qualitative benefits, but relies mostly on flawed Rider RRS numbers to provide the quantitative benefits. </w:t>
      </w:r>
      <w:r w:rsidRPr="005752A7">
        <w:rPr>
          <w:rFonts w:ascii="Times New Roman" w:hAnsi="Times New Roman"/>
        </w:rPr>
        <w:t>See, generally</w:t>
      </w:r>
      <w:r w:rsidRPr="00232D0D">
        <w:rPr>
          <w:rFonts w:ascii="Times New Roman" w:hAnsi="Times New Roman"/>
          <w:i/>
        </w:rPr>
        <w:t>,</w:t>
      </w:r>
      <w:r w:rsidRPr="00232D0D">
        <w:rPr>
          <w:rFonts w:ascii="Times New Roman" w:hAnsi="Times New Roman"/>
        </w:rPr>
        <w:t xml:space="preserve"> FirstEnergy Initial Brief at 17-35. </w:t>
      </w:r>
    </w:p>
  </w:footnote>
  <w:footnote w:id="61">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See FirstEnergy Initial Brief at 17-18. </w:t>
      </w:r>
    </w:p>
  </w:footnote>
  <w:footnote w:id="62">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See R.C. 4928.143(B); </w:t>
      </w:r>
      <w:r w:rsidRPr="00232D0D">
        <w:rPr>
          <w:rFonts w:ascii="Times New Roman" w:hAnsi="Times New Roman"/>
          <w:i/>
        </w:rPr>
        <w:t>In Re Columbus Power</w:t>
      </w:r>
      <w:r w:rsidRPr="00232D0D">
        <w:rPr>
          <w:rFonts w:ascii="Times New Roman" w:hAnsi="Times New Roman"/>
        </w:rPr>
        <w:t xml:space="preserve"> </w:t>
      </w:r>
      <w:r w:rsidRPr="00232D0D">
        <w:rPr>
          <w:rFonts w:ascii="Times New Roman" w:hAnsi="Times New Roman"/>
          <w:i/>
        </w:rPr>
        <w:t>Co.</w:t>
      </w:r>
      <w:r w:rsidRPr="00232D0D">
        <w:rPr>
          <w:rFonts w:ascii="Times New Roman" w:hAnsi="Times New Roman"/>
        </w:rPr>
        <w:t xml:space="preserve">, 128 Ohio St.3d 512, 519-520 (2011). </w:t>
      </w:r>
    </w:p>
  </w:footnote>
  <w:footnote w:id="63">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R.C. 4928.143(C)(1).</w:t>
      </w:r>
    </w:p>
  </w:footnote>
  <w:footnote w:id="64">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See OCC Initial Brief at 54.</w:t>
      </w:r>
    </w:p>
  </w:footnote>
  <w:footnote w:id="65">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w:t>
      </w:r>
      <w:r w:rsidRPr="005752A7">
        <w:rPr>
          <w:rFonts w:ascii="Times New Roman" w:hAnsi="Times New Roman"/>
        </w:rPr>
        <w:t xml:space="preserve">See </w:t>
      </w:r>
      <w:r w:rsidRPr="00232D0D">
        <w:rPr>
          <w:rFonts w:ascii="Times New Roman" w:hAnsi="Times New Roman"/>
        </w:rPr>
        <w:t xml:space="preserve">OCC/NOPEC Exhibit Ex. 11 at 27 (Kahal Second Supplemental). </w:t>
      </w:r>
    </w:p>
  </w:footnote>
  <w:footnote w:id="66">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See FirstEnergy Initial Brief at 15. </w:t>
      </w:r>
    </w:p>
  </w:footnote>
  <w:footnote w:id="67">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OCC/NOPEC Ex. 9 at 8 (Wilson Second Supplemental). </w:t>
      </w:r>
    </w:p>
  </w:footnote>
  <w:footnote w:id="68">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OCC/NOPEC Ex. 9 at 8 (Wilson Second Supplemental). </w:t>
      </w:r>
    </w:p>
  </w:footnote>
  <w:footnote w:id="69">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See</w:t>
      </w:r>
      <w:r w:rsidRPr="00232D0D">
        <w:rPr>
          <w:rFonts w:ascii="Times New Roman" w:hAnsi="Times New Roman"/>
          <w:i/>
        </w:rPr>
        <w:t xml:space="preserve"> </w:t>
      </w:r>
      <w:r w:rsidRPr="00232D0D">
        <w:rPr>
          <w:rFonts w:ascii="Times New Roman" w:hAnsi="Times New Roman"/>
        </w:rPr>
        <w:t xml:space="preserve">First Energy Initial Brief at 16. </w:t>
      </w:r>
    </w:p>
  </w:footnote>
  <w:footnote w:id="70">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See</w:t>
      </w:r>
      <w:r w:rsidRPr="00232D0D">
        <w:rPr>
          <w:rFonts w:ascii="Times New Roman" w:hAnsi="Times New Roman"/>
          <w:i/>
        </w:rPr>
        <w:t xml:space="preserve"> </w:t>
      </w:r>
      <w:r w:rsidRPr="00232D0D">
        <w:rPr>
          <w:rFonts w:ascii="Times New Roman" w:hAnsi="Times New Roman"/>
        </w:rPr>
        <w:t xml:space="preserve">First Energy Initial Brief at 13-14. </w:t>
      </w:r>
    </w:p>
  </w:footnote>
  <w:footnote w:id="71">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OCC/NOPEC Ex. 4 at 32-33 (Wilson Direct).</w:t>
      </w:r>
    </w:p>
  </w:footnote>
  <w:footnote w:id="72">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OCC/NOPEC Ex. 4 at 35 (Wilson Direct). </w:t>
      </w:r>
    </w:p>
  </w:footnote>
  <w:footnote w:id="73">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OCC/NOPEC Ex. 4 at 33 (Wilson Direct). </w:t>
      </w:r>
    </w:p>
  </w:footnote>
  <w:footnote w:id="74">
    <w:p w:rsidR="006D364E" w:rsidRPr="00232D0D" w:rsidRDefault="006D364E" w:rsidP="00B03C0A">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See</w:t>
      </w:r>
      <w:r w:rsidRPr="00232D0D">
        <w:rPr>
          <w:rFonts w:ascii="Times New Roman" w:hAnsi="Times New Roman"/>
          <w:i/>
        </w:rPr>
        <w:t xml:space="preserve"> In the Matter of the Application of The East Ohio Gas Company d/b/a Dominion East Ohio for Approval of a General Exemption of Certain Natural Gas Commodity Sales or Ancillary Services, </w:t>
      </w:r>
      <w:r w:rsidRPr="00232D0D">
        <w:rPr>
          <w:rFonts w:ascii="Times New Roman" w:hAnsi="Times New Roman"/>
        </w:rPr>
        <w:t xml:space="preserve">Case No. 07-1224-GA-EXM, Finding and Order at 3 (Feb. 3, 2016). </w:t>
      </w:r>
    </w:p>
  </w:footnote>
  <w:footnote w:id="75">
    <w:p w:rsidR="006D364E" w:rsidRPr="000953F5" w:rsidRDefault="006D364E" w:rsidP="00B03C0A">
      <w:pPr>
        <w:pStyle w:val="FootnoteText"/>
        <w:spacing w:after="120"/>
        <w:rPr>
          <w:rFonts w:ascii="Times New Roman" w:hAnsi="Times New Roman"/>
        </w:rPr>
      </w:pPr>
      <w:r w:rsidRPr="000953F5">
        <w:rPr>
          <w:rStyle w:val="FootnoteReference"/>
          <w:rFonts w:ascii="Times New Roman" w:hAnsi="Times New Roman"/>
        </w:rPr>
        <w:footnoteRef/>
      </w:r>
      <w:r w:rsidRPr="000953F5">
        <w:rPr>
          <w:rFonts w:ascii="Times New Roman" w:hAnsi="Times New Roman"/>
        </w:rPr>
        <w:t xml:space="preserve"> OCC/NOPEC Ex. 9 at 11 (Wilson Second Supplemental).</w:t>
      </w:r>
    </w:p>
  </w:footnote>
  <w:footnote w:id="76">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See </w:t>
      </w:r>
      <w:r>
        <w:rPr>
          <w:rFonts w:ascii="Times New Roman" w:hAnsi="Times New Roman"/>
        </w:rPr>
        <w:t xml:space="preserve">PUCO </w:t>
      </w:r>
      <w:r w:rsidRPr="00232D0D">
        <w:rPr>
          <w:rFonts w:ascii="Times New Roman" w:hAnsi="Times New Roman"/>
        </w:rPr>
        <w:t xml:space="preserve">Staff Ex. 12 at 14 (Choueiki Direct). </w:t>
      </w:r>
    </w:p>
  </w:footnote>
  <w:footnote w:id="77">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w:t>
      </w:r>
      <w:r w:rsidRPr="007F5D99">
        <w:rPr>
          <w:rFonts w:ascii="Times New Roman" w:hAnsi="Times New Roman"/>
        </w:rPr>
        <w:t>See</w:t>
      </w:r>
      <w:r w:rsidRPr="00232D0D">
        <w:rPr>
          <w:rFonts w:ascii="Times New Roman" w:hAnsi="Times New Roman"/>
          <w:i/>
        </w:rPr>
        <w:t xml:space="preserve"> In the Matter of the Ohio Power Company for Authority to Establish a Standard Service Offer Pursuant to R.C. 4928.143, in the Form of an Electric Security Plan</w:t>
      </w:r>
      <w:r w:rsidRPr="00232D0D">
        <w:rPr>
          <w:rFonts w:ascii="Times New Roman" w:hAnsi="Times New Roman"/>
        </w:rPr>
        <w:t>, Case No. 13-2385-EL-SSO, Opinion and</w:t>
      </w:r>
      <w:r>
        <w:rPr>
          <w:rFonts w:ascii="Times New Roman" w:hAnsi="Times New Roman"/>
        </w:rPr>
        <w:t xml:space="preserve"> O</w:t>
      </w:r>
      <w:r w:rsidRPr="00232D0D">
        <w:rPr>
          <w:rFonts w:ascii="Times New Roman" w:hAnsi="Times New Roman"/>
        </w:rPr>
        <w:t>rder at 24 (Feb</w:t>
      </w:r>
      <w:r>
        <w:rPr>
          <w:rFonts w:ascii="Times New Roman" w:hAnsi="Times New Roman"/>
        </w:rPr>
        <w:t>.</w:t>
      </w:r>
      <w:r w:rsidRPr="00232D0D">
        <w:rPr>
          <w:rFonts w:ascii="Times New Roman" w:hAnsi="Times New Roman"/>
        </w:rPr>
        <w:t xml:space="preserve"> 25, 2015).</w:t>
      </w:r>
    </w:p>
  </w:footnote>
  <w:footnote w:id="78">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FirstEnergy Initial Brief at 22. </w:t>
      </w:r>
    </w:p>
  </w:footnote>
  <w:footnote w:id="79">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Tr. XXII at 4591 (Wilson). </w:t>
      </w:r>
    </w:p>
  </w:footnote>
  <w:footnote w:id="80">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w:t>
      </w:r>
      <w:r w:rsidRPr="000953F5">
        <w:rPr>
          <w:rFonts w:ascii="Times New Roman" w:hAnsi="Times New Roman"/>
        </w:rPr>
        <w:t>See</w:t>
      </w:r>
      <w:r w:rsidRPr="00232D0D">
        <w:rPr>
          <w:rFonts w:ascii="Times New Roman" w:hAnsi="Times New Roman"/>
          <w:i/>
        </w:rPr>
        <w:t xml:space="preserve"> </w:t>
      </w:r>
      <w:r w:rsidRPr="00232D0D">
        <w:rPr>
          <w:rFonts w:ascii="Times New Roman" w:hAnsi="Times New Roman"/>
        </w:rPr>
        <w:t>Exelon Ex. 4 at 6 (Campbell Second Supplemental).</w:t>
      </w:r>
    </w:p>
  </w:footnote>
  <w:footnote w:id="81">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Dynegy Initial Brief at 20. </w:t>
      </w:r>
    </w:p>
  </w:footnote>
  <w:footnote w:id="82">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w:t>
      </w:r>
      <w:r>
        <w:rPr>
          <w:rFonts w:ascii="Times New Roman" w:hAnsi="Times New Roman"/>
        </w:rPr>
        <w:t>Th</w:t>
      </w:r>
      <w:r w:rsidRPr="00232D0D">
        <w:rPr>
          <w:rFonts w:ascii="Times New Roman" w:hAnsi="Times New Roman"/>
        </w:rPr>
        <w:t xml:space="preserve">e same is true of Exelon Generation Company, LLC (“ExGen”), one of the suppliers that made such an offer.  </w:t>
      </w:r>
      <w:r w:rsidRPr="008F446F">
        <w:rPr>
          <w:rFonts w:ascii="Times New Roman" w:hAnsi="Times New Roman"/>
        </w:rPr>
        <w:t>See</w:t>
      </w:r>
      <w:r w:rsidRPr="00232D0D">
        <w:rPr>
          <w:rFonts w:ascii="Times New Roman" w:hAnsi="Times New Roman"/>
        </w:rPr>
        <w:t xml:space="preserve"> Exelon Ex. 4 at 2 (Campbell Second Supplemental) (stating that ExGen “is opposed to the [Third] Stipulation and Rider RRS in its entirety (including the [Affiliate PPA]), and believes that the [PUCO] should reject both outright”).</w:t>
      </w:r>
    </w:p>
  </w:footnote>
  <w:footnote w:id="83">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w:t>
      </w:r>
      <w:r w:rsidRPr="006B0116">
        <w:rPr>
          <w:rFonts w:ascii="Times New Roman" w:hAnsi="Times New Roman"/>
        </w:rPr>
        <w:t xml:space="preserve">See </w:t>
      </w:r>
      <w:r w:rsidRPr="00232D0D">
        <w:rPr>
          <w:rFonts w:ascii="Times New Roman" w:hAnsi="Times New Roman"/>
        </w:rPr>
        <w:t>OCC/NOPEC Ex. 11 at 24 (Kahal Second Supplemental).</w:t>
      </w:r>
    </w:p>
  </w:footnote>
  <w:footnote w:id="84">
    <w:p w:rsidR="006D364E" w:rsidRPr="008F446F" w:rsidRDefault="006D364E">
      <w:pPr>
        <w:pStyle w:val="FootnoteText"/>
        <w:rPr>
          <w:rFonts w:ascii="Times New Roman" w:hAnsi="Times New Roman"/>
        </w:rPr>
      </w:pPr>
      <w:r w:rsidRPr="008F446F">
        <w:rPr>
          <w:rStyle w:val="FootnoteReference"/>
          <w:rFonts w:ascii="Times New Roman" w:hAnsi="Times New Roman"/>
        </w:rPr>
        <w:footnoteRef/>
      </w:r>
      <w:r w:rsidRPr="008F446F">
        <w:rPr>
          <w:rFonts w:ascii="Times New Roman" w:hAnsi="Times New Roman"/>
        </w:rPr>
        <w:t xml:space="preserve"> Tr. XXXVI at 7575 (Mikkelsen).</w:t>
      </w:r>
    </w:p>
  </w:footnote>
  <w:footnote w:id="85">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OCC/NOPEC Ex. 11 at 22 (Kahal Second Supplemental).</w:t>
      </w:r>
    </w:p>
  </w:footnote>
  <w:footnote w:id="86">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OCC/NOPEC Ex. 11 at 22 (Kahal Second Supplemental). </w:t>
      </w:r>
    </w:p>
  </w:footnote>
  <w:footnote w:id="87">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OCC/NOPEC Ex. 11 at 22 (Kahal Second Supplemental). </w:t>
      </w:r>
    </w:p>
  </w:footnote>
  <w:footnote w:id="88">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Pr>
          <w:rFonts w:ascii="Times New Roman" w:hAnsi="Times New Roman"/>
        </w:rPr>
        <w:t xml:space="preserve"> See OCC Ex. 18 at 10-11 (Effron Direct); OCC Ex. 22 at 26-27.</w:t>
      </w:r>
      <w:r w:rsidRPr="00232D0D">
        <w:rPr>
          <w:rFonts w:ascii="Times New Roman" w:hAnsi="Times New Roman"/>
        </w:rPr>
        <w:t xml:space="preserve">  </w:t>
      </w:r>
    </w:p>
  </w:footnote>
  <w:footnote w:id="89">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OCC/NOPEC Ex. 11 at 23 (Kahal Second Supplemental). </w:t>
      </w:r>
    </w:p>
  </w:footnote>
  <w:footnote w:id="90">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R.C. 4928.14(B)(2)(h).</w:t>
      </w:r>
    </w:p>
  </w:footnote>
  <w:footnote w:id="91">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OCC Ex. 27 at 21 (Williams Public Direct). </w:t>
      </w:r>
    </w:p>
  </w:footnote>
  <w:footnote w:id="92">
    <w:p w:rsidR="006D364E" w:rsidRPr="00B03C0A" w:rsidRDefault="006D364E">
      <w:pPr>
        <w:pStyle w:val="FootnoteText"/>
        <w:rPr>
          <w:rFonts w:ascii="Times New Roman" w:hAnsi="Times New Roman"/>
        </w:rPr>
      </w:pPr>
      <w:r w:rsidRPr="00B03C0A">
        <w:rPr>
          <w:rStyle w:val="FootnoteReference"/>
          <w:rFonts w:ascii="Times New Roman" w:hAnsi="Times New Roman"/>
        </w:rPr>
        <w:footnoteRef/>
      </w:r>
      <w:r w:rsidRPr="00B03C0A">
        <w:rPr>
          <w:rFonts w:ascii="Times New Roman" w:hAnsi="Times New Roman"/>
        </w:rPr>
        <w:t xml:space="preserve"> R.C. 4928.14(B)(2)(h) (</w:t>
      </w:r>
      <w:r>
        <w:rPr>
          <w:rFonts w:ascii="Times New Roman" w:hAnsi="Times New Roman"/>
        </w:rPr>
        <w:t>e</w:t>
      </w:r>
      <w:r w:rsidRPr="00B03C0A">
        <w:rPr>
          <w:rFonts w:ascii="Times New Roman" w:hAnsi="Times New Roman"/>
        </w:rPr>
        <w:t>nsuring that customer expectations and utility expectations are aligned).</w:t>
      </w:r>
    </w:p>
  </w:footnote>
  <w:footnote w:id="93">
    <w:p w:rsidR="006D364E" w:rsidRPr="00232D0D" w:rsidRDefault="006D364E" w:rsidP="00232D0D">
      <w:pPr>
        <w:pStyle w:val="FootnoteText"/>
        <w:tabs>
          <w:tab w:val="left" w:pos="2255"/>
        </w:tabs>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See P3/EPSA Ex. 1 at 36 (Kalt Direct). </w:t>
      </w:r>
    </w:p>
  </w:footnote>
  <w:footnote w:id="94">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See P3/EPSA Ex. 1 at 37 (Kalt Direct); OCC/NOPEC Ex. 1 at 29 (Sioshansi Direct). </w:t>
      </w:r>
    </w:p>
  </w:footnote>
  <w:footnote w:id="95">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P3/EPSA Ex. 1 at 37 (Kalt Direct).</w:t>
      </w:r>
    </w:p>
  </w:footnote>
  <w:footnote w:id="96">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OCC/NOPEC Ex. 1 at 29 (Sioshansi Direct); For a greater discussion of this topic </w:t>
      </w:r>
      <w:r>
        <w:rPr>
          <w:rFonts w:ascii="Times New Roman" w:hAnsi="Times New Roman"/>
        </w:rPr>
        <w:t>s</w:t>
      </w:r>
      <w:r w:rsidRPr="00232D0D">
        <w:rPr>
          <w:rFonts w:ascii="Times New Roman" w:hAnsi="Times New Roman"/>
        </w:rPr>
        <w:t xml:space="preserve">ee OCC/NOAC Initial Brief at 112-114. </w:t>
      </w:r>
    </w:p>
  </w:footnote>
  <w:footnote w:id="97">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P3/EPSA Ex. 1 at 37-38 (Kalt Direct); for a more in depth discussion of this topic </w:t>
      </w:r>
      <w:r w:rsidRPr="000E4EB8">
        <w:rPr>
          <w:rFonts w:ascii="Times New Roman" w:hAnsi="Times New Roman"/>
        </w:rPr>
        <w:t>See, supra</w:t>
      </w:r>
      <w:r w:rsidRPr="00232D0D">
        <w:rPr>
          <w:rFonts w:ascii="Times New Roman" w:hAnsi="Times New Roman"/>
        </w:rPr>
        <w:t xml:space="preserve"> III.B.3</w:t>
      </w:r>
      <w:r>
        <w:rPr>
          <w:rFonts w:ascii="Times New Roman" w:hAnsi="Times New Roman"/>
        </w:rPr>
        <w:t xml:space="preserve"> </w:t>
      </w:r>
      <w:r w:rsidRPr="00232D0D">
        <w:rPr>
          <w:rFonts w:ascii="Times New Roman" w:hAnsi="Times New Roman"/>
        </w:rPr>
        <w:t>(b).</w:t>
      </w:r>
    </w:p>
  </w:footnote>
  <w:footnote w:id="98">
    <w:p w:rsidR="006D364E" w:rsidRPr="00232D0D" w:rsidRDefault="006D364E" w:rsidP="00232D0D">
      <w:pPr>
        <w:pStyle w:val="FootnoteText"/>
        <w:spacing w:after="120"/>
        <w:rPr>
          <w:rFonts w:ascii="Times New Roman" w:hAnsi="Times New Roman"/>
          <w:b/>
        </w:rPr>
      </w:pPr>
      <w:r w:rsidRPr="00232D0D">
        <w:rPr>
          <w:rStyle w:val="FootnoteReference"/>
          <w:rFonts w:ascii="Times New Roman" w:eastAsiaTheme="majorEastAsia" w:hAnsi="Times New Roman"/>
        </w:rPr>
        <w:footnoteRef/>
      </w:r>
      <w:r w:rsidRPr="00232D0D">
        <w:rPr>
          <w:rFonts w:ascii="Times New Roman" w:hAnsi="Times New Roman"/>
        </w:rPr>
        <w:t xml:space="preserve"> P3/EPSA Ex. 1 at 37-38 (Kalt Direct).</w:t>
      </w:r>
    </w:p>
  </w:footnote>
  <w:footnote w:id="99">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See FirstEnergy Initial Brief at 31-32; FirstEnergy Ex. 154 at 11-12 (Third Supplemental Stipulation). </w:t>
      </w:r>
    </w:p>
  </w:footnote>
  <w:footnote w:id="100">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FirstEnergy Ex. 154 at 11-12 (Third Supplemental Stipulation).</w:t>
      </w:r>
    </w:p>
  </w:footnote>
  <w:footnote w:id="101">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w:t>
      </w:r>
      <w:r w:rsidRPr="000E4EB8">
        <w:rPr>
          <w:rFonts w:ascii="Times New Roman" w:hAnsi="Times New Roman"/>
        </w:rPr>
        <w:t>See</w:t>
      </w:r>
      <w:r w:rsidRPr="00232D0D">
        <w:rPr>
          <w:rFonts w:ascii="Times New Roman" w:hAnsi="Times New Roman"/>
        </w:rPr>
        <w:t xml:space="preserve"> Sierra Club Initial Brief at 118; </w:t>
      </w:r>
      <w:r>
        <w:rPr>
          <w:rFonts w:ascii="Times New Roman" w:hAnsi="Times New Roman"/>
        </w:rPr>
        <w:t xml:space="preserve">OEC Initial Brief at </w:t>
      </w:r>
      <w:r w:rsidRPr="00232D0D">
        <w:rPr>
          <w:rFonts w:ascii="Times New Roman" w:hAnsi="Times New Roman"/>
        </w:rPr>
        <w:t xml:space="preserve">55. </w:t>
      </w:r>
    </w:p>
  </w:footnote>
  <w:footnote w:id="102">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FE Ex. 154 at 11 (Third Supplemental Stipulation). </w:t>
      </w:r>
    </w:p>
  </w:footnote>
  <w:footnote w:id="103">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Tr. XXXVII at 7775-7776 (Mikkelsen).</w:t>
      </w:r>
    </w:p>
  </w:footnote>
  <w:footnote w:id="104">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Tr. XXXVII at 7775-7776 (Mikkelsen).</w:t>
      </w:r>
    </w:p>
  </w:footnote>
  <w:footnote w:id="105">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Tr. XXXVII at 7776 (Mikkelsen);ELPC Ex. 28 at Attach. KRR-3, ELPC Set 6-RPD-007 (Rabago Direct).</w:t>
      </w:r>
    </w:p>
  </w:footnote>
  <w:footnote w:id="106">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See OCC/NOAC Initial Brief at 156-157. </w:t>
      </w:r>
    </w:p>
  </w:footnote>
  <w:footnote w:id="107">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See</w:t>
      </w:r>
      <w:r w:rsidRPr="00232D0D">
        <w:rPr>
          <w:rFonts w:ascii="Times New Roman" w:hAnsi="Times New Roman"/>
          <w:i/>
        </w:rPr>
        <w:t xml:space="preserve"> </w:t>
      </w:r>
      <w:r w:rsidRPr="00232D0D">
        <w:rPr>
          <w:rFonts w:ascii="Times New Roman" w:hAnsi="Times New Roman"/>
        </w:rPr>
        <w:t xml:space="preserve">OCC/NOAC Initial Brief at 102-117. </w:t>
      </w:r>
    </w:p>
  </w:footnote>
  <w:footnote w:id="108">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Exelon Ex. 1 at 12 (Campbell Direct).</w:t>
      </w:r>
    </w:p>
  </w:footnote>
  <w:footnote w:id="109">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FirstEnergy Initial Brief at 18. </w:t>
      </w:r>
    </w:p>
  </w:footnote>
  <w:footnote w:id="110">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FirstEnergy Initial Brief at 18.</w:t>
      </w:r>
    </w:p>
  </w:footnote>
  <w:footnote w:id="111">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OCC Ex. 18 at 13-14 (Effron Direct). This table is simply a representation of data that is stated in OCC Ex. 18 (Effron Direct).</w:t>
      </w:r>
    </w:p>
  </w:footnote>
  <w:footnote w:id="112">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OCC/NOPEC Ex. 11 at 25 (Kahal Second Supplemental). </w:t>
      </w:r>
    </w:p>
  </w:footnote>
  <w:footnote w:id="113">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See OCC/NOAC Initial Brief at 160-163.</w:t>
      </w:r>
    </w:p>
  </w:footnote>
  <w:footnote w:id="114">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See FirstEnergy Initial Brief at 32-33. </w:t>
      </w:r>
    </w:p>
  </w:footnote>
  <w:footnote w:id="115">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OCC Ex. 35 at Attachment SJR 8, page 7-8 (Rubin Supplemental). </w:t>
      </w:r>
    </w:p>
  </w:footnote>
  <w:footnote w:id="116">
    <w:p w:rsidR="006D364E" w:rsidRDefault="006D364E" w:rsidP="00A7621E">
      <w:pPr>
        <w:pStyle w:val="FootnoteText"/>
        <w:spacing w:after="120"/>
      </w:pPr>
      <w:r>
        <w:rPr>
          <w:rStyle w:val="FootnoteReference"/>
        </w:rPr>
        <w:footnoteRef/>
      </w:r>
      <w:r>
        <w:t xml:space="preserve"> </w:t>
      </w:r>
      <w:r w:rsidRPr="00232D0D">
        <w:rPr>
          <w:rFonts w:ascii="Times New Roman" w:hAnsi="Times New Roman"/>
        </w:rPr>
        <w:t xml:space="preserve">OCC Ex. 35 at Attachment SJR 8, page 7-8 (Rubin Supplemental). </w:t>
      </w:r>
    </w:p>
  </w:footnote>
  <w:footnote w:id="117">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OCC Ex. 35 at Attachment SJR 8, page 7-8 (Rubin Supplemental).</w:t>
      </w:r>
    </w:p>
  </w:footnote>
  <w:footnote w:id="118">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 Ex. 35 at Attachment SJR 8, page 6 (Rubin Supplemental).</w:t>
      </w:r>
    </w:p>
  </w:footnote>
  <w:footnote w:id="119">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 Ex. 35 at Attachment SJR 8, page 7-8 (Rubin Supplemental).</w:t>
      </w:r>
    </w:p>
  </w:footnote>
  <w:footnote w:id="120">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See OCC/NOAC Initial Brief at 160-162. </w:t>
      </w:r>
    </w:p>
  </w:footnote>
  <w:footnote w:id="121">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See, supra, III.B.3.b.</w:t>
      </w:r>
    </w:p>
  </w:footnote>
  <w:footnote w:id="122">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See, supra, III.B.4.a.ii.</w:t>
      </w:r>
    </w:p>
  </w:footnote>
  <w:footnote w:id="123">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See, supra, III.B.3.c.</w:t>
      </w:r>
    </w:p>
  </w:footnote>
  <w:footnote w:id="124">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See, supra, III.B.3.d.</w:t>
      </w:r>
    </w:p>
  </w:footnote>
  <w:footnote w:id="125">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See</w:t>
      </w:r>
      <w:r w:rsidRPr="00232D0D">
        <w:rPr>
          <w:rFonts w:ascii="Times New Roman" w:hAnsi="Times New Roman"/>
          <w:i/>
        </w:rPr>
        <w:t xml:space="preserve"> </w:t>
      </w:r>
      <w:r w:rsidRPr="00232D0D">
        <w:rPr>
          <w:rFonts w:ascii="Times New Roman" w:hAnsi="Times New Roman"/>
        </w:rPr>
        <w:t xml:space="preserve">OCC/NOPEC Ex. 11 at 27 (Kahal Second Supplemental). </w:t>
      </w:r>
    </w:p>
  </w:footnote>
  <w:footnote w:id="126">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See FirstEnergy Initial Brief at 115-121; OEG Initial Brief at 9; NUCOR Initial Brief at 28.  </w:t>
      </w:r>
    </w:p>
  </w:footnote>
  <w:footnote w:id="127">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w:t>
      </w:r>
      <w:r w:rsidRPr="00232D0D">
        <w:rPr>
          <w:rFonts w:ascii="Times New Roman" w:hAnsi="Times New Roman"/>
          <w:i/>
        </w:rPr>
        <w:t>In the Matter of the Application of Ohio Power Company for Authority to Establish a Standard Service Offer Pursuant to 4928.143, Revised Code in the Form of an Electric Security Plan</w:t>
      </w:r>
      <w:r w:rsidRPr="00232D0D">
        <w:rPr>
          <w:rFonts w:ascii="Times New Roman" w:hAnsi="Times New Roman"/>
        </w:rPr>
        <w:t xml:space="preserve">, Case No. 13-2385-EL-SSO, Opinion and Order (Feb. 25, 2015).  </w:t>
      </w:r>
    </w:p>
  </w:footnote>
  <w:footnote w:id="128">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IEU Ohio, OPAE and IGS have apparently overcome their opposition and objections to purchase power agreements.   IEU filed a letter of non-opposition to the stipulations.  See correspondence of May 28, 2015.  OPAE is a signatory party to the Third Supplemental Stipulation. And IGS reached a side agreement with FirstEnergy.   </w:t>
      </w:r>
    </w:p>
  </w:footnote>
  <w:footnote w:id="129">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w:t>
      </w:r>
      <w:r w:rsidRPr="00232D0D">
        <w:rPr>
          <w:rFonts w:ascii="Times New Roman" w:hAnsi="Times New Roman"/>
          <w:i/>
        </w:rPr>
        <w:t>In the Matter of the Application of Ohio Power Company for Authority to Establish a Standard Service Offer Pursuant to 4928.143, Revised Code in the Form of an Electric Security Plan</w:t>
      </w:r>
      <w:r w:rsidRPr="00232D0D">
        <w:rPr>
          <w:rFonts w:ascii="Times New Roman" w:hAnsi="Times New Roman"/>
        </w:rPr>
        <w:t xml:space="preserve">, Case No. 13-2385-EL-SSO,  OCC Application for Rehearing (Mar. 27, 2015); IEU Application for Rehearing (Mar. 27, 2015).    </w:t>
      </w:r>
    </w:p>
  </w:footnote>
  <w:footnote w:id="130">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w:t>
      </w:r>
      <w:r w:rsidRPr="00232D0D">
        <w:rPr>
          <w:rFonts w:ascii="Times New Roman" w:hAnsi="Times New Roman"/>
          <w:i/>
        </w:rPr>
        <w:t>In the Matter of the Application of Ohio Power Company for Authority to Establish a Standard Service Offer Pursuant to 4928.143, Revised Code in the Form of an Electric Security Plan</w:t>
      </w:r>
      <w:r w:rsidRPr="00232D0D">
        <w:rPr>
          <w:rFonts w:ascii="Times New Roman" w:hAnsi="Times New Roman"/>
        </w:rPr>
        <w:t xml:space="preserve">, </w:t>
      </w:r>
      <w:r>
        <w:rPr>
          <w:rFonts w:ascii="Times New Roman" w:hAnsi="Times New Roman"/>
        </w:rPr>
        <w:t xml:space="preserve">Case No. 13-2385-EL-SSO, </w:t>
      </w:r>
      <w:r w:rsidRPr="00232D0D">
        <w:rPr>
          <w:rFonts w:ascii="Times New Roman" w:hAnsi="Times New Roman"/>
        </w:rPr>
        <w:t>OCC Application for Rehearing at 2</w:t>
      </w:r>
      <w:r>
        <w:rPr>
          <w:rFonts w:ascii="Times New Roman" w:hAnsi="Times New Roman"/>
        </w:rPr>
        <w:t>.</w:t>
      </w:r>
    </w:p>
  </w:footnote>
  <w:footnote w:id="131">
    <w:p w:rsidR="006D364E" w:rsidRPr="00232D0D" w:rsidRDefault="006D364E" w:rsidP="00232D0D">
      <w:pPr>
        <w:pStyle w:val="FootnoteText"/>
        <w:spacing w:after="120"/>
        <w:rPr>
          <w:rFonts w:ascii="Times New Roman" w:hAnsi="Times New Roman"/>
        </w:rPr>
      </w:pPr>
      <w:r w:rsidRPr="00860E50">
        <w:rPr>
          <w:rStyle w:val="FootnoteReference"/>
          <w:rFonts w:ascii="Times New Roman" w:hAnsi="Times New Roman"/>
        </w:rPr>
        <w:footnoteRef/>
      </w:r>
      <w:r>
        <w:rPr>
          <w:rFonts w:ascii="Times New Roman" w:hAnsi="Times New Roman"/>
        </w:rPr>
        <w:t xml:space="preserve"> Id., IEU Application for Rehearing at 11-52.</w:t>
      </w:r>
      <w:r w:rsidRPr="00232D0D">
        <w:rPr>
          <w:rFonts w:ascii="Times New Roman" w:hAnsi="Times New Roman"/>
        </w:rPr>
        <w:t xml:space="preserve"> </w:t>
      </w:r>
    </w:p>
  </w:footnote>
  <w:footnote w:id="132">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w:t>
      </w:r>
      <w:r w:rsidRPr="00232D0D">
        <w:rPr>
          <w:rFonts w:ascii="Times New Roman" w:hAnsi="Times New Roman"/>
          <w:i/>
        </w:rPr>
        <w:t>In the Matter of the Application of Ohio Power Company for Authority to Establish a Standard Service Offer Pursuant to 4928.143, Revised Code in the Form of an Electric Security Plan</w:t>
      </w:r>
      <w:r w:rsidRPr="00232D0D">
        <w:rPr>
          <w:rFonts w:ascii="Times New Roman" w:hAnsi="Times New Roman"/>
        </w:rPr>
        <w:t xml:space="preserve">, Case No. 13-2385-EL-SSO,  Entry on Rehearing (Apr. 22, 2015). </w:t>
      </w:r>
    </w:p>
  </w:footnote>
  <w:footnote w:id="133">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w:t>
      </w:r>
      <w:r w:rsidRPr="00232D0D">
        <w:rPr>
          <w:rFonts w:ascii="Times New Roman" w:hAnsi="Times New Roman"/>
          <w:i/>
        </w:rPr>
        <w:t>In the Matter of the Application of Ohio Power Company for Authority to Establish a Standard Service Offer Pursuant to 4928.143, Revised Code in the Form of an Electric Security Plan</w:t>
      </w:r>
      <w:r w:rsidRPr="00232D0D">
        <w:rPr>
          <w:rFonts w:ascii="Times New Roman" w:hAnsi="Times New Roman"/>
        </w:rPr>
        <w:t xml:space="preserve">, Case No. 13-2385-EL-SSO, Second Entry on Rehearing at </w:t>
      </w:r>
      <m:oMath>
        <m:r>
          <w:rPr>
            <w:rFonts w:ascii="Cambria Math" w:hAnsi="Cambria Math"/>
          </w:rPr>
          <m:t xml:space="preserve">¶10 </m:t>
        </m:r>
      </m:oMath>
      <w:r w:rsidRPr="00232D0D">
        <w:rPr>
          <w:rFonts w:ascii="Times New Roman" w:hAnsi="Times New Roman"/>
        </w:rPr>
        <w:t xml:space="preserve">(May 28, 2015).  </w:t>
      </w:r>
    </w:p>
  </w:footnote>
  <w:footnote w:id="134">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w:t>
      </w:r>
      <w:r w:rsidRPr="00232D0D">
        <w:rPr>
          <w:rFonts w:ascii="Times New Roman" w:hAnsi="Times New Roman"/>
          <w:i/>
        </w:rPr>
        <w:t>In the Matter of the Application of Ohio Power Company for Authority to Establish a Standard Service Offer Pursuant to 4928.143, Revised Code in the Form of an Electric Security Plan</w:t>
      </w:r>
      <w:r w:rsidRPr="00232D0D">
        <w:rPr>
          <w:rFonts w:ascii="Times New Roman" w:hAnsi="Times New Roman"/>
        </w:rPr>
        <w:t xml:space="preserve">, Case No. 13-2385-EL-SSO, OCC Application for Rehearing (June 29, 2015).  </w:t>
      </w:r>
    </w:p>
  </w:footnote>
  <w:footnote w:id="135">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w:t>
      </w:r>
      <w:r w:rsidRPr="00232D0D">
        <w:rPr>
          <w:rFonts w:ascii="Times New Roman" w:hAnsi="Times New Roman"/>
          <w:i/>
        </w:rPr>
        <w:t>In the Matter of the Application of Ohio Power Company for Authority to Establish a Standard Service Offer Pursuant to 4928.143, Revised Code in the Form of an Electric Security Plan</w:t>
      </w:r>
      <w:r w:rsidRPr="00232D0D">
        <w:rPr>
          <w:rFonts w:ascii="Times New Roman" w:hAnsi="Times New Roman"/>
        </w:rPr>
        <w:t>, Case No. 13-2385-EL-SSO, Third Entry on Rehearing (July 22,</w:t>
      </w:r>
      <w:r>
        <w:rPr>
          <w:rFonts w:ascii="Times New Roman" w:hAnsi="Times New Roman"/>
        </w:rPr>
        <w:t xml:space="preserve"> </w:t>
      </w:r>
      <w:r w:rsidRPr="00232D0D">
        <w:rPr>
          <w:rFonts w:ascii="Times New Roman" w:hAnsi="Times New Roman"/>
        </w:rPr>
        <w:t xml:space="preserve">2015). </w:t>
      </w:r>
    </w:p>
  </w:footnote>
  <w:footnote w:id="136">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i/>
        </w:rPr>
        <w:t xml:space="preserve">In the Matter of the Application of Ohio Power Company for Authority to Establish a Standard Service Offer Pursuant to 4928.143, Revised Code in the Form of an Electric Security Plan, </w:t>
      </w:r>
      <w:r w:rsidRPr="00232D0D">
        <w:rPr>
          <w:rFonts w:ascii="Times New Roman" w:hAnsi="Times New Roman"/>
        </w:rPr>
        <w:t xml:space="preserve">Sup. Ct. 2015-1225, Motion  to Dismiss at 4, 6 (Sept. 4, 2015).    </w:t>
      </w:r>
    </w:p>
  </w:footnote>
  <w:footnote w:id="137">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w:t>
      </w:r>
      <w:r w:rsidRPr="00232D0D">
        <w:rPr>
          <w:rFonts w:ascii="Times New Roman" w:hAnsi="Times New Roman"/>
          <w:i/>
        </w:rPr>
        <w:t xml:space="preserve">In the Matter of the Application of Ohio Power Company for Authority to Establish a Standard Service Offer Pursuant to 4928.143, Revised Code in the Form of an Electric Security Plan, </w:t>
      </w:r>
      <w:r w:rsidRPr="00232D0D">
        <w:rPr>
          <w:rFonts w:ascii="Times New Roman" w:hAnsi="Times New Roman"/>
        </w:rPr>
        <w:t xml:space="preserve">Sup. Ct.  2015-1225, Order (granting motion to dismiss) (Oct. 28, 2015).  </w:t>
      </w:r>
    </w:p>
  </w:footnote>
  <w:footnote w:id="138">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The charge must relate to "limitations on customer shopping for retail electric generation service, bypassability, standby, back-up, or supplemental power service, default service, carrying costs, amortization periods, and accounting or deferrals, including future recovery of such deferrals." </w:t>
      </w:r>
    </w:p>
  </w:footnote>
  <w:footnote w:id="139">
    <w:p w:rsidR="006D364E" w:rsidRPr="00232D0D" w:rsidRDefault="006D364E" w:rsidP="00232D0D">
      <w:pPr>
        <w:pStyle w:val="FootnoteText"/>
        <w:spacing w:after="120"/>
        <w:rPr>
          <w:rFonts w:ascii="Times New Roman" w:hAnsi="Times New Roman"/>
        </w:rPr>
      </w:pPr>
      <w:r w:rsidRPr="00860E50">
        <w:rPr>
          <w:rStyle w:val="FootnoteReference"/>
          <w:rFonts w:ascii="Times New Roman" w:hAnsi="Times New Roman"/>
        </w:rPr>
        <w:footnoteRef/>
      </w:r>
      <w:r w:rsidRPr="00860E50">
        <w:rPr>
          <w:rFonts w:ascii="Times New Roman" w:hAnsi="Times New Roman"/>
        </w:rPr>
        <w:t xml:space="preserve"> OEG Initial Brief at 8-10, FirstEnergy Initial Brief at 117-122.</w:t>
      </w:r>
      <w:r w:rsidRPr="00232D0D">
        <w:rPr>
          <w:rFonts w:ascii="Times New Roman" w:hAnsi="Times New Roman"/>
        </w:rPr>
        <w:t xml:space="preserve">  </w:t>
      </w:r>
    </w:p>
  </w:footnote>
  <w:footnote w:id="140">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FirstEnergy Initial Brief at 117.  </w:t>
      </w:r>
    </w:p>
  </w:footnote>
  <w:footnote w:id="141">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See, e.g., R.C. 4928.40(A)(1); </w:t>
      </w:r>
      <w:r w:rsidRPr="00232D0D">
        <w:rPr>
          <w:rFonts w:ascii="Times New Roman" w:hAnsi="Times New Roman"/>
          <w:i/>
        </w:rPr>
        <w:t>In Re Ohio Consumers’ Counsel</w:t>
      </w:r>
      <w:r w:rsidRPr="00232D0D">
        <w:rPr>
          <w:rFonts w:ascii="Times New Roman" w:hAnsi="Times New Roman"/>
        </w:rPr>
        <w:t xml:space="preserve">, 109 Ohio St.3d, 206-Ohio-2110, 847 N.E.2d 1184, ¶ 21; </w:t>
      </w:r>
      <w:r w:rsidRPr="00232D0D">
        <w:rPr>
          <w:rFonts w:ascii="Times New Roman" w:hAnsi="Times New Roman"/>
          <w:i/>
        </w:rPr>
        <w:t>In Re Elyria Foundry</w:t>
      </w:r>
      <w:r w:rsidRPr="00232D0D">
        <w:rPr>
          <w:rFonts w:ascii="Times New Roman" w:hAnsi="Times New Roman"/>
        </w:rPr>
        <w:t>, 114 Ohio St.3d 305, 2007-Ohio-4146, 871 N.E.2d 970, at ¶ 72.</w:t>
      </w:r>
    </w:p>
  </w:footnote>
  <w:footnote w:id="142">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w:t>
      </w:r>
      <w:r w:rsidRPr="00232D0D">
        <w:rPr>
          <w:rFonts w:ascii="Times New Roman" w:hAnsi="Times New Roman"/>
          <w:i/>
        </w:rPr>
        <w:t>In Re Columbus S. Power</w:t>
      </w:r>
      <w:r w:rsidRPr="00232D0D">
        <w:rPr>
          <w:rFonts w:ascii="Times New Roman" w:hAnsi="Times New Roman"/>
        </w:rPr>
        <w:t>, 138 Ohio St.3d 448, 2014-Ohio-462, 9 N.E.3d 1064, ¶ 26.</w:t>
      </w:r>
    </w:p>
  </w:footnote>
  <w:footnote w:id="143">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FirstEnergy Initial Brief at 118.  </w:t>
      </w:r>
    </w:p>
  </w:footnote>
  <w:footnote w:id="144">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i/>
        </w:rPr>
        <w:t xml:space="preserve"> In re Application of Columbus Southern Power Company, et al</w:t>
      </w:r>
      <w:r w:rsidRPr="00232D0D">
        <w:rPr>
          <w:rFonts w:ascii="Times New Roman" w:hAnsi="Times New Roman"/>
        </w:rPr>
        <w:t xml:space="preserve">., 128 Ohio St.3d 512, 2011-Ohio-1788, 947 N.E.2d 655, ¶32.  </w:t>
      </w:r>
    </w:p>
  </w:footnote>
  <w:footnote w:id="145">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FirstEnergy Initial Brief at 119.  </w:t>
      </w:r>
    </w:p>
  </w:footnote>
  <w:footnote w:id="146">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w:t>
      </w:r>
      <w:r w:rsidRPr="00232D0D">
        <w:rPr>
          <w:rFonts w:ascii="Times New Roman" w:hAnsi="Times New Roman"/>
          <w:i/>
        </w:rPr>
        <w:t>In re the Application of Columbus Southern Power Company for Approval of an Electric Security Plan</w:t>
      </w:r>
      <w:r w:rsidRPr="00232D0D">
        <w:rPr>
          <w:rFonts w:ascii="Times New Roman" w:hAnsi="Times New Roman"/>
        </w:rPr>
        <w:t xml:space="preserve">, Case No. 08-917-EL-SSO, Order on Remand at 18 (Oct. 3, 2011).  </w:t>
      </w:r>
    </w:p>
  </w:footnote>
  <w:footnote w:id="147">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w:t>
      </w:r>
      <w:r w:rsidRPr="00232D0D">
        <w:rPr>
          <w:rFonts w:ascii="Times New Roman" w:hAnsi="Times New Roman"/>
          <w:i/>
        </w:rPr>
        <w:t>Indus. Energy Consumers of Ohio Power Co. v. Pub. Util. Comm.,</w:t>
      </w:r>
      <w:r w:rsidRPr="00232D0D">
        <w:rPr>
          <w:rFonts w:ascii="Times New Roman" w:hAnsi="Times New Roman"/>
        </w:rPr>
        <w:t xml:space="preserve"> 117 Ohio St.3d 486, 2008-Ohio-990, 885 N.E.2d 195; </w:t>
      </w:r>
      <w:r w:rsidRPr="00232D0D">
        <w:rPr>
          <w:rFonts w:ascii="Times New Roman" w:hAnsi="Times New Roman"/>
          <w:i/>
        </w:rPr>
        <w:t>In re Application of Columbus Southern Power Company, et al.,</w:t>
      </w:r>
      <w:r w:rsidRPr="00232D0D">
        <w:rPr>
          <w:rFonts w:ascii="Times New Roman" w:hAnsi="Times New Roman"/>
        </w:rPr>
        <w:t xml:space="preserve"> 128 Ohio St.3d 512, 2011-Ohio-1788, 947 N.E.2d 655, ¶¶22-30; </w:t>
      </w:r>
      <w:r w:rsidRPr="00232D0D">
        <w:rPr>
          <w:rFonts w:ascii="Times New Roman" w:hAnsi="Times New Roman"/>
          <w:i/>
        </w:rPr>
        <w:t>Ohio Consumers' Counsel v. Pub. Util. Comm.,</w:t>
      </w:r>
      <w:r w:rsidRPr="00232D0D">
        <w:rPr>
          <w:rFonts w:ascii="Times New Roman" w:hAnsi="Times New Roman"/>
        </w:rPr>
        <w:t xml:space="preserve"> 114 Ohio St.3d 340, 2007-Ohio-4276, 872 N.E.2d 269, ¶¶18-26.  </w:t>
      </w:r>
    </w:p>
  </w:footnote>
  <w:footnote w:id="148">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w:t>
      </w:r>
      <w:r w:rsidRPr="00232D0D">
        <w:rPr>
          <w:rFonts w:ascii="Times New Roman" w:hAnsi="Times New Roman"/>
          <w:i/>
        </w:rPr>
        <w:t>Ohio Consumers' Counsel v. Pub. Util. Comm</w:t>
      </w:r>
      <w:r w:rsidRPr="00232D0D">
        <w:rPr>
          <w:rFonts w:ascii="Times New Roman" w:hAnsi="Times New Roman"/>
        </w:rPr>
        <w:t xml:space="preserve">., 114 Ohio St.3d 340, 2007-Ohio-4276, 872 N.E.2d 269, ¶4, footnote 2 (citation omitted).  </w:t>
      </w:r>
    </w:p>
  </w:footnote>
  <w:footnote w:id="149">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w:t>
      </w:r>
      <w:r w:rsidRPr="00232D0D">
        <w:rPr>
          <w:rFonts w:ascii="Times New Roman" w:hAnsi="Times New Roman"/>
          <w:i/>
        </w:rPr>
        <w:t>Indus. Energy Users-Ohio v. Pub. Util. Comm.,</w:t>
      </w:r>
      <w:r w:rsidRPr="00232D0D">
        <w:rPr>
          <w:rFonts w:ascii="Times New Roman" w:hAnsi="Times New Roman"/>
        </w:rPr>
        <w:t xml:space="preserve"> 117 Ohio St.3d 486, 492, 2008-Ohio-990, 885 N.E.2d 195, ¶27 (Court found that the PUCO may allow a distribution utility's' non-competitive costs associated with POLR, and determined that the PUCO's approval must be given for those charges under R.C. Chapters 4905 and 4909).  </w:t>
      </w:r>
    </w:p>
  </w:footnote>
  <w:footnote w:id="150">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See </w:t>
      </w:r>
      <w:r w:rsidRPr="00232D0D">
        <w:rPr>
          <w:rFonts w:ascii="Times New Roman" w:hAnsi="Times New Roman"/>
          <w:i/>
        </w:rPr>
        <w:t xml:space="preserve">In re: the Application of Columbus Southern Power Company for Approval of an Electric Security Plan, </w:t>
      </w:r>
      <w:r w:rsidRPr="00232D0D">
        <w:rPr>
          <w:rFonts w:ascii="Times New Roman" w:hAnsi="Times New Roman"/>
        </w:rPr>
        <w:t xml:space="preserve">Case No. 08-917-EL-SSO, et al., Order on Remand at 29 (Oct. 3, 2011) (holding that POLR costs should be readily measurable and verifiable).  </w:t>
      </w:r>
    </w:p>
  </w:footnote>
  <w:footnote w:id="151">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OCC/NOAC Initial Brief at 83-92.  </w:t>
      </w:r>
    </w:p>
  </w:footnote>
  <w:footnote w:id="152">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w:t>
      </w:r>
      <w:r w:rsidRPr="00860E50">
        <w:rPr>
          <w:rFonts w:ascii="Times New Roman" w:hAnsi="Times New Roman"/>
        </w:rPr>
        <w:t>OCC/NOAC Initial Brief at 85.</w:t>
      </w:r>
      <w:r w:rsidRPr="00232D0D">
        <w:rPr>
          <w:rFonts w:ascii="Times New Roman" w:hAnsi="Times New Roman"/>
        </w:rPr>
        <w:t xml:space="preserve">  </w:t>
      </w:r>
    </w:p>
  </w:footnote>
  <w:footnote w:id="153">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OCC/NOAC Ex. 4 at 50-51(Wilson Direct).</w:t>
      </w:r>
    </w:p>
  </w:footnote>
  <w:footnote w:id="154">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OCC/NOPEC Ex. 4 at 49 (Wilson Direct).  </w:t>
      </w:r>
    </w:p>
  </w:footnote>
  <w:footnote w:id="155">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OCC/NOAC Initial Brief at 85-86.</w:t>
      </w:r>
    </w:p>
  </w:footnote>
  <w:footnote w:id="156">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PUCO Staff Ex. 5 at 4 (Strom Direct).</w:t>
      </w:r>
    </w:p>
  </w:footnote>
  <w:footnote w:id="157">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The Commission itself has found that staggering and laddering </w:t>
      </w:r>
      <w:r>
        <w:rPr>
          <w:rFonts w:ascii="Times New Roman" w:hAnsi="Times New Roman"/>
        </w:rPr>
        <w:t>provide a significant hedge against price volatility</w:t>
      </w:r>
      <w:r w:rsidRPr="00232D0D">
        <w:rPr>
          <w:rFonts w:ascii="Times New Roman" w:hAnsi="Times New Roman"/>
        </w:rPr>
        <w:t xml:space="preserve"> to rate stability.  </w:t>
      </w:r>
      <w:r w:rsidRPr="00232D0D">
        <w:rPr>
          <w:rFonts w:ascii="Times New Roman" w:hAnsi="Times New Roman"/>
          <w:i/>
        </w:rPr>
        <w:t>In the Matter of the Application of Ohio Power Company for Authority to Establish a Standard Service Offer Pursuant to 4928.143, Revised Code in the Form of an Electric Security Plan</w:t>
      </w:r>
      <w:r w:rsidRPr="00232D0D">
        <w:rPr>
          <w:rFonts w:ascii="Times New Roman" w:hAnsi="Times New Roman"/>
        </w:rPr>
        <w:t xml:space="preserve">, Case No. 13-2385-EL-SSO, Opinion and Order at </w:t>
      </w:r>
      <w:r>
        <w:rPr>
          <w:rFonts w:ascii="Times New Roman" w:hAnsi="Times New Roman"/>
        </w:rPr>
        <w:t>25</w:t>
      </w:r>
      <w:r w:rsidRPr="00232D0D">
        <w:rPr>
          <w:rFonts w:ascii="Times New Roman" w:hAnsi="Times New Roman"/>
        </w:rPr>
        <w:t xml:space="preserve"> (</w:t>
      </w:r>
      <w:r>
        <w:rPr>
          <w:rFonts w:ascii="Times New Roman" w:hAnsi="Times New Roman"/>
        </w:rPr>
        <w:t>Feb. 25, 2015</w:t>
      </w:r>
      <w:r w:rsidRPr="00232D0D">
        <w:rPr>
          <w:rFonts w:ascii="Times New Roman" w:hAnsi="Times New Roman"/>
        </w:rPr>
        <w:t xml:space="preserve">) </w:t>
      </w:r>
      <w:r>
        <w:rPr>
          <w:rFonts w:ascii="Times New Roman" w:hAnsi="Times New Roman"/>
        </w:rPr>
        <w:t xml:space="preserve">.        </w:t>
      </w:r>
    </w:p>
  </w:footnote>
  <w:footnote w:id="158">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OCC/NOPEC Ex. 20 at 19 – </w:t>
      </w:r>
      <w:r w:rsidRPr="001745DF">
        <w:rPr>
          <w:rFonts w:ascii="Times New Roman" w:hAnsi="Times New Roman"/>
        </w:rPr>
        <w:t>25 (Ferrey Direct).</w:t>
      </w:r>
      <w:r w:rsidRPr="00232D0D">
        <w:rPr>
          <w:rFonts w:ascii="Times New Roman" w:hAnsi="Times New Roman"/>
        </w:rPr>
        <w:t xml:space="preserve">  </w:t>
      </w:r>
    </w:p>
  </w:footnote>
  <w:footnote w:id="159">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OCC/NOPEC Ex. 20 at 19.  </w:t>
      </w:r>
    </w:p>
  </w:footnote>
  <w:footnote w:id="160">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FirstEnergy Initial Brief at 122.  </w:t>
      </w:r>
    </w:p>
  </w:footnote>
  <w:footnote w:id="161">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Citing, in part, FirstEnergy Ex. 155 at 12 (Mikkelsen Fifth Supplemental)</w:t>
      </w:r>
      <w:r>
        <w:rPr>
          <w:rFonts w:ascii="Times New Roman" w:hAnsi="Times New Roman"/>
        </w:rPr>
        <w:t>.</w:t>
      </w:r>
      <w:r w:rsidRPr="00232D0D">
        <w:rPr>
          <w:rFonts w:ascii="Times New Roman" w:hAnsi="Times New Roman"/>
        </w:rPr>
        <w:t xml:space="preserve"> </w:t>
      </w:r>
    </w:p>
  </w:footnote>
  <w:footnote w:id="162">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FirstEnergy Initial Brief at 122.  </w:t>
      </w:r>
    </w:p>
  </w:footnote>
  <w:footnote w:id="163">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FirstEnergy Initial Brief at 123.  </w:t>
      </w:r>
    </w:p>
  </w:footnote>
  <w:footnote w:id="164">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w:t>
      </w:r>
      <w:r w:rsidRPr="00232D0D">
        <w:rPr>
          <w:rFonts w:ascii="Times New Roman" w:hAnsi="Times New Roman"/>
          <w:i/>
        </w:rPr>
        <w:t xml:space="preserve">In the Matter of the Application of Ohio Power Company for Authority to Establish a Standard Service Offer Pursuant to § 4928.143, Revised Code, in the Form of an Electric Security Plan, </w:t>
      </w:r>
      <w:r w:rsidRPr="00232D0D">
        <w:rPr>
          <w:rFonts w:ascii="Times New Roman" w:hAnsi="Times New Roman"/>
        </w:rPr>
        <w:t>Case No. 13-2385-EL-SSO, Opinion and Order at 24-25 (Feb</w:t>
      </w:r>
      <w:r>
        <w:rPr>
          <w:rFonts w:ascii="Times New Roman" w:hAnsi="Times New Roman"/>
        </w:rPr>
        <w:t>.</w:t>
      </w:r>
      <w:r w:rsidRPr="00232D0D">
        <w:rPr>
          <w:rFonts w:ascii="Times New Roman" w:hAnsi="Times New Roman"/>
        </w:rPr>
        <w:t xml:space="preserve"> 25, 2015) (“AEP ESP III”).</w:t>
      </w:r>
    </w:p>
  </w:footnote>
  <w:footnote w:id="165">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See </w:t>
      </w:r>
      <w:r w:rsidRPr="00232D0D">
        <w:rPr>
          <w:rFonts w:ascii="Times New Roman" w:hAnsi="Times New Roman"/>
          <w:i/>
        </w:rPr>
        <w:t>AEP ESP III</w:t>
      </w:r>
      <w:r w:rsidRPr="00232D0D">
        <w:rPr>
          <w:rFonts w:ascii="Times New Roman" w:hAnsi="Times New Roman"/>
        </w:rPr>
        <w:t xml:space="preserve"> at 25.</w:t>
      </w:r>
    </w:p>
  </w:footnote>
  <w:footnote w:id="166">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See </w:t>
      </w:r>
      <w:r w:rsidRPr="00232D0D">
        <w:rPr>
          <w:rFonts w:ascii="Times New Roman" w:hAnsi="Times New Roman"/>
          <w:i/>
        </w:rPr>
        <w:t>AEP ESP III</w:t>
      </w:r>
      <w:r w:rsidRPr="00232D0D">
        <w:rPr>
          <w:rFonts w:ascii="Times New Roman" w:hAnsi="Times New Roman"/>
        </w:rPr>
        <w:t xml:space="preserve"> at 25.  </w:t>
      </w:r>
    </w:p>
  </w:footnote>
  <w:footnote w:id="167">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See PUCO Entry at </w:t>
      </w:r>
      <w:r>
        <w:rPr>
          <w:rFonts w:ascii="Times New Roman" w:hAnsi="Times New Roman"/>
        </w:rPr>
        <w:t>2-4 (Mar. 23, 2015)</w:t>
      </w:r>
      <w:r w:rsidRPr="00232D0D">
        <w:rPr>
          <w:rFonts w:ascii="Times New Roman" w:hAnsi="Times New Roman"/>
        </w:rPr>
        <w:t xml:space="preserve">.  </w:t>
      </w:r>
    </w:p>
  </w:footnote>
  <w:footnote w:id="168">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w:t>
      </w:r>
      <w:r>
        <w:rPr>
          <w:rFonts w:ascii="Times New Roman" w:hAnsi="Times New Roman"/>
        </w:rPr>
        <w:t>See OCC/NOPEC Ex. 2 (Sioshansi Supplemental).</w:t>
      </w:r>
    </w:p>
  </w:footnote>
  <w:footnote w:id="169">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w:t>
      </w:r>
      <w:r>
        <w:rPr>
          <w:rFonts w:ascii="Times New Roman" w:hAnsi="Times New Roman"/>
        </w:rPr>
        <w:t>See OCC/NOAC Initial Brief at 135-146.</w:t>
      </w:r>
    </w:p>
  </w:footnote>
  <w:footnote w:id="170">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FirstEnergy Initial Brief at 124.</w:t>
      </w:r>
    </w:p>
  </w:footnote>
  <w:footnote w:id="171">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Staff Initial Brief at 13.</w:t>
      </w:r>
    </w:p>
  </w:footnote>
  <w:footnote w:id="172">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See </w:t>
      </w:r>
      <w:r w:rsidRPr="00232D0D">
        <w:rPr>
          <w:rFonts w:ascii="Times New Roman" w:hAnsi="Times New Roman"/>
          <w:i/>
        </w:rPr>
        <w:t>AEP ESP III</w:t>
      </w:r>
      <w:r w:rsidRPr="00232D0D">
        <w:rPr>
          <w:rFonts w:ascii="Times New Roman" w:hAnsi="Times New Roman"/>
        </w:rPr>
        <w:t xml:space="preserve"> at 25.</w:t>
      </w:r>
    </w:p>
  </w:footnote>
  <w:footnote w:id="173">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FirstEnergy Initial Brief at 125-128.</w:t>
      </w:r>
    </w:p>
  </w:footnote>
  <w:footnote w:id="174">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FirstEnergy Initial Brief at 125; Material Sciences Corp. Initial Brief at 4.</w:t>
      </w:r>
    </w:p>
  </w:footnote>
  <w:footnote w:id="175">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FirstEnergy Initial Brief at 125.</w:t>
      </w:r>
      <w:r w:rsidRPr="00232D0D">
        <w:rPr>
          <w:rFonts w:ascii="Times New Roman" w:hAnsi="Times New Roman"/>
          <w:color w:val="FF0000"/>
        </w:rPr>
        <w:t xml:space="preserve"> </w:t>
      </w:r>
    </w:p>
  </w:footnote>
  <w:footnote w:id="176">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FirstEnergy Initial Brief at 125.</w:t>
      </w:r>
    </w:p>
  </w:footnote>
  <w:footnote w:id="177">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Tr. XI at 2191(Moul).  </w:t>
      </w:r>
    </w:p>
  </w:footnote>
  <w:footnote w:id="178">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 Ex. </w:t>
      </w:r>
      <w:r>
        <w:rPr>
          <w:rFonts w:ascii="Times New Roman" w:hAnsi="Times New Roman"/>
        </w:rPr>
        <w:t>25</w:t>
      </w:r>
      <w:r w:rsidRPr="00232D0D">
        <w:rPr>
          <w:rFonts w:ascii="Times New Roman" w:hAnsi="Times New Roman"/>
        </w:rPr>
        <w:t xml:space="preserve"> (Dr. Rose Direct ).  </w:t>
      </w:r>
    </w:p>
  </w:footnote>
  <w:footnote w:id="179">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 Ex. No. </w:t>
      </w:r>
      <w:r>
        <w:rPr>
          <w:rFonts w:ascii="Times New Roman" w:hAnsi="Times New Roman"/>
        </w:rPr>
        <w:t xml:space="preserve">26 </w:t>
      </w:r>
      <w:r w:rsidRPr="00232D0D">
        <w:rPr>
          <w:rFonts w:ascii="Times New Roman" w:hAnsi="Times New Roman"/>
        </w:rPr>
        <w:t xml:space="preserve"> at  6 (Rose Supplemental).</w:t>
      </w:r>
    </w:p>
  </w:footnote>
  <w:footnote w:id="180">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See Tr.  X at 2203 (Moul).  </w:t>
      </w:r>
    </w:p>
  </w:footnote>
  <w:footnote w:id="181">
    <w:p w:rsidR="006D364E" w:rsidRPr="00232D0D" w:rsidRDefault="006D364E" w:rsidP="00FB5FAA">
      <w:pPr>
        <w:spacing w:after="120" w:line="240" w:lineRule="auto"/>
      </w:pPr>
      <w:r w:rsidRPr="00232D0D">
        <w:rPr>
          <w:rStyle w:val="FootnoteReference"/>
          <w:rFonts w:cs="Times New Roman"/>
          <w:sz w:val="20"/>
          <w:szCs w:val="20"/>
        </w:rPr>
        <w:footnoteRef/>
      </w:r>
      <w:r w:rsidRPr="00232D0D">
        <w:rPr>
          <w:rFonts w:cs="Times New Roman"/>
          <w:sz w:val="20"/>
          <w:szCs w:val="20"/>
        </w:rPr>
        <w:t xml:space="preserve"> The repositioning referred  to was discussed at length with Mr. Moul.  See Tr. X at 2203- 2214.  The repositioning refers to FirstEnergy's  efforts to reduce risks, provide greater certainty, and limit potential downside. Tr. X at 2207.  It did so by various methods including discontinuing sales efforts in the medium commercial industrial market and increasing its wholesale transactions in the marketplace.</w:t>
      </w:r>
      <w:r>
        <w:rPr>
          <w:rFonts w:cs="Times New Roman"/>
          <w:sz w:val="20"/>
          <w:szCs w:val="20"/>
        </w:rPr>
        <w:t xml:space="preserve"> </w:t>
      </w:r>
      <w:r w:rsidRPr="00232D0D">
        <w:rPr>
          <w:rFonts w:cs="Times New Roman"/>
          <w:sz w:val="20"/>
          <w:szCs w:val="20"/>
        </w:rPr>
        <w:t xml:space="preserve">Tr. X at 2209.  Mr. Moul testified that the repositioning was done in response to the polar vortex and reduces FES's exposure to weather sensitive load. Tr. X at 2213.    </w:t>
      </w:r>
    </w:p>
  </w:footnote>
  <w:footnote w:id="182">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 Ex. No. 3 at 9 (FirstEnergy 2014 Annual Report)</w:t>
      </w:r>
      <w:r>
        <w:rPr>
          <w:rFonts w:ascii="Times New Roman" w:hAnsi="Times New Roman"/>
        </w:rPr>
        <w:t>.</w:t>
      </w:r>
    </w:p>
  </w:footnote>
  <w:footnote w:id="183">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Tr.</w:t>
      </w:r>
      <w:r>
        <w:rPr>
          <w:rFonts w:ascii="Times New Roman" w:hAnsi="Times New Roman"/>
        </w:rPr>
        <w:t xml:space="preserve"> </w:t>
      </w:r>
      <w:r w:rsidRPr="00232D0D">
        <w:rPr>
          <w:rFonts w:ascii="Times New Roman" w:hAnsi="Times New Roman"/>
        </w:rPr>
        <w:t xml:space="preserve">XXXII at 6575-6585.  </w:t>
      </w:r>
    </w:p>
  </w:footnote>
  <w:footnote w:id="184">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Id. at 6576-6577.  </w:t>
      </w:r>
    </w:p>
  </w:footnote>
  <w:footnote w:id="185">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Id. at 6576.  </w:t>
      </w:r>
    </w:p>
  </w:footnote>
  <w:footnote w:id="186">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Id. at 6583-6584.</w:t>
      </w:r>
    </w:p>
  </w:footnote>
  <w:footnote w:id="187">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Id. at 6578-6581.  </w:t>
      </w:r>
    </w:p>
  </w:footnote>
  <w:footnote w:id="188">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w:t>
      </w:r>
      <w:r w:rsidRPr="00232D0D">
        <w:rPr>
          <w:rFonts w:ascii="Times New Roman" w:hAnsi="Times New Roman"/>
          <w:i/>
        </w:rPr>
        <w:t>PJM Interconnection, L.L.C.</w:t>
      </w:r>
      <w:r w:rsidRPr="00232D0D">
        <w:rPr>
          <w:rFonts w:ascii="Times New Roman" w:hAnsi="Times New Roman"/>
        </w:rPr>
        <w:t>, 15 FERC ¶ 61,208 (2015) (“Capacity Performance Order”).</w:t>
      </w:r>
    </w:p>
  </w:footnote>
  <w:footnote w:id="189">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Tr. VII at 1487 (Rose).</w:t>
      </w:r>
    </w:p>
  </w:footnote>
  <w:footnote w:id="190">
    <w:p w:rsidR="006D364E" w:rsidRPr="005F59A6" w:rsidRDefault="006D364E" w:rsidP="00B03C0A">
      <w:pPr>
        <w:pStyle w:val="FootnoteText"/>
        <w:spacing w:after="120"/>
        <w:rPr>
          <w:rFonts w:ascii="Times New Roman" w:hAnsi="Times New Roman"/>
        </w:rPr>
      </w:pPr>
      <w:r w:rsidRPr="005F59A6">
        <w:rPr>
          <w:rStyle w:val="FootnoteReference"/>
          <w:rFonts w:ascii="Times New Roman" w:hAnsi="Times New Roman"/>
        </w:rPr>
        <w:footnoteRef/>
      </w:r>
      <w:r w:rsidRPr="005F59A6">
        <w:rPr>
          <w:rFonts w:ascii="Times New Roman" w:hAnsi="Times New Roman"/>
        </w:rPr>
        <w:t xml:space="preserve"> See AEP ESP III Order at 25.</w:t>
      </w:r>
    </w:p>
  </w:footnote>
  <w:footnote w:id="191">
    <w:p w:rsidR="006D364E" w:rsidRPr="00232D0D" w:rsidRDefault="006D364E" w:rsidP="00B03C0A">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FirstEnergy Initial Brief at 128-131; Material Sciences Corp. Initial Brief at 5.</w:t>
      </w:r>
    </w:p>
  </w:footnote>
  <w:footnote w:id="192">
    <w:p w:rsidR="006D364E" w:rsidRPr="005F59A6" w:rsidRDefault="006D364E" w:rsidP="00B03C0A">
      <w:pPr>
        <w:pStyle w:val="FootnoteText"/>
        <w:spacing w:after="120"/>
        <w:rPr>
          <w:rFonts w:ascii="Times New Roman" w:hAnsi="Times New Roman"/>
        </w:rPr>
      </w:pPr>
      <w:r w:rsidRPr="005F59A6">
        <w:rPr>
          <w:rStyle w:val="FootnoteReference"/>
          <w:rFonts w:ascii="Times New Roman" w:hAnsi="Times New Roman"/>
        </w:rPr>
        <w:footnoteRef/>
      </w:r>
      <w:r w:rsidRPr="005F59A6">
        <w:rPr>
          <w:rFonts w:ascii="Times New Roman" w:hAnsi="Times New Roman"/>
        </w:rPr>
        <w:t xml:space="preserve"> See PJM Amicus Brief at 9-12 (“PJM is ultimately responsible for reliabil</w:t>
      </w:r>
      <w:r>
        <w:rPr>
          <w:rFonts w:ascii="Times New Roman" w:hAnsi="Times New Roman"/>
        </w:rPr>
        <w:t>i</w:t>
      </w:r>
      <w:r w:rsidRPr="005F59A6">
        <w:rPr>
          <w:rFonts w:ascii="Times New Roman" w:hAnsi="Times New Roman"/>
        </w:rPr>
        <w:t>ty of the bulk electric system in the PJM Region which includes Ohio and the other 13 jurisdictions where PJM operates.”)</w:t>
      </w:r>
    </w:p>
  </w:footnote>
  <w:footnote w:id="193">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See OCC/NOPEC Ex. 1 at 21-24 (Sioshansi Direct); See also OEC/EDF Ex. 2 at 3-4, 6 (Roberto Supplemental); Tr. XV at 3253-3254 (Phillips) (Public)</w:t>
      </w:r>
      <w:r>
        <w:rPr>
          <w:rFonts w:ascii="Times New Roman" w:hAnsi="Times New Roman"/>
        </w:rPr>
        <w:t>;</w:t>
      </w:r>
      <w:r w:rsidRPr="00232D0D">
        <w:rPr>
          <w:rFonts w:ascii="Times New Roman" w:hAnsi="Times New Roman"/>
        </w:rPr>
        <w:t xml:space="preserve"> </w:t>
      </w:r>
      <w:r>
        <w:rPr>
          <w:rFonts w:ascii="Times New Roman" w:hAnsi="Times New Roman"/>
        </w:rPr>
        <w:t>See PJM Amicus Brief at 9-12.</w:t>
      </w:r>
    </w:p>
  </w:footnote>
  <w:footnote w:id="194">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Tr. XV at 3254 (Phillips) (Public).</w:t>
      </w:r>
    </w:p>
  </w:footnote>
  <w:footnote w:id="195">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FirstEnergy Initial Brief at 129-130.</w:t>
      </w:r>
    </w:p>
  </w:footnote>
  <w:footnote w:id="196">
    <w:p w:rsidR="006D364E" w:rsidRPr="005F59A6" w:rsidRDefault="006D364E" w:rsidP="005F59A6">
      <w:pPr>
        <w:pStyle w:val="FootnoteText"/>
        <w:spacing w:after="120"/>
        <w:rPr>
          <w:rFonts w:ascii="Times New Roman" w:hAnsi="Times New Roman"/>
        </w:rPr>
      </w:pPr>
      <w:r w:rsidRPr="005F59A6">
        <w:rPr>
          <w:rStyle w:val="FootnoteReference"/>
          <w:rFonts w:ascii="Times New Roman" w:hAnsi="Times New Roman"/>
        </w:rPr>
        <w:footnoteRef/>
      </w:r>
      <w:r w:rsidRPr="005F59A6">
        <w:rPr>
          <w:rFonts w:ascii="Times New Roman" w:hAnsi="Times New Roman"/>
        </w:rPr>
        <w:t xml:space="preserve"> See PJM Amicus Brief at 9-12 (PJM stating that reliability concerns are “categorically unfounded”).</w:t>
      </w:r>
    </w:p>
  </w:footnote>
  <w:footnote w:id="197">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OCC/NOPEC Ex. 5 at 8-12 (Wilson Supplemental).</w:t>
      </w:r>
    </w:p>
  </w:footnote>
  <w:footnote w:id="198">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See OEC/EDF Ex. 2 at 6 (Roberto Supplemental); Sierra Club Ex. 67 at 9-10 (Lanzalotta Supplemental).</w:t>
      </w:r>
    </w:p>
  </w:footnote>
  <w:footnote w:id="199">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OCC/NOPEC Ex. 4 at 53 (Wilson Direct).</w:t>
      </w:r>
    </w:p>
  </w:footnote>
  <w:footnote w:id="200">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See Tr. XV at 3249 (Phillips) (Public).</w:t>
      </w:r>
    </w:p>
  </w:footnote>
  <w:footnote w:id="201">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See Tr. XV at 3249-3250 (Phillips) (Public).</w:t>
      </w:r>
    </w:p>
  </w:footnote>
  <w:footnote w:id="202">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See Tr. XV at 3249-3251 (Phillips) (Public).</w:t>
      </w:r>
    </w:p>
  </w:footnote>
  <w:footnote w:id="203">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See OEC/EDF Ex. 2 at 4 (Roberto Supplemental).</w:t>
      </w:r>
    </w:p>
  </w:footnote>
  <w:footnote w:id="204">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See Tr. XV at 3251-3252 (Phillips) (Public).</w:t>
      </w:r>
    </w:p>
  </w:footnote>
  <w:footnote w:id="205">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See Tr. XV at 3251-3252 (Phillips) (Public).</w:t>
      </w:r>
    </w:p>
  </w:footnote>
  <w:footnote w:id="206">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P3/EPSA Ex. 5 at 37 (Kalt Direct). </w:t>
      </w:r>
    </w:p>
  </w:footnote>
  <w:footnote w:id="207">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P3/EPSA Ex. 5 at 37 (Kalt Direct).</w:t>
      </w:r>
    </w:p>
  </w:footnote>
  <w:footnote w:id="208">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OCC/NOPEC Ex. 5 at 24 (Wilson Supplemental ) citing Monitoring Analytics LLC, 2014 </w:t>
      </w:r>
      <w:r w:rsidRPr="00232D0D">
        <w:rPr>
          <w:rFonts w:ascii="Times New Roman" w:hAnsi="Times New Roman"/>
          <w:i/>
        </w:rPr>
        <w:t>State of the Market Report for PJM</w:t>
      </w:r>
      <w:r w:rsidRPr="00232D0D">
        <w:rPr>
          <w:rFonts w:ascii="Times New Roman" w:hAnsi="Times New Roman"/>
        </w:rPr>
        <w:t>, March 12, 2015, Volume 1, p. 17.</w:t>
      </w:r>
    </w:p>
  </w:footnote>
  <w:footnote w:id="209">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OCC/NOPEC Ex. 1 at 28 (Sioshansi direct); OMAEG Ex. 26A at 9 (Hill Supplemental).</w:t>
      </w:r>
    </w:p>
  </w:footnote>
  <w:footnote w:id="210">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See FirstEnergy Brief at 130.</w:t>
      </w:r>
    </w:p>
  </w:footnote>
  <w:footnote w:id="211">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OEC/EDF Ex. 2 at 4 (Roberto Supplemental).</w:t>
      </w:r>
    </w:p>
  </w:footnote>
  <w:footnote w:id="212">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FirstEnergy Initial Brief at 129.</w:t>
      </w:r>
    </w:p>
  </w:footnote>
  <w:footnote w:id="213">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OCC/NOPEC Ex. 4 at 53-54 (Wilson Direct) citing PJM, </w:t>
      </w:r>
      <w:r w:rsidRPr="00232D0D">
        <w:rPr>
          <w:rFonts w:ascii="Times New Roman" w:hAnsi="Times New Roman"/>
          <w:i/>
        </w:rPr>
        <w:t>Reforms to the Reliability Pricing Market (RPM”) and Related Rules in the PJM Open Access Transmission Tariff (“Tariff”) and Reliability Assurance Agreement Among Load Serving Entities (“RAA”)</w:t>
      </w:r>
      <w:r w:rsidRPr="00232D0D">
        <w:rPr>
          <w:rFonts w:ascii="Times New Roman" w:hAnsi="Times New Roman"/>
        </w:rPr>
        <w:t>, filed December 12, 2014 in FERC Docket No. ER15-623.</w:t>
      </w:r>
    </w:p>
  </w:footnote>
  <w:footnote w:id="214">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OCC/NOPEC Ex. 4 at 54 (Wilson Direct).</w:t>
      </w:r>
    </w:p>
  </w:footnote>
  <w:footnote w:id="215">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OCC/NOPEC Ex. 4 at 54 (Wilson Direct).</w:t>
      </w:r>
    </w:p>
  </w:footnote>
  <w:footnote w:id="216">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FirstEnergy Initial Brief at 128-129.</w:t>
      </w:r>
    </w:p>
  </w:footnote>
  <w:footnote w:id="217">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See P3/EPSA Ex. 5 at 37 (Kalt Direct).</w:t>
      </w:r>
    </w:p>
  </w:footnote>
  <w:footnote w:id="218">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FirstEnergy Initial Brief at 130-131.</w:t>
      </w:r>
    </w:p>
  </w:footnote>
  <w:footnote w:id="219">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FirstEnergy Initial Brief at 130-131.</w:t>
      </w:r>
    </w:p>
  </w:footnote>
  <w:footnote w:id="220">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Tr. XVI at 3293-3296 (Phillips) (Public).</w:t>
      </w:r>
    </w:p>
  </w:footnote>
  <w:footnote w:id="221">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Tr. XVI at 3296-3297 (Phillips) (Public).</w:t>
      </w:r>
    </w:p>
  </w:footnote>
  <w:footnote w:id="222">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OCC/NOPEC Ex. 5 at 10-11 (Wilson supplemental).</w:t>
      </w:r>
    </w:p>
  </w:footnote>
  <w:footnote w:id="223">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Tr. XVI at 3289-3292 (Phillips) (Public).</w:t>
      </w:r>
    </w:p>
  </w:footnote>
  <w:footnote w:id="224">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FirstEnergy Initial Brief at 130-131.</w:t>
      </w:r>
    </w:p>
  </w:footnote>
  <w:footnote w:id="225">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OCC Ex. 14 Table 10 (Supply and disposition of electricity 1990-2013, Ohio); Tr. XVI at 3301 (Phillips) (public) (FirstEnergy witness Phillips admitting that Ohio has been a net importer of energy every year from 1990 to 2013).</w:t>
      </w:r>
    </w:p>
  </w:footnote>
  <w:footnote w:id="226">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Pr>
          <w:rFonts w:ascii="Times New Roman" w:hAnsi="Times New Roman"/>
        </w:rPr>
        <w:t xml:space="preserve"> </w:t>
      </w:r>
      <w:r w:rsidRPr="00232D0D">
        <w:rPr>
          <w:rFonts w:ascii="Times New Roman" w:hAnsi="Times New Roman"/>
        </w:rPr>
        <w:t>See AEP ESP III Order at 25.</w:t>
      </w:r>
    </w:p>
  </w:footnote>
  <w:footnote w:id="227">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FirstEnergy Initial Brief at 131-140.</w:t>
      </w:r>
    </w:p>
  </w:footnote>
  <w:footnote w:id="228">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FirstEnergy Initial Brief at 132-133.</w:t>
      </w:r>
    </w:p>
  </w:footnote>
  <w:footnote w:id="229">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FirstEnergy Initial Brief at 139-140 (FirstEnergy states that additional costs are not expected to be significant or material).</w:t>
      </w:r>
    </w:p>
  </w:footnote>
  <w:footnote w:id="230">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Sierra Club Initial Brief at 45 citing Tr. XXXIII at 6788.</w:t>
      </w:r>
    </w:p>
  </w:footnote>
  <w:footnote w:id="231">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Sierra Club Initial Brief at 45 citing Tr. XXXIII at 6794.</w:t>
      </w:r>
    </w:p>
  </w:footnote>
  <w:footnote w:id="232">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Sierra Club Initial Brief at 45 citing Tr. XXXIII at 6787.</w:t>
      </w:r>
    </w:p>
  </w:footnote>
  <w:footnote w:id="233">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Sierra Club Initial Brief at 45 citing Tr. XIX at 3800-02.</w:t>
      </w:r>
    </w:p>
  </w:footnote>
  <w:footnote w:id="234">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FirstEnergy Initial Brief at 135; Material Science Corp. Initial Brief at 18.</w:t>
      </w:r>
    </w:p>
  </w:footnote>
  <w:footnote w:id="235">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FirstEnergy Initial Brief at 135.</w:t>
      </w:r>
    </w:p>
  </w:footnote>
  <w:footnote w:id="236">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OCC Ex. 14 at 14 (Ferrey Direct).</w:t>
      </w:r>
    </w:p>
  </w:footnote>
  <w:footnote w:id="237">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OCC Ex. 14 at 14 (Ferrey Direct).</w:t>
      </w:r>
    </w:p>
  </w:footnote>
  <w:footnote w:id="238">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FirstEnergy Initial Brief at 137-138.</w:t>
      </w:r>
    </w:p>
  </w:footnote>
  <w:footnote w:id="239">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FirstEnergy Initial Brief at 137-138.</w:t>
      </w:r>
    </w:p>
  </w:footnote>
  <w:footnote w:id="240">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FirstEnergy Initial Brief at 137.</w:t>
      </w:r>
    </w:p>
  </w:footnote>
  <w:footnote w:id="241">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OMAEG Initial Brief at 35-36.</w:t>
      </w:r>
    </w:p>
  </w:footnote>
  <w:footnote w:id="242">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OMAEG Initial Brief at 35-36.</w:t>
      </w:r>
    </w:p>
  </w:footnote>
  <w:footnote w:id="243">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OCC Ex. 14 at 34 (Ferrey Direct).</w:t>
      </w:r>
    </w:p>
  </w:footnote>
  <w:footnote w:id="244">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OCC Ex. 14 at 34 (Ferrey Direct).</w:t>
      </w:r>
    </w:p>
  </w:footnote>
  <w:footnote w:id="245">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See AEP ESP III Order at 25.</w:t>
      </w:r>
    </w:p>
  </w:footnote>
  <w:footnote w:id="246">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FirstEnergy Initial Brief at 140-144; Material Sciences Corp. Initial Brief at 19.</w:t>
      </w:r>
    </w:p>
  </w:footnote>
  <w:footnote w:id="247">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See Tr. XXIV at 5039 (Bowring) (public) </w:t>
      </w:r>
    </w:p>
    <w:p w:rsidR="006D364E" w:rsidRPr="00232D0D" w:rsidRDefault="006D364E" w:rsidP="00232D0D">
      <w:pPr>
        <w:pStyle w:val="FootnoteText"/>
        <w:spacing w:after="120"/>
        <w:ind w:left="720" w:right="720"/>
        <w:jc w:val="both"/>
        <w:rPr>
          <w:rFonts w:ascii="Times New Roman" w:hAnsi="Times New Roman"/>
        </w:rPr>
      </w:pPr>
      <w:r w:rsidRPr="00232D0D">
        <w:rPr>
          <w:rFonts w:ascii="Times New Roman" w:hAnsi="Times New Roman"/>
        </w:rPr>
        <w:t xml:space="preserve">(Q. Do you further agree that the impact of closure of generation plants and the impact that it would have on electric prices and the resulting effect on economic development within the state is a similarly and appropriate factor for the Commission to consider? </w:t>
      </w:r>
    </w:p>
    <w:p w:rsidR="006D364E" w:rsidRPr="00232D0D" w:rsidRDefault="006D364E" w:rsidP="00232D0D">
      <w:pPr>
        <w:pStyle w:val="FootnoteText"/>
        <w:spacing w:after="120"/>
        <w:ind w:left="720" w:right="720"/>
        <w:jc w:val="both"/>
        <w:rPr>
          <w:rFonts w:ascii="Times New Roman" w:hAnsi="Times New Roman"/>
        </w:rPr>
      </w:pPr>
      <w:r w:rsidRPr="00232D0D">
        <w:rPr>
          <w:rFonts w:ascii="Times New Roman" w:hAnsi="Times New Roman"/>
        </w:rPr>
        <w:t>A. Sorry. "Similarly and appropriate" is what you said?</w:t>
      </w:r>
    </w:p>
    <w:p w:rsidR="006D364E" w:rsidRPr="00232D0D" w:rsidRDefault="006D364E" w:rsidP="00232D0D">
      <w:pPr>
        <w:pStyle w:val="FootnoteText"/>
        <w:spacing w:after="120"/>
        <w:ind w:left="720" w:right="720"/>
        <w:jc w:val="both"/>
        <w:rPr>
          <w:rFonts w:ascii="Times New Roman" w:hAnsi="Times New Roman"/>
        </w:rPr>
      </w:pPr>
      <w:r w:rsidRPr="00232D0D">
        <w:rPr>
          <w:rFonts w:ascii="Times New Roman" w:hAnsi="Times New Roman"/>
        </w:rPr>
        <w:t xml:space="preserve">Q. Yes. </w:t>
      </w:r>
    </w:p>
    <w:p w:rsidR="006D364E" w:rsidRPr="00232D0D" w:rsidRDefault="006D364E" w:rsidP="00232D0D">
      <w:pPr>
        <w:pStyle w:val="FootnoteText"/>
        <w:spacing w:after="120"/>
        <w:ind w:left="720" w:right="720"/>
        <w:jc w:val="both"/>
        <w:rPr>
          <w:rFonts w:ascii="Times New Roman" w:hAnsi="Times New Roman"/>
        </w:rPr>
      </w:pPr>
      <w:r w:rsidRPr="00232D0D">
        <w:rPr>
          <w:rFonts w:ascii="Times New Roman" w:hAnsi="Times New Roman"/>
        </w:rPr>
        <w:t xml:space="preserve">A. Yes). </w:t>
      </w:r>
    </w:p>
  </w:footnote>
  <w:footnote w:id="248">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OCC Ex. 25 at 8 (Rose Supplemental); See also OEC/EDF Ex. 2 at 7 (Roberto Supplemental) (“Any subsidy would harm the regional wholesale market because it would tend to drive away plant operators who do not receive subsidies for their plants. Driving away competition through uncertainty (whether certain operators will receive anti-competitive subsidies) would tend to result in higher prices over the long run. Moreover, the Companies customers would have to pay higher prices because they would have to pay for the subsidies.”).</w:t>
      </w:r>
    </w:p>
  </w:footnote>
  <w:footnote w:id="249">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FirstEnergy Initial Brief at 67-71, 140; NUCOR Initial Brief at 26; Material Sciences Corp. Initial Brief at 19-24.</w:t>
      </w:r>
    </w:p>
  </w:footnote>
  <w:footnote w:id="250">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Tr. XV at 3247-3248 (Phillips) (Public) (When asked by Attorney Examiner Price if he had consulted with PJM regarding the types of upgrades that may be necessary if Sammis and Davis-Besse are retired, FirstEnergy witness Phillips answered, “No.”).</w:t>
      </w:r>
    </w:p>
  </w:footnote>
  <w:footnote w:id="251">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See FirstEnergy Ex. 154 at 17 (Third Supplemental Stipulation).</w:t>
      </w:r>
    </w:p>
  </w:footnote>
  <w:footnote w:id="252">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See FirstEnergy Ex. 37 at 1 (Cunningham Direct) (Mr. Cunningham was employed by FirstEnergy Service Company as Manager of Market Planning and Analysis); FirstEnergy Ex. 39 at 2 (Phillips Supplemental) (Mr. Phillips was employed by FirstEnergy Service Company).</w:t>
      </w:r>
    </w:p>
  </w:footnote>
  <w:footnote w:id="253">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Tr. XV at 3224 (Phillips) (public).</w:t>
      </w:r>
    </w:p>
  </w:footnote>
  <w:footnote w:id="254">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Tr. XV at 3224-3225 (Phillips) (public).</w:t>
      </w:r>
    </w:p>
  </w:footnote>
  <w:footnote w:id="255">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Sierra Club Ex. 67 at 5 (Lanzalotta Supplemental).</w:t>
      </w:r>
    </w:p>
  </w:footnote>
  <w:footnote w:id="256">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Sierra Club Ex. 67 at 5 (Lanzalotta Supplemental).</w:t>
      </w:r>
    </w:p>
  </w:footnote>
  <w:footnote w:id="257">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Sierra Club Ex. 67 at 5 (Lanzalotta Supplemental).</w:t>
      </w:r>
    </w:p>
  </w:footnote>
  <w:footnote w:id="258">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Sierra Club Ex. 67  at 6 (Lanzalotta Supplemental).</w:t>
      </w:r>
    </w:p>
  </w:footnote>
  <w:footnote w:id="259">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Tr. XV at 3260-3261 (Phillips) (public).</w:t>
      </w:r>
    </w:p>
  </w:footnote>
  <w:footnote w:id="260">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FirstEnergy Ex. 39  at 8 (Phillips Supplemental).</w:t>
      </w:r>
    </w:p>
  </w:footnote>
  <w:footnote w:id="261">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See Sierra Club Ex. 67 at 7 (Lanzalotta Supplemental).</w:t>
      </w:r>
    </w:p>
  </w:footnote>
  <w:footnote w:id="262">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See Sierra Club Ex. 67 at 7 (Lanzalotta Supplemental).</w:t>
      </w:r>
    </w:p>
  </w:footnote>
  <w:footnote w:id="263">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See Sierra Club Ex. 67 at 7 (Lanzalotta Supplemental).</w:t>
      </w:r>
    </w:p>
  </w:footnote>
  <w:footnote w:id="264">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FirstEnergy Ex. 39 at 10 (Phillips Supplemental).</w:t>
      </w:r>
    </w:p>
  </w:footnote>
  <w:footnote w:id="265">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See Sierra Club Ex. 67 at 9 (Lanzalotta Supplemental).</w:t>
      </w:r>
    </w:p>
  </w:footnote>
  <w:footnote w:id="266">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FirstEnergy Initial Brief at 141.</w:t>
      </w:r>
    </w:p>
  </w:footnote>
  <w:footnote w:id="267">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See, e.g., OCC/NOAC Initial Brief at 83-92.</w:t>
      </w:r>
    </w:p>
  </w:footnote>
  <w:footnote w:id="268">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See OCC/NOPEC Ex. 4 at 50 (Wilson Direct).</w:t>
      </w:r>
    </w:p>
  </w:footnote>
  <w:footnote w:id="269">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See OCC/NOPEC Ex. 4 at 50 (Wilson Direct).</w:t>
      </w:r>
    </w:p>
  </w:footnote>
  <w:footnote w:id="270">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OCC/NOPEC Ex. 4 at 50 (Wilson Direct).</w:t>
      </w:r>
    </w:p>
  </w:footnote>
  <w:footnote w:id="271">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See OCC/NOPEC Ex. 4 at 50 (Wilson Direct).</w:t>
      </w:r>
    </w:p>
  </w:footnote>
  <w:footnote w:id="272">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OCC/NOPEC Ex. 4 at 51-52 (Wilson Direct).</w:t>
      </w:r>
    </w:p>
  </w:footnote>
  <w:footnote w:id="273">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Staff Ex. 12 at 14 (Choueiki Direct).</w:t>
      </w:r>
    </w:p>
  </w:footnote>
  <w:footnote w:id="274">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FirstEnergy Initial Brief at 141.</w:t>
      </w:r>
    </w:p>
  </w:footnote>
  <w:footnote w:id="275">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FirstEnergy Initial Brief at 141-144.</w:t>
      </w:r>
    </w:p>
  </w:footnote>
  <w:footnote w:id="276">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P3/EPSA Ex. 5 at 30 (Kalt Supplemental).</w:t>
      </w:r>
    </w:p>
  </w:footnote>
  <w:footnote w:id="277">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P3/EPSA Ex. 5 at 30 (Kalt Supplemental).</w:t>
      </w:r>
    </w:p>
  </w:footnote>
  <w:footnote w:id="278">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P3/EPSA Ex. 5 at 30 (Kalt Supplemental).</w:t>
      </w:r>
    </w:p>
  </w:footnote>
  <w:footnote w:id="279">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P3/EPSA Ex. 5 at 31 (Kalt Supplemental).</w:t>
      </w:r>
    </w:p>
  </w:footnote>
  <w:footnote w:id="280">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P3/EPSA Ex. 5 at 31 (Kalt Supplemental).</w:t>
      </w:r>
    </w:p>
  </w:footnote>
  <w:footnote w:id="281">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P3/EPSA Ex. 5 at 31 (Kalt Supplemental) citing http//www.nrc.gov/reading-rm/doc-collections/fact-sheets/decommissioning.html, accessed on May 8, 2015.</w:t>
      </w:r>
    </w:p>
  </w:footnote>
  <w:footnote w:id="282">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P3/EPSA Ex. 5 at 31 (Kalt Supplemental).</w:t>
      </w:r>
    </w:p>
  </w:footnote>
  <w:footnote w:id="283">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Tr. XV at 3090-3091, 3186 (Murley) (Public).</w:t>
      </w:r>
    </w:p>
  </w:footnote>
  <w:footnote w:id="284">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See FirstEnergy Ex. 13 at 17 (Strah Direct).</w:t>
      </w:r>
    </w:p>
  </w:footnote>
  <w:footnote w:id="285">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Tr. XV at 3090-3091, 3186 (Murley) (Public).</w:t>
      </w:r>
    </w:p>
  </w:footnote>
  <w:footnote w:id="286">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Tr. XV at 3090-3091, 3186, 3188-3189 (Murley) (Public).</w:t>
      </w:r>
    </w:p>
  </w:footnote>
  <w:footnote w:id="287">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Tr. XV at 3189 (Murley) (Public).</w:t>
      </w:r>
    </w:p>
  </w:footnote>
  <w:footnote w:id="288">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P3/EPSA Ex. 5 at 32 (Kalt Supplemental).</w:t>
      </w:r>
    </w:p>
  </w:footnote>
  <w:footnote w:id="289">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Staff Ex. 30 at 10 (Choueiki Direct).</w:t>
      </w:r>
    </w:p>
  </w:footnote>
  <w:footnote w:id="290">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Staff Ex. 30 at 10-11 (Choueiki Direct).</w:t>
      </w:r>
    </w:p>
  </w:footnote>
  <w:footnote w:id="291">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See AEP ESP III Order at 25.</w:t>
      </w:r>
    </w:p>
  </w:footnote>
  <w:footnote w:id="292">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See Staff Initial Brief at 14-15; FirstEnergy Initial Brief at 73-76.</w:t>
      </w:r>
    </w:p>
  </w:footnote>
  <w:footnote w:id="293">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w:t>
      </w:r>
      <w:r w:rsidRPr="00232D0D">
        <w:rPr>
          <w:rFonts w:ascii="Times New Roman" w:hAnsi="Times New Roman"/>
          <w:iCs/>
        </w:rPr>
        <w:t xml:space="preserve">See </w:t>
      </w:r>
      <w:r w:rsidRPr="00232D0D">
        <w:rPr>
          <w:rFonts w:ascii="Times New Roman" w:hAnsi="Times New Roman"/>
        </w:rPr>
        <w:t>FirstEnergy Ex. 154 at 8 (Third Supplemental Stipulation).</w:t>
      </w:r>
    </w:p>
  </w:footnote>
  <w:footnote w:id="294">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w:t>
      </w:r>
      <w:r w:rsidRPr="00232D0D">
        <w:rPr>
          <w:rFonts w:ascii="Times New Roman" w:hAnsi="Times New Roman"/>
          <w:iCs/>
        </w:rPr>
        <w:t xml:space="preserve">See </w:t>
      </w:r>
      <w:r w:rsidRPr="00232D0D">
        <w:rPr>
          <w:rFonts w:ascii="Times New Roman" w:hAnsi="Times New Roman"/>
        </w:rPr>
        <w:t>Staff Ex. 12 at p. 15 (Choueiki Direct).</w:t>
      </w:r>
    </w:p>
  </w:footnote>
  <w:footnote w:id="295">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FirstEnergy Initial Brief at 74.</w:t>
      </w:r>
    </w:p>
  </w:footnote>
  <w:footnote w:id="296">
    <w:p w:rsidR="006D364E" w:rsidRPr="00232D0D" w:rsidRDefault="006D364E" w:rsidP="00232D0D">
      <w:pPr>
        <w:autoSpaceDE w:val="0"/>
        <w:autoSpaceDN w:val="0"/>
        <w:adjustRightInd w:val="0"/>
        <w:spacing w:after="120" w:line="240" w:lineRule="auto"/>
        <w:rPr>
          <w:rFonts w:cs="Times New Roman"/>
          <w:sz w:val="20"/>
          <w:szCs w:val="20"/>
        </w:rPr>
      </w:pPr>
      <w:r w:rsidRPr="00232D0D">
        <w:rPr>
          <w:rStyle w:val="FootnoteReference"/>
          <w:rFonts w:cs="Times New Roman"/>
          <w:sz w:val="20"/>
          <w:szCs w:val="20"/>
        </w:rPr>
        <w:footnoteRef/>
      </w:r>
      <w:r w:rsidRPr="00232D0D">
        <w:rPr>
          <w:rFonts w:cs="Times New Roman"/>
          <w:sz w:val="20"/>
          <w:szCs w:val="20"/>
        </w:rPr>
        <w:t xml:space="preserve"> “…in the event that Seller learns that a required Government Approval is lacking and after reasonable effort is not and will not be forthcoming…then Seller may upon ten (10) days written notice to Buyers terminate the Agreement.” FirstEnergy Ex. 156 at 10 (IEU Set 1-INT-25 Attachment 1, Revised).</w:t>
      </w:r>
    </w:p>
  </w:footnote>
  <w:footnote w:id="297">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w:t>
      </w:r>
      <w:r w:rsidRPr="00232D0D">
        <w:rPr>
          <w:rFonts w:ascii="Times New Roman" w:hAnsi="Times New Roman"/>
          <w:iCs/>
        </w:rPr>
        <w:t>See</w:t>
      </w:r>
      <w:r w:rsidRPr="00232D0D">
        <w:rPr>
          <w:rFonts w:ascii="Times New Roman" w:hAnsi="Times New Roman"/>
          <w:i/>
          <w:iCs/>
        </w:rPr>
        <w:t xml:space="preserve"> </w:t>
      </w:r>
      <w:r w:rsidRPr="00232D0D">
        <w:rPr>
          <w:rFonts w:ascii="Times New Roman" w:hAnsi="Times New Roman"/>
        </w:rPr>
        <w:t>FirstEnergy Ex. 154 at 8 (Third Supplemental Stipulation).</w:t>
      </w:r>
    </w:p>
  </w:footnote>
  <w:footnote w:id="298">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R.C. 4928.143(F).</w:t>
      </w:r>
    </w:p>
  </w:footnote>
  <w:footnote w:id="299">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R.C. 4928.143(F).</w:t>
      </w:r>
    </w:p>
  </w:footnote>
  <w:footnote w:id="300">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Tr. XXXVI at 7606-7607 (Mikkelsen) (Public).</w:t>
      </w:r>
    </w:p>
  </w:footnote>
  <w:footnote w:id="301">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Staff Initial Brief at 8-9, citing to FirstEnergy Ex. 154 at 8 (Stipulation).</w:t>
      </w:r>
    </w:p>
  </w:footnote>
  <w:footnote w:id="302">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See FirstEnergy Ex. 154 at 8 (Stipulation).</w:t>
      </w:r>
    </w:p>
  </w:footnote>
  <w:footnote w:id="303">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OCC/NOPEC Ex. 4 at 60 (Wilson Direct) citing FirstEnergy response to NUCOR set I INT-51.b.</w:t>
      </w:r>
    </w:p>
  </w:footnote>
  <w:footnote w:id="304">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See AEP ESP III order at 25.</w:t>
      </w:r>
    </w:p>
  </w:footnote>
  <w:footnote w:id="305">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See FirstEnergy Initial Brief at 74; Staff Initial Brief at 15.</w:t>
      </w:r>
    </w:p>
  </w:footnote>
  <w:footnote w:id="306">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See FirstEnergy Ex. 154 at 8; PJM/EPSA Initial Brief at 29.</w:t>
      </w:r>
    </w:p>
  </w:footnote>
  <w:footnote w:id="307">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See R.C. 4905.15.</w:t>
      </w:r>
    </w:p>
  </w:footnote>
  <w:footnote w:id="308">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Tr. XXXVI at 7521 (Mikkeslen) (Public); RESA Initial Brief at 33-34.</w:t>
      </w:r>
    </w:p>
  </w:footnote>
  <w:footnote w:id="309">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Tr. XXXVI at 7521 (Mikkeslen) (Public).</w:t>
      </w:r>
    </w:p>
  </w:footnote>
  <w:footnote w:id="310">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P3/EPSA Initial Brief at 29.</w:t>
      </w:r>
    </w:p>
  </w:footnote>
  <w:footnote w:id="311">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P3/EPSA Initial Brief at 29.</w:t>
      </w:r>
    </w:p>
  </w:footnote>
  <w:footnote w:id="312">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P3/EPSA Initial Brief at 29.</w:t>
      </w:r>
    </w:p>
  </w:footnote>
  <w:footnote w:id="313">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See AEP ESP III Order at 25.</w:t>
      </w:r>
    </w:p>
  </w:footnote>
  <w:footnote w:id="314">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FirstEnergy Initial Brief at 75.</w:t>
      </w:r>
    </w:p>
  </w:footnote>
  <w:footnote w:id="315">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FirstEnergy Ex. 154 at 7-8 (Third Supplemental Stipulation).</w:t>
      </w:r>
    </w:p>
  </w:footnote>
  <w:footnote w:id="316">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FirstEnergy Ex. 154 at 7-8 (Third Supplemental Stipulation).</w:t>
      </w:r>
    </w:p>
  </w:footnote>
  <w:footnote w:id="317">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FirstEnergy Ex. 154 at 7-8 (Third Supplemental Stipulation).</w:t>
      </w:r>
    </w:p>
  </w:footnote>
  <w:footnote w:id="318">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ourier New" w:hAnsi="Times New Roman"/>
        </w:rPr>
        <w:footnoteRef/>
      </w:r>
      <w:r w:rsidRPr="00232D0D">
        <w:rPr>
          <w:rFonts w:ascii="Times New Roman" w:hAnsi="Times New Roman"/>
        </w:rPr>
        <w:t xml:space="preserve"> OCC/NOPEC Ex. 4 at 65 (Wilson Direct).</w:t>
      </w:r>
    </w:p>
  </w:footnote>
  <w:footnote w:id="319">
    <w:p w:rsidR="006D364E" w:rsidRPr="008C4F4C" w:rsidRDefault="006D364E" w:rsidP="008C4F4C">
      <w:pPr>
        <w:pStyle w:val="FootnoteText"/>
        <w:spacing w:after="120"/>
        <w:rPr>
          <w:rFonts w:ascii="Times New Roman" w:hAnsi="Times New Roman"/>
        </w:rPr>
      </w:pPr>
      <w:r w:rsidRPr="008C4F4C">
        <w:rPr>
          <w:rStyle w:val="FootnoteReference"/>
          <w:rFonts w:ascii="Times New Roman" w:eastAsia="Courier New" w:hAnsi="Times New Roman"/>
        </w:rPr>
        <w:footnoteRef/>
      </w:r>
      <w:r w:rsidRPr="008C4F4C">
        <w:rPr>
          <w:rFonts w:ascii="Times New Roman" w:hAnsi="Times New Roman"/>
        </w:rPr>
        <w:t xml:space="preserve"> OCC/NOPEC Ex. 4 at 65 (Wilson Direct).</w:t>
      </w:r>
    </w:p>
  </w:footnote>
  <w:footnote w:id="320">
    <w:p w:rsidR="006D364E" w:rsidRPr="008C4F4C" w:rsidRDefault="006D364E" w:rsidP="008C4F4C">
      <w:pPr>
        <w:pStyle w:val="FootnoteText"/>
        <w:spacing w:after="120"/>
        <w:rPr>
          <w:rFonts w:ascii="Times New Roman" w:hAnsi="Times New Roman"/>
        </w:rPr>
      </w:pPr>
      <w:r w:rsidRPr="008C4F4C">
        <w:rPr>
          <w:rStyle w:val="FootnoteReference"/>
          <w:rFonts w:ascii="Times New Roman" w:hAnsi="Times New Roman"/>
        </w:rPr>
        <w:footnoteRef/>
      </w:r>
      <w:r w:rsidRPr="008C4F4C">
        <w:rPr>
          <w:rFonts w:ascii="Times New Roman" w:hAnsi="Times New Roman"/>
        </w:rPr>
        <w:t xml:space="preserve"> See FirstEnergy Initial Brief at 124.</w:t>
      </w:r>
    </w:p>
  </w:footnote>
  <w:footnote w:id="321">
    <w:p w:rsidR="006D364E" w:rsidRPr="008C4F4C" w:rsidRDefault="006D364E" w:rsidP="008C4F4C">
      <w:pPr>
        <w:pStyle w:val="FootnoteText"/>
        <w:spacing w:after="120"/>
        <w:rPr>
          <w:rFonts w:ascii="Times New Roman" w:hAnsi="Times New Roman"/>
        </w:rPr>
      </w:pPr>
      <w:r w:rsidRPr="008C4F4C">
        <w:rPr>
          <w:rStyle w:val="FootnoteReference"/>
          <w:rFonts w:ascii="Times New Roman" w:hAnsi="Times New Roman"/>
        </w:rPr>
        <w:footnoteRef/>
      </w:r>
      <w:r w:rsidRPr="008C4F4C">
        <w:rPr>
          <w:rFonts w:ascii="Times New Roman" w:hAnsi="Times New Roman"/>
        </w:rPr>
        <w:t xml:space="preserve"> See OCC/NOAC Initial Brief at 135-146.</w:t>
      </w:r>
    </w:p>
  </w:footnote>
  <w:footnote w:id="322">
    <w:p w:rsidR="006D364E" w:rsidRPr="008C4F4C" w:rsidRDefault="006D364E" w:rsidP="008C4F4C">
      <w:pPr>
        <w:pStyle w:val="FootnoteText"/>
        <w:spacing w:after="120"/>
        <w:rPr>
          <w:rFonts w:ascii="Times New Roman" w:hAnsi="Times New Roman"/>
        </w:rPr>
      </w:pPr>
      <w:r w:rsidRPr="008C4F4C">
        <w:rPr>
          <w:rStyle w:val="FootnoteReference"/>
          <w:rFonts w:ascii="Times New Roman" w:hAnsi="Times New Roman"/>
        </w:rPr>
        <w:footnoteRef/>
      </w:r>
      <w:r w:rsidRPr="008C4F4C">
        <w:rPr>
          <w:rFonts w:ascii="Times New Roman" w:hAnsi="Times New Roman"/>
        </w:rPr>
        <w:t xml:space="preserve"> See OCC/NOPEC Ex. 2 at 8-9 (Sioshansi Supplemental).</w:t>
      </w:r>
    </w:p>
  </w:footnote>
  <w:footnote w:id="323">
    <w:p w:rsidR="006D364E" w:rsidRPr="008C4F4C" w:rsidRDefault="006D364E" w:rsidP="008C4F4C">
      <w:pPr>
        <w:pStyle w:val="FootnoteText"/>
        <w:spacing w:after="120"/>
        <w:rPr>
          <w:rFonts w:ascii="Times New Roman" w:hAnsi="Times New Roman"/>
        </w:rPr>
      </w:pPr>
      <w:r w:rsidRPr="008C4F4C">
        <w:rPr>
          <w:rStyle w:val="FootnoteReference"/>
          <w:rFonts w:ascii="Times New Roman" w:hAnsi="Times New Roman"/>
        </w:rPr>
        <w:footnoteRef/>
      </w:r>
      <w:r w:rsidRPr="008C4F4C">
        <w:rPr>
          <w:rFonts w:ascii="Times New Roman" w:hAnsi="Times New Roman"/>
        </w:rPr>
        <w:t xml:space="preserve"> See AEP ESP III Order at 33.</w:t>
      </w:r>
    </w:p>
  </w:footnote>
  <w:footnote w:id="324">
    <w:p w:rsidR="006D364E" w:rsidRPr="008C4F4C" w:rsidRDefault="006D364E" w:rsidP="008C4F4C">
      <w:pPr>
        <w:pStyle w:val="FootnoteText"/>
        <w:spacing w:after="120"/>
        <w:rPr>
          <w:rFonts w:ascii="Times New Roman" w:hAnsi="Times New Roman"/>
        </w:rPr>
      </w:pPr>
      <w:r w:rsidRPr="008C4F4C">
        <w:rPr>
          <w:rStyle w:val="FootnoteReference"/>
          <w:rFonts w:ascii="Times New Roman" w:hAnsi="Times New Roman"/>
        </w:rPr>
        <w:footnoteRef/>
      </w:r>
      <w:r w:rsidRPr="008C4F4C">
        <w:rPr>
          <w:rFonts w:ascii="Times New Roman" w:hAnsi="Times New Roman"/>
        </w:rPr>
        <w:t xml:space="preserve"> See R.C. sec. 4928.02(A).</w:t>
      </w:r>
    </w:p>
  </w:footnote>
  <w:footnote w:id="325">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OCC/NOAC Initial Brief at 28-32.</w:t>
      </w:r>
    </w:p>
  </w:footnote>
  <w:footnote w:id="326">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w:t>
      </w:r>
      <w:r>
        <w:rPr>
          <w:rFonts w:ascii="Times New Roman" w:hAnsi="Times New Roman"/>
        </w:rPr>
        <w:t>OCC/NOAC Initial Brief at 28-32.</w:t>
      </w:r>
    </w:p>
  </w:footnote>
  <w:footnote w:id="327">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See</w:t>
      </w:r>
      <w:r w:rsidRPr="00232D0D">
        <w:rPr>
          <w:rFonts w:ascii="Times New Roman" w:hAnsi="Times New Roman"/>
          <w:i/>
        </w:rPr>
        <w:t xml:space="preserve">, </w:t>
      </w:r>
      <w:r w:rsidRPr="00232D0D">
        <w:rPr>
          <w:rFonts w:ascii="Times New Roman" w:hAnsi="Times New Roman"/>
        </w:rPr>
        <w:t>FirstEnergy Initial Brief at 36 – 107</w:t>
      </w:r>
      <w:r w:rsidRPr="00232D0D">
        <w:rPr>
          <w:rFonts w:ascii="Times New Roman" w:hAnsi="Times New Roman"/>
          <w:i/>
        </w:rPr>
        <w:t xml:space="preserve">; </w:t>
      </w:r>
      <w:r w:rsidRPr="00232D0D">
        <w:rPr>
          <w:rFonts w:ascii="Times New Roman" w:hAnsi="Times New Roman"/>
        </w:rPr>
        <w:t>OEG Initial Brief at 3-20; PUCO Staff Initial Brief 2-12.</w:t>
      </w:r>
    </w:p>
  </w:footnote>
  <w:footnote w:id="328">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w:t>
      </w:r>
      <w:r w:rsidRPr="00232D0D">
        <w:rPr>
          <w:rFonts w:ascii="Times New Roman" w:hAnsi="Times New Roman"/>
          <w:i/>
        </w:rPr>
        <w:t xml:space="preserve">In the Matter of the Application of Columbus Southern Power Company and Ohio Power Company for Authority to Recover Costs Associated with the Ultimate Construction and Operation of an Integrated Gasification Combined Cycle Electric Generation Facility, </w:t>
      </w:r>
      <w:r w:rsidRPr="00232D0D">
        <w:rPr>
          <w:rFonts w:ascii="Times New Roman" w:hAnsi="Times New Roman"/>
        </w:rPr>
        <w:t>Case No. 05-376-EL-UNC Order on Remand at 11-12 (February 11, 2015). (Emphasis added).</w:t>
      </w:r>
    </w:p>
  </w:footnote>
  <w:footnote w:id="329">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OCC/NOPEC Ex. 11 at 7-8 (Kahal Second Supplemental Direct).</w:t>
      </w:r>
    </w:p>
  </w:footnote>
  <w:footnote w:id="330">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OCC/NOPEC Ex. 11 at 6-10 (Kahal Second Supplemental). (“However, the Signatory Parties to this Stipulation and parties to future stipulations should be forewarned that such provisions are strongly disfavored by this Commission and are highly likely to be stricken from any future stipulation submitted to the Commission for approval.”)</w:t>
      </w:r>
    </w:p>
  </w:footnote>
  <w:footnote w:id="331">
    <w:p w:rsidR="006D364E" w:rsidRPr="00232D0D" w:rsidRDefault="006D364E" w:rsidP="00232D0D">
      <w:pPr>
        <w:spacing w:after="120" w:line="240" w:lineRule="auto"/>
        <w:rPr>
          <w:rFonts w:cs="Times New Roman"/>
          <w:sz w:val="20"/>
          <w:szCs w:val="20"/>
        </w:rPr>
      </w:pPr>
      <w:r w:rsidRPr="00232D0D">
        <w:rPr>
          <w:rStyle w:val="FootnoteReference"/>
          <w:rFonts w:cs="Times New Roman"/>
          <w:sz w:val="20"/>
          <w:szCs w:val="20"/>
        </w:rPr>
        <w:footnoteRef/>
      </w:r>
      <w:r w:rsidRPr="00232D0D">
        <w:rPr>
          <w:rFonts w:cs="Times New Roman"/>
          <w:sz w:val="20"/>
          <w:szCs w:val="20"/>
        </w:rPr>
        <w:t xml:space="preserve"> </w:t>
      </w:r>
      <w:r w:rsidRPr="00232D0D">
        <w:rPr>
          <w:rFonts w:cs="Times New Roman"/>
          <w:i/>
          <w:sz w:val="20"/>
          <w:szCs w:val="20"/>
        </w:rPr>
        <w:t>In the Matter of the Application of Duke Energy Ohio to Adjust Rider DR-IM and Rider AEU for 2012 Smart Grid Costs</w:t>
      </w:r>
      <w:r w:rsidRPr="00232D0D">
        <w:rPr>
          <w:rFonts w:cs="Times New Roman"/>
          <w:sz w:val="20"/>
          <w:szCs w:val="20"/>
        </w:rPr>
        <w:t>, Case No. 13-1141-GE-RDR, Opinion and Order at 16-17 (April 9, 2014).  (The PUCO ruled that issues which are “not contained within the intended subject matter” of the utility’s application, are the subject matter of other ongoing PUCO proceedings, and contemplate programs which are, thus far, not in existence or in operation are not relevant with regard to the consideration of the utility’s application and should not be considered for purposes of the three-prong test.)</w:t>
      </w:r>
    </w:p>
  </w:footnote>
  <w:footnote w:id="332">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ELPC Ex. 28 at 6-7 (Rabago Direct).</w:t>
      </w:r>
    </w:p>
  </w:footnote>
  <w:footnote w:id="333">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OCC/NOAC Initial Brief at 34.</w:t>
      </w:r>
    </w:p>
  </w:footnote>
  <w:footnote w:id="334">
    <w:p w:rsidR="006D364E" w:rsidRPr="00232D0D" w:rsidRDefault="006D364E" w:rsidP="00232D0D">
      <w:pPr>
        <w:pStyle w:val="FootnoteText"/>
        <w:spacing w:after="120"/>
        <w:rPr>
          <w:rFonts w:ascii="Times New Roman" w:hAnsi="Times New Roman"/>
        </w:rPr>
      </w:pPr>
      <w:r w:rsidRPr="000E4EB8">
        <w:rPr>
          <w:rStyle w:val="FootnoteReference"/>
          <w:rFonts w:ascii="Times New Roman" w:hAnsi="Times New Roman"/>
        </w:rPr>
        <w:footnoteRef/>
      </w:r>
      <w:r w:rsidRPr="000E4EB8">
        <w:rPr>
          <w:rFonts w:ascii="Times New Roman" w:hAnsi="Times New Roman"/>
        </w:rPr>
        <w:t xml:space="preserve"> Tr. XLI at 8717 (Kalt).</w:t>
      </w:r>
    </w:p>
  </w:footnote>
  <w:footnote w:id="335">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FirstEnergy Ex. 154 at 9 (Third Supplemental Stipulation).</w:t>
      </w:r>
    </w:p>
  </w:footnote>
  <w:footnote w:id="336">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FirstEnergy Ex. 154 at 9 (Third Supplemental Stipulation), See</w:t>
      </w:r>
      <w:r w:rsidRPr="00232D0D">
        <w:rPr>
          <w:rFonts w:ascii="Times New Roman" w:hAnsi="Times New Roman"/>
          <w:i/>
        </w:rPr>
        <w:t xml:space="preserve"> also, </w:t>
      </w:r>
      <w:r w:rsidRPr="00232D0D">
        <w:rPr>
          <w:rFonts w:ascii="Times New Roman" w:hAnsi="Times New Roman"/>
        </w:rPr>
        <w:t>FirstEnergy Initial Brief at 110-111.</w:t>
      </w:r>
    </w:p>
  </w:footnote>
  <w:footnote w:id="337">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FirstEnergy Ex. 154 at 9 (Third Supplemental Stipulation).</w:t>
      </w:r>
    </w:p>
  </w:footnote>
  <w:footnote w:id="338">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FirstEnergy Initial Brief at 32 (emphasis added, citations omitted).</w:t>
      </w:r>
    </w:p>
  </w:footnote>
  <w:footnote w:id="339">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 Ex. </w:t>
      </w:r>
      <w:r>
        <w:rPr>
          <w:rFonts w:ascii="Times New Roman" w:hAnsi="Times New Roman"/>
        </w:rPr>
        <w:t>35</w:t>
      </w:r>
      <w:r w:rsidRPr="00232D0D">
        <w:rPr>
          <w:rFonts w:ascii="Times New Roman" w:hAnsi="Times New Roman"/>
        </w:rPr>
        <w:t xml:space="preserve"> at 9 (Rubin Supplemental).</w:t>
      </w:r>
    </w:p>
  </w:footnote>
  <w:footnote w:id="340">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 Ex. </w:t>
      </w:r>
      <w:r>
        <w:rPr>
          <w:rFonts w:ascii="Times New Roman" w:hAnsi="Times New Roman"/>
        </w:rPr>
        <w:t>35</w:t>
      </w:r>
      <w:r w:rsidRPr="00232D0D">
        <w:rPr>
          <w:rFonts w:ascii="Times New Roman" w:hAnsi="Times New Roman"/>
        </w:rPr>
        <w:t xml:space="preserve"> at 12 (Rubin Supplemental) (emphasis added).</w:t>
      </w:r>
    </w:p>
  </w:footnote>
  <w:footnote w:id="341">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 E</w:t>
      </w:r>
      <w:r>
        <w:rPr>
          <w:rFonts w:ascii="Times New Roman" w:hAnsi="Times New Roman"/>
        </w:rPr>
        <w:t>x</w:t>
      </w:r>
      <w:r w:rsidRPr="00232D0D">
        <w:rPr>
          <w:rFonts w:ascii="Times New Roman" w:hAnsi="Times New Roman"/>
        </w:rPr>
        <w:t xml:space="preserve">. </w:t>
      </w:r>
      <w:r>
        <w:rPr>
          <w:rFonts w:ascii="Times New Roman" w:hAnsi="Times New Roman"/>
        </w:rPr>
        <w:t>35</w:t>
      </w:r>
      <w:r w:rsidRPr="00232D0D">
        <w:rPr>
          <w:rFonts w:ascii="Times New Roman" w:hAnsi="Times New Roman"/>
        </w:rPr>
        <w:t xml:space="preserve"> at 11 (Rubin Supplemental) (original emphasis).</w:t>
      </w:r>
    </w:p>
  </w:footnote>
  <w:footnote w:id="342">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FirstEnergy Ex. 154 at 17 (Third Supplemental Stipulation).</w:t>
      </w:r>
    </w:p>
  </w:footnote>
  <w:footnote w:id="343">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FirstEnergy Ex. 154 at 17 (Third Supplemental Stipulation).</w:t>
      </w:r>
    </w:p>
  </w:footnote>
  <w:footnote w:id="344">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FirstEnergy Ex. 154 at 17 (Third Supplemental Stipulation).</w:t>
      </w:r>
    </w:p>
  </w:footnote>
  <w:footnote w:id="345">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PUCO Staff Ex. </w:t>
      </w:r>
      <w:r>
        <w:rPr>
          <w:rFonts w:ascii="Times New Roman" w:hAnsi="Times New Roman"/>
        </w:rPr>
        <w:t>11</w:t>
      </w:r>
      <w:r w:rsidRPr="00232D0D">
        <w:rPr>
          <w:rFonts w:ascii="Times New Roman" w:hAnsi="Times New Roman"/>
        </w:rPr>
        <w:t xml:space="preserve"> at 3-4 (Scheck Direct). </w:t>
      </w:r>
    </w:p>
  </w:footnote>
  <w:footnote w:id="346">
    <w:p w:rsidR="006D364E" w:rsidRPr="00232D0D" w:rsidRDefault="006D364E" w:rsidP="00232D0D">
      <w:pPr>
        <w:pStyle w:val="FootnoteText"/>
        <w:spacing w:after="120"/>
        <w:rPr>
          <w:rFonts w:ascii="Times New Roman" w:hAnsi="Times New Roman"/>
        </w:rPr>
      </w:pPr>
      <w:r w:rsidRPr="007F5D99">
        <w:rPr>
          <w:rStyle w:val="FootnoteReference"/>
          <w:rFonts w:ascii="Times New Roman" w:hAnsi="Times New Roman"/>
        </w:rPr>
        <w:footnoteRef/>
      </w:r>
      <w:r w:rsidRPr="007F5D99">
        <w:rPr>
          <w:rFonts w:ascii="Times New Roman" w:hAnsi="Times New Roman"/>
        </w:rPr>
        <w:t xml:space="preserve"> Id</w:t>
      </w:r>
      <w:r>
        <w:rPr>
          <w:rFonts w:ascii="Times New Roman" w:hAnsi="Times New Roman"/>
        </w:rPr>
        <w:t>.</w:t>
      </w:r>
      <w:r w:rsidRPr="00232D0D">
        <w:rPr>
          <w:rFonts w:ascii="Times New Roman" w:hAnsi="Times New Roman"/>
        </w:rPr>
        <w:t xml:space="preserve"> </w:t>
      </w:r>
    </w:p>
  </w:footnote>
  <w:footnote w:id="347">
    <w:p w:rsidR="006D364E" w:rsidRPr="00232D0D" w:rsidRDefault="006D364E" w:rsidP="00232D0D">
      <w:pPr>
        <w:pStyle w:val="FootnoteText"/>
        <w:spacing w:after="120"/>
        <w:rPr>
          <w:rFonts w:ascii="Times New Roman" w:hAnsi="Times New Roman"/>
          <w:i/>
        </w:rPr>
      </w:pPr>
      <w:r w:rsidRPr="00232D0D">
        <w:rPr>
          <w:rStyle w:val="FootnoteReference"/>
          <w:rFonts w:ascii="Times New Roman" w:hAnsi="Times New Roman"/>
        </w:rPr>
        <w:footnoteRef/>
      </w:r>
      <w:r w:rsidRPr="00232D0D">
        <w:rPr>
          <w:rFonts w:ascii="Times New Roman" w:hAnsi="Times New Roman"/>
        </w:rPr>
        <w:t xml:space="preserve"> FirstEnergy Ex. 2 at 14 (Stipulation).</w:t>
      </w:r>
    </w:p>
  </w:footnote>
  <w:footnote w:id="348">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FirstEnergy Ex. 154 at 17 (Third Supplemental Stipulation).</w:t>
      </w:r>
    </w:p>
  </w:footnote>
  <w:footnote w:id="349">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FirstEnergy Initial Brief at 17.</w:t>
      </w:r>
    </w:p>
  </w:footnote>
  <w:footnote w:id="350">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FirstEnergy Initial Brief at 17.</w:t>
      </w:r>
    </w:p>
  </w:footnote>
  <w:footnote w:id="351">
    <w:p w:rsidR="006D364E" w:rsidRPr="00232D0D" w:rsidRDefault="006D364E" w:rsidP="00232D0D">
      <w:pPr>
        <w:pStyle w:val="FootnoteText"/>
        <w:spacing w:after="120"/>
        <w:rPr>
          <w:rFonts w:ascii="Times New Roman" w:hAnsi="Times New Roman"/>
          <w:i/>
        </w:rPr>
      </w:pPr>
      <w:r w:rsidRPr="00232D0D">
        <w:rPr>
          <w:rStyle w:val="FootnoteReference"/>
          <w:rFonts w:ascii="Times New Roman" w:hAnsi="Times New Roman"/>
        </w:rPr>
        <w:footnoteRef/>
      </w:r>
      <w:r w:rsidRPr="00232D0D">
        <w:rPr>
          <w:rFonts w:ascii="Times New Roman" w:hAnsi="Times New Roman"/>
        </w:rPr>
        <w:t xml:space="preserve"> FirstEnergy Ex. 2 at 14 (Stipulation).</w:t>
      </w:r>
    </w:p>
  </w:footnote>
  <w:footnote w:id="352">
    <w:p w:rsidR="006D364E" w:rsidRPr="006D364E" w:rsidRDefault="006D364E" w:rsidP="006D364E">
      <w:pPr>
        <w:pStyle w:val="FootnoteText"/>
        <w:spacing w:after="120"/>
        <w:rPr>
          <w:rFonts w:ascii="Times New Roman" w:hAnsi="Times New Roman"/>
        </w:rPr>
      </w:pPr>
      <w:r w:rsidRPr="006D364E">
        <w:rPr>
          <w:rStyle w:val="FootnoteReference"/>
          <w:rFonts w:ascii="Times New Roman" w:hAnsi="Times New Roman"/>
        </w:rPr>
        <w:footnoteRef/>
      </w:r>
      <w:r w:rsidRPr="006D364E">
        <w:rPr>
          <w:rFonts w:ascii="Times New Roman" w:hAnsi="Times New Roman"/>
        </w:rPr>
        <w:t xml:space="preserve"> See FirstEnergy Ex. 154 at 16 (Third Supplemental Stipulation).</w:t>
      </w:r>
    </w:p>
  </w:footnote>
  <w:footnote w:id="353">
    <w:p w:rsidR="006D364E" w:rsidRPr="00232D0D" w:rsidRDefault="006D364E" w:rsidP="00232D0D">
      <w:pPr>
        <w:pStyle w:val="FootnoteText"/>
        <w:spacing w:after="120"/>
        <w:rPr>
          <w:rFonts w:ascii="Times New Roman" w:hAnsi="Times New Roman"/>
          <w:i/>
        </w:rPr>
      </w:pPr>
      <w:r w:rsidRPr="00232D0D">
        <w:rPr>
          <w:rStyle w:val="FootnoteReference"/>
          <w:rFonts w:ascii="Times New Roman" w:eastAsia="Courier New" w:hAnsi="Times New Roman"/>
        </w:rPr>
        <w:footnoteRef/>
      </w:r>
      <w:r w:rsidRPr="00232D0D">
        <w:rPr>
          <w:rFonts w:ascii="Times New Roman" w:hAnsi="Times New Roman"/>
        </w:rPr>
        <w:t xml:space="preserve"> FirstEnergy Ex. 2 at 14</w:t>
      </w:r>
      <w:r>
        <w:rPr>
          <w:rFonts w:ascii="Times New Roman" w:hAnsi="Times New Roman"/>
        </w:rPr>
        <w:t xml:space="preserve"> </w:t>
      </w:r>
      <w:r w:rsidRPr="00232D0D">
        <w:rPr>
          <w:rFonts w:ascii="Times New Roman" w:hAnsi="Times New Roman"/>
        </w:rPr>
        <w:t>(Stipulation).</w:t>
      </w:r>
    </w:p>
  </w:footnote>
  <w:footnote w:id="354">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FirstEnergy Ex. 154 at 15 (Third Supplemental Stipulation).</w:t>
      </w:r>
    </w:p>
  </w:footnote>
  <w:footnote w:id="355">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FirstEnergy Ex. 154 at 17 (Third Supplemental Stipulation).</w:t>
      </w:r>
    </w:p>
  </w:footnote>
  <w:footnote w:id="356">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The side deal’s attempt to eliminate the standard service offer in contravention of R.C. 4928.141 is a violation of  the regulatory principles and practices prong of the PUCO’s test.</w:t>
      </w:r>
    </w:p>
  </w:footnote>
  <w:footnote w:id="357">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IGS </w:t>
      </w:r>
      <w:r>
        <w:rPr>
          <w:rFonts w:ascii="Times New Roman" w:hAnsi="Times New Roman"/>
        </w:rPr>
        <w:t>Side Deal</w:t>
      </w:r>
      <w:r w:rsidRPr="00232D0D">
        <w:rPr>
          <w:rFonts w:ascii="Times New Roman" w:hAnsi="Times New Roman"/>
        </w:rPr>
        <w:t xml:space="preserve"> (“IGS agrees to advocate in its brief in Case 14-1297-EL-SSO for the [PUCO] to include in the [Utilities’] ESP a retail incentive rider set at zero and the [Utilities] agree not to oppose.”)</w:t>
      </w:r>
    </w:p>
  </w:footnote>
  <w:footnote w:id="358">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FirstEnergy Initial Brief at 104..</w:t>
      </w:r>
    </w:p>
  </w:footnote>
  <w:footnote w:id="359">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PUCO’s investigation of Ohio’s retail Electric Service Market, Case No. 12-3151-EL-COI, Finding and Order at 17 (March 26, 2014).  </w:t>
      </w:r>
    </w:p>
  </w:footnote>
  <w:footnote w:id="360">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PUCO’s investigation of Ohio’s retail Electric Service Market, Case No. 12-3151-EL-COI, Finding and Order at 17 (March 26, 2014).  </w:t>
      </w:r>
    </w:p>
  </w:footnote>
  <w:footnote w:id="361">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w:t>
      </w:r>
      <w:r w:rsidRPr="00232D0D">
        <w:rPr>
          <w:rFonts w:ascii="Times New Roman" w:hAnsi="Times New Roman"/>
          <w:iCs/>
        </w:rPr>
        <w:t xml:space="preserve">See, e.g., </w:t>
      </w:r>
      <w:r w:rsidRPr="00232D0D">
        <w:rPr>
          <w:rFonts w:ascii="Times New Roman" w:hAnsi="Times New Roman"/>
          <w:i/>
          <w:iCs/>
        </w:rPr>
        <w:t>Ohio Consumers’ Counsel v. Public Util. Comm</w:t>
      </w:r>
      <w:r w:rsidRPr="00232D0D">
        <w:rPr>
          <w:rFonts w:ascii="Times New Roman" w:hAnsi="Times New Roman"/>
          <w:iCs/>
        </w:rPr>
        <w:t>. (2006), 110 Ohio St.3d 394, 399; 853 N.E.2d 1153; 2006-Ohio-4706.</w:t>
      </w:r>
    </w:p>
  </w:footnote>
  <w:footnote w:id="362">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FirstEnergy Ex. 154 at 13 (Third Supplemental Stipulation); See</w:t>
      </w:r>
      <w:r w:rsidRPr="00232D0D">
        <w:rPr>
          <w:rFonts w:ascii="Times New Roman" w:hAnsi="Times New Roman"/>
          <w:i/>
        </w:rPr>
        <w:t xml:space="preserve"> also, </w:t>
      </w:r>
      <w:r w:rsidRPr="00232D0D">
        <w:rPr>
          <w:rFonts w:ascii="Times New Roman" w:hAnsi="Times New Roman"/>
        </w:rPr>
        <w:t xml:space="preserve">FirstEnergy Ex. 50 at 7 (Fanelli Direct): Tr. XX at 3930 (Fanelli). </w:t>
      </w:r>
    </w:p>
  </w:footnote>
  <w:footnote w:id="363">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FirstEnergy Ex. 154 at 13 (Third Supplemental Stipulation).</w:t>
      </w:r>
    </w:p>
  </w:footnote>
  <w:footnote w:id="364">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Wal-Mart Initial Brief at 3-4.</w:t>
      </w:r>
    </w:p>
  </w:footnote>
  <w:footnote w:id="365">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Wal-Mart Initial Brief at 4.</w:t>
      </w:r>
    </w:p>
  </w:footnote>
  <w:footnote w:id="366">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See OCC Initial Brief at 34-118.  </w:t>
      </w:r>
    </w:p>
  </w:footnote>
  <w:footnote w:id="367">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OCC/NOAC Initial Brief at 37-39.  </w:t>
      </w:r>
    </w:p>
  </w:footnote>
  <w:footnote w:id="368">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Dynegy, Direct Energy, PJM Power Producers, EPSA, Exelon, Constellation. </w:t>
      </w:r>
    </w:p>
  </w:footnote>
  <w:footnote w:id="369">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Sierra Club, Environmental Defense Fund, and ELPC. </w:t>
      </w:r>
    </w:p>
  </w:footnote>
  <w:footnote w:id="370">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NOPEC and NOAC.</w:t>
      </w:r>
    </w:p>
  </w:footnote>
  <w:footnote w:id="371">
    <w:p w:rsidR="006D364E" w:rsidRPr="00232D0D" w:rsidRDefault="006D364E" w:rsidP="00232D0D">
      <w:pPr>
        <w:spacing w:after="120" w:line="240" w:lineRule="auto"/>
        <w:rPr>
          <w:rFonts w:cs="Times New Roman"/>
          <w:sz w:val="20"/>
          <w:szCs w:val="20"/>
        </w:rPr>
      </w:pPr>
      <w:r w:rsidRPr="00232D0D">
        <w:rPr>
          <w:rStyle w:val="FootnoteReference"/>
          <w:rFonts w:cs="Times New Roman"/>
          <w:sz w:val="20"/>
          <w:szCs w:val="20"/>
        </w:rPr>
        <w:footnoteRef/>
      </w:r>
      <w:r w:rsidRPr="00232D0D">
        <w:rPr>
          <w:rFonts w:cs="Times New Roman"/>
          <w:sz w:val="20"/>
          <w:szCs w:val="20"/>
        </w:rPr>
        <w:t xml:space="preserve"> FirstEnergy Initial Brief at 38, relying upon FirstEnergy Ex</w:t>
      </w:r>
      <w:r w:rsidRPr="009C15AC">
        <w:rPr>
          <w:rFonts w:cs="Times New Roman"/>
          <w:sz w:val="20"/>
          <w:szCs w:val="20"/>
        </w:rPr>
        <w:t>. 155 at 2</w:t>
      </w:r>
      <w:r w:rsidRPr="00232D0D">
        <w:rPr>
          <w:rFonts w:cs="Times New Roman"/>
          <w:sz w:val="20"/>
          <w:szCs w:val="20"/>
        </w:rPr>
        <w:t>-3, 8 (Mikkelsen Fifth Supplemental Testimony).</w:t>
      </w:r>
    </w:p>
  </w:footnote>
  <w:footnote w:id="372">
    <w:p w:rsidR="006D364E" w:rsidRPr="00B03C0A" w:rsidRDefault="006D364E" w:rsidP="00B03C0A">
      <w:pPr>
        <w:pStyle w:val="FootnoteText"/>
        <w:spacing w:after="120"/>
        <w:rPr>
          <w:rFonts w:ascii="Times New Roman" w:hAnsi="Times New Roman"/>
        </w:rPr>
      </w:pPr>
      <w:r w:rsidRPr="00B03C0A">
        <w:rPr>
          <w:rStyle w:val="FootnoteReference"/>
          <w:rFonts w:ascii="Times New Roman" w:hAnsi="Times New Roman"/>
        </w:rPr>
        <w:footnoteRef/>
      </w:r>
      <w:r w:rsidRPr="00B03C0A">
        <w:rPr>
          <w:rFonts w:ascii="Times New Roman" w:hAnsi="Times New Roman"/>
        </w:rPr>
        <w:t xml:space="preserve"> OCC/NOAC Initial Brief at 46-49.</w:t>
      </w:r>
    </w:p>
  </w:footnote>
  <w:footnote w:id="373">
    <w:p w:rsidR="006D364E" w:rsidRPr="00DD1D5E" w:rsidRDefault="006D364E" w:rsidP="0057442C">
      <w:pPr>
        <w:pStyle w:val="FootnoteText"/>
        <w:rPr>
          <w:rFonts w:ascii="Times New Roman" w:hAnsi="Times New Roman"/>
        </w:rPr>
      </w:pPr>
      <w:r>
        <w:rPr>
          <w:rStyle w:val="FootnoteReference"/>
        </w:rPr>
        <w:footnoteRef/>
      </w:r>
      <w:r>
        <w:t xml:space="preserve"> </w:t>
      </w:r>
      <w:r w:rsidRPr="00DD1D5E">
        <w:rPr>
          <w:rFonts w:ascii="Times New Roman" w:hAnsi="Times New Roman"/>
        </w:rPr>
        <w:t>Ohio Partners for Affordable Energy Motion to Intervene and Memorandum in Support at 2 (Aug. 14, 2014), (OPAE states that they provide a list of their membership on their website, and Cleveland Housing Network is listed at http://www. Ohiopartners.org/index.php?page=membership).</w:t>
      </w:r>
    </w:p>
    <w:p w:rsidR="006D364E" w:rsidRDefault="006D364E">
      <w:pPr>
        <w:pStyle w:val="FootnoteText"/>
      </w:pPr>
    </w:p>
  </w:footnote>
  <w:footnote w:id="374">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NUCOR Initial Brief at 7.  </w:t>
      </w:r>
    </w:p>
  </w:footnote>
  <w:footnote w:id="375">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PUCO Staff Initial Brief at 4.  The PUCO Staff also believes residential customers are represented by  the Consumer Protection Association, an organization that is defunct.  PUCO Staff Brief at 4.  </w:t>
      </w:r>
    </w:p>
  </w:footnote>
  <w:footnote w:id="376">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City of Akron Motion to Intervene, Memorandum in Support at 4 (Oct. 1, 2014).  </w:t>
      </w:r>
    </w:p>
  </w:footnote>
  <w:footnote w:id="377">
    <w:p w:rsidR="006D364E" w:rsidRPr="00232D0D" w:rsidRDefault="006D364E" w:rsidP="00232D0D">
      <w:pPr>
        <w:spacing w:after="120" w:line="240" w:lineRule="auto"/>
        <w:rPr>
          <w:rFonts w:cs="Times New Roman"/>
          <w:sz w:val="20"/>
          <w:szCs w:val="20"/>
        </w:rPr>
      </w:pPr>
      <w:r w:rsidRPr="00232D0D">
        <w:rPr>
          <w:rStyle w:val="FootnoteReference"/>
          <w:rFonts w:cs="Times New Roman"/>
          <w:sz w:val="20"/>
          <w:szCs w:val="20"/>
        </w:rPr>
        <w:footnoteRef/>
      </w:r>
      <w:r w:rsidRPr="00232D0D">
        <w:rPr>
          <w:rFonts w:cs="Times New Roman"/>
          <w:sz w:val="20"/>
          <w:szCs w:val="20"/>
        </w:rPr>
        <w:t xml:space="preserve"> FirstEnergy Initial Brief at 38, relying upon FirstEnergy Ex. </w:t>
      </w:r>
      <w:r>
        <w:rPr>
          <w:rFonts w:cs="Times New Roman"/>
          <w:sz w:val="20"/>
          <w:szCs w:val="20"/>
        </w:rPr>
        <w:t>155</w:t>
      </w:r>
      <w:r w:rsidRPr="00232D0D">
        <w:rPr>
          <w:rFonts w:cs="Times New Roman"/>
          <w:sz w:val="20"/>
          <w:szCs w:val="20"/>
        </w:rPr>
        <w:t xml:space="preserve"> at 2-3, 8 (Mikkelsen Fifth Supplemental Testimony).</w:t>
      </w:r>
    </w:p>
  </w:footnote>
  <w:footnote w:id="378">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 Initial Brief at 35-37.  </w:t>
      </w:r>
    </w:p>
  </w:footnote>
  <w:footnote w:id="379">
    <w:p w:rsidR="006D364E" w:rsidRPr="0039178E" w:rsidRDefault="006D364E" w:rsidP="0039178E">
      <w:pPr>
        <w:pStyle w:val="FootnoteText"/>
        <w:spacing w:after="120"/>
        <w:rPr>
          <w:rFonts w:ascii="Times New Roman" w:hAnsi="Times New Roman"/>
        </w:rPr>
      </w:pPr>
      <w:r>
        <w:rPr>
          <w:rStyle w:val="FootnoteReference"/>
        </w:rPr>
        <w:footnoteRef/>
      </w:r>
      <w:r>
        <w:t xml:space="preserve"> </w:t>
      </w:r>
      <w:r w:rsidRPr="0039178E">
        <w:rPr>
          <w:rFonts w:ascii="Times New Roman" w:hAnsi="Times New Roman"/>
        </w:rPr>
        <w:t>See In Re FirstEnergy’s 2008 ESP Case.  Case No 08-935-EL-SSO, Second Opinion and Order, Opinion of Commissioner Cheryl L. Roberto, Concurring in Part and Dissenting in Part at 1-2 (Mar. 25, 2009)</w:t>
      </w:r>
      <w:r>
        <w:rPr>
          <w:rFonts w:ascii="Times New Roman" w:hAnsi="Times New Roman"/>
        </w:rPr>
        <w:t xml:space="preserve"> </w:t>
      </w:r>
      <w:r w:rsidRPr="0039178E">
        <w:rPr>
          <w:rFonts w:ascii="Times New Roman" w:hAnsi="Times New Roman"/>
        </w:rPr>
        <w:t>(citations omitted).</w:t>
      </w:r>
    </w:p>
  </w:footnote>
  <w:footnote w:id="380">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Staff Initial Brief at 5.</w:t>
      </w:r>
    </w:p>
  </w:footnote>
  <w:footnote w:id="381">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Kroger Brief at 2.</w:t>
      </w:r>
    </w:p>
  </w:footnote>
  <w:footnote w:id="382">
    <w:p w:rsidR="006D364E" w:rsidRPr="00232D0D" w:rsidRDefault="006D364E" w:rsidP="00232D0D">
      <w:pPr>
        <w:spacing w:after="120" w:line="240" w:lineRule="auto"/>
        <w:rPr>
          <w:rFonts w:cs="Times New Roman"/>
          <w:sz w:val="20"/>
          <w:szCs w:val="20"/>
        </w:rPr>
      </w:pPr>
      <w:r w:rsidRPr="00232D0D">
        <w:rPr>
          <w:rStyle w:val="FootnoteReference"/>
          <w:rFonts w:cs="Times New Roman"/>
          <w:sz w:val="20"/>
          <w:szCs w:val="20"/>
        </w:rPr>
        <w:footnoteRef/>
      </w:r>
      <w:r w:rsidRPr="00232D0D">
        <w:rPr>
          <w:rFonts w:cs="Times New Roman"/>
          <w:sz w:val="20"/>
          <w:szCs w:val="20"/>
        </w:rPr>
        <w:t xml:space="preserve"> NUCOR claimed that "hard" and "good faith negotiations" took place, referring to FirstEnergy Witness Mikkelsen's  testimony of Dec. 22, 2014.  NUCOR Initial Brief at 7.  In that testimony though,  Ms. Mikkelsen was only referring to negotiations related to the December 2014 stipulation.  And most importantly, Ms. Mikkelsen did not use the words  "hard" or "good faith" to describe the negotiations.  NUCOR's embellished claim is not supported by the record, and accordingly should be given little if any weight.</w:t>
      </w:r>
      <w:r w:rsidRPr="00232D0D">
        <w:rPr>
          <w:rFonts w:cs="Times New Roman"/>
          <w:i/>
          <w:sz w:val="20"/>
          <w:szCs w:val="20"/>
        </w:rPr>
        <w:t xml:space="preserve">   </w:t>
      </w:r>
      <w:r w:rsidRPr="00232D0D">
        <w:rPr>
          <w:rFonts w:cs="Times New Roman"/>
          <w:sz w:val="20"/>
          <w:szCs w:val="20"/>
        </w:rPr>
        <w:t>See</w:t>
      </w:r>
      <w:r w:rsidRPr="00232D0D">
        <w:rPr>
          <w:rFonts w:cs="Times New Roman"/>
          <w:i/>
          <w:sz w:val="20"/>
          <w:szCs w:val="20"/>
        </w:rPr>
        <w:t xml:space="preserve"> also </w:t>
      </w:r>
      <w:r w:rsidRPr="00232D0D">
        <w:rPr>
          <w:rFonts w:cs="Times New Roman"/>
          <w:sz w:val="20"/>
          <w:szCs w:val="20"/>
        </w:rPr>
        <w:t xml:space="preserve">NUCOR Brief at 8 where NUCOR alleges that there can be no question that there was extensive bargaining and give and take among the parties to the stipulation.  Again, NUCOR provides no evidence to support this allegation.  The PUCO should disregard this claim as well.   </w:t>
      </w:r>
      <w:r w:rsidRPr="00232D0D">
        <w:rPr>
          <w:rFonts w:cs="Times New Roman"/>
          <w:sz w:val="20"/>
          <w:szCs w:val="20"/>
        </w:rPr>
        <w:tab/>
      </w:r>
    </w:p>
  </w:footnote>
  <w:footnote w:id="383">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Utilities Initial Brief at 37-39; Ohio Energy Group Initial Brief at 21-22; NUCOR Initial Brief at 7-8; Material Sciences Initial Brief at 46.</w:t>
      </w:r>
    </w:p>
  </w:footnote>
  <w:footnote w:id="384">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See, e.g., FirstEnergy Initial Brief at 37; Material Sciences Initial Brief at 46.   </w:t>
      </w:r>
    </w:p>
  </w:footnote>
  <w:footnote w:id="385">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NUCOR Initial Brief at 7-8.</w:t>
      </w:r>
    </w:p>
  </w:footnote>
  <w:footnote w:id="386">
    <w:p w:rsidR="006D364E" w:rsidRPr="00232D0D" w:rsidRDefault="006D364E" w:rsidP="00232D0D">
      <w:pPr>
        <w:spacing w:after="120" w:line="240" w:lineRule="auto"/>
        <w:rPr>
          <w:rFonts w:cs="Times New Roman"/>
          <w:sz w:val="20"/>
          <w:szCs w:val="20"/>
        </w:rPr>
      </w:pPr>
      <w:r w:rsidRPr="00232D0D">
        <w:rPr>
          <w:rStyle w:val="FootnoteReference"/>
          <w:rFonts w:cs="Times New Roman"/>
          <w:sz w:val="20"/>
          <w:szCs w:val="20"/>
        </w:rPr>
        <w:footnoteRef/>
      </w:r>
      <w:r w:rsidRPr="00232D0D">
        <w:rPr>
          <w:rFonts w:cs="Times New Roman"/>
          <w:sz w:val="20"/>
          <w:szCs w:val="20"/>
        </w:rPr>
        <w:t xml:space="preserve"> OEG Initial Brief at 22. </w:t>
      </w:r>
    </w:p>
  </w:footnote>
  <w:footnote w:id="387">
    <w:p w:rsidR="006D364E" w:rsidRPr="004A684F" w:rsidRDefault="006D364E" w:rsidP="00DD1D5E">
      <w:pPr>
        <w:pStyle w:val="FootnoteText"/>
        <w:spacing w:after="120"/>
        <w:rPr>
          <w:rFonts w:ascii="Times New Roman" w:hAnsi="Times New Roman"/>
        </w:rPr>
      </w:pPr>
      <w:r w:rsidRPr="004A684F">
        <w:rPr>
          <w:rStyle w:val="FootnoteReference"/>
          <w:rFonts w:ascii="Times New Roman" w:hAnsi="Times New Roman"/>
        </w:rPr>
        <w:footnoteRef/>
      </w:r>
      <w:r w:rsidRPr="004A684F">
        <w:rPr>
          <w:rFonts w:ascii="Times New Roman" w:hAnsi="Times New Roman"/>
        </w:rPr>
        <w:t xml:space="preserve"> See OMAEG Ex. 18 at 14 (Hill Supplemental); OMAEG Ex. 19 at 18-24.</w:t>
      </w:r>
    </w:p>
  </w:footnote>
  <w:footnote w:id="388">
    <w:p w:rsidR="006D364E" w:rsidRPr="004A684F" w:rsidRDefault="006D364E" w:rsidP="00DD1D5E">
      <w:pPr>
        <w:pStyle w:val="FootnoteText"/>
        <w:spacing w:after="120"/>
        <w:rPr>
          <w:rFonts w:ascii="Times New Roman" w:hAnsi="Times New Roman"/>
        </w:rPr>
      </w:pPr>
      <w:r w:rsidRPr="004A684F">
        <w:rPr>
          <w:rStyle w:val="FootnoteReference"/>
          <w:rFonts w:ascii="Times New Roman" w:hAnsi="Times New Roman"/>
        </w:rPr>
        <w:footnoteRef/>
      </w:r>
      <w:r w:rsidRPr="004A684F">
        <w:rPr>
          <w:rFonts w:ascii="Times New Roman" w:hAnsi="Times New Roman"/>
        </w:rPr>
        <w:t xml:space="preserve"> See OMAEG Ex. 19 at 11.</w:t>
      </w:r>
    </w:p>
  </w:footnote>
  <w:footnote w:id="389">
    <w:p w:rsidR="006D364E" w:rsidRPr="004A684F" w:rsidRDefault="006D364E" w:rsidP="00DD1D5E">
      <w:pPr>
        <w:pStyle w:val="FootnoteText"/>
        <w:spacing w:after="120"/>
        <w:rPr>
          <w:rFonts w:ascii="Times New Roman" w:hAnsi="Times New Roman"/>
        </w:rPr>
      </w:pPr>
      <w:r w:rsidRPr="004A684F">
        <w:rPr>
          <w:rStyle w:val="FootnoteReference"/>
          <w:rFonts w:ascii="Times New Roman" w:hAnsi="Times New Roman"/>
        </w:rPr>
        <w:footnoteRef/>
      </w:r>
      <w:r w:rsidRPr="004A684F">
        <w:rPr>
          <w:rFonts w:ascii="Times New Roman" w:hAnsi="Times New Roman"/>
        </w:rPr>
        <w:t xml:space="preserve"> OMA Ex. 19 at 23.</w:t>
      </w:r>
    </w:p>
  </w:footnote>
  <w:footnote w:id="390">
    <w:p w:rsidR="006D364E" w:rsidRPr="00232D0D" w:rsidRDefault="006D364E" w:rsidP="00DD1D5E">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OCC/NO</w:t>
      </w:r>
      <w:r>
        <w:rPr>
          <w:rFonts w:ascii="Times New Roman" w:hAnsi="Times New Roman"/>
        </w:rPr>
        <w:t xml:space="preserve">AC </w:t>
      </w:r>
      <w:r w:rsidRPr="00232D0D">
        <w:rPr>
          <w:rFonts w:ascii="Times New Roman" w:hAnsi="Times New Roman"/>
        </w:rPr>
        <w:t xml:space="preserve">Initial Brief at 49-102.  </w:t>
      </w:r>
    </w:p>
  </w:footnote>
  <w:footnote w:id="391">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 Witness Wilson testified that the estimated costs to customers for Rider RRS is $3.6 billion.  OCC/NOPEC Ex. 9 at 7 (Wilson Second Supplemental).  </w:t>
      </w:r>
    </w:p>
  </w:footnote>
  <w:footnote w:id="392">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OCC/NOPEC Witness Kahal testified that over the eight year term of the ESP customers could be required to pay $915 million in distribution capital recovery charges.  OCC/NOPEC Ex. 11 at 23-24 (Kahal Supplemental Direct); Ex. 11A (Kahal errata).  </w:t>
      </w:r>
    </w:p>
  </w:footnote>
  <w:footnote w:id="393">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OCC/NOPEC Ex. 11 at 26-27 (Kahal Second Supplemental).  </w:t>
      </w:r>
    </w:p>
  </w:footnote>
  <w:footnote w:id="394">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OCC/NOAC Initial Brief at 69-77. </w:t>
      </w:r>
    </w:p>
  </w:footnote>
  <w:footnote w:id="395">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Independent Market Monitor Initial Brief at 3. </w:t>
      </w:r>
    </w:p>
  </w:footnote>
  <w:footnote w:id="396">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Id. </w:t>
      </w:r>
    </w:p>
  </w:footnote>
  <w:footnote w:id="397">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OCC/NOAC Initial Brief at 95-99.</w:t>
      </w:r>
    </w:p>
  </w:footnote>
  <w:footnote w:id="398">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OCC/NOPEC Ex. 8 at 7-8 (Kahal Second Supplemental).</w:t>
      </w:r>
    </w:p>
  </w:footnote>
  <w:footnote w:id="399">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See OCC/NOAC Initial Brief at 49-69.  </w:t>
      </w:r>
    </w:p>
  </w:footnote>
  <w:footnote w:id="400">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OCC/NOAC Initial Brief at 77 -81; 81-83; 92-95. </w:t>
      </w:r>
    </w:p>
  </w:footnote>
  <w:footnote w:id="401">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FirstEnergy Initial  Brief at 40.  </w:t>
      </w:r>
    </w:p>
  </w:footnote>
  <w:footnote w:id="402">
    <w:p w:rsidR="006D364E" w:rsidRPr="00232D0D" w:rsidRDefault="006D364E" w:rsidP="00232D0D">
      <w:pPr>
        <w:spacing w:after="120" w:line="240" w:lineRule="auto"/>
        <w:rPr>
          <w:rFonts w:cs="Times New Roman"/>
          <w:sz w:val="20"/>
          <w:szCs w:val="20"/>
        </w:rPr>
      </w:pPr>
      <w:r w:rsidRPr="00232D0D">
        <w:rPr>
          <w:rStyle w:val="FootnoteReference"/>
          <w:rFonts w:cs="Times New Roman"/>
          <w:sz w:val="20"/>
          <w:szCs w:val="20"/>
        </w:rPr>
        <w:footnoteRef/>
      </w:r>
      <w:r w:rsidRPr="00232D0D">
        <w:rPr>
          <w:rFonts w:cs="Times New Roman"/>
          <w:sz w:val="20"/>
          <w:szCs w:val="20"/>
        </w:rPr>
        <w:t xml:space="preserve"> OEG Initial Brief at 22.</w:t>
      </w:r>
    </w:p>
  </w:footnote>
  <w:footnote w:id="403">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PUCO Staff Initial Brief at 6.  </w:t>
      </w:r>
    </w:p>
  </w:footnote>
  <w:footnote w:id="404">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PUCO Staff Initial Brief at 8.  </w:t>
      </w:r>
    </w:p>
  </w:footnote>
  <w:footnote w:id="405">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OCC/NO</w:t>
      </w:r>
      <w:r>
        <w:rPr>
          <w:rFonts w:ascii="Times New Roman" w:hAnsi="Times New Roman"/>
        </w:rPr>
        <w:t>AC</w:t>
      </w:r>
      <w:r w:rsidRPr="00232D0D">
        <w:rPr>
          <w:rFonts w:ascii="Times New Roman" w:hAnsi="Times New Roman"/>
        </w:rPr>
        <w:t xml:space="preserve"> Initial Brief at 69-92; 102-144.</w:t>
      </w:r>
    </w:p>
  </w:footnote>
  <w:footnote w:id="406">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Tr. XLI at 8717-18 (Kalt); Tr. XXXVII at 8203 (Rab</w:t>
      </w:r>
      <w:r>
        <w:rPr>
          <w:rFonts w:ascii="Times New Roman" w:hAnsi="Times New Roman"/>
        </w:rPr>
        <w:t>a</w:t>
      </w:r>
      <w:r w:rsidRPr="00232D0D">
        <w:rPr>
          <w:rFonts w:ascii="Times New Roman" w:hAnsi="Times New Roman"/>
        </w:rPr>
        <w:t>go).</w:t>
      </w:r>
    </w:p>
  </w:footnote>
  <w:footnote w:id="407">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OCC/NOPEC Initial Brief at 28-34.  </w:t>
      </w:r>
    </w:p>
  </w:footnote>
  <w:footnote w:id="408">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FirstEnergy Initial Brief at 76-113.</w:t>
      </w:r>
    </w:p>
  </w:footnote>
  <w:footnote w:id="409">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FirstEnergy Initial Brief at 76-79.   </w:t>
      </w:r>
    </w:p>
  </w:footnote>
  <w:footnote w:id="410">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FirstEnergy Initial Brief at 80-92.  </w:t>
      </w:r>
    </w:p>
  </w:footnote>
  <w:footnote w:id="411">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 Ex. 18 at 17 (Effron Direct).  </w:t>
      </w:r>
    </w:p>
  </w:footnote>
  <w:footnote w:id="412">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OCC/NOPEC Ex. 11 at 22-23; Ex. 11A (Kahal Supplemental, Errata).</w:t>
      </w:r>
    </w:p>
  </w:footnote>
  <w:footnote w:id="413">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 Ex. </w:t>
      </w:r>
      <w:r>
        <w:rPr>
          <w:rFonts w:ascii="Times New Roman" w:hAnsi="Times New Roman"/>
        </w:rPr>
        <w:t>22</w:t>
      </w:r>
      <w:r w:rsidRPr="00232D0D">
        <w:rPr>
          <w:rFonts w:ascii="Times New Roman" w:hAnsi="Times New Roman"/>
        </w:rPr>
        <w:t xml:space="preserve"> at</w:t>
      </w:r>
      <w:r>
        <w:rPr>
          <w:rFonts w:ascii="Times New Roman" w:hAnsi="Times New Roman"/>
        </w:rPr>
        <w:t xml:space="preserve"> 14</w:t>
      </w:r>
      <w:r w:rsidRPr="00232D0D">
        <w:rPr>
          <w:rFonts w:ascii="Times New Roman" w:hAnsi="Times New Roman"/>
        </w:rPr>
        <w:t xml:space="preserve"> (Woolridge Direct).  </w:t>
      </w:r>
    </w:p>
  </w:footnote>
  <w:footnote w:id="414">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PUCO </w:t>
      </w:r>
      <w:r>
        <w:rPr>
          <w:rFonts w:ascii="Times New Roman" w:hAnsi="Times New Roman"/>
        </w:rPr>
        <w:t xml:space="preserve">Staff </w:t>
      </w:r>
      <w:r w:rsidRPr="00232D0D">
        <w:rPr>
          <w:rFonts w:ascii="Times New Roman" w:hAnsi="Times New Roman"/>
        </w:rPr>
        <w:t>Ex.</w:t>
      </w:r>
      <w:r>
        <w:rPr>
          <w:rFonts w:ascii="Times New Roman" w:hAnsi="Times New Roman"/>
        </w:rPr>
        <w:t xml:space="preserve"> 6</w:t>
      </w:r>
      <w:r w:rsidRPr="00232D0D">
        <w:rPr>
          <w:rFonts w:ascii="Times New Roman" w:hAnsi="Times New Roman"/>
        </w:rPr>
        <w:t xml:space="preserve"> at 13 (McCarter Direct).  </w:t>
      </w:r>
    </w:p>
  </w:footnote>
  <w:footnote w:id="415">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Id. </w:t>
      </w:r>
    </w:p>
  </w:footnote>
  <w:footnote w:id="416">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Id.</w:t>
      </w:r>
    </w:p>
  </w:footnote>
  <w:footnote w:id="417">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FirstEnergy Initial Brief at 92-94.  </w:t>
      </w:r>
    </w:p>
  </w:footnote>
  <w:footnote w:id="418">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FirstEnergy Initial Brief at 92.  </w:t>
      </w:r>
    </w:p>
  </w:footnote>
  <w:footnote w:id="419">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See</w:t>
      </w:r>
      <w:r>
        <w:rPr>
          <w:rFonts w:ascii="Times New Roman" w:hAnsi="Times New Roman"/>
        </w:rPr>
        <w:t xml:space="preserve">, e.g., </w:t>
      </w:r>
      <w:r w:rsidRPr="00232D0D">
        <w:rPr>
          <w:rFonts w:ascii="Times New Roman" w:hAnsi="Times New Roman"/>
        </w:rPr>
        <w:t xml:space="preserve"> </w:t>
      </w:r>
      <w:r w:rsidRPr="00232D0D">
        <w:rPr>
          <w:rFonts w:ascii="Times New Roman" w:hAnsi="Times New Roman"/>
          <w:i/>
        </w:rPr>
        <w:t>In the Matter  of the Application of Ohio Power and Columbus Southern Power Company for Authority to Establish a Standard Service Offer,</w:t>
      </w:r>
      <w:r w:rsidRPr="00232D0D">
        <w:rPr>
          <w:rFonts w:ascii="Times New Roman" w:hAnsi="Times New Roman"/>
        </w:rPr>
        <w:t xml:space="preserve"> Case No. 11-346-EL-SSO, Opinion and Order at  </w:t>
      </w:r>
      <w:r>
        <w:rPr>
          <w:rFonts w:ascii="Times New Roman" w:hAnsi="Times New Roman"/>
        </w:rPr>
        <w:t>30-31</w:t>
      </w:r>
      <w:r w:rsidRPr="00232D0D">
        <w:rPr>
          <w:rFonts w:ascii="Times New Roman" w:hAnsi="Times New Roman"/>
        </w:rPr>
        <w:t>(Dec. 14, 2011</w:t>
      </w:r>
      <w:r w:rsidRPr="009C15AC">
        <w:rPr>
          <w:rFonts w:ascii="Times New Roman" w:hAnsi="Times New Roman"/>
        </w:rPr>
        <w:t>)(PUCO</w:t>
      </w:r>
      <w:r>
        <w:rPr>
          <w:rFonts w:ascii="Times New Roman" w:hAnsi="Times New Roman"/>
        </w:rPr>
        <w:t xml:space="preserve"> held that discounted capacity prices could not be considered a benefit under ESP v. MRO test because discount for capacity price was never certain).</w:t>
      </w:r>
    </w:p>
  </w:footnote>
  <w:footnote w:id="420">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FirstEnergy Initial Brief at 94-96.  </w:t>
      </w:r>
    </w:p>
  </w:footnote>
  <w:footnote w:id="421">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Id. at 94.  </w:t>
      </w:r>
    </w:p>
  </w:footnote>
  <w:footnote w:id="422">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FirstEnergy Initial Brief at 96.  </w:t>
      </w:r>
    </w:p>
  </w:footnote>
  <w:footnote w:id="423">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OCC/NO</w:t>
      </w:r>
      <w:r>
        <w:rPr>
          <w:rFonts w:ascii="Times New Roman" w:hAnsi="Times New Roman"/>
        </w:rPr>
        <w:t>AC</w:t>
      </w:r>
      <w:r w:rsidRPr="00232D0D">
        <w:rPr>
          <w:rFonts w:ascii="Times New Roman" w:hAnsi="Times New Roman"/>
        </w:rPr>
        <w:t xml:space="preserve"> Initial Brief at 169-171.  </w:t>
      </w:r>
    </w:p>
  </w:footnote>
  <w:footnote w:id="424">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 Ex. 19 at 12.  </w:t>
      </w:r>
    </w:p>
  </w:footnote>
  <w:footnote w:id="425">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FirstEnergy Initial Brief at 97-102. </w:t>
      </w:r>
    </w:p>
  </w:footnote>
  <w:footnote w:id="426">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FirstEnergy Initial Brief at 97.  </w:t>
      </w:r>
    </w:p>
  </w:footnote>
  <w:footnote w:id="427">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FirstEnergy Initial Brief at 99.  </w:t>
      </w:r>
    </w:p>
  </w:footnote>
  <w:footnote w:id="428">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FirstEnergy Initial Brief at 102.  </w:t>
      </w:r>
    </w:p>
  </w:footnote>
  <w:footnote w:id="429">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NUCOR Initial Brief at 27-28. </w:t>
      </w:r>
    </w:p>
  </w:footnote>
  <w:footnote w:id="430">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 Ex. 19 at 4-5 (Hixon Direct).  </w:t>
      </w:r>
    </w:p>
  </w:footnote>
  <w:footnote w:id="431">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 Ex. 19 at 5 (Hixon Direct), citing to FirstEnergy Ex. 7 at 17</w:t>
      </w:r>
      <w:r>
        <w:rPr>
          <w:rFonts w:ascii="Times New Roman" w:hAnsi="Times New Roman"/>
        </w:rPr>
        <w:t xml:space="preserve"> (Mikkelsen Direct)</w:t>
      </w:r>
      <w:r w:rsidRPr="009C15AC">
        <w:rPr>
          <w:rFonts w:ascii="Times New Roman" w:hAnsi="Times New Roman"/>
        </w:rPr>
        <w:t>.</w:t>
      </w:r>
    </w:p>
  </w:footnote>
  <w:footnote w:id="432">
    <w:p w:rsidR="006D364E" w:rsidRPr="00232D0D" w:rsidRDefault="006D364E" w:rsidP="00217A40">
      <w:pPr>
        <w:spacing w:after="120" w:line="240" w:lineRule="auto"/>
      </w:pPr>
      <w:r w:rsidRPr="00232D0D">
        <w:rPr>
          <w:rStyle w:val="FootnoteReference"/>
          <w:rFonts w:cs="Times New Roman"/>
          <w:sz w:val="20"/>
          <w:szCs w:val="20"/>
        </w:rPr>
        <w:footnoteRef/>
      </w:r>
      <w:r w:rsidRPr="00232D0D">
        <w:rPr>
          <w:rFonts w:cs="Times New Roman"/>
          <w:sz w:val="20"/>
          <w:szCs w:val="20"/>
        </w:rPr>
        <w:t xml:space="preserve"> See, e.g., </w:t>
      </w:r>
      <w:r w:rsidRPr="00232D0D">
        <w:rPr>
          <w:rFonts w:cs="Times New Roman"/>
          <w:i/>
          <w:sz w:val="20"/>
          <w:szCs w:val="20"/>
        </w:rPr>
        <w:t>In the Matter of the Application of Ohio Power and Columbus Southern Power Company for Authority to Establish a Standard Service Offer,</w:t>
      </w:r>
      <w:r w:rsidRPr="00232D0D">
        <w:rPr>
          <w:rFonts w:cs="Times New Roman"/>
          <w:sz w:val="20"/>
          <w:szCs w:val="20"/>
        </w:rPr>
        <w:t xml:space="preserve"> Case No. 11-346-EL-SSO, Opinion and Order at 30 (Dec. 14, 2011) (PUCO refused to consider a prior commitment to remove POLR charges as a benefit to customers because the utility was already required to do so by prior PUCO Order).  </w:t>
      </w:r>
    </w:p>
  </w:footnote>
  <w:footnote w:id="433">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FirstEnergy Ex. 7 at 17 </w:t>
      </w:r>
      <w:r w:rsidRPr="007612B7">
        <w:rPr>
          <w:rFonts w:ascii="Times New Roman" w:hAnsi="Times New Roman"/>
        </w:rPr>
        <w:t>(Mikkelsen</w:t>
      </w:r>
      <w:r>
        <w:rPr>
          <w:rFonts w:ascii="Times New Roman" w:hAnsi="Times New Roman"/>
        </w:rPr>
        <w:t xml:space="preserve"> Direct</w:t>
      </w:r>
      <w:r w:rsidRPr="00232D0D">
        <w:rPr>
          <w:rFonts w:ascii="Times New Roman" w:hAnsi="Times New Roman"/>
        </w:rPr>
        <w:t xml:space="preserve">).  </w:t>
      </w:r>
    </w:p>
  </w:footnote>
  <w:footnote w:id="434">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 Ex. 19  at  </w:t>
      </w:r>
      <w:r>
        <w:rPr>
          <w:rFonts w:ascii="Times New Roman" w:hAnsi="Times New Roman"/>
        </w:rPr>
        <w:t xml:space="preserve">4-5; </w:t>
      </w:r>
      <w:r w:rsidRPr="007612B7">
        <w:rPr>
          <w:rFonts w:ascii="Times New Roman" w:hAnsi="Times New Roman"/>
        </w:rPr>
        <w:t>See</w:t>
      </w:r>
      <w:r w:rsidRPr="00232D0D">
        <w:rPr>
          <w:rFonts w:ascii="Times New Roman" w:hAnsi="Times New Roman"/>
        </w:rPr>
        <w:t xml:space="preserve"> also OCC/NOAC Initial Brief at 92-94). </w:t>
      </w:r>
    </w:p>
  </w:footnote>
  <w:footnote w:id="435">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PUCO Staff Ex.</w:t>
      </w:r>
      <w:r>
        <w:rPr>
          <w:rFonts w:ascii="Times New Roman" w:hAnsi="Times New Roman"/>
        </w:rPr>
        <w:t xml:space="preserve"> 7</w:t>
      </w:r>
      <w:r w:rsidRPr="007612B7">
        <w:rPr>
          <w:rFonts w:ascii="Times New Roman" w:hAnsi="Times New Roman"/>
        </w:rPr>
        <w:t xml:space="preserve"> a</w:t>
      </w:r>
      <w:r w:rsidRPr="00232D0D">
        <w:rPr>
          <w:rFonts w:ascii="Times New Roman" w:hAnsi="Times New Roman"/>
        </w:rPr>
        <w:t>t 10-14 (Hecker Direct).</w:t>
      </w:r>
    </w:p>
  </w:footnote>
  <w:footnote w:id="436">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Id. at 13-14.  </w:t>
      </w:r>
    </w:p>
  </w:footnote>
  <w:footnote w:id="437">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Tr. XXXVI at 7656 (Mikkelsen).  </w:t>
      </w:r>
    </w:p>
  </w:footnote>
  <w:footnote w:id="438">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FirstEnergy Initial  Brief at 102-104.  </w:t>
      </w:r>
    </w:p>
  </w:footnote>
  <w:footnote w:id="439">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See OCC/NOAC Initial Brief at 62-64, 129-130, 141-142.</w:t>
      </w:r>
    </w:p>
  </w:footnote>
  <w:footnote w:id="440">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NUCOR Initial Brief at 26. </w:t>
      </w:r>
    </w:p>
  </w:footnote>
  <w:footnote w:id="441">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See OCC/NOPEC Ex. 2 at 14-16 (Sioshansi Supplemental).  </w:t>
      </w:r>
    </w:p>
  </w:footnote>
  <w:footnote w:id="442">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FirstEnergy Initial Brief at 104-106.</w:t>
      </w:r>
    </w:p>
  </w:footnote>
  <w:footnote w:id="443">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FirstEnergy Initial Brief at 104.  </w:t>
      </w:r>
    </w:p>
  </w:footnote>
  <w:footnote w:id="444">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FirstEnergy Initial Brief at 104-105.  </w:t>
      </w:r>
    </w:p>
  </w:footnote>
  <w:footnote w:id="445">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See OCC/NOAC Initial Brief at 77-81.  </w:t>
      </w:r>
    </w:p>
  </w:footnote>
  <w:footnote w:id="446">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OCC/NOAC Initial Brief at 77-81.  </w:t>
      </w:r>
    </w:p>
  </w:footnote>
  <w:footnote w:id="447">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See  Motion to Intervene at 3 (Oct. 1, 2014).  </w:t>
      </w:r>
    </w:p>
  </w:footnote>
  <w:footnote w:id="448">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Independent Market Monitor Ex. </w:t>
      </w:r>
      <w:r w:rsidRPr="007612B7">
        <w:rPr>
          <w:rFonts w:ascii="Times New Roman" w:hAnsi="Times New Roman"/>
        </w:rPr>
        <w:t>2 at 2 (Bowring First Supplemental); Independent Market Monitor Ex.  1(Bowring Direct).</w:t>
      </w:r>
    </w:p>
  </w:footnote>
  <w:footnote w:id="449">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Independent Market Monitor Ex. 2 at 7 (Bowring First Supplemental).   </w:t>
      </w:r>
    </w:p>
  </w:footnote>
  <w:footnote w:id="450">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Independent Market Monitor Ex.</w:t>
      </w:r>
      <w:r>
        <w:rPr>
          <w:rFonts w:ascii="Times New Roman" w:hAnsi="Times New Roman"/>
        </w:rPr>
        <w:t xml:space="preserve"> 1 </w:t>
      </w:r>
      <w:r w:rsidRPr="00232D0D">
        <w:rPr>
          <w:rFonts w:ascii="Times New Roman" w:hAnsi="Times New Roman"/>
        </w:rPr>
        <w:t xml:space="preserve">at 3 (Bowring Direct Testimony).  </w:t>
      </w:r>
    </w:p>
  </w:footnote>
  <w:footnote w:id="451">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Id.  </w:t>
      </w:r>
    </w:p>
  </w:footnote>
  <w:footnote w:id="452">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PUCO Staff Initial Brief at 9.  </w:t>
      </w:r>
    </w:p>
  </w:footnote>
  <w:footnote w:id="453">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FirstEnergy Initial Brief at 106-107.  </w:t>
      </w:r>
    </w:p>
  </w:footnote>
  <w:footnote w:id="454">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OCC/NOAC Initial Brief at 99-102.  </w:t>
      </w:r>
    </w:p>
  </w:footnote>
  <w:footnote w:id="455">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See FirstEnergy Comments, Case No. 10-3126-EL-UNC (Feb. 11, 2011), OCC Ex. </w:t>
      </w:r>
      <w:r>
        <w:rPr>
          <w:rFonts w:ascii="Times New Roman" w:hAnsi="Times New Roman"/>
        </w:rPr>
        <w:t>35</w:t>
      </w:r>
      <w:r w:rsidRPr="007612B7">
        <w:rPr>
          <w:rFonts w:ascii="Times New Roman" w:hAnsi="Times New Roman"/>
        </w:rPr>
        <w:t>, SJR-8</w:t>
      </w:r>
      <w:r w:rsidRPr="00232D0D">
        <w:rPr>
          <w:rFonts w:ascii="Times New Roman" w:hAnsi="Times New Roman"/>
          <w:highlight w:val="yellow"/>
        </w:rPr>
        <w:t>.</w:t>
      </w:r>
      <w:r w:rsidRPr="00232D0D">
        <w:rPr>
          <w:rFonts w:ascii="Times New Roman" w:hAnsi="Times New Roman"/>
        </w:rPr>
        <w:t xml:space="preserve"> (Rubin Supplemental).</w:t>
      </w:r>
    </w:p>
  </w:footnote>
  <w:footnote w:id="456">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FirstEnergy Initial Brief at 107-113.</w:t>
      </w:r>
    </w:p>
  </w:footnote>
  <w:footnote w:id="457">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NUCOR Initial Brief at 9-21; OEG Initial Brief at 23-28.  </w:t>
      </w:r>
    </w:p>
  </w:footnote>
  <w:footnote w:id="458">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OEG Initial Brief at 26.  </w:t>
      </w:r>
    </w:p>
  </w:footnote>
  <w:footnote w:id="459">
    <w:p w:rsidR="006D364E" w:rsidRPr="00232D0D" w:rsidRDefault="006D364E" w:rsidP="00232D0D">
      <w:pPr>
        <w:pStyle w:val="FootnoteText"/>
        <w:spacing w:after="120"/>
        <w:rPr>
          <w:rFonts w:ascii="Times New Roman" w:hAnsi="Times New Roman"/>
        </w:rPr>
      </w:pPr>
      <w:r w:rsidRPr="007612B7">
        <w:rPr>
          <w:rStyle w:val="FootnoteReference"/>
          <w:rFonts w:ascii="Times New Roman" w:hAnsi="Times New Roman"/>
        </w:rPr>
        <w:footnoteRef/>
      </w:r>
      <w:r w:rsidRPr="007612B7">
        <w:rPr>
          <w:rFonts w:ascii="Times New Roman" w:hAnsi="Times New Roman"/>
        </w:rPr>
        <w:t xml:space="preserve"> OCC/NOPEC Ex. 11 at 13</w:t>
      </w:r>
      <w:r w:rsidRPr="00232D0D">
        <w:rPr>
          <w:rFonts w:ascii="Times New Roman" w:hAnsi="Times New Roman"/>
        </w:rPr>
        <w:t xml:space="preserve"> (Kahal Second Supplemental Direct).</w:t>
      </w:r>
    </w:p>
  </w:footnote>
  <w:footnote w:id="460">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w:t>
      </w:r>
      <w:r>
        <w:rPr>
          <w:rFonts w:ascii="Times New Roman" w:hAnsi="Times New Roman"/>
        </w:rPr>
        <w:t>First Stipulation and Recommendation filed December 23, 2014 at pages 7-8.</w:t>
      </w:r>
    </w:p>
  </w:footnote>
  <w:footnote w:id="461">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w:t>
      </w:r>
      <w:r>
        <w:rPr>
          <w:rFonts w:ascii="Times New Roman" w:hAnsi="Times New Roman"/>
        </w:rPr>
        <w:t>Rebuttal Testimony of Judah L. Rose filed October 20, 2015 at pages 21-22.</w:t>
      </w:r>
      <w:r w:rsidRPr="00232D0D">
        <w:rPr>
          <w:rFonts w:ascii="Times New Roman" w:hAnsi="Times New Roman"/>
        </w:rPr>
        <w:t xml:space="preserve"> </w:t>
      </w:r>
    </w:p>
  </w:footnote>
  <w:footnote w:id="462">
    <w:p w:rsidR="006D364E" w:rsidRPr="00232D0D" w:rsidRDefault="006D364E" w:rsidP="00232D0D">
      <w:pPr>
        <w:spacing w:after="120" w:line="240" w:lineRule="auto"/>
        <w:rPr>
          <w:rFonts w:cs="Times New Roman"/>
          <w:sz w:val="20"/>
          <w:szCs w:val="20"/>
        </w:rPr>
      </w:pPr>
      <w:r w:rsidRPr="00232D0D">
        <w:rPr>
          <w:rStyle w:val="FootnoteReference"/>
          <w:rFonts w:cs="Times New Roman"/>
          <w:sz w:val="20"/>
          <w:szCs w:val="20"/>
        </w:rPr>
        <w:footnoteRef/>
      </w:r>
      <w:r w:rsidRPr="00232D0D">
        <w:rPr>
          <w:rFonts w:cs="Times New Roman"/>
          <w:sz w:val="20"/>
          <w:szCs w:val="20"/>
        </w:rPr>
        <w:t xml:space="preserve"> These figures were derived by taking the PJM capacity auction results that are in MW-day, dividing by 1,000 to get it to kW-day, multiplied by 365 to get it to kW-year, divided by 12 to get it to kW-month and then multiplied by 80%.  </w:t>
      </w:r>
    </w:p>
  </w:footnote>
  <w:footnote w:id="463">
    <w:p w:rsidR="006D364E" w:rsidRPr="00232D0D" w:rsidRDefault="006D364E" w:rsidP="00232D0D">
      <w:pPr>
        <w:pStyle w:val="ListParagraph"/>
        <w:spacing w:after="120" w:line="240" w:lineRule="auto"/>
        <w:ind w:left="0"/>
        <w:contextualSpacing w:val="0"/>
        <w:rPr>
          <w:rFonts w:cs="Times New Roman"/>
          <w:sz w:val="20"/>
          <w:szCs w:val="20"/>
        </w:rPr>
      </w:pPr>
      <w:r w:rsidRPr="00232D0D">
        <w:rPr>
          <w:rStyle w:val="FootnoteReference"/>
          <w:rFonts w:cs="Times New Roman"/>
          <w:sz w:val="20"/>
          <w:szCs w:val="20"/>
        </w:rPr>
        <w:footnoteRef/>
      </w:r>
      <w:r w:rsidRPr="00232D0D">
        <w:rPr>
          <w:rFonts w:cs="Times New Roman"/>
          <w:sz w:val="20"/>
          <w:szCs w:val="20"/>
        </w:rPr>
        <w:t xml:space="preserve"> AEP’s interruptible tariff (IRP-D) requires all of the revenue from the PJM load response activity to be fully credited to the Rider.  See In the Matter of ……, Case No. 13-2385-EL-SSO, Opinion and Order at 40 (Feb. 25, 2015)(“AEP Ohio should also bid the additional capacity resources associated with the IRP-D into PJM’s base residual auctions held during the ESP term, </w:t>
      </w:r>
      <w:r w:rsidRPr="00232D0D">
        <w:rPr>
          <w:rFonts w:cs="Times New Roman"/>
          <w:i/>
          <w:sz w:val="20"/>
          <w:szCs w:val="20"/>
        </w:rPr>
        <w:t>with any resulting revenues credited back to customers through the EE/PDR rider</w:t>
      </w:r>
      <w:r w:rsidRPr="00232D0D">
        <w:rPr>
          <w:rFonts w:cs="Times New Roman"/>
          <w:sz w:val="20"/>
          <w:szCs w:val="20"/>
        </w:rPr>
        <w:t xml:space="preserve">”)(emphasis added).  </w:t>
      </w:r>
    </w:p>
  </w:footnote>
  <w:footnote w:id="464">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Kroger Initial Brief at 3-5.  </w:t>
      </w:r>
    </w:p>
  </w:footnote>
  <w:footnote w:id="465">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Kroger Initial Brief at 4.  </w:t>
      </w:r>
    </w:p>
  </w:footnote>
  <w:footnote w:id="466">
    <w:p w:rsidR="006D364E" w:rsidRPr="00232D0D" w:rsidRDefault="006D364E" w:rsidP="00232D0D">
      <w:pPr>
        <w:pStyle w:val="FootnoteText"/>
        <w:spacing w:after="120"/>
        <w:rPr>
          <w:rFonts w:ascii="Times New Roman" w:hAnsi="Times New Roman"/>
        </w:rPr>
      </w:pPr>
      <w:r w:rsidRPr="00232D0D">
        <w:rPr>
          <w:rStyle w:val="FootnoteReference"/>
          <w:rFonts w:ascii="Times New Roman" w:hAnsi="Times New Roman"/>
        </w:rPr>
        <w:footnoteRef/>
      </w:r>
      <w:r w:rsidRPr="00232D0D">
        <w:rPr>
          <w:rFonts w:ascii="Times New Roman" w:hAnsi="Times New Roman"/>
        </w:rPr>
        <w:t xml:space="preserve"> Id. at 5.  </w:t>
      </w:r>
    </w:p>
  </w:footnote>
  <w:footnote w:id="467">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OCC/NOAC Initial Brief at 102-117.  </w:t>
      </w:r>
    </w:p>
  </w:footnote>
  <w:footnote w:id="468">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FirstEnergy Initial </w:t>
      </w:r>
      <w:r w:rsidRPr="007612B7">
        <w:rPr>
          <w:rFonts w:ascii="Times New Roman" w:hAnsi="Times New Roman"/>
        </w:rPr>
        <w:t>Brief at 113-124;</w:t>
      </w:r>
      <w:r>
        <w:rPr>
          <w:rFonts w:ascii="Times New Roman" w:hAnsi="Times New Roman"/>
        </w:rPr>
        <w:t xml:space="preserve"> </w:t>
      </w:r>
      <w:r w:rsidRPr="00232D0D">
        <w:rPr>
          <w:rFonts w:ascii="Times New Roman" w:hAnsi="Times New Roman"/>
        </w:rPr>
        <w:t xml:space="preserve">PUCO Staff Brief at 9; Kroger Brief at 2; OEG Brief at 4.  </w:t>
      </w:r>
    </w:p>
  </w:footnote>
  <w:footnote w:id="469">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PUCO Staff Brief at 9; Kroger Brief at 2.  </w:t>
      </w:r>
    </w:p>
  </w:footnote>
  <w:footnote w:id="470">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PUCO Staff Ex. </w:t>
      </w:r>
      <w:r>
        <w:rPr>
          <w:rFonts w:ascii="Times New Roman" w:hAnsi="Times New Roman"/>
        </w:rPr>
        <w:t>12 at 10-11</w:t>
      </w:r>
      <w:r w:rsidRPr="008161A6">
        <w:rPr>
          <w:rFonts w:ascii="Times New Roman" w:hAnsi="Times New Roman"/>
        </w:rPr>
        <w:t>.</w:t>
      </w:r>
      <w:r w:rsidRPr="00232D0D">
        <w:rPr>
          <w:rFonts w:ascii="Times New Roman" w:hAnsi="Times New Roman"/>
        </w:rPr>
        <w:t xml:space="preserve">  </w:t>
      </w:r>
    </w:p>
  </w:footnote>
  <w:footnote w:id="471">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OEG Initial Brief at 9-19; NUCOR Initial Brief at 28-29.  </w:t>
      </w:r>
    </w:p>
  </w:footnote>
  <w:footnote w:id="472">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NUCOR Initial Brief at 28; OEG Initial Brief at 9; FirstEnergy Initial Brief at 115-121.</w:t>
      </w:r>
    </w:p>
  </w:footnote>
  <w:footnote w:id="473">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OEG Initial Brief at 17-19.  </w:t>
      </w:r>
    </w:p>
  </w:footnote>
  <w:footnote w:id="474">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OEG Initial Brief at 11-14</w:t>
      </w:r>
      <w:r>
        <w:rPr>
          <w:rFonts w:ascii="Times New Roman" w:hAnsi="Times New Roman"/>
        </w:rPr>
        <w:t>.</w:t>
      </w:r>
    </w:p>
  </w:footnote>
  <w:footnote w:id="475">
    <w:p w:rsidR="006D364E" w:rsidRPr="00463ACF" w:rsidRDefault="006D364E" w:rsidP="00463ACF">
      <w:pPr>
        <w:pStyle w:val="FootnoteText"/>
        <w:spacing w:after="120"/>
        <w:rPr>
          <w:rFonts w:ascii="Times New Roman" w:hAnsi="Times New Roman"/>
        </w:rPr>
      </w:pPr>
      <w:r w:rsidRPr="00463ACF">
        <w:rPr>
          <w:rStyle w:val="FootnoteReference"/>
          <w:rFonts w:ascii="Times New Roman" w:hAnsi="Times New Roman"/>
        </w:rPr>
        <w:footnoteRef/>
      </w:r>
      <w:r w:rsidRPr="00463ACF">
        <w:rPr>
          <w:rFonts w:ascii="Times New Roman" w:hAnsi="Times New Roman"/>
        </w:rPr>
        <w:t xml:space="preserve"> OEG Initial Brief at 11</w:t>
      </w:r>
      <w:r>
        <w:rPr>
          <w:rFonts w:ascii="Times New Roman" w:hAnsi="Times New Roman"/>
        </w:rPr>
        <w:t>.</w:t>
      </w:r>
    </w:p>
  </w:footnote>
  <w:footnote w:id="476">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http://www.merriam-webster.com/dictionary/subsidy.  </w:t>
      </w:r>
    </w:p>
  </w:footnote>
  <w:footnote w:id="477">
    <w:p w:rsidR="006D364E" w:rsidRPr="00463ACF" w:rsidRDefault="006D364E" w:rsidP="00463ACF">
      <w:pPr>
        <w:pStyle w:val="FootnoteText"/>
        <w:spacing w:after="120"/>
        <w:rPr>
          <w:rFonts w:ascii="Times New Roman" w:hAnsi="Times New Roman"/>
        </w:rPr>
      </w:pPr>
      <w:r w:rsidRPr="00463ACF">
        <w:rPr>
          <w:rStyle w:val="FootnoteReference"/>
          <w:rFonts w:ascii="Times New Roman" w:hAnsi="Times New Roman"/>
        </w:rPr>
        <w:footnoteRef/>
      </w:r>
      <w:r w:rsidRPr="00463ACF">
        <w:rPr>
          <w:rFonts w:ascii="Times New Roman" w:hAnsi="Times New Roman"/>
        </w:rPr>
        <w:t xml:space="preserve"> Initial OEG Brief at 9.</w:t>
      </w:r>
    </w:p>
  </w:footnote>
  <w:footnote w:id="478">
    <w:p w:rsidR="006D364E" w:rsidRPr="00232D0D" w:rsidRDefault="006D364E" w:rsidP="00463ACF">
      <w:pPr>
        <w:pStyle w:val="FootnoteText"/>
        <w:spacing w:after="120"/>
        <w:rPr>
          <w:rFonts w:ascii="Times New Roman" w:hAnsi="Times New Roman"/>
        </w:rPr>
      </w:pPr>
      <w:r w:rsidRPr="00463ACF">
        <w:rPr>
          <w:rStyle w:val="FootnoteReference"/>
          <w:rFonts w:ascii="Times New Roman" w:eastAsiaTheme="majorEastAsia" w:hAnsi="Times New Roman"/>
        </w:rPr>
        <w:footnoteRef/>
      </w:r>
      <w:r w:rsidRPr="00463ACF">
        <w:rPr>
          <w:rFonts w:ascii="Times New Roman" w:hAnsi="Times New Roman"/>
        </w:rPr>
        <w:t xml:space="preserve"> Independent Market Monitor</w:t>
      </w:r>
      <w:r w:rsidRPr="00232D0D">
        <w:rPr>
          <w:rFonts w:ascii="Times New Roman" w:hAnsi="Times New Roman"/>
        </w:rPr>
        <w:t xml:space="preserve"> Ex</w:t>
      </w:r>
      <w:r w:rsidRPr="007612B7">
        <w:rPr>
          <w:rFonts w:ascii="Times New Roman" w:hAnsi="Times New Roman"/>
        </w:rPr>
        <w:t>. 1 at 3 (Bowering</w:t>
      </w:r>
      <w:r w:rsidRPr="00232D0D">
        <w:rPr>
          <w:rFonts w:ascii="Times New Roman" w:hAnsi="Times New Roman"/>
        </w:rPr>
        <w:t xml:space="preserve"> Direct Testimony).  </w:t>
      </w:r>
    </w:p>
  </w:footnote>
  <w:footnote w:id="479">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w:t>
      </w:r>
      <w:r w:rsidRPr="00232D0D">
        <w:rPr>
          <w:rFonts w:ascii="Times New Roman" w:hAnsi="Times New Roman"/>
          <w:i/>
        </w:rPr>
        <w:t xml:space="preserve">EPSA, et al. v. FES  and , Ohio Edison, Cleveland Electric Illuminating Company and Toledo Edison, </w:t>
      </w:r>
      <w:r w:rsidRPr="00232D0D">
        <w:rPr>
          <w:rFonts w:ascii="Times New Roman" w:hAnsi="Times New Roman"/>
        </w:rPr>
        <w:t>FERC Case No. EL-16-34-000.</w:t>
      </w:r>
    </w:p>
  </w:footnote>
  <w:footnote w:id="480">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w:t>
      </w:r>
      <w:r w:rsidRPr="00232D0D">
        <w:rPr>
          <w:rFonts w:ascii="Times New Roman" w:hAnsi="Times New Roman"/>
          <w:i/>
        </w:rPr>
        <w:t xml:space="preserve">EPSA, et al. v. AEP Generation Resources and Ohio Power Company, </w:t>
      </w:r>
      <w:r w:rsidRPr="00232D0D">
        <w:rPr>
          <w:rFonts w:ascii="Times New Roman" w:hAnsi="Times New Roman"/>
        </w:rPr>
        <w:t xml:space="preserve">FERC Case No. EL-16-33-000. </w:t>
      </w:r>
    </w:p>
  </w:footnote>
  <w:footnote w:id="481">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OEG Initial Brief at 32-33 (citations omitted).</w:t>
      </w:r>
    </w:p>
  </w:footnote>
  <w:footnote w:id="482">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OCC/NOAC Initial Brief at 25.</w:t>
      </w:r>
    </w:p>
  </w:footnote>
  <w:footnote w:id="483">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w:t>
      </w:r>
      <w:r w:rsidRPr="00232D0D">
        <w:rPr>
          <w:rFonts w:ascii="Times New Roman" w:hAnsi="Times New Roman"/>
          <w:i/>
        </w:rPr>
        <w:t>USGen Power Servs., L.P.</w:t>
      </w:r>
      <w:r w:rsidRPr="00232D0D">
        <w:rPr>
          <w:rFonts w:ascii="Times New Roman" w:hAnsi="Times New Roman"/>
        </w:rPr>
        <w:t>, 73 FERC ¶ 61,302 at 61,846 (1995).</w:t>
      </w:r>
    </w:p>
  </w:footnote>
  <w:footnote w:id="484">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OEG Initial Brief at 32.</w:t>
      </w:r>
    </w:p>
    <w:p w:rsidR="006D364E" w:rsidRPr="00232D0D" w:rsidRDefault="006D364E" w:rsidP="00232D0D">
      <w:pPr>
        <w:pStyle w:val="FootnoteText"/>
        <w:spacing w:after="120"/>
        <w:rPr>
          <w:rFonts w:ascii="Times New Roman" w:hAnsi="Times New Roman"/>
        </w:rPr>
      </w:pPr>
    </w:p>
  </w:footnote>
  <w:footnote w:id="485">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Tr. Vol. XXX at 6258, 6260 (Choueiki).</w:t>
      </w:r>
    </w:p>
  </w:footnote>
  <w:footnote w:id="486">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IMM Ex. 2 at 6-7 (Bowring First Supplemental).</w:t>
      </w:r>
    </w:p>
  </w:footnote>
  <w:footnote w:id="487">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OEG Initial Brief at 32.</w:t>
      </w:r>
    </w:p>
  </w:footnote>
  <w:footnote w:id="488">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FirstEnergy Ex. 13 at 6 (Strah Direct).</w:t>
      </w:r>
    </w:p>
  </w:footnote>
  <w:footnote w:id="489">
    <w:p w:rsidR="006D364E" w:rsidRPr="00232D0D" w:rsidRDefault="006D364E" w:rsidP="00232D0D">
      <w:pPr>
        <w:autoSpaceDE w:val="0"/>
        <w:autoSpaceDN w:val="0"/>
        <w:adjustRightInd w:val="0"/>
        <w:spacing w:after="120" w:line="240" w:lineRule="auto"/>
        <w:rPr>
          <w:rFonts w:cs="Times New Roman"/>
          <w:sz w:val="20"/>
          <w:szCs w:val="20"/>
        </w:rPr>
      </w:pPr>
      <w:r w:rsidRPr="00232D0D">
        <w:rPr>
          <w:rStyle w:val="FootnoteReference"/>
          <w:rFonts w:cs="Times New Roman"/>
          <w:sz w:val="20"/>
          <w:szCs w:val="20"/>
        </w:rPr>
        <w:footnoteRef/>
      </w:r>
      <w:r w:rsidRPr="00232D0D">
        <w:rPr>
          <w:rFonts w:cs="Times New Roman"/>
          <w:sz w:val="20"/>
          <w:szCs w:val="20"/>
        </w:rPr>
        <w:t xml:space="preserve"> Application at 9 (“The costs and revenues will then be netted, and the outcome of the acquisition and sale of the generation -- credit or cost -- would be included in the proposed Retail Rate Stability Rider (“Rider RRS”) that would be applicable to all customers.”)</w:t>
      </w:r>
    </w:p>
  </w:footnote>
  <w:footnote w:id="490">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w:t>
      </w:r>
      <w:r w:rsidRPr="00232D0D">
        <w:rPr>
          <w:rFonts w:ascii="Times New Roman" w:hAnsi="Times New Roman"/>
          <w:i/>
        </w:rPr>
        <w:t xml:space="preserve">EPSA, et al. v. FES  and , Ohio Edison, Cleveland Electric Illuminating Company and Toledo Edison, </w:t>
      </w:r>
      <w:r w:rsidRPr="00232D0D">
        <w:rPr>
          <w:rFonts w:ascii="Times New Roman" w:hAnsi="Times New Roman"/>
        </w:rPr>
        <w:t xml:space="preserve">FERC Case No. EL-16-34-000 at 18 (January 27, </w:t>
      </w:r>
      <w:r w:rsidR="005A6964">
        <w:rPr>
          <w:rFonts w:ascii="Times New Roman" w:hAnsi="Times New Roman"/>
        </w:rPr>
        <w:t xml:space="preserve"> </w:t>
      </w:r>
      <w:r w:rsidRPr="00232D0D">
        <w:rPr>
          <w:rFonts w:ascii="Times New Roman" w:hAnsi="Times New Roman"/>
        </w:rPr>
        <w:t>2016).</w:t>
      </w:r>
    </w:p>
  </w:footnote>
  <w:footnote w:id="491">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18 C.F.R. § 35.39(b) (2015).</w:t>
      </w:r>
    </w:p>
  </w:footnote>
  <w:footnote w:id="492">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18 C.F.R. § 35.36(a)(6) (2015).  Retail customers electing to take cost-based service from a franchised public utility acting as a provider of last resort (“POLR”) “are not considered captive customers because, although they may choose not to do so, they have the ability to take service from a different supplier whose rates are set by the marketplace.”  </w:t>
      </w:r>
      <w:r w:rsidRPr="00232D0D">
        <w:rPr>
          <w:rFonts w:ascii="Times New Roman" w:hAnsi="Times New Roman"/>
          <w:i/>
        </w:rPr>
        <w:t>Market-Based Rates for Wholesale Sales of Elec. Energy, Capacity &amp; Ancillary Servs. by Pub. Utils.</w:t>
      </w:r>
      <w:r w:rsidRPr="00232D0D">
        <w:rPr>
          <w:rFonts w:ascii="Times New Roman" w:hAnsi="Times New Roman"/>
        </w:rPr>
        <w:t xml:space="preserve">, Order No. 697, FERC Stats. &amp; Regs. ¶ 31,252 at P 480 (“Order No. 697”), </w:t>
      </w:r>
      <w:r w:rsidRPr="00232D0D">
        <w:rPr>
          <w:rFonts w:ascii="Times New Roman" w:hAnsi="Times New Roman"/>
          <w:i/>
        </w:rPr>
        <w:t>on reh’g</w:t>
      </w:r>
      <w:r w:rsidRPr="00232D0D">
        <w:rPr>
          <w:rFonts w:ascii="Times New Roman" w:hAnsi="Times New Roman"/>
        </w:rPr>
        <w:t xml:space="preserve">, Order No. 697-A, FERC Stats. &amp; Regs. ¶ 31,268 (“Order No. 697-A”), </w:t>
      </w:r>
      <w:r w:rsidRPr="00232D0D">
        <w:rPr>
          <w:rFonts w:ascii="Times New Roman" w:hAnsi="Times New Roman"/>
          <w:i/>
        </w:rPr>
        <w:t>on reh’g</w:t>
      </w:r>
      <w:r w:rsidRPr="00232D0D">
        <w:rPr>
          <w:rFonts w:ascii="Times New Roman" w:hAnsi="Times New Roman"/>
        </w:rPr>
        <w:t xml:space="preserve">, Order No. 697-B, FERC Stats. &amp; Regs. ¶ 31,285 (2008), </w:t>
      </w:r>
      <w:r w:rsidRPr="00232D0D">
        <w:rPr>
          <w:rFonts w:ascii="Times New Roman" w:hAnsi="Times New Roman"/>
          <w:i/>
        </w:rPr>
        <w:t>on reh’g</w:t>
      </w:r>
      <w:r w:rsidRPr="00232D0D">
        <w:rPr>
          <w:rFonts w:ascii="Times New Roman" w:hAnsi="Times New Roman"/>
        </w:rPr>
        <w:t xml:space="preserve">, Order No. 697-C, FERC Stats. &amp; Regs. ¶ 31,291 (2009), </w:t>
      </w:r>
      <w:r w:rsidRPr="00232D0D">
        <w:rPr>
          <w:rFonts w:ascii="Times New Roman" w:hAnsi="Times New Roman"/>
          <w:i/>
        </w:rPr>
        <w:t>on reh’g</w:t>
      </w:r>
      <w:r w:rsidRPr="00232D0D">
        <w:rPr>
          <w:rFonts w:ascii="Times New Roman" w:hAnsi="Times New Roman"/>
        </w:rPr>
        <w:t xml:space="preserve">, Order No. 697-D, FERC Stats. &amp; Regs. ¶ 31,305 (2010), </w:t>
      </w:r>
      <w:r w:rsidRPr="00232D0D">
        <w:rPr>
          <w:rFonts w:ascii="Times New Roman" w:hAnsi="Times New Roman"/>
          <w:i/>
        </w:rPr>
        <w:t>clarified</w:t>
      </w:r>
      <w:r w:rsidRPr="00232D0D">
        <w:rPr>
          <w:rFonts w:ascii="Times New Roman" w:hAnsi="Times New Roman"/>
        </w:rPr>
        <w:t xml:space="preserve">, 131 FERC ¶ 61,021 (2010), </w:t>
      </w:r>
      <w:r w:rsidRPr="00232D0D">
        <w:rPr>
          <w:rFonts w:ascii="Times New Roman" w:hAnsi="Times New Roman"/>
          <w:i/>
        </w:rPr>
        <w:t>aff’d sub nom. Montana Consumer Counsel v. FERC</w:t>
      </w:r>
      <w:r w:rsidRPr="00232D0D">
        <w:rPr>
          <w:rFonts w:ascii="Times New Roman" w:hAnsi="Times New Roman"/>
        </w:rPr>
        <w:t xml:space="preserve">, 659 F.3d 910 (9th Cir. 2011), </w:t>
      </w:r>
      <w:r w:rsidRPr="00232D0D">
        <w:rPr>
          <w:rFonts w:ascii="Times New Roman" w:hAnsi="Times New Roman"/>
          <w:i/>
        </w:rPr>
        <w:t>cert. denied Pub. Citizen, Inc. v. FERC</w:t>
      </w:r>
      <w:r w:rsidRPr="00232D0D">
        <w:rPr>
          <w:rFonts w:ascii="Times New Roman" w:hAnsi="Times New Roman"/>
        </w:rPr>
        <w:t>, 133 S. Ct. 26 (2012).</w:t>
      </w:r>
    </w:p>
    <w:p w:rsidR="006D364E" w:rsidRPr="00232D0D" w:rsidRDefault="006D364E" w:rsidP="00232D0D">
      <w:pPr>
        <w:pStyle w:val="FootnoteText"/>
        <w:spacing w:after="120"/>
        <w:rPr>
          <w:rFonts w:ascii="Times New Roman" w:hAnsi="Times New Roman"/>
        </w:rPr>
      </w:pPr>
    </w:p>
  </w:footnote>
  <w:footnote w:id="493">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OEG Initial Brief at 32-33.</w:t>
      </w:r>
    </w:p>
  </w:footnote>
  <w:footnote w:id="494">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w:t>
      </w:r>
      <w:r w:rsidRPr="00232D0D">
        <w:rPr>
          <w:rFonts w:ascii="Times New Roman" w:hAnsi="Times New Roman"/>
          <w:i/>
        </w:rPr>
        <w:t>Edgar</w:t>
      </w:r>
      <w:r w:rsidRPr="00232D0D">
        <w:rPr>
          <w:rFonts w:ascii="Times New Roman" w:hAnsi="Times New Roman"/>
        </w:rPr>
        <w:t>, 55 FERC ¶ 61,382 at 62,167 (footnote omitted).  See</w:t>
      </w:r>
      <w:r w:rsidRPr="00232D0D">
        <w:rPr>
          <w:rFonts w:ascii="Times New Roman" w:hAnsi="Times New Roman"/>
          <w:i/>
        </w:rPr>
        <w:t xml:space="preserve"> also Southern Power Co.</w:t>
      </w:r>
      <w:r w:rsidRPr="00232D0D">
        <w:rPr>
          <w:rFonts w:ascii="Times New Roman" w:hAnsi="Times New Roman"/>
        </w:rPr>
        <w:t>, 153 FERC ¶ 61,068 at P 15 (2015) (“</w:t>
      </w:r>
      <w:r w:rsidRPr="00232D0D">
        <w:rPr>
          <w:rFonts w:ascii="Times New Roman" w:hAnsi="Times New Roman"/>
          <w:i/>
        </w:rPr>
        <w:t>Southern</w:t>
      </w:r>
      <w:r w:rsidRPr="00232D0D">
        <w:rPr>
          <w:rFonts w:ascii="Times New Roman" w:hAnsi="Times New Roman"/>
        </w:rPr>
        <w:t xml:space="preserve">”) (same); </w:t>
      </w:r>
      <w:r w:rsidRPr="00232D0D">
        <w:rPr>
          <w:rFonts w:ascii="Times New Roman" w:hAnsi="Times New Roman"/>
          <w:i/>
        </w:rPr>
        <w:t>Allegheny</w:t>
      </w:r>
      <w:r w:rsidRPr="00232D0D">
        <w:rPr>
          <w:rFonts w:ascii="Times New Roman" w:hAnsi="Times New Roman"/>
        </w:rPr>
        <w:t>, 108 FERC ¶ 61,082 at P 18 (same).</w:t>
      </w:r>
    </w:p>
  </w:footnote>
  <w:footnote w:id="495">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Theme="majorEastAsia" w:hAnsi="Times New Roman"/>
        </w:rPr>
        <w:footnoteRef/>
      </w:r>
      <w:r w:rsidRPr="00232D0D">
        <w:rPr>
          <w:rFonts w:ascii="Times New Roman" w:hAnsi="Times New Roman"/>
        </w:rPr>
        <w:t xml:space="preserve"> 18 C.F.R. § 35.39(b) (2015).</w:t>
      </w:r>
    </w:p>
  </w:footnote>
  <w:footnote w:id="496">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alibri" w:hAnsi="Times New Roman"/>
        </w:rPr>
        <w:footnoteRef/>
      </w:r>
      <w:r w:rsidRPr="00232D0D">
        <w:rPr>
          <w:rFonts w:ascii="Times New Roman" w:hAnsi="Times New Roman"/>
        </w:rPr>
        <w:t xml:space="preserve"> </w:t>
      </w:r>
      <w:r w:rsidRPr="00232D0D">
        <w:rPr>
          <w:rFonts w:ascii="Times New Roman" w:hAnsi="Times New Roman"/>
          <w:i/>
        </w:rPr>
        <w:t>Illinova Power Mktg., Inc.</w:t>
      </w:r>
      <w:r w:rsidRPr="00232D0D">
        <w:rPr>
          <w:rFonts w:ascii="Times New Roman" w:hAnsi="Times New Roman"/>
        </w:rPr>
        <w:t>, 88 FERC ¶ 61,189 at 61,649 (1999) (“</w:t>
      </w:r>
      <w:r w:rsidRPr="00232D0D">
        <w:rPr>
          <w:rFonts w:ascii="Times New Roman" w:hAnsi="Times New Roman"/>
          <w:i/>
        </w:rPr>
        <w:t>Illinova</w:t>
      </w:r>
      <w:r w:rsidRPr="00232D0D">
        <w:rPr>
          <w:rFonts w:ascii="Times New Roman" w:hAnsi="Times New Roman"/>
        </w:rPr>
        <w:t>”).</w:t>
      </w:r>
    </w:p>
  </w:footnote>
  <w:footnote w:id="497">
    <w:p w:rsidR="006D364E" w:rsidRPr="00232D0D" w:rsidRDefault="006D364E" w:rsidP="00232D0D">
      <w:pPr>
        <w:pStyle w:val="FootnoteText"/>
        <w:spacing w:after="120"/>
        <w:rPr>
          <w:rFonts w:ascii="Times New Roman" w:hAnsi="Times New Roman"/>
        </w:rPr>
      </w:pPr>
      <w:r w:rsidRPr="00232D0D">
        <w:rPr>
          <w:rStyle w:val="FootnoteReference"/>
          <w:rFonts w:ascii="Times New Roman" w:eastAsia="Calibri" w:hAnsi="Times New Roman"/>
        </w:rPr>
        <w:footnoteRef/>
      </w:r>
      <w:r w:rsidRPr="00232D0D">
        <w:rPr>
          <w:rFonts w:ascii="Times New Roman" w:hAnsi="Times New Roman"/>
        </w:rPr>
        <w:t xml:space="preserve"> Order No. 697-A, FERC Stats. &amp; Regs. ¶ 31,268 at n.280.</w:t>
      </w:r>
    </w:p>
  </w:footnote>
  <w:footnote w:id="498">
    <w:p w:rsidR="006D364E" w:rsidRPr="00232D0D" w:rsidRDefault="006D364E" w:rsidP="00B03C0A">
      <w:pPr>
        <w:autoSpaceDE w:val="0"/>
        <w:autoSpaceDN w:val="0"/>
        <w:adjustRightInd w:val="0"/>
        <w:spacing w:after="120" w:line="240" w:lineRule="auto"/>
      </w:pPr>
      <w:r w:rsidRPr="00232D0D">
        <w:rPr>
          <w:rStyle w:val="FootnoteReference"/>
          <w:rFonts w:cs="Times New Roman"/>
          <w:sz w:val="20"/>
          <w:szCs w:val="20"/>
        </w:rPr>
        <w:footnoteRef/>
      </w:r>
      <w:r w:rsidRPr="00232D0D">
        <w:rPr>
          <w:rFonts w:cs="Times New Roman"/>
          <w:sz w:val="20"/>
          <w:szCs w:val="20"/>
        </w:rPr>
        <w:t xml:space="preserve"> As Companies’ witness Strah acknowledged, he does not know “what the exact contract is going to look like or the exact words putting forth those provisions in the term sheet.” Tr. IV at 869-70. Likewise, although witness Moul insisted that the term sheet provisions would be included in the final PPA, he acknowledged that additional provisions could potentially be added to the contract. Tr. XI at 2332.</w:t>
      </w:r>
    </w:p>
  </w:footnote>
  <w:footnote w:id="499">
    <w:p w:rsidR="006D364E" w:rsidRPr="00B03C0A" w:rsidRDefault="006D364E" w:rsidP="00B03C0A">
      <w:pPr>
        <w:pStyle w:val="FootnoteText"/>
        <w:spacing w:after="120"/>
        <w:rPr>
          <w:rFonts w:ascii="Times New Roman" w:hAnsi="Times New Roman"/>
        </w:rPr>
      </w:pPr>
      <w:r w:rsidRPr="00B03C0A">
        <w:rPr>
          <w:rStyle w:val="FootnoteReference"/>
          <w:rFonts w:ascii="Times New Roman" w:hAnsi="Times New Roman"/>
        </w:rPr>
        <w:footnoteRef/>
      </w:r>
      <w:r w:rsidRPr="00B03C0A">
        <w:rPr>
          <w:rFonts w:ascii="Times New Roman" w:hAnsi="Times New Roman"/>
        </w:rPr>
        <w:t xml:space="preserve"> FirstEnergy Ex. 154 at XXX (Third Supplemental Stipulation).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D1" w:rsidRDefault="00E625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D1" w:rsidRDefault="00E625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D1" w:rsidRDefault="00E625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4E" w:rsidRDefault="006D364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4E" w:rsidRDefault="006D36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66B"/>
    <w:multiLevelType w:val="hybridMultilevel"/>
    <w:tmpl w:val="0D4C7AF8"/>
    <w:lvl w:ilvl="0" w:tplc="C75EE2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B5653B"/>
    <w:multiLevelType w:val="hybridMultilevel"/>
    <w:tmpl w:val="7F38F806"/>
    <w:lvl w:ilvl="0" w:tplc="1A8A7448">
      <w:start w:val="2"/>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3BA077E"/>
    <w:multiLevelType w:val="hybridMultilevel"/>
    <w:tmpl w:val="417C82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BAA0691"/>
    <w:multiLevelType w:val="hybridMultilevel"/>
    <w:tmpl w:val="BC20B3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C835BD"/>
    <w:multiLevelType w:val="hybridMultilevel"/>
    <w:tmpl w:val="6700C3A2"/>
    <w:lvl w:ilvl="0" w:tplc="C88063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D0049A"/>
    <w:multiLevelType w:val="hybridMultilevel"/>
    <w:tmpl w:val="0DD89BDE"/>
    <w:lvl w:ilvl="0" w:tplc="A5ECE8E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30C2444F"/>
    <w:multiLevelType w:val="hybridMultilevel"/>
    <w:tmpl w:val="38BAB48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nsid w:val="35106D53"/>
    <w:multiLevelType w:val="hybridMultilevel"/>
    <w:tmpl w:val="809C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D566FE"/>
    <w:multiLevelType w:val="hybridMultilevel"/>
    <w:tmpl w:val="3738F020"/>
    <w:lvl w:ilvl="0" w:tplc="ADCE2CC4">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1D039A"/>
    <w:multiLevelType w:val="hybridMultilevel"/>
    <w:tmpl w:val="E0F01478"/>
    <w:lvl w:ilvl="0" w:tplc="1CE6E71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3E9F18DF"/>
    <w:multiLevelType w:val="hybridMultilevel"/>
    <w:tmpl w:val="CE644F3E"/>
    <w:lvl w:ilvl="0" w:tplc="BB44D56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0751D0B"/>
    <w:multiLevelType w:val="hybridMultilevel"/>
    <w:tmpl w:val="07964920"/>
    <w:lvl w:ilvl="0" w:tplc="70A87B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ED0C43"/>
    <w:multiLevelType w:val="hybridMultilevel"/>
    <w:tmpl w:val="A9269526"/>
    <w:lvl w:ilvl="0" w:tplc="5BE25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3138FD"/>
    <w:multiLevelType w:val="hybridMultilevel"/>
    <w:tmpl w:val="1C3693B8"/>
    <w:lvl w:ilvl="0" w:tplc="A5369A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787802C4">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1E19AD"/>
    <w:multiLevelType w:val="hybridMultilevel"/>
    <w:tmpl w:val="A48AC89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DA3BCC"/>
    <w:multiLevelType w:val="hybridMultilevel"/>
    <w:tmpl w:val="8FB807C2"/>
    <w:lvl w:ilvl="0" w:tplc="83664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C32BB0"/>
    <w:multiLevelType w:val="hybridMultilevel"/>
    <w:tmpl w:val="6082F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B9098B"/>
    <w:multiLevelType w:val="hybridMultilevel"/>
    <w:tmpl w:val="B6E61CE0"/>
    <w:lvl w:ilvl="0" w:tplc="CA943C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0933B56"/>
    <w:multiLevelType w:val="hybridMultilevel"/>
    <w:tmpl w:val="64BE6898"/>
    <w:lvl w:ilvl="0" w:tplc="8C8ECBF0">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6A807A98"/>
    <w:multiLevelType w:val="hybridMultilevel"/>
    <w:tmpl w:val="7C428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B0F6754"/>
    <w:multiLevelType w:val="hybridMultilevel"/>
    <w:tmpl w:val="396C60CA"/>
    <w:lvl w:ilvl="0" w:tplc="E550D49E">
      <w:start w:val="3"/>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6BB437C1"/>
    <w:multiLevelType w:val="hybridMultilevel"/>
    <w:tmpl w:val="573C073A"/>
    <w:lvl w:ilvl="0" w:tplc="FDF8A090">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6FD330F7"/>
    <w:multiLevelType w:val="hybridMultilevel"/>
    <w:tmpl w:val="8F4CF304"/>
    <w:lvl w:ilvl="0" w:tplc="C88063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5742DEB"/>
    <w:multiLevelType w:val="hybridMultilevel"/>
    <w:tmpl w:val="361E9C9C"/>
    <w:lvl w:ilvl="0" w:tplc="A67A1B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7746C3B"/>
    <w:multiLevelType w:val="hybridMultilevel"/>
    <w:tmpl w:val="A9269526"/>
    <w:lvl w:ilvl="0" w:tplc="5BE25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B2808BB"/>
    <w:multiLevelType w:val="hybridMultilevel"/>
    <w:tmpl w:val="CC2AF760"/>
    <w:lvl w:ilvl="0" w:tplc="E1DA006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7C5B0B41"/>
    <w:multiLevelType w:val="hybridMultilevel"/>
    <w:tmpl w:val="34C2750E"/>
    <w:lvl w:ilvl="0" w:tplc="26B0AC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4"/>
  </w:num>
  <w:num w:numId="3">
    <w:abstractNumId w:val="22"/>
  </w:num>
  <w:num w:numId="4">
    <w:abstractNumId w:val="6"/>
  </w:num>
  <w:num w:numId="5">
    <w:abstractNumId w:val="2"/>
  </w:num>
  <w:num w:numId="6">
    <w:abstractNumId w:val="14"/>
  </w:num>
  <w:num w:numId="7">
    <w:abstractNumId w:val="7"/>
  </w:num>
  <w:num w:numId="8">
    <w:abstractNumId w:val="19"/>
  </w:num>
  <w:num w:numId="9">
    <w:abstractNumId w:val="16"/>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num>
  <w:num w:numId="13">
    <w:abstractNumId w:val="26"/>
  </w:num>
  <w:num w:numId="14">
    <w:abstractNumId w:val="17"/>
  </w:num>
  <w:num w:numId="15">
    <w:abstractNumId w:val="9"/>
  </w:num>
  <w:num w:numId="16">
    <w:abstractNumId w:val="15"/>
  </w:num>
  <w:num w:numId="17">
    <w:abstractNumId w:val="24"/>
  </w:num>
  <w:num w:numId="18">
    <w:abstractNumId w:val="0"/>
  </w:num>
  <w:num w:numId="19">
    <w:abstractNumId w:val="12"/>
  </w:num>
  <w:num w:numId="20">
    <w:abstractNumId w:val="3"/>
  </w:num>
  <w:num w:numId="21">
    <w:abstractNumId w:val="21"/>
  </w:num>
  <w:num w:numId="22">
    <w:abstractNumId w:val="1"/>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EB1"/>
    <w:rsid w:val="0000187C"/>
    <w:rsid w:val="000029E7"/>
    <w:rsid w:val="000035B2"/>
    <w:rsid w:val="00003B77"/>
    <w:rsid w:val="000113D3"/>
    <w:rsid w:val="0001142C"/>
    <w:rsid w:val="00011706"/>
    <w:rsid w:val="00013029"/>
    <w:rsid w:val="000154EA"/>
    <w:rsid w:val="00017B6E"/>
    <w:rsid w:val="00017FBD"/>
    <w:rsid w:val="00023105"/>
    <w:rsid w:val="00023464"/>
    <w:rsid w:val="00023A89"/>
    <w:rsid w:val="00024C7A"/>
    <w:rsid w:val="0002562C"/>
    <w:rsid w:val="0002689F"/>
    <w:rsid w:val="000269CE"/>
    <w:rsid w:val="000279E5"/>
    <w:rsid w:val="00030422"/>
    <w:rsid w:val="00031EA4"/>
    <w:rsid w:val="000324CF"/>
    <w:rsid w:val="0003375C"/>
    <w:rsid w:val="00035DA9"/>
    <w:rsid w:val="00036808"/>
    <w:rsid w:val="00037F6E"/>
    <w:rsid w:val="00041856"/>
    <w:rsid w:val="00041DE5"/>
    <w:rsid w:val="000422EE"/>
    <w:rsid w:val="00044722"/>
    <w:rsid w:val="00047D52"/>
    <w:rsid w:val="00050819"/>
    <w:rsid w:val="00051065"/>
    <w:rsid w:val="00051BBD"/>
    <w:rsid w:val="00053160"/>
    <w:rsid w:val="00054A5C"/>
    <w:rsid w:val="00054E5A"/>
    <w:rsid w:val="000553E5"/>
    <w:rsid w:val="00055C9F"/>
    <w:rsid w:val="00056DAB"/>
    <w:rsid w:val="00056DCE"/>
    <w:rsid w:val="0005740D"/>
    <w:rsid w:val="00057569"/>
    <w:rsid w:val="000608C4"/>
    <w:rsid w:val="00061ED4"/>
    <w:rsid w:val="000622A9"/>
    <w:rsid w:val="00063685"/>
    <w:rsid w:val="00064445"/>
    <w:rsid w:val="000701C2"/>
    <w:rsid w:val="00070FBD"/>
    <w:rsid w:val="00072EDF"/>
    <w:rsid w:val="0007383A"/>
    <w:rsid w:val="00075628"/>
    <w:rsid w:val="00076594"/>
    <w:rsid w:val="00077F41"/>
    <w:rsid w:val="000807B5"/>
    <w:rsid w:val="000816CF"/>
    <w:rsid w:val="000817F0"/>
    <w:rsid w:val="00081F9D"/>
    <w:rsid w:val="00083451"/>
    <w:rsid w:val="000837B9"/>
    <w:rsid w:val="00083B91"/>
    <w:rsid w:val="00085B64"/>
    <w:rsid w:val="00086426"/>
    <w:rsid w:val="000864EB"/>
    <w:rsid w:val="00091FB0"/>
    <w:rsid w:val="00091FBB"/>
    <w:rsid w:val="00092142"/>
    <w:rsid w:val="000953F5"/>
    <w:rsid w:val="00097281"/>
    <w:rsid w:val="000A06EC"/>
    <w:rsid w:val="000A0708"/>
    <w:rsid w:val="000A0EC4"/>
    <w:rsid w:val="000A13E2"/>
    <w:rsid w:val="000A1BB4"/>
    <w:rsid w:val="000A214F"/>
    <w:rsid w:val="000A2CDB"/>
    <w:rsid w:val="000A40D1"/>
    <w:rsid w:val="000A41EC"/>
    <w:rsid w:val="000A4C30"/>
    <w:rsid w:val="000A70C6"/>
    <w:rsid w:val="000A7F26"/>
    <w:rsid w:val="000B0258"/>
    <w:rsid w:val="000B0277"/>
    <w:rsid w:val="000B0702"/>
    <w:rsid w:val="000B1581"/>
    <w:rsid w:val="000B1B27"/>
    <w:rsid w:val="000B35CD"/>
    <w:rsid w:val="000B4325"/>
    <w:rsid w:val="000B5123"/>
    <w:rsid w:val="000B52A6"/>
    <w:rsid w:val="000B640A"/>
    <w:rsid w:val="000C07D8"/>
    <w:rsid w:val="000C109C"/>
    <w:rsid w:val="000C3292"/>
    <w:rsid w:val="000C33E3"/>
    <w:rsid w:val="000C3497"/>
    <w:rsid w:val="000C4123"/>
    <w:rsid w:val="000C52A5"/>
    <w:rsid w:val="000C5383"/>
    <w:rsid w:val="000C5F9A"/>
    <w:rsid w:val="000C6AF0"/>
    <w:rsid w:val="000C6C40"/>
    <w:rsid w:val="000C6F16"/>
    <w:rsid w:val="000C7763"/>
    <w:rsid w:val="000C7D9A"/>
    <w:rsid w:val="000C7FF5"/>
    <w:rsid w:val="000D1D21"/>
    <w:rsid w:val="000D2C20"/>
    <w:rsid w:val="000D45BE"/>
    <w:rsid w:val="000D54C0"/>
    <w:rsid w:val="000D5600"/>
    <w:rsid w:val="000D625F"/>
    <w:rsid w:val="000D64F9"/>
    <w:rsid w:val="000E09EF"/>
    <w:rsid w:val="000E1E2D"/>
    <w:rsid w:val="000E2D28"/>
    <w:rsid w:val="000E3396"/>
    <w:rsid w:val="000E4EB8"/>
    <w:rsid w:val="000E574B"/>
    <w:rsid w:val="000E64B6"/>
    <w:rsid w:val="000F0944"/>
    <w:rsid w:val="000F31CF"/>
    <w:rsid w:val="000F35F3"/>
    <w:rsid w:val="000F41CB"/>
    <w:rsid w:val="000F4A1A"/>
    <w:rsid w:val="000F6494"/>
    <w:rsid w:val="000F6929"/>
    <w:rsid w:val="000F6DDB"/>
    <w:rsid w:val="000F7662"/>
    <w:rsid w:val="00100E2E"/>
    <w:rsid w:val="001019CF"/>
    <w:rsid w:val="00101E5C"/>
    <w:rsid w:val="00102703"/>
    <w:rsid w:val="00105DA7"/>
    <w:rsid w:val="00105E3E"/>
    <w:rsid w:val="001063EC"/>
    <w:rsid w:val="001068F6"/>
    <w:rsid w:val="00106CEB"/>
    <w:rsid w:val="00110F78"/>
    <w:rsid w:val="001115FF"/>
    <w:rsid w:val="0011329C"/>
    <w:rsid w:val="00113D8A"/>
    <w:rsid w:val="001144D1"/>
    <w:rsid w:val="001151A0"/>
    <w:rsid w:val="0011589A"/>
    <w:rsid w:val="00116080"/>
    <w:rsid w:val="0012130A"/>
    <w:rsid w:val="00121B85"/>
    <w:rsid w:val="001227FA"/>
    <w:rsid w:val="00123169"/>
    <w:rsid w:val="00124115"/>
    <w:rsid w:val="00126D58"/>
    <w:rsid w:val="0013080F"/>
    <w:rsid w:val="00130897"/>
    <w:rsid w:val="0013182F"/>
    <w:rsid w:val="001322F0"/>
    <w:rsid w:val="001331D7"/>
    <w:rsid w:val="001336BB"/>
    <w:rsid w:val="001340DF"/>
    <w:rsid w:val="00134788"/>
    <w:rsid w:val="00136B1A"/>
    <w:rsid w:val="00140A0F"/>
    <w:rsid w:val="00140B61"/>
    <w:rsid w:val="00140D13"/>
    <w:rsid w:val="00141DA5"/>
    <w:rsid w:val="00142042"/>
    <w:rsid w:val="00142B70"/>
    <w:rsid w:val="0014529D"/>
    <w:rsid w:val="001476CC"/>
    <w:rsid w:val="00147DDB"/>
    <w:rsid w:val="001509B1"/>
    <w:rsid w:val="00151C7A"/>
    <w:rsid w:val="001520DF"/>
    <w:rsid w:val="0015276B"/>
    <w:rsid w:val="00153434"/>
    <w:rsid w:val="0015488E"/>
    <w:rsid w:val="00155796"/>
    <w:rsid w:val="00160DA9"/>
    <w:rsid w:val="00160FBD"/>
    <w:rsid w:val="00161B34"/>
    <w:rsid w:val="00162FBF"/>
    <w:rsid w:val="001635F6"/>
    <w:rsid w:val="00164D50"/>
    <w:rsid w:val="001745DF"/>
    <w:rsid w:val="0017594D"/>
    <w:rsid w:val="001777CB"/>
    <w:rsid w:val="00177A3D"/>
    <w:rsid w:val="00177EC6"/>
    <w:rsid w:val="00180D90"/>
    <w:rsid w:val="00183429"/>
    <w:rsid w:val="00186323"/>
    <w:rsid w:val="00186389"/>
    <w:rsid w:val="00186D40"/>
    <w:rsid w:val="001A04DD"/>
    <w:rsid w:val="001A0B40"/>
    <w:rsid w:val="001A1C83"/>
    <w:rsid w:val="001A219A"/>
    <w:rsid w:val="001A34B4"/>
    <w:rsid w:val="001A3B74"/>
    <w:rsid w:val="001A4978"/>
    <w:rsid w:val="001A4C4D"/>
    <w:rsid w:val="001A5D63"/>
    <w:rsid w:val="001A68A4"/>
    <w:rsid w:val="001A7940"/>
    <w:rsid w:val="001B10FB"/>
    <w:rsid w:val="001B1DAC"/>
    <w:rsid w:val="001B3385"/>
    <w:rsid w:val="001B65FF"/>
    <w:rsid w:val="001C0558"/>
    <w:rsid w:val="001C0609"/>
    <w:rsid w:val="001C118C"/>
    <w:rsid w:val="001C1415"/>
    <w:rsid w:val="001C3D6F"/>
    <w:rsid w:val="001C3F08"/>
    <w:rsid w:val="001C5A0F"/>
    <w:rsid w:val="001C5E63"/>
    <w:rsid w:val="001C5F10"/>
    <w:rsid w:val="001C7632"/>
    <w:rsid w:val="001D0D36"/>
    <w:rsid w:val="001D1CBF"/>
    <w:rsid w:val="001D5FB1"/>
    <w:rsid w:val="001D6009"/>
    <w:rsid w:val="001D63B5"/>
    <w:rsid w:val="001D7643"/>
    <w:rsid w:val="001D78C5"/>
    <w:rsid w:val="001D7BFD"/>
    <w:rsid w:val="001D7F80"/>
    <w:rsid w:val="001E06E5"/>
    <w:rsid w:val="001E0A46"/>
    <w:rsid w:val="001E1B12"/>
    <w:rsid w:val="001E2EDD"/>
    <w:rsid w:val="001E41D8"/>
    <w:rsid w:val="001E639D"/>
    <w:rsid w:val="001E63D2"/>
    <w:rsid w:val="001E6AF8"/>
    <w:rsid w:val="001E72E5"/>
    <w:rsid w:val="001E7823"/>
    <w:rsid w:val="001F1B18"/>
    <w:rsid w:val="001F4F8A"/>
    <w:rsid w:val="001F54F2"/>
    <w:rsid w:val="001F589D"/>
    <w:rsid w:val="001F654B"/>
    <w:rsid w:val="001F7030"/>
    <w:rsid w:val="002017FE"/>
    <w:rsid w:val="0020316B"/>
    <w:rsid w:val="002044AA"/>
    <w:rsid w:val="00206417"/>
    <w:rsid w:val="00207667"/>
    <w:rsid w:val="00207784"/>
    <w:rsid w:val="00207BE3"/>
    <w:rsid w:val="00210BC9"/>
    <w:rsid w:val="00211711"/>
    <w:rsid w:val="00212B56"/>
    <w:rsid w:val="00212C26"/>
    <w:rsid w:val="00212DA4"/>
    <w:rsid w:val="00216E71"/>
    <w:rsid w:val="00217A40"/>
    <w:rsid w:val="00220215"/>
    <w:rsid w:val="00220B9D"/>
    <w:rsid w:val="00222F45"/>
    <w:rsid w:val="00223220"/>
    <w:rsid w:val="00223B7C"/>
    <w:rsid w:val="0022506D"/>
    <w:rsid w:val="0022660C"/>
    <w:rsid w:val="0022670F"/>
    <w:rsid w:val="002269CE"/>
    <w:rsid w:val="00226CBF"/>
    <w:rsid w:val="002270FB"/>
    <w:rsid w:val="0022784C"/>
    <w:rsid w:val="002309DB"/>
    <w:rsid w:val="00232D0D"/>
    <w:rsid w:val="00236A03"/>
    <w:rsid w:val="002371EE"/>
    <w:rsid w:val="00240441"/>
    <w:rsid w:val="00240AD1"/>
    <w:rsid w:val="00241179"/>
    <w:rsid w:val="00241F24"/>
    <w:rsid w:val="002424C2"/>
    <w:rsid w:val="002455E6"/>
    <w:rsid w:val="00247ABD"/>
    <w:rsid w:val="0025033B"/>
    <w:rsid w:val="002506CD"/>
    <w:rsid w:val="0025155A"/>
    <w:rsid w:val="002519FF"/>
    <w:rsid w:val="00254DAC"/>
    <w:rsid w:val="00255394"/>
    <w:rsid w:val="00257E9E"/>
    <w:rsid w:val="002606D5"/>
    <w:rsid w:val="00260D18"/>
    <w:rsid w:val="002632B1"/>
    <w:rsid w:val="00265520"/>
    <w:rsid w:val="00266D6E"/>
    <w:rsid w:val="002670C7"/>
    <w:rsid w:val="00267B4C"/>
    <w:rsid w:val="002709EF"/>
    <w:rsid w:val="00271B9E"/>
    <w:rsid w:val="00272E22"/>
    <w:rsid w:val="0027492B"/>
    <w:rsid w:val="00276009"/>
    <w:rsid w:val="00277831"/>
    <w:rsid w:val="00283CB7"/>
    <w:rsid w:val="002842AC"/>
    <w:rsid w:val="00284BA6"/>
    <w:rsid w:val="00285445"/>
    <w:rsid w:val="002867EA"/>
    <w:rsid w:val="00286A0B"/>
    <w:rsid w:val="00287794"/>
    <w:rsid w:val="002927DC"/>
    <w:rsid w:val="00292C76"/>
    <w:rsid w:val="002938AD"/>
    <w:rsid w:val="002945A5"/>
    <w:rsid w:val="002945C4"/>
    <w:rsid w:val="00296C00"/>
    <w:rsid w:val="00296E2D"/>
    <w:rsid w:val="0029709C"/>
    <w:rsid w:val="002A02DD"/>
    <w:rsid w:val="002A0E13"/>
    <w:rsid w:val="002A1303"/>
    <w:rsid w:val="002A19CC"/>
    <w:rsid w:val="002A1B8B"/>
    <w:rsid w:val="002A319F"/>
    <w:rsid w:val="002A6C19"/>
    <w:rsid w:val="002A7597"/>
    <w:rsid w:val="002B01A7"/>
    <w:rsid w:val="002B0D8D"/>
    <w:rsid w:val="002B172F"/>
    <w:rsid w:val="002B1B03"/>
    <w:rsid w:val="002B27AC"/>
    <w:rsid w:val="002B31C9"/>
    <w:rsid w:val="002B4FEC"/>
    <w:rsid w:val="002B5372"/>
    <w:rsid w:val="002B5D93"/>
    <w:rsid w:val="002B5FB1"/>
    <w:rsid w:val="002B6294"/>
    <w:rsid w:val="002B69F6"/>
    <w:rsid w:val="002B7632"/>
    <w:rsid w:val="002B7E6E"/>
    <w:rsid w:val="002C0742"/>
    <w:rsid w:val="002C39AF"/>
    <w:rsid w:val="002C5486"/>
    <w:rsid w:val="002C5E9D"/>
    <w:rsid w:val="002C6FFC"/>
    <w:rsid w:val="002C7252"/>
    <w:rsid w:val="002C76A9"/>
    <w:rsid w:val="002C792C"/>
    <w:rsid w:val="002C7B79"/>
    <w:rsid w:val="002D098E"/>
    <w:rsid w:val="002D2B37"/>
    <w:rsid w:val="002D3293"/>
    <w:rsid w:val="002D4599"/>
    <w:rsid w:val="002D5896"/>
    <w:rsid w:val="002D606A"/>
    <w:rsid w:val="002D6426"/>
    <w:rsid w:val="002D670C"/>
    <w:rsid w:val="002D7030"/>
    <w:rsid w:val="002D7454"/>
    <w:rsid w:val="002D79D1"/>
    <w:rsid w:val="002E233C"/>
    <w:rsid w:val="002E24B5"/>
    <w:rsid w:val="002E3646"/>
    <w:rsid w:val="002E5231"/>
    <w:rsid w:val="002E58DE"/>
    <w:rsid w:val="002E7E96"/>
    <w:rsid w:val="002F16D7"/>
    <w:rsid w:val="002F2510"/>
    <w:rsid w:val="002F25E4"/>
    <w:rsid w:val="002F31CC"/>
    <w:rsid w:val="002F3965"/>
    <w:rsid w:val="002F3A2E"/>
    <w:rsid w:val="002F46DF"/>
    <w:rsid w:val="002F4880"/>
    <w:rsid w:val="002F6150"/>
    <w:rsid w:val="002F62C1"/>
    <w:rsid w:val="002F6B45"/>
    <w:rsid w:val="002F7C99"/>
    <w:rsid w:val="003027FA"/>
    <w:rsid w:val="00303A83"/>
    <w:rsid w:val="00305ADA"/>
    <w:rsid w:val="00306C42"/>
    <w:rsid w:val="00307B6F"/>
    <w:rsid w:val="00315A7C"/>
    <w:rsid w:val="003164F4"/>
    <w:rsid w:val="00320040"/>
    <w:rsid w:val="00321F09"/>
    <w:rsid w:val="0032446E"/>
    <w:rsid w:val="003248C7"/>
    <w:rsid w:val="00325E4D"/>
    <w:rsid w:val="0032669A"/>
    <w:rsid w:val="0032757B"/>
    <w:rsid w:val="003276D8"/>
    <w:rsid w:val="00327F54"/>
    <w:rsid w:val="00330130"/>
    <w:rsid w:val="00331309"/>
    <w:rsid w:val="00332788"/>
    <w:rsid w:val="00332AA1"/>
    <w:rsid w:val="0033307B"/>
    <w:rsid w:val="0033469B"/>
    <w:rsid w:val="003366D4"/>
    <w:rsid w:val="00341505"/>
    <w:rsid w:val="00343E37"/>
    <w:rsid w:val="00346162"/>
    <w:rsid w:val="003469B5"/>
    <w:rsid w:val="0034707D"/>
    <w:rsid w:val="00347383"/>
    <w:rsid w:val="0035150F"/>
    <w:rsid w:val="00352DFC"/>
    <w:rsid w:val="00353F04"/>
    <w:rsid w:val="00355B70"/>
    <w:rsid w:val="00355E50"/>
    <w:rsid w:val="00356CB5"/>
    <w:rsid w:val="003571C6"/>
    <w:rsid w:val="00357713"/>
    <w:rsid w:val="00361BD3"/>
    <w:rsid w:val="00363560"/>
    <w:rsid w:val="00366239"/>
    <w:rsid w:val="00366C6D"/>
    <w:rsid w:val="0036707F"/>
    <w:rsid w:val="0036721A"/>
    <w:rsid w:val="00367DDF"/>
    <w:rsid w:val="00372AA0"/>
    <w:rsid w:val="0037493A"/>
    <w:rsid w:val="00374FCA"/>
    <w:rsid w:val="00375B23"/>
    <w:rsid w:val="00376259"/>
    <w:rsid w:val="00376D96"/>
    <w:rsid w:val="003779DD"/>
    <w:rsid w:val="00377FA2"/>
    <w:rsid w:val="00381923"/>
    <w:rsid w:val="003820BF"/>
    <w:rsid w:val="00385913"/>
    <w:rsid w:val="003865A4"/>
    <w:rsid w:val="0038680D"/>
    <w:rsid w:val="00387171"/>
    <w:rsid w:val="0039136D"/>
    <w:rsid w:val="0039178E"/>
    <w:rsid w:val="00392CDC"/>
    <w:rsid w:val="00393847"/>
    <w:rsid w:val="00393AE4"/>
    <w:rsid w:val="00394151"/>
    <w:rsid w:val="00396700"/>
    <w:rsid w:val="00396C37"/>
    <w:rsid w:val="003A016C"/>
    <w:rsid w:val="003A18E1"/>
    <w:rsid w:val="003A18F6"/>
    <w:rsid w:val="003A1B6F"/>
    <w:rsid w:val="003A332D"/>
    <w:rsid w:val="003A36C7"/>
    <w:rsid w:val="003A40AA"/>
    <w:rsid w:val="003A5FE0"/>
    <w:rsid w:val="003A6113"/>
    <w:rsid w:val="003A6BCF"/>
    <w:rsid w:val="003B095B"/>
    <w:rsid w:val="003B22B5"/>
    <w:rsid w:val="003B3209"/>
    <w:rsid w:val="003B45D7"/>
    <w:rsid w:val="003B6554"/>
    <w:rsid w:val="003B70C9"/>
    <w:rsid w:val="003B76FB"/>
    <w:rsid w:val="003B7DE9"/>
    <w:rsid w:val="003C01BD"/>
    <w:rsid w:val="003C4217"/>
    <w:rsid w:val="003C4A57"/>
    <w:rsid w:val="003C4EDF"/>
    <w:rsid w:val="003C58E3"/>
    <w:rsid w:val="003C632B"/>
    <w:rsid w:val="003C66FE"/>
    <w:rsid w:val="003C6806"/>
    <w:rsid w:val="003D1485"/>
    <w:rsid w:val="003D1FAA"/>
    <w:rsid w:val="003D20BB"/>
    <w:rsid w:val="003D3732"/>
    <w:rsid w:val="003D3B67"/>
    <w:rsid w:val="003D4B1D"/>
    <w:rsid w:val="003E0E68"/>
    <w:rsid w:val="003E15DC"/>
    <w:rsid w:val="003E2E57"/>
    <w:rsid w:val="003E3ADC"/>
    <w:rsid w:val="003E40F9"/>
    <w:rsid w:val="003E4A00"/>
    <w:rsid w:val="003E6E4E"/>
    <w:rsid w:val="003F1BB2"/>
    <w:rsid w:val="003F2A20"/>
    <w:rsid w:val="003F2F86"/>
    <w:rsid w:val="003F553A"/>
    <w:rsid w:val="003F5AEF"/>
    <w:rsid w:val="003F5B66"/>
    <w:rsid w:val="00400417"/>
    <w:rsid w:val="00401864"/>
    <w:rsid w:val="00401993"/>
    <w:rsid w:val="00401B85"/>
    <w:rsid w:val="0040357C"/>
    <w:rsid w:val="00403704"/>
    <w:rsid w:val="00403A50"/>
    <w:rsid w:val="0040452A"/>
    <w:rsid w:val="00404774"/>
    <w:rsid w:val="0040491C"/>
    <w:rsid w:val="00404FEB"/>
    <w:rsid w:val="00405C4B"/>
    <w:rsid w:val="004078E0"/>
    <w:rsid w:val="00414A38"/>
    <w:rsid w:val="00415F01"/>
    <w:rsid w:val="00416281"/>
    <w:rsid w:val="0041670E"/>
    <w:rsid w:val="004169DA"/>
    <w:rsid w:val="004177F8"/>
    <w:rsid w:val="00420A7C"/>
    <w:rsid w:val="00421006"/>
    <w:rsid w:val="00421C48"/>
    <w:rsid w:val="004221F7"/>
    <w:rsid w:val="00426322"/>
    <w:rsid w:val="00426612"/>
    <w:rsid w:val="00426765"/>
    <w:rsid w:val="00431E2C"/>
    <w:rsid w:val="00432F5A"/>
    <w:rsid w:val="00432F7D"/>
    <w:rsid w:val="00434122"/>
    <w:rsid w:val="0043541A"/>
    <w:rsid w:val="0043606E"/>
    <w:rsid w:val="00440E5F"/>
    <w:rsid w:val="00441C99"/>
    <w:rsid w:val="00444673"/>
    <w:rsid w:val="00445A37"/>
    <w:rsid w:val="00445E9E"/>
    <w:rsid w:val="00446568"/>
    <w:rsid w:val="00446B4A"/>
    <w:rsid w:val="00446CF5"/>
    <w:rsid w:val="00450EB1"/>
    <w:rsid w:val="00453A5C"/>
    <w:rsid w:val="00453B83"/>
    <w:rsid w:val="004564B5"/>
    <w:rsid w:val="00456738"/>
    <w:rsid w:val="00457A57"/>
    <w:rsid w:val="004615D3"/>
    <w:rsid w:val="004631BB"/>
    <w:rsid w:val="00463ACF"/>
    <w:rsid w:val="00466657"/>
    <w:rsid w:val="00471DF8"/>
    <w:rsid w:val="00472125"/>
    <w:rsid w:val="00472E4C"/>
    <w:rsid w:val="00474434"/>
    <w:rsid w:val="004749A0"/>
    <w:rsid w:val="004757DB"/>
    <w:rsid w:val="00475855"/>
    <w:rsid w:val="004760D1"/>
    <w:rsid w:val="00476A8A"/>
    <w:rsid w:val="00477044"/>
    <w:rsid w:val="00477E86"/>
    <w:rsid w:val="00480884"/>
    <w:rsid w:val="00481E17"/>
    <w:rsid w:val="00482260"/>
    <w:rsid w:val="00483990"/>
    <w:rsid w:val="00486563"/>
    <w:rsid w:val="00490256"/>
    <w:rsid w:val="0049119E"/>
    <w:rsid w:val="0049337E"/>
    <w:rsid w:val="004939CC"/>
    <w:rsid w:val="0049428A"/>
    <w:rsid w:val="0049429B"/>
    <w:rsid w:val="004943D2"/>
    <w:rsid w:val="00494856"/>
    <w:rsid w:val="004954A7"/>
    <w:rsid w:val="004A07A0"/>
    <w:rsid w:val="004A2A23"/>
    <w:rsid w:val="004A2AC0"/>
    <w:rsid w:val="004A2C89"/>
    <w:rsid w:val="004A3A42"/>
    <w:rsid w:val="004A40E4"/>
    <w:rsid w:val="004A595A"/>
    <w:rsid w:val="004A684F"/>
    <w:rsid w:val="004A6F92"/>
    <w:rsid w:val="004B0FB8"/>
    <w:rsid w:val="004B18FD"/>
    <w:rsid w:val="004B23B9"/>
    <w:rsid w:val="004B2D97"/>
    <w:rsid w:val="004B347D"/>
    <w:rsid w:val="004B428A"/>
    <w:rsid w:val="004B59C9"/>
    <w:rsid w:val="004B631E"/>
    <w:rsid w:val="004B6CBA"/>
    <w:rsid w:val="004B7CEC"/>
    <w:rsid w:val="004C3115"/>
    <w:rsid w:val="004C41FF"/>
    <w:rsid w:val="004C53A8"/>
    <w:rsid w:val="004C6070"/>
    <w:rsid w:val="004D6132"/>
    <w:rsid w:val="004D6A27"/>
    <w:rsid w:val="004E0F73"/>
    <w:rsid w:val="004E10E6"/>
    <w:rsid w:val="004E20D0"/>
    <w:rsid w:val="004E2E4F"/>
    <w:rsid w:val="004E4AB3"/>
    <w:rsid w:val="004E4B26"/>
    <w:rsid w:val="004E5986"/>
    <w:rsid w:val="004E6431"/>
    <w:rsid w:val="004E71AB"/>
    <w:rsid w:val="004E77EC"/>
    <w:rsid w:val="004F13EC"/>
    <w:rsid w:val="004F2E85"/>
    <w:rsid w:val="004F42D7"/>
    <w:rsid w:val="004F48ED"/>
    <w:rsid w:val="004F5746"/>
    <w:rsid w:val="004F5C03"/>
    <w:rsid w:val="004F65D0"/>
    <w:rsid w:val="004F765A"/>
    <w:rsid w:val="00500528"/>
    <w:rsid w:val="00501097"/>
    <w:rsid w:val="005012FB"/>
    <w:rsid w:val="00503899"/>
    <w:rsid w:val="00505FC3"/>
    <w:rsid w:val="005061A2"/>
    <w:rsid w:val="0050760C"/>
    <w:rsid w:val="00507FD0"/>
    <w:rsid w:val="00510087"/>
    <w:rsid w:val="00510587"/>
    <w:rsid w:val="00511E91"/>
    <w:rsid w:val="005123FD"/>
    <w:rsid w:val="00512400"/>
    <w:rsid w:val="00512824"/>
    <w:rsid w:val="00513E3A"/>
    <w:rsid w:val="00514D59"/>
    <w:rsid w:val="00515D06"/>
    <w:rsid w:val="00517383"/>
    <w:rsid w:val="00520116"/>
    <w:rsid w:val="0052065A"/>
    <w:rsid w:val="005206C4"/>
    <w:rsid w:val="00520F31"/>
    <w:rsid w:val="0052130A"/>
    <w:rsid w:val="00521486"/>
    <w:rsid w:val="005225FC"/>
    <w:rsid w:val="00523155"/>
    <w:rsid w:val="00523F63"/>
    <w:rsid w:val="00525062"/>
    <w:rsid w:val="005258FE"/>
    <w:rsid w:val="00525CCE"/>
    <w:rsid w:val="00527E17"/>
    <w:rsid w:val="00531F41"/>
    <w:rsid w:val="00532D9B"/>
    <w:rsid w:val="00534EE5"/>
    <w:rsid w:val="00535C71"/>
    <w:rsid w:val="00541014"/>
    <w:rsid w:val="00541591"/>
    <w:rsid w:val="00542790"/>
    <w:rsid w:val="00542CEA"/>
    <w:rsid w:val="00543AC0"/>
    <w:rsid w:val="00543C6E"/>
    <w:rsid w:val="0054476B"/>
    <w:rsid w:val="00546F52"/>
    <w:rsid w:val="00547355"/>
    <w:rsid w:val="00550690"/>
    <w:rsid w:val="0055208A"/>
    <w:rsid w:val="005531A1"/>
    <w:rsid w:val="005532F5"/>
    <w:rsid w:val="00555650"/>
    <w:rsid w:val="00560DFA"/>
    <w:rsid w:val="005628C4"/>
    <w:rsid w:val="00562C56"/>
    <w:rsid w:val="00563B73"/>
    <w:rsid w:val="0056423B"/>
    <w:rsid w:val="005642FF"/>
    <w:rsid w:val="00565570"/>
    <w:rsid w:val="0056645F"/>
    <w:rsid w:val="0057060C"/>
    <w:rsid w:val="00570BBB"/>
    <w:rsid w:val="0057123A"/>
    <w:rsid w:val="00571601"/>
    <w:rsid w:val="005730AB"/>
    <w:rsid w:val="0057442C"/>
    <w:rsid w:val="005752A7"/>
    <w:rsid w:val="00575B32"/>
    <w:rsid w:val="00577FB0"/>
    <w:rsid w:val="0058067A"/>
    <w:rsid w:val="005833A7"/>
    <w:rsid w:val="00584F49"/>
    <w:rsid w:val="0058613B"/>
    <w:rsid w:val="005868E5"/>
    <w:rsid w:val="00587657"/>
    <w:rsid w:val="005908BB"/>
    <w:rsid w:val="00590ECB"/>
    <w:rsid w:val="005924A6"/>
    <w:rsid w:val="00593C1A"/>
    <w:rsid w:val="005942AA"/>
    <w:rsid w:val="00594CCA"/>
    <w:rsid w:val="00595DD0"/>
    <w:rsid w:val="00595FF2"/>
    <w:rsid w:val="00596168"/>
    <w:rsid w:val="00597A8B"/>
    <w:rsid w:val="00597B8B"/>
    <w:rsid w:val="005A0903"/>
    <w:rsid w:val="005A0A83"/>
    <w:rsid w:val="005A2901"/>
    <w:rsid w:val="005A2D25"/>
    <w:rsid w:val="005A3713"/>
    <w:rsid w:val="005A4488"/>
    <w:rsid w:val="005A45C3"/>
    <w:rsid w:val="005A4621"/>
    <w:rsid w:val="005A4C71"/>
    <w:rsid w:val="005A59E5"/>
    <w:rsid w:val="005A6964"/>
    <w:rsid w:val="005A7785"/>
    <w:rsid w:val="005B0276"/>
    <w:rsid w:val="005B0BF1"/>
    <w:rsid w:val="005B12BF"/>
    <w:rsid w:val="005B33FC"/>
    <w:rsid w:val="005B3418"/>
    <w:rsid w:val="005B3714"/>
    <w:rsid w:val="005B5847"/>
    <w:rsid w:val="005B6256"/>
    <w:rsid w:val="005B73FF"/>
    <w:rsid w:val="005C171D"/>
    <w:rsid w:val="005C17D5"/>
    <w:rsid w:val="005C1C49"/>
    <w:rsid w:val="005C4AEE"/>
    <w:rsid w:val="005C573C"/>
    <w:rsid w:val="005C684F"/>
    <w:rsid w:val="005C6963"/>
    <w:rsid w:val="005C6C62"/>
    <w:rsid w:val="005C6CEF"/>
    <w:rsid w:val="005C6D43"/>
    <w:rsid w:val="005D11BF"/>
    <w:rsid w:val="005D1EBD"/>
    <w:rsid w:val="005D3207"/>
    <w:rsid w:val="005D3F8D"/>
    <w:rsid w:val="005D4F8C"/>
    <w:rsid w:val="005D5210"/>
    <w:rsid w:val="005D5A60"/>
    <w:rsid w:val="005D6F72"/>
    <w:rsid w:val="005D74C9"/>
    <w:rsid w:val="005D7C80"/>
    <w:rsid w:val="005D7FC9"/>
    <w:rsid w:val="005E000A"/>
    <w:rsid w:val="005E235E"/>
    <w:rsid w:val="005E32A7"/>
    <w:rsid w:val="005E38FD"/>
    <w:rsid w:val="005E3DCC"/>
    <w:rsid w:val="005E4269"/>
    <w:rsid w:val="005E672D"/>
    <w:rsid w:val="005F04C0"/>
    <w:rsid w:val="005F1284"/>
    <w:rsid w:val="005F1425"/>
    <w:rsid w:val="005F1F28"/>
    <w:rsid w:val="005F34ED"/>
    <w:rsid w:val="005F59A6"/>
    <w:rsid w:val="005F5BAB"/>
    <w:rsid w:val="005F6203"/>
    <w:rsid w:val="005F656F"/>
    <w:rsid w:val="005F756B"/>
    <w:rsid w:val="00600329"/>
    <w:rsid w:val="00601C58"/>
    <w:rsid w:val="00602C6E"/>
    <w:rsid w:val="006051A2"/>
    <w:rsid w:val="00605485"/>
    <w:rsid w:val="00605D68"/>
    <w:rsid w:val="006060B9"/>
    <w:rsid w:val="006063BC"/>
    <w:rsid w:val="006105E0"/>
    <w:rsid w:val="006110D8"/>
    <w:rsid w:val="006123FF"/>
    <w:rsid w:val="00614263"/>
    <w:rsid w:val="00615D52"/>
    <w:rsid w:val="00615E84"/>
    <w:rsid w:val="00615F5E"/>
    <w:rsid w:val="00615FA1"/>
    <w:rsid w:val="00617592"/>
    <w:rsid w:val="006205E4"/>
    <w:rsid w:val="00621311"/>
    <w:rsid w:val="006225B9"/>
    <w:rsid w:val="00622BC3"/>
    <w:rsid w:val="00623243"/>
    <w:rsid w:val="00625097"/>
    <w:rsid w:val="00625EDC"/>
    <w:rsid w:val="0062743F"/>
    <w:rsid w:val="00631223"/>
    <w:rsid w:val="006329FC"/>
    <w:rsid w:val="00636E19"/>
    <w:rsid w:val="0063768A"/>
    <w:rsid w:val="00640559"/>
    <w:rsid w:val="00640B22"/>
    <w:rsid w:val="00641A2F"/>
    <w:rsid w:val="00642126"/>
    <w:rsid w:val="00642438"/>
    <w:rsid w:val="0064381C"/>
    <w:rsid w:val="006449B1"/>
    <w:rsid w:val="00644B59"/>
    <w:rsid w:val="006452F0"/>
    <w:rsid w:val="0064548D"/>
    <w:rsid w:val="006502B4"/>
    <w:rsid w:val="006515BF"/>
    <w:rsid w:val="00651BD6"/>
    <w:rsid w:val="006527E4"/>
    <w:rsid w:val="006530D0"/>
    <w:rsid w:val="00657C78"/>
    <w:rsid w:val="00660AF2"/>
    <w:rsid w:val="00660B41"/>
    <w:rsid w:val="00660FBE"/>
    <w:rsid w:val="00661B76"/>
    <w:rsid w:val="00662095"/>
    <w:rsid w:val="00663696"/>
    <w:rsid w:val="00663E3A"/>
    <w:rsid w:val="006670A1"/>
    <w:rsid w:val="00667CE4"/>
    <w:rsid w:val="0067226F"/>
    <w:rsid w:val="0067300E"/>
    <w:rsid w:val="006736B9"/>
    <w:rsid w:val="00675DC2"/>
    <w:rsid w:val="006770EC"/>
    <w:rsid w:val="0067716D"/>
    <w:rsid w:val="006773AD"/>
    <w:rsid w:val="00677ECE"/>
    <w:rsid w:val="00684BF5"/>
    <w:rsid w:val="00685DD6"/>
    <w:rsid w:val="006863A1"/>
    <w:rsid w:val="00690B3C"/>
    <w:rsid w:val="00692445"/>
    <w:rsid w:val="006927D3"/>
    <w:rsid w:val="00694A4E"/>
    <w:rsid w:val="0069652E"/>
    <w:rsid w:val="006A189E"/>
    <w:rsid w:val="006A3ED8"/>
    <w:rsid w:val="006A4495"/>
    <w:rsid w:val="006A4A8D"/>
    <w:rsid w:val="006A5803"/>
    <w:rsid w:val="006A5C69"/>
    <w:rsid w:val="006B0116"/>
    <w:rsid w:val="006B0E5C"/>
    <w:rsid w:val="006B11CE"/>
    <w:rsid w:val="006B2E9F"/>
    <w:rsid w:val="006B5291"/>
    <w:rsid w:val="006B5A0B"/>
    <w:rsid w:val="006B5F77"/>
    <w:rsid w:val="006B7AD5"/>
    <w:rsid w:val="006C0861"/>
    <w:rsid w:val="006C14AC"/>
    <w:rsid w:val="006C28ED"/>
    <w:rsid w:val="006C3687"/>
    <w:rsid w:val="006C54B4"/>
    <w:rsid w:val="006C606D"/>
    <w:rsid w:val="006C6663"/>
    <w:rsid w:val="006C6D03"/>
    <w:rsid w:val="006C7222"/>
    <w:rsid w:val="006D0C04"/>
    <w:rsid w:val="006D2174"/>
    <w:rsid w:val="006D22DE"/>
    <w:rsid w:val="006D2B31"/>
    <w:rsid w:val="006D364E"/>
    <w:rsid w:val="006D4380"/>
    <w:rsid w:val="006D5DA3"/>
    <w:rsid w:val="006D5DB2"/>
    <w:rsid w:val="006D669E"/>
    <w:rsid w:val="006E0239"/>
    <w:rsid w:val="006E2391"/>
    <w:rsid w:val="006E6814"/>
    <w:rsid w:val="006E751C"/>
    <w:rsid w:val="006E7AF6"/>
    <w:rsid w:val="006E7EFD"/>
    <w:rsid w:val="006F10E9"/>
    <w:rsid w:val="006F1C77"/>
    <w:rsid w:val="006F25DD"/>
    <w:rsid w:val="006F3571"/>
    <w:rsid w:val="006F38A7"/>
    <w:rsid w:val="006F4327"/>
    <w:rsid w:val="006F43CC"/>
    <w:rsid w:val="006F4B03"/>
    <w:rsid w:val="006F4B7E"/>
    <w:rsid w:val="006F4CE9"/>
    <w:rsid w:val="006F599E"/>
    <w:rsid w:val="00702BFD"/>
    <w:rsid w:val="00703F42"/>
    <w:rsid w:val="00703F43"/>
    <w:rsid w:val="00705996"/>
    <w:rsid w:val="00705D57"/>
    <w:rsid w:val="00706395"/>
    <w:rsid w:val="00707905"/>
    <w:rsid w:val="00711528"/>
    <w:rsid w:val="007116B8"/>
    <w:rsid w:val="0071410C"/>
    <w:rsid w:val="007141C5"/>
    <w:rsid w:val="007143FC"/>
    <w:rsid w:val="00716971"/>
    <w:rsid w:val="00716CDB"/>
    <w:rsid w:val="00720C30"/>
    <w:rsid w:val="00721D0B"/>
    <w:rsid w:val="00723B8B"/>
    <w:rsid w:val="00724B1D"/>
    <w:rsid w:val="00726EC9"/>
    <w:rsid w:val="00731B91"/>
    <w:rsid w:val="00732278"/>
    <w:rsid w:val="007330FF"/>
    <w:rsid w:val="007341EA"/>
    <w:rsid w:val="0073484E"/>
    <w:rsid w:val="00740EAB"/>
    <w:rsid w:val="00740FDF"/>
    <w:rsid w:val="00742714"/>
    <w:rsid w:val="007445B9"/>
    <w:rsid w:val="007466CA"/>
    <w:rsid w:val="00747AAE"/>
    <w:rsid w:val="00750261"/>
    <w:rsid w:val="00750535"/>
    <w:rsid w:val="00752A89"/>
    <w:rsid w:val="00754442"/>
    <w:rsid w:val="007546FB"/>
    <w:rsid w:val="00754701"/>
    <w:rsid w:val="00755ADC"/>
    <w:rsid w:val="00755C84"/>
    <w:rsid w:val="00755EBE"/>
    <w:rsid w:val="00757BB2"/>
    <w:rsid w:val="007611D2"/>
    <w:rsid w:val="007612B7"/>
    <w:rsid w:val="00763234"/>
    <w:rsid w:val="00763303"/>
    <w:rsid w:val="007636FC"/>
    <w:rsid w:val="00765E0B"/>
    <w:rsid w:val="0076624F"/>
    <w:rsid w:val="00766E03"/>
    <w:rsid w:val="00767AFA"/>
    <w:rsid w:val="00770DB4"/>
    <w:rsid w:val="007711F2"/>
    <w:rsid w:val="007719C9"/>
    <w:rsid w:val="007728E1"/>
    <w:rsid w:val="00773D4C"/>
    <w:rsid w:val="0077513A"/>
    <w:rsid w:val="00780940"/>
    <w:rsid w:val="00781286"/>
    <w:rsid w:val="00782D82"/>
    <w:rsid w:val="00782DAD"/>
    <w:rsid w:val="00784798"/>
    <w:rsid w:val="00784E3D"/>
    <w:rsid w:val="007856A2"/>
    <w:rsid w:val="00786868"/>
    <w:rsid w:val="0078743B"/>
    <w:rsid w:val="007874F0"/>
    <w:rsid w:val="00790B67"/>
    <w:rsid w:val="0079142A"/>
    <w:rsid w:val="00791DAF"/>
    <w:rsid w:val="00796975"/>
    <w:rsid w:val="00796E17"/>
    <w:rsid w:val="00797ACF"/>
    <w:rsid w:val="00797C2D"/>
    <w:rsid w:val="007A00CC"/>
    <w:rsid w:val="007A230D"/>
    <w:rsid w:val="007A2CFB"/>
    <w:rsid w:val="007A3F35"/>
    <w:rsid w:val="007A548D"/>
    <w:rsid w:val="007A6DE8"/>
    <w:rsid w:val="007A776C"/>
    <w:rsid w:val="007A7C1F"/>
    <w:rsid w:val="007B0416"/>
    <w:rsid w:val="007B091A"/>
    <w:rsid w:val="007B1882"/>
    <w:rsid w:val="007B1A5B"/>
    <w:rsid w:val="007B3166"/>
    <w:rsid w:val="007B36FE"/>
    <w:rsid w:val="007B38C6"/>
    <w:rsid w:val="007B5EF7"/>
    <w:rsid w:val="007B69B3"/>
    <w:rsid w:val="007B6F07"/>
    <w:rsid w:val="007B77AC"/>
    <w:rsid w:val="007B7ACC"/>
    <w:rsid w:val="007C0207"/>
    <w:rsid w:val="007C077C"/>
    <w:rsid w:val="007C1D1F"/>
    <w:rsid w:val="007C271E"/>
    <w:rsid w:val="007C2D26"/>
    <w:rsid w:val="007C3132"/>
    <w:rsid w:val="007C3D43"/>
    <w:rsid w:val="007C4F6F"/>
    <w:rsid w:val="007C6384"/>
    <w:rsid w:val="007C6FF5"/>
    <w:rsid w:val="007C75B5"/>
    <w:rsid w:val="007C7844"/>
    <w:rsid w:val="007D103B"/>
    <w:rsid w:val="007D2560"/>
    <w:rsid w:val="007D2F39"/>
    <w:rsid w:val="007D67C9"/>
    <w:rsid w:val="007D6B2A"/>
    <w:rsid w:val="007D7DE3"/>
    <w:rsid w:val="007E1CCA"/>
    <w:rsid w:val="007E3EDE"/>
    <w:rsid w:val="007E421E"/>
    <w:rsid w:val="007E4427"/>
    <w:rsid w:val="007E66AC"/>
    <w:rsid w:val="007E7A89"/>
    <w:rsid w:val="007F04B4"/>
    <w:rsid w:val="007F314A"/>
    <w:rsid w:val="007F3948"/>
    <w:rsid w:val="007F4AA4"/>
    <w:rsid w:val="007F5D99"/>
    <w:rsid w:val="007F62B4"/>
    <w:rsid w:val="007F6C5E"/>
    <w:rsid w:val="007F76A0"/>
    <w:rsid w:val="007F799A"/>
    <w:rsid w:val="007F7A3B"/>
    <w:rsid w:val="0080024D"/>
    <w:rsid w:val="00800A52"/>
    <w:rsid w:val="00800C1D"/>
    <w:rsid w:val="00802A8E"/>
    <w:rsid w:val="00802BBE"/>
    <w:rsid w:val="00805EA4"/>
    <w:rsid w:val="0080723B"/>
    <w:rsid w:val="008151EF"/>
    <w:rsid w:val="008161A6"/>
    <w:rsid w:val="00816660"/>
    <w:rsid w:val="00817772"/>
    <w:rsid w:val="00817F44"/>
    <w:rsid w:val="00820124"/>
    <w:rsid w:val="0082048F"/>
    <w:rsid w:val="00820EDD"/>
    <w:rsid w:val="0082185E"/>
    <w:rsid w:val="00823313"/>
    <w:rsid w:val="008235DC"/>
    <w:rsid w:val="00825B54"/>
    <w:rsid w:val="00825D08"/>
    <w:rsid w:val="00826D16"/>
    <w:rsid w:val="008276A6"/>
    <w:rsid w:val="00827C94"/>
    <w:rsid w:val="00830885"/>
    <w:rsid w:val="008327BA"/>
    <w:rsid w:val="008358D1"/>
    <w:rsid w:val="0083673C"/>
    <w:rsid w:val="00837D4C"/>
    <w:rsid w:val="008431C2"/>
    <w:rsid w:val="00851CF8"/>
    <w:rsid w:val="00851EBA"/>
    <w:rsid w:val="00854038"/>
    <w:rsid w:val="00856A7A"/>
    <w:rsid w:val="008600C0"/>
    <w:rsid w:val="00860129"/>
    <w:rsid w:val="00860E50"/>
    <w:rsid w:val="008625E5"/>
    <w:rsid w:val="00863C2B"/>
    <w:rsid w:val="008678BC"/>
    <w:rsid w:val="00874161"/>
    <w:rsid w:val="008742F3"/>
    <w:rsid w:val="008756CE"/>
    <w:rsid w:val="00876E1A"/>
    <w:rsid w:val="00880014"/>
    <w:rsid w:val="008800C7"/>
    <w:rsid w:val="00880C30"/>
    <w:rsid w:val="00881B8B"/>
    <w:rsid w:val="008836D1"/>
    <w:rsid w:val="00883B51"/>
    <w:rsid w:val="00886ABC"/>
    <w:rsid w:val="0089105F"/>
    <w:rsid w:val="0089195C"/>
    <w:rsid w:val="00891AF0"/>
    <w:rsid w:val="00892643"/>
    <w:rsid w:val="00893286"/>
    <w:rsid w:val="00894B68"/>
    <w:rsid w:val="00895F87"/>
    <w:rsid w:val="00896CEC"/>
    <w:rsid w:val="00896F03"/>
    <w:rsid w:val="008A0FF4"/>
    <w:rsid w:val="008A1E32"/>
    <w:rsid w:val="008A1FE6"/>
    <w:rsid w:val="008A2D19"/>
    <w:rsid w:val="008A7E4B"/>
    <w:rsid w:val="008B1603"/>
    <w:rsid w:val="008B1B8C"/>
    <w:rsid w:val="008B1E2E"/>
    <w:rsid w:val="008B24FE"/>
    <w:rsid w:val="008B3FC1"/>
    <w:rsid w:val="008B5AE4"/>
    <w:rsid w:val="008B5BF9"/>
    <w:rsid w:val="008B65DF"/>
    <w:rsid w:val="008B765D"/>
    <w:rsid w:val="008B77EC"/>
    <w:rsid w:val="008C039F"/>
    <w:rsid w:val="008C03FE"/>
    <w:rsid w:val="008C09C6"/>
    <w:rsid w:val="008C0E4F"/>
    <w:rsid w:val="008C3A7B"/>
    <w:rsid w:val="008C45DF"/>
    <w:rsid w:val="008C4B4F"/>
    <w:rsid w:val="008C4F4C"/>
    <w:rsid w:val="008C571F"/>
    <w:rsid w:val="008C586F"/>
    <w:rsid w:val="008C58DA"/>
    <w:rsid w:val="008D0BE6"/>
    <w:rsid w:val="008D1136"/>
    <w:rsid w:val="008D1BBE"/>
    <w:rsid w:val="008D1F53"/>
    <w:rsid w:val="008D2660"/>
    <w:rsid w:val="008D2D06"/>
    <w:rsid w:val="008D38FC"/>
    <w:rsid w:val="008D4D40"/>
    <w:rsid w:val="008D6DD8"/>
    <w:rsid w:val="008E1838"/>
    <w:rsid w:val="008E1B51"/>
    <w:rsid w:val="008E25F9"/>
    <w:rsid w:val="008F0439"/>
    <w:rsid w:val="008F066B"/>
    <w:rsid w:val="008F102B"/>
    <w:rsid w:val="008F3817"/>
    <w:rsid w:val="008F3B78"/>
    <w:rsid w:val="008F446F"/>
    <w:rsid w:val="008F5765"/>
    <w:rsid w:val="008F6A8A"/>
    <w:rsid w:val="00901561"/>
    <w:rsid w:val="0090285E"/>
    <w:rsid w:val="00902D7A"/>
    <w:rsid w:val="00904186"/>
    <w:rsid w:val="009061BE"/>
    <w:rsid w:val="00906E66"/>
    <w:rsid w:val="00907C49"/>
    <w:rsid w:val="00910652"/>
    <w:rsid w:val="00910DCD"/>
    <w:rsid w:val="00911BC8"/>
    <w:rsid w:val="00912E1E"/>
    <w:rsid w:val="009143BC"/>
    <w:rsid w:val="009146BD"/>
    <w:rsid w:val="009167CD"/>
    <w:rsid w:val="00917A60"/>
    <w:rsid w:val="0092096F"/>
    <w:rsid w:val="00923004"/>
    <w:rsid w:val="00923086"/>
    <w:rsid w:val="0092450C"/>
    <w:rsid w:val="00926008"/>
    <w:rsid w:val="00926105"/>
    <w:rsid w:val="0092668D"/>
    <w:rsid w:val="0092707D"/>
    <w:rsid w:val="009271BD"/>
    <w:rsid w:val="0092741B"/>
    <w:rsid w:val="00930CCA"/>
    <w:rsid w:val="00932234"/>
    <w:rsid w:val="00934EFA"/>
    <w:rsid w:val="00935B63"/>
    <w:rsid w:val="0093650C"/>
    <w:rsid w:val="00936698"/>
    <w:rsid w:val="00940F88"/>
    <w:rsid w:val="0094129D"/>
    <w:rsid w:val="00942DEA"/>
    <w:rsid w:val="00943305"/>
    <w:rsid w:val="00943323"/>
    <w:rsid w:val="0094437D"/>
    <w:rsid w:val="009459A6"/>
    <w:rsid w:val="00947FDF"/>
    <w:rsid w:val="00950A11"/>
    <w:rsid w:val="00951A6B"/>
    <w:rsid w:val="00953C47"/>
    <w:rsid w:val="00954197"/>
    <w:rsid w:val="00954582"/>
    <w:rsid w:val="0096290B"/>
    <w:rsid w:val="009651B1"/>
    <w:rsid w:val="00965814"/>
    <w:rsid w:val="00965C77"/>
    <w:rsid w:val="009678F4"/>
    <w:rsid w:val="00970F1F"/>
    <w:rsid w:val="00971F30"/>
    <w:rsid w:val="00974A26"/>
    <w:rsid w:val="00974FC7"/>
    <w:rsid w:val="009769AF"/>
    <w:rsid w:val="00977CFB"/>
    <w:rsid w:val="009811B0"/>
    <w:rsid w:val="0098138B"/>
    <w:rsid w:val="00983085"/>
    <w:rsid w:val="00983383"/>
    <w:rsid w:val="00990692"/>
    <w:rsid w:val="00991375"/>
    <w:rsid w:val="009931E6"/>
    <w:rsid w:val="00994766"/>
    <w:rsid w:val="009950AC"/>
    <w:rsid w:val="00995EC3"/>
    <w:rsid w:val="00997F5C"/>
    <w:rsid w:val="009A17AE"/>
    <w:rsid w:val="009A209F"/>
    <w:rsid w:val="009A2DBF"/>
    <w:rsid w:val="009A3B4B"/>
    <w:rsid w:val="009A3FD4"/>
    <w:rsid w:val="009A5A27"/>
    <w:rsid w:val="009A5AB6"/>
    <w:rsid w:val="009A68C8"/>
    <w:rsid w:val="009A693A"/>
    <w:rsid w:val="009A6FE2"/>
    <w:rsid w:val="009B0B4B"/>
    <w:rsid w:val="009B1352"/>
    <w:rsid w:val="009B24DF"/>
    <w:rsid w:val="009B2E9C"/>
    <w:rsid w:val="009B4200"/>
    <w:rsid w:val="009B7AF3"/>
    <w:rsid w:val="009C15AC"/>
    <w:rsid w:val="009C49FD"/>
    <w:rsid w:val="009C5CFE"/>
    <w:rsid w:val="009C644A"/>
    <w:rsid w:val="009C66F7"/>
    <w:rsid w:val="009C7B8E"/>
    <w:rsid w:val="009C7E5F"/>
    <w:rsid w:val="009D6B3A"/>
    <w:rsid w:val="009E1BB2"/>
    <w:rsid w:val="009E20A6"/>
    <w:rsid w:val="009E270C"/>
    <w:rsid w:val="009E3BE4"/>
    <w:rsid w:val="009E3C86"/>
    <w:rsid w:val="009E73B8"/>
    <w:rsid w:val="009F042C"/>
    <w:rsid w:val="009F1EC5"/>
    <w:rsid w:val="009F2196"/>
    <w:rsid w:val="009F32C9"/>
    <w:rsid w:val="009F4EEA"/>
    <w:rsid w:val="009F6F2F"/>
    <w:rsid w:val="009F7F73"/>
    <w:rsid w:val="00A012B8"/>
    <w:rsid w:val="00A017AE"/>
    <w:rsid w:val="00A04D57"/>
    <w:rsid w:val="00A06A72"/>
    <w:rsid w:val="00A11B49"/>
    <w:rsid w:val="00A129FA"/>
    <w:rsid w:val="00A12FD8"/>
    <w:rsid w:val="00A136A8"/>
    <w:rsid w:val="00A14DCC"/>
    <w:rsid w:val="00A16127"/>
    <w:rsid w:val="00A161F6"/>
    <w:rsid w:val="00A16FFB"/>
    <w:rsid w:val="00A211F7"/>
    <w:rsid w:val="00A21E12"/>
    <w:rsid w:val="00A22284"/>
    <w:rsid w:val="00A22F6B"/>
    <w:rsid w:val="00A24A57"/>
    <w:rsid w:val="00A26F05"/>
    <w:rsid w:val="00A27685"/>
    <w:rsid w:val="00A318E0"/>
    <w:rsid w:val="00A323D0"/>
    <w:rsid w:val="00A3322A"/>
    <w:rsid w:val="00A3483F"/>
    <w:rsid w:val="00A34CA8"/>
    <w:rsid w:val="00A359B4"/>
    <w:rsid w:val="00A35E4C"/>
    <w:rsid w:val="00A37E28"/>
    <w:rsid w:val="00A40860"/>
    <w:rsid w:val="00A41AD6"/>
    <w:rsid w:val="00A4216C"/>
    <w:rsid w:val="00A439F6"/>
    <w:rsid w:val="00A43D20"/>
    <w:rsid w:val="00A43EA9"/>
    <w:rsid w:val="00A442D1"/>
    <w:rsid w:val="00A44E36"/>
    <w:rsid w:val="00A52342"/>
    <w:rsid w:val="00A53810"/>
    <w:rsid w:val="00A5482E"/>
    <w:rsid w:val="00A548A7"/>
    <w:rsid w:val="00A54FF1"/>
    <w:rsid w:val="00A555C4"/>
    <w:rsid w:val="00A55A9B"/>
    <w:rsid w:val="00A5646B"/>
    <w:rsid w:val="00A57A8F"/>
    <w:rsid w:val="00A57F2C"/>
    <w:rsid w:val="00A6038A"/>
    <w:rsid w:val="00A604A0"/>
    <w:rsid w:val="00A610FA"/>
    <w:rsid w:val="00A61E14"/>
    <w:rsid w:val="00A622A3"/>
    <w:rsid w:val="00A643C4"/>
    <w:rsid w:val="00A64A74"/>
    <w:rsid w:val="00A65CCA"/>
    <w:rsid w:val="00A65EAD"/>
    <w:rsid w:val="00A65FE5"/>
    <w:rsid w:val="00A665D9"/>
    <w:rsid w:val="00A66658"/>
    <w:rsid w:val="00A67AE1"/>
    <w:rsid w:val="00A700AA"/>
    <w:rsid w:val="00A708DC"/>
    <w:rsid w:val="00A71714"/>
    <w:rsid w:val="00A71C7F"/>
    <w:rsid w:val="00A72927"/>
    <w:rsid w:val="00A73592"/>
    <w:rsid w:val="00A7444A"/>
    <w:rsid w:val="00A74C2E"/>
    <w:rsid w:val="00A7621E"/>
    <w:rsid w:val="00A7762B"/>
    <w:rsid w:val="00A80E8C"/>
    <w:rsid w:val="00A81194"/>
    <w:rsid w:val="00A83F96"/>
    <w:rsid w:val="00A84F43"/>
    <w:rsid w:val="00A8729A"/>
    <w:rsid w:val="00A90CA2"/>
    <w:rsid w:val="00A918A7"/>
    <w:rsid w:val="00A91D3B"/>
    <w:rsid w:val="00A91EE8"/>
    <w:rsid w:val="00A92E81"/>
    <w:rsid w:val="00A948E8"/>
    <w:rsid w:val="00A94E5C"/>
    <w:rsid w:val="00A96DC6"/>
    <w:rsid w:val="00A976AA"/>
    <w:rsid w:val="00AA089D"/>
    <w:rsid w:val="00AA1B0D"/>
    <w:rsid w:val="00AA1C2F"/>
    <w:rsid w:val="00AA2416"/>
    <w:rsid w:val="00AA2B1E"/>
    <w:rsid w:val="00AA3702"/>
    <w:rsid w:val="00AA6236"/>
    <w:rsid w:val="00AA6BF5"/>
    <w:rsid w:val="00AA72FC"/>
    <w:rsid w:val="00AA7857"/>
    <w:rsid w:val="00AA79D4"/>
    <w:rsid w:val="00AA7C5C"/>
    <w:rsid w:val="00AB095C"/>
    <w:rsid w:val="00AB0A84"/>
    <w:rsid w:val="00AB1FE3"/>
    <w:rsid w:val="00AB2B09"/>
    <w:rsid w:val="00AB3218"/>
    <w:rsid w:val="00AB443C"/>
    <w:rsid w:val="00AB47C1"/>
    <w:rsid w:val="00AB4E87"/>
    <w:rsid w:val="00AB7BB1"/>
    <w:rsid w:val="00AB7E55"/>
    <w:rsid w:val="00AC061D"/>
    <w:rsid w:val="00AC0C6B"/>
    <w:rsid w:val="00AC2076"/>
    <w:rsid w:val="00AC44B8"/>
    <w:rsid w:val="00AC44C8"/>
    <w:rsid w:val="00AC644D"/>
    <w:rsid w:val="00AC7179"/>
    <w:rsid w:val="00AC7294"/>
    <w:rsid w:val="00AC77BC"/>
    <w:rsid w:val="00AD000C"/>
    <w:rsid w:val="00AD0532"/>
    <w:rsid w:val="00AD0B23"/>
    <w:rsid w:val="00AD1D6D"/>
    <w:rsid w:val="00AD268C"/>
    <w:rsid w:val="00AD5187"/>
    <w:rsid w:val="00AD60F2"/>
    <w:rsid w:val="00AE138D"/>
    <w:rsid w:val="00AE30B7"/>
    <w:rsid w:val="00AE56B0"/>
    <w:rsid w:val="00AE683F"/>
    <w:rsid w:val="00AE6C64"/>
    <w:rsid w:val="00AE6D27"/>
    <w:rsid w:val="00AE7149"/>
    <w:rsid w:val="00AE7271"/>
    <w:rsid w:val="00AE7280"/>
    <w:rsid w:val="00AE7BD3"/>
    <w:rsid w:val="00AF0328"/>
    <w:rsid w:val="00AF0378"/>
    <w:rsid w:val="00AF0884"/>
    <w:rsid w:val="00AF1D72"/>
    <w:rsid w:val="00AF2FEF"/>
    <w:rsid w:val="00AF3AB1"/>
    <w:rsid w:val="00AF3DE9"/>
    <w:rsid w:val="00AF3F59"/>
    <w:rsid w:val="00AF5562"/>
    <w:rsid w:val="00AF57CD"/>
    <w:rsid w:val="00AF736D"/>
    <w:rsid w:val="00AF739A"/>
    <w:rsid w:val="00AF77DD"/>
    <w:rsid w:val="00B00E09"/>
    <w:rsid w:val="00B00E66"/>
    <w:rsid w:val="00B020F4"/>
    <w:rsid w:val="00B03C0A"/>
    <w:rsid w:val="00B04EB1"/>
    <w:rsid w:val="00B05A7A"/>
    <w:rsid w:val="00B06E6B"/>
    <w:rsid w:val="00B07CAF"/>
    <w:rsid w:val="00B104CE"/>
    <w:rsid w:val="00B12590"/>
    <w:rsid w:val="00B12B44"/>
    <w:rsid w:val="00B12F5E"/>
    <w:rsid w:val="00B15891"/>
    <w:rsid w:val="00B16154"/>
    <w:rsid w:val="00B20031"/>
    <w:rsid w:val="00B20D7D"/>
    <w:rsid w:val="00B21D26"/>
    <w:rsid w:val="00B21FD8"/>
    <w:rsid w:val="00B22A86"/>
    <w:rsid w:val="00B23020"/>
    <w:rsid w:val="00B24D16"/>
    <w:rsid w:val="00B25629"/>
    <w:rsid w:val="00B25BB6"/>
    <w:rsid w:val="00B2602F"/>
    <w:rsid w:val="00B26CFD"/>
    <w:rsid w:val="00B27042"/>
    <w:rsid w:val="00B30573"/>
    <w:rsid w:val="00B305DA"/>
    <w:rsid w:val="00B30BDF"/>
    <w:rsid w:val="00B30CAE"/>
    <w:rsid w:val="00B319A1"/>
    <w:rsid w:val="00B32788"/>
    <w:rsid w:val="00B335DC"/>
    <w:rsid w:val="00B33992"/>
    <w:rsid w:val="00B349C6"/>
    <w:rsid w:val="00B34A3D"/>
    <w:rsid w:val="00B351C4"/>
    <w:rsid w:val="00B354A3"/>
    <w:rsid w:val="00B408D8"/>
    <w:rsid w:val="00B412B1"/>
    <w:rsid w:val="00B4133B"/>
    <w:rsid w:val="00B41423"/>
    <w:rsid w:val="00B4397E"/>
    <w:rsid w:val="00B44437"/>
    <w:rsid w:val="00B44F6E"/>
    <w:rsid w:val="00B4597B"/>
    <w:rsid w:val="00B461C1"/>
    <w:rsid w:val="00B50F53"/>
    <w:rsid w:val="00B5100D"/>
    <w:rsid w:val="00B52D9B"/>
    <w:rsid w:val="00B53866"/>
    <w:rsid w:val="00B540A2"/>
    <w:rsid w:val="00B5468E"/>
    <w:rsid w:val="00B55D3D"/>
    <w:rsid w:val="00B55EE6"/>
    <w:rsid w:val="00B56387"/>
    <w:rsid w:val="00B56BB2"/>
    <w:rsid w:val="00B57593"/>
    <w:rsid w:val="00B57C76"/>
    <w:rsid w:val="00B61767"/>
    <w:rsid w:val="00B61CC8"/>
    <w:rsid w:val="00B61EAA"/>
    <w:rsid w:val="00B62B35"/>
    <w:rsid w:val="00B63A21"/>
    <w:rsid w:val="00B63B18"/>
    <w:rsid w:val="00B63D50"/>
    <w:rsid w:val="00B642F4"/>
    <w:rsid w:val="00B664FB"/>
    <w:rsid w:val="00B666A1"/>
    <w:rsid w:val="00B67179"/>
    <w:rsid w:val="00B70DD3"/>
    <w:rsid w:val="00B71D12"/>
    <w:rsid w:val="00B726A8"/>
    <w:rsid w:val="00B7274A"/>
    <w:rsid w:val="00B73797"/>
    <w:rsid w:val="00B7549A"/>
    <w:rsid w:val="00B75DC7"/>
    <w:rsid w:val="00B8135C"/>
    <w:rsid w:val="00B814C3"/>
    <w:rsid w:val="00B818E2"/>
    <w:rsid w:val="00B821BD"/>
    <w:rsid w:val="00B8272F"/>
    <w:rsid w:val="00B85277"/>
    <w:rsid w:val="00B85A06"/>
    <w:rsid w:val="00B8735F"/>
    <w:rsid w:val="00B90699"/>
    <w:rsid w:val="00B90D6C"/>
    <w:rsid w:val="00B920D0"/>
    <w:rsid w:val="00B937C6"/>
    <w:rsid w:val="00B94B24"/>
    <w:rsid w:val="00B9609E"/>
    <w:rsid w:val="00B97BB3"/>
    <w:rsid w:val="00BA0421"/>
    <w:rsid w:val="00BA2194"/>
    <w:rsid w:val="00BA646A"/>
    <w:rsid w:val="00BB091F"/>
    <w:rsid w:val="00BB1FDC"/>
    <w:rsid w:val="00BB2542"/>
    <w:rsid w:val="00BB2EB4"/>
    <w:rsid w:val="00BB4AF8"/>
    <w:rsid w:val="00BB4C49"/>
    <w:rsid w:val="00BB6F98"/>
    <w:rsid w:val="00BC263E"/>
    <w:rsid w:val="00BC2796"/>
    <w:rsid w:val="00BC4623"/>
    <w:rsid w:val="00BC5516"/>
    <w:rsid w:val="00BC6873"/>
    <w:rsid w:val="00BD01A2"/>
    <w:rsid w:val="00BD29EF"/>
    <w:rsid w:val="00BD5EF5"/>
    <w:rsid w:val="00BD656B"/>
    <w:rsid w:val="00BD6948"/>
    <w:rsid w:val="00BD7FC7"/>
    <w:rsid w:val="00BE0B8B"/>
    <w:rsid w:val="00BE6019"/>
    <w:rsid w:val="00BE6A28"/>
    <w:rsid w:val="00BE6D32"/>
    <w:rsid w:val="00BE7838"/>
    <w:rsid w:val="00BF1A26"/>
    <w:rsid w:val="00BF1FE4"/>
    <w:rsid w:val="00BF45FE"/>
    <w:rsid w:val="00BF4AAD"/>
    <w:rsid w:val="00BF4E06"/>
    <w:rsid w:val="00BF5628"/>
    <w:rsid w:val="00BF6554"/>
    <w:rsid w:val="00BF683C"/>
    <w:rsid w:val="00BF6D52"/>
    <w:rsid w:val="00C02EF2"/>
    <w:rsid w:val="00C03476"/>
    <w:rsid w:val="00C03F66"/>
    <w:rsid w:val="00C0573C"/>
    <w:rsid w:val="00C073D1"/>
    <w:rsid w:val="00C0747F"/>
    <w:rsid w:val="00C11505"/>
    <w:rsid w:val="00C1241F"/>
    <w:rsid w:val="00C12B51"/>
    <w:rsid w:val="00C12C54"/>
    <w:rsid w:val="00C12D79"/>
    <w:rsid w:val="00C15C8D"/>
    <w:rsid w:val="00C16D61"/>
    <w:rsid w:val="00C208CF"/>
    <w:rsid w:val="00C20DE2"/>
    <w:rsid w:val="00C20F9B"/>
    <w:rsid w:val="00C2102E"/>
    <w:rsid w:val="00C22BC8"/>
    <w:rsid w:val="00C24E45"/>
    <w:rsid w:val="00C2535D"/>
    <w:rsid w:val="00C2650C"/>
    <w:rsid w:val="00C2754E"/>
    <w:rsid w:val="00C34034"/>
    <w:rsid w:val="00C34ED3"/>
    <w:rsid w:val="00C34F91"/>
    <w:rsid w:val="00C35820"/>
    <w:rsid w:val="00C36453"/>
    <w:rsid w:val="00C37996"/>
    <w:rsid w:val="00C37CCE"/>
    <w:rsid w:val="00C40030"/>
    <w:rsid w:val="00C40B62"/>
    <w:rsid w:val="00C42064"/>
    <w:rsid w:val="00C42DE6"/>
    <w:rsid w:val="00C4300E"/>
    <w:rsid w:val="00C44D49"/>
    <w:rsid w:val="00C4637B"/>
    <w:rsid w:val="00C46839"/>
    <w:rsid w:val="00C46E6B"/>
    <w:rsid w:val="00C47273"/>
    <w:rsid w:val="00C4729F"/>
    <w:rsid w:val="00C47499"/>
    <w:rsid w:val="00C478FA"/>
    <w:rsid w:val="00C47913"/>
    <w:rsid w:val="00C47F7E"/>
    <w:rsid w:val="00C5038D"/>
    <w:rsid w:val="00C5046B"/>
    <w:rsid w:val="00C51D77"/>
    <w:rsid w:val="00C530C9"/>
    <w:rsid w:val="00C536D0"/>
    <w:rsid w:val="00C55196"/>
    <w:rsid w:val="00C5527A"/>
    <w:rsid w:val="00C55CE1"/>
    <w:rsid w:val="00C55DAD"/>
    <w:rsid w:val="00C56B9B"/>
    <w:rsid w:val="00C573D7"/>
    <w:rsid w:val="00C574E0"/>
    <w:rsid w:val="00C604DA"/>
    <w:rsid w:val="00C618B1"/>
    <w:rsid w:val="00C62303"/>
    <w:rsid w:val="00C62B72"/>
    <w:rsid w:val="00C632E5"/>
    <w:rsid w:val="00C6407C"/>
    <w:rsid w:val="00C65B7B"/>
    <w:rsid w:val="00C65E67"/>
    <w:rsid w:val="00C660E0"/>
    <w:rsid w:val="00C6656F"/>
    <w:rsid w:val="00C66E7E"/>
    <w:rsid w:val="00C66FB1"/>
    <w:rsid w:val="00C67610"/>
    <w:rsid w:val="00C67BD6"/>
    <w:rsid w:val="00C727C7"/>
    <w:rsid w:val="00C7355D"/>
    <w:rsid w:val="00C73C27"/>
    <w:rsid w:val="00C74A8A"/>
    <w:rsid w:val="00C756A2"/>
    <w:rsid w:val="00C75C65"/>
    <w:rsid w:val="00C77DFC"/>
    <w:rsid w:val="00C8199C"/>
    <w:rsid w:val="00C82BF7"/>
    <w:rsid w:val="00C83C45"/>
    <w:rsid w:val="00C84093"/>
    <w:rsid w:val="00C842D8"/>
    <w:rsid w:val="00C85500"/>
    <w:rsid w:val="00C86005"/>
    <w:rsid w:val="00C860B7"/>
    <w:rsid w:val="00C87A0F"/>
    <w:rsid w:val="00C87DF1"/>
    <w:rsid w:val="00C904A1"/>
    <w:rsid w:val="00C92EDC"/>
    <w:rsid w:val="00C9601F"/>
    <w:rsid w:val="00C97640"/>
    <w:rsid w:val="00CA0336"/>
    <w:rsid w:val="00CA0709"/>
    <w:rsid w:val="00CA1F26"/>
    <w:rsid w:val="00CA3483"/>
    <w:rsid w:val="00CA4A1D"/>
    <w:rsid w:val="00CA5E0D"/>
    <w:rsid w:val="00CA69A9"/>
    <w:rsid w:val="00CA714A"/>
    <w:rsid w:val="00CA73CD"/>
    <w:rsid w:val="00CA78C4"/>
    <w:rsid w:val="00CA78CC"/>
    <w:rsid w:val="00CA7D14"/>
    <w:rsid w:val="00CA7EA7"/>
    <w:rsid w:val="00CB06CE"/>
    <w:rsid w:val="00CB1B32"/>
    <w:rsid w:val="00CB3006"/>
    <w:rsid w:val="00CB606F"/>
    <w:rsid w:val="00CB68F4"/>
    <w:rsid w:val="00CB6E6B"/>
    <w:rsid w:val="00CB7417"/>
    <w:rsid w:val="00CB7491"/>
    <w:rsid w:val="00CB7C7B"/>
    <w:rsid w:val="00CB7D78"/>
    <w:rsid w:val="00CC0E6E"/>
    <w:rsid w:val="00CC1EB7"/>
    <w:rsid w:val="00CC25A0"/>
    <w:rsid w:val="00CC2888"/>
    <w:rsid w:val="00CC2B26"/>
    <w:rsid w:val="00CC47B9"/>
    <w:rsid w:val="00CC4DB1"/>
    <w:rsid w:val="00CC58C9"/>
    <w:rsid w:val="00CC61D9"/>
    <w:rsid w:val="00CC78CE"/>
    <w:rsid w:val="00CD140B"/>
    <w:rsid w:val="00CD24C7"/>
    <w:rsid w:val="00CD6284"/>
    <w:rsid w:val="00CE1096"/>
    <w:rsid w:val="00CE1789"/>
    <w:rsid w:val="00CE1E93"/>
    <w:rsid w:val="00CE24C7"/>
    <w:rsid w:val="00CE3613"/>
    <w:rsid w:val="00CE3723"/>
    <w:rsid w:val="00CE4BBC"/>
    <w:rsid w:val="00CE6C71"/>
    <w:rsid w:val="00CE6FB2"/>
    <w:rsid w:val="00CE7DD8"/>
    <w:rsid w:val="00CF0AD2"/>
    <w:rsid w:val="00CF116E"/>
    <w:rsid w:val="00CF154D"/>
    <w:rsid w:val="00CF1D65"/>
    <w:rsid w:val="00CF1DEC"/>
    <w:rsid w:val="00CF1EE9"/>
    <w:rsid w:val="00CF3316"/>
    <w:rsid w:val="00CF3958"/>
    <w:rsid w:val="00CF45FF"/>
    <w:rsid w:val="00CF4D40"/>
    <w:rsid w:val="00D00EEB"/>
    <w:rsid w:val="00D02036"/>
    <w:rsid w:val="00D025B1"/>
    <w:rsid w:val="00D02639"/>
    <w:rsid w:val="00D03D46"/>
    <w:rsid w:val="00D042EE"/>
    <w:rsid w:val="00D04F81"/>
    <w:rsid w:val="00D05989"/>
    <w:rsid w:val="00D05B82"/>
    <w:rsid w:val="00D0600A"/>
    <w:rsid w:val="00D07B8A"/>
    <w:rsid w:val="00D07CA8"/>
    <w:rsid w:val="00D07D41"/>
    <w:rsid w:val="00D1022F"/>
    <w:rsid w:val="00D11CB4"/>
    <w:rsid w:val="00D120EF"/>
    <w:rsid w:val="00D1270B"/>
    <w:rsid w:val="00D14BB3"/>
    <w:rsid w:val="00D1516F"/>
    <w:rsid w:val="00D15DE1"/>
    <w:rsid w:val="00D1682C"/>
    <w:rsid w:val="00D17944"/>
    <w:rsid w:val="00D17DEF"/>
    <w:rsid w:val="00D21189"/>
    <w:rsid w:val="00D22062"/>
    <w:rsid w:val="00D2214B"/>
    <w:rsid w:val="00D23EF3"/>
    <w:rsid w:val="00D263DF"/>
    <w:rsid w:val="00D266BE"/>
    <w:rsid w:val="00D26DC1"/>
    <w:rsid w:val="00D27E54"/>
    <w:rsid w:val="00D314C2"/>
    <w:rsid w:val="00D3225D"/>
    <w:rsid w:val="00D356BD"/>
    <w:rsid w:val="00D367EC"/>
    <w:rsid w:val="00D36AA1"/>
    <w:rsid w:val="00D36D93"/>
    <w:rsid w:val="00D3702B"/>
    <w:rsid w:val="00D4040C"/>
    <w:rsid w:val="00D4130C"/>
    <w:rsid w:val="00D41861"/>
    <w:rsid w:val="00D43786"/>
    <w:rsid w:val="00D44167"/>
    <w:rsid w:val="00D44792"/>
    <w:rsid w:val="00D44D70"/>
    <w:rsid w:val="00D453AD"/>
    <w:rsid w:val="00D463B5"/>
    <w:rsid w:val="00D46824"/>
    <w:rsid w:val="00D46917"/>
    <w:rsid w:val="00D470BE"/>
    <w:rsid w:val="00D50748"/>
    <w:rsid w:val="00D50AB1"/>
    <w:rsid w:val="00D514CC"/>
    <w:rsid w:val="00D5262F"/>
    <w:rsid w:val="00D52EFC"/>
    <w:rsid w:val="00D54F04"/>
    <w:rsid w:val="00D55626"/>
    <w:rsid w:val="00D5772B"/>
    <w:rsid w:val="00D57A92"/>
    <w:rsid w:val="00D61600"/>
    <w:rsid w:val="00D61F38"/>
    <w:rsid w:val="00D621B8"/>
    <w:rsid w:val="00D630A8"/>
    <w:rsid w:val="00D63D9D"/>
    <w:rsid w:val="00D6424F"/>
    <w:rsid w:val="00D64B61"/>
    <w:rsid w:val="00D660AF"/>
    <w:rsid w:val="00D667F1"/>
    <w:rsid w:val="00D67107"/>
    <w:rsid w:val="00D6720C"/>
    <w:rsid w:val="00D676A9"/>
    <w:rsid w:val="00D67FD7"/>
    <w:rsid w:val="00D712E5"/>
    <w:rsid w:val="00D717F1"/>
    <w:rsid w:val="00D719BB"/>
    <w:rsid w:val="00D73F25"/>
    <w:rsid w:val="00D76993"/>
    <w:rsid w:val="00D769F0"/>
    <w:rsid w:val="00D76B6F"/>
    <w:rsid w:val="00D76E12"/>
    <w:rsid w:val="00D772CF"/>
    <w:rsid w:val="00D77B9A"/>
    <w:rsid w:val="00D77C4A"/>
    <w:rsid w:val="00D81688"/>
    <w:rsid w:val="00D8169A"/>
    <w:rsid w:val="00D8178B"/>
    <w:rsid w:val="00D832AF"/>
    <w:rsid w:val="00D845D0"/>
    <w:rsid w:val="00D85AF2"/>
    <w:rsid w:val="00D864C4"/>
    <w:rsid w:val="00D90DEB"/>
    <w:rsid w:val="00D91E4C"/>
    <w:rsid w:val="00D92185"/>
    <w:rsid w:val="00D92658"/>
    <w:rsid w:val="00D92D2F"/>
    <w:rsid w:val="00D936D5"/>
    <w:rsid w:val="00D93EEE"/>
    <w:rsid w:val="00D94848"/>
    <w:rsid w:val="00D9579F"/>
    <w:rsid w:val="00D96CF6"/>
    <w:rsid w:val="00D978BA"/>
    <w:rsid w:val="00DA284E"/>
    <w:rsid w:val="00DA30C1"/>
    <w:rsid w:val="00DA3175"/>
    <w:rsid w:val="00DA42A7"/>
    <w:rsid w:val="00DA4E7C"/>
    <w:rsid w:val="00DA5782"/>
    <w:rsid w:val="00DA57B4"/>
    <w:rsid w:val="00DB0206"/>
    <w:rsid w:val="00DB06F1"/>
    <w:rsid w:val="00DB0AE8"/>
    <w:rsid w:val="00DB2306"/>
    <w:rsid w:val="00DB25DA"/>
    <w:rsid w:val="00DB2D73"/>
    <w:rsid w:val="00DB3006"/>
    <w:rsid w:val="00DB7F53"/>
    <w:rsid w:val="00DC05AF"/>
    <w:rsid w:val="00DC20D1"/>
    <w:rsid w:val="00DC21AD"/>
    <w:rsid w:val="00DC2E3B"/>
    <w:rsid w:val="00DC37FF"/>
    <w:rsid w:val="00DC6143"/>
    <w:rsid w:val="00DC6D73"/>
    <w:rsid w:val="00DD1D5E"/>
    <w:rsid w:val="00DD2AD7"/>
    <w:rsid w:val="00DD3883"/>
    <w:rsid w:val="00DD43F2"/>
    <w:rsid w:val="00DD5815"/>
    <w:rsid w:val="00DD5930"/>
    <w:rsid w:val="00DD5F35"/>
    <w:rsid w:val="00DD679C"/>
    <w:rsid w:val="00DE0718"/>
    <w:rsid w:val="00DE118B"/>
    <w:rsid w:val="00DE1928"/>
    <w:rsid w:val="00DE240C"/>
    <w:rsid w:val="00DE4181"/>
    <w:rsid w:val="00DE51F4"/>
    <w:rsid w:val="00DE61E7"/>
    <w:rsid w:val="00DF05F1"/>
    <w:rsid w:val="00DF0C31"/>
    <w:rsid w:val="00DF1426"/>
    <w:rsid w:val="00DF2D8E"/>
    <w:rsid w:val="00DF2FFB"/>
    <w:rsid w:val="00DF3EF0"/>
    <w:rsid w:val="00DF7E55"/>
    <w:rsid w:val="00E00272"/>
    <w:rsid w:val="00E01E5E"/>
    <w:rsid w:val="00E03B22"/>
    <w:rsid w:val="00E05D10"/>
    <w:rsid w:val="00E07DD8"/>
    <w:rsid w:val="00E131BA"/>
    <w:rsid w:val="00E164D8"/>
    <w:rsid w:val="00E23D2C"/>
    <w:rsid w:val="00E25BC1"/>
    <w:rsid w:val="00E30932"/>
    <w:rsid w:val="00E30D8A"/>
    <w:rsid w:val="00E3195E"/>
    <w:rsid w:val="00E319E5"/>
    <w:rsid w:val="00E343E8"/>
    <w:rsid w:val="00E351F9"/>
    <w:rsid w:val="00E354E3"/>
    <w:rsid w:val="00E362C6"/>
    <w:rsid w:val="00E3677C"/>
    <w:rsid w:val="00E40312"/>
    <w:rsid w:val="00E40558"/>
    <w:rsid w:val="00E405AB"/>
    <w:rsid w:val="00E41067"/>
    <w:rsid w:val="00E41801"/>
    <w:rsid w:val="00E4265E"/>
    <w:rsid w:val="00E42B8B"/>
    <w:rsid w:val="00E4374F"/>
    <w:rsid w:val="00E44AE6"/>
    <w:rsid w:val="00E44B6B"/>
    <w:rsid w:val="00E45D67"/>
    <w:rsid w:val="00E46EA0"/>
    <w:rsid w:val="00E50300"/>
    <w:rsid w:val="00E50DB9"/>
    <w:rsid w:val="00E5137A"/>
    <w:rsid w:val="00E55314"/>
    <w:rsid w:val="00E56ADC"/>
    <w:rsid w:val="00E56EAD"/>
    <w:rsid w:val="00E57075"/>
    <w:rsid w:val="00E578AE"/>
    <w:rsid w:val="00E625D1"/>
    <w:rsid w:val="00E63821"/>
    <w:rsid w:val="00E64908"/>
    <w:rsid w:val="00E65FFC"/>
    <w:rsid w:val="00E6753E"/>
    <w:rsid w:val="00E72068"/>
    <w:rsid w:val="00E7263F"/>
    <w:rsid w:val="00E72B21"/>
    <w:rsid w:val="00E72CD1"/>
    <w:rsid w:val="00E72FC6"/>
    <w:rsid w:val="00E74238"/>
    <w:rsid w:val="00E74E3E"/>
    <w:rsid w:val="00E75264"/>
    <w:rsid w:val="00E7547D"/>
    <w:rsid w:val="00E76C0D"/>
    <w:rsid w:val="00E77C91"/>
    <w:rsid w:val="00E817FD"/>
    <w:rsid w:val="00E81F7D"/>
    <w:rsid w:val="00E8212B"/>
    <w:rsid w:val="00E83026"/>
    <w:rsid w:val="00E83820"/>
    <w:rsid w:val="00E843FF"/>
    <w:rsid w:val="00E84AA6"/>
    <w:rsid w:val="00E8523B"/>
    <w:rsid w:val="00E85915"/>
    <w:rsid w:val="00E86BB5"/>
    <w:rsid w:val="00E873FF"/>
    <w:rsid w:val="00E87799"/>
    <w:rsid w:val="00E87BBC"/>
    <w:rsid w:val="00E91118"/>
    <w:rsid w:val="00E9181D"/>
    <w:rsid w:val="00E92136"/>
    <w:rsid w:val="00E93448"/>
    <w:rsid w:val="00E93545"/>
    <w:rsid w:val="00E935CD"/>
    <w:rsid w:val="00E95612"/>
    <w:rsid w:val="00E958F6"/>
    <w:rsid w:val="00E96A77"/>
    <w:rsid w:val="00E96B04"/>
    <w:rsid w:val="00E96F74"/>
    <w:rsid w:val="00E97324"/>
    <w:rsid w:val="00EA3819"/>
    <w:rsid w:val="00EA4390"/>
    <w:rsid w:val="00EA4D59"/>
    <w:rsid w:val="00EA6848"/>
    <w:rsid w:val="00EA6A56"/>
    <w:rsid w:val="00EA6ED0"/>
    <w:rsid w:val="00EA6FC1"/>
    <w:rsid w:val="00EA7927"/>
    <w:rsid w:val="00EB02FD"/>
    <w:rsid w:val="00EB2831"/>
    <w:rsid w:val="00EB4478"/>
    <w:rsid w:val="00EB4BE4"/>
    <w:rsid w:val="00EB5351"/>
    <w:rsid w:val="00EC097F"/>
    <w:rsid w:val="00EC1C82"/>
    <w:rsid w:val="00EC2061"/>
    <w:rsid w:val="00EC260E"/>
    <w:rsid w:val="00EC335E"/>
    <w:rsid w:val="00EC363F"/>
    <w:rsid w:val="00EC60D2"/>
    <w:rsid w:val="00EC649F"/>
    <w:rsid w:val="00EC6C12"/>
    <w:rsid w:val="00ED02E6"/>
    <w:rsid w:val="00ED073F"/>
    <w:rsid w:val="00ED095D"/>
    <w:rsid w:val="00ED1428"/>
    <w:rsid w:val="00ED1967"/>
    <w:rsid w:val="00ED1B08"/>
    <w:rsid w:val="00ED1CFA"/>
    <w:rsid w:val="00ED2ACB"/>
    <w:rsid w:val="00ED42F2"/>
    <w:rsid w:val="00ED4CFA"/>
    <w:rsid w:val="00ED64A8"/>
    <w:rsid w:val="00ED6E40"/>
    <w:rsid w:val="00ED7D3A"/>
    <w:rsid w:val="00EE0083"/>
    <w:rsid w:val="00EE2410"/>
    <w:rsid w:val="00EE2A5F"/>
    <w:rsid w:val="00EE2CAA"/>
    <w:rsid w:val="00EE3316"/>
    <w:rsid w:val="00EE3AA2"/>
    <w:rsid w:val="00EE4011"/>
    <w:rsid w:val="00EF060F"/>
    <w:rsid w:val="00EF0F53"/>
    <w:rsid w:val="00EF1408"/>
    <w:rsid w:val="00EF19A8"/>
    <w:rsid w:val="00EF246E"/>
    <w:rsid w:val="00EF31B5"/>
    <w:rsid w:val="00EF503A"/>
    <w:rsid w:val="00EF5429"/>
    <w:rsid w:val="00EF5684"/>
    <w:rsid w:val="00EF63B8"/>
    <w:rsid w:val="00F0248D"/>
    <w:rsid w:val="00F027EC"/>
    <w:rsid w:val="00F03317"/>
    <w:rsid w:val="00F04EAD"/>
    <w:rsid w:val="00F04F52"/>
    <w:rsid w:val="00F059F5"/>
    <w:rsid w:val="00F05AF7"/>
    <w:rsid w:val="00F05B9B"/>
    <w:rsid w:val="00F10874"/>
    <w:rsid w:val="00F10E60"/>
    <w:rsid w:val="00F128D5"/>
    <w:rsid w:val="00F14CDC"/>
    <w:rsid w:val="00F166AB"/>
    <w:rsid w:val="00F1745B"/>
    <w:rsid w:val="00F17484"/>
    <w:rsid w:val="00F17F97"/>
    <w:rsid w:val="00F209BD"/>
    <w:rsid w:val="00F22735"/>
    <w:rsid w:val="00F22831"/>
    <w:rsid w:val="00F23FAB"/>
    <w:rsid w:val="00F25101"/>
    <w:rsid w:val="00F25D52"/>
    <w:rsid w:val="00F2680D"/>
    <w:rsid w:val="00F27C7B"/>
    <w:rsid w:val="00F3162E"/>
    <w:rsid w:val="00F33294"/>
    <w:rsid w:val="00F351F4"/>
    <w:rsid w:val="00F35A9A"/>
    <w:rsid w:val="00F35BCE"/>
    <w:rsid w:val="00F35D62"/>
    <w:rsid w:val="00F36134"/>
    <w:rsid w:val="00F3665E"/>
    <w:rsid w:val="00F36838"/>
    <w:rsid w:val="00F36E30"/>
    <w:rsid w:val="00F375F5"/>
    <w:rsid w:val="00F40E79"/>
    <w:rsid w:val="00F41140"/>
    <w:rsid w:val="00F420CE"/>
    <w:rsid w:val="00F420EB"/>
    <w:rsid w:val="00F45878"/>
    <w:rsid w:val="00F46E9B"/>
    <w:rsid w:val="00F47391"/>
    <w:rsid w:val="00F509A9"/>
    <w:rsid w:val="00F53183"/>
    <w:rsid w:val="00F53618"/>
    <w:rsid w:val="00F53E5E"/>
    <w:rsid w:val="00F5442A"/>
    <w:rsid w:val="00F54BF4"/>
    <w:rsid w:val="00F5619F"/>
    <w:rsid w:val="00F5653A"/>
    <w:rsid w:val="00F575EA"/>
    <w:rsid w:val="00F57D2C"/>
    <w:rsid w:val="00F6161E"/>
    <w:rsid w:val="00F61827"/>
    <w:rsid w:val="00F633C9"/>
    <w:rsid w:val="00F63FF6"/>
    <w:rsid w:val="00F64020"/>
    <w:rsid w:val="00F648AB"/>
    <w:rsid w:val="00F65135"/>
    <w:rsid w:val="00F655F5"/>
    <w:rsid w:val="00F65EE1"/>
    <w:rsid w:val="00F67702"/>
    <w:rsid w:val="00F67961"/>
    <w:rsid w:val="00F70817"/>
    <w:rsid w:val="00F71B3D"/>
    <w:rsid w:val="00F71DC1"/>
    <w:rsid w:val="00F72314"/>
    <w:rsid w:val="00F73AA2"/>
    <w:rsid w:val="00F73FBC"/>
    <w:rsid w:val="00F74769"/>
    <w:rsid w:val="00F75C74"/>
    <w:rsid w:val="00F77546"/>
    <w:rsid w:val="00F7772D"/>
    <w:rsid w:val="00F80403"/>
    <w:rsid w:val="00F805E2"/>
    <w:rsid w:val="00F8068A"/>
    <w:rsid w:val="00F81ACD"/>
    <w:rsid w:val="00F81CDF"/>
    <w:rsid w:val="00F823D6"/>
    <w:rsid w:val="00F82680"/>
    <w:rsid w:val="00F8545A"/>
    <w:rsid w:val="00F8754E"/>
    <w:rsid w:val="00F936BD"/>
    <w:rsid w:val="00F94A41"/>
    <w:rsid w:val="00F96D48"/>
    <w:rsid w:val="00F97105"/>
    <w:rsid w:val="00F97327"/>
    <w:rsid w:val="00F9736A"/>
    <w:rsid w:val="00FA0E9B"/>
    <w:rsid w:val="00FA1A74"/>
    <w:rsid w:val="00FA1FFB"/>
    <w:rsid w:val="00FA27C9"/>
    <w:rsid w:val="00FA3491"/>
    <w:rsid w:val="00FA44EF"/>
    <w:rsid w:val="00FA4A29"/>
    <w:rsid w:val="00FA4DF6"/>
    <w:rsid w:val="00FA56A1"/>
    <w:rsid w:val="00FA7597"/>
    <w:rsid w:val="00FA772D"/>
    <w:rsid w:val="00FB1129"/>
    <w:rsid w:val="00FB1BF4"/>
    <w:rsid w:val="00FB21B1"/>
    <w:rsid w:val="00FB3063"/>
    <w:rsid w:val="00FB3959"/>
    <w:rsid w:val="00FB5286"/>
    <w:rsid w:val="00FB5FAA"/>
    <w:rsid w:val="00FB72E4"/>
    <w:rsid w:val="00FB7362"/>
    <w:rsid w:val="00FB7756"/>
    <w:rsid w:val="00FC141A"/>
    <w:rsid w:val="00FC3376"/>
    <w:rsid w:val="00FC3580"/>
    <w:rsid w:val="00FC3D9F"/>
    <w:rsid w:val="00FC3E2B"/>
    <w:rsid w:val="00FC4971"/>
    <w:rsid w:val="00FC5872"/>
    <w:rsid w:val="00FD3154"/>
    <w:rsid w:val="00FD67E2"/>
    <w:rsid w:val="00FD6BB4"/>
    <w:rsid w:val="00FE246D"/>
    <w:rsid w:val="00FE512B"/>
    <w:rsid w:val="00FE57E8"/>
    <w:rsid w:val="00FE5FBD"/>
    <w:rsid w:val="00FE66F7"/>
    <w:rsid w:val="00FE72C1"/>
    <w:rsid w:val="00FE7EC8"/>
    <w:rsid w:val="00FF05A1"/>
    <w:rsid w:val="00FF4342"/>
    <w:rsid w:val="00FF5F09"/>
    <w:rsid w:val="00FF6422"/>
    <w:rsid w:val="00FF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EB1"/>
    <w:rPr>
      <w:rFonts w:ascii="Times New Roman" w:hAnsi="Times New Roman"/>
      <w:sz w:val="24"/>
    </w:rPr>
  </w:style>
  <w:style w:type="paragraph" w:styleId="Heading1">
    <w:name w:val="heading 1"/>
    <w:basedOn w:val="Normal"/>
    <w:next w:val="Normal"/>
    <w:link w:val="Heading1Char"/>
    <w:autoRedefine/>
    <w:uiPriority w:val="9"/>
    <w:qFormat/>
    <w:rsid w:val="00037F6E"/>
    <w:pPr>
      <w:keepNext/>
      <w:keepLines/>
      <w:spacing w:after="240" w:line="240" w:lineRule="auto"/>
      <w:ind w:left="720" w:hanging="720"/>
      <w:outlineLvl w:val="0"/>
    </w:pPr>
    <w:rPr>
      <w:rFonts w:eastAsiaTheme="majorEastAsia" w:cs="Times New Roman"/>
      <w:b/>
      <w:bCs/>
      <w:caps/>
      <w:szCs w:val="24"/>
    </w:rPr>
  </w:style>
  <w:style w:type="paragraph" w:styleId="Heading2">
    <w:name w:val="heading 2"/>
    <w:basedOn w:val="Normal"/>
    <w:next w:val="Normal"/>
    <w:link w:val="Heading2Char"/>
    <w:autoRedefine/>
    <w:uiPriority w:val="9"/>
    <w:unhideWhenUsed/>
    <w:qFormat/>
    <w:rsid w:val="00EF63B8"/>
    <w:pPr>
      <w:keepNext/>
      <w:keepLines/>
      <w:spacing w:after="240" w:line="240" w:lineRule="auto"/>
      <w:ind w:left="1440" w:right="720" w:hanging="720"/>
      <w:outlineLvl w:val="1"/>
    </w:pPr>
    <w:rPr>
      <w:rFonts w:eastAsiaTheme="majorEastAsia" w:cs="Times New Roman"/>
      <w:b/>
      <w:bCs/>
      <w:szCs w:val="24"/>
    </w:rPr>
  </w:style>
  <w:style w:type="paragraph" w:styleId="Heading3">
    <w:name w:val="heading 3"/>
    <w:basedOn w:val="Normal"/>
    <w:next w:val="Normal"/>
    <w:link w:val="Heading3Char"/>
    <w:autoRedefine/>
    <w:uiPriority w:val="9"/>
    <w:unhideWhenUsed/>
    <w:qFormat/>
    <w:rsid w:val="00F128D5"/>
    <w:pPr>
      <w:keepNext/>
      <w:keepLines/>
      <w:spacing w:before="70" w:after="240" w:line="249" w:lineRule="auto"/>
      <w:ind w:left="2160" w:right="720" w:hanging="720"/>
      <w:outlineLvl w:val="2"/>
    </w:pPr>
    <w:rPr>
      <w:rFonts w:eastAsiaTheme="majorEastAsia" w:cs="Times New Roman"/>
      <w:b/>
      <w:bCs/>
      <w:szCs w:val="24"/>
    </w:rPr>
  </w:style>
  <w:style w:type="paragraph" w:styleId="Heading4">
    <w:name w:val="heading 4"/>
    <w:basedOn w:val="Normal"/>
    <w:next w:val="Normal"/>
    <w:link w:val="Heading4Char"/>
    <w:autoRedefine/>
    <w:uiPriority w:val="9"/>
    <w:unhideWhenUsed/>
    <w:qFormat/>
    <w:rsid w:val="00896CEC"/>
    <w:pPr>
      <w:keepNext/>
      <w:keepLines/>
      <w:spacing w:after="240" w:line="240" w:lineRule="auto"/>
      <w:ind w:left="2880" w:right="720" w:hanging="720"/>
      <w:outlineLvl w:val="3"/>
    </w:pPr>
    <w:rPr>
      <w:rFonts w:eastAsiaTheme="majorEastAsia" w:cstheme="majorBidi"/>
      <w:b/>
      <w:bCs/>
      <w:iCs/>
    </w:rPr>
  </w:style>
  <w:style w:type="paragraph" w:styleId="Heading5">
    <w:name w:val="heading 5"/>
    <w:basedOn w:val="Normal"/>
    <w:next w:val="Normal"/>
    <w:link w:val="Heading5Char"/>
    <w:autoRedefine/>
    <w:uiPriority w:val="9"/>
    <w:unhideWhenUsed/>
    <w:qFormat/>
    <w:rsid w:val="00B30CAE"/>
    <w:pPr>
      <w:keepNext/>
      <w:keepLines/>
      <w:spacing w:after="240" w:line="240" w:lineRule="auto"/>
      <w:ind w:left="3600" w:right="720" w:hanging="720"/>
      <w:outlineLvl w:val="4"/>
    </w:pPr>
    <w:rPr>
      <w:rFonts w:ascii="Times New Roman Bold" w:eastAsiaTheme="majorEastAsia" w:hAnsi="Times New Roman Bold" w:cs="Times New Roman"/>
      <w:b/>
    </w:rPr>
  </w:style>
  <w:style w:type="paragraph" w:styleId="Heading6">
    <w:name w:val="heading 6"/>
    <w:basedOn w:val="Normal"/>
    <w:next w:val="Normal"/>
    <w:link w:val="Heading6Char"/>
    <w:autoRedefine/>
    <w:uiPriority w:val="9"/>
    <w:unhideWhenUsed/>
    <w:qFormat/>
    <w:rsid w:val="0083673C"/>
    <w:pPr>
      <w:keepNext/>
      <w:keepLines/>
      <w:spacing w:after="240" w:line="240" w:lineRule="auto"/>
      <w:ind w:left="4320" w:right="720" w:hanging="720"/>
      <w:outlineLvl w:val="5"/>
    </w:pPr>
    <w:rPr>
      <w:rFonts w:ascii="Times New Roman Bold" w:eastAsiaTheme="majorEastAsia" w:hAnsi="Times New Roman Bold" w:cstheme="majorBidi"/>
      <w:b/>
      <w:iCs/>
    </w:rPr>
  </w:style>
  <w:style w:type="paragraph" w:styleId="Heading7">
    <w:name w:val="heading 7"/>
    <w:basedOn w:val="Normal"/>
    <w:next w:val="Normal"/>
    <w:link w:val="Heading7Char"/>
    <w:autoRedefine/>
    <w:uiPriority w:val="9"/>
    <w:unhideWhenUsed/>
    <w:qFormat/>
    <w:rsid w:val="00017FBD"/>
    <w:pPr>
      <w:keepNext/>
      <w:keepLines/>
      <w:spacing w:after="240" w:line="240" w:lineRule="auto"/>
      <w:ind w:left="5760" w:hanging="720"/>
      <w:outlineLvl w:val="6"/>
    </w:pPr>
    <w:rPr>
      <w:rFonts w:ascii="Times New Roman Bold" w:eastAsiaTheme="majorEastAsia" w:hAnsi="Times New Roman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F6E"/>
    <w:rPr>
      <w:rFonts w:ascii="Times New Roman" w:eastAsiaTheme="majorEastAsia" w:hAnsi="Times New Roman" w:cs="Times New Roman"/>
      <w:b/>
      <w:bCs/>
      <w:caps/>
      <w:sz w:val="24"/>
      <w:szCs w:val="24"/>
    </w:rPr>
  </w:style>
  <w:style w:type="character" w:customStyle="1" w:styleId="Heading2Char">
    <w:name w:val="Heading 2 Char"/>
    <w:basedOn w:val="DefaultParagraphFont"/>
    <w:link w:val="Heading2"/>
    <w:uiPriority w:val="9"/>
    <w:rsid w:val="00D91E4C"/>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F128D5"/>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896CEC"/>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B30CAE"/>
    <w:rPr>
      <w:rFonts w:ascii="Times New Roman Bold" w:eastAsiaTheme="majorEastAsia" w:hAnsi="Times New Roman Bold" w:cs="Times New Roman"/>
      <w:b/>
      <w:sz w:val="24"/>
    </w:rPr>
  </w:style>
  <w:style w:type="paragraph" w:styleId="ListParagraph">
    <w:name w:val="List Paragraph"/>
    <w:basedOn w:val="Normal"/>
    <w:uiPriority w:val="34"/>
    <w:qFormat/>
    <w:rsid w:val="00B04EB1"/>
    <w:pPr>
      <w:ind w:left="720"/>
      <w:contextualSpacing/>
    </w:pPr>
  </w:style>
  <w:style w:type="paragraph" w:styleId="HTMLPreformatted">
    <w:name w:val="HTML Preformatted"/>
    <w:basedOn w:val="Normal"/>
    <w:link w:val="HTMLPreformattedChar"/>
    <w:rsid w:val="00B04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B04EB1"/>
    <w:rPr>
      <w:rFonts w:ascii="Courier New" w:eastAsia="Courier New" w:hAnsi="Courier New" w:cs="Courier New"/>
      <w:sz w:val="20"/>
      <w:szCs w:val="20"/>
    </w:rPr>
  </w:style>
  <w:style w:type="character" w:styleId="Hyperlink">
    <w:name w:val="Hyperlink"/>
    <w:uiPriority w:val="99"/>
    <w:rsid w:val="00B04EB1"/>
    <w:rPr>
      <w:color w:val="0000FF"/>
      <w:u w:val="single"/>
    </w:rPr>
  </w:style>
  <w:style w:type="paragraph" w:styleId="Footer">
    <w:name w:val="footer"/>
    <w:aliases w:val="Char1"/>
    <w:basedOn w:val="Normal"/>
    <w:link w:val="FooterChar"/>
    <w:uiPriority w:val="99"/>
    <w:rsid w:val="00B04EB1"/>
    <w:pPr>
      <w:tabs>
        <w:tab w:val="center" w:pos="4320"/>
        <w:tab w:val="right" w:pos="8640"/>
      </w:tabs>
      <w:spacing w:after="0" w:line="240" w:lineRule="auto"/>
    </w:pPr>
    <w:rPr>
      <w:rFonts w:eastAsia="Times New Roman" w:cs="Times New Roman"/>
      <w:szCs w:val="24"/>
    </w:rPr>
  </w:style>
  <w:style w:type="character" w:customStyle="1" w:styleId="FooterChar">
    <w:name w:val="Footer Char"/>
    <w:aliases w:val="Char1 Char"/>
    <w:basedOn w:val="DefaultParagraphFont"/>
    <w:link w:val="Footer"/>
    <w:uiPriority w:val="99"/>
    <w:rsid w:val="00B04EB1"/>
    <w:rPr>
      <w:rFonts w:ascii="Times New Roman" w:eastAsia="Times New Roman" w:hAnsi="Times New Roman" w:cs="Times New Roman"/>
      <w:sz w:val="24"/>
      <w:szCs w:val="24"/>
    </w:rPr>
  </w:style>
  <w:style w:type="paragraph" w:styleId="CommentText">
    <w:name w:val="annotation text"/>
    <w:basedOn w:val="Normal"/>
    <w:link w:val="CommentTextChar"/>
    <w:semiHidden/>
    <w:rsid w:val="00B04EB1"/>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B04EB1"/>
    <w:rPr>
      <w:rFonts w:ascii="Times New Roman" w:eastAsia="Times New Roman" w:hAnsi="Times New Roman" w:cs="Times New Roman"/>
      <w:sz w:val="20"/>
      <w:szCs w:val="20"/>
    </w:rPr>
  </w:style>
  <w:style w:type="paragraph" w:styleId="BodyText">
    <w:name w:val="Body Text"/>
    <w:basedOn w:val="Normal"/>
    <w:link w:val="BodyTextChar"/>
    <w:rsid w:val="00B04EB1"/>
    <w:pPr>
      <w:tabs>
        <w:tab w:val="left" w:pos="-720"/>
      </w:tabs>
      <w:suppressAutoHyphens/>
      <w:spacing w:after="0" w:line="480" w:lineRule="auto"/>
      <w:jc w:val="both"/>
    </w:pPr>
    <w:rPr>
      <w:rFonts w:eastAsia="Times New Roman" w:cs="Times New Roman"/>
      <w:snapToGrid w:val="0"/>
      <w:spacing w:val="-3"/>
      <w:szCs w:val="20"/>
    </w:rPr>
  </w:style>
  <w:style w:type="character" w:customStyle="1" w:styleId="BodyTextChar">
    <w:name w:val="Body Text Char"/>
    <w:basedOn w:val="DefaultParagraphFont"/>
    <w:link w:val="BodyText"/>
    <w:rsid w:val="00B04EB1"/>
    <w:rPr>
      <w:rFonts w:ascii="Times New Roman" w:eastAsia="Times New Roman" w:hAnsi="Times New Roman" w:cs="Times New Roman"/>
      <w:snapToGrid w:val="0"/>
      <w:spacing w:val="-3"/>
      <w:sz w:val="24"/>
      <w:szCs w:val="20"/>
    </w:rPr>
  </w:style>
  <w:style w:type="paragraph" w:styleId="EndnoteText">
    <w:name w:val="endnote text"/>
    <w:basedOn w:val="Normal"/>
    <w:link w:val="EndnoteTextChar"/>
    <w:semiHidden/>
    <w:rsid w:val="00B04EB1"/>
    <w:pPr>
      <w:widowControl w:val="0"/>
      <w:spacing w:after="0" w:line="240" w:lineRule="auto"/>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semiHidden/>
    <w:rsid w:val="00B04EB1"/>
    <w:rPr>
      <w:rFonts w:ascii="Courier New" w:eastAsia="Times New Roman" w:hAnsi="Courier New" w:cs="Times New Roman"/>
      <w:snapToGrid w:val="0"/>
      <w:sz w:val="24"/>
      <w:szCs w:val="20"/>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ALTS FOOTNOTE,fn"/>
    <w:basedOn w:val="Normal"/>
    <w:link w:val="FootnoteTextChar"/>
    <w:uiPriority w:val="99"/>
    <w:qFormat/>
    <w:rsid w:val="00B04EB1"/>
    <w:pPr>
      <w:spacing w:after="0" w:line="240" w:lineRule="auto"/>
    </w:pPr>
    <w:rPr>
      <w:rFonts w:ascii="Arial" w:eastAsia="Times New Roman" w:hAnsi="Arial" w:cs="Times New Roman"/>
      <w:spacing w:val="-5"/>
      <w:sz w:val="20"/>
      <w:szCs w:val="20"/>
    </w:rPr>
  </w:style>
  <w:style w:type="character" w:customStyle="1" w:styleId="FootnoteTextChar">
    <w:name w:val="Footnote Text Char"/>
    <w:aliases w:val="Footnote Text Char4 Char Char1,Footnote Text Char Char4 Char Char1,Footnote Text Char4 Char1 Char Char Char1,Footnote Text Char Char4 Char1 Char Char Char1,Footnote Text Char5 Char1 Char Char Char Char Char Char1,ALTS FOOTNOTE Char"/>
    <w:basedOn w:val="DefaultParagraphFont"/>
    <w:link w:val="FootnoteText"/>
    <w:uiPriority w:val="99"/>
    <w:rsid w:val="00B04EB1"/>
    <w:rPr>
      <w:rFonts w:ascii="Arial" w:eastAsia="Times New Roman" w:hAnsi="Arial" w:cs="Times New Roman"/>
      <w:spacing w:val="-5"/>
      <w:sz w:val="20"/>
      <w:szCs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Style 11,Style 21,Style 4,Style 16"/>
    <w:uiPriority w:val="99"/>
    <w:qFormat/>
    <w:rsid w:val="00B04EB1"/>
    <w:rPr>
      <w:vertAlign w:val="superscript"/>
    </w:rPr>
  </w:style>
  <w:style w:type="character" w:styleId="CommentReference">
    <w:name w:val="annotation reference"/>
    <w:basedOn w:val="DefaultParagraphFont"/>
    <w:uiPriority w:val="99"/>
    <w:semiHidden/>
    <w:unhideWhenUsed/>
    <w:rsid w:val="00B04EB1"/>
    <w:rPr>
      <w:sz w:val="16"/>
      <w:szCs w:val="16"/>
    </w:rPr>
  </w:style>
  <w:style w:type="paragraph" w:styleId="CommentSubject">
    <w:name w:val="annotation subject"/>
    <w:basedOn w:val="CommentText"/>
    <w:next w:val="CommentText"/>
    <w:link w:val="CommentSubjectChar"/>
    <w:uiPriority w:val="99"/>
    <w:semiHidden/>
    <w:unhideWhenUsed/>
    <w:rsid w:val="00B04EB1"/>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04EB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4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EB1"/>
    <w:rPr>
      <w:rFonts w:ascii="Tahoma" w:hAnsi="Tahoma" w:cs="Tahoma"/>
      <w:sz w:val="16"/>
      <w:szCs w:val="16"/>
    </w:rPr>
  </w:style>
  <w:style w:type="paragraph" w:customStyle="1" w:styleId="DirectNext">
    <w:name w:val="Direct Next"/>
    <w:basedOn w:val="Normal"/>
    <w:uiPriority w:val="99"/>
    <w:rsid w:val="00B04EB1"/>
    <w:pPr>
      <w:spacing w:after="0" w:line="504" w:lineRule="exact"/>
      <w:ind w:left="720"/>
    </w:pPr>
    <w:rPr>
      <w:rFonts w:eastAsia="Times New Roman" w:cs="Times New Roman"/>
      <w:szCs w:val="24"/>
    </w:rPr>
  </w:style>
  <w:style w:type="paragraph" w:customStyle="1" w:styleId="Default">
    <w:name w:val="Default"/>
    <w:rsid w:val="00B04E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B04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EB1"/>
    <w:rPr>
      <w:rFonts w:ascii="Times New Roman" w:hAnsi="Times New Roman"/>
      <w:sz w:val="24"/>
    </w:rPr>
  </w:style>
  <w:style w:type="character" w:customStyle="1" w:styleId="apple-converted-space">
    <w:name w:val="apple-converted-space"/>
    <w:basedOn w:val="DefaultParagraphFont"/>
    <w:rsid w:val="00B04EB1"/>
  </w:style>
  <w:style w:type="paragraph" w:styleId="BodyTextIndent3">
    <w:name w:val="Body Text Indent 3"/>
    <w:basedOn w:val="Normal"/>
    <w:link w:val="BodyTextIndent3Char"/>
    <w:uiPriority w:val="99"/>
    <w:unhideWhenUsed/>
    <w:rsid w:val="00B04EB1"/>
    <w:pPr>
      <w:spacing w:after="120"/>
      <w:ind w:left="360"/>
    </w:pPr>
    <w:rPr>
      <w:sz w:val="16"/>
      <w:szCs w:val="16"/>
    </w:rPr>
  </w:style>
  <w:style w:type="character" w:customStyle="1" w:styleId="BodyTextIndent3Char">
    <w:name w:val="Body Text Indent 3 Char"/>
    <w:basedOn w:val="DefaultParagraphFont"/>
    <w:link w:val="BodyTextIndent3"/>
    <w:uiPriority w:val="99"/>
    <w:rsid w:val="00B04EB1"/>
    <w:rPr>
      <w:rFonts w:ascii="Times New Roman" w:hAnsi="Times New Roman"/>
      <w:sz w:val="16"/>
      <w:szCs w:val="16"/>
    </w:rPr>
  </w:style>
  <w:style w:type="character" w:customStyle="1" w:styleId="FootnoteTextChar1">
    <w:name w:val="Footnote Text Char1"/>
    <w:aliases w:val="Footnote Text Char4 Char Char,Footnote Text Char Char4 Char Char,Footnote Text Char4 Char1 Char Char Char,Footnote Text Char Char4 Char1 Char Char Char,Footnote Text Char5 Char1 Char Char Char Char Char Char,Footnote Text Char2 Char"/>
    <w:rsid w:val="00B04EB1"/>
    <w:rPr>
      <w:rFonts w:ascii="Times New Roman" w:eastAsia="Times New Roman" w:hAnsi="Times New Roman" w:cs="Times New Roman"/>
      <w:sz w:val="20"/>
      <w:szCs w:val="20"/>
    </w:rPr>
  </w:style>
  <w:style w:type="paragraph" w:styleId="Title">
    <w:name w:val="Title"/>
    <w:basedOn w:val="Heading3"/>
    <w:next w:val="Heading3"/>
    <w:link w:val="TitleChar"/>
    <w:autoRedefine/>
    <w:uiPriority w:val="10"/>
    <w:qFormat/>
    <w:rsid w:val="00EF63B8"/>
    <w:pPr>
      <w:pBdr>
        <w:bottom w:val="single" w:sz="8" w:space="4" w:color="4F81BD" w:themeColor="accent1"/>
      </w:pBdr>
      <w:contextualSpacing/>
    </w:pPr>
    <w:rPr>
      <w:spacing w:val="5"/>
      <w:kern w:val="28"/>
      <w:szCs w:val="52"/>
    </w:rPr>
  </w:style>
  <w:style w:type="character" w:customStyle="1" w:styleId="TitleChar">
    <w:name w:val="Title Char"/>
    <w:basedOn w:val="DefaultParagraphFont"/>
    <w:link w:val="Title"/>
    <w:uiPriority w:val="10"/>
    <w:rsid w:val="00B04EB1"/>
    <w:rPr>
      <w:rFonts w:ascii="Times New Roman" w:eastAsiaTheme="majorEastAsia" w:hAnsi="Times New Roman" w:cs="Times New Roman"/>
      <w:b/>
      <w:bCs/>
      <w:spacing w:val="5"/>
      <w:kern w:val="28"/>
      <w:sz w:val="24"/>
      <w:szCs w:val="52"/>
    </w:rPr>
  </w:style>
  <w:style w:type="paragraph" w:styleId="Subtitle">
    <w:name w:val="Subtitle"/>
    <w:basedOn w:val="Normal"/>
    <w:next w:val="Normal"/>
    <w:link w:val="SubtitleChar"/>
    <w:autoRedefine/>
    <w:uiPriority w:val="11"/>
    <w:qFormat/>
    <w:rsid w:val="00B04EB1"/>
    <w:pPr>
      <w:numPr>
        <w:ilvl w:val="1"/>
      </w:numPr>
      <w:spacing w:after="240" w:line="240" w:lineRule="auto"/>
      <w:ind w:left="2880" w:hanging="720"/>
      <w:outlineLvl w:val="3"/>
    </w:pPr>
    <w:rPr>
      <w:rFonts w:eastAsiaTheme="majorEastAsia" w:cstheme="majorBidi"/>
      <w:iCs/>
      <w:spacing w:val="15"/>
      <w:szCs w:val="24"/>
    </w:rPr>
  </w:style>
  <w:style w:type="character" w:customStyle="1" w:styleId="SubtitleChar">
    <w:name w:val="Subtitle Char"/>
    <w:basedOn w:val="DefaultParagraphFont"/>
    <w:link w:val="Subtitle"/>
    <w:uiPriority w:val="11"/>
    <w:rsid w:val="00B04EB1"/>
    <w:rPr>
      <w:rFonts w:ascii="Times New Roman" w:eastAsiaTheme="majorEastAsia" w:hAnsi="Times New Roman" w:cstheme="majorBidi"/>
      <w:iCs/>
      <w:spacing w:val="15"/>
      <w:sz w:val="24"/>
      <w:szCs w:val="24"/>
    </w:rPr>
  </w:style>
  <w:style w:type="paragraph" w:styleId="TOC1">
    <w:name w:val="toc 1"/>
    <w:basedOn w:val="Normal"/>
    <w:next w:val="Normal"/>
    <w:autoRedefine/>
    <w:uiPriority w:val="39"/>
    <w:unhideWhenUsed/>
    <w:qFormat/>
    <w:rsid w:val="00EF63B8"/>
    <w:pPr>
      <w:tabs>
        <w:tab w:val="decimal" w:leader="dot" w:pos="8640"/>
      </w:tabs>
      <w:spacing w:after="240" w:line="240" w:lineRule="auto"/>
      <w:ind w:left="720" w:hanging="720"/>
    </w:pPr>
    <w:rPr>
      <w:caps/>
    </w:rPr>
  </w:style>
  <w:style w:type="paragraph" w:styleId="TOC2">
    <w:name w:val="toc 2"/>
    <w:basedOn w:val="Normal"/>
    <w:next w:val="Normal"/>
    <w:autoRedefine/>
    <w:uiPriority w:val="39"/>
    <w:unhideWhenUsed/>
    <w:qFormat/>
    <w:rsid w:val="0089195C"/>
    <w:pPr>
      <w:tabs>
        <w:tab w:val="decimal" w:leader="dot" w:pos="8640"/>
      </w:tabs>
      <w:spacing w:after="240" w:line="240" w:lineRule="auto"/>
      <w:ind w:left="1440" w:hanging="720"/>
    </w:pPr>
  </w:style>
  <w:style w:type="paragraph" w:styleId="TOC3">
    <w:name w:val="toc 3"/>
    <w:basedOn w:val="Normal"/>
    <w:next w:val="Normal"/>
    <w:autoRedefine/>
    <w:uiPriority w:val="39"/>
    <w:unhideWhenUsed/>
    <w:qFormat/>
    <w:rsid w:val="00F209BD"/>
    <w:pPr>
      <w:tabs>
        <w:tab w:val="decimal" w:leader="dot" w:pos="8640"/>
      </w:tabs>
      <w:spacing w:after="240" w:line="240" w:lineRule="auto"/>
      <w:ind w:left="2160" w:hanging="720"/>
    </w:pPr>
  </w:style>
  <w:style w:type="paragraph" w:styleId="TOC4">
    <w:name w:val="toc 4"/>
    <w:basedOn w:val="Normal"/>
    <w:next w:val="Normal"/>
    <w:autoRedefine/>
    <w:uiPriority w:val="39"/>
    <w:unhideWhenUsed/>
    <w:qFormat/>
    <w:rsid w:val="00F209BD"/>
    <w:pPr>
      <w:tabs>
        <w:tab w:val="decimal" w:leader="dot" w:pos="8640"/>
      </w:tabs>
      <w:spacing w:after="240" w:line="240" w:lineRule="auto"/>
      <w:ind w:left="2880" w:hanging="720"/>
    </w:pPr>
  </w:style>
  <w:style w:type="paragraph" w:styleId="TOC5">
    <w:name w:val="toc 5"/>
    <w:basedOn w:val="Normal"/>
    <w:next w:val="Normal"/>
    <w:autoRedefine/>
    <w:uiPriority w:val="39"/>
    <w:unhideWhenUsed/>
    <w:qFormat/>
    <w:rsid w:val="00F209BD"/>
    <w:pPr>
      <w:tabs>
        <w:tab w:val="decimal" w:leader="dot" w:pos="8640"/>
      </w:tabs>
      <w:spacing w:after="240" w:line="240" w:lineRule="auto"/>
      <w:ind w:left="3600" w:hanging="720"/>
    </w:pPr>
  </w:style>
  <w:style w:type="table" w:styleId="TableGrid">
    <w:name w:val="Table Grid"/>
    <w:basedOn w:val="TableNormal"/>
    <w:uiPriority w:val="59"/>
    <w:rsid w:val="00B04EB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1">
    <w:name w:val="Q1"/>
    <w:basedOn w:val="Normal"/>
    <w:next w:val="A1"/>
    <w:qFormat/>
    <w:rsid w:val="00B04EB1"/>
    <w:pPr>
      <w:spacing w:after="0" w:line="480" w:lineRule="auto"/>
    </w:pPr>
    <w:rPr>
      <w:rFonts w:eastAsia="Times New Roman" w:cs="Times New Roman"/>
      <w:b/>
      <w:i/>
      <w:szCs w:val="20"/>
    </w:rPr>
  </w:style>
  <w:style w:type="paragraph" w:customStyle="1" w:styleId="A1">
    <w:name w:val="A1"/>
    <w:basedOn w:val="Normal"/>
    <w:qFormat/>
    <w:rsid w:val="00B04EB1"/>
  </w:style>
  <w:style w:type="table" w:customStyle="1" w:styleId="TableGrid1">
    <w:name w:val="Table Grid1"/>
    <w:basedOn w:val="TableNormal"/>
    <w:next w:val="TableGrid"/>
    <w:uiPriority w:val="59"/>
    <w:rsid w:val="00B04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leftalign">
    <w:name w:val="ss_leftalign"/>
    <w:basedOn w:val="DefaultParagraphFont"/>
    <w:rsid w:val="00B04EB1"/>
  </w:style>
  <w:style w:type="character" w:customStyle="1" w:styleId="sspagshow">
    <w:name w:val="ss_pag_show"/>
    <w:basedOn w:val="DefaultParagraphFont"/>
    <w:rsid w:val="00B04EB1"/>
  </w:style>
  <w:style w:type="paragraph" w:styleId="NoSpacing">
    <w:name w:val="No Spacing"/>
    <w:uiPriority w:val="1"/>
    <w:qFormat/>
    <w:rsid w:val="00B04EB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BodyA">
    <w:name w:val="Body A"/>
    <w:rsid w:val="00B04EB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Revision">
    <w:name w:val="Revision"/>
    <w:hidden/>
    <w:uiPriority w:val="99"/>
    <w:semiHidden/>
    <w:rsid w:val="00B04EB1"/>
    <w:pPr>
      <w:spacing w:after="0" w:line="240" w:lineRule="auto"/>
    </w:pPr>
  </w:style>
  <w:style w:type="character" w:customStyle="1" w:styleId="FootnoteTextChar1Char">
    <w:name w:val="Footnote Text Char1 Char"/>
    <w:aliases w:val="Footnote Text Char Char Char,Footnote Text Char1 Char Char1 Char,Footnote Text Char Char Char Char Char,Footnote Text Char2 Char Char Char Char1 Char,Footnote Text Char1 Char Char1 Char Char Char Char,fn Char,ft Char,char Char"/>
    <w:rsid w:val="00B04EB1"/>
    <w:rPr>
      <w:rFonts w:ascii="Times New Roman" w:eastAsia="Times New Roman" w:hAnsi="Times New Roman" w:cs="Times New Roman"/>
      <w:sz w:val="20"/>
      <w:szCs w:val="20"/>
    </w:rPr>
  </w:style>
  <w:style w:type="paragraph" w:styleId="TOC6">
    <w:name w:val="toc 6"/>
    <w:basedOn w:val="Normal"/>
    <w:next w:val="Normal"/>
    <w:autoRedefine/>
    <w:uiPriority w:val="39"/>
    <w:unhideWhenUsed/>
    <w:qFormat/>
    <w:rsid w:val="00F209BD"/>
    <w:pPr>
      <w:tabs>
        <w:tab w:val="decimal" w:leader="dot" w:pos="8640"/>
      </w:tabs>
      <w:spacing w:after="240" w:line="240" w:lineRule="auto"/>
      <w:ind w:left="4320" w:hanging="720"/>
    </w:pPr>
    <w:rPr>
      <w:rFonts w:eastAsiaTheme="minorEastAsia"/>
    </w:rPr>
  </w:style>
  <w:style w:type="paragraph" w:styleId="TOC7">
    <w:name w:val="toc 7"/>
    <w:basedOn w:val="Normal"/>
    <w:next w:val="Normal"/>
    <w:autoRedefine/>
    <w:uiPriority w:val="39"/>
    <w:unhideWhenUsed/>
    <w:qFormat/>
    <w:rsid w:val="00F209BD"/>
    <w:pPr>
      <w:tabs>
        <w:tab w:val="decimal" w:leader="dot" w:pos="8640"/>
      </w:tabs>
      <w:spacing w:after="240" w:line="240" w:lineRule="auto"/>
      <w:ind w:left="5040" w:hanging="720"/>
    </w:pPr>
    <w:rPr>
      <w:rFonts w:eastAsiaTheme="minorEastAsia"/>
    </w:rPr>
  </w:style>
  <w:style w:type="paragraph" w:styleId="TOC8">
    <w:name w:val="toc 8"/>
    <w:basedOn w:val="Normal"/>
    <w:next w:val="Normal"/>
    <w:autoRedefine/>
    <w:uiPriority w:val="39"/>
    <w:unhideWhenUsed/>
    <w:rsid w:val="00B04EB1"/>
    <w:pPr>
      <w:spacing w:after="100"/>
      <w:ind w:left="1540"/>
    </w:pPr>
    <w:rPr>
      <w:rFonts w:eastAsiaTheme="minorEastAsia"/>
    </w:rPr>
  </w:style>
  <w:style w:type="paragraph" w:styleId="TOC9">
    <w:name w:val="toc 9"/>
    <w:basedOn w:val="Normal"/>
    <w:next w:val="Normal"/>
    <w:autoRedefine/>
    <w:uiPriority w:val="39"/>
    <w:unhideWhenUsed/>
    <w:rsid w:val="00B04EB1"/>
    <w:pPr>
      <w:spacing w:after="100"/>
      <w:ind w:left="1760"/>
    </w:pPr>
    <w:rPr>
      <w:rFonts w:eastAsiaTheme="minorEastAsia"/>
    </w:rPr>
  </w:style>
  <w:style w:type="character" w:customStyle="1" w:styleId="FootnoteCharacters">
    <w:name w:val="Footnote Characters"/>
    <w:rsid w:val="00B04EB1"/>
  </w:style>
  <w:style w:type="character" w:styleId="FollowedHyperlink">
    <w:name w:val="FollowedHyperlink"/>
    <w:basedOn w:val="DefaultParagraphFont"/>
    <w:uiPriority w:val="99"/>
    <w:semiHidden/>
    <w:unhideWhenUsed/>
    <w:rsid w:val="00B04EB1"/>
    <w:rPr>
      <w:color w:val="800080" w:themeColor="followedHyperlink"/>
      <w:u w:val="single"/>
    </w:rPr>
  </w:style>
  <w:style w:type="character" w:styleId="EndnoteReference">
    <w:name w:val="endnote reference"/>
    <w:basedOn w:val="DefaultParagraphFont"/>
    <w:uiPriority w:val="99"/>
    <w:semiHidden/>
    <w:unhideWhenUsed/>
    <w:rsid w:val="00061ED4"/>
    <w:rPr>
      <w:vertAlign w:val="superscript"/>
    </w:rPr>
  </w:style>
  <w:style w:type="paragraph" w:styleId="NormalWeb">
    <w:name w:val="Normal (Web)"/>
    <w:basedOn w:val="Normal"/>
    <w:uiPriority w:val="99"/>
    <w:semiHidden/>
    <w:unhideWhenUsed/>
    <w:rsid w:val="005B6256"/>
    <w:pPr>
      <w:spacing w:before="100" w:beforeAutospacing="1" w:after="100" w:afterAutospacing="1" w:line="240" w:lineRule="auto"/>
    </w:pPr>
    <w:rPr>
      <w:rFonts w:eastAsia="Times New Roman" w:cs="Times New Roman"/>
      <w:szCs w:val="24"/>
    </w:rPr>
  </w:style>
  <w:style w:type="character" w:customStyle="1" w:styleId="Heading6Char">
    <w:name w:val="Heading 6 Char"/>
    <w:basedOn w:val="DefaultParagraphFont"/>
    <w:link w:val="Heading6"/>
    <w:uiPriority w:val="9"/>
    <w:rsid w:val="0083673C"/>
    <w:rPr>
      <w:rFonts w:ascii="Times New Roman Bold" w:eastAsiaTheme="majorEastAsia" w:hAnsi="Times New Roman Bold" w:cstheme="majorBidi"/>
      <w:b/>
      <w:iCs/>
      <w:sz w:val="24"/>
    </w:rPr>
  </w:style>
  <w:style w:type="character" w:customStyle="1" w:styleId="Heading7Char">
    <w:name w:val="Heading 7 Char"/>
    <w:basedOn w:val="DefaultParagraphFont"/>
    <w:link w:val="Heading7"/>
    <w:uiPriority w:val="9"/>
    <w:rsid w:val="00017FBD"/>
    <w:rPr>
      <w:rFonts w:ascii="Times New Roman Bold" w:eastAsiaTheme="majorEastAsia" w:hAnsi="Times New Roman Bold" w:cstheme="majorBidi"/>
      <w:b/>
      <w:iCs/>
      <w:sz w:val="24"/>
    </w:rPr>
  </w:style>
  <w:style w:type="character" w:customStyle="1" w:styleId="BodyTextChar0">
    <w:name w:val="Body  Text Char"/>
    <w:link w:val="BodyText0"/>
    <w:locked/>
    <w:rsid w:val="0032757B"/>
    <w:rPr>
      <w:rFonts w:ascii="Arial" w:eastAsia="Calibri" w:hAnsi="Arial" w:cs="Times New Roman"/>
      <w:kern w:val="18"/>
    </w:rPr>
  </w:style>
  <w:style w:type="paragraph" w:customStyle="1" w:styleId="BodyText0">
    <w:name w:val="Body  Text"/>
    <w:basedOn w:val="Normal"/>
    <w:link w:val="BodyTextChar0"/>
    <w:rsid w:val="0032757B"/>
    <w:pPr>
      <w:spacing w:after="0" w:line="480" w:lineRule="auto"/>
      <w:ind w:firstLine="720"/>
      <w:jc w:val="both"/>
    </w:pPr>
    <w:rPr>
      <w:rFonts w:ascii="Arial" w:eastAsia="Calibri" w:hAnsi="Arial" w:cs="Times New Roman"/>
      <w:kern w:val="18"/>
      <w:sz w:val="22"/>
    </w:rPr>
  </w:style>
  <w:style w:type="paragraph" w:styleId="BlockText">
    <w:name w:val="Block Text"/>
    <w:basedOn w:val="Normal"/>
    <w:rsid w:val="00625EDC"/>
    <w:pPr>
      <w:overflowPunct w:val="0"/>
      <w:autoSpaceDE w:val="0"/>
      <w:autoSpaceDN w:val="0"/>
      <w:adjustRightInd w:val="0"/>
      <w:spacing w:after="0" w:line="240" w:lineRule="auto"/>
      <w:ind w:left="1440" w:right="720"/>
      <w:textAlignment w:val="baseline"/>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EB1"/>
    <w:rPr>
      <w:rFonts w:ascii="Times New Roman" w:hAnsi="Times New Roman"/>
      <w:sz w:val="24"/>
    </w:rPr>
  </w:style>
  <w:style w:type="paragraph" w:styleId="Heading1">
    <w:name w:val="heading 1"/>
    <w:basedOn w:val="Normal"/>
    <w:next w:val="Normal"/>
    <w:link w:val="Heading1Char"/>
    <w:autoRedefine/>
    <w:uiPriority w:val="9"/>
    <w:qFormat/>
    <w:rsid w:val="00037F6E"/>
    <w:pPr>
      <w:keepNext/>
      <w:keepLines/>
      <w:spacing w:after="240" w:line="240" w:lineRule="auto"/>
      <w:ind w:left="720" w:hanging="720"/>
      <w:outlineLvl w:val="0"/>
    </w:pPr>
    <w:rPr>
      <w:rFonts w:eastAsiaTheme="majorEastAsia" w:cs="Times New Roman"/>
      <w:b/>
      <w:bCs/>
      <w:caps/>
      <w:szCs w:val="24"/>
    </w:rPr>
  </w:style>
  <w:style w:type="paragraph" w:styleId="Heading2">
    <w:name w:val="heading 2"/>
    <w:basedOn w:val="Normal"/>
    <w:next w:val="Normal"/>
    <w:link w:val="Heading2Char"/>
    <w:autoRedefine/>
    <w:uiPriority w:val="9"/>
    <w:unhideWhenUsed/>
    <w:qFormat/>
    <w:rsid w:val="00EF63B8"/>
    <w:pPr>
      <w:keepNext/>
      <w:keepLines/>
      <w:spacing w:after="240" w:line="240" w:lineRule="auto"/>
      <w:ind w:left="1440" w:right="720" w:hanging="720"/>
      <w:outlineLvl w:val="1"/>
    </w:pPr>
    <w:rPr>
      <w:rFonts w:eastAsiaTheme="majorEastAsia" w:cs="Times New Roman"/>
      <w:b/>
      <w:bCs/>
      <w:szCs w:val="24"/>
    </w:rPr>
  </w:style>
  <w:style w:type="paragraph" w:styleId="Heading3">
    <w:name w:val="heading 3"/>
    <w:basedOn w:val="Normal"/>
    <w:next w:val="Normal"/>
    <w:link w:val="Heading3Char"/>
    <w:autoRedefine/>
    <w:uiPriority w:val="9"/>
    <w:unhideWhenUsed/>
    <w:qFormat/>
    <w:rsid w:val="00F128D5"/>
    <w:pPr>
      <w:keepNext/>
      <w:keepLines/>
      <w:spacing w:before="70" w:after="240" w:line="249" w:lineRule="auto"/>
      <w:ind w:left="2160" w:right="720" w:hanging="720"/>
      <w:outlineLvl w:val="2"/>
    </w:pPr>
    <w:rPr>
      <w:rFonts w:eastAsiaTheme="majorEastAsia" w:cs="Times New Roman"/>
      <w:b/>
      <w:bCs/>
      <w:szCs w:val="24"/>
    </w:rPr>
  </w:style>
  <w:style w:type="paragraph" w:styleId="Heading4">
    <w:name w:val="heading 4"/>
    <w:basedOn w:val="Normal"/>
    <w:next w:val="Normal"/>
    <w:link w:val="Heading4Char"/>
    <w:autoRedefine/>
    <w:uiPriority w:val="9"/>
    <w:unhideWhenUsed/>
    <w:qFormat/>
    <w:rsid w:val="00896CEC"/>
    <w:pPr>
      <w:keepNext/>
      <w:keepLines/>
      <w:spacing w:after="240" w:line="240" w:lineRule="auto"/>
      <w:ind w:left="2880" w:right="720" w:hanging="720"/>
      <w:outlineLvl w:val="3"/>
    </w:pPr>
    <w:rPr>
      <w:rFonts w:eastAsiaTheme="majorEastAsia" w:cstheme="majorBidi"/>
      <w:b/>
      <w:bCs/>
      <w:iCs/>
    </w:rPr>
  </w:style>
  <w:style w:type="paragraph" w:styleId="Heading5">
    <w:name w:val="heading 5"/>
    <w:basedOn w:val="Normal"/>
    <w:next w:val="Normal"/>
    <w:link w:val="Heading5Char"/>
    <w:autoRedefine/>
    <w:uiPriority w:val="9"/>
    <w:unhideWhenUsed/>
    <w:qFormat/>
    <w:rsid w:val="00B30CAE"/>
    <w:pPr>
      <w:keepNext/>
      <w:keepLines/>
      <w:spacing w:after="240" w:line="240" w:lineRule="auto"/>
      <w:ind w:left="3600" w:right="720" w:hanging="720"/>
      <w:outlineLvl w:val="4"/>
    </w:pPr>
    <w:rPr>
      <w:rFonts w:ascii="Times New Roman Bold" w:eastAsiaTheme="majorEastAsia" w:hAnsi="Times New Roman Bold" w:cs="Times New Roman"/>
      <w:b/>
    </w:rPr>
  </w:style>
  <w:style w:type="paragraph" w:styleId="Heading6">
    <w:name w:val="heading 6"/>
    <w:basedOn w:val="Normal"/>
    <w:next w:val="Normal"/>
    <w:link w:val="Heading6Char"/>
    <w:autoRedefine/>
    <w:uiPriority w:val="9"/>
    <w:unhideWhenUsed/>
    <w:qFormat/>
    <w:rsid w:val="0083673C"/>
    <w:pPr>
      <w:keepNext/>
      <w:keepLines/>
      <w:spacing w:after="240" w:line="240" w:lineRule="auto"/>
      <w:ind w:left="4320" w:right="720" w:hanging="720"/>
      <w:outlineLvl w:val="5"/>
    </w:pPr>
    <w:rPr>
      <w:rFonts w:ascii="Times New Roman Bold" w:eastAsiaTheme="majorEastAsia" w:hAnsi="Times New Roman Bold" w:cstheme="majorBidi"/>
      <w:b/>
      <w:iCs/>
    </w:rPr>
  </w:style>
  <w:style w:type="paragraph" w:styleId="Heading7">
    <w:name w:val="heading 7"/>
    <w:basedOn w:val="Normal"/>
    <w:next w:val="Normal"/>
    <w:link w:val="Heading7Char"/>
    <w:autoRedefine/>
    <w:uiPriority w:val="9"/>
    <w:unhideWhenUsed/>
    <w:qFormat/>
    <w:rsid w:val="00017FBD"/>
    <w:pPr>
      <w:keepNext/>
      <w:keepLines/>
      <w:spacing w:after="240" w:line="240" w:lineRule="auto"/>
      <w:ind w:left="5760" w:hanging="720"/>
      <w:outlineLvl w:val="6"/>
    </w:pPr>
    <w:rPr>
      <w:rFonts w:ascii="Times New Roman Bold" w:eastAsiaTheme="majorEastAsia" w:hAnsi="Times New Roman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F6E"/>
    <w:rPr>
      <w:rFonts w:ascii="Times New Roman" w:eastAsiaTheme="majorEastAsia" w:hAnsi="Times New Roman" w:cs="Times New Roman"/>
      <w:b/>
      <w:bCs/>
      <w:caps/>
      <w:sz w:val="24"/>
      <w:szCs w:val="24"/>
    </w:rPr>
  </w:style>
  <w:style w:type="character" w:customStyle="1" w:styleId="Heading2Char">
    <w:name w:val="Heading 2 Char"/>
    <w:basedOn w:val="DefaultParagraphFont"/>
    <w:link w:val="Heading2"/>
    <w:uiPriority w:val="9"/>
    <w:rsid w:val="00D91E4C"/>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F128D5"/>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896CEC"/>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B30CAE"/>
    <w:rPr>
      <w:rFonts w:ascii="Times New Roman Bold" w:eastAsiaTheme="majorEastAsia" w:hAnsi="Times New Roman Bold" w:cs="Times New Roman"/>
      <w:b/>
      <w:sz w:val="24"/>
    </w:rPr>
  </w:style>
  <w:style w:type="paragraph" w:styleId="ListParagraph">
    <w:name w:val="List Paragraph"/>
    <w:basedOn w:val="Normal"/>
    <w:uiPriority w:val="34"/>
    <w:qFormat/>
    <w:rsid w:val="00B04EB1"/>
    <w:pPr>
      <w:ind w:left="720"/>
      <w:contextualSpacing/>
    </w:pPr>
  </w:style>
  <w:style w:type="paragraph" w:styleId="HTMLPreformatted">
    <w:name w:val="HTML Preformatted"/>
    <w:basedOn w:val="Normal"/>
    <w:link w:val="HTMLPreformattedChar"/>
    <w:rsid w:val="00B04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B04EB1"/>
    <w:rPr>
      <w:rFonts w:ascii="Courier New" w:eastAsia="Courier New" w:hAnsi="Courier New" w:cs="Courier New"/>
      <w:sz w:val="20"/>
      <w:szCs w:val="20"/>
    </w:rPr>
  </w:style>
  <w:style w:type="character" w:styleId="Hyperlink">
    <w:name w:val="Hyperlink"/>
    <w:uiPriority w:val="99"/>
    <w:rsid w:val="00B04EB1"/>
    <w:rPr>
      <w:color w:val="0000FF"/>
      <w:u w:val="single"/>
    </w:rPr>
  </w:style>
  <w:style w:type="paragraph" w:styleId="Footer">
    <w:name w:val="footer"/>
    <w:aliases w:val="Char1"/>
    <w:basedOn w:val="Normal"/>
    <w:link w:val="FooterChar"/>
    <w:uiPriority w:val="99"/>
    <w:rsid w:val="00B04EB1"/>
    <w:pPr>
      <w:tabs>
        <w:tab w:val="center" w:pos="4320"/>
        <w:tab w:val="right" w:pos="8640"/>
      </w:tabs>
      <w:spacing w:after="0" w:line="240" w:lineRule="auto"/>
    </w:pPr>
    <w:rPr>
      <w:rFonts w:eastAsia="Times New Roman" w:cs="Times New Roman"/>
      <w:szCs w:val="24"/>
    </w:rPr>
  </w:style>
  <w:style w:type="character" w:customStyle="1" w:styleId="FooterChar">
    <w:name w:val="Footer Char"/>
    <w:aliases w:val="Char1 Char"/>
    <w:basedOn w:val="DefaultParagraphFont"/>
    <w:link w:val="Footer"/>
    <w:uiPriority w:val="99"/>
    <w:rsid w:val="00B04EB1"/>
    <w:rPr>
      <w:rFonts w:ascii="Times New Roman" w:eastAsia="Times New Roman" w:hAnsi="Times New Roman" w:cs="Times New Roman"/>
      <w:sz w:val="24"/>
      <w:szCs w:val="24"/>
    </w:rPr>
  </w:style>
  <w:style w:type="paragraph" w:styleId="CommentText">
    <w:name w:val="annotation text"/>
    <w:basedOn w:val="Normal"/>
    <w:link w:val="CommentTextChar"/>
    <w:semiHidden/>
    <w:rsid w:val="00B04EB1"/>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B04EB1"/>
    <w:rPr>
      <w:rFonts w:ascii="Times New Roman" w:eastAsia="Times New Roman" w:hAnsi="Times New Roman" w:cs="Times New Roman"/>
      <w:sz w:val="20"/>
      <w:szCs w:val="20"/>
    </w:rPr>
  </w:style>
  <w:style w:type="paragraph" w:styleId="BodyText">
    <w:name w:val="Body Text"/>
    <w:basedOn w:val="Normal"/>
    <w:link w:val="BodyTextChar"/>
    <w:rsid w:val="00B04EB1"/>
    <w:pPr>
      <w:tabs>
        <w:tab w:val="left" w:pos="-720"/>
      </w:tabs>
      <w:suppressAutoHyphens/>
      <w:spacing w:after="0" w:line="480" w:lineRule="auto"/>
      <w:jc w:val="both"/>
    </w:pPr>
    <w:rPr>
      <w:rFonts w:eastAsia="Times New Roman" w:cs="Times New Roman"/>
      <w:snapToGrid w:val="0"/>
      <w:spacing w:val="-3"/>
      <w:szCs w:val="20"/>
    </w:rPr>
  </w:style>
  <w:style w:type="character" w:customStyle="1" w:styleId="BodyTextChar">
    <w:name w:val="Body Text Char"/>
    <w:basedOn w:val="DefaultParagraphFont"/>
    <w:link w:val="BodyText"/>
    <w:rsid w:val="00B04EB1"/>
    <w:rPr>
      <w:rFonts w:ascii="Times New Roman" w:eastAsia="Times New Roman" w:hAnsi="Times New Roman" w:cs="Times New Roman"/>
      <w:snapToGrid w:val="0"/>
      <w:spacing w:val="-3"/>
      <w:sz w:val="24"/>
      <w:szCs w:val="20"/>
    </w:rPr>
  </w:style>
  <w:style w:type="paragraph" w:styleId="EndnoteText">
    <w:name w:val="endnote text"/>
    <w:basedOn w:val="Normal"/>
    <w:link w:val="EndnoteTextChar"/>
    <w:semiHidden/>
    <w:rsid w:val="00B04EB1"/>
    <w:pPr>
      <w:widowControl w:val="0"/>
      <w:spacing w:after="0" w:line="240" w:lineRule="auto"/>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semiHidden/>
    <w:rsid w:val="00B04EB1"/>
    <w:rPr>
      <w:rFonts w:ascii="Courier New" w:eastAsia="Times New Roman" w:hAnsi="Courier New" w:cs="Times New Roman"/>
      <w:snapToGrid w:val="0"/>
      <w:sz w:val="24"/>
      <w:szCs w:val="20"/>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ALTS FOOTNOTE,fn"/>
    <w:basedOn w:val="Normal"/>
    <w:link w:val="FootnoteTextChar"/>
    <w:uiPriority w:val="99"/>
    <w:qFormat/>
    <w:rsid w:val="00B04EB1"/>
    <w:pPr>
      <w:spacing w:after="0" w:line="240" w:lineRule="auto"/>
    </w:pPr>
    <w:rPr>
      <w:rFonts w:ascii="Arial" w:eastAsia="Times New Roman" w:hAnsi="Arial" w:cs="Times New Roman"/>
      <w:spacing w:val="-5"/>
      <w:sz w:val="20"/>
      <w:szCs w:val="20"/>
    </w:rPr>
  </w:style>
  <w:style w:type="character" w:customStyle="1" w:styleId="FootnoteTextChar">
    <w:name w:val="Footnote Text Char"/>
    <w:aliases w:val="Footnote Text Char4 Char Char1,Footnote Text Char Char4 Char Char1,Footnote Text Char4 Char1 Char Char Char1,Footnote Text Char Char4 Char1 Char Char Char1,Footnote Text Char5 Char1 Char Char Char Char Char Char1,ALTS FOOTNOTE Char"/>
    <w:basedOn w:val="DefaultParagraphFont"/>
    <w:link w:val="FootnoteText"/>
    <w:uiPriority w:val="99"/>
    <w:rsid w:val="00B04EB1"/>
    <w:rPr>
      <w:rFonts w:ascii="Arial" w:eastAsia="Times New Roman" w:hAnsi="Arial" w:cs="Times New Roman"/>
      <w:spacing w:val="-5"/>
      <w:sz w:val="20"/>
      <w:szCs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Style 11,Style 21,Style 4,Style 16"/>
    <w:uiPriority w:val="99"/>
    <w:qFormat/>
    <w:rsid w:val="00B04EB1"/>
    <w:rPr>
      <w:vertAlign w:val="superscript"/>
    </w:rPr>
  </w:style>
  <w:style w:type="character" w:styleId="CommentReference">
    <w:name w:val="annotation reference"/>
    <w:basedOn w:val="DefaultParagraphFont"/>
    <w:uiPriority w:val="99"/>
    <w:semiHidden/>
    <w:unhideWhenUsed/>
    <w:rsid w:val="00B04EB1"/>
    <w:rPr>
      <w:sz w:val="16"/>
      <w:szCs w:val="16"/>
    </w:rPr>
  </w:style>
  <w:style w:type="paragraph" w:styleId="CommentSubject">
    <w:name w:val="annotation subject"/>
    <w:basedOn w:val="CommentText"/>
    <w:next w:val="CommentText"/>
    <w:link w:val="CommentSubjectChar"/>
    <w:uiPriority w:val="99"/>
    <w:semiHidden/>
    <w:unhideWhenUsed/>
    <w:rsid w:val="00B04EB1"/>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04EB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4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EB1"/>
    <w:rPr>
      <w:rFonts w:ascii="Tahoma" w:hAnsi="Tahoma" w:cs="Tahoma"/>
      <w:sz w:val="16"/>
      <w:szCs w:val="16"/>
    </w:rPr>
  </w:style>
  <w:style w:type="paragraph" w:customStyle="1" w:styleId="DirectNext">
    <w:name w:val="Direct Next"/>
    <w:basedOn w:val="Normal"/>
    <w:uiPriority w:val="99"/>
    <w:rsid w:val="00B04EB1"/>
    <w:pPr>
      <w:spacing w:after="0" w:line="504" w:lineRule="exact"/>
      <w:ind w:left="720"/>
    </w:pPr>
    <w:rPr>
      <w:rFonts w:eastAsia="Times New Roman" w:cs="Times New Roman"/>
      <w:szCs w:val="24"/>
    </w:rPr>
  </w:style>
  <w:style w:type="paragraph" w:customStyle="1" w:styleId="Default">
    <w:name w:val="Default"/>
    <w:rsid w:val="00B04E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B04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EB1"/>
    <w:rPr>
      <w:rFonts w:ascii="Times New Roman" w:hAnsi="Times New Roman"/>
      <w:sz w:val="24"/>
    </w:rPr>
  </w:style>
  <w:style w:type="character" w:customStyle="1" w:styleId="apple-converted-space">
    <w:name w:val="apple-converted-space"/>
    <w:basedOn w:val="DefaultParagraphFont"/>
    <w:rsid w:val="00B04EB1"/>
  </w:style>
  <w:style w:type="paragraph" w:styleId="BodyTextIndent3">
    <w:name w:val="Body Text Indent 3"/>
    <w:basedOn w:val="Normal"/>
    <w:link w:val="BodyTextIndent3Char"/>
    <w:uiPriority w:val="99"/>
    <w:unhideWhenUsed/>
    <w:rsid w:val="00B04EB1"/>
    <w:pPr>
      <w:spacing w:after="120"/>
      <w:ind w:left="360"/>
    </w:pPr>
    <w:rPr>
      <w:sz w:val="16"/>
      <w:szCs w:val="16"/>
    </w:rPr>
  </w:style>
  <w:style w:type="character" w:customStyle="1" w:styleId="BodyTextIndent3Char">
    <w:name w:val="Body Text Indent 3 Char"/>
    <w:basedOn w:val="DefaultParagraphFont"/>
    <w:link w:val="BodyTextIndent3"/>
    <w:uiPriority w:val="99"/>
    <w:rsid w:val="00B04EB1"/>
    <w:rPr>
      <w:rFonts w:ascii="Times New Roman" w:hAnsi="Times New Roman"/>
      <w:sz w:val="16"/>
      <w:szCs w:val="16"/>
    </w:rPr>
  </w:style>
  <w:style w:type="character" w:customStyle="1" w:styleId="FootnoteTextChar1">
    <w:name w:val="Footnote Text Char1"/>
    <w:aliases w:val="Footnote Text Char4 Char Char,Footnote Text Char Char4 Char Char,Footnote Text Char4 Char1 Char Char Char,Footnote Text Char Char4 Char1 Char Char Char,Footnote Text Char5 Char1 Char Char Char Char Char Char,Footnote Text Char2 Char"/>
    <w:rsid w:val="00B04EB1"/>
    <w:rPr>
      <w:rFonts w:ascii="Times New Roman" w:eastAsia="Times New Roman" w:hAnsi="Times New Roman" w:cs="Times New Roman"/>
      <w:sz w:val="20"/>
      <w:szCs w:val="20"/>
    </w:rPr>
  </w:style>
  <w:style w:type="paragraph" w:styleId="Title">
    <w:name w:val="Title"/>
    <w:basedOn w:val="Heading3"/>
    <w:next w:val="Heading3"/>
    <w:link w:val="TitleChar"/>
    <w:autoRedefine/>
    <w:uiPriority w:val="10"/>
    <w:qFormat/>
    <w:rsid w:val="00EF63B8"/>
    <w:pPr>
      <w:pBdr>
        <w:bottom w:val="single" w:sz="8" w:space="4" w:color="4F81BD" w:themeColor="accent1"/>
      </w:pBdr>
      <w:contextualSpacing/>
    </w:pPr>
    <w:rPr>
      <w:spacing w:val="5"/>
      <w:kern w:val="28"/>
      <w:szCs w:val="52"/>
    </w:rPr>
  </w:style>
  <w:style w:type="character" w:customStyle="1" w:styleId="TitleChar">
    <w:name w:val="Title Char"/>
    <w:basedOn w:val="DefaultParagraphFont"/>
    <w:link w:val="Title"/>
    <w:uiPriority w:val="10"/>
    <w:rsid w:val="00B04EB1"/>
    <w:rPr>
      <w:rFonts w:ascii="Times New Roman" w:eastAsiaTheme="majorEastAsia" w:hAnsi="Times New Roman" w:cs="Times New Roman"/>
      <w:b/>
      <w:bCs/>
      <w:spacing w:val="5"/>
      <w:kern w:val="28"/>
      <w:sz w:val="24"/>
      <w:szCs w:val="52"/>
    </w:rPr>
  </w:style>
  <w:style w:type="paragraph" w:styleId="Subtitle">
    <w:name w:val="Subtitle"/>
    <w:basedOn w:val="Normal"/>
    <w:next w:val="Normal"/>
    <w:link w:val="SubtitleChar"/>
    <w:autoRedefine/>
    <w:uiPriority w:val="11"/>
    <w:qFormat/>
    <w:rsid w:val="00B04EB1"/>
    <w:pPr>
      <w:numPr>
        <w:ilvl w:val="1"/>
      </w:numPr>
      <w:spacing w:after="240" w:line="240" w:lineRule="auto"/>
      <w:ind w:left="2880" w:hanging="720"/>
      <w:outlineLvl w:val="3"/>
    </w:pPr>
    <w:rPr>
      <w:rFonts w:eastAsiaTheme="majorEastAsia" w:cstheme="majorBidi"/>
      <w:iCs/>
      <w:spacing w:val="15"/>
      <w:szCs w:val="24"/>
    </w:rPr>
  </w:style>
  <w:style w:type="character" w:customStyle="1" w:styleId="SubtitleChar">
    <w:name w:val="Subtitle Char"/>
    <w:basedOn w:val="DefaultParagraphFont"/>
    <w:link w:val="Subtitle"/>
    <w:uiPriority w:val="11"/>
    <w:rsid w:val="00B04EB1"/>
    <w:rPr>
      <w:rFonts w:ascii="Times New Roman" w:eastAsiaTheme="majorEastAsia" w:hAnsi="Times New Roman" w:cstheme="majorBidi"/>
      <w:iCs/>
      <w:spacing w:val="15"/>
      <w:sz w:val="24"/>
      <w:szCs w:val="24"/>
    </w:rPr>
  </w:style>
  <w:style w:type="paragraph" w:styleId="TOC1">
    <w:name w:val="toc 1"/>
    <w:basedOn w:val="Normal"/>
    <w:next w:val="Normal"/>
    <w:autoRedefine/>
    <w:uiPriority w:val="39"/>
    <w:unhideWhenUsed/>
    <w:qFormat/>
    <w:rsid w:val="00EF63B8"/>
    <w:pPr>
      <w:tabs>
        <w:tab w:val="decimal" w:leader="dot" w:pos="8640"/>
      </w:tabs>
      <w:spacing w:after="240" w:line="240" w:lineRule="auto"/>
      <w:ind w:left="720" w:hanging="720"/>
    </w:pPr>
    <w:rPr>
      <w:caps/>
    </w:rPr>
  </w:style>
  <w:style w:type="paragraph" w:styleId="TOC2">
    <w:name w:val="toc 2"/>
    <w:basedOn w:val="Normal"/>
    <w:next w:val="Normal"/>
    <w:autoRedefine/>
    <w:uiPriority w:val="39"/>
    <w:unhideWhenUsed/>
    <w:qFormat/>
    <w:rsid w:val="0089195C"/>
    <w:pPr>
      <w:tabs>
        <w:tab w:val="decimal" w:leader="dot" w:pos="8640"/>
      </w:tabs>
      <w:spacing w:after="240" w:line="240" w:lineRule="auto"/>
      <w:ind w:left="1440" w:hanging="720"/>
    </w:pPr>
  </w:style>
  <w:style w:type="paragraph" w:styleId="TOC3">
    <w:name w:val="toc 3"/>
    <w:basedOn w:val="Normal"/>
    <w:next w:val="Normal"/>
    <w:autoRedefine/>
    <w:uiPriority w:val="39"/>
    <w:unhideWhenUsed/>
    <w:qFormat/>
    <w:rsid w:val="00F209BD"/>
    <w:pPr>
      <w:tabs>
        <w:tab w:val="decimal" w:leader="dot" w:pos="8640"/>
      </w:tabs>
      <w:spacing w:after="240" w:line="240" w:lineRule="auto"/>
      <w:ind w:left="2160" w:hanging="720"/>
    </w:pPr>
  </w:style>
  <w:style w:type="paragraph" w:styleId="TOC4">
    <w:name w:val="toc 4"/>
    <w:basedOn w:val="Normal"/>
    <w:next w:val="Normal"/>
    <w:autoRedefine/>
    <w:uiPriority w:val="39"/>
    <w:unhideWhenUsed/>
    <w:qFormat/>
    <w:rsid w:val="00F209BD"/>
    <w:pPr>
      <w:tabs>
        <w:tab w:val="decimal" w:leader="dot" w:pos="8640"/>
      </w:tabs>
      <w:spacing w:after="240" w:line="240" w:lineRule="auto"/>
      <w:ind w:left="2880" w:hanging="720"/>
    </w:pPr>
  </w:style>
  <w:style w:type="paragraph" w:styleId="TOC5">
    <w:name w:val="toc 5"/>
    <w:basedOn w:val="Normal"/>
    <w:next w:val="Normal"/>
    <w:autoRedefine/>
    <w:uiPriority w:val="39"/>
    <w:unhideWhenUsed/>
    <w:qFormat/>
    <w:rsid w:val="00F209BD"/>
    <w:pPr>
      <w:tabs>
        <w:tab w:val="decimal" w:leader="dot" w:pos="8640"/>
      </w:tabs>
      <w:spacing w:after="240" w:line="240" w:lineRule="auto"/>
      <w:ind w:left="3600" w:hanging="720"/>
    </w:pPr>
  </w:style>
  <w:style w:type="table" w:styleId="TableGrid">
    <w:name w:val="Table Grid"/>
    <w:basedOn w:val="TableNormal"/>
    <w:uiPriority w:val="59"/>
    <w:rsid w:val="00B04EB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1">
    <w:name w:val="Q1"/>
    <w:basedOn w:val="Normal"/>
    <w:next w:val="A1"/>
    <w:qFormat/>
    <w:rsid w:val="00B04EB1"/>
    <w:pPr>
      <w:spacing w:after="0" w:line="480" w:lineRule="auto"/>
    </w:pPr>
    <w:rPr>
      <w:rFonts w:eastAsia="Times New Roman" w:cs="Times New Roman"/>
      <w:b/>
      <w:i/>
      <w:szCs w:val="20"/>
    </w:rPr>
  </w:style>
  <w:style w:type="paragraph" w:customStyle="1" w:styleId="A1">
    <w:name w:val="A1"/>
    <w:basedOn w:val="Normal"/>
    <w:qFormat/>
    <w:rsid w:val="00B04EB1"/>
  </w:style>
  <w:style w:type="table" w:customStyle="1" w:styleId="TableGrid1">
    <w:name w:val="Table Grid1"/>
    <w:basedOn w:val="TableNormal"/>
    <w:next w:val="TableGrid"/>
    <w:uiPriority w:val="59"/>
    <w:rsid w:val="00B04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leftalign">
    <w:name w:val="ss_leftalign"/>
    <w:basedOn w:val="DefaultParagraphFont"/>
    <w:rsid w:val="00B04EB1"/>
  </w:style>
  <w:style w:type="character" w:customStyle="1" w:styleId="sspagshow">
    <w:name w:val="ss_pag_show"/>
    <w:basedOn w:val="DefaultParagraphFont"/>
    <w:rsid w:val="00B04EB1"/>
  </w:style>
  <w:style w:type="paragraph" w:styleId="NoSpacing">
    <w:name w:val="No Spacing"/>
    <w:uiPriority w:val="1"/>
    <w:qFormat/>
    <w:rsid w:val="00B04EB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BodyA">
    <w:name w:val="Body A"/>
    <w:rsid w:val="00B04EB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Revision">
    <w:name w:val="Revision"/>
    <w:hidden/>
    <w:uiPriority w:val="99"/>
    <w:semiHidden/>
    <w:rsid w:val="00B04EB1"/>
    <w:pPr>
      <w:spacing w:after="0" w:line="240" w:lineRule="auto"/>
    </w:pPr>
  </w:style>
  <w:style w:type="character" w:customStyle="1" w:styleId="FootnoteTextChar1Char">
    <w:name w:val="Footnote Text Char1 Char"/>
    <w:aliases w:val="Footnote Text Char Char Char,Footnote Text Char1 Char Char1 Char,Footnote Text Char Char Char Char Char,Footnote Text Char2 Char Char Char Char1 Char,Footnote Text Char1 Char Char1 Char Char Char Char,fn Char,ft Char,char Char"/>
    <w:rsid w:val="00B04EB1"/>
    <w:rPr>
      <w:rFonts w:ascii="Times New Roman" w:eastAsia="Times New Roman" w:hAnsi="Times New Roman" w:cs="Times New Roman"/>
      <w:sz w:val="20"/>
      <w:szCs w:val="20"/>
    </w:rPr>
  </w:style>
  <w:style w:type="paragraph" w:styleId="TOC6">
    <w:name w:val="toc 6"/>
    <w:basedOn w:val="Normal"/>
    <w:next w:val="Normal"/>
    <w:autoRedefine/>
    <w:uiPriority w:val="39"/>
    <w:unhideWhenUsed/>
    <w:qFormat/>
    <w:rsid w:val="00F209BD"/>
    <w:pPr>
      <w:tabs>
        <w:tab w:val="decimal" w:leader="dot" w:pos="8640"/>
      </w:tabs>
      <w:spacing w:after="240" w:line="240" w:lineRule="auto"/>
      <w:ind w:left="4320" w:hanging="720"/>
    </w:pPr>
    <w:rPr>
      <w:rFonts w:eastAsiaTheme="minorEastAsia"/>
    </w:rPr>
  </w:style>
  <w:style w:type="paragraph" w:styleId="TOC7">
    <w:name w:val="toc 7"/>
    <w:basedOn w:val="Normal"/>
    <w:next w:val="Normal"/>
    <w:autoRedefine/>
    <w:uiPriority w:val="39"/>
    <w:unhideWhenUsed/>
    <w:qFormat/>
    <w:rsid w:val="00F209BD"/>
    <w:pPr>
      <w:tabs>
        <w:tab w:val="decimal" w:leader="dot" w:pos="8640"/>
      </w:tabs>
      <w:spacing w:after="240" w:line="240" w:lineRule="auto"/>
      <w:ind w:left="5040" w:hanging="720"/>
    </w:pPr>
    <w:rPr>
      <w:rFonts w:eastAsiaTheme="minorEastAsia"/>
    </w:rPr>
  </w:style>
  <w:style w:type="paragraph" w:styleId="TOC8">
    <w:name w:val="toc 8"/>
    <w:basedOn w:val="Normal"/>
    <w:next w:val="Normal"/>
    <w:autoRedefine/>
    <w:uiPriority w:val="39"/>
    <w:unhideWhenUsed/>
    <w:rsid w:val="00B04EB1"/>
    <w:pPr>
      <w:spacing w:after="100"/>
      <w:ind w:left="1540"/>
    </w:pPr>
    <w:rPr>
      <w:rFonts w:eastAsiaTheme="minorEastAsia"/>
    </w:rPr>
  </w:style>
  <w:style w:type="paragraph" w:styleId="TOC9">
    <w:name w:val="toc 9"/>
    <w:basedOn w:val="Normal"/>
    <w:next w:val="Normal"/>
    <w:autoRedefine/>
    <w:uiPriority w:val="39"/>
    <w:unhideWhenUsed/>
    <w:rsid w:val="00B04EB1"/>
    <w:pPr>
      <w:spacing w:after="100"/>
      <w:ind w:left="1760"/>
    </w:pPr>
    <w:rPr>
      <w:rFonts w:eastAsiaTheme="minorEastAsia"/>
    </w:rPr>
  </w:style>
  <w:style w:type="character" w:customStyle="1" w:styleId="FootnoteCharacters">
    <w:name w:val="Footnote Characters"/>
    <w:rsid w:val="00B04EB1"/>
  </w:style>
  <w:style w:type="character" w:styleId="FollowedHyperlink">
    <w:name w:val="FollowedHyperlink"/>
    <w:basedOn w:val="DefaultParagraphFont"/>
    <w:uiPriority w:val="99"/>
    <w:semiHidden/>
    <w:unhideWhenUsed/>
    <w:rsid w:val="00B04EB1"/>
    <w:rPr>
      <w:color w:val="800080" w:themeColor="followedHyperlink"/>
      <w:u w:val="single"/>
    </w:rPr>
  </w:style>
  <w:style w:type="character" w:styleId="EndnoteReference">
    <w:name w:val="endnote reference"/>
    <w:basedOn w:val="DefaultParagraphFont"/>
    <w:uiPriority w:val="99"/>
    <w:semiHidden/>
    <w:unhideWhenUsed/>
    <w:rsid w:val="00061ED4"/>
    <w:rPr>
      <w:vertAlign w:val="superscript"/>
    </w:rPr>
  </w:style>
  <w:style w:type="paragraph" w:styleId="NormalWeb">
    <w:name w:val="Normal (Web)"/>
    <w:basedOn w:val="Normal"/>
    <w:uiPriority w:val="99"/>
    <w:semiHidden/>
    <w:unhideWhenUsed/>
    <w:rsid w:val="005B6256"/>
    <w:pPr>
      <w:spacing w:before="100" w:beforeAutospacing="1" w:after="100" w:afterAutospacing="1" w:line="240" w:lineRule="auto"/>
    </w:pPr>
    <w:rPr>
      <w:rFonts w:eastAsia="Times New Roman" w:cs="Times New Roman"/>
      <w:szCs w:val="24"/>
    </w:rPr>
  </w:style>
  <w:style w:type="character" w:customStyle="1" w:styleId="Heading6Char">
    <w:name w:val="Heading 6 Char"/>
    <w:basedOn w:val="DefaultParagraphFont"/>
    <w:link w:val="Heading6"/>
    <w:uiPriority w:val="9"/>
    <w:rsid w:val="0083673C"/>
    <w:rPr>
      <w:rFonts w:ascii="Times New Roman Bold" w:eastAsiaTheme="majorEastAsia" w:hAnsi="Times New Roman Bold" w:cstheme="majorBidi"/>
      <w:b/>
      <w:iCs/>
      <w:sz w:val="24"/>
    </w:rPr>
  </w:style>
  <w:style w:type="character" w:customStyle="1" w:styleId="Heading7Char">
    <w:name w:val="Heading 7 Char"/>
    <w:basedOn w:val="DefaultParagraphFont"/>
    <w:link w:val="Heading7"/>
    <w:uiPriority w:val="9"/>
    <w:rsid w:val="00017FBD"/>
    <w:rPr>
      <w:rFonts w:ascii="Times New Roman Bold" w:eastAsiaTheme="majorEastAsia" w:hAnsi="Times New Roman Bold" w:cstheme="majorBidi"/>
      <w:b/>
      <w:iCs/>
      <w:sz w:val="24"/>
    </w:rPr>
  </w:style>
  <w:style w:type="character" w:customStyle="1" w:styleId="BodyTextChar0">
    <w:name w:val="Body  Text Char"/>
    <w:link w:val="BodyText0"/>
    <w:locked/>
    <w:rsid w:val="0032757B"/>
    <w:rPr>
      <w:rFonts w:ascii="Arial" w:eastAsia="Calibri" w:hAnsi="Arial" w:cs="Times New Roman"/>
      <w:kern w:val="18"/>
    </w:rPr>
  </w:style>
  <w:style w:type="paragraph" w:customStyle="1" w:styleId="BodyText0">
    <w:name w:val="Body  Text"/>
    <w:basedOn w:val="Normal"/>
    <w:link w:val="BodyTextChar0"/>
    <w:rsid w:val="0032757B"/>
    <w:pPr>
      <w:spacing w:after="0" w:line="480" w:lineRule="auto"/>
      <w:ind w:firstLine="720"/>
      <w:jc w:val="both"/>
    </w:pPr>
    <w:rPr>
      <w:rFonts w:ascii="Arial" w:eastAsia="Calibri" w:hAnsi="Arial" w:cs="Times New Roman"/>
      <w:kern w:val="18"/>
      <w:sz w:val="22"/>
    </w:rPr>
  </w:style>
  <w:style w:type="paragraph" w:styleId="BlockText">
    <w:name w:val="Block Text"/>
    <w:basedOn w:val="Normal"/>
    <w:rsid w:val="00625EDC"/>
    <w:pPr>
      <w:overflowPunct w:val="0"/>
      <w:autoSpaceDE w:val="0"/>
      <w:autoSpaceDN w:val="0"/>
      <w:adjustRightInd w:val="0"/>
      <w:spacing w:after="0" w:line="240" w:lineRule="auto"/>
      <w:ind w:left="1440" w:right="720"/>
      <w:textAlignment w:val="baseline"/>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002">
      <w:bodyDiv w:val="1"/>
      <w:marLeft w:val="0"/>
      <w:marRight w:val="0"/>
      <w:marTop w:val="0"/>
      <w:marBottom w:val="0"/>
      <w:divBdr>
        <w:top w:val="none" w:sz="0" w:space="0" w:color="auto"/>
        <w:left w:val="none" w:sz="0" w:space="0" w:color="auto"/>
        <w:bottom w:val="none" w:sz="0" w:space="0" w:color="auto"/>
        <w:right w:val="none" w:sz="0" w:space="0" w:color="auto"/>
      </w:divBdr>
    </w:div>
    <w:div w:id="25907681">
      <w:bodyDiv w:val="1"/>
      <w:marLeft w:val="0"/>
      <w:marRight w:val="0"/>
      <w:marTop w:val="0"/>
      <w:marBottom w:val="0"/>
      <w:divBdr>
        <w:top w:val="none" w:sz="0" w:space="0" w:color="auto"/>
        <w:left w:val="none" w:sz="0" w:space="0" w:color="auto"/>
        <w:bottom w:val="none" w:sz="0" w:space="0" w:color="auto"/>
        <w:right w:val="none" w:sz="0" w:space="0" w:color="auto"/>
      </w:divBdr>
      <w:divsChild>
        <w:div w:id="996540466">
          <w:marLeft w:val="0"/>
          <w:marRight w:val="-5040"/>
          <w:marTop w:val="0"/>
          <w:marBottom w:val="0"/>
          <w:divBdr>
            <w:top w:val="none" w:sz="0" w:space="0" w:color="auto"/>
            <w:left w:val="none" w:sz="0" w:space="0" w:color="auto"/>
            <w:bottom w:val="none" w:sz="0" w:space="0" w:color="auto"/>
            <w:right w:val="none" w:sz="0" w:space="0" w:color="auto"/>
          </w:divBdr>
          <w:divsChild>
            <w:div w:id="524178583">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64319838">
      <w:bodyDiv w:val="1"/>
      <w:marLeft w:val="0"/>
      <w:marRight w:val="0"/>
      <w:marTop w:val="0"/>
      <w:marBottom w:val="0"/>
      <w:divBdr>
        <w:top w:val="none" w:sz="0" w:space="0" w:color="auto"/>
        <w:left w:val="none" w:sz="0" w:space="0" w:color="auto"/>
        <w:bottom w:val="none" w:sz="0" w:space="0" w:color="auto"/>
        <w:right w:val="none" w:sz="0" w:space="0" w:color="auto"/>
      </w:divBdr>
    </w:div>
    <w:div w:id="278923376">
      <w:bodyDiv w:val="1"/>
      <w:marLeft w:val="0"/>
      <w:marRight w:val="0"/>
      <w:marTop w:val="0"/>
      <w:marBottom w:val="0"/>
      <w:divBdr>
        <w:top w:val="none" w:sz="0" w:space="0" w:color="auto"/>
        <w:left w:val="none" w:sz="0" w:space="0" w:color="auto"/>
        <w:bottom w:val="none" w:sz="0" w:space="0" w:color="auto"/>
        <w:right w:val="none" w:sz="0" w:space="0" w:color="auto"/>
      </w:divBdr>
    </w:div>
    <w:div w:id="484246906">
      <w:bodyDiv w:val="1"/>
      <w:marLeft w:val="0"/>
      <w:marRight w:val="0"/>
      <w:marTop w:val="0"/>
      <w:marBottom w:val="0"/>
      <w:divBdr>
        <w:top w:val="none" w:sz="0" w:space="0" w:color="auto"/>
        <w:left w:val="none" w:sz="0" w:space="0" w:color="auto"/>
        <w:bottom w:val="none" w:sz="0" w:space="0" w:color="auto"/>
        <w:right w:val="none" w:sz="0" w:space="0" w:color="auto"/>
      </w:divBdr>
    </w:div>
    <w:div w:id="641352979">
      <w:bodyDiv w:val="1"/>
      <w:marLeft w:val="0"/>
      <w:marRight w:val="0"/>
      <w:marTop w:val="0"/>
      <w:marBottom w:val="0"/>
      <w:divBdr>
        <w:top w:val="none" w:sz="0" w:space="0" w:color="auto"/>
        <w:left w:val="none" w:sz="0" w:space="0" w:color="auto"/>
        <w:bottom w:val="none" w:sz="0" w:space="0" w:color="auto"/>
        <w:right w:val="none" w:sz="0" w:space="0" w:color="auto"/>
      </w:divBdr>
    </w:div>
    <w:div w:id="665012110">
      <w:bodyDiv w:val="1"/>
      <w:marLeft w:val="0"/>
      <w:marRight w:val="0"/>
      <w:marTop w:val="0"/>
      <w:marBottom w:val="0"/>
      <w:divBdr>
        <w:top w:val="none" w:sz="0" w:space="0" w:color="auto"/>
        <w:left w:val="none" w:sz="0" w:space="0" w:color="auto"/>
        <w:bottom w:val="none" w:sz="0" w:space="0" w:color="auto"/>
        <w:right w:val="none" w:sz="0" w:space="0" w:color="auto"/>
      </w:divBdr>
    </w:div>
    <w:div w:id="682632819">
      <w:bodyDiv w:val="1"/>
      <w:marLeft w:val="0"/>
      <w:marRight w:val="0"/>
      <w:marTop w:val="0"/>
      <w:marBottom w:val="0"/>
      <w:divBdr>
        <w:top w:val="none" w:sz="0" w:space="0" w:color="auto"/>
        <w:left w:val="none" w:sz="0" w:space="0" w:color="auto"/>
        <w:bottom w:val="none" w:sz="0" w:space="0" w:color="auto"/>
        <w:right w:val="none" w:sz="0" w:space="0" w:color="auto"/>
      </w:divBdr>
    </w:div>
    <w:div w:id="739131730">
      <w:bodyDiv w:val="1"/>
      <w:marLeft w:val="0"/>
      <w:marRight w:val="0"/>
      <w:marTop w:val="0"/>
      <w:marBottom w:val="0"/>
      <w:divBdr>
        <w:top w:val="none" w:sz="0" w:space="0" w:color="auto"/>
        <w:left w:val="none" w:sz="0" w:space="0" w:color="auto"/>
        <w:bottom w:val="none" w:sz="0" w:space="0" w:color="auto"/>
        <w:right w:val="none" w:sz="0" w:space="0" w:color="auto"/>
      </w:divBdr>
    </w:div>
    <w:div w:id="896167830">
      <w:bodyDiv w:val="1"/>
      <w:marLeft w:val="0"/>
      <w:marRight w:val="0"/>
      <w:marTop w:val="0"/>
      <w:marBottom w:val="0"/>
      <w:divBdr>
        <w:top w:val="none" w:sz="0" w:space="0" w:color="auto"/>
        <w:left w:val="none" w:sz="0" w:space="0" w:color="auto"/>
        <w:bottom w:val="none" w:sz="0" w:space="0" w:color="auto"/>
        <w:right w:val="none" w:sz="0" w:space="0" w:color="auto"/>
      </w:divBdr>
    </w:div>
    <w:div w:id="903567651">
      <w:bodyDiv w:val="1"/>
      <w:marLeft w:val="0"/>
      <w:marRight w:val="0"/>
      <w:marTop w:val="0"/>
      <w:marBottom w:val="0"/>
      <w:divBdr>
        <w:top w:val="none" w:sz="0" w:space="0" w:color="auto"/>
        <w:left w:val="none" w:sz="0" w:space="0" w:color="auto"/>
        <w:bottom w:val="none" w:sz="0" w:space="0" w:color="auto"/>
        <w:right w:val="none" w:sz="0" w:space="0" w:color="auto"/>
      </w:divBdr>
    </w:div>
    <w:div w:id="1177232516">
      <w:bodyDiv w:val="1"/>
      <w:marLeft w:val="0"/>
      <w:marRight w:val="0"/>
      <w:marTop w:val="0"/>
      <w:marBottom w:val="0"/>
      <w:divBdr>
        <w:top w:val="none" w:sz="0" w:space="0" w:color="auto"/>
        <w:left w:val="none" w:sz="0" w:space="0" w:color="auto"/>
        <w:bottom w:val="none" w:sz="0" w:space="0" w:color="auto"/>
        <w:right w:val="none" w:sz="0" w:space="0" w:color="auto"/>
      </w:divBdr>
    </w:div>
    <w:div w:id="1799060417">
      <w:bodyDiv w:val="1"/>
      <w:marLeft w:val="0"/>
      <w:marRight w:val="0"/>
      <w:marTop w:val="0"/>
      <w:marBottom w:val="0"/>
      <w:divBdr>
        <w:top w:val="none" w:sz="0" w:space="0" w:color="auto"/>
        <w:left w:val="none" w:sz="0" w:space="0" w:color="auto"/>
        <w:bottom w:val="none" w:sz="0" w:space="0" w:color="auto"/>
        <w:right w:val="none" w:sz="0" w:space="0" w:color="auto"/>
      </w:divBdr>
    </w:div>
    <w:div w:id="1900244085">
      <w:bodyDiv w:val="1"/>
      <w:marLeft w:val="0"/>
      <w:marRight w:val="0"/>
      <w:marTop w:val="0"/>
      <w:marBottom w:val="0"/>
      <w:divBdr>
        <w:top w:val="none" w:sz="0" w:space="0" w:color="auto"/>
        <w:left w:val="none" w:sz="0" w:space="0" w:color="auto"/>
        <w:bottom w:val="none" w:sz="0" w:space="0" w:color="auto"/>
        <w:right w:val="none" w:sz="0" w:space="0" w:color="auto"/>
      </w:divBdr>
      <w:divsChild>
        <w:div w:id="838542832">
          <w:marLeft w:val="0"/>
          <w:marRight w:val="-5040"/>
          <w:marTop w:val="0"/>
          <w:marBottom w:val="0"/>
          <w:divBdr>
            <w:top w:val="none" w:sz="0" w:space="0" w:color="auto"/>
            <w:left w:val="none" w:sz="0" w:space="0" w:color="auto"/>
            <w:bottom w:val="none" w:sz="0" w:space="0" w:color="auto"/>
            <w:right w:val="none" w:sz="0" w:space="0" w:color="auto"/>
          </w:divBdr>
          <w:divsChild>
            <w:div w:id="891574383">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922333414">
      <w:bodyDiv w:val="1"/>
      <w:marLeft w:val="0"/>
      <w:marRight w:val="0"/>
      <w:marTop w:val="0"/>
      <w:marBottom w:val="0"/>
      <w:divBdr>
        <w:top w:val="none" w:sz="0" w:space="0" w:color="auto"/>
        <w:left w:val="none" w:sz="0" w:space="0" w:color="auto"/>
        <w:bottom w:val="none" w:sz="0" w:space="0" w:color="auto"/>
        <w:right w:val="none" w:sz="0" w:space="0" w:color="auto"/>
      </w:divBdr>
    </w:div>
    <w:div w:id="197120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yalami@aep.com" TargetMode="External"/><Relationship Id="rId21" Type="http://schemas.openxmlformats.org/officeDocument/2006/relationships/hyperlink" Target="mailto:mkurtz@BKLlawfirm.com" TargetMode="External"/><Relationship Id="rId34" Type="http://schemas.openxmlformats.org/officeDocument/2006/relationships/hyperlink" Target="mailto:gas@bbrslaw.com" TargetMode="External"/><Relationship Id="rId42" Type="http://schemas.openxmlformats.org/officeDocument/2006/relationships/hyperlink" Target="mailto:rparsons@kravitzllc.com" TargetMode="External"/><Relationship Id="rId47" Type="http://schemas.openxmlformats.org/officeDocument/2006/relationships/hyperlink" Target="mailto:mkimbrough@keglerbrown.com" TargetMode="External"/><Relationship Id="rId50" Type="http://schemas.openxmlformats.org/officeDocument/2006/relationships/hyperlink" Target="mailto:toddm@wamenergylaw.com" TargetMode="External"/><Relationship Id="rId55" Type="http://schemas.openxmlformats.org/officeDocument/2006/relationships/hyperlink" Target="mailto:Gregory.price@puc.state.oh.us" TargetMode="External"/><Relationship Id="rId63" Type="http://schemas.openxmlformats.org/officeDocument/2006/relationships/hyperlink" Target="mailto:sam@mwncmh.com" TargetMode="External"/><Relationship Id="rId68" Type="http://schemas.openxmlformats.org/officeDocument/2006/relationships/hyperlink" Target="mailto:joliker@igsenergy.com" TargetMode="External"/><Relationship Id="rId76" Type="http://schemas.openxmlformats.org/officeDocument/2006/relationships/hyperlink" Target="mailto:Jeremy.grayem@icemiller.com" TargetMode="External"/><Relationship Id="rId84" Type="http://schemas.openxmlformats.org/officeDocument/2006/relationships/hyperlink" Target="mailto:matt@matthewcoxlaw.com" TargetMode="External"/><Relationship Id="rId89" Type="http://schemas.openxmlformats.org/officeDocument/2006/relationships/hyperlink" Target="mailto:trhayslaw@gmail.com" TargetMode="External"/><Relationship Id="rId97" Type="http://schemas.openxmlformats.org/officeDocument/2006/relationships/footer" Target="footer5.xml"/><Relationship Id="rId104" Type="http://schemas.microsoft.com/office/2011/relationships/commentsExtended" Target="commentsExtended.xml"/><Relationship Id="rId7" Type="http://schemas.openxmlformats.org/officeDocument/2006/relationships/endnotes" Target="endnotes.xml"/><Relationship Id="rId71" Type="http://schemas.openxmlformats.org/officeDocument/2006/relationships/hyperlink" Target="mailto:ghiloni@carpenterlipps.com" TargetMode="External"/><Relationship Id="rId92" Type="http://schemas.openxmlformats.org/officeDocument/2006/relationships/hyperlink" Target="mailto:mjsettineri@vorys.com" TargetMode="Externa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yperlink" Target="mailto:dparram@taftlaw.com" TargetMode="External"/><Relationship Id="rId11" Type="http://schemas.openxmlformats.org/officeDocument/2006/relationships/footer" Target="footer1.xml"/><Relationship Id="rId24" Type="http://schemas.openxmlformats.org/officeDocument/2006/relationships/hyperlink" Target="mailto:stnourse@aep.com" TargetMode="External"/><Relationship Id="rId32" Type="http://schemas.openxmlformats.org/officeDocument/2006/relationships/hyperlink" Target="mailto:tobrien@bricker.com" TargetMode="External"/><Relationship Id="rId37" Type="http://schemas.openxmlformats.org/officeDocument/2006/relationships/hyperlink" Target="mailto:dwilliamson@spilmanlaw.com" TargetMode="External"/><Relationship Id="rId40" Type="http://schemas.openxmlformats.org/officeDocument/2006/relationships/hyperlink" Target="mailto:kryan@city.cleveland.oh.us" TargetMode="External"/><Relationship Id="rId45" Type="http://schemas.openxmlformats.org/officeDocument/2006/relationships/hyperlink" Target="mailto:dborchers@bricker.com" TargetMode="External"/><Relationship Id="rId53" Type="http://schemas.openxmlformats.org/officeDocument/2006/relationships/hyperlink" Target="mailto:rkelter@elpc.org" TargetMode="External"/><Relationship Id="rId58" Type="http://schemas.openxmlformats.org/officeDocument/2006/relationships/hyperlink" Target="mailto:burkj@firstenergycorp.com" TargetMode="External"/><Relationship Id="rId66" Type="http://schemas.openxmlformats.org/officeDocument/2006/relationships/hyperlink" Target="mailto:cmooney@ohiopartners.org" TargetMode="External"/><Relationship Id="rId74" Type="http://schemas.openxmlformats.org/officeDocument/2006/relationships/hyperlink" Target="mailto:Christopher.miller@icemiller.com" TargetMode="External"/><Relationship Id="rId79" Type="http://schemas.openxmlformats.org/officeDocument/2006/relationships/hyperlink" Target="mailto:kryan@city.cleveland.oh.us" TargetMode="External"/><Relationship Id="rId87" Type="http://schemas.openxmlformats.org/officeDocument/2006/relationships/hyperlink" Target="mailto:meissnerjoseph@yahoo.com" TargetMode="External"/><Relationship Id="rId5" Type="http://schemas.openxmlformats.org/officeDocument/2006/relationships/webSettings" Target="webSettings.xml"/><Relationship Id="rId61" Type="http://schemas.openxmlformats.org/officeDocument/2006/relationships/hyperlink" Target="mailto:talexander@calfee.com" TargetMode="External"/><Relationship Id="rId82" Type="http://schemas.openxmlformats.org/officeDocument/2006/relationships/hyperlink" Target="mailto:Marilyn@wflawfirm.com" TargetMode="External"/><Relationship Id="rId90" Type="http://schemas.openxmlformats.org/officeDocument/2006/relationships/hyperlink" Target="mailto:Jeffrey.mayes@monitoringanalytics.com" TargetMode="External"/><Relationship Id="rId95" Type="http://schemas.openxmlformats.org/officeDocument/2006/relationships/hyperlink" Target="mailto:sfisk@earthjustice.org" TargetMode="External"/><Relationship Id="rId19" Type="http://schemas.openxmlformats.org/officeDocument/2006/relationships/hyperlink" Target="mailto:Thomas.lindgren@puc.state.oh.us" TargetMode="External"/><Relationship Id="rId14" Type="http://schemas.openxmlformats.org/officeDocument/2006/relationships/footer" Target="footer3.xml"/><Relationship Id="rId22" Type="http://schemas.openxmlformats.org/officeDocument/2006/relationships/hyperlink" Target="mailto:kboem@BKLlawfirm.com" TargetMode="External"/><Relationship Id="rId27" Type="http://schemas.openxmlformats.org/officeDocument/2006/relationships/hyperlink" Target="mailto:Jennifer.spinosi@directenergy.com" TargetMode="External"/><Relationship Id="rId30" Type="http://schemas.openxmlformats.org/officeDocument/2006/relationships/hyperlink" Target="mailto:Schmidt@sppgrp.com" TargetMode="External"/><Relationship Id="rId35" Type="http://schemas.openxmlformats.org/officeDocument/2006/relationships/hyperlink" Target="mailto:wttpmlc@aol.com" TargetMode="External"/><Relationship Id="rId43" Type="http://schemas.openxmlformats.org/officeDocument/2006/relationships/hyperlink" Target="mailto:gkrassen@bricker.com" TargetMode="External"/><Relationship Id="rId48" Type="http://schemas.openxmlformats.org/officeDocument/2006/relationships/hyperlink" Target="mailto:sechler@carpenterlipps.com" TargetMode="External"/><Relationship Id="rId56" Type="http://schemas.openxmlformats.org/officeDocument/2006/relationships/hyperlink" Target="mailto:Mandy.willey@puc.state.oh.us" TargetMode="External"/><Relationship Id="rId64" Type="http://schemas.openxmlformats.org/officeDocument/2006/relationships/hyperlink" Target="mailto:fdarr@mwncmh.com" TargetMode="External"/><Relationship Id="rId69" Type="http://schemas.openxmlformats.org/officeDocument/2006/relationships/hyperlink" Target="mailto:mswhite@igsenergy.com" TargetMode="External"/><Relationship Id="rId77" Type="http://schemas.openxmlformats.org/officeDocument/2006/relationships/hyperlink" Target="mailto:blanghenry@city.cleveland.oh.us" TargetMode="External"/><Relationship Id="rId8" Type="http://schemas.openxmlformats.org/officeDocument/2006/relationships/hyperlink" Target="mailto:trhayslaw@gmail.com" TargetMode="External"/><Relationship Id="rId51" Type="http://schemas.openxmlformats.org/officeDocument/2006/relationships/hyperlink" Target="mailto:dwolff@crowell.com" TargetMode="External"/><Relationship Id="rId72" Type="http://schemas.openxmlformats.org/officeDocument/2006/relationships/hyperlink" Target="mailto:barthroyer@aol.com" TargetMode="External"/><Relationship Id="rId80" Type="http://schemas.openxmlformats.org/officeDocument/2006/relationships/hyperlink" Target="mailto:tdougherty@theOEC.org" TargetMode="External"/><Relationship Id="rId85" Type="http://schemas.openxmlformats.org/officeDocument/2006/relationships/hyperlink" Target="mailto:mfleisher@elpc.org" TargetMode="External"/><Relationship Id="rId93" Type="http://schemas.openxmlformats.org/officeDocument/2006/relationships/hyperlink" Target="mailto:glpetrucci@vorys.com" TargetMode="External"/><Relationship Id="rId98"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hyperlink" Target="mailto:trhayslaw@gmail.com" TargetMode="External"/><Relationship Id="rId25" Type="http://schemas.openxmlformats.org/officeDocument/2006/relationships/hyperlink" Target="mailto:mjsatterwhite@aep.com" TargetMode="External"/><Relationship Id="rId33" Type="http://schemas.openxmlformats.org/officeDocument/2006/relationships/hyperlink" Target="mailto:mkl@smxblaw.com" TargetMode="External"/><Relationship Id="rId38" Type="http://schemas.openxmlformats.org/officeDocument/2006/relationships/hyperlink" Target="mailto:blanghenry@city.cleveland.oh.us" TargetMode="External"/><Relationship Id="rId46" Type="http://schemas.openxmlformats.org/officeDocument/2006/relationships/hyperlink" Target="mailto:DFolk@akronohio.gov" TargetMode="External"/><Relationship Id="rId59" Type="http://schemas.openxmlformats.org/officeDocument/2006/relationships/hyperlink" Target="mailto:cdunn@firstenergycorp.com" TargetMode="External"/><Relationship Id="rId67" Type="http://schemas.openxmlformats.org/officeDocument/2006/relationships/hyperlink" Target="mailto:callwein@keglerbrwon.com" TargetMode="External"/><Relationship Id="rId20" Type="http://schemas.openxmlformats.org/officeDocument/2006/relationships/hyperlink" Target="mailto:Steven.beeler@puc.state.oh.us" TargetMode="External"/><Relationship Id="rId41" Type="http://schemas.openxmlformats.org/officeDocument/2006/relationships/hyperlink" Target="mailto:mdortch@kravitzllc.com" TargetMode="External"/><Relationship Id="rId54" Type="http://schemas.openxmlformats.org/officeDocument/2006/relationships/hyperlink" Target="mailto:evelyn.robinson@pjm.com" TargetMode="External"/><Relationship Id="rId62" Type="http://schemas.openxmlformats.org/officeDocument/2006/relationships/hyperlink" Target="mailto:dakutik@jonesday.com" TargetMode="External"/><Relationship Id="rId70" Type="http://schemas.openxmlformats.org/officeDocument/2006/relationships/hyperlink" Target="mailto:Bojko@carpenterlipps.com" TargetMode="External"/><Relationship Id="rId75" Type="http://schemas.openxmlformats.org/officeDocument/2006/relationships/hyperlink" Target="mailto:Gregory.dunn@icemiller.com" TargetMode="External"/><Relationship Id="rId83" Type="http://schemas.openxmlformats.org/officeDocument/2006/relationships/hyperlink" Target="mailto:todonnell@dickinsonwright.com" TargetMode="External"/><Relationship Id="rId88" Type="http://schemas.openxmlformats.org/officeDocument/2006/relationships/hyperlink" Target="mailto:LeslieKovacik@toledo.oh.gov" TargetMode="External"/><Relationship Id="rId91" Type="http://schemas.openxmlformats.org/officeDocument/2006/relationships/hyperlink" Target="mailto:mhpetricoff@vorys.com" TargetMode="External"/><Relationship Id="rId9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mailto:jkylercohn@BKLlawfirm.com" TargetMode="External"/><Relationship Id="rId28" Type="http://schemas.openxmlformats.org/officeDocument/2006/relationships/hyperlink" Target="mailto:ghull@eckertseamans.com" TargetMode="External"/><Relationship Id="rId36" Type="http://schemas.openxmlformats.org/officeDocument/2006/relationships/hyperlink" Target="mailto:lhawrot@spilmanlaw.com" TargetMode="External"/><Relationship Id="rId49" Type="http://schemas.openxmlformats.org/officeDocument/2006/relationships/hyperlink" Target="mailto:gpoulos@enernoc.com" TargetMode="External"/><Relationship Id="rId57" Type="http://schemas.openxmlformats.org/officeDocument/2006/relationships/hyperlink" Target="mailto:Megan.addison@puc.state.oh.us" TargetMode="External"/><Relationship Id="rId10" Type="http://schemas.openxmlformats.org/officeDocument/2006/relationships/header" Target="header2.xml"/><Relationship Id="rId31" Type="http://schemas.openxmlformats.org/officeDocument/2006/relationships/hyperlink" Target="mailto:ricks@ohanet.org" TargetMode="External"/><Relationship Id="rId44" Type="http://schemas.openxmlformats.org/officeDocument/2006/relationships/hyperlink" Target="mailto:dstinson@bricker.com" TargetMode="External"/><Relationship Id="rId52" Type="http://schemas.openxmlformats.org/officeDocument/2006/relationships/hyperlink" Target="mailto:rlehfeldt@crowell.com" TargetMode="External"/><Relationship Id="rId60" Type="http://schemas.openxmlformats.org/officeDocument/2006/relationships/hyperlink" Target="mailto:jlang@calfee.com" TargetMode="External"/><Relationship Id="rId65" Type="http://schemas.openxmlformats.org/officeDocument/2006/relationships/hyperlink" Target="mailto:mpritchard@mwncmh.com" TargetMode="External"/><Relationship Id="rId73" Type="http://schemas.openxmlformats.org/officeDocument/2006/relationships/hyperlink" Target="mailto:athompson@taftlaw.com" TargetMode="External"/><Relationship Id="rId78" Type="http://schemas.openxmlformats.org/officeDocument/2006/relationships/hyperlink" Target="mailto:hmadorsky@city.cleveland.oh.us" TargetMode="External"/><Relationship Id="rId81" Type="http://schemas.openxmlformats.org/officeDocument/2006/relationships/hyperlink" Target="mailto:jfinnigan@edf.org" TargetMode="External"/><Relationship Id="rId86" Type="http://schemas.openxmlformats.org/officeDocument/2006/relationships/hyperlink" Target="mailto:drinebolt@ohiopartners.org" TargetMode="External"/><Relationship Id="rId94" Type="http://schemas.openxmlformats.org/officeDocument/2006/relationships/hyperlink" Target="mailto:msoules@earthjustice.org"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mailto:Thomas.mcnamee@puc.state.oh.us" TargetMode="External"/><Relationship Id="rId39" Type="http://schemas.openxmlformats.org/officeDocument/2006/relationships/hyperlink" Target="mailto:hmadorsky@city.cleveland.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28331</Words>
  <Characters>153791</Characters>
  <Application>Microsoft Office Word</Application>
  <DocSecurity>0</DocSecurity>
  <Lines>2806</Lines>
  <Paragraphs>689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182603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2016-02-26T21:35:00Z</cp:lastPrinted>
  <dcterms:created xsi:type="dcterms:W3CDTF">2016-02-26T21:55:00Z</dcterms:created>
  <dcterms:modified xsi:type="dcterms:W3CDTF">2016-02-26T21:55:00Z</dcterms:modified>
  <cp:category> </cp:category>
  <cp:contentStatus> </cp:contentStatus>
</cp:coreProperties>
</file>