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45E59" w14:paraId="211A7543" w14:textId="777777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BEFORE </w:t>
      </w:r>
    </w:p>
    <w:p w:rsidR="00145E59" w14:paraId="0F114B55" w14:textId="777777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THE PUBLIC UTILITIES COMMISSION OF OHIO</w:t>
      </w:r>
    </w:p>
    <w:p w:rsidR="00145E59" w14:paraId="2583B401" w14:textId="77777777">
      <w:pPr>
        <w:spacing w:after="0" w:line="240" w:lineRule="auto"/>
        <w:jc w:val="center"/>
        <w:rPr>
          <w:rFonts w:ascii="Times New Roman" w:hAnsi="Times New Roman" w:cs="Times New Roman"/>
          <w:b/>
          <w:bCs/>
          <w:sz w:val="24"/>
          <w:szCs w:val="24"/>
        </w:rPr>
      </w:pPr>
    </w:p>
    <w:tbl>
      <w:tblPr>
        <w:tblW w:w="8640" w:type="dxa"/>
        <w:tblInd w:w="108" w:type="dxa"/>
        <w:tblLook w:val="01E0"/>
      </w:tblPr>
      <w:tblGrid>
        <w:gridCol w:w="4032"/>
        <w:gridCol w:w="362"/>
        <w:gridCol w:w="4246"/>
      </w:tblGrid>
      <w:tr w14:paraId="15E4F846" w14:textId="77777777" w:rsidTr="003273DD">
        <w:tblPrEx>
          <w:tblW w:w="8640" w:type="dxa"/>
          <w:tblInd w:w="108" w:type="dxa"/>
          <w:tblLook w:val="01E0"/>
        </w:tblPrEx>
        <w:trPr>
          <w:trHeight w:val="4932"/>
        </w:trPr>
        <w:tc>
          <w:tcPr>
            <w:tcW w:w="4032" w:type="dxa"/>
          </w:tcPr>
          <w:p w:rsidR="00145E59" w14:paraId="489D3FB6"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In the Matter of the Application of The Dayton Power and Light Company for Approval of its Electric Security Plan.</w:t>
            </w:r>
          </w:p>
          <w:p w:rsidR="00145E59" w14:paraId="53A20F8B" w14:textId="77777777">
            <w:pPr>
              <w:spacing w:after="0" w:line="240" w:lineRule="auto"/>
              <w:rPr>
                <w:rFonts w:ascii="Times New Roman" w:hAnsi="Times New Roman" w:cs="Times New Roman"/>
                <w:sz w:val="24"/>
                <w:szCs w:val="24"/>
              </w:rPr>
            </w:pPr>
          </w:p>
          <w:p w:rsidR="00145E59" w14:paraId="0B3B2CF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In the Matter of the Application of The Dayton Power and Light Company for Approval of Revised Tariffs.</w:t>
            </w:r>
          </w:p>
          <w:p w:rsidR="00145E59" w14:paraId="78383DDE" w14:textId="77777777">
            <w:pPr>
              <w:spacing w:after="0" w:line="240" w:lineRule="auto"/>
              <w:rPr>
                <w:rFonts w:ascii="Times New Roman" w:hAnsi="Times New Roman" w:cs="Times New Roman"/>
                <w:sz w:val="24"/>
                <w:szCs w:val="24"/>
              </w:rPr>
            </w:pPr>
          </w:p>
          <w:p w:rsidR="00145E59" w14:paraId="20AA547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In the Matter of the Application of The Dayton Power and Light Company for Approval of Certain Accounting Authority Pursuant to Ohio Rev. Code Section 4905.13.</w:t>
            </w:r>
          </w:p>
          <w:p w:rsidR="00145E59" w14:paraId="4176A1B5" w14:textId="77777777">
            <w:pPr>
              <w:spacing w:after="0" w:line="240" w:lineRule="auto"/>
              <w:rPr>
                <w:rFonts w:ascii="Times New Roman" w:hAnsi="Times New Roman" w:cs="Times New Roman"/>
                <w:sz w:val="24"/>
                <w:szCs w:val="24"/>
              </w:rPr>
            </w:pPr>
          </w:p>
          <w:p w:rsidR="00145E59" w14:paraId="7F26861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In the Matter of the Application of The Dayton Power and Light Company for Approval of its Amended Corporate Separation Plan.</w:t>
            </w:r>
          </w:p>
        </w:tc>
        <w:tc>
          <w:tcPr>
            <w:tcW w:w="362" w:type="dxa"/>
          </w:tcPr>
          <w:p w:rsidR="00145E59" w14:paraId="03F37C2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145E59" w14:paraId="2EED81A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145E59" w14:paraId="6894066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145E59" w14:paraId="11C6D811" w14:textId="77777777">
            <w:pPr>
              <w:spacing w:after="0" w:line="240" w:lineRule="auto"/>
              <w:rPr>
                <w:rFonts w:ascii="Times New Roman" w:hAnsi="Times New Roman" w:cs="Times New Roman"/>
                <w:sz w:val="24"/>
                <w:szCs w:val="24"/>
              </w:rPr>
            </w:pPr>
          </w:p>
          <w:p w:rsidR="00145E59" w14:paraId="145BC99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145E59" w14:paraId="2050546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145E59" w14:paraId="44C3E5D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145E59" w14:paraId="2A562A53" w14:textId="77777777">
            <w:pPr>
              <w:spacing w:after="0" w:line="240" w:lineRule="auto"/>
              <w:rPr>
                <w:rFonts w:ascii="Times New Roman" w:hAnsi="Times New Roman" w:cs="Times New Roman"/>
                <w:sz w:val="24"/>
                <w:szCs w:val="24"/>
              </w:rPr>
            </w:pPr>
          </w:p>
          <w:p w:rsidR="00145E59" w14:paraId="46A2803A"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145E59" w14:paraId="631E153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145E59" w14:paraId="14220C7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145E59" w14:paraId="794537B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145E59" w14:paraId="6F77B62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145E59" w14:paraId="5E930EFD" w14:textId="77777777">
            <w:pPr>
              <w:spacing w:after="0" w:line="240" w:lineRule="auto"/>
              <w:rPr>
                <w:rFonts w:ascii="Times New Roman" w:hAnsi="Times New Roman" w:cs="Times New Roman"/>
                <w:sz w:val="24"/>
                <w:szCs w:val="24"/>
              </w:rPr>
            </w:pPr>
          </w:p>
          <w:p w:rsidR="00145E59" w14:paraId="4AB2FB9E"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145E59" w14:paraId="4F6BB1F7"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145E59" w14:paraId="71973B33"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145E59" w14:paraId="51C7180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46" w:type="dxa"/>
          </w:tcPr>
          <w:p w:rsidR="00145E59" w14:paraId="5DF0973B" w14:textId="77777777">
            <w:pPr>
              <w:spacing w:after="0" w:line="240" w:lineRule="auto"/>
              <w:rPr>
                <w:rFonts w:ascii="Times New Roman" w:hAnsi="Times New Roman" w:cs="Times New Roman"/>
                <w:sz w:val="24"/>
                <w:szCs w:val="24"/>
              </w:rPr>
            </w:pPr>
          </w:p>
          <w:p w:rsidR="00145E59" w14:paraId="71E6AD77"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Case No. 08-1094-EL-SSO</w:t>
            </w:r>
          </w:p>
          <w:p w:rsidR="00145E59" w14:paraId="399991D0" w14:textId="77777777">
            <w:pPr>
              <w:spacing w:after="0" w:line="240" w:lineRule="auto"/>
              <w:rPr>
                <w:rFonts w:ascii="Times New Roman" w:hAnsi="Times New Roman" w:cs="Times New Roman"/>
                <w:sz w:val="24"/>
                <w:szCs w:val="24"/>
              </w:rPr>
            </w:pPr>
          </w:p>
          <w:p w:rsidR="00145E59" w14:paraId="537B9B79" w14:textId="77777777">
            <w:pPr>
              <w:spacing w:after="0" w:line="240" w:lineRule="auto"/>
              <w:rPr>
                <w:rFonts w:ascii="Times New Roman" w:hAnsi="Times New Roman" w:cs="Times New Roman"/>
                <w:sz w:val="24"/>
                <w:szCs w:val="24"/>
              </w:rPr>
            </w:pPr>
          </w:p>
          <w:p w:rsidR="00145E59" w14:paraId="480852AA" w14:textId="77777777">
            <w:pPr>
              <w:spacing w:after="0" w:line="240" w:lineRule="auto"/>
              <w:rPr>
                <w:rFonts w:ascii="Times New Roman" w:hAnsi="Times New Roman" w:cs="Times New Roman"/>
                <w:sz w:val="24"/>
                <w:szCs w:val="24"/>
              </w:rPr>
            </w:pPr>
          </w:p>
          <w:p w:rsidR="00145E59" w14:paraId="02581835"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Case No. 08-1095-EL-ATA</w:t>
            </w:r>
          </w:p>
          <w:p w:rsidR="00145E59" w14:paraId="08A55192" w14:textId="77777777">
            <w:pPr>
              <w:spacing w:after="0" w:line="240" w:lineRule="auto"/>
              <w:rPr>
                <w:rFonts w:ascii="Times New Roman" w:hAnsi="Times New Roman" w:cs="Times New Roman"/>
                <w:sz w:val="24"/>
                <w:szCs w:val="24"/>
              </w:rPr>
            </w:pPr>
          </w:p>
          <w:p w:rsidR="00145E59" w14:paraId="4936F6E1" w14:textId="77777777">
            <w:pPr>
              <w:spacing w:after="0" w:line="240" w:lineRule="auto"/>
              <w:rPr>
                <w:rFonts w:ascii="Times New Roman" w:hAnsi="Times New Roman" w:cs="Times New Roman"/>
                <w:sz w:val="24"/>
                <w:szCs w:val="24"/>
              </w:rPr>
            </w:pPr>
          </w:p>
          <w:p w:rsidR="00145E59" w14:paraId="5CA9DFFB" w14:textId="77777777">
            <w:pPr>
              <w:spacing w:after="0" w:line="240" w:lineRule="auto"/>
              <w:rPr>
                <w:rFonts w:ascii="Times New Roman" w:hAnsi="Times New Roman" w:cs="Times New Roman"/>
                <w:sz w:val="24"/>
                <w:szCs w:val="24"/>
              </w:rPr>
            </w:pPr>
          </w:p>
          <w:p w:rsidR="00145E59" w14:paraId="7C029152" w14:textId="77777777">
            <w:pPr>
              <w:spacing w:after="0" w:line="240" w:lineRule="auto"/>
              <w:rPr>
                <w:rFonts w:ascii="Times New Roman" w:hAnsi="Times New Roman" w:cs="Times New Roman"/>
                <w:sz w:val="24"/>
                <w:szCs w:val="24"/>
              </w:rPr>
            </w:pPr>
          </w:p>
          <w:p w:rsidR="00145E59" w14:paraId="098E01A3"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Case No. 08-1096-EL-AAM</w:t>
            </w:r>
          </w:p>
          <w:p w:rsidR="00145E59" w14:paraId="27E16DA8" w14:textId="77777777">
            <w:pPr>
              <w:spacing w:after="0" w:line="240" w:lineRule="auto"/>
              <w:rPr>
                <w:rFonts w:ascii="Times New Roman" w:hAnsi="Times New Roman" w:cs="Times New Roman"/>
                <w:sz w:val="24"/>
                <w:szCs w:val="24"/>
              </w:rPr>
            </w:pPr>
          </w:p>
          <w:p w:rsidR="00145E59" w14:paraId="0E389CA7" w14:textId="77777777">
            <w:pPr>
              <w:spacing w:after="0" w:line="240" w:lineRule="auto"/>
              <w:rPr>
                <w:rFonts w:ascii="Times New Roman" w:hAnsi="Times New Roman" w:cs="Times New Roman"/>
                <w:sz w:val="24"/>
                <w:szCs w:val="24"/>
              </w:rPr>
            </w:pPr>
          </w:p>
          <w:p w:rsidR="00145E59" w14:paraId="2CDE653F" w14:textId="77777777">
            <w:pPr>
              <w:spacing w:after="0" w:line="240" w:lineRule="auto"/>
              <w:rPr>
                <w:rFonts w:ascii="Times New Roman" w:hAnsi="Times New Roman" w:cs="Times New Roman"/>
                <w:sz w:val="24"/>
                <w:szCs w:val="24"/>
              </w:rPr>
            </w:pPr>
          </w:p>
          <w:p w:rsidR="00145E59" w14:paraId="6ADEECAA" w14:textId="77777777">
            <w:pPr>
              <w:spacing w:after="0" w:line="240" w:lineRule="auto"/>
              <w:rPr>
                <w:rFonts w:ascii="Times New Roman" w:hAnsi="Times New Roman" w:cs="Times New Roman"/>
                <w:sz w:val="24"/>
                <w:szCs w:val="24"/>
              </w:rPr>
            </w:pPr>
          </w:p>
          <w:p w:rsidR="00145E59" w14:paraId="052A1A3E"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Case No. 08-1097-EL-UNC</w:t>
            </w:r>
          </w:p>
          <w:p w:rsidR="00145E59" w14:paraId="3B3D5FF7" w14:textId="77777777">
            <w:pPr>
              <w:spacing w:after="0" w:line="240" w:lineRule="auto"/>
              <w:rPr>
                <w:rFonts w:ascii="Times New Roman" w:hAnsi="Times New Roman" w:cs="Times New Roman"/>
                <w:sz w:val="24"/>
                <w:szCs w:val="24"/>
              </w:rPr>
            </w:pPr>
          </w:p>
          <w:p w:rsidR="00145E59" w14:paraId="3C975D59" w14:textId="77777777">
            <w:pPr>
              <w:spacing w:after="0" w:line="240" w:lineRule="auto"/>
              <w:rPr>
                <w:rFonts w:ascii="Times New Roman" w:hAnsi="Times New Roman" w:cs="Times New Roman"/>
                <w:sz w:val="24"/>
                <w:szCs w:val="24"/>
              </w:rPr>
            </w:pPr>
          </w:p>
        </w:tc>
      </w:tr>
    </w:tbl>
    <w:p w:rsidR="00145E59" w14:paraId="0C156036" w14:textId="77777777">
      <w:pPr>
        <w:pStyle w:val="HTMLPreformatted"/>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45E59" w14:paraId="2B18B5BC" w14:textId="77777777">
      <w:pPr>
        <w:pStyle w:val="HTMLPreformatted"/>
        <w:pBdr>
          <w:bottom w:val="single" w:sz="12" w:space="1" w:color="auto"/>
        </w:pBd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45E59" w14:paraId="6E00B706" w14:textId="77777777">
      <w:pPr>
        <w:spacing w:after="0" w:line="240" w:lineRule="auto"/>
        <w:contextualSpacing/>
        <w:jc w:val="center"/>
        <w:rPr>
          <w:rFonts w:cs="Times New Roman"/>
          <w:b/>
          <w:szCs w:val="24"/>
        </w:rPr>
      </w:pPr>
    </w:p>
    <w:p w:rsidR="00145E59" w14:paraId="2C7A5731" w14:textId="777777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MEMORANDUM CONTRA</w:t>
      </w:r>
    </w:p>
    <w:p w:rsidR="0072407F" w:rsidP="0072407F" w14:paraId="6C6FCFEF" w14:textId="7D12F5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APPLICATION FOR REHEARING </w:t>
      </w:r>
    </w:p>
    <w:p w:rsidR="00145E59" w14:paraId="1888FB90" w14:textId="3B89DC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OF THE </w:t>
      </w:r>
    </w:p>
    <w:p w:rsidR="00145E59" w14:paraId="5A2780FA" w14:textId="777777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DAYTON POWER AND LIGHT COMPANY D/B/A/ AES OHIO </w:t>
      </w:r>
    </w:p>
    <w:p w:rsidR="00145E59" w14:paraId="388BE378" w14:textId="777777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BY</w:t>
      </w:r>
    </w:p>
    <w:p w:rsidR="00145E59" w14:paraId="69A2349A" w14:textId="777777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OFFICE OF THE OHIO CONSUMERS’ COUNSEL</w:t>
      </w:r>
    </w:p>
    <w:p w:rsidR="00145E59" w14:paraId="0EC8F920" w14:textId="77777777">
      <w:pPr>
        <w:pBdr>
          <w:bottom w:val="single" w:sz="12" w:space="1" w:color="auto"/>
        </w:pBdr>
        <w:spacing w:line="240" w:lineRule="auto"/>
        <w:contextualSpacing/>
        <w:jc w:val="center"/>
        <w:rPr>
          <w:rFonts w:cs="Times New Roman"/>
          <w:b/>
          <w:szCs w:val="24"/>
        </w:rPr>
      </w:pPr>
    </w:p>
    <w:p w:rsidR="00145E59" w14:paraId="4F09F9CB" w14:textId="77777777">
      <w:pPr>
        <w:spacing w:after="0" w:line="240" w:lineRule="auto"/>
        <w:ind w:firstLine="720"/>
      </w:pPr>
    </w:p>
    <w:p w:rsidR="00145E59" w14:paraId="1C29D6FB" w14:textId="77777777">
      <w:pPr>
        <w:pStyle w:val="Heading1"/>
        <w:rPr>
          <w:b w:val="0"/>
        </w:rPr>
      </w:pPr>
      <w:r>
        <w:t>I.</w:t>
      </w:r>
      <w:r>
        <w:tab/>
        <w:t>Introduction</w:t>
      </w:r>
    </w:p>
    <w:p w:rsidR="0098169A" w14:paraId="479070F9" w14:textId="77777777">
      <w:pPr>
        <w:spacing w:after="0" w:line="480" w:lineRule="auto"/>
        <w:rPr>
          <w:rFonts w:ascii="Times New Roman" w:hAnsi="Times New Roman" w:cs="Times New Roman"/>
          <w:sz w:val="24"/>
          <w:szCs w:val="24"/>
        </w:rPr>
        <w:sectPr w:rsidSect="00BF7C37">
          <w:footerReference w:type="default" r:id="rId6"/>
          <w:pgSz w:w="12240" w:h="15840"/>
          <w:pgMar w:top="1440" w:right="1800" w:bottom="1440" w:left="1800" w:header="720" w:footer="720" w:gutter="0"/>
          <w:pgNumType w:start="2"/>
          <w:cols w:space="720"/>
          <w:docGrid w:linePitch="360"/>
        </w:sectPr>
      </w:pPr>
      <w:r>
        <w:rPr>
          <w:rFonts w:ascii="Times New Roman" w:hAnsi="Times New Roman" w:cs="Times New Roman"/>
          <w:sz w:val="24"/>
          <w:szCs w:val="24"/>
        </w:rPr>
        <w:tab/>
        <w:t xml:space="preserve">The Office of the Ohio Consumers’ Counsel (“OCC”) has asked the Public Utilities Commission of Ohio (“PUCO”) to protect consumers who have paid plenty in made-up charges to </w:t>
      </w:r>
      <w:r w:rsidR="0072407F">
        <w:rPr>
          <w:rFonts w:ascii="Times New Roman" w:hAnsi="Times New Roman" w:cs="Times New Roman"/>
          <w:sz w:val="24"/>
          <w:szCs w:val="24"/>
        </w:rPr>
        <w:t>the Dayton Power and Light Company (“</w:t>
      </w:r>
      <w:r>
        <w:rPr>
          <w:rFonts w:ascii="Times New Roman" w:hAnsi="Times New Roman" w:cs="Times New Roman"/>
          <w:sz w:val="24"/>
          <w:szCs w:val="24"/>
        </w:rPr>
        <w:t>DP&amp;L</w:t>
      </w:r>
      <w:r w:rsidR="0072407F">
        <w:rPr>
          <w:rFonts w:ascii="Times New Roman" w:hAnsi="Times New Roman" w:cs="Times New Roman"/>
          <w:sz w:val="24"/>
          <w:szCs w:val="24"/>
        </w:rPr>
        <w:t>”)</w:t>
      </w:r>
      <w:r>
        <w:rPr>
          <w:rFonts w:ascii="Times New Roman" w:hAnsi="Times New Roman" w:cs="Times New Roman"/>
          <w:sz w:val="24"/>
          <w:szCs w:val="24"/>
        </w:rPr>
        <w:t xml:space="preserve"> since the 2008 energy law and the interim period before it. In its Fifth Entry on Rehearing, the PUCO gave consumers a modicum of protection by requiring that DP&amp;L include in its Rate</w:t>
      </w:r>
    </w:p>
    <w:p w:rsidR="00A951ED" w14:paraId="702E2543" w14:textId="0B4AD761">
      <w:pPr>
        <w:spacing w:after="0" w:line="480" w:lineRule="auto"/>
        <w:rPr>
          <w:rFonts w:ascii="Times New Roman" w:hAnsi="Times New Roman" w:cs="Times New Roman"/>
          <w:sz w:val="24"/>
          <w:szCs w:val="24"/>
        </w:rPr>
      </w:pPr>
      <w:r>
        <w:rPr>
          <w:rFonts w:ascii="Times New Roman" w:hAnsi="Times New Roman" w:cs="Times New Roman"/>
          <w:sz w:val="24"/>
          <w:szCs w:val="24"/>
        </w:rPr>
        <w:t>Stability Charge (“Stability Charge”) tariff language that the charge is refundable “to the extent permitted by law.”</w:t>
      </w:r>
      <w:r>
        <w:rPr>
          <w:rStyle w:val="FootnoteReference"/>
          <w:rFonts w:ascii="Times New Roman" w:hAnsi="Times New Roman" w:cs="Times New Roman"/>
          <w:sz w:val="24"/>
          <w:szCs w:val="24"/>
        </w:rPr>
        <w:footnoteReference w:id="2"/>
      </w:r>
      <w:r w:rsidR="00BF7C37">
        <w:rPr>
          <w:rFonts w:ascii="Times New Roman" w:hAnsi="Times New Roman" w:cs="Times New Roman"/>
          <w:sz w:val="24"/>
          <w:szCs w:val="24"/>
        </w:rPr>
        <w:t xml:space="preserve"> </w:t>
      </w:r>
    </w:p>
    <w:p w:rsidR="00145E59" w:rsidP="00A951ED" w14:paraId="5ADDE5F7" w14:textId="44DFE40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w:t>
      </w:r>
      <w:r w:rsidR="00A951ED">
        <w:rPr>
          <w:rFonts w:ascii="Times New Roman" w:hAnsi="Times New Roman" w:cs="Times New Roman"/>
          <w:sz w:val="24"/>
          <w:szCs w:val="24"/>
        </w:rPr>
        <w:t xml:space="preserve">DP&amp;L opposes even that </w:t>
      </w:r>
      <w:r>
        <w:rPr>
          <w:rFonts w:ascii="Times New Roman" w:hAnsi="Times New Roman" w:cs="Times New Roman"/>
          <w:sz w:val="24"/>
          <w:szCs w:val="24"/>
        </w:rPr>
        <w:t xml:space="preserve">protection for </w:t>
      </w:r>
      <w:r w:rsidR="000903C7">
        <w:rPr>
          <w:rFonts w:ascii="Times New Roman" w:hAnsi="Times New Roman" w:cs="Times New Roman"/>
          <w:sz w:val="24"/>
          <w:szCs w:val="24"/>
        </w:rPr>
        <w:t>its</w:t>
      </w:r>
      <w:r w:rsidR="00A951ED">
        <w:rPr>
          <w:rFonts w:ascii="Times New Roman" w:hAnsi="Times New Roman" w:cs="Times New Roman"/>
          <w:sz w:val="24"/>
          <w:szCs w:val="24"/>
        </w:rPr>
        <w:t xml:space="preserve"> consumers. </w:t>
      </w:r>
      <w:r w:rsidR="00BF7C37">
        <w:rPr>
          <w:rFonts w:ascii="Times New Roman" w:hAnsi="Times New Roman" w:cs="Times New Roman"/>
          <w:sz w:val="24"/>
          <w:szCs w:val="24"/>
        </w:rPr>
        <w:t xml:space="preserve"> </w:t>
      </w:r>
      <w:r w:rsidR="00A951ED">
        <w:rPr>
          <w:rFonts w:ascii="Times New Roman" w:hAnsi="Times New Roman" w:cs="Times New Roman"/>
          <w:sz w:val="24"/>
          <w:szCs w:val="24"/>
        </w:rPr>
        <w:t xml:space="preserve">DP&amp;L also </w:t>
      </w:r>
      <w:r>
        <w:rPr>
          <w:rFonts w:ascii="Times New Roman" w:hAnsi="Times New Roman" w:cs="Times New Roman"/>
          <w:sz w:val="24"/>
          <w:szCs w:val="24"/>
        </w:rPr>
        <w:t xml:space="preserve">wants the PUCO to </w:t>
      </w:r>
      <w:r w:rsidR="003B498D">
        <w:rPr>
          <w:rFonts w:ascii="Times New Roman" w:hAnsi="Times New Roman" w:cs="Times New Roman"/>
          <w:sz w:val="24"/>
          <w:szCs w:val="24"/>
        </w:rPr>
        <w:t xml:space="preserve">bolster its decision </w:t>
      </w:r>
      <w:r>
        <w:rPr>
          <w:rFonts w:ascii="Times New Roman" w:hAnsi="Times New Roman" w:cs="Times New Roman"/>
          <w:sz w:val="24"/>
          <w:szCs w:val="24"/>
        </w:rPr>
        <w:t xml:space="preserve">approving </w:t>
      </w:r>
      <w:r w:rsidR="003B498D">
        <w:rPr>
          <w:rFonts w:ascii="Times New Roman" w:hAnsi="Times New Roman" w:cs="Times New Roman"/>
          <w:sz w:val="24"/>
          <w:szCs w:val="24"/>
        </w:rPr>
        <w:t>the</w:t>
      </w:r>
      <w:r w:rsidR="00A951ED">
        <w:rPr>
          <w:rFonts w:ascii="Times New Roman" w:hAnsi="Times New Roman" w:cs="Times New Roman"/>
          <w:sz w:val="24"/>
          <w:szCs w:val="24"/>
        </w:rPr>
        <w:t xml:space="preserve"> </w:t>
      </w:r>
      <w:r w:rsidR="00C74A40">
        <w:rPr>
          <w:rFonts w:ascii="Times New Roman" w:hAnsi="Times New Roman" w:cs="Times New Roman"/>
          <w:sz w:val="24"/>
          <w:szCs w:val="24"/>
        </w:rPr>
        <w:t xml:space="preserve">$79 million </w:t>
      </w:r>
      <w:r w:rsidR="00A951ED">
        <w:rPr>
          <w:rFonts w:ascii="Times New Roman" w:hAnsi="Times New Roman" w:cs="Times New Roman"/>
          <w:sz w:val="24"/>
          <w:szCs w:val="24"/>
        </w:rPr>
        <w:t>annual stability charge to consumers</w:t>
      </w:r>
      <w:r w:rsidR="003B498D">
        <w:rPr>
          <w:rFonts w:ascii="Times New Roman" w:hAnsi="Times New Roman" w:cs="Times New Roman"/>
          <w:sz w:val="24"/>
          <w:szCs w:val="24"/>
        </w:rPr>
        <w:t xml:space="preserve">, alleging that the </w:t>
      </w:r>
      <w:r w:rsidR="000903C7">
        <w:rPr>
          <w:rFonts w:ascii="Times New Roman" w:hAnsi="Times New Roman" w:cs="Times New Roman"/>
          <w:sz w:val="24"/>
          <w:szCs w:val="24"/>
        </w:rPr>
        <w:t xml:space="preserve">stability charge </w:t>
      </w:r>
      <w:r w:rsidR="003B498D">
        <w:rPr>
          <w:rFonts w:ascii="Times New Roman" w:hAnsi="Times New Roman" w:cs="Times New Roman"/>
          <w:sz w:val="24"/>
          <w:szCs w:val="24"/>
        </w:rPr>
        <w:t xml:space="preserve">rates cannot change under R.C. 4928.143(C)(2)(a). </w:t>
      </w:r>
      <w:r w:rsidR="00A951ED">
        <w:rPr>
          <w:rFonts w:ascii="Times New Roman" w:hAnsi="Times New Roman" w:cs="Times New Roman"/>
          <w:sz w:val="24"/>
          <w:szCs w:val="24"/>
        </w:rPr>
        <w:t>But DP&amp;L’s rehearing requests are inconsistent with prior PUCO precedent</w:t>
      </w:r>
      <w:r w:rsidR="00191249">
        <w:rPr>
          <w:rFonts w:ascii="Times New Roman" w:hAnsi="Times New Roman" w:cs="Times New Roman"/>
          <w:sz w:val="24"/>
          <w:szCs w:val="24"/>
        </w:rPr>
        <w:t xml:space="preserve"> and would undo the minimal protection that the PUCO’s order gives to c</w:t>
      </w:r>
      <w:r w:rsidR="000903C7">
        <w:rPr>
          <w:rFonts w:ascii="Times New Roman" w:hAnsi="Times New Roman" w:cs="Times New Roman"/>
          <w:sz w:val="24"/>
          <w:szCs w:val="24"/>
        </w:rPr>
        <w:t>onsu</w:t>
      </w:r>
      <w:r w:rsidR="00191249">
        <w:rPr>
          <w:rFonts w:ascii="Times New Roman" w:hAnsi="Times New Roman" w:cs="Times New Roman"/>
          <w:sz w:val="24"/>
          <w:szCs w:val="24"/>
        </w:rPr>
        <w:t>mers</w:t>
      </w:r>
      <w:r w:rsidR="00554670">
        <w:rPr>
          <w:rFonts w:ascii="Times New Roman" w:hAnsi="Times New Roman" w:cs="Times New Roman"/>
          <w:sz w:val="24"/>
          <w:szCs w:val="24"/>
        </w:rPr>
        <w:t xml:space="preserve">. </w:t>
      </w:r>
      <w:r w:rsidR="00191249">
        <w:rPr>
          <w:rFonts w:ascii="Times New Roman" w:hAnsi="Times New Roman" w:cs="Times New Roman"/>
          <w:sz w:val="24"/>
          <w:szCs w:val="24"/>
        </w:rPr>
        <w:t xml:space="preserve">DP&amp;L’s </w:t>
      </w:r>
      <w:r>
        <w:rPr>
          <w:rFonts w:ascii="Times New Roman" w:hAnsi="Times New Roman" w:cs="Times New Roman"/>
          <w:sz w:val="24"/>
          <w:szCs w:val="24"/>
        </w:rPr>
        <w:t>application for rehearing should be denied</w:t>
      </w:r>
      <w:r w:rsidR="00191249">
        <w:rPr>
          <w:rFonts w:ascii="Times New Roman" w:hAnsi="Times New Roman" w:cs="Times New Roman"/>
          <w:sz w:val="24"/>
          <w:szCs w:val="24"/>
        </w:rPr>
        <w:t>.</w:t>
      </w:r>
      <w:r>
        <w:rPr>
          <w:rFonts w:ascii="Times New Roman" w:hAnsi="Times New Roman" w:cs="Times New Roman"/>
          <w:sz w:val="24"/>
          <w:szCs w:val="24"/>
        </w:rPr>
        <w:t xml:space="preserve"> </w:t>
      </w:r>
    </w:p>
    <w:p w:rsidR="00BF7C37" w:rsidP="00BF7C37" w14:paraId="7CAA75E7" w14:textId="77777777">
      <w:pPr>
        <w:spacing w:after="0" w:line="240" w:lineRule="auto"/>
        <w:rPr>
          <w:rFonts w:ascii="Times New Roman" w:hAnsi="Times New Roman" w:cs="Times New Roman"/>
          <w:sz w:val="24"/>
          <w:szCs w:val="24"/>
        </w:rPr>
      </w:pPr>
    </w:p>
    <w:p w:rsidR="00145E59" w14:paraId="0DCC0A87" w14:textId="77777777">
      <w:pPr>
        <w:pStyle w:val="Heading1"/>
      </w:pPr>
      <w:r>
        <w:t>II.</w:t>
      </w:r>
      <w:r>
        <w:tab/>
        <w:t>Recommendations</w:t>
      </w:r>
    </w:p>
    <w:p w:rsidR="00145E59" w14:paraId="67BC8FB1" w14:textId="067AB376">
      <w:pPr>
        <w:pStyle w:val="ListParagraph"/>
        <w:ind w:left="1440" w:hanging="720"/>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t xml:space="preserve">To protect consumers, the </w:t>
      </w:r>
      <w:r w:rsidR="00191249">
        <w:rPr>
          <w:rFonts w:ascii="Times New Roman" w:hAnsi="Times New Roman" w:cs="Times New Roman"/>
          <w:b/>
          <w:bCs/>
          <w:sz w:val="24"/>
          <w:szCs w:val="24"/>
        </w:rPr>
        <w:t xml:space="preserve">refund </w:t>
      </w:r>
      <w:r>
        <w:rPr>
          <w:rFonts w:ascii="Times New Roman" w:hAnsi="Times New Roman" w:cs="Times New Roman"/>
          <w:b/>
          <w:bCs/>
          <w:sz w:val="24"/>
          <w:szCs w:val="24"/>
        </w:rPr>
        <w:t xml:space="preserve">language </w:t>
      </w:r>
      <w:r w:rsidR="00191249">
        <w:rPr>
          <w:rFonts w:ascii="Times New Roman" w:hAnsi="Times New Roman" w:cs="Times New Roman"/>
          <w:b/>
          <w:bCs/>
          <w:sz w:val="24"/>
          <w:szCs w:val="24"/>
        </w:rPr>
        <w:t xml:space="preserve">should be included in DP&amp;L’s tariffs; </w:t>
      </w:r>
      <w:r>
        <w:rPr>
          <w:rFonts w:ascii="Times New Roman" w:hAnsi="Times New Roman" w:cs="Times New Roman"/>
          <w:b/>
          <w:bCs/>
          <w:sz w:val="24"/>
          <w:szCs w:val="24"/>
        </w:rPr>
        <w:t>it is consistent with the balance struck by the General Assembly.</w:t>
      </w:r>
    </w:p>
    <w:p w:rsidR="00145E59" w14:paraId="47E17169" w14:textId="77777777">
      <w:pPr>
        <w:pStyle w:val="ListParagraph"/>
        <w:rPr>
          <w:rFonts w:ascii="Times New Roman" w:hAnsi="Times New Roman" w:cs="Times New Roman"/>
          <w:b/>
          <w:bCs/>
          <w:sz w:val="24"/>
          <w:szCs w:val="24"/>
        </w:rPr>
      </w:pPr>
    </w:p>
    <w:p w:rsidR="00145E59" w14:paraId="2EC8A981" w14:textId="23912E41">
      <w:pPr>
        <w:pStyle w:val="ListParagraph"/>
        <w:ind w:left="2160" w:hanging="72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 xml:space="preserve">To protect consumers, the </w:t>
      </w:r>
      <w:r w:rsidR="00191249">
        <w:rPr>
          <w:rFonts w:ascii="Times New Roman" w:hAnsi="Times New Roman" w:cs="Times New Roman"/>
          <w:b/>
          <w:bCs/>
          <w:sz w:val="24"/>
          <w:szCs w:val="24"/>
        </w:rPr>
        <w:t xml:space="preserve">refund </w:t>
      </w:r>
      <w:r>
        <w:rPr>
          <w:rFonts w:ascii="Times New Roman" w:hAnsi="Times New Roman" w:cs="Times New Roman"/>
          <w:b/>
          <w:bCs/>
          <w:sz w:val="24"/>
          <w:szCs w:val="24"/>
        </w:rPr>
        <w:t xml:space="preserve">language should be </w:t>
      </w:r>
      <w:r w:rsidR="00191249">
        <w:rPr>
          <w:rFonts w:ascii="Times New Roman" w:hAnsi="Times New Roman" w:cs="Times New Roman"/>
          <w:b/>
          <w:bCs/>
          <w:sz w:val="24"/>
          <w:szCs w:val="24"/>
        </w:rPr>
        <w:t>included in DP&amp;L’s tariffs</w:t>
      </w:r>
      <w:r>
        <w:rPr>
          <w:rFonts w:ascii="Times New Roman" w:hAnsi="Times New Roman" w:cs="Times New Roman"/>
          <w:b/>
          <w:bCs/>
          <w:sz w:val="24"/>
          <w:szCs w:val="24"/>
        </w:rPr>
        <w:t>.</w:t>
      </w:r>
    </w:p>
    <w:p w:rsidR="00D442CF" w14:paraId="32B704B2" w14:textId="7014A61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its Fifth Entry on Rehearing, the PUCO recognized the “</w:t>
      </w:r>
      <w:r w:rsidR="00AB3199">
        <w:rPr>
          <w:rFonts w:ascii="Times New Roman" w:hAnsi="Times New Roman" w:cs="Times New Roman"/>
          <w:sz w:val="24"/>
          <w:szCs w:val="24"/>
        </w:rPr>
        <w:t>potential unfairness when rates and charges are deemed unlawful, but there is no refund of the rates and charges which have been collected from ratepayers.</w:t>
      </w:r>
      <w:r w:rsidR="0012273C">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12273C">
        <w:rPr>
          <w:rFonts w:ascii="Times New Roman" w:hAnsi="Times New Roman" w:cs="Times New Roman"/>
          <w:sz w:val="24"/>
          <w:szCs w:val="24"/>
        </w:rPr>
        <w:t xml:space="preserve"> And the PUCO acknowle</w:t>
      </w:r>
      <w:r w:rsidR="006452AA">
        <w:rPr>
          <w:rFonts w:ascii="Times New Roman" w:hAnsi="Times New Roman" w:cs="Times New Roman"/>
          <w:sz w:val="24"/>
          <w:szCs w:val="24"/>
        </w:rPr>
        <w:t>d</w:t>
      </w:r>
      <w:r w:rsidR="0012273C">
        <w:rPr>
          <w:rFonts w:ascii="Times New Roman" w:hAnsi="Times New Roman" w:cs="Times New Roman"/>
          <w:sz w:val="24"/>
          <w:szCs w:val="24"/>
        </w:rPr>
        <w:t>ged the "</w:t>
      </w:r>
      <w:r>
        <w:rPr>
          <w:rFonts w:ascii="Times New Roman" w:hAnsi="Times New Roman" w:cs="Times New Roman"/>
          <w:sz w:val="24"/>
          <w:szCs w:val="24"/>
        </w:rPr>
        <w:t>extraordinary circumstances” surrounding DP&amp;L’s first electric security plan</w:t>
      </w:r>
      <w:r w:rsidR="006452AA">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006452AA">
        <w:rPr>
          <w:rFonts w:ascii="Times New Roman" w:hAnsi="Times New Roman" w:cs="Times New Roman"/>
          <w:sz w:val="24"/>
          <w:szCs w:val="24"/>
        </w:rPr>
        <w:t xml:space="preserve"> </w:t>
      </w:r>
      <w:r w:rsidR="000903C7">
        <w:rPr>
          <w:rFonts w:ascii="Times New Roman" w:hAnsi="Times New Roman" w:cs="Times New Roman"/>
          <w:sz w:val="24"/>
          <w:szCs w:val="24"/>
        </w:rPr>
        <w:t xml:space="preserve"> </w:t>
      </w:r>
      <w:r w:rsidR="0098169A">
        <w:rPr>
          <w:rFonts w:ascii="Times New Roman" w:hAnsi="Times New Roman" w:cs="Times New Roman"/>
          <w:sz w:val="24"/>
          <w:szCs w:val="24"/>
        </w:rPr>
        <w:t>t</w:t>
      </w:r>
      <w:r w:rsidR="0012273C">
        <w:rPr>
          <w:rFonts w:ascii="Times New Roman" w:hAnsi="Times New Roman" w:cs="Times New Roman"/>
          <w:sz w:val="24"/>
          <w:szCs w:val="24"/>
        </w:rPr>
        <w:t xml:space="preserve">wo reinstatements of DP&amp;L’s ESP 1 and the dismissal of </w:t>
      </w:r>
      <w:r>
        <w:rPr>
          <w:rFonts w:ascii="Times New Roman" w:hAnsi="Times New Roman" w:cs="Times New Roman"/>
          <w:sz w:val="24"/>
          <w:szCs w:val="24"/>
        </w:rPr>
        <w:t>OCC’s appeal</w:t>
      </w:r>
      <w:r w:rsidR="006452AA">
        <w:rPr>
          <w:rFonts w:ascii="Times New Roman" w:hAnsi="Times New Roman" w:cs="Times New Roman"/>
          <w:sz w:val="24"/>
          <w:szCs w:val="24"/>
        </w:rPr>
        <w:t xml:space="preserve"> challenging </w:t>
      </w:r>
      <w:r w:rsidR="000903C7">
        <w:rPr>
          <w:rFonts w:ascii="Times New Roman" w:hAnsi="Times New Roman" w:cs="Times New Roman"/>
          <w:sz w:val="24"/>
          <w:szCs w:val="24"/>
        </w:rPr>
        <w:t xml:space="preserve">DP&amp;L’s </w:t>
      </w:r>
      <w:r w:rsidR="006452AA">
        <w:rPr>
          <w:rFonts w:ascii="Times New Roman" w:hAnsi="Times New Roman" w:cs="Times New Roman"/>
          <w:sz w:val="24"/>
          <w:szCs w:val="24"/>
        </w:rPr>
        <w:t>first</w:t>
      </w:r>
      <w:r w:rsidR="00AB3199">
        <w:rPr>
          <w:rFonts w:ascii="Times New Roman" w:hAnsi="Times New Roman" w:cs="Times New Roman"/>
          <w:sz w:val="24"/>
          <w:szCs w:val="24"/>
        </w:rPr>
        <w:t xml:space="preserve"> </w:t>
      </w:r>
      <w:r w:rsidR="000903C7">
        <w:rPr>
          <w:rFonts w:ascii="Times New Roman" w:hAnsi="Times New Roman" w:cs="Times New Roman"/>
          <w:sz w:val="24"/>
          <w:szCs w:val="24"/>
        </w:rPr>
        <w:t xml:space="preserve">ESP 1 </w:t>
      </w:r>
      <w:r w:rsidR="00AB3199">
        <w:rPr>
          <w:rFonts w:ascii="Times New Roman" w:hAnsi="Times New Roman" w:cs="Times New Roman"/>
          <w:sz w:val="24"/>
          <w:szCs w:val="24"/>
        </w:rPr>
        <w:t>reinstatement</w:t>
      </w:r>
      <w:r w:rsidR="006452AA">
        <w:rPr>
          <w:rFonts w:ascii="Times New Roman" w:hAnsi="Times New Roman" w:cs="Times New Roman"/>
          <w:sz w:val="24"/>
          <w:szCs w:val="24"/>
        </w:rPr>
        <w:t>, even though the issue was capable of repetition, yet evading review</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AB3199">
        <w:rPr>
          <w:rFonts w:ascii="Times New Roman" w:hAnsi="Times New Roman" w:cs="Times New Roman"/>
          <w:sz w:val="24"/>
          <w:szCs w:val="24"/>
        </w:rPr>
        <w:t xml:space="preserve"> </w:t>
      </w:r>
    </w:p>
    <w:p w:rsidR="00145E59" w14:paraId="631B83F7" w14:textId="53A853E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advised that it does not seek to evade Supreme Court review of its decision.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And so, it found </w:t>
      </w:r>
      <w:r w:rsidR="000903C7">
        <w:rPr>
          <w:rFonts w:ascii="Times New Roman" w:hAnsi="Times New Roman" w:cs="Times New Roman"/>
          <w:sz w:val="24"/>
          <w:szCs w:val="24"/>
        </w:rPr>
        <w:t>under</w:t>
      </w:r>
      <w:r>
        <w:rPr>
          <w:rFonts w:ascii="Times New Roman" w:hAnsi="Times New Roman" w:cs="Times New Roman"/>
          <w:sz w:val="24"/>
          <w:szCs w:val="24"/>
        </w:rPr>
        <w:t xml:space="preserve"> the</w:t>
      </w:r>
      <w:r w:rsidR="000903C7">
        <w:rPr>
          <w:rFonts w:ascii="Times New Roman" w:hAnsi="Times New Roman" w:cs="Times New Roman"/>
          <w:sz w:val="24"/>
          <w:szCs w:val="24"/>
        </w:rPr>
        <w:t>se</w:t>
      </w:r>
      <w:r>
        <w:rPr>
          <w:rFonts w:ascii="Times New Roman" w:hAnsi="Times New Roman" w:cs="Times New Roman"/>
          <w:sz w:val="24"/>
          <w:szCs w:val="24"/>
        </w:rPr>
        <w:t xml:space="preserve"> extraordinary circumstances,</w:t>
      </w:r>
      <w:r w:rsidR="003B2772">
        <w:rPr>
          <w:rFonts w:ascii="Times New Roman" w:hAnsi="Times New Roman" w:cs="Times New Roman"/>
          <w:sz w:val="24"/>
          <w:szCs w:val="24"/>
        </w:rPr>
        <w:t xml:space="preserve"> DP&amp;L </w:t>
      </w:r>
      <w:r>
        <w:rPr>
          <w:rFonts w:ascii="Times New Roman" w:hAnsi="Times New Roman" w:cs="Times New Roman"/>
          <w:sz w:val="24"/>
          <w:szCs w:val="24"/>
        </w:rPr>
        <w:t>must</w:t>
      </w:r>
      <w:r w:rsidR="003B2772">
        <w:rPr>
          <w:rFonts w:ascii="Times New Roman" w:hAnsi="Times New Roman" w:cs="Times New Roman"/>
          <w:sz w:val="24"/>
          <w:szCs w:val="24"/>
        </w:rPr>
        <w:t xml:space="preserve"> include language </w:t>
      </w:r>
      <w:r>
        <w:rPr>
          <w:rFonts w:ascii="Times New Roman" w:hAnsi="Times New Roman" w:cs="Times New Roman"/>
          <w:sz w:val="24"/>
          <w:szCs w:val="24"/>
        </w:rPr>
        <w:t xml:space="preserve">in its tariff </w:t>
      </w:r>
      <w:r w:rsidR="003B2772">
        <w:rPr>
          <w:rFonts w:ascii="Times New Roman" w:hAnsi="Times New Roman" w:cs="Times New Roman"/>
          <w:sz w:val="24"/>
          <w:szCs w:val="24"/>
        </w:rPr>
        <w:t xml:space="preserve">that the </w:t>
      </w:r>
      <w:r w:rsidR="00191249">
        <w:rPr>
          <w:rFonts w:ascii="Times New Roman" w:hAnsi="Times New Roman" w:cs="Times New Roman"/>
          <w:sz w:val="24"/>
          <w:szCs w:val="24"/>
        </w:rPr>
        <w:t>s</w:t>
      </w:r>
      <w:r w:rsidR="003B2772">
        <w:rPr>
          <w:rFonts w:ascii="Times New Roman" w:hAnsi="Times New Roman" w:cs="Times New Roman"/>
          <w:sz w:val="24"/>
          <w:szCs w:val="24"/>
        </w:rPr>
        <w:t xml:space="preserve">tability </w:t>
      </w:r>
      <w:r w:rsidR="00191249">
        <w:rPr>
          <w:rFonts w:ascii="Times New Roman" w:hAnsi="Times New Roman" w:cs="Times New Roman"/>
          <w:sz w:val="24"/>
          <w:szCs w:val="24"/>
        </w:rPr>
        <w:t>c</w:t>
      </w:r>
      <w:r w:rsidR="003B2772">
        <w:rPr>
          <w:rFonts w:ascii="Times New Roman" w:hAnsi="Times New Roman" w:cs="Times New Roman"/>
          <w:sz w:val="24"/>
          <w:szCs w:val="24"/>
        </w:rPr>
        <w:t>harge is refundable “to the extent permitted by law.”</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The PUCO reasoned that the inclusion of the language should allow OCC to effectively appeal its decision.</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rsidR="00145E59" w14:paraId="31A28D39" w14:textId="653000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DP&amp;L asserts that the PUCO should decide that the </w:t>
      </w:r>
      <w:r w:rsidR="00760DFD">
        <w:rPr>
          <w:rFonts w:ascii="Times New Roman" w:hAnsi="Times New Roman" w:cs="Times New Roman"/>
          <w:sz w:val="24"/>
          <w:szCs w:val="24"/>
        </w:rPr>
        <w:t>s</w:t>
      </w:r>
      <w:r>
        <w:rPr>
          <w:rFonts w:ascii="Times New Roman" w:hAnsi="Times New Roman" w:cs="Times New Roman"/>
          <w:sz w:val="24"/>
          <w:szCs w:val="24"/>
        </w:rPr>
        <w:t xml:space="preserve">tability </w:t>
      </w:r>
      <w:r w:rsidR="00760DFD">
        <w:rPr>
          <w:rFonts w:ascii="Times New Roman" w:hAnsi="Times New Roman" w:cs="Times New Roman"/>
          <w:sz w:val="24"/>
          <w:szCs w:val="24"/>
        </w:rPr>
        <w:t>c</w:t>
      </w:r>
      <w:r>
        <w:rPr>
          <w:rFonts w:ascii="Times New Roman" w:hAnsi="Times New Roman" w:cs="Times New Roman"/>
          <w:sz w:val="24"/>
          <w:szCs w:val="24"/>
        </w:rPr>
        <w:t>harge cannot and should not be made refundable because it was not refundable under its first electric security plan.</w:t>
      </w:r>
      <w:r>
        <w:rPr>
          <w:rStyle w:val="FootnoteReference"/>
          <w:rFonts w:ascii="Times New Roman" w:hAnsi="Times New Roman" w:cs="Times New Roman"/>
          <w:sz w:val="24"/>
          <w:szCs w:val="24"/>
        </w:rPr>
        <w:footnoteReference w:id="9"/>
      </w:r>
      <w:r w:rsidR="00BF7C37">
        <w:rPr>
          <w:rFonts w:ascii="Times New Roman" w:hAnsi="Times New Roman" w:cs="Times New Roman"/>
          <w:sz w:val="24"/>
          <w:szCs w:val="24"/>
        </w:rPr>
        <w:t xml:space="preserve"> </w:t>
      </w:r>
      <w:r w:rsidR="00760DFD">
        <w:rPr>
          <w:rFonts w:ascii="Times New Roman" w:hAnsi="Times New Roman" w:cs="Times New Roman"/>
          <w:sz w:val="24"/>
          <w:szCs w:val="24"/>
        </w:rPr>
        <w:t xml:space="preserve">But </w:t>
      </w:r>
      <w:r>
        <w:rPr>
          <w:rFonts w:ascii="Times New Roman" w:hAnsi="Times New Roman" w:cs="Times New Roman"/>
          <w:sz w:val="24"/>
          <w:szCs w:val="24"/>
        </w:rPr>
        <w:t xml:space="preserve">DP&amp;L </w:t>
      </w:r>
      <w:r w:rsidR="00760DFD">
        <w:rPr>
          <w:rFonts w:ascii="Times New Roman" w:hAnsi="Times New Roman" w:cs="Times New Roman"/>
          <w:sz w:val="24"/>
          <w:szCs w:val="24"/>
        </w:rPr>
        <w:t>ignores PUCO precedent on this issue and fails to acknowledge that DP&amp;L itself has argued against this position in the past.</w:t>
      </w:r>
      <w:r>
        <w:rPr>
          <w:rStyle w:val="FootnoteReference"/>
          <w:rFonts w:ascii="Times New Roman" w:hAnsi="Times New Roman" w:cs="Times New Roman"/>
          <w:sz w:val="24"/>
          <w:szCs w:val="24"/>
        </w:rPr>
        <w:footnoteReference w:id="10"/>
      </w:r>
      <w:r w:rsidR="00760DFD">
        <w:rPr>
          <w:rFonts w:ascii="Times New Roman" w:hAnsi="Times New Roman" w:cs="Times New Roman"/>
          <w:sz w:val="24"/>
          <w:szCs w:val="24"/>
        </w:rPr>
        <w:t xml:space="preserve"> DP&amp;L’s rehearing, thus, should </w:t>
      </w:r>
      <w:r>
        <w:rPr>
          <w:rFonts w:ascii="Times New Roman" w:hAnsi="Times New Roman" w:cs="Times New Roman"/>
          <w:sz w:val="24"/>
          <w:szCs w:val="24"/>
        </w:rPr>
        <w:t>be denied.</w:t>
      </w:r>
      <w:r>
        <w:rPr>
          <w:rStyle w:val="FootnoteReference"/>
          <w:rFonts w:ascii="Times New Roman" w:hAnsi="Times New Roman" w:cs="Times New Roman"/>
          <w:sz w:val="24"/>
          <w:szCs w:val="24"/>
        </w:rPr>
        <w:footnoteReference w:id="11"/>
      </w:r>
    </w:p>
    <w:p w:rsidR="00C978C7" w:rsidP="00C978C7" w14:paraId="3E3FFAF9" w14:textId="28B26A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DP&amp;L sought to revert to ESP 1 in </w:t>
      </w:r>
      <w:r w:rsidR="00760DFD">
        <w:rPr>
          <w:rFonts w:ascii="Times New Roman" w:hAnsi="Times New Roman" w:cs="Times New Roman"/>
          <w:sz w:val="24"/>
          <w:szCs w:val="24"/>
        </w:rPr>
        <w:t>2016, in response to the Ohio Supreme Court ruling striking down its stability charge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00760DFD">
        <w:rPr>
          <w:rFonts w:ascii="Times New Roman" w:hAnsi="Times New Roman" w:cs="Times New Roman"/>
          <w:sz w:val="24"/>
          <w:szCs w:val="24"/>
        </w:rPr>
        <w:t xml:space="preserve"> </w:t>
      </w:r>
      <w:r>
        <w:rPr>
          <w:rFonts w:ascii="Times New Roman" w:hAnsi="Times New Roman" w:cs="Times New Roman"/>
          <w:sz w:val="24"/>
          <w:szCs w:val="24"/>
        </w:rPr>
        <w:t xml:space="preserve">In its proposed </w:t>
      </w:r>
      <w:r w:rsidR="000E056B">
        <w:rPr>
          <w:rFonts w:ascii="Times New Roman" w:hAnsi="Times New Roman" w:cs="Times New Roman"/>
          <w:sz w:val="24"/>
          <w:szCs w:val="24"/>
        </w:rPr>
        <w:t xml:space="preserve">tariffs to reinstate ESP 1, </w:t>
      </w:r>
      <w:r w:rsidR="008208DB">
        <w:rPr>
          <w:rFonts w:ascii="Times New Roman" w:hAnsi="Times New Roman" w:cs="Times New Roman"/>
          <w:sz w:val="24"/>
          <w:szCs w:val="24"/>
        </w:rPr>
        <w:t>DP&amp;L</w:t>
      </w:r>
      <w:r>
        <w:rPr>
          <w:rFonts w:ascii="Times New Roman" w:hAnsi="Times New Roman" w:cs="Times New Roman"/>
          <w:sz w:val="24"/>
          <w:szCs w:val="24"/>
        </w:rPr>
        <w:t xml:space="preserve"> proposed changes to </w:t>
      </w:r>
      <w:r w:rsidR="00554670">
        <w:rPr>
          <w:rFonts w:ascii="Times New Roman" w:hAnsi="Times New Roman" w:cs="Times New Roman"/>
          <w:sz w:val="24"/>
          <w:szCs w:val="24"/>
        </w:rPr>
        <w:t xml:space="preserve">some </w:t>
      </w:r>
      <w:r w:rsidR="000E056B">
        <w:rPr>
          <w:rFonts w:ascii="Times New Roman" w:hAnsi="Times New Roman" w:cs="Times New Roman"/>
          <w:sz w:val="24"/>
          <w:szCs w:val="24"/>
        </w:rPr>
        <w:t xml:space="preserve">tariffs, but not </w:t>
      </w:r>
      <w:r w:rsidR="00554670">
        <w:rPr>
          <w:rFonts w:ascii="Times New Roman" w:hAnsi="Times New Roman" w:cs="Times New Roman"/>
          <w:sz w:val="24"/>
          <w:szCs w:val="24"/>
        </w:rPr>
        <w:t xml:space="preserve">to </w:t>
      </w:r>
      <w:r w:rsidR="000E056B">
        <w:rPr>
          <w:rFonts w:ascii="Times New Roman" w:hAnsi="Times New Roman" w:cs="Times New Roman"/>
          <w:sz w:val="24"/>
          <w:szCs w:val="24"/>
        </w:rPr>
        <w:t>others.</w:t>
      </w:r>
      <w:r>
        <w:rPr>
          <w:rStyle w:val="FootnoteReference"/>
          <w:rFonts w:ascii="Times New Roman" w:hAnsi="Times New Roman" w:cs="Times New Roman"/>
          <w:sz w:val="24"/>
          <w:szCs w:val="24"/>
        </w:rPr>
        <w:footnoteReference w:id="13"/>
      </w:r>
      <w:r w:rsidR="000E056B">
        <w:rPr>
          <w:rFonts w:ascii="Times New Roman" w:hAnsi="Times New Roman" w:cs="Times New Roman"/>
          <w:sz w:val="24"/>
          <w:szCs w:val="24"/>
        </w:rPr>
        <w:t xml:space="preserve"> DP&amp;L proposed to change </w:t>
      </w:r>
      <w:r>
        <w:rPr>
          <w:rFonts w:ascii="Times New Roman" w:hAnsi="Times New Roman" w:cs="Times New Roman"/>
          <w:sz w:val="24"/>
          <w:szCs w:val="24"/>
        </w:rPr>
        <w:t xml:space="preserve">its </w:t>
      </w:r>
      <w:r w:rsidR="000E056B">
        <w:rPr>
          <w:rFonts w:ascii="Times New Roman" w:hAnsi="Times New Roman" w:cs="Times New Roman"/>
          <w:sz w:val="24"/>
          <w:szCs w:val="24"/>
        </w:rPr>
        <w:t xml:space="preserve">ESP 1 </w:t>
      </w:r>
      <w:r>
        <w:rPr>
          <w:rFonts w:ascii="Times New Roman" w:hAnsi="Times New Roman" w:cs="Times New Roman"/>
          <w:sz w:val="24"/>
          <w:szCs w:val="24"/>
        </w:rPr>
        <w:t>standard offer generation tariffs</w:t>
      </w:r>
      <w:r w:rsidR="00C54E4F">
        <w:rPr>
          <w:rFonts w:ascii="Times New Roman" w:hAnsi="Times New Roman" w:cs="Times New Roman"/>
          <w:sz w:val="24"/>
          <w:szCs w:val="24"/>
        </w:rPr>
        <w:t xml:space="preserve"> </w:t>
      </w:r>
      <w:r w:rsidR="000E056B">
        <w:rPr>
          <w:rFonts w:ascii="Times New Roman" w:hAnsi="Times New Roman" w:cs="Times New Roman"/>
          <w:sz w:val="24"/>
          <w:szCs w:val="24"/>
        </w:rPr>
        <w:t>and change its ESP 1 transmission</w:t>
      </w:r>
      <w:r>
        <w:rPr>
          <w:rFonts w:ascii="Times New Roman" w:hAnsi="Times New Roman" w:cs="Times New Roman"/>
          <w:sz w:val="24"/>
          <w:szCs w:val="24"/>
        </w:rPr>
        <w:t xml:space="preserve"> tariff </w:t>
      </w:r>
      <w:r w:rsidR="000E056B">
        <w:rPr>
          <w:rFonts w:ascii="Times New Roman" w:hAnsi="Times New Roman" w:cs="Times New Roman"/>
          <w:sz w:val="24"/>
          <w:szCs w:val="24"/>
        </w:rPr>
        <w:t xml:space="preserve">charges. Other parties challenged DP&amp;L’s approach characterizing it as </w:t>
      </w:r>
      <w:r>
        <w:rPr>
          <w:rFonts w:ascii="Times New Roman" w:hAnsi="Times New Roman" w:cs="Times New Roman"/>
          <w:sz w:val="24"/>
          <w:szCs w:val="24"/>
        </w:rPr>
        <w:t>“cherry picking” the favorable rates, terms and conditions of ESP 1 and ESP II.</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DP&amp;L </w:t>
      </w:r>
      <w:r w:rsidR="00C74A40">
        <w:rPr>
          <w:rFonts w:ascii="Times New Roman" w:hAnsi="Times New Roman" w:cs="Times New Roman"/>
          <w:sz w:val="24"/>
          <w:szCs w:val="24"/>
        </w:rPr>
        <w:t>urged</w:t>
      </w:r>
      <w:r>
        <w:rPr>
          <w:rFonts w:ascii="Times New Roman" w:hAnsi="Times New Roman" w:cs="Times New Roman"/>
          <w:sz w:val="24"/>
          <w:szCs w:val="24"/>
        </w:rPr>
        <w:t xml:space="preserve"> the PUCO </w:t>
      </w:r>
      <w:r w:rsidR="00C74A40">
        <w:rPr>
          <w:rFonts w:ascii="Times New Roman" w:hAnsi="Times New Roman" w:cs="Times New Roman"/>
          <w:sz w:val="24"/>
          <w:szCs w:val="24"/>
        </w:rPr>
        <w:t xml:space="preserve">to </w:t>
      </w:r>
      <w:r>
        <w:rPr>
          <w:rFonts w:ascii="Times New Roman" w:hAnsi="Times New Roman" w:cs="Times New Roman"/>
          <w:sz w:val="24"/>
          <w:szCs w:val="24"/>
        </w:rPr>
        <w:t>reject arguments “</w:t>
      </w:r>
      <w:r w:rsidRPr="00080C95">
        <w:rPr>
          <w:rFonts w:ascii="Times New Roman" w:hAnsi="Times New Roman" w:cs="Times New Roman"/>
          <w:sz w:val="24"/>
          <w:szCs w:val="24"/>
        </w:rPr>
        <w:t xml:space="preserve">that rates should be implemented </w:t>
      </w:r>
      <w:r w:rsidRPr="00080C95">
        <w:rPr>
          <w:rFonts w:ascii="Times New Roman" w:hAnsi="Times New Roman" w:cs="Times New Roman"/>
          <w:sz w:val="24"/>
          <w:szCs w:val="24"/>
          <w:u w:val="single"/>
        </w:rPr>
        <w:t>exactly</w:t>
      </w:r>
      <w:r w:rsidRPr="00080C95">
        <w:rPr>
          <w:rFonts w:ascii="Times New Roman" w:hAnsi="Times New Roman" w:cs="Times New Roman"/>
          <w:sz w:val="24"/>
          <w:szCs w:val="24"/>
        </w:rPr>
        <w:t xml:space="preserve"> as they existed in 2013</w:t>
      </w:r>
      <w:r w:rsidR="00133EF2">
        <w:rPr>
          <w:rFonts w:ascii="Times New Roman" w:hAnsi="Times New Roman" w:cs="Times New Roman"/>
          <w:sz w:val="24"/>
          <w:szCs w:val="24"/>
        </w:rPr>
        <w:t xml:space="preserve"> [ESP1]</w:t>
      </w:r>
      <w:r w:rsidRPr="00080C95">
        <w:rPr>
          <w:rFonts w:ascii="Times New Roman" w:hAnsi="Times New Roman" w:cs="Times New Roman"/>
          <w:sz w:val="24"/>
          <w:szCs w:val="24"/>
        </w:rPr>
        <w:t>, as doing so would disrupt the market, existing supplier and customer contracts, and would actually lead to higher rates.”</w:t>
      </w:r>
      <w:r>
        <w:rPr>
          <w:rStyle w:val="FootnoteReference"/>
          <w:rFonts w:ascii="Times New Roman" w:hAnsi="Times New Roman" w:cs="Times New Roman"/>
          <w:sz w:val="24"/>
          <w:szCs w:val="24"/>
        </w:rPr>
        <w:footnoteReference w:id="15"/>
      </w:r>
    </w:p>
    <w:p w:rsidR="0071638A" w:rsidP="0071638A" w14:paraId="03101D45" w14:textId="0212FED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Agreeing with DP&amp;L, the PUCO </w:t>
      </w:r>
      <w:r w:rsidR="00C54E4F">
        <w:rPr>
          <w:rFonts w:ascii="Times New Roman" w:hAnsi="Times New Roman" w:cs="Times New Roman"/>
          <w:sz w:val="24"/>
          <w:szCs w:val="24"/>
        </w:rPr>
        <w:t xml:space="preserve">ruled that certain of the ESP 1 tariffs should be changed, while other provisions of </w:t>
      </w:r>
      <w:r>
        <w:rPr>
          <w:rFonts w:ascii="Times New Roman" w:hAnsi="Times New Roman" w:cs="Times New Roman"/>
          <w:sz w:val="24"/>
          <w:szCs w:val="24"/>
        </w:rPr>
        <w:t>DP&amp;L’s</w:t>
      </w:r>
      <w:r w:rsidR="00C54E4F">
        <w:rPr>
          <w:rFonts w:ascii="Times New Roman" w:hAnsi="Times New Roman" w:cs="Times New Roman"/>
          <w:sz w:val="24"/>
          <w:szCs w:val="24"/>
        </w:rPr>
        <w:t xml:space="preserve"> ESP </w:t>
      </w:r>
      <w:r>
        <w:rPr>
          <w:rFonts w:ascii="Times New Roman" w:hAnsi="Times New Roman" w:cs="Times New Roman"/>
          <w:sz w:val="24"/>
          <w:szCs w:val="24"/>
        </w:rPr>
        <w:t xml:space="preserve">1 </w:t>
      </w:r>
      <w:r w:rsidR="00C54E4F">
        <w:rPr>
          <w:rFonts w:ascii="Times New Roman" w:hAnsi="Times New Roman" w:cs="Times New Roman"/>
          <w:sz w:val="24"/>
          <w:szCs w:val="24"/>
        </w:rPr>
        <w:t>tariff</w:t>
      </w:r>
      <w:r>
        <w:rPr>
          <w:rFonts w:ascii="Times New Roman" w:hAnsi="Times New Roman" w:cs="Times New Roman"/>
          <w:sz w:val="24"/>
          <w:szCs w:val="24"/>
        </w:rPr>
        <w:t>s</w:t>
      </w:r>
      <w:r w:rsidR="00C54E4F">
        <w:rPr>
          <w:rFonts w:ascii="Times New Roman" w:hAnsi="Times New Roman" w:cs="Times New Roman"/>
          <w:sz w:val="24"/>
          <w:szCs w:val="24"/>
        </w:rPr>
        <w:t xml:space="preserve"> should not. </w:t>
      </w:r>
      <w:r w:rsidR="00FF7089">
        <w:rPr>
          <w:rFonts w:ascii="Times New Roman" w:hAnsi="Times New Roman" w:cs="Times New Roman"/>
          <w:sz w:val="24"/>
          <w:szCs w:val="24"/>
        </w:rPr>
        <w:t>For instance, the PUCO ordered DP&amp;L to change its environmental investment rider tariffs, dropping the charge to zero</w:t>
      </w:r>
      <w:r w:rsidR="00C74A40">
        <w:rPr>
          <w:rFonts w:ascii="Times New Roman" w:hAnsi="Times New Roman" w:cs="Times New Roman"/>
          <w:sz w:val="24"/>
          <w:szCs w:val="24"/>
        </w:rPr>
        <w:t xml:space="preserve">. The PUCO concluded that </w:t>
      </w:r>
      <w:r w:rsidR="00FF7089">
        <w:rPr>
          <w:rFonts w:ascii="Times New Roman" w:hAnsi="Times New Roman" w:cs="Times New Roman"/>
          <w:sz w:val="24"/>
          <w:szCs w:val="24"/>
        </w:rPr>
        <w:t>the plant supported by the charge was no longer used and useful in rendering public utility service to consumers.</w:t>
      </w:r>
      <w:r>
        <w:rPr>
          <w:rStyle w:val="FootnoteReference"/>
          <w:rFonts w:ascii="Times New Roman" w:hAnsi="Times New Roman" w:cs="Times New Roman"/>
          <w:sz w:val="24"/>
          <w:szCs w:val="24"/>
        </w:rPr>
        <w:footnoteReference w:id="16"/>
      </w:r>
      <w:r w:rsidR="00FF7089">
        <w:rPr>
          <w:rFonts w:ascii="Times New Roman" w:hAnsi="Times New Roman" w:cs="Times New Roman"/>
          <w:sz w:val="24"/>
          <w:szCs w:val="24"/>
        </w:rPr>
        <w:t xml:space="preserve"> </w:t>
      </w:r>
      <w:r>
        <w:rPr>
          <w:rFonts w:ascii="Times New Roman" w:hAnsi="Times New Roman" w:cs="Times New Roman"/>
          <w:sz w:val="24"/>
          <w:szCs w:val="24"/>
        </w:rPr>
        <w:t xml:space="preserve">And the PUCO </w:t>
      </w:r>
      <w:r w:rsidR="00E60B0B">
        <w:rPr>
          <w:rFonts w:ascii="Times New Roman" w:hAnsi="Times New Roman" w:cs="Times New Roman"/>
          <w:sz w:val="24"/>
          <w:szCs w:val="24"/>
        </w:rPr>
        <w:t xml:space="preserve">did not return to </w:t>
      </w:r>
      <w:r w:rsidR="00C54E4F">
        <w:rPr>
          <w:rFonts w:ascii="Times New Roman" w:hAnsi="Times New Roman" w:cs="Times New Roman"/>
          <w:sz w:val="24"/>
          <w:szCs w:val="24"/>
        </w:rPr>
        <w:t xml:space="preserve">DP&amp;L’s ESP 1 </w:t>
      </w:r>
      <w:r w:rsidR="00E60B0B">
        <w:rPr>
          <w:rFonts w:ascii="Times New Roman" w:hAnsi="Times New Roman" w:cs="Times New Roman"/>
          <w:sz w:val="24"/>
          <w:szCs w:val="24"/>
        </w:rPr>
        <w:t xml:space="preserve">bypassable </w:t>
      </w:r>
      <w:r w:rsidR="00C54E4F">
        <w:rPr>
          <w:rFonts w:ascii="Times New Roman" w:hAnsi="Times New Roman" w:cs="Times New Roman"/>
          <w:sz w:val="24"/>
          <w:szCs w:val="24"/>
        </w:rPr>
        <w:t>t</w:t>
      </w:r>
      <w:r w:rsidR="00E60B0B">
        <w:rPr>
          <w:rFonts w:ascii="Times New Roman" w:hAnsi="Times New Roman" w:cs="Times New Roman"/>
          <w:sz w:val="24"/>
          <w:szCs w:val="24"/>
        </w:rPr>
        <w:t xml:space="preserve">ransmission </w:t>
      </w:r>
      <w:r w:rsidR="00C54E4F">
        <w:rPr>
          <w:rFonts w:ascii="Times New Roman" w:hAnsi="Times New Roman" w:cs="Times New Roman"/>
          <w:sz w:val="24"/>
          <w:szCs w:val="24"/>
        </w:rPr>
        <w:t>c</w:t>
      </w:r>
      <w:r w:rsidR="00E60B0B">
        <w:rPr>
          <w:rFonts w:ascii="Times New Roman" w:hAnsi="Times New Roman" w:cs="Times New Roman"/>
          <w:sz w:val="24"/>
          <w:szCs w:val="24"/>
        </w:rPr>
        <w:t>harge</w:t>
      </w:r>
      <w:r w:rsidR="00C54E4F">
        <w:rPr>
          <w:rFonts w:ascii="Times New Roman" w:hAnsi="Times New Roman" w:cs="Times New Roman"/>
          <w:sz w:val="24"/>
          <w:szCs w:val="24"/>
        </w:rPr>
        <w:t xml:space="preserve">. </w:t>
      </w:r>
      <w:r w:rsidR="00E60B0B">
        <w:rPr>
          <w:rFonts w:ascii="Times New Roman" w:hAnsi="Times New Roman" w:cs="Times New Roman"/>
          <w:sz w:val="24"/>
          <w:szCs w:val="24"/>
        </w:rPr>
        <w:t xml:space="preserve">Instead, it </w:t>
      </w:r>
      <w:r w:rsidR="00C54E4F">
        <w:rPr>
          <w:rFonts w:ascii="Times New Roman" w:hAnsi="Times New Roman" w:cs="Times New Roman"/>
          <w:sz w:val="24"/>
          <w:szCs w:val="24"/>
        </w:rPr>
        <w:t>approved</w:t>
      </w:r>
      <w:r>
        <w:rPr>
          <w:rFonts w:ascii="Times New Roman" w:hAnsi="Times New Roman" w:cs="Times New Roman"/>
          <w:sz w:val="24"/>
          <w:szCs w:val="24"/>
        </w:rPr>
        <w:t xml:space="preserve"> DP&amp;L’s </w:t>
      </w:r>
      <w:r w:rsidR="00133EF2">
        <w:rPr>
          <w:rFonts w:ascii="Times New Roman" w:hAnsi="Times New Roman" w:cs="Times New Roman"/>
          <w:sz w:val="24"/>
          <w:szCs w:val="24"/>
        </w:rPr>
        <w:t xml:space="preserve">ESP 2 </w:t>
      </w:r>
      <w:r w:rsidR="000903C7">
        <w:rPr>
          <w:rFonts w:ascii="Times New Roman" w:hAnsi="Times New Roman" w:cs="Times New Roman"/>
          <w:sz w:val="24"/>
          <w:szCs w:val="24"/>
        </w:rPr>
        <w:t>non</w:t>
      </w:r>
      <w:r w:rsidR="00E60B0B">
        <w:rPr>
          <w:rFonts w:ascii="Times New Roman" w:hAnsi="Times New Roman" w:cs="Times New Roman"/>
          <w:sz w:val="24"/>
          <w:szCs w:val="24"/>
        </w:rPr>
        <w:t xml:space="preserve">-bypassable </w:t>
      </w:r>
      <w:r w:rsidR="00C54E4F">
        <w:rPr>
          <w:rFonts w:ascii="Times New Roman" w:hAnsi="Times New Roman" w:cs="Times New Roman"/>
          <w:sz w:val="24"/>
          <w:szCs w:val="24"/>
        </w:rPr>
        <w:t>t</w:t>
      </w:r>
      <w:r w:rsidR="00E60B0B">
        <w:rPr>
          <w:rFonts w:ascii="Times New Roman" w:hAnsi="Times New Roman" w:cs="Times New Roman"/>
          <w:sz w:val="24"/>
          <w:szCs w:val="24"/>
        </w:rPr>
        <w:t xml:space="preserve">ransmission </w:t>
      </w:r>
      <w:r w:rsidR="00C54E4F">
        <w:rPr>
          <w:rFonts w:ascii="Times New Roman" w:hAnsi="Times New Roman" w:cs="Times New Roman"/>
          <w:sz w:val="24"/>
          <w:szCs w:val="24"/>
        </w:rPr>
        <w:t>c</w:t>
      </w:r>
      <w:r w:rsidR="00E60B0B">
        <w:rPr>
          <w:rFonts w:ascii="Times New Roman" w:hAnsi="Times New Roman" w:cs="Times New Roman"/>
          <w:sz w:val="24"/>
          <w:szCs w:val="24"/>
        </w:rPr>
        <w:t>harge</w:t>
      </w:r>
      <w:r w:rsidR="00133EF2">
        <w:rPr>
          <w:rFonts w:ascii="Times New Roman" w:hAnsi="Times New Roman" w:cs="Times New Roman"/>
          <w:sz w:val="24"/>
          <w:szCs w:val="24"/>
        </w:rPr>
        <w:t>s</w:t>
      </w:r>
      <w:r>
        <w:rPr>
          <w:rFonts w:ascii="Times New Roman" w:hAnsi="Times New Roman" w:cs="Times New Roman"/>
          <w:sz w:val="24"/>
          <w:szCs w:val="24"/>
        </w:rPr>
        <w:t>, with a two</w:t>
      </w:r>
      <w:r w:rsidR="006224B4">
        <w:rPr>
          <w:rFonts w:ascii="Times New Roman" w:hAnsi="Times New Roman" w:cs="Times New Roman"/>
          <w:sz w:val="24"/>
          <w:szCs w:val="24"/>
        </w:rPr>
        <w:t>-</w:t>
      </w:r>
      <w:r>
        <w:rPr>
          <w:rFonts w:ascii="Times New Roman" w:hAnsi="Times New Roman" w:cs="Times New Roman"/>
          <w:sz w:val="24"/>
          <w:szCs w:val="24"/>
        </w:rPr>
        <w:t>part structure</w:t>
      </w:r>
      <w:r w:rsidR="00133EF2">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sidR="00C54E4F">
        <w:rPr>
          <w:rFonts w:ascii="Times New Roman" w:hAnsi="Times New Roman" w:cs="Times New Roman"/>
          <w:sz w:val="24"/>
          <w:szCs w:val="24"/>
        </w:rPr>
        <w:t xml:space="preserve"> </w:t>
      </w:r>
    </w:p>
    <w:p w:rsidR="00D442CF" w:rsidP="00D442CF" w14:paraId="506C2605" w14:textId="6EFD4A3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found that the statutes provided it with flexibility “</w:t>
      </w:r>
      <w:r w:rsidRPr="0086054D">
        <w:rPr>
          <w:rFonts w:ascii="Times New Roman" w:hAnsi="Times New Roman" w:cs="Times New Roman"/>
          <w:sz w:val="24"/>
          <w:szCs w:val="24"/>
        </w:rPr>
        <w:t>to protect the public interest, maintain reasonable rates, ensure the integrity of existing contracts, and otherwise protect Ohio's competitive bid process</w:t>
      </w:r>
      <w:r w:rsidR="00CA4805">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sidR="003E19E6">
        <w:rPr>
          <w:rFonts w:ascii="Times New Roman" w:hAnsi="Times New Roman" w:cs="Times New Roman"/>
          <w:sz w:val="24"/>
          <w:szCs w:val="24"/>
        </w:rPr>
        <w:t xml:space="preserve"> In denying rehearing arguments </w:t>
      </w:r>
      <w:r w:rsidR="00C74A40">
        <w:rPr>
          <w:rFonts w:ascii="Times New Roman" w:hAnsi="Times New Roman" w:cs="Times New Roman"/>
          <w:sz w:val="24"/>
          <w:szCs w:val="24"/>
        </w:rPr>
        <w:t xml:space="preserve">seeking to retain </w:t>
      </w:r>
      <w:r w:rsidR="003E19E6">
        <w:rPr>
          <w:rFonts w:ascii="Times New Roman" w:hAnsi="Times New Roman" w:cs="Times New Roman"/>
          <w:sz w:val="24"/>
          <w:szCs w:val="24"/>
        </w:rPr>
        <w:t>the transmission charges from ESP 1, the PUCO noted its obligations extended to carrying out the policies set forth in R.C.4928.02, including subsection (G).</w:t>
      </w:r>
      <w:r>
        <w:rPr>
          <w:rStyle w:val="FootnoteReference"/>
          <w:rFonts w:ascii="Times New Roman" w:hAnsi="Times New Roman" w:cs="Times New Roman"/>
          <w:sz w:val="24"/>
          <w:szCs w:val="24"/>
        </w:rPr>
        <w:footnoteReference w:id="19"/>
      </w:r>
      <w:r w:rsidR="003E19E6">
        <w:rPr>
          <w:rFonts w:ascii="Times New Roman" w:hAnsi="Times New Roman" w:cs="Times New Roman"/>
          <w:sz w:val="24"/>
          <w:szCs w:val="24"/>
        </w:rPr>
        <w:t xml:space="preserve">  </w:t>
      </w:r>
    </w:p>
    <w:p w:rsidR="009E155A" w:rsidP="00D442CF" w14:paraId="1FE03F32" w14:textId="7D80142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 </w:t>
      </w:r>
      <w:r w:rsidR="00D73F48">
        <w:rPr>
          <w:rFonts w:ascii="Times New Roman" w:hAnsi="Times New Roman" w:cs="Times New Roman"/>
          <w:sz w:val="24"/>
          <w:szCs w:val="24"/>
        </w:rPr>
        <w:t>also found authority for changing DP&amp;L’s ESP 1 transmission tariffs</w:t>
      </w:r>
      <w:r>
        <w:rPr>
          <w:rFonts w:ascii="Times New Roman" w:hAnsi="Times New Roman" w:cs="Times New Roman"/>
          <w:sz w:val="24"/>
          <w:szCs w:val="24"/>
        </w:rPr>
        <w:t xml:space="preserve"> </w:t>
      </w:r>
      <w:r w:rsidR="00D73F48">
        <w:rPr>
          <w:rFonts w:ascii="Times New Roman" w:hAnsi="Times New Roman" w:cs="Times New Roman"/>
          <w:sz w:val="24"/>
          <w:szCs w:val="24"/>
        </w:rPr>
        <w:t xml:space="preserve">in the words of the 2009 </w:t>
      </w:r>
      <w:r>
        <w:rPr>
          <w:rFonts w:ascii="Times New Roman" w:hAnsi="Times New Roman" w:cs="Times New Roman"/>
          <w:sz w:val="24"/>
          <w:szCs w:val="24"/>
        </w:rPr>
        <w:t>se</w:t>
      </w:r>
      <w:r w:rsidR="00D442CF">
        <w:rPr>
          <w:rFonts w:ascii="Times New Roman" w:hAnsi="Times New Roman" w:cs="Times New Roman"/>
          <w:sz w:val="24"/>
          <w:szCs w:val="24"/>
        </w:rPr>
        <w:t>ttlement</w:t>
      </w:r>
      <w:r w:rsidR="00D73F48">
        <w:rPr>
          <w:rFonts w:ascii="Times New Roman" w:hAnsi="Times New Roman" w:cs="Times New Roman"/>
          <w:sz w:val="24"/>
          <w:szCs w:val="24"/>
        </w:rPr>
        <w:t xml:space="preserve">. The PUCO concluded that the 2009 ESP 1 settlement </w:t>
      </w:r>
      <w:r w:rsidR="00D442CF">
        <w:rPr>
          <w:rFonts w:ascii="Times New Roman" w:hAnsi="Times New Roman" w:cs="Times New Roman"/>
          <w:sz w:val="24"/>
          <w:szCs w:val="24"/>
        </w:rPr>
        <w:t xml:space="preserve">provisions pertaining to the transmission charges </w:t>
      </w:r>
      <w:r w:rsidR="00D73F48">
        <w:rPr>
          <w:rFonts w:ascii="Times New Roman" w:hAnsi="Times New Roman" w:cs="Times New Roman"/>
          <w:sz w:val="24"/>
          <w:szCs w:val="24"/>
        </w:rPr>
        <w:t xml:space="preserve">did not </w:t>
      </w:r>
      <w:r w:rsidR="00E60B0B">
        <w:rPr>
          <w:rFonts w:ascii="Times New Roman" w:hAnsi="Times New Roman" w:cs="Times New Roman"/>
          <w:i/>
          <w:iCs/>
          <w:sz w:val="24"/>
          <w:szCs w:val="24"/>
        </w:rPr>
        <w:t xml:space="preserve">prohibit </w:t>
      </w:r>
      <w:r w:rsidR="00E60B0B">
        <w:rPr>
          <w:rFonts w:ascii="Times New Roman" w:hAnsi="Times New Roman" w:cs="Times New Roman"/>
          <w:sz w:val="24"/>
          <w:szCs w:val="24"/>
        </w:rPr>
        <w:t xml:space="preserve">a non-bypassable </w:t>
      </w:r>
      <w:r w:rsidR="00FF7089">
        <w:rPr>
          <w:rFonts w:ascii="Times New Roman" w:hAnsi="Times New Roman" w:cs="Times New Roman"/>
          <w:sz w:val="24"/>
          <w:szCs w:val="24"/>
        </w:rPr>
        <w:t>t</w:t>
      </w:r>
      <w:r w:rsidR="00E60B0B">
        <w:rPr>
          <w:rFonts w:ascii="Times New Roman" w:hAnsi="Times New Roman" w:cs="Times New Roman"/>
          <w:sz w:val="24"/>
          <w:szCs w:val="24"/>
        </w:rPr>
        <w:t xml:space="preserve">ransmission </w:t>
      </w:r>
      <w:r w:rsidR="00FF7089">
        <w:rPr>
          <w:rFonts w:ascii="Times New Roman" w:hAnsi="Times New Roman" w:cs="Times New Roman"/>
          <w:sz w:val="24"/>
          <w:szCs w:val="24"/>
        </w:rPr>
        <w:t>c</w:t>
      </w:r>
      <w:r w:rsidR="00E60B0B">
        <w:rPr>
          <w:rFonts w:ascii="Times New Roman" w:hAnsi="Times New Roman" w:cs="Times New Roman"/>
          <w:sz w:val="24"/>
          <w:szCs w:val="24"/>
        </w:rPr>
        <w:t>harge</w:t>
      </w:r>
      <w:r w:rsidR="00D73F48">
        <w:rPr>
          <w:rFonts w:ascii="Times New Roman" w:hAnsi="Times New Roman" w:cs="Times New Roman"/>
          <w:sz w:val="24"/>
          <w:szCs w:val="24"/>
        </w:rPr>
        <w:t xml:space="preserve"> (such as what was implemented in ESP 2.)</w:t>
      </w:r>
      <w:r>
        <w:rPr>
          <w:rStyle w:val="FootnoteReference"/>
          <w:rFonts w:ascii="Times New Roman" w:hAnsi="Times New Roman" w:cs="Times New Roman"/>
          <w:sz w:val="24"/>
          <w:szCs w:val="24"/>
        </w:rPr>
        <w:footnoteReference w:id="20"/>
      </w:r>
      <w:r w:rsidR="00D442CF">
        <w:rPr>
          <w:rFonts w:ascii="Times New Roman" w:hAnsi="Times New Roman" w:cs="Times New Roman"/>
          <w:sz w:val="24"/>
          <w:szCs w:val="24"/>
        </w:rPr>
        <w:t xml:space="preserve"> A</w:t>
      </w:r>
      <w:r w:rsidR="00E60B0B">
        <w:rPr>
          <w:rFonts w:ascii="Times New Roman" w:hAnsi="Times New Roman" w:cs="Times New Roman"/>
          <w:sz w:val="24"/>
          <w:szCs w:val="24"/>
        </w:rPr>
        <w:t xml:space="preserve">nd </w:t>
      </w:r>
      <w:r w:rsidR="00D73F48">
        <w:rPr>
          <w:rFonts w:ascii="Times New Roman" w:hAnsi="Times New Roman" w:cs="Times New Roman"/>
          <w:sz w:val="24"/>
          <w:szCs w:val="24"/>
        </w:rPr>
        <w:t>the PUCO</w:t>
      </w:r>
      <w:r w:rsidR="00D442CF">
        <w:rPr>
          <w:rFonts w:ascii="Times New Roman" w:hAnsi="Times New Roman" w:cs="Times New Roman"/>
          <w:sz w:val="24"/>
          <w:szCs w:val="24"/>
        </w:rPr>
        <w:t xml:space="preserve"> </w:t>
      </w:r>
      <w:r w:rsidR="00D73F48">
        <w:rPr>
          <w:rFonts w:ascii="Times New Roman" w:hAnsi="Times New Roman" w:cs="Times New Roman"/>
          <w:sz w:val="24"/>
          <w:szCs w:val="24"/>
        </w:rPr>
        <w:t>also noted</w:t>
      </w:r>
      <w:r w:rsidR="00D442CF">
        <w:rPr>
          <w:rFonts w:ascii="Times New Roman" w:hAnsi="Times New Roman" w:cs="Times New Roman"/>
          <w:sz w:val="24"/>
          <w:szCs w:val="24"/>
        </w:rPr>
        <w:t xml:space="preserve"> that </w:t>
      </w:r>
      <w:r w:rsidR="00E60B0B">
        <w:rPr>
          <w:rFonts w:ascii="Times New Roman" w:hAnsi="Times New Roman" w:cs="Times New Roman"/>
          <w:sz w:val="24"/>
          <w:szCs w:val="24"/>
        </w:rPr>
        <w:t xml:space="preserve">the </w:t>
      </w:r>
      <w:r w:rsidR="00FF7089">
        <w:rPr>
          <w:rFonts w:ascii="Times New Roman" w:hAnsi="Times New Roman" w:cs="Times New Roman"/>
          <w:sz w:val="24"/>
          <w:szCs w:val="24"/>
        </w:rPr>
        <w:t xml:space="preserve">ESP 1 </w:t>
      </w:r>
      <w:r w:rsidR="00E60B0B">
        <w:rPr>
          <w:rFonts w:ascii="Times New Roman" w:hAnsi="Times New Roman" w:cs="Times New Roman"/>
          <w:sz w:val="24"/>
          <w:szCs w:val="24"/>
        </w:rPr>
        <w:t xml:space="preserve">settlement did not address </w:t>
      </w:r>
      <w:r w:rsidR="00FF7089">
        <w:rPr>
          <w:rFonts w:ascii="Times New Roman" w:hAnsi="Times New Roman" w:cs="Times New Roman"/>
          <w:sz w:val="24"/>
          <w:szCs w:val="24"/>
        </w:rPr>
        <w:t xml:space="preserve">the structure of the charge -- </w:t>
      </w:r>
      <w:r w:rsidR="00E60B0B">
        <w:rPr>
          <w:rFonts w:ascii="Times New Roman" w:hAnsi="Times New Roman" w:cs="Times New Roman"/>
          <w:sz w:val="24"/>
          <w:szCs w:val="24"/>
        </w:rPr>
        <w:t xml:space="preserve">whether </w:t>
      </w:r>
      <w:r w:rsidR="00FF7089">
        <w:rPr>
          <w:rFonts w:ascii="Times New Roman" w:hAnsi="Times New Roman" w:cs="Times New Roman"/>
          <w:sz w:val="24"/>
          <w:szCs w:val="24"/>
        </w:rPr>
        <w:t xml:space="preserve">it was </w:t>
      </w:r>
      <w:r w:rsidR="00E60B0B">
        <w:rPr>
          <w:rFonts w:ascii="Times New Roman" w:hAnsi="Times New Roman" w:cs="Times New Roman"/>
          <w:sz w:val="24"/>
          <w:szCs w:val="24"/>
        </w:rPr>
        <w:t>bypassable or non-bypassable.</w:t>
      </w:r>
      <w:r>
        <w:rPr>
          <w:rStyle w:val="FootnoteReference"/>
          <w:rFonts w:ascii="Times New Roman" w:hAnsi="Times New Roman" w:cs="Times New Roman"/>
          <w:sz w:val="24"/>
          <w:szCs w:val="24"/>
        </w:rPr>
        <w:footnoteReference w:id="21"/>
      </w:r>
      <w:r w:rsidR="00BF7C37">
        <w:rPr>
          <w:rFonts w:ascii="Times New Roman" w:hAnsi="Times New Roman" w:cs="Times New Roman"/>
          <w:sz w:val="24"/>
          <w:szCs w:val="24"/>
        </w:rPr>
        <w:t xml:space="preserve"> </w:t>
      </w:r>
      <w:r w:rsidR="00E60B0B">
        <w:rPr>
          <w:rFonts w:ascii="Times New Roman" w:hAnsi="Times New Roman" w:cs="Times New Roman"/>
          <w:sz w:val="24"/>
          <w:szCs w:val="24"/>
        </w:rPr>
        <w:t xml:space="preserve">It </w:t>
      </w:r>
      <w:r w:rsidR="00D442CF">
        <w:rPr>
          <w:rFonts w:ascii="Times New Roman" w:hAnsi="Times New Roman" w:cs="Times New Roman"/>
          <w:sz w:val="24"/>
          <w:szCs w:val="24"/>
        </w:rPr>
        <w:t xml:space="preserve">concluded </w:t>
      </w:r>
      <w:r w:rsidR="00E60B0B">
        <w:rPr>
          <w:rFonts w:ascii="Times New Roman" w:hAnsi="Times New Roman" w:cs="Times New Roman"/>
          <w:sz w:val="24"/>
          <w:szCs w:val="24"/>
        </w:rPr>
        <w:t xml:space="preserve">that </w:t>
      </w:r>
      <w:r w:rsidR="00D442CF">
        <w:rPr>
          <w:rFonts w:ascii="Times New Roman" w:hAnsi="Times New Roman" w:cs="Times New Roman"/>
          <w:sz w:val="24"/>
          <w:szCs w:val="24"/>
        </w:rPr>
        <w:t xml:space="preserve">DP&amp;L’s </w:t>
      </w:r>
      <w:r w:rsidR="00E60B0B">
        <w:rPr>
          <w:rFonts w:ascii="Times New Roman" w:hAnsi="Times New Roman" w:cs="Times New Roman"/>
          <w:sz w:val="24"/>
          <w:szCs w:val="24"/>
        </w:rPr>
        <w:t xml:space="preserve">non-bypassable </w:t>
      </w:r>
      <w:r w:rsidR="00D442CF">
        <w:rPr>
          <w:rFonts w:ascii="Times New Roman" w:hAnsi="Times New Roman" w:cs="Times New Roman"/>
          <w:sz w:val="24"/>
          <w:szCs w:val="24"/>
        </w:rPr>
        <w:t xml:space="preserve">ESP 2 </w:t>
      </w:r>
      <w:r w:rsidR="00FF7089">
        <w:rPr>
          <w:rFonts w:ascii="Times New Roman" w:hAnsi="Times New Roman" w:cs="Times New Roman"/>
          <w:sz w:val="24"/>
          <w:szCs w:val="24"/>
        </w:rPr>
        <w:t>t</w:t>
      </w:r>
      <w:r w:rsidR="00E60B0B">
        <w:rPr>
          <w:rFonts w:ascii="Times New Roman" w:hAnsi="Times New Roman" w:cs="Times New Roman"/>
          <w:sz w:val="24"/>
          <w:szCs w:val="24"/>
        </w:rPr>
        <w:t xml:space="preserve">ransmission </w:t>
      </w:r>
      <w:r w:rsidR="00FF7089">
        <w:rPr>
          <w:rFonts w:ascii="Times New Roman" w:hAnsi="Times New Roman" w:cs="Times New Roman"/>
          <w:sz w:val="24"/>
          <w:szCs w:val="24"/>
        </w:rPr>
        <w:t>c</w:t>
      </w:r>
      <w:r w:rsidR="00E60B0B">
        <w:rPr>
          <w:rFonts w:ascii="Times New Roman" w:hAnsi="Times New Roman" w:cs="Times New Roman"/>
          <w:sz w:val="24"/>
          <w:szCs w:val="24"/>
        </w:rPr>
        <w:t xml:space="preserve">harge was authorized by the settlement in DP&amp;L’s </w:t>
      </w:r>
      <w:r w:rsidR="00CA4805">
        <w:rPr>
          <w:rFonts w:ascii="Times New Roman" w:hAnsi="Times New Roman" w:cs="Times New Roman"/>
          <w:sz w:val="24"/>
          <w:szCs w:val="24"/>
        </w:rPr>
        <w:t>ESP 1</w:t>
      </w:r>
      <w:r w:rsidR="00E60B0B">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p>
    <w:p w:rsidR="00612BC9" w14:paraId="3FDD9F1C" w14:textId="1744835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PUCO precedent cannot be simply ignored</w:t>
      </w:r>
      <w:r w:rsidR="00CA4805">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1032A9">
        <w:rPr>
          <w:rFonts w:ascii="Times New Roman" w:hAnsi="Times New Roman" w:cs="Times New Roman"/>
          <w:sz w:val="24"/>
          <w:szCs w:val="24"/>
        </w:rPr>
        <w:t xml:space="preserve">DP&amp;L’s </w:t>
      </w:r>
      <w:r>
        <w:rPr>
          <w:rFonts w:ascii="Times New Roman" w:hAnsi="Times New Roman" w:cs="Times New Roman"/>
          <w:sz w:val="24"/>
          <w:szCs w:val="24"/>
        </w:rPr>
        <w:t xml:space="preserve">prior arguments </w:t>
      </w:r>
      <w:r w:rsidR="00F83AFE">
        <w:rPr>
          <w:rFonts w:ascii="Times New Roman" w:hAnsi="Times New Roman" w:cs="Times New Roman"/>
          <w:sz w:val="24"/>
          <w:szCs w:val="24"/>
        </w:rPr>
        <w:t xml:space="preserve">(that rates and terms can be changed when reverting to a prior ESP) </w:t>
      </w:r>
      <w:r>
        <w:rPr>
          <w:rFonts w:ascii="Times New Roman" w:hAnsi="Times New Roman" w:cs="Times New Roman"/>
          <w:sz w:val="24"/>
          <w:szCs w:val="24"/>
        </w:rPr>
        <w:t>are</w:t>
      </w:r>
      <w:r w:rsidR="009163A5">
        <w:rPr>
          <w:rFonts w:ascii="Times New Roman" w:hAnsi="Times New Roman" w:cs="Times New Roman"/>
          <w:sz w:val="24"/>
          <w:szCs w:val="24"/>
        </w:rPr>
        <w:t xml:space="preserve"> inconsistent with its </w:t>
      </w:r>
      <w:r>
        <w:rPr>
          <w:rFonts w:ascii="Times New Roman" w:hAnsi="Times New Roman" w:cs="Times New Roman"/>
          <w:sz w:val="24"/>
          <w:szCs w:val="24"/>
        </w:rPr>
        <w:t>current</w:t>
      </w:r>
      <w:r w:rsidR="00D73F48">
        <w:rPr>
          <w:rFonts w:ascii="Times New Roman" w:hAnsi="Times New Roman" w:cs="Times New Roman"/>
          <w:sz w:val="24"/>
          <w:szCs w:val="24"/>
        </w:rPr>
        <w:t xml:space="preserve"> stance </w:t>
      </w:r>
      <w:r>
        <w:rPr>
          <w:rFonts w:ascii="Times New Roman" w:hAnsi="Times New Roman" w:cs="Times New Roman"/>
          <w:sz w:val="24"/>
          <w:szCs w:val="24"/>
        </w:rPr>
        <w:t xml:space="preserve">that the PUCO cannot change the stability charge tariffs to make them refundable. </w:t>
      </w:r>
    </w:p>
    <w:p w:rsidR="001032A9" w14:paraId="58A46121" w14:textId="030150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Just like it did in 2016, the PUCO can rely on the law and policy and the 2009 </w:t>
      </w:r>
      <w:r w:rsidR="00F83AFE">
        <w:rPr>
          <w:rFonts w:ascii="Times New Roman" w:hAnsi="Times New Roman" w:cs="Times New Roman"/>
          <w:sz w:val="24"/>
          <w:szCs w:val="24"/>
        </w:rPr>
        <w:t>ESP 1 S</w:t>
      </w:r>
      <w:r>
        <w:rPr>
          <w:rFonts w:ascii="Times New Roman" w:hAnsi="Times New Roman" w:cs="Times New Roman"/>
          <w:sz w:val="24"/>
          <w:szCs w:val="24"/>
        </w:rPr>
        <w:t xml:space="preserve">ettlement </w:t>
      </w:r>
      <w:r w:rsidR="009163A5">
        <w:rPr>
          <w:rFonts w:ascii="Times New Roman" w:hAnsi="Times New Roman" w:cs="Times New Roman"/>
          <w:sz w:val="24"/>
          <w:szCs w:val="24"/>
        </w:rPr>
        <w:t>(which did not prohibit a refundable stability charge</w:t>
      </w:r>
      <w:r w:rsidR="00C74A40">
        <w:rPr>
          <w:rFonts w:ascii="Times New Roman" w:hAnsi="Times New Roman" w:cs="Times New Roman"/>
          <w:sz w:val="24"/>
          <w:szCs w:val="24"/>
        </w:rPr>
        <w:t>, nor address the structure of the charge</w:t>
      </w:r>
      <w:r w:rsidR="009163A5">
        <w:rPr>
          <w:rFonts w:ascii="Times New Roman" w:hAnsi="Times New Roman" w:cs="Times New Roman"/>
          <w:sz w:val="24"/>
          <w:szCs w:val="24"/>
        </w:rPr>
        <w:t xml:space="preserve">) </w:t>
      </w:r>
      <w:r>
        <w:rPr>
          <w:rFonts w:ascii="Times New Roman" w:hAnsi="Times New Roman" w:cs="Times New Roman"/>
          <w:sz w:val="24"/>
          <w:szCs w:val="24"/>
        </w:rPr>
        <w:t xml:space="preserve">to support making </w:t>
      </w:r>
      <w:r w:rsidR="00C74A40">
        <w:rPr>
          <w:rFonts w:ascii="Times New Roman" w:hAnsi="Times New Roman" w:cs="Times New Roman"/>
          <w:sz w:val="24"/>
          <w:szCs w:val="24"/>
        </w:rPr>
        <w:t xml:space="preserve">the stability charges </w:t>
      </w:r>
      <w:r>
        <w:rPr>
          <w:rFonts w:ascii="Times New Roman" w:hAnsi="Times New Roman" w:cs="Times New Roman"/>
          <w:sz w:val="24"/>
          <w:szCs w:val="24"/>
        </w:rPr>
        <w:t>subject to refund. H</w:t>
      </w:r>
      <w:r w:rsidR="00E60B0B">
        <w:rPr>
          <w:rFonts w:ascii="Times New Roman" w:hAnsi="Times New Roman" w:cs="Times New Roman"/>
          <w:sz w:val="24"/>
          <w:szCs w:val="24"/>
        </w:rPr>
        <w:t xml:space="preserve">ere state policy </w:t>
      </w:r>
      <w:r>
        <w:rPr>
          <w:rFonts w:ascii="Times New Roman" w:hAnsi="Times New Roman" w:cs="Times New Roman"/>
          <w:sz w:val="24"/>
          <w:szCs w:val="24"/>
        </w:rPr>
        <w:t xml:space="preserve">and the terms of the </w:t>
      </w:r>
      <w:r w:rsidR="009163A5">
        <w:rPr>
          <w:rFonts w:ascii="Times New Roman" w:hAnsi="Times New Roman" w:cs="Times New Roman"/>
          <w:sz w:val="24"/>
          <w:szCs w:val="24"/>
        </w:rPr>
        <w:t xml:space="preserve">2009 </w:t>
      </w:r>
      <w:r>
        <w:rPr>
          <w:rFonts w:ascii="Times New Roman" w:hAnsi="Times New Roman" w:cs="Times New Roman"/>
          <w:sz w:val="24"/>
          <w:szCs w:val="24"/>
        </w:rPr>
        <w:t xml:space="preserve">settlement </w:t>
      </w:r>
      <w:r w:rsidR="00E60B0B">
        <w:rPr>
          <w:rFonts w:ascii="Times New Roman" w:hAnsi="Times New Roman" w:cs="Times New Roman"/>
          <w:sz w:val="24"/>
          <w:szCs w:val="24"/>
        </w:rPr>
        <w:t xml:space="preserve">favor retaining the language that the </w:t>
      </w:r>
      <w:r>
        <w:rPr>
          <w:rFonts w:ascii="Times New Roman" w:hAnsi="Times New Roman" w:cs="Times New Roman"/>
          <w:sz w:val="24"/>
          <w:szCs w:val="24"/>
        </w:rPr>
        <w:t>s</w:t>
      </w:r>
      <w:r w:rsidR="00E60B0B">
        <w:rPr>
          <w:rFonts w:ascii="Times New Roman" w:hAnsi="Times New Roman" w:cs="Times New Roman"/>
          <w:sz w:val="24"/>
          <w:szCs w:val="24"/>
        </w:rPr>
        <w:t xml:space="preserve">tability </w:t>
      </w:r>
      <w:r>
        <w:rPr>
          <w:rFonts w:ascii="Times New Roman" w:hAnsi="Times New Roman" w:cs="Times New Roman"/>
          <w:sz w:val="24"/>
          <w:szCs w:val="24"/>
        </w:rPr>
        <w:t>c</w:t>
      </w:r>
      <w:r w:rsidR="00E60B0B">
        <w:rPr>
          <w:rFonts w:ascii="Times New Roman" w:hAnsi="Times New Roman" w:cs="Times New Roman"/>
          <w:sz w:val="24"/>
          <w:szCs w:val="24"/>
        </w:rPr>
        <w:t>harge is refundable “to the extent permitted by law.”</w:t>
      </w:r>
      <w:r w:rsidR="00BF7C37">
        <w:rPr>
          <w:rFonts w:ascii="Times New Roman" w:hAnsi="Times New Roman" w:cs="Times New Roman"/>
          <w:sz w:val="24"/>
          <w:szCs w:val="24"/>
        </w:rPr>
        <w:t xml:space="preserve"> </w:t>
      </w:r>
    </w:p>
    <w:p w:rsidR="001032A9" w14:paraId="6C215444" w14:textId="2A0C42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R.C. 4928.02(A), (L) provide for reasonable rates and protecting at-risk populations.</w:t>
      </w:r>
      <w:r w:rsidR="00BF7C37">
        <w:rPr>
          <w:rFonts w:ascii="Times New Roman" w:hAnsi="Times New Roman" w:cs="Times New Roman"/>
          <w:sz w:val="24"/>
          <w:szCs w:val="24"/>
        </w:rPr>
        <w:t xml:space="preserve"> </w:t>
      </w:r>
      <w:r w:rsidR="00D73F48">
        <w:rPr>
          <w:rFonts w:ascii="Times New Roman" w:hAnsi="Times New Roman" w:cs="Times New Roman"/>
          <w:sz w:val="24"/>
          <w:szCs w:val="24"/>
        </w:rPr>
        <w:t xml:space="preserve">Making rates refundable facilitates these state policies. </w:t>
      </w:r>
    </w:p>
    <w:p w:rsidR="0072407F" w14:paraId="23F42E81" w14:textId="2A1A479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Moreover, </w:t>
      </w:r>
      <w:r w:rsidR="003B2772">
        <w:rPr>
          <w:rFonts w:ascii="Times New Roman" w:hAnsi="Times New Roman" w:cs="Times New Roman"/>
          <w:sz w:val="24"/>
          <w:szCs w:val="24"/>
        </w:rPr>
        <w:t xml:space="preserve">it would be a miscarriage of justice </w:t>
      </w:r>
      <w:r>
        <w:rPr>
          <w:rFonts w:ascii="Times New Roman" w:hAnsi="Times New Roman" w:cs="Times New Roman"/>
          <w:sz w:val="24"/>
          <w:szCs w:val="24"/>
        </w:rPr>
        <w:t xml:space="preserve">if </w:t>
      </w:r>
      <w:r w:rsidR="003B2772">
        <w:rPr>
          <w:rFonts w:ascii="Times New Roman" w:hAnsi="Times New Roman" w:cs="Times New Roman"/>
          <w:sz w:val="24"/>
          <w:szCs w:val="24"/>
        </w:rPr>
        <w:t xml:space="preserve">the PUCO </w:t>
      </w:r>
      <w:r>
        <w:rPr>
          <w:rFonts w:ascii="Times New Roman" w:hAnsi="Times New Roman" w:cs="Times New Roman"/>
          <w:sz w:val="24"/>
          <w:szCs w:val="24"/>
        </w:rPr>
        <w:t xml:space="preserve">did </w:t>
      </w:r>
      <w:r w:rsidR="003B2772">
        <w:rPr>
          <w:rFonts w:ascii="Times New Roman" w:hAnsi="Times New Roman" w:cs="Times New Roman"/>
          <w:i/>
          <w:iCs/>
          <w:sz w:val="24"/>
          <w:szCs w:val="24"/>
        </w:rPr>
        <w:t xml:space="preserve">not </w:t>
      </w:r>
      <w:r w:rsidR="003B2772">
        <w:rPr>
          <w:rFonts w:ascii="Times New Roman" w:hAnsi="Times New Roman" w:cs="Times New Roman"/>
          <w:sz w:val="24"/>
          <w:szCs w:val="24"/>
        </w:rPr>
        <w:t>require DP&amp;L’s tariff to include language that the charge is refundable “to the extent permitted by law.”</w:t>
      </w:r>
      <w:r w:rsidR="00BF7C37">
        <w:rPr>
          <w:rFonts w:ascii="Times New Roman" w:hAnsi="Times New Roman" w:cs="Times New Roman"/>
          <w:sz w:val="24"/>
          <w:szCs w:val="24"/>
        </w:rPr>
        <w:t xml:space="preserve"> </w:t>
      </w:r>
      <w:r>
        <w:rPr>
          <w:rFonts w:ascii="Times New Roman" w:hAnsi="Times New Roman" w:cs="Times New Roman"/>
          <w:sz w:val="24"/>
          <w:szCs w:val="24"/>
        </w:rPr>
        <w:t xml:space="preserve">As the PUCO </w:t>
      </w:r>
      <w:r w:rsidR="003B2772">
        <w:rPr>
          <w:rFonts w:ascii="Times New Roman" w:hAnsi="Times New Roman" w:cs="Times New Roman"/>
          <w:sz w:val="24"/>
          <w:szCs w:val="24"/>
        </w:rPr>
        <w:t>acknowledged</w:t>
      </w:r>
      <w:r>
        <w:rPr>
          <w:rFonts w:ascii="Times New Roman" w:hAnsi="Times New Roman" w:cs="Times New Roman"/>
          <w:sz w:val="24"/>
          <w:szCs w:val="24"/>
        </w:rPr>
        <w:t xml:space="preserve">, </w:t>
      </w:r>
      <w:r w:rsidR="003B2772">
        <w:rPr>
          <w:rFonts w:ascii="Times New Roman" w:hAnsi="Times New Roman" w:cs="Times New Roman"/>
          <w:sz w:val="24"/>
          <w:szCs w:val="24"/>
        </w:rPr>
        <w:t xml:space="preserve">without such language, “OCC may not be able to effectively appeal our rulings that we lack the discretion to make the </w:t>
      </w:r>
      <w:r w:rsidR="00CA4805">
        <w:rPr>
          <w:rFonts w:ascii="Times New Roman" w:hAnsi="Times New Roman" w:cs="Times New Roman"/>
          <w:sz w:val="24"/>
          <w:szCs w:val="24"/>
        </w:rPr>
        <w:t xml:space="preserve">RSC </w:t>
      </w:r>
      <w:r w:rsidR="003B2772">
        <w:rPr>
          <w:rFonts w:ascii="Times New Roman" w:hAnsi="Times New Roman" w:cs="Times New Roman"/>
          <w:sz w:val="24"/>
          <w:szCs w:val="24"/>
        </w:rPr>
        <w:t>[Stability Charge] refundable</w:t>
      </w:r>
      <w:r w:rsidR="00CA4805">
        <w:rPr>
          <w:rFonts w:ascii="Times New Roman" w:hAnsi="Times New Roman" w:cs="Times New Roman"/>
          <w:sz w:val="24"/>
          <w:szCs w:val="24"/>
        </w:rPr>
        <w:t>***.</w:t>
      </w:r>
      <w:r w:rsidR="003B2772">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sidR="00BF7C37">
        <w:rPr>
          <w:rFonts w:ascii="Times New Roman" w:hAnsi="Times New Roman" w:cs="Times New Roman"/>
          <w:sz w:val="24"/>
          <w:szCs w:val="24"/>
        </w:rPr>
        <w:t xml:space="preserve"> </w:t>
      </w:r>
    </w:p>
    <w:p w:rsidR="004526AA" w:rsidP="00D73F48" w14:paraId="04E947EB" w14:textId="3F085F3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1032A9">
        <w:rPr>
          <w:rFonts w:ascii="Times New Roman" w:hAnsi="Times New Roman" w:cs="Times New Roman"/>
          <w:sz w:val="24"/>
          <w:szCs w:val="24"/>
        </w:rPr>
        <w:t xml:space="preserve">PUCO has opened up a potential path for some </w:t>
      </w:r>
      <w:r>
        <w:rPr>
          <w:rFonts w:ascii="Times New Roman" w:hAnsi="Times New Roman" w:cs="Times New Roman"/>
          <w:sz w:val="24"/>
          <w:szCs w:val="24"/>
        </w:rPr>
        <w:t>justice</w:t>
      </w:r>
      <w:r w:rsidR="001032A9">
        <w:rPr>
          <w:rFonts w:ascii="Times New Roman" w:hAnsi="Times New Roman" w:cs="Times New Roman"/>
          <w:sz w:val="24"/>
          <w:szCs w:val="24"/>
        </w:rPr>
        <w:t xml:space="preserve"> </w:t>
      </w:r>
      <w:r w:rsidR="00CA4805">
        <w:rPr>
          <w:rFonts w:ascii="Times New Roman" w:hAnsi="Times New Roman" w:cs="Times New Roman"/>
          <w:sz w:val="24"/>
          <w:szCs w:val="24"/>
        </w:rPr>
        <w:t xml:space="preserve">for consumers </w:t>
      </w:r>
      <w:r w:rsidR="001032A9">
        <w:rPr>
          <w:rFonts w:ascii="Times New Roman" w:hAnsi="Times New Roman" w:cs="Times New Roman"/>
          <w:sz w:val="24"/>
          <w:szCs w:val="24"/>
        </w:rPr>
        <w:t xml:space="preserve">that should not be </w:t>
      </w:r>
      <w:r w:rsidR="00B858E2">
        <w:rPr>
          <w:rFonts w:ascii="Times New Roman" w:hAnsi="Times New Roman" w:cs="Times New Roman"/>
          <w:sz w:val="24"/>
          <w:szCs w:val="24"/>
        </w:rPr>
        <w:t>closed</w:t>
      </w:r>
      <w:r w:rsidR="001032A9">
        <w:rPr>
          <w:rFonts w:ascii="Times New Roman" w:hAnsi="Times New Roman" w:cs="Times New Roman"/>
          <w:sz w:val="24"/>
          <w:szCs w:val="24"/>
        </w:rPr>
        <w:t xml:space="preserve">. </w:t>
      </w:r>
      <w:r w:rsidR="0072407F">
        <w:rPr>
          <w:rFonts w:ascii="Times New Roman" w:hAnsi="Times New Roman" w:cs="Times New Roman"/>
          <w:sz w:val="24"/>
          <w:szCs w:val="24"/>
        </w:rPr>
        <w:t>To protect consumers, DP&amp;L’s application for rehearing should be denied.</w:t>
      </w:r>
    </w:p>
    <w:p w:rsidR="00145E59" w14:paraId="62D4A529" w14:textId="77777777">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The consumer protection language that the PUCO directed DP&amp;L to include in its tariff is consistent with the balance struck by the General Assembly.</w:t>
      </w:r>
      <w:r>
        <w:rPr>
          <w:rFonts w:ascii="Times New Roman" w:hAnsi="Times New Roman" w:cs="Times New Roman"/>
          <w:sz w:val="24"/>
          <w:szCs w:val="24"/>
        </w:rPr>
        <w:t xml:space="preserve"> </w:t>
      </w:r>
    </w:p>
    <w:p w:rsidR="00145E59" w14:paraId="12D1004C" w14:textId="77777777">
      <w:pPr>
        <w:spacing w:after="0" w:line="240" w:lineRule="auto"/>
        <w:rPr>
          <w:rFonts w:ascii="Times New Roman" w:hAnsi="Times New Roman" w:cs="Times New Roman"/>
          <w:sz w:val="24"/>
          <w:szCs w:val="24"/>
        </w:rPr>
      </w:pPr>
    </w:p>
    <w:p w:rsidR="00D73F48" w14:paraId="1FEB07CB" w14:textId="51857AB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DP&amp;L asserts that requiring it to include language in its tariff that the </w:t>
      </w:r>
      <w:r w:rsidR="00CA4805">
        <w:rPr>
          <w:rFonts w:ascii="Times New Roman" w:hAnsi="Times New Roman" w:cs="Times New Roman"/>
          <w:sz w:val="24"/>
          <w:szCs w:val="24"/>
        </w:rPr>
        <w:t>s</w:t>
      </w:r>
      <w:r>
        <w:rPr>
          <w:rFonts w:ascii="Times New Roman" w:hAnsi="Times New Roman" w:cs="Times New Roman"/>
          <w:sz w:val="24"/>
          <w:szCs w:val="24"/>
        </w:rPr>
        <w:t xml:space="preserve">tability </w:t>
      </w:r>
      <w:r w:rsidR="00CA4805">
        <w:rPr>
          <w:rFonts w:ascii="Times New Roman" w:hAnsi="Times New Roman" w:cs="Times New Roman"/>
          <w:sz w:val="24"/>
          <w:szCs w:val="24"/>
        </w:rPr>
        <w:t>c</w:t>
      </w:r>
      <w:r>
        <w:rPr>
          <w:rFonts w:ascii="Times New Roman" w:hAnsi="Times New Roman" w:cs="Times New Roman"/>
          <w:sz w:val="24"/>
          <w:szCs w:val="24"/>
        </w:rPr>
        <w:t xml:space="preserve">harge is refundable “to the extent permitted by law” contravenes the balance struck by the General Assembly as explained by the Supreme Court in </w:t>
      </w:r>
      <w:r>
        <w:rPr>
          <w:rFonts w:ascii="Times New Roman" w:hAnsi="Times New Roman" w:cs="Times New Roman"/>
          <w:i/>
          <w:iCs/>
          <w:sz w:val="24"/>
          <w:szCs w:val="24"/>
        </w:rPr>
        <w:t>Keco Industries, Inc. v. Cincinnati &amp; Suburban Bell Tel. Co.</w:t>
      </w:r>
      <w:r>
        <w:rPr>
          <w:rFonts w:ascii="Times New Roman" w:hAnsi="Times New Roman" w:cs="Times New Roman"/>
          <w:sz w:val="24"/>
          <w:szCs w:val="24"/>
        </w:rPr>
        <w:t>, 166 Ohio St. 254 (1957).</w:t>
      </w:r>
      <w:r>
        <w:rPr>
          <w:rStyle w:val="FootnoteReference"/>
          <w:rFonts w:ascii="Times New Roman" w:hAnsi="Times New Roman" w:cs="Times New Roman"/>
          <w:sz w:val="24"/>
          <w:szCs w:val="24"/>
        </w:rPr>
        <w:footnoteReference w:id="24"/>
      </w:r>
      <w:r w:rsidR="00BF7C37">
        <w:rPr>
          <w:rFonts w:ascii="Times New Roman" w:hAnsi="Times New Roman" w:cs="Times New Roman"/>
          <w:sz w:val="24"/>
          <w:szCs w:val="24"/>
        </w:rPr>
        <w:t xml:space="preserve"> </w:t>
      </w:r>
      <w:r w:rsidR="003E3C4C">
        <w:rPr>
          <w:rFonts w:ascii="Times New Roman" w:hAnsi="Times New Roman" w:cs="Times New Roman"/>
          <w:sz w:val="24"/>
          <w:szCs w:val="24"/>
        </w:rPr>
        <w:t xml:space="preserve">DP&amp;L’s </w:t>
      </w:r>
      <w:r>
        <w:rPr>
          <w:rFonts w:ascii="Times New Roman" w:hAnsi="Times New Roman" w:cs="Times New Roman"/>
          <w:sz w:val="24"/>
          <w:szCs w:val="24"/>
        </w:rPr>
        <w:t>view</w:t>
      </w:r>
      <w:r w:rsidR="003E3C4C">
        <w:rPr>
          <w:rFonts w:ascii="Times New Roman" w:hAnsi="Times New Roman" w:cs="Times New Roman"/>
          <w:sz w:val="24"/>
          <w:szCs w:val="24"/>
        </w:rPr>
        <w:t xml:space="preserve"> is wrong because it</w:t>
      </w:r>
      <w:r>
        <w:rPr>
          <w:rFonts w:ascii="Times New Roman" w:hAnsi="Times New Roman" w:cs="Times New Roman"/>
          <w:sz w:val="24"/>
          <w:szCs w:val="24"/>
        </w:rPr>
        <w:t xml:space="preserve"> ignores the Court’s later rulings which better define</w:t>
      </w:r>
      <w:r w:rsidR="003E3C4C">
        <w:rPr>
          <w:rFonts w:ascii="Times New Roman" w:hAnsi="Times New Roman" w:cs="Times New Roman"/>
          <w:sz w:val="24"/>
          <w:szCs w:val="24"/>
        </w:rPr>
        <w:t>d</w:t>
      </w:r>
      <w:r>
        <w:rPr>
          <w:rFonts w:ascii="Times New Roman" w:hAnsi="Times New Roman" w:cs="Times New Roman"/>
          <w:sz w:val="24"/>
          <w:szCs w:val="24"/>
        </w:rPr>
        <w:t xml:space="preserve"> the parameters of </w:t>
      </w:r>
      <w:r w:rsidR="00CA155B">
        <w:rPr>
          <w:rFonts w:ascii="Times New Roman" w:hAnsi="Times New Roman" w:cs="Times New Roman"/>
          <w:sz w:val="24"/>
          <w:szCs w:val="24"/>
        </w:rPr>
        <w:t>retroactive ratemaking and define conditions that allow re</w:t>
      </w:r>
      <w:r>
        <w:rPr>
          <w:rFonts w:ascii="Times New Roman" w:hAnsi="Times New Roman" w:cs="Times New Roman"/>
          <w:sz w:val="24"/>
          <w:szCs w:val="24"/>
        </w:rPr>
        <w:t>funds for consumers.</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p>
    <w:p w:rsidR="00CA155B" w:rsidP="00CA155B" w14:paraId="49FF0F7E" w14:textId="5F2F9D5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short, the Court has construed the words of the General Assembly as creating an exception to </w:t>
      </w:r>
      <w:r w:rsidRPr="00CA155B">
        <w:rPr>
          <w:rFonts w:ascii="Times New Roman" w:hAnsi="Times New Roman" w:cs="Times New Roman"/>
          <w:i/>
          <w:iCs/>
          <w:sz w:val="24"/>
          <w:szCs w:val="24"/>
        </w:rPr>
        <w:t>Keco,</w:t>
      </w:r>
      <w:r>
        <w:rPr>
          <w:rFonts w:ascii="Times New Roman" w:hAnsi="Times New Roman" w:cs="Times New Roman"/>
          <w:sz w:val="24"/>
          <w:szCs w:val="24"/>
        </w:rPr>
        <w:t xml:space="preserve"> backed up by the words of R.C. 4905.32, the statute on which </w:t>
      </w:r>
      <w:r w:rsidRPr="00CA155B">
        <w:rPr>
          <w:rFonts w:ascii="Times New Roman" w:hAnsi="Times New Roman" w:cs="Times New Roman"/>
          <w:i/>
          <w:iCs/>
          <w:sz w:val="24"/>
          <w:szCs w:val="24"/>
        </w:rPr>
        <w:t xml:space="preserve">Keco </w:t>
      </w:r>
      <w:r>
        <w:rPr>
          <w:rFonts w:ascii="Times New Roman" w:hAnsi="Times New Roman" w:cs="Times New Roman"/>
          <w:sz w:val="24"/>
          <w:szCs w:val="24"/>
        </w:rPr>
        <w:t>is based. As OCC explained at length in its July 16, 2021 application for rehearing, both the applicable statu</w:t>
      </w:r>
      <w:r w:rsidR="00CA4805">
        <w:rPr>
          <w:rFonts w:ascii="Times New Roman" w:hAnsi="Times New Roman" w:cs="Times New Roman"/>
          <w:sz w:val="24"/>
          <w:szCs w:val="24"/>
        </w:rPr>
        <w:t>t</w:t>
      </w:r>
      <w:r>
        <w:rPr>
          <w:rFonts w:ascii="Times New Roman" w:hAnsi="Times New Roman" w:cs="Times New Roman"/>
          <w:sz w:val="24"/>
          <w:szCs w:val="24"/>
        </w:rPr>
        <w:t>e (R.C. 4905.32) and Supreme Court precedent (</w:t>
      </w:r>
      <w:r>
        <w:rPr>
          <w:rFonts w:ascii="Times New Roman" w:hAnsi="Times New Roman" w:cs="Times New Roman"/>
          <w:i/>
          <w:iCs/>
          <w:sz w:val="24"/>
          <w:szCs w:val="24"/>
        </w:rPr>
        <w:t>e.g., In re Application of Ohio Edison Co</w:t>
      </w:r>
      <w:r>
        <w:rPr>
          <w:rFonts w:ascii="Times New Roman" w:hAnsi="Times New Roman" w:cs="Times New Roman"/>
          <w:sz w:val="24"/>
          <w:szCs w:val="24"/>
        </w:rPr>
        <w:t xml:space="preserve">., 157 Ohio St.3d 73, 2019-Ohio-2401, ¶23) permit refunds </w:t>
      </w:r>
      <w:r w:rsidR="003E3C4C">
        <w:rPr>
          <w:rFonts w:ascii="Times New Roman" w:hAnsi="Times New Roman" w:cs="Times New Roman"/>
          <w:sz w:val="24"/>
          <w:szCs w:val="24"/>
        </w:rPr>
        <w:t xml:space="preserve">to consumers </w:t>
      </w:r>
      <w:r>
        <w:rPr>
          <w:rFonts w:ascii="Times New Roman" w:hAnsi="Times New Roman" w:cs="Times New Roman"/>
          <w:sz w:val="24"/>
          <w:szCs w:val="24"/>
        </w:rPr>
        <w:t>if a utility’s tariff provides for them.</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This </w:t>
      </w:r>
      <w:r w:rsidRPr="00843509">
        <w:rPr>
          <w:rFonts w:ascii="Times New Roman" w:hAnsi="Times New Roman" w:cs="Times New Roman"/>
          <w:i/>
          <w:iCs/>
          <w:sz w:val="24"/>
          <w:szCs w:val="24"/>
        </w:rPr>
        <w:t>is</w:t>
      </w:r>
      <w:r>
        <w:rPr>
          <w:rFonts w:ascii="Times New Roman" w:hAnsi="Times New Roman" w:cs="Times New Roman"/>
          <w:sz w:val="24"/>
          <w:szCs w:val="24"/>
        </w:rPr>
        <w:t xml:space="preserve"> part of the balance</w:t>
      </w:r>
      <w:r w:rsidR="00211A88">
        <w:rPr>
          <w:rFonts w:ascii="Times New Roman" w:hAnsi="Times New Roman" w:cs="Times New Roman"/>
          <w:sz w:val="24"/>
          <w:szCs w:val="24"/>
        </w:rPr>
        <w:t xml:space="preserve"> </w:t>
      </w:r>
      <w:r w:rsidR="0024747B">
        <w:rPr>
          <w:rFonts w:ascii="Times New Roman" w:hAnsi="Times New Roman" w:cs="Times New Roman"/>
          <w:sz w:val="24"/>
          <w:szCs w:val="24"/>
        </w:rPr>
        <w:t xml:space="preserve">that the General Assembly created. </w:t>
      </w:r>
    </w:p>
    <w:p w:rsidR="00560435" w14:paraId="6C57DD2D" w14:textId="5041B68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DP&amp;L’s application for rehearing should be denied.</w:t>
      </w:r>
    </w:p>
    <w:p w:rsidR="00145E59" w14:paraId="3062073C" w14:textId="65678FC0">
      <w:pPr>
        <w:pStyle w:val="ListParagraph"/>
        <w:spacing w:after="0" w:line="240" w:lineRule="auto"/>
        <w:ind w:left="1440" w:hanging="720"/>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sidRPr="00D53008">
        <w:rPr>
          <w:rFonts w:ascii="Times New Roman" w:hAnsi="Times New Roman" w:cs="Times New Roman"/>
          <w:b/>
          <w:bCs/>
          <w:sz w:val="24"/>
          <w:szCs w:val="24"/>
        </w:rPr>
        <w:t xml:space="preserve">To protect consumers, DP&amp;L’s request that the PUCO adopt an additional reason </w:t>
      </w:r>
      <w:r w:rsidRPr="00D53008" w:rsidR="00D53008">
        <w:rPr>
          <w:rFonts w:ascii="Times New Roman" w:hAnsi="Times New Roman" w:cs="Times New Roman"/>
          <w:b/>
          <w:bCs/>
          <w:sz w:val="24"/>
          <w:szCs w:val="24"/>
        </w:rPr>
        <w:t xml:space="preserve">to support the amount of </w:t>
      </w:r>
      <w:r w:rsidRPr="00D53008">
        <w:rPr>
          <w:rFonts w:ascii="Times New Roman" w:hAnsi="Times New Roman" w:cs="Times New Roman"/>
          <w:b/>
          <w:bCs/>
          <w:sz w:val="24"/>
          <w:szCs w:val="24"/>
        </w:rPr>
        <w:t xml:space="preserve">the </w:t>
      </w:r>
      <w:r w:rsidR="00D53008">
        <w:rPr>
          <w:rFonts w:ascii="Times New Roman" w:hAnsi="Times New Roman" w:cs="Times New Roman"/>
          <w:b/>
          <w:bCs/>
          <w:sz w:val="24"/>
          <w:szCs w:val="24"/>
        </w:rPr>
        <w:t>s</w:t>
      </w:r>
      <w:r w:rsidRPr="00D53008">
        <w:rPr>
          <w:rFonts w:ascii="Times New Roman" w:hAnsi="Times New Roman" w:cs="Times New Roman"/>
          <w:b/>
          <w:bCs/>
          <w:sz w:val="24"/>
          <w:szCs w:val="24"/>
        </w:rPr>
        <w:t xml:space="preserve">tability </w:t>
      </w:r>
      <w:r w:rsidR="00D53008">
        <w:rPr>
          <w:rFonts w:ascii="Times New Roman" w:hAnsi="Times New Roman" w:cs="Times New Roman"/>
          <w:b/>
          <w:bCs/>
          <w:sz w:val="24"/>
          <w:szCs w:val="24"/>
        </w:rPr>
        <w:t>c</w:t>
      </w:r>
      <w:r w:rsidRPr="00D53008">
        <w:rPr>
          <w:rFonts w:ascii="Times New Roman" w:hAnsi="Times New Roman" w:cs="Times New Roman"/>
          <w:b/>
          <w:bCs/>
          <w:sz w:val="24"/>
          <w:szCs w:val="24"/>
        </w:rPr>
        <w:t>harge should be rejected.</w:t>
      </w:r>
    </w:p>
    <w:p w:rsidR="00145E59" w14:paraId="3BBC5779" w14:textId="77777777">
      <w:pPr>
        <w:spacing w:after="0" w:line="240" w:lineRule="auto"/>
        <w:rPr>
          <w:rFonts w:ascii="Times New Roman" w:hAnsi="Times New Roman" w:cs="Times New Roman"/>
          <w:b/>
          <w:bCs/>
          <w:sz w:val="24"/>
          <w:szCs w:val="24"/>
        </w:rPr>
      </w:pPr>
    </w:p>
    <w:p w:rsidR="006B08DE" w14:paraId="75112A23" w14:textId="4143A0A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DP&amp;L asserts that the PUCO in its Fifth Entry on Rehearing “correctly concluded that the </w:t>
      </w:r>
      <w:r w:rsidR="00CA4805">
        <w:rPr>
          <w:rFonts w:ascii="Times New Roman" w:hAnsi="Times New Roman" w:cs="Times New Roman"/>
          <w:sz w:val="24"/>
          <w:szCs w:val="24"/>
        </w:rPr>
        <w:t xml:space="preserve">RSC </w:t>
      </w:r>
      <w:r>
        <w:rPr>
          <w:rFonts w:ascii="Times New Roman" w:hAnsi="Times New Roman" w:cs="Times New Roman"/>
          <w:sz w:val="24"/>
          <w:szCs w:val="24"/>
        </w:rPr>
        <w:t>[Stability Charge] was lawful.”</w:t>
      </w:r>
      <w:r>
        <w:rPr>
          <w:rStyle w:val="FootnoteReference"/>
          <w:rFonts w:ascii="Times New Roman" w:hAnsi="Times New Roman" w:cs="Times New Roman"/>
          <w:sz w:val="24"/>
          <w:szCs w:val="24"/>
        </w:rPr>
        <w:footnoteReference w:id="27"/>
      </w:r>
      <w:r w:rsidR="00BF7C37">
        <w:rPr>
          <w:rFonts w:ascii="Times New Roman" w:hAnsi="Times New Roman" w:cs="Times New Roman"/>
          <w:sz w:val="24"/>
          <w:szCs w:val="24"/>
        </w:rPr>
        <w:t xml:space="preserve"> </w:t>
      </w:r>
      <w:r>
        <w:rPr>
          <w:rFonts w:ascii="Times New Roman" w:hAnsi="Times New Roman" w:cs="Times New Roman"/>
          <w:sz w:val="24"/>
          <w:szCs w:val="24"/>
        </w:rPr>
        <w:t>Yet DP&amp;L</w:t>
      </w:r>
      <w:r w:rsidR="00843509">
        <w:rPr>
          <w:rFonts w:ascii="Times New Roman" w:hAnsi="Times New Roman" w:cs="Times New Roman"/>
          <w:sz w:val="24"/>
          <w:szCs w:val="24"/>
        </w:rPr>
        <w:t xml:space="preserve"> still seeks rehearing. DP&amp;L asks the PUCO to </w:t>
      </w:r>
      <w:r>
        <w:rPr>
          <w:rFonts w:ascii="Times New Roman" w:hAnsi="Times New Roman" w:cs="Times New Roman"/>
          <w:sz w:val="24"/>
          <w:szCs w:val="24"/>
        </w:rPr>
        <w:t xml:space="preserve">add </w:t>
      </w:r>
      <w:r w:rsidR="00843509">
        <w:rPr>
          <w:rFonts w:ascii="Times New Roman" w:hAnsi="Times New Roman" w:cs="Times New Roman"/>
          <w:sz w:val="24"/>
          <w:szCs w:val="24"/>
        </w:rPr>
        <w:t xml:space="preserve">support </w:t>
      </w:r>
      <w:r>
        <w:rPr>
          <w:rFonts w:ascii="Times New Roman" w:hAnsi="Times New Roman" w:cs="Times New Roman"/>
          <w:sz w:val="24"/>
          <w:szCs w:val="24"/>
        </w:rPr>
        <w:t xml:space="preserve">to its </w:t>
      </w:r>
      <w:r w:rsidR="00843509">
        <w:rPr>
          <w:rFonts w:ascii="Times New Roman" w:hAnsi="Times New Roman" w:cs="Times New Roman"/>
          <w:sz w:val="24"/>
          <w:szCs w:val="24"/>
        </w:rPr>
        <w:t xml:space="preserve">decision </w:t>
      </w:r>
      <w:r>
        <w:rPr>
          <w:rFonts w:ascii="Times New Roman" w:hAnsi="Times New Roman" w:cs="Times New Roman"/>
          <w:sz w:val="24"/>
          <w:szCs w:val="24"/>
        </w:rPr>
        <w:t xml:space="preserve">to continue the $79 million </w:t>
      </w:r>
      <w:r w:rsidR="00CA4805">
        <w:rPr>
          <w:rFonts w:ascii="Times New Roman" w:hAnsi="Times New Roman" w:cs="Times New Roman"/>
          <w:sz w:val="24"/>
          <w:szCs w:val="24"/>
        </w:rPr>
        <w:t xml:space="preserve">annual </w:t>
      </w:r>
      <w:r>
        <w:rPr>
          <w:rFonts w:ascii="Times New Roman" w:hAnsi="Times New Roman" w:cs="Times New Roman"/>
          <w:sz w:val="24"/>
          <w:szCs w:val="24"/>
        </w:rPr>
        <w:t>stability charge to consumers by relying on R.C. 4928.143(C)(2)(b).</w:t>
      </w:r>
      <w:r>
        <w:rPr>
          <w:rStyle w:val="FootnoteReference"/>
          <w:rFonts w:ascii="Times New Roman" w:hAnsi="Times New Roman" w:cs="Times New Roman"/>
          <w:sz w:val="24"/>
          <w:szCs w:val="24"/>
        </w:rPr>
        <w:footnoteReference w:id="28"/>
      </w:r>
      <w:r w:rsidR="00BF7C37">
        <w:rPr>
          <w:rFonts w:ascii="Times New Roman" w:hAnsi="Times New Roman" w:cs="Times New Roman"/>
          <w:sz w:val="24"/>
          <w:szCs w:val="24"/>
        </w:rPr>
        <w:t xml:space="preserve"> </w:t>
      </w:r>
      <w:r>
        <w:rPr>
          <w:rFonts w:ascii="Times New Roman" w:hAnsi="Times New Roman" w:cs="Times New Roman"/>
          <w:sz w:val="24"/>
          <w:szCs w:val="24"/>
        </w:rPr>
        <w:t>DP&amp;L argues that the stability charge is lawful because when DP&amp;L withdrew from ESP III, the PUCO had to continue the terms of DP&amp;L’s most recent standard service offer – “the rates in effect in ESP I pursuant to its August 26, 2016 Finding and Order issued in this case.”</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r w:rsidR="00796E5A">
        <w:rPr>
          <w:rFonts w:ascii="Times New Roman" w:hAnsi="Times New Roman" w:cs="Times New Roman"/>
          <w:sz w:val="24"/>
          <w:szCs w:val="24"/>
        </w:rPr>
        <w:t>DP&amp;L concludes that the PUCO was required to reinstitute the stability charge “as it existed when ESP III was terminated.”</w:t>
      </w:r>
      <w:r>
        <w:rPr>
          <w:rStyle w:val="FootnoteReference"/>
          <w:rFonts w:ascii="Times New Roman" w:hAnsi="Times New Roman" w:cs="Times New Roman"/>
          <w:sz w:val="24"/>
          <w:szCs w:val="24"/>
        </w:rPr>
        <w:footnoteReference w:id="30"/>
      </w:r>
      <w:r w:rsidR="00796E5A">
        <w:rPr>
          <w:rFonts w:ascii="Times New Roman" w:hAnsi="Times New Roman" w:cs="Times New Roman"/>
          <w:sz w:val="24"/>
          <w:szCs w:val="24"/>
        </w:rPr>
        <w:t xml:space="preserve"> </w:t>
      </w:r>
      <w:r w:rsidR="008019EC">
        <w:rPr>
          <w:rFonts w:ascii="Times New Roman" w:hAnsi="Times New Roman" w:cs="Times New Roman"/>
          <w:sz w:val="24"/>
          <w:szCs w:val="24"/>
        </w:rPr>
        <w:t xml:space="preserve">DP&amp;L’s rehearing request should be denied.  </w:t>
      </w:r>
    </w:p>
    <w:p w:rsidR="00145E59" w:rsidP="00796E5A" w14:paraId="43748C28" w14:textId="7F3E5E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the outset, OCC disputes the merits of DP&amp;L’s </w:t>
      </w:r>
      <w:r w:rsidR="008019EC">
        <w:rPr>
          <w:rFonts w:ascii="Times New Roman" w:hAnsi="Times New Roman" w:cs="Times New Roman"/>
          <w:sz w:val="24"/>
          <w:szCs w:val="24"/>
        </w:rPr>
        <w:t>premise. As noted in OCC’s earlier application for rehearing</w:t>
      </w:r>
      <w:r w:rsidR="003E3C4C">
        <w:rPr>
          <w:rFonts w:ascii="Times New Roman" w:hAnsi="Times New Roman" w:cs="Times New Roman"/>
          <w:sz w:val="24"/>
          <w:szCs w:val="24"/>
        </w:rPr>
        <w:t>,</w:t>
      </w:r>
      <w:r>
        <w:rPr>
          <w:rStyle w:val="FootnoteReference"/>
          <w:rFonts w:ascii="Times New Roman" w:hAnsi="Times New Roman" w:cs="Times New Roman"/>
          <w:sz w:val="24"/>
          <w:szCs w:val="24"/>
        </w:rPr>
        <w:footnoteReference w:id="31"/>
      </w:r>
      <w:r w:rsidR="008019EC">
        <w:rPr>
          <w:rFonts w:ascii="Times New Roman" w:hAnsi="Times New Roman" w:cs="Times New Roman"/>
          <w:sz w:val="24"/>
          <w:szCs w:val="24"/>
        </w:rPr>
        <w:t xml:space="preserve"> the law provides for the continuation of the utility’s “most recent standard service offer,” not the utility’s most recent electric security plan. The standard service offer, as defined under R.C. 4928.41</w:t>
      </w:r>
      <w:r w:rsidR="008D6137">
        <w:rPr>
          <w:rFonts w:ascii="Times New Roman" w:hAnsi="Times New Roman" w:cs="Times New Roman"/>
          <w:sz w:val="24"/>
          <w:szCs w:val="24"/>
        </w:rPr>
        <w:t>,</w:t>
      </w:r>
      <w:r w:rsidR="008019EC">
        <w:rPr>
          <w:rFonts w:ascii="Times New Roman" w:hAnsi="Times New Roman" w:cs="Times New Roman"/>
          <w:sz w:val="24"/>
          <w:szCs w:val="24"/>
        </w:rPr>
        <w:t xml:space="preserve"> means the supply of generation. For DP&amp;L this means the cost of energy and capacity as obtained through the competitive bidding process. No more and no less.  </w:t>
      </w:r>
    </w:p>
    <w:p w:rsidR="00F35764" w:rsidP="00F35764" w14:paraId="4333B35B" w14:textId="16BF103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DP&amp;L appears to be angling for an argument against the PUCO reducing the $79 million annual stability charge to consumers (which </w:t>
      </w:r>
      <w:r w:rsidR="00EB18B1">
        <w:rPr>
          <w:rFonts w:ascii="Times New Roman" w:hAnsi="Times New Roman" w:cs="Times New Roman"/>
          <w:sz w:val="24"/>
          <w:szCs w:val="24"/>
        </w:rPr>
        <w:t xml:space="preserve">the PUCO </w:t>
      </w:r>
      <w:r>
        <w:rPr>
          <w:rFonts w:ascii="Times New Roman" w:hAnsi="Times New Roman" w:cs="Times New Roman"/>
          <w:sz w:val="24"/>
          <w:szCs w:val="24"/>
        </w:rPr>
        <w:t>declined to do).</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But as OCC explained in its application for rehearing, the PUCO is under no obligation to reestablish DP&amp;L’s POLR/stability rate from its 2009 electric security plan</w:t>
      </w:r>
      <w:r w:rsidRPr="00EE2774">
        <w:rPr>
          <w:rFonts w:ascii="Times New Roman" w:hAnsi="Times New Roman" w:cs="Times New Roman"/>
          <w:sz w:val="24"/>
          <w:szCs w:val="24"/>
        </w:rPr>
        <w:t>.</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Ohio law merely directs the PUCO to continue the provisions, terms, and condition of the previous SSO (not the rates).  </w:t>
      </w:r>
      <w:r w:rsidR="00D53008">
        <w:rPr>
          <w:rFonts w:ascii="Times New Roman" w:hAnsi="Times New Roman" w:cs="Times New Roman"/>
          <w:sz w:val="24"/>
          <w:szCs w:val="24"/>
        </w:rPr>
        <w:t xml:space="preserve">The PUCO should decline to adopt DP&amp;L’s interpretation of the law as it is inconsistent with its own findings and reads into the law words that are not there.  </w:t>
      </w:r>
    </w:p>
    <w:p w:rsidR="001D5FDD" w:rsidP="00F35764" w14:paraId="7C2A776E" w14:textId="7258106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Instead of granting DP&amp;L’s rehearing in this regard, the PUCO should find that the $79 million annual stability charge to c</w:t>
      </w:r>
      <w:r w:rsidR="008D6137">
        <w:rPr>
          <w:rFonts w:ascii="Times New Roman" w:hAnsi="Times New Roman" w:cs="Times New Roman"/>
          <w:sz w:val="24"/>
          <w:szCs w:val="24"/>
        </w:rPr>
        <w:t xml:space="preserve">onsumers </w:t>
      </w:r>
      <w:r>
        <w:rPr>
          <w:rFonts w:ascii="Times New Roman" w:hAnsi="Times New Roman" w:cs="Times New Roman"/>
          <w:sz w:val="24"/>
          <w:szCs w:val="24"/>
        </w:rPr>
        <w:t xml:space="preserve">is without record support. And it should not reimplement the charge at any level until and unless DP&amp;L can provide record support for it. </w:t>
      </w:r>
    </w:p>
    <w:p w:rsidR="003273DD" w:rsidP="003273DD" w14:paraId="6D74E360" w14:textId="77777777">
      <w:pPr>
        <w:spacing w:after="0" w:line="240" w:lineRule="auto"/>
        <w:ind w:firstLine="720"/>
        <w:rPr>
          <w:rFonts w:ascii="Times New Roman" w:hAnsi="Times New Roman" w:cs="Times New Roman"/>
          <w:sz w:val="24"/>
          <w:szCs w:val="24"/>
        </w:rPr>
      </w:pPr>
    </w:p>
    <w:p w:rsidR="00145E59" w14:paraId="431310CB" w14:textId="77777777">
      <w:pPr>
        <w:pStyle w:val="Heading1"/>
      </w:pPr>
      <w:r>
        <w:t>III.</w:t>
      </w:r>
      <w:r>
        <w:tab/>
        <w:t>Conclusion</w:t>
      </w:r>
    </w:p>
    <w:p w:rsidR="00145E59" w14:paraId="4D7808D9" w14:textId="28BC206F">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DP&amp;L wants the PUCO to </w:t>
      </w:r>
      <w:r w:rsidR="003E3C4C">
        <w:rPr>
          <w:rFonts w:ascii="Times New Roman" w:hAnsi="Times New Roman" w:cs="Times New Roman"/>
          <w:sz w:val="24"/>
          <w:szCs w:val="24"/>
        </w:rPr>
        <w:t>rescind</w:t>
      </w:r>
      <w:r>
        <w:rPr>
          <w:rFonts w:ascii="Times New Roman" w:hAnsi="Times New Roman" w:cs="Times New Roman"/>
          <w:sz w:val="24"/>
          <w:szCs w:val="24"/>
        </w:rPr>
        <w:t xml:space="preserve"> what little consumer protection the PUCO put in place in its Fifth Entry on Rehearing.</w:t>
      </w:r>
      <w:r w:rsidR="00BF7C37">
        <w:rPr>
          <w:rFonts w:ascii="Times New Roman" w:hAnsi="Times New Roman" w:cs="Times New Roman"/>
          <w:sz w:val="24"/>
          <w:szCs w:val="24"/>
        </w:rPr>
        <w:t xml:space="preserve"> </w:t>
      </w:r>
      <w:r>
        <w:rPr>
          <w:rFonts w:ascii="Times New Roman" w:hAnsi="Times New Roman" w:cs="Times New Roman"/>
          <w:sz w:val="24"/>
          <w:szCs w:val="24"/>
        </w:rPr>
        <w:t>The PUCO should not do so.</w:t>
      </w:r>
      <w:r w:rsidR="00BF7C37">
        <w:rPr>
          <w:rFonts w:ascii="Times New Roman" w:hAnsi="Times New Roman" w:cs="Times New Roman"/>
          <w:sz w:val="24"/>
          <w:szCs w:val="24"/>
        </w:rPr>
        <w:t xml:space="preserve"> </w:t>
      </w:r>
      <w:r>
        <w:rPr>
          <w:rFonts w:ascii="Times New Roman" w:hAnsi="Times New Roman" w:cs="Times New Roman"/>
          <w:sz w:val="24"/>
          <w:szCs w:val="24"/>
        </w:rPr>
        <w:t>DP&amp;L’s consumers deserve better.</w:t>
      </w:r>
      <w:r w:rsidR="00BF7C37">
        <w:rPr>
          <w:rFonts w:ascii="Times New Roman" w:hAnsi="Times New Roman" w:cs="Times New Roman"/>
          <w:sz w:val="24"/>
          <w:szCs w:val="24"/>
        </w:rPr>
        <w:t xml:space="preserve"> </w:t>
      </w:r>
      <w:r>
        <w:rPr>
          <w:rFonts w:ascii="Times New Roman" w:hAnsi="Times New Roman" w:cs="Times New Roman"/>
          <w:sz w:val="24"/>
          <w:szCs w:val="24"/>
        </w:rPr>
        <w:t xml:space="preserve">The PUCO should reject DP&amp;L’s application for rehearing. </w:t>
      </w:r>
    </w:p>
    <w:p w:rsidR="003273DD" w14:paraId="1F34EC3D" w14:textId="3843BD4E">
      <w:pPr>
        <w:rPr>
          <w:rFonts w:ascii="Times New Roman" w:hAnsi="Times New Roman" w:cs="Times New Roman"/>
          <w:sz w:val="24"/>
          <w:szCs w:val="24"/>
        </w:rPr>
      </w:pPr>
      <w:r>
        <w:rPr>
          <w:rFonts w:ascii="Times New Roman" w:hAnsi="Times New Roman" w:cs="Times New Roman"/>
          <w:sz w:val="24"/>
          <w:szCs w:val="24"/>
        </w:rPr>
        <w:br w:type="page"/>
      </w:r>
    </w:p>
    <w:p w:rsidR="00145E59" w14:paraId="4C57950F" w14:textId="77777777">
      <w:pPr>
        <w:spacing w:after="0" w:line="480" w:lineRule="auto"/>
        <w:ind w:left="3600" w:firstLine="720"/>
        <w:rPr>
          <w:rFonts w:ascii="Times New Roman" w:hAnsi="Times New Roman" w:cs="Times New Roman"/>
          <w:sz w:val="24"/>
          <w:szCs w:val="24"/>
        </w:rPr>
      </w:pPr>
      <w:r>
        <w:rPr>
          <w:rFonts w:ascii="Times New Roman" w:hAnsi="Times New Roman" w:cs="Times New Roman"/>
          <w:sz w:val="24"/>
          <w:szCs w:val="24"/>
        </w:rPr>
        <w:t xml:space="preserve">Respectfully submitted, </w:t>
      </w:r>
    </w:p>
    <w:p w:rsidR="00145E59" w14:paraId="56FE436E" w14:textId="77777777">
      <w:pPr>
        <w:tabs>
          <w:tab w:val="left" w:pos="4320"/>
        </w:tabs>
        <w:spacing w:after="0" w:line="240" w:lineRule="auto"/>
        <w:ind w:left="4320"/>
        <w:rPr>
          <w:rFonts w:ascii="Times New Roman" w:hAnsi="Times New Roman" w:cs="Times New Roman"/>
          <w:sz w:val="24"/>
          <w:szCs w:val="24"/>
        </w:rPr>
      </w:pPr>
      <w:r>
        <w:rPr>
          <w:rFonts w:ascii="Times New Roman" w:hAnsi="Times New Roman" w:cs="Times New Roman"/>
          <w:sz w:val="24"/>
          <w:szCs w:val="24"/>
        </w:rPr>
        <w:t>Bruce Weston (0016973)</w:t>
      </w:r>
    </w:p>
    <w:p w:rsidR="00145E59" w14:paraId="736DAAC6" w14:textId="77777777">
      <w:pPr>
        <w:tabs>
          <w:tab w:val="left" w:pos="4320"/>
        </w:tabs>
        <w:spacing w:after="0" w:line="240" w:lineRule="auto"/>
        <w:ind w:left="4320"/>
        <w:rPr>
          <w:rFonts w:ascii="Times New Roman" w:hAnsi="Times New Roman" w:cs="Times New Roman"/>
          <w:sz w:val="24"/>
          <w:szCs w:val="24"/>
        </w:rPr>
      </w:pPr>
      <w:r>
        <w:rPr>
          <w:rFonts w:ascii="Times New Roman" w:hAnsi="Times New Roman" w:cs="Times New Roman"/>
          <w:sz w:val="24"/>
          <w:szCs w:val="24"/>
        </w:rPr>
        <w:t>Ohio Consumers’ Counsel</w:t>
      </w:r>
    </w:p>
    <w:p w:rsidR="00145E59" w14:paraId="513D69A3" w14:textId="77777777">
      <w:pPr>
        <w:tabs>
          <w:tab w:val="left" w:pos="4320"/>
        </w:tabs>
        <w:spacing w:after="0" w:line="240" w:lineRule="auto"/>
        <w:ind w:left="4320"/>
        <w:rPr>
          <w:rFonts w:ascii="Times New Roman" w:hAnsi="Times New Roman" w:cs="Times New Roman"/>
          <w:sz w:val="24"/>
          <w:szCs w:val="24"/>
        </w:rPr>
      </w:pPr>
    </w:p>
    <w:p w:rsidR="00145E59" w14:paraId="3C0A67DC" w14:textId="77777777">
      <w:pPr>
        <w:tabs>
          <w:tab w:val="left" w:pos="4320"/>
        </w:tabs>
        <w:spacing w:after="0" w:line="240" w:lineRule="auto"/>
        <w:ind w:left="4320" w:right="-180"/>
        <w:rPr>
          <w:rFonts w:ascii="Times New Roman" w:hAnsi="Times New Roman" w:cs="Times New Roman"/>
          <w:i/>
          <w:iCs/>
          <w:sz w:val="24"/>
          <w:szCs w:val="24"/>
          <w:u w:val="single"/>
        </w:rPr>
      </w:pPr>
      <w:r>
        <w:rPr>
          <w:rFonts w:ascii="Times New Roman" w:hAnsi="Times New Roman" w:cs="Times New Roman"/>
          <w:i/>
          <w:iCs/>
          <w:sz w:val="24"/>
          <w:szCs w:val="24"/>
          <w:u w:val="single"/>
        </w:rPr>
        <w:t>/s/ Maureen R. Willis</w:t>
      </w:r>
    </w:p>
    <w:p w:rsidR="00145E59" w14:paraId="763F2DFF" w14:textId="77777777">
      <w:pPr>
        <w:tabs>
          <w:tab w:val="left" w:pos="4320"/>
        </w:tabs>
        <w:spacing w:after="0" w:line="240" w:lineRule="auto"/>
        <w:ind w:left="4320" w:right="-180"/>
        <w:rPr>
          <w:rFonts w:ascii="Times New Roman" w:hAnsi="Times New Roman" w:cs="Times New Roman"/>
          <w:sz w:val="24"/>
          <w:szCs w:val="24"/>
        </w:rPr>
      </w:pPr>
      <w:r>
        <w:rPr>
          <w:rFonts w:ascii="Times New Roman" w:hAnsi="Times New Roman" w:cs="Times New Roman"/>
          <w:sz w:val="24"/>
          <w:szCs w:val="24"/>
        </w:rPr>
        <w:t>Maureen R. Willis (0020847)</w:t>
      </w:r>
    </w:p>
    <w:p w:rsidR="00145E59" w14:paraId="70D48FFC" w14:textId="77777777">
      <w:pPr>
        <w:tabs>
          <w:tab w:val="left" w:pos="4320"/>
        </w:tabs>
        <w:spacing w:after="0" w:line="240" w:lineRule="auto"/>
        <w:ind w:left="4320" w:right="-180"/>
        <w:rPr>
          <w:rFonts w:ascii="Times New Roman" w:hAnsi="Times New Roman" w:cs="Times New Roman"/>
          <w:sz w:val="24"/>
          <w:szCs w:val="24"/>
        </w:rPr>
      </w:pPr>
      <w:r>
        <w:rPr>
          <w:rFonts w:ascii="Times New Roman" w:hAnsi="Times New Roman" w:cs="Times New Roman"/>
          <w:sz w:val="24"/>
          <w:szCs w:val="24"/>
        </w:rPr>
        <w:t>Counsel of Record</w:t>
      </w:r>
    </w:p>
    <w:p w:rsidR="00145E59" w14:paraId="25A4BC98" w14:textId="77777777">
      <w:pPr>
        <w:tabs>
          <w:tab w:val="left" w:pos="4320"/>
        </w:tabs>
        <w:spacing w:after="0" w:line="240" w:lineRule="auto"/>
        <w:ind w:left="4320" w:right="-180"/>
        <w:rPr>
          <w:rFonts w:ascii="Times New Roman" w:hAnsi="Times New Roman" w:cs="Times New Roman"/>
          <w:sz w:val="24"/>
          <w:szCs w:val="24"/>
        </w:rPr>
      </w:pPr>
      <w:r>
        <w:rPr>
          <w:rFonts w:ascii="Times New Roman" w:hAnsi="Times New Roman" w:cs="Times New Roman"/>
          <w:sz w:val="24"/>
          <w:szCs w:val="24"/>
        </w:rPr>
        <w:t>Christopher Healey (0086027)</w:t>
      </w:r>
    </w:p>
    <w:p w:rsidR="00145E59" w14:paraId="3BE3EB69" w14:textId="77777777">
      <w:pPr>
        <w:tabs>
          <w:tab w:val="left" w:pos="4320"/>
        </w:tabs>
        <w:spacing w:after="0" w:line="240" w:lineRule="auto"/>
        <w:ind w:left="4320" w:right="-180"/>
        <w:rPr>
          <w:rFonts w:ascii="Times New Roman" w:hAnsi="Times New Roman" w:cs="Times New Roman"/>
          <w:sz w:val="24"/>
          <w:szCs w:val="24"/>
        </w:rPr>
      </w:pPr>
      <w:r>
        <w:rPr>
          <w:rFonts w:ascii="Times New Roman" w:hAnsi="Times New Roman" w:cs="Times New Roman"/>
          <w:sz w:val="24"/>
          <w:szCs w:val="24"/>
        </w:rPr>
        <w:t>William J. Michael (0070921)</w:t>
      </w:r>
    </w:p>
    <w:p w:rsidR="00145E59" w14:paraId="31CAECF8" w14:textId="77777777">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 xml:space="preserve">Assistant Consumers’ Counsel </w:t>
      </w:r>
    </w:p>
    <w:p w:rsidR="00145E59" w14:paraId="50F1A70E" w14:textId="77777777">
      <w:pPr>
        <w:spacing w:after="0" w:line="240" w:lineRule="auto"/>
        <w:ind w:left="4320"/>
        <w:rPr>
          <w:rFonts w:ascii="Times New Roman" w:hAnsi="Times New Roman" w:cs="Times New Roman"/>
          <w:b/>
          <w:bCs/>
          <w:sz w:val="24"/>
          <w:szCs w:val="24"/>
        </w:rPr>
      </w:pPr>
    </w:p>
    <w:p w:rsidR="00145E59" w14:paraId="61A2B06E" w14:textId="77777777">
      <w:pPr>
        <w:spacing w:after="0" w:line="240" w:lineRule="auto"/>
        <w:ind w:left="4320"/>
        <w:rPr>
          <w:rFonts w:ascii="Times New Roman" w:hAnsi="Times New Roman" w:cs="Times New Roman"/>
          <w:b/>
          <w:bCs/>
          <w:sz w:val="24"/>
          <w:szCs w:val="24"/>
        </w:rPr>
      </w:pPr>
      <w:r>
        <w:rPr>
          <w:rFonts w:ascii="Times New Roman" w:hAnsi="Times New Roman" w:cs="Times New Roman"/>
          <w:b/>
          <w:bCs/>
          <w:sz w:val="24"/>
          <w:szCs w:val="24"/>
        </w:rPr>
        <w:t>Office of the Ohio Consumers’ Counsel</w:t>
      </w:r>
    </w:p>
    <w:p w:rsidR="00145E59" w14:paraId="39575ED4" w14:textId="77777777">
      <w:pPr>
        <w:pStyle w:val="PlainText"/>
        <w:ind w:left="3600" w:firstLine="720"/>
        <w:rPr>
          <w:rFonts w:ascii="Times New Roman" w:hAnsi="Times New Roman" w:cs="Times New Roman"/>
          <w:sz w:val="24"/>
          <w:szCs w:val="24"/>
        </w:rPr>
      </w:pPr>
      <w:r>
        <w:rPr>
          <w:rFonts w:ascii="Times New Roman" w:hAnsi="Times New Roman" w:cs="Times New Roman"/>
          <w:sz w:val="24"/>
          <w:szCs w:val="24"/>
        </w:rPr>
        <w:t>65 East State Street, 7th Floor</w:t>
      </w:r>
    </w:p>
    <w:p w:rsidR="00145E59" w14:paraId="67DDAFF3" w14:textId="77777777">
      <w:pPr>
        <w:pStyle w:val="PlainText"/>
        <w:ind w:left="3600" w:firstLine="720"/>
        <w:rPr>
          <w:rFonts w:ascii="Times New Roman" w:hAnsi="Times New Roman" w:cs="Times New Roman"/>
          <w:sz w:val="24"/>
          <w:szCs w:val="24"/>
        </w:rPr>
      </w:pPr>
      <w:r>
        <w:rPr>
          <w:rFonts w:ascii="Times New Roman" w:hAnsi="Times New Roman" w:cs="Times New Roman"/>
          <w:sz w:val="24"/>
          <w:szCs w:val="24"/>
        </w:rPr>
        <w:t>Columbus, Ohio 43215-4213</w:t>
      </w:r>
    </w:p>
    <w:p w:rsidR="00145E59" w14:paraId="3EB3DB50" w14:textId="77777777">
      <w:pPr>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sz w:val="24"/>
          <w:szCs w:val="24"/>
        </w:rPr>
        <w:t>Telephone: Willis (614) 466-9567</w:t>
      </w:r>
    </w:p>
    <w:p w:rsidR="00145E59" w14:paraId="14F16455" w14:textId="77777777">
      <w:pPr>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sz w:val="24"/>
          <w:szCs w:val="24"/>
        </w:rPr>
        <w:t>Telephone: Healey (614) 466-9571</w:t>
      </w:r>
    </w:p>
    <w:p w:rsidR="00145E59" w14:paraId="0BA2C34F" w14:textId="77777777">
      <w:pPr>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sz w:val="24"/>
          <w:szCs w:val="24"/>
        </w:rPr>
        <w:t>Telephone: Michael (614) 466-1291</w:t>
      </w:r>
    </w:p>
    <w:p w:rsidR="00145E59" w14:paraId="7E2B6A8A" w14:textId="77777777">
      <w:pPr>
        <w:spacing w:after="0" w:line="240" w:lineRule="auto"/>
        <w:ind w:left="4320"/>
        <w:rPr>
          <w:rFonts w:ascii="Times New Roman" w:hAnsi="Times New Roman" w:cs="Times New Roman"/>
          <w:sz w:val="24"/>
          <w:szCs w:val="24"/>
        </w:rPr>
      </w:pPr>
      <w:hyperlink r:id="rId7" w:history="1">
        <w:r w:rsidR="003B2772">
          <w:rPr>
            <w:rStyle w:val="Hyperlink"/>
            <w:rFonts w:ascii="Times New Roman" w:hAnsi="Times New Roman" w:eastAsiaTheme="majorEastAsia" w:cs="Times New Roman"/>
            <w:sz w:val="24"/>
            <w:szCs w:val="24"/>
          </w:rPr>
          <w:t>maureen.willis@occ.ohio.gov</w:t>
        </w:r>
      </w:hyperlink>
      <w:r w:rsidR="003B2772">
        <w:rPr>
          <w:rFonts w:ascii="Times New Roman" w:hAnsi="Times New Roman" w:cs="Times New Roman"/>
          <w:sz w:val="24"/>
          <w:szCs w:val="24"/>
        </w:rPr>
        <w:t xml:space="preserve"> </w:t>
      </w:r>
    </w:p>
    <w:p w:rsidR="00145E59" w14:paraId="62A31CDA" w14:textId="77777777">
      <w:pPr>
        <w:spacing w:after="0" w:line="240" w:lineRule="auto"/>
        <w:ind w:left="4320"/>
        <w:rPr>
          <w:rFonts w:ascii="Times New Roman" w:hAnsi="Times New Roman" w:cs="Times New Roman"/>
          <w:sz w:val="24"/>
          <w:szCs w:val="24"/>
        </w:rPr>
      </w:pPr>
      <w:hyperlink r:id="rId8" w:history="1">
        <w:r w:rsidR="003B2772">
          <w:rPr>
            <w:rStyle w:val="Hyperlink"/>
            <w:rFonts w:ascii="Times New Roman" w:hAnsi="Times New Roman" w:cs="Times New Roman"/>
            <w:sz w:val="24"/>
            <w:szCs w:val="24"/>
          </w:rPr>
          <w:t>christopher.healey@occ.ohio.gov</w:t>
        </w:r>
      </w:hyperlink>
    </w:p>
    <w:p w:rsidR="00145E59" w14:paraId="2696C69E" w14:textId="77777777">
      <w:pPr>
        <w:spacing w:after="0" w:line="240" w:lineRule="auto"/>
        <w:ind w:left="4320"/>
        <w:rPr>
          <w:rFonts w:ascii="Times New Roman" w:hAnsi="Times New Roman" w:cs="Times New Roman"/>
          <w:sz w:val="24"/>
          <w:szCs w:val="24"/>
        </w:rPr>
      </w:pPr>
      <w:hyperlink r:id="rId9" w:history="1">
        <w:r w:rsidR="003B2772">
          <w:rPr>
            <w:rStyle w:val="Hyperlink"/>
            <w:rFonts w:ascii="Times New Roman" w:hAnsi="Times New Roman" w:cs="Times New Roman"/>
            <w:sz w:val="24"/>
            <w:szCs w:val="24"/>
          </w:rPr>
          <w:t>william.michael@occ.ohio.gov</w:t>
        </w:r>
      </w:hyperlink>
    </w:p>
    <w:p w:rsidR="00145E59" w14:paraId="014E52B3"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(willing to accept service by e-mail)</w:t>
      </w:r>
    </w:p>
    <w:p w:rsidR="00145E59" w14:paraId="34C75274" w14:textId="77777777">
      <w:pPr>
        <w:rPr>
          <w:rFonts w:ascii="Times New Roman" w:hAnsi="Times New Roman" w:cs="Times New Roman"/>
          <w:sz w:val="24"/>
          <w:szCs w:val="24"/>
        </w:rPr>
      </w:pPr>
      <w:r>
        <w:rPr>
          <w:rFonts w:ascii="Times New Roman" w:hAnsi="Times New Roman" w:cs="Times New Roman"/>
          <w:sz w:val="24"/>
          <w:szCs w:val="24"/>
        </w:rPr>
        <w:br w:type="page"/>
      </w:r>
    </w:p>
    <w:p w:rsidR="00145E59" w14:paraId="5DB2F32C" w14:textId="77777777">
      <w:pPr>
        <w:spacing w:after="0" w:line="240" w:lineRule="auto"/>
        <w:rPr>
          <w:rFonts w:ascii="Times New Roman" w:hAnsi="Times New Roman" w:cs="Times New Roman"/>
          <w:sz w:val="24"/>
          <w:szCs w:val="24"/>
        </w:rPr>
        <w:sectPr w:rsidSect="00BF7C37">
          <w:footerReference w:type="default" r:id="rId10"/>
          <w:pgSz w:w="12240" w:h="15840"/>
          <w:pgMar w:top="1440" w:right="1800" w:bottom="1440" w:left="1800" w:header="720" w:footer="720" w:gutter="0"/>
          <w:pgNumType w:start="2"/>
          <w:cols w:space="720"/>
          <w:docGrid w:linePitch="360"/>
        </w:sectPr>
      </w:pPr>
    </w:p>
    <w:p w:rsidR="00145E59" w14:paraId="3527CBD2" w14:textId="7777777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CERTIFICATE OF SERVICE</w:t>
      </w:r>
    </w:p>
    <w:p w:rsidR="00145E59" w14:paraId="52C2F794" w14:textId="75DC0B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hereby certify that a copy of the foregoing Memorandum Contra was electronically served via electric transmission on the persons stated below this </w:t>
      </w:r>
      <w:r w:rsidR="0066677E">
        <w:rPr>
          <w:rFonts w:ascii="Times New Roman" w:hAnsi="Times New Roman" w:cs="Times New Roman"/>
          <w:sz w:val="24"/>
          <w:szCs w:val="24"/>
        </w:rPr>
        <w:t>30</w:t>
      </w:r>
      <w:r w:rsidR="003273DD">
        <w:rPr>
          <w:rFonts w:ascii="Times New Roman" w:hAnsi="Times New Roman" w:cs="Times New Roman"/>
          <w:sz w:val="24"/>
          <w:szCs w:val="24"/>
        </w:rPr>
        <w:t>th</w:t>
      </w:r>
      <w:r w:rsidR="003B498D">
        <w:rPr>
          <w:rFonts w:ascii="Times New Roman" w:hAnsi="Times New Roman" w:cs="Times New Roman"/>
          <w:sz w:val="24"/>
          <w:szCs w:val="24"/>
        </w:rPr>
        <w:t xml:space="preserve"> </w:t>
      </w:r>
      <w:r>
        <w:rPr>
          <w:rFonts w:ascii="Times New Roman" w:hAnsi="Times New Roman" w:cs="Times New Roman"/>
          <w:sz w:val="24"/>
          <w:szCs w:val="24"/>
        </w:rPr>
        <w:t>day of July 2021.</w:t>
      </w:r>
    </w:p>
    <w:p w:rsidR="00145E59" w14:paraId="1CA0BCC3" w14:textId="77777777">
      <w:pPr>
        <w:tabs>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u w:val="single"/>
        </w:rPr>
        <w:t>/s/ Maureen R. Willis</w:t>
      </w:r>
      <w:r>
        <w:rPr>
          <w:rFonts w:ascii="Times New Roman" w:hAnsi="Times New Roman" w:cs="Times New Roman"/>
          <w:i/>
          <w:sz w:val="24"/>
          <w:szCs w:val="24"/>
          <w:u w:val="single"/>
        </w:rPr>
        <w:tab/>
      </w:r>
      <w:r>
        <w:rPr>
          <w:rFonts w:ascii="Times New Roman" w:hAnsi="Times New Roman" w:cs="Times New Roman"/>
          <w:i/>
          <w:sz w:val="24"/>
          <w:szCs w:val="24"/>
          <w:u w:val="single"/>
        </w:rPr>
        <w:tab/>
      </w:r>
    </w:p>
    <w:p w:rsidR="00145E59" w14:paraId="5D76501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Maureen R. Willis</w:t>
      </w:r>
    </w:p>
    <w:p w:rsidR="00145E59" w14:paraId="1EEA841B"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Counsel of Record</w:t>
      </w:r>
    </w:p>
    <w:p w:rsidR="00145E59" w14:paraId="25DAB0D0" w14:textId="77777777">
      <w:pPr>
        <w:pStyle w:val="CommentText"/>
        <w:jc w:val="center"/>
        <w:rPr>
          <w:b/>
          <w:sz w:val="24"/>
          <w:szCs w:val="24"/>
          <w:u w:val="single"/>
        </w:rPr>
      </w:pPr>
    </w:p>
    <w:p w:rsidR="00145E59" w14:paraId="51BDED75"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The PUCO’s e-filing system will electronically serve notice of the filing of this document on the following parties:</w:t>
      </w:r>
    </w:p>
    <w:p w:rsidR="00145E59" w14:paraId="7E4B8FCB" w14:textId="77777777">
      <w:pPr>
        <w:pStyle w:val="CommentText"/>
        <w:jc w:val="center"/>
        <w:rPr>
          <w:b/>
          <w:sz w:val="24"/>
          <w:szCs w:val="24"/>
          <w:u w:val="single"/>
        </w:rPr>
      </w:pPr>
    </w:p>
    <w:p w:rsidR="00145E59" w14:paraId="33D86D56" w14:textId="7777777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SERVICE LIST</w:t>
      </w:r>
    </w:p>
    <w:p w:rsidR="00145E59" w14:paraId="10E74932" w14:textId="77777777">
      <w:pPr>
        <w:spacing w:after="0" w:line="240" w:lineRule="auto"/>
        <w:rPr>
          <w:rFonts w:ascii="Times New Roman" w:eastAsia="Times New Roman" w:hAnsi="Times New Roman" w:cs="Times New Roman"/>
          <w:b/>
          <w:bCs/>
          <w:sz w:val="24"/>
          <w:szCs w:val="24"/>
        </w:rPr>
      </w:pPr>
    </w:p>
    <w:tbl>
      <w:tblPr>
        <w:tblW w:w="0" w:type="auto"/>
        <w:tblLook w:val="04A0"/>
      </w:tblPr>
      <w:tblGrid>
        <w:gridCol w:w="9092"/>
      </w:tblGrid>
      <w:tr w14:paraId="5E1954A1" w14:textId="77777777">
        <w:tblPrEx>
          <w:tblW w:w="0" w:type="auto"/>
          <w:tblLook w:val="04A0"/>
        </w:tblPrEx>
        <w:tc>
          <w:tcPr>
            <w:tcW w:w="8856" w:type="dxa"/>
            <w:shd w:val="clear" w:color="auto" w:fill="auto"/>
          </w:tcPr>
          <w:tbl>
            <w:tblPr>
              <w:tblW w:w="8876" w:type="dxa"/>
              <w:tblLook w:val="04A0"/>
            </w:tblPr>
            <w:tblGrid>
              <w:gridCol w:w="4449"/>
              <w:gridCol w:w="4427"/>
            </w:tblGrid>
            <w:tr w14:paraId="415E2B5E" w14:textId="77777777">
              <w:tblPrEx>
                <w:tblW w:w="8876" w:type="dxa"/>
                <w:tblLook w:val="04A0"/>
              </w:tblPrEx>
              <w:tc>
                <w:tcPr>
                  <w:tcW w:w="4449" w:type="dxa"/>
                  <w:shd w:val="clear" w:color="auto" w:fill="auto"/>
                </w:tcPr>
                <w:p w:rsidR="00145E59" w14:paraId="13EFCB8C" w14:textId="77777777">
                  <w:pPr>
                    <w:autoSpaceDE w:val="0"/>
                    <w:autoSpaceDN w:val="0"/>
                    <w:adjustRightInd w:val="0"/>
                    <w:spacing w:after="0" w:line="240" w:lineRule="auto"/>
                    <w:rPr>
                      <w:rFonts w:ascii="Times New Roman" w:eastAsia="Times New Roman" w:hAnsi="Times New Roman" w:cs="Times New Roman"/>
                      <w:sz w:val="24"/>
                      <w:szCs w:val="24"/>
                    </w:rPr>
                  </w:pPr>
                  <w:hyperlink r:id="rId11" w:history="1">
                    <w:r w:rsidR="003B2772">
                      <w:rPr>
                        <w:rFonts w:ascii="Times New Roman" w:eastAsia="Times New Roman" w:hAnsi="Times New Roman" w:cs="Times New Roman"/>
                        <w:color w:val="0000FF"/>
                        <w:sz w:val="24"/>
                        <w:szCs w:val="24"/>
                        <w:u w:val="single"/>
                      </w:rPr>
                      <w:t>Thomas.Lindgren@ohioAGO.gov</w:t>
                    </w:r>
                  </w:hyperlink>
                  <w:r w:rsidR="003B2772">
                    <w:rPr>
                      <w:rFonts w:ascii="Times New Roman" w:eastAsia="Times New Roman" w:hAnsi="Times New Roman" w:cs="Times New Roman"/>
                      <w:sz w:val="24"/>
                      <w:szCs w:val="24"/>
                    </w:rPr>
                    <w:t xml:space="preserve"> </w:t>
                  </w:r>
                </w:p>
                <w:p w:rsidR="00145E59" w14:paraId="71607F2A" w14:textId="77777777">
                  <w:pPr>
                    <w:autoSpaceDE w:val="0"/>
                    <w:autoSpaceDN w:val="0"/>
                    <w:adjustRightInd w:val="0"/>
                    <w:spacing w:after="0" w:line="240" w:lineRule="auto"/>
                    <w:rPr>
                      <w:rFonts w:ascii="Times New Roman" w:eastAsia="Times New Roman" w:hAnsi="Times New Roman" w:cs="Times New Roman"/>
                      <w:sz w:val="24"/>
                      <w:szCs w:val="24"/>
                    </w:rPr>
                  </w:pPr>
                  <w:hyperlink r:id="rId12" w:history="1">
                    <w:r w:rsidR="003B2772">
                      <w:rPr>
                        <w:rFonts w:ascii="Times New Roman" w:eastAsia="Times New Roman" w:hAnsi="Times New Roman" w:cs="Times New Roman"/>
                        <w:color w:val="0000FF"/>
                        <w:sz w:val="24"/>
                        <w:szCs w:val="24"/>
                        <w:u w:val="single"/>
                      </w:rPr>
                      <w:t>djireland@ficlaw.com</w:t>
                    </w:r>
                  </w:hyperlink>
                </w:p>
                <w:p w:rsidR="00145E59" w14:paraId="1DFB6F23" w14:textId="77777777">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13" w:history="1">
                    <w:r w:rsidR="003B2772">
                      <w:rPr>
                        <w:rFonts w:ascii="Times New Roman" w:eastAsia="Times New Roman" w:hAnsi="Times New Roman" w:cs="Times New Roman"/>
                        <w:color w:val="0000FF"/>
                        <w:sz w:val="24"/>
                        <w:szCs w:val="24"/>
                        <w:u w:val="single"/>
                      </w:rPr>
                      <w:t>jsharkey@ficlaw.com</w:t>
                    </w:r>
                  </w:hyperlink>
                </w:p>
                <w:p w:rsidR="00145E59" w14:paraId="51E35560" w14:textId="77777777">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u w:val="single"/>
                    </w:rPr>
                    <w:t>chollon@ficlaw.com</w:t>
                  </w:r>
                </w:p>
                <w:p w:rsidR="00145E59" w14:paraId="194F1E8A" w14:textId="77777777">
                  <w:pPr>
                    <w:tabs>
                      <w:tab w:val="left" w:pos="4320"/>
                    </w:tabs>
                    <w:spacing w:after="0" w:line="240" w:lineRule="auto"/>
                    <w:rPr>
                      <w:rFonts w:ascii="Times New Roman" w:eastAsia="Times New Roman" w:hAnsi="Times New Roman" w:cs="Times New Roman"/>
                      <w:color w:val="0000FF"/>
                      <w:sz w:val="24"/>
                      <w:szCs w:val="24"/>
                    </w:rPr>
                  </w:pPr>
                  <w:hyperlink r:id="rId14" w:history="1">
                    <w:r w:rsidR="003B2772">
                      <w:rPr>
                        <w:rStyle w:val="Hyperlink"/>
                        <w:rFonts w:ascii="Times New Roman" w:eastAsia="Times New Roman" w:hAnsi="Times New Roman" w:cs="Times New Roman"/>
                        <w:sz w:val="24"/>
                        <w:szCs w:val="24"/>
                      </w:rPr>
                      <w:t>joliker@igsenergy.com</w:t>
                    </w:r>
                  </w:hyperlink>
                  <w:r w:rsidR="003B2772">
                    <w:rPr>
                      <w:rFonts w:ascii="Times New Roman" w:eastAsia="Times New Roman" w:hAnsi="Times New Roman" w:cs="Times New Roman"/>
                      <w:color w:val="0000FF"/>
                      <w:sz w:val="24"/>
                      <w:szCs w:val="24"/>
                    </w:rPr>
                    <w:t xml:space="preserve"> </w:t>
                  </w:r>
                </w:p>
                <w:p w:rsidR="00145E59" w14:paraId="0B5365BC" w14:textId="77777777">
                  <w:pPr>
                    <w:autoSpaceDE w:val="0"/>
                    <w:autoSpaceDN w:val="0"/>
                    <w:adjustRightInd w:val="0"/>
                    <w:spacing w:after="0" w:line="240" w:lineRule="auto"/>
                    <w:rPr>
                      <w:rFonts w:ascii="Times New Roman" w:eastAsia="Times New Roman" w:hAnsi="Times New Roman" w:cs="Times New Roman"/>
                      <w:color w:val="0000FF"/>
                      <w:sz w:val="24"/>
                      <w:szCs w:val="24"/>
                    </w:rPr>
                  </w:pPr>
                  <w:hyperlink r:id="rId15" w:history="1">
                    <w:r w:rsidR="003B2772">
                      <w:rPr>
                        <w:rStyle w:val="Hyperlink"/>
                        <w:rFonts w:ascii="Times New Roman" w:eastAsia="Times New Roman" w:hAnsi="Times New Roman" w:cs="Times New Roman"/>
                        <w:sz w:val="24"/>
                        <w:szCs w:val="24"/>
                      </w:rPr>
                      <w:t>drinebolt@aol.com</w:t>
                    </w:r>
                  </w:hyperlink>
                </w:p>
                <w:p w:rsidR="00145E59" w14:paraId="1972895B" w14:textId="77777777">
                  <w:pPr>
                    <w:autoSpaceDE w:val="0"/>
                    <w:autoSpaceDN w:val="0"/>
                    <w:adjustRightInd w:val="0"/>
                    <w:spacing w:after="0" w:line="240" w:lineRule="auto"/>
                    <w:rPr>
                      <w:rFonts w:ascii="Times New Roman" w:eastAsia="Times New Roman" w:hAnsi="Times New Roman" w:cs="Times New Roman"/>
                      <w:sz w:val="24"/>
                      <w:szCs w:val="24"/>
                    </w:rPr>
                  </w:pPr>
                  <w:hyperlink r:id="rId16" w:history="1">
                    <w:r w:rsidR="003B2772">
                      <w:rPr>
                        <w:rFonts w:ascii="Times New Roman" w:eastAsia="Times New Roman" w:hAnsi="Times New Roman" w:cs="Times New Roman"/>
                        <w:color w:val="0000FF"/>
                        <w:sz w:val="24"/>
                        <w:szCs w:val="24"/>
                        <w:u w:val="single"/>
                      </w:rPr>
                      <w:t>Ned.Ford@fuse.net</w:t>
                    </w:r>
                  </w:hyperlink>
                </w:p>
                <w:p w:rsidR="00145E59" w14:paraId="5A0C3A67" w14:textId="77777777">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17" w:history="1">
                    <w:r w:rsidR="003B2772">
                      <w:rPr>
                        <w:rFonts w:ascii="Times New Roman" w:eastAsia="Times New Roman" w:hAnsi="Times New Roman" w:cs="Times New Roman"/>
                        <w:color w:val="0000FF"/>
                        <w:sz w:val="24"/>
                        <w:szCs w:val="24"/>
                        <w:u w:val="single"/>
                      </w:rPr>
                      <w:t>mjsettineri@vorys.com</w:t>
                    </w:r>
                  </w:hyperlink>
                </w:p>
                <w:p w:rsidR="00145E59" w14:paraId="22297329" w14:textId="77777777">
                  <w:pPr>
                    <w:autoSpaceDE w:val="0"/>
                    <w:autoSpaceDN w:val="0"/>
                    <w:adjustRightInd w:val="0"/>
                    <w:spacing w:after="0" w:line="240" w:lineRule="auto"/>
                    <w:rPr>
                      <w:rFonts w:ascii="Times New Roman" w:eastAsia="Times New Roman" w:hAnsi="Times New Roman" w:cs="Times New Roman"/>
                      <w:color w:val="0000FF"/>
                      <w:sz w:val="24"/>
                      <w:szCs w:val="24"/>
                    </w:rPr>
                  </w:pPr>
                  <w:hyperlink r:id="rId18" w:history="1">
                    <w:r w:rsidR="003B2772">
                      <w:rPr>
                        <w:rFonts w:ascii="Times New Roman" w:eastAsia="Times New Roman" w:hAnsi="Times New Roman" w:cs="Times New Roman"/>
                        <w:color w:val="0000FF"/>
                        <w:sz w:val="24"/>
                        <w:szCs w:val="24"/>
                        <w:u w:val="single"/>
                      </w:rPr>
                      <w:t>glpetrucci@vorys.com</w:t>
                    </w:r>
                  </w:hyperlink>
                </w:p>
                <w:p w:rsidR="00145E59" w14:paraId="2B33BB65" w14:textId="77777777">
                  <w:pPr>
                    <w:autoSpaceDE w:val="0"/>
                    <w:autoSpaceDN w:val="0"/>
                    <w:adjustRightInd w:val="0"/>
                    <w:spacing w:after="0" w:line="240" w:lineRule="auto"/>
                    <w:rPr>
                      <w:rFonts w:ascii="Times New Roman" w:eastAsia="Times New Roman" w:hAnsi="Times New Roman" w:cs="Times New Roman"/>
                      <w:sz w:val="24"/>
                      <w:szCs w:val="24"/>
                    </w:rPr>
                  </w:pPr>
                  <w:hyperlink r:id="rId19" w:history="1">
                    <w:r w:rsidR="003B2772">
                      <w:rPr>
                        <w:rFonts w:ascii="Times New Roman" w:eastAsia="Times New Roman" w:hAnsi="Times New Roman" w:cs="Times New Roman"/>
                        <w:color w:val="0000FF"/>
                        <w:sz w:val="24"/>
                        <w:szCs w:val="24"/>
                        <w:u w:val="single"/>
                      </w:rPr>
                      <w:t>BarthRoyer@aol.com</w:t>
                    </w:r>
                  </w:hyperlink>
                </w:p>
                <w:p w:rsidR="00145E59" w14:paraId="7AA8E0D0" w14:textId="77777777">
                  <w:pPr>
                    <w:autoSpaceDE w:val="0"/>
                    <w:autoSpaceDN w:val="0"/>
                    <w:adjustRightInd w:val="0"/>
                    <w:spacing w:after="0" w:line="240" w:lineRule="auto"/>
                    <w:rPr>
                      <w:rFonts w:ascii="Times New Roman" w:eastAsia="Times New Roman" w:hAnsi="Times New Roman" w:cs="Times New Roman"/>
                      <w:sz w:val="24"/>
                      <w:szCs w:val="24"/>
                    </w:rPr>
                  </w:pPr>
                  <w:hyperlink r:id="rId20" w:history="1">
                    <w:r w:rsidR="003B2772">
                      <w:rPr>
                        <w:rFonts w:ascii="Times New Roman" w:eastAsia="Times New Roman" w:hAnsi="Times New Roman" w:cs="Times New Roman"/>
                        <w:color w:val="0000FF"/>
                        <w:sz w:val="24"/>
                        <w:szCs w:val="24"/>
                        <w:u w:val="single"/>
                      </w:rPr>
                      <w:t>Bojko@carpenterlipps.com</w:t>
                    </w:r>
                  </w:hyperlink>
                  <w:r w:rsidR="003B2772">
                    <w:rPr>
                      <w:rFonts w:ascii="Times New Roman" w:eastAsia="Times New Roman" w:hAnsi="Times New Roman" w:cs="Times New Roman"/>
                      <w:sz w:val="24"/>
                      <w:szCs w:val="24"/>
                    </w:rPr>
                    <w:t xml:space="preserve"> </w:t>
                  </w:r>
                </w:p>
                <w:p w:rsidR="00145E59" w14:paraId="3BC58493" w14:textId="77777777">
                  <w:pPr>
                    <w:autoSpaceDE w:val="0"/>
                    <w:autoSpaceDN w:val="0"/>
                    <w:adjustRightInd w:val="0"/>
                    <w:spacing w:after="0" w:line="240" w:lineRule="auto"/>
                    <w:rPr>
                      <w:rFonts w:ascii="Times New Roman" w:eastAsia="Times New Roman" w:hAnsi="Times New Roman" w:cs="Times New Roman"/>
                      <w:sz w:val="24"/>
                      <w:szCs w:val="24"/>
                    </w:rPr>
                  </w:pPr>
                  <w:hyperlink r:id="rId21" w:history="1">
                    <w:r w:rsidR="003B2772">
                      <w:rPr>
                        <w:rFonts w:ascii="Times New Roman" w:eastAsia="Times New Roman" w:hAnsi="Times New Roman" w:cs="Times New Roman"/>
                        <w:color w:val="0000FF"/>
                        <w:sz w:val="24"/>
                        <w:szCs w:val="24"/>
                        <w:u w:val="single"/>
                      </w:rPr>
                      <w:t>paul@carpenterlipps.com</w:t>
                    </w:r>
                  </w:hyperlink>
                </w:p>
                <w:p w:rsidR="00145E59" w14:paraId="237BBC5E" w14:textId="77777777">
                  <w:pPr>
                    <w:autoSpaceDE w:val="0"/>
                    <w:autoSpaceDN w:val="0"/>
                    <w:adjustRightInd w:val="0"/>
                    <w:spacing w:after="0" w:line="240" w:lineRule="auto"/>
                    <w:rPr>
                      <w:rFonts w:ascii="Times New Roman" w:eastAsia="Times New Roman" w:hAnsi="Times New Roman" w:cs="Times New Roman"/>
                      <w:sz w:val="24"/>
                      <w:szCs w:val="24"/>
                    </w:rPr>
                  </w:pPr>
                  <w:hyperlink r:id="rId22" w:history="1">
                    <w:r w:rsidR="003B2772">
                      <w:rPr>
                        <w:rFonts w:ascii="Times New Roman" w:eastAsia="Times New Roman" w:hAnsi="Times New Roman" w:cs="Times New Roman"/>
                        <w:color w:val="0000FF"/>
                        <w:sz w:val="24"/>
                        <w:szCs w:val="24"/>
                        <w:u w:val="single"/>
                      </w:rPr>
                      <w:t>slesser@beneschlaw.com</w:t>
                    </w:r>
                  </w:hyperlink>
                </w:p>
                <w:p w:rsidR="00145E59" w14:paraId="5CF62821" w14:textId="77777777">
                  <w:pPr>
                    <w:autoSpaceDE w:val="0"/>
                    <w:autoSpaceDN w:val="0"/>
                    <w:adjustRightInd w:val="0"/>
                    <w:spacing w:after="0" w:line="240" w:lineRule="auto"/>
                    <w:rPr>
                      <w:rFonts w:ascii="Times New Roman" w:eastAsia="Times New Roman" w:hAnsi="Times New Roman" w:cs="Times New Roman"/>
                      <w:sz w:val="24"/>
                      <w:szCs w:val="24"/>
                    </w:rPr>
                  </w:pPr>
                  <w:hyperlink r:id="rId23" w:history="1">
                    <w:r w:rsidR="003B2772">
                      <w:rPr>
                        <w:rFonts w:ascii="Times New Roman" w:eastAsia="Times New Roman" w:hAnsi="Times New Roman" w:cs="Times New Roman"/>
                        <w:color w:val="0000FF"/>
                        <w:sz w:val="24"/>
                        <w:szCs w:val="24"/>
                        <w:u w:val="single"/>
                      </w:rPr>
                      <w:t>mkeaney@beneschlaw.com</w:t>
                    </w:r>
                  </w:hyperlink>
                </w:p>
                <w:p w:rsidR="00145E59" w14:paraId="6A6E6CDA" w14:textId="77777777">
                  <w:pPr>
                    <w:autoSpaceDE w:val="0"/>
                    <w:autoSpaceDN w:val="0"/>
                    <w:adjustRightInd w:val="0"/>
                    <w:spacing w:after="0" w:line="240" w:lineRule="auto"/>
                    <w:rPr>
                      <w:rFonts w:ascii="Times New Roman" w:eastAsia="Times New Roman" w:hAnsi="Times New Roman" w:cs="Times New Roman"/>
                      <w:sz w:val="24"/>
                      <w:szCs w:val="24"/>
                    </w:rPr>
                  </w:pPr>
                  <w:hyperlink r:id="rId24" w:history="1">
                    <w:r w:rsidR="003B2772">
                      <w:rPr>
                        <w:rFonts w:ascii="Times New Roman" w:eastAsia="Times New Roman" w:hAnsi="Times New Roman" w:cs="Times New Roman"/>
                        <w:color w:val="0000FF"/>
                        <w:sz w:val="24"/>
                        <w:szCs w:val="24"/>
                        <w:u w:val="single"/>
                      </w:rPr>
                      <w:t>talexander@beneschlaw.com</w:t>
                    </w:r>
                  </w:hyperlink>
                  <w:r w:rsidR="003B2772">
                    <w:rPr>
                      <w:rFonts w:ascii="Times New Roman" w:eastAsia="Times New Roman" w:hAnsi="Times New Roman" w:cs="Times New Roman"/>
                      <w:sz w:val="24"/>
                      <w:szCs w:val="24"/>
                    </w:rPr>
                    <w:t xml:space="preserve"> </w:t>
                  </w:r>
                </w:p>
                <w:p w:rsidR="00145E59" w14:paraId="2952D27F" w14:textId="77777777">
                  <w:pPr>
                    <w:autoSpaceDE w:val="0"/>
                    <w:autoSpaceDN w:val="0"/>
                    <w:adjustRightInd w:val="0"/>
                    <w:spacing w:after="0" w:line="240" w:lineRule="auto"/>
                    <w:rPr>
                      <w:rFonts w:ascii="Times New Roman" w:eastAsia="Times New Roman" w:hAnsi="Times New Roman" w:cs="Times New Roman"/>
                      <w:sz w:val="24"/>
                      <w:szCs w:val="24"/>
                    </w:rPr>
                  </w:pPr>
                  <w:hyperlink r:id="rId25" w:history="1">
                    <w:r w:rsidR="003B2772">
                      <w:rPr>
                        <w:rFonts w:ascii="Times New Roman" w:eastAsia="Times New Roman" w:hAnsi="Times New Roman" w:cs="Times New Roman"/>
                        <w:color w:val="0000FF"/>
                        <w:sz w:val="24"/>
                        <w:szCs w:val="24"/>
                        <w:u w:val="single"/>
                      </w:rPr>
                      <w:t>mswhite@igsenergy.com</w:t>
                    </w:r>
                  </w:hyperlink>
                  <w:r w:rsidR="003B2772">
                    <w:rPr>
                      <w:rFonts w:ascii="Times New Roman" w:eastAsia="Times New Roman" w:hAnsi="Times New Roman" w:cs="Times New Roman"/>
                      <w:sz w:val="24"/>
                      <w:szCs w:val="24"/>
                    </w:rPr>
                    <w:t xml:space="preserve"> </w:t>
                  </w:r>
                </w:p>
                <w:p w:rsidR="00145E59" w14:paraId="696209CE" w14:textId="77777777">
                  <w:pPr>
                    <w:autoSpaceDE w:val="0"/>
                    <w:autoSpaceDN w:val="0"/>
                    <w:adjustRightInd w:val="0"/>
                    <w:spacing w:after="0" w:line="240" w:lineRule="auto"/>
                    <w:rPr>
                      <w:rFonts w:ascii="Times New Roman" w:eastAsia="Times New Roman" w:hAnsi="Times New Roman" w:cs="Times New Roman"/>
                      <w:sz w:val="24"/>
                      <w:szCs w:val="24"/>
                    </w:rPr>
                  </w:pPr>
                  <w:hyperlink r:id="rId26" w:history="1">
                    <w:r w:rsidR="003B2772">
                      <w:rPr>
                        <w:rFonts w:ascii="Times New Roman" w:eastAsia="Times New Roman" w:hAnsi="Times New Roman" w:cs="Times New Roman"/>
                        <w:color w:val="0000FF"/>
                        <w:sz w:val="24"/>
                        <w:szCs w:val="24"/>
                        <w:u w:val="single"/>
                      </w:rPr>
                      <w:t>dborchers@bricker.com</w:t>
                    </w:r>
                  </w:hyperlink>
                </w:p>
                <w:p w:rsidR="00145E59" w14:paraId="711F2276" w14:textId="77777777">
                  <w:pPr>
                    <w:autoSpaceDE w:val="0"/>
                    <w:autoSpaceDN w:val="0"/>
                    <w:adjustRightInd w:val="0"/>
                    <w:spacing w:after="0" w:line="240" w:lineRule="auto"/>
                    <w:rPr>
                      <w:rFonts w:ascii="Times New Roman" w:eastAsia="Times New Roman" w:hAnsi="Times New Roman" w:cs="Times New Roman"/>
                      <w:sz w:val="24"/>
                      <w:szCs w:val="24"/>
                    </w:rPr>
                  </w:pPr>
                  <w:hyperlink r:id="rId27" w:history="1">
                    <w:r w:rsidR="003B2772">
                      <w:rPr>
                        <w:rFonts w:ascii="Times New Roman" w:eastAsia="Times New Roman" w:hAnsi="Times New Roman" w:cs="Times New Roman"/>
                        <w:color w:val="0000FF"/>
                        <w:sz w:val="24"/>
                        <w:szCs w:val="24"/>
                        <w:u w:val="single"/>
                      </w:rPr>
                      <w:t>dparram@bricker.com</w:t>
                    </w:r>
                  </w:hyperlink>
                </w:p>
                <w:p w:rsidR="00145E59" w14:paraId="527A0805" w14:textId="77777777">
                  <w:pPr>
                    <w:autoSpaceDE w:val="0"/>
                    <w:autoSpaceDN w:val="0"/>
                    <w:adjustRightInd w:val="0"/>
                    <w:spacing w:after="0" w:line="240" w:lineRule="auto"/>
                    <w:rPr>
                      <w:rFonts w:ascii="Times New Roman" w:eastAsia="Times New Roman" w:hAnsi="Times New Roman" w:cs="Times New Roman"/>
                      <w:sz w:val="24"/>
                      <w:szCs w:val="24"/>
                    </w:rPr>
                  </w:pPr>
                </w:p>
                <w:p w:rsidR="00145E59" w14:paraId="2E928B19" w14:textId="77777777">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General:</w:t>
                  </w:r>
                </w:p>
                <w:p w:rsidR="00145E59" w14:paraId="46EF0B68" w14:textId="77777777">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28" w:history="1">
                    <w:r w:rsidR="003B2772">
                      <w:rPr>
                        <w:rFonts w:ascii="Times New Roman" w:eastAsia="Times New Roman" w:hAnsi="Times New Roman" w:cs="Times New Roman"/>
                        <w:color w:val="0000FF"/>
                        <w:sz w:val="24"/>
                        <w:szCs w:val="24"/>
                        <w:u w:val="single"/>
                      </w:rPr>
                      <w:t>Gregory.Price@puco.ohio.gov</w:t>
                    </w:r>
                  </w:hyperlink>
                </w:p>
                <w:p w:rsidR="00145E59" w14:paraId="5B958001" w14:textId="77777777">
                  <w:pPr>
                    <w:autoSpaceDE w:val="0"/>
                    <w:autoSpaceDN w:val="0"/>
                    <w:adjustRightInd w:val="0"/>
                    <w:spacing w:after="0" w:line="240" w:lineRule="auto"/>
                    <w:rPr>
                      <w:rFonts w:ascii="Times New Roman" w:eastAsia="Times New Roman" w:hAnsi="Times New Roman" w:cs="Times New Roman"/>
                      <w:sz w:val="24"/>
                      <w:szCs w:val="24"/>
                    </w:rPr>
                  </w:pPr>
                </w:p>
              </w:tc>
              <w:tc>
                <w:tcPr>
                  <w:tcW w:w="4427" w:type="dxa"/>
                  <w:shd w:val="clear" w:color="auto" w:fill="auto"/>
                </w:tcPr>
                <w:p w:rsidR="00145E59" w14:paraId="115C7D6F" w14:textId="77777777">
                  <w:pPr>
                    <w:autoSpaceDE w:val="0"/>
                    <w:autoSpaceDN w:val="0"/>
                    <w:adjustRightInd w:val="0"/>
                    <w:spacing w:after="0" w:line="240" w:lineRule="auto"/>
                    <w:rPr>
                      <w:rFonts w:ascii="Times New Roman" w:eastAsia="Times New Roman" w:hAnsi="Times New Roman" w:cs="Times New Roman"/>
                      <w:sz w:val="24"/>
                      <w:szCs w:val="24"/>
                    </w:rPr>
                  </w:pPr>
                  <w:hyperlink r:id="rId29" w:history="1">
                    <w:r w:rsidR="003B2772">
                      <w:rPr>
                        <w:rFonts w:ascii="Times New Roman" w:eastAsia="Times New Roman" w:hAnsi="Times New Roman" w:cs="Times New Roman"/>
                        <w:color w:val="0000FF"/>
                        <w:sz w:val="24"/>
                        <w:szCs w:val="24"/>
                        <w:u w:val="single"/>
                      </w:rPr>
                      <w:t>Jeanne.kingery@duke-energy.com</w:t>
                    </w:r>
                  </w:hyperlink>
                  <w:r w:rsidR="003B2772">
                    <w:rPr>
                      <w:rFonts w:ascii="Times New Roman" w:eastAsia="Times New Roman" w:hAnsi="Times New Roman" w:cs="Times New Roman"/>
                      <w:sz w:val="24"/>
                      <w:szCs w:val="24"/>
                    </w:rPr>
                    <w:t xml:space="preserve"> </w:t>
                  </w:r>
                </w:p>
                <w:p w:rsidR="00145E59" w14:paraId="2444C159" w14:textId="77777777">
                  <w:pPr>
                    <w:autoSpaceDE w:val="0"/>
                    <w:autoSpaceDN w:val="0"/>
                    <w:adjustRightInd w:val="0"/>
                    <w:spacing w:after="0" w:line="240" w:lineRule="auto"/>
                    <w:rPr>
                      <w:rFonts w:ascii="Times New Roman" w:eastAsia="Times New Roman" w:hAnsi="Times New Roman" w:cs="Times New Roman"/>
                      <w:sz w:val="24"/>
                      <w:szCs w:val="24"/>
                    </w:rPr>
                  </w:pPr>
                  <w:hyperlink r:id="rId30" w:history="1">
                    <w:r w:rsidR="003B2772">
                      <w:rPr>
                        <w:rFonts w:ascii="Times New Roman" w:eastAsia="Times New Roman" w:hAnsi="Times New Roman" w:cs="Times New Roman"/>
                        <w:color w:val="0000FF"/>
                        <w:sz w:val="24"/>
                        <w:szCs w:val="24"/>
                        <w:u w:val="single"/>
                      </w:rPr>
                      <w:t>haydenm@firstenergycorp.com</w:t>
                    </w:r>
                  </w:hyperlink>
                  <w:r w:rsidR="003B2772">
                    <w:rPr>
                      <w:rFonts w:ascii="Times New Roman" w:eastAsia="Times New Roman" w:hAnsi="Times New Roman" w:cs="Times New Roman"/>
                      <w:sz w:val="24"/>
                      <w:szCs w:val="24"/>
                    </w:rPr>
                    <w:t xml:space="preserve"> </w:t>
                  </w:r>
                </w:p>
                <w:p w:rsidR="00145E59" w14:paraId="7CBA4BBE" w14:textId="77777777">
                  <w:pPr>
                    <w:autoSpaceDE w:val="0"/>
                    <w:autoSpaceDN w:val="0"/>
                    <w:adjustRightInd w:val="0"/>
                    <w:spacing w:after="0" w:line="240" w:lineRule="auto"/>
                    <w:rPr>
                      <w:rFonts w:ascii="Times New Roman" w:eastAsia="Times New Roman" w:hAnsi="Times New Roman" w:cs="Times New Roman"/>
                      <w:sz w:val="24"/>
                      <w:szCs w:val="24"/>
                    </w:rPr>
                  </w:pPr>
                  <w:hyperlink r:id="rId31" w:history="1">
                    <w:r w:rsidR="003B2772">
                      <w:rPr>
                        <w:rFonts w:ascii="Times New Roman" w:eastAsia="Times New Roman" w:hAnsi="Times New Roman" w:cs="Times New Roman"/>
                        <w:color w:val="0000FF"/>
                        <w:sz w:val="24"/>
                        <w:szCs w:val="24"/>
                        <w:u w:val="single"/>
                      </w:rPr>
                      <w:t>mjsatterwhite@aep.com</w:t>
                    </w:r>
                  </w:hyperlink>
                </w:p>
                <w:p w:rsidR="00145E59" w14:paraId="11F8C51E" w14:textId="77777777">
                  <w:pPr>
                    <w:autoSpaceDE w:val="0"/>
                    <w:autoSpaceDN w:val="0"/>
                    <w:adjustRightInd w:val="0"/>
                    <w:spacing w:after="0" w:line="240" w:lineRule="auto"/>
                    <w:rPr>
                      <w:rFonts w:ascii="Times New Roman" w:eastAsia="Times New Roman" w:hAnsi="Times New Roman" w:cs="Times New Roman"/>
                      <w:sz w:val="24"/>
                      <w:szCs w:val="24"/>
                    </w:rPr>
                  </w:pPr>
                  <w:hyperlink r:id="rId32" w:history="1">
                    <w:r w:rsidR="003B2772">
                      <w:rPr>
                        <w:rFonts w:ascii="Times New Roman" w:eastAsia="Times New Roman" w:hAnsi="Times New Roman" w:cs="Times New Roman"/>
                        <w:color w:val="0000FF"/>
                        <w:sz w:val="24"/>
                        <w:szCs w:val="24"/>
                        <w:u w:val="single"/>
                      </w:rPr>
                      <w:t>stnourse@aep.com</w:t>
                    </w:r>
                  </w:hyperlink>
                  <w:r w:rsidR="003B2772">
                    <w:rPr>
                      <w:rFonts w:ascii="Times New Roman" w:eastAsia="Times New Roman" w:hAnsi="Times New Roman" w:cs="Times New Roman"/>
                      <w:sz w:val="24"/>
                      <w:szCs w:val="24"/>
                    </w:rPr>
                    <w:t xml:space="preserve"> </w:t>
                  </w:r>
                </w:p>
                <w:p w:rsidR="00145E59" w14:paraId="0FAEC494" w14:textId="77777777">
                  <w:pPr>
                    <w:autoSpaceDE w:val="0"/>
                    <w:autoSpaceDN w:val="0"/>
                    <w:adjustRightInd w:val="0"/>
                    <w:spacing w:after="0" w:line="240" w:lineRule="auto"/>
                    <w:rPr>
                      <w:rFonts w:ascii="Times New Roman" w:eastAsia="Times New Roman" w:hAnsi="Times New Roman" w:cs="Times New Roman"/>
                      <w:sz w:val="24"/>
                      <w:szCs w:val="24"/>
                    </w:rPr>
                  </w:pPr>
                  <w:hyperlink r:id="rId33" w:history="1">
                    <w:r w:rsidR="003B2772">
                      <w:rPr>
                        <w:rFonts w:ascii="Times New Roman" w:eastAsia="Times New Roman" w:hAnsi="Times New Roman" w:cs="Times New Roman"/>
                        <w:color w:val="0000FF"/>
                        <w:sz w:val="24"/>
                        <w:szCs w:val="24"/>
                        <w:u w:val="single"/>
                      </w:rPr>
                      <w:t>jbentine@cwslaw.com</w:t>
                    </w:r>
                  </w:hyperlink>
                </w:p>
                <w:p w:rsidR="00145E59" w14:paraId="3EB8097A" w14:textId="77777777">
                  <w:pPr>
                    <w:autoSpaceDE w:val="0"/>
                    <w:autoSpaceDN w:val="0"/>
                    <w:adjustRightInd w:val="0"/>
                    <w:spacing w:after="0" w:line="240" w:lineRule="auto"/>
                    <w:rPr>
                      <w:rFonts w:ascii="Times New Roman" w:eastAsia="Times New Roman" w:hAnsi="Times New Roman" w:cs="Times New Roman"/>
                      <w:color w:val="0000FF"/>
                      <w:sz w:val="24"/>
                      <w:szCs w:val="24"/>
                      <w:u w:val="single"/>
                      <w:lang w:val="de-DE"/>
                    </w:rPr>
                  </w:pPr>
                  <w:hyperlink r:id="rId34" w:history="1">
                    <w:r w:rsidR="003B2772">
                      <w:rPr>
                        <w:rFonts w:ascii="Times New Roman" w:eastAsia="Times New Roman" w:hAnsi="Times New Roman" w:cs="Times New Roman"/>
                        <w:color w:val="0000FF"/>
                        <w:sz w:val="24"/>
                        <w:szCs w:val="24"/>
                        <w:u w:val="single"/>
                        <w:lang w:val="de-DE"/>
                      </w:rPr>
                      <w:t>henryeckhart@aol.com</w:t>
                    </w:r>
                  </w:hyperlink>
                </w:p>
                <w:p w:rsidR="00145E59" w14:paraId="35507180" w14:textId="77777777">
                  <w:pPr>
                    <w:autoSpaceDE w:val="0"/>
                    <w:autoSpaceDN w:val="0"/>
                    <w:adjustRightInd w:val="0"/>
                    <w:spacing w:after="0" w:line="240" w:lineRule="auto"/>
                    <w:rPr>
                      <w:rFonts w:ascii="Times New Roman" w:eastAsia="Times New Roman" w:hAnsi="Times New Roman" w:cs="Times New Roman"/>
                      <w:sz w:val="24"/>
                      <w:szCs w:val="24"/>
                      <w:lang w:val="de-DE"/>
                    </w:rPr>
                  </w:pPr>
                  <w:r>
                    <w:rPr>
                      <w:rFonts w:ascii="Times New Roman" w:eastAsia="Times New Roman" w:hAnsi="Times New Roman" w:cs="Times New Roman"/>
                      <w:color w:val="0000FF"/>
                      <w:sz w:val="24"/>
                      <w:szCs w:val="24"/>
                      <w:u w:val="single"/>
                      <w:lang w:val="de-DE"/>
                    </w:rPr>
                    <w:t>michael.nugent@igs.com</w:t>
                  </w:r>
                </w:p>
                <w:p w:rsidR="00145E59" w14:paraId="6A1F0FB8" w14:textId="77777777">
                  <w:pPr>
                    <w:spacing w:after="0" w:line="240" w:lineRule="auto"/>
                    <w:rPr>
                      <w:rFonts w:ascii="Times New Roman" w:eastAsia="Times New Roman" w:hAnsi="Times New Roman" w:cs="Times New Roman"/>
                      <w:sz w:val="24"/>
                      <w:szCs w:val="24"/>
                    </w:rPr>
                  </w:pPr>
                  <w:hyperlink r:id="rId35" w:history="1">
                    <w:r w:rsidR="003B2772">
                      <w:rPr>
                        <w:rFonts w:ascii="Times New Roman" w:eastAsia="Times New Roman" w:hAnsi="Times New Roman" w:cs="Times New Roman"/>
                        <w:color w:val="0000FF"/>
                        <w:sz w:val="24"/>
                        <w:szCs w:val="24"/>
                        <w:u w:val="single"/>
                      </w:rPr>
                      <w:t>dboehm@bkllawfirm.com</w:t>
                    </w:r>
                  </w:hyperlink>
                </w:p>
                <w:p w:rsidR="00145E59" w14:paraId="44AAE5FA" w14:textId="77777777">
                  <w:pPr>
                    <w:spacing w:after="0" w:line="240" w:lineRule="auto"/>
                    <w:rPr>
                      <w:rFonts w:ascii="Times New Roman" w:eastAsia="Times New Roman" w:hAnsi="Times New Roman" w:cs="Times New Roman"/>
                      <w:sz w:val="24"/>
                      <w:szCs w:val="24"/>
                    </w:rPr>
                  </w:pPr>
                  <w:hyperlink r:id="rId36" w:history="1">
                    <w:r w:rsidR="003B2772">
                      <w:rPr>
                        <w:rFonts w:ascii="Times New Roman" w:eastAsia="Times New Roman" w:hAnsi="Times New Roman" w:cs="Times New Roman"/>
                        <w:color w:val="0000FF"/>
                        <w:sz w:val="24"/>
                        <w:szCs w:val="24"/>
                        <w:u w:val="single"/>
                      </w:rPr>
                      <w:t>mkurtz@bkllawfirm.com</w:t>
                    </w:r>
                  </w:hyperlink>
                </w:p>
                <w:p w:rsidR="00145E59" w14:paraId="6B458361" w14:textId="77777777">
                  <w:pPr>
                    <w:spacing w:after="0" w:line="240" w:lineRule="auto"/>
                    <w:rPr>
                      <w:rFonts w:ascii="Times New Roman" w:eastAsia="Times New Roman" w:hAnsi="Times New Roman" w:cs="Times New Roman"/>
                      <w:sz w:val="24"/>
                      <w:szCs w:val="24"/>
                    </w:rPr>
                  </w:pPr>
                  <w:hyperlink r:id="rId37" w:history="1">
                    <w:r w:rsidR="003B2772">
                      <w:rPr>
                        <w:rFonts w:ascii="Times New Roman" w:eastAsia="Times New Roman" w:hAnsi="Times New Roman" w:cs="Times New Roman"/>
                        <w:color w:val="0000FF"/>
                        <w:sz w:val="24"/>
                        <w:szCs w:val="24"/>
                        <w:u w:val="single"/>
                      </w:rPr>
                      <w:t>jkylercohn@bkllawfirm.com</w:t>
                    </w:r>
                  </w:hyperlink>
                  <w:r w:rsidR="003B2772">
                    <w:rPr>
                      <w:rFonts w:ascii="Times New Roman" w:eastAsia="Times New Roman" w:hAnsi="Times New Roman" w:cs="Times New Roman"/>
                      <w:sz w:val="24"/>
                      <w:szCs w:val="24"/>
                    </w:rPr>
                    <w:t xml:space="preserve"> </w:t>
                  </w:r>
                </w:p>
                <w:p w:rsidR="00145E59" w14:paraId="64CE1F17" w14:textId="77777777">
                  <w:pPr>
                    <w:spacing w:after="0" w:line="240" w:lineRule="auto"/>
                    <w:rPr>
                      <w:rFonts w:ascii="Times New Roman" w:eastAsia="Times New Roman" w:hAnsi="Times New Roman" w:cs="Times New Roman"/>
                      <w:color w:val="0000FF"/>
                      <w:sz w:val="24"/>
                      <w:szCs w:val="24"/>
                      <w:u w:val="single"/>
                    </w:rPr>
                  </w:pPr>
                  <w:hyperlink r:id="rId38" w:history="1">
                    <w:r w:rsidR="003B2772">
                      <w:rPr>
                        <w:rFonts w:ascii="Times New Roman" w:eastAsia="Times New Roman" w:hAnsi="Times New Roman" w:cs="Times New Roman"/>
                        <w:color w:val="0000FF"/>
                        <w:sz w:val="24"/>
                        <w:szCs w:val="24"/>
                        <w:u w:val="single"/>
                      </w:rPr>
                      <w:t>Cynthia.brady@constellation.com</w:t>
                    </w:r>
                  </w:hyperlink>
                </w:p>
                <w:p w:rsidR="00145E59" w14:paraId="528BA320" w14:textId="77777777">
                  <w:pPr>
                    <w:spacing w:after="0" w:line="240" w:lineRule="auto"/>
                    <w:rPr>
                      <w:rFonts w:ascii="Times New Roman" w:eastAsia="Times New Roman" w:hAnsi="Times New Roman" w:cs="Times New Roman"/>
                      <w:sz w:val="24"/>
                      <w:szCs w:val="24"/>
                    </w:rPr>
                  </w:pPr>
                  <w:hyperlink r:id="rId39" w:history="1">
                    <w:r w:rsidR="003B2772">
                      <w:rPr>
                        <w:rFonts w:ascii="Times New Roman" w:eastAsia="Times New Roman" w:hAnsi="Times New Roman" w:cs="Times New Roman"/>
                        <w:color w:val="0000FF"/>
                        <w:sz w:val="24"/>
                        <w:szCs w:val="24"/>
                        <w:u w:val="single"/>
                      </w:rPr>
                      <w:t>David.fein@constellation.com</w:t>
                    </w:r>
                  </w:hyperlink>
                </w:p>
                <w:p w:rsidR="00145E59" w14:paraId="51FDE06F" w14:textId="77777777">
                  <w:pPr>
                    <w:autoSpaceDE w:val="0"/>
                    <w:autoSpaceDN w:val="0"/>
                    <w:adjustRightInd w:val="0"/>
                    <w:spacing w:after="0" w:line="240" w:lineRule="auto"/>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FF"/>
                      <w:sz w:val="24"/>
                      <w:szCs w:val="24"/>
                      <w:u w:val="single"/>
                    </w:rPr>
                    <w:t>tdougherty@theOEC.org</w:t>
                  </w:r>
                </w:p>
                <w:p w:rsidR="00145E59" w14:paraId="1397EC0D" w14:textId="77777777">
                  <w:pPr>
                    <w:autoSpaceDE w:val="0"/>
                    <w:autoSpaceDN w:val="0"/>
                    <w:adjustRightInd w:val="0"/>
                    <w:spacing w:after="0" w:line="240" w:lineRule="auto"/>
                    <w:rPr>
                      <w:rFonts w:ascii="Times New Roman" w:eastAsia="Times New Roman" w:hAnsi="Times New Roman" w:cs="Times New Roman"/>
                      <w:sz w:val="24"/>
                      <w:szCs w:val="24"/>
                    </w:rPr>
                  </w:pPr>
                  <w:hyperlink r:id="rId40" w:history="1">
                    <w:r w:rsidR="003B2772">
                      <w:rPr>
                        <w:rFonts w:ascii="Times New Roman" w:eastAsia="Times New Roman" w:hAnsi="Times New Roman" w:cs="Times New Roman"/>
                        <w:color w:val="0000FF"/>
                        <w:sz w:val="24"/>
                        <w:szCs w:val="24"/>
                        <w:u w:val="single"/>
                      </w:rPr>
                      <w:t>njohnson@theoec.org</w:t>
                    </w:r>
                  </w:hyperlink>
                  <w:r w:rsidR="003B2772">
                    <w:rPr>
                      <w:rFonts w:ascii="Times New Roman" w:eastAsia="Times New Roman" w:hAnsi="Times New Roman" w:cs="Times New Roman"/>
                      <w:sz w:val="24"/>
                      <w:szCs w:val="24"/>
                    </w:rPr>
                    <w:t xml:space="preserve"> </w:t>
                  </w:r>
                </w:p>
                <w:p w:rsidR="00145E59" w14:paraId="46476D83" w14:textId="77777777">
                  <w:pPr>
                    <w:autoSpaceDE w:val="0"/>
                    <w:autoSpaceDN w:val="0"/>
                    <w:adjustRightInd w:val="0"/>
                    <w:spacing w:after="0" w:line="240" w:lineRule="auto"/>
                    <w:rPr>
                      <w:rFonts w:ascii="Times New Roman" w:eastAsia="Times New Roman" w:hAnsi="Times New Roman" w:cs="Times New Roman"/>
                      <w:sz w:val="24"/>
                      <w:szCs w:val="24"/>
                    </w:rPr>
                  </w:pPr>
                  <w:hyperlink r:id="rId41" w:history="1">
                    <w:r w:rsidR="003B2772">
                      <w:rPr>
                        <w:rFonts w:ascii="Times New Roman" w:eastAsia="Times New Roman" w:hAnsi="Times New Roman" w:cs="Times New Roman"/>
                        <w:color w:val="0000FF"/>
                        <w:sz w:val="24"/>
                        <w:szCs w:val="24"/>
                        <w:u w:val="single"/>
                      </w:rPr>
                      <w:t>Williams.toddm@gmail.com</w:t>
                    </w:r>
                  </w:hyperlink>
                </w:p>
                <w:p w:rsidR="00145E59" w14:paraId="3D411CAC" w14:textId="77777777">
                  <w:pPr>
                    <w:autoSpaceDE w:val="0"/>
                    <w:autoSpaceDN w:val="0"/>
                    <w:adjustRightInd w:val="0"/>
                    <w:spacing w:after="0" w:line="240" w:lineRule="auto"/>
                    <w:rPr>
                      <w:rFonts w:ascii="Times New Roman" w:eastAsia="Times New Roman" w:hAnsi="Times New Roman" w:cs="Times New Roman"/>
                      <w:sz w:val="24"/>
                      <w:szCs w:val="24"/>
                    </w:rPr>
                  </w:pPr>
                  <w:hyperlink r:id="rId42" w:history="1">
                    <w:r w:rsidR="003B2772">
                      <w:rPr>
                        <w:rFonts w:ascii="Times New Roman" w:eastAsia="Times New Roman" w:hAnsi="Times New Roman" w:cs="Times New Roman"/>
                        <w:color w:val="0000FF"/>
                        <w:sz w:val="24"/>
                        <w:szCs w:val="24"/>
                        <w:u w:val="single"/>
                      </w:rPr>
                      <w:t>ejacobs@ablelaw.org</w:t>
                    </w:r>
                  </w:hyperlink>
                </w:p>
                <w:p w:rsidR="00145E59" w14:paraId="05F5C369" w14:textId="77777777">
                  <w:pPr>
                    <w:autoSpaceDE w:val="0"/>
                    <w:autoSpaceDN w:val="0"/>
                    <w:adjustRightInd w:val="0"/>
                    <w:spacing w:after="0" w:line="240" w:lineRule="auto"/>
                    <w:rPr>
                      <w:rFonts w:ascii="Times New Roman" w:eastAsia="Times New Roman" w:hAnsi="Times New Roman" w:cs="Times New Roman"/>
                      <w:sz w:val="24"/>
                      <w:szCs w:val="24"/>
                    </w:rPr>
                  </w:pPr>
                  <w:hyperlink r:id="rId43" w:history="1">
                    <w:r w:rsidR="003B2772">
                      <w:rPr>
                        <w:rFonts w:ascii="Times New Roman" w:eastAsia="Times New Roman" w:hAnsi="Times New Roman" w:cs="Times New Roman"/>
                        <w:color w:val="0000FF"/>
                        <w:sz w:val="24"/>
                        <w:szCs w:val="24"/>
                        <w:u w:val="single"/>
                      </w:rPr>
                      <w:t>myurick@taftlaw.com</w:t>
                    </w:r>
                  </w:hyperlink>
                  <w:r w:rsidR="003B2772">
                    <w:rPr>
                      <w:rFonts w:ascii="Times New Roman" w:eastAsia="Times New Roman" w:hAnsi="Times New Roman" w:cs="Times New Roman"/>
                      <w:sz w:val="24"/>
                      <w:szCs w:val="24"/>
                    </w:rPr>
                    <w:t xml:space="preserve"> </w:t>
                  </w:r>
                </w:p>
                <w:p w:rsidR="00145E59" w14:paraId="40564D37" w14:textId="77777777">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44" w:history="1">
                    <w:r w:rsidR="003B2772">
                      <w:rPr>
                        <w:rFonts w:ascii="Times New Roman" w:eastAsia="Times New Roman" w:hAnsi="Times New Roman" w:cs="Times New Roman"/>
                        <w:color w:val="0000FF"/>
                        <w:sz w:val="24"/>
                        <w:szCs w:val="24"/>
                        <w:u w:val="single"/>
                      </w:rPr>
                      <w:t>stephen.chriss@wal-mart.com</w:t>
                    </w:r>
                  </w:hyperlink>
                </w:p>
                <w:p w:rsidR="00145E59" w14:paraId="49DD080D" w14:textId="77777777">
                  <w:pPr>
                    <w:autoSpaceDE w:val="0"/>
                    <w:autoSpaceDN w:val="0"/>
                    <w:adjustRightInd w:val="0"/>
                    <w:spacing w:after="0" w:line="240" w:lineRule="auto"/>
                    <w:rPr>
                      <w:rFonts w:ascii="Times New Roman" w:eastAsia="Times New Roman" w:hAnsi="Times New Roman" w:cs="Times New Roman"/>
                      <w:color w:val="0563C2"/>
                      <w:sz w:val="24"/>
                      <w:szCs w:val="24"/>
                    </w:rPr>
                  </w:pPr>
                  <w:hyperlink r:id="rId45" w:history="1">
                    <w:r w:rsidR="003B2772">
                      <w:rPr>
                        <w:rFonts w:ascii="Times New Roman" w:eastAsia="Times New Roman" w:hAnsi="Times New Roman" w:cs="Times New Roman"/>
                        <w:color w:val="0000FF"/>
                        <w:sz w:val="24"/>
                        <w:szCs w:val="24"/>
                        <w:u w:val="single"/>
                      </w:rPr>
                      <w:t>rdove@keglerbrown.com</w:t>
                    </w:r>
                  </w:hyperlink>
                </w:p>
                <w:p w:rsidR="00145E59" w14:paraId="3F8AC918" w14:textId="77777777">
                  <w:pPr>
                    <w:autoSpaceDE w:val="0"/>
                    <w:autoSpaceDN w:val="0"/>
                    <w:adjustRightInd w:val="0"/>
                    <w:spacing w:after="0" w:line="240" w:lineRule="auto"/>
                    <w:rPr>
                      <w:rFonts w:ascii="Times New Roman" w:eastAsia="Times New Roman" w:hAnsi="Times New Roman" w:cs="Times New Roman"/>
                      <w:sz w:val="24"/>
                      <w:szCs w:val="24"/>
                    </w:rPr>
                  </w:pPr>
                  <w:hyperlink r:id="rId46" w:history="1">
                    <w:r w:rsidR="003B2772">
                      <w:rPr>
                        <w:rFonts w:ascii="Times New Roman" w:eastAsia="Times New Roman" w:hAnsi="Times New Roman" w:cs="Times New Roman"/>
                        <w:color w:val="0000FF"/>
                        <w:sz w:val="24"/>
                        <w:szCs w:val="24"/>
                        <w:u w:val="single"/>
                      </w:rPr>
                      <w:t>fykes@whitt-sturtevant.com</w:t>
                    </w:r>
                  </w:hyperlink>
                  <w:r w:rsidR="003B2772">
                    <w:rPr>
                      <w:rFonts w:ascii="Times New Roman" w:eastAsia="Times New Roman" w:hAnsi="Times New Roman" w:cs="Times New Roman"/>
                      <w:sz w:val="24"/>
                      <w:szCs w:val="24"/>
                    </w:rPr>
                    <w:t xml:space="preserve"> </w:t>
                  </w:r>
                </w:p>
                <w:p w:rsidR="00145E59" w14:paraId="4A51668C" w14:textId="77777777">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47" w:history="1">
                    <w:r w:rsidR="003B2772">
                      <w:rPr>
                        <w:rFonts w:ascii="Times New Roman" w:eastAsia="Times New Roman" w:hAnsi="Times New Roman" w:cs="Times New Roman"/>
                        <w:color w:val="0000FF"/>
                        <w:sz w:val="24"/>
                        <w:szCs w:val="24"/>
                        <w:u w:val="single"/>
                      </w:rPr>
                      <w:t>whitt@whitt-sturtevant.com</w:t>
                    </w:r>
                  </w:hyperlink>
                </w:p>
                <w:p w:rsidR="00145E59" w14:paraId="2FD7F7FB" w14:textId="77777777">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48" w:history="1">
                    <w:r w:rsidR="003B2772">
                      <w:rPr>
                        <w:rFonts w:ascii="Times New Roman" w:eastAsia="Times New Roman" w:hAnsi="Times New Roman" w:cs="Times New Roman"/>
                        <w:color w:val="0000FF"/>
                        <w:sz w:val="24"/>
                        <w:szCs w:val="24"/>
                        <w:u w:val="single"/>
                      </w:rPr>
                      <w:t>mpritchard@mcneeslaw.com</w:t>
                    </w:r>
                  </w:hyperlink>
                </w:p>
                <w:p w:rsidR="00145E59" w14:paraId="0B5119F9" w14:textId="77777777">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u w:val="single"/>
                    </w:rPr>
                    <w:t>rglover@mcneeslaw.com</w:t>
                  </w:r>
                </w:p>
              </w:tc>
            </w:tr>
          </w:tbl>
          <w:p w:rsidR="00145E59" w14:paraId="54B27AA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145E59" w14:paraId="0CD08227" w14:textId="77777777">
      <w:pPr>
        <w:rPr>
          <w:rFonts w:ascii="Times New Roman" w:hAnsi="Times New Roman" w:cs="Times New Roman"/>
          <w:sz w:val="24"/>
          <w:szCs w:val="24"/>
        </w:rPr>
      </w:pPr>
    </w:p>
    <w:p w:rsidR="00145E59" w14:paraId="361DC798" w14:textId="77777777">
      <w:pPr>
        <w:pStyle w:val="CommentText"/>
        <w:jc w:val="center"/>
        <w:rPr>
          <w:sz w:val="24"/>
          <w:szCs w:val="24"/>
        </w:rPr>
      </w:pPr>
    </w:p>
    <w:p w:rsidR="00145E59" w14:paraId="2F7ED941" w14:textId="77777777">
      <w:pPr>
        <w:spacing w:after="0" w:line="480" w:lineRule="auto"/>
        <w:rPr>
          <w:rFonts w:ascii="Times New Roman" w:hAnsi="Times New Roman" w:cs="Times New Roman"/>
          <w:sz w:val="24"/>
          <w:szCs w:val="24"/>
        </w:rPr>
      </w:pPr>
    </w:p>
    <w:sectPr>
      <w:footerReference w:type="default" r:id="rI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C37" w:rsidRPr="00BF7C37" w14:paraId="7AE659B6" w14:textId="36ED5C3A">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8507090"/>
      <w:docPartObj>
        <w:docPartGallery w:val="Page Numbers (Bottom of Page)"/>
        <w:docPartUnique/>
      </w:docPartObj>
    </w:sdtPr>
    <w:sdtEndPr>
      <w:rPr>
        <w:rFonts w:ascii="Times New Roman" w:hAnsi="Times New Roman" w:cs="Times New Roman"/>
        <w:noProof/>
        <w:sz w:val="24"/>
        <w:szCs w:val="24"/>
      </w:rPr>
    </w:sdtEndPr>
    <w:sdtContent>
      <w:p w:rsidR="0098169A" w:rsidRPr="0098169A" w14:paraId="038F696A" w14:textId="35FC4548">
        <w:pPr>
          <w:pStyle w:val="Footer"/>
          <w:jc w:val="center"/>
          <w:rPr>
            <w:rFonts w:ascii="Times New Roman" w:hAnsi="Times New Roman" w:cs="Times New Roman"/>
            <w:sz w:val="24"/>
            <w:szCs w:val="24"/>
          </w:rPr>
        </w:pPr>
        <w:r w:rsidRPr="0098169A">
          <w:rPr>
            <w:rFonts w:ascii="Times New Roman" w:hAnsi="Times New Roman" w:cs="Times New Roman"/>
            <w:sz w:val="24"/>
            <w:szCs w:val="24"/>
          </w:rPr>
          <w:fldChar w:fldCharType="begin"/>
        </w:r>
        <w:r w:rsidRPr="0098169A">
          <w:rPr>
            <w:rFonts w:ascii="Times New Roman" w:hAnsi="Times New Roman" w:cs="Times New Roman"/>
            <w:sz w:val="24"/>
            <w:szCs w:val="24"/>
          </w:rPr>
          <w:instrText xml:space="preserve"> PAGE   \* MERGEFORMAT </w:instrText>
        </w:r>
        <w:r w:rsidRPr="0098169A">
          <w:rPr>
            <w:rFonts w:ascii="Times New Roman" w:hAnsi="Times New Roman" w:cs="Times New Roman"/>
            <w:sz w:val="24"/>
            <w:szCs w:val="24"/>
          </w:rPr>
          <w:fldChar w:fldCharType="separate"/>
        </w:r>
        <w:r w:rsidRPr="0098169A">
          <w:rPr>
            <w:rFonts w:ascii="Times New Roman" w:hAnsi="Times New Roman" w:cs="Times New Roman"/>
            <w:noProof/>
            <w:sz w:val="24"/>
            <w:szCs w:val="24"/>
          </w:rPr>
          <w:t>2</w:t>
        </w:r>
        <w:r w:rsidRPr="0098169A">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9173843"/>
      <w:docPartObj>
        <w:docPartGallery w:val="Page Numbers (Bottom of Page)"/>
        <w:docPartUnique/>
      </w:docPartObj>
    </w:sdtPr>
    <w:sdtEndPr>
      <w:rPr>
        <w:rFonts w:ascii="Times New Roman" w:hAnsi="Times New Roman" w:cs="Times New Roman"/>
        <w:noProof/>
        <w:sz w:val="24"/>
        <w:szCs w:val="24"/>
      </w:rPr>
    </w:sdtEndPr>
    <w:sdtContent>
      <w:p w:rsidR="00145E59" w:rsidRPr="00BF7C37" w14:paraId="68C7A3E2" w14:textId="77777777">
        <w:pPr>
          <w:pStyle w:val="Footer"/>
          <w:jc w:val="center"/>
          <w:rPr>
            <w:rFonts w:ascii="Times New Roman" w:hAnsi="Times New Roman" w:cs="Times New Roman"/>
            <w:sz w:val="24"/>
            <w:szCs w:val="24"/>
          </w:rPr>
        </w:pPr>
        <w:r w:rsidRPr="00BF7C37">
          <w:rPr>
            <w:rFonts w:ascii="Times New Roman" w:hAnsi="Times New Roman" w:cs="Times New Roman"/>
            <w:sz w:val="24"/>
            <w:szCs w:val="24"/>
          </w:rPr>
          <w:fldChar w:fldCharType="begin"/>
        </w:r>
        <w:r w:rsidRPr="00BF7C37">
          <w:rPr>
            <w:rFonts w:ascii="Times New Roman" w:hAnsi="Times New Roman" w:cs="Times New Roman"/>
            <w:sz w:val="24"/>
            <w:szCs w:val="24"/>
          </w:rPr>
          <w:instrText xml:space="preserve"> PAGE   \* MERGEFORMAT </w:instrText>
        </w:r>
        <w:r w:rsidRPr="00BF7C37">
          <w:rPr>
            <w:rFonts w:ascii="Times New Roman" w:hAnsi="Times New Roman" w:cs="Times New Roman"/>
            <w:sz w:val="24"/>
            <w:szCs w:val="24"/>
          </w:rPr>
          <w:fldChar w:fldCharType="separate"/>
        </w:r>
        <w:r w:rsidRPr="00BF7C37">
          <w:rPr>
            <w:rFonts w:ascii="Times New Roman" w:hAnsi="Times New Roman" w:cs="Times New Roman"/>
            <w:noProof/>
            <w:sz w:val="24"/>
            <w:szCs w:val="24"/>
          </w:rPr>
          <w:t>2</w:t>
        </w:r>
        <w:r w:rsidRPr="00BF7C37">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85411" w14:paraId="637755AE" w14:textId="77777777">
      <w:pPr>
        <w:spacing w:after="0" w:line="240" w:lineRule="auto"/>
      </w:pPr>
      <w:r>
        <w:separator/>
      </w:r>
    </w:p>
  </w:footnote>
  <w:footnote w:type="continuationSeparator" w:id="1">
    <w:p w:rsidR="00F85411" w14:paraId="5FBC18E6" w14:textId="77777777">
      <w:pPr>
        <w:spacing w:after="0" w:line="240" w:lineRule="auto"/>
      </w:pPr>
      <w:r>
        <w:continuationSeparator/>
      </w:r>
    </w:p>
  </w:footnote>
  <w:footnote w:id="2">
    <w:p w:rsidR="00145E59" w:rsidRPr="009D0102" w:rsidP="009D0102" w14:paraId="7F87A570" w14:textId="355CB227">
      <w:pPr>
        <w:pStyle w:val="FootnoteText"/>
        <w:spacing w:after="120"/>
        <w:rPr>
          <w:rFonts w:ascii="Times New Roman" w:hAnsi="Times New Roman" w:cs="Times New Roman"/>
        </w:rPr>
      </w:pPr>
      <w:r w:rsidRPr="009D0102">
        <w:rPr>
          <w:rStyle w:val="FootnoteReference"/>
          <w:rFonts w:ascii="Times New Roman" w:hAnsi="Times New Roman" w:cs="Times New Roman"/>
        </w:rPr>
        <w:footnoteRef/>
      </w:r>
      <w:r w:rsidRPr="009D0102">
        <w:rPr>
          <w:rFonts w:ascii="Times New Roman" w:hAnsi="Times New Roman" w:cs="Times New Roman"/>
        </w:rPr>
        <w:t xml:space="preserve"> </w:t>
      </w:r>
      <w:r w:rsidRPr="000903C7" w:rsidR="000903C7">
        <w:rPr>
          <w:rFonts w:ascii="Times New Roman" w:hAnsi="Times New Roman" w:cs="Times New Roman"/>
          <w:i/>
          <w:iCs/>
        </w:rPr>
        <w:t>In the Matter of the Application of The Dayton Power and Light Company for Approval of its Electric Security Plan</w:t>
      </w:r>
      <w:r w:rsidR="000903C7">
        <w:rPr>
          <w:rFonts w:ascii="Times New Roman" w:hAnsi="Times New Roman" w:cs="Times New Roman"/>
        </w:rPr>
        <w:t xml:space="preserve">, </w:t>
      </w:r>
      <w:r w:rsidRPr="000903C7" w:rsidR="004526AA">
        <w:rPr>
          <w:rFonts w:ascii="Times New Roman" w:hAnsi="Times New Roman" w:cs="Times New Roman"/>
        </w:rPr>
        <w:t>Case No. 08</w:t>
      </w:r>
      <w:r w:rsidRPr="009D0102" w:rsidR="004526AA">
        <w:rPr>
          <w:rFonts w:ascii="Times New Roman" w:hAnsi="Times New Roman" w:cs="Times New Roman"/>
        </w:rPr>
        <w:t>-1094-EL-SSO,</w:t>
      </w:r>
      <w:r w:rsidRPr="009D0102">
        <w:rPr>
          <w:rFonts w:ascii="Times New Roman" w:hAnsi="Times New Roman" w:cs="Times New Roman"/>
        </w:rPr>
        <w:t xml:space="preserve"> Fifth Entry on Rehearing</w:t>
      </w:r>
      <w:r w:rsidR="000903C7">
        <w:rPr>
          <w:rFonts w:ascii="Times New Roman" w:hAnsi="Times New Roman" w:cs="Times New Roman"/>
        </w:rPr>
        <w:t xml:space="preserve"> </w:t>
      </w:r>
      <w:r w:rsidRPr="009D0102" w:rsidR="000903C7">
        <w:rPr>
          <w:rFonts w:ascii="Times New Roman" w:hAnsi="Times New Roman" w:cs="Times New Roman"/>
        </w:rPr>
        <w:t>at ¶64</w:t>
      </w:r>
      <w:r w:rsidRPr="009D0102" w:rsidR="004526AA">
        <w:rPr>
          <w:rFonts w:ascii="Times New Roman" w:hAnsi="Times New Roman" w:cs="Times New Roman"/>
        </w:rPr>
        <w:t xml:space="preserve"> (June 16, 2021)</w:t>
      </w:r>
      <w:r w:rsidRPr="009D0102">
        <w:rPr>
          <w:rFonts w:ascii="Times New Roman" w:hAnsi="Times New Roman" w:cs="Times New Roman"/>
        </w:rPr>
        <w:t>.</w:t>
      </w:r>
    </w:p>
  </w:footnote>
  <w:footnote w:id="3">
    <w:p w:rsidR="00AB3199" w:rsidRPr="009D0102" w:rsidP="009D0102" w14:paraId="63274359" w14:textId="741F803C">
      <w:pPr>
        <w:pStyle w:val="FootnoteText"/>
        <w:spacing w:after="120"/>
        <w:rPr>
          <w:rFonts w:ascii="Times New Roman" w:hAnsi="Times New Roman" w:cs="Times New Roman"/>
        </w:rPr>
      </w:pPr>
      <w:r w:rsidRPr="009D0102">
        <w:rPr>
          <w:rStyle w:val="FootnoteReference"/>
          <w:rFonts w:ascii="Times New Roman" w:hAnsi="Times New Roman" w:cs="Times New Roman"/>
        </w:rPr>
        <w:footnoteRef/>
      </w:r>
      <w:r w:rsidRPr="009D0102">
        <w:rPr>
          <w:rFonts w:ascii="Times New Roman" w:hAnsi="Times New Roman" w:cs="Times New Roman"/>
        </w:rPr>
        <w:t xml:space="preserve"> </w:t>
      </w:r>
      <w:r w:rsidRPr="009D0102">
        <w:rPr>
          <w:rFonts w:ascii="Times New Roman" w:hAnsi="Times New Roman" w:cs="Times New Roman"/>
          <w:i/>
          <w:iCs/>
        </w:rPr>
        <w:t xml:space="preserve">Id. </w:t>
      </w:r>
      <w:r w:rsidRPr="008D6137">
        <w:rPr>
          <w:rFonts w:ascii="Times New Roman" w:hAnsi="Times New Roman" w:cs="Times New Roman"/>
        </w:rPr>
        <w:t>a</w:t>
      </w:r>
      <w:r w:rsidRPr="009D0102">
        <w:rPr>
          <w:rFonts w:ascii="Times New Roman" w:hAnsi="Times New Roman" w:cs="Times New Roman"/>
        </w:rPr>
        <w:t xml:space="preserve">t ¶50, </w:t>
      </w:r>
      <w:r w:rsidRPr="009D0102" w:rsidR="006452AA">
        <w:rPr>
          <w:rFonts w:ascii="Times New Roman" w:hAnsi="Times New Roman" w:cs="Times New Roman"/>
        </w:rPr>
        <w:t xml:space="preserve">61. </w:t>
      </w:r>
    </w:p>
  </w:footnote>
  <w:footnote w:id="4">
    <w:p w:rsidR="00145E59" w:rsidRPr="009D0102" w:rsidP="009D0102" w14:paraId="11E2B6AC" w14:textId="77777777">
      <w:pPr>
        <w:pStyle w:val="FootnoteText"/>
        <w:spacing w:after="120"/>
        <w:rPr>
          <w:rFonts w:ascii="Times New Roman" w:hAnsi="Times New Roman" w:cs="Times New Roman"/>
        </w:rPr>
      </w:pPr>
      <w:r w:rsidRPr="009D0102">
        <w:rPr>
          <w:rStyle w:val="FootnoteReference"/>
          <w:rFonts w:ascii="Times New Roman" w:hAnsi="Times New Roman" w:cs="Times New Roman"/>
        </w:rPr>
        <w:footnoteRef/>
      </w:r>
      <w:r w:rsidRPr="009D0102">
        <w:rPr>
          <w:rFonts w:ascii="Times New Roman" w:hAnsi="Times New Roman" w:cs="Times New Roman"/>
        </w:rPr>
        <w:t xml:space="preserve"> </w:t>
      </w:r>
      <w:r w:rsidRPr="009D0102">
        <w:rPr>
          <w:rFonts w:ascii="Times New Roman" w:hAnsi="Times New Roman" w:cs="Times New Roman"/>
          <w:i/>
          <w:iCs/>
        </w:rPr>
        <w:t xml:space="preserve">Id. </w:t>
      </w:r>
      <w:r w:rsidRPr="009D0102">
        <w:rPr>
          <w:rFonts w:ascii="Times New Roman" w:hAnsi="Times New Roman" w:cs="Times New Roman"/>
        </w:rPr>
        <w:t>at ¶¶ 61-64.</w:t>
      </w:r>
    </w:p>
  </w:footnote>
  <w:footnote w:id="5">
    <w:p w:rsidR="00145E59" w:rsidRPr="009D0102" w:rsidP="009D0102" w14:paraId="41869710" w14:textId="77777777">
      <w:pPr>
        <w:pStyle w:val="FootnoteText"/>
        <w:spacing w:after="120"/>
        <w:rPr>
          <w:rFonts w:ascii="Times New Roman" w:hAnsi="Times New Roman" w:cs="Times New Roman"/>
        </w:rPr>
      </w:pPr>
      <w:r w:rsidRPr="009D0102">
        <w:rPr>
          <w:rStyle w:val="FootnoteReference"/>
          <w:rFonts w:ascii="Times New Roman" w:hAnsi="Times New Roman" w:cs="Times New Roman"/>
        </w:rPr>
        <w:footnoteRef/>
      </w:r>
      <w:r w:rsidRPr="009D0102">
        <w:rPr>
          <w:rFonts w:ascii="Times New Roman" w:hAnsi="Times New Roman" w:cs="Times New Roman"/>
        </w:rPr>
        <w:t xml:space="preserve"> </w:t>
      </w:r>
      <w:r w:rsidRPr="009D0102">
        <w:rPr>
          <w:rFonts w:ascii="Times New Roman" w:hAnsi="Times New Roman" w:cs="Times New Roman"/>
          <w:i/>
          <w:iCs/>
        </w:rPr>
        <w:t xml:space="preserve">See id. </w:t>
      </w:r>
      <w:r w:rsidRPr="009D0102">
        <w:rPr>
          <w:rFonts w:ascii="Times New Roman" w:hAnsi="Times New Roman" w:cs="Times New Roman"/>
        </w:rPr>
        <w:t>at ¶ 62.</w:t>
      </w:r>
    </w:p>
  </w:footnote>
  <w:footnote w:id="6">
    <w:p w:rsidR="006452AA" w:rsidRPr="009D0102" w:rsidP="009D0102" w14:paraId="0F3A5A96" w14:textId="781600DE">
      <w:pPr>
        <w:pStyle w:val="FootnoteText"/>
        <w:spacing w:after="120"/>
        <w:rPr>
          <w:rFonts w:ascii="Times New Roman" w:hAnsi="Times New Roman" w:cs="Times New Roman"/>
        </w:rPr>
      </w:pPr>
      <w:r w:rsidRPr="009D0102">
        <w:rPr>
          <w:rStyle w:val="FootnoteReference"/>
          <w:rFonts w:ascii="Times New Roman" w:hAnsi="Times New Roman"/>
        </w:rPr>
        <w:footnoteRef/>
      </w:r>
      <w:r w:rsidRPr="009D0102">
        <w:rPr>
          <w:rFonts w:ascii="Times New Roman" w:hAnsi="Times New Roman"/>
        </w:rPr>
        <w:t xml:space="preserve"> </w:t>
      </w:r>
      <w:r w:rsidRPr="009D0102">
        <w:rPr>
          <w:rFonts w:ascii="Times New Roman" w:hAnsi="Times New Roman" w:cs="Times New Roman"/>
          <w:i/>
          <w:iCs/>
        </w:rPr>
        <w:t>Id.</w:t>
      </w:r>
      <w:r w:rsidRPr="009D0102">
        <w:rPr>
          <w:rFonts w:ascii="Times New Roman" w:hAnsi="Times New Roman" w:cs="Times New Roman"/>
        </w:rPr>
        <w:t xml:space="preserve"> at 64.  </w:t>
      </w:r>
    </w:p>
  </w:footnote>
  <w:footnote w:id="7">
    <w:p w:rsidR="00145E59" w:rsidRPr="009D0102" w:rsidP="009D0102" w14:paraId="29EF8456" w14:textId="77777777">
      <w:pPr>
        <w:pStyle w:val="FootnoteText"/>
        <w:spacing w:after="120"/>
        <w:rPr>
          <w:rFonts w:ascii="Times New Roman" w:hAnsi="Times New Roman" w:cs="Times New Roman"/>
        </w:rPr>
      </w:pPr>
      <w:r w:rsidRPr="009D0102">
        <w:rPr>
          <w:rStyle w:val="FootnoteReference"/>
          <w:rFonts w:ascii="Times New Roman" w:hAnsi="Times New Roman" w:cs="Times New Roman"/>
        </w:rPr>
        <w:footnoteRef/>
      </w:r>
      <w:r w:rsidRPr="009D0102">
        <w:rPr>
          <w:rFonts w:ascii="Times New Roman" w:hAnsi="Times New Roman" w:cs="Times New Roman"/>
        </w:rPr>
        <w:t xml:space="preserve"> </w:t>
      </w:r>
      <w:r w:rsidRPr="009D0102">
        <w:rPr>
          <w:rFonts w:ascii="Times New Roman" w:hAnsi="Times New Roman" w:cs="Times New Roman"/>
          <w:i/>
          <w:iCs/>
        </w:rPr>
        <w:t xml:space="preserve">Id. </w:t>
      </w:r>
      <w:r w:rsidRPr="009D0102">
        <w:rPr>
          <w:rFonts w:ascii="Times New Roman" w:hAnsi="Times New Roman" w:cs="Times New Roman"/>
        </w:rPr>
        <w:t>at ¶ 64.</w:t>
      </w:r>
    </w:p>
  </w:footnote>
  <w:footnote w:id="8">
    <w:p w:rsidR="00133EF2" w:rsidRPr="009D0102" w:rsidP="009D0102" w14:paraId="2C2C4977" w14:textId="28C7B3FC">
      <w:pPr>
        <w:pStyle w:val="FootnoteText"/>
        <w:spacing w:after="120"/>
        <w:rPr>
          <w:rFonts w:ascii="Times New Roman" w:hAnsi="Times New Roman" w:cs="Times New Roman"/>
          <w:i/>
          <w:iCs/>
        </w:rPr>
      </w:pPr>
      <w:r w:rsidRPr="009D0102">
        <w:rPr>
          <w:rStyle w:val="FootnoteReference"/>
          <w:rFonts w:ascii="Times New Roman" w:hAnsi="Times New Roman"/>
        </w:rPr>
        <w:footnoteRef/>
      </w:r>
      <w:r w:rsidRPr="009D0102">
        <w:rPr>
          <w:rFonts w:ascii="Times New Roman" w:hAnsi="Times New Roman"/>
        </w:rPr>
        <w:t xml:space="preserve"> </w:t>
      </w:r>
      <w:r w:rsidRPr="009D0102">
        <w:rPr>
          <w:rFonts w:ascii="Times New Roman" w:hAnsi="Times New Roman" w:cs="Times New Roman"/>
          <w:i/>
          <w:iCs/>
        </w:rPr>
        <w:t xml:space="preserve">Id. </w:t>
      </w:r>
    </w:p>
  </w:footnote>
  <w:footnote w:id="9">
    <w:p w:rsidR="00145E59" w:rsidRPr="009D0102" w:rsidP="009D0102" w14:paraId="64B4A0F8" w14:textId="73DB8E07">
      <w:pPr>
        <w:pStyle w:val="FootnoteText"/>
        <w:spacing w:after="120"/>
        <w:rPr>
          <w:rFonts w:ascii="Times New Roman" w:hAnsi="Times New Roman" w:cs="Times New Roman"/>
        </w:rPr>
      </w:pPr>
      <w:r w:rsidRPr="009D0102">
        <w:rPr>
          <w:rStyle w:val="FootnoteReference"/>
          <w:rFonts w:ascii="Times New Roman" w:hAnsi="Times New Roman" w:cs="Times New Roman"/>
        </w:rPr>
        <w:footnoteRef/>
      </w:r>
      <w:r w:rsidRPr="009D0102">
        <w:rPr>
          <w:rFonts w:ascii="Times New Roman" w:hAnsi="Times New Roman" w:cs="Times New Roman"/>
        </w:rPr>
        <w:t xml:space="preserve"> </w:t>
      </w:r>
      <w:r w:rsidRPr="009D0102">
        <w:rPr>
          <w:rFonts w:ascii="Times New Roman" w:hAnsi="Times New Roman" w:cs="Times New Roman"/>
          <w:i/>
          <w:iCs/>
        </w:rPr>
        <w:t xml:space="preserve">See </w:t>
      </w:r>
      <w:r w:rsidRPr="009D0102">
        <w:rPr>
          <w:rFonts w:ascii="Times New Roman" w:hAnsi="Times New Roman" w:cs="Times New Roman"/>
        </w:rPr>
        <w:t>DP&amp;L’s Application for Rehearing at 1-3</w:t>
      </w:r>
      <w:r w:rsidR="008D6137">
        <w:rPr>
          <w:rFonts w:ascii="Times New Roman" w:hAnsi="Times New Roman" w:cs="Times New Roman"/>
        </w:rPr>
        <w:t xml:space="preserve"> (July 16, 2021)</w:t>
      </w:r>
      <w:r w:rsidRPr="009D0102">
        <w:rPr>
          <w:rFonts w:ascii="Times New Roman" w:hAnsi="Times New Roman" w:cs="Times New Roman"/>
        </w:rPr>
        <w:t>.</w:t>
      </w:r>
    </w:p>
  </w:footnote>
  <w:footnote w:id="10">
    <w:p w:rsidR="009163A5" w:rsidRPr="009D0102" w:rsidP="009D0102" w14:paraId="70C29385" w14:textId="135831D1">
      <w:pPr>
        <w:pStyle w:val="FootnoteText"/>
        <w:spacing w:after="120"/>
        <w:rPr>
          <w:rFonts w:ascii="Times New Roman" w:hAnsi="Times New Roman"/>
        </w:rPr>
      </w:pPr>
      <w:r w:rsidRPr="009D0102">
        <w:rPr>
          <w:rStyle w:val="FootnoteReference"/>
          <w:rFonts w:ascii="Times New Roman" w:hAnsi="Times New Roman"/>
        </w:rPr>
        <w:footnoteRef/>
      </w:r>
      <w:r w:rsidRPr="009D0102">
        <w:rPr>
          <w:rFonts w:ascii="Times New Roman" w:hAnsi="Times New Roman"/>
        </w:rPr>
        <w:t xml:space="preserve"> </w:t>
      </w:r>
      <w:r w:rsidRPr="009D0102">
        <w:rPr>
          <w:rFonts w:ascii="Times New Roman" w:hAnsi="Times New Roman" w:cs="Times New Roman"/>
          <w:i/>
          <w:iCs/>
        </w:rPr>
        <w:t xml:space="preserve">See </w:t>
      </w:r>
      <w:r w:rsidRPr="009D0102">
        <w:rPr>
          <w:rFonts w:ascii="Times New Roman" w:hAnsi="Times New Roman" w:cs="Times New Roman"/>
        </w:rPr>
        <w:t>Case No. 08-1094-EL-SSO, Reply of the Dayton Power</w:t>
      </w:r>
      <w:r w:rsidR="009D0102">
        <w:rPr>
          <w:rFonts w:ascii="Times New Roman" w:hAnsi="Times New Roman" w:cs="Times New Roman"/>
        </w:rPr>
        <w:t xml:space="preserve"> </w:t>
      </w:r>
      <w:r w:rsidRPr="009D0102">
        <w:rPr>
          <w:rFonts w:ascii="Times New Roman" w:hAnsi="Times New Roman" w:cs="Times New Roman"/>
        </w:rPr>
        <w:t>and Light Company in Support of Motion to Withdraw ESP II Application and Motion to Implement Previously Authorized Rates at 25 (Aug</w:t>
      </w:r>
      <w:r w:rsidR="008D6137">
        <w:rPr>
          <w:rFonts w:ascii="Times New Roman" w:hAnsi="Times New Roman" w:cs="Times New Roman"/>
        </w:rPr>
        <w:t>.</w:t>
      </w:r>
      <w:r w:rsidRPr="009D0102">
        <w:rPr>
          <w:rFonts w:ascii="Times New Roman" w:hAnsi="Times New Roman" w:cs="Times New Roman"/>
        </w:rPr>
        <w:t xml:space="preserve"> 18, 2016).</w:t>
      </w:r>
    </w:p>
  </w:footnote>
  <w:footnote w:id="11">
    <w:p w:rsidR="00A05329" w:rsidRPr="009D0102" w:rsidP="009D0102" w14:paraId="6C191714" w14:textId="17AD8C5D">
      <w:pPr>
        <w:pStyle w:val="FootnoteText"/>
        <w:spacing w:after="120"/>
        <w:rPr>
          <w:rFonts w:ascii="Times New Roman" w:hAnsi="Times New Roman" w:cs="Times New Roman"/>
        </w:rPr>
      </w:pPr>
      <w:r w:rsidRPr="009D0102">
        <w:rPr>
          <w:rStyle w:val="FootnoteReference"/>
          <w:rFonts w:ascii="Times New Roman" w:hAnsi="Times New Roman"/>
        </w:rPr>
        <w:footnoteRef/>
      </w:r>
      <w:r w:rsidRPr="009D0102">
        <w:rPr>
          <w:rFonts w:ascii="Times New Roman" w:hAnsi="Times New Roman"/>
        </w:rPr>
        <w:t xml:space="preserve"> </w:t>
      </w:r>
      <w:r w:rsidRPr="009D0102">
        <w:rPr>
          <w:rFonts w:ascii="Times New Roman" w:hAnsi="Times New Roman" w:cs="Times New Roman"/>
        </w:rPr>
        <w:t>DP&amp;L is also wrong that R.C. 4928.143(C)(2)(b) requires carrying over the most recent electric security plan, rather than the most recent standard service offer.</w:t>
      </w:r>
      <w:r w:rsidRPr="009D0102" w:rsidR="00BF7C37">
        <w:rPr>
          <w:rFonts w:ascii="Times New Roman" w:hAnsi="Times New Roman" w:cs="Times New Roman"/>
        </w:rPr>
        <w:t xml:space="preserve"> </w:t>
      </w:r>
      <w:r w:rsidRPr="009D0102">
        <w:rPr>
          <w:rFonts w:ascii="Times New Roman" w:hAnsi="Times New Roman" w:cs="Times New Roman"/>
          <w:i/>
          <w:iCs/>
        </w:rPr>
        <w:t xml:space="preserve">See </w:t>
      </w:r>
      <w:r w:rsidRPr="009D0102">
        <w:rPr>
          <w:rFonts w:ascii="Times New Roman" w:hAnsi="Times New Roman" w:cs="Times New Roman"/>
        </w:rPr>
        <w:t>OCC’s Application for Rehearing</w:t>
      </w:r>
      <w:r w:rsidR="008D6137">
        <w:rPr>
          <w:rFonts w:ascii="Times New Roman" w:hAnsi="Times New Roman" w:cs="Times New Roman"/>
        </w:rPr>
        <w:t>,</w:t>
      </w:r>
      <w:r w:rsidRPr="009D0102">
        <w:rPr>
          <w:rFonts w:ascii="Times New Roman" w:hAnsi="Times New Roman" w:cs="Times New Roman"/>
        </w:rPr>
        <w:t xml:space="preserve"> </w:t>
      </w:r>
      <w:r w:rsidRPr="009D0102" w:rsidR="008D6137">
        <w:rPr>
          <w:rFonts w:ascii="Times New Roman" w:hAnsi="Times New Roman" w:cs="Times New Roman"/>
        </w:rPr>
        <w:t xml:space="preserve">Assignment of Error No. 1 </w:t>
      </w:r>
      <w:r w:rsidRPr="009D0102">
        <w:rPr>
          <w:rFonts w:ascii="Times New Roman" w:hAnsi="Times New Roman" w:cs="Times New Roman"/>
        </w:rPr>
        <w:t>(Jan</w:t>
      </w:r>
      <w:r w:rsidR="008D6137">
        <w:rPr>
          <w:rFonts w:ascii="Times New Roman" w:hAnsi="Times New Roman" w:cs="Times New Roman"/>
        </w:rPr>
        <w:t>.</w:t>
      </w:r>
      <w:r w:rsidRPr="009D0102">
        <w:rPr>
          <w:rFonts w:ascii="Times New Roman" w:hAnsi="Times New Roman" w:cs="Times New Roman"/>
        </w:rPr>
        <w:t xml:space="preserve"> 17, 202</w:t>
      </w:r>
      <w:r w:rsidR="008D6137">
        <w:rPr>
          <w:rFonts w:ascii="Times New Roman" w:hAnsi="Times New Roman" w:cs="Times New Roman"/>
        </w:rPr>
        <w:t>0</w:t>
      </w:r>
      <w:r w:rsidRPr="009D0102">
        <w:rPr>
          <w:rFonts w:ascii="Times New Roman" w:hAnsi="Times New Roman" w:cs="Times New Roman"/>
        </w:rPr>
        <w:t>)</w:t>
      </w:r>
      <w:r w:rsidR="008D6137">
        <w:rPr>
          <w:rFonts w:ascii="Times New Roman" w:hAnsi="Times New Roman" w:cs="Times New Roman"/>
        </w:rPr>
        <w:t>.</w:t>
      </w:r>
      <w:r w:rsidRPr="009D0102" w:rsidR="00BF7C37">
        <w:rPr>
          <w:rFonts w:ascii="Times New Roman" w:hAnsi="Times New Roman" w:cs="Times New Roman"/>
        </w:rPr>
        <w:t xml:space="preserve"> </w:t>
      </w:r>
      <w:r w:rsidRPr="009D0102">
        <w:rPr>
          <w:rFonts w:ascii="Times New Roman" w:hAnsi="Times New Roman" w:cs="Times New Roman"/>
        </w:rPr>
        <w:t xml:space="preserve">This memorandum contra assumes </w:t>
      </w:r>
      <w:r w:rsidRPr="009D0102">
        <w:rPr>
          <w:rFonts w:ascii="Times New Roman" w:hAnsi="Times New Roman" w:cs="Times New Roman"/>
          <w:i/>
          <w:iCs/>
        </w:rPr>
        <w:t xml:space="preserve">arguendo </w:t>
      </w:r>
      <w:r w:rsidRPr="009D0102">
        <w:rPr>
          <w:rFonts w:ascii="Times New Roman" w:hAnsi="Times New Roman" w:cs="Times New Roman"/>
        </w:rPr>
        <w:t xml:space="preserve">that the electric security plan continues. </w:t>
      </w:r>
    </w:p>
  </w:footnote>
  <w:footnote w:id="12">
    <w:p w:rsidR="00C41CBC" w:rsidRPr="009D0102" w:rsidP="009D0102" w14:paraId="2A96CF4C" w14:textId="15339AA2">
      <w:pPr>
        <w:pStyle w:val="FootnoteText"/>
        <w:spacing w:after="120"/>
        <w:rPr>
          <w:rFonts w:ascii="Times New Roman" w:hAnsi="Times New Roman"/>
        </w:rPr>
      </w:pPr>
      <w:r w:rsidRPr="009D0102">
        <w:rPr>
          <w:rStyle w:val="FootnoteReference"/>
          <w:rFonts w:ascii="Times New Roman" w:hAnsi="Times New Roman"/>
        </w:rPr>
        <w:footnoteRef/>
      </w:r>
      <w:r w:rsidRPr="009D0102">
        <w:rPr>
          <w:rFonts w:ascii="Times New Roman" w:hAnsi="Times New Roman"/>
        </w:rPr>
        <w:t xml:space="preserve"> </w:t>
      </w:r>
      <w:r w:rsidRPr="009D0102" w:rsidR="008D6137">
        <w:rPr>
          <w:rFonts w:ascii="Times New Roman" w:hAnsi="Times New Roman" w:cs="Times New Roman"/>
        </w:rPr>
        <w:t xml:space="preserve">Case No. 08-1094-EL-SSO, </w:t>
      </w:r>
      <w:r w:rsidRPr="009D0102" w:rsidR="00C978C7">
        <w:rPr>
          <w:rFonts w:ascii="Times New Roman" w:hAnsi="Times New Roman" w:cs="Times New Roman"/>
        </w:rPr>
        <w:t xml:space="preserve">DP&amp;L </w:t>
      </w:r>
      <w:r w:rsidRPr="009D0102" w:rsidR="00133EF2">
        <w:rPr>
          <w:rFonts w:ascii="Times New Roman" w:hAnsi="Times New Roman" w:cs="Times New Roman"/>
        </w:rPr>
        <w:t>Motion and Memorandum in support of the Dayton Power and Light Company to Implement Previously Authorized Rates (July 27, 2016).</w:t>
      </w:r>
      <w:r w:rsidRPr="009D0102" w:rsidR="00C978C7">
        <w:rPr>
          <w:rFonts w:ascii="Times New Roman" w:hAnsi="Times New Roman"/>
        </w:rPr>
        <w:t xml:space="preserve"> </w:t>
      </w:r>
    </w:p>
  </w:footnote>
  <w:footnote w:id="13">
    <w:p w:rsidR="00C978C7" w:rsidRPr="009D0102" w:rsidP="009D0102" w14:paraId="4828F485" w14:textId="5FB07939">
      <w:pPr>
        <w:pStyle w:val="FootnoteText"/>
        <w:spacing w:after="120"/>
        <w:rPr>
          <w:rFonts w:ascii="Times New Roman" w:hAnsi="Times New Roman" w:cs="Times New Roman"/>
        </w:rPr>
      </w:pPr>
      <w:r w:rsidRPr="009D0102">
        <w:rPr>
          <w:rStyle w:val="FootnoteReference"/>
          <w:rFonts w:ascii="Times New Roman" w:hAnsi="Times New Roman"/>
        </w:rPr>
        <w:footnoteRef/>
      </w:r>
      <w:r w:rsidRPr="009D0102">
        <w:rPr>
          <w:rFonts w:ascii="Times New Roman" w:hAnsi="Times New Roman"/>
        </w:rPr>
        <w:t xml:space="preserve"> </w:t>
      </w:r>
      <w:r w:rsidRPr="009D0102" w:rsidR="008D6137">
        <w:rPr>
          <w:rFonts w:ascii="Times New Roman" w:hAnsi="Times New Roman" w:cs="Times New Roman"/>
        </w:rPr>
        <w:t xml:space="preserve">Case No. 08-1094-EL-SSO, </w:t>
      </w:r>
      <w:r w:rsidRPr="009D0102">
        <w:rPr>
          <w:rFonts w:ascii="Times New Roman" w:hAnsi="Times New Roman" w:cs="Times New Roman"/>
        </w:rPr>
        <w:t xml:space="preserve">Notice of </w:t>
      </w:r>
      <w:r w:rsidRPr="009D0102" w:rsidR="00133EF2">
        <w:rPr>
          <w:rFonts w:ascii="Times New Roman" w:hAnsi="Times New Roman" w:cs="Times New Roman"/>
        </w:rPr>
        <w:t xml:space="preserve">Filing </w:t>
      </w:r>
      <w:r w:rsidRPr="009D0102">
        <w:rPr>
          <w:rFonts w:ascii="Times New Roman" w:hAnsi="Times New Roman" w:cs="Times New Roman"/>
        </w:rPr>
        <w:t xml:space="preserve">Proposed Tariffs </w:t>
      </w:r>
      <w:r w:rsidRPr="009D0102" w:rsidR="00133EF2">
        <w:rPr>
          <w:rFonts w:ascii="Times New Roman" w:hAnsi="Times New Roman" w:cs="Times New Roman"/>
        </w:rPr>
        <w:t>(Aug</w:t>
      </w:r>
      <w:r w:rsidR="008D6137">
        <w:rPr>
          <w:rFonts w:ascii="Times New Roman" w:hAnsi="Times New Roman" w:cs="Times New Roman"/>
        </w:rPr>
        <w:t xml:space="preserve">. </w:t>
      </w:r>
      <w:r w:rsidRPr="009D0102" w:rsidR="00133EF2">
        <w:rPr>
          <w:rFonts w:ascii="Times New Roman" w:hAnsi="Times New Roman" w:cs="Times New Roman"/>
        </w:rPr>
        <w:t xml:space="preserve">1, 2016). </w:t>
      </w:r>
    </w:p>
  </w:footnote>
  <w:footnote w:id="14">
    <w:p w:rsidR="00C978C7" w:rsidRPr="009D0102" w:rsidP="009D0102" w14:paraId="45110849" w14:textId="2E8BA213">
      <w:pPr>
        <w:pStyle w:val="FootnoteText"/>
        <w:spacing w:after="120"/>
        <w:rPr>
          <w:rFonts w:ascii="Times New Roman" w:hAnsi="Times New Roman" w:cs="Times New Roman"/>
        </w:rPr>
      </w:pPr>
      <w:r w:rsidRPr="009D0102">
        <w:rPr>
          <w:rStyle w:val="FootnoteReference"/>
          <w:rFonts w:ascii="Times New Roman" w:hAnsi="Times New Roman" w:cs="Times New Roman"/>
        </w:rPr>
        <w:footnoteRef/>
      </w:r>
      <w:r w:rsidRPr="009D0102">
        <w:rPr>
          <w:rFonts w:ascii="Times New Roman" w:hAnsi="Times New Roman" w:cs="Times New Roman"/>
        </w:rPr>
        <w:t xml:space="preserve"> </w:t>
      </w:r>
      <w:r w:rsidRPr="009D0102" w:rsidR="008D6137">
        <w:rPr>
          <w:rFonts w:ascii="Times New Roman" w:hAnsi="Times New Roman" w:cs="Times New Roman"/>
        </w:rPr>
        <w:t xml:space="preserve">Case No. 08-1094-EL-SSO, </w:t>
      </w:r>
      <w:r w:rsidRPr="009D0102">
        <w:rPr>
          <w:rFonts w:ascii="Times New Roman" w:hAnsi="Times New Roman" w:cs="Times New Roman"/>
        </w:rPr>
        <w:t>IEU Memorandum in Opposition at 8 (Aug</w:t>
      </w:r>
      <w:r w:rsidR="008D6137">
        <w:rPr>
          <w:rFonts w:ascii="Times New Roman" w:hAnsi="Times New Roman" w:cs="Times New Roman"/>
        </w:rPr>
        <w:t>.</w:t>
      </w:r>
      <w:r w:rsidRPr="009D0102">
        <w:rPr>
          <w:rFonts w:ascii="Times New Roman" w:hAnsi="Times New Roman" w:cs="Times New Roman"/>
        </w:rPr>
        <w:t xml:space="preserve"> 11, 2016)</w:t>
      </w:r>
      <w:r w:rsidRPr="009D0102" w:rsidR="006224B4">
        <w:rPr>
          <w:rFonts w:ascii="Times New Roman" w:hAnsi="Times New Roman" w:cs="Times New Roman"/>
        </w:rPr>
        <w:t>.</w:t>
      </w:r>
      <w:r w:rsidRPr="009D0102">
        <w:rPr>
          <w:rFonts w:ascii="Times New Roman" w:hAnsi="Times New Roman" w:cs="Times New Roman"/>
        </w:rPr>
        <w:t xml:space="preserve"> </w:t>
      </w:r>
    </w:p>
  </w:footnote>
  <w:footnote w:id="15">
    <w:p w:rsidR="00C978C7" w:rsidRPr="009D0102" w:rsidP="009D0102" w14:paraId="320A8180" w14:textId="5DE5A769">
      <w:pPr>
        <w:pStyle w:val="FootnoteText"/>
        <w:spacing w:after="120"/>
        <w:rPr>
          <w:rFonts w:ascii="Times New Roman" w:hAnsi="Times New Roman" w:cs="Times New Roman"/>
        </w:rPr>
      </w:pPr>
      <w:r w:rsidRPr="009D0102">
        <w:rPr>
          <w:rStyle w:val="FootnoteReference"/>
          <w:rFonts w:ascii="Times New Roman" w:hAnsi="Times New Roman"/>
        </w:rPr>
        <w:footnoteRef/>
      </w:r>
      <w:r w:rsidRPr="009D0102">
        <w:rPr>
          <w:rFonts w:ascii="Times New Roman" w:hAnsi="Times New Roman"/>
        </w:rPr>
        <w:t xml:space="preserve"> </w:t>
      </w:r>
      <w:r w:rsidRPr="009D0102">
        <w:rPr>
          <w:rFonts w:ascii="Times New Roman" w:hAnsi="Times New Roman" w:cs="Times New Roman"/>
          <w:i/>
          <w:iCs/>
        </w:rPr>
        <w:t xml:space="preserve">See </w:t>
      </w:r>
      <w:r w:rsidRPr="009D0102">
        <w:rPr>
          <w:rFonts w:ascii="Times New Roman" w:hAnsi="Times New Roman" w:cs="Times New Roman"/>
        </w:rPr>
        <w:t>Case No. 08-1094-EL-SSO, Reply of the Dayton Power</w:t>
      </w:r>
      <w:r w:rsidR="009D0102">
        <w:rPr>
          <w:rFonts w:ascii="Times New Roman" w:hAnsi="Times New Roman" w:cs="Times New Roman"/>
        </w:rPr>
        <w:t xml:space="preserve"> </w:t>
      </w:r>
      <w:r w:rsidRPr="009D0102">
        <w:rPr>
          <w:rFonts w:ascii="Times New Roman" w:hAnsi="Times New Roman" w:cs="Times New Roman"/>
        </w:rPr>
        <w:t xml:space="preserve">and Light Company in Support of Motion to Withdraw ESP II Application and Motion to Implement Previously Authorized Rates </w:t>
      </w:r>
      <w:r w:rsidR="008D6137">
        <w:rPr>
          <w:rFonts w:ascii="Times New Roman" w:hAnsi="Times New Roman" w:cs="Times New Roman"/>
        </w:rPr>
        <w:t xml:space="preserve">at 25 </w:t>
      </w:r>
      <w:r w:rsidRPr="009D0102">
        <w:rPr>
          <w:rFonts w:ascii="Times New Roman" w:hAnsi="Times New Roman" w:cs="Times New Roman"/>
        </w:rPr>
        <w:t>(Aug</w:t>
      </w:r>
      <w:r w:rsidR="008D6137">
        <w:rPr>
          <w:rFonts w:ascii="Times New Roman" w:hAnsi="Times New Roman" w:cs="Times New Roman"/>
        </w:rPr>
        <w:t>.</w:t>
      </w:r>
      <w:r w:rsidRPr="009D0102">
        <w:rPr>
          <w:rFonts w:ascii="Times New Roman" w:hAnsi="Times New Roman" w:cs="Times New Roman"/>
        </w:rPr>
        <w:t xml:space="preserve"> 18, 2016) (underline in original).</w:t>
      </w:r>
    </w:p>
  </w:footnote>
  <w:footnote w:id="16">
    <w:p w:rsidR="00FF7089" w:rsidRPr="009D0102" w:rsidP="009D0102" w14:paraId="60E288EC" w14:textId="259351F6">
      <w:pPr>
        <w:pStyle w:val="FootnoteText"/>
        <w:spacing w:after="120"/>
        <w:rPr>
          <w:rFonts w:ascii="Times New Roman" w:hAnsi="Times New Roman" w:cs="Times New Roman"/>
        </w:rPr>
      </w:pPr>
      <w:r w:rsidRPr="009D0102">
        <w:rPr>
          <w:rStyle w:val="FootnoteReference"/>
          <w:rFonts w:ascii="Times New Roman" w:hAnsi="Times New Roman" w:cs="Times New Roman"/>
        </w:rPr>
        <w:footnoteRef/>
      </w:r>
      <w:r w:rsidRPr="009D0102">
        <w:rPr>
          <w:rFonts w:ascii="Times New Roman" w:hAnsi="Times New Roman" w:cs="Times New Roman"/>
        </w:rPr>
        <w:t xml:space="preserve"> </w:t>
      </w:r>
      <w:r w:rsidRPr="009D0102" w:rsidR="008D6137">
        <w:rPr>
          <w:rFonts w:ascii="Times New Roman" w:hAnsi="Times New Roman" w:cs="Times New Roman"/>
        </w:rPr>
        <w:t xml:space="preserve">Case No. 08-1094-EL-SSO, </w:t>
      </w:r>
      <w:r w:rsidRPr="009D0102">
        <w:rPr>
          <w:rFonts w:ascii="Times New Roman" w:hAnsi="Times New Roman" w:cs="Times New Roman"/>
        </w:rPr>
        <w:t>Finding and Order at ¶22</w:t>
      </w:r>
      <w:r w:rsidR="001760DC">
        <w:rPr>
          <w:rFonts w:ascii="Times New Roman" w:hAnsi="Times New Roman" w:cs="Times New Roman"/>
        </w:rPr>
        <w:t xml:space="preserve"> </w:t>
      </w:r>
      <w:r w:rsidRPr="009D0102">
        <w:rPr>
          <w:rFonts w:ascii="Times New Roman" w:hAnsi="Times New Roman" w:cs="Times New Roman"/>
        </w:rPr>
        <w:t>(</w:t>
      </w:r>
      <w:r w:rsidRPr="009D0102" w:rsidR="0071638A">
        <w:rPr>
          <w:rFonts w:ascii="Times New Roman" w:hAnsi="Times New Roman" w:cs="Times New Roman"/>
        </w:rPr>
        <w:t>Aug</w:t>
      </w:r>
      <w:r w:rsidR="008D6137">
        <w:rPr>
          <w:rFonts w:ascii="Times New Roman" w:hAnsi="Times New Roman" w:cs="Times New Roman"/>
        </w:rPr>
        <w:t>.</w:t>
      </w:r>
      <w:r w:rsidRPr="009D0102" w:rsidR="0071638A">
        <w:rPr>
          <w:rFonts w:ascii="Times New Roman" w:hAnsi="Times New Roman" w:cs="Times New Roman"/>
        </w:rPr>
        <w:t xml:space="preserve"> 26, 2016).  </w:t>
      </w:r>
    </w:p>
  </w:footnote>
  <w:footnote w:id="17">
    <w:p w:rsidR="0071638A" w:rsidRPr="009D0102" w:rsidP="009D0102" w14:paraId="052878EF" w14:textId="24B9CF90">
      <w:pPr>
        <w:pStyle w:val="FootnoteText"/>
        <w:spacing w:after="120"/>
        <w:rPr>
          <w:rFonts w:ascii="Times New Roman" w:hAnsi="Times New Roman" w:cs="Times New Roman"/>
        </w:rPr>
      </w:pPr>
      <w:r w:rsidRPr="009D0102">
        <w:rPr>
          <w:rStyle w:val="FootnoteReference"/>
          <w:rFonts w:ascii="Times New Roman" w:hAnsi="Times New Roman" w:cs="Times New Roman"/>
        </w:rPr>
        <w:footnoteRef/>
      </w:r>
      <w:r w:rsidRPr="009D0102">
        <w:rPr>
          <w:rFonts w:ascii="Times New Roman" w:hAnsi="Times New Roman" w:cs="Times New Roman"/>
        </w:rPr>
        <w:t xml:space="preserve"> </w:t>
      </w:r>
      <w:r w:rsidRPr="00252DF3" w:rsidR="00252DF3">
        <w:rPr>
          <w:rFonts w:ascii="Times New Roman" w:hAnsi="Times New Roman" w:cs="Times New Roman"/>
          <w:i/>
          <w:iCs/>
        </w:rPr>
        <w:t>Id</w:t>
      </w:r>
      <w:r w:rsidR="00252DF3">
        <w:rPr>
          <w:rFonts w:ascii="Times New Roman" w:hAnsi="Times New Roman" w:cs="Times New Roman"/>
        </w:rPr>
        <w:t xml:space="preserve">. at </w:t>
      </w:r>
      <w:r w:rsidR="001760DC">
        <w:rPr>
          <w:rFonts w:ascii="Times New Roman" w:hAnsi="Times New Roman" w:cs="Times New Roman"/>
        </w:rPr>
        <w:t>¶</w:t>
      </w:r>
      <w:r w:rsidRPr="009D0102">
        <w:rPr>
          <w:rFonts w:ascii="Times New Roman" w:hAnsi="Times New Roman" w:cs="Times New Roman"/>
        </w:rPr>
        <w:t xml:space="preserve">24.  </w:t>
      </w:r>
    </w:p>
  </w:footnote>
  <w:footnote w:id="18">
    <w:p w:rsidR="0071638A" w:rsidRPr="009D0102" w:rsidP="009D0102" w14:paraId="4EF4E2B2" w14:textId="517F27D8">
      <w:pPr>
        <w:pStyle w:val="FootnoteText"/>
        <w:spacing w:after="120"/>
        <w:rPr>
          <w:rFonts w:ascii="Times New Roman" w:hAnsi="Times New Roman" w:cs="Times New Roman"/>
        </w:rPr>
      </w:pPr>
      <w:r w:rsidRPr="009D0102">
        <w:rPr>
          <w:rStyle w:val="FootnoteReference"/>
          <w:rFonts w:ascii="Times New Roman" w:hAnsi="Times New Roman" w:cs="Times New Roman"/>
        </w:rPr>
        <w:footnoteRef/>
      </w:r>
      <w:r w:rsidRPr="009D0102">
        <w:rPr>
          <w:rFonts w:ascii="Times New Roman" w:hAnsi="Times New Roman" w:cs="Times New Roman"/>
        </w:rPr>
        <w:t xml:space="preserve"> Case No. 08-1094-EL-SSO, Third Entry on Rehearing at ¶18; </w:t>
      </w:r>
      <w:r w:rsidR="00252DF3">
        <w:rPr>
          <w:rFonts w:ascii="Times New Roman" w:hAnsi="Times New Roman" w:cs="Times New Roman"/>
        </w:rPr>
        <w:t>¶</w:t>
      </w:r>
      <w:r w:rsidRPr="009D0102">
        <w:rPr>
          <w:rFonts w:ascii="Times New Roman" w:hAnsi="Times New Roman" w:cs="Times New Roman"/>
        </w:rPr>
        <w:t xml:space="preserve">22, </w:t>
      </w:r>
      <w:r w:rsidR="00252DF3">
        <w:rPr>
          <w:rFonts w:ascii="Times New Roman" w:hAnsi="Times New Roman" w:cs="Times New Roman"/>
        </w:rPr>
        <w:t>and ¶</w:t>
      </w:r>
      <w:r w:rsidRPr="009D0102">
        <w:rPr>
          <w:rFonts w:ascii="Times New Roman" w:hAnsi="Times New Roman" w:cs="Times New Roman"/>
        </w:rPr>
        <w:t xml:space="preserve">23. </w:t>
      </w:r>
    </w:p>
  </w:footnote>
  <w:footnote w:id="19">
    <w:p w:rsidR="00D442CF" w:rsidRPr="009D0102" w:rsidP="009D0102" w14:paraId="41C81F24" w14:textId="16286D34">
      <w:pPr>
        <w:pStyle w:val="FootnoteText"/>
        <w:spacing w:after="120"/>
        <w:rPr>
          <w:rFonts w:ascii="Times New Roman" w:hAnsi="Times New Roman" w:cs="Times New Roman"/>
        </w:rPr>
      </w:pPr>
      <w:r w:rsidRPr="009D0102">
        <w:rPr>
          <w:rStyle w:val="FootnoteReference"/>
          <w:rFonts w:ascii="Times New Roman" w:hAnsi="Times New Roman" w:cs="Times New Roman"/>
        </w:rPr>
        <w:footnoteRef/>
      </w:r>
      <w:r w:rsidRPr="009D0102">
        <w:rPr>
          <w:rFonts w:ascii="Times New Roman" w:hAnsi="Times New Roman" w:cs="Times New Roman"/>
        </w:rPr>
        <w:t xml:space="preserve"> </w:t>
      </w:r>
      <w:r w:rsidRPr="00252DF3" w:rsidR="00252DF3">
        <w:rPr>
          <w:rFonts w:ascii="Times New Roman" w:hAnsi="Times New Roman" w:cs="Times New Roman"/>
          <w:i/>
          <w:iCs/>
        </w:rPr>
        <w:t>Id</w:t>
      </w:r>
      <w:r w:rsidR="00252DF3">
        <w:rPr>
          <w:rFonts w:ascii="Times New Roman" w:hAnsi="Times New Roman" w:cs="Times New Roman"/>
        </w:rPr>
        <w:t xml:space="preserve">. at </w:t>
      </w:r>
      <w:r w:rsidRPr="009D0102">
        <w:rPr>
          <w:rFonts w:ascii="Times New Roman" w:hAnsi="Times New Roman" w:cs="Times New Roman"/>
        </w:rPr>
        <w:t>¶22</w:t>
      </w:r>
      <w:r w:rsidR="00252DF3">
        <w:rPr>
          <w:rFonts w:ascii="Times New Roman" w:hAnsi="Times New Roman" w:cs="Times New Roman"/>
        </w:rPr>
        <w:t xml:space="preserve"> and ¶</w:t>
      </w:r>
      <w:r w:rsidRPr="009D0102">
        <w:rPr>
          <w:rFonts w:ascii="Times New Roman" w:hAnsi="Times New Roman" w:cs="Times New Roman"/>
        </w:rPr>
        <w:t xml:space="preserve">23. </w:t>
      </w:r>
    </w:p>
  </w:footnote>
  <w:footnote w:id="20">
    <w:p w:rsidR="00D442CF" w:rsidRPr="009D0102" w:rsidP="009D0102" w14:paraId="3CDE7BCC" w14:textId="47513305">
      <w:pPr>
        <w:pStyle w:val="FootnoteText"/>
        <w:spacing w:after="120"/>
        <w:rPr>
          <w:rFonts w:ascii="Times New Roman" w:hAnsi="Times New Roman" w:cs="Times New Roman"/>
        </w:rPr>
      </w:pPr>
      <w:r w:rsidRPr="009D0102">
        <w:rPr>
          <w:rStyle w:val="FootnoteReference"/>
          <w:rFonts w:ascii="Times New Roman" w:hAnsi="Times New Roman" w:cs="Times New Roman"/>
        </w:rPr>
        <w:footnoteRef/>
      </w:r>
      <w:r w:rsidRPr="009D0102">
        <w:rPr>
          <w:rFonts w:ascii="Times New Roman" w:hAnsi="Times New Roman" w:cs="Times New Roman"/>
        </w:rPr>
        <w:t xml:space="preserve"> </w:t>
      </w:r>
      <w:r w:rsidR="00252DF3">
        <w:rPr>
          <w:rFonts w:ascii="Times New Roman" w:hAnsi="Times New Roman" w:cs="Times New Roman"/>
        </w:rPr>
        <w:t>Third Entry on Rehearing</w:t>
      </w:r>
      <w:r w:rsidRPr="009D0102">
        <w:rPr>
          <w:rFonts w:ascii="Times New Roman" w:hAnsi="Times New Roman" w:cs="Times New Roman"/>
        </w:rPr>
        <w:t xml:space="preserve"> at ¶22.  </w:t>
      </w:r>
    </w:p>
  </w:footnote>
  <w:footnote w:id="21">
    <w:p w:rsidR="00E60B0B" w:rsidRPr="009D0102" w:rsidP="009D0102" w14:paraId="1D265C44" w14:textId="15B7053D">
      <w:pPr>
        <w:pStyle w:val="FootnoteText"/>
        <w:spacing w:after="120"/>
        <w:rPr>
          <w:rFonts w:ascii="Times New Roman" w:hAnsi="Times New Roman" w:cs="Times New Roman"/>
        </w:rPr>
      </w:pPr>
      <w:r w:rsidRPr="009D0102">
        <w:rPr>
          <w:rStyle w:val="FootnoteReference"/>
          <w:rFonts w:ascii="Times New Roman" w:hAnsi="Times New Roman" w:cs="Times New Roman"/>
        </w:rPr>
        <w:footnoteRef/>
      </w:r>
      <w:r w:rsidRPr="009D0102">
        <w:rPr>
          <w:rFonts w:ascii="Times New Roman" w:hAnsi="Times New Roman" w:cs="Times New Roman"/>
        </w:rPr>
        <w:t xml:space="preserve"> </w:t>
      </w:r>
      <w:r w:rsidRPr="009D0102">
        <w:rPr>
          <w:rFonts w:ascii="Times New Roman" w:hAnsi="Times New Roman" w:cs="Times New Roman"/>
          <w:i/>
          <w:iCs/>
        </w:rPr>
        <w:t>Id</w:t>
      </w:r>
      <w:r w:rsidRPr="009D0102">
        <w:rPr>
          <w:rFonts w:ascii="Times New Roman" w:hAnsi="Times New Roman" w:cs="Times New Roman"/>
        </w:rPr>
        <w:t>.</w:t>
      </w:r>
      <w:r w:rsidRPr="009D0102" w:rsidR="000B5542">
        <w:rPr>
          <w:rFonts w:ascii="Times New Roman" w:hAnsi="Times New Roman" w:cs="Times New Roman"/>
        </w:rPr>
        <w:t xml:space="preserve"> </w:t>
      </w:r>
    </w:p>
  </w:footnote>
  <w:footnote w:id="22">
    <w:p w:rsidR="001A70AC" w:rsidRPr="009D0102" w:rsidP="009D0102" w14:paraId="2938E1EC" w14:textId="21A16444">
      <w:pPr>
        <w:pStyle w:val="FootnoteText"/>
        <w:spacing w:after="120"/>
        <w:rPr>
          <w:rFonts w:ascii="Times New Roman" w:hAnsi="Times New Roman" w:cs="Times New Roman"/>
          <w:i/>
          <w:iCs/>
        </w:rPr>
      </w:pPr>
      <w:r w:rsidRPr="009D0102">
        <w:rPr>
          <w:rStyle w:val="FootnoteReference"/>
          <w:rFonts w:ascii="Times New Roman" w:hAnsi="Times New Roman" w:cs="Times New Roman"/>
        </w:rPr>
        <w:footnoteRef/>
      </w:r>
      <w:r w:rsidRPr="009D0102">
        <w:rPr>
          <w:rFonts w:ascii="Times New Roman" w:hAnsi="Times New Roman" w:cs="Times New Roman"/>
        </w:rPr>
        <w:t xml:space="preserve"> </w:t>
      </w:r>
      <w:r w:rsidRPr="009D0102">
        <w:rPr>
          <w:rFonts w:ascii="Times New Roman" w:hAnsi="Times New Roman" w:cs="Times New Roman"/>
          <w:i/>
          <w:iCs/>
        </w:rPr>
        <w:t>Id.</w:t>
      </w:r>
    </w:p>
  </w:footnote>
  <w:footnote w:id="23">
    <w:p w:rsidR="00145E59" w:rsidRPr="009D0102" w:rsidP="009D0102" w14:paraId="1F237EFA" w14:textId="3AEF3FE5">
      <w:pPr>
        <w:pStyle w:val="FootnoteText"/>
        <w:spacing w:after="120"/>
        <w:rPr>
          <w:rFonts w:ascii="Times New Roman" w:hAnsi="Times New Roman" w:cs="Times New Roman"/>
        </w:rPr>
      </w:pPr>
      <w:r w:rsidRPr="009D0102">
        <w:rPr>
          <w:rStyle w:val="FootnoteReference"/>
          <w:rFonts w:ascii="Times New Roman" w:hAnsi="Times New Roman" w:cs="Times New Roman"/>
        </w:rPr>
        <w:footnoteRef/>
      </w:r>
      <w:r w:rsidRPr="009D0102">
        <w:rPr>
          <w:rFonts w:ascii="Times New Roman" w:hAnsi="Times New Roman" w:cs="Times New Roman"/>
        </w:rPr>
        <w:t xml:space="preserve"> </w:t>
      </w:r>
      <w:r w:rsidR="00252DF3">
        <w:rPr>
          <w:rFonts w:ascii="Times New Roman" w:hAnsi="Times New Roman" w:cs="Times New Roman"/>
        </w:rPr>
        <w:t>Fifth Entry on Rehearing</w:t>
      </w:r>
      <w:r w:rsidRPr="009D0102">
        <w:rPr>
          <w:rFonts w:ascii="Times New Roman" w:hAnsi="Times New Roman" w:cs="Times New Roman"/>
        </w:rPr>
        <w:t xml:space="preserve"> at ¶63.</w:t>
      </w:r>
    </w:p>
  </w:footnote>
  <w:footnote w:id="24">
    <w:p w:rsidR="00145E59" w:rsidRPr="009D0102" w:rsidP="009D0102" w14:paraId="2FCAECC7" w14:textId="14EC7D11">
      <w:pPr>
        <w:pStyle w:val="FootnoteText"/>
        <w:spacing w:after="120"/>
        <w:rPr>
          <w:rFonts w:ascii="Times New Roman" w:hAnsi="Times New Roman" w:cs="Times New Roman"/>
        </w:rPr>
      </w:pPr>
      <w:r w:rsidRPr="009D0102">
        <w:rPr>
          <w:rStyle w:val="FootnoteReference"/>
          <w:rFonts w:ascii="Times New Roman" w:hAnsi="Times New Roman" w:cs="Times New Roman"/>
        </w:rPr>
        <w:footnoteRef/>
      </w:r>
      <w:r w:rsidRPr="009D0102">
        <w:rPr>
          <w:rFonts w:ascii="Times New Roman" w:hAnsi="Times New Roman" w:cs="Times New Roman"/>
        </w:rPr>
        <w:t xml:space="preserve"> DP&amp;L’s Application for Rehearing at 3</w:t>
      </w:r>
      <w:r>
        <w:rPr>
          <w:rFonts w:ascii="Times New Roman" w:hAnsi="Times New Roman" w:cs="Times New Roman"/>
        </w:rPr>
        <w:t xml:space="preserve"> (July 16, 2021)</w:t>
      </w:r>
      <w:r w:rsidRPr="009D0102">
        <w:rPr>
          <w:rFonts w:ascii="Times New Roman" w:hAnsi="Times New Roman" w:cs="Times New Roman"/>
        </w:rPr>
        <w:t>.</w:t>
      </w:r>
    </w:p>
  </w:footnote>
  <w:footnote w:id="25">
    <w:p w:rsidR="0024747B" w:rsidRPr="009D0102" w:rsidP="009D0102" w14:paraId="69CB65B2" w14:textId="70DF92FE">
      <w:pPr>
        <w:pStyle w:val="FootnoteText"/>
        <w:spacing w:after="120"/>
        <w:rPr>
          <w:rFonts w:ascii="Times New Roman" w:hAnsi="Times New Roman" w:cs="Times New Roman"/>
        </w:rPr>
      </w:pPr>
      <w:r w:rsidRPr="009D0102">
        <w:rPr>
          <w:rStyle w:val="FootnoteReference"/>
          <w:rFonts w:ascii="Times New Roman" w:hAnsi="Times New Roman"/>
        </w:rPr>
        <w:footnoteRef/>
      </w:r>
      <w:r w:rsidRPr="009D0102">
        <w:rPr>
          <w:rFonts w:ascii="Times New Roman" w:hAnsi="Times New Roman"/>
        </w:rPr>
        <w:t xml:space="preserve"> </w:t>
      </w:r>
      <w:r w:rsidRPr="009D0102">
        <w:rPr>
          <w:rFonts w:ascii="Times New Roman" w:hAnsi="Times New Roman" w:cs="Times New Roman"/>
          <w:i/>
          <w:iCs/>
        </w:rPr>
        <w:t>See, e.g</w:t>
      </w:r>
      <w:r w:rsidRPr="009D0102">
        <w:rPr>
          <w:rFonts w:ascii="Times New Roman" w:hAnsi="Times New Roman" w:cs="Times New Roman"/>
        </w:rPr>
        <w:t>.,</w:t>
      </w:r>
      <w:r w:rsidRPr="009D0102">
        <w:rPr>
          <w:rFonts w:ascii="Times New Roman" w:hAnsi="Times New Roman" w:cs="Times New Roman"/>
          <w:i/>
          <w:iCs/>
        </w:rPr>
        <w:t xml:space="preserve"> In re Application of Ohio Edison Co</w:t>
      </w:r>
      <w:r w:rsidRPr="009D0102">
        <w:rPr>
          <w:rFonts w:ascii="Times New Roman" w:hAnsi="Times New Roman" w:cs="Times New Roman"/>
        </w:rPr>
        <w:t xml:space="preserve">., 157 Ohio St.3d 73, 2019-Ohio-2401, ¶23; </w:t>
      </w:r>
      <w:r w:rsidRPr="009D0102">
        <w:rPr>
          <w:rFonts w:ascii="Times New Roman" w:hAnsi="Times New Roman" w:cs="Times New Roman"/>
          <w:i/>
          <w:iCs/>
        </w:rPr>
        <w:t>In re: Rev. of Alternative Energy Rider Contained in Tariffs of Ohio Edison Co.,</w:t>
      </w:r>
      <w:r w:rsidRPr="009D0102">
        <w:rPr>
          <w:rFonts w:ascii="Times New Roman" w:hAnsi="Times New Roman" w:cs="Times New Roman"/>
        </w:rPr>
        <w:t xml:space="preserve"> 153 Ohio St.3d 289, 2018-Ohio-229, ¶15-20.   </w:t>
      </w:r>
    </w:p>
  </w:footnote>
  <w:footnote w:id="26">
    <w:p w:rsidR="00CA155B" w:rsidRPr="009D0102" w:rsidP="009D0102" w14:paraId="44F3C100" w14:textId="6179300C">
      <w:pPr>
        <w:pStyle w:val="FootnoteText"/>
        <w:spacing w:after="120"/>
        <w:rPr>
          <w:rFonts w:ascii="Times New Roman" w:hAnsi="Times New Roman" w:cs="Times New Roman"/>
        </w:rPr>
      </w:pPr>
      <w:r w:rsidRPr="009D0102">
        <w:rPr>
          <w:rStyle w:val="FootnoteReference"/>
          <w:rFonts w:ascii="Times New Roman" w:hAnsi="Times New Roman" w:cs="Times New Roman"/>
        </w:rPr>
        <w:footnoteRef/>
      </w:r>
      <w:r w:rsidRPr="009D0102">
        <w:rPr>
          <w:rFonts w:ascii="Times New Roman" w:hAnsi="Times New Roman" w:cs="Times New Roman"/>
        </w:rPr>
        <w:t xml:space="preserve"> Case No. 08-1094-EL-SSO, OCC’s Application for Rehearing</w:t>
      </w:r>
      <w:r>
        <w:rPr>
          <w:rFonts w:ascii="Times New Roman" w:hAnsi="Times New Roman" w:cs="Times New Roman"/>
        </w:rPr>
        <w:t xml:space="preserve"> at 13-17</w:t>
      </w:r>
      <w:r w:rsidRPr="009D0102">
        <w:rPr>
          <w:rFonts w:ascii="Times New Roman" w:hAnsi="Times New Roman" w:cs="Times New Roman"/>
        </w:rPr>
        <w:t xml:space="preserve"> (July 16, 2021)</w:t>
      </w:r>
      <w:r>
        <w:rPr>
          <w:rFonts w:ascii="Times New Roman" w:hAnsi="Times New Roman" w:cs="Times New Roman"/>
        </w:rPr>
        <w:t xml:space="preserve">. </w:t>
      </w:r>
      <w:r w:rsidRPr="009D0102">
        <w:rPr>
          <w:rFonts w:ascii="Times New Roman" w:hAnsi="Times New Roman" w:cs="Times New Roman"/>
        </w:rPr>
        <w:t xml:space="preserve"> </w:t>
      </w:r>
    </w:p>
  </w:footnote>
  <w:footnote w:id="27">
    <w:p w:rsidR="00145E59" w:rsidRPr="009D0102" w:rsidP="009D0102" w14:paraId="3559E3AF" w14:textId="4A5B0868">
      <w:pPr>
        <w:pStyle w:val="FootnoteText"/>
        <w:spacing w:after="120"/>
        <w:rPr>
          <w:rFonts w:ascii="Times New Roman" w:hAnsi="Times New Roman" w:cs="Times New Roman"/>
        </w:rPr>
      </w:pPr>
      <w:r w:rsidRPr="009D0102">
        <w:rPr>
          <w:rStyle w:val="FootnoteReference"/>
          <w:rFonts w:ascii="Times New Roman" w:hAnsi="Times New Roman" w:cs="Times New Roman"/>
        </w:rPr>
        <w:footnoteRef/>
      </w:r>
      <w:r w:rsidRPr="009D0102">
        <w:rPr>
          <w:rFonts w:ascii="Times New Roman" w:hAnsi="Times New Roman" w:cs="Times New Roman"/>
        </w:rPr>
        <w:t xml:space="preserve"> DP&amp;L’s Application for Rehearing at 3</w:t>
      </w:r>
      <w:r>
        <w:rPr>
          <w:rFonts w:ascii="Times New Roman" w:hAnsi="Times New Roman" w:cs="Times New Roman"/>
        </w:rPr>
        <w:t xml:space="preserve"> (July 16, 2021)</w:t>
      </w:r>
      <w:r w:rsidRPr="009D0102">
        <w:rPr>
          <w:rFonts w:ascii="Times New Roman" w:hAnsi="Times New Roman" w:cs="Times New Roman"/>
        </w:rPr>
        <w:t>.</w:t>
      </w:r>
    </w:p>
  </w:footnote>
  <w:footnote w:id="28">
    <w:p w:rsidR="00145E59" w:rsidRPr="009D0102" w:rsidP="009D0102" w14:paraId="5480938E" w14:textId="32E71277">
      <w:pPr>
        <w:pStyle w:val="FootnoteText"/>
        <w:spacing w:after="120"/>
        <w:rPr>
          <w:rFonts w:ascii="Times New Roman" w:hAnsi="Times New Roman" w:cs="Times New Roman"/>
        </w:rPr>
      </w:pPr>
      <w:r w:rsidRPr="009D0102">
        <w:rPr>
          <w:rStyle w:val="FootnoteReference"/>
          <w:rFonts w:ascii="Times New Roman" w:hAnsi="Times New Roman" w:cs="Times New Roman"/>
        </w:rPr>
        <w:footnoteRef/>
      </w:r>
      <w:r w:rsidRPr="009D0102">
        <w:rPr>
          <w:rFonts w:ascii="Times New Roman" w:hAnsi="Times New Roman" w:cs="Times New Roman"/>
        </w:rPr>
        <w:t xml:space="preserve"> </w:t>
      </w:r>
      <w:r w:rsidRPr="009D0102">
        <w:rPr>
          <w:rFonts w:ascii="Times New Roman" w:hAnsi="Times New Roman" w:cs="Times New Roman"/>
          <w:i/>
          <w:iCs/>
        </w:rPr>
        <w:t xml:space="preserve">See </w:t>
      </w:r>
      <w:r>
        <w:rPr>
          <w:rFonts w:ascii="Times New Roman" w:hAnsi="Times New Roman" w:cs="Times New Roman"/>
          <w:i/>
          <w:iCs/>
        </w:rPr>
        <w:t>Id.</w:t>
      </w:r>
      <w:r w:rsidRPr="009D0102">
        <w:rPr>
          <w:rFonts w:ascii="Times New Roman" w:hAnsi="Times New Roman" w:cs="Times New Roman"/>
        </w:rPr>
        <w:t xml:space="preserve"> at 3-5.</w:t>
      </w:r>
    </w:p>
  </w:footnote>
  <w:footnote w:id="29">
    <w:p w:rsidR="006B08DE" w:rsidRPr="009D0102" w:rsidP="009D0102" w14:paraId="1600B3E6" w14:textId="4587BA97">
      <w:pPr>
        <w:pStyle w:val="FootnoteText"/>
        <w:spacing w:after="120"/>
        <w:rPr>
          <w:rFonts w:ascii="Times New Roman" w:hAnsi="Times New Roman" w:cs="Times New Roman"/>
        </w:rPr>
      </w:pPr>
      <w:r w:rsidRPr="009D0102">
        <w:rPr>
          <w:rStyle w:val="FootnoteReference"/>
          <w:rFonts w:ascii="Times New Roman" w:hAnsi="Times New Roman"/>
        </w:rPr>
        <w:footnoteRef/>
      </w:r>
      <w:r w:rsidRPr="009D0102">
        <w:rPr>
          <w:rFonts w:ascii="Times New Roman" w:hAnsi="Times New Roman"/>
        </w:rPr>
        <w:t xml:space="preserve"> </w:t>
      </w:r>
      <w:r w:rsidRPr="00226415">
        <w:rPr>
          <w:rFonts w:ascii="Times New Roman" w:hAnsi="Times New Roman"/>
          <w:i/>
          <w:iCs/>
        </w:rPr>
        <w:t>Id</w:t>
      </w:r>
      <w:r>
        <w:rPr>
          <w:rFonts w:ascii="Times New Roman" w:hAnsi="Times New Roman"/>
        </w:rPr>
        <w:t xml:space="preserve">. </w:t>
      </w:r>
      <w:r w:rsidRPr="009D0102">
        <w:rPr>
          <w:rFonts w:ascii="Times New Roman" w:hAnsi="Times New Roman" w:cs="Times New Roman"/>
        </w:rPr>
        <w:t xml:space="preserve">at 5.  </w:t>
      </w:r>
    </w:p>
  </w:footnote>
  <w:footnote w:id="30">
    <w:p w:rsidR="00796E5A" w:rsidRPr="009D0102" w:rsidP="009D0102" w14:paraId="469D9754" w14:textId="29E6CEED">
      <w:pPr>
        <w:pStyle w:val="FootnoteText"/>
        <w:spacing w:after="120"/>
        <w:rPr>
          <w:rFonts w:ascii="Times New Roman" w:hAnsi="Times New Roman" w:cs="Times New Roman"/>
        </w:rPr>
      </w:pPr>
      <w:r w:rsidRPr="009D0102">
        <w:rPr>
          <w:rStyle w:val="FootnoteReference"/>
          <w:rFonts w:ascii="Times New Roman" w:hAnsi="Times New Roman"/>
        </w:rPr>
        <w:footnoteRef/>
      </w:r>
      <w:r w:rsidRPr="009D0102">
        <w:rPr>
          <w:rFonts w:ascii="Times New Roman" w:hAnsi="Times New Roman"/>
        </w:rPr>
        <w:t xml:space="preserve"> </w:t>
      </w:r>
      <w:r w:rsidRPr="009D0102">
        <w:rPr>
          <w:rFonts w:ascii="Times New Roman" w:hAnsi="Times New Roman" w:cs="Times New Roman"/>
          <w:i/>
          <w:iCs/>
        </w:rPr>
        <w:t>Id.</w:t>
      </w:r>
      <w:r w:rsidRPr="009D0102">
        <w:rPr>
          <w:rFonts w:ascii="Times New Roman" w:hAnsi="Times New Roman" w:cs="Times New Roman"/>
        </w:rPr>
        <w:t xml:space="preserve"> </w:t>
      </w:r>
    </w:p>
  </w:footnote>
  <w:footnote w:id="31">
    <w:p w:rsidR="008019EC" w:rsidRPr="009D0102" w:rsidP="009D0102" w14:paraId="3F528E1B" w14:textId="79AFA2A5">
      <w:pPr>
        <w:pStyle w:val="FootnoteText"/>
        <w:spacing w:after="120"/>
        <w:rPr>
          <w:rFonts w:ascii="Times New Roman" w:hAnsi="Times New Roman"/>
        </w:rPr>
      </w:pPr>
      <w:r w:rsidRPr="009D0102">
        <w:rPr>
          <w:rStyle w:val="FootnoteReference"/>
          <w:rFonts w:ascii="Times New Roman" w:hAnsi="Times New Roman"/>
        </w:rPr>
        <w:footnoteRef/>
      </w:r>
      <w:r w:rsidRPr="009D0102">
        <w:rPr>
          <w:rFonts w:ascii="Times New Roman" w:hAnsi="Times New Roman"/>
        </w:rPr>
        <w:t xml:space="preserve"> </w:t>
      </w:r>
      <w:r w:rsidRPr="009D0102">
        <w:rPr>
          <w:rFonts w:ascii="Times New Roman" w:hAnsi="Times New Roman" w:cs="Times New Roman"/>
        </w:rPr>
        <w:t>OCC Application for Rehearing (Jan</w:t>
      </w:r>
      <w:r>
        <w:rPr>
          <w:rFonts w:ascii="Times New Roman" w:hAnsi="Times New Roman" w:cs="Times New Roman"/>
        </w:rPr>
        <w:t>.</w:t>
      </w:r>
      <w:r w:rsidRPr="009D0102">
        <w:rPr>
          <w:rFonts w:ascii="Times New Roman" w:hAnsi="Times New Roman" w:cs="Times New Roman"/>
        </w:rPr>
        <w:t xml:space="preserve"> 17, 2020).</w:t>
      </w:r>
      <w:r w:rsidRPr="009D0102">
        <w:rPr>
          <w:rFonts w:ascii="Times New Roman" w:hAnsi="Times New Roman"/>
        </w:rPr>
        <w:t xml:space="preserve">  </w:t>
      </w:r>
    </w:p>
  </w:footnote>
  <w:footnote w:id="32">
    <w:p w:rsidR="00F35764" w:rsidRPr="009D0102" w:rsidP="009D0102" w14:paraId="14573423" w14:textId="3C97D7C0">
      <w:pPr>
        <w:pStyle w:val="FootnoteText"/>
        <w:spacing w:after="120"/>
        <w:rPr>
          <w:rFonts w:ascii="Times New Roman" w:hAnsi="Times New Roman"/>
        </w:rPr>
      </w:pPr>
      <w:r w:rsidRPr="009D0102">
        <w:rPr>
          <w:rStyle w:val="FootnoteReference"/>
          <w:rFonts w:ascii="Times New Roman" w:hAnsi="Times New Roman"/>
        </w:rPr>
        <w:footnoteRef/>
      </w:r>
      <w:r w:rsidRPr="009D0102">
        <w:rPr>
          <w:rFonts w:ascii="Times New Roman" w:hAnsi="Times New Roman"/>
        </w:rPr>
        <w:t xml:space="preserve"> Fifth Entry on Rehearing at </w:t>
      </w:r>
      <w:r w:rsidRPr="009D0102" w:rsidR="00EB18B1">
        <w:rPr>
          <w:rFonts w:ascii="Times New Roman" w:hAnsi="Times New Roman" w:cstheme="minorHAnsi"/>
        </w:rPr>
        <w:t>¶</w:t>
      </w:r>
      <w:r w:rsidRPr="009D0102" w:rsidR="00EB18B1">
        <w:rPr>
          <w:rFonts w:ascii="Times New Roman" w:hAnsi="Times New Roman"/>
        </w:rPr>
        <w:t xml:space="preserve">29, 40.  </w:t>
      </w:r>
    </w:p>
  </w:footnote>
  <w:footnote w:id="33">
    <w:p w:rsidR="00F35764" w:rsidRPr="009D0102" w:rsidP="009D0102" w14:paraId="5BE3F805" w14:textId="61FF9B2F">
      <w:pPr>
        <w:pStyle w:val="FootnoteText"/>
        <w:spacing w:after="120"/>
        <w:rPr>
          <w:rFonts w:ascii="Times New Roman" w:hAnsi="Times New Roman"/>
        </w:rPr>
      </w:pPr>
      <w:r w:rsidRPr="009D0102">
        <w:rPr>
          <w:rStyle w:val="FootnoteReference"/>
          <w:rFonts w:ascii="Times New Roman" w:hAnsi="Times New Roman"/>
        </w:rPr>
        <w:footnoteRef/>
      </w:r>
      <w:r w:rsidRPr="009D0102">
        <w:rPr>
          <w:rFonts w:ascii="Times New Roman" w:hAnsi="Times New Roman"/>
        </w:rPr>
        <w:t xml:space="preserve"> Case No. 08-1094-EL-SSO, Finding and Order </w:t>
      </w:r>
      <w:r w:rsidRPr="009D0102" w:rsidR="008D6137">
        <w:rPr>
          <w:rFonts w:ascii="Times New Roman" w:hAnsi="Times New Roman"/>
        </w:rPr>
        <w:t xml:space="preserve">at </w:t>
      </w:r>
      <w:r w:rsidRPr="009D0102" w:rsidR="008D6137">
        <w:rPr>
          <w:rFonts w:ascii="Times New Roman" w:hAnsi="Times New Roman" w:cs="Times New Roman"/>
        </w:rPr>
        <w:t>¶27</w:t>
      </w:r>
      <w:r w:rsidRPr="009D0102" w:rsidR="008D6137">
        <w:rPr>
          <w:rFonts w:ascii="Times New Roman" w:hAnsi="Times New Roman"/>
        </w:rPr>
        <w:t xml:space="preserve"> </w:t>
      </w:r>
      <w:r w:rsidRPr="009D0102">
        <w:rPr>
          <w:rFonts w:ascii="Times New Roman" w:hAnsi="Times New Roman"/>
        </w:rPr>
        <w:t>(Aug</w:t>
      </w:r>
      <w:r w:rsidR="008D6137">
        <w:rPr>
          <w:rFonts w:ascii="Times New Roman" w:hAnsi="Times New Roman"/>
        </w:rPr>
        <w:t xml:space="preserve">. </w:t>
      </w:r>
      <w:r w:rsidRPr="009D0102">
        <w:rPr>
          <w:rFonts w:ascii="Times New Roman" w:hAnsi="Times New Roman"/>
        </w:rPr>
        <w:t>26, 2016)</w:t>
      </w:r>
      <w:r w:rsidRPr="009D0102">
        <w:rPr>
          <w:rFonts w:ascii="Times New Roman" w:hAnsi="Times New Roman" w:cs="Times New Roman"/>
        </w:rPr>
        <w:t>.</w:t>
      </w:r>
      <w:r w:rsidRPr="009D0102">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906CE6"/>
    <w:multiLevelType w:val="hybridMultilevel"/>
    <w:tmpl w:val="53601E9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8B62C07"/>
    <w:multiLevelType w:val="hybridMultilevel"/>
    <w:tmpl w:val="B83E9230"/>
    <w:lvl w:ilvl="0">
      <w:start w:val="1"/>
      <w:numFmt w:val="decimal"/>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59"/>
    <w:rsid w:val="00080C95"/>
    <w:rsid w:val="000903C7"/>
    <w:rsid w:val="000B5542"/>
    <w:rsid w:val="000E056B"/>
    <w:rsid w:val="001032A9"/>
    <w:rsid w:val="0012273C"/>
    <w:rsid w:val="00133EF2"/>
    <w:rsid w:val="00145E59"/>
    <w:rsid w:val="001760DC"/>
    <w:rsid w:val="00191249"/>
    <w:rsid w:val="001A357F"/>
    <w:rsid w:val="001A70AC"/>
    <w:rsid w:val="001D5FDD"/>
    <w:rsid w:val="00211A88"/>
    <w:rsid w:val="00226415"/>
    <w:rsid w:val="0024747B"/>
    <w:rsid w:val="00252DF3"/>
    <w:rsid w:val="003273DD"/>
    <w:rsid w:val="003B2772"/>
    <w:rsid w:val="003B498D"/>
    <w:rsid w:val="003C1E45"/>
    <w:rsid w:val="003E19E6"/>
    <w:rsid w:val="003E3C4C"/>
    <w:rsid w:val="003E4FD0"/>
    <w:rsid w:val="004526AA"/>
    <w:rsid w:val="00554670"/>
    <w:rsid w:val="00560435"/>
    <w:rsid w:val="00612BC9"/>
    <w:rsid w:val="006224B4"/>
    <w:rsid w:val="006452AA"/>
    <w:rsid w:val="0066677E"/>
    <w:rsid w:val="006B08DE"/>
    <w:rsid w:val="00715650"/>
    <w:rsid w:val="0071638A"/>
    <w:rsid w:val="0072407F"/>
    <w:rsid w:val="00760DFD"/>
    <w:rsid w:val="00796E5A"/>
    <w:rsid w:val="007F016E"/>
    <w:rsid w:val="008019EC"/>
    <w:rsid w:val="008208DB"/>
    <w:rsid w:val="00843509"/>
    <w:rsid w:val="0086054D"/>
    <w:rsid w:val="008D2991"/>
    <w:rsid w:val="008D6137"/>
    <w:rsid w:val="009163A5"/>
    <w:rsid w:val="0098169A"/>
    <w:rsid w:val="009A0E6D"/>
    <w:rsid w:val="009D0102"/>
    <w:rsid w:val="009E155A"/>
    <w:rsid w:val="00A05329"/>
    <w:rsid w:val="00A456AC"/>
    <w:rsid w:val="00A46D55"/>
    <w:rsid w:val="00A951ED"/>
    <w:rsid w:val="00AB3199"/>
    <w:rsid w:val="00AF069E"/>
    <w:rsid w:val="00B17417"/>
    <w:rsid w:val="00B858E2"/>
    <w:rsid w:val="00BF7C37"/>
    <w:rsid w:val="00C41CBC"/>
    <w:rsid w:val="00C54E4F"/>
    <w:rsid w:val="00C66569"/>
    <w:rsid w:val="00C74A40"/>
    <w:rsid w:val="00C978C7"/>
    <w:rsid w:val="00CA155B"/>
    <w:rsid w:val="00CA4805"/>
    <w:rsid w:val="00CB0586"/>
    <w:rsid w:val="00CE6BF2"/>
    <w:rsid w:val="00D442CF"/>
    <w:rsid w:val="00D53008"/>
    <w:rsid w:val="00D56699"/>
    <w:rsid w:val="00D73F48"/>
    <w:rsid w:val="00D84FA4"/>
    <w:rsid w:val="00DA2260"/>
    <w:rsid w:val="00E14FBF"/>
    <w:rsid w:val="00E60B0B"/>
    <w:rsid w:val="00EB18B1"/>
    <w:rsid w:val="00EE2774"/>
    <w:rsid w:val="00F35764"/>
    <w:rsid w:val="00F83AFE"/>
    <w:rsid w:val="00F85411"/>
    <w:rsid w:val="00F86DD7"/>
    <w:rsid w:val="00FB7589"/>
    <w:rsid w:val="00FF70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240" w:line="240" w:lineRule="auto"/>
      <w:outlineLvl w:val="0"/>
    </w:pPr>
    <w:rPr>
      <w:rFonts w:ascii="Times New Roman Bold" w:hAnsi="Times New Roman Bold" w:eastAsiaTheme="majorEastAsia" w:cstheme="majorBidi"/>
      <w:b/>
      <w:caps/>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imes New Roman" w:hAnsi="Times New Roman"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Courier New" w:hAnsi="Courier New" w:cs="Courier New"/>
      <w:sz w:val="20"/>
      <w:szCs w:val="20"/>
    </w:rPr>
  </w:style>
  <w:style w:type="character" w:customStyle="1" w:styleId="Heading1Char">
    <w:name w:val="Heading 1 Char"/>
    <w:basedOn w:val="DefaultParagraphFont"/>
    <w:link w:val="Heading1"/>
    <w:uiPriority w:val="9"/>
    <w:rPr>
      <w:rFonts w:ascii="Times New Roman Bold" w:hAnsi="Times New Roman Bold" w:eastAsiaTheme="majorEastAsia" w:cstheme="majorBidi"/>
      <w:b/>
      <w:caps/>
      <w:sz w:val="24"/>
      <w:szCs w:val="32"/>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aliases w:val="Char1"/>
    <w:basedOn w:val="Normal"/>
    <w:link w:val="FooterChar"/>
    <w:uiPriority w:val="99"/>
    <w:unhideWhenUsed/>
    <w:pPr>
      <w:tabs>
        <w:tab w:val="center" w:pos="4680"/>
        <w:tab w:val="right" w:pos="9360"/>
      </w:tabs>
      <w:spacing w:after="0" w:line="240" w:lineRule="auto"/>
    </w:pPr>
  </w:style>
  <w:style w:type="character" w:customStyle="1" w:styleId="FooterChar">
    <w:name w:val="Footer Char"/>
    <w:aliases w:val="Char1 Char"/>
    <w:basedOn w:val="DefaultParagraphFont"/>
    <w:link w:val="Footer"/>
    <w:uiPriority w:val="99"/>
  </w:style>
  <w:style w:type="character" w:customStyle="1" w:styleId="Heading2Char">
    <w:name w:val="Heading 2 Char"/>
    <w:basedOn w:val="DefaultParagraphFont"/>
    <w:link w:val="Heading2"/>
    <w:uiPriority w:val="9"/>
    <w:semiHidden/>
    <w:rPr>
      <w:rFonts w:ascii="Times New Roman" w:hAnsi="Times New Roman" w:eastAsiaTheme="majorEastAsia" w:cstheme="majorBidi"/>
      <w:b/>
      <w:sz w:val="24"/>
      <w:szCs w:val="26"/>
    </w:rPr>
  </w:style>
  <w:style w:type="character" w:styleId="Hyperlink">
    <w:name w:val="Hyperlink"/>
    <w:uiPriority w:val="99"/>
    <w:rPr>
      <w:color w:val="0000FF"/>
      <w:u w:val="single"/>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styleId="CommentReference">
    <w:name w:val="annotation reference"/>
    <w:basedOn w:val="DefaultParagraphFont"/>
    <w:uiPriority w:val="99"/>
    <w:semiHidden/>
    <w:unhideWhenUsed/>
    <w:rsid w:val="0012273C"/>
    <w:rPr>
      <w:sz w:val="16"/>
      <w:szCs w:val="16"/>
    </w:rPr>
  </w:style>
  <w:style w:type="paragraph" w:styleId="CommentSubject">
    <w:name w:val="annotation subject"/>
    <w:basedOn w:val="CommentText"/>
    <w:next w:val="CommentText"/>
    <w:link w:val="CommentSubjectChar"/>
    <w:uiPriority w:val="99"/>
    <w:semiHidden/>
    <w:unhideWhenUsed/>
    <w:rsid w:val="0012273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2273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E3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mailto:Thomas.Lindgren@ohioAGO.gov" TargetMode="External" /><Relationship Id="rId12" Type="http://schemas.openxmlformats.org/officeDocument/2006/relationships/hyperlink" Target="mailto:cfaruki@ficlaw.com" TargetMode="External" /><Relationship Id="rId13" Type="http://schemas.openxmlformats.org/officeDocument/2006/relationships/hyperlink" Target="mailto:jsharkey@ficlaw.com" TargetMode="External" /><Relationship Id="rId14" Type="http://schemas.openxmlformats.org/officeDocument/2006/relationships/hyperlink" Target="mailto:joliker@igsenergy.com" TargetMode="External" /><Relationship Id="rId15" Type="http://schemas.openxmlformats.org/officeDocument/2006/relationships/hyperlink" Target="mailto:drinebolt@aol.com" TargetMode="External" /><Relationship Id="rId16" Type="http://schemas.openxmlformats.org/officeDocument/2006/relationships/hyperlink" Target="mailto:Ned.Ford@fuse.net" TargetMode="External" /><Relationship Id="rId17" Type="http://schemas.openxmlformats.org/officeDocument/2006/relationships/hyperlink" Target="mailto:mjsettineri@vorys.com" TargetMode="External" /><Relationship Id="rId18" Type="http://schemas.openxmlformats.org/officeDocument/2006/relationships/hyperlink" Target="mailto:glpetrucci@vorys.com" TargetMode="External" /><Relationship Id="rId19" Type="http://schemas.openxmlformats.org/officeDocument/2006/relationships/hyperlink" Target="mailto:BarthRoyer@aol.com" TargetMode="External" /><Relationship Id="rId2" Type="http://schemas.openxmlformats.org/officeDocument/2006/relationships/settings" Target="settings.xml" /><Relationship Id="rId20" Type="http://schemas.openxmlformats.org/officeDocument/2006/relationships/hyperlink" Target="mailto:bojko@carpenterlipps.com" TargetMode="External" /><Relationship Id="rId21" Type="http://schemas.openxmlformats.org/officeDocument/2006/relationships/hyperlink" Target="mailto:paul@carpenterlipps.com" TargetMode="External" /><Relationship Id="rId22" Type="http://schemas.openxmlformats.org/officeDocument/2006/relationships/hyperlink" Target="mailto:slesser@beneschlaw.com" TargetMode="External" /><Relationship Id="rId23" Type="http://schemas.openxmlformats.org/officeDocument/2006/relationships/hyperlink" Target="mailto:mkeaney@beneschlaw.com" TargetMode="External" /><Relationship Id="rId24" Type="http://schemas.openxmlformats.org/officeDocument/2006/relationships/hyperlink" Target="mailto:talexander@beneschlaw.com" TargetMode="External" /><Relationship Id="rId25" Type="http://schemas.openxmlformats.org/officeDocument/2006/relationships/hyperlink" Target="mailto:mswhite@igsenergy.com" TargetMode="External" /><Relationship Id="rId26" Type="http://schemas.openxmlformats.org/officeDocument/2006/relationships/hyperlink" Target="mailto:dborchers@bricker.com" TargetMode="External" /><Relationship Id="rId27" Type="http://schemas.openxmlformats.org/officeDocument/2006/relationships/hyperlink" Target="mailto:dparram@bricker.com" TargetMode="External" /><Relationship Id="rId28" Type="http://schemas.openxmlformats.org/officeDocument/2006/relationships/hyperlink" Target="mailto:Gregory.Price@puco.ohio.gov" TargetMode="External" /><Relationship Id="rId29" Type="http://schemas.openxmlformats.org/officeDocument/2006/relationships/hyperlink" Target="mailto:Jeanne.kingery@duke-energy.com" TargetMode="External" /><Relationship Id="rId3" Type="http://schemas.openxmlformats.org/officeDocument/2006/relationships/webSettings" Target="webSettings.xml" /><Relationship Id="rId30" Type="http://schemas.openxmlformats.org/officeDocument/2006/relationships/hyperlink" Target="mailto:haydenm@firstenergycorp.com" TargetMode="External" /><Relationship Id="rId31" Type="http://schemas.openxmlformats.org/officeDocument/2006/relationships/hyperlink" Target="mailto:mjsatterwhite@aep.com" TargetMode="External" /><Relationship Id="rId32" Type="http://schemas.openxmlformats.org/officeDocument/2006/relationships/hyperlink" Target="mailto:stnourse@aep.com" TargetMode="External" /><Relationship Id="rId33" Type="http://schemas.openxmlformats.org/officeDocument/2006/relationships/hyperlink" Target="mailto:jbentine@cwslaw.com" TargetMode="External" /><Relationship Id="rId34" Type="http://schemas.openxmlformats.org/officeDocument/2006/relationships/hyperlink" Target="mailto:henryeckhart@aol.com" TargetMode="External" /><Relationship Id="rId35" Type="http://schemas.openxmlformats.org/officeDocument/2006/relationships/hyperlink" Target="mailto:dboehm@bkllawfirm.com" TargetMode="External" /><Relationship Id="rId36" Type="http://schemas.openxmlformats.org/officeDocument/2006/relationships/hyperlink" Target="mailto:mkurtz@bkllawfirm.com" TargetMode="External" /><Relationship Id="rId37" Type="http://schemas.openxmlformats.org/officeDocument/2006/relationships/hyperlink" Target="mailto:jkylercohn@bkllawfirm.com" TargetMode="External" /><Relationship Id="rId38" Type="http://schemas.openxmlformats.org/officeDocument/2006/relationships/hyperlink" Target="mailto:Cynthia.brady@constellation.com" TargetMode="External" /><Relationship Id="rId39" Type="http://schemas.openxmlformats.org/officeDocument/2006/relationships/hyperlink" Target="mailto:David.fein@constellation.com" TargetMode="External" /><Relationship Id="rId4" Type="http://schemas.openxmlformats.org/officeDocument/2006/relationships/fontTable" Target="fontTable.xml" /><Relationship Id="rId40" Type="http://schemas.openxmlformats.org/officeDocument/2006/relationships/hyperlink" Target="mailto:njohnson@theoec.org" TargetMode="External" /><Relationship Id="rId41" Type="http://schemas.openxmlformats.org/officeDocument/2006/relationships/hyperlink" Target="mailto:Williams.toddm@gmail.com" TargetMode="External" /><Relationship Id="rId42" Type="http://schemas.openxmlformats.org/officeDocument/2006/relationships/hyperlink" Target="mailto:ejacobs@ablelaw.org" TargetMode="External" /><Relationship Id="rId43" Type="http://schemas.openxmlformats.org/officeDocument/2006/relationships/hyperlink" Target="mailto:myurick@taftlaw.com" TargetMode="External" /><Relationship Id="rId44" Type="http://schemas.openxmlformats.org/officeDocument/2006/relationships/hyperlink" Target="mailto:stephen.chriss@wal-mart.com" TargetMode="External" /><Relationship Id="rId45" Type="http://schemas.openxmlformats.org/officeDocument/2006/relationships/hyperlink" Target="mailto:rdove@keglerbrown.com" TargetMode="External" /><Relationship Id="rId46" Type="http://schemas.openxmlformats.org/officeDocument/2006/relationships/hyperlink" Target="mailto:fykes@whitt-sturtevant.com" TargetMode="External" /><Relationship Id="rId47" Type="http://schemas.openxmlformats.org/officeDocument/2006/relationships/hyperlink" Target="mailto:whitt@whitt-sturtevant.com" TargetMode="External" /><Relationship Id="rId48" Type="http://schemas.openxmlformats.org/officeDocument/2006/relationships/hyperlink" Target="mailto:mpritchard@mcneeslaw.com" TargetMode="External" /><Relationship Id="rId49" Type="http://schemas.openxmlformats.org/officeDocument/2006/relationships/footer" Target="footer3.xml" /><Relationship Id="rId5" Type="http://schemas.openxmlformats.org/officeDocument/2006/relationships/customXml" Target="../customXml/item1.xml" /><Relationship Id="rId50" Type="http://schemas.openxmlformats.org/officeDocument/2006/relationships/theme" Target="theme/theme1.xml" /><Relationship Id="rId51" Type="http://schemas.openxmlformats.org/officeDocument/2006/relationships/numbering" Target="numbering.xml" /><Relationship Id="rId52" Type="http://schemas.openxmlformats.org/officeDocument/2006/relationships/styles" Target="styles.xml" /><Relationship Id="rId6" Type="http://schemas.openxmlformats.org/officeDocument/2006/relationships/footer" Target="footer1.xml" /><Relationship Id="rId7" Type="http://schemas.openxmlformats.org/officeDocument/2006/relationships/hyperlink" Target="mailto:maureen.willis@occ.ohio.gov" TargetMode="External" /><Relationship Id="rId8" Type="http://schemas.openxmlformats.org/officeDocument/2006/relationships/hyperlink" Target="mailto:christopher.healey@occ.ohio.gov" TargetMode="External" /><Relationship Id="rId9" Type="http://schemas.openxmlformats.org/officeDocument/2006/relationships/hyperlink" Target="mailto:william.michael@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9961A-AD45-4D90-B776-3BFECA06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2021-07-30T16:18:35Z</dcterms:created>
  <dcterms:modified xsi:type="dcterms:W3CDTF">2021-07-30T16:18:35Z</dcterms:modified>
</cp:coreProperties>
</file>