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163AF0" w:rsidP="005D2D59" w14:paraId="353F8E88" w14:textId="77777777">
      <w:pPr>
        <w:pStyle w:val="List"/>
        <w:tabs>
          <w:tab w:val="left" w:pos="9180"/>
        </w:tabs>
        <w:ind w:left="0" w:firstLine="0"/>
        <w:jc w:val="center"/>
        <w:rPr>
          <w:b/>
          <w:szCs w:val="24"/>
        </w:rPr>
      </w:pPr>
      <w:r w:rsidRPr="00163AF0">
        <w:rPr>
          <w:b/>
          <w:szCs w:val="24"/>
        </w:rPr>
        <w:t>BEFORE</w:t>
      </w:r>
    </w:p>
    <w:p w:rsidR="00226B2E" w:rsidRPr="00163AF0" w:rsidP="005D2D59" w14:paraId="624BBDE9" w14:textId="77777777">
      <w:pPr>
        <w:pStyle w:val="List"/>
        <w:ind w:left="0" w:firstLine="0"/>
        <w:jc w:val="center"/>
        <w:rPr>
          <w:b/>
          <w:szCs w:val="24"/>
        </w:rPr>
      </w:pPr>
      <w:r w:rsidRPr="00163AF0">
        <w:rPr>
          <w:b/>
          <w:szCs w:val="24"/>
        </w:rPr>
        <w:t>THE PUBLIC UTILITIES COMMISSION OF OHIO</w:t>
      </w:r>
    </w:p>
    <w:p w:rsidR="004E5944" w:rsidRPr="00163AF0" w:rsidP="005D2D59" w14:paraId="0EC190EE" w14:textId="77777777">
      <w:pPr>
        <w:pStyle w:val="List"/>
        <w:ind w:left="0" w:firstLine="0"/>
        <w:jc w:val="center"/>
        <w:rPr>
          <w:b/>
          <w:szCs w:val="24"/>
        </w:rPr>
      </w:pPr>
    </w:p>
    <w:tbl>
      <w:tblPr>
        <w:tblW w:w="9360" w:type="dxa"/>
        <w:tblLook w:val="01E0"/>
      </w:tblPr>
      <w:tblGrid>
        <w:gridCol w:w="4230"/>
        <w:gridCol w:w="630"/>
        <w:gridCol w:w="4500"/>
      </w:tblGrid>
      <w:tr w14:paraId="6FE6F71C" w14:textId="77777777" w:rsidTr="00357F44">
        <w:tblPrEx>
          <w:tblW w:w="9360" w:type="dxa"/>
          <w:tblLook w:val="01E0"/>
        </w:tblPrEx>
        <w:trPr>
          <w:trHeight w:val="807"/>
        </w:trPr>
        <w:tc>
          <w:tcPr>
            <w:tcW w:w="4230" w:type="dxa"/>
            <w:shd w:val="clear" w:color="auto" w:fill="auto"/>
          </w:tcPr>
          <w:p w:rsidR="001930AB" w:rsidRPr="00163AF0" w:rsidP="005D2D59" w14:paraId="32E1A28C"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 xml:space="preserve">In the Matter of </w:t>
            </w:r>
            <w:r w:rsidRPr="00163AF0" w:rsidR="00721C91">
              <w:rPr>
                <w:rFonts w:ascii="Times New Roman" w:hAnsi="Times New Roman" w:cs="Times New Roman"/>
                <w:sz w:val="24"/>
                <w:szCs w:val="24"/>
              </w:rPr>
              <w:t>the Ohio Edison Company, the Cleveland Electric Illuminating Company, and the Toledo Edison Company’s Compliance with R.C. 4928.17 and the Ohio Adm. Code Chapter 4901:1-37.</w:t>
            </w:r>
          </w:p>
        </w:tc>
        <w:tc>
          <w:tcPr>
            <w:tcW w:w="630" w:type="dxa"/>
            <w:shd w:val="clear" w:color="auto" w:fill="auto"/>
          </w:tcPr>
          <w:p w:rsidR="001930AB" w:rsidRPr="00163AF0" w:rsidP="005D2D59" w14:paraId="1525B585"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1930AB" w:rsidRPr="00163AF0" w:rsidP="005D2D59" w14:paraId="62B16EEE"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1930AB" w:rsidRPr="00163AF0" w:rsidP="005D2D59" w14:paraId="4BF98277"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1930AB" w:rsidRPr="00163AF0" w:rsidP="005D2D59" w14:paraId="3E0EFF8C"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357F44" w:rsidRPr="00163AF0" w:rsidP="005D2D59" w14:paraId="606E8269"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0A8DED36"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tc>
        <w:tc>
          <w:tcPr>
            <w:tcW w:w="4500" w:type="dxa"/>
            <w:shd w:val="clear" w:color="auto" w:fill="auto"/>
          </w:tcPr>
          <w:p w:rsidR="001930AB" w:rsidRPr="00163AF0" w:rsidP="005D2D59" w14:paraId="01D1D5C9" w14:textId="77777777">
            <w:pPr>
              <w:pStyle w:val="HTMLPreformatted"/>
              <w:rPr>
                <w:rFonts w:ascii="Times New Roman" w:hAnsi="Times New Roman" w:cs="Times New Roman"/>
                <w:sz w:val="24"/>
                <w:szCs w:val="24"/>
              </w:rPr>
            </w:pPr>
          </w:p>
          <w:p w:rsidR="00B97B72" w:rsidRPr="00163AF0" w:rsidP="005D2D59" w14:paraId="6A033717" w14:textId="77777777">
            <w:pPr>
              <w:pStyle w:val="HTMLPreformatted"/>
              <w:rPr>
                <w:rFonts w:ascii="Times New Roman" w:hAnsi="Times New Roman" w:cs="Times New Roman"/>
                <w:sz w:val="24"/>
                <w:szCs w:val="24"/>
              </w:rPr>
            </w:pPr>
          </w:p>
          <w:p w:rsidR="001930AB" w:rsidRPr="00163AF0" w:rsidP="005D2D59" w14:paraId="18655A9B"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Case No. 17-</w:t>
            </w:r>
            <w:r w:rsidRPr="00163AF0" w:rsidR="00BF5F76">
              <w:rPr>
                <w:rFonts w:ascii="Times New Roman" w:hAnsi="Times New Roman" w:cs="Times New Roman"/>
                <w:sz w:val="24"/>
                <w:szCs w:val="24"/>
              </w:rPr>
              <w:t>974</w:t>
            </w:r>
            <w:r w:rsidRPr="00163AF0">
              <w:rPr>
                <w:rFonts w:ascii="Times New Roman" w:hAnsi="Times New Roman" w:cs="Times New Roman"/>
                <w:sz w:val="24"/>
                <w:szCs w:val="24"/>
              </w:rPr>
              <w:t>-EL</w:t>
            </w:r>
            <w:r w:rsidRPr="00163AF0" w:rsidR="00BF5F76">
              <w:rPr>
                <w:rFonts w:ascii="Times New Roman" w:hAnsi="Times New Roman" w:cs="Times New Roman"/>
                <w:sz w:val="24"/>
                <w:szCs w:val="24"/>
              </w:rPr>
              <w:t>-UNC</w:t>
            </w:r>
          </w:p>
          <w:p w:rsidR="001930AB" w:rsidRPr="00163AF0" w:rsidP="005D2D59" w14:paraId="0351B059" w14:textId="77777777">
            <w:pPr>
              <w:pStyle w:val="HTMLPreformatted"/>
              <w:rPr>
                <w:rFonts w:ascii="Times New Roman" w:hAnsi="Times New Roman" w:cs="Times New Roman"/>
                <w:sz w:val="24"/>
                <w:szCs w:val="24"/>
              </w:rPr>
            </w:pPr>
          </w:p>
        </w:tc>
      </w:tr>
    </w:tbl>
    <w:p w:rsidR="00226B2E" w:rsidRPr="00163AF0" w:rsidP="005D2D59" w14:paraId="0AA2D088" w14:textId="77777777">
      <w:pPr>
        <w:pBdr>
          <w:bottom w:val="single" w:sz="12" w:space="1" w:color="auto"/>
        </w:pBdr>
        <w:rPr>
          <w:szCs w:val="24"/>
        </w:rPr>
      </w:pPr>
    </w:p>
    <w:p w:rsidR="00226B2E" w:rsidRPr="00163AF0" w:rsidP="005D2D59" w14:paraId="2326B66B" w14:textId="77777777">
      <w:pPr>
        <w:rPr>
          <w:b/>
          <w:bCs w:val="0"/>
          <w:szCs w:val="24"/>
        </w:rPr>
      </w:pPr>
    </w:p>
    <w:p w:rsidR="00C05918" w:rsidRPr="00163AF0" w:rsidP="00464F4C" w14:paraId="38C65376" w14:textId="3DEB133A">
      <w:pPr>
        <w:jc w:val="center"/>
        <w:rPr>
          <w:b/>
          <w:bCs w:val="0"/>
          <w:szCs w:val="24"/>
        </w:rPr>
      </w:pPr>
      <w:bookmarkStart w:id="0" w:name="_Hlk94783649"/>
      <w:r w:rsidRPr="00163AF0">
        <w:rPr>
          <w:b/>
          <w:bCs w:val="0"/>
          <w:szCs w:val="24"/>
        </w:rPr>
        <w:t>MEMOR</w:t>
      </w:r>
      <w:r w:rsidRPr="00163AF0" w:rsidR="00886CD5">
        <w:rPr>
          <w:b/>
          <w:bCs w:val="0"/>
          <w:szCs w:val="24"/>
        </w:rPr>
        <w:t>AN</w:t>
      </w:r>
      <w:r w:rsidRPr="00163AF0">
        <w:rPr>
          <w:b/>
          <w:bCs w:val="0"/>
          <w:szCs w:val="24"/>
        </w:rPr>
        <w:t xml:space="preserve">DUM CONTRA </w:t>
      </w:r>
      <w:r w:rsidRPr="00163AF0" w:rsidR="00870C01">
        <w:rPr>
          <w:b/>
          <w:bCs w:val="0"/>
          <w:szCs w:val="24"/>
        </w:rPr>
        <w:t xml:space="preserve">MOTION </w:t>
      </w:r>
      <w:r w:rsidRPr="00163AF0">
        <w:rPr>
          <w:b/>
          <w:bCs w:val="0"/>
          <w:szCs w:val="24"/>
        </w:rPr>
        <w:t xml:space="preserve">TO QUASH </w:t>
      </w:r>
      <w:r w:rsidRPr="00163AF0" w:rsidR="00870C01">
        <w:rPr>
          <w:b/>
          <w:bCs w:val="0"/>
          <w:szCs w:val="24"/>
        </w:rPr>
        <w:t xml:space="preserve">SUBPOENA </w:t>
      </w:r>
      <w:r w:rsidRPr="00163AF0" w:rsidR="006A1FB5">
        <w:rPr>
          <w:b/>
          <w:bCs w:val="0"/>
          <w:szCs w:val="24"/>
        </w:rPr>
        <w:t>FILED BY EBONY YEBOAH-AMANKWAH (</w:t>
      </w:r>
      <w:r w:rsidRPr="00163AF0" w:rsidR="000729A6">
        <w:rPr>
          <w:b/>
          <w:bCs w:val="0"/>
          <w:szCs w:val="24"/>
        </w:rPr>
        <w:t xml:space="preserve">FIRSTENERGY’S </w:t>
      </w:r>
      <w:r w:rsidRPr="00163AF0" w:rsidR="00C70DFD">
        <w:rPr>
          <w:b/>
          <w:bCs w:val="0"/>
          <w:szCs w:val="24"/>
        </w:rPr>
        <w:t xml:space="preserve">FORMER VICE PRESIDENT, GENERAL COUNSEL AND </w:t>
      </w:r>
      <w:r w:rsidRPr="00163AF0" w:rsidR="000729A6">
        <w:rPr>
          <w:b/>
          <w:bCs w:val="0"/>
          <w:szCs w:val="24"/>
        </w:rPr>
        <w:t xml:space="preserve">CHIEF ETHICS </w:t>
      </w:r>
      <w:r w:rsidRPr="00163AF0" w:rsidR="00870C01">
        <w:rPr>
          <w:b/>
          <w:szCs w:val="24"/>
        </w:rPr>
        <w:t>OFFICER</w:t>
      </w:r>
      <w:r w:rsidRPr="00163AF0" w:rsidR="006A1FB5">
        <w:rPr>
          <w:b/>
          <w:szCs w:val="24"/>
        </w:rPr>
        <w:t>)</w:t>
      </w:r>
      <w:r w:rsidRPr="00163AF0" w:rsidR="00870C01">
        <w:rPr>
          <w:b/>
          <w:bCs w:val="0"/>
          <w:szCs w:val="24"/>
        </w:rPr>
        <w:t xml:space="preserve"> </w:t>
      </w:r>
    </w:p>
    <w:p w:rsidR="00F55CE0" w:rsidRPr="00163AF0" w:rsidP="005D2D59" w14:paraId="2B7CB58D" w14:textId="77777777">
      <w:pPr>
        <w:jc w:val="center"/>
        <w:rPr>
          <w:b/>
          <w:bCs w:val="0"/>
          <w:szCs w:val="24"/>
        </w:rPr>
      </w:pPr>
      <w:r w:rsidRPr="00163AF0">
        <w:rPr>
          <w:b/>
          <w:bCs w:val="0"/>
          <w:szCs w:val="24"/>
        </w:rPr>
        <w:t>BY</w:t>
      </w:r>
    </w:p>
    <w:p w:rsidR="00C90A01" w:rsidRPr="00163AF0" w:rsidP="005D2D59" w14:paraId="6A4DBA56" w14:textId="77777777">
      <w:pPr>
        <w:pBdr>
          <w:bottom w:val="single" w:sz="12" w:space="1" w:color="auto"/>
        </w:pBdr>
        <w:jc w:val="center"/>
        <w:rPr>
          <w:b/>
          <w:bCs w:val="0"/>
          <w:szCs w:val="24"/>
        </w:rPr>
      </w:pPr>
      <w:r w:rsidRPr="00163AF0">
        <w:rPr>
          <w:b/>
          <w:bCs w:val="0"/>
          <w:szCs w:val="24"/>
        </w:rPr>
        <w:t>OFFICE OF THE OHIO CONSUMERS’ COUNSEL</w:t>
      </w:r>
    </w:p>
    <w:bookmarkEnd w:id="0"/>
    <w:p w:rsidR="00226B2E" w:rsidRPr="00163AF0" w:rsidP="005D2D59" w14:paraId="42F26675" w14:textId="77777777">
      <w:pPr>
        <w:pBdr>
          <w:bottom w:val="single" w:sz="12" w:space="1" w:color="auto"/>
        </w:pBdr>
        <w:jc w:val="center"/>
        <w:rPr>
          <w:b/>
          <w:bCs w:val="0"/>
          <w:szCs w:val="24"/>
        </w:rPr>
      </w:pPr>
    </w:p>
    <w:p w:rsidR="00E16825" w:rsidRPr="00163AF0" w:rsidP="005D2D59" w14:paraId="685181F3" w14:textId="468A14DF">
      <w:pPr>
        <w:pStyle w:val="List"/>
        <w:ind w:left="0" w:firstLine="0"/>
        <w:rPr>
          <w:b/>
          <w:szCs w:val="24"/>
        </w:rPr>
      </w:pPr>
    </w:p>
    <w:p w:rsidR="00915FB6" w:rsidRPr="00163AF0" w:rsidP="005D2D59" w14:paraId="3A4F7A77" w14:textId="77777777">
      <w:pPr>
        <w:pStyle w:val="List"/>
        <w:ind w:left="0" w:firstLine="0"/>
        <w:rPr>
          <w:b/>
          <w:szCs w:val="24"/>
        </w:rPr>
      </w:pPr>
    </w:p>
    <w:p w:rsidR="00B57A2E" w:rsidRPr="00163AF0" w:rsidP="005D2D59" w14:paraId="19F33340" w14:textId="77777777">
      <w:pPr>
        <w:pStyle w:val="Footer"/>
        <w:tabs>
          <w:tab w:val="left" w:pos="4320"/>
        </w:tabs>
        <w:ind w:left="4320"/>
        <w:rPr>
          <w:szCs w:val="24"/>
        </w:rPr>
      </w:pPr>
      <w:r w:rsidRPr="00163AF0">
        <w:rPr>
          <w:szCs w:val="24"/>
        </w:rPr>
        <w:t>Bruce Weston (0016973)</w:t>
      </w:r>
    </w:p>
    <w:p w:rsidR="00B57A2E" w:rsidRPr="00163AF0" w:rsidP="005D2D59" w14:paraId="2201EE47" w14:textId="77777777">
      <w:pPr>
        <w:tabs>
          <w:tab w:val="left" w:pos="4320"/>
        </w:tabs>
        <w:ind w:left="4320"/>
        <w:rPr>
          <w:szCs w:val="24"/>
        </w:rPr>
      </w:pPr>
      <w:r w:rsidRPr="00163AF0">
        <w:rPr>
          <w:szCs w:val="24"/>
        </w:rPr>
        <w:t>Ohio Consumers’ Counsel</w:t>
      </w:r>
    </w:p>
    <w:p w:rsidR="00B57A2E" w:rsidRPr="00163AF0" w:rsidP="005D2D59" w14:paraId="3F1ECCF8" w14:textId="77777777">
      <w:pPr>
        <w:pStyle w:val="ListParagraph"/>
        <w:tabs>
          <w:tab w:val="left" w:pos="4320"/>
        </w:tabs>
        <w:ind w:left="3600"/>
        <w:rPr>
          <w:szCs w:val="24"/>
        </w:rPr>
      </w:pPr>
      <w:r w:rsidRPr="00163AF0">
        <w:rPr>
          <w:szCs w:val="24"/>
        </w:rPr>
        <w:tab/>
      </w:r>
    </w:p>
    <w:p w:rsidR="00B57A2E" w:rsidRPr="00163AF0" w:rsidP="005D2D59" w14:paraId="1BAA2242" w14:textId="77777777">
      <w:pPr>
        <w:pStyle w:val="ListParagraph"/>
        <w:tabs>
          <w:tab w:val="left" w:pos="4320"/>
        </w:tabs>
        <w:ind w:left="4320"/>
        <w:rPr>
          <w:szCs w:val="24"/>
        </w:rPr>
      </w:pPr>
      <w:r w:rsidRPr="00163AF0">
        <w:rPr>
          <w:szCs w:val="24"/>
        </w:rPr>
        <w:t>Maureen R. Willis (0020847)</w:t>
      </w:r>
    </w:p>
    <w:p w:rsidR="00B57A2E" w:rsidRPr="00163AF0" w:rsidP="005D2D59" w14:paraId="68F1017C" w14:textId="77777777">
      <w:pPr>
        <w:pStyle w:val="ListParagraph"/>
        <w:tabs>
          <w:tab w:val="left" w:pos="4320"/>
        </w:tabs>
        <w:ind w:left="4320"/>
        <w:rPr>
          <w:szCs w:val="24"/>
        </w:rPr>
      </w:pPr>
      <w:r w:rsidRPr="00163AF0">
        <w:rPr>
          <w:szCs w:val="24"/>
        </w:rPr>
        <w:t>Counsel of Record</w:t>
      </w:r>
    </w:p>
    <w:p w:rsidR="00B57A2E" w:rsidRPr="00163AF0" w:rsidP="005D2D59" w14:paraId="00D2E524" w14:textId="77777777">
      <w:pPr>
        <w:pStyle w:val="ListParagraph"/>
        <w:tabs>
          <w:tab w:val="left" w:pos="4320"/>
        </w:tabs>
        <w:ind w:left="4320"/>
        <w:rPr>
          <w:szCs w:val="24"/>
        </w:rPr>
      </w:pPr>
      <w:r w:rsidRPr="00163AF0">
        <w:rPr>
          <w:szCs w:val="24"/>
        </w:rPr>
        <w:t>John Finnigan (0018689)</w:t>
      </w:r>
      <w:r w:rsidRPr="00163AF0">
        <w:rPr>
          <w:szCs w:val="24"/>
        </w:rPr>
        <w:br/>
        <w:t>Assistant Consumers’ Counsel</w:t>
      </w:r>
    </w:p>
    <w:p w:rsidR="00B57A2E" w:rsidRPr="00163AF0" w:rsidP="005D2D59" w14:paraId="35AD498E" w14:textId="77777777">
      <w:pPr>
        <w:pStyle w:val="ListParagraph"/>
        <w:tabs>
          <w:tab w:val="left" w:pos="4320"/>
        </w:tabs>
        <w:ind w:left="4320"/>
        <w:rPr>
          <w:szCs w:val="24"/>
        </w:rPr>
      </w:pPr>
    </w:p>
    <w:p w:rsidR="00B57A2E" w:rsidRPr="00163AF0" w:rsidP="005D2D59" w14:paraId="53EB9E42" w14:textId="77777777">
      <w:pPr>
        <w:pStyle w:val="ListParagraph"/>
        <w:tabs>
          <w:tab w:val="left" w:pos="4320"/>
        </w:tabs>
        <w:ind w:left="4320"/>
        <w:rPr>
          <w:b/>
          <w:bCs w:val="0"/>
          <w:szCs w:val="24"/>
        </w:rPr>
      </w:pPr>
      <w:r w:rsidRPr="00163AF0">
        <w:rPr>
          <w:b/>
          <w:szCs w:val="24"/>
        </w:rPr>
        <w:t>Office of the Ohio Consumers’ Counsel</w:t>
      </w:r>
    </w:p>
    <w:p w:rsidR="00B57A2E" w:rsidRPr="00163AF0" w:rsidP="005D2D59" w14:paraId="11232ED5" w14:textId="77777777">
      <w:pPr>
        <w:ind w:left="4320"/>
        <w:rPr>
          <w:szCs w:val="24"/>
        </w:rPr>
      </w:pPr>
      <w:r w:rsidRPr="00163AF0">
        <w:rPr>
          <w:szCs w:val="24"/>
        </w:rPr>
        <w:t>65 East State Street, Suite 700</w:t>
      </w:r>
    </w:p>
    <w:p w:rsidR="00B57A2E" w:rsidRPr="00163AF0" w:rsidP="005D2D59" w14:paraId="0DC86797" w14:textId="77777777">
      <w:pPr>
        <w:ind w:left="4320"/>
        <w:rPr>
          <w:szCs w:val="24"/>
        </w:rPr>
      </w:pPr>
      <w:r w:rsidRPr="00163AF0">
        <w:rPr>
          <w:szCs w:val="24"/>
        </w:rPr>
        <w:t>Columbus, Ohio 43215</w:t>
      </w:r>
    </w:p>
    <w:p w:rsidR="00B57A2E" w:rsidRPr="00163AF0" w:rsidP="005D2D59" w14:paraId="5C3AC6E6" w14:textId="77777777">
      <w:pPr>
        <w:autoSpaceDE w:val="0"/>
        <w:autoSpaceDN w:val="0"/>
        <w:adjustRightInd w:val="0"/>
        <w:ind w:left="3600" w:firstLine="720"/>
        <w:rPr>
          <w:szCs w:val="24"/>
        </w:rPr>
      </w:pPr>
      <w:r w:rsidRPr="00163AF0">
        <w:rPr>
          <w:szCs w:val="24"/>
        </w:rPr>
        <w:t>Telephone [Willis]: (614) 466-9567</w:t>
      </w:r>
    </w:p>
    <w:p w:rsidR="00B57A2E" w:rsidRPr="00163AF0" w:rsidP="005D2D59" w14:paraId="55ED447D" w14:textId="77777777">
      <w:pPr>
        <w:pStyle w:val="ListParagraph"/>
        <w:autoSpaceDE w:val="0"/>
        <w:autoSpaceDN w:val="0"/>
        <w:adjustRightInd w:val="0"/>
        <w:ind w:left="3600" w:firstLine="720"/>
        <w:rPr>
          <w:szCs w:val="24"/>
        </w:rPr>
      </w:pPr>
      <w:r w:rsidRPr="00163AF0">
        <w:rPr>
          <w:szCs w:val="24"/>
        </w:rPr>
        <w:t>Telephone [Finnigan]: (614) 466-9585</w:t>
      </w:r>
    </w:p>
    <w:p w:rsidR="00B57A2E" w:rsidRPr="00163AF0" w:rsidP="005D2D59" w14:paraId="0A694E93" w14:textId="77777777">
      <w:pPr>
        <w:pStyle w:val="ListParagraph"/>
        <w:autoSpaceDE w:val="0"/>
        <w:autoSpaceDN w:val="0"/>
        <w:adjustRightInd w:val="0"/>
        <w:ind w:left="0"/>
        <w:rPr>
          <w:color w:val="0000FF"/>
          <w:szCs w:val="24"/>
        </w:rPr>
      </w:pPr>
      <w:r w:rsidRPr="00163AF0">
        <w:rPr>
          <w:szCs w:val="24"/>
        </w:rPr>
        <w:tab/>
      </w:r>
      <w:r w:rsidRPr="00163AF0">
        <w:rPr>
          <w:szCs w:val="24"/>
        </w:rPr>
        <w:tab/>
      </w:r>
      <w:r w:rsidRPr="00163AF0">
        <w:rPr>
          <w:szCs w:val="24"/>
        </w:rPr>
        <w:tab/>
      </w:r>
      <w:r w:rsidRPr="00163AF0">
        <w:rPr>
          <w:szCs w:val="24"/>
        </w:rPr>
        <w:tab/>
      </w:r>
      <w:r w:rsidRPr="00163AF0">
        <w:rPr>
          <w:szCs w:val="24"/>
        </w:rPr>
        <w:tab/>
      </w:r>
      <w:r w:rsidRPr="00163AF0">
        <w:rPr>
          <w:szCs w:val="24"/>
        </w:rPr>
        <w:tab/>
      </w:r>
      <w:hyperlink r:id="rId6" w:history="1">
        <w:r w:rsidRPr="00163AF0">
          <w:rPr>
            <w:rStyle w:val="Hyperlink"/>
            <w:color w:val="0000FF"/>
            <w:szCs w:val="24"/>
          </w:rPr>
          <w:t>maureen.willis@occ.ohio.gov</w:t>
        </w:r>
      </w:hyperlink>
    </w:p>
    <w:p w:rsidR="00B57A2E" w:rsidRPr="00163AF0" w:rsidP="005D2D59" w14:paraId="04F804BE" w14:textId="77777777">
      <w:pPr>
        <w:pStyle w:val="ListParagraph"/>
        <w:autoSpaceDE w:val="0"/>
        <w:autoSpaceDN w:val="0"/>
        <w:adjustRightInd w:val="0"/>
        <w:ind w:left="3600" w:firstLine="720"/>
        <w:rPr>
          <w:rStyle w:val="Hyperlink"/>
          <w:color w:val="0000FF"/>
          <w:szCs w:val="24"/>
        </w:rPr>
      </w:pPr>
      <w:hyperlink r:id="rId7" w:history="1">
        <w:r w:rsidRPr="00163AF0" w:rsidR="00945291">
          <w:rPr>
            <w:rStyle w:val="Hyperlink"/>
            <w:color w:val="0000FF"/>
            <w:szCs w:val="24"/>
          </w:rPr>
          <w:t>john.finnigan@occ.ohio.gov</w:t>
        </w:r>
      </w:hyperlink>
    </w:p>
    <w:p w:rsidR="00B57A2E" w:rsidRPr="00163AF0" w:rsidP="005D2D59" w14:paraId="39DAAE5D" w14:textId="471CE21A">
      <w:pPr>
        <w:autoSpaceDE w:val="0"/>
        <w:autoSpaceDN w:val="0"/>
        <w:adjustRightInd w:val="0"/>
        <w:ind w:left="4320" w:hanging="4320"/>
        <w:rPr>
          <w:rStyle w:val="Hyperlink"/>
          <w:color w:val="auto"/>
          <w:szCs w:val="24"/>
          <w:u w:val="none"/>
        </w:rPr>
      </w:pPr>
      <w:r w:rsidRPr="00163AF0">
        <w:rPr>
          <w:rStyle w:val="Hyperlink"/>
          <w:color w:val="auto"/>
          <w:szCs w:val="24"/>
          <w:u w:val="none"/>
        </w:rPr>
        <w:t>March</w:t>
      </w:r>
      <w:r w:rsidRPr="00163AF0" w:rsidR="00961516">
        <w:rPr>
          <w:rStyle w:val="Hyperlink"/>
          <w:color w:val="auto"/>
          <w:szCs w:val="24"/>
          <w:u w:val="none"/>
        </w:rPr>
        <w:t xml:space="preserve"> </w:t>
      </w:r>
      <w:r w:rsidRPr="00163AF0" w:rsidR="002E4256">
        <w:rPr>
          <w:rStyle w:val="Hyperlink"/>
          <w:color w:val="auto"/>
          <w:szCs w:val="24"/>
          <w:u w:val="none"/>
        </w:rPr>
        <w:t>22</w:t>
      </w:r>
      <w:r w:rsidRPr="00163AF0" w:rsidR="00870C01">
        <w:rPr>
          <w:rStyle w:val="Hyperlink"/>
          <w:color w:val="auto"/>
          <w:szCs w:val="24"/>
          <w:u w:val="none"/>
        </w:rPr>
        <w:t>, 2022</w:t>
      </w:r>
      <w:r w:rsidRPr="00163AF0" w:rsidR="00870C01">
        <w:rPr>
          <w:rStyle w:val="Hyperlink"/>
          <w:color w:val="auto"/>
          <w:szCs w:val="24"/>
          <w:u w:val="none"/>
        </w:rPr>
        <w:tab/>
        <w:t>(willing to accept service by e-mail)</w:t>
      </w:r>
    </w:p>
    <w:p w:rsidR="00B165B3" w:rsidRPr="00163AF0" w:rsidP="005D2D59" w14:paraId="1AFA5C15" w14:textId="77777777">
      <w:pPr>
        <w:pStyle w:val="List"/>
        <w:ind w:left="0" w:firstLine="0"/>
        <w:jc w:val="center"/>
        <w:rPr>
          <w:b/>
          <w:szCs w:val="24"/>
        </w:rPr>
        <w:sectPr w:rsidSect="00357F44">
          <w:footerReference w:type="default" r:id="rId8"/>
          <w:pgSz w:w="12240" w:h="15840"/>
          <w:pgMar w:top="1440" w:right="1800" w:bottom="1440" w:left="1800" w:header="720" w:footer="720" w:gutter="0"/>
          <w:pgNumType w:start="1"/>
          <w:cols w:space="720"/>
          <w:docGrid w:linePitch="360"/>
        </w:sectPr>
      </w:pPr>
    </w:p>
    <w:p w:rsidR="00B165B3" w:rsidRPr="00163AF0" w:rsidP="00B165B3" w14:paraId="4C7A3906" w14:textId="77777777">
      <w:pPr>
        <w:jc w:val="center"/>
        <w:rPr>
          <w:b/>
          <w:szCs w:val="24"/>
          <w:u w:val="single"/>
        </w:rPr>
      </w:pPr>
      <w:r w:rsidRPr="00163AF0">
        <w:rPr>
          <w:b/>
          <w:szCs w:val="24"/>
          <w:u w:val="single"/>
        </w:rPr>
        <w:t>TABLE OF CONTENTS</w:t>
      </w:r>
    </w:p>
    <w:p w:rsidR="00B165B3" w:rsidRPr="00163AF0" w:rsidP="00B165B3" w14:paraId="07EA8176" w14:textId="77777777">
      <w:pPr>
        <w:jc w:val="right"/>
        <w:rPr>
          <w:b/>
          <w:szCs w:val="24"/>
        </w:rPr>
      </w:pPr>
      <w:r w:rsidRPr="00163AF0">
        <w:rPr>
          <w:b/>
          <w:szCs w:val="24"/>
        </w:rPr>
        <w:tab/>
      </w:r>
      <w:r w:rsidRPr="00163AF0">
        <w:rPr>
          <w:b/>
          <w:szCs w:val="24"/>
        </w:rPr>
        <w:tab/>
      </w:r>
      <w:r w:rsidRPr="00163AF0">
        <w:rPr>
          <w:b/>
          <w:szCs w:val="24"/>
        </w:rPr>
        <w:tab/>
      </w:r>
      <w:r w:rsidRPr="00163AF0">
        <w:rPr>
          <w:b/>
          <w:szCs w:val="24"/>
        </w:rPr>
        <w:tab/>
      </w:r>
      <w:r w:rsidRPr="00163AF0">
        <w:rPr>
          <w:b/>
          <w:szCs w:val="24"/>
        </w:rPr>
        <w:tab/>
      </w:r>
      <w:r w:rsidRPr="00163AF0">
        <w:rPr>
          <w:b/>
          <w:szCs w:val="24"/>
        </w:rPr>
        <w:tab/>
      </w:r>
      <w:r w:rsidRPr="00163AF0">
        <w:rPr>
          <w:b/>
          <w:szCs w:val="24"/>
        </w:rPr>
        <w:tab/>
      </w:r>
      <w:r w:rsidRPr="00163AF0">
        <w:rPr>
          <w:b/>
          <w:szCs w:val="24"/>
        </w:rPr>
        <w:tab/>
      </w:r>
      <w:r w:rsidRPr="00163AF0">
        <w:rPr>
          <w:b/>
          <w:szCs w:val="24"/>
        </w:rPr>
        <w:tab/>
      </w:r>
      <w:r w:rsidRPr="00163AF0">
        <w:rPr>
          <w:b/>
          <w:szCs w:val="24"/>
        </w:rPr>
        <w:tab/>
        <w:t>PAGE</w:t>
      </w:r>
    </w:p>
    <w:p w:rsidR="00B57A2E" w:rsidRPr="00163AF0" w:rsidP="005D2D59" w14:paraId="5D268DB8" w14:textId="77777777">
      <w:pPr>
        <w:pStyle w:val="List"/>
        <w:ind w:left="0" w:firstLine="0"/>
        <w:jc w:val="center"/>
        <w:rPr>
          <w:b/>
          <w:szCs w:val="24"/>
        </w:rPr>
      </w:pPr>
    </w:p>
    <w:p w:rsidR="00656633" w14:paraId="2FF2C796" w14:textId="074488CC">
      <w:pPr>
        <w:pStyle w:val="TOC1"/>
        <w:rPr>
          <w:rFonts w:asciiTheme="minorHAnsi" w:eastAsiaTheme="minorEastAsia" w:hAnsiTheme="minorHAnsi" w:cstheme="minorBidi"/>
          <w:bCs w:val="0"/>
          <w:caps w:val="0"/>
          <w:noProof/>
          <w:sz w:val="22"/>
          <w:szCs w:val="22"/>
        </w:rPr>
      </w:pPr>
      <w:r w:rsidRPr="00163AF0">
        <w:rPr>
          <w:rFonts w:eastAsia="Times New Roman"/>
          <w:b/>
          <w:bCs w:val="0"/>
          <w:szCs w:val="24"/>
        </w:rPr>
        <w:fldChar w:fldCharType="begin"/>
      </w:r>
      <w:r w:rsidRPr="00163AF0">
        <w:rPr>
          <w:rFonts w:eastAsia="Times New Roman"/>
          <w:b/>
          <w:bCs w:val="0"/>
          <w:szCs w:val="24"/>
        </w:rPr>
        <w:instrText xml:space="preserve"> TOC \o "1-3" \h \z \u </w:instrText>
      </w:r>
      <w:r w:rsidRPr="00163AF0">
        <w:rPr>
          <w:rFonts w:eastAsia="Times New Roman"/>
          <w:b/>
          <w:bCs w:val="0"/>
          <w:szCs w:val="24"/>
        </w:rPr>
        <w:fldChar w:fldCharType="separate"/>
      </w:r>
      <w:hyperlink w:anchor="_Toc98860587" w:history="1">
        <w:r w:rsidRPr="000152B0">
          <w:rPr>
            <w:rStyle w:val="Hyperlink"/>
            <w:noProof/>
          </w:rPr>
          <w:t>I.</w:t>
        </w:r>
        <w:r>
          <w:rPr>
            <w:rFonts w:asciiTheme="minorHAnsi" w:eastAsiaTheme="minorEastAsia" w:hAnsiTheme="minorHAnsi" w:cstheme="minorBidi"/>
            <w:bCs w:val="0"/>
            <w:caps w:val="0"/>
            <w:noProof/>
            <w:sz w:val="22"/>
            <w:szCs w:val="22"/>
          </w:rPr>
          <w:tab/>
        </w:r>
        <w:r w:rsidRPr="000152B0">
          <w:rPr>
            <w:rStyle w:val="Hyperlink"/>
            <w:noProof/>
          </w:rPr>
          <w:t>Introduction</w:t>
        </w:r>
        <w:r>
          <w:rPr>
            <w:noProof/>
            <w:webHidden/>
          </w:rPr>
          <w:tab/>
        </w:r>
        <w:r>
          <w:rPr>
            <w:noProof/>
            <w:webHidden/>
          </w:rPr>
          <w:fldChar w:fldCharType="begin"/>
        </w:r>
        <w:r>
          <w:rPr>
            <w:noProof/>
            <w:webHidden/>
          </w:rPr>
          <w:instrText xml:space="preserve"> PAGEREF _Toc98860587 \h </w:instrText>
        </w:r>
        <w:r>
          <w:rPr>
            <w:noProof/>
            <w:webHidden/>
          </w:rPr>
          <w:fldChar w:fldCharType="separate"/>
        </w:r>
        <w:r>
          <w:rPr>
            <w:noProof/>
            <w:webHidden/>
          </w:rPr>
          <w:t>1</w:t>
        </w:r>
        <w:r>
          <w:rPr>
            <w:noProof/>
            <w:webHidden/>
          </w:rPr>
          <w:fldChar w:fldCharType="end"/>
        </w:r>
      </w:hyperlink>
    </w:p>
    <w:p w:rsidR="00656633" w14:paraId="0FDFA10F" w14:textId="2A7D5BE1">
      <w:pPr>
        <w:pStyle w:val="TOC1"/>
        <w:rPr>
          <w:rFonts w:asciiTheme="minorHAnsi" w:eastAsiaTheme="minorEastAsia" w:hAnsiTheme="minorHAnsi" w:cstheme="minorBidi"/>
          <w:bCs w:val="0"/>
          <w:caps w:val="0"/>
          <w:noProof/>
          <w:sz w:val="22"/>
          <w:szCs w:val="22"/>
        </w:rPr>
      </w:pPr>
      <w:hyperlink w:anchor="_Toc98860588" w:history="1">
        <w:r w:rsidRPr="000152B0">
          <w:rPr>
            <w:rStyle w:val="Hyperlink"/>
            <w:noProof/>
          </w:rPr>
          <w:t>II.</w:t>
        </w:r>
        <w:r>
          <w:rPr>
            <w:rFonts w:asciiTheme="minorHAnsi" w:eastAsiaTheme="minorEastAsia" w:hAnsiTheme="minorHAnsi" w:cstheme="minorBidi"/>
            <w:bCs w:val="0"/>
            <w:caps w:val="0"/>
            <w:noProof/>
            <w:sz w:val="22"/>
            <w:szCs w:val="22"/>
          </w:rPr>
          <w:tab/>
        </w:r>
        <w:r w:rsidRPr="000152B0">
          <w:rPr>
            <w:rStyle w:val="Hyperlink"/>
            <w:noProof/>
          </w:rPr>
          <w:t>Argument</w:t>
        </w:r>
        <w:r>
          <w:rPr>
            <w:noProof/>
            <w:webHidden/>
          </w:rPr>
          <w:tab/>
        </w:r>
        <w:r>
          <w:rPr>
            <w:noProof/>
            <w:webHidden/>
          </w:rPr>
          <w:fldChar w:fldCharType="begin"/>
        </w:r>
        <w:r>
          <w:rPr>
            <w:noProof/>
            <w:webHidden/>
          </w:rPr>
          <w:instrText xml:space="preserve"> PAGEREF _Toc98860588 \h </w:instrText>
        </w:r>
        <w:r>
          <w:rPr>
            <w:noProof/>
            <w:webHidden/>
          </w:rPr>
          <w:fldChar w:fldCharType="separate"/>
        </w:r>
        <w:r>
          <w:rPr>
            <w:noProof/>
            <w:webHidden/>
          </w:rPr>
          <w:t>3</w:t>
        </w:r>
        <w:r>
          <w:rPr>
            <w:noProof/>
            <w:webHidden/>
          </w:rPr>
          <w:fldChar w:fldCharType="end"/>
        </w:r>
      </w:hyperlink>
    </w:p>
    <w:p w:rsidR="00656633" w14:paraId="11328595" w14:textId="66B35CFC">
      <w:pPr>
        <w:pStyle w:val="TOC2"/>
        <w:tabs>
          <w:tab w:val="left" w:pos="1440"/>
        </w:tabs>
        <w:rPr>
          <w:rFonts w:asciiTheme="minorHAnsi" w:eastAsiaTheme="minorEastAsia" w:hAnsiTheme="minorHAnsi" w:cstheme="minorBidi"/>
          <w:bCs w:val="0"/>
          <w:noProof/>
          <w:sz w:val="22"/>
          <w:szCs w:val="22"/>
        </w:rPr>
      </w:pPr>
      <w:hyperlink w:anchor="_Toc98860589" w:history="1">
        <w:r w:rsidRPr="000152B0">
          <w:rPr>
            <w:rStyle w:val="Hyperlink"/>
            <w:noProof/>
          </w:rPr>
          <w:t>A.</w:t>
        </w:r>
        <w:r>
          <w:rPr>
            <w:rFonts w:asciiTheme="minorHAnsi" w:eastAsiaTheme="minorEastAsia" w:hAnsiTheme="minorHAnsi" w:cstheme="minorBidi"/>
            <w:bCs w:val="0"/>
            <w:noProof/>
            <w:sz w:val="22"/>
            <w:szCs w:val="22"/>
          </w:rPr>
          <w:tab/>
        </w:r>
        <w:r w:rsidRPr="000152B0">
          <w:rPr>
            <w:rStyle w:val="Hyperlink"/>
            <w:noProof/>
          </w:rPr>
          <w:t xml:space="preserve">Contrary to Ms. Yeboah-Amankwah’s assertion, OCC’s </w:t>
        </w:r>
        <w:r>
          <w:rPr>
            <w:rStyle w:val="Hyperlink"/>
            <w:noProof/>
          </w:rPr>
          <w:br/>
        </w:r>
        <w:r w:rsidRPr="000152B0">
          <w:rPr>
            <w:rStyle w:val="Hyperlink"/>
            <w:noProof/>
          </w:rPr>
          <w:t xml:space="preserve">subpoena does not seek information outside the scope of this </w:t>
        </w:r>
        <w:r>
          <w:rPr>
            <w:rStyle w:val="Hyperlink"/>
            <w:noProof/>
          </w:rPr>
          <w:br/>
        </w:r>
        <w:r w:rsidRPr="000152B0">
          <w:rPr>
            <w:rStyle w:val="Hyperlink"/>
            <w:noProof/>
          </w:rPr>
          <w:t xml:space="preserve">proceeding. To protect consumers, OCC seeks information that </w:t>
        </w:r>
        <w:r>
          <w:rPr>
            <w:rStyle w:val="Hyperlink"/>
            <w:noProof/>
          </w:rPr>
          <w:br/>
        </w:r>
        <w:r w:rsidRPr="000152B0">
          <w:rPr>
            <w:rStyle w:val="Hyperlink"/>
            <w:noProof/>
          </w:rPr>
          <w:t xml:space="preserve">is relevant and reasonably calculated to lead to the discovery of </w:t>
        </w:r>
        <w:r>
          <w:rPr>
            <w:rStyle w:val="Hyperlink"/>
            <w:noProof/>
          </w:rPr>
          <w:br/>
        </w:r>
        <w:r w:rsidRPr="000152B0">
          <w:rPr>
            <w:rStyle w:val="Hyperlink"/>
            <w:noProof/>
          </w:rPr>
          <w:t>admissible evidence per O.A.C. 4901-1-16(B).</w:t>
        </w:r>
        <w:r>
          <w:rPr>
            <w:noProof/>
            <w:webHidden/>
          </w:rPr>
          <w:tab/>
        </w:r>
        <w:r>
          <w:rPr>
            <w:noProof/>
            <w:webHidden/>
          </w:rPr>
          <w:fldChar w:fldCharType="begin"/>
        </w:r>
        <w:r>
          <w:rPr>
            <w:noProof/>
            <w:webHidden/>
          </w:rPr>
          <w:instrText xml:space="preserve"> PAGEREF _Toc98860589 \h </w:instrText>
        </w:r>
        <w:r>
          <w:rPr>
            <w:noProof/>
            <w:webHidden/>
          </w:rPr>
          <w:fldChar w:fldCharType="separate"/>
        </w:r>
        <w:r>
          <w:rPr>
            <w:noProof/>
            <w:webHidden/>
          </w:rPr>
          <w:t>3</w:t>
        </w:r>
        <w:r>
          <w:rPr>
            <w:noProof/>
            <w:webHidden/>
          </w:rPr>
          <w:fldChar w:fldCharType="end"/>
        </w:r>
      </w:hyperlink>
    </w:p>
    <w:p w:rsidR="00656633" w14:paraId="5A3B6365" w14:textId="4874891D">
      <w:pPr>
        <w:pStyle w:val="TOC2"/>
        <w:tabs>
          <w:tab w:val="left" w:pos="1440"/>
        </w:tabs>
        <w:rPr>
          <w:rFonts w:asciiTheme="minorHAnsi" w:eastAsiaTheme="minorEastAsia" w:hAnsiTheme="minorHAnsi" w:cstheme="minorBidi"/>
          <w:bCs w:val="0"/>
          <w:noProof/>
          <w:sz w:val="22"/>
          <w:szCs w:val="22"/>
        </w:rPr>
      </w:pPr>
      <w:hyperlink w:anchor="_Toc98860590" w:history="1">
        <w:r w:rsidRPr="000152B0">
          <w:rPr>
            <w:rStyle w:val="Hyperlink"/>
            <w:noProof/>
          </w:rPr>
          <w:t>B.</w:t>
        </w:r>
        <w:r>
          <w:rPr>
            <w:rFonts w:asciiTheme="minorHAnsi" w:eastAsiaTheme="minorEastAsia" w:hAnsiTheme="minorHAnsi" w:cstheme="minorBidi"/>
            <w:bCs w:val="0"/>
            <w:noProof/>
            <w:sz w:val="22"/>
            <w:szCs w:val="22"/>
          </w:rPr>
          <w:tab/>
        </w:r>
        <w:r w:rsidRPr="000152B0">
          <w:rPr>
            <w:rStyle w:val="Hyperlink"/>
            <w:noProof/>
          </w:rPr>
          <w:t xml:space="preserve">Contrary to Ms. Yeboah-Amankwah’s assertion, OCC’s </w:t>
        </w:r>
        <w:r>
          <w:rPr>
            <w:rStyle w:val="Hyperlink"/>
            <w:noProof/>
          </w:rPr>
          <w:br/>
        </w:r>
        <w:r w:rsidRPr="000152B0">
          <w:rPr>
            <w:rStyle w:val="Hyperlink"/>
            <w:noProof/>
          </w:rPr>
          <w:t xml:space="preserve">subpoena is neither unreasonable nor oppressive. Given OCC’s </w:t>
        </w:r>
        <w:r>
          <w:rPr>
            <w:rStyle w:val="Hyperlink"/>
            <w:noProof/>
          </w:rPr>
          <w:br/>
        </w:r>
        <w:r w:rsidRPr="000152B0">
          <w:rPr>
            <w:rStyle w:val="Hyperlink"/>
            <w:noProof/>
          </w:rPr>
          <w:t xml:space="preserve">discovery rights under law and rule, it is neither unreasonable nor oppressive for OCC to depose and seek documents from </w:t>
        </w:r>
        <w:r>
          <w:rPr>
            <w:rStyle w:val="Hyperlink"/>
            <w:noProof/>
          </w:rPr>
          <w:br/>
        </w:r>
        <w:r w:rsidRPr="000152B0">
          <w:rPr>
            <w:rStyle w:val="Hyperlink"/>
            <w:noProof/>
          </w:rPr>
          <w:t xml:space="preserve">FirstEnergy’s former Vice President, General Counsel and Chief </w:t>
        </w:r>
        <w:r>
          <w:rPr>
            <w:rStyle w:val="Hyperlink"/>
            <w:noProof/>
          </w:rPr>
          <w:br/>
        </w:r>
        <w:r w:rsidRPr="000152B0">
          <w:rPr>
            <w:rStyle w:val="Hyperlink"/>
            <w:noProof/>
          </w:rPr>
          <w:t>Ethics Officer – the person with ultimate responsibility for corporate separation compliance.</w:t>
        </w:r>
        <w:r>
          <w:rPr>
            <w:noProof/>
            <w:webHidden/>
          </w:rPr>
          <w:tab/>
        </w:r>
        <w:r>
          <w:rPr>
            <w:noProof/>
            <w:webHidden/>
          </w:rPr>
          <w:fldChar w:fldCharType="begin"/>
        </w:r>
        <w:r>
          <w:rPr>
            <w:noProof/>
            <w:webHidden/>
          </w:rPr>
          <w:instrText xml:space="preserve"> PAGEREF _Toc98860590 \h </w:instrText>
        </w:r>
        <w:r>
          <w:rPr>
            <w:noProof/>
            <w:webHidden/>
          </w:rPr>
          <w:fldChar w:fldCharType="separate"/>
        </w:r>
        <w:r>
          <w:rPr>
            <w:noProof/>
            <w:webHidden/>
          </w:rPr>
          <w:t>7</w:t>
        </w:r>
        <w:r>
          <w:rPr>
            <w:noProof/>
            <w:webHidden/>
          </w:rPr>
          <w:fldChar w:fldCharType="end"/>
        </w:r>
      </w:hyperlink>
    </w:p>
    <w:p w:rsidR="00656633" w14:paraId="3360F15C" w14:textId="23EBF2B6">
      <w:pPr>
        <w:pStyle w:val="TOC2"/>
        <w:tabs>
          <w:tab w:val="left" w:pos="1440"/>
        </w:tabs>
        <w:rPr>
          <w:rFonts w:asciiTheme="minorHAnsi" w:eastAsiaTheme="minorEastAsia" w:hAnsiTheme="minorHAnsi" w:cstheme="minorBidi"/>
          <w:bCs w:val="0"/>
          <w:noProof/>
          <w:sz w:val="22"/>
          <w:szCs w:val="22"/>
        </w:rPr>
      </w:pPr>
      <w:hyperlink w:anchor="_Toc98860591" w:history="1">
        <w:r w:rsidRPr="000152B0">
          <w:rPr>
            <w:rStyle w:val="Hyperlink"/>
            <w:noProof/>
          </w:rPr>
          <w:t>C.</w:t>
        </w:r>
        <w:r>
          <w:rPr>
            <w:rFonts w:asciiTheme="minorHAnsi" w:eastAsiaTheme="minorEastAsia" w:hAnsiTheme="minorHAnsi" w:cstheme="minorBidi"/>
            <w:bCs w:val="0"/>
            <w:noProof/>
            <w:sz w:val="22"/>
            <w:szCs w:val="22"/>
          </w:rPr>
          <w:tab/>
        </w:r>
        <w:r w:rsidRPr="000152B0">
          <w:rPr>
            <w:rStyle w:val="Hyperlink"/>
            <w:noProof/>
          </w:rPr>
          <w:t xml:space="preserve">Contrary to Ms. Yeboah-Amankwah’s assertion, OCC’s subpoena </w:t>
        </w:r>
        <w:r>
          <w:rPr>
            <w:rStyle w:val="Hyperlink"/>
            <w:noProof/>
          </w:rPr>
          <w:br/>
        </w:r>
        <w:r w:rsidRPr="000152B0">
          <w:rPr>
            <w:rStyle w:val="Hyperlink"/>
            <w:noProof/>
          </w:rPr>
          <w:t xml:space="preserve">is not untimely. OCC’s subpoena is in consumers’ interest and </w:t>
        </w:r>
        <w:r>
          <w:rPr>
            <w:rStyle w:val="Hyperlink"/>
            <w:noProof/>
          </w:rPr>
          <w:br/>
        </w:r>
        <w:r w:rsidRPr="000152B0">
          <w:rPr>
            <w:rStyle w:val="Hyperlink"/>
            <w:noProof/>
          </w:rPr>
          <w:t>does not violate the procedural schedule in this case.</w:t>
        </w:r>
        <w:r>
          <w:rPr>
            <w:noProof/>
            <w:webHidden/>
          </w:rPr>
          <w:tab/>
        </w:r>
        <w:r>
          <w:rPr>
            <w:noProof/>
            <w:webHidden/>
          </w:rPr>
          <w:fldChar w:fldCharType="begin"/>
        </w:r>
        <w:r>
          <w:rPr>
            <w:noProof/>
            <w:webHidden/>
          </w:rPr>
          <w:instrText xml:space="preserve"> PAGEREF _Toc98860591 \h </w:instrText>
        </w:r>
        <w:r>
          <w:rPr>
            <w:noProof/>
            <w:webHidden/>
          </w:rPr>
          <w:fldChar w:fldCharType="separate"/>
        </w:r>
        <w:r>
          <w:rPr>
            <w:noProof/>
            <w:webHidden/>
          </w:rPr>
          <w:t>10</w:t>
        </w:r>
        <w:r>
          <w:rPr>
            <w:noProof/>
            <w:webHidden/>
          </w:rPr>
          <w:fldChar w:fldCharType="end"/>
        </w:r>
      </w:hyperlink>
    </w:p>
    <w:p w:rsidR="00656633" w14:paraId="29181DD5" w14:textId="1C38FBF6">
      <w:pPr>
        <w:pStyle w:val="TOC1"/>
        <w:rPr>
          <w:rFonts w:asciiTheme="minorHAnsi" w:eastAsiaTheme="minorEastAsia" w:hAnsiTheme="minorHAnsi" w:cstheme="minorBidi"/>
          <w:bCs w:val="0"/>
          <w:caps w:val="0"/>
          <w:noProof/>
          <w:sz w:val="22"/>
          <w:szCs w:val="22"/>
        </w:rPr>
      </w:pPr>
      <w:hyperlink w:anchor="_Toc98860592" w:history="1">
        <w:r w:rsidRPr="000152B0">
          <w:rPr>
            <w:rStyle w:val="Hyperlink"/>
            <w:noProof/>
          </w:rPr>
          <w:t>III.</w:t>
        </w:r>
        <w:r>
          <w:rPr>
            <w:rFonts w:asciiTheme="minorHAnsi" w:eastAsiaTheme="minorEastAsia" w:hAnsiTheme="minorHAnsi" w:cstheme="minorBidi"/>
            <w:bCs w:val="0"/>
            <w:caps w:val="0"/>
            <w:noProof/>
            <w:sz w:val="22"/>
            <w:szCs w:val="22"/>
          </w:rPr>
          <w:tab/>
        </w:r>
        <w:r w:rsidRPr="000152B0">
          <w:rPr>
            <w:rStyle w:val="Hyperlink"/>
            <w:noProof/>
          </w:rPr>
          <w:t>Conclusion</w:t>
        </w:r>
        <w:r>
          <w:rPr>
            <w:noProof/>
            <w:webHidden/>
          </w:rPr>
          <w:tab/>
        </w:r>
        <w:r>
          <w:rPr>
            <w:noProof/>
            <w:webHidden/>
          </w:rPr>
          <w:fldChar w:fldCharType="begin"/>
        </w:r>
        <w:r>
          <w:rPr>
            <w:noProof/>
            <w:webHidden/>
          </w:rPr>
          <w:instrText xml:space="preserve"> PAGEREF _Toc98860592 \h </w:instrText>
        </w:r>
        <w:r>
          <w:rPr>
            <w:noProof/>
            <w:webHidden/>
          </w:rPr>
          <w:fldChar w:fldCharType="separate"/>
        </w:r>
        <w:r>
          <w:rPr>
            <w:noProof/>
            <w:webHidden/>
          </w:rPr>
          <w:t>12</w:t>
        </w:r>
        <w:r>
          <w:rPr>
            <w:noProof/>
            <w:webHidden/>
          </w:rPr>
          <w:fldChar w:fldCharType="end"/>
        </w:r>
      </w:hyperlink>
    </w:p>
    <w:p w:rsidR="00B165B3" w:rsidRPr="00163AF0" w:rsidP="00B165B3" w14:paraId="7963188D" w14:textId="1D3D2BD4">
      <w:pPr>
        <w:tabs>
          <w:tab w:val="left" w:pos="3464"/>
        </w:tabs>
        <w:rPr>
          <w:rFonts w:eastAsia="Times New Roman"/>
          <w:b/>
          <w:bCs w:val="0"/>
          <w:color w:val="auto"/>
          <w:szCs w:val="24"/>
        </w:rPr>
      </w:pPr>
      <w:r w:rsidRPr="00163AF0">
        <w:rPr>
          <w:rFonts w:eastAsia="Times New Roman"/>
          <w:b/>
          <w:bCs w:val="0"/>
          <w:color w:val="auto"/>
          <w:szCs w:val="24"/>
        </w:rPr>
        <w:fldChar w:fldCharType="end"/>
      </w:r>
    </w:p>
    <w:p w:rsidR="00B165B3" w:rsidRPr="00163AF0" w:rsidP="00B165B3" w14:paraId="155FE840" w14:textId="69B1C737">
      <w:pPr>
        <w:tabs>
          <w:tab w:val="left" w:pos="3464"/>
        </w:tabs>
        <w:rPr>
          <w:szCs w:val="24"/>
        </w:rPr>
        <w:sectPr w:rsidSect="00B165B3">
          <w:footerReference w:type="default" r:id="rId9"/>
          <w:pgSz w:w="12240" w:h="15840"/>
          <w:pgMar w:top="1440" w:right="1800" w:bottom="1440" w:left="1800" w:header="720" w:footer="720" w:gutter="0"/>
          <w:pgNumType w:fmt="lowerRoman" w:start="1"/>
          <w:cols w:space="720"/>
          <w:docGrid w:linePitch="360"/>
        </w:sectPr>
      </w:pPr>
      <w:r w:rsidRPr="00163AF0">
        <w:rPr>
          <w:szCs w:val="24"/>
        </w:rPr>
        <w:tab/>
      </w:r>
    </w:p>
    <w:p w:rsidR="00322352" w:rsidRPr="00163AF0" w:rsidP="005D2D59" w14:paraId="1B5D9726" w14:textId="77777777">
      <w:pPr>
        <w:pStyle w:val="List"/>
        <w:ind w:left="0" w:firstLine="0"/>
        <w:jc w:val="center"/>
        <w:rPr>
          <w:b/>
          <w:szCs w:val="24"/>
        </w:rPr>
      </w:pPr>
      <w:r w:rsidRPr="00163AF0">
        <w:rPr>
          <w:b/>
          <w:szCs w:val="24"/>
        </w:rPr>
        <w:t>BEFORE</w:t>
      </w:r>
    </w:p>
    <w:p w:rsidR="00322352" w:rsidRPr="00163AF0" w:rsidP="005D2D59" w14:paraId="707C539C" w14:textId="77777777">
      <w:pPr>
        <w:pStyle w:val="List"/>
        <w:ind w:left="0" w:firstLine="0"/>
        <w:jc w:val="center"/>
        <w:rPr>
          <w:b/>
          <w:szCs w:val="24"/>
        </w:rPr>
      </w:pPr>
      <w:r w:rsidRPr="00163AF0">
        <w:rPr>
          <w:b/>
          <w:szCs w:val="24"/>
        </w:rPr>
        <w:t>THE PUBLIC UTILITIES COMMISSION OF OHIO</w:t>
      </w:r>
    </w:p>
    <w:p w:rsidR="00414C8B" w:rsidRPr="00163AF0" w:rsidP="005D2D59" w14:paraId="6CA07A76" w14:textId="77777777">
      <w:pPr>
        <w:pStyle w:val="List"/>
        <w:ind w:left="0" w:firstLine="0"/>
        <w:jc w:val="center"/>
        <w:rPr>
          <w:b/>
          <w:szCs w:val="24"/>
        </w:rPr>
      </w:pPr>
    </w:p>
    <w:tbl>
      <w:tblPr>
        <w:tblW w:w="9360" w:type="dxa"/>
        <w:tblLook w:val="01E0"/>
      </w:tblPr>
      <w:tblGrid>
        <w:gridCol w:w="4230"/>
        <w:gridCol w:w="630"/>
        <w:gridCol w:w="4500"/>
      </w:tblGrid>
      <w:tr w14:paraId="60DF6F0D" w14:textId="77777777" w:rsidTr="00722290">
        <w:tblPrEx>
          <w:tblW w:w="9360" w:type="dxa"/>
          <w:tblLook w:val="01E0"/>
        </w:tblPrEx>
        <w:trPr>
          <w:trHeight w:val="807"/>
        </w:trPr>
        <w:tc>
          <w:tcPr>
            <w:tcW w:w="4230" w:type="dxa"/>
            <w:shd w:val="clear" w:color="auto" w:fill="auto"/>
          </w:tcPr>
          <w:p w:rsidR="00B97B72" w:rsidRPr="00163AF0" w:rsidP="005D2D59" w14:paraId="6386E532"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B97B72" w:rsidRPr="00163AF0" w:rsidP="005D2D59" w14:paraId="49139165"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0EBDAE8E"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1DDE2F6A"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6FCDC754"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4464C8D8"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p w:rsidR="00B97B72" w:rsidRPr="00163AF0" w:rsidP="005D2D59" w14:paraId="6979CC86"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w:t>
            </w:r>
          </w:p>
        </w:tc>
        <w:tc>
          <w:tcPr>
            <w:tcW w:w="4500" w:type="dxa"/>
            <w:shd w:val="clear" w:color="auto" w:fill="auto"/>
          </w:tcPr>
          <w:p w:rsidR="00B97B72" w:rsidRPr="00163AF0" w:rsidP="005D2D59" w14:paraId="00A82A84" w14:textId="77777777">
            <w:pPr>
              <w:pStyle w:val="HTMLPreformatted"/>
              <w:rPr>
                <w:rFonts w:ascii="Times New Roman" w:hAnsi="Times New Roman" w:cs="Times New Roman"/>
                <w:sz w:val="24"/>
                <w:szCs w:val="24"/>
              </w:rPr>
            </w:pPr>
          </w:p>
          <w:p w:rsidR="00B97B72" w:rsidRPr="00163AF0" w:rsidP="005D2D59" w14:paraId="4E73CAC4" w14:textId="77777777">
            <w:pPr>
              <w:pStyle w:val="HTMLPreformatted"/>
              <w:rPr>
                <w:rFonts w:ascii="Times New Roman" w:hAnsi="Times New Roman" w:cs="Times New Roman"/>
                <w:sz w:val="24"/>
                <w:szCs w:val="24"/>
              </w:rPr>
            </w:pPr>
          </w:p>
          <w:p w:rsidR="00B97B72" w:rsidRPr="00163AF0" w:rsidP="005D2D59" w14:paraId="4B369F9D" w14:textId="77777777">
            <w:pPr>
              <w:pStyle w:val="HTMLPreformatted"/>
              <w:rPr>
                <w:rFonts w:ascii="Times New Roman" w:hAnsi="Times New Roman" w:cs="Times New Roman"/>
                <w:sz w:val="24"/>
                <w:szCs w:val="24"/>
              </w:rPr>
            </w:pPr>
            <w:r w:rsidRPr="00163AF0">
              <w:rPr>
                <w:rFonts w:ascii="Times New Roman" w:hAnsi="Times New Roman" w:cs="Times New Roman"/>
                <w:sz w:val="24"/>
                <w:szCs w:val="24"/>
              </w:rPr>
              <w:t>Case No. 17-974-EL-UNC</w:t>
            </w:r>
          </w:p>
          <w:p w:rsidR="00B97B72" w:rsidRPr="00163AF0" w:rsidP="005D2D59" w14:paraId="09962A3F" w14:textId="77777777">
            <w:pPr>
              <w:pStyle w:val="HTMLPreformatted"/>
              <w:rPr>
                <w:rFonts w:ascii="Times New Roman" w:hAnsi="Times New Roman" w:cs="Times New Roman"/>
                <w:sz w:val="24"/>
                <w:szCs w:val="24"/>
              </w:rPr>
            </w:pPr>
          </w:p>
        </w:tc>
      </w:tr>
    </w:tbl>
    <w:p w:rsidR="003932EA" w:rsidRPr="00163AF0" w:rsidP="005D2D59" w14:paraId="76B44074" w14:textId="77777777">
      <w:pPr>
        <w:pBdr>
          <w:bottom w:val="single" w:sz="12" w:space="1" w:color="auto"/>
        </w:pBdr>
        <w:rPr>
          <w:szCs w:val="24"/>
        </w:rPr>
      </w:pPr>
    </w:p>
    <w:p w:rsidR="003932EA" w:rsidRPr="00163AF0" w:rsidP="005D2D59" w14:paraId="7C199035" w14:textId="77777777">
      <w:pPr>
        <w:rPr>
          <w:b/>
          <w:bCs w:val="0"/>
          <w:szCs w:val="24"/>
        </w:rPr>
      </w:pPr>
    </w:p>
    <w:p w:rsidR="00464F4C" w:rsidRPr="00163AF0" w:rsidP="00464F4C" w14:paraId="314A794D" w14:textId="2A599879">
      <w:pPr>
        <w:jc w:val="center"/>
        <w:rPr>
          <w:b/>
          <w:bCs w:val="0"/>
          <w:szCs w:val="24"/>
        </w:rPr>
      </w:pPr>
      <w:r w:rsidRPr="00163AF0">
        <w:rPr>
          <w:b/>
          <w:bCs w:val="0"/>
          <w:szCs w:val="24"/>
        </w:rPr>
        <w:t xml:space="preserve">MEMORANDUM CONTRA MOTION TO QUASH SUBPOENA FILED BY EBONY YEBOAH-AMANKWAH (FIRSTENERGY’S FORMER VICE PRESIDENT, GENERAL COUNSEL AND CHIEF ETHICS </w:t>
      </w:r>
      <w:r w:rsidRPr="00163AF0">
        <w:rPr>
          <w:b/>
          <w:szCs w:val="24"/>
        </w:rPr>
        <w:t>OFFICER)</w:t>
      </w:r>
      <w:r w:rsidRPr="00163AF0">
        <w:rPr>
          <w:b/>
          <w:bCs w:val="0"/>
          <w:szCs w:val="24"/>
        </w:rPr>
        <w:t xml:space="preserve"> </w:t>
      </w:r>
    </w:p>
    <w:p w:rsidR="00464F4C" w:rsidRPr="00163AF0" w:rsidP="00464F4C" w14:paraId="111C5E23" w14:textId="77777777">
      <w:pPr>
        <w:jc w:val="center"/>
        <w:rPr>
          <w:b/>
          <w:bCs w:val="0"/>
          <w:szCs w:val="24"/>
        </w:rPr>
      </w:pPr>
      <w:r w:rsidRPr="00163AF0">
        <w:rPr>
          <w:b/>
          <w:bCs w:val="0"/>
          <w:szCs w:val="24"/>
        </w:rPr>
        <w:t>BY</w:t>
      </w:r>
    </w:p>
    <w:p w:rsidR="00464F4C" w:rsidRPr="00163AF0" w:rsidP="00464F4C" w14:paraId="08540C0E" w14:textId="77777777">
      <w:pPr>
        <w:pBdr>
          <w:bottom w:val="single" w:sz="12" w:space="1" w:color="auto"/>
        </w:pBdr>
        <w:jc w:val="center"/>
        <w:rPr>
          <w:b/>
          <w:bCs w:val="0"/>
          <w:szCs w:val="24"/>
        </w:rPr>
      </w:pPr>
      <w:r w:rsidRPr="00163AF0">
        <w:rPr>
          <w:b/>
          <w:bCs w:val="0"/>
          <w:szCs w:val="24"/>
        </w:rPr>
        <w:t>OFFICE OF THE OHIO CONSUMERS’ COUNSEL</w:t>
      </w:r>
    </w:p>
    <w:p w:rsidR="00AD6D16" w:rsidRPr="00163AF0" w:rsidP="005D2D59" w14:paraId="0EA927F1" w14:textId="77777777">
      <w:pPr>
        <w:pBdr>
          <w:bottom w:val="single" w:sz="12" w:space="1" w:color="auto"/>
        </w:pBdr>
        <w:jc w:val="center"/>
        <w:rPr>
          <w:b/>
          <w:bCs w:val="0"/>
          <w:szCs w:val="24"/>
        </w:rPr>
      </w:pPr>
    </w:p>
    <w:p w:rsidR="000D18C7" w:rsidRPr="00163AF0" w:rsidP="005D2D59" w14:paraId="0A6E09AB" w14:textId="77777777">
      <w:pPr>
        <w:ind w:firstLine="720"/>
        <w:rPr>
          <w:szCs w:val="24"/>
        </w:rPr>
      </w:pPr>
    </w:p>
    <w:p w:rsidR="0001513F" w:rsidRPr="00163AF0" w:rsidP="00F42D6F" w14:paraId="31BCCCFF" w14:textId="1E4DE1D2">
      <w:pPr>
        <w:pStyle w:val="Heading1"/>
        <w:rPr>
          <w:rFonts w:ascii="Times New Roman" w:hAnsi="Times New Roman" w:cs="Times New Roman"/>
          <w:bCs w:val="0"/>
          <w:szCs w:val="24"/>
        </w:rPr>
      </w:pPr>
      <w:bookmarkStart w:id="1" w:name="_Toc98860587"/>
      <w:r w:rsidRPr="00163AF0">
        <w:rPr>
          <w:rFonts w:ascii="Times New Roman" w:hAnsi="Times New Roman" w:cs="Times New Roman"/>
          <w:bCs w:val="0"/>
          <w:szCs w:val="24"/>
        </w:rPr>
        <w:t>I.</w:t>
      </w:r>
      <w:r w:rsidRPr="00163AF0">
        <w:rPr>
          <w:rFonts w:ascii="Times New Roman" w:hAnsi="Times New Roman" w:cs="Times New Roman"/>
          <w:bCs w:val="0"/>
          <w:szCs w:val="24"/>
        </w:rPr>
        <w:tab/>
      </w:r>
      <w:r w:rsidRPr="00163AF0" w:rsidR="00096867">
        <w:rPr>
          <w:rFonts w:ascii="Times New Roman" w:hAnsi="Times New Roman" w:cs="Times New Roman"/>
          <w:bCs w:val="0"/>
          <w:szCs w:val="24"/>
        </w:rPr>
        <w:t>Introduction</w:t>
      </w:r>
      <w:bookmarkEnd w:id="1"/>
    </w:p>
    <w:p w:rsidR="008457D0" w:rsidRPr="00163AF0" w:rsidP="00997D55" w14:paraId="12E8999C" w14:textId="1131252B">
      <w:pPr>
        <w:spacing w:line="480" w:lineRule="auto"/>
        <w:ind w:firstLine="720"/>
        <w:rPr>
          <w:szCs w:val="24"/>
        </w:rPr>
      </w:pPr>
      <w:r w:rsidRPr="00163AF0">
        <w:rPr>
          <w:szCs w:val="24"/>
        </w:rPr>
        <w:t>Former FirstEnergy executive Ebony Yeboah-Amankwah</w:t>
      </w:r>
      <w:r w:rsidRPr="00163AF0" w:rsidR="00260723">
        <w:rPr>
          <w:szCs w:val="24"/>
        </w:rPr>
        <w:t xml:space="preserve"> (whose responsibilities included FirstEnergy’s corporate separation)</w:t>
      </w:r>
      <w:r w:rsidRPr="00163AF0">
        <w:rPr>
          <w:szCs w:val="24"/>
        </w:rPr>
        <w:t xml:space="preserve"> has filed to quash the subpoena that OCC served</w:t>
      </w:r>
      <w:r w:rsidRPr="00163AF0" w:rsidR="00EE0829">
        <w:rPr>
          <w:szCs w:val="24"/>
        </w:rPr>
        <w:t xml:space="preserve"> to take her deposition. The PUCO should deny the motion to quash.</w:t>
      </w:r>
      <w:r w:rsidRPr="00163AF0">
        <w:rPr>
          <w:szCs w:val="24"/>
        </w:rPr>
        <w:t xml:space="preserve"> </w:t>
      </w:r>
    </w:p>
    <w:p w:rsidR="00190E01" w:rsidRPr="00163AF0" w:rsidP="00997D55" w14:paraId="71816FD2" w14:textId="398E2C51">
      <w:pPr>
        <w:spacing w:line="480" w:lineRule="auto"/>
        <w:ind w:firstLine="720"/>
        <w:rPr>
          <w:szCs w:val="24"/>
        </w:rPr>
      </w:pPr>
      <w:r w:rsidRPr="00163AF0">
        <w:rPr>
          <w:szCs w:val="24"/>
        </w:rPr>
        <w:t>This case involves an audit of FirstEnergy</w:t>
      </w:r>
      <w:r w:rsidRPr="00163AF0" w:rsidR="00E8431B">
        <w:rPr>
          <w:szCs w:val="24"/>
        </w:rPr>
        <w:t xml:space="preserve"> Utilities</w:t>
      </w:r>
      <w:r w:rsidRPr="00163AF0">
        <w:rPr>
          <w:szCs w:val="24"/>
        </w:rPr>
        <w:t>’ corporate separation compliance.</w:t>
      </w:r>
      <w:r w:rsidR="00163AF0">
        <w:rPr>
          <w:szCs w:val="24"/>
        </w:rPr>
        <w:t xml:space="preserve"> </w:t>
      </w:r>
      <w:r w:rsidRPr="00163AF0">
        <w:rPr>
          <w:szCs w:val="24"/>
        </w:rPr>
        <w:t>Under Ohio law, the FirstEnergy Ohio Utilities must implement and operate under a corporate separation plan that “satisfies the public interest” and is “sufficient” to protect Ohioans from undue preference or advantage being given to the utilities’ affiliate(s).</w:t>
      </w:r>
      <w:r w:rsidR="00163AF0">
        <w:rPr>
          <w:szCs w:val="24"/>
        </w:rPr>
        <w:t xml:space="preserve"> </w:t>
      </w:r>
      <w:r w:rsidRPr="00163AF0">
        <w:rPr>
          <w:szCs w:val="24"/>
        </w:rPr>
        <w:t>Under provisions of O.A.C. 4901:1-37-07, the FirstEnergy Ohio Utilities are obligated to “maintain records sufficient to demonstrate compliance with this chapter” and must produce, upon the request of the PUCO Staff, “all books, accounts and /or other pertinent records kept by an electric utility or its affiliates” related to businesses which require corporate separation.</w:t>
      </w:r>
      <w:r w:rsidR="00163AF0">
        <w:rPr>
          <w:szCs w:val="24"/>
        </w:rPr>
        <w:t xml:space="preserve"> </w:t>
      </w:r>
      <w:r w:rsidRPr="00163AF0">
        <w:rPr>
          <w:szCs w:val="24"/>
        </w:rPr>
        <w:t>A key to investigating a utility’s compliance with these corporate separation provisions is the utility’s compliance officer. The utility’s compliance officer, must, among other things, certify that the utility’s corporate separation plan complies with the PUCO’s rules and orders.</w:t>
      </w:r>
      <w:r w:rsidR="00163AF0">
        <w:rPr>
          <w:szCs w:val="24"/>
        </w:rPr>
        <w:t xml:space="preserve"> </w:t>
      </w:r>
    </w:p>
    <w:p w:rsidR="00171DAD" w:rsidRPr="00163AF0" w:rsidP="00997D55" w14:paraId="0685BED9" w14:textId="0B88BB7B">
      <w:pPr>
        <w:spacing w:line="480" w:lineRule="auto"/>
        <w:ind w:firstLine="720"/>
        <w:rPr>
          <w:szCs w:val="24"/>
        </w:rPr>
      </w:pPr>
      <w:r w:rsidRPr="00163AF0">
        <w:rPr>
          <w:szCs w:val="24"/>
        </w:rPr>
        <w:t xml:space="preserve">FirstEnergy Corp.’s </w:t>
      </w:r>
      <w:r w:rsidRPr="00163AF0" w:rsidR="00A03942">
        <w:rPr>
          <w:szCs w:val="24"/>
        </w:rPr>
        <w:t>f</w:t>
      </w:r>
      <w:r w:rsidRPr="00163AF0">
        <w:rPr>
          <w:szCs w:val="24"/>
        </w:rPr>
        <w:t xml:space="preserve">ormer Vice President, General Counsel and Chief Ethics Officer, Ms. Ebony Yeboah-Amankwah, was the person ultimately responsible for FirstEnergy’s corporate separation compliance </w:t>
      </w:r>
      <w:r w:rsidRPr="00163AF0" w:rsidR="00E8431B">
        <w:rPr>
          <w:szCs w:val="24"/>
        </w:rPr>
        <w:t xml:space="preserve">(including the three regulated utilities in Ohio) </w:t>
      </w:r>
      <w:r w:rsidRPr="00163AF0">
        <w:rPr>
          <w:szCs w:val="24"/>
        </w:rPr>
        <w:t xml:space="preserve">during most of the period </w:t>
      </w:r>
      <w:r w:rsidRPr="00163AF0" w:rsidR="00175A10">
        <w:rPr>
          <w:szCs w:val="24"/>
        </w:rPr>
        <w:t>of the PUCO’s audit</w:t>
      </w:r>
      <w:r w:rsidRPr="00163AF0">
        <w:rPr>
          <w:szCs w:val="24"/>
        </w:rPr>
        <w:t xml:space="preserve">. </w:t>
      </w:r>
      <w:r w:rsidRPr="00163AF0" w:rsidR="007358EA">
        <w:rPr>
          <w:szCs w:val="24"/>
        </w:rPr>
        <w:t xml:space="preserve">In that position, </w:t>
      </w:r>
      <w:r w:rsidRPr="00163AF0" w:rsidR="00D33B7F">
        <w:rPr>
          <w:szCs w:val="24"/>
        </w:rPr>
        <w:t xml:space="preserve">which she held from July 30, 2017 to early November 2020, </w:t>
      </w:r>
      <w:r w:rsidRPr="00163AF0" w:rsidR="007358EA">
        <w:rPr>
          <w:szCs w:val="24"/>
        </w:rPr>
        <w:t xml:space="preserve">Ms. Yeboah Amankwah served as the </w:t>
      </w:r>
      <w:r w:rsidRPr="00163AF0" w:rsidR="004249D9">
        <w:rPr>
          <w:szCs w:val="24"/>
        </w:rPr>
        <w:t xml:space="preserve">compliance officer with responsibility for certifying that the </w:t>
      </w:r>
      <w:r w:rsidRPr="00163AF0" w:rsidR="00670514">
        <w:rPr>
          <w:szCs w:val="24"/>
        </w:rPr>
        <w:t xml:space="preserve">corporate separation plan was up to date and in compliance with </w:t>
      </w:r>
      <w:r w:rsidRPr="00163AF0" w:rsidR="0079742C">
        <w:rPr>
          <w:szCs w:val="24"/>
        </w:rPr>
        <w:t>PUCO</w:t>
      </w:r>
      <w:r w:rsidRPr="00163AF0" w:rsidR="00670514">
        <w:rPr>
          <w:szCs w:val="24"/>
        </w:rPr>
        <w:t xml:space="preserve"> rules and orders.</w:t>
      </w:r>
      <w:r w:rsidR="00163AF0">
        <w:rPr>
          <w:szCs w:val="24"/>
        </w:rPr>
        <w:t xml:space="preserve"> </w:t>
      </w:r>
      <w:r w:rsidRPr="00163AF0" w:rsidR="00670514">
        <w:rPr>
          <w:i/>
          <w:iCs/>
          <w:szCs w:val="24"/>
        </w:rPr>
        <w:t>See</w:t>
      </w:r>
      <w:r w:rsidRPr="00163AF0" w:rsidR="00670514">
        <w:rPr>
          <w:szCs w:val="24"/>
        </w:rPr>
        <w:t xml:space="preserve"> O.A.C. 4901:1-37-05(B)(11).</w:t>
      </w:r>
      <w:r w:rsidR="00163AF0">
        <w:rPr>
          <w:szCs w:val="24"/>
        </w:rPr>
        <w:t xml:space="preserve"> </w:t>
      </w:r>
    </w:p>
    <w:p w:rsidR="00717815" w:rsidRPr="00163AF0" w:rsidP="004249D9" w14:paraId="013A3685" w14:textId="77DD89B1">
      <w:pPr>
        <w:spacing w:line="480" w:lineRule="auto"/>
        <w:ind w:firstLine="720"/>
        <w:rPr>
          <w:szCs w:val="24"/>
        </w:rPr>
      </w:pPr>
      <w:r w:rsidRPr="00163AF0">
        <w:rPr>
          <w:szCs w:val="24"/>
        </w:rPr>
        <w:t xml:space="preserve">In consumers’ interest, </w:t>
      </w:r>
      <w:r w:rsidRPr="00163AF0" w:rsidR="00E04C6E">
        <w:rPr>
          <w:szCs w:val="24"/>
        </w:rPr>
        <w:t xml:space="preserve">the PUCO should not prevent OCC from </w:t>
      </w:r>
      <w:r w:rsidRPr="00163AF0">
        <w:rPr>
          <w:szCs w:val="24"/>
        </w:rPr>
        <w:t>depos</w:t>
      </w:r>
      <w:r w:rsidRPr="00163AF0" w:rsidR="00E04C6E">
        <w:rPr>
          <w:szCs w:val="24"/>
        </w:rPr>
        <w:t>ing</w:t>
      </w:r>
      <w:r w:rsidRPr="00163AF0" w:rsidR="004249D9">
        <w:rPr>
          <w:szCs w:val="24"/>
        </w:rPr>
        <w:t xml:space="preserve"> th</w:t>
      </w:r>
      <w:r w:rsidRPr="00163AF0" w:rsidR="00E04C6E">
        <w:rPr>
          <w:szCs w:val="24"/>
        </w:rPr>
        <w:t>is</w:t>
      </w:r>
      <w:r w:rsidRPr="00163AF0" w:rsidR="004249D9">
        <w:rPr>
          <w:szCs w:val="24"/>
        </w:rPr>
        <w:t xml:space="preserve"> former FirstEnergy </w:t>
      </w:r>
      <w:r w:rsidRPr="00163AF0" w:rsidR="00E04C6E">
        <w:rPr>
          <w:szCs w:val="24"/>
        </w:rPr>
        <w:t>executive.</w:t>
      </w:r>
      <w:r w:rsidRPr="00163AF0" w:rsidR="004249D9">
        <w:rPr>
          <w:szCs w:val="24"/>
        </w:rPr>
        <w:t xml:space="preserve"> </w:t>
      </w:r>
      <w:r w:rsidRPr="00163AF0" w:rsidR="00E04C6E">
        <w:rPr>
          <w:szCs w:val="24"/>
        </w:rPr>
        <w:t xml:space="preserve">OCC also seeks certain </w:t>
      </w:r>
      <w:r w:rsidRPr="00163AF0">
        <w:rPr>
          <w:szCs w:val="24"/>
        </w:rPr>
        <w:t>documents</w:t>
      </w:r>
      <w:r w:rsidRPr="00163AF0" w:rsidR="00E04C6E">
        <w:rPr>
          <w:szCs w:val="24"/>
        </w:rPr>
        <w:t>.</w:t>
      </w:r>
      <w:r w:rsidRPr="00163AF0" w:rsidR="00A03942">
        <w:rPr>
          <w:szCs w:val="24"/>
        </w:rPr>
        <w:t xml:space="preserve"> If the deponent does not have the documents, then she may so answer. But she should be asked questions about certain documents or issues in the documents, even if she doesn’t have or no longer has access to the documents.</w:t>
      </w:r>
      <w:r w:rsidRPr="00163AF0">
        <w:rPr>
          <w:szCs w:val="24"/>
        </w:rPr>
        <w:t xml:space="preserve"> </w:t>
      </w:r>
    </w:p>
    <w:p w:rsidR="00350484" w:rsidRPr="00163AF0" w:rsidP="004249D9" w14:paraId="5F533128" w14:textId="73D28FAA">
      <w:pPr>
        <w:spacing w:line="480" w:lineRule="auto"/>
        <w:ind w:firstLine="720"/>
        <w:rPr>
          <w:szCs w:val="24"/>
        </w:rPr>
      </w:pPr>
      <w:r w:rsidRPr="00163AF0">
        <w:rPr>
          <w:szCs w:val="24"/>
        </w:rPr>
        <w:t>F</w:t>
      </w:r>
      <w:r w:rsidRPr="00163AF0" w:rsidR="00171DAD">
        <w:rPr>
          <w:szCs w:val="24"/>
        </w:rPr>
        <w:t>act finding</w:t>
      </w:r>
      <w:r w:rsidRPr="00163AF0">
        <w:rPr>
          <w:szCs w:val="24"/>
        </w:rPr>
        <w:t>, such as this deposition</w:t>
      </w:r>
      <w:r w:rsidRPr="00163AF0" w:rsidR="00717815">
        <w:rPr>
          <w:szCs w:val="24"/>
        </w:rPr>
        <w:t>,</w:t>
      </w:r>
      <w:r w:rsidRPr="00163AF0" w:rsidR="00171DAD">
        <w:rPr>
          <w:szCs w:val="24"/>
        </w:rPr>
        <w:t xml:space="preserve"> is necessary</w:t>
      </w:r>
      <w:r w:rsidRPr="00163AF0">
        <w:rPr>
          <w:szCs w:val="24"/>
        </w:rPr>
        <w:t xml:space="preserve"> in part</w:t>
      </w:r>
      <w:r w:rsidRPr="00163AF0" w:rsidR="00171DAD">
        <w:rPr>
          <w:szCs w:val="24"/>
        </w:rPr>
        <w:t xml:space="preserve"> </w:t>
      </w:r>
      <w:r w:rsidRPr="00163AF0" w:rsidR="00D50154">
        <w:rPr>
          <w:szCs w:val="24"/>
        </w:rPr>
        <w:t>“to lift the ‘black cloud’ of [the] HB 6 scandal” from over the PUCO.</w:t>
      </w:r>
      <w:r>
        <w:rPr>
          <w:rStyle w:val="FootnoteReference"/>
          <w:szCs w:val="24"/>
        </w:rPr>
        <w:footnoteReference w:id="3"/>
      </w:r>
      <w:r w:rsidR="00163AF0">
        <w:rPr>
          <w:szCs w:val="24"/>
        </w:rPr>
        <w:t xml:space="preserve"> </w:t>
      </w:r>
      <w:r w:rsidRPr="00163AF0">
        <w:rPr>
          <w:szCs w:val="24"/>
        </w:rPr>
        <w:t>It’s also necessary to discover facts, including facts that the PUCO’s auditor stated could not be reviewed due to purportedly inaccessible records.</w:t>
      </w:r>
      <w:r w:rsidR="00163AF0">
        <w:rPr>
          <w:szCs w:val="24"/>
        </w:rPr>
        <w:t xml:space="preserve"> </w:t>
      </w:r>
      <w:r w:rsidRPr="00163AF0" w:rsidR="00171DAD">
        <w:rPr>
          <w:szCs w:val="24"/>
        </w:rPr>
        <w:t>Consistent with the PUCO pronouncement to follow the facts where they may lead,</w:t>
      </w:r>
      <w:r>
        <w:rPr>
          <w:rStyle w:val="FootnoteReference"/>
          <w:szCs w:val="24"/>
        </w:rPr>
        <w:footnoteReference w:id="4"/>
      </w:r>
      <w:r w:rsidRPr="00163AF0" w:rsidR="00171DAD">
        <w:rPr>
          <w:szCs w:val="24"/>
        </w:rPr>
        <w:t xml:space="preserve"> </w:t>
      </w:r>
      <w:r w:rsidRPr="00163AF0" w:rsidR="004249D9">
        <w:rPr>
          <w:szCs w:val="24"/>
        </w:rPr>
        <w:t xml:space="preserve">the PUCO should deny the motion to quash and allow </w:t>
      </w:r>
      <w:r w:rsidRPr="00163AF0" w:rsidR="00171DAD">
        <w:rPr>
          <w:szCs w:val="24"/>
        </w:rPr>
        <w:t>OCC</w:t>
      </w:r>
      <w:r w:rsidRPr="00163AF0" w:rsidR="004249D9">
        <w:rPr>
          <w:szCs w:val="24"/>
        </w:rPr>
        <w:t>’s deposition</w:t>
      </w:r>
      <w:r w:rsidRPr="00163AF0">
        <w:rPr>
          <w:szCs w:val="24"/>
        </w:rPr>
        <w:t>.</w:t>
      </w:r>
      <w:r w:rsidRPr="00163AF0" w:rsidR="004249D9">
        <w:rPr>
          <w:szCs w:val="24"/>
        </w:rPr>
        <w:t xml:space="preserve"> </w:t>
      </w:r>
    </w:p>
    <w:p w:rsidR="0001513F" w:rsidRPr="00163AF0" w:rsidP="00660C8D" w14:paraId="44BF05CE" w14:textId="35B0D69A">
      <w:pPr>
        <w:pStyle w:val="Heading1"/>
        <w:rPr>
          <w:rFonts w:ascii="Times New Roman" w:hAnsi="Times New Roman" w:cs="Times New Roman"/>
          <w:bCs w:val="0"/>
          <w:szCs w:val="24"/>
        </w:rPr>
      </w:pPr>
      <w:bookmarkStart w:id="2" w:name="_Toc98860588"/>
      <w:r w:rsidRPr="00163AF0">
        <w:rPr>
          <w:rFonts w:ascii="Times New Roman" w:hAnsi="Times New Roman" w:cs="Times New Roman"/>
          <w:bCs w:val="0"/>
          <w:szCs w:val="24"/>
        </w:rPr>
        <w:t>II.</w:t>
      </w:r>
      <w:r w:rsidRPr="00163AF0">
        <w:rPr>
          <w:rFonts w:ascii="Times New Roman" w:hAnsi="Times New Roman" w:cs="Times New Roman"/>
          <w:bCs w:val="0"/>
          <w:szCs w:val="24"/>
        </w:rPr>
        <w:tab/>
      </w:r>
      <w:r w:rsidRPr="00163AF0" w:rsidR="00350484">
        <w:rPr>
          <w:rFonts w:ascii="Times New Roman" w:hAnsi="Times New Roman" w:cs="Times New Roman"/>
          <w:bCs w:val="0"/>
          <w:szCs w:val="24"/>
        </w:rPr>
        <w:t>Argument</w:t>
      </w:r>
      <w:bookmarkEnd w:id="2"/>
    </w:p>
    <w:p w:rsidR="00350484" w:rsidRPr="00163AF0" w:rsidP="00660C8D" w14:paraId="267DF78F" w14:textId="697BE612">
      <w:pPr>
        <w:pStyle w:val="Heading2"/>
        <w:rPr>
          <w:rFonts w:ascii="Times New Roman" w:hAnsi="Times New Roman" w:cs="Times New Roman"/>
          <w:bCs w:val="0"/>
        </w:rPr>
      </w:pPr>
      <w:bookmarkStart w:id="3" w:name="_Toc98860589"/>
      <w:r w:rsidRPr="00163AF0">
        <w:rPr>
          <w:rFonts w:ascii="Times New Roman" w:hAnsi="Times New Roman" w:cs="Times New Roman"/>
          <w:bCs w:val="0"/>
        </w:rPr>
        <w:t>Contrary to Ms. Yeboah-Amankwah’s assertion, OCC’s subpoena does not seek information outside the scope of this proceeding.</w:t>
      </w:r>
      <w:r w:rsidR="00163AF0">
        <w:rPr>
          <w:rFonts w:ascii="Times New Roman" w:hAnsi="Times New Roman" w:cs="Times New Roman"/>
          <w:bCs w:val="0"/>
        </w:rPr>
        <w:t xml:space="preserve"> </w:t>
      </w:r>
      <w:r w:rsidRPr="00163AF0">
        <w:rPr>
          <w:rFonts w:ascii="Times New Roman" w:hAnsi="Times New Roman" w:cs="Times New Roman"/>
          <w:bCs w:val="0"/>
        </w:rPr>
        <w:t xml:space="preserve">To protect consumers, OCC seeks information </w:t>
      </w:r>
      <w:r w:rsidRPr="00163AF0" w:rsidR="0093306C">
        <w:rPr>
          <w:rFonts w:ascii="Times New Roman" w:hAnsi="Times New Roman" w:cs="Times New Roman"/>
          <w:bCs w:val="0"/>
        </w:rPr>
        <w:t xml:space="preserve">that is </w:t>
      </w:r>
      <w:r w:rsidRPr="00163AF0">
        <w:rPr>
          <w:rFonts w:ascii="Times New Roman" w:hAnsi="Times New Roman" w:cs="Times New Roman"/>
          <w:bCs w:val="0"/>
        </w:rPr>
        <w:t>relevant and reasonably calculated to lead to the discovery of admissible evidence</w:t>
      </w:r>
      <w:r w:rsidR="007C010B">
        <w:rPr>
          <w:rFonts w:ascii="Times New Roman" w:hAnsi="Times New Roman" w:cs="Times New Roman"/>
          <w:bCs w:val="0"/>
        </w:rPr>
        <w:t xml:space="preserve"> per O.A.C. 4901-1-16(B)</w:t>
      </w:r>
      <w:r w:rsidRPr="00163AF0">
        <w:rPr>
          <w:rFonts w:ascii="Times New Roman" w:hAnsi="Times New Roman" w:cs="Times New Roman"/>
          <w:bCs w:val="0"/>
        </w:rPr>
        <w:t>.</w:t>
      </w:r>
      <w:bookmarkEnd w:id="3"/>
    </w:p>
    <w:p w:rsidR="00350484" w:rsidRPr="00163AF0" w:rsidP="005D2D59" w14:paraId="2FA659A2" w14:textId="342276EA">
      <w:pPr>
        <w:spacing w:line="480" w:lineRule="auto"/>
        <w:ind w:firstLine="720"/>
        <w:rPr>
          <w:szCs w:val="24"/>
        </w:rPr>
      </w:pPr>
      <w:r w:rsidRPr="00163AF0">
        <w:rPr>
          <w:szCs w:val="24"/>
        </w:rPr>
        <w:t xml:space="preserve">Ms. Yeboah-Amankwah </w:t>
      </w:r>
      <w:r w:rsidRPr="00163AF0">
        <w:rPr>
          <w:szCs w:val="24"/>
        </w:rPr>
        <w:t xml:space="preserve">asserts that </w:t>
      </w:r>
      <w:r w:rsidRPr="00163AF0" w:rsidR="000729A6">
        <w:rPr>
          <w:szCs w:val="24"/>
        </w:rPr>
        <w:t xml:space="preserve">certain of </w:t>
      </w:r>
      <w:r w:rsidRPr="00163AF0">
        <w:rPr>
          <w:szCs w:val="24"/>
        </w:rPr>
        <w:t xml:space="preserve">OCC’s </w:t>
      </w:r>
      <w:r w:rsidRPr="00163AF0" w:rsidR="00746842">
        <w:rPr>
          <w:szCs w:val="24"/>
        </w:rPr>
        <w:t xml:space="preserve">document requests that are part of the subpoena are </w:t>
      </w:r>
      <w:r w:rsidRPr="00163AF0" w:rsidR="002643BE">
        <w:rPr>
          <w:szCs w:val="24"/>
        </w:rPr>
        <w:t xml:space="preserve">outside the scope of this proceeding and </w:t>
      </w:r>
      <w:r w:rsidRPr="00163AF0" w:rsidR="00746842">
        <w:rPr>
          <w:szCs w:val="24"/>
        </w:rPr>
        <w:t>irrelevant.</w:t>
      </w:r>
      <w:r w:rsidRPr="00163AF0" w:rsidR="0048026A">
        <w:rPr>
          <w:szCs w:val="24"/>
        </w:rPr>
        <w:t xml:space="preserve"> </w:t>
      </w:r>
      <w:r w:rsidRPr="00163AF0" w:rsidR="00746842">
        <w:rPr>
          <w:szCs w:val="24"/>
        </w:rPr>
        <w:t xml:space="preserve">Specifically, </w:t>
      </w:r>
      <w:r w:rsidRPr="00163AF0">
        <w:rPr>
          <w:szCs w:val="24"/>
        </w:rPr>
        <w:t xml:space="preserve">Ms. Yeboah-Amankwah </w:t>
      </w:r>
      <w:r w:rsidRPr="00163AF0" w:rsidR="00746842">
        <w:rPr>
          <w:szCs w:val="24"/>
        </w:rPr>
        <w:t xml:space="preserve">alleges that </w:t>
      </w:r>
      <w:r w:rsidRPr="00163AF0">
        <w:rPr>
          <w:szCs w:val="24"/>
        </w:rPr>
        <w:t>OCC’s document requests are “improper because [they seek] broad information from a former officer of FirstEnergy Service Corp., an entity outside the Commission’s statutory jurisdiction, and, in part, related to topics that are outside the subject matter of this proceeding.”</w:t>
      </w:r>
      <w:r>
        <w:rPr>
          <w:rStyle w:val="FootnoteReference"/>
          <w:szCs w:val="24"/>
        </w:rPr>
        <w:footnoteReference w:id="5"/>
      </w:r>
      <w:r w:rsidRPr="00163AF0" w:rsidR="0048026A">
        <w:rPr>
          <w:szCs w:val="24"/>
        </w:rPr>
        <w:t xml:space="preserve"> </w:t>
      </w:r>
      <w:r w:rsidRPr="00163AF0" w:rsidR="001F6B05">
        <w:rPr>
          <w:szCs w:val="24"/>
        </w:rPr>
        <w:t xml:space="preserve">For example, </w:t>
      </w:r>
      <w:r w:rsidRPr="00163AF0" w:rsidR="007B23D4">
        <w:rPr>
          <w:szCs w:val="24"/>
        </w:rPr>
        <w:t xml:space="preserve">Ms. Yeboah-Amankwah </w:t>
      </w:r>
      <w:r w:rsidRPr="00163AF0">
        <w:rPr>
          <w:szCs w:val="24"/>
        </w:rPr>
        <w:t>asserts that OCC</w:t>
      </w:r>
      <w:r w:rsidRPr="00163AF0" w:rsidR="007B23D4">
        <w:rPr>
          <w:szCs w:val="24"/>
        </w:rPr>
        <w:t xml:space="preserve">’s document requests regarding payments to Lincoln Electric are beyond the scope of this proceeding, and that </w:t>
      </w:r>
      <w:r w:rsidRPr="00163AF0" w:rsidR="001F6B05">
        <w:rPr>
          <w:szCs w:val="24"/>
        </w:rPr>
        <w:t xml:space="preserve">OCC </w:t>
      </w:r>
      <w:r w:rsidRPr="00163AF0">
        <w:rPr>
          <w:szCs w:val="24"/>
        </w:rPr>
        <w:t>made no effort to explain the relevance</w:t>
      </w:r>
      <w:r w:rsidRPr="00163AF0" w:rsidR="00146D57">
        <w:rPr>
          <w:szCs w:val="24"/>
        </w:rPr>
        <w:t xml:space="preserve"> or substantial need for </w:t>
      </w:r>
      <w:r w:rsidRPr="00163AF0" w:rsidR="00BB12A6">
        <w:rPr>
          <w:szCs w:val="24"/>
        </w:rPr>
        <w:t>such documents.</w:t>
      </w:r>
      <w:r>
        <w:rPr>
          <w:rStyle w:val="FootnoteReference"/>
          <w:szCs w:val="24"/>
        </w:rPr>
        <w:footnoteReference w:id="6"/>
      </w:r>
      <w:r w:rsidRPr="00163AF0" w:rsidR="0048026A">
        <w:rPr>
          <w:szCs w:val="24"/>
        </w:rPr>
        <w:t xml:space="preserve"> </w:t>
      </w:r>
      <w:r w:rsidRPr="00163AF0" w:rsidR="007B23D4">
        <w:rPr>
          <w:szCs w:val="24"/>
        </w:rPr>
        <w:t>Ms. Yeboah-Amankwah</w:t>
      </w:r>
      <w:r w:rsidRPr="00163AF0" w:rsidR="00EC04B1">
        <w:rPr>
          <w:szCs w:val="24"/>
        </w:rPr>
        <w:t xml:space="preserve"> arguments are not well made.</w:t>
      </w:r>
      <w:r w:rsidRPr="00163AF0" w:rsidR="0048026A">
        <w:rPr>
          <w:szCs w:val="24"/>
        </w:rPr>
        <w:t xml:space="preserve"> </w:t>
      </w:r>
    </w:p>
    <w:p w:rsidR="00717815" w:rsidRPr="00163AF0" w:rsidP="00E04C6E" w14:paraId="073476F7" w14:textId="62CB8BB0">
      <w:pPr>
        <w:spacing w:line="480" w:lineRule="auto"/>
        <w:ind w:firstLine="720"/>
        <w:rPr>
          <w:szCs w:val="24"/>
        </w:rPr>
      </w:pPr>
      <w:r w:rsidRPr="00163AF0">
        <w:rPr>
          <w:szCs w:val="24"/>
        </w:rPr>
        <w:t xml:space="preserve">Here is some context </w:t>
      </w:r>
      <w:r w:rsidRPr="00163AF0" w:rsidR="00906CCB">
        <w:rPr>
          <w:szCs w:val="24"/>
        </w:rPr>
        <w:t xml:space="preserve">for </w:t>
      </w:r>
      <w:r w:rsidRPr="00163AF0">
        <w:rPr>
          <w:szCs w:val="24"/>
        </w:rPr>
        <w:t xml:space="preserve">OCC’s discovery and </w:t>
      </w:r>
      <w:r w:rsidRPr="00163AF0" w:rsidR="007B23D4">
        <w:rPr>
          <w:szCs w:val="24"/>
        </w:rPr>
        <w:t>Ms. Yeboah-Amankwah’s</w:t>
      </w:r>
      <w:r w:rsidRPr="00163AF0">
        <w:rPr>
          <w:szCs w:val="24"/>
        </w:rPr>
        <w:t xml:space="preserve"> efforts to avoid this discovery. </w:t>
      </w:r>
      <w:r w:rsidRPr="00163AF0" w:rsidR="00E46E5C">
        <w:rPr>
          <w:szCs w:val="24"/>
        </w:rPr>
        <w:t xml:space="preserve">Daymark, one of the PUCO-hired Auditors in this proceeding, </w:t>
      </w:r>
      <w:r w:rsidR="002A54B7">
        <w:rPr>
          <w:szCs w:val="24"/>
        </w:rPr>
        <w:t>reported</w:t>
      </w:r>
      <w:r w:rsidRPr="00163AF0" w:rsidR="00E46E5C">
        <w:rPr>
          <w:szCs w:val="24"/>
        </w:rPr>
        <w:t xml:space="preserve"> that FirstEnergy’s “Chief Ethics Officer” has “ultimate responsibility for corporate separation compliance.”</w:t>
      </w:r>
      <w:r>
        <w:rPr>
          <w:rStyle w:val="FootnoteReference"/>
          <w:szCs w:val="24"/>
        </w:rPr>
        <w:footnoteReference w:id="7"/>
      </w:r>
      <w:r w:rsidRPr="00163AF0" w:rsidR="00E46E5C">
        <w:rPr>
          <w:szCs w:val="24"/>
        </w:rPr>
        <w:t xml:space="preserve"> Daymark noted that the Chief Ethics Officer position and other positions responsible for compliance monitoring and tracking were vacant while Daymark was conducting its audit.</w:t>
      </w:r>
      <w:r>
        <w:rPr>
          <w:rStyle w:val="FootnoteReference"/>
          <w:szCs w:val="24"/>
        </w:rPr>
        <w:footnoteReference w:id="8"/>
      </w:r>
      <w:r w:rsidRPr="00163AF0" w:rsidR="00E46E5C">
        <w:rPr>
          <w:szCs w:val="24"/>
        </w:rPr>
        <w:t xml:space="preserve"> Incredibly, Daymark noted that it “could not get access to records of the compliance officer in place during the audit period [2016 through 2020] since that person had been separated from the company prior to the start of the audit.”</w:t>
      </w:r>
      <w:r>
        <w:rPr>
          <w:rStyle w:val="FootnoteReference"/>
          <w:szCs w:val="24"/>
        </w:rPr>
        <w:footnoteReference w:id="9"/>
      </w:r>
      <w:r w:rsidRPr="00163AF0" w:rsidR="00E46E5C">
        <w:rPr>
          <w:szCs w:val="24"/>
        </w:rPr>
        <w:t xml:space="preserve"> </w:t>
      </w:r>
    </w:p>
    <w:p w:rsidR="00E46E5C" w:rsidRPr="00163AF0" w:rsidP="00717815" w14:paraId="6062F340" w14:textId="2C76A350">
      <w:pPr>
        <w:spacing w:line="480" w:lineRule="auto"/>
        <w:ind w:firstLine="720"/>
        <w:rPr>
          <w:szCs w:val="24"/>
        </w:rPr>
      </w:pPr>
      <w:r w:rsidRPr="00163AF0">
        <w:rPr>
          <w:szCs w:val="24"/>
        </w:rPr>
        <w:t>It</w:t>
      </w:r>
      <w:r w:rsidRPr="00163AF0">
        <w:rPr>
          <w:szCs w:val="24"/>
        </w:rPr>
        <w:t xml:space="preserve"> makes no sense </w:t>
      </w:r>
      <w:r w:rsidRPr="00163AF0">
        <w:rPr>
          <w:szCs w:val="24"/>
        </w:rPr>
        <w:t xml:space="preserve">for </w:t>
      </w:r>
      <w:r w:rsidRPr="00163AF0" w:rsidR="00717815">
        <w:rPr>
          <w:szCs w:val="24"/>
        </w:rPr>
        <w:t xml:space="preserve">regulation for </w:t>
      </w:r>
      <w:r w:rsidRPr="00163AF0">
        <w:rPr>
          <w:szCs w:val="24"/>
        </w:rPr>
        <w:t xml:space="preserve">consumer protection to be shelved and the audit to be stopped in its tracks for </w:t>
      </w:r>
      <w:r w:rsidRPr="00163AF0" w:rsidR="00717815">
        <w:rPr>
          <w:szCs w:val="24"/>
        </w:rPr>
        <w:t>purported inaccessibility of the documents</w:t>
      </w:r>
      <w:r w:rsidRPr="00163AF0">
        <w:rPr>
          <w:szCs w:val="24"/>
        </w:rPr>
        <w:t xml:space="preserve"> on FirstEnergy’s part. </w:t>
      </w:r>
      <w:r w:rsidRPr="00163AF0" w:rsidR="00717815">
        <w:rPr>
          <w:szCs w:val="24"/>
        </w:rPr>
        <w:t xml:space="preserve">Indeed, the PUCO should have subpoenaed the information from FirstEnergy or </w:t>
      </w:r>
      <w:r w:rsidRPr="00163AF0" w:rsidR="00BA1DE9">
        <w:rPr>
          <w:szCs w:val="24"/>
        </w:rPr>
        <w:t>former FirstEnergy employees for purposes of the audit</w:t>
      </w:r>
      <w:r w:rsidRPr="00163AF0" w:rsidR="00717815">
        <w:rPr>
          <w:szCs w:val="24"/>
        </w:rPr>
        <w:t>.</w:t>
      </w:r>
      <w:r w:rsidRPr="00163AF0">
        <w:rPr>
          <w:szCs w:val="24"/>
        </w:rPr>
        <w:t xml:space="preserve"> </w:t>
      </w:r>
      <w:r w:rsidRPr="00163AF0">
        <w:rPr>
          <w:szCs w:val="24"/>
        </w:rPr>
        <w:t>Who’s in control – the government regulator and its auditor or the utility (FirstEnergy) being audited?</w:t>
      </w:r>
    </w:p>
    <w:p w:rsidR="00E46E5C" w:rsidRPr="00163AF0" w:rsidP="00E46E5C" w14:paraId="4F1AC7AC" w14:textId="77777777">
      <w:pPr>
        <w:spacing w:line="480" w:lineRule="auto"/>
        <w:ind w:firstLine="720"/>
        <w:rPr>
          <w:szCs w:val="24"/>
        </w:rPr>
      </w:pPr>
      <w:r w:rsidRPr="00163AF0">
        <w:rPr>
          <w:szCs w:val="24"/>
        </w:rPr>
        <w:t>Also incredibly, Daymark wrote that it was advised by FirstEnergy staff that systems and processes in place for compliance monitoring and tracking during the four-year period now under PUCO investigation could not be located.</w:t>
      </w:r>
      <w:r>
        <w:rPr>
          <w:rStyle w:val="FootnoteReference"/>
          <w:szCs w:val="24"/>
        </w:rPr>
        <w:footnoteReference w:id="10"/>
      </w:r>
      <w:r w:rsidRPr="00163AF0">
        <w:rPr>
          <w:szCs w:val="24"/>
        </w:rPr>
        <w:t xml:space="preserve"> Again, this makes no sense for consumer protection.</w:t>
      </w:r>
    </w:p>
    <w:p w:rsidR="00E46E5C" w:rsidRPr="00163AF0" w:rsidP="00E46E5C" w14:paraId="516B0120" w14:textId="483C6DE3">
      <w:pPr>
        <w:spacing w:line="480" w:lineRule="auto"/>
        <w:ind w:firstLine="720"/>
        <w:rPr>
          <w:szCs w:val="24"/>
        </w:rPr>
      </w:pPr>
      <w:r w:rsidRPr="00163AF0">
        <w:rPr>
          <w:szCs w:val="24"/>
        </w:rPr>
        <w:t xml:space="preserve">Daymark noted that </w:t>
      </w:r>
      <w:r w:rsidRPr="00163AF0" w:rsidR="00FC5087">
        <w:rPr>
          <w:szCs w:val="24"/>
        </w:rPr>
        <w:t>“</w:t>
      </w:r>
      <w:r w:rsidRPr="00163AF0">
        <w:rPr>
          <w:szCs w:val="24"/>
        </w:rPr>
        <w:t>[t]his limited Daymark’s ability to assess the Company’s compliance tracking and monitoring activities within the audit period.”</w:t>
      </w:r>
      <w:r>
        <w:rPr>
          <w:rStyle w:val="FootnoteReference"/>
          <w:szCs w:val="24"/>
        </w:rPr>
        <w:footnoteReference w:id="11"/>
      </w:r>
      <w:r w:rsidRPr="00163AF0">
        <w:rPr>
          <w:szCs w:val="24"/>
        </w:rPr>
        <w:t xml:space="preserve"> Apparently Daymark is given to understatement. Again, incredibly, for the five-year period when FirstEnergy was part of “the largest bribery money laundering scheme in Ohio history” there were no compliance records to review. </w:t>
      </w:r>
      <w:r w:rsidRPr="00163AF0" w:rsidR="006D5988">
        <w:rPr>
          <w:szCs w:val="24"/>
        </w:rPr>
        <w:t>Such a compliance failure seems incomprehensible.</w:t>
      </w:r>
      <w:r w:rsidRPr="00163AF0">
        <w:rPr>
          <w:szCs w:val="24"/>
        </w:rPr>
        <w:t xml:space="preserve"> </w:t>
      </w:r>
      <w:r w:rsidRPr="00163AF0" w:rsidR="00BA1DE9">
        <w:rPr>
          <w:i/>
          <w:iCs/>
          <w:szCs w:val="24"/>
        </w:rPr>
        <w:t>It</w:t>
      </w:r>
      <w:r w:rsidR="0044331A">
        <w:rPr>
          <w:i/>
          <w:iCs/>
          <w:szCs w:val="24"/>
        </w:rPr>
        <w:t xml:space="preserve"> is</w:t>
      </w:r>
      <w:r w:rsidRPr="00163AF0" w:rsidR="00BA1DE9">
        <w:rPr>
          <w:i/>
          <w:iCs/>
          <w:szCs w:val="24"/>
        </w:rPr>
        <w:t xml:space="preserve"> too</w:t>
      </w:r>
      <w:r w:rsidRPr="00163AF0">
        <w:rPr>
          <w:i/>
          <w:iCs/>
          <w:szCs w:val="24"/>
        </w:rPr>
        <w:t xml:space="preserve"> convenient for FirstEnergy to not be auditable (which is a violation of</w:t>
      </w:r>
      <w:r w:rsidRPr="00163AF0">
        <w:rPr>
          <w:szCs w:val="24"/>
        </w:rPr>
        <w:t xml:space="preserve"> </w:t>
      </w:r>
      <w:r w:rsidRPr="00163AF0">
        <w:rPr>
          <w:i/>
          <w:iCs/>
          <w:szCs w:val="24"/>
        </w:rPr>
        <w:t>O.A.C. 4901:1-37-07)</w:t>
      </w:r>
      <w:r w:rsidRPr="00163AF0" w:rsidR="00BA1DE9">
        <w:rPr>
          <w:i/>
          <w:iCs/>
          <w:szCs w:val="24"/>
        </w:rPr>
        <w:t xml:space="preserve"> and OCC is acting within the rules to learn more about the audit issues and other relevant issues</w:t>
      </w:r>
      <w:r w:rsidRPr="00163AF0">
        <w:rPr>
          <w:i/>
          <w:iCs/>
          <w:szCs w:val="24"/>
        </w:rPr>
        <w:t>.</w:t>
      </w:r>
      <w:r w:rsidRPr="00163AF0">
        <w:rPr>
          <w:szCs w:val="24"/>
        </w:rPr>
        <w:t xml:space="preserve"> </w:t>
      </w:r>
    </w:p>
    <w:p w:rsidR="00093882" w14:paraId="69ADABAB" w14:textId="77777777">
      <w:pPr>
        <w:rPr>
          <w:szCs w:val="24"/>
        </w:rPr>
      </w:pPr>
      <w:r>
        <w:rPr>
          <w:szCs w:val="24"/>
        </w:rPr>
        <w:br w:type="page"/>
      </w:r>
    </w:p>
    <w:p w:rsidR="00E46E5C" w:rsidRPr="00163AF0" w:rsidP="00E46E5C" w14:paraId="11171B32" w14:textId="0C1A57F9">
      <w:pPr>
        <w:spacing w:line="480" w:lineRule="auto"/>
        <w:ind w:firstLine="720"/>
        <w:rPr>
          <w:szCs w:val="24"/>
        </w:rPr>
      </w:pPr>
      <w:r w:rsidRPr="00163AF0">
        <w:rPr>
          <w:szCs w:val="24"/>
        </w:rPr>
        <w:t>Note that FERC spoke of</w:t>
      </w:r>
      <w:r w:rsidR="00163AF0">
        <w:rPr>
          <w:szCs w:val="24"/>
        </w:rPr>
        <w:t xml:space="preserve"> </w:t>
      </w:r>
      <w:r w:rsidRPr="00163AF0">
        <w:rPr>
          <w:szCs w:val="24"/>
        </w:rPr>
        <w:t xml:space="preserve">FirstEnergy’s creative use of bookkeeping: </w:t>
      </w:r>
    </w:p>
    <w:p w:rsidR="00E46E5C" w:rsidRPr="00163AF0" w:rsidP="001709B9" w14:paraId="0E44D73B" w14:textId="3EF984F3">
      <w:pPr>
        <w:ind w:left="1440" w:right="1440"/>
        <w:rPr>
          <w:rFonts w:eastAsia="Times New Roman"/>
          <w:bCs w:val="0"/>
          <w:color w:val="auto"/>
          <w:szCs w:val="24"/>
        </w:rPr>
      </w:pPr>
      <w:r w:rsidRPr="00163AF0">
        <w:rPr>
          <w:rFonts w:eastAsia="Times New Roman"/>
          <w:bCs w:val="0"/>
          <w:color w:val="auto"/>
          <w:szCs w:val="24"/>
        </w:rPr>
        <w:t>Even more concerning, several factual assertions agreed to by FirstEnergy in DPA and the remedies FirstEnergy agreed to undertake, point towards internal controls having been possibly obfuscated or circumvented to conceal or mislead as to the actual amounts, nature, and purpose of the lobbying expenditures made, and as a result, the improper inclusion of lobbying and other nonutility costs in wholesale transmission billing rates.</w:t>
      </w:r>
      <w:r>
        <w:rPr>
          <w:rStyle w:val="FootnoteReference"/>
          <w:rFonts w:eastAsia="Times New Roman"/>
          <w:bCs w:val="0"/>
          <w:color w:val="auto"/>
          <w:szCs w:val="24"/>
        </w:rPr>
        <w:footnoteReference w:id="12"/>
      </w:r>
    </w:p>
    <w:p w:rsidR="00E46E5C" w:rsidRPr="00163AF0" w:rsidP="00E46E5C" w14:paraId="0201A2D7" w14:textId="77777777">
      <w:pPr>
        <w:ind w:left="1440" w:right="900"/>
        <w:rPr>
          <w:rFonts w:eastAsia="Times New Roman"/>
          <w:bCs w:val="0"/>
          <w:color w:val="auto"/>
          <w:szCs w:val="24"/>
        </w:rPr>
      </w:pPr>
    </w:p>
    <w:p w:rsidR="00E92EB8" w:rsidRPr="00163AF0" w:rsidP="007B23D4" w14:paraId="34D744ED" w14:textId="126809CA">
      <w:pPr>
        <w:spacing w:line="480" w:lineRule="auto"/>
        <w:ind w:firstLine="720"/>
        <w:rPr>
          <w:szCs w:val="24"/>
        </w:rPr>
      </w:pPr>
      <w:r w:rsidRPr="00163AF0">
        <w:rPr>
          <w:szCs w:val="24"/>
        </w:rPr>
        <w:t>The deponent (Ms. Yeboah-Amankwah) was named Vice President, Corporate Secretary and Chief Ethics Officer at FirstEnergy Corp. in July 2017</w:t>
      </w:r>
      <w:r>
        <w:rPr>
          <w:rStyle w:val="FootnoteReference"/>
          <w:szCs w:val="24"/>
        </w:rPr>
        <w:footnoteReference w:id="13"/>
      </w:r>
      <w:r w:rsidRPr="00163AF0">
        <w:rPr>
          <w:szCs w:val="24"/>
        </w:rPr>
        <w:t xml:space="preserve"> and continued in that role until November 2020</w:t>
      </w:r>
      <w:r w:rsidRPr="00163AF0" w:rsidR="00680810">
        <w:rPr>
          <w:szCs w:val="24"/>
        </w:rPr>
        <w:t>.</w:t>
      </w:r>
      <w:r w:rsidR="00163AF0">
        <w:rPr>
          <w:szCs w:val="24"/>
        </w:rPr>
        <w:t xml:space="preserve"> </w:t>
      </w:r>
      <w:r w:rsidRPr="00163AF0" w:rsidR="00680810">
        <w:rPr>
          <w:szCs w:val="24"/>
        </w:rPr>
        <w:t>In that role she acted as the compliance officer on corporate separation matters having succeeded the prior compliance officer, Ketan Patel.</w:t>
      </w:r>
      <w:r w:rsidR="00163AF0">
        <w:rPr>
          <w:szCs w:val="24"/>
        </w:rPr>
        <w:t xml:space="preserve"> </w:t>
      </w:r>
      <w:r w:rsidRPr="00163AF0" w:rsidR="00680810">
        <w:rPr>
          <w:szCs w:val="24"/>
        </w:rPr>
        <w:t xml:space="preserve">On November 9, 2020, FirstEnergy Corp. announced in filings </w:t>
      </w:r>
      <w:r w:rsidRPr="00163AF0" w:rsidR="001F6B05">
        <w:rPr>
          <w:szCs w:val="24"/>
        </w:rPr>
        <w:t>in a filing with the Securities and Exchange Commission (“</w:t>
      </w:r>
      <w:r w:rsidRPr="00163AF0" w:rsidR="00680810">
        <w:rPr>
          <w:szCs w:val="24"/>
        </w:rPr>
        <w:t>SEC</w:t>
      </w:r>
      <w:r w:rsidRPr="00163AF0" w:rsidR="001F6B05">
        <w:rPr>
          <w:szCs w:val="24"/>
        </w:rPr>
        <w:t>”)</w:t>
      </w:r>
      <w:r w:rsidRPr="00163AF0" w:rsidR="00680810">
        <w:rPr>
          <w:szCs w:val="24"/>
        </w:rPr>
        <w:t xml:space="preserve">, Ms. Yeboah Amankwah </w:t>
      </w:r>
      <w:r w:rsidRPr="00163AF0">
        <w:rPr>
          <w:szCs w:val="24"/>
        </w:rPr>
        <w:t xml:space="preserve">was </w:t>
      </w:r>
      <w:r w:rsidRPr="00163AF0" w:rsidR="00680810">
        <w:rPr>
          <w:szCs w:val="24"/>
        </w:rPr>
        <w:t xml:space="preserve">separated from </w:t>
      </w:r>
      <w:r w:rsidRPr="00163AF0">
        <w:rPr>
          <w:szCs w:val="24"/>
        </w:rPr>
        <w:t xml:space="preserve">FirstEnergy Corp. </w:t>
      </w:r>
      <w:r w:rsidRPr="00163AF0" w:rsidR="00680810">
        <w:rPr>
          <w:szCs w:val="24"/>
        </w:rPr>
        <w:t>“</w:t>
      </w:r>
      <w:r w:rsidRPr="00163AF0">
        <w:rPr>
          <w:szCs w:val="24"/>
        </w:rPr>
        <w:t>due to inaction and conduct that the Board determined was influenced by the improper tone at the top.”</w:t>
      </w:r>
      <w:r>
        <w:rPr>
          <w:rStyle w:val="FootnoteReference"/>
          <w:szCs w:val="24"/>
        </w:rPr>
        <w:footnoteReference w:id="14"/>
      </w:r>
      <w:r w:rsidRPr="00163AF0" w:rsidR="00DE417A">
        <w:rPr>
          <w:szCs w:val="24"/>
        </w:rPr>
        <w:t xml:space="preserve"> </w:t>
      </w:r>
    </w:p>
    <w:p w:rsidR="003948DA" w:rsidRPr="00163AF0" w:rsidP="0093306C" w14:paraId="7C93ED45" w14:textId="2EBF4603">
      <w:pPr>
        <w:spacing w:line="480" w:lineRule="auto"/>
        <w:ind w:firstLine="720"/>
        <w:rPr>
          <w:szCs w:val="24"/>
        </w:rPr>
      </w:pPr>
      <w:r w:rsidRPr="00163AF0">
        <w:rPr>
          <w:szCs w:val="24"/>
        </w:rPr>
        <w:t>Ms. Yeboah-Amankwah, the deponent, had ultimate responsibility for corporate separation compliance for most of the four-year audit period</w:t>
      </w:r>
      <w:r w:rsidRPr="00163AF0" w:rsidR="00CB12B0">
        <w:rPr>
          <w:szCs w:val="24"/>
        </w:rPr>
        <w:t xml:space="preserve"> (2016-2020</w:t>
      </w:r>
      <w:r w:rsidRPr="00163AF0" w:rsidR="00FC5087">
        <w:rPr>
          <w:szCs w:val="24"/>
        </w:rPr>
        <w:t xml:space="preserve">) </w:t>
      </w:r>
      <w:r w:rsidRPr="00163AF0" w:rsidR="00CB12B0">
        <w:rPr>
          <w:szCs w:val="24"/>
        </w:rPr>
        <w:t>having served as Chief Ethics Officer from July 2017 through November 2020.</w:t>
      </w:r>
      <w:r w:rsidR="00163AF0">
        <w:rPr>
          <w:szCs w:val="24"/>
        </w:rPr>
        <w:t xml:space="preserve"> </w:t>
      </w:r>
      <w:r w:rsidRPr="00163AF0" w:rsidR="00CB12B0">
        <w:rPr>
          <w:szCs w:val="24"/>
        </w:rPr>
        <w:t xml:space="preserve">The </w:t>
      </w:r>
      <w:r w:rsidRPr="00163AF0" w:rsidR="00D27FD4">
        <w:rPr>
          <w:szCs w:val="24"/>
        </w:rPr>
        <w:t>PUCO</w:t>
      </w:r>
      <w:r w:rsidRPr="00163AF0" w:rsidR="00BA1DE9">
        <w:rPr>
          <w:szCs w:val="24"/>
        </w:rPr>
        <w:t>’s</w:t>
      </w:r>
      <w:r w:rsidRPr="00163AF0" w:rsidR="00D27FD4">
        <w:rPr>
          <w:szCs w:val="24"/>
        </w:rPr>
        <w:t xml:space="preserve"> rules</w:t>
      </w:r>
      <w:r>
        <w:rPr>
          <w:rStyle w:val="FootnoteReference"/>
          <w:szCs w:val="24"/>
        </w:rPr>
        <w:footnoteReference w:id="15"/>
      </w:r>
      <w:r w:rsidRPr="00163AF0" w:rsidR="00D27FD4">
        <w:rPr>
          <w:szCs w:val="24"/>
        </w:rPr>
        <w:t xml:space="preserve"> underscore the importance </w:t>
      </w:r>
      <w:r w:rsidRPr="00163AF0" w:rsidR="00BA1DE9">
        <w:rPr>
          <w:szCs w:val="24"/>
        </w:rPr>
        <w:t xml:space="preserve">of </w:t>
      </w:r>
      <w:r w:rsidRPr="00163AF0" w:rsidR="00D27FD4">
        <w:rPr>
          <w:szCs w:val="24"/>
        </w:rPr>
        <w:t xml:space="preserve">Ms. Yeboah-Amankwah </w:t>
      </w:r>
      <w:r w:rsidRPr="00163AF0" w:rsidR="001B2F02">
        <w:rPr>
          <w:szCs w:val="24"/>
        </w:rPr>
        <w:t xml:space="preserve">and the position she held at FirstEnergy </w:t>
      </w:r>
      <w:r w:rsidRPr="00163AF0" w:rsidR="00D27FD4">
        <w:rPr>
          <w:szCs w:val="24"/>
        </w:rPr>
        <w:t>to corporate separation compliance (and thus this case, involving an audit of FirstEnergy’s corporate separation compliance).</w:t>
      </w:r>
      <w:r w:rsidR="00163AF0">
        <w:rPr>
          <w:szCs w:val="24"/>
        </w:rPr>
        <w:t xml:space="preserve"> </w:t>
      </w:r>
      <w:r w:rsidRPr="00163AF0" w:rsidR="00E417B3">
        <w:rPr>
          <w:szCs w:val="24"/>
        </w:rPr>
        <w:t>She most certainly has information</w:t>
      </w:r>
      <w:r w:rsidRPr="00163AF0" w:rsidR="00BA1DE9">
        <w:rPr>
          <w:szCs w:val="24"/>
        </w:rPr>
        <w:t xml:space="preserve"> for answering questions</w:t>
      </w:r>
      <w:r w:rsidRPr="00163AF0" w:rsidR="00E417B3">
        <w:rPr>
          <w:szCs w:val="24"/>
        </w:rPr>
        <w:t xml:space="preserve"> relevant to corporate separation compliance, matters well-within the scope of this proceeding dealing with FirstEnergy’s compliance with Ohio corporate separation laws.</w:t>
      </w:r>
      <w:r w:rsidRPr="00163AF0">
        <w:rPr>
          <w:szCs w:val="24"/>
        </w:rPr>
        <w:t xml:space="preserve"> </w:t>
      </w:r>
      <w:r w:rsidRPr="00163AF0" w:rsidR="00CB12B0">
        <w:rPr>
          <w:szCs w:val="24"/>
        </w:rPr>
        <w:t xml:space="preserve">Ms. </w:t>
      </w:r>
      <w:r w:rsidRPr="00163AF0" w:rsidR="00EA1DF3">
        <w:rPr>
          <w:szCs w:val="24"/>
        </w:rPr>
        <w:t>Yeboah’s</w:t>
      </w:r>
      <w:r w:rsidRPr="00163AF0" w:rsidR="00CB12B0">
        <w:rPr>
          <w:szCs w:val="24"/>
        </w:rPr>
        <w:t xml:space="preserve"> claims that such matters </w:t>
      </w:r>
      <w:r w:rsidRPr="00163AF0" w:rsidR="00EA1DF3">
        <w:rPr>
          <w:szCs w:val="24"/>
        </w:rPr>
        <w:t>are outside the scope of this proceeding and not subject to the PUCO’s jurisdiction are just plain wrong.</w:t>
      </w:r>
      <w:r w:rsidR="00163AF0">
        <w:rPr>
          <w:szCs w:val="24"/>
        </w:rPr>
        <w:t xml:space="preserve"> </w:t>
      </w:r>
    </w:p>
    <w:p w:rsidR="007B23D4" w:rsidRPr="00163AF0" w:rsidP="007B23D4" w14:paraId="4BD5F8B8" w14:textId="0DBBA78A">
      <w:pPr>
        <w:spacing w:line="480" w:lineRule="auto"/>
        <w:ind w:firstLine="720"/>
        <w:rPr>
          <w:szCs w:val="24"/>
        </w:rPr>
      </w:pPr>
      <w:r w:rsidRPr="00163AF0">
        <w:rPr>
          <w:szCs w:val="24"/>
        </w:rPr>
        <w:t xml:space="preserve">The </w:t>
      </w:r>
      <w:r w:rsidRPr="00163AF0" w:rsidR="00F628A2">
        <w:rPr>
          <w:szCs w:val="24"/>
        </w:rPr>
        <w:t xml:space="preserve">testimony and </w:t>
      </w:r>
      <w:r w:rsidRPr="00163AF0">
        <w:rPr>
          <w:szCs w:val="24"/>
        </w:rPr>
        <w:t>documents requested regarding paying Lincoln Electric are also highly relevant.</w:t>
      </w:r>
      <w:r w:rsidRPr="00163AF0" w:rsidR="0048026A">
        <w:rPr>
          <w:szCs w:val="24"/>
        </w:rPr>
        <w:t xml:space="preserve"> </w:t>
      </w:r>
      <w:r w:rsidRPr="00163AF0">
        <w:rPr>
          <w:szCs w:val="24"/>
        </w:rPr>
        <w:t>Again, under Ohio law, the FirstEnergy Ohio Utilities must implement and operate under a corporate separation plan that “satisfies the public interest” and is “sufficient” to protect Ohioans from undue preference or advantage being given to the utilities’ affiliate(s).</w:t>
      </w:r>
      <w:r>
        <w:rPr>
          <w:rStyle w:val="FootnoteReference"/>
          <w:szCs w:val="24"/>
        </w:rPr>
        <w:footnoteReference w:id="16"/>
      </w:r>
      <w:r w:rsidRPr="00163AF0" w:rsidR="0048026A">
        <w:rPr>
          <w:szCs w:val="24"/>
        </w:rPr>
        <w:t xml:space="preserve"> </w:t>
      </w:r>
      <w:r w:rsidRPr="00163AF0">
        <w:rPr>
          <w:szCs w:val="24"/>
        </w:rPr>
        <w:t>Thus, Ohioans (and the PUCO) have an interest in this case to determine (for example) if the payment was made, why it was made, and who or what it benefited (the FirstEnergy Ohio Utilities, FirstEnergy Corp., other FirstEnergy Corp. affiliates)</w:t>
      </w:r>
      <w:r w:rsidRPr="00163AF0" w:rsidR="00EA1DF3">
        <w:rPr>
          <w:szCs w:val="24"/>
        </w:rPr>
        <w:t xml:space="preserve"> and who paid for it?</w:t>
      </w:r>
      <w:r w:rsidR="00163AF0">
        <w:rPr>
          <w:szCs w:val="24"/>
        </w:rPr>
        <w:t xml:space="preserve"> </w:t>
      </w:r>
    </w:p>
    <w:p w:rsidR="00FE692B" w:rsidRPr="00163AF0" w:rsidP="005D2D59" w14:paraId="3BE68B2F" w14:textId="46F8CB20">
      <w:pPr>
        <w:spacing w:line="480" w:lineRule="auto"/>
        <w:ind w:firstLine="720"/>
        <w:rPr>
          <w:szCs w:val="24"/>
        </w:rPr>
      </w:pPr>
      <w:r w:rsidRPr="00163AF0">
        <w:rPr>
          <w:szCs w:val="24"/>
        </w:rPr>
        <w:t xml:space="preserve">The </w:t>
      </w:r>
      <w:r w:rsidRPr="00163AF0" w:rsidR="00E92EB8">
        <w:rPr>
          <w:szCs w:val="24"/>
        </w:rPr>
        <w:t xml:space="preserve">testimony and </w:t>
      </w:r>
      <w:r w:rsidRPr="00163AF0">
        <w:rPr>
          <w:szCs w:val="24"/>
        </w:rPr>
        <w:t>documents requested by OC</w:t>
      </w:r>
      <w:r w:rsidRPr="00163AF0" w:rsidR="00E05474">
        <w:rPr>
          <w:szCs w:val="24"/>
        </w:rPr>
        <w:t xml:space="preserve">C cannot </w:t>
      </w:r>
      <w:r w:rsidRPr="00163AF0" w:rsidR="00BA1DE9">
        <w:rPr>
          <w:szCs w:val="24"/>
        </w:rPr>
        <w:t xml:space="preserve">necessarily be </w:t>
      </w:r>
      <w:r w:rsidRPr="00163AF0" w:rsidR="00E05474">
        <w:rPr>
          <w:szCs w:val="24"/>
        </w:rPr>
        <w:t>obtained from other sources.</w:t>
      </w:r>
      <w:r w:rsidRPr="00163AF0" w:rsidR="00E328B0">
        <w:rPr>
          <w:szCs w:val="24"/>
        </w:rPr>
        <w:t xml:space="preserve"> </w:t>
      </w:r>
      <w:r w:rsidRPr="00163AF0" w:rsidR="00E92EB8">
        <w:rPr>
          <w:szCs w:val="24"/>
        </w:rPr>
        <w:t>Ms. Yeboah-Amankwah was in charge of corporate separation compliance during most of the audit period – she had ultimate responsibility.</w:t>
      </w:r>
      <w:r w:rsidR="00163AF0">
        <w:rPr>
          <w:szCs w:val="24"/>
        </w:rPr>
        <w:t xml:space="preserve"> </w:t>
      </w:r>
      <w:r w:rsidRPr="00163AF0" w:rsidR="00E05474">
        <w:rPr>
          <w:szCs w:val="24"/>
        </w:rPr>
        <w:t xml:space="preserve">OCC would face undue hardship if it </w:t>
      </w:r>
      <w:r w:rsidRPr="00163AF0" w:rsidR="00EA52BA">
        <w:rPr>
          <w:szCs w:val="24"/>
        </w:rPr>
        <w:t>were</w:t>
      </w:r>
      <w:r w:rsidRPr="00163AF0" w:rsidR="00E05474">
        <w:rPr>
          <w:szCs w:val="24"/>
        </w:rPr>
        <w:t xml:space="preserve"> deprived of </w:t>
      </w:r>
      <w:r w:rsidRPr="00163AF0" w:rsidR="00E92EB8">
        <w:rPr>
          <w:szCs w:val="24"/>
        </w:rPr>
        <w:t>her testimony and</w:t>
      </w:r>
      <w:r w:rsidRPr="00163AF0" w:rsidR="00E05474">
        <w:rPr>
          <w:szCs w:val="24"/>
        </w:rPr>
        <w:t xml:space="preserve"> </w:t>
      </w:r>
      <w:r w:rsidRPr="00163AF0" w:rsidR="00EA1DF3">
        <w:rPr>
          <w:szCs w:val="24"/>
        </w:rPr>
        <w:t xml:space="preserve">any </w:t>
      </w:r>
      <w:r w:rsidRPr="00163AF0" w:rsidR="00E05474">
        <w:rPr>
          <w:szCs w:val="24"/>
        </w:rPr>
        <w:t>documents</w:t>
      </w:r>
      <w:r w:rsidRPr="00163AF0" w:rsidR="00EA1DF3">
        <w:rPr>
          <w:szCs w:val="24"/>
        </w:rPr>
        <w:t xml:space="preserve"> she retained</w:t>
      </w:r>
      <w:r w:rsidRPr="00163AF0" w:rsidR="00E05474">
        <w:rPr>
          <w:szCs w:val="24"/>
        </w:rPr>
        <w:t>.</w:t>
      </w:r>
      <w:r w:rsidRPr="00163AF0" w:rsidR="0048026A">
        <w:rPr>
          <w:szCs w:val="24"/>
        </w:rPr>
        <w:t xml:space="preserve"> </w:t>
      </w:r>
      <w:r w:rsidRPr="00163AF0">
        <w:rPr>
          <w:szCs w:val="24"/>
        </w:rPr>
        <w:t>OCC clearly has a substantial need for the</w:t>
      </w:r>
      <w:r w:rsidRPr="00163AF0" w:rsidR="00E05474">
        <w:rPr>
          <w:szCs w:val="24"/>
        </w:rPr>
        <w:t xml:space="preserve"> </w:t>
      </w:r>
      <w:r w:rsidRPr="00163AF0" w:rsidR="00E92EB8">
        <w:rPr>
          <w:szCs w:val="24"/>
        </w:rPr>
        <w:t xml:space="preserve">testimony and </w:t>
      </w:r>
      <w:r w:rsidRPr="00163AF0" w:rsidR="00E05474">
        <w:rPr>
          <w:szCs w:val="24"/>
        </w:rPr>
        <w:t>documents that cannot be met through other means.</w:t>
      </w:r>
      <w:r w:rsidRPr="00163AF0" w:rsidR="0048026A">
        <w:rPr>
          <w:szCs w:val="24"/>
        </w:rPr>
        <w:t xml:space="preserve"> </w:t>
      </w:r>
      <w:r w:rsidRPr="00163AF0" w:rsidR="004B514D">
        <w:rPr>
          <w:szCs w:val="24"/>
        </w:rPr>
        <w:t xml:space="preserve">And </w:t>
      </w:r>
      <w:r w:rsidRPr="00163AF0" w:rsidR="00DE417A">
        <w:rPr>
          <w:szCs w:val="24"/>
        </w:rPr>
        <w:t>Ms. Yeboah-Amankwah</w:t>
      </w:r>
      <w:r w:rsidRPr="00163AF0" w:rsidR="004B514D">
        <w:rPr>
          <w:szCs w:val="24"/>
        </w:rPr>
        <w:t xml:space="preserve"> has failed to show that </w:t>
      </w:r>
      <w:r w:rsidRPr="00163AF0" w:rsidR="00E92EB8">
        <w:rPr>
          <w:szCs w:val="24"/>
        </w:rPr>
        <w:t xml:space="preserve">testifying and </w:t>
      </w:r>
      <w:r w:rsidRPr="00163AF0" w:rsidR="004B514D">
        <w:rPr>
          <w:szCs w:val="24"/>
        </w:rPr>
        <w:t xml:space="preserve">producing the </w:t>
      </w:r>
      <w:r w:rsidRPr="00163AF0" w:rsidR="00E92EB8">
        <w:rPr>
          <w:szCs w:val="24"/>
        </w:rPr>
        <w:t xml:space="preserve">requested </w:t>
      </w:r>
      <w:r w:rsidRPr="00163AF0" w:rsidR="004B514D">
        <w:rPr>
          <w:szCs w:val="24"/>
        </w:rPr>
        <w:t xml:space="preserve">documents would be create an undue burden on </w:t>
      </w:r>
      <w:r w:rsidRPr="00163AF0" w:rsidR="003948DA">
        <w:rPr>
          <w:szCs w:val="24"/>
        </w:rPr>
        <w:t>her</w:t>
      </w:r>
      <w:r w:rsidRPr="00163AF0" w:rsidR="004B514D">
        <w:rPr>
          <w:szCs w:val="24"/>
        </w:rPr>
        <w:t>.</w:t>
      </w:r>
      <w:r w:rsidRPr="00163AF0" w:rsidR="0048026A">
        <w:rPr>
          <w:szCs w:val="24"/>
        </w:rPr>
        <w:t xml:space="preserve"> </w:t>
      </w:r>
      <w:r w:rsidRPr="00163AF0" w:rsidR="004B514D">
        <w:rPr>
          <w:szCs w:val="24"/>
        </w:rPr>
        <w:t xml:space="preserve">In fact, </w:t>
      </w:r>
      <w:r w:rsidRPr="00163AF0" w:rsidR="00DE417A">
        <w:rPr>
          <w:szCs w:val="24"/>
        </w:rPr>
        <w:t>Ms. Yeboah-Amankwah</w:t>
      </w:r>
      <w:r w:rsidRPr="00163AF0" w:rsidR="00EC04B1">
        <w:rPr>
          <w:szCs w:val="24"/>
        </w:rPr>
        <w:t xml:space="preserve"> </w:t>
      </w:r>
      <w:r w:rsidRPr="00163AF0" w:rsidR="00511404">
        <w:rPr>
          <w:szCs w:val="24"/>
        </w:rPr>
        <w:t xml:space="preserve">should </w:t>
      </w:r>
      <w:r w:rsidRPr="00163AF0" w:rsidR="00EC04B1">
        <w:rPr>
          <w:szCs w:val="24"/>
        </w:rPr>
        <w:t xml:space="preserve">show </w:t>
      </w:r>
      <w:r w:rsidRPr="00163AF0" w:rsidR="004B514D">
        <w:rPr>
          <w:szCs w:val="24"/>
        </w:rPr>
        <w:t>undue burden (via an affidavit)</w:t>
      </w:r>
      <w:r w:rsidRPr="00163AF0" w:rsidR="00EC04B1">
        <w:rPr>
          <w:szCs w:val="24"/>
        </w:rPr>
        <w:t xml:space="preserve"> in order to</w:t>
      </w:r>
      <w:r w:rsidRPr="00163AF0" w:rsidR="004B514D">
        <w:rPr>
          <w:szCs w:val="24"/>
        </w:rPr>
        <w:t xml:space="preserve"> trigger</w:t>
      </w:r>
      <w:r w:rsidRPr="00163AF0" w:rsidR="00EC04B1">
        <w:rPr>
          <w:szCs w:val="24"/>
        </w:rPr>
        <w:t xml:space="preserve"> </w:t>
      </w:r>
      <w:r w:rsidRPr="00163AF0" w:rsidR="004B514D">
        <w:rPr>
          <w:szCs w:val="24"/>
        </w:rPr>
        <w:t xml:space="preserve">the opposing party’s obligation to show substantial need. </w:t>
      </w:r>
      <w:r w:rsidRPr="00163AF0" w:rsidR="004B514D">
        <w:rPr>
          <w:i/>
          <w:iCs/>
          <w:szCs w:val="24"/>
        </w:rPr>
        <w:t>See</w:t>
      </w:r>
      <w:r w:rsidRPr="00163AF0" w:rsidR="00511404">
        <w:rPr>
          <w:i/>
          <w:iCs/>
          <w:szCs w:val="24"/>
        </w:rPr>
        <w:t>, e.g.,</w:t>
      </w:r>
      <w:r w:rsidRPr="00163AF0" w:rsidR="00511404">
        <w:rPr>
          <w:szCs w:val="24"/>
        </w:rPr>
        <w:t xml:space="preserve"> Ohio</w:t>
      </w:r>
      <w:r w:rsidRPr="00163AF0" w:rsidR="004B514D">
        <w:rPr>
          <w:szCs w:val="24"/>
        </w:rPr>
        <w:t xml:space="preserve"> Civ. Rule 45.</w:t>
      </w:r>
      <w:r w:rsidRPr="00163AF0" w:rsidR="0048026A">
        <w:rPr>
          <w:szCs w:val="24"/>
        </w:rPr>
        <w:t xml:space="preserve"> </w:t>
      </w:r>
    </w:p>
    <w:p w:rsidR="00146D57" w:rsidRPr="00163AF0" w:rsidP="005D2D59" w14:paraId="4A2C07D6" w14:textId="068111BC">
      <w:pPr>
        <w:spacing w:line="480" w:lineRule="auto"/>
        <w:ind w:firstLine="720"/>
        <w:rPr>
          <w:szCs w:val="24"/>
        </w:rPr>
      </w:pPr>
      <w:r w:rsidRPr="00163AF0">
        <w:rPr>
          <w:szCs w:val="24"/>
        </w:rPr>
        <w:t>The Motion to Quash should be denied.</w:t>
      </w:r>
    </w:p>
    <w:p w:rsidR="00E33AC2" w:rsidRPr="00163AF0" w:rsidP="00562D6B" w14:paraId="18202705" w14:textId="10424869">
      <w:pPr>
        <w:pStyle w:val="Heading2"/>
        <w:rPr>
          <w:rFonts w:ascii="Times New Roman" w:hAnsi="Times New Roman" w:cs="Times New Roman"/>
          <w:bCs w:val="0"/>
        </w:rPr>
      </w:pPr>
      <w:bookmarkStart w:id="4" w:name="_Toc98860590"/>
      <w:r w:rsidRPr="00163AF0">
        <w:rPr>
          <w:rFonts w:ascii="Times New Roman" w:hAnsi="Times New Roman" w:cs="Times New Roman"/>
          <w:bCs w:val="0"/>
        </w:rPr>
        <w:t>Contrary to Ms. Yeboah-Amankwah’s assertion, OCC’s subpoena is neither unreasonable nor oppressive.</w:t>
      </w:r>
      <w:r w:rsidR="00163AF0">
        <w:rPr>
          <w:rFonts w:ascii="Times New Roman" w:hAnsi="Times New Roman" w:cs="Times New Roman"/>
          <w:bCs w:val="0"/>
        </w:rPr>
        <w:t xml:space="preserve"> </w:t>
      </w:r>
      <w:r w:rsidR="00C86C4B">
        <w:rPr>
          <w:rFonts w:ascii="Times New Roman" w:hAnsi="Times New Roman" w:cs="Times New Roman"/>
          <w:bCs w:val="0"/>
        </w:rPr>
        <w:t>Given OCC’s discovery rights under law and rule</w:t>
      </w:r>
      <w:r w:rsidRPr="00163AF0" w:rsidR="00A520A8">
        <w:rPr>
          <w:rFonts w:ascii="Times New Roman" w:hAnsi="Times New Roman" w:cs="Times New Roman"/>
          <w:bCs w:val="0"/>
        </w:rPr>
        <w:t xml:space="preserve">, </w:t>
      </w:r>
      <w:r w:rsidRPr="00163AF0" w:rsidR="005C0613">
        <w:rPr>
          <w:rFonts w:ascii="Times New Roman" w:hAnsi="Times New Roman" w:cs="Times New Roman"/>
          <w:bCs w:val="0"/>
        </w:rPr>
        <w:t>it is neither unreasonable nor oppressive</w:t>
      </w:r>
      <w:r w:rsidR="00C86C4B">
        <w:rPr>
          <w:rFonts w:ascii="Times New Roman" w:hAnsi="Times New Roman" w:cs="Times New Roman"/>
          <w:bCs w:val="0"/>
        </w:rPr>
        <w:t xml:space="preserve"> </w:t>
      </w:r>
      <w:r w:rsidRPr="00163AF0" w:rsidR="005C0613">
        <w:rPr>
          <w:rFonts w:ascii="Times New Roman" w:hAnsi="Times New Roman" w:cs="Times New Roman"/>
          <w:bCs w:val="0"/>
        </w:rPr>
        <w:t xml:space="preserve">for </w:t>
      </w:r>
      <w:r w:rsidRPr="00163AF0" w:rsidR="00201CFA">
        <w:rPr>
          <w:rFonts w:ascii="Times New Roman" w:hAnsi="Times New Roman" w:cs="Times New Roman"/>
          <w:bCs w:val="0"/>
        </w:rPr>
        <w:t xml:space="preserve">OCC to </w:t>
      </w:r>
      <w:r w:rsidRPr="00163AF0" w:rsidR="002D1E7B">
        <w:rPr>
          <w:rFonts w:ascii="Times New Roman" w:hAnsi="Times New Roman" w:cs="Times New Roman"/>
          <w:bCs w:val="0"/>
        </w:rPr>
        <w:t>depos</w:t>
      </w:r>
      <w:r w:rsidRPr="00163AF0" w:rsidR="00091DDC">
        <w:rPr>
          <w:rFonts w:ascii="Times New Roman" w:hAnsi="Times New Roman" w:cs="Times New Roman"/>
          <w:bCs w:val="0"/>
        </w:rPr>
        <w:t>e</w:t>
      </w:r>
      <w:r w:rsidRPr="00163AF0" w:rsidR="002D1E7B">
        <w:rPr>
          <w:rFonts w:ascii="Times New Roman" w:hAnsi="Times New Roman" w:cs="Times New Roman"/>
          <w:bCs w:val="0"/>
        </w:rPr>
        <w:t xml:space="preserve"> </w:t>
      </w:r>
      <w:r w:rsidRPr="00163AF0" w:rsidR="00A520A8">
        <w:rPr>
          <w:rFonts w:ascii="Times New Roman" w:hAnsi="Times New Roman" w:cs="Times New Roman"/>
          <w:bCs w:val="0"/>
        </w:rPr>
        <w:t xml:space="preserve">and seek documents from </w:t>
      </w:r>
      <w:r w:rsidRPr="00163AF0" w:rsidR="002D1E7B">
        <w:rPr>
          <w:rFonts w:ascii="Times New Roman" w:hAnsi="Times New Roman" w:cs="Times New Roman"/>
          <w:bCs w:val="0"/>
        </w:rPr>
        <w:t xml:space="preserve">FirstEnergy’s </w:t>
      </w:r>
      <w:r w:rsidRPr="00163AF0" w:rsidR="00A520A8">
        <w:rPr>
          <w:rFonts w:ascii="Times New Roman" w:hAnsi="Times New Roman" w:cs="Times New Roman"/>
          <w:bCs w:val="0"/>
        </w:rPr>
        <w:t xml:space="preserve">former </w:t>
      </w:r>
      <w:r w:rsidRPr="00163AF0" w:rsidR="002D1E7B">
        <w:rPr>
          <w:rFonts w:ascii="Times New Roman" w:hAnsi="Times New Roman" w:cs="Times New Roman"/>
          <w:bCs w:val="0"/>
        </w:rPr>
        <w:t>Vice President</w:t>
      </w:r>
      <w:r w:rsidRPr="00163AF0" w:rsidR="00A520A8">
        <w:rPr>
          <w:rFonts w:ascii="Times New Roman" w:hAnsi="Times New Roman" w:cs="Times New Roman"/>
          <w:bCs w:val="0"/>
        </w:rPr>
        <w:t>, General Counsel</w:t>
      </w:r>
      <w:r w:rsidRPr="00163AF0" w:rsidR="002D1E7B">
        <w:rPr>
          <w:rFonts w:ascii="Times New Roman" w:hAnsi="Times New Roman" w:cs="Times New Roman"/>
          <w:bCs w:val="0"/>
        </w:rPr>
        <w:t xml:space="preserve"> and Chief Ethics</w:t>
      </w:r>
      <w:r w:rsidRPr="00163AF0" w:rsidR="00A520A8">
        <w:rPr>
          <w:rFonts w:ascii="Times New Roman" w:hAnsi="Times New Roman" w:cs="Times New Roman"/>
          <w:bCs w:val="0"/>
        </w:rPr>
        <w:t xml:space="preserve"> Officer</w:t>
      </w:r>
      <w:r w:rsidRPr="00163AF0" w:rsidR="005C0613">
        <w:rPr>
          <w:rFonts w:ascii="Times New Roman" w:hAnsi="Times New Roman" w:cs="Times New Roman"/>
          <w:bCs w:val="0"/>
        </w:rPr>
        <w:t xml:space="preserve"> – the person with ultimate responsibility for corporate separation compliance</w:t>
      </w:r>
      <w:r w:rsidRPr="00163AF0" w:rsidR="002D1E7B">
        <w:rPr>
          <w:rFonts w:ascii="Times New Roman" w:hAnsi="Times New Roman" w:cs="Times New Roman"/>
          <w:bCs w:val="0"/>
        </w:rPr>
        <w:t>.</w:t>
      </w:r>
      <w:bookmarkEnd w:id="4"/>
      <w:r w:rsidRPr="00163AF0" w:rsidR="0048026A">
        <w:rPr>
          <w:rFonts w:ascii="Times New Roman" w:hAnsi="Times New Roman" w:cs="Times New Roman"/>
          <w:bCs w:val="0"/>
        </w:rPr>
        <w:t xml:space="preserve"> </w:t>
      </w:r>
    </w:p>
    <w:p w:rsidR="00E33AC2" w:rsidRPr="00163AF0" w:rsidP="005D2D59" w14:paraId="37B716A8" w14:textId="4F79822D">
      <w:pPr>
        <w:spacing w:line="480" w:lineRule="auto"/>
        <w:ind w:firstLine="720"/>
        <w:rPr>
          <w:szCs w:val="24"/>
        </w:rPr>
      </w:pPr>
      <w:r w:rsidRPr="00163AF0">
        <w:rPr>
          <w:szCs w:val="24"/>
        </w:rPr>
        <w:t xml:space="preserve">Ms. Yeboah-Amankwah </w:t>
      </w:r>
      <w:r w:rsidRPr="00163AF0">
        <w:rPr>
          <w:szCs w:val="24"/>
        </w:rPr>
        <w:t xml:space="preserve">asserts that </w:t>
      </w:r>
      <w:r w:rsidRPr="00163AF0">
        <w:rPr>
          <w:szCs w:val="24"/>
        </w:rPr>
        <w:t>OCC’s subpoena is unreasonable and oppressive</w:t>
      </w:r>
      <w:r w:rsidR="00C86C4B">
        <w:rPr>
          <w:szCs w:val="24"/>
        </w:rPr>
        <w:t xml:space="preserve"> </w:t>
      </w:r>
      <w:r w:rsidR="00C86C4B">
        <w:rPr>
          <w:bCs w:val="0"/>
        </w:rPr>
        <w:t>under O.A.C. 4901-1-25. That is wrong</w:t>
      </w:r>
      <w:r w:rsidRPr="00163AF0" w:rsidR="00F628A2">
        <w:rPr>
          <w:szCs w:val="24"/>
        </w:rPr>
        <w:t>.</w:t>
      </w:r>
      <w:r w:rsidR="00163AF0">
        <w:rPr>
          <w:szCs w:val="24"/>
        </w:rPr>
        <w:t xml:space="preserve"> </w:t>
      </w:r>
      <w:r w:rsidRPr="00163AF0" w:rsidR="00F628A2">
        <w:rPr>
          <w:szCs w:val="24"/>
        </w:rPr>
        <w:t>She asserts that the</w:t>
      </w:r>
      <w:r w:rsidRPr="00163AF0">
        <w:rPr>
          <w:szCs w:val="24"/>
        </w:rPr>
        <w:t xml:space="preserve"> </w:t>
      </w:r>
      <w:r w:rsidRPr="00163AF0" w:rsidR="00A520A8">
        <w:rPr>
          <w:szCs w:val="24"/>
        </w:rPr>
        <w:t>documents we request are not within her “control,”</w:t>
      </w:r>
      <w:r>
        <w:rPr>
          <w:rStyle w:val="FootnoteReference"/>
          <w:szCs w:val="24"/>
        </w:rPr>
        <w:footnoteReference w:id="17"/>
      </w:r>
      <w:r w:rsidRPr="00163AF0" w:rsidR="00A520A8">
        <w:rPr>
          <w:szCs w:val="24"/>
        </w:rPr>
        <w:t xml:space="preserve"> </w:t>
      </w:r>
      <w:r w:rsidRPr="00163AF0" w:rsidR="00201CFA">
        <w:rPr>
          <w:szCs w:val="24"/>
        </w:rPr>
        <w:t xml:space="preserve">and that </w:t>
      </w:r>
      <w:r w:rsidRPr="00163AF0" w:rsidR="00A520A8">
        <w:rPr>
          <w:szCs w:val="24"/>
        </w:rPr>
        <w:t>without access to documents to refresh her recollection she would be unable to provide any non-speculative testimony</w:t>
      </w:r>
      <w:r w:rsidRPr="00163AF0" w:rsidR="00201CFA">
        <w:rPr>
          <w:szCs w:val="24"/>
        </w:rPr>
        <w:t>.</w:t>
      </w:r>
      <w:r>
        <w:rPr>
          <w:rStyle w:val="FootnoteReference"/>
          <w:szCs w:val="24"/>
        </w:rPr>
        <w:footnoteReference w:id="18"/>
      </w:r>
      <w:r w:rsidRPr="00163AF0" w:rsidR="00BA1DE9">
        <w:rPr>
          <w:szCs w:val="24"/>
        </w:rPr>
        <w:t xml:space="preserve"> If so, she can answer questions to that effect under oath at the deposition, but we think she will have answers to various questions that are helpful for truth and justice in this case.</w:t>
      </w:r>
      <w:r w:rsidRPr="00163AF0" w:rsidR="00A520A8">
        <w:rPr>
          <w:szCs w:val="24"/>
        </w:rPr>
        <w:t xml:space="preserve"> </w:t>
      </w:r>
      <w:r w:rsidRPr="00163AF0" w:rsidR="00201CFA">
        <w:rPr>
          <w:szCs w:val="24"/>
        </w:rPr>
        <w:t>She also maintains that sh</w:t>
      </w:r>
      <w:r w:rsidRPr="00163AF0" w:rsidR="00A520A8">
        <w:rPr>
          <w:szCs w:val="24"/>
        </w:rPr>
        <w:t>e</w:t>
      </w:r>
      <w:r w:rsidRPr="00163AF0">
        <w:rPr>
          <w:szCs w:val="24"/>
        </w:rPr>
        <w:t xml:space="preserve"> is the wrong person to discuss issues of ethics and compliance with Ohio’s corporate separation law.</w:t>
      </w:r>
      <w:r>
        <w:rPr>
          <w:rStyle w:val="FootnoteReference"/>
          <w:szCs w:val="24"/>
        </w:rPr>
        <w:footnoteReference w:id="19"/>
      </w:r>
      <w:r w:rsidRPr="00163AF0" w:rsidR="005D2D59">
        <w:rPr>
          <w:szCs w:val="24"/>
        </w:rPr>
        <w:t xml:space="preserve"> </w:t>
      </w:r>
      <w:r w:rsidRPr="00163AF0" w:rsidR="004B514D">
        <w:rPr>
          <w:szCs w:val="24"/>
        </w:rPr>
        <w:t>Th</w:t>
      </w:r>
      <w:r w:rsidRPr="00163AF0" w:rsidR="00F628A2">
        <w:rPr>
          <w:szCs w:val="24"/>
        </w:rPr>
        <w:t>is</w:t>
      </w:r>
      <w:r w:rsidRPr="00163AF0" w:rsidR="004B514D">
        <w:rPr>
          <w:szCs w:val="24"/>
        </w:rPr>
        <w:t xml:space="preserve"> remains to be seen.</w:t>
      </w:r>
      <w:r w:rsidRPr="00163AF0" w:rsidR="0048026A">
        <w:rPr>
          <w:szCs w:val="24"/>
        </w:rPr>
        <w:t xml:space="preserve"> </w:t>
      </w:r>
    </w:p>
    <w:p w:rsidR="009419F2" w:rsidRPr="00163AF0" w:rsidP="005D2D59" w14:paraId="06AB7A08" w14:textId="417FE868">
      <w:pPr>
        <w:spacing w:line="480" w:lineRule="auto"/>
        <w:ind w:firstLine="720"/>
        <w:rPr>
          <w:szCs w:val="24"/>
        </w:rPr>
      </w:pPr>
      <w:r w:rsidRPr="00163AF0">
        <w:rPr>
          <w:szCs w:val="24"/>
        </w:rPr>
        <w:t>Ms. Yeboah-Amankwah was named Vice President, Corporate Secretary and Chief Ethics Officer at FirstEnergy Corp. in July 2017</w:t>
      </w:r>
      <w:r>
        <w:rPr>
          <w:rStyle w:val="FootnoteReference"/>
          <w:szCs w:val="24"/>
        </w:rPr>
        <w:footnoteReference w:id="20"/>
      </w:r>
      <w:r w:rsidRPr="00163AF0">
        <w:rPr>
          <w:szCs w:val="24"/>
        </w:rPr>
        <w:t xml:space="preserve"> and continued in that role until November 2020</w:t>
      </w:r>
      <w:r w:rsidRPr="00163AF0" w:rsidR="00201CFA">
        <w:rPr>
          <w:szCs w:val="24"/>
        </w:rPr>
        <w:t xml:space="preserve">. </w:t>
      </w:r>
      <w:r w:rsidRPr="00163AF0">
        <w:rPr>
          <w:szCs w:val="24"/>
        </w:rPr>
        <w:t xml:space="preserve">Daymark, one of the PUCO-hired </w:t>
      </w:r>
      <w:r w:rsidRPr="00163AF0" w:rsidR="00F628A2">
        <w:rPr>
          <w:szCs w:val="24"/>
        </w:rPr>
        <w:t>a</w:t>
      </w:r>
      <w:r w:rsidRPr="00163AF0">
        <w:rPr>
          <w:szCs w:val="24"/>
        </w:rPr>
        <w:t>uditors in this proceeding, was advised that FirstEnergy’s “Chief Ethics Officer” has “ultimate responsibility for corporate separation compliance.”</w:t>
      </w:r>
      <w:r>
        <w:rPr>
          <w:rStyle w:val="FootnoteReference"/>
          <w:szCs w:val="24"/>
        </w:rPr>
        <w:footnoteReference w:id="21"/>
      </w:r>
      <w:r w:rsidRPr="00163AF0">
        <w:rPr>
          <w:szCs w:val="24"/>
        </w:rPr>
        <w:t xml:space="preserve"> Thus, Ms. Yeboah-Amankwah, the deponent, had ultimate responsibility for corporate separation compliance for most of the four-year audit period.</w:t>
      </w:r>
      <w:r w:rsidR="00163AF0">
        <w:rPr>
          <w:szCs w:val="24"/>
        </w:rPr>
        <w:t xml:space="preserve"> </w:t>
      </w:r>
      <w:r w:rsidRPr="00163AF0" w:rsidR="006704B8">
        <w:rPr>
          <w:szCs w:val="24"/>
        </w:rPr>
        <w:t>Her assertion that she left before Daymark’s audit</w:t>
      </w:r>
      <w:r>
        <w:rPr>
          <w:rStyle w:val="FootnoteReference"/>
          <w:szCs w:val="24"/>
        </w:rPr>
        <w:footnoteReference w:id="22"/>
      </w:r>
      <w:r w:rsidRPr="00163AF0" w:rsidR="006704B8">
        <w:rPr>
          <w:szCs w:val="24"/>
        </w:rPr>
        <w:t xml:space="preserve"> is beside the point -- </w:t>
      </w:r>
      <w:r w:rsidRPr="00163AF0" w:rsidR="006704B8">
        <w:rPr>
          <w:bCs w:val="0"/>
          <w:szCs w:val="24"/>
        </w:rPr>
        <w:t xml:space="preserve">she was ultimately responsible for compliance </w:t>
      </w:r>
      <w:r w:rsidRPr="00163AF0" w:rsidR="006704B8">
        <w:rPr>
          <w:bCs w:val="0"/>
          <w:i/>
          <w:iCs/>
          <w:szCs w:val="24"/>
        </w:rPr>
        <w:t>during the</w:t>
      </w:r>
      <w:r w:rsidRPr="00163AF0" w:rsidR="00201CFA">
        <w:rPr>
          <w:bCs w:val="0"/>
          <w:i/>
          <w:iCs/>
          <w:szCs w:val="24"/>
        </w:rPr>
        <w:t xml:space="preserve"> majority of the</w:t>
      </w:r>
      <w:r w:rsidRPr="00163AF0" w:rsidR="006704B8">
        <w:rPr>
          <w:bCs w:val="0"/>
          <w:i/>
          <w:iCs/>
          <w:szCs w:val="24"/>
        </w:rPr>
        <w:t xml:space="preserve"> time-period </w:t>
      </w:r>
      <w:r w:rsidRPr="00163AF0" w:rsidR="00201CFA">
        <w:rPr>
          <w:bCs w:val="0"/>
          <w:i/>
          <w:iCs/>
          <w:szCs w:val="24"/>
        </w:rPr>
        <w:t>under review</w:t>
      </w:r>
      <w:r w:rsidRPr="00163AF0" w:rsidR="006704B8">
        <w:rPr>
          <w:bCs w:val="0"/>
          <w:szCs w:val="24"/>
        </w:rPr>
        <w:t>.</w:t>
      </w:r>
      <w:r w:rsidRPr="00163AF0">
        <w:rPr>
          <w:szCs w:val="24"/>
        </w:rPr>
        <w:t xml:space="preserve"> </w:t>
      </w:r>
      <w:r w:rsidRPr="00163AF0" w:rsidR="00943933">
        <w:rPr>
          <w:szCs w:val="24"/>
        </w:rPr>
        <w:t>I</w:t>
      </w:r>
      <w:r w:rsidRPr="00163AF0" w:rsidR="00C07639">
        <w:rPr>
          <w:szCs w:val="24"/>
        </w:rPr>
        <w:t>t</w:t>
      </w:r>
      <w:r w:rsidRPr="00163AF0" w:rsidR="00943933">
        <w:rPr>
          <w:szCs w:val="24"/>
        </w:rPr>
        <w:t xml:space="preserve"> is</w:t>
      </w:r>
      <w:r w:rsidRPr="00163AF0" w:rsidR="00C07639">
        <w:rPr>
          <w:szCs w:val="24"/>
        </w:rPr>
        <w:t xml:space="preserve"> hard to believe that M</w:t>
      </w:r>
      <w:r w:rsidRPr="00163AF0" w:rsidR="00943933">
        <w:rPr>
          <w:szCs w:val="24"/>
        </w:rPr>
        <w:t>s</w:t>
      </w:r>
      <w:r w:rsidRPr="00163AF0" w:rsidR="00C07639">
        <w:rPr>
          <w:szCs w:val="24"/>
        </w:rPr>
        <w:t xml:space="preserve">. Yeboah-Amankwah would have no relevant information on </w:t>
      </w:r>
      <w:r w:rsidRPr="00163AF0" w:rsidR="00FB12C4">
        <w:rPr>
          <w:szCs w:val="24"/>
        </w:rPr>
        <w:t xml:space="preserve">FirstEnergy’s </w:t>
      </w:r>
      <w:r w:rsidRPr="00163AF0" w:rsidR="00C07639">
        <w:rPr>
          <w:szCs w:val="24"/>
        </w:rPr>
        <w:t xml:space="preserve">compliance with </w:t>
      </w:r>
      <w:r w:rsidRPr="00163AF0" w:rsidR="00FB12C4">
        <w:rPr>
          <w:szCs w:val="24"/>
        </w:rPr>
        <w:t xml:space="preserve">Ohio </w:t>
      </w:r>
      <w:r w:rsidRPr="00163AF0" w:rsidR="00C07639">
        <w:rPr>
          <w:szCs w:val="24"/>
        </w:rPr>
        <w:t>corporate separation</w:t>
      </w:r>
      <w:r w:rsidRPr="00163AF0" w:rsidR="0000683D">
        <w:rPr>
          <w:szCs w:val="24"/>
        </w:rPr>
        <w:t xml:space="preserve"> laws</w:t>
      </w:r>
      <w:r w:rsidRPr="00163AF0" w:rsidR="002277B6">
        <w:rPr>
          <w:szCs w:val="24"/>
        </w:rPr>
        <w:t>; that she is the “wrong person” with whom to discuss such matters</w:t>
      </w:r>
      <w:r w:rsidRPr="00163AF0" w:rsidR="00C07639">
        <w:rPr>
          <w:szCs w:val="24"/>
        </w:rPr>
        <w:t>.</w:t>
      </w:r>
      <w:r w:rsidRPr="00163AF0" w:rsidR="0048026A">
        <w:rPr>
          <w:szCs w:val="24"/>
        </w:rPr>
        <w:t xml:space="preserve"> </w:t>
      </w:r>
    </w:p>
    <w:p w:rsidR="00652CB6" w:rsidRPr="00163AF0" w:rsidP="005D2D59" w14:paraId="18C9EC63" w14:textId="3E8E255A">
      <w:pPr>
        <w:spacing w:line="480" w:lineRule="auto"/>
        <w:ind w:firstLine="720"/>
        <w:rPr>
          <w:szCs w:val="24"/>
        </w:rPr>
      </w:pPr>
      <w:r w:rsidRPr="00163AF0">
        <w:rPr>
          <w:szCs w:val="24"/>
        </w:rPr>
        <w:t>Ms. Yeboah-Amankwah’s assert</w:t>
      </w:r>
      <w:r w:rsidRPr="00163AF0" w:rsidR="00201CFA">
        <w:rPr>
          <w:szCs w:val="24"/>
        </w:rPr>
        <w:t>s</w:t>
      </w:r>
      <w:r w:rsidRPr="00163AF0">
        <w:rPr>
          <w:szCs w:val="24"/>
        </w:rPr>
        <w:t xml:space="preserve"> that she </w:t>
      </w:r>
      <w:r w:rsidRPr="00163AF0" w:rsidR="009419F2">
        <w:rPr>
          <w:szCs w:val="24"/>
        </w:rPr>
        <w:t>does not have requested documents in h</w:t>
      </w:r>
      <w:r w:rsidRPr="00163AF0">
        <w:rPr>
          <w:szCs w:val="24"/>
        </w:rPr>
        <w:t>er</w:t>
      </w:r>
      <w:r w:rsidRPr="00163AF0" w:rsidR="009419F2">
        <w:rPr>
          <w:szCs w:val="24"/>
        </w:rPr>
        <w:t xml:space="preserve"> “</w:t>
      </w:r>
      <w:r w:rsidRPr="00163AF0">
        <w:rPr>
          <w:szCs w:val="24"/>
        </w:rPr>
        <w:t>control</w:t>
      </w:r>
      <w:r w:rsidRPr="00163AF0" w:rsidR="00201CFA">
        <w:rPr>
          <w:szCs w:val="24"/>
        </w:rPr>
        <w:t>.</w:t>
      </w:r>
      <w:r w:rsidRPr="00163AF0" w:rsidR="009419F2">
        <w:rPr>
          <w:szCs w:val="24"/>
        </w:rPr>
        <w:t xml:space="preserve">” </w:t>
      </w:r>
      <w:r w:rsidRPr="00163AF0" w:rsidR="00201CFA">
        <w:rPr>
          <w:szCs w:val="24"/>
        </w:rPr>
        <w:t>While this assertion may be true, it doesn’t absolve her from producing documents within her</w:t>
      </w:r>
      <w:r w:rsidRPr="00163AF0">
        <w:rPr>
          <w:i/>
          <w:iCs/>
          <w:szCs w:val="24"/>
        </w:rPr>
        <w:t xml:space="preserve"> custody</w:t>
      </w:r>
      <w:r w:rsidRPr="00163AF0">
        <w:rPr>
          <w:szCs w:val="24"/>
        </w:rPr>
        <w:t xml:space="preserve"> or control</w:t>
      </w:r>
      <w:r w:rsidRPr="00163AF0" w:rsidR="009419F2">
        <w:rPr>
          <w:szCs w:val="24"/>
        </w:rPr>
        <w:t>.”</w:t>
      </w:r>
      <w:r>
        <w:rPr>
          <w:rStyle w:val="FootnoteReference"/>
          <w:szCs w:val="24"/>
        </w:rPr>
        <w:footnoteReference w:id="23"/>
      </w:r>
      <w:r w:rsidR="00163AF0">
        <w:rPr>
          <w:szCs w:val="24"/>
        </w:rPr>
        <w:t xml:space="preserve"> </w:t>
      </w:r>
      <w:r w:rsidRPr="00163AF0" w:rsidR="00201CFA">
        <w:rPr>
          <w:szCs w:val="24"/>
        </w:rPr>
        <w:t xml:space="preserve">So if she has documents that are responsive to the </w:t>
      </w:r>
      <w:r w:rsidRPr="00163AF0" w:rsidR="00C31253">
        <w:rPr>
          <w:szCs w:val="24"/>
        </w:rPr>
        <w:t>subpoena,</w:t>
      </w:r>
      <w:r w:rsidR="00C31253">
        <w:rPr>
          <w:szCs w:val="24"/>
        </w:rPr>
        <w:t xml:space="preserve"> </w:t>
      </w:r>
      <w:r w:rsidRPr="00163AF0" w:rsidR="00201CFA">
        <w:rPr>
          <w:szCs w:val="24"/>
        </w:rPr>
        <w:t xml:space="preserve">she should </w:t>
      </w:r>
      <w:r w:rsidRPr="00163AF0" w:rsidR="006640C7">
        <w:rPr>
          <w:szCs w:val="24"/>
        </w:rPr>
        <w:t xml:space="preserve">be ordered to </w:t>
      </w:r>
      <w:r w:rsidRPr="00163AF0" w:rsidR="00201CFA">
        <w:rPr>
          <w:szCs w:val="24"/>
        </w:rPr>
        <w:t>produce them</w:t>
      </w:r>
      <w:r w:rsidRPr="00163AF0" w:rsidR="009D211E">
        <w:rPr>
          <w:szCs w:val="24"/>
        </w:rPr>
        <w:t>.</w:t>
      </w:r>
      <w:r w:rsidRPr="00163AF0" w:rsidR="005F211B">
        <w:rPr>
          <w:szCs w:val="24"/>
        </w:rPr>
        <w:t xml:space="preserve"> If she does not have documents responsive to a category of documents we have subpoenaed in her possession, custody, or control, Ms. Yeboah-Amankwah simply (and understandably) will not produce them.</w:t>
      </w:r>
      <w:r w:rsidR="00163AF0">
        <w:rPr>
          <w:szCs w:val="24"/>
        </w:rPr>
        <w:t xml:space="preserve"> </w:t>
      </w:r>
      <w:r w:rsidRPr="00163AF0" w:rsidR="005F211B">
        <w:rPr>
          <w:szCs w:val="24"/>
        </w:rPr>
        <w:t>But that she may not have some responsive documents is no reason to quash the subpoena</w:t>
      </w:r>
      <w:r w:rsidRPr="00163AF0" w:rsidR="00E92EB8">
        <w:rPr>
          <w:szCs w:val="24"/>
        </w:rPr>
        <w:t xml:space="preserve"> in its entirety</w:t>
      </w:r>
      <w:r w:rsidRPr="00163AF0" w:rsidR="005F211B">
        <w:rPr>
          <w:szCs w:val="24"/>
        </w:rPr>
        <w:t>.</w:t>
      </w:r>
    </w:p>
    <w:p w:rsidR="00C53330" w:rsidRPr="00163AF0" w:rsidP="005D2D59" w14:paraId="0CA23D38" w14:textId="17454A4E">
      <w:pPr>
        <w:spacing w:line="480" w:lineRule="auto"/>
        <w:ind w:firstLine="720"/>
        <w:rPr>
          <w:szCs w:val="24"/>
        </w:rPr>
      </w:pPr>
      <w:r w:rsidRPr="00163AF0">
        <w:rPr>
          <w:szCs w:val="24"/>
        </w:rPr>
        <w:t xml:space="preserve">This is especially so given that </w:t>
      </w:r>
      <w:r w:rsidRPr="00163AF0" w:rsidR="006A002F">
        <w:rPr>
          <w:szCs w:val="24"/>
        </w:rPr>
        <w:t xml:space="preserve">OCC’s document requests are only </w:t>
      </w:r>
      <w:r w:rsidRPr="00163AF0" w:rsidR="006A002F">
        <w:rPr>
          <w:i/>
          <w:iCs/>
          <w:szCs w:val="24"/>
        </w:rPr>
        <w:t xml:space="preserve">part </w:t>
      </w:r>
      <w:r w:rsidRPr="00163AF0" w:rsidR="006A002F">
        <w:rPr>
          <w:szCs w:val="24"/>
        </w:rPr>
        <w:t>of the subpoena.</w:t>
      </w:r>
      <w:r w:rsidR="00163AF0">
        <w:rPr>
          <w:szCs w:val="24"/>
        </w:rPr>
        <w:t xml:space="preserve"> </w:t>
      </w:r>
      <w:r w:rsidRPr="00163AF0" w:rsidR="00BA1DE9">
        <w:rPr>
          <w:szCs w:val="24"/>
        </w:rPr>
        <w:t xml:space="preserve">Importantly, </w:t>
      </w:r>
      <w:r w:rsidRPr="00163AF0" w:rsidR="006A002F">
        <w:rPr>
          <w:szCs w:val="24"/>
        </w:rPr>
        <w:t>OCC has sought Ms. Yeboah-Amankwah’s testimony</w:t>
      </w:r>
      <w:r w:rsidRPr="00163AF0" w:rsidR="006640C7">
        <w:rPr>
          <w:szCs w:val="24"/>
        </w:rPr>
        <w:t xml:space="preserve"> through a deposition</w:t>
      </w:r>
      <w:r w:rsidRPr="00163AF0" w:rsidR="006A002F">
        <w:rPr>
          <w:szCs w:val="24"/>
        </w:rPr>
        <w:t>.</w:t>
      </w:r>
      <w:r w:rsidR="00163AF0">
        <w:rPr>
          <w:szCs w:val="24"/>
        </w:rPr>
        <w:t xml:space="preserve"> </w:t>
      </w:r>
      <w:r w:rsidRPr="00163AF0">
        <w:rPr>
          <w:szCs w:val="24"/>
        </w:rPr>
        <w:t xml:space="preserve">OCC should and does have the right to question Ms. Yeboah-Amankwah under oath </w:t>
      </w:r>
      <w:r w:rsidRPr="00163AF0" w:rsidR="00935D4C">
        <w:rPr>
          <w:szCs w:val="24"/>
        </w:rPr>
        <w:t>as to h</w:t>
      </w:r>
      <w:r w:rsidRPr="00163AF0">
        <w:rPr>
          <w:szCs w:val="24"/>
        </w:rPr>
        <w:t xml:space="preserve">er </w:t>
      </w:r>
      <w:r w:rsidRPr="00163AF0" w:rsidR="006640C7">
        <w:rPr>
          <w:szCs w:val="24"/>
        </w:rPr>
        <w:t>assertion that she does not have documents we have requested</w:t>
      </w:r>
      <w:r w:rsidRPr="00163AF0">
        <w:rPr>
          <w:szCs w:val="24"/>
        </w:rPr>
        <w:t>.</w:t>
      </w:r>
      <w:r>
        <w:rPr>
          <w:rStyle w:val="FootnoteReference"/>
          <w:szCs w:val="24"/>
        </w:rPr>
        <w:footnoteReference w:id="24"/>
      </w:r>
      <w:r w:rsidR="00163AF0">
        <w:rPr>
          <w:szCs w:val="24"/>
        </w:rPr>
        <w:t xml:space="preserve"> </w:t>
      </w:r>
      <w:r w:rsidRPr="00163AF0">
        <w:rPr>
          <w:szCs w:val="24"/>
        </w:rPr>
        <w:t>Perhaps more importantly, OCC should and does have the right</w:t>
      </w:r>
      <w:r>
        <w:rPr>
          <w:rStyle w:val="FootnoteReference"/>
          <w:szCs w:val="24"/>
        </w:rPr>
        <w:footnoteReference w:id="25"/>
      </w:r>
      <w:r w:rsidRPr="00163AF0">
        <w:rPr>
          <w:szCs w:val="24"/>
        </w:rPr>
        <w:t xml:space="preserve"> </w:t>
      </w:r>
      <w:r w:rsidRPr="00163AF0" w:rsidR="006640C7">
        <w:rPr>
          <w:szCs w:val="24"/>
        </w:rPr>
        <w:t xml:space="preserve">under R.C. 4903.082 to </w:t>
      </w:r>
      <w:r w:rsidRPr="00163AF0">
        <w:rPr>
          <w:szCs w:val="24"/>
        </w:rPr>
        <w:t>question Ms. Yeboah-Amankwah about what corporate separation compliance documentation</w:t>
      </w:r>
      <w:r w:rsidRPr="00163AF0" w:rsidR="00602351">
        <w:rPr>
          <w:szCs w:val="24"/>
        </w:rPr>
        <w:t xml:space="preserve"> </w:t>
      </w:r>
      <w:r w:rsidRPr="00163AF0">
        <w:rPr>
          <w:i/>
          <w:iCs/>
          <w:szCs w:val="24"/>
        </w:rPr>
        <w:t xml:space="preserve">did </w:t>
      </w:r>
      <w:r w:rsidRPr="00163AF0">
        <w:rPr>
          <w:szCs w:val="24"/>
        </w:rPr>
        <w:t xml:space="preserve">exist and what corporate separation compliance steps she </w:t>
      </w:r>
      <w:r w:rsidRPr="00163AF0">
        <w:rPr>
          <w:i/>
          <w:iCs/>
          <w:szCs w:val="24"/>
        </w:rPr>
        <w:t xml:space="preserve">did </w:t>
      </w:r>
      <w:r w:rsidRPr="00163AF0">
        <w:rPr>
          <w:szCs w:val="24"/>
        </w:rPr>
        <w:t>take.</w:t>
      </w:r>
      <w:r w:rsidR="00163AF0">
        <w:rPr>
          <w:szCs w:val="24"/>
        </w:rPr>
        <w:t xml:space="preserve"> </w:t>
      </w:r>
    </w:p>
    <w:p w:rsidR="005F211B" w:rsidRPr="00163AF0" w:rsidP="005D2D59" w14:paraId="10435910" w14:textId="66588E3C">
      <w:pPr>
        <w:spacing w:line="480" w:lineRule="auto"/>
        <w:ind w:firstLine="720"/>
        <w:rPr>
          <w:szCs w:val="24"/>
        </w:rPr>
      </w:pPr>
      <w:r w:rsidRPr="00163AF0">
        <w:rPr>
          <w:szCs w:val="24"/>
        </w:rPr>
        <w:t>For example, Ms. Yeboah-Amankwah asserts that “pursuant to FirstEnergy’s policies, [she] returned to the company all FirstEnergy documents in her personal possession at the time of her separation on November 8, 2020.”</w:t>
      </w:r>
      <w:r>
        <w:rPr>
          <w:rStyle w:val="FootnoteReference"/>
          <w:szCs w:val="24"/>
        </w:rPr>
        <w:footnoteReference w:id="26"/>
      </w:r>
      <w:r w:rsidR="00163AF0">
        <w:rPr>
          <w:szCs w:val="24"/>
        </w:rPr>
        <w:t xml:space="preserve"> </w:t>
      </w:r>
      <w:r w:rsidRPr="00163AF0">
        <w:rPr>
          <w:szCs w:val="24"/>
        </w:rPr>
        <w:t>What documents did she turn over</w:t>
      </w:r>
      <w:r w:rsidRPr="00163AF0" w:rsidR="00935D4C">
        <w:rPr>
          <w:szCs w:val="24"/>
        </w:rPr>
        <w:t xml:space="preserve"> and to whom</w:t>
      </w:r>
      <w:r w:rsidRPr="00163AF0">
        <w:rPr>
          <w:szCs w:val="24"/>
        </w:rPr>
        <w:t>?</w:t>
      </w:r>
      <w:r w:rsidR="00163AF0">
        <w:rPr>
          <w:szCs w:val="24"/>
        </w:rPr>
        <w:t xml:space="preserve"> </w:t>
      </w:r>
      <w:r w:rsidRPr="00163AF0">
        <w:rPr>
          <w:szCs w:val="24"/>
        </w:rPr>
        <w:t>Did they include corporate separation compliance documents?</w:t>
      </w:r>
      <w:r w:rsidR="00163AF0">
        <w:rPr>
          <w:szCs w:val="24"/>
        </w:rPr>
        <w:t xml:space="preserve"> </w:t>
      </w:r>
      <w:r w:rsidRPr="00163AF0">
        <w:rPr>
          <w:szCs w:val="24"/>
        </w:rPr>
        <w:t>If so, what kind of documents?</w:t>
      </w:r>
      <w:r w:rsidR="00163AF0">
        <w:rPr>
          <w:szCs w:val="24"/>
        </w:rPr>
        <w:t xml:space="preserve"> </w:t>
      </w:r>
      <w:r w:rsidRPr="00163AF0" w:rsidR="006A002F">
        <w:rPr>
          <w:szCs w:val="24"/>
        </w:rPr>
        <w:t>As mentioned, Ms. Yeboah-Amankwah had ultimate responsibility for corporate separation compliance for most of the four-year audit period.</w:t>
      </w:r>
      <w:r w:rsidRPr="00163AF0" w:rsidR="00935D4C">
        <w:rPr>
          <w:szCs w:val="24"/>
        </w:rPr>
        <w:t xml:space="preserve"> Surely</w:t>
      </w:r>
      <w:r w:rsidRPr="00163AF0" w:rsidR="00BC2672">
        <w:rPr>
          <w:szCs w:val="24"/>
        </w:rPr>
        <w:t>,</w:t>
      </w:r>
      <w:r w:rsidRPr="00163AF0" w:rsidR="00935D4C">
        <w:rPr>
          <w:szCs w:val="24"/>
        </w:rPr>
        <w:t xml:space="preserve"> she would be well versed in what records she kept in order to assure the FirstEnergy </w:t>
      </w:r>
      <w:r w:rsidRPr="00163AF0" w:rsidR="006F053B">
        <w:rPr>
          <w:szCs w:val="24"/>
        </w:rPr>
        <w:t xml:space="preserve">Ohio </w:t>
      </w:r>
      <w:r w:rsidRPr="00163AF0" w:rsidR="00935D4C">
        <w:rPr>
          <w:szCs w:val="24"/>
        </w:rPr>
        <w:t>Utilities were complying with the PUCO rules and orders on corporate separation.</w:t>
      </w:r>
    </w:p>
    <w:p w:rsidR="009D211E" w:rsidRPr="00163AF0" w:rsidP="005D2D59" w14:paraId="4A3297F3" w14:textId="33A67F76">
      <w:pPr>
        <w:spacing w:line="480" w:lineRule="auto"/>
        <w:ind w:firstLine="720"/>
        <w:rPr>
          <w:szCs w:val="24"/>
        </w:rPr>
      </w:pPr>
      <w:r w:rsidRPr="00163AF0">
        <w:rPr>
          <w:szCs w:val="24"/>
        </w:rPr>
        <w:t xml:space="preserve">Lastly, </w:t>
      </w:r>
      <w:r w:rsidRPr="00163AF0" w:rsidR="006640C7">
        <w:rPr>
          <w:szCs w:val="24"/>
        </w:rPr>
        <w:t xml:space="preserve">the PUCO should not accept Ms. Yeboah’s claim that </w:t>
      </w:r>
      <w:r w:rsidRPr="00163AF0" w:rsidR="006120B6">
        <w:rPr>
          <w:szCs w:val="24"/>
        </w:rPr>
        <w:t>she would be unable to provide non-speculative testimony without access to documents to refresh her memory.</w:t>
      </w:r>
      <w:r>
        <w:rPr>
          <w:rStyle w:val="FootnoteReference"/>
          <w:szCs w:val="24"/>
        </w:rPr>
        <w:footnoteReference w:id="27"/>
      </w:r>
      <w:r w:rsidR="00163AF0">
        <w:rPr>
          <w:szCs w:val="24"/>
        </w:rPr>
        <w:t xml:space="preserve"> </w:t>
      </w:r>
      <w:r w:rsidRPr="00163AF0">
        <w:rPr>
          <w:szCs w:val="24"/>
        </w:rPr>
        <w:t xml:space="preserve">Ms. Yeboah-Amankwah’s deposition will be conducted </w:t>
      </w:r>
      <w:r w:rsidRPr="00163AF0" w:rsidR="006120B6">
        <w:rPr>
          <w:szCs w:val="24"/>
        </w:rPr>
        <w:t xml:space="preserve">consistent with the PUCO discovery rules. </w:t>
      </w:r>
      <w:r w:rsidRPr="00163AF0">
        <w:rPr>
          <w:szCs w:val="24"/>
        </w:rPr>
        <w:t xml:space="preserve">If she is </w:t>
      </w:r>
      <w:r w:rsidRPr="00163AF0" w:rsidR="006120B6">
        <w:rPr>
          <w:szCs w:val="24"/>
        </w:rPr>
        <w:t>questioned on matters she cannot recall, and it is necessary to refresh her recollection, it is a matter to be handled at the deposition.</w:t>
      </w:r>
      <w:r w:rsidR="00163AF0">
        <w:rPr>
          <w:szCs w:val="24"/>
        </w:rPr>
        <w:t xml:space="preserve"> </w:t>
      </w:r>
      <w:r w:rsidRPr="00163AF0">
        <w:rPr>
          <w:szCs w:val="24"/>
        </w:rPr>
        <w:t>This happens all the time at depositions.</w:t>
      </w:r>
      <w:r w:rsidRPr="00163AF0" w:rsidR="0048026A">
        <w:rPr>
          <w:szCs w:val="24"/>
        </w:rPr>
        <w:t xml:space="preserve"> </w:t>
      </w:r>
      <w:r w:rsidRPr="00163AF0" w:rsidR="0000683D">
        <w:rPr>
          <w:szCs w:val="24"/>
        </w:rPr>
        <w:t xml:space="preserve">The prospect that Ms. Yeboah-Amankwah may have to refresh her recollection about a document is no </w:t>
      </w:r>
      <w:r w:rsidRPr="00163AF0">
        <w:rPr>
          <w:szCs w:val="24"/>
        </w:rPr>
        <w:t xml:space="preserve">reason to quash </w:t>
      </w:r>
      <w:r w:rsidRPr="00163AF0" w:rsidR="0000683D">
        <w:rPr>
          <w:szCs w:val="24"/>
        </w:rPr>
        <w:t>the</w:t>
      </w:r>
      <w:r w:rsidRPr="00163AF0">
        <w:rPr>
          <w:szCs w:val="24"/>
        </w:rPr>
        <w:t xml:space="preserve"> subpoena.</w:t>
      </w:r>
      <w:r w:rsidRPr="00163AF0" w:rsidR="0048026A">
        <w:rPr>
          <w:szCs w:val="24"/>
        </w:rPr>
        <w:t xml:space="preserve"> </w:t>
      </w:r>
      <w:r w:rsidRPr="00163AF0" w:rsidR="00935D4C">
        <w:rPr>
          <w:szCs w:val="24"/>
        </w:rPr>
        <w:t xml:space="preserve">Nor should </w:t>
      </w:r>
      <w:r w:rsidRPr="00163AF0" w:rsidR="00BC2672">
        <w:rPr>
          <w:szCs w:val="24"/>
        </w:rPr>
        <w:t>the fact that Ms. Yeboah acted as General Counsel and Deputy General Counsel during the applicable time create a reason to quash the subpoena.</w:t>
      </w:r>
      <w:r>
        <w:rPr>
          <w:rStyle w:val="FootnoteReference"/>
          <w:szCs w:val="24"/>
        </w:rPr>
        <w:footnoteReference w:id="28"/>
      </w:r>
      <w:r w:rsidR="00163AF0">
        <w:rPr>
          <w:szCs w:val="24"/>
        </w:rPr>
        <w:t xml:space="preserve"> </w:t>
      </w:r>
      <w:r w:rsidRPr="00163AF0" w:rsidR="00BC2672">
        <w:rPr>
          <w:szCs w:val="24"/>
        </w:rPr>
        <w:t>Any “complicated privilege issues” can be handled during the deposition, as well.</w:t>
      </w:r>
      <w:r w:rsidR="00163AF0">
        <w:rPr>
          <w:szCs w:val="24"/>
        </w:rPr>
        <w:t xml:space="preserve"> </w:t>
      </w:r>
    </w:p>
    <w:p w:rsidR="002D1E7B" w:rsidRPr="00163AF0" w:rsidP="005D2D59" w14:paraId="3399B8A5" w14:textId="2A573969">
      <w:pPr>
        <w:spacing w:line="480" w:lineRule="auto"/>
        <w:ind w:firstLine="720"/>
        <w:rPr>
          <w:szCs w:val="24"/>
        </w:rPr>
      </w:pPr>
      <w:r w:rsidRPr="00163AF0">
        <w:rPr>
          <w:szCs w:val="24"/>
        </w:rPr>
        <w:t>The Motion to Quash should be denied.</w:t>
      </w:r>
    </w:p>
    <w:p w:rsidR="00766D5C" w:rsidRPr="00163AF0" w:rsidP="005D2D59" w14:paraId="0D19C1BC" w14:textId="5A629DF4">
      <w:pPr>
        <w:pStyle w:val="Heading2"/>
        <w:rPr>
          <w:rFonts w:ascii="Times New Roman" w:hAnsi="Times New Roman" w:cs="Times New Roman"/>
          <w:bCs w:val="0"/>
        </w:rPr>
      </w:pPr>
      <w:bookmarkStart w:id="5" w:name="_Toc98860591"/>
      <w:r w:rsidRPr="00163AF0">
        <w:rPr>
          <w:rFonts w:ascii="Times New Roman" w:hAnsi="Times New Roman" w:cs="Times New Roman"/>
          <w:bCs w:val="0"/>
        </w:rPr>
        <w:t>Contrary to Ms. Yeboah-Amankwah’s assertion, OCC’s subpoena is not untimely.</w:t>
      </w:r>
      <w:r w:rsidR="00163AF0">
        <w:rPr>
          <w:rFonts w:ascii="Times New Roman" w:hAnsi="Times New Roman" w:cs="Times New Roman"/>
          <w:bCs w:val="0"/>
        </w:rPr>
        <w:t xml:space="preserve"> </w:t>
      </w:r>
      <w:r w:rsidRPr="00163AF0">
        <w:rPr>
          <w:rFonts w:ascii="Times New Roman" w:hAnsi="Times New Roman" w:cs="Times New Roman"/>
          <w:bCs w:val="0"/>
        </w:rPr>
        <w:t>OCC</w:t>
      </w:r>
      <w:r w:rsidRPr="00163AF0" w:rsidR="000B5DEF">
        <w:rPr>
          <w:rFonts w:ascii="Times New Roman" w:hAnsi="Times New Roman" w:cs="Times New Roman"/>
          <w:bCs w:val="0"/>
        </w:rPr>
        <w:t>’s</w:t>
      </w:r>
      <w:r w:rsidRPr="00163AF0">
        <w:rPr>
          <w:rFonts w:ascii="Times New Roman" w:hAnsi="Times New Roman" w:cs="Times New Roman"/>
          <w:bCs w:val="0"/>
        </w:rPr>
        <w:t xml:space="preserve"> subpoena is in consumers’ interest and does not violate the procedural schedule in this case.</w:t>
      </w:r>
      <w:bookmarkEnd w:id="5"/>
    </w:p>
    <w:p w:rsidR="00766D5C" w:rsidRPr="00163AF0" w:rsidP="005D2D59" w14:paraId="563133BF" w14:textId="293ED94B">
      <w:pPr>
        <w:spacing w:line="480" w:lineRule="auto"/>
        <w:ind w:firstLine="720"/>
        <w:rPr>
          <w:szCs w:val="24"/>
        </w:rPr>
      </w:pPr>
      <w:r w:rsidRPr="00163AF0">
        <w:rPr>
          <w:szCs w:val="24"/>
        </w:rPr>
        <w:t xml:space="preserve">Ms. Yeboah-Amankwah </w:t>
      </w:r>
      <w:r w:rsidRPr="00163AF0">
        <w:rPr>
          <w:szCs w:val="24"/>
        </w:rPr>
        <w:t>asserts that the subpoena signed by the Attorney Examiner is “procedurally improper” because discovery is closed.</w:t>
      </w:r>
      <w:r>
        <w:rPr>
          <w:rStyle w:val="FootnoteReference"/>
          <w:szCs w:val="24"/>
        </w:rPr>
        <w:footnoteReference w:id="29"/>
      </w:r>
      <w:r w:rsidRPr="00163AF0" w:rsidR="005D2D59">
        <w:rPr>
          <w:szCs w:val="24"/>
        </w:rPr>
        <w:t xml:space="preserve"> </w:t>
      </w:r>
      <w:r w:rsidRPr="00163AF0" w:rsidR="00A62DE2">
        <w:rPr>
          <w:szCs w:val="24"/>
        </w:rPr>
        <w:t xml:space="preserve">Ms. Yeboah-Amankwah’s </w:t>
      </w:r>
      <w:r w:rsidRPr="00163AF0">
        <w:rPr>
          <w:szCs w:val="24"/>
        </w:rPr>
        <w:t>effort to prevent OCC’s fact-finding is, once again, wrong</w:t>
      </w:r>
      <w:r w:rsidRPr="00163AF0" w:rsidR="00C241DA">
        <w:rPr>
          <w:szCs w:val="24"/>
        </w:rPr>
        <w:t xml:space="preserve"> and contrary to the PUCO’s discovery rules</w:t>
      </w:r>
      <w:r w:rsidRPr="00163AF0">
        <w:rPr>
          <w:szCs w:val="24"/>
        </w:rPr>
        <w:t>.</w:t>
      </w:r>
      <w:r w:rsidRPr="00163AF0" w:rsidR="005C0613">
        <w:rPr>
          <w:rStyle w:val="CommentReference"/>
          <w:sz w:val="24"/>
          <w:szCs w:val="24"/>
        </w:rPr>
        <w:t xml:space="preserve"> </w:t>
      </w:r>
    </w:p>
    <w:p w:rsidR="00D750F4" w:rsidRPr="00163AF0" w:rsidP="005D2D59" w14:paraId="1C10E947" w14:textId="2DD12F0F">
      <w:pPr>
        <w:spacing w:line="480" w:lineRule="auto"/>
        <w:ind w:firstLine="720"/>
        <w:rPr>
          <w:szCs w:val="24"/>
        </w:rPr>
      </w:pPr>
      <w:r w:rsidRPr="00163AF0">
        <w:rPr>
          <w:szCs w:val="24"/>
        </w:rPr>
        <w:t xml:space="preserve">The PUCO rules only require that discovery be completed </w:t>
      </w:r>
      <w:r w:rsidRPr="00163AF0" w:rsidR="002277B6">
        <w:rPr>
          <w:szCs w:val="24"/>
        </w:rPr>
        <w:t>before</w:t>
      </w:r>
      <w:r w:rsidRPr="00163AF0">
        <w:rPr>
          <w:szCs w:val="24"/>
        </w:rPr>
        <w:t xml:space="preserve"> the commencement of a hearing.</w:t>
      </w:r>
      <w:r w:rsidRPr="00163AF0" w:rsidR="0048026A">
        <w:rPr>
          <w:szCs w:val="24"/>
        </w:rPr>
        <w:t xml:space="preserve"> </w:t>
      </w:r>
      <w:r w:rsidRPr="00163AF0">
        <w:rPr>
          <w:szCs w:val="24"/>
        </w:rPr>
        <w:t>O.A.C. 4901-1-17(A).</w:t>
      </w:r>
      <w:r w:rsidRPr="00163AF0" w:rsidR="0048026A">
        <w:rPr>
          <w:szCs w:val="24"/>
        </w:rPr>
        <w:t xml:space="preserve"> </w:t>
      </w:r>
      <w:r w:rsidRPr="00163AF0" w:rsidR="00A62DE2">
        <w:rPr>
          <w:szCs w:val="24"/>
        </w:rPr>
        <w:t>Discovery</w:t>
      </w:r>
      <w:r w:rsidRPr="00163AF0">
        <w:rPr>
          <w:szCs w:val="24"/>
        </w:rPr>
        <w:t xml:space="preserve"> under the subpoena </w:t>
      </w:r>
      <w:r w:rsidRPr="00163AF0" w:rsidR="006E10AC">
        <w:rPr>
          <w:szCs w:val="24"/>
        </w:rPr>
        <w:t xml:space="preserve">is intended to </w:t>
      </w:r>
      <w:r w:rsidRPr="00163AF0">
        <w:rPr>
          <w:szCs w:val="24"/>
        </w:rPr>
        <w:t xml:space="preserve">be completed </w:t>
      </w:r>
      <w:r w:rsidRPr="00163AF0" w:rsidR="002277B6">
        <w:rPr>
          <w:szCs w:val="24"/>
        </w:rPr>
        <w:t>before</w:t>
      </w:r>
      <w:r w:rsidRPr="00163AF0">
        <w:rPr>
          <w:szCs w:val="24"/>
        </w:rPr>
        <w:t xml:space="preserve"> the hearing in this case, which is currently scheduled for May</w:t>
      </w:r>
      <w:r w:rsidRPr="00163AF0" w:rsidR="00C12B07">
        <w:rPr>
          <w:szCs w:val="24"/>
        </w:rPr>
        <w:t xml:space="preserve"> 9, 2022.</w:t>
      </w:r>
    </w:p>
    <w:p w:rsidR="00B84CBD" w:rsidRPr="00163AF0" w:rsidP="005D2D59" w14:paraId="2139B497" w14:textId="30780C1D">
      <w:pPr>
        <w:spacing w:line="480" w:lineRule="auto"/>
        <w:ind w:firstLine="720"/>
        <w:rPr>
          <w:szCs w:val="24"/>
        </w:rPr>
      </w:pPr>
      <w:r w:rsidRPr="00163AF0">
        <w:rPr>
          <w:szCs w:val="24"/>
        </w:rPr>
        <w:t>Ms. Yeboah-Amankwah</w:t>
      </w:r>
      <w:r w:rsidRPr="00163AF0" w:rsidR="00D750F4">
        <w:rPr>
          <w:szCs w:val="24"/>
        </w:rPr>
        <w:t xml:space="preserve">, however, relies on </w:t>
      </w:r>
      <w:r w:rsidRPr="00163AF0">
        <w:rPr>
          <w:szCs w:val="24"/>
        </w:rPr>
        <w:t>an Entry</w:t>
      </w:r>
      <w:r w:rsidRPr="00163AF0" w:rsidR="00D750F4">
        <w:rPr>
          <w:szCs w:val="24"/>
        </w:rPr>
        <w:t xml:space="preserve"> of the PUCO issued many months ago,</w:t>
      </w:r>
      <w:r>
        <w:rPr>
          <w:rStyle w:val="FootnoteReference"/>
          <w:szCs w:val="24"/>
        </w:rPr>
        <w:footnoteReference w:id="30"/>
      </w:r>
      <w:r w:rsidRPr="00163AF0" w:rsidR="00D750F4">
        <w:rPr>
          <w:szCs w:val="24"/>
        </w:rPr>
        <w:t xml:space="preserve"> </w:t>
      </w:r>
      <w:r w:rsidRPr="00163AF0">
        <w:rPr>
          <w:szCs w:val="24"/>
        </w:rPr>
        <w:t>before the</w:t>
      </w:r>
      <w:r w:rsidRPr="00163AF0">
        <w:rPr>
          <w:szCs w:val="24"/>
        </w:rPr>
        <w:t xml:space="preserve"> current </w:t>
      </w:r>
      <w:r w:rsidRPr="00163AF0">
        <w:rPr>
          <w:szCs w:val="24"/>
        </w:rPr>
        <w:t>hearing date was rescheduled.</w:t>
      </w:r>
      <w:r w:rsidRPr="00163AF0" w:rsidR="0048026A">
        <w:rPr>
          <w:szCs w:val="24"/>
        </w:rPr>
        <w:t xml:space="preserve"> </w:t>
      </w:r>
      <w:r w:rsidRPr="00163AF0">
        <w:rPr>
          <w:szCs w:val="24"/>
        </w:rPr>
        <w:t>At the time of th</w:t>
      </w:r>
      <w:r w:rsidRPr="00163AF0">
        <w:rPr>
          <w:szCs w:val="24"/>
        </w:rPr>
        <w:t>e Entry</w:t>
      </w:r>
      <w:r w:rsidRPr="00163AF0">
        <w:rPr>
          <w:szCs w:val="24"/>
        </w:rPr>
        <w:t>, the discovery cut off was established consistent with O.A.C. 4901-1-17(A).</w:t>
      </w:r>
      <w:r w:rsidRPr="00163AF0" w:rsidR="0048026A">
        <w:rPr>
          <w:szCs w:val="24"/>
        </w:rPr>
        <w:t xml:space="preserve"> </w:t>
      </w:r>
      <w:r w:rsidRPr="00163AF0">
        <w:rPr>
          <w:szCs w:val="24"/>
        </w:rPr>
        <w:t>Discovery was to be completed before the hearing was to take place.</w:t>
      </w:r>
      <w:r w:rsidRPr="00163AF0" w:rsidR="0048026A">
        <w:rPr>
          <w:szCs w:val="24"/>
        </w:rPr>
        <w:t xml:space="preserve"> </w:t>
      </w:r>
      <w:r w:rsidRPr="00163AF0">
        <w:rPr>
          <w:szCs w:val="24"/>
        </w:rPr>
        <w:t>Unfortunately, in the last PUCO Entry,</w:t>
      </w:r>
      <w:r>
        <w:rPr>
          <w:rStyle w:val="FootnoteReference"/>
          <w:szCs w:val="24"/>
        </w:rPr>
        <w:footnoteReference w:id="31"/>
      </w:r>
      <w:r w:rsidRPr="00163AF0">
        <w:rPr>
          <w:szCs w:val="24"/>
        </w:rPr>
        <w:t xml:space="preserve"> which set the new hearing date</w:t>
      </w:r>
      <w:r w:rsidRPr="00163AF0" w:rsidR="00DD6FC3">
        <w:rPr>
          <w:szCs w:val="24"/>
        </w:rPr>
        <w:t xml:space="preserve"> of May 9, 2022</w:t>
      </w:r>
      <w:r w:rsidRPr="00163AF0" w:rsidR="0000683D">
        <w:rPr>
          <w:szCs w:val="24"/>
        </w:rPr>
        <w:t xml:space="preserve">, </w:t>
      </w:r>
      <w:r w:rsidRPr="00163AF0">
        <w:rPr>
          <w:szCs w:val="24"/>
        </w:rPr>
        <w:t>the PUCO failed to establish a new discovery cut-off. We believe this to be an inadvertent omission by the PUCO.</w:t>
      </w:r>
    </w:p>
    <w:p w:rsidR="006D3E66" w:rsidRPr="00163AF0" w:rsidP="005D2D59" w14:paraId="0BC301C2" w14:textId="3748570B">
      <w:pPr>
        <w:spacing w:line="480" w:lineRule="auto"/>
        <w:ind w:firstLine="720"/>
        <w:rPr>
          <w:szCs w:val="24"/>
        </w:rPr>
      </w:pPr>
      <w:r w:rsidRPr="00163AF0">
        <w:rPr>
          <w:i/>
          <w:iCs/>
          <w:szCs w:val="24"/>
        </w:rPr>
        <w:t>Most significantly</w:t>
      </w:r>
      <w:r w:rsidRPr="00163AF0" w:rsidR="00B84CBD">
        <w:rPr>
          <w:i/>
          <w:iCs/>
          <w:szCs w:val="24"/>
        </w:rPr>
        <w:t xml:space="preserve">, </w:t>
      </w:r>
      <w:r w:rsidRPr="00163AF0" w:rsidR="00A62DE2">
        <w:rPr>
          <w:i/>
          <w:iCs/>
          <w:szCs w:val="24"/>
        </w:rPr>
        <w:t xml:space="preserve">Ms. Yeboah-Amankwah </w:t>
      </w:r>
      <w:r w:rsidRPr="00163AF0" w:rsidR="00B84CBD">
        <w:rPr>
          <w:i/>
          <w:iCs/>
          <w:szCs w:val="24"/>
        </w:rPr>
        <w:t>f</w:t>
      </w:r>
      <w:r w:rsidRPr="00163AF0" w:rsidR="004A188B">
        <w:rPr>
          <w:i/>
          <w:iCs/>
          <w:szCs w:val="24"/>
        </w:rPr>
        <w:t>a</w:t>
      </w:r>
      <w:r w:rsidRPr="00163AF0" w:rsidR="00B84CBD">
        <w:rPr>
          <w:i/>
          <w:iCs/>
          <w:szCs w:val="24"/>
        </w:rPr>
        <w:t xml:space="preserve">ils to recognize that even in the </w:t>
      </w:r>
      <w:r w:rsidRPr="00163AF0" w:rsidR="00A62DE2">
        <w:rPr>
          <w:i/>
          <w:iCs/>
          <w:szCs w:val="24"/>
        </w:rPr>
        <w:t>Entry that</w:t>
      </w:r>
      <w:r w:rsidRPr="00163AF0" w:rsidR="00B84CBD">
        <w:rPr>
          <w:i/>
          <w:iCs/>
          <w:szCs w:val="24"/>
        </w:rPr>
        <w:t xml:space="preserve"> set a discovery cut-off, the </w:t>
      </w:r>
      <w:r w:rsidRPr="00163AF0" w:rsidR="004A188B">
        <w:rPr>
          <w:i/>
          <w:iCs/>
          <w:szCs w:val="24"/>
        </w:rPr>
        <w:t xml:space="preserve">Attorney Examiner </w:t>
      </w:r>
      <w:r w:rsidRPr="00163AF0" w:rsidR="00B84CBD">
        <w:rPr>
          <w:i/>
          <w:iCs/>
          <w:szCs w:val="24"/>
        </w:rPr>
        <w:t>allowed parties to conduct depositions.</w:t>
      </w:r>
      <w:r>
        <w:rPr>
          <w:rStyle w:val="FootnoteReference"/>
          <w:szCs w:val="24"/>
        </w:rPr>
        <w:footnoteReference w:id="32"/>
      </w:r>
      <w:r w:rsidRPr="00163AF0" w:rsidR="006642A5">
        <w:rPr>
          <w:szCs w:val="24"/>
        </w:rPr>
        <w:t xml:space="preserve"> </w:t>
      </w:r>
      <w:r w:rsidRPr="00163AF0" w:rsidR="00957115">
        <w:rPr>
          <w:szCs w:val="24"/>
        </w:rPr>
        <w:t>Depositions of non-party deponents can be conducted</w:t>
      </w:r>
      <w:r w:rsidRPr="00163AF0" w:rsidR="006E10AC">
        <w:rPr>
          <w:szCs w:val="24"/>
        </w:rPr>
        <w:t xml:space="preserve">, with attendance compelled </w:t>
      </w:r>
      <w:r w:rsidRPr="00163AF0" w:rsidR="00957115">
        <w:rPr>
          <w:szCs w:val="24"/>
        </w:rPr>
        <w:t>through subpoenas.</w:t>
      </w:r>
      <w:r w:rsidRPr="00163AF0" w:rsidR="0048026A">
        <w:rPr>
          <w:szCs w:val="24"/>
        </w:rPr>
        <w:t xml:space="preserve"> </w:t>
      </w:r>
      <w:r w:rsidRPr="00163AF0" w:rsidR="00957115">
        <w:rPr>
          <w:szCs w:val="24"/>
        </w:rPr>
        <w:t>O.A.C. 4901-1-25(A) allows the PUCO (and those acting on its behalf) to issue a subpoena to compel a person to give testimony at a time and place specified and command such person to produce “books, papers, documents, or other tangible things.”</w:t>
      </w:r>
      <w:r w:rsidRPr="00163AF0" w:rsidR="0048026A">
        <w:rPr>
          <w:szCs w:val="24"/>
        </w:rPr>
        <w:t xml:space="preserve"> </w:t>
      </w:r>
      <w:r w:rsidRPr="00163AF0" w:rsidR="00F1441D">
        <w:rPr>
          <w:szCs w:val="24"/>
        </w:rPr>
        <w:t>O.A.C. 4901-1-25(D</w:t>
      </w:r>
      <w:r w:rsidRPr="00163AF0" w:rsidR="004A188B">
        <w:rPr>
          <w:szCs w:val="24"/>
        </w:rPr>
        <w:t>) allows</w:t>
      </w:r>
      <w:r w:rsidRPr="00163AF0" w:rsidR="00F1441D">
        <w:rPr>
          <w:szCs w:val="24"/>
        </w:rPr>
        <w:t xml:space="preserve"> parties to subpoena a person to attend and give testimony at a deposition, </w:t>
      </w:r>
      <w:r w:rsidRPr="00163AF0" w:rsidR="00F1441D">
        <w:rPr>
          <w:i/>
          <w:iCs/>
          <w:szCs w:val="24"/>
        </w:rPr>
        <w:t>an</w:t>
      </w:r>
      <w:r w:rsidRPr="00163AF0" w:rsidR="004A188B">
        <w:rPr>
          <w:i/>
          <w:iCs/>
          <w:szCs w:val="24"/>
        </w:rPr>
        <w:t xml:space="preserve">d “to produce designated books, papers, document, or other tangible things within the scope of discovery.” </w:t>
      </w:r>
      <w:r w:rsidRPr="00163AF0" w:rsidR="00C241DA">
        <w:rPr>
          <w:szCs w:val="24"/>
        </w:rPr>
        <w:t>That is just what OCC</w:t>
      </w:r>
      <w:r w:rsidRPr="00163AF0" w:rsidR="0082469B">
        <w:rPr>
          <w:szCs w:val="24"/>
        </w:rPr>
        <w:t xml:space="preserve"> </w:t>
      </w:r>
      <w:r w:rsidRPr="00163AF0" w:rsidR="00C241DA">
        <w:rPr>
          <w:szCs w:val="24"/>
        </w:rPr>
        <w:t xml:space="preserve">has done, consistent with the </w:t>
      </w:r>
      <w:r w:rsidRPr="00163AF0" w:rsidR="00A62DE2">
        <w:rPr>
          <w:szCs w:val="24"/>
        </w:rPr>
        <w:t>Entry</w:t>
      </w:r>
      <w:r w:rsidRPr="00163AF0" w:rsidR="00C241DA">
        <w:rPr>
          <w:szCs w:val="24"/>
        </w:rPr>
        <w:t xml:space="preserve"> allowing depositions to go forward, despite a discovery cut-off. </w:t>
      </w:r>
    </w:p>
    <w:p w:rsidR="0082469B" w:rsidRPr="00163AF0" w:rsidP="0082469B" w14:paraId="11508198" w14:textId="4713520E">
      <w:pPr>
        <w:spacing w:line="480" w:lineRule="auto"/>
        <w:ind w:firstLine="720"/>
        <w:rPr>
          <w:szCs w:val="24"/>
        </w:rPr>
      </w:pPr>
      <w:r w:rsidRPr="00163AF0">
        <w:rPr>
          <w:szCs w:val="24"/>
        </w:rPr>
        <w:t>The Attorney Examiner did not rule tha</w:t>
      </w:r>
      <w:r w:rsidRPr="00163AF0">
        <w:rPr>
          <w:szCs w:val="24"/>
        </w:rPr>
        <w:t xml:space="preserve">t parties could not exercise their right to ask for documents to be produced at depositions. </w:t>
      </w:r>
      <w:r w:rsidRPr="00163AF0" w:rsidR="006642A5">
        <w:rPr>
          <w:szCs w:val="24"/>
        </w:rPr>
        <w:t>Th</w:t>
      </w:r>
      <w:r w:rsidRPr="00163AF0">
        <w:rPr>
          <w:szCs w:val="24"/>
        </w:rPr>
        <w:t xml:space="preserve">e Attorney Examiner in fact </w:t>
      </w:r>
      <w:r w:rsidRPr="00163AF0" w:rsidR="006642A5">
        <w:rPr>
          <w:szCs w:val="24"/>
        </w:rPr>
        <w:t>signed OCC’s subpoena</w:t>
      </w:r>
      <w:r w:rsidRPr="00163AF0" w:rsidR="006D3E66">
        <w:rPr>
          <w:szCs w:val="24"/>
        </w:rPr>
        <w:t xml:space="preserve"> duces tecum</w:t>
      </w:r>
      <w:r w:rsidRPr="00163AF0" w:rsidR="006642A5">
        <w:rPr>
          <w:szCs w:val="24"/>
        </w:rPr>
        <w:t>.</w:t>
      </w:r>
      <w:r w:rsidRPr="00163AF0" w:rsidR="0048026A">
        <w:rPr>
          <w:szCs w:val="24"/>
        </w:rPr>
        <w:t xml:space="preserve"> </w:t>
      </w:r>
      <w:r w:rsidRPr="00163AF0">
        <w:rPr>
          <w:szCs w:val="24"/>
        </w:rPr>
        <w:t>(</w:t>
      </w:r>
      <w:r w:rsidRPr="00163AF0" w:rsidR="006642A5">
        <w:rPr>
          <w:szCs w:val="24"/>
        </w:rPr>
        <w:t>Unfortunately for consumers, OCC does not have subpoena power (the General Assembly should change that).</w:t>
      </w:r>
      <w:r w:rsidRPr="00163AF0" w:rsidR="005D2D59">
        <w:rPr>
          <w:szCs w:val="24"/>
        </w:rPr>
        <w:t xml:space="preserve"> </w:t>
      </w:r>
      <w:r w:rsidRPr="00163AF0" w:rsidR="006642A5">
        <w:rPr>
          <w:szCs w:val="24"/>
        </w:rPr>
        <w:t>It must first get PUCO-ok to issue a subpoena.</w:t>
      </w:r>
      <w:r w:rsidRPr="00163AF0" w:rsidR="005D2D59">
        <w:rPr>
          <w:szCs w:val="24"/>
        </w:rPr>
        <w:t xml:space="preserve"> </w:t>
      </w:r>
    </w:p>
    <w:p w:rsidR="0082469B" w:rsidRPr="00163AF0" w:rsidP="0082469B" w14:paraId="016B1B69" w14:textId="2407A96A">
      <w:pPr>
        <w:spacing w:line="480" w:lineRule="auto"/>
        <w:ind w:firstLine="720"/>
        <w:rPr>
          <w:szCs w:val="24"/>
        </w:rPr>
      </w:pPr>
      <w:r w:rsidRPr="00163AF0">
        <w:rPr>
          <w:szCs w:val="24"/>
        </w:rPr>
        <w:t>An Atto</w:t>
      </w:r>
      <w:r w:rsidRPr="00163AF0">
        <w:rPr>
          <w:szCs w:val="24"/>
        </w:rPr>
        <w:t xml:space="preserve">rney </w:t>
      </w:r>
      <w:r w:rsidRPr="00163AF0">
        <w:rPr>
          <w:szCs w:val="24"/>
        </w:rPr>
        <w:t xml:space="preserve">Examiner, on his or her own, may quash </w:t>
      </w:r>
      <w:r w:rsidRPr="00163AF0" w:rsidR="002277B6">
        <w:rPr>
          <w:szCs w:val="24"/>
        </w:rPr>
        <w:t>a</w:t>
      </w:r>
      <w:r w:rsidRPr="00163AF0">
        <w:rPr>
          <w:szCs w:val="24"/>
        </w:rPr>
        <w:t xml:space="preserve"> subpoena.</w:t>
      </w:r>
      <w:r>
        <w:rPr>
          <w:rStyle w:val="FootnoteReference"/>
          <w:szCs w:val="24"/>
        </w:rPr>
        <w:footnoteReference w:id="33"/>
      </w:r>
      <w:r w:rsidRPr="00163AF0" w:rsidR="005D2D59">
        <w:rPr>
          <w:szCs w:val="24"/>
        </w:rPr>
        <w:t xml:space="preserve"> </w:t>
      </w:r>
      <w:r w:rsidRPr="00163AF0">
        <w:rPr>
          <w:szCs w:val="24"/>
        </w:rPr>
        <w:t>He did not do so</w:t>
      </w:r>
      <w:r w:rsidRPr="00163AF0" w:rsidR="006E10AC">
        <w:rPr>
          <w:szCs w:val="24"/>
        </w:rPr>
        <w:t xml:space="preserve"> here.</w:t>
      </w:r>
      <w:r w:rsidRPr="00163AF0">
        <w:rPr>
          <w:szCs w:val="24"/>
        </w:rPr>
        <w:t xml:space="preserve"> </w:t>
      </w:r>
    </w:p>
    <w:p w:rsidR="005C0613" w:rsidRPr="00163AF0" w:rsidP="00A62DE2" w14:paraId="3440EB41" w14:textId="77777777">
      <w:pPr>
        <w:spacing w:line="480" w:lineRule="auto"/>
        <w:ind w:firstLine="720"/>
        <w:rPr>
          <w:szCs w:val="24"/>
        </w:rPr>
      </w:pPr>
      <w:r w:rsidRPr="00163AF0">
        <w:rPr>
          <w:szCs w:val="24"/>
        </w:rPr>
        <w:t>Ms. Yeboah-Amankwah</w:t>
      </w:r>
      <w:r w:rsidRPr="00163AF0" w:rsidR="006E10AC">
        <w:rPr>
          <w:szCs w:val="24"/>
        </w:rPr>
        <w:t xml:space="preserve"> cites to several proceedings where the PUCO granted motions to quash.</w:t>
      </w:r>
      <w:r>
        <w:rPr>
          <w:rStyle w:val="FootnoteReference"/>
          <w:szCs w:val="24"/>
        </w:rPr>
        <w:footnoteReference w:id="34"/>
      </w:r>
      <w:r w:rsidRPr="00163AF0" w:rsidR="0048026A">
        <w:rPr>
          <w:szCs w:val="24"/>
        </w:rPr>
        <w:t xml:space="preserve"> </w:t>
      </w:r>
      <w:r w:rsidRPr="00163AF0" w:rsidR="006E10AC">
        <w:rPr>
          <w:szCs w:val="24"/>
        </w:rPr>
        <w:t xml:space="preserve">Those cases, however, did not involve the </w:t>
      </w:r>
      <w:r w:rsidRPr="00163AF0" w:rsidR="00624790">
        <w:rPr>
          <w:szCs w:val="24"/>
        </w:rPr>
        <w:t>truly unique circumstances that surround the PUCO’s FirstEnergy investigation cases concerning FirstEnergy’s H.B. 6 activities</w:t>
      </w:r>
      <w:r w:rsidRPr="00163AF0" w:rsidR="00480443">
        <w:rPr>
          <w:szCs w:val="24"/>
        </w:rPr>
        <w:t>.</w:t>
      </w:r>
      <w:r w:rsidRPr="00163AF0" w:rsidR="0048026A">
        <w:rPr>
          <w:szCs w:val="24"/>
        </w:rPr>
        <w:t xml:space="preserve"> </w:t>
      </w:r>
      <w:r w:rsidRPr="00163AF0" w:rsidR="00480443">
        <w:rPr>
          <w:szCs w:val="24"/>
        </w:rPr>
        <w:t>These cases</w:t>
      </w:r>
      <w:r w:rsidRPr="00163AF0" w:rsidR="0048026A">
        <w:rPr>
          <w:szCs w:val="24"/>
        </w:rPr>
        <w:t xml:space="preserve"> </w:t>
      </w:r>
      <w:r w:rsidRPr="00163AF0" w:rsidR="00624790">
        <w:rPr>
          <w:szCs w:val="24"/>
        </w:rPr>
        <w:t xml:space="preserve">stem from </w:t>
      </w:r>
      <w:r w:rsidRPr="00163AF0" w:rsidR="00480443">
        <w:rPr>
          <w:szCs w:val="24"/>
        </w:rPr>
        <w:t xml:space="preserve">what has been described as </w:t>
      </w:r>
      <w:r w:rsidRPr="00163AF0" w:rsidR="00624790">
        <w:rPr>
          <w:szCs w:val="24"/>
        </w:rPr>
        <w:t>“likely the largest bribery, money laundering scheme ever perpetrated against the people of the state of Ohio.”</w:t>
      </w:r>
      <w:r w:rsidRPr="00163AF0" w:rsidR="0048026A">
        <w:rPr>
          <w:szCs w:val="24"/>
        </w:rPr>
        <w:t xml:space="preserve"> </w:t>
      </w:r>
      <w:r w:rsidRPr="00163AF0" w:rsidR="00624790">
        <w:rPr>
          <w:szCs w:val="24"/>
        </w:rPr>
        <w:t>FirstEnergy Corp.</w:t>
      </w:r>
      <w:r w:rsidRPr="00163AF0">
        <w:rPr>
          <w:szCs w:val="24"/>
        </w:rPr>
        <w:t xml:space="preserve"> </w:t>
      </w:r>
      <w:r w:rsidRPr="00163AF0" w:rsidR="00624790">
        <w:rPr>
          <w:szCs w:val="24"/>
        </w:rPr>
        <w:t>stands charged with a federal crime—a crime which it has admitted.</w:t>
      </w:r>
      <w:r>
        <w:rPr>
          <w:rStyle w:val="FootnoteReference"/>
          <w:szCs w:val="24"/>
        </w:rPr>
        <w:footnoteReference w:id="35"/>
      </w:r>
    </w:p>
    <w:p w:rsidR="006E10AC" w:rsidRPr="00163AF0" w:rsidP="00A62DE2" w14:paraId="2E404C43" w14:textId="348DB739">
      <w:pPr>
        <w:spacing w:line="480" w:lineRule="auto"/>
        <w:ind w:firstLine="720"/>
        <w:rPr>
          <w:szCs w:val="24"/>
        </w:rPr>
      </w:pPr>
      <w:r w:rsidRPr="00163AF0">
        <w:rPr>
          <w:bCs w:val="0"/>
          <w:szCs w:val="24"/>
        </w:rPr>
        <w:t>A variant of Ms. Yeboah-Amankwah’s “too late” argument is that OCC has been somehow dilatory in this case.</w:t>
      </w:r>
      <w:r>
        <w:rPr>
          <w:rStyle w:val="FootnoteReference"/>
          <w:bCs w:val="0"/>
          <w:szCs w:val="24"/>
        </w:rPr>
        <w:footnoteReference w:id="36"/>
      </w:r>
      <w:r w:rsidR="00163AF0">
        <w:rPr>
          <w:bCs w:val="0"/>
          <w:szCs w:val="24"/>
        </w:rPr>
        <w:t xml:space="preserve"> </w:t>
      </w:r>
      <w:r w:rsidRPr="00163AF0">
        <w:rPr>
          <w:bCs w:val="0"/>
          <w:szCs w:val="24"/>
        </w:rPr>
        <w:t>First, as explained in this section, OCC’s subpoena is compliant with PUCO rules and scheduling entries in this case.</w:t>
      </w:r>
      <w:r w:rsidR="00163AF0">
        <w:rPr>
          <w:bCs w:val="0"/>
          <w:szCs w:val="24"/>
        </w:rPr>
        <w:t xml:space="preserve"> </w:t>
      </w:r>
      <w:r w:rsidRPr="00163AF0">
        <w:rPr>
          <w:bCs w:val="0"/>
          <w:szCs w:val="24"/>
        </w:rPr>
        <w:t>But second, OCC has served voluminous discovery, obtained hundreds of thousands of pages of documents, filed numerous interlocutory appeals, motions for subpoena, and motions to compel in this case and in other FirstEnergy investigation cases in consumers’ interest and getting at the facts. Dilatory OCC is not.</w:t>
      </w:r>
      <w:r w:rsidR="00163AF0">
        <w:rPr>
          <w:bCs w:val="0"/>
          <w:szCs w:val="24"/>
        </w:rPr>
        <w:t xml:space="preserve"> </w:t>
      </w:r>
    </w:p>
    <w:p w:rsidR="00A62DE2" w:rsidRPr="00163AF0" w:rsidP="00A62DE2" w14:paraId="1A54A852" w14:textId="32F351C9">
      <w:pPr>
        <w:spacing w:line="480" w:lineRule="auto"/>
        <w:ind w:firstLine="720"/>
        <w:rPr>
          <w:szCs w:val="24"/>
        </w:rPr>
      </w:pPr>
      <w:r w:rsidRPr="00163AF0">
        <w:rPr>
          <w:szCs w:val="24"/>
        </w:rPr>
        <w:t>The Motion to Quash should be denied.</w:t>
      </w:r>
      <w:r w:rsidRPr="00163AF0">
        <w:rPr>
          <w:rStyle w:val="FootnoteReference"/>
          <w:szCs w:val="24"/>
        </w:rPr>
        <w:t xml:space="preserve"> </w:t>
      </w:r>
      <w:r>
        <w:rPr>
          <w:rStyle w:val="FootnoteReference"/>
          <w:szCs w:val="24"/>
        </w:rPr>
        <w:footnoteReference w:id="37"/>
      </w:r>
    </w:p>
    <w:p w:rsidR="0078176C" w:rsidRPr="00163AF0" w:rsidP="0078176C" w14:paraId="2B75E267" w14:textId="3CCA0D22">
      <w:pPr>
        <w:ind w:firstLine="720"/>
        <w:rPr>
          <w:szCs w:val="24"/>
        </w:rPr>
      </w:pPr>
    </w:p>
    <w:p w:rsidR="009869B7" w:rsidRPr="00163AF0" w:rsidP="00703740" w14:paraId="5B867648" w14:textId="55B35048">
      <w:pPr>
        <w:pStyle w:val="Heading1"/>
        <w:rPr>
          <w:rFonts w:ascii="Times New Roman" w:hAnsi="Times New Roman" w:cs="Times New Roman"/>
          <w:bCs w:val="0"/>
          <w:szCs w:val="24"/>
        </w:rPr>
      </w:pPr>
      <w:bookmarkStart w:id="6" w:name="_Toc98860592"/>
      <w:r w:rsidRPr="00163AF0">
        <w:rPr>
          <w:rFonts w:ascii="Times New Roman" w:hAnsi="Times New Roman" w:cs="Times New Roman"/>
          <w:bCs w:val="0"/>
          <w:szCs w:val="24"/>
        </w:rPr>
        <w:t>III.</w:t>
      </w:r>
      <w:r w:rsidRPr="00163AF0">
        <w:rPr>
          <w:rFonts w:ascii="Times New Roman" w:hAnsi="Times New Roman" w:cs="Times New Roman"/>
          <w:bCs w:val="0"/>
          <w:szCs w:val="24"/>
        </w:rPr>
        <w:tab/>
      </w:r>
      <w:r w:rsidRPr="00163AF0">
        <w:rPr>
          <w:rFonts w:ascii="Times New Roman" w:hAnsi="Times New Roman" w:cs="Times New Roman"/>
          <w:bCs w:val="0"/>
          <w:szCs w:val="24"/>
        </w:rPr>
        <w:t>Conclusion</w:t>
      </w:r>
      <w:bookmarkEnd w:id="6"/>
      <w:r w:rsidRPr="00163AF0" w:rsidR="006642A5">
        <w:rPr>
          <w:rFonts w:ascii="Times New Roman" w:hAnsi="Times New Roman" w:cs="Times New Roman"/>
          <w:bCs w:val="0"/>
          <w:szCs w:val="24"/>
        </w:rPr>
        <w:t xml:space="preserve"> </w:t>
      </w:r>
    </w:p>
    <w:p w:rsidR="00602351" w:rsidRPr="00163AF0" w:rsidP="005D2D59" w14:paraId="44EA4800" w14:textId="77777777">
      <w:pPr>
        <w:pStyle w:val="NormalWeb"/>
        <w:shd w:val="clear" w:color="auto" w:fill="FFFFFF"/>
        <w:spacing w:before="0" w:beforeAutospacing="0" w:after="0" w:afterAutospacing="0" w:line="480" w:lineRule="auto"/>
        <w:ind w:firstLine="720"/>
        <w:textAlignment w:val="baseline"/>
      </w:pPr>
      <w:r w:rsidRPr="00163AF0">
        <w:t>The PUCO’s Attorney Examiner signed OCC’s subpoena</w:t>
      </w:r>
      <w:r w:rsidRPr="00163AF0" w:rsidR="00C649BA">
        <w:t>, which is part of</w:t>
      </w:r>
      <w:r w:rsidRPr="00163AF0">
        <w:t xml:space="preserve"> giving Ohioans the benefit of a full investigation of FirstEnergy’s corporate separation plan, including issues involving the FirstEnergy scandals. The PUCO must consider whether the plan satisfies the public interest</w:t>
      </w:r>
      <w:r w:rsidRPr="00163AF0" w:rsidR="00C649BA">
        <w:t>. And the PUCO must consider whether the plan</w:t>
      </w:r>
      <w:r w:rsidRPr="00163AF0">
        <w:t xml:space="preserve"> is sufficient to ensure the FirstEnergy Ohio Utilities do not extend undue preference or advantage to FirstEnergy affiliates, to the detriment of Ohio consumers. </w:t>
      </w:r>
    </w:p>
    <w:p w:rsidR="006C37E3" w:rsidRPr="00163AF0" w:rsidP="005D2D59" w14:paraId="5FE02960" w14:textId="4D930059">
      <w:pPr>
        <w:pStyle w:val="NormalWeb"/>
        <w:shd w:val="clear" w:color="auto" w:fill="FFFFFF"/>
        <w:spacing w:before="0" w:beforeAutospacing="0" w:after="0" w:afterAutospacing="0" w:line="480" w:lineRule="auto"/>
        <w:ind w:firstLine="720"/>
        <w:textAlignment w:val="baseline"/>
      </w:pPr>
      <w:r w:rsidRPr="00163AF0">
        <w:t xml:space="preserve">The </w:t>
      </w:r>
      <w:r w:rsidRPr="00163AF0" w:rsidR="00A62DE2">
        <w:t xml:space="preserve">discovery sought from </w:t>
      </w:r>
      <w:r w:rsidRPr="00163AF0">
        <w:t xml:space="preserve">FirstEnergy’s </w:t>
      </w:r>
      <w:r w:rsidRPr="00163AF0" w:rsidR="00A62DE2">
        <w:t xml:space="preserve">former </w:t>
      </w:r>
      <w:r w:rsidRPr="00163AF0">
        <w:t>Vice President</w:t>
      </w:r>
      <w:r w:rsidRPr="00163AF0" w:rsidR="00A62DE2">
        <w:t xml:space="preserve">, General Counsel and </w:t>
      </w:r>
      <w:r w:rsidRPr="00163AF0">
        <w:t>Chief Ethics Officer</w:t>
      </w:r>
      <w:r w:rsidRPr="00163AF0" w:rsidR="001F4AAE">
        <w:t xml:space="preserve"> with ultimate compliance responsibility during the audit period</w:t>
      </w:r>
      <w:r w:rsidRPr="00163AF0">
        <w:t xml:space="preserve"> </w:t>
      </w:r>
      <w:r w:rsidRPr="00163AF0" w:rsidR="001F4AAE">
        <w:t>is</w:t>
      </w:r>
      <w:r w:rsidRPr="00163AF0" w:rsidR="00C649BA">
        <w:t xml:space="preserve"> </w:t>
      </w:r>
      <w:r w:rsidRPr="00163AF0" w:rsidR="00602351">
        <w:t>needed.</w:t>
      </w:r>
      <w:r w:rsidR="00163AF0">
        <w:t xml:space="preserve"> </w:t>
      </w:r>
      <w:r w:rsidRPr="00163AF0" w:rsidR="001F4AAE">
        <w:t xml:space="preserve">The </w:t>
      </w:r>
      <w:r w:rsidRPr="00163AF0">
        <w:t>Motion to Quash should be denied.</w:t>
      </w:r>
    </w:p>
    <w:p w:rsidR="000D18C7" w:rsidRPr="00163AF0" w:rsidP="001A7D6F" w14:paraId="25824F0C" w14:textId="313FEFBB">
      <w:pPr>
        <w:pStyle w:val="ListParagraph"/>
        <w:spacing w:line="480" w:lineRule="auto"/>
        <w:ind w:left="4320"/>
        <w:rPr>
          <w:szCs w:val="24"/>
        </w:rPr>
      </w:pPr>
      <w:r w:rsidRPr="00163AF0">
        <w:rPr>
          <w:szCs w:val="24"/>
        </w:rPr>
        <w:t>Respectfully submitted,</w:t>
      </w:r>
    </w:p>
    <w:p w:rsidR="000D18C7" w:rsidRPr="00163AF0" w:rsidP="005D2D59" w14:paraId="131F541B" w14:textId="77777777">
      <w:pPr>
        <w:pStyle w:val="Footer"/>
        <w:tabs>
          <w:tab w:val="left" w:pos="4320"/>
        </w:tabs>
        <w:ind w:left="4320"/>
        <w:rPr>
          <w:szCs w:val="24"/>
        </w:rPr>
      </w:pPr>
      <w:r w:rsidRPr="00163AF0">
        <w:rPr>
          <w:szCs w:val="24"/>
        </w:rPr>
        <w:t>Bruce Weston (0016973)</w:t>
      </w:r>
    </w:p>
    <w:p w:rsidR="000D18C7" w:rsidRPr="00163AF0" w:rsidP="005D2D59" w14:paraId="33EA53FF" w14:textId="77777777">
      <w:pPr>
        <w:tabs>
          <w:tab w:val="left" w:pos="4320"/>
        </w:tabs>
        <w:ind w:left="4320"/>
        <w:rPr>
          <w:szCs w:val="24"/>
        </w:rPr>
      </w:pPr>
      <w:r w:rsidRPr="00163AF0">
        <w:rPr>
          <w:szCs w:val="24"/>
        </w:rPr>
        <w:t>Ohio Consumers’ Counsel</w:t>
      </w:r>
    </w:p>
    <w:p w:rsidR="000D18C7" w:rsidRPr="00163AF0" w:rsidP="005D2D59" w14:paraId="3FA51C5A" w14:textId="77777777">
      <w:pPr>
        <w:pStyle w:val="ListParagraph"/>
        <w:tabs>
          <w:tab w:val="left" w:pos="4320"/>
        </w:tabs>
        <w:ind w:left="3600"/>
        <w:rPr>
          <w:szCs w:val="24"/>
        </w:rPr>
      </w:pPr>
      <w:r w:rsidRPr="00163AF0">
        <w:rPr>
          <w:szCs w:val="24"/>
        </w:rPr>
        <w:tab/>
      </w:r>
    </w:p>
    <w:p w:rsidR="001930AB" w:rsidRPr="00163AF0" w:rsidP="005D2D59" w14:paraId="3C3D83CF" w14:textId="77777777">
      <w:pPr>
        <w:pStyle w:val="ListParagraph"/>
        <w:tabs>
          <w:tab w:val="left" w:pos="4320"/>
        </w:tabs>
        <w:ind w:left="3600"/>
        <w:rPr>
          <w:i/>
          <w:iCs/>
          <w:szCs w:val="24"/>
          <w:u w:val="single"/>
        </w:rPr>
      </w:pPr>
      <w:r w:rsidRPr="00163AF0">
        <w:rPr>
          <w:i/>
          <w:iCs/>
          <w:szCs w:val="24"/>
        </w:rPr>
        <w:tab/>
      </w:r>
      <w:r w:rsidRPr="00163AF0">
        <w:rPr>
          <w:i/>
          <w:iCs/>
          <w:szCs w:val="24"/>
          <w:u w:val="single"/>
        </w:rPr>
        <w:t xml:space="preserve">/s/ </w:t>
      </w:r>
      <w:r w:rsidRPr="00163AF0" w:rsidR="00304F7E">
        <w:rPr>
          <w:i/>
          <w:iCs/>
          <w:szCs w:val="24"/>
          <w:u w:val="single"/>
        </w:rPr>
        <w:t>Maureen R. Willis</w:t>
      </w:r>
      <w:r w:rsidRPr="00163AF0" w:rsidR="004E69A3">
        <w:rPr>
          <w:i/>
          <w:iCs/>
          <w:szCs w:val="24"/>
          <w:u w:val="single"/>
        </w:rPr>
        <w:tab/>
      </w:r>
      <w:r w:rsidRPr="00163AF0" w:rsidR="004E69A3">
        <w:rPr>
          <w:i/>
          <w:iCs/>
          <w:szCs w:val="24"/>
          <w:u w:val="single"/>
        </w:rPr>
        <w:tab/>
      </w:r>
    </w:p>
    <w:p w:rsidR="001930AB" w:rsidRPr="00163AF0" w:rsidP="005D2D59" w14:paraId="1EF6713F" w14:textId="77777777">
      <w:pPr>
        <w:pStyle w:val="ListParagraph"/>
        <w:tabs>
          <w:tab w:val="left" w:pos="4320"/>
        </w:tabs>
        <w:ind w:left="4320"/>
        <w:rPr>
          <w:szCs w:val="24"/>
        </w:rPr>
      </w:pPr>
      <w:r w:rsidRPr="00163AF0">
        <w:rPr>
          <w:szCs w:val="24"/>
        </w:rPr>
        <w:t>Maureen R. Willis (0020847)</w:t>
      </w:r>
    </w:p>
    <w:p w:rsidR="001930AB" w:rsidRPr="00163AF0" w:rsidP="005D2D59" w14:paraId="6F633794" w14:textId="77777777">
      <w:pPr>
        <w:pStyle w:val="ListParagraph"/>
        <w:tabs>
          <w:tab w:val="left" w:pos="4320"/>
        </w:tabs>
        <w:ind w:left="4320"/>
        <w:rPr>
          <w:szCs w:val="24"/>
        </w:rPr>
      </w:pPr>
      <w:r w:rsidRPr="00163AF0">
        <w:rPr>
          <w:szCs w:val="24"/>
        </w:rPr>
        <w:t>Counsel of Record</w:t>
      </w:r>
    </w:p>
    <w:p w:rsidR="001930AB" w:rsidRPr="00163AF0" w:rsidP="005D2D59" w14:paraId="4C5823B9" w14:textId="77777777">
      <w:pPr>
        <w:pStyle w:val="ListParagraph"/>
        <w:tabs>
          <w:tab w:val="left" w:pos="4320"/>
        </w:tabs>
        <w:ind w:left="4320"/>
        <w:rPr>
          <w:szCs w:val="24"/>
        </w:rPr>
      </w:pPr>
      <w:r w:rsidRPr="00163AF0">
        <w:rPr>
          <w:szCs w:val="24"/>
        </w:rPr>
        <w:t>John Finnigan (0018689)</w:t>
      </w:r>
      <w:r w:rsidRPr="00163AF0">
        <w:rPr>
          <w:szCs w:val="24"/>
        </w:rPr>
        <w:br/>
        <w:t>Assistant Consumers’ Counsel</w:t>
      </w:r>
    </w:p>
    <w:p w:rsidR="001930AB" w:rsidRPr="00163AF0" w:rsidP="005D2D59" w14:paraId="6C5F4CE4" w14:textId="77777777">
      <w:pPr>
        <w:pStyle w:val="ListParagraph"/>
        <w:tabs>
          <w:tab w:val="left" w:pos="4320"/>
        </w:tabs>
        <w:ind w:left="4320"/>
        <w:rPr>
          <w:szCs w:val="24"/>
        </w:rPr>
      </w:pPr>
    </w:p>
    <w:p w:rsidR="001930AB" w:rsidRPr="00163AF0" w:rsidP="005D2D59" w14:paraId="1F15BB1F" w14:textId="77777777">
      <w:pPr>
        <w:pStyle w:val="ListParagraph"/>
        <w:tabs>
          <w:tab w:val="left" w:pos="4320"/>
        </w:tabs>
        <w:ind w:left="4320"/>
        <w:rPr>
          <w:b/>
          <w:bCs w:val="0"/>
          <w:szCs w:val="24"/>
        </w:rPr>
      </w:pPr>
      <w:r w:rsidRPr="00163AF0">
        <w:rPr>
          <w:b/>
          <w:szCs w:val="24"/>
        </w:rPr>
        <w:t>Office of the Ohio Consumers’ Counsel</w:t>
      </w:r>
    </w:p>
    <w:p w:rsidR="001930AB" w:rsidRPr="00163AF0" w:rsidP="005D2D59" w14:paraId="1FB84425" w14:textId="77777777">
      <w:pPr>
        <w:ind w:left="4320"/>
        <w:rPr>
          <w:szCs w:val="24"/>
        </w:rPr>
      </w:pPr>
      <w:r w:rsidRPr="00163AF0">
        <w:rPr>
          <w:szCs w:val="24"/>
        </w:rPr>
        <w:t xml:space="preserve">65 East State Street, </w:t>
      </w:r>
      <w:r w:rsidRPr="00163AF0" w:rsidR="00FE0DA0">
        <w:rPr>
          <w:szCs w:val="24"/>
        </w:rPr>
        <w:t>Suite 700</w:t>
      </w:r>
    </w:p>
    <w:p w:rsidR="001930AB" w:rsidRPr="00163AF0" w:rsidP="005D2D59" w14:paraId="7B1AF589" w14:textId="77777777">
      <w:pPr>
        <w:ind w:left="4320"/>
        <w:rPr>
          <w:szCs w:val="24"/>
        </w:rPr>
      </w:pPr>
      <w:r w:rsidRPr="00163AF0">
        <w:rPr>
          <w:szCs w:val="24"/>
        </w:rPr>
        <w:t>Columbus, Ohio 43215</w:t>
      </w:r>
    </w:p>
    <w:p w:rsidR="001930AB" w:rsidRPr="00163AF0" w:rsidP="005D2D59" w14:paraId="544A8E84" w14:textId="77777777">
      <w:pPr>
        <w:autoSpaceDE w:val="0"/>
        <w:autoSpaceDN w:val="0"/>
        <w:adjustRightInd w:val="0"/>
        <w:ind w:left="3600" w:firstLine="720"/>
        <w:rPr>
          <w:szCs w:val="24"/>
        </w:rPr>
      </w:pPr>
      <w:r w:rsidRPr="00163AF0">
        <w:rPr>
          <w:szCs w:val="24"/>
        </w:rPr>
        <w:t>Telephone [Willis]: (614) 466-9567</w:t>
      </w:r>
    </w:p>
    <w:p w:rsidR="001930AB" w:rsidRPr="00163AF0" w:rsidP="005D2D59" w14:paraId="4B4A40A2" w14:textId="77777777">
      <w:pPr>
        <w:pStyle w:val="ListParagraph"/>
        <w:autoSpaceDE w:val="0"/>
        <w:autoSpaceDN w:val="0"/>
        <w:adjustRightInd w:val="0"/>
        <w:ind w:left="3600" w:firstLine="720"/>
        <w:rPr>
          <w:szCs w:val="24"/>
        </w:rPr>
      </w:pPr>
      <w:r w:rsidRPr="00163AF0">
        <w:rPr>
          <w:szCs w:val="24"/>
        </w:rPr>
        <w:t>Telephone [Finnigan]: (614) 466-9585</w:t>
      </w:r>
    </w:p>
    <w:p w:rsidR="001930AB" w:rsidRPr="00163AF0" w:rsidP="005D2D59" w14:paraId="7A9E6927" w14:textId="77777777">
      <w:pPr>
        <w:pStyle w:val="ListParagraph"/>
        <w:autoSpaceDE w:val="0"/>
        <w:autoSpaceDN w:val="0"/>
        <w:adjustRightInd w:val="0"/>
        <w:ind w:left="0"/>
        <w:rPr>
          <w:color w:val="0000FF"/>
          <w:szCs w:val="24"/>
        </w:rPr>
      </w:pPr>
      <w:r w:rsidRPr="00163AF0">
        <w:rPr>
          <w:szCs w:val="24"/>
        </w:rPr>
        <w:tab/>
      </w:r>
      <w:r w:rsidRPr="00163AF0">
        <w:rPr>
          <w:szCs w:val="24"/>
        </w:rPr>
        <w:tab/>
      </w:r>
      <w:r w:rsidRPr="00163AF0">
        <w:rPr>
          <w:szCs w:val="24"/>
        </w:rPr>
        <w:tab/>
      </w:r>
      <w:r w:rsidRPr="00163AF0">
        <w:rPr>
          <w:szCs w:val="24"/>
        </w:rPr>
        <w:tab/>
      </w:r>
      <w:r w:rsidRPr="00163AF0">
        <w:rPr>
          <w:szCs w:val="24"/>
        </w:rPr>
        <w:tab/>
      </w:r>
      <w:r w:rsidRPr="00163AF0">
        <w:rPr>
          <w:szCs w:val="24"/>
        </w:rPr>
        <w:tab/>
      </w:r>
      <w:hyperlink r:id="rId6" w:history="1">
        <w:r w:rsidRPr="00163AF0" w:rsidR="00FE0DA0">
          <w:rPr>
            <w:rStyle w:val="Hyperlink"/>
            <w:color w:val="0000FF"/>
            <w:szCs w:val="24"/>
          </w:rPr>
          <w:t>maureen.willis@occ.ohio.gov</w:t>
        </w:r>
      </w:hyperlink>
    </w:p>
    <w:p w:rsidR="001930AB" w:rsidRPr="00163AF0" w:rsidP="005D2D59" w14:paraId="2A35095C" w14:textId="77777777">
      <w:pPr>
        <w:pStyle w:val="ListParagraph"/>
        <w:autoSpaceDE w:val="0"/>
        <w:autoSpaceDN w:val="0"/>
        <w:adjustRightInd w:val="0"/>
        <w:ind w:left="3600" w:firstLine="720"/>
        <w:rPr>
          <w:rStyle w:val="Hyperlink"/>
          <w:color w:val="0000FF"/>
          <w:szCs w:val="24"/>
        </w:rPr>
      </w:pPr>
      <w:hyperlink r:id="rId7" w:history="1">
        <w:r w:rsidRPr="00163AF0" w:rsidR="00B91966">
          <w:rPr>
            <w:rStyle w:val="Hyperlink"/>
            <w:color w:val="0000FF"/>
            <w:szCs w:val="24"/>
          </w:rPr>
          <w:t>john.finnigan@occ.ohio.gov</w:t>
        </w:r>
      </w:hyperlink>
    </w:p>
    <w:p w:rsidR="001930AB" w:rsidRPr="00163AF0" w:rsidP="005D2D59" w14:paraId="4FB4E291" w14:textId="77777777">
      <w:pPr>
        <w:autoSpaceDE w:val="0"/>
        <w:autoSpaceDN w:val="0"/>
        <w:adjustRightInd w:val="0"/>
        <w:rPr>
          <w:rStyle w:val="Hyperlink"/>
          <w:color w:val="auto"/>
          <w:szCs w:val="24"/>
          <w:u w:val="none"/>
        </w:rPr>
      </w:pPr>
      <w:r w:rsidRPr="00163AF0">
        <w:rPr>
          <w:rStyle w:val="Hyperlink"/>
          <w:color w:val="auto"/>
          <w:szCs w:val="24"/>
          <w:u w:val="none"/>
        </w:rPr>
        <w:tab/>
      </w:r>
      <w:r w:rsidRPr="00163AF0">
        <w:rPr>
          <w:rStyle w:val="Hyperlink"/>
          <w:color w:val="auto"/>
          <w:szCs w:val="24"/>
          <w:u w:val="none"/>
        </w:rPr>
        <w:tab/>
      </w:r>
      <w:r w:rsidRPr="00163AF0">
        <w:rPr>
          <w:rStyle w:val="Hyperlink"/>
          <w:color w:val="auto"/>
          <w:szCs w:val="24"/>
          <w:u w:val="none"/>
        </w:rPr>
        <w:tab/>
      </w:r>
      <w:r w:rsidRPr="00163AF0">
        <w:rPr>
          <w:rStyle w:val="Hyperlink"/>
          <w:color w:val="auto"/>
          <w:szCs w:val="24"/>
          <w:u w:val="none"/>
        </w:rPr>
        <w:tab/>
      </w:r>
      <w:r w:rsidRPr="00163AF0">
        <w:rPr>
          <w:rStyle w:val="Hyperlink"/>
          <w:color w:val="auto"/>
          <w:szCs w:val="24"/>
          <w:u w:val="none"/>
        </w:rPr>
        <w:tab/>
      </w:r>
      <w:r w:rsidRPr="00163AF0">
        <w:rPr>
          <w:rStyle w:val="Hyperlink"/>
          <w:color w:val="auto"/>
          <w:szCs w:val="24"/>
          <w:u w:val="none"/>
        </w:rPr>
        <w:tab/>
        <w:t>(willing to accept service by e-mail)</w:t>
      </w:r>
    </w:p>
    <w:p w:rsidR="00322352" w:rsidRPr="00163AF0" w:rsidP="005D2D59" w14:paraId="19DB8932" w14:textId="77777777">
      <w:pPr>
        <w:pStyle w:val="NormalWeb"/>
        <w:shd w:val="clear" w:color="auto" w:fill="FFFFFF"/>
        <w:spacing w:before="0" w:beforeAutospacing="0" w:after="0" w:afterAutospacing="0" w:line="480" w:lineRule="auto"/>
        <w:textAlignment w:val="baseline"/>
        <w:rPr>
          <w:rFonts w:eastAsiaTheme="minorHAnsi"/>
        </w:rPr>
        <w:sectPr w:rsidSect="00357F44">
          <w:footerReference w:type="default" r:id="rId10"/>
          <w:pgSz w:w="12240" w:h="15840"/>
          <w:pgMar w:top="1440" w:right="1800" w:bottom="1440" w:left="1800" w:header="720" w:footer="720" w:gutter="0"/>
          <w:pgNumType w:start="1"/>
          <w:cols w:space="720"/>
          <w:docGrid w:linePitch="360"/>
        </w:sectPr>
      </w:pPr>
    </w:p>
    <w:p w:rsidR="009030AA" w:rsidRPr="00163AF0" w:rsidP="005D2D59" w14:paraId="162B0B53" w14:textId="77777777">
      <w:pPr>
        <w:jc w:val="center"/>
        <w:rPr>
          <w:b/>
          <w:bCs w:val="0"/>
          <w:szCs w:val="24"/>
          <w:u w:val="single"/>
        </w:rPr>
      </w:pPr>
      <w:r w:rsidRPr="00163AF0">
        <w:rPr>
          <w:b/>
          <w:szCs w:val="24"/>
          <w:u w:val="single"/>
        </w:rPr>
        <w:t>CERTIFICATE OF SERVICE</w:t>
      </w:r>
    </w:p>
    <w:p w:rsidR="009030AA" w:rsidRPr="00163AF0" w:rsidP="005D2D59" w14:paraId="0C5E1F8F" w14:textId="77777777">
      <w:pPr>
        <w:jc w:val="center"/>
        <w:rPr>
          <w:szCs w:val="24"/>
          <w:u w:val="single"/>
        </w:rPr>
      </w:pPr>
    </w:p>
    <w:p w:rsidR="009030AA" w:rsidRPr="00163AF0" w:rsidP="005D2D59" w14:paraId="11ED7177" w14:textId="17F2C90E">
      <w:pPr>
        <w:spacing w:line="480" w:lineRule="auto"/>
        <w:rPr>
          <w:b/>
          <w:bCs w:val="0"/>
          <w:szCs w:val="24"/>
        </w:rPr>
      </w:pPr>
      <w:r w:rsidRPr="00163AF0">
        <w:rPr>
          <w:szCs w:val="24"/>
        </w:rPr>
        <w:tab/>
        <w:t>I hereby certify that a copy of th</w:t>
      </w:r>
      <w:r w:rsidRPr="00163AF0" w:rsidR="003379E1">
        <w:rPr>
          <w:szCs w:val="24"/>
        </w:rPr>
        <w:t>is</w:t>
      </w:r>
      <w:r w:rsidRPr="00163AF0">
        <w:rPr>
          <w:szCs w:val="24"/>
        </w:rPr>
        <w:t xml:space="preserve"> M</w:t>
      </w:r>
      <w:r w:rsidRPr="00163AF0" w:rsidR="001A7D6F">
        <w:rPr>
          <w:szCs w:val="24"/>
        </w:rPr>
        <w:t>emorandum Contra</w:t>
      </w:r>
      <w:r w:rsidRPr="00163AF0">
        <w:rPr>
          <w:szCs w:val="24"/>
        </w:rPr>
        <w:t xml:space="preserve"> was served on the persons stated below via electric transmission this</w:t>
      </w:r>
      <w:r w:rsidRPr="00163AF0" w:rsidR="0094683F">
        <w:rPr>
          <w:szCs w:val="24"/>
        </w:rPr>
        <w:t xml:space="preserve"> </w:t>
      </w:r>
      <w:r w:rsidRPr="00163AF0" w:rsidR="002E4256">
        <w:rPr>
          <w:szCs w:val="24"/>
        </w:rPr>
        <w:t>22</w:t>
      </w:r>
      <w:r w:rsidRPr="00163AF0" w:rsidR="002E4256">
        <w:rPr>
          <w:szCs w:val="24"/>
          <w:vertAlign w:val="superscript"/>
        </w:rPr>
        <w:t>nd</w:t>
      </w:r>
      <w:r w:rsidRPr="00163AF0" w:rsidR="002E4256">
        <w:rPr>
          <w:szCs w:val="24"/>
        </w:rPr>
        <w:t xml:space="preserve"> </w:t>
      </w:r>
      <w:r w:rsidRPr="00163AF0">
        <w:rPr>
          <w:szCs w:val="24"/>
        </w:rPr>
        <w:t xml:space="preserve">day of </w:t>
      </w:r>
      <w:r w:rsidRPr="00163AF0" w:rsidR="001A7D6F">
        <w:rPr>
          <w:szCs w:val="24"/>
        </w:rPr>
        <w:t>March</w:t>
      </w:r>
      <w:r w:rsidRPr="00163AF0" w:rsidR="007004E3">
        <w:rPr>
          <w:szCs w:val="24"/>
        </w:rPr>
        <w:t xml:space="preserve"> </w:t>
      </w:r>
      <w:r w:rsidRPr="00163AF0">
        <w:rPr>
          <w:szCs w:val="24"/>
        </w:rPr>
        <w:t>202</w:t>
      </w:r>
      <w:r w:rsidRPr="00163AF0" w:rsidR="00FE0DA0">
        <w:rPr>
          <w:szCs w:val="24"/>
        </w:rPr>
        <w:t>2</w:t>
      </w:r>
      <w:r w:rsidRPr="00163AF0">
        <w:rPr>
          <w:szCs w:val="24"/>
        </w:rPr>
        <w:t>.</w:t>
      </w:r>
    </w:p>
    <w:p w:rsidR="009030AA" w:rsidRPr="00163AF0" w:rsidP="005D2D59" w14:paraId="5D26A4C4" w14:textId="77777777">
      <w:pPr>
        <w:rPr>
          <w:b/>
          <w:bCs w:val="0"/>
          <w:i/>
          <w:iCs/>
          <w:szCs w:val="24"/>
          <w:u w:val="single"/>
        </w:rPr>
      </w:pPr>
      <w:bookmarkStart w:id="7" w:name="_Hlk60904023"/>
      <w:r w:rsidRPr="00163AF0">
        <w:rPr>
          <w:szCs w:val="24"/>
        </w:rPr>
        <w:tab/>
      </w:r>
      <w:r w:rsidRPr="00163AF0">
        <w:rPr>
          <w:szCs w:val="24"/>
        </w:rPr>
        <w:tab/>
      </w:r>
      <w:r w:rsidRPr="00163AF0">
        <w:rPr>
          <w:szCs w:val="24"/>
        </w:rPr>
        <w:tab/>
      </w:r>
      <w:r w:rsidRPr="00163AF0">
        <w:rPr>
          <w:szCs w:val="24"/>
        </w:rPr>
        <w:tab/>
      </w:r>
      <w:r w:rsidRPr="00163AF0">
        <w:rPr>
          <w:szCs w:val="24"/>
        </w:rPr>
        <w:tab/>
      </w:r>
      <w:r w:rsidRPr="00163AF0">
        <w:rPr>
          <w:szCs w:val="24"/>
        </w:rPr>
        <w:tab/>
      </w:r>
      <w:r w:rsidRPr="00163AF0">
        <w:rPr>
          <w:i/>
          <w:iCs/>
          <w:szCs w:val="24"/>
          <w:u w:val="single"/>
        </w:rPr>
        <w:t xml:space="preserve">/s/ </w:t>
      </w:r>
      <w:r w:rsidRPr="00163AF0" w:rsidR="00304F7E">
        <w:rPr>
          <w:i/>
          <w:iCs/>
          <w:szCs w:val="24"/>
          <w:u w:val="single"/>
        </w:rPr>
        <w:t>Maureen R. Willis</w:t>
      </w:r>
      <w:r w:rsidRPr="00163AF0" w:rsidR="00DC167B">
        <w:rPr>
          <w:i/>
          <w:iCs/>
          <w:szCs w:val="24"/>
          <w:u w:val="single"/>
        </w:rPr>
        <w:tab/>
      </w:r>
      <w:r w:rsidRPr="00163AF0" w:rsidR="00DC167B">
        <w:rPr>
          <w:i/>
          <w:iCs/>
          <w:szCs w:val="24"/>
          <w:u w:val="single"/>
        </w:rPr>
        <w:tab/>
      </w:r>
      <w:r w:rsidRPr="00163AF0" w:rsidR="00304F7E">
        <w:rPr>
          <w:i/>
          <w:iCs/>
          <w:szCs w:val="24"/>
          <w:u w:val="single"/>
        </w:rPr>
        <w:t xml:space="preserve"> </w:t>
      </w:r>
    </w:p>
    <w:p w:rsidR="00304F7E" w:rsidRPr="00163AF0" w:rsidP="005D2D59" w14:paraId="2E8BD86F" w14:textId="77777777">
      <w:pPr>
        <w:rPr>
          <w:b/>
          <w:bCs w:val="0"/>
          <w:szCs w:val="24"/>
        </w:rPr>
      </w:pPr>
      <w:r w:rsidRPr="00163AF0">
        <w:rPr>
          <w:szCs w:val="24"/>
        </w:rPr>
        <w:tab/>
      </w:r>
      <w:r w:rsidRPr="00163AF0">
        <w:rPr>
          <w:szCs w:val="24"/>
        </w:rPr>
        <w:tab/>
      </w:r>
      <w:r w:rsidRPr="00163AF0">
        <w:rPr>
          <w:szCs w:val="24"/>
        </w:rPr>
        <w:tab/>
      </w:r>
      <w:r w:rsidRPr="00163AF0">
        <w:rPr>
          <w:szCs w:val="24"/>
        </w:rPr>
        <w:tab/>
      </w:r>
      <w:r w:rsidRPr="00163AF0">
        <w:rPr>
          <w:szCs w:val="24"/>
        </w:rPr>
        <w:tab/>
      </w:r>
      <w:r w:rsidRPr="00163AF0">
        <w:rPr>
          <w:szCs w:val="24"/>
        </w:rPr>
        <w:tab/>
        <w:t>Maureen R. Willis</w:t>
      </w:r>
      <w:r w:rsidRPr="00163AF0" w:rsidR="00C01BBA">
        <w:rPr>
          <w:szCs w:val="24"/>
        </w:rPr>
        <w:t xml:space="preserve"> </w:t>
      </w:r>
    </w:p>
    <w:p w:rsidR="009030AA" w:rsidRPr="00163AF0" w:rsidP="005D2D59" w14:paraId="45FADD03" w14:textId="77777777">
      <w:pPr>
        <w:ind w:left="3600" w:firstLine="720"/>
        <w:rPr>
          <w:b/>
          <w:bCs w:val="0"/>
          <w:szCs w:val="24"/>
        </w:rPr>
      </w:pPr>
      <w:r w:rsidRPr="00163AF0">
        <w:rPr>
          <w:szCs w:val="24"/>
        </w:rPr>
        <w:t>Assistant Consumers’ Counsel</w:t>
      </w:r>
    </w:p>
    <w:bookmarkEnd w:id="7"/>
    <w:p w:rsidR="009030AA" w:rsidRPr="00163AF0" w:rsidP="005D2D59" w14:paraId="43FD88E4" w14:textId="77777777">
      <w:pPr>
        <w:rPr>
          <w:b/>
          <w:bCs w:val="0"/>
          <w:szCs w:val="24"/>
        </w:rPr>
      </w:pPr>
    </w:p>
    <w:p w:rsidR="009030AA" w:rsidRPr="00163AF0" w:rsidP="005D2D59" w14:paraId="707973A2" w14:textId="77777777">
      <w:pPr>
        <w:rPr>
          <w:b/>
          <w:bCs w:val="0"/>
          <w:szCs w:val="24"/>
        </w:rPr>
      </w:pPr>
      <w:r w:rsidRPr="00163AF0">
        <w:rPr>
          <w:szCs w:val="24"/>
        </w:rPr>
        <w:t>The PUCO’s e-filing system will electronically serve notice of the filing of this document on the following parties:</w:t>
      </w:r>
    </w:p>
    <w:p w:rsidR="009030AA" w:rsidRPr="00163AF0" w:rsidP="005D2D59" w14:paraId="7E5601C3" w14:textId="77777777">
      <w:pPr>
        <w:rPr>
          <w:b/>
          <w:bCs w:val="0"/>
          <w:szCs w:val="24"/>
        </w:rPr>
      </w:pPr>
    </w:p>
    <w:p w:rsidR="00922AF8" w:rsidRPr="00163AF0" w:rsidP="005D2D59" w14:paraId="448E960B" w14:textId="77777777">
      <w:pPr>
        <w:pStyle w:val="CommentText"/>
        <w:jc w:val="center"/>
        <w:rPr>
          <w:b/>
          <w:sz w:val="24"/>
          <w:szCs w:val="24"/>
          <w:u w:val="single"/>
        </w:rPr>
      </w:pPr>
      <w:r w:rsidRPr="00163AF0">
        <w:rPr>
          <w:b/>
          <w:sz w:val="24"/>
          <w:szCs w:val="24"/>
          <w:u w:val="single"/>
        </w:rPr>
        <w:t>SERVICE LIST</w:t>
      </w:r>
    </w:p>
    <w:p w:rsidR="001930AB" w:rsidRPr="00163AF0" w:rsidP="005D2D59" w14:paraId="2D1EF5BF" w14:textId="77777777">
      <w:pPr>
        <w:pStyle w:val="CommentText"/>
        <w:jc w:val="center"/>
        <w:rPr>
          <w:b/>
          <w:sz w:val="24"/>
          <w:szCs w:val="24"/>
          <w:u w:val="single"/>
        </w:rPr>
      </w:pPr>
    </w:p>
    <w:tbl>
      <w:tblPr>
        <w:tblW w:w="0" w:type="auto"/>
        <w:tblLook w:val="04A0"/>
      </w:tblPr>
      <w:tblGrid>
        <w:gridCol w:w="4257"/>
        <w:gridCol w:w="4383"/>
      </w:tblGrid>
      <w:tr w14:paraId="7897843A" w14:textId="77777777" w:rsidTr="00FB5CDC">
        <w:tblPrEx>
          <w:tblW w:w="0" w:type="auto"/>
          <w:tblLook w:val="04A0"/>
        </w:tblPrEx>
        <w:trPr>
          <w:trHeight w:val="6912"/>
        </w:trPr>
        <w:tc>
          <w:tcPr>
            <w:tcW w:w="4428" w:type="dxa"/>
          </w:tcPr>
          <w:bookmarkStart w:id="8" w:name="_Hlk92973184"/>
          <w:p w:rsidR="00B90241" w:rsidRPr="00163AF0" w:rsidP="005D2D59" w14:paraId="17C65A62" w14:textId="77777777">
            <w:pPr>
              <w:widowControl w:val="0"/>
              <w:autoSpaceDE w:val="0"/>
              <w:autoSpaceDN w:val="0"/>
              <w:adjustRightInd w:val="0"/>
              <w:rPr>
                <w:rFonts w:eastAsia="Calibri"/>
                <w:bCs w:val="0"/>
                <w:color w:val="0000FF"/>
                <w:szCs w:val="24"/>
                <w:u w:val="single"/>
              </w:rPr>
            </w:pPr>
            <w:hyperlink r:id="rId11" w:history="1">
              <w:r w:rsidRPr="00163AF0">
                <w:rPr>
                  <w:rFonts w:eastAsia="Calibri"/>
                  <w:color w:val="0000FF"/>
                  <w:szCs w:val="24"/>
                  <w:u w:val="single"/>
                </w:rPr>
                <w:t>thomas.lindgren@ohioAGO.gov</w:t>
              </w:r>
            </w:hyperlink>
          </w:p>
          <w:p w:rsidR="00B90241" w:rsidRPr="00163AF0" w:rsidP="005D2D59" w14:paraId="2F862BB5" w14:textId="77777777">
            <w:pPr>
              <w:widowControl w:val="0"/>
              <w:autoSpaceDE w:val="0"/>
              <w:autoSpaceDN w:val="0"/>
              <w:adjustRightInd w:val="0"/>
              <w:rPr>
                <w:rFonts w:eastAsia="Calibri"/>
                <w:bCs w:val="0"/>
                <w:color w:val="0000FF"/>
                <w:szCs w:val="24"/>
                <w:u w:val="single"/>
              </w:rPr>
            </w:pPr>
            <w:hyperlink r:id="rId12" w:history="1">
              <w:r w:rsidRPr="00163AF0" w:rsidR="00945291">
                <w:rPr>
                  <w:rFonts w:eastAsia="Calibri"/>
                  <w:color w:val="0000FF"/>
                  <w:szCs w:val="24"/>
                  <w:u w:val="single"/>
                </w:rPr>
                <w:t>werner.margard@ohioAGO.gov</w:t>
              </w:r>
            </w:hyperlink>
          </w:p>
          <w:p w:rsidR="00B90241" w:rsidRPr="00163AF0" w:rsidP="005D2D59" w14:paraId="49478AE1" w14:textId="77777777">
            <w:pPr>
              <w:widowControl w:val="0"/>
              <w:autoSpaceDE w:val="0"/>
              <w:autoSpaceDN w:val="0"/>
              <w:adjustRightInd w:val="0"/>
              <w:rPr>
                <w:rFonts w:eastAsia="Calibri"/>
                <w:color w:val="0000FF"/>
                <w:szCs w:val="24"/>
              </w:rPr>
            </w:pPr>
            <w:hyperlink r:id="rId13" w:history="1">
              <w:r w:rsidRPr="00163AF0" w:rsidR="00945291">
                <w:rPr>
                  <w:rFonts w:eastAsia="Calibri"/>
                  <w:color w:val="0000FF"/>
                  <w:szCs w:val="24"/>
                  <w:u w:val="single"/>
                </w:rPr>
                <w:t>joliker@igsenergy.com</w:t>
              </w:r>
            </w:hyperlink>
          </w:p>
          <w:p w:rsidR="00B90241" w:rsidRPr="00163AF0" w:rsidP="005D2D59" w14:paraId="58A7C88E" w14:textId="77777777">
            <w:pPr>
              <w:widowControl w:val="0"/>
              <w:autoSpaceDE w:val="0"/>
              <w:autoSpaceDN w:val="0"/>
              <w:adjustRightInd w:val="0"/>
              <w:rPr>
                <w:rFonts w:eastAsia="Calibri"/>
                <w:color w:val="0000FF"/>
                <w:szCs w:val="24"/>
                <w:u w:val="single"/>
              </w:rPr>
            </w:pPr>
            <w:hyperlink r:id="rId14" w:history="1">
              <w:r w:rsidRPr="00163AF0" w:rsidR="00945291">
                <w:rPr>
                  <w:rFonts w:eastAsia="Calibri"/>
                  <w:color w:val="0000FF"/>
                  <w:szCs w:val="24"/>
                  <w:u w:val="single"/>
                </w:rPr>
                <w:t>Mnugent@igsenergy.com</w:t>
              </w:r>
            </w:hyperlink>
          </w:p>
          <w:p w:rsidR="00B90241" w:rsidRPr="00163AF0" w:rsidP="005D2D59" w14:paraId="37C5E23A" w14:textId="77777777">
            <w:pPr>
              <w:widowControl w:val="0"/>
              <w:autoSpaceDE w:val="0"/>
              <w:autoSpaceDN w:val="0"/>
              <w:adjustRightInd w:val="0"/>
              <w:rPr>
                <w:rFonts w:eastAsia="Calibri"/>
                <w:color w:val="0000FF"/>
                <w:szCs w:val="24"/>
                <w:u w:val="single"/>
              </w:rPr>
            </w:pPr>
            <w:hyperlink r:id="rId15" w:history="1">
              <w:r w:rsidRPr="00163AF0" w:rsidR="00945291">
                <w:rPr>
                  <w:rFonts w:eastAsia="Calibri"/>
                  <w:color w:val="0000FF"/>
                  <w:szCs w:val="24"/>
                  <w:u w:val="single"/>
                </w:rPr>
                <w:t>bethany.allen@igs.com</w:t>
              </w:r>
            </w:hyperlink>
          </w:p>
          <w:p w:rsidR="00B90241" w:rsidRPr="00163AF0" w:rsidP="005D2D59" w14:paraId="3D84A177" w14:textId="77777777">
            <w:pPr>
              <w:widowControl w:val="0"/>
              <w:autoSpaceDE w:val="0"/>
              <w:autoSpaceDN w:val="0"/>
              <w:adjustRightInd w:val="0"/>
              <w:rPr>
                <w:rFonts w:eastAsia="Calibri"/>
                <w:color w:val="0000FF"/>
                <w:szCs w:val="24"/>
              </w:rPr>
            </w:pPr>
            <w:hyperlink r:id="rId16" w:history="1">
              <w:r w:rsidRPr="00163AF0" w:rsidR="00945291">
                <w:rPr>
                  <w:rFonts w:eastAsia="Calibri"/>
                  <w:color w:val="0000FF"/>
                  <w:szCs w:val="24"/>
                  <w:u w:val="single"/>
                </w:rPr>
                <w:t>evan.betterton@igs.com</w:t>
              </w:r>
            </w:hyperlink>
          </w:p>
          <w:p w:rsidR="00B90241" w:rsidRPr="00163AF0" w:rsidP="005D2D59" w14:paraId="24331644" w14:textId="77777777">
            <w:pPr>
              <w:widowControl w:val="0"/>
              <w:autoSpaceDE w:val="0"/>
              <w:autoSpaceDN w:val="0"/>
              <w:adjustRightInd w:val="0"/>
              <w:rPr>
                <w:rFonts w:eastAsia="Calibri"/>
                <w:color w:val="0000FF"/>
                <w:szCs w:val="24"/>
              </w:rPr>
            </w:pPr>
            <w:hyperlink r:id="rId17" w:history="1">
              <w:r w:rsidRPr="00163AF0" w:rsidR="00945291">
                <w:rPr>
                  <w:rFonts w:eastAsia="Calibri"/>
                  <w:color w:val="0000FF"/>
                  <w:szCs w:val="24"/>
                  <w:u w:val="single"/>
                </w:rPr>
                <w:t>gkrassen@bricker.com</w:t>
              </w:r>
            </w:hyperlink>
          </w:p>
          <w:p w:rsidR="00B90241" w:rsidRPr="00163AF0" w:rsidP="005D2D59" w14:paraId="56EA05D8" w14:textId="77777777">
            <w:pPr>
              <w:widowControl w:val="0"/>
              <w:autoSpaceDE w:val="0"/>
              <w:autoSpaceDN w:val="0"/>
              <w:adjustRightInd w:val="0"/>
              <w:rPr>
                <w:rFonts w:eastAsia="Calibri"/>
                <w:color w:val="0000FF"/>
                <w:szCs w:val="24"/>
                <w:u w:val="single"/>
              </w:rPr>
            </w:pPr>
            <w:hyperlink r:id="rId18" w:history="1">
              <w:r w:rsidRPr="00163AF0" w:rsidR="00945291">
                <w:rPr>
                  <w:rFonts w:eastAsia="Calibri"/>
                  <w:color w:val="0000FF"/>
                  <w:szCs w:val="24"/>
                  <w:u w:val="single"/>
                </w:rPr>
                <w:t>dstinson@bricker.com</w:t>
              </w:r>
            </w:hyperlink>
          </w:p>
          <w:p w:rsidR="00B90241" w:rsidRPr="00163AF0" w:rsidP="005D2D59" w14:paraId="6AEF12D2" w14:textId="77777777">
            <w:pPr>
              <w:widowControl w:val="0"/>
              <w:autoSpaceDE w:val="0"/>
              <w:autoSpaceDN w:val="0"/>
              <w:adjustRightInd w:val="0"/>
              <w:rPr>
                <w:rFonts w:eastAsia="Calibri"/>
                <w:color w:val="0000FF"/>
                <w:szCs w:val="24"/>
                <w:u w:val="single"/>
              </w:rPr>
            </w:pPr>
            <w:hyperlink r:id="rId19" w:history="1">
              <w:r w:rsidRPr="00163AF0" w:rsidR="00945291">
                <w:rPr>
                  <w:rStyle w:val="Hyperlink"/>
                  <w:rFonts w:eastAsia="Calibri"/>
                  <w:color w:val="0000FF"/>
                  <w:szCs w:val="24"/>
                </w:rPr>
                <w:t>whitt@whitt-sturtevant.com</w:t>
              </w:r>
            </w:hyperlink>
          </w:p>
          <w:p w:rsidR="00B90241" w:rsidRPr="00163AF0" w:rsidP="005D2D59" w14:paraId="70B1FCF2" w14:textId="77777777">
            <w:pPr>
              <w:widowControl w:val="0"/>
              <w:autoSpaceDE w:val="0"/>
              <w:autoSpaceDN w:val="0"/>
              <w:adjustRightInd w:val="0"/>
              <w:rPr>
                <w:rFonts w:eastAsia="Calibri"/>
                <w:color w:val="0000FF"/>
                <w:szCs w:val="24"/>
                <w:u w:val="single"/>
              </w:rPr>
            </w:pPr>
            <w:hyperlink r:id="rId20" w:history="1">
              <w:r w:rsidRPr="00163AF0" w:rsidR="00945291">
                <w:rPr>
                  <w:rStyle w:val="Hyperlink"/>
                  <w:rFonts w:eastAsia="Calibri"/>
                  <w:color w:val="0000FF"/>
                  <w:szCs w:val="24"/>
                </w:rPr>
                <w:t>fykes@whitt-sturtevant.com</w:t>
              </w:r>
            </w:hyperlink>
          </w:p>
          <w:p w:rsidR="00B90241" w:rsidRPr="00163AF0" w:rsidP="005D2D59" w14:paraId="7741B716" w14:textId="77777777">
            <w:pPr>
              <w:pStyle w:val="CommentText"/>
              <w:rPr>
                <w:rStyle w:val="Hyperlink"/>
                <w:color w:val="0000FF"/>
                <w:sz w:val="24"/>
                <w:szCs w:val="24"/>
              </w:rPr>
            </w:pPr>
            <w:r w:rsidRPr="00163AF0">
              <w:rPr>
                <w:rStyle w:val="Hyperlink"/>
                <w:color w:val="0000FF"/>
                <w:sz w:val="24"/>
                <w:szCs w:val="24"/>
              </w:rPr>
              <w:t>trent@hubaydougherty.com</w:t>
            </w:r>
          </w:p>
          <w:p w:rsidR="00B90241" w:rsidRPr="00163AF0" w:rsidP="005D2D59" w14:paraId="2F19CBD7" w14:textId="77777777">
            <w:pPr>
              <w:widowControl w:val="0"/>
              <w:rPr>
                <w:color w:val="0000FF"/>
                <w:szCs w:val="24"/>
                <w:u w:val="single"/>
              </w:rPr>
            </w:pPr>
            <w:hyperlink r:id="rId21" w:history="1">
              <w:r w:rsidRPr="00163AF0" w:rsidR="00945291">
                <w:rPr>
                  <w:rStyle w:val="Hyperlink"/>
                  <w:color w:val="0000FF"/>
                  <w:szCs w:val="24"/>
                </w:rPr>
                <w:t>mwise@mcdonaldhopkins.com</w:t>
              </w:r>
            </w:hyperlink>
          </w:p>
          <w:p w:rsidR="00B90241" w:rsidRPr="00163AF0" w:rsidP="005D2D59" w14:paraId="0BADD2E5" w14:textId="77777777">
            <w:pPr>
              <w:pStyle w:val="CommentText"/>
              <w:rPr>
                <w:rStyle w:val="Hyperlink"/>
                <w:color w:val="0000FF"/>
                <w:sz w:val="24"/>
                <w:szCs w:val="24"/>
              </w:rPr>
            </w:pPr>
            <w:hyperlink r:id="rId22" w:history="1">
              <w:r w:rsidRPr="00163AF0" w:rsidR="00945291">
                <w:rPr>
                  <w:rStyle w:val="Hyperlink"/>
                  <w:color w:val="0000FF"/>
                  <w:sz w:val="24"/>
                  <w:szCs w:val="24"/>
                </w:rPr>
                <w:t>mkurtz@BKLlawfirm.com</w:t>
              </w:r>
            </w:hyperlink>
          </w:p>
          <w:p w:rsidR="00B90241" w:rsidRPr="00163AF0" w:rsidP="005D2D59" w14:paraId="2680623A" w14:textId="77777777">
            <w:pPr>
              <w:pStyle w:val="CommentText"/>
              <w:rPr>
                <w:rStyle w:val="Hyperlink"/>
                <w:color w:val="0000FF"/>
                <w:sz w:val="24"/>
                <w:szCs w:val="24"/>
              </w:rPr>
            </w:pPr>
            <w:hyperlink r:id="rId23" w:history="1">
              <w:r w:rsidRPr="00163AF0" w:rsidR="00945291">
                <w:rPr>
                  <w:rStyle w:val="Hyperlink"/>
                  <w:color w:val="0000FF"/>
                  <w:sz w:val="24"/>
                  <w:szCs w:val="24"/>
                </w:rPr>
                <w:t>kboehm@BKLlawfirm.com</w:t>
              </w:r>
            </w:hyperlink>
          </w:p>
          <w:p w:rsidR="00B90241" w:rsidRPr="00163AF0" w:rsidP="005D2D59" w14:paraId="2645060A" w14:textId="77777777">
            <w:pPr>
              <w:pStyle w:val="CommentText"/>
              <w:rPr>
                <w:rStyle w:val="Hyperlink"/>
                <w:color w:val="0000FF"/>
                <w:sz w:val="24"/>
                <w:szCs w:val="24"/>
              </w:rPr>
            </w:pPr>
            <w:hyperlink r:id="rId24" w:history="1">
              <w:r w:rsidRPr="00163AF0" w:rsidR="00945291">
                <w:rPr>
                  <w:rStyle w:val="Hyperlink"/>
                  <w:color w:val="0000FF"/>
                  <w:sz w:val="24"/>
                  <w:szCs w:val="24"/>
                </w:rPr>
                <w:t>jkylercohn@BKLlawfirm.com</w:t>
              </w:r>
            </w:hyperlink>
          </w:p>
          <w:p w:rsidR="00B90241" w:rsidRPr="00163AF0" w:rsidP="005D2D59" w14:paraId="41058599" w14:textId="77777777">
            <w:pPr>
              <w:pStyle w:val="CommentText"/>
              <w:rPr>
                <w:rStyle w:val="Hyperlink"/>
                <w:color w:val="0000FF"/>
                <w:sz w:val="24"/>
                <w:szCs w:val="24"/>
              </w:rPr>
            </w:pPr>
            <w:hyperlink r:id="rId25" w:history="1">
              <w:r w:rsidRPr="00163AF0" w:rsidR="00945291">
                <w:rPr>
                  <w:rStyle w:val="Hyperlink"/>
                  <w:color w:val="0000FF"/>
                  <w:sz w:val="24"/>
                  <w:szCs w:val="24"/>
                </w:rPr>
                <w:t>talexander@beneschlaw.com</w:t>
              </w:r>
            </w:hyperlink>
          </w:p>
          <w:p w:rsidR="00B90241" w:rsidRPr="00163AF0" w:rsidP="005D2D59" w14:paraId="0BE321DE" w14:textId="77777777">
            <w:pPr>
              <w:widowControl w:val="0"/>
              <w:rPr>
                <w:color w:val="0000FF"/>
                <w:szCs w:val="24"/>
                <w:u w:val="single"/>
              </w:rPr>
            </w:pPr>
            <w:r w:rsidRPr="00163AF0">
              <w:rPr>
                <w:rStyle w:val="Hyperlink"/>
                <w:color w:val="0000FF"/>
                <w:szCs w:val="24"/>
              </w:rPr>
              <w:t>khehmeyer@beneschlaw.com</w:t>
            </w:r>
          </w:p>
          <w:p w:rsidR="00B90241" w:rsidRPr="00163AF0" w:rsidP="005D2D59" w14:paraId="2396E89D" w14:textId="77777777">
            <w:pPr>
              <w:widowControl w:val="0"/>
              <w:autoSpaceDE w:val="0"/>
              <w:autoSpaceDN w:val="0"/>
              <w:adjustRightInd w:val="0"/>
              <w:rPr>
                <w:rFonts w:eastAsia="Calibri"/>
                <w:color w:val="0000FF"/>
                <w:szCs w:val="24"/>
              </w:rPr>
            </w:pPr>
          </w:p>
          <w:p w:rsidR="00B90241" w:rsidRPr="00163AF0" w:rsidP="005D2D59" w14:paraId="6F6693E4" w14:textId="77777777">
            <w:pPr>
              <w:widowControl w:val="0"/>
              <w:rPr>
                <w:color w:val="0000FF"/>
                <w:szCs w:val="24"/>
              </w:rPr>
            </w:pPr>
          </w:p>
          <w:p w:rsidR="00B90241" w:rsidRPr="00163AF0" w:rsidP="005D2D59" w14:paraId="4D448F42" w14:textId="77777777">
            <w:pPr>
              <w:widowControl w:val="0"/>
              <w:suppressLineNumbers/>
              <w:ind w:left="-19"/>
              <w:rPr>
                <w:szCs w:val="24"/>
              </w:rPr>
            </w:pPr>
            <w:r w:rsidRPr="00163AF0">
              <w:rPr>
                <w:szCs w:val="24"/>
              </w:rPr>
              <w:t>Attorney Examiners:</w:t>
            </w:r>
          </w:p>
          <w:p w:rsidR="00B90241" w:rsidRPr="00163AF0" w:rsidP="005D2D59" w14:paraId="5A38B383" w14:textId="77777777">
            <w:pPr>
              <w:widowControl w:val="0"/>
              <w:suppressLineNumbers/>
              <w:ind w:left="-19"/>
              <w:rPr>
                <w:color w:val="0000FF"/>
                <w:szCs w:val="24"/>
                <w:u w:val="single"/>
              </w:rPr>
            </w:pPr>
            <w:hyperlink r:id="rId26" w:history="1">
              <w:r w:rsidRPr="00163AF0" w:rsidR="00945291">
                <w:rPr>
                  <w:rStyle w:val="Hyperlink"/>
                  <w:color w:val="0000FF"/>
                  <w:szCs w:val="24"/>
                </w:rPr>
                <w:t>megan.addison@puco.ohio.gov</w:t>
              </w:r>
            </w:hyperlink>
          </w:p>
          <w:p w:rsidR="00B90241" w:rsidRPr="00163AF0" w:rsidP="005D2D59" w14:paraId="09B7920A" w14:textId="77777777">
            <w:pPr>
              <w:widowControl w:val="0"/>
              <w:suppressLineNumbers/>
              <w:ind w:left="-19"/>
              <w:rPr>
                <w:bCs w:val="0"/>
                <w:color w:val="0000FF"/>
                <w:szCs w:val="24"/>
              </w:rPr>
            </w:pPr>
            <w:r w:rsidRPr="00163AF0">
              <w:rPr>
                <w:color w:val="0000FF"/>
                <w:szCs w:val="24"/>
                <w:u w:val="single"/>
              </w:rPr>
              <w:t>jacqueline.st.john@puco.ohio.gov</w:t>
            </w:r>
          </w:p>
        </w:tc>
        <w:tc>
          <w:tcPr>
            <w:tcW w:w="4428" w:type="dxa"/>
          </w:tcPr>
          <w:p w:rsidR="00B90241" w:rsidRPr="00163AF0" w:rsidP="005D2D59" w14:paraId="626A3EFB" w14:textId="77777777">
            <w:pPr>
              <w:widowControl w:val="0"/>
              <w:ind w:left="804"/>
              <w:rPr>
                <w:color w:val="0000FF"/>
                <w:szCs w:val="24"/>
              </w:rPr>
            </w:pPr>
            <w:hyperlink r:id="rId27" w:history="1">
              <w:r w:rsidRPr="00163AF0" w:rsidR="00945291">
                <w:rPr>
                  <w:rStyle w:val="Hyperlink"/>
                  <w:color w:val="0000FF"/>
                  <w:szCs w:val="24"/>
                </w:rPr>
                <w:t>edanford@firstenergycorp.com</w:t>
              </w:r>
            </w:hyperlink>
          </w:p>
          <w:p w:rsidR="00B90241" w:rsidRPr="00163AF0" w:rsidP="005D2D59" w14:paraId="20FF099D" w14:textId="77777777">
            <w:pPr>
              <w:widowControl w:val="0"/>
              <w:ind w:left="804"/>
              <w:rPr>
                <w:color w:val="0000FF"/>
                <w:szCs w:val="24"/>
              </w:rPr>
            </w:pPr>
            <w:hyperlink r:id="rId28" w:history="1">
              <w:r w:rsidRPr="00163AF0" w:rsidR="00945291">
                <w:rPr>
                  <w:rStyle w:val="Hyperlink"/>
                  <w:color w:val="0000FF"/>
                  <w:szCs w:val="24"/>
                </w:rPr>
                <w:t>cwatchorn@firstenergycorp.com</w:t>
              </w:r>
            </w:hyperlink>
          </w:p>
          <w:p w:rsidR="00B90241" w:rsidRPr="00163AF0" w:rsidP="005D2D59" w14:paraId="73208B1F" w14:textId="77777777">
            <w:pPr>
              <w:widowControl w:val="0"/>
              <w:ind w:left="804"/>
              <w:rPr>
                <w:rFonts w:eastAsia="Calibri"/>
                <w:bCs w:val="0"/>
                <w:color w:val="0000FF"/>
                <w:szCs w:val="24"/>
              </w:rPr>
            </w:pPr>
            <w:hyperlink r:id="rId29" w:history="1">
              <w:r w:rsidRPr="00163AF0" w:rsidR="00945291">
                <w:rPr>
                  <w:rStyle w:val="Hyperlink"/>
                  <w:rFonts w:eastAsia="Calibri"/>
                  <w:color w:val="0000FF"/>
                  <w:szCs w:val="24"/>
                </w:rPr>
                <w:t>bknipe@firstenergycorp.com</w:t>
              </w:r>
            </w:hyperlink>
          </w:p>
          <w:p w:rsidR="00B90241" w:rsidRPr="00163AF0" w:rsidP="005D2D59" w14:paraId="42862237" w14:textId="77777777">
            <w:pPr>
              <w:widowControl w:val="0"/>
              <w:autoSpaceDE w:val="0"/>
              <w:autoSpaceDN w:val="0"/>
              <w:adjustRightInd w:val="0"/>
              <w:ind w:left="804"/>
              <w:rPr>
                <w:rFonts w:eastAsia="Calibri"/>
                <w:color w:val="0000FF"/>
                <w:szCs w:val="24"/>
              </w:rPr>
            </w:pPr>
            <w:hyperlink r:id="rId30" w:history="1">
              <w:r w:rsidRPr="00163AF0" w:rsidR="00945291">
                <w:rPr>
                  <w:rFonts w:eastAsia="Calibri"/>
                  <w:color w:val="0000FF"/>
                  <w:szCs w:val="24"/>
                  <w:u w:val="single"/>
                </w:rPr>
                <w:t>mrgladman@jonesday.com</w:t>
              </w:r>
            </w:hyperlink>
          </w:p>
          <w:p w:rsidR="00B90241" w:rsidRPr="00163AF0" w:rsidP="005D2D59" w14:paraId="2EDB7EDC" w14:textId="77777777">
            <w:pPr>
              <w:widowControl w:val="0"/>
              <w:autoSpaceDE w:val="0"/>
              <w:autoSpaceDN w:val="0"/>
              <w:adjustRightInd w:val="0"/>
              <w:ind w:left="804"/>
              <w:rPr>
                <w:rFonts w:eastAsia="Calibri"/>
                <w:color w:val="0000FF"/>
                <w:szCs w:val="24"/>
              </w:rPr>
            </w:pPr>
            <w:hyperlink r:id="rId31" w:history="1">
              <w:r w:rsidRPr="00163AF0" w:rsidR="00945291">
                <w:rPr>
                  <w:rFonts w:eastAsia="Calibri"/>
                  <w:color w:val="0000FF"/>
                  <w:szCs w:val="24"/>
                  <w:u w:val="single"/>
                </w:rPr>
                <w:t>mdengler@jonesday.com</w:t>
              </w:r>
            </w:hyperlink>
          </w:p>
          <w:p w:rsidR="00B90241" w:rsidRPr="00163AF0" w:rsidP="005D2D59" w14:paraId="359E8076" w14:textId="07D6E307">
            <w:pPr>
              <w:widowControl w:val="0"/>
              <w:ind w:left="804"/>
              <w:rPr>
                <w:rFonts w:eastAsia="Calibri"/>
                <w:color w:val="0000FF"/>
                <w:szCs w:val="24"/>
                <w:u w:val="single"/>
              </w:rPr>
            </w:pPr>
            <w:hyperlink r:id="rId32" w:history="1">
              <w:r w:rsidRPr="00163AF0" w:rsidR="00945291">
                <w:rPr>
                  <w:rFonts w:eastAsia="Calibri"/>
                  <w:color w:val="0000FF"/>
                  <w:szCs w:val="24"/>
                  <w:u w:val="single"/>
                </w:rPr>
                <w:t>radoringo@jonesday.com</w:t>
              </w:r>
            </w:hyperlink>
          </w:p>
          <w:p w:rsidR="00286088" w:rsidRPr="00163AF0" w:rsidP="005D2D59" w14:paraId="0B3C7701" w14:textId="20A448D2">
            <w:pPr>
              <w:widowControl w:val="0"/>
              <w:ind w:left="804"/>
              <w:rPr>
                <w:rFonts w:eastAsia="Calibri"/>
                <w:color w:val="0000FF"/>
                <w:szCs w:val="24"/>
              </w:rPr>
            </w:pPr>
            <w:hyperlink r:id="rId33" w:history="1">
              <w:r w:rsidRPr="00163AF0">
                <w:rPr>
                  <w:rStyle w:val="Hyperlink"/>
                  <w:rFonts w:eastAsia="Calibri"/>
                  <w:color w:val="0000FF"/>
                  <w:szCs w:val="24"/>
                </w:rPr>
                <w:t>marcie.lape@skadden.com</w:t>
              </w:r>
            </w:hyperlink>
          </w:p>
          <w:p w:rsidR="00B90241" w:rsidRPr="00163AF0" w:rsidP="005D2D59" w14:paraId="1CB2EDBC" w14:textId="77777777">
            <w:pPr>
              <w:widowControl w:val="0"/>
              <w:autoSpaceDE w:val="0"/>
              <w:autoSpaceDN w:val="0"/>
              <w:adjustRightInd w:val="0"/>
              <w:ind w:left="804"/>
              <w:rPr>
                <w:rFonts w:eastAsia="Calibri"/>
                <w:color w:val="0000FF"/>
                <w:szCs w:val="24"/>
                <w:u w:val="single"/>
              </w:rPr>
            </w:pPr>
            <w:hyperlink r:id="rId34" w:history="1">
              <w:r w:rsidRPr="00163AF0" w:rsidR="00945291">
                <w:rPr>
                  <w:rFonts w:eastAsia="Calibri"/>
                  <w:color w:val="0000FF"/>
                  <w:szCs w:val="24"/>
                  <w:u w:val="single"/>
                </w:rPr>
                <w:t>iavalon@taftlaw.com</w:t>
              </w:r>
            </w:hyperlink>
          </w:p>
          <w:p w:rsidR="00B90241" w:rsidRPr="00163AF0" w:rsidP="005D2D59" w14:paraId="175707FC" w14:textId="77777777">
            <w:pPr>
              <w:widowControl w:val="0"/>
              <w:autoSpaceDE w:val="0"/>
              <w:autoSpaceDN w:val="0"/>
              <w:adjustRightInd w:val="0"/>
              <w:ind w:left="804"/>
              <w:rPr>
                <w:rFonts w:eastAsia="Calibri"/>
                <w:color w:val="0000FF"/>
                <w:szCs w:val="24"/>
                <w:u w:val="single"/>
              </w:rPr>
            </w:pPr>
            <w:r w:rsidRPr="00163AF0">
              <w:rPr>
                <w:rFonts w:eastAsia="Calibri"/>
                <w:color w:val="0000FF"/>
                <w:szCs w:val="24"/>
                <w:u w:val="single"/>
              </w:rPr>
              <w:t>kverhalen@taftlaw.com</w:t>
            </w:r>
          </w:p>
          <w:p w:rsidR="00B90241" w:rsidRPr="00163AF0" w:rsidP="005D2D59" w14:paraId="00DA1B5A" w14:textId="77777777">
            <w:pPr>
              <w:widowControl w:val="0"/>
              <w:autoSpaceDE w:val="0"/>
              <w:autoSpaceDN w:val="0"/>
              <w:adjustRightInd w:val="0"/>
              <w:ind w:left="804"/>
              <w:rPr>
                <w:rFonts w:eastAsia="Calibri"/>
                <w:color w:val="0000FF"/>
                <w:szCs w:val="24"/>
              </w:rPr>
            </w:pPr>
            <w:hyperlink r:id="rId35" w:history="1">
              <w:r w:rsidRPr="00163AF0" w:rsidR="00945291">
                <w:rPr>
                  <w:rFonts w:eastAsia="Calibri"/>
                  <w:color w:val="0000FF"/>
                  <w:szCs w:val="24"/>
                  <w:u w:val="single"/>
                </w:rPr>
                <w:t>mpritchard@mcneeslaw.com</w:t>
              </w:r>
            </w:hyperlink>
          </w:p>
          <w:p w:rsidR="00B90241" w:rsidRPr="00163AF0" w:rsidP="005D2D59" w14:paraId="4A580624" w14:textId="77777777">
            <w:pPr>
              <w:widowControl w:val="0"/>
              <w:autoSpaceDE w:val="0"/>
              <w:autoSpaceDN w:val="0"/>
              <w:adjustRightInd w:val="0"/>
              <w:ind w:left="804"/>
              <w:rPr>
                <w:rFonts w:eastAsia="Calibri"/>
                <w:color w:val="0000FF"/>
                <w:szCs w:val="24"/>
                <w:u w:val="single"/>
              </w:rPr>
            </w:pPr>
            <w:hyperlink r:id="rId36" w:history="1">
              <w:r w:rsidRPr="00163AF0" w:rsidR="00945291">
                <w:rPr>
                  <w:rFonts w:eastAsia="Calibri"/>
                  <w:color w:val="0000FF"/>
                  <w:szCs w:val="24"/>
                  <w:u w:val="single"/>
                </w:rPr>
                <w:t>rdove@keglerbrown.com</w:t>
              </w:r>
            </w:hyperlink>
          </w:p>
          <w:p w:rsidR="00B90241" w:rsidRPr="00163AF0" w:rsidP="005D2D59" w14:paraId="2DF060A2" w14:textId="77777777">
            <w:pPr>
              <w:widowControl w:val="0"/>
              <w:autoSpaceDE w:val="0"/>
              <w:autoSpaceDN w:val="0"/>
              <w:adjustRightInd w:val="0"/>
              <w:ind w:left="804"/>
              <w:rPr>
                <w:rFonts w:eastAsia="Calibri"/>
                <w:color w:val="0000FF"/>
                <w:szCs w:val="24"/>
                <w:u w:val="single"/>
              </w:rPr>
            </w:pPr>
            <w:hyperlink r:id="rId37" w:history="1">
              <w:r w:rsidRPr="00163AF0" w:rsidR="00945291">
                <w:rPr>
                  <w:rFonts w:eastAsia="Calibri"/>
                  <w:color w:val="0000FF"/>
                  <w:szCs w:val="24"/>
                  <w:u w:val="single"/>
                </w:rPr>
                <w:t>bojko@carpenterlipps.com</w:t>
              </w:r>
            </w:hyperlink>
          </w:p>
          <w:p w:rsidR="00B90241" w:rsidRPr="00163AF0" w:rsidP="005D2D59" w14:paraId="79B7E5B7" w14:textId="77777777">
            <w:pPr>
              <w:widowControl w:val="0"/>
              <w:autoSpaceDE w:val="0"/>
              <w:autoSpaceDN w:val="0"/>
              <w:adjustRightInd w:val="0"/>
              <w:ind w:left="804"/>
              <w:rPr>
                <w:rFonts w:eastAsia="Calibri"/>
                <w:color w:val="0000FF"/>
                <w:szCs w:val="24"/>
                <w:u w:val="single"/>
              </w:rPr>
            </w:pPr>
            <w:hyperlink r:id="rId38" w:history="1">
              <w:r w:rsidRPr="00163AF0" w:rsidR="00945291">
                <w:rPr>
                  <w:rFonts w:eastAsia="Calibri"/>
                  <w:color w:val="0000FF"/>
                  <w:szCs w:val="24"/>
                  <w:u w:val="single"/>
                </w:rPr>
                <w:t>donadio@carpenterlipps.com</w:t>
              </w:r>
            </w:hyperlink>
          </w:p>
          <w:p w:rsidR="00B90241" w:rsidRPr="00163AF0" w:rsidP="005D2D59" w14:paraId="1EF48688" w14:textId="77777777">
            <w:pPr>
              <w:widowControl w:val="0"/>
              <w:autoSpaceDE w:val="0"/>
              <w:autoSpaceDN w:val="0"/>
              <w:adjustRightInd w:val="0"/>
              <w:ind w:left="804"/>
              <w:rPr>
                <w:rFonts w:eastAsia="Calibri"/>
                <w:color w:val="0000FF"/>
                <w:szCs w:val="24"/>
              </w:rPr>
            </w:pPr>
            <w:hyperlink r:id="rId39" w:history="1">
              <w:r w:rsidRPr="00163AF0" w:rsidR="00945291">
                <w:rPr>
                  <w:rFonts w:eastAsia="Calibri"/>
                  <w:color w:val="0000FF"/>
                  <w:szCs w:val="24"/>
                  <w:u w:val="single"/>
                </w:rPr>
                <w:t>tdougherty@theOEC.org</w:t>
              </w:r>
            </w:hyperlink>
          </w:p>
          <w:p w:rsidR="00B90241" w:rsidRPr="00163AF0" w:rsidP="005D2D59" w14:paraId="25D9DC5C" w14:textId="77777777">
            <w:pPr>
              <w:widowControl w:val="0"/>
              <w:autoSpaceDE w:val="0"/>
              <w:autoSpaceDN w:val="0"/>
              <w:adjustRightInd w:val="0"/>
              <w:ind w:left="804"/>
              <w:rPr>
                <w:rFonts w:eastAsia="Calibri"/>
                <w:color w:val="0000FF"/>
                <w:szCs w:val="24"/>
                <w:u w:val="single"/>
              </w:rPr>
            </w:pPr>
            <w:hyperlink r:id="rId40" w:history="1">
              <w:r w:rsidRPr="00163AF0" w:rsidR="00945291">
                <w:rPr>
                  <w:rFonts w:eastAsia="Calibri"/>
                  <w:color w:val="0000FF"/>
                  <w:szCs w:val="24"/>
                  <w:u w:val="single"/>
                </w:rPr>
                <w:t>ctavenor@theOEC.org</w:t>
              </w:r>
            </w:hyperlink>
          </w:p>
          <w:p w:rsidR="00B90241" w:rsidRPr="00163AF0" w:rsidP="005D2D59" w14:paraId="31E77DCE" w14:textId="77777777">
            <w:pPr>
              <w:widowControl w:val="0"/>
              <w:autoSpaceDE w:val="0"/>
              <w:autoSpaceDN w:val="0"/>
              <w:adjustRightInd w:val="0"/>
              <w:ind w:left="804"/>
              <w:rPr>
                <w:rStyle w:val="Hyperlink"/>
                <w:rFonts w:eastAsia="Calibri"/>
                <w:color w:val="0000FF"/>
                <w:szCs w:val="24"/>
              </w:rPr>
            </w:pPr>
            <w:hyperlink r:id="rId41" w:history="1">
              <w:r w:rsidRPr="00163AF0" w:rsidR="00945291">
                <w:rPr>
                  <w:rStyle w:val="Hyperlink"/>
                  <w:rFonts w:eastAsia="Calibri"/>
                  <w:color w:val="0000FF"/>
                  <w:szCs w:val="24"/>
                </w:rPr>
                <w:t>jweber@elpc.org</w:t>
              </w:r>
            </w:hyperlink>
          </w:p>
          <w:p w:rsidR="00B90241" w:rsidRPr="00163AF0" w:rsidP="005D2D59" w14:paraId="18D20D26" w14:textId="77777777">
            <w:pPr>
              <w:widowControl w:val="0"/>
              <w:ind w:left="804"/>
              <w:rPr>
                <w:color w:val="0000FF"/>
                <w:szCs w:val="24"/>
                <w:u w:val="single"/>
              </w:rPr>
            </w:pPr>
            <w:r w:rsidRPr="00163AF0">
              <w:rPr>
                <w:color w:val="0000FF"/>
                <w:szCs w:val="24"/>
                <w:u w:val="single"/>
              </w:rPr>
              <w:t>trhayslaw@gmail.com</w:t>
            </w:r>
          </w:p>
          <w:p w:rsidR="00B90241" w:rsidRPr="00163AF0" w:rsidP="005D2D59" w14:paraId="4D4F1EF4" w14:textId="77777777">
            <w:pPr>
              <w:widowControl w:val="0"/>
              <w:ind w:left="804"/>
              <w:rPr>
                <w:color w:val="0000FF"/>
                <w:szCs w:val="24"/>
                <w:u w:val="single"/>
              </w:rPr>
            </w:pPr>
            <w:r w:rsidRPr="00163AF0">
              <w:rPr>
                <w:color w:val="0000FF"/>
                <w:szCs w:val="24"/>
                <w:u w:val="single"/>
              </w:rPr>
              <w:t>leslie.kovacik@toledo.oh.gov</w:t>
            </w:r>
          </w:p>
          <w:p w:rsidR="00B90241" w:rsidRPr="00163AF0" w:rsidP="005D2D59" w14:paraId="6F6360A9" w14:textId="77777777">
            <w:pPr>
              <w:ind w:left="804"/>
              <w:rPr>
                <w:color w:val="0000FF"/>
                <w:szCs w:val="24"/>
              </w:rPr>
            </w:pPr>
            <w:hyperlink r:id="rId42" w:history="1">
              <w:r w:rsidRPr="00163AF0" w:rsidR="00945291">
                <w:rPr>
                  <w:rStyle w:val="Hyperlink"/>
                  <w:color w:val="0000FF"/>
                  <w:szCs w:val="24"/>
                </w:rPr>
                <w:t>sgoyal@jonesday.com</w:t>
              </w:r>
            </w:hyperlink>
          </w:p>
          <w:p w:rsidR="00B90241" w:rsidRPr="00163AF0" w:rsidP="005D2D59" w14:paraId="5280346C" w14:textId="77777777">
            <w:pPr>
              <w:pStyle w:val="CommentText"/>
              <w:ind w:left="804"/>
              <w:rPr>
                <w:color w:val="0000FF"/>
                <w:sz w:val="24"/>
                <w:szCs w:val="24"/>
              </w:rPr>
            </w:pPr>
            <w:hyperlink r:id="rId43" w:history="1">
              <w:r w:rsidRPr="00163AF0" w:rsidR="00945291">
                <w:rPr>
                  <w:rStyle w:val="Hyperlink"/>
                  <w:color w:val="0000FF"/>
                  <w:sz w:val="24"/>
                  <w:szCs w:val="24"/>
                </w:rPr>
                <w:t>calee@jonesday.com</w:t>
              </w:r>
            </w:hyperlink>
          </w:p>
          <w:p w:rsidR="00B90241" w:rsidRPr="00163AF0" w:rsidP="005D2D59" w14:paraId="1B67E4FC" w14:textId="77777777">
            <w:pPr>
              <w:widowControl w:val="0"/>
              <w:ind w:left="777"/>
              <w:rPr>
                <w:color w:val="0000FF"/>
                <w:szCs w:val="24"/>
                <w:u w:val="single"/>
              </w:rPr>
            </w:pPr>
            <w:r w:rsidRPr="00163AF0">
              <w:rPr>
                <w:color w:val="0000FF"/>
                <w:szCs w:val="24"/>
                <w:u w:val="single"/>
              </w:rPr>
              <w:t>glpetrucci@vorys.com</w:t>
            </w:r>
          </w:p>
          <w:p w:rsidR="00B90241" w:rsidRPr="00163AF0" w:rsidP="005D2D59" w14:paraId="7BC8518A" w14:textId="77777777">
            <w:pPr>
              <w:widowControl w:val="0"/>
              <w:ind w:left="777"/>
              <w:rPr>
                <w:color w:val="0000FF"/>
                <w:szCs w:val="24"/>
                <w:u w:val="single"/>
              </w:rPr>
            </w:pPr>
            <w:r w:rsidRPr="00163AF0">
              <w:rPr>
                <w:color w:val="0000FF"/>
                <w:szCs w:val="24"/>
                <w:u w:val="single"/>
              </w:rPr>
              <w:t>dparram@bricker.com</w:t>
            </w:r>
          </w:p>
          <w:p w:rsidR="00B90241" w:rsidRPr="00163AF0" w:rsidP="005D2D59" w14:paraId="4EED0B99" w14:textId="77777777">
            <w:pPr>
              <w:widowControl w:val="0"/>
              <w:ind w:left="777"/>
              <w:rPr>
                <w:color w:val="0000FF"/>
                <w:szCs w:val="24"/>
                <w:u w:val="single"/>
              </w:rPr>
            </w:pPr>
            <w:r w:rsidRPr="00163AF0">
              <w:rPr>
                <w:color w:val="0000FF"/>
                <w:szCs w:val="24"/>
                <w:u w:val="single"/>
              </w:rPr>
              <w:t>rmains@bricker.com</w:t>
            </w:r>
          </w:p>
          <w:p w:rsidR="00B90241" w:rsidRPr="00163AF0" w:rsidP="005D2D59" w14:paraId="76E2DF25" w14:textId="77777777">
            <w:pPr>
              <w:pStyle w:val="CommentText"/>
              <w:ind w:left="804"/>
              <w:rPr>
                <w:color w:val="0000FF"/>
                <w:sz w:val="24"/>
                <w:szCs w:val="24"/>
                <w:u w:val="single"/>
              </w:rPr>
            </w:pPr>
          </w:p>
        </w:tc>
      </w:tr>
      <w:bookmarkEnd w:id="8"/>
    </w:tbl>
    <w:p w:rsidR="009B34A2" w:rsidRPr="00163AF0" w:rsidP="005D2D59" w14:paraId="6F828E2C" w14:textId="77777777">
      <w:pPr>
        <w:pStyle w:val="CommentText"/>
        <w:rPr>
          <w:sz w:val="24"/>
          <w:szCs w:val="24"/>
          <w:u w:val="single"/>
        </w:rPr>
      </w:pPr>
    </w:p>
    <w:sectPr w:rsidSect="002E4256">
      <w:headerReference w:type="default" r:id="rId44"/>
      <w:footerReference w:type="even" r:id="rId45"/>
      <w:footerReference w:type="default" r:id="rId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0B3" w14:paraId="66AC4F60" w14:textId="77777777">
    <w:pPr>
      <w:pStyle w:val="Footer"/>
      <w:jc w:val="center"/>
    </w:pPr>
  </w:p>
  <w:p w:rsidR="005E50B3" w14:paraId="7B6DF9C0"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4853390"/>
      <w:docPartObj>
        <w:docPartGallery w:val="Page Numbers (Bottom of Page)"/>
        <w:docPartUnique/>
      </w:docPartObj>
    </w:sdtPr>
    <w:sdtEndPr>
      <w:rPr>
        <w:noProof/>
        <w:szCs w:val="24"/>
      </w:rPr>
    </w:sdtEndPr>
    <w:sdtContent>
      <w:p w:rsidR="00B165B3" w:rsidRPr="00B165B3" w14:paraId="222CDA00" w14:textId="6C62A95D">
        <w:pPr>
          <w:pStyle w:val="Footer"/>
          <w:jc w:val="center"/>
          <w:rPr>
            <w:szCs w:val="24"/>
          </w:rPr>
        </w:pPr>
        <w:r w:rsidRPr="00B165B3">
          <w:rPr>
            <w:szCs w:val="24"/>
          </w:rPr>
          <w:fldChar w:fldCharType="begin"/>
        </w:r>
        <w:r w:rsidRPr="00B165B3">
          <w:rPr>
            <w:szCs w:val="24"/>
          </w:rPr>
          <w:instrText xml:space="preserve"> PAGE   \* MERGEFORMAT </w:instrText>
        </w:r>
        <w:r w:rsidRPr="00B165B3">
          <w:rPr>
            <w:szCs w:val="24"/>
          </w:rPr>
          <w:fldChar w:fldCharType="separate"/>
        </w:r>
        <w:r w:rsidRPr="00B165B3">
          <w:rPr>
            <w:noProof/>
            <w:szCs w:val="24"/>
          </w:rPr>
          <w:t>2</w:t>
        </w:r>
        <w:r w:rsidRPr="00B165B3">
          <w:rPr>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7671290"/>
      <w:docPartObj>
        <w:docPartGallery w:val="Page Numbers (Bottom of Page)"/>
        <w:docPartUnique/>
      </w:docPartObj>
    </w:sdtPr>
    <w:sdtEndPr>
      <w:rPr>
        <w:noProof/>
      </w:rPr>
    </w:sdtEndPr>
    <w:sdtContent>
      <w:p w:rsidR="005E50B3" w14:paraId="13185F8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5095397"/>
      <w:docPartObj>
        <w:docPartGallery w:val="Page Numbers (Bottom of Page)"/>
        <w:docPartUnique/>
      </w:docPartObj>
    </w:sdtPr>
    <w:sdtEndPr>
      <w:rPr>
        <w:noProof/>
      </w:rPr>
    </w:sdtEndPr>
    <w:sdtContent>
      <w:p w:rsidR="0061608D" w14:paraId="10B0376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608D" w14:paraId="534B10B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0449452"/>
      <w:docPartObj>
        <w:docPartGallery w:val="Page Numbers (Bottom of Page)"/>
        <w:docPartUnique/>
      </w:docPartObj>
    </w:sdtPr>
    <w:sdtEndPr>
      <w:rPr>
        <w:noProof/>
        <w:szCs w:val="24"/>
      </w:rPr>
    </w:sdtEndPr>
    <w:sdtContent>
      <w:p w:rsidR="00024882" w:rsidRPr="00024882" w14:paraId="5365AE50" w14:textId="77777777">
        <w:pPr>
          <w:pStyle w:val="Footer"/>
          <w:jc w:val="center"/>
          <w:rPr>
            <w:szCs w:val="24"/>
          </w:rPr>
        </w:pPr>
        <w:r w:rsidRPr="00024882">
          <w:rPr>
            <w:szCs w:val="24"/>
          </w:rPr>
          <w:fldChar w:fldCharType="begin"/>
        </w:r>
        <w:r w:rsidRPr="00024882">
          <w:rPr>
            <w:szCs w:val="24"/>
          </w:rPr>
          <w:instrText xml:space="preserve"> PAGE   \* MERGEFORMAT </w:instrText>
        </w:r>
        <w:r w:rsidRPr="00024882">
          <w:rPr>
            <w:szCs w:val="24"/>
          </w:rPr>
          <w:fldChar w:fldCharType="separate"/>
        </w:r>
        <w:r w:rsidRPr="00024882">
          <w:rPr>
            <w:noProof/>
            <w:szCs w:val="24"/>
          </w:rPr>
          <w:t>2</w:t>
        </w:r>
        <w:r w:rsidRPr="00024882">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1BBD" w:rsidP="00F219D1" w14:paraId="5EE2F3E1" w14:textId="77777777">
      <w:r>
        <w:separator/>
      </w:r>
    </w:p>
  </w:footnote>
  <w:footnote w:type="continuationSeparator" w:id="1">
    <w:p w:rsidR="00BF1BBD" w:rsidP="00F219D1" w14:paraId="439AE45B" w14:textId="77777777">
      <w:r>
        <w:continuationSeparator/>
      </w:r>
    </w:p>
  </w:footnote>
  <w:footnote w:type="continuationNotice" w:id="2">
    <w:p w:rsidR="00BF1BBD" w14:paraId="6A9AD695" w14:textId="77777777"/>
  </w:footnote>
  <w:footnote w:id="3">
    <w:p w:rsidR="00D50154" w:rsidRPr="0086700A" w:rsidP="00A75524" w14:paraId="172D03EE" w14:textId="77777777">
      <w:pPr>
        <w:pStyle w:val="FootnoteText"/>
        <w:spacing w:after="120"/>
        <w:rPr>
          <w:b w:val="0"/>
          <w:bCs w:val="0"/>
        </w:rPr>
      </w:pPr>
      <w:r w:rsidRPr="0086700A">
        <w:rPr>
          <w:rStyle w:val="FootnoteReference"/>
          <w:b w:val="0"/>
          <w:bCs w:val="0"/>
        </w:rPr>
        <w:footnoteRef/>
      </w:r>
      <w:r w:rsidRPr="0086700A">
        <w:t xml:space="preserve"> </w:t>
      </w:r>
      <w:r w:rsidRPr="0086700A">
        <w:rPr>
          <w:b w:val="0"/>
          <w:bCs w:val="0"/>
        </w:rPr>
        <w:t xml:space="preserve">J. Pelzer, </w:t>
      </w:r>
      <w:r w:rsidRPr="0086700A">
        <w:rPr>
          <w:b w:val="0"/>
          <w:bCs w:val="0"/>
          <w:i/>
          <w:iCs/>
        </w:rPr>
        <w:t xml:space="preserve">New PUCO Chair Jenifer French: more transparency needed to lift the ‘black cloud’ of [the] HB 6 scandal, </w:t>
      </w:r>
      <w:r w:rsidRPr="0086700A">
        <w:rPr>
          <w:b w:val="0"/>
          <w:bCs w:val="0"/>
        </w:rPr>
        <w:t>Cleveland.com (May 18, 2021).</w:t>
      </w:r>
    </w:p>
  </w:footnote>
  <w:footnote w:id="4">
    <w:p w:rsidR="00D33B7F" w:rsidRPr="00FC5087" w:rsidP="00FC5087" w14:paraId="03AD6C97" w14:textId="561E6F5C">
      <w:pPr>
        <w:pStyle w:val="FootnoteText"/>
        <w:spacing w:after="120"/>
        <w:rPr>
          <w:b w:val="0"/>
          <w:bCs w:val="0"/>
        </w:rPr>
      </w:pPr>
      <w:r w:rsidRPr="00FC5087">
        <w:rPr>
          <w:rStyle w:val="FootnoteReference"/>
          <w:b w:val="0"/>
          <w:bCs w:val="0"/>
        </w:rPr>
        <w:footnoteRef/>
      </w:r>
      <w:r w:rsidRPr="00FC5087">
        <w:rPr>
          <w:b w:val="0"/>
          <w:bCs w:val="0"/>
        </w:rPr>
        <w:t xml:space="preserve"> </w:t>
      </w:r>
      <w:r w:rsidRPr="0086700A" w:rsidR="00FC5087">
        <w:rPr>
          <w:b w:val="0"/>
          <w:bCs w:val="0"/>
          <w:i/>
          <w:iCs/>
        </w:rPr>
        <w:t>In the Matter of the Review of Ohio Edison Company, the Cleveland Electric Illuminating Company, and the Toledo Edison Company’s Compliance with R.C. 4928.17 and Ohio Adm. Code Chapter 4901:1-37</w:t>
      </w:r>
      <w:r w:rsidRPr="0086700A" w:rsidR="00FC5087">
        <w:rPr>
          <w:b w:val="0"/>
          <w:bCs w:val="0"/>
        </w:rPr>
        <w:t>, Case No. 17-974-EL-UNC, Entry at ¶17 (Nov. 4, 2020).</w:t>
      </w:r>
    </w:p>
  </w:footnote>
  <w:footnote w:id="5">
    <w:p w:rsidR="00EC21E5" w:rsidRPr="00EC21E5" w:rsidP="00FC5087" w14:paraId="36A8EAB4" w14:textId="06173A53">
      <w:pPr>
        <w:pStyle w:val="FootnoteText"/>
        <w:spacing w:after="120"/>
        <w:rPr>
          <w:b w:val="0"/>
          <w:bCs w:val="0"/>
        </w:rPr>
      </w:pPr>
      <w:r w:rsidRPr="00A75524">
        <w:rPr>
          <w:rStyle w:val="FootnoteReference"/>
          <w:b w:val="0"/>
          <w:bCs w:val="0"/>
        </w:rPr>
        <w:footnoteRef/>
      </w:r>
      <w:r>
        <w:t xml:space="preserve"> </w:t>
      </w:r>
      <w:r>
        <w:rPr>
          <w:b w:val="0"/>
          <w:bCs w:val="0"/>
        </w:rPr>
        <w:t>Motion to Quash at 8.</w:t>
      </w:r>
    </w:p>
  </w:footnote>
  <w:footnote w:id="6">
    <w:p w:rsidR="007B23D4" w:rsidRPr="007B23D4" w:rsidP="00A75524" w14:paraId="667101E0" w14:textId="4F4254AE">
      <w:pPr>
        <w:pStyle w:val="FootnoteText"/>
        <w:spacing w:after="120"/>
        <w:rPr>
          <w:b w:val="0"/>
          <w:bCs w:val="0"/>
        </w:rPr>
      </w:pPr>
      <w:r w:rsidRPr="00A75524">
        <w:rPr>
          <w:rStyle w:val="FootnoteReference"/>
          <w:b w:val="0"/>
          <w:bCs w:val="0"/>
        </w:rPr>
        <w:footnoteRef/>
      </w:r>
      <w:r w:rsidRPr="00A75524">
        <w:rPr>
          <w:b w:val="0"/>
          <w:bCs w:val="0"/>
        </w:rPr>
        <w:t xml:space="preserve"> </w:t>
      </w:r>
      <w:r>
        <w:rPr>
          <w:b w:val="0"/>
          <w:bCs w:val="0"/>
          <w:i/>
          <w:iCs/>
        </w:rPr>
        <w:t xml:space="preserve">Id. </w:t>
      </w:r>
      <w:r>
        <w:rPr>
          <w:b w:val="0"/>
          <w:bCs w:val="0"/>
        </w:rPr>
        <w:t>at 9-10.</w:t>
      </w:r>
    </w:p>
  </w:footnote>
  <w:footnote w:id="7">
    <w:p w:rsidR="00E46E5C" w:rsidRPr="00254CEB" w:rsidP="00E46E5C" w14:paraId="0227EEFC" w14:textId="77777777">
      <w:pPr>
        <w:pStyle w:val="FootnoteText"/>
        <w:spacing w:after="120"/>
        <w:rPr>
          <w:b w:val="0"/>
          <w:bCs w:val="0"/>
        </w:rPr>
      </w:pPr>
      <w:r w:rsidRPr="00254CEB">
        <w:rPr>
          <w:rStyle w:val="FootnoteReference"/>
          <w:b w:val="0"/>
          <w:bCs w:val="0"/>
        </w:rPr>
        <w:footnoteRef/>
      </w:r>
      <w:r w:rsidRPr="00254CEB">
        <w:t xml:space="preserve"> </w:t>
      </w:r>
      <w:r w:rsidRPr="00254CEB">
        <w:rPr>
          <w:b w:val="0"/>
          <w:bCs w:val="0"/>
        </w:rPr>
        <w:t xml:space="preserve">Daymark Compliance Audit of FirstEnergy Operating Companies at 32 (Sept. 13, 2021). </w:t>
      </w:r>
    </w:p>
  </w:footnote>
  <w:footnote w:id="8">
    <w:p w:rsidR="00E46E5C" w:rsidRPr="00254CEB" w:rsidP="00E46E5C" w14:paraId="5107F3EA" w14:textId="77777777">
      <w:pPr>
        <w:pStyle w:val="FootnoteText"/>
        <w:spacing w:after="120"/>
        <w:rPr>
          <w:b w:val="0"/>
          <w:bCs w:val="0"/>
        </w:rPr>
      </w:pPr>
      <w:r w:rsidRPr="00254CEB">
        <w:rPr>
          <w:rStyle w:val="FootnoteReference"/>
          <w:b w:val="0"/>
          <w:bCs w:val="0"/>
        </w:rPr>
        <w:footnoteRef/>
      </w:r>
      <w:r w:rsidRPr="00254CEB">
        <w:rPr>
          <w:b w:val="0"/>
          <w:bCs w:val="0"/>
        </w:rPr>
        <w:t xml:space="preserve"> </w:t>
      </w:r>
      <w:r w:rsidRPr="00254CEB">
        <w:rPr>
          <w:b w:val="0"/>
          <w:bCs w:val="0"/>
          <w:i/>
          <w:iCs/>
        </w:rPr>
        <w:t>Id.</w:t>
      </w:r>
      <w:r w:rsidRPr="00254CEB">
        <w:rPr>
          <w:b w:val="0"/>
          <w:bCs w:val="0"/>
        </w:rPr>
        <w:t xml:space="preserve"> </w:t>
      </w:r>
    </w:p>
  </w:footnote>
  <w:footnote w:id="9">
    <w:p w:rsidR="00E46E5C" w:rsidRPr="00254CEB" w:rsidP="00E46E5C" w14:paraId="392544F5" w14:textId="77777777">
      <w:pPr>
        <w:pStyle w:val="FootnoteText"/>
        <w:spacing w:after="120"/>
        <w:rPr>
          <w:b w:val="0"/>
          <w:bCs w:val="0"/>
        </w:rPr>
      </w:pPr>
      <w:r w:rsidRPr="00254CEB">
        <w:rPr>
          <w:rStyle w:val="FootnoteReference"/>
          <w:b w:val="0"/>
          <w:bCs w:val="0"/>
        </w:rPr>
        <w:footnoteRef/>
      </w:r>
      <w:r w:rsidRPr="00254CEB">
        <w:rPr>
          <w:b w:val="0"/>
          <w:bCs w:val="0"/>
        </w:rPr>
        <w:t xml:space="preserve"> </w:t>
      </w:r>
      <w:r w:rsidRPr="00254CEB">
        <w:rPr>
          <w:b w:val="0"/>
          <w:bCs w:val="0"/>
          <w:i/>
          <w:iCs/>
        </w:rPr>
        <w:t>Id.</w:t>
      </w:r>
      <w:r w:rsidRPr="00254CEB">
        <w:rPr>
          <w:b w:val="0"/>
          <w:bCs w:val="0"/>
        </w:rPr>
        <w:t xml:space="preserve"> at 1. </w:t>
      </w:r>
    </w:p>
  </w:footnote>
  <w:footnote w:id="10">
    <w:p w:rsidR="00E46E5C" w:rsidRPr="00254CEB" w:rsidP="00E46E5C" w14:paraId="65D33987" w14:textId="77777777">
      <w:pPr>
        <w:pStyle w:val="FootnoteText"/>
        <w:spacing w:after="120"/>
        <w:rPr>
          <w:b w:val="0"/>
          <w:bCs w:val="0"/>
        </w:rPr>
      </w:pPr>
      <w:r w:rsidRPr="00254CEB">
        <w:rPr>
          <w:rStyle w:val="FootnoteReference"/>
          <w:b w:val="0"/>
          <w:bCs w:val="0"/>
        </w:rPr>
        <w:footnoteRef/>
      </w:r>
      <w:r w:rsidRPr="00254CEB">
        <w:rPr>
          <w:b w:val="0"/>
          <w:bCs w:val="0"/>
        </w:rPr>
        <w:t xml:space="preserve"> </w:t>
      </w:r>
      <w:r w:rsidRPr="00254CEB">
        <w:rPr>
          <w:b w:val="0"/>
          <w:bCs w:val="0"/>
          <w:i/>
          <w:iCs/>
        </w:rPr>
        <w:t>Id</w:t>
      </w:r>
      <w:r w:rsidRPr="00254CEB">
        <w:rPr>
          <w:b w:val="0"/>
          <w:bCs w:val="0"/>
        </w:rPr>
        <w:t xml:space="preserve">. at 32. </w:t>
      </w:r>
    </w:p>
  </w:footnote>
  <w:footnote w:id="11">
    <w:p w:rsidR="00E46E5C" w:rsidRPr="00254CEB" w:rsidP="00E46E5C" w14:paraId="7352D7AA" w14:textId="77777777">
      <w:pPr>
        <w:pStyle w:val="FootnoteText"/>
        <w:spacing w:after="120"/>
        <w:rPr>
          <w:b w:val="0"/>
          <w:bCs w:val="0"/>
        </w:rPr>
      </w:pPr>
      <w:r w:rsidRPr="00254CEB">
        <w:rPr>
          <w:rStyle w:val="FootnoteReference"/>
          <w:b w:val="0"/>
          <w:bCs w:val="0"/>
        </w:rPr>
        <w:footnoteRef/>
      </w:r>
      <w:r w:rsidRPr="00254CEB">
        <w:rPr>
          <w:b w:val="0"/>
          <w:bCs w:val="0"/>
        </w:rPr>
        <w:t xml:space="preserve"> </w:t>
      </w:r>
      <w:r w:rsidRPr="00254CEB">
        <w:rPr>
          <w:b w:val="0"/>
          <w:bCs w:val="0"/>
          <w:i/>
          <w:iCs/>
        </w:rPr>
        <w:t>Id.</w:t>
      </w:r>
      <w:r w:rsidRPr="00254CEB">
        <w:rPr>
          <w:b w:val="0"/>
          <w:bCs w:val="0"/>
        </w:rPr>
        <w:t xml:space="preserve"> </w:t>
      </w:r>
    </w:p>
  </w:footnote>
  <w:footnote w:id="12">
    <w:p w:rsidR="00E46E5C" w:rsidRPr="00254CEB" w:rsidP="00E46E5C" w14:paraId="4C289CFA" w14:textId="77777777">
      <w:pPr>
        <w:spacing w:after="120"/>
        <w:rPr>
          <w:rFonts w:eastAsia="Times New Roman"/>
          <w:bCs w:val="0"/>
          <w:color w:val="auto"/>
          <w:sz w:val="20"/>
          <w:szCs w:val="20"/>
        </w:rPr>
      </w:pPr>
      <w:r w:rsidRPr="00254CEB">
        <w:rPr>
          <w:rStyle w:val="FootnoteReference"/>
          <w:sz w:val="20"/>
          <w:szCs w:val="20"/>
        </w:rPr>
        <w:footnoteRef/>
      </w:r>
      <w:r w:rsidRPr="00254CEB">
        <w:rPr>
          <w:sz w:val="20"/>
          <w:szCs w:val="20"/>
        </w:rPr>
        <w:t xml:space="preserve"> </w:t>
      </w:r>
      <w:r w:rsidRPr="00254CEB">
        <w:rPr>
          <w:rFonts w:eastAsia="Times New Roman"/>
          <w:bCs w:val="0"/>
          <w:i/>
          <w:iCs/>
          <w:color w:val="auto"/>
          <w:sz w:val="20"/>
          <w:szCs w:val="20"/>
        </w:rPr>
        <w:t>In re FirstEnergy Audit</w:t>
      </w:r>
      <w:r w:rsidRPr="00254CEB">
        <w:rPr>
          <w:rFonts w:eastAsia="Times New Roman"/>
          <w:bCs w:val="0"/>
          <w:color w:val="auto"/>
          <w:sz w:val="20"/>
          <w:szCs w:val="20"/>
        </w:rPr>
        <w:t xml:space="preserve">, Docket No. FA19-1-000 at 48 (Feb. 4, 2022) (emphasis added). </w:t>
      </w:r>
    </w:p>
  </w:footnote>
  <w:footnote w:id="13">
    <w:p w:rsidR="007B23D4" w:rsidRPr="002C594A" w:rsidP="00A75524" w14:paraId="6AB38940" w14:textId="77777777">
      <w:pPr>
        <w:pStyle w:val="FootnoteText"/>
        <w:spacing w:after="120"/>
        <w:rPr>
          <w:b w:val="0"/>
          <w:bCs w:val="0"/>
        </w:rPr>
      </w:pPr>
      <w:r w:rsidRPr="00254CEB">
        <w:rPr>
          <w:rStyle w:val="FootnoteReference"/>
          <w:b w:val="0"/>
          <w:bCs w:val="0"/>
        </w:rPr>
        <w:footnoteRef/>
      </w:r>
      <w:r w:rsidRPr="00254CEB">
        <w:rPr>
          <w:b w:val="0"/>
          <w:bCs w:val="0"/>
        </w:rPr>
        <w:t xml:space="preserve"> FirstEnergy Corp. News Release, </w:t>
      </w:r>
      <w:r w:rsidRPr="00254CEB">
        <w:rPr>
          <w:b w:val="0"/>
          <w:bCs w:val="0"/>
          <w:i/>
          <w:iCs/>
        </w:rPr>
        <w:t xml:space="preserve">FirstEnergy names Ebony Yeboah-Amankwah Vice President, </w:t>
      </w:r>
      <w:r w:rsidRPr="002C594A">
        <w:rPr>
          <w:b w:val="0"/>
          <w:bCs w:val="0"/>
          <w:i/>
          <w:iCs/>
        </w:rPr>
        <w:t>Corporate Secretary, and Chief Ethics Officer</w:t>
      </w:r>
      <w:r w:rsidRPr="002C594A">
        <w:rPr>
          <w:b w:val="0"/>
          <w:bCs w:val="0"/>
        </w:rPr>
        <w:t xml:space="preserve"> (Jul. 18, 2017).</w:t>
      </w:r>
    </w:p>
  </w:footnote>
  <w:footnote w:id="14">
    <w:p w:rsidR="007B23D4" w:rsidRPr="002C594A" w:rsidP="00A75524" w14:paraId="04A5575C" w14:textId="77777777">
      <w:pPr>
        <w:pStyle w:val="FootnoteText"/>
        <w:spacing w:after="120"/>
        <w:rPr>
          <w:b w:val="0"/>
          <w:bCs w:val="0"/>
        </w:rPr>
      </w:pPr>
      <w:r w:rsidRPr="002C594A">
        <w:rPr>
          <w:rStyle w:val="FootnoteReference"/>
          <w:b w:val="0"/>
          <w:bCs w:val="0"/>
        </w:rPr>
        <w:footnoteRef/>
      </w:r>
      <w:r w:rsidRPr="002C594A">
        <w:rPr>
          <w:b w:val="0"/>
          <w:bCs w:val="0"/>
        </w:rPr>
        <w:t xml:space="preserve"> FirstEnergy Corp. Form 10Q at 36 (Nov. 19, 2020).</w:t>
      </w:r>
    </w:p>
  </w:footnote>
  <w:footnote w:id="15">
    <w:p w:rsidR="00D27FD4" w:rsidRPr="00D27FD4" w:rsidP="00D27FD4" w14:paraId="587877A9" w14:textId="48975D55">
      <w:pPr>
        <w:pStyle w:val="FootnoteText"/>
        <w:spacing w:after="120"/>
        <w:rPr>
          <w:b w:val="0"/>
          <w:bCs w:val="0"/>
        </w:rPr>
      </w:pPr>
      <w:r w:rsidRPr="002C594A">
        <w:rPr>
          <w:rStyle w:val="FootnoteReference"/>
          <w:b w:val="0"/>
          <w:bCs w:val="0"/>
        </w:rPr>
        <w:footnoteRef/>
      </w:r>
      <w:r w:rsidRPr="002C594A">
        <w:rPr>
          <w:b w:val="0"/>
          <w:bCs w:val="0"/>
        </w:rPr>
        <w:t xml:space="preserve"> O.A.C. 4901:1-37-05(B)(11) provides that an electric utility’s corporate separation plan must include: “</w:t>
      </w:r>
      <w:r w:rsidRPr="002C594A">
        <w:rPr>
          <w:b w:val="0"/>
          <w:bCs w:val="0"/>
          <w:shd w:val="clear" w:color="auto" w:fill="FFFFFF"/>
        </w:rPr>
        <w:t>A designation of the electric utility's compliance officer who will be the contact for the commission and staff on corporate separation matters. The compliance officer shall certify that the approved corporation separation plan is up to date and in compliance with the commission's rules and orders. The electric utility shall notify the commission and the director of the rates and analysis department (or their designee) of changes in the compliance officer.”</w:t>
      </w:r>
      <w:r w:rsidRPr="002C594A" w:rsidR="00163AF0">
        <w:rPr>
          <w:b w:val="0"/>
          <w:bCs w:val="0"/>
          <w:shd w:val="clear" w:color="auto" w:fill="FFFFFF"/>
        </w:rPr>
        <w:t xml:space="preserve"> </w:t>
      </w:r>
      <w:r w:rsidRPr="002C594A">
        <w:rPr>
          <w:b w:val="0"/>
          <w:bCs w:val="0"/>
          <w:shd w:val="clear" w:color="auto" w:fill="FFFFFF"/>
        </w:rPr>
        <w:t>O.A.C. 4901:1-37-08(I) provides: “The compliance officer designated by the electric utility will act as the contact for the staff when staff seeks data regarding affiliate transactions, personnel transfers, and the sharing of employees.”</w:t>
      </w:r>
    </w:p>
  </w:footnote>
  <w:footnote w:id="16">
    <w:p w:rsidR="003948DA" w:rsidRPr="003D33FF" w:rsidP="00A75524" w14:paraId="46F3E5FB" w14:textId="77777777">
      <w:pPr>
        <w:pStyle w:val="FootnoteText"/>
        <w:spacing w:after="120"/>
        <w:rPr>
          <w:b w:val="0"/>
          <w:bCs w:val="0"/>
        </w:rPr>
      </w:pPr>
      <w:r w:rsidRPr="003D33FF">
        <w:rPr>
          <w:rStyle w:val="FootnoteReference"/>
          <w:b w:val="0"/>
          <w:bCs w:val="0"/>
        </w:rPr>
        <w:footnoteRef/>
      </w:r>
      <w:r w:rsidRPr="003D33FF">
        <w:rPr>
          <w:b w:val="0"/>
          <w:bCs w:val="0"/>
        </w:rPr>
        <w:t xml:space="preserve"> R.C. 4928.17.</w:t>
      </w:r>
    </w:p>
  </w:footnote>
  <w:footnote w:id="17">
    <w:p w:rsidR="00A520A8" w:rsidRPr="00A520A8" w:rsidP="0000683D" w14:paraId="1C645B74" w14:textId="5C6F39B2">
      <w:pPr>
        <w:pStyle w:val="FootnoteText"/>
        <w:spacing w:after="120"/>
        <w:rPr>
          <w:b w:val="0"/>
          <w:bCs w:val="0"/>
        </w:rPr>
      </w:pPr>
      <w:r w:rsidRPr="00A75524">
        <w:rPr>
          <w:rStyle w:val="FootnoteReference"/>
          <w:b w:val="0"/>
          <w:bCs w:val="0"/>
        </w:rPr>
        <w:footnoteRef/>
      </w:r>
      <w:r w:rsidRPr="00A75524">
        <w:rPr>
          <w:b w:val="0"/>
          <w:bCs w:val="0"/>
        </w:rPr>
        <w:t xml:space="preserve"> </w:t>
      </w:r>
      <w:r w:rsidR="0000683D">
        <w:rPr>
          <w:b w:val="0"/>
          <w:bCs w:val="0"/>
          <w:i/>
          <w:iCs/>
        </w:rPr>
        <w:t>Id.</w:t>
      </w:r>
      <w:r>
        <w:rPr>
          <w:b w:val="0"/>
          <w:bCs w:val="0"/>
        </w:rPr>
        <w:t xml:space="preserve"> at 6.</w:t>
      </w:r>
    </w:p>
  </w:footnote>
  <w:footnote w:id="18">
    <w:p w:rsidR="00A520A8" w:rsidRPr="00A520A8" w:rsidP="00A75524" w14:paraId="3D384413" w14:textId="3E6247D6">
      <w:pPr>
        <w:pStyle w:val="FootnoteText"/>
        <w:spacing w:after="120"/>
        <w:rPr>
          <w:b w:val="0"/>
          <w:bCs w:val="0"/>
        </w:rPr>
      </w:pPr>
      <w:r w:rsidRPr="00A75524">
        <w:rPr>
          <w:rStyle w:val="FootnoteReference"/>
          <w:b w:val="0"/>
          <w:bCs w:val="0"/>
        </w:rPr>
        <w:footnoteRef/>
      </w:r>
      <w:r w:rsidRPr="00A75524">
        <w:rPr>
          <w:b w:val="0"/>
          <w:bCs w:val="0"/>
        </w:rPr>
        <w:t xml:space="preserve"> </w:t>
      </w:r>
      <w:r>
        <w:rPr>
          <w:b w:val="0"/>
          <w:bCs w:val="0"/>
          <w:i/>
          <w:iCs/>
        </w:rPr>
        <w:t xml:space="preserve">Id. </w:t>
      </w:r>
      <w:r>
        <w:rPr>
          <w:b w:val="0"/>
          <w:bCs w:val="0"/>
        </w:rPr>
        <w:t>at 7.</w:t>
      </w:r>
    </w:p>
  </w:footnote>
  <w:footnote w:id="19">
    <w:p w:rsidR="00E33AC2" w:rsidRPr="00E33AC2" w:rsidP="00A75524" w14:paraId="43F16A07" w14:textId="7B6AE054">
      <w:pPr>
        <w:pStyle w:val="FootnoteText"/>
        <w:spacing w:after="120"/>
        <w:rPr>
          <w:b w:val="0"/>
          <w:bCs w:val="0"/>
        </w:rPr>
      </w:pPr>
      <w:r w:rsidRPr="009049A3">
        <w:rPr>
          <w:rStyle w:val="FootnoteReference"/>
          <w:b w:val="0"/>
          <w:bCs w:val="0"/>
        </w:rPr>
        <w:footnoteRef/>
      </w:r>
      <w:r>
        <w:t xml:space="preserve"> </w:t>
      </w:r>
      <w:r w:rsidR="00A520A8">
        <w:rPr>
          <w:b w:val="0"/>
          <w:bCs w:val="0"/>
          <w:i/>
          <w:iCs/>
        </w:rPr>
        <w:t xml:space="preserve">Id. </w:t>
      </w:r>
      <w:r w:rsidR="00A520A8">
        <w:rPr>
          <w:b w:val="0"/>
          <w:bCs w:val="0"/>
        </w:rPr>
        <w:t>at 7-8</w:t>
      </w:r>
      <w:r>
        <w:rPr>
          <w:b w:val="0"/>
          <w:bCs w:val="0"/>
        </w:rPr>
        <w:t>.</w:t>
      </w:r>
    </w:p>
  </w:footnote>
  <w:footnote w:id="20">
    <w:p w:rsidR="00652CB6" w:rsidRPr="00254CEB" w:rsidP="00A75524" w14:paraId="040E183F" w14:textId="77777777">
      <w:pPr>
        <w:pStyle w:val="FootnoteText"/>
        <w:spacing w:after="120"/>
        <w:rPr>
          <w:b w:val="0"/>
          <w:bCs w:val="0"/>
        </w:rPr>
      </w:pPr>
      <w:r w:rsidRPr="00254CEB">
        <w:rPr>
          <w:rStyle w:val="FootnoteReference"/>
          <w:b w:val="0"/>
          <w:bCs w:val="0"/>
        </w:rPr>
        <w:footnoteRef/>
      </w:r>
      <w:r w:rsidRPr="00254CEB">
        <w:rPr>
          <w:b w:val="0"/>
          <w:bCs w:val="0"/>
        </w:rPr>
        <w:t xml:space="preserve"> FirstEnergy Corp. News Release, </w:t>
      </w:r>
      <w:r w:rsidRPr="00254CEB">
        <w:rPr>
          <w:b w:val="0"/>
          <w:bCs w:val="0"/>
          <w:i/>
          <w:iCs/>
        </w:rPr>
        <w:t>FirstEnergy names Ebony Yeboah-Amankwah Vice President, Corporate Secretary, and Chief Ethics Officer</w:t>
      </w:r>
      <w:r w:rsidRPr="00254CEB">
        <w:rPr>
          <w:b w:val="0"/>
          <w:bCs w:val="0"/>
        </w:rPr>
        <w:t xml:space="preserve"> (Jul. 18, 2017).</w:t>
      </w:r>
    </w:p>
  </w:footnote>
  <w:footnote w:id="21">
    <w:p w:rsidR="00652CB6" w:rsidRPr="00254CEB" w:rsidP="00A75524" w14:paraId="3769AE70" w14:textId="77777777">
      <w:pPr>
        <w:pStyle w:val="FootnoteText"/>
        <w:spacing w:after="120"/>
        <w:rPr>
          <w:b w:val="0"/>
          <w:bCs w:val="0"/>
        </w:rPr>
      </w:pPr>
      <w:r w:rsidRPr="00254CEB">
        <w:rPr>
          <w:rStyle w:val="FootnoteReference"/>
          <w:b w:val="0"/>
          <w:bCs w:val="0"/>
        </w:rPr>
        <w:footnoteRef/>
      </w:r>
      <w:r w:rsidRPr="00254CEB">
        <w:t xml:space="preserve"> </w:t>
      </w:r>
      <w:r w:rsidRPr="00254CEB">
        <w:rPr>
          <w:b w:val="0"/>
          <w:bCs w:val="0"/>
        </w:rPr>
        <w:t xml:space="preserve">Daymark Compliance Audit of FirstEnergy Operating Companies at 32 (Sept. 13, 2021). </w:t>
      </w:r>
    </w:p>
  </w:footnote>
  <w:footnote w:id="22">
    <w:p w:rsidR="001973A1" w:rsidRPr="00E417B3" w:rsidP="001973A1" w14:paraId="3DA93EB6" w14:textId="63E228DD">
      <w:pPr>
        <w:pStyle w:val="FootnoteText"/>
        <w:spacing w:after="120"/>
        <w:rPr>
          <w:b w:val="0"/>
          <w:bCs w:val="0"/>
        </w:rPr>
      </w:pPr>
      <w:r w:rsidRPr="00E417B3">
        <w:rPr>
          <w:rStyle w:val="FootnoteReference"/>
          <w:b w:val="0"/>
          <w:bCs w:val="0"/>
        </w:rPr>
        <w:footnoteRef/>
      </w:r>
      <w:r w:rsidRPr="00E417B3">
        <w:rPr>
          <w:b w:val="0"/>
          <w:bCs w:val="0"/>
        </w:rPr>
        <w:t xml:space="preserve"> </w:t>
      </w:r>
      <w:r>
        <w:rPr>
          <w:b w:val="0"/>
          <w:bCs w:val="0"/>
          <w:i/>
          <w:iCs/>
        </w:rPr>
        <w:t xml:space="preserve">See </w:t>
      </w:r>
      <w:r>
        <w:rPr>
          <w:b w:val="0"/>
          <w:bCs w:val="0"/>
        </w:rPr>
        <w:t>Motion to Quash at 7-8.</w:t>
      </w:r>
      <w:r w:rsidR="00163AF0">
        <w:rPr>
          <w:b w:val="0"/>
          <w:bCs w:val="0"/>
        </w:rPr>
        <w:t xml:space="preserve"> </w:t>
      </w:r>
    </w:p>
  </w:footnote>
  <w:footnote w:id="23">
    <w:p w:rsidR="009419F2" w:rsidRPr="009419F2" w:rsidP="001973A1" w14:paraId="14DBBCBD" w14:textId="3F0EADDB">
      <w:pPr>
        <w:pStyle w:val="FootnoteText"/>
        <w:spacing w:after="120"/>
        <w:rPr>
          <w:b w:val="0"/>
          <w:bCs w:val="0"/>
        </w:rPr>
      </w:pPr>
      <w:r w:rsidRPr="009049A3">
        <w:rPr>
          <w:rStyle w:val="FootnoteReference"/>
          <w:b w:val="0"/>
          <w:bCs w:val="0"/>
        </w:rPr>
        <w:footnoteRef/>
      </w:r>
      <w:r>
        <w:t xml:space="preserve"> </w:t>
      </w:r>
      <w:r>
        <w:rPr>
          <w:b w:val="0"/>
          <w:bCs w:val="0"/>
        </w:rPr>
        <w:t>Oh. Rs. Civ. Pro. 34, 45</w:t>
      </w:r>
      <w:r w:rsidR="00E66F13">
        <w:rPr>
          <w:b w:val="0"/>
          <w:bCs w:val="0"/>
        </w:rPr>
        <w:t>;</w:t>
      </w:r>
      <w:r w:rsidR="00D1150B">
        <w:rPr>
          <w:b w:val="0"/>
          <w:bCs w:val="0"/>
        </w:rPr>
        <w:t xml:space="preserve"> O.A.C. </w:t>
      </w:r>
      <w:r w:rsidRPr="00D1150B" w:rsidR="00D1150B">
        <w:rPr>
          <w:b w:val="0"/>
          <w:bCs w:val="0"/>
        </w:rPr>
        <w:t>4901-1-20 (A)</w:t>
      </w:r>
      <w:r>
        <w:rPr>
          <w:b w:val="0"/>
          <w:bCs w:val="0"/>
        </w:rPr>
        <w:t xml:space="preserve">. </w:t>
      </w:r>
    </w:p>
  </w:footnote>
  <w:footnote w:id="24">
    <w:p w:rsidR="00DB08B7" w:rsidRPr="00DB08B7" w:rsidP="00DB08B7" w14:paraId="1267C5F8" w14:textId="180A2991">
      <w:pPr>
        <w:pStyle w:val="FootnoteText"/>
        <w:spacing w:after="120"/>
        <w:rPr>
          <w:b w:val="0"/>
          <w:bCs w:val="0"/>
        </w:rPr>
      </w:pPr>
      <w:r w:rsidRPr="00DB08B7">
        <w:rPr>
          <w:rStyle w:val="FootnoteReference"/>
          <w:b w:val="0"/>
          <w:bCs w:val="0"/>
        </w:rPr>
        <w:footnoteRef/>
      </w:r>
      <w:r w:rsidRPr="00DB08B7">
        <w:rPr>
          <w:b w:val="0"/>
          <w:bCs w:val="0"/>
        </w:rPr>
        <w:t xml:space="preserve"> </w:t>
      </w:r>
      <w:r>
        <w:rPr>
          <w:b w:val="0"/>
          <w:bCs w:val="0"/>
        </w:rPr>
        <w:t>Parties have broad rights to discovery under law, rule, and Supreme Court of Ohio precedent.</w:t>
      </w:r>
      <w:r w:rsidR="00163AF0">
        <w:rPr>
          <w:b w:val="0"/>
          <w:bCs w:val="0"/>
        </w:rPr>
        <w:t xml:space="preserve"> </w:t>
      </w:r>
      <w:r>
        <w:rPr>
          <w:b w:val="0"/>
          <w:bCs w:val="0"/>
          <w:i/>
          <w:iCs/>
        </w:rPr>
        <w:t xml:space="preserve">See, e.g., </w:t>
      </w:r>
      <w:r>
        <w:rPr>
          <w:b w:val="0"/>
          <w:bCs w:val="0"/>
        </w:rPr>
        <w:t xml:space="preserve">R.C. 4903.082; O.A.C. 4901-1-16(B); </w:t>
      </w:r>
      <w:r>
        <w:rPr>
          <w:b w:val="0"/>
          <w:bCs w:val="0"/>
          <w:iCs/>
        </w:rPr>
        <w:t>O</w:t>
      </w:r>
      <w:r>
        <w:rPr>
          <w:b w:val="0"/>
          <w:bCs w:val="0"/>
          <w:i/>
          <w:iCs/>
        </w:rPr>
        <w:t>CC v. PUC</w:t>
      </w:r>
      <w:r>
        <w:rPr>
          <w:b w:val="0"/>
          <w:bCs w:val="0"/>
        </w:rPr>
        <w:t>, 111 Ohio St.3d 300 (2006).</w:t>
      </w:r>
    </w:p>
  </w:footnote>
  <w:footnote w:id="25">
    <w:p w:rsidR="00DB08B7" w:rsidRPr="00DB08B7" w:rsidP="00DB08B7" w14:paraId="788F396D" w14:textId="5DFD0581">
      <w:pPr>
        <w:pStyle w:val="FootnoteText"/>
        <w:spacing w:after="120"/>
        <w:rPr>
          <w:b w:val="0"/>
          <w:bCs w:val="0"/>
          <w:i/>
          <w:iCs/>
        </w:rPr>
      </w:pPr>
      <w:r w:rsidRPr="00DB08B7">
        <w:rPr>
          <w:rStyle w:val="FootnoteReference"/>
          <w:b w:val="0"/>
          <w:bCs w:val="0"/>
        </w:rPr>
        <w:footnoteRef/>
      </w:r>
      <w:r w:rsidRPr="00DB08B7">
        <w:rPr>
          <w:b w:val="0"/>
          <w:bCs w:val="0"/>
        </w:rPr>
        <w:t xml:space="preserve"> </w:t>
      </w:r>
      <w:r>
        <w:rPr>
          <w:b w:val="0"/>
          <w:bCs w:val="0"/>
          <w:i/>
          <w:iCs/>
        </w:rPr>
        <w:t xml:space="preserve">See, e.g., </w:t>
      </w:r>
      <w:r w:rsidR="00163AF0">
        <w:rPr>
          <w:b w:val="0"/>
          <w:bCs w:val="0"/>
          <w:i/>
          <w:iCs/>
        </w:rPr>
        <w:t>I</w:t>
      </w:r>
      <w:r>
        <w:rPr>
          <w:b w:val="0"/>
          <w:bCs w:val="0"/>
          <w:i/>
          <w:iCs/>
        </w:rPr>
        <w:t>d.</w:t>
      </w:r>
    </w:p>
  </w:footnote>
  <w:footnote w:id="26">
    <w:p w:rsidR="007657AA" w:rsidRPr="007657AA" w:rsidP="00E92EB8" w14:paraId="2F3E8C55" w14:textId="213BC1D7">
      <w:pPr>
        <w:pStyle w:val="FootnoteText"/>
        <w:spacing w:after="120"/>
        <w:rPr>
          <w:b w:val="0"/>
          <w:bCs w:val="0"/>
        </w:rPr>
      </w:pPr>
      <w:r w:rsidRPr="007657AA">
        <w:rPr>
          <w:rStyle w:val="FootnoteReference"/>
          <w:b w:val="0"/>
          <w:bCs w:val="0"/>
        </w:rPr>
        <w:footnoteRef/>
      </w:r>
      <w:r w:rsidRPr="007657AA">
        <w:rPr>
          <w:b w:val="0"/>
          <w:bCs w:val="0"/>
        </w:rPr>
        <w:t xml:space="preserve"> </w:t>
      </w:r>
      <w:r w:rsidR="006F053B">
        <w:rPr>
          <w:b w:val="0"/>
          <w:bCs w:val="0"/>
        </w:rPr>
        <w:t>Motion to Quash</w:t>
      </w:r>
      <w:r>
        <w:rPr>
          <w:b w:val="0"/>
          <w:bCs w:val="0"/>
          <w:i/>
          <w:iCs/>
        </w:rPr>
        <w:t xml:space="preserve"> </w:t>
      </w:r>
      <w:r>
        <w:rPr>
          <w:b w:val="0"/>
          <w:bCs w:val="0"/>
        </w:rPr>
        <w:t>at 6</w:t>
      </w:r>
    </w:p>
  </w:footnote>
  <w:footnote w:id="27">
    <w:p w:rsidR="00935D4C" w:rsidRPr="00BC2672" w:rsidP="00FC5087" w14:paraId="260F9722" w14:textId="4EC9192D">
      <w:pPr>
        <w:pStyle w:val="FootnoteText"/>
        <w:spacing w:after="120"/>
        <w:rPr>
          <w:b w:val="0"/>
          <w:bCs w:val="0"/>
        </w:rPr>
      </w:pPr>
      <w:r w:rsidRPr="00BC2672">
        <w:rPr>
          <w:rStyle w:val="FootnoteReference"/>
          <w:b w:val="0"/>
          <w:bCs w:val="0"/>
        </w:rPr>
        <w:footnoteRef/>
      </w:r>
      <w:r w:rsidR="00163AF0">
        <w:rPr>
          <w:b w:val="0"/>
          <w:bCs w:val="0"/>
        </w:rPr>
        <w:t xml:space="preserve"> </w:t>
      </w:r>
      <w:r w:rsidRPr="00BC2672" w:rsidR="00BC2672">
        <w:rPr>
          <w:b w:val="0"/>
          <w:bCs w:val="0"/>
        </w:rPr>
        <w:t>Memo Contra at 8.</w:t>
      </w:r>
      <w:r w:rsidR="00163AF0">
        <w:rPr>
          <w:b w:val="0"/>
          <w:bCs w:val="0"/>
        </w:rPr>
        <w:t xml:space="preserve"> </w:t>
      </w:r>
    </w:p>
  </w:footnote>
  <w:footnote w:id="28">
    <w:p w:rsidR="00BC2672" w:rsidRPr="00BC2672" w:rsidP="00FC5087" w14:paraId="204E66BE" w14:textId="0C5B014F">
      <w:pPr>
        <w:pStyle w:val="FootnoteText"/>
        <w:spacing w:after="120"/>
        <w:rPr>
          <w:b w:val="0"/>
          <w:bCs w:val="0"/>
        </w:rPr>
      </w:pPr>
      <w:r w:rsidRPr="00BC2672">
        <w:rPr>
          <w:rStyle w:val="FootnoteReference"/>
          <w:b w:val="0"/>
          <w:bCs w:val="0"/>
        </w:rPr>
        <w:footnoteRef/>
      </w:r>
      <w:r w:rsidRPr="00BC2672">
        <w:rPr>
          <w:b w:val="0"/>
          <w:bCs w:val="0"/>
        </w:rPr>
        <w:t xml:space="preserve"> </w:t>
      </w:r>
      <w:r w:rsidRPr="00BC2672">
        <w:rPr>
          <w:b w:val="0"/>
          <w:bCs w:val="0"/>
          <w:i/>
          <w:iCs/>
        </w:rPr>
        <w:t>Id.</w:t>
      </w:r>
      <w:r w:rsidRPr="00BC2672">
        <w:rPr>
          <w:b w:val="0"/>
          <w:bCs w:val="0"/>
        </w:rPr>
        <w:t xml:space="preserve"> at 9.</w:t>
      </w:r>
      <w:r w:rsidR="00163AF0">
        <w:rPr>
          <w:b w:val="0"/>
          <w:bCs w:val="0"/>
        </w:rPr>
        <w:t xml:space="preserve"> </w:t>
      </w:r>
    </w:p>
  </w:footnote>
  <w:footnote w:id="29">
    <w:p w:rsidR="00766D5C" w:rsidRPr="00766D5C" w:rsidP="00FC5087" w14:paraId="5803076B" w14:textId="2274F82B">
      <w:pPr>
        <w:pStyle w:val="FootnoteText"/>
        <w:spacing w:after="120"/>
        <w:rPr>
          <w:b w:val="0"/>
          <w:bCs w:val="0"/>
        </w:rPr>
      </w:pPr>
      <w:r w:rsidRPr="009049A3">
        <w:rPr>
          <w:rStyle w:val="FootnoteReference"/>
          <w:b w:val="0"/>
          <w:bCs w:val="0"/>
        </w:rPr>
        <w:footnoteRef/>
      </w:r>
      <w:r>
        <w:t xml:space="preserve"> </w:t>
      </w:r>
      <w:r>
        <w:rPr>
          <w:b w:val="0"/>
          <w:bCs w:val="0"/>
          <w:i/>
          <w:iCs/>
        </w:rPr>
        <w:t xml:space="preserve">See </w:t>
      </w:r>
      <w:r w:rsidR="00616D4B">
        <w:rPr>
          <w:b w:val="0"/>
          <w:bCs w:val="0"/>
          <w:i/>
          <w:iCs/>
        </w:rPr>
        <w:t>I</w:t>
      </w:r>
      <w:r w:rsidR="007657AA">
        <w:rPr>
          <w:b w:val="0"/>
          <w:bCs w:val="0"/>
          <w:i/>
          <w:iCs/>
        </w:rPr>
        <w:t>d.</w:t>
      </w:r>
      <w:r>
        <w:rPr>
          <w:b w:val="0"/>
          <w:bCs w:val="0"/>
        </w:rPr>
        <w:t xml:space="preserve"> at </w:t>
      </w:r>
      <w:r w:rsidR="00A62DE2">
        <w:rPr>
          <w:b w:val="0"/>
          <w:bCs w:val="0"/>
        </w:rPr>
        <w:t>11</w:t>
      </w:r>
      <w:r>
        <w:rPr>
          <w:b w:val="0"/>
          <w:bCs w:val="0"/>
        </w:rPr>
        <w:t>.</w:t>
      </w:r>
    </w:p>
  </w:footnote>
  <w:footnote w:id="30">
    <w:p w:rsidR="00C12B07" w:rsidRPr="002E4256" w:rsidP="00E44841" w14:paraId="63571D59" w14:textId="0C4B1D5B">
      <w:pPr>
        <w:pStyle w:val="FootnoteText"/>
        <w:spacing w:after="120"/>
        <w:rPr>
          <w:b w:val="0"/>
          <w:bCs w:val="0"/>
        </w:rPr>
      </w:pPr>
      <w:r w:rsidRPr="002E4256">
        <w:rPr>
          <w:rStyle w:val="FootnoteReference"/>
          <w:b w:val="0"/>
          <w:bCs w:val="0"/>
        </w:rPr>
        <w:footnoteRef/>
      </w:r>
      <w:r w:rsidRPr="002E4256">
        <w:rPr>
          <w:b w:val="0"/>
          <w:bCs w:val="0"/>
        </w:rPr>
        <w:t xml:space="preserve"> </w:t>
      </w:r>
      <w:r w:rsidRPr="002E4256">
        <w:rPr>
          <w:b w:val="0"/>
          <w:bCs w:val="0"/>
          <w:i/>
          <w:iCs/>
        </w:rPr>
        <w:t>See</w:t>
      </w:r>
      <w:r w:rsidRPr="002E4256">
        <w:rPr>
          <w:b w:val="0"/>
          <w:bCs w:val="0"/>
        </w:rPr>
        <w:t xml:space="preserve"> Entry (Oct. 12, 2021</w:t>
      </w:r>
      <w:r w:rsidR="00A75524">
        <w:rPr>
          <w:b w:val="0"/>
          <w:bCs w:val="0"/>
        </w:rPr>
        <w:t xml:space="preserve">) </w:t>
      </w:r>
      <w:r w:rsidRPr="002E4256">
        <w:rPr>
          <w:b w:val="0"/>
          <w:bCs w:val="0"/>
        </w:rPr>
        <w:t>setting a hearing date of Feb. 10, 2022, with discovery cut off Nov. 24, 2021</w:t>
      </w:r>
      <w:r w:rsidR="00A75524">
        <w:rPr>
          <w:b w:val="0"/>
          <w:bCs w:val="0"/>
        </w:rPr>
        <w:t>.</w:t>
      </w:r>
    </w:p>
  </w:footnote>
  <w:footnote w:id="31">
    <w:p w:rsidR="00DD6FC3" w:rsidRPr="002E4256" w:rsidP="00A75524" w14:paraId="1F14813B" w14:textId="6D2B238C">
      <w:pPr>
        <w:pStyle w:val="FootnoteText"/>
        <w:spacing w:after="120"/>
        <w:rPr>
          <w:b w:val="0"/>
          <w:bCs w:val="0"/>
        </w:rPr>
      </w:pPr>
      <w:r w:rsidRPr="00A75524">
        <w:rPr>
          <w:rStyle w:val="FootnoteReference"/>
          <w:b w:val="0"/>
          <w:bCs w:val="0"/>
        </w:rPr>
        <w:footnoteRef/>
      </w:r>
      <w:r>
        <w:t xml:space="preserve"> </w:t>
      </w:r>
      <w:r w:rsidRPr="002E4256">
        <w:rPr>
          <w:b w:val="0"/>
          <w:bCs w:val="0"/>
        </w:rPr>
        <w:t xml:space="preserve">Entry (Feb. 10, 2022). </w:t>
      </w:r>
    </w:p>
  </w:footnote>
  <w:footnote w:id="32">
    <w:p w:rsidR="00766D5C" w:rsidRPr="006642A5" w:rsidP="00A75524" w14:paraId="7729926F" w14:textId="1BA7417F">
      <w:pPr>
        <w:pStyle w:val="FootnoteText"/>
        <w:spacing w:after="120"/>
        <w:rPr>
          <w:b w:val="0"/>
          <w:bCs w:val="0"/>
        </w:rPr>
      </w:pPr>
      <w:r w:rsidRPr="006642A5">
        <w:rPr>
          <w:rStyle w:val="FootnoteReference"/>
          <w:b w:val="0"/>
          <w:bCs w:val="0"/>
        </w:rPr>
        <w:footnoteRef/>
      </w:r>
      <w:r w:rsidRPr="006642A5">
        <w:rPr>
          <w:b w:val="0"/>
          <w:bCs w:val="0"/>
        </w:rPr>
        <w:t xml:space="preserve"> Case No. 17-974-EL-UNC, Entry, at ¶18(a) (Sep. 17, 2021) (“The deadline for the service of discovery, except for notices of deposition, shall be set for November 1, 2021.”)</w:t>
      </w:r>
      <w:r w:rsidR="006642A5">
        <w:rPr>
          <w:b w:val="0"/>
          <w:bCs w:val="0"/>
        </w:rPr>
        <w:t xml:space="preserve">; </w:t>
      </w:r>
      <w:r w:rsidRPr="006642A5" w:rsidR="006642A5">
        <w:rPr>
          <w:b w:val="0"/>
          <w:bCs w:val="0"/>
        </w:rPr>
        <w:t>Case No. 17-974-EL-UNC, Entry, at ¶24(a) (Oct. 12, 2021) (extending discovery cut-off to Nov</w:t>
      </w:r>
      <w:r w:rsidR="00551CA1">
        <w:rPr>
          <w:b w:val="0"/>
          <w:bCs w:val="0"/>
        </w:rPr>
        <w:t>.</w:t>
      </w:r>
      <w:r w:rsidRPr="006642A5" w:rsidR="006642A5">
        <w:rPr>
          <w:b w:val="0"/>
          <w:bCs w:val="0"/>
        </w:rPr>
        <w:t xml:space="preserve"> 24, 2021)</w:t>
      </w:r>
      <w:r w:rsidRPr="006642A5">
        <w:rPr>
          <w:b w:val="0"/>
          <w:bCs w:val="0"/>
        </w:rPr>
        <w:t>.</w:t>
      </w:r>
    </w:p>
  </w:footnote>
  <w:footnote w:id="33">
    <w:p w:rsidR="009869B7" w:rsidRPr="009869B7" w:rsidP="00A75524" w14:paraId="6D7E041B" w14:textId="68A703EE">
      <w:pPr>
        <w:pStyle w:val="FootnoteText"/>
        <w:spacing w:after="120"/>
        <w:rPr>
          <w:b w:val="0"/>
          <w:bCs w:val="0"/>
        </w:rPr>
      </w:pPr>
      <w:r w:rsidRPr="009049A3">
        <w:rPr>
          <w:rStyle w:val="FootnoteReference"/>
          <w:b w:val="0"/>
          <w:bCs w:val="0"/>
        </w:rPr>
        <w:footnoteRef/>
      </w:r>
      <w:r>
        <w:t xml:space="preserve"> </w:t>
      </w:r>
      <w:r>
        <w:rPr>
          <w:b w:val="0"/>
          <w:bCs w:val="0"/>
        </w:rPr>
        <w:t>O</w:t>
      </w:r>
      <w:r w:rsidR="00C01C0E">
        <w:rPr>
          <w:b w:val="0"/>
          <w:bCs w:val="0"/>
        </w:rPr>
        <w:t>.A.C.</w:t>
      </w:r>
      <w:r>
        <w:rPr>
          <w:b w:val="0"/>
          <w:bCs w:val="0"/>
        </w:rPr>
        <w:t xml:space="preserve"> 4901-1-25(C).</w:t>
      </w:r>
    </w:p>
  </w:footnote>
  <w:footnote w:id="34">
    <w:p w:rsidR="009F4071" w:rsidRPr="002E4256" w:rsidP="00A75524" w14:paraId="1EF81B3D" w14:textId="2338C9AD">
      <w:pPr>
        <w:pStyle w:val="FootnoteText"/>
        <w:spacing w:after="120"/>
        <w:rPr>
          <w:b w:val="0"/>
          <w:bCs w:val="0"/>
        </w:rPr>
      </w:pPr>
      <w:r w:rsidRPr="00A75524">
        <w:rPr>
          <w:rStyle w:val="FootnoteReference"/>
          <w:b w:val="0"/>
          <w:bCs w:val="0"/>
        </w:rPr>
        <w:footnoteRef/>
      </w:r>
      <w:r>
        <w:t xml:space="preserve"> </w:t>
      </w:r>
      <w:r>
        <w:rPr>
          <w:b w:val="0"/>
          <w:bCs w:val="0"/>
          <w:i/>
          <w:iCs/>
        </w:rPr>
        <w:t xml:space="preserve">See, e.g., </w:t>
      </w:r>
      <w:r>
        <w:rPr>
          <w:b w:val="0"/>
          <w:bCs w:val="0"/>
        </w:rPr>
        <w:t xml:space="preserve">Motion to Quash at </w:t>
      </w:r>
      <w:r w:rsidR="00A62DE2">
        <w:rPr>
          <w:b w:val="0"/>
          <w:bCs w:val="0"/>
        </w:rPr>
        <w:t>11</w:t>
      </w:r>
      <w:r>
        <w:rPr>
          <w:b w:val="0"/>
          <w:bCs w:val="0"/>
        </w:rPr>
        <w:t>.</w:t>
      </w:r>
    </w:p>
  </w:footnote>
  <w:footnote w:id="35">
    <w:p w:rsidR="009F4071" w:rsidRPr="002E4256" w:rsidP="00A75524" w14:paraId="2FA05A0B" w14:textId="07BA6CD0">
      <w:pPr>
        <w:pStyle w:val="FootnoteText"/>
        <w:spacing w:after="120"/>
        <w:rPr>
          <w:b w:val="0"/>
          <w:bCs w:val="0"/>
        </w:rPr>
      </w:pPr>
      <w:r w:rsidRPr="00A75524">
        <w:rPr>
          <w:rStyle w:val="FootnoteReference"/>
          <w:b w:val="0"/>
          <w:bCs w:val="0"/>
        </w:rPr>
        <w:footnoteRef/>
      </w:r>
      <w:r>
        <w:t xml:space="preserve"> </w:t>
      </w:r>
      <w:r w:rsidRPr="002E4256">
        <w:rPr>
          <w:b w:val="0"/>
          <w:bCs w:val="0"/>
        </w:rPr>
        <w:t>United States of America v. FirstEnergy Corp., Case No. 1:21-cr-86, Deferred Prosecution Agreement (Jul. 22, 2021).</w:t>
      </w:r>
    </w:p>
  </w:footnote>
  <w:footnote w:id="36">
    <w:p w:rsidR="005C0613" w:rsidRPr="005C0613" w:rsidP="005C0613" w14:paraId="2C20FD7C" w14:textId="50B6D0ED">
      <w:pPr>
        <w:pStyle w:val="FootnoteText"/>
        <w:spacing w:after="120"/>
        <w:rPr>
          <w:b w:val="0"/>
          <w:bCs w:val="0"/>
        </w:rPr>
      </w:pPr>
      <w:r w:rsidRPr="005C0613">
        <w:rPr>
          <w:rStyle w:val="FootnoteReference"/>
          <w:b w:val="0"/>
          <w:bCs w:val="0"/>
        </w:rPr>
        <w:footnoteRef/>
      </w:r>
      <w:r w:rsidRPr="005C0613">
        <w:rPr>
          <w:b w:val="0"/>
          <w:bCs w:val="0"/>
        </w:rPr>
        <w:t xml:space="preserve"> </w:t>
      </w:r>
      <w:r>
        <w:rPr>
          <w:b w:val="0"/>
          <w:bCs w:val="0"/>
          <w:i/>
          <w:iCs/>
        </w:rPr>
        <w:t xml:space="preserve">See, e.g., </w:t>
      </w:r>
      <w:r>
        <w:rPr>
          <w:b w:val="0"/>
          <w:bCs w:val="0"/>
        </w:rPr>
        <w:t>Motion to Quash</w:t>
      </w:r>
      <w:r>
        <w:rPr>
          <w:b w:val="0"/>
          <w:bCs w:val="0"/>
          <w:i/>
          <w:iCs/>
        </w:rPr>
        <w:t xml:space="preserve"> </w:t>
      </w:r>
      <w:r>
        <w:rPr>
          <w:b w:val="0"/>
          <w:bCs w:val="0"/>
        </w:rPr>
        <w:t>at 4; 11.</w:t>
      </w:r>
      <w:r w:rsidR="00163AF0">
        <w:rPr>
          <w:b w:val="0"/>
          <w:bCs w:val="0"/>
        </w:rPr>
        <w:t xml:space="preserve"> </w:t>
      </w:r>
    </w:p>
  </w:footnote>
  <w:footnote w:id="37">
    <w:p w:rsidR="00A62DE2" w:rsidRPr="00AC7118" w:rsidP="005C0613" w14:paraId="2E66A5CC" w14:textId="1C10907B">
      <w:pPr>
        <w:pStyle w:val="FootnoteText"/>
        <w:spacing w:after="120"/>
        <w:rPr>
          <w:b w:val="0"/>
          <w:bCs w:val="0"/>
        </w:rPr>
      </w:pPr>
      <w:r w:rsidRPr="00A75524">
        <w:rPr>
          <w:rStyle w:val="FootnoteReference"/>
          <w:b w:val="0"/>
          <w:bCs w:val="0"/>
        </w:rPr>
        <w:footnoteRef/>
      </w:r>
      <w:r>
        <w:t xml:space="preserve"> </w:t>
      </w:r>
      <w:r>
        <w:rPr>
          <w:b w:val="0"/>
          <w:bCs w:val="0"/>
        </w:rPr>
        <w:t>Further, the discovery cut-off, except notices of deposition, has largely been overcome by unforeseen, recent events.</w:t>
      </w:r>
      <w:r w:rsidR="0048026A">
        <w:rPr>
          <w:b w:val="0"/>
          <w:bCs w:val="0"/>
        </w:rPr>
        <w:t xml:space="preserve"> </w:t>
      </w:r>
      <w:r>
        <w:rPr>
          <w:b w:val="0"/>
          <w:bCs w:val="0"/>
        </w:rPr>
        <w:t>Since it agreed to produce documents to OCC in October, FirstEnergy Corp. has been dilatory in producing documents.</w:t>
      </w:r>
      <w:r w:rsidR="0048026A">
        <w:rPr>
          <w:b w:val="0"/>
          <w:bCs w:val="0"/>
        </w:rPr>
        <w:t xml:space="preserve"> </w:t>
      </w:r>
      <w:r>
        <w:rPr>
          <w:b w:val="0"/>
          <w:bCs w:val="0"/>
        </w:rPr>
        <w:t>Also, there have been delays in obtaining documents from the PUCO in response to OCC’s public records request.</w:t>
      </w:r>
      <w:r w:rsidR="0048026A">
        <w:rPr>
          <w:b w:val="0"/>
          <w:bCs w:val="0"/>
        </w:rPr>
        <w:t xml:space="preserve"> </w:t>
      </w:r>
      <w:r>
        <w:rPr>
          <w:b w:val="0"/>
          <w:bCs w:val="0"/>
        </w:rPr>
        <w:t>Accordingly, OCC is preparing to file a motion for continuance, in consumers’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590" w14:paraId="5743B5D0" w14:textId="77777777">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95AD6"/>
    <w:multiLevelType w:val="hybridMultilevel"/>
    <w:tmpl w:val="062AFBD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C72CDC"/>
    <w:multiLevelType w:val="hybridMultilevel"/>
    <w:tmpl w:val="84182E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4E47EED"/>
    <w:multiLevelType w:val="hybridMultilevel"/>
    <w:tmpl w:val="81F8A446"/>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D072D03"/>
    <w:multiLevelType w:val="hybridMultilevel"/>
    <w:tmpl w:val="A5CAD1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413B2DC6"/>
    <w:multiLevelType w:val="hybridMultilevel"/>
    <w:tmpl w:val="84BC8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1">
    <w:nsid w:val="5EF81B1A"/>
    <w:multiLevelType w:val="hybridMultilevel"/>
    <w:tmpl w:val="F1E696F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BD7F31"/>
    <w:multiLevelType w:val="hybridMultilevel"/>
    <w:tmpl w:val="BA74AE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4"/>
  </w:num>
  <w:num w:numId="2">
    <w:abstractNumId w:val="15"/>
  </w:num>
  <w:num w:numId="3">
    <w:abstractNumId w:val="7"/>
  </w:num>
  <w:num w:numId="4">
    <w:abstractNumId w:val="5"/>
  </w:num>
  <w:num w:numId="5">
    <w:abstractNumId w:val="1"/>
  </w:num>
  <w:num w:numId="6">
    <w:abstractNumId w:val="1"/>
    <w:lvlOverride w:ilvl="0">
      <w:startOverride w:val="1"/>
    </w:lvlOverride>
  </w:num>
  <w:num w:numId="7">
    <w:abstractNumId w:val="1"/>
    <w:lvlOverride w:ilvl="0">
      <w:startOverride w:val="1"/>
    </w:lvlOverride>
  </w:num>
  <w:num w:numId="8">
    <w:abstractNumId w:val="3"/>
  </w:num>
  <w:num w:numId="9">
    <w:abstractNumId w:val="18"/>
  </w:num>
  <w:num w:numId="10">
    <w:abstractNumId w:val="17"/>
  </w:num>
  <w:num w:numId="11">
    <w:abstractNumId w:val="13"/>
  </w:num>
  <w:num w:numId="12">
    <w:abstractNumId w:val="16"/>
  </w:num>
  <w:num w:numId="13">
    <w:abstractNumId w:val="19"/>
  </w:num>
  <w:num w:numId="14">
    <w:abstractNumId w:val="10"/>
  </w:num>
  <w:num w:numId="15">
    <w:abstractNumId w:val="8"/>
  </w:num>
  <w:num w:numId="16">
    <w:abstractNumId w:val="10"/>
    <w:lvlOverride w:ilvl="0">
      <w:startOverride w:val="1"/>
    </w:lvlOverride>
  </w:num>
  <w:num w:numId="17">
    <w:abstractNumId w:val="4"/>
  </w:num>
  <w:num w:numId="18">
    <w:abstractNumId w:val="9"/>
  </w:num>
  <w:num w:numId="19">
    <w:abstractNumId w:val="6"/>
  </w:num>
  <w:num w:numId="20">
    <w:abstractNumId w:val="2"/>
  </w:num>
  <w:num w:numId="21">
    <w:abstractNumId w:val="11"/>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053C"/>
    <w:rsid w:val="00000F6F"/>
    <w:rsid w:val="00001BAF"/>
    <w:rsid w:val="00004D0A"/>
    <w:rsid w:val="00005108"/>
    <w:rsid w:val="000064CA"/>
    <w:rsid w:val="0000683D"/>
    <w:rsid w:val="00012B24"/>
    <w:rsid w:val="00013800"/>
    <w:rsid w:val="0001513F"/>
    <w:rsid w:val="000152B0"/>
    <w:rsid w:val="00015A12"/>
    <w:rsid w:val="00016A85"/>
    <w:rsid w:val="00017972"/>
    <w:rsid w:val="000203A9"/>
    <w:rsid w:val="0002177F"/>
    <w:rsid w:val="00024882"/>
    <w:rsid w:val="00025E6F"/>
    <w:rsid w:val="0002629A"/>
    <w:rsid w:val="000313BB"/>
    <w:rsid w:val="000315CF"/>
    <w:rsid w:val="00032005"/>
    <w:rsid w:val="00032099"/>
    <w:rsid w:val="00032AD4"/>
    <w:rsid w:val="00037221"/>
    <w:rsid w:val="00037357"/>
    <w:rsid w:val="000377FE"/>
    <w:rsid w:val="00037EC2"/>
    <w:rsid w:val="00040A34"/>
    <w:rsid w:val="00041AE8"/>
    <w:rsid w:val="000438AF"/>
    <w:rsid w:val="0005217A"/>
    <w:rsid w:val="000551AB"/>
    <w:rsid w:val="00055A1C"/>
    <w:rsid w:val="00057EC7"/>
    <w:rsid w:val="00060274"/>
    <w:rsid w:val="00061C44"/>
    <w:rsid w:val="00063D3D"/>
    <w:rsid w:val="00064762"/>
    <w:rsid w:val="0006540C"/>
    <w:rsid w:val="000655CA"/>
    <w:rsid w:val="00065AC3"/>
    <w:rsid w:val="00065D7B"/>
    <w:rsid w:val="00066725"/>
    <w:rsid w:val="00067CEC"/>
    <w:rsid w:val="00070701"/>
    <w:rsid w:val="00072899"/>
    <w:rsid w:val="000729A6"/>
    <w:rsid w:val="0007352B"/>
    <w:rsid w:val="00074DD3"/>
    <w:rsid w:val="000818A9"/>
    <w:rsid w:val="000835B2"/>
    <w:rsid w:val="00087869"/>
    <w:rsid w:val="00091451"/>
    <w:rsid w:val="00091DDC"/>
    <w:rsid w:val="00092E7F"/>
    <w:rsid w:val="0009319D"/>
    <w:rsid w:val="00093263"/>
    <w:rsid w:val="00093882"/>
    <w:rsid w:val="00096478"/>
    <w:rsid w:val="00096867"/>
    <w:rsid w:val="000969A8"/>
    <w:rsid w:val="00097E7A"/>
    <w:rsid w:val="000A1DED"/>
    <w:rsid w:val="000A6653"/>
    <w:rsid w:val="000B0E98"/>
    <w:rsid w:val="000B1D1F"/>
    <w:rsid w:val="000B2075"/>
    <w:rsid w:val="000B2FE2"/>
    <w:rsid w:val="000B5DEF"/>
    <w:rsid w:val="000B7475"/>
    <w:rsid w:val="000B7479"/>
    <w:rsid w:val="000C099B"/>
    <w:rsid w:val="000C0A43"/>
    <w:rsid w:val="000C3A86"/>
    <w:rsid w:val="000C7E23"/>
    <w:rsid w:val="000C7E80"/>
    <w:rsid w:val="000D0EC3"/>
    <w:rsid w:val="000D18C7"/>
    <w:rsid w:val="000D1C5E"/>
    <w:rsid w:val="000D2F76"/>
    <w:rsid w:val="000D3B7C"/>
    <w:rsid w:val="000D40A1"/>
    <w:rsid w:val="000D5E27"/>
    <w:rsid w:val="000D68F5"/>
    <w:rsid w:val="000D6C27"/>
    <w:rsid w:val="000E1A1F"/>
    <w:rsid w:val="000E1C1B"/>
    <w:rsid w:val="000E1E95"/>
    <w:rsid w:val="000E41A6"/>
    <w:rsid w:val="000E5CD9"/>
    <w:rsid w:val="000E7A47"/>
    <w:rsid w:val="000F0156"/>
    <w:rsid w:val="000F0F5F"/>
    <w:rsid w:val="000F1514"/>
    <w:rsid w:val="000F1B21"/>
    <w:rsid w:val="000F2C57"/>
    <w:rsid w:val="000F4783"/>
    <w:rsid w:val="000F4ACD"/>
    <w:rsid w:val="000F6DFE"/>
    <w:rsid w:val="000F747E"/>
    <w:rsid w:val="000F74D3"/>
    <w:rsid w:val="0010262B"/>
    <w:rsid w:val="001029A4"/>
    <w:rsid w:val="00102EBB"/>
    <w:rsid w:val="00104905"/>
    <w:rsid w:val="00107C26"/>
    <w:rsid w:val="00112988"/>
    <w:rsid w:val="00113322"/>
    <w:rsid w:val="00113715"/>
    <w:rsid w:val="0011745F"/>
    <w:rsid w:val="00117595"/>
    <w:rsid w:val="00120C08"/>
    <w:rsid w:val="00120DBC"/>
    <w:rsid w:val="00122815"/>
    <w:rsid w:val="00123326"/>
    <w:rsid w:val="00126CB5"/>
    <w:rsid w:val="001277BC"/>
    <w:rsid w:val="00131CEE"/>
    <w:rsid w:val="00134A5D"/>
    <w:rsid w:val="001357A9"/>
    <w:rsid w:val="00135E70"/>
    <w:rsid w:val="001364C8"/>
    <w:rsid w:val="00136645"/>
    <w:rsid w:val="00137700"/>
    <w:rsid w:val="00137CD6"/>
    <w:rsid w:val="00141533"/>
    <w:rsid w:val="00141B3F"/>
    <w:rsid w:val="00145FB3"/>
    <w:rsid w:val="00146228"/>
    <w:rsid w:val="001467CA"/>
    <w:rsid w:val="00146D57"/>
    <w:rsid w:val="001479F2"/>
    <w:rsid w:val="00151E96"/>
    <w:rsid w:val="00155A7B"/>
    <w:rsid w:val="00160181"/>
    <w:rsid w:val="0016079F"/>
    <w:rsid w:val="00163AF0"/>
    <w:rsid w:val="00164E67"/>
    <w:rsid w:val="00165A92"/>
    <w:rsid w:val="00170553"/>
    <w:rsid w:val="001709B9"/>
    <w:rsid w:val="00171CD8"/>
    <w:rsid w:val="00171DAD"/>
    <w:rsid w:val="0017497F"/>
    <w:rsid w:val="00175A10"/>
    <w:rsid w:val="00175EA2"/>
    <w:rsid w:val="001775AC"/>
    <w:rsid w:val="00177979"/>
    <w:rsid w:val="0018031A"/>
    <w:rsid w:val="00180959"/>
    <w:rsid w:val="0018269A"/>
    <w:rsid w:val="0018294C"/>
    <w:rsid w:val="00183E36"/>
    <w:rsid w:val="001862C2"/>
    <w:rsid w:val="00186FB2"/>
    <w:rsid w:val="00190518"/>
    <w:rsid w:val="001908F6"/>
    <w:rsid w:val="00190E01"/>
    <w:rsid w:val="001930AB"/>
    <w:rsid w:val="00193DDA"/>
    <w:rsid w:val="001965D3"/>
    <w:rsid w:val="00197020"/>
    <w:rsid w:val="001973A1"/>
    <w:rsid w:val="001978B4"/>
    <w:rsid w:val="001A02AF"/>
    <w:rsid w:val="001A0DA2"/>
    <w:rsid w:val="001A1ADB"/>
    <w:rsid w:val="001A21F1"/>
    <w:rsid w:val="001A52B2"/>
    <w:rsid w:val="001A6C43"/>
    <w:rsid w:val="001A7D6F"/>
    <w:rsid w:val="001B0797"/>
    <w:rsid w:val="001B19CC"/>
    <w:rsid w:val="001B256A"/>
    <w:rsid w:val="001B2F02"/>
    <w:rsid w:val="001B4EE5"/>
    <w:rsid w:val="001B580C"/>
    <w:rsid w:val="001B616C"/>
    <w:rsid w:val="001B77D9"/>
    <w:rsid w:val="001B77E5"/>
    <w:rsid w:val="001C1270"/>
    <w:rsid w:val="001C389B"/>
    <w:rsid w:val="001C4AF0"/>
    <w:rsid w:val="001C4B65"/>
    <w:rsid w:val="001C7147"/>
    <w:rsid w:val="001C799F"/>
    <w:rsid w:val="001C79B2"/>
    <w:rsid w:val="001C7CBF"/>
    <w:rsid w:val="001D115B"/>
    <w:rsid w:val="001D177D"/>
    <w:rsid w:val="001D1E48"/>
    <w:rsid w:val="001D38E8"/>
    <w:rsid w:val="001D409A"/>
    <w:rsid w:val="001D5906"/>
    <w:rsid w:val="001D5D8C"/>
    <w:rsid w:val="001D6014"/>
    <w:rsid w:val="001D7401"/>
    <w:rsid w:val="001E07A6"/>
    <w:rsid w:val="001E1DE0"/>
    <w:rsid w:val="001E2832"/>
    <w:rsid w:val="001F00B3"/>
    <w:rsid w:val="001F4AAE"/>
    <w:rsid w:val="001F53AB"/>
    <w:rsid w:val="001F6B05"/>
    <w:rsid w:val="002004DA"/>
    <w:rsid w:val="0020073C"/>
    <w:rsid w:val="002008A8"/>
    <w:rsid w:val="002010C3"/>
    <w:rsid w:val="00201CFA"/>
    <w:rsid w:val="00203E24"/>
    <w:rsid w:val="00204E98"/>
    <w:rsid w:val="002052E9"/>
    <w:rsid w:val="00212805"/>
    <w:rsid w:val="00212CAF"/>
    <w:rsid w:val="00213019"/>
    <w:rsid w:val="002135BF"/>
    <w:rsid w:val="00214355"/>
    <w:rsid w:val="00216499"/>
    <w:rsid w:val="00216E45"/>
    <w:rsid w:val="00220800"/>
    <w:rsid w:val="0022201E"/>
    <w:rsid w:val="002232D8"/>
    <w:rsid w:val="00224930"/>
    <w:rsid w:val="00225D30"/>
    <w:rsid w:val="00226283"/>
    <w:rsid w:val="002268B9"/>
    <w:rsid w:val="00226B2E"/>
    <w:rsid w:val="00227213"/>
    <w:rsid w:val="002277B6"/>
    <w:rsid w:val="002326CA"/>
    <w:rsid w:val="002371AB"/>
    <w:rsid w:val="00243468"/>
    <w:rsid w:val="00246EED"/>
    <w:rsid w:val="002521DB"/>
    <w:rsid w:val="00253841"/>
    <w:rsid w:val="00253E76"/>
    <w:rsid w:val="00254CEB"/>
    <w:rsid w:val="00254D5B"/>
    <w:rsid w:val="00255992"/>
    <w:rsid w:val="002604FA"/>
    <w:rsid w:val="00260723"/>
    <w:rsid w:val="0026217A"/>
    <w:rsid w:val="00262784"/>
    <w:rsid w:val="0026389F"/>
    <w:rsid w:val="002643BE"/>
    <w:rsid w:val="002644BD"/>
    <w:rsid w:val="002650B9"/>
    <w:rsid w:val="0027041E"/>
    <w:rsid w:val="0027499C"/>
    <w:rsid w:val="002752FB"/>
    <w:rsid w:val="00277B14"/>
    <w:rsid w:val="00281A60"/>
    <w:rsid w:val="00286088"/>
    <w:rsid w:val="002865C3"/>
    <w:rsid w:val="002900A1"/>
    <w:rsid w:val="0029145D"/>
    <w:rsid w:val="00292D92"/>
    <w:rsid w:val="00292F68"/>
    <w:rsid w:val="002932B7"/>
    <w:rsid w:val="002A00BA"/>
    <w:rsid w:val="002A261C"/>
    <w:rsid w:val="002A54B7"/>
    <w:rsid w:val="002A6EAF"/>
    <w:rsid w:val="002A7ECB"/>
    <w:rsid w:val="002B0AE1"/>
    <w:rsid w:val="002B48E2"/>
    <w:rsid w:val="002B539C"/>
    <w:rsid w:val="002B581C"/>
    <w:rsid w:val="002C256E"/>
    <w:rsid w:val="002C4933"/>
    <w:rsid w:val="002C58F3"/>
    <w:rsid w:val="002C594A"/>
    <w:rsid w:val="002C6236"/>
    <w:rsid w:val="002C7156"/>
    <w:rsid w:val="002C79E0"/>
    <w:rsid w:val="002D1093"/>
    <w:rsid w:val="002D1E7B"/>
    <w:rsid w:val="002D2FD9"/>
    <w:rsid w:val="002D4AB1"/>
    <w:rsid w:val="002D716C"/>
    <w:rsid w:val="002E14B0"/>
    <w:rsid w:val="002E2A07"/>
    <w:rsid w:val="002E2DA8"/>
    <w:rsid w:val="002E4256"/>
    <w:rsid w:val="002E596C"/>
    <w:rsid w:val="002E6602"/>
    <w:rsid w:val="002E75F1"/>
    <w:rsid w:val="002F0842"/>
    <w:rsid w:val="002F34D5"/>
    <w:rsid w:val="002F4D14"/>
    <w:rsid w:val="002F57BE"/>
    <w:rsid w:val="002F6AF5"/>
    <w:rsid w:val="002F700D"/>
    <w:rsid w:val="002F7997"/>
    <w:rsid w:val="003024E6"/>
    <w:rsid w:val="00302580"/>
    <w:rsid w:val="00302D3F"/>
    <w:rsid w:val="0030383E"/>
    <w:rsid w:val="00303D3F"/>
    <w:rsid w:val="00304F7E"/>
    <w:rsid w:val="003062AA"/>
    <w:rsid w:val="0030768E"/>
    <w:rsid w:val="00315987"/>
    <w:rsid w:val="003159AC"/>
    <w:rsid w:val="00316FB5"/>
    <w:rsid w:val="00317B9B"/>
    <w:rsid w:val="00317EA3"/>
    <w:rsid w:val="00320A0A"/>
    <w:rsid w:val="00322213"/>
    <w:rsid w:val="00322352"/>
    <w:rsid w:val="0032557B"/>
    <w:rsid w:val="00326642"/>
    <w:rsid w:val="00326F5B"/>
    <w:rsid w:val="003279A6"/>
    <w:rsid w:val="0033153E"/>
    <w:rsid w:val="00331871"/>
    <w:rsid w:val="003330D2"/>
    <w:rsid w:val="00335924"/>
    <w:rsid w:val="00336061"/>
    <w:rsid w:val="003360BF"/>
    <w:rsid w:val="003379E1"/>
    <w:rsid w:val="0034206D"/>
    <w:rsid w:val="00343F10"/>
    <w:rsid w:val="00350484"/>
    <w:rsid w:val="0035164C"/>
    <w:rsid w:val="00356FD4"/>
    <w:rsid w:val="0035739A"/>
    <w:rsid w:val="00357E6A"/>
    <w:rsid w:val="00357F44"/>
    <w:rsid w:val="003614AA"/>
    <w:rsid w:val="0036167C"/>
    <w:rsid w:val="00362A91"/>
    <w:rsid w:val="003635AC"/>
    <w:rsid w:val="003637BC"/>
    <w:rsid w:val="0036413E"/>
    <w:rsid w:val="00366615"/>
    <w:rsid w:val="003677F2"/>
    <w:rsid w:val="003703DA"/>
    <w:rsid w:val="00372876"/>
    <w:rsid w:val="003754F0"/>
    <w:rsid w:val="00375E11"/>
    <w:rsid w:val="00375E2D"/>
    <w:rsid w:val="003762E1"/>
    <w:rsid w:val="0037696B"/>
    <w:rsid w:val="00384988"/>
    <w:rsid w:val="00384D72"/>
    <w:rsid w:val="0038588B"/>
    <w:rsid w:val="00386DD7"/>
    <w:rsid w:val="003875F6"/>
    <w:rsid w:val="003932EA"/>
    <w:rsid w:val="00394390"/>
    <w:rsid w:val="003948DA"/>
    <w:rsid w:val="003A07D2"/>
    <w:rsid w:val="003A2641"/>
    <w:rsid w:val="003A3F62"/>
    <w:rsid w:val="003A5451"/>
    <w:rsid w:val="003A5836"/>
    <w:rsid w:val="003A6394"/>
    <w:rsid w:val="003A6E86"/>
    <w:rsid w:val="003B0510"/>
    <w:rsid w:val="003B1B2E"/>
    <w:rsid w:val="003B4221"/>
    <w:rsid w:val="003B5E77"/>
    <w:rsid w:val="003B70DB"/>
    <w:rsid w:val="003B72CB"/>
    <w:rsid w:val="003B7464"/>
    <w:rsid w:val="003B7D4B"/>
    <w:rsid w:val="003C0F3D"/>
    <w:rsid w:val="003C29B0"/>
    <w:rsid w:val="003C5F82"/>
    <w:rsid w:val="003C60F7"/>
    <w:rsid w:val="003C6948"/>
    <w:rsid w:val="003D0D32"/>
    <w:rsid w:val="003D2593"/>
    <w:rsid w:val="003D33FF"/>
    <w:rsid w:val="003D41DE"/>
    <w:rsid w:val="003D5002"/>
    <w:rsid w:val="003E3061"/>
    <w:rsid w:val="003E6EBF"/>
    <w:rsid w:val="003E75CF"/>
    <w:rsid w:val="003F1E55"/>
    <w:rsid w:val="003F2BE6"/>
    <w:rsid w:val="003F2FFD"/>
    <w:rsid w:val="003F7232"/>
    <w:rsid w:val="004000BC"/>
    <w:rsid w:val="0040068F"/>
    <w:rsid w:val="004008B4"/>
    <w:rsid w:val="00402C52"/>
    <w:rsid w:val="00403814"/>
    <w:rsid w:val="00410724"/>
    <w:rsid w:val="00410ED7"/>
    <w:rsid w:val="004113FC"/>
    <w:rsid w:val="0041201B"/>
    <w:rsid w:val="00414C8B"/>
    <w:rsid w:val="004166D3"/>
    <w:rsid w:val="00416A44"/>
    <w:rsid w:val="004236E5"/>
    <w:rsid w:val="004236E8"/>
    <w:rsid w:val="004249D9"/>
    <w:rsid w:val="00424E46"/>
    <w:rsid w:val="00425C33"/>
    <w:rsid w:val="00426455"/>
    <w:rsid w:val="00430DCE"/>
    <w:rsid w:val="00435759"/>
    <w:rsid w:val="00435951"/>
    <w:rsid w:val="00436C05"/>
    <w:rsid w:val="00437608"/>
    <w:rsid w:val="00437B9B"/>
    <w:rsid w:val="0044331A"/>
    <w:rsid w:val="00443CB0"/>
    <w:rsid w:val="00444A99"/>
    <w:rsid w:val="00451E0C"/>
    <w:rsid w:val="004527C7"/>
    <w:rsid w:val="00454933"/>
    <w:rsid w:val="004549AD"/>
    <w:rsid w:val="00454EC9"/>
    <w:rsid w:val="00454EDF"/>
    <w:rsid w:val="00460041"/>
    <w:rsid w:val="00463951"/>
    <w:rsid w:val="00463D79"/>
    <w:rsid w:val="00463F89"/>
    <w:rsid w:val="00464DC6"/>
    <w:rsid w:val="00464F4C"/>
    <w:rsid w:val="00465701"/>
    <w:rsid w:val="00465FE5"/>
    <w:rsid w:val="00466893"/>
    <w:rsid w:val="0046751F"/>
    <w:rsid w:val="004676DB"/>
    <w:rsid w:val="00472552"/>
    <w:rsid w:val="00474C2B"/>
    <w:rsid w:val="00475D3A"/>
    <w:rsid w:val="0048026A"/>
    <w:rsid w:val="00480443"/>
    <w:rsid w:val="004806D0"/>
    <w:rsid w:val="00482B92"/>
    <w:rsid w:val="0048520C"/>
    <w:rsid w:val="00487B4A"/>
    <w:rsid w:val="00490C08"/>
    <w:rsid w:val="0049253A"/>
    <w:rsid w:val="00492A3E"/>
    <w:rsid w:val="00492AFE"/>
    <w:rsid w:val="00494681"/>
    <w:rsid w:val="00494F12"/>
    <w:rsid w:val="004967F4"/>
    <w:rsid w:val="004978AB"/>
    <w:rsid w:val="004A188B"/>
    <w:rsid w:val="004A199D"/>
    <w:rsid w:val="004A2301"/>
    <w:rsid w:val="004A26CD"/>
    <w:rsid w:val="004A3104"/>
    <w:rsid w:val="004A4B13"/>
    <w:rsid w:val="004A550B"/>
    <w:rsid w:val="004A5A15"/>
    <w:rsid w:val="004A68B5"/>
    <w:rsid w:val="004A6E82"/>
    <w:rsid w:val="004B2DE3"/>
    <w:rsid w:val="004B3AD5"/>
    <w:rsid w:val="004B4315"/>
    <w:rsid w:val="004B4BC8"/>
    <w:rsid w:val="004B4E5E"/>
    <w:rsid w:val="004B514D"/>
    <w:rsid w:val="004B6C08"/>
    <w:rsid w:val="004B76AB"/>
    <w:rsid w:val="004C1145"/>
    <w:rsid w:val="004C1FE5"/>
    <w:rsid w:val="004C6B46"/>
    <w:rsid w:val="004C7A47"/>
    <w:rsid w:val="004D2592"/>
    <w:rsid w:val="004D2632"/>
    <w:rsid w:val="004D4CED"/>
    <w:rsid w:val="004D5374"/>
    <w:rsid w:val="004D7F77"/>
    <w:rsid w:val="004E125D"/>
    <w:rsid w:val="004E517B"/>
    <w:rsid w:val="004E5944"/>
    <w:rsid w:val="004E5DF0"/>
    <w:rsid w:val="004E609D"/>
    <w:rsid w:val="004E6490"/>
    <w:rsid w:val="004E69A3"/>
    <w:rsid w:val="004E7B62"/>
    <w:rsid w:val="004F1A72"/>
    <w:rsid w:val="004F1EC9"/>
    <w:rsid w:val="004F23A3"/>
    <w:rsid w:val="004F5265"/>
    <w:rsid w:val="004F5268"/>
    <w:rsid w:val="004F5DD3"/>
    <w:rsid w:val="004F6201"/>
    <w:rsid w:val="005002CD"/>
    <w:rsid w:val="005056D9"/>
    <w:rsid w:val="00505CBB"/>
    <w:rsid w:val="00506D9E"/>
    <w:rsid w:val="00510A6D"/>
    <w:rsid w:val="00510BCC"/>
    <w:rsid w:val="0051132F"/>
    <w:rsid w:val="00511404"/>
    <w:rsid w:val="00511BFC"/>
    <w:rsid w:val="00516BC5"/>
    <w:rsid w:val="005173D2"/>
    <w:rsid w:val="005179EC"/>
    <w:rsid w:val="00517C19"/>
    <w:rsid w:val="00520C68"/>
    <w:rsid w:val="0052110B"/>
    <w:rsid w:val="0052370A"/>
    <w:rsid w:val="00523725"/>
    <w:rsid w:val="005262CF"/>
    <w:rsid w:val="00526F44"/>
    <w:rsid w:val="00527620"/>
    <w:rsid w:val="00527F79"/>
    <w:rsid w:val="00530075"/>
    <w:rsid w:val="00531953"/>
    <w:rsid w:val="005319CF"/>
    <w:rsid w:val="00534558"/>
    <w:rsid w:val="00535039"/>
    <w:rsid w:val="00536BE7"/>
    <w:rsid w:val="00540469"/>
    <w:rsid w:val="0054169A"/>
    <w:rsid w:val="00542F15"/>
    <w:rsid w:val="0054329A"/>
    <w:rsid w:val="00544DD2"/>
    <w:rsid w:val="005469AB"/>
    <w:rsid w:val="005476B8"/>
    <w:rsid w:val="0054773A"/>
    <w:rsid w:val="005477C9"/>
    <w:rsid w:val="00550C6A"/>
    <w:rsid w:val="00550DE9"/>
    <w:rsid w:val="00551B51"/>
    <w:rsid w:val="00551CA1"/>
    <w:rsid w:val="005530E1"/>
    <w:rsid w:val="005533EE"/>
    <w:rsid w:val="00555CB9"/>
    <w:rsid w:val="005569DF"/>
    <w:rsid w:val="00556A1F"/>
    <w:rsid w:val="00556FBE"/>
    <w:rsid w:val="0056013E"/>
    <w:rsid w:val="00560179"/>
    <w:rsid w:val="00560619"/>
    <w:rsid w:val="00562AD5"/>
    <w:rsid w:val="00562D6B"/>
    <w:rsid w:val="00563EA6"/>
    <w:rsid w:val="00564704"/>
    <w:rsid w:val="005674F9"/>
    <w:rsid w:val="00571A19"/>
    <w:rsid w:val="005759D6"/>
    <w:rsid w:val="00576388"/>
    <w:rsid w:val="00580576"/>
    <w:rsid w:val="0058098D"/>
    <w:rsid w:val="00580ECF"/>
    <w:rsid w:val="00580F2B"/>
    <w:rsid w:val="00582536"/>
    <w:rsid w:val="00583507"/>
    <w:rsid w:val="00583774"/>
    <w:rsid w:val="00583B35"/>
    <w:rsid w:val="00583EF3"/>
    <w:rsid w:val="005846B4"/>
    <w:rsid w:val="005901C9"/>
    <w:rsid w:val="0059155A"/>
    <w:rsid w:val="005944FB"/>
    <w:rsid w:val="00594693"/>
    <w:rsid w:val="005A087E"/>
    <w:rsid w:val="005A19B8"/>
    <w:rsid w:val="005A1E45"/>
    <w:rsid w:val="005A22AE"/>
    <w:rsid w:val="005A267C"/>
    <w:rsid w:val="005A2FA6"/>
    <w:rsid w:val="005A42B8"/>
    <w:rsid w:val="005A7590"/>
    <w:rsid w:val="005B15BD"/>
    <w:rsid w:val="005B1A38"/>
    <w:rsid w:val="005B3D08"/>
    <w:rsid w:val="005B3F02"/>
    <w:rsid w:val="005B74FF"/>
    <w:rsid w:val="005B7828"/>
    <w:rsid w:val="005C0613"/>
    <w:rsid w:val="005C3F48"/>
    <w:rsid w:val="005C57D7"/>
    <w:rsid w:val="005C6133"/>
    <w:rsid w:val="005C79BA"/>
    <w:rsid w:val="005C7BDD"/>
    <w:rsid w:val="005D0B1B"/>
    <w:rsid w:val="005D1CE3"/>
    <w:rsid w:val="005D2D59"/>
    <w:rsid w:val="005D4D06"/>
    <w:rsid w:val="005D4E8D"/>
    <w:rsid w:val="005D5C93"/>
    <w:rsid w:val="005D79F2"/>
    <w:rsid w:val="005E1553"/>
    <w:rsid w:val="005E50B3"/>
    <w:rsid w:val="005E5E4D"/>
    <w:rsid w:val="005F112E"/>
    <w:rsid w:val="005F211B"/>
    <w:rsid w:val="005F2CD3"/>
    <w:rsid w:val="005F575C"/>
    <w:rsid w:val="005F6536"/>
    <w:rsid w:val="0060145B"/>
    <w:rsid w:val="00602351"/>
    <w:rsid w:val="00605694"/>
    <w:rsid w:val="00607BDD"/>
    <w:rsid w:val="006120B6"/>
    <w:rsid w:val="00612136"/>
    <w:rsid w:val="00612492"/>
    <w:rsid w:val="0061608D"/>
    <w:rsid w:val="00616CCF"/>
    <w:rsid w:val="00616D4B"/>
    <w:rsid w:val="006170B9"/>
    <w:rsid w:val="00617BF5"/>
    <w:rsid w:val="0062420E"/>
    <w:rsid w:val="00624790"/>
    <w:rsid w:val="00624885"/>
    <w:rsid w:val="00625FAB"/>
    <w:rsid w:val="00626A65"/>
    <w:rsid w:val="00627720"/>
    <w:rsid w:val="0063190B"/>
    <w:rsid w:val="00632EB9"/>
    <w:rsid w:val="006356E7"/>
    <w:rsid w:val="006360EE"/>
    <w:rsid w:val="006363B6"/>
    <w:rsid w:val="00637B9B"/>
    <w:rsid w:val="0064187A"/>
    <w:rsid w:val="00641BE8"/>
    <w:rsid w:val="00642046"/>
    <w:rsid w:val="00643349"/>
    <w:rsid w:val="00645FB8"/>
    <w:rsid w:val="006527AC"/>
    <w:rsid w:val="00652CB6"/>
    <w:rsid w:val="0065353B"/>
    <w:rsid w:val="00653A42"/>
    <w:rsid w:val="00655EC0"/>
    <w:rsid w:val="00656633"/>
    <w:rsid w:val="00656B4A"/>
    <w:rsid w:val="006572D2"/>
    <w:rsid w:val="00657FE2"/>
    <w:rsid w:val="00660188"/>
    <w:rsid w:val="00660C8D"/>
    <w:rsid w:val="00660D37"/>
    <w:rsid w:val="00662F13"/>
    <w:rsid w:val="006640C7"/>
    <w:rsid w:val="006642A5"/>
    <w:rsid w:val="006648A3"/>
    <w:rsid w:val="00664962"/>
    <w:rsid w:val="00665448"/>
    <w:rsid w:val="006656DB"/>
    <w:rsid w:val="00665707"/>
    <w:rsid w:val="006663B8"/>
    <w:rsid w:val="006671E6"/>
    <w:rsid w:val="006704B8"/>
    <w:rsid w:val="00670514"/>
    <w:rsid w:val="00671A30"/>
    <w:rsid w:val="00674312"/>
    <w:rsid w:val="00674B4F"/>
    <w:rsid w:val="00674BAF"/>
    <w:rsid w:val="00675484"/>
    <w:rsid w:val="006756C7"/>
    <w:rsid w:val="00676F98"/>
    <w:rsid w:val="006775FF"/>
    <w:rsid w:val="0068009C"/>
    <w:rsid w:val="00680810"/>
    <w:rsid w:val="00681A80"/>
    <w:rsid w:val="006868C2"/>
    <w:rsid w:val="00686DE0"/>
    <w:rsid w:val="00690E56"/>
    <w:rsid w:val="00691014"/>
    <w:rsid w:val="00692F1D"/>
    <w:rsid w:val="00693117"/>
    <w:rsid w:val="00694651"/>
    <w:rsid w:val="00694BAF"/>
    <w:rsid w:val="006963ED"/>
    <w:rsid w:val="006A002F"/>
    <w:rsid w:val="006A16DF"/>
    <w:rsid w:val="006A1FB5"/>
    <w:rsid w:val="006A20E6"/>
    <w:rsid w:val="006A29E5"/>
    <w:rsid w:val="006A33F4"/>
    <w:rsid w:val="006A4C9A"/>
    <w:rsid w:val="006B09FE"/>
    <w:rsid w:val="006B2111"/>
    <w:rsid w:val="006B2A51"/>
    <w:rsid w:val="006B640A"/>
    <w:rsid w:val="006C0B2B"/>
    <w:rsid w:val="006C2514"/>
    <w:rsid w:val="006C30E1"/>
    <w:rsid w:val="006C37E3"/>
    <w:rsid w:val="006C6DDD"/>
    <w:rsid w:val="006D0355"/>
    <w:rsid w:val="006D17BF"/>
    <w:rsid w:val="006D1B1C"/>
    <w:rsid w:val="006D2275"/>
    <w:rsid w:val="006D2609"/>
    <w:rsid w:val="006D3BE2"/>
    <w:rsid w:val="006D3E66"/>
    <w:rsid w:val="006D4D67"/>
    <w:rsid w:val="006D5988"/>
    <w:rsid w:val="006D6B47"/>
    <w:rsid w:val="006E053D"/>
    <w:rsid w:val="006E0941"/>
    <w:rsid w:val="006E10AC"/>
    <w:rsid w:val="006E3B97"/>
    <w:rsid w:val="006F02C2"/>
    <w:rsid w:val="006F053B"/>
    <w:rsid w:val="006F1AAF"/>
    <w:rsid w:val="006F2547"/>
    <w:rsid w:val="006F4B50"/>
    <w:rsid w:val="006F78D8"/>
    <w:rsid w:val="0070041D"/>
    <w:rsid w:val="007004E3"/>
    <w:rsid w:val="00702604"/>
    <w:rsid w:val="00702D8B"/>
    <w:rsid w:val="00703740"/>
    <w:rsid w:val="007037CD"/>
    <w:rsid w:val="00704728"/>
    <w:rsid w:val="00704955"/>
    <w:rsid w:val="00706648"/>
    <w:rsid w:val="00707FA3"/>
    <w:rsid w:val="0071055A"/>
    <w:rsid w:val="00712279"/>
    <w:rsid w:val="0071344F"/>
    <w:rsid w:val="00714F9F"/>
    <w:rsid w:val="00717815"/>
    <w:rsid w:val="00721C91"/>
    <w:rsid w:val="00722290"/>
    <w:rsid w:val="00724D98"/>
    <w:rsid w:val="00725131"/>
    <w:rsid w:val="00725FB4"/>
    <w:rsid w:val="00727217"/>
    <w:rsid w:val="007277B6"/>
    <w:rsid w:val="00727B88"/>
    <w:rsid w:val="00730C6B"/>
    <w:rsid w:val="00733489"/>
    <w:rsid w:val="00734B3D"/>
    <w:rsid w:val="007358EA"/>
    <w:rsid w:val="0073660E"/>
    <w:rsid w:val="007366AD"/>
    <w:rsid w:val="00737BDE"/>
    <w:rsid w:val="007418CA"/>
    <w:rsid w:val="00742252"/>
    <w:rsid w:val="00743712"/>
    <w:rsid w:val="00744229"/>
    <w:rsid w:val="00746654"/>
    <w:rsid w:val="00746842"/>
    <w:rsid w:val="00746C9E"/>
    <w:rsid w:val="00754ABD"/>
    <w:rsid w:val="007573AA"/>
    <w:rsid w:val="00757851"/>
    <w:rsid w:val="00760078"/>
    <w:rsid w:val="00762CB3"/>
    <w:rsid w:val="00763922"/>
    <w:rsid w:val="007652A3"/>
    <w:rsid w:val="007657AA"/>
    <w:rsid w:val="00765FF0"/>
    <w:rsid w:val="00766D5C"/>
    <w:rsid w:val="007675F4"/>
    <w:rsid w:val="00767B1C"/>
    <w:rsid w:val="007710FC"/>
    <w:rsid w:val="00772F59"/>
    <w:rsid w:val="00773CB5"/>
    <w:rsid w:val="00775351"/>
    <w:rsid w:val="007754A0"/>
    <w:rsid w:val="00775542"/>
    <w:rsid w:val="0077798C"/>
    <w:rsid w:val="007801D9"/>
    <w:rsid w:val="0078176C"/>
    <w:rsid w:val="007826DB"/>
    <w:rsid w:val="00786A93"/>
    <w:rsid w:val="00787C34"/>
    <w:rsid w:val="00790A2D"/>
    <w:rsid w:val="00790CC7"/>
    <w:rsid w:val="0079105F"/>
    <w:rsid w:val="007932B5"/>
    <w:rsid w:val="0079742C"/>
    <w:rsid w:val="00797DB5"/>
    <w:rsid w:val="007A10AF"/>
    <w:rsid w:val="007A23D8"/>
    <w:rsid w:val="007A35C1"/>
    <w:rsid w:val="007B156D"/>
    <w:rsid w:val="007B198E"/>
    <w:rsid w:val="007B2036"/>
    <w:rsid w:val="007B23D4"/>
    <w:rsid w:val="007B462D"/>
    <w:rsid w:val="007B6E32"/>
    <w:rsid w:val="007B7E3B"/>
    <w:rsid w:val="007C010B"/>
    <w:rsid w:val="007C018C"/>
    <w:rsid w:val="007C08D1"/>
    <w:rsid w:val="007C14CF"/>
    <w:rsid w:val="007C2A63"/>
    <w:rsid w:val="007C3903"/>
    <w:rsid w:val="007C3A13"/>
    <w:rsid w:val="007C3DD5"/>
    <w:rsid w:val="007C4A49"/>
    <w:rsid w:val="007C5F92"/>
    <w:rsid w:val="007C63DE"/>
    <w:rsid w:val="007C6944"/>
    <w:rsid w:val="007C7F06"/>
    <w:rsid w:val="007D13B1"/>
    <w:rsid w:val="007D23A2"/>
    <w:rsid w:val="007D34A9"/>
    <w:rsid w:val="007D42BC"/>
    <w:rsid w:val="007D4800"/>
    <w:rsid w:val="007D5944"/>
    <w:rsid w:val="007D5C48"/>
    <w:rsid w:val="007E2339"/>
    <w:rsid w:val="007E288E"/>
    <w:rsid w:val="007E4322"/>
    <w:rsid w:val="007E4803"/>
    <w:rsid w:val="007E4E23"/>
    <w:rsid w:val="007E4F0C"/>
    <w:rsid w:val="007E563D"/>
    <w:rsid w:val="007E7F55"/>
    <w:rsid w:val="007F0B8C"/>
    <w:rsid w:val="007F1C33"/>
    <w:rsid w:val="007F424D"/>
    <w:rsid w:val="007F4D31"/>
    <w:rsid w:val="007F5123"/>
    <w:rsid w:val="007F56BE"/>
    <w:rsid w:val="007F5C52"/>
    <w:rsid w:val="007F63E8"/>
    <w:rsid w:val="00800032"/>
    <w:rsid w:val="008007E6"/>
    <w:rsid w:val="00801106"/>
    <w:rsid w:val="00801201"/>
    <w:rsid w:val="008026A0"/>
    <w:rsid w:val="00804B50"/>
    <w:rsid w:val="008057AE"/>
    <w:rsid w:val="00805D30"/>
    <w:rsid w:val="00810AA8"/>
    <w:rsid w:val="00810B42"/>
    <w:rsid w:val="00811693"/>
    <w:rsid w:val="00811D15"/>
    <w:rsid w:val="00813EA8"/>
    <w:rsid w:val="00815411"/>
    <w:rsid w:val="00821609"/>
    <w:rsid w:val="00821738"/>
    <w:rsid w:val="00822AF2"/>
    <w:rsid w:val="00822D55"/>
    <w:rsid w:val="0082302A"/>
    <w:rsid w:val="0082469B"/>
    <w:rsid w:val="00827068"/>
    <w:rsid w:val="008279A7"/>
    <w:rsid w:val="00827A7F"/>
    <w:rsid w:val="00830EFE"/>
    <w:rsid w:val="00832491"/>
    <w:rsid w:val="00833437"/>
    <w:rsid w:val="00837041"/>
    <w:rsid w:val="008438E7"/>
    <w:rsid w:val="00844A02"/>
    <w:rsid w:val="008457D0"/>
    <w:rsid w:val="00850957"/>
    <w:rsid w:val="008517AD"/>
    <w:rsid w:val="008520F8"/>
    <w:rsid w:val="00852EB3"/>
    <w:rsid w:val="0085360C"/>
    <w:rsid w:val="00853E38"/>
    <w:rsid w:val="00854F25"/>
    <w:rsid w:val="00855F71"/>
    <w:rsid w:val="00857F27"/>
    <w:rsid w:val="008628EE"/>
    <w:rsid w:val="00863653"/>
    <w:rsid w:val="00863C7A"/>
    <w:rsid w:val="00865606"/>
    <w:rsid w:val="00866A6C"/>
    <w:rsid w:val="00866AB5"/>
    <w:rsid w:val="00866B89"/>
    <w:rsid w:val="0086700A"/>
    <w:rsid w:val="008677C4"/>
    <w:rsid w:val="00870847"/>
    <w:rsid w:val="00870C01"/>
    <w:rsid w:val="00871E9E"/>
    <w:rsid w:val="008720A2"/>
    <w:rsid w:val="00873153"/>
    <w:rsid w:val="0087608B"/>
    <w:rsid w:val="008768AB"/>
    <w:rsid w:val="00876AA8"/>
    <w:rsid w:val="008808FD"/>
    <w:rsid w:val="008819CE"/>
    <w:rsid w:val="00881E85"/>
    <w:rsid w:val="00883674"/>
    <w:rsid w:val="00884667"/>
    <w:rsid w:val="00886CD5"/>
    <w:rsid w:val="0089060D"/>
    <w:rsid w:val="00891033"/>
    <w:rsid w:val="008922BA"/>
    <w:rsid w:val="00897192"/>
    <w:rsid w:val="008972A1"/>
    <w:rsid w:val="008A26DA"/>
    <w:rsid w:val="008A2C3E"/>
    <w:rsid w:val="008A3A66"/>
    <w:rsid w:val="008A6FF4"/>
    <w:rsid w:val="008B365B"/>
    <w:rsid w:val="008B4FDE"/>
    <w:rsid w:val="008C02BE"/>
    <w:rsid w:val="008C1396"/>
    <w:rsid w:val="008C2830"/>
    <w:rsid w:val="008C3330"/>
    <w:rsid w:val="008C3AB4"/>
    <w:rsid w:val="008C4A7D"/>
    <w:rsid w:val="008C72D1"/>
    <w:rsid w:val="008C7F9C"/>
    <w:rsid w:val="008D257B"/>
    <w:rsid w:val="008D25E5"/>
    <w:rsid w:val="008D3175"/>
    <w:rsid w:val="008D33D6"/>
    <w:rsid w:val="008D58E3"/>
    <w:rsid w:val="008D705C"/>
    <w:rsid w:val="008E100D"/>
    <w:rsid w:val="008E1AA3"/>
    <w:rsid w:val="008E2623"/>
    <w:rsid w:val="008E2AD7"/>
    <w:rsid w:val="008E5153"/>
    <w:rsid w:val="008E6C4D"/>
    <w:rsid w:val="008E7218"/>
    <w:rsid w:val="008F0087"/>
    <w:rsid w:val="008F041A"/>
    <w:rsid w:val="008F110F"/>
    <w:rsid w:val="008F1B19"/>
    <w:rsid w:val="008F1F04"/>
    <w:rsid w:val="008F27E7"/>
    <w:rsid w:val="008F7E9E"/>
    <w:rsid w:val="009016AE"/>
    <w:rsid w:val="00902512"/>
    <w:rsid w:val="00902808"/>
    <w:rsid w:val="009030AA"/>
    <w:rsid w:val="009049A3"/>
    <w:rsid w:val="00906CCB"/>
    <w:rsid w:val="00907FA9"/>
    <w:rsid w:val="00911F29"/>
    <w:rsid w:val="00914CDD"/>
    <w:rsid w:val="00915FB6"/>
    <w:rsid w:val="0091663B"/>
    <w:rsid w:val="00917B14"/>
    <w:rsid w:val="00917FAC"/>
    <w:rsid w:val="00922AF8"/>
    <w:rsid w:val="0092490B"/>
    <w:rsid w:val="00927191"/>
    <w:rsid w:val="0093306C"/>
    <w:rsid w:val="0093339D"/>
    <w:rsid w:val="0093437E"/>
    <w:rsid w:val="009352E0"/>
    <w:rsid w:val="009355AF"/>
    <w:rsid w:val="00935D4C"/>
    <w:rsid w:val="0093721E"/>
    <w:rsid w:val="0094027C"/>
    <w:rsid w:val="009419F2"/>
    <w:rsid w:val="00943330"/>
    <w:rsid w:val="00943933"/>
    <w:rsid w:val="00943FB5"/>
    <w:rsid w:val="00944206"/>
    <w:rsid w:val="00944F6B"/>
    <w:rsid w:val="00945291"/>
    <w:rsid w:val="0094683F"/>
    <w:rsid w:val="009514A8"/>
    <w:rsid w:val="009524B6"/>
    <w:rsid w:val="00955549"/>
    <w:rsid w:val="00957115"/>
    <w:rsid w:val="00960C02"/>
    <w:rsid w:val="00961516"/>
    <w:rsid w:val="009640C3"/>
    <w:rsid w:val="00964192"/>
    <w:rsid w:val="0096465F"/>
    <w:rsid w:val="0096476B"/>
    <w:rsid w:val="009657D2"/>
    <w:rsid w:val="00965E39"/>
    <w:rsid w:val="00967960"/>
    <w:rsid w:val="00971193"/>
    <w:rsid w:val="009721AA"/>
    <w:rsid w:val="0097425E"/>
    <w:rsid w:val="00974A42"/>
    <w:rsid w:val="009863FA"/>
    <w:rsid w:val="00986621"/>
    <w:rsid w:val="009869AB"/>
    <w:rsid w:val="009869B7"/>
    <w:rsid w:val="00987202"/>
    <w:rsid w:val="00990EC3"/>
    <w:rsid w:val="0099105D"/>
    <w:rsid w:val="00991B31"/>
    <w:rsid w:val="009936FA"/>
    <w:rsid w:val="00993EBC"/>
    <w:rsid w:val="00994C5B"/>
    <w:rsid w:val="00997D55"/>
    <w:rsid w:val="009A1EBA"/>
    <w:rsid w:val="009A2360"/>
    <w:rsid w:val="009A516D"/>
    <w:rsid w:val="009A5771"/>
    <w:rsid w:val="009A586C"/>
    <w:rsid w:val="009A5957"/>
    <w:rsid w:val="009A6405"/>
    <w:rsid w:val="009A7DF0"/>
    <w:rsid w:val="009B34A2"/>
    <w:rsid w:val="009B3925"/>
    <w:rsid w:val="009B41E6"/>
    <w:rsid w:val="009B49F5"/>
    <w:rsid w:val="009B77A7"/>
    <w:rsid w:val="009C0BFB"/>
    <w:rsid w:val="009C16BF"/>
    <w:rsid w:val="009C384A"/>
    <w:rsid w:val="009C3C41"/>
    <w:rsid w:val="009C779F"/>
    <w:rsid w:val="009D0008"/>
    <w:rsid w:val="009D0068"/>
    <w:rsid w:val="009D043E"/>
    <w:rsid w:val="009D1848"/>
    <w:rsid w:val="009D211E"/>
    <w:rsid w:val="009D2FA1"/>
    <w:rsid w:val="009D4FE4"/>
    <w:rsid w:val="009D5594"/>
    <w:rsid w:val="009E14AE"/>
    <w:rsid w:val="009E437C"/>
    <w:rsid w:val="009E50E4"/>
    <w:rsid w:val="009E5267"/>
    <w:rsid w:val="009E66C0"/>
    <w:rsid w:val="009E79D5"/>
    <w:rsid w:val="009F1286"/>
    <w:rsid w:val="009F321A"/>
    <w:rsid w:val="009F3AC6"/>
    <w:rsid w:val="009F4071"/>
    <w:rsid w:val="009F4735"/>
    <w:rsid w:val="009F4ED9"/>
    <w:rsid w:val="009F551F"/>
    <w:rsid w:val="009F687A"/>
    <w:rsid w:val="009F6CDA"/>
    <w:rsid w:val="00A00AC3"/>
    <w:rsid w:val="00A02688"/>
    <w:rsid w:val="00A027F2"/>
    <w:rsid w:val="00A03321"/>
    <w:rsid w:val="00A03942"/>
    <w:rsid w:val="00A03990"/>
    <w:rsid w:val="00A0535B"/>
    <w:rsid w:val="00A105A3"/>
    <w:rsid w:val="00A13237"/>
    <w:rsid w:val="00A15CD5"/>
    <w:rsid w:val="00A2196E"/>
    <w:rsid w:val="00A23D70"/>
    <w:rsid w:val="00A27D71"/>
    <w:rsid w:val="00A30907"/>
    <w:rsid w:val="00A32419"/>
    <w:rsid w:val="00A325C1"/>
    <w:rsid w:val="00A3372E"/>
    <w:rsid w:val="00A35285"/>
    <w:rsid w:val="00A35E4C"/>
    <w:rsid w:val="00A361C5"/>
    <w:rsid w:val="00A372E0"/>
    <w:rsid w:val="00A404DE"/>
    <w:rsid w:val="00A4142C"/>
    <w:rsid w:val="00A418CC"/>
    <w:rsid w:val="00A41E45"/>
    <w:rsid w:val="00A4400B"/>
    <w:rsid w:val="00A44199"/>
    <w:rsid w:val="00A47A07"/>
    <w:rsid w:val="00A520A8"/>
    <w:rsid w:val="00A533B4"/>
    <w:rsid w:val="00A55525"/>
    <w:rsid w:val="00A55956"/>
    <w:rsid w:val="00A5635E"/>
    <w:rsid w:val="00A600ED"/>
    <w:rsid w:val="00A61028"/>
    <w:rsid w:val="00A613BB"/>
    <w:rsid w:val="00A62DE2"/>
    <w:rsid w:val="00A63276"/>
    <w:rsid w:val="00A64944"/>
    <w:rsid w:val="00A6551A"/>
    <w:rsid w:val="00A66606"/>
    <w:rsid w:val="00A7018D"/>
    <w:rsid w:val="00A7112B"/>
    <w:rsid w:val="00A738DE"/>
    <w:rsid w:val="00A73AB2"/>
    <w:rsid w:val="00A75524"/>
    <w:rsid w:val="00A76D16"/>
    <w:rsid w:val="00A77A25"/>
    <w:rsid w:val="00A831F6"/>
    <w:rsid w:val="00A8438A"/>
    <w:rsid w:val="00A84C37"/>
    <w:rsid w:val="00A84CD6"/>
    <w:rsid w:val="00A91A25"/>
    <w:rsid w:val="00A927CE"/>
    <w:rsid w:val="00A95C8C"/>
    <w:rsid w:val="00A961DF"/>
    <w:rsid w:val="00A96A7F"/>
    <w:rsid w:val="00A97BB1"/>
    <w:rsid w:val="00AA0C07"/>
    <w:rsid w:val="00AA3F11"/>
    <w:rsid w:val="00AA5544"/>
    <w:rsid w:val="00AA56D7"/>
    <w:rsid w:val="00AA6B14"/>
    <w:rsid w:val="00AB0871"/>
    <w:rsid w:val="00AB16B5"/>
    <w:rsid w:val="00AB22E8"/>
    <w:rsid w:val="00AB7DA1"/>
    <w:rsid w:val="00AC0627"/>
    <w:rsid w:val="00AC0646"/>
    <w:rsid w:val="00AC0F57"/>
    <w:rsid w:val="00AC1643"/>
    <w:rsid w:val="00AC2DE9"/>
    <w:rsid w:val="00AC66BB"/>
    <w:rsid w:val="00AC6E66"/>
    <w:rsid w:val="00AC7118"/>
    <w:rsid w:val="00AC7941"/>
    <w:rsid w:val="00AD0D4F"/>
    <w:rsid w:val="00AD338E"/>
    <w:rsid w:val="00AD3F0B"/>
    <w:rsid w:val="00AD5F83"/>
    <w:rsid w:val="00AD6D16"/>
    <w:rsid w:val="00AD7999"/>
    <w:rsid w:val="00AD7DC6"/>
    <w:rsid w:val="00AE0FAE"/>
    <w:rsid w:val="00AE38C0"/>
    <w:rsid w:val="00AE7249"/>
    <w:rsid w:val="00AE7327"/>
    <w:rsid w:val="00AF0FA4"/>
    <w:rsid w:val="00AF2B74"/>
    <w:rsid w:val="00AF2FB7"/>
    <w:rsid w:val="00AF3442"/>
    <w:rsid w:val="00AF4EDA"/>
    <w:rsid w:val="00AF640D"/>
    <w:rsid w:val="00AF6567"/>
    <w:rsid w:val="00AF6F9A"/>
    <w:rsid w:val="00AF71FA"/>
    <w:rsid w:val="00AF74D0"/>
    <w:rsid w:val="00AF7C93"/>
    <w:rsid w:val="00B0280F"/>
    <w:rsid w:val="00B04661"/>
    <w:rsid w:val="00B05558"/>
    <w:rsid w:val="00B057F1"/>
    <w:rsid w:val="00B060DE"/>
    <w:rsid w:val="00B13180"/>
    <w:rsid w:val="00B13FFF"/>
    <w:rsid w:val="00B165B3"/>
    <w:rsid w:val="00B16A7B"/>
    <w:rsid w:val="00B209E5"/>
    <w:rsid w:val="00B223CE"/>
    <w:rsid w:val="00B22723"/>
    <w:rsid w:val="00B25128"/>
    <w:rsid w:val="00B25DDE"/>
    <w:rsid w:val="00B27358"/>
    <w:rsid w:val="00B27C6D"/>
    <w:rsid w:val="00B27D1B"/>
    <w:rsid w:val="00B33901"/>
    <w:rsid w:val="00B35D70"/>
    <w:rsid w:val="00B367FC"/>
    <w:rsid w:val="00B3726C"/>
    <w:rsid w:val="00B401B6"/>
    <w:rsid w:val="00B4315B"/>
    <w:rsid w:val="00B4371F"/>
    <w:rsid w:val="00B43F03"/>
    <w:rsid w:val="00B47EBC"/>
    <w:rsid w:val="00B51C58"/>
    <w:rsid w:val="00B54ECC"/>
    <w:rsid w:val="00B551AE"/>
    <w:rsid w:val="00B55286"/>
    <w:rsid w:val="00B553BD"/>
    <w:rsid w:val="00B5715E"/>
    <w:rsid w:val="00B57A2E"/>
    <w:rsid w:val="00B6216C"/>
    <w:rsid w:val="00B6439F"/>
    <w:rsid w:val="00B72136"/>
    <w:rsid w:val="00B81D86"/>
    <w:rsid w:val="00B8224A"/>
    <w:rsid w:val="00B828A5"/>
    <w:rsid w:val="00B8401D"/>
    <w:rsid w:val="00B84098"/>
    <w:rsid w:val="00B84CBD"/>
    <w:rsid w:val="00B84DE6"/>
    <w:rsid w:val="00B854DB"/>
    <w:rsid w:val="00B8720D"/>
    <w:rsid w:val="00B8738F"/>
    <w:rsid w:val="00B879A1"/>
    <w:rsid w:val="00B87E8A"/>
    <w:rsid w:val="00B90241"/>
    <w:rsid w:val="00B91966"/>
    <w:rsid w:val="00B97B72"/>
    <w:rsid w:val="00B97D14"/>
    <w:rsid w:val="00BA0659"/>
    <w:rsid w:val="00BA113A"/>
    <w:rsid w:val="00BA1DE9"/>
    <w:rsid w:val="00BA24D3"/>
    <w:rsid w:val="00BA5798"/>
    <w:rsid w:val="00BB12A6"/>
    <w:rsid w:val="00BB207A"/>
    <w:rsid w:val="00BB2680"/>
    <w:rsid w:val="00BB58A4"/>
    <w:rsid w:val="00BB6E5D"/>
    <w:rsid w:val="00BC09C0"/>
    <w:rsid w:val="00BC0F3D"/>
    <w:rsid w:val="00BC2672"/>
    <w:rsid w:val="00BC6ED9"/>
    <w:rsid w:val="00BD0DA6"/>
    <w:rsid w:val="00BD1AA7"/>
    <w:rsid w:val="00BD51F8"/>
    <w:rsid w:val="00BD522D"/>
    <w:rsid w:val="00BD5CC5"/>
    <w:rsid w:val="00BE06E8"/>
    <w:rsid w:val="00BE0D21"/>
    <w:rsid w:val="00BE15B1"/>
    <w:rsid w:val="00BE1994"/>
    <w:rsid w:val="00BE19D8"/>
    <w:rsid w:val="00BE29B7"/>
    <w:rsid w:val="00BE61E2"/>
    <w:rsid w:val="00BE6526"/>
    <w:rsid w:val="00BE7D6F"/>
    <w:rsid w:val="00BF1BBD"/>
    <w:rsid w:val="00BF2197"/>
    <w:rsid w:val="00BF3207"/>
    <w:rsid w:val="00BF3292"/>
    <w:rsid w:val="00BF496D"/>
    <w:rsid w:val="00BF4A1C"/>
    <w:rsid w:val="00BF5F76"/>
    <w:rsid w:val="00C009B8"/>
    <w:rsid w:val="00C01BBA"/>
    <w:rsid w:val="00C01C0E"/>
    <w:rsid w:val="00C02C8C"/>
    <w:rsid w:val="00C05918"/>
    <w:rsid w:val="00C0686A"/>
    <w:rsid w:val="00C073E6"/>
    <w:rsid w:val="00C07639"/>
    <w:rsid w:val="00C10DD8"/>
    <w:rsid w:val="00C12B07"/>
    <w:rsid w:val="00C2066A"/>
    <w:rsid w:val="00C209AA"/>
    <w:rsid w:val="00C20D05"/>
    <w:rsid w:val="00C22FF0"/>
    <w:rsid w:val="00C24031"/>
    <w:rsid w:val="00C241DA"/>
    <w:rsid w:val="00C24212"/>
    <w:rsid w:val="00C250AB"/>
    <w:rsid w:val="00C31253"/>
    <w:rsid w:val="00C31E85"/>
    <w:rsid w:val="00C335FB"/>
    <w:rsid w:val="00C35FA4"/>
    <w:rsid w:val="00C3793D"/>
    <w:rsid w:val="00C40DB5"/>
    <w:rsid w:val="00C441B1"/>
    <w:rsid w:val="00C44295"/>
    <w:rsid w:val="00C44302"/>
    <w:rsid w:val="00C44A22"/>
    <w:rsid w:val="00C44E84"/>
    <w:rsid w:val="00C47FA3"/>
    <w:rsid w:val="00C51916"/>
    <w:rsid w:val="00C51B31"/>
    <w:rsid w:val="00C51BDE"/>
    <w:rsid w:val="00C522D7"/>
    <w:rsid w:val="00C53330"/>
    <w:rsid w:val="00C557B4"/>
    <w:rsid w:val="00C56ED2"/>
    <w:rsid w:val="00C649BA"/>
    <w:rsid w:val="00C709A8"/>
    <w:rsid w:val="00C70DFD"/>
    <w:rsid w:val="00C715E8"/>
    <w:rsid w:val="00C72D6E"/>
    <w:rsid w:val="00C732EC"/>
    <w:rsid w:val="00C739C1"/>
    <w:rsid w:val="00C73EB0"/>
    <w:rsid w:val="00C76B6E"/>
    <w:rsid w:val="00C82593"/>
    <w:rsid w:val="00C83623"/>
    <w:rsid w:val="00C86C4B"/>
    <w:rsid w:val="00C87B0B"/>
    <w:rsid w:val="00C90166"/>
    <w:rsid w:val="00C90A01"/>
    <w:rsid w:val="00C910CB"/>
    <w:rsid w:val="00C93225"/>
    <w:rsid w:val="00C9485E"/>
    <w:rsid w:val="00C9746F"/>
    <w:rsid w:val="00CA12F5"/>
    <w:rsid w:val="00CA2645"/>
    <w:rsid w:val="00CA367C"/>
    <w:rsid w:val="00CA390B"/>
    <w:rsid w:val="00CA53EF"/>
    <w:rsid w:val="00CA6139"/>
    <w:rsid w:val="00CA6322"/>
    <w:rsid w:val="00CA7B5F"/>
    <w:rsid w:val="00CB12B0"/>
    <w:rsid w:val="00CB1C44"/>
    <w:rsid w:val="00CB2917"/>
    <w:rsid w:val="00CB2E08"/>
    <w:rsid w:val="00CC03C5"/>
    <w:rsid w:val="00CC0CFC"/>
    <w:rsid w:val="00CC20B0"/>
    <w:rsid w:val="00CC26CB"/>
    <w:rsid w:val="00CC3CF0"/>
    <w:rsid w:val="00CC48C0"/>
    <w:rsid w:val="00CC6D47"/>
    <w:rsid w:val="00CD3539"/>
    <w:rsid w:val="00CD5DEE"/>
    <w:rsid w:val="00CD5FD9"/>
    <w:rsid w:val="00CD6F30"/>
    <w:rsid w:val="00CD7EC1"/>
    <w:rsid w:val="00CD7F51"/>
    <w:rsid w:val="00CE0854"/>
    <w:rsid w:val="00CE270E"/>
    <w:rsid w:val="00CE4D6F"/>
    <w:rsid w:val="00CE4E1E"/>
    <w:rsid w:val="00CF25D0"/>
    <w:rsid w:val="00CF32EC"/>
    <w:rsid w:val="00CF33AC"/>
    <w:rsid w:val="00CF4752"/>
    <w:rsid w:val="00CF65C5"/>
    <w:rsid w:val="00CF6F02"/>
    <w:rsid w:val="00CF6FC2"/>
    <w:rsid w:val="00D00F6D"/>
    <w:rsid w:val="00D04C8C"/>
    <w:rsid w:val="00D051F0"/>
    <w:rsid w:val="00D109B1"/>
    <w:rsid w:val="00D1150B"/>
    <w:rsid w:val="00D1311B"/>
    <w:rsid w:val="00D13DA8"/>
    <w:rsid w:val="00D143B7"/>
    <w:rsid w:val="00D16453"/>
    <w:rsid w:val="00D1720F"/>
    <w:rsid w:val="00D258DD"/>
    <w:rsid w:val="00D27FD4"/>
    <w:rsid w:val="00D301DC"/>
    <w:rsid w:val="00D305CC"/>
    <w:rsid w:val="00D31889"/>
    <w:rsid w:val="00D332D2"/>
    <w:rsid w:val="00D33B7F"/>
    <w:rsid w:val="00D35D9D"/>
    <w:rsid w:val="00D37480"/>
    <w:rsid w:val="00D410FC"/>
    <w:rsid w:val="00D43CDB"/>
    <w:rsid w:val="00D43F20"/>
    <w:rsid w:val="00D44204"/>
    <w:rsid w:val="00D445FD"/>
    <w:rsid w:val="00D447C6"/>
    <w:rsid w:val="00D44B86"/>
    <w:rsid w:val="00D45ADD"/>
    <w:rsid w:val="00D47168"/>
    <w:rsid w:val="00D50154"/>
    <w:rsid w:val="00D5128F"/>
    <w:rsid w:val="00D53D56"/>
    <w:rsid w:val="00D54825"/>
    <w:rsid w:val="00D5581E"/>
    <w:rsid w:val="00D55F5B"/>
    <w:rsid w:val="00D56D2A"/>
    <w:rsid w:val="00D57113"/>
    <w:rsid w:val="00D571CC"/>
    <w:rsid w:val="00D60048"/>
    <w:rsid w:val="00D60A35"/>
    <w:rsid w:val="00D64313"/>
    <w:rsid w:val="00D64D30"/>
    <w:rsid w:val="00D65075"/>
    <w:rsid w:val="00D652DF"/>
    <w:rsid w:val="00D66390"/>
    <w:rsid w:val="00D66787"/>
    <w:rsid w:val="00D66F0D"/>
    <w:rsid w:val="00D71100"/>
    <w:rsid w:val="00D723F7"/>
    <w:rsid w:val="00D72616"/>
    <w:rsid w:val="00D745EC"/>
    <w:rsid w:val="00D750F4"/>
    <w:rsid w:val="00D75485"/>
    <w:rsid w:val="00D81D66"/>
    <w:rsid w:val="00D87991"/>
    <w:rsid w:val="00D92AF7"/>
    <w:rsid w:val="00D92DF0"/>
    <w:rsid w:val="00D94878"/>
    <w:rsid w:val="00D94E3C"/>
    <w:rsid w:val="00D94F77"/>
    <w:rsid w:val="00D950BD"/>
    <w:rsid w:val="00D96285"/>
    <w:rsid w:val="00DA1AB0"/>
    <w:rsid w:val="00DA1E1D"/>
    <w:rsid w:val="00DA689A"/>
    <w:rsid w:val="00DB08B7"/>
    <w:rsid w:val="00DB1072"/>
    <w:rsid w:val="00DB2ACB"/>
    <w:rsid w:val="00DB4171"/>
    <w:rsid w:val="00DC0102"/>
    <w:rsid w:val="00DC018D"/>
    <w:rsid w:val="00DC020F"/>
    <w:rsid w:val="00DC167B"/>
    <w:rsid w:val="00DC77B5"/>
    <w:rsid w:val="00DD0302"/>
    <w:rsid w:val="00DD1917"/>
    <w:rsid w:val="00DD1DDD"/>
    <w:rsid w:val="00DD4514"/>
    <w:rsid w:val="00DD6FC3"/>
    <w:rsid w:val="00DD7F4A"/>
    <w:rsid w:val="00DE194E"/>
    <w:rsid w:val="00DE1A6E"/>
    <w:rsid w:val="00DE417A"/>
    <w:rsid w:val="00DE4D0C"/>
    <w:rsid w:val="00DE7451"/>
    <w:rsid w:val="00DF113D"/>
    <w:rsid w:val="00DF54FC"/>
    <w:rsid w:val="00E008F9"/>
    <w:rsid w:val="00E00CF7"/>
    <w:rsid w:val="00E044F2"/>
    <w:rsid w:val="00E04B01"/>
    <w:rsid w:val="00E04C6E"/>
    <w:rsid w:val="00E05474"/>
    <w:rsid w:val="00E05B0A"/>
    <w:rsid w:val="00E05B8A"/>
    <w:rsid w:val="00E05E4F"/>
    <w:rsid w:val="00E07002"/>
    <w:rsid w:val="00E0783C"/>
    <w:rsid w:val="00E1023B"/>
    <w:rsid w:val="00E11267"/>
    <w:rsid w:val="00E134DA"/>
    <w:rsid w:val="00E15389"/>
    <w:rsid w:val="00E1582B"/>
    <w:rsid w:val="00E16825"/>
    <w:rsid w:val="00E20A26"/>
    <w:rsid w:val="00E212F8"/>
    <w:rsid w:val="00E21BB5"/>
    <w:rsid w:val="00E22037"/>
    <w:rsid w:val="00E222F8"/>
    <w:rsid w:val="00E274E0"/>
    <w:rsid w:val="00E30114"/>
    <w:rsid w:val="00E31DF2"/>
    <w:rsid w:val="00E32367"/>
    <w:rsid w:val="00E328B0"/>
    <w:rsid w:val="00E33AC2"/>
    <w:rsid w:val="00E358EF"/>
    <w:rsid w:val="00E369A1"/>
    <w:rsid w:val="00E37AB4"/>
    <w:rsid w:val="00E37B27"/>
    <w:rsid w:val="00E4000D"/>
    <w:rsid w:val="00E40C40"/>
    <w:rsid w:val="00E41240"/>
    <w:rsid w:val="00E417B3"/>
    <w:rsid w:val="00E41CBC"/>
    <w:rsid w:val="00E44841"/>
    <w:rsid w:val="00E44CF7"/>
    <w:rsid w:val="00E45028"/>
    <w:rsid w:val="00E46067"/>
    <w:rsid w:val="00E46184"/>
    <w:rsid w:val="00E46E5C"/>
    <w:rsid w:val="00E47F49"/>
    <w:rsid w:val="00E51266"/>
    <w:rsid w:val="00E52951"/>
    <w:rsid w:val="00E5372A"/>
    <w:rsid w:val="00E55B3F"/>
    <w:rsid w:val="00E60811"/>
    <w:rsid w:val="00E616ED"/>
    <w:rsid w:val="00E61BE3"/>
    <w:rsid w:val="00E63D0B"/>
    <w:rsid w:val="00E6523C"/>
    <w:rsid w:val="00E66100"/>
    <w:rsid w:val="00E66116"/>
    <w:rsid w:val="00E66F13"/>
    <w:rsid w:val="00E70A4A"/>
    <w:rsid w:val="00E82C28"/>
    <w:rsid w:val="00E8431B"/>
    <w:rsid w:val="00E8441D"/>
    <w:rsid w:val="00E856A6"/>
    <w:rsid w:val="00E85ED1"/>
    <w:rsid w:val="00E92341"/>
    <w:rsid w:val="00E928A4"/>
    <w:rsid w:val="00E92EB8"/>
    <w:rsid w:val="00E9335E"/>
    <w:rsid w:val="00E93D44"/>
    <w:rsid w:val="00E946EB"/>
    <w:rsid w:val="00EA1DF3"/>
    <w:rsid w:val="00EA1DF5"/>
    <w:rsid w:val="00EA52BA"/>
    <w:rsid w:val="00EA67AC"/>
    <w:rsid w:val="00EA6942"/>
    <w:rsid w:val="00EB0CD0"/>
    <w:rsid w:val="00EB1261"/>
    <w:rsid w:val="00EB2590"/>
    <w:rsid w:val="00EB3A59"/>
    <w:rsid w:val="00EB45AD"/>
    <w:rsid w:val="00EB5A6D"/>
    <w:rsid w:val="00EB65B3"/>
    <w:rsid w:val="00EC0345"/>
    <w:rsid w:val="00EC04B1"/>
    <w:rsid w:val="00EC08BD"/>
    <w:rsid w:val="00EC21E5"/>
    <w:rsid w:val="00EC2236"/>
    <w:rsid w:val="00EC32E4"/>
    <w:rsid w:val="00EC344E"/>
    <w:rsid w:val="00EC4499"/>
    <w:rsid w:val="00EC5458"/>
    <w:rsid w:val="00ED118D"/>
    <w:rsid w:val="00ED135D"/>
    <w:rsid w:val="00ED1F04"/>
    <w:rsid w:val="00ED4987"/>
    <w:rsid w:val="00ED5ACD"/>
    <w:rsid w:val="00ED5D34"/>
    <w:rsid w:val="00ED6EC9"/>
    <w:rsid w:val="00EE0829"/>
    <w:rsid w:val="00EE2FAA"/>
    <w:rsid w:val="00EE3695"/>
    <w:rsid w:val="00EE5173"/>
    <w:rsid w:val="00EE5B94"/>
    <w:rsid w:val="00EE60DA"/>
    <w:rsid w:val="00EF2613"/>
    <w:rsid w:val="00EF4155"/>
    <w:rsid w:val="00EF5849"/>
    <w:rsid w:val="00EF6402"/>
    <w:rsid w:val="00EF6DCB"/>
    <w:rsid w:val="00F01119"/>
    <w:rsid w:val="00F0178B"/>
    <w:rsid w:val="00F04FAF"/>
    <w:rsid w:val="00F050B9"/>
    <w:rsid w:val="00F05ECE"/>
    <w:rsid w:val="00F072DA"/>
    <w:rsid w:val="00F07ACF"/>
    <w:rsid w:val="00F1098B"/>
    <w:rsid w:val="00F114E1"/>
    <w:rsid w:val="00F12350"/>
    <w:rsid w:val="00F13390"/>
    <w:rsid w:val="00F1441D"/>
    <w:rsid w:val="00F163E1"/>
    <w:rsid w:val="00F209CA"/>
    <w:rsid w:val="00F20A40"/>
    <w:rsid w:val="00F219D1"/>
    <w:rsid w:val="00F220A1"/>
    <w:rsid w:val="00F22542"/>
    <w:rsid w:val="00F22D3E"/>
    <w:rsid w:val="00F234BE"/>
    <w:rsid w:val="00F237E5"/>
    <w:rsid w:val="00F23ABE"/>
    <w:rsid w:val="00F241EC"/>
    <w:rsid w:val="00F24E2F"/>
    <w:rsid w:val="00F24F27"/>
    <w:rsid w:val="00F251A2"/>
    <w:rsid w:val="00F257F7"/>
    <w:rsid w:val="00F27B3B"/>
    <w:rsid w:val="00F302F3"/>
    <w:rsid w:val="00F32C83"/>
    <w:rsid w:val="00F33871"/>
    <w:rsid w:val="00F34E14"/>
    <w:rsid w:val="00F36B07"/>
    <w:rsid w:val="00F37041"/>
    <w:rsid w:val="00F373EB"/>
    <w:rsid w:val="00F4001B"/>
    <w:rsid w:val="00F41A08"/>
    <w:rsid w:val="00F42A1A"/>
    <w:rsid w:val="00F42D6F"/>
    <w:rsid w:val="00F442DC"/>
    <w:rsid w:val="00F44A35"/>
    <w:rsid w:val="00F45112"/>
    <w:rsid w:val="00F46537"/>
    <w:rsid w:val="00F46C66"/>
    <w:rsid w:val="00F5023F"/>
    <w:rsid w:val="00F50379"/>
    <w:rsid w:val="00F51103"/>
    <w:rsid w:val="00F51414"/>
    <w:rsid w:val="00F51514"/>
    <w:rsid w:val="00F5203A"/>
    <w:rsid w:val="00F53D83"/>
    <w:rsid w:val="00F54469"/>
    <w:rsid w:val="00F54FD1"/>
    <w:rsid w:val="00F55CE0"/>
    <w:rsid w:val="00F60F38"/>
    <w:rsid w:val="00F61FE8"/>
    <w:rsid w:val="00F628A2"/>
    <w:rsid w:val="00F63FE7"/>
    <w:rsid w:val="00F657D0"/>
    <w:rsid w:val="00F705CB"/>
    <w:rsid w:val="00F74BD2"/>
    <w:rsid w:val="00F77B12"/>
    <w:rsid w:val="00F77D55"/>
    <w:rsid w:val="00F80357"/>
    <w:rsid w:val="00F80CB6"/>
    <w:rsid w:val="00F82136"/>
    <w:rsid w:val="00F83735"/>
    <w:rsid w:val="00F8468C"/>
    <w:rsid w:val="00F85477"/>
    <w:rsid w:val="00F85DD3"/>
    <w:rsid w:val="00F87C16"/>
    <w:rsid w:val="00F87E78"/>
    <w:rsid w:val="00F905B8"/>
    <w:rsid w:val="00F917B4"/>
    <w:rsid w:val="00F92351"/>
    <w:rsid w:val="00F9589E"/>
    <w:rsid w:val="00F96B3A"/>
    <w:rsid w:val="00F97099"/>
    <w:rsid w:val="00FA0C0F"/>
    <w:rsid w:val="00FA4FC5"/>
    <w:rsid w:val="00FA50BB"/>
    <w:rsid w:val="00FA534A"/>
    <w:rsid w:val="00FA583A"/>
    <w:rsid w:val="00FA6CB9"/>
    <w:rsid w:val="00FA7ECE"/>
    <w:rsid w:val="00FB12C4"/>
    <w:rsid w:val="00FB2922"/>
    <w:rsid w:val="00FB5CDC"/>
    <w:rsid w:val="00FC5087"/>
    <w:rsid w:val="00FC5827"/>
    <w:rsid w:val="00FC6CFB"/>
    <w:rsid w:val="00FC70BF"/>
    <w:rsid w:val="00FD3652"/>
    <w:rsid w:val="00FD402C"/>
    <w:rsid w:val="00FE0952"/>
    <w:rsid w:val="00FE0DA0"/>
    <w:rsid w:val="00FE0EDD"/>
    <w:rsid w:val="00FE0F1F"/>
    <w:rsid w:val="00FE2A4C"/>
    <w:rsid w:val="00FE2BC8"/>
    <w:rsid w:val="00FE35BF"/>
    <w:rsid w:val="00FE692B"/>
    <w:rsid w:val="00FE7F16"/>
    <w:rsid w:val="00FF0E69"/>
    <w:rsid w:val="00FF2BBB"/>
    <w:rsid w:val="00FF3816"/>
    <w:rsid w:val="00FF6925"/>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4C"/>
  </w:style>
  <w:style w:type="paragraph" w:styleId="Heading1">
    <w:name w:val="heading 1"/>
    <w:basedOn w:val="Normal"/>
    <w:next w:val="Normal"/>
    <w:link w:val="Heading1Char"/>
    <w:autoRedefine/>
    <w:uiPriority w:val="9"/>
    <w:qFormat/>
    <w:rsid w:val="00997D55"/>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3A3F62"/>
    <w:pPr>
      <w:keepNext/>
      <w:keepLines/>
      <w:numPr>
        <w:numId w:val="17"/>
      </w:numPr>
      <w:spacing w:after="24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paragraph" w:styleId="Heading4">
    <w:name w:val="heading 4"/>
    <w:basedOn w:val="Normal"/>
    <w:next w:val="Normal"/>
    <w:link w:val="Heading4Char"/>
    <w:uiPriority w:val="9"/>
    <w:semiHidden/>
    <w:unhideWhenUsed/>
    <w:qFormat/>
    <w:rsid w:val="00C059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997D55"/>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5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583EF3"/>
    <w:pPr>
      <w:tabs>
        <w:tab w:val="decimal" w:leader="dot" w:pos="9360"/>
      </w:tabs>
      <w:spacing w:after="240"/>
      <w:ind w:left="720" w:hanging="720"/>
    </w:pPr>
    <w:rPr>
      <w:caps/>
      <w:color w:val="auto"/>
    </w:rPr>
  </w:style>
  <w:style w:type="paragraph" w:styleId="TOC2">
    <w:name w:val="toc 2"/>
    <w:basedOn w:val="Normal"/>
    <w:next w:val="Normal"/>
    <w:autoRedefine/>
    <w:uiPriority w:val="39"/>
    <w:unhideWhenUsed/>
    <w:qFormat/>
    <w:rsid w:val="00583EF3"/>
    <w:pPr>
      <w:tabs>
        <w:tab w:val="decimal" w:leader="dot" w:pos="9360"/>
      </w:tabs>
      <w:spacing w:after="240"/>
      <w:ind w:left="1440" w:hanging="720"/>
    </w:pPr>
    <w:rPr>
      <w:color w:val="auto"/>
    </w:rPr>
  </w:style>
  <w:style w:type="paragraph" w:styleId="TOC3">
    <w:name w:val="toc 3"/>
    <w:basedOn w:val="Normal"/>
    <w:next w:val="Normal"/>
    <w:autoRedefine/>
    <w:uiPriority w:val="39"/>
    <w:unhideWhenUsed/>
    <w:qFormat/>
    <w:rsid w:val="00583EF3"/>
    <w:pPr>
      <w:tabs>
        <w:tab w:val="decimal" w:leader="dot" w:pos="9360"/>
      </w:tabs>
      <w:spacing w:after="240"/>
      <w:ind w:left="2160" w:hanging="720"/>
    </w:pPr>
    <w:rPr>
      <w:color w:val="auto"/>
    </w:rPr>
  </w:style>
  <w:style w:type="character" w:customStyle="1" w:styleId="Heading2Char">
    <w:name w:val="Heading 2 Char"/>
    <w:basedOn w:val="DefaultParagraphFont"/>
    <w:link w:val="Heading2"/>
    <w:uiPriority w:val="9"/>
    <w:rsid w:val="003A3F62"/>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2">
    <w:name w:val="Unresolved Mention2"/>
    <w:basedOn w:val="DefaultParagraphFont"/>
    <w:uiPriority w:val="99"/>
    <w:semiHidden/>
    <w:unhideWhenUsed/>
    <w:rsid w:val="003B72CB"/>
    <w:rPr>
      <w:color w:val="605E5C"/>
      <w:shd w:val="clear" w:color="auto" w:fill="E1DFDD"/>
    </w:rPr>
  </w:style>
  <w:style w:type="character" w:customStyle="1" w:styleId="UnresolvedMention3">
    <w:name w:val="Unresolved Mention3"/>
    <w:basedOn w:val="DefaultParagraphFont"/>
    <w:uiPriority w:val="99"/>
    <w:rsid w:val="00B16A7B"/>
    <w:rPr>
      <w:color w:val="605E5C"/>
      <w:shd w:val="clear" w:color="auto" w:fill="E1DFDD"/>
    </w:rPr>
  </w:style>
  <w:style w:type="character" w:customStyle="1" w:styleId="markedcontent">
    <w:name w:val="markedcontent"/>
    <w:basedOn w:val="DefaultParagraphFont"/>
    <w:rsid w:val="000064CA"/>
  </w:style>
  <w:style w:type="character" w:customStyle="1" w:styleId="ssleftalign">
    <w:name w:val="ss_leftalign"/>
    <w:basedOn w:val="DefaultParagraphFont"/>
    <w:rsid w:val="002A7ECB"/>
  </w:style>
  <w:style w:type="character" w:customStyle="1" w:styleId="ssprior">
    <w:name w:val="ss_prior"/>
    <w:basedOn w:val="DefaultParagraphFont"/>
    <w:rsid w:val="002A7ECB"/>
  </w:style>
  <w:style w:type="character" w:customStyle="1" w:styleId="UnresolvedMention4">
    <w:name w:val="Unresolved Mention4"/>
    <w:basedOn w:val="DefaultParagraphFont"/>
    <w:uiPriority w:val="99"/>
    <w:rsid w:val="00C01BBA"/>
    <w:rPr>
      <w:color w:val="605E5C"/>
      <w:shd w:val="clear" w:color="auto" w:fill="E1DFDD"/>
    </w:rPr>
  </w:style>
  <w:style w:type="paragraph" w:styleId="BodyTextIndent3">
    <w:name w:val="Body Text Indent 3"/>
    <w:basedOn w:val="Normal"/>
    <w:link w:val="BodyTextIndent3Char"/>
    <w:uiPriority w:val="99"/>
    <w:semiHidden/>
    <w:unhideWhenUsed/>
    <w:rsid w:val="00D94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4878"/>
    <w:rPr>
      <w:sz w:val="16"/>
      <w:szCs w:val="16"/>
    </w:rPr>
  </w:style>
  <w:style w:type="character" w:customStyle="1" w:styleId="Heading4Char">
    <w:name w:val="Heading 4 Char"/>
    <w:basedOn w:val="DefaultParagraphFont"/>
    <w:link w:val="Heading4"/>
    <w:uiPriority w:val="9"/>
    <w:semiHidden/>
    <w:rsid w:val="00C05918"/>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rsid w:val="00AD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thomas.lindgren@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joliker@igsenergy.com" TargetMode="External" /><Relationship Id="rId14" Type="http://schemas.openxmlformats.org/officeDocument/2006/relationships/hyperlink" Target="mailto:Mnugent@igsenergy.com" TargetMode="External" /><Relationship Id="rId15" Type="http://schemas.openxmlformats.org/officeDocument/2006/relationships/hyperlink" Target="mailto:bethany.allen@igs.com" TargetMode="External" /><Relationship Id="rId16" Type="http://schemas.openxmlformats.org/officeDocument/2006/relationships/hyperlink" Target="mailto:evan.betterton@igs.com" TargetMode="External" /><Relationship Id="rId17" Type="http://schemas.openxmlformats.org/officeDocument/2006/relationships/hyperlink" Target="mailto:gkrassen@bricker.com" TargetMode="External" /><Relationship Id="rId18" Type="http://schemas.openxmlformats.org/officeDocument/2006/relationships/hyperlink" Target="mailto:dstinson@bricker.com"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fykes@whitt-sturtevant.com" TargetMode="External" /><Relationship Id="rId21" Type="http://schemas.openxmlformats.org/officeDocument/2006/relationships/hyperlink" Target="mailto:mwise@mcdonaldhopkins.com" TargetMode="External" /><Relationship Id="rId22" Type="http://schemas.openxmlformats.org/officeDocument/2006/relationships/hyperlink" Target="mailto:mkurtz@BKLlawfirm.com" TargetMode="External" /><Relationship Id="rId23" Type="http://schemas.openxmlformats.org/officeDocument/2006/relationships/hyperlink" Target="mailto:kboehm@BKLlawfirm.com" TargetMode="External" /><Relationship Id="rId24" Type="http://schemas.openxmlformats.org/officeDocument/2006/relationships/hyperlink" Target="mailto:jkylercohn@BKLlawfirm.com" TargetMode="External" /><Relationship Id="rId25" Type="http://schemas.openxmlformats.org/officeDocument/2006/relationships/hyperlink" Target="mailto:talexander@beneschlaw.com" TargetMode="External" /><Relationship Id="rId26" Type="http://schemas.openxmlformats.org/officeDocument/2006/relationships/hyperlink" Target="mailto:megan.addison@puco.ohio.gov" TargetMode="External" /><Relationship Id="rId27" Type="http://schemas.openxmlformats.org/officeDocument/2006/relationships/hyperlink" Target="mailto:edanford@firstenergycorp.com" TargetMode="External" /><Relationship Id="rId28" Type="http://schemas.openxmlformats.org/officeDocument/2006/relationships/hyperlink" Target="mailto:cwatchorn@firstenergycorp.com" TargetMode="External" /><Relationship Id="rId29" Type="http://schemas.openxmlformats.org/officeDocument/2006/relationships/hyperlink" Target="mailto:bknipe@firstenergycorp.com" TargetMode="External" /><Relationship Id="rId3" Type="http://schemas.openxmlformats.org/officeDocument/2006/relationships/webSettings" Target="webSettings.xml" /><Relationship Id="rId30" Type="http://schemas.openxmlformats.org/officeDocument/2006/relationships/hyperlink" Target="mailto:mrgladman@jonesday.com" TargetMode="External" /><Relationship Id="rId31" Type="http://schemas.openxmlformats.org/officeDocument/2006/relationships/hyperlink" Target="mailto:mdengler@jonesday.com" TargetMode="External" /><Relationship Id="rId32" Type="http://schemas.openxmlformats.org/officeDocument/2006/relationships/hyperlink" Target="mailto:radoringo@jonesday.com" TargetMode="External" /><Relationship Id="rId33" Type="http://schemas.openxmlformats.org/officeDocument/2006/relationships/hyperlink" Target="mailto:marcie.lape@skadden.com" TargetMode="External" /><Relationship Id="rId34" Type="http://schemas.openxmlformats.org/officeDocument/2006/relationships/hyperlink" Target="mailto:iavalon@taftlaw.com" TargetMode="External" /><Relationship Id="rId35" Type="http://schemas.openxmlformats.org/officeDocument/2006/relationships/hyperlink" Target="mailto:mpritchard@mcneeslaw.com" TargetMode="External" /><Relationship Id="rId36" Type="http://schemas.openxmlformats.org/officeDocument/2006/relationships/hyperlink" Target="mailto:rdove@keglerbrown.com" TargetMode="External" /><Relationship Id="rId37" Type="http://schemas.openxmlformats.org/officeDocument/2006/relationships/hyperlink" Target="mailto:bojko@carpenterlipps.com" TargetMode="External" /><Relationship Id="rId38" Type="http://schemas.openxmlformats.org/officeDocument/2006/relationships/hyperlink" Target="mailto:donadio@carpenterlipps.com"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hyperlink" Target="mailto:jweber@elpc.org" TargetMode="External" /><Relationship Id="rId42" Type="http://schemas.openxmlformats.org/officeDocument/2006/relationships/hyperlink" Target="mailto:sgoyal@jonesday.com-" TargetMode="External" /><Relationship Id="rId43" Type="http://schemas.openxmlformats.org/officeDocument/2006/relationships/hyperlink" Target="mailto:calee@jonesday.com-" TargetMode="External" /><Relationship Id="rId44" Type="http://schemas.openxmlformats.org/officeDocument/2006/relationships/header" Target="header1.xml" /><Relationship Id="rId45" Type="http://schemas.openxmlformats.org/officeDocument/2006/relationships/footer" Target="footer4.xml" /><Relationship Id="rId46" Type="http://schemas.openxmlformats.org/officeDocument/2006/relationships/footer" Target="footer5.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F13-BE5D-4B1B-A089-29EE1C3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2022-03-22T20:57:43Z</dcterms:created>
  <dcterms:modified xsi:type="dcterms:W3CDTF">2022-03-22T20:57:43Z</dcterms:modified>
</cp:coreProperties>
</file>