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F336" w14:textId="10A1CF38" w:rsidR="00317FCB" w:rsidRPr="00317FCB" w:rsidRDefault="00317FCB" w:rsidP="00317FCB">
      <w:pPr>
        <w:spacing w:after="0" w:line="240" w:lineRule="auto"/>
        <w:jc w:val="center"/>
        <w:rPr>
          <w:rFonts w:ascii="Arial" w:eastAsia="Times New Roman" w:hAnsi="Arial" w:cs="Arial"/>
          <w:b/>
          <w:sz w:val="24"/>
          <w:szCs w:val="24"/>
        </w:rPr>
      </w:pPr>
      <w:bookmarkStart w:id="0" w:name="_GoBack"/>
      <w:bookmarkEnd w:id="0"/>
      <w:r w:rsidRPr="00DF3B0E">
        <w:rPr>
          <w:rFonts w:ascii="Arial" w:eastAsia="Arial" w:hAnsi="Arial" w:cs="Arial"/>
          <w:b/>
          <w:sz w:val="24"/>
          <w:szCs w:val="24"/>
        </w:rPr>
        <w:t>BEFORE</w:t>
      </w:r>
    </w:p>
    <w:p w14:paraId="7A3A5457" w14:textId="77777777" w:rsidR="00317FCB" w:rsidRPr="00317FCB" w:rsidRDefault="00317FCB" w:rsidP="00317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ourier New" w:hAnsi="Arial" w:cs="Arial"/>
          <w:b/>
          <w:bCs/>
          <w:sz w:val="24"/>
          <w:szCs w:val="24"/>
        </w:rPr>
      </w:pPr>
      <w:r w:rsidRPr="00FE7C99">
        <w:rPr>
          <w:rFonts w:ascii="Arial" w:eastAsia="Arial" w:hAnsi="Arial" w:cs="Arial"/>
          <w:b/>
          <w:sz w:val="24"/>
          <w:szCs w:val="24"/>
        </w:rPr>
        <w:t>THE PUBLIC UTILITIES COMMISSION OF OHIO</w:t>
      </w:r>
    </w:p>
    <w:tbl>
      <w:tblPr>
        <w:tblW w:w="9044" w:type="dxa"/>
        <w:jc w:val="center"/>
        <w:tblLook w:val="01E0" w:firstRow="1" w:lastRow="1" w:firstColumn="1" w:lastColumn="1" w:noHBand="0" w:noVBand="0"/>
      </w:tblPr>
      <w:tblGrid>
        <w:gridCol w:w="4532"/>
        <w:gridCol w:w="796"/>
        <w:gridCol w:w="3716"/>
      </w:tblGrid>
      <w:tr w:rsidR="00317FCB" w:rsidRPr="00317FCB" w14:paraId="57A47E7A" w14:textId="77777777" w:rsidTr="007D179F">
        <w:trPr>
          <w:trHeight w:val="873"/>
          <w:jc w:val="center"/>
        </w:trPr>
        <w:tc>
          <w:tcPr>
            <w:tcW w:w="4532" w:type="dxa"/>
          </w:tcPr>
          <w:p w14:paraId="6166EF87" w14:textId="77777777" w:rsidR="00317FCB" w:rsidRPr="00317FCB" w:rsidRDefault="00317FCB" w:rsidP="007D179F">
            <w:pPr>
              <w:spacing w:after="0" w:line="240" w:lineRule="auto"/>
              <w:rPr>
                <w:rFonts w:ascii="Arial" w:eastAsia="Times New Roman" w:hAnsi="Arial" w:cs="Arial"/>
                <w:sz w:val="24"/>
                <w:szCs w:val="24"/>
              </w:rPr>
            </w:pPr>
            <w:r w:rsidRPr="00317FCB">
              <w:rPr>
                <w:rFonts w:ascii="Arial" w:eastAsia="Times New Roman" w:hAnsi="Arial" w:cs="Arial"/>
                <w:sz w:val="24"/>
                <w:szCs w:val="24"/>
              </w:rPr>
              <w:t xml:space="preserve">In the Matter of the Application of Duke Energy Ohio, Inc. for an Increase in Electric Distribution Rates. </w:t>
            </w:r>
          </w:p>
          <w:p w14:paraId="44FFF9DD" w14:textId="77777777" w:rsidR="00317FCB" w:rsidRPr="00317FCB" w:rsidRDefault="00317FCB" w:rsidP="007D179F">
            <w:pPr>
              <w:spacing w:after="0" w:line="240" w:lineRule="auto"/>
              <w:rPr>
                <w:rFonts w:ascii="Arial" w:eastAsia="Times New Roman" w:hAnsi="Arial" w:cs="Arial"/>
                <w:sz w:val="24"/>
                <w:szCs w:val="24"/>
              </w:rPr>
            </w:pPr>
          </w:p>
          <w:p w14:paraId="2B217BBD" w14:textId="77777777" w:rsidR="00317FCB" w:rsidRPr="00317FCB" w:rsidRDefault="00317FCB" w:rsidP="007D179F">
            <w:pPr>
              <w:autoSpaceDE w:val="0"/>
              <w:autoSpaceDN w:val="0"/>
              <w:adjustRightInd w:val="0"/>
              <w:spacing w:after="0" w:line="240" w:lineRule="auto"/>
              <w:rPr>
                <w:rFonts w:ascii="Arial" w:eastAsia="Times New Roman" w:hAnsi="Arial" w:cs="Arial"/>
                <w:sz w:val="24"/>
                <w:szCs w:val="24"/>
              </w:rPr>
            </w:pPr>
            <w:r w:rsidRPr="00317FCB">
              <w:rPr>
                <w:rFonts w:ascii="Arial" w:eastAsia="Times New Roman" w:hAnsi="Arial" w:cs="Arial"/>
                <w:sz w:val="24"/>
                <w:szCs w:val="24"/>
              </w:rPr>
              <w:t>In the Matter of the Application of Duke Energy Ohio, Inc. for Tariff Approval.</w:t>
            </w:r>
          </w:p>
          <w:p w14:paraId="3E94BD14" w14:textId="77777777" w:rsidR="00317FCB" w:rsidRPr="00317FCB" w:rsidRDefault="00317FCB" w:rsidP="007D179F">
            <w:pPr>
              <w:autoSpaceDE w:val="0"/>
              <w:autoSpaceDN w:val="0"/>
              <w:adjustRightInd w:val="0"/>
              <w:spacing w:after="0" w:line="240" w:lineRule="auto"/>
              <w:rPr>
                <w:rFonts w:ascii="Arial" w:eastAsia="Times New Roman" w:hAnsi="Arial" w:cs="Arial"/>
                <w:sz w:val="24"/>
                <w:szCs w:val="24"/>
              </w:rPr>
            </w:pPr>
          </w:p>
          <w:p w14:paraId="6B2683AD" w14:textId="77777777" w:rsidR="00317FCB" w:rsidRPr="00317FCB" w:rsidRDefault="00317FCB" w:rsidP="007D179F">
            <w:pPr>
              <w:autoSpaceDE w:val="0"/>
              <w:autoSpaceDN w:val="0"/>
              <w:adjustRightInd w:val="0"/>
              <w:spacing w:after="0" w:line="240" w:lineRule="auto"/>
              <w:rPr>
                <w:rFonts w:ascii="Arial" w:eastAsia="Times New Roman" w:hAnsi="Arial" w:cs="Arial"/>
                <w:sz w:val="24"/>
                <w:szCs w:val="24"/>
              </w:rPr>
            </w:pPr>
            <w:r w:rsidRPr="00317FCB">
              <w:rPr>
                <w:rFonts w:ascii="Arial" w:eastAsia="Times New Roman" w:hAnsi="Arial" w:cs="Arial"/>
                <w:sz w:val="24"/>
                <w:szCs w:val="24"/>
              </w:rPr>
              <w:t xml:space="preserve">In the Matter of the Application of Duke Energy Ohio, Inc. for Approval to Change Accounting Methods. </w:t>
            </w:r>
          </w:p>
        </w:tc>
        <w:tc>
          <w:tcPr>
            <w:tcW w:w="796" w:type="dxa"/>
          </w:tcPr>
          <w:p w14:paraId="3F9674C4"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0A0A52DB"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49195242"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6B757861" w14:textId="77777777" w:rsidR="00317FCB" w:rsidRPr="00317FCB" w:rsidRDefault="00317FCB" w:rsidP="007D179F">
            <w:pPr>
              <w:widowControl w:val="0"/>
              <w:spacing w:after="0" w:line="240" w:lineRule="auto"/>
              <w:jc w:val="center"/>
              <w:rPr>
                <w:rFonts w:ascii="Arial" w:eastAsia="Times New Roman" w:hAnsi="Arial" w:cs="Arial"/>
                <w:sz w:val="24"/>
                <w:szCs w:val="24"/>
              </w:rPr>
            </w:pPr>
          </w:p>
          <w:p w14:paraId="1498093E"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27A7477F"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576EA0E9" w14:textId="77777777" w:rsidR="00317FCB" w:rsidRPr="00317FCB" w:rsidRDefault="00317FCB" w:rsidP="007D179F">
            <w:pPr>
              <w:widowControl w:val="0"/>
              <w:spacing w:after="0" w:line="240" w:lineRule="auto"/>
              <w:jc w:val="center"/>
              <w:rPr>
                <w:rFonts w:ascii="Arial" w:eastAsia="Times New Roman" w:hAnsi="Arial" w:cs="Arial"/>
                <w:sz w:val="24"/>
                <w:szCs w:val="24"/>
              </w:rPr>
            </w:pPr>
          </w:p>
          <w:p w14:paraId="4A1FF950"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47AC56C4"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39897BD7"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tc>
        <w:tc>
          <w:tcPr>
            <w:tcW w:w="3716" w:type="dxa"/>
          </w:tcPr>
          <w:p w14:paraId="6A60AA64" w14:textId="77777777" w:rsidR="00317FCB" w:rsidRPr="00317FCB" w:rsidRDefault="00317FCB" w:rsidP="007D179F">
            <w:pPr>
              <w:widowControl w:val="0"/>
              <w:spacing w:after="0" w:line="240" w:lineRule="auto"/>
              <w:rPr>
                <w:rFonts w:ascii="Arial" w:eastAsia="Times New Roman" w:hAnsi="Arial" w:cs="Arial"/>
                <w:sz w:val="24"/>
                <w:szCs w:val="24"/>
              </w:rPr>
            </w:pPr>
          </w:p>
          <w:p w14:paraId="19759C84" w14:textId="77777777" w:rsidR="00317FCB" w:rsidRPr="00317FCB" w:rsidRDefault="00317FCB" w:rsidP="007D179F">
            <w:pPr>
              <w:widowControl w:val="0"/>
              <w:spacing w:after="0" w:line="240" w:lineRule="auto"/>
              <w:rPr>
                <w:rFonts w:ascii="Arial" w:eastAsia="Times New Roman" w:hAnsi="Arial" w:cs="Arial"/>
                <w:sz w:val="24"/>
                <w:szCs w:val="24"/>
              </w:rPr>
            </w:pPr>
            <w:r w:rsidRPr="00317FCB">
              <w:rPr>
                <w:rFonts w:ascii="Arial" w:eastAsia="Times New Roman" w:hAnsi="Arial" w:cs="Arial"/>
                <w:sz w:val="24"/>
                <w:szCs w:val="24"/>
              </w:rPr>
              <w:t>Case No. 17-32-EL-AIR</w:t>
            </w:r>
          </w:p>
          <w:p w14:paraId="500233CB" w14:textId="77777777" w:rsidR="00317FCB" w:rsidRPr="00317FCB" w:rsidRDefault="00317FCB" w:rsidP="007D179F">
            <w:pPr>
              <w:widowControl w:val="0"/>
              <w:spacing w:after="0" w:line="240" w:lineRule="auto"/>
              <w:rPr>
                <w:rFonts w:ascii="Arial" w:eastAsia="Times New Roman" w:hAnsi="Arial" w:cs="Arial"/>
                <w:sz w:val="24"/>
                <w:szCs w:val="24"/>
              </w:rPr>
            </w:pPr>
          </w:p>
          <w:p w14:paraId="7F89C34A" w14:textId="77777777" w:rsidR="00317FCB" w:rsidRPr="00317FCB" w:rsidRDefault="00317FCB" w:rsidP="007D179F">
            <w:pPr>
              <w:widowControl w:val="0"/>
              <w:spacing w:after="0" w:line="240" w:lineRule="auto"/>
              <w:rPr>
                <w:rFonts w:ascii="Arial" w:eastAsia="Times New Roman" w:hAnsi="Arial" w:cs="Arial"/>
                <w:sz w:val="24"/>
                <w:szCs w:val="24"/>
              </w:rPr>
            </w:pPr>
          </w:p>
          <w:p w14:paraId="6315F833" w14:textId="77777777" w:rsidR="00317FCB" w:rsidRPr="00317FCB" w:rsidRDefault="00317FCB" w:rsidP="007D179F">
            <w:pPr>
              <w:widowControl w:val="0"/>
              <w:spacing w:after="0" w:line="240" w:lineRule="auto"/>
              <w:rPr>
                <w:rFonts w:ascii="Arial" w:eastAsia="Times New Roman" w:hAnsi="Arial" w:cs="Arial"/>
                <w:sz w:val="24"/>
                <w:szCs w:val="24"/>
              </w:rPr>
            </w:pPr>
            <w:r w:rsidRPr="00317FCB">
              <w:rPr>
                <w:rFonts w:ascii="Arial" w:eastAsia="Times New Roman" w:hAnsi="Arial" w:cs="Arial"/>
                <w:sz w:val="24"/>
                <w:szCs w:val="24"/>
              </w:rPr>
              <w:t>Case No. 17-33-EL-ATA</w:t>
            </w:r>
          </w:p>
          <w:p w14:paraId="5CDFA25A" w14:textId="77777777" w:rsidR="00317FCB" w:rsidRPr="00317FCB" w:rsidRDefault="00317FCB" w:rsidP="007D179F">
            <w:pPr>
              <w:widowControl w:val="0"/>
              <w:spacing w:after="0" w:line="240" w:lineRule="auto"/>
              <w:rPr>
                <w:rFonts w:ascii="Arial" w:eastAsia="Times New Roman" w:hAnsi="Arial" w:cs="Arial"/>
                <w:sz w:val="24"/>
                <w:szCs w:val="24"/>
              </w:rPr>
            </w:pPr>
          </w:p>
          <w:p w14:paraId="0A645122" w14:textId="77777777" w:rsidR="00317FCB" w:rsidRPr="00317FCB" w:rsidRDefault="00317FCB" w:rsidP="007D179F">
            <w:pPr>
              <w:widowControl w:val="0"/>
              <w:spacing w:after="0" w:line="240" w:lineRule="auto"/>
              <w:rPr>
                <w:rFonts w:ascii="Arial" w:eastAsia="Times New Roman" w:hAnsi="Arial" w:cs="Arial"/>
                <w:sz w:val="24"/>
                <w:szCs w:val="24"/>
              </w:rPr>
            </w:pPr>
          </w:p>
          <w:p w14:paraId="4589312F" w14:textId="77777777" w:rsidR="00317FCB" w:rsidRPr="00317FCB" w:rsidRDefault="00317FCB" w:rsidP="007D179F">
            <w:pPr>
              <w:widowControl w:val="0"/>
              <w:spacing w:after="0" w:line="240" w:lineRule="auto"/>
              <w:rPr>
                <w:rFonts w:ascii="Arial" w:eastAsia="Times New Roman" w:hAnsi="Arial" w:cs="Arial"/>
                <w:sz w:val="24"/>
                <w:szCs w:val="24"/>
              </w:rPr>
            </w:pPr>
          </w:p>
          <w:p w14:paraId="3B30BBE1" w14:textId="77777777" w:rsidR="00317FCB" w:rsidRPr="00317FCB" w:rsidRDefault="00317FCB" w:rsidP="007D179F">
            <w:pPr>
              <w:widowControl w:val="0"/>
              <w:spacing w:after="0" w:line="240" w:lineRule="auto"/>
              <w:rPr>
                <w:rFonts w:ascii="Arial" w:eastAsia="Times New Roman" w:hAnsi="Arial" w:cs="Arial"/>
                <w:sz w:val="24"/>
                <w:szCs w:val="24"/>
              </w:rPr>
            </w:pPr>
            <w:r w:rsidRPr="00317FCB">
              <w:rPr>
                <w:rFonts w:ascii="Arial" w:eastAsia="Times New Roman" w:hAnsi="Arial" w:cs="Arial"/>
                <w:sz w:val="24"/>
                <w:szCs w:val="24"/>
              </w:rPr>
              <w:t>Case No. 17-34-EL-AAM</w:t>
            </w:r>
          </w:p>
        </w:tc>
      </w:tr>
      <w:tr w:rsidR="00317FCB" w:rsidRPr="00317FCB" w14:paraId="4D55DEE8" w14:textId="77777777" w:rsidTr="007D179F">
        <w:trPr>
          <w:trHeight w:val="873"/>
          <w:jc w:val="center"/>
        </w:trPr>
        <w:tc>
          <w:tcPr>
            <w:tcW w:w="4532" w:type="dxa"/>
          </w:tcPr>
          <w:p w14:paraId="5C95030F" w14:textId="77777777" w:rsidR="00317FCB" w:rsidRPr="00317FCB" w:rsidRDefault="00317FCB" w:rsidP="007D179F">
            <w:pPr>
              <w:spacing w:after="0" w:line="240" w:lineRule="auto"/>
              <w:rPr>
                <w:rFonts w:ascii="Arial" w:eastAsia="Times New Roman" w:hAnsi="Arial" w:cs="Arial"/>
                <w:sz w:val="24"/>
                <w:szCs w:val="24"/>
              </w:rPr>
            </w:pPr>
          </w:p>
          <w:p w14:paraId="5BA33023" w14:textId="77777777" w:rsidR="00317FCB" w:rsidRPr="00317FCB" w:rsidRDefault="00317FCB" w:rsidP="007D179F">
            <w:pPr>
              <w:spacing w:after="0" w:line="240" w:lineRule="auto"/>
              <w:rPr>
                <w:rFonts w:ascii="Arial" w:eastAsia="Times New Roman" w:hAnsi="Arial" w:cs="Arial"/>
                <w:sz w:val="24"/>
                <w:szCs w:val="24"/>
              </w:rPr>
            </w:pPr>
            <w:r w:rsidRPr="00317FCB">
              <w:rPr>
                <w:rFonts w:ascii="Arial" w:eastAsia="Times New Roman" w:hAnsi="Arial" w:cs="Arial"/>
                <w:sz w:val="24"/>
                <w:szCs w:val="24"/>
              </w:rPr>
              <w:t>In the Matter of the Application of Duke Energy Ohio, Inc., for Approval to Modify Rider PSR.</w:t>
            </w:r>
          </w:p>
          <w:p w14:paraId="1E7A98D1" w14:textId="77777777" w:rsidR="00317FCB" w:rsidRPr="00317FCB" w:rsidRDefault="00317FCB" w:rsidP="007D179F">
            <w:pPr>
              <w:spacing w:after="0" w:line="240" w:lineRule="auto"/>
              <w:rPr>
                <w:rFonts w:ascii="Arial" w:eastAsia="Times New Roman" w:hAnsi="Arial" w:cs="Arial"/>
                <w:sz w:val="24"/>
                <w:szCs w:val="24"/>
              </w:rPr>
            </w:pPr>
          </w:p>
          <w:p w14:paraId="60454531" w14:textId="77777777" w:rsidR="00317FCB" w:rsidRPr="00317FCB" w:rsidRDefault="00317FCB" w:rsidP="007D179F">
            <w:pPr>
              <w:spacing w:after="0" w:line="240" w:lineRule="auto"/>
              <w:rPr>
                <w:rFonts w:ascii="Arial" w:eastAsia="Times New Roman" w:hAnsi="Arial" w:cs="Arial"/>
                <w:sz w:val="24"/>
                <w:szCs w:val="24"/>
              </w:rPr>
            </w:pPr>
            <w:r w:rsidRPr="00317FCB">
              <w:rPr>
                <w:rFonts w:ascii="Arial" w:eastAsia="Times New Roman" w:hAnsi="Arial" w:cs="Arial"/>
                <w:sz w:val="24"/>
                <w:szCs w:val="24"/>
              </w:rPr>
              <w:t>In the Matter of the Application of Duke Energy Ohio, Inc., for Approval to Amend Rider PSR.</w:t>
            </w:r>
          </w:p>
          <w:p w14:paraId="5C7C5CA3" w14:textId="77777777" w:rsidR="00317FCB" w:rsidRPr="00317FCB" w:rsidRDefault="00317FCB" w:rsidP="007D179F">
            <w:pPr>
              <w:spacing w:after="0" w:line="240" w:lineRule="auto"/>
              <w:rPr>
                <w:rFonts w:ascii="Arial" w:eastAsia="Times New Roman" w:hAnsi="Arial" w:cs="Arial"/>
                <w:sz w:val="24"/>
                <w:szCs w:val="24"/>
              </w:rPr>
            </w:pPr>
          </w:p>
          <w:p w14:paraId="29FAD260" w14:textId="77777777" w:rsidR="00317FCB" w:rsidRPr="00317FCB" w:rsidRDefault="00317FCB" w:rsidP="007D179F">
            <w:pPr>
              <w:spacing w:after="0" w:line="240" w:lineRule="auto"/>
              <w:rPr>
                <w:rFonts w:ascii="Arial" w:eastAsia="Times New Roman" w:hAnsi="Arial" w:cs="Arial"/>
                <w:sz w:val="24"/>
                <w:szCs w:val="24"/>
              </w:rPr>
            </w:pPr>
            <w:r w:rsidRPr="00317FCB">
              <w:rPr>
                <w:rFonts w:ascii="Arial" w:eastAsia="Times New Roman" w:hAnsi="Arial" w:cs="Arial"/>
                <w:sz w:val="24"/>
                <w:szCs w:val="24"/>
              </w:rPr>
              <w:t>In the Matter of the Application of Duke Energy Ohio Inc., for Approval to Change Accounting Methods.</w:t>
            </w:r>
          </w:p>
          <w:p w14:paraId="16657BB4" w14:textId="77777777" w:rsidR="00317FCB" w:rsidRPr="00317FCB" w:rsidRDefault="00317FCB" w:rsidP="007D179F">
            <w:pPr>
              <w:spacing w:after="0" w:line="240" w:lineRule="auto"/>
              <w:rPr>
                <w:rFonts w:ascii="Arial" w:eastAsia="Times New Roman" w:hAnsi="Arial" w:cs="Arial"/>
                <w:sz w:val="24"/>
                <w:szCs w:val="24"/>
              </w:rPr>
            </w:pPr>
          </w:p>
          <w:p w14:paraId="4E475F2A" w14:textId="77777777" w:rsidR="00317FCB" w:rsidRPr="00317FCB" w:rsidRDefault="00317FCB" w:rsidP="007D179F">
            <w:pPr>
              <w:spacing w:after="0" w:line="240" w:lineRule="auto"/>
              <w:rPr>
                <w:rFonts w:ascii="Arial" w:eastAsia="Times New Roman" w:hAnsi="Arial" w:cs="Arial"/>
                <w:sz w:val="24"/>
                <w:szCs w:val="24"/>
              </w:rPr>
            </w:pPr>
            <w:r w:rsidRPr="00317FCB">
              <w:rPr>
                <w:rFonts w:ascii="Arial" w:eastAsia="Times New Roman" w:hAnsi="Arial" w:cs="Arial"/>
                <w:sz w:val="24"/>
                <w:szCs w:val="24"/>
              </w:rPr>
              <w:t>In the Matter of the Application of Duke Energy Ohio Inc., for Authority to Establish a Standard Service Offer Pursuant to Section 4928.143, Revised Code, in the Form of an Electric Security Plan, Accounting Modifications and Tariffs for Generation Service.</w:t>
            </w:r>
          </w:p>
          <w:p w14:paraId="231A9FA2" w14:textId="77777777" w:rsidR="00317FCB" w:rsidRPr="00317FCB" w:rsidRDefault="00317FCB" w:rsidP="007D179F">
            <w:pPr>
              <w:spacing w:after="0" w:line="240" w:lineRule="auto"/>
              <w:rPr>
                <w:rFonts w:ascii="Arial" w:eastAsia="Times New Roman" w:hAnsi="Arial" w:cs="Arial"/>
                <w:sz w:val="24"/>
                <w:szCs w:val="24"/>
              </w:rPr>
            </w:pPr>
          </w:p>
          <w:p w14:paraId="4F6AC75E" w14:textId="77777777" w:rsidR="00317FCB" w:rsidRPr="00317FCB" w:rsidRDefault="00317FCB" w:rsidP="007D179F">
            <w:pPr>
              <w:spacing w:after="0" w:line="240" w:lineRule="auto"/>
              <w:rPr>
                <w:rFonts w:ascii="Arial" w:eastAsia="Times New Roman" w:hAnsi="Arial" w:cs="Arial"/>
                <w:sz w:val="24"/>
                <w:szCs w:val="24"/>
              </w:rPr>
            </w:pPr>
            <w:r w:rsidRPr="00317FCB">
              <w:rPr>
                <w:rFonts w:ascii="Arial" w:eastAsia="Times New Roman" w:hAnsi="Arial" w:cs="Arial"/>
                <w:sz w:val="24"/>
                <w:szCs w:val="24"/>
              </w:rPr>
              <w:t>In the Matter of the Application of Duke Energy Ohio, Inc., for Authority to Amend its Certified Supplier Tariff, P.U.C.O. No. 20.</w:t>
            </w:r>
          </w:p>
          <w:p w14:paraId="4E6F3FDB" w14:textId="77777777" w:rsidR="00317FCB" w:rsidRPr="00317FCB" w:rsidRDefault="00317FCB" w:rsidP="007D179F">
            <w:pPr>
              <w:spacing w:after="0" w:line="240" w:lineRule="auto"/>
              <w:rPr>
                <w:rFonts w:ascii="Arial" w:eastAsia="Times New Roman" w:hAnsi="Arial" w:cs="Arial"/>
                <w:sz w:val="24"/>
                <w:szCs w:val="24"/>
              </w:rPr>
            </w:pPr>
          </w:p>
          <w:p w14:paraId="1CF1A52E" w14:textId="77777777" w:rsidR="00317FCB" w:rsidRPr="00317FCB" w:rsidRDefault="00317FCB" w:rsidP="007D179F">
            <w:pPr>
              <w:spacing w:after="0" w:line="240" w:lineRule="auto"/>
              <w:rPr>
                <w:rFonts w:ascii="Arial" w:eastAsia="Times New Roman" w:hAnsi="Arial" w:cs="Arial"/>
                <w:sz w:val="24"/>
                <w:szCs w:val="24"/>
              </w:rPr>
            </w:pPr>
            <w:r w:rsidRPr="00317FCB">
              <w:rPr>
                <w:rFonts w:ascii="Arial" w:eastAsia="Times New Roman" w:hAnsi="Arial" w:cs="Arial"/>
                <w:sz w:val="24"/>
                <w:szCs w:val="24"/>
              </w:rPr>
              <w:t>In the Matter of the Application of Duke Energy Ohio, Inc. for Authority to Defer Vegetation Management Costs.</w:t>
            </w:r>
          </w:p>
          <w:p w14:paraId="7D5A8968" w14:textId="77777777" w:rsidR="00317FCB" w:rsidRPr="00317FCB" w:rsidRDefault="00317FCB" w:rsidP="007D179F">
            <w:pPr>
              <w:spacing w:after="0" w:line="240" w:lineRule="auto"/>
              <w:rPr>
                <w:rFonts w:ascii="Arial" w:eastAsia="Times New Roman" w:hAnsi="Arial" w:cs="Arial"/>
                <w:sz w:val="24"/>
                <w:szCs w:val="24"/>
              </w:rPr>
            </w:pPr>
          </w:p>
          <w:p w14:paraId="155667B9" w14:textId="77777777" w:rsidR="00317FCB" w:rsidRPr="00317FCB" w:rsidRDefault="00317FCB" w:rsidP="007D179F">
            <w:pPr>
              <w:spacing w:after="0" w:line="240" w:lineRule="auto"/>
              <w:rPr>
                <w:rFonts w:ascii="Arial" w:eastAsia="Times New Roman" w:hAnsi="Arial" w:cs="Arial"/>
                <w:sz w:val="24"/>
                <w:szCs w:val="24"/>
              </w:rPr>
            </w:pPr>
            <w:r w:rsidRPr="00317FCB">
              <w:rPr>
                <w:rFonts w:ascii="Arial" w:eastAsia="Times New Roman" w:hAnsi="Arial" w:cs="Arial"/>
                <w:sz w:val="24"/>
                <w:szCs w:val="24"/>
              </w:rPr>
              <w:t xml:space="preserve">In the Matter of the Application of Duke Energy Ohio, Inc., to Establish Minimum Reliability Performance Standards </w:t>
            </w:r>
            <w:r w:rsidRPr="00317FCB">
              <w:rPr>
                <w:rFonts w:ascii="Arial" w:eastAsia="Times New Roman" w:hAnsi="Arial" w:cs="Arial"/>
                <w:sz w:val="24"/>
                <w:szCs w:val="24"/>
              </w:rPr>
              <w:lastRenderedPageBreak/>
              <w:t>Pursuant to Chapter 4901:1-10, Ohio Admin. Code.</w:t>
            </w:r>
          </w:p>
        </w:tc>
        <w:tc>
          <w:tcPr>
            <w:tcW w:w="796" w:type="dxa"/>
          </w:tcPr>
          <w:p w14:paraId="2ED5F14F" w14:textId="77777777" w:rsidR="00317FCB" w:rsidRPr="00317FCB" w:rsidRDefault="00317FCB" w:rsidP="007D179F">
            <w:pPr>
              <w:widowControl w:val="0"/>
              <w:spacing w:after="0" w:line="240" w:lineRule="auto"/>
              <w:jc w:val="center"/>
              <w:rPr>
                <w:rFonts w:ascii="Arial" w:eastAsia="Times New Roman" w:hAnsi="Arial" w:cs="Arial"/>
                <w:sz w:val="24"/>
                <w:szCs w:val="24"/>
              </w:rPr>
            </w:pPr>
          </w:p>
          <w:p w14:paraId="60973A04"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24998EE3"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320B4F5E"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76F085C3" w14:textId="77777777" w:rsidR="00317FCB" w:rsidRPr="00317FCB" w:rsidRDefault="00317FCB" w:rsidP="007D179F">
            <w:pPr>
              <w:widowControl w:val="0"/>
              <w:spacing w:after="0" w:line="240" w:lineRule="auto"/>
              <w:jc w:val="center"/>
              <w:rPr>
                <w:rFonts w:ascii="Arial" w:eastAsia="Times New Roman" w:hAnsi="Arial" w:cs="Arial"/>
                <w:sz w:val="24"/>
                <w:szCs w:val="24"/>
              </w:rPr>
            </w:pPr>
          </w:p>
          <w:p w14:paraId="04488806"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6D96FD28"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547AE376"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0975107E" w14:textId="77777777" w:rsidR="00317FCB" w:rsidRPr="00317FCB" w:rsidRDefault="00317FCB" w:rsidP="007D179F">
            <w:pPr>
              <w:widowControl w:val="0"/>
              <w:spacing w:after="0" w:line="240" w:lineRule="auto"/>
              <w:jc w:val="center"/>
              <w:rPr>
                <w:rFonts w:ascii="Arial" w:eastAsia="Times New Roman" w:hAnsi="Arial" w:cs="Arial"/>
                <w:sz w:val="24"/>
                <w:szCs w:val="24"/>
              </w:rPr>
            </w:pPr>
          </w:p>
          <w:p w14:paraId="6B067774"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72219A7E"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0E30CFA2"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019A3712" w14:textId="77777777" w:rsidR="00317FCB" w:rsidRPr="00317FCB" w:rsidRDefault="00317FCB" w:rsidP="007D179F">
            <w:pPr>
              <w:widowControl w:val="0"/>
              <w:spacing w:after="0" w:line="240" w:lineRule="auto"/>
              <w:jc w:val="center"/>
              <w:rPr>
                <w:rFonts w:ascii="Arial" w:eastAsia="Times New Roman" w:hAnsi="Arial" w:cs="Arial"/>
                <w:sz w:val="24"/>
                <w:szCs w:val="24"/>
              </w:rPr>
            </w:pPr>
          </w:p>
          <w:p w14:paraId="143F7061"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60C6ED9D"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4A96841A"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0B56B65C"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189EA3E4"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19022BB6"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03539C58"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39A18A6D" w14:textId="77777777" w:rsidR="00317FCB" w:rsidRPr="00317FCB" w:rsidRDefault="00317FCB" w:rsidP="007D179F">
            <w:pPr>
              <w:widowControl w:val="0"/>
              <w:spacing w:after="0" w:line="240" w:lineRule="auto"/>
              <w:jc w:val="center"/>
              <w:rPr>
                <w:rFonts w:ascii="Arial" w:eastAsia="Times New Roman" w:hAnsi="Arial" w:cs="Arial"/>
                <w:sz w:val="24"/>
                <w:szCs w:val="24"/>
              </w:rPr>
            </w:pPr>
          </w:p>
          <w:p w14:paraId="054842C2"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4035B7B6"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67D59389"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0789E77C"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50822510" w14:textId="77777777" w:rsidR="00317FCB" w:rsidRPr="00317FCB" w:rsidRDefault="00317FCB" w:rsidP="007D179F">
            <w:pPr>
              <w:widowControl w:val="0"/>
              <w:spacing w:after="0" w:line="240" w:lineRule="auto"/>
              <w:jc w:val="center"/>
              <w:rPr>
                <w:rFonts w:ascii="Arial" w:eastAsia="Times New Roman" w:hAnsi="Arial" w:cs="Arial"/>
                <w:sz w:val="24"/>
                <w:szCs w:val="24"/>
              </w:rPr>
            </w:pPr>
          </w:p>
          <w:p w14:paraId="2BD4A650"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17FD1A31"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63E27615"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01D8EAE2" w14:textId="77777777" w:rsidR="00317FCB" w:rsidRPr="00317FCB" w:rsidRDefault="00317FCB" w:rsidP="007D179F">
            <w:pPr>
              <w:widowControl w:val="0"/>
              <w:spacing w:after="0" w:line="240" w:lineRule="auto"/>
              <w:jc w:val="center"/>
              <w:rPr>
                <w:rFonts w:ascii="Arial" w:eastAsia="Times New Roman" w:hAnsi="Arial" w:cs="Arial"/>
                <w:sz w:val="24"/>
                <w:szCs w:val="24"/>
              </w:rPr>
            </w:pPr>
          </w:p>
          <w:p w14:paraId="79B79F1D"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14601287"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44B37A51"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p w14:paraId="346854E3" w14:textId="77777777" w:rsidR="00317FCB" w:rsidRPr="00317FCB" w:rsidRDefault="00317FCB" w:rsidP="007D179F">
            <w:pPr>
              <w:widowControl w:val="0"/>
              <w:spacing w:after="0" w:line="240" w:lineRule="auto"/>
              <w:jc w:val="center"/>
              <w:rPr>
                <w:rFonts w:ascii="Arial" w:eastAsia="Times New Roman" w:hAnsi="Arial" w:cs="Arial"/>
                <w:sz w:val="24"/>
                <w:szCs w:val="24"/>
              </w:rPr>
            </w:pPr>
            <w:r w:rsidRPr="00317FCB">
              <w:rPr>
                <w:rFonts w:ascii="Arial" w:eastAsia="Times New Roman" w:hAnsi="Arial" w:cs="Arial"/>
                <w:sz w:val="24"/>
                <w:szCs w:val="24"/>
              </w:rPr>
              <w:t>)</w:t>
            </w:r>
          </w:p>
        </w:tc>
        <w:tc>
          <w:tcPr>
            <w:tcW w:w="3716" w:type="dxa"/>
          </w:tcPr>
          <w:p w14:paraId="218D4BAD" w14:textId="77777777" w:rsidR="00317FCB" w:rsidRPr="00317FCB" w:rsidRDefault="00317FCB" w:rsidP="007D179F">
            <w:pPr>
              <w:widowControl w:val="0"/>
              <w:spacing w:after="0" w:line="240" w:lineRule="auto"/>
              <w:rPr>
                <w:rFonts w:ascii="Arial" w:eastAsia="Times New Roman" w:hAnsi="Arial" w:cs="Arial"/>
                <w:sz w:val="24"/>
                <w:szCs w:val="24"/>
              </w:rPr>
            </w:pPr>
          </w:p>
          <w:p w14:paraId="449D0310" w14:textId="77777777" w:rsidR="00317FCB" w:rsidRPr="00317FCB" w:rsidRDefault="00317FCB" w:rsidP="007D179F">
            <w:pPr>
              <w:widowControl w:val="0"/>
              <w:spacing w:after="0" w:line="240" w:lineRule="auto"/>
              <w:rPr>
                <w:rFonts w:ascii="Arial" w:eastAsia="Times New Roman" w:hAnsi="Arial" w:cs="Arial"/>
                <w:sz w:val="24"/>
                <w:szCs w:val="24"/>
              </w:rPr>
            </w:pPr>
          </w:p>
          <w:p w14:paraId="568B6722" w14:textId="77777777" w:rsidR="00317FCB" w:rsidRPr="00317FCB" w:rsidRDefault="00317FCB" w:rsidP="007D179F">
            <w:pPr>
              <w:widowControl w:val="0"/>
              <w:spacing w:after="0" w:line="240" w:lineRule="auto"/>
              <w:rPr>
                <w:rFonts w:ascii="Arial" w:eastAsia="Times New Roman" w:hAnsi="Arial" w:cs="Arial"/>
                <w:sz w:val="24"/>
                <w:szCs w:val="24"/>
              </w:rPr>
            </w:pPr>
            <w:r w:rsidRPr="00317FCB">
              <w:rPr>
                <w:rFonts w:ascii="Arial" w:eastAsia="Times New Roman" w:hAnsi="Arial" w:cs="Arial"/>
                <w:sz w:val="24"/>
                <w:szCs w:val="24"/>
              </w:rPr>
              <w:t>Case No. 17-872-EL-RDR</w:t>
            </w:r>
          </w:p>
          <w:p w14:paraId="3D0079E3" w14:textId="77777777" w:rsidR="00317FCB" w:rsidRPr="00317FCB" w:rsidRDefault="00317FCB" w:rsidP="007D179F">
            <w:pPr>
              <w:widowControl w:val="0"/>
              <w:spacing w:after="0" w:line="240" w:lineRule="auto"/>
              <w:rPr>
                <w:rFonts w:ascii="Arial" w:eastAsia="Times New Roman" w:hAnsi="Arial" w:cs="Arial"/>
                <w:sz w:val="24"/>
                <w:szCs w:val="24"/>
              </w:rPr>
            </w:pPr>
          </w:p>
          <w:p w14:paraId="5650E0F1" w14:textId="77777777" w:rsidR="00317FCB" w:rsidRPr="00317FCB" w:rsidRDefault="00317FCB" w:rsidP="007D179F">
            <w:pPr>
              <w:widowControl w:val="0"/>
              <w:spacing w:after="0" w:line="240" w:lineRule="auto"/>
              <w:rPr>
                <w:rFonts w:ascii="Arial" w:eastAsia="Times New Roman" w:hAnsi="Arial" w:cs="Arial"/>
                <w:sz w:val="24"/>
                <w:szCs w:val="24"/>
              </w:rPr>
            </w:pPr>
          </w:p>
          <w:p w14:paraId="77D25178" w14:textId="77777777" w:rsidR="00317FCB" w:rsidRPr="00317FCB" w:rsidRDefault="00317FCB" w:rsidP="007D179F">
            <w:pPr>
              <w:widowControl w:val="0"/>
              <w:spacing w:after="0" w:line="240" w:lineRule="auto"/>
              <w:rPr>
                <w:rFonts w:ascii="Arial" w:eastAsia="Times New Roman" w:hAnsi="Arial" w:cs="Arial"/>
                <w:sz w:val="24"/>
                <w:szCs w:val="24"/>
              </w:rPr>
            </w:pPr>
          </w:p>
          <w:p w14:paraId="5A8C5337" w14:textId="77777777" w:rsidR="00317FCB" w:rsidRPr="00317FCB" w:rsidRDefault="00317FCB" w:rsidP="007D179F">
            <w:pPr>
              <w:widowControl w:val="0"/>
              <w:spacing w:after="0" w:line="240" w:lineRule="auto"/>
              <w:rPr>
                <w:rFonts w:ascii="Arial" w:eastAsia="Times New Roman" w:hAnsi="Arial" w:cs="Arial"/>
                <w:sz w:val="24"/>
                <w:szCs w:val="24"/>
              </w:rPr>
            </w:pPr>
            <w:r w:rsidRPr="00317FCB">
              <w:rPr>
                <w:rFonts w:ascii="Arial" w:eastAsia="Times New Roman" w:hAnsi="Arial" w:cs="Arial"/>
                <w:sz w:val="24"/>
                <w:szCs w:val="24"/>
              </w:rPr>
              <w:t>Case No. 17-873-EL-ATA</w:t>
            </w:r>
          </w:p>
          <w:p w14:paraId="5461511A" w14:textId="77777777" w:rsidR="00317FCB" w:rsidRPr="00317FCB" w:rsidRDefault="00317FCB" w:rsidP="007D179F">
            <w:pPr>
              <w:widowControl w:val="0"/>
              <w:spacing w:after="0" w:line="240" w:lineRule="auto"/>
              <w:rPr>
                <w:rFonts w:ascii="Arial" w:eastAsia="Times New Roman" w:hAnsi="Arial" w:cs="Arial"/>
                <w:sz w:val="24"/>
                <w:szCs w:val="24"/>
              </w:rPr>
            </w:pPr>
          </w:p>
          <w:p w14:paraId="34713068" w14:textId="77777777" w:rsidR="00317FCB" w:rsidRPr="00317FCB" w:rsidRDefault="00317FCB" w:rsidP="007D179F">
            <w:pPr>
              <w:widowControl w:val="0"/>
              <w:spacing w:after="0" w:line="240" w:lineRule="auto"/>
              <w:rPr>
                <w:rFonts w:ascii="Arial" w:eastAsia="Times New Roman" w:hAnsi="Arial" w:cs="Arial"/>
                <w:sz w:val="24"/>
                <w:szCs w:val="24"/>
              </w:rPr>
            </w:pPr>
          </w:p>
          <w:p w14:paraId="755AD713" w14:textId="77777777" w:rsidR="00317FCB" w:rsidRPr="00317FCB" w:rsidRDefault="00317FCB" w:rsidP="007D179F">
            <w:pPr>
              <w:widowControl w:val="0"/>
              <w:spacing w:after="0" w:line="240" w:lineRule="auto"/>
              <w:rPr>
                <w:rFonts w:ascii="Arial" w:eastAsia="Times New Roman" w:hAnsi="Arial" w:cs="Arial"/>
                <w:sz w:val="24"/>
                <w:szCs w:val="24"/>
              </w:rPr>
            </w:pPr>
          </w:p>
          <w:p w14:paraId="38F9F72D" w14:textId="77777777" w:rsidR="00317FCB" w:rsidRPr="00317FCB" w:rsidRDefault="00317FCB" w:rsidP="007D179F">
            <w:pPr>
              <w:widowControl w:val="0"/>
              <w:spacing w:after="0" w:line="240" w:lineRule="auto"/>
              <w:rPr>
                <w:rFonts w:ascii="Arial" w:eastAsia="Times New Roman" w:hAnsi="Arial" w:cs="Arial"/>
                <w:sz w:val="24"/>
                <w:szCs w:val="24"/>
              </w:rPr>
            </w:pPr>
            <w:r w:rsidRPr="00317FCB">
              <w:rPr>
                <w:rFonts w:ascii="Arial" w:eastAsia="Times New Roman" w:hAnsi="Arial" w:cs="Arial"/>
                <w:sz w:val="24"/>
                <w:szCs w:val="24"/>
              </w:rPr>
              <w:t>Case No. 17-874-EL-AAM</w:t>
            </w:r>
          </w:p>
          <w:p w14:paraId="688C5C2D" w14:textId="77777777" w:rsidR="00317FCB" w:rsidRPr="00317FCB" w:rsidRDefault="00317FCB" w:rsidP="007D179F">
            <w:pPr>
              <w:widowControl w:val="0"/>
              <w:spacing w:after="0" w:line="240" w:lineRule="auto"/>
              <w:rPr>
                <w:rFonts w:ascii="Arial" w:eastAsia="Times New Roman" w:hAnsi="Arial" w:cs="Arial"/>
                <w:sz w:val="24"/>
                <w:szCs w:val="24"/>
              </w:rPr>
            </w:pPr>
          </w:p>
          <w:p w14:paraId="6BB91A97" w14:textId="77777777" w:rsidR="00317FCB" w:rsidRPr="00317FCB" w:rsidRDefault="00317FCB" w:rsidP="007D179F">
            <w:pPr>
              <w:widowControl w:val="0"/>
              <w:spacing w:after="0" w:line="240" w:lineRule="auto"/>
              <w:rPr>
                <w:rFonts w:ascii="Arial" w:eastAsia="Times New Roman" w:hAnsi="Arial" w:cs="Arial"/>
                <w:sz w:val="24"/>
                <w:szCs w:val="24"/>
              </w:rPr>
            </w:pPr>
          </w:p>
          <w:p w14:paraId="373DF071" w14:textId="77777777" w:rsidR="00317FCB" w:rsidRPr="00317FCB" w:rsidRDefault="00317FCB" w:rsidP="007D179F">
            <w:pPr>
              <w:widowControl w:val="0"/>
              <w:spacing w:after="0" w:line="240" w:lineRule="auto"/>
              <w:rPr>
                <w:rFonts w:ascii="Arial" w:eastAsia="Times New Roman" w:hAnsi="Arial" w:cs="Arial"/>
                <w:sz w:val="24"/>
                <w:szCs w:val="24"/>
              </w:rPr>
            </w:pPr>
          </w:p>
          <w:p w14:paraId="5E3DF3F1" w14:textId="77777777" w:rsidR="00317FCB" w:rsidRPr="00317FCB" w:rsidRDefault="00317FCB" w:rsidP="007D179F">
            <w:pPr>
              <w:widowControl w:val="0"/>
              <w:spacing w:after="0" w:line="240" w:lineRule="auto"/>
              <w:rPr>
                <w:rFonts w:ascii="Arial" w:eastAsia="Times New Roman" w:hAnsi="Arial" w:cs="Arial"/>
                <w:sz w:val="24"/>
                <w:szCs w:val="24"/>
              </w:rPr>
            </w:pPr>
          </w:p>
          <w:p w14:paraId="09C45D0A" w14:textId="77777777" w:rsidR="00317FCB" w:rsidRPr="00317FCB" w:rsidRDefault="00317FCB" w:rsidP="007D179F">
            <w:pPr>
              <w:widowControl w:val="0"/>
              <w:spacing w:after="0" w:line="240" w:lineRule="auto"/>
              <w:rPr>
                <w:rFonts w:ascii="Arial" w:eastAsia="Times New Roman" w:hAnsi="Arial" w:cs="Arial"/>
                <w:sz w:val="24"/>
                <w:szCs w:val="24"/>
              </w:rPr>
            </w:pPr>
          </w:p>
          <w:p w14:paraId="4D31FF1B" w14:textId="77777777" w:rsidR="00317FCB" w:rsidRPr="00317FCB" w:rsidRDefault="00317FCB" w:rsidP="007D179F">
            <w:pPr>
              <w:widowControl w:val="0"/>
              <w:spacing w:after="0" w:line="240" w:lineRule="auto"/>
              <w:rPr>
                <w:rFonts w:ascii="Arial" w:eastAsia="Times New Roman" w:hAnsi="Arial" w:cs="Arial"/>
                <w:sz w:val="24"/>
                <w:szCs w:val="24"/>
              </w:rPr>
            </w:pPr>
            <w:r w:rsidRPr="00317FCB">
              <w:rPr>
                <w:rFonts w:ascii="Arial" w:eastAsia="Times New Roman" w:hAnsi="Arial" w:cs="Arial"/>
                <w:sz w:val="24"/>
                <w:szCs w:val="24"/>
              </w:rPr>
              <w:t>Case No. 17-1263-EL-SSO</w:t>
            </w:r>
          </w:p>
          <w:p w14:paraId="12148AAC" w14:textId="77777777" w:rsidR="00317FCB" w:rsidRPr="00317FCB" w:rsidRDefault="00317FCB" w:rsidP="007D179F">
            <w:pPr>
              <w:widowControl w:val="0"/>
              <w:spacing w:after="0" w:line="240" w:lineRule="auto"/>
              <w:rPr>
                <w:rFonts w:ascii="Arial" w:eastAsia="Times New Roman" w:hAnsi="Arial" w:cs="Arial"/>
                <w:sz w:val="24"/>
                <w:szCs w:val="24"/>
              </w:rPr>
            </w:pPr>
          </w:p>
          <w:p w14:paraId="3918B67C" w14:textId="77777777" w:rsidR="00317FCB" w:rsidRPr="00317FCB" w:rsidRDefault="00317FCB" w:rsidP="007D179F">
            <w:pPr>
              <w:widowControl w:val="0"/>
              <w:spacing w:after="0" w:line="240" w:lineRule="auto"/>
              <w:rPr>
                <w:rFonts w:ascii="Arial" w:eastAsia="Times New Roman" w:hAnsi="Arial" w:cs="Arial"/>
                <w:sz w:val="24"/>
                <w:szCs w:val="24"/>
              </w:rPr>
            </w:pPr>
          </w:p>
          <w:p w14:paraId="041D9043" w14:textId="77777777" w:rsidR="00317FCB" w:rsidRPr="00317FCB" w:rsidRDefault="00317FCB" w:rsidP="007D179F">
            <w:pPr>
              <w:widowControl w:val="0"/>
              <w:spacing w:after="0" w:line="240" w:lineRule="auto"/>
              <w:rPr>
                <w:rFonts w:ascii="Arial" w:eastAsia="Times New Roman" w:hAnsi="Arial" w:cs="Arial"/>
                <w:sz w:val="24"/>
                <w:szCs w:val="24"/>
              </w:rPr>
            </w:pPr>
          </w:p>
          <w:p w14:paraId="7D340C50" w14:textId="77777777" w:rsidR="00317FCB" w:rsidRPr="00317FCB" w:rsidRDefault="00317FCB" w:rsidP="007D179F">
            <w:pPr>
              <w:widowControl w:val="0"/>
              <w:spacing w:after="0" w:line="240" w:lineRule="auto"/>
              <w:rPr>
                <w:rFonts w:ascii="Arial" w:eastAsia="Times New Roman" w:hAnsi="Arial" w:cs="Arial"/>
                <w:sz w:val="24"/>
                <w:szCs w:val="24"/>
              </w:rPr>
            </w:pPr>
          </w:p>
          <w:p w14:paraId="50C95F2F" w14:textId="77777777" w:rsidR="00317FCB" w:rsidRPr="00317FCB" w:rsidRDefault="00317FCB" w:rsidP="007D179F">
            <w:pPr>
              <w:widowControl w:val="0"/>
              <w:spacing w:after="0" w:line="240" w:lineRule="auto"/>
              <w:rPr>
                <w:rFonts w:ascii="Arial" w:eastAsia="Times New Roman" w:hAnsi="Arial" w:cs="Arial"/>
                <w:sz w:val="24"/>
                <w:szCs w:val="24"/>
              </w:rPr>
            </w:pPr>
          </w:p>
          <w:p w14:paraId="58556D4F" w14:textId="77777777" w:rsidR="00317FCB" w:rsidRPr="00317FCB" w:rsidRDefault="00317FCB" w:rsidP="007D179F">
            <w:pPr>
              <w:widowControl w:val="0"/>
              <w:spacing w:after="0" w:line="240" w:lineRule="auto"/>
              <w:rPr>
                <w:rFonts w:ascii="Arial" w:eastAsia="Times New Roman" w:hAnsi="Arial" w:cs="Arial"/>
                <w:sz w:val="24"/>
                <w:szCs w:val="24"/>
              </w:rPr>
            </w:pPr>
            <w:r w:rsidRPr="00317FCB">
              <w:rPr>
                <w:rFonts w:ascii="Arial" w:eastAsia="Times New Roman" w:hAnsi="Arial" w:cs="Arial"/>
                <w:sz w:val="24"/>
                <w:szCs w:val="24"/>
              </w:rPr>
              <w:t>Case No. 17-1264-EL-ATA</w:t>
            </w:r>
          </w:p>
          <w:p w14:paraId="604F445E" w14:textId="77777777" w:rsidR="00317FCB" w:rsidRPr="00317FCB" w:rsidRDefault="00317FCB" w:rsidP="007D179F">
            <w:pPr>
              <w:widowControl w:val="0"/>
              <w:spacing w:after="0" w:line="240" w:lineRule="auto"/>
              <w:rPr>
                <w:rFonts w:ascii="Arial" w:eastAsia="Times New Roman" w:hAnsi="Arial" w:cs="Arial"/>
                <w:sz w:val="24"/>
                <w:szCs w:val="24"/>
              </w:rPr>
            </w:pPr>
          </w:p>
          <w:p w14:paraId="5BFEADBA" w14:textId="77777777" w:rsidR="00317FCB" w:rsidRPr="00317FCB" w:rsidRDefault="00317FCB" w:rsidP="007D179F">
            <w:pPr>
              <w:widowControl w:val="0"/>
              <w:spacing w:after="0" w:line="240" w:lineRule="auto"/>
              <w:rPr>
                <w:rFonts w:ascii="Arial" w:eastAsia="Times New Roman" w:hAnsi="Arial" w:cs="Arial"/>
                <w:sz w:val="24"/>
                <w:szCs w:val="24"/>
              </w:rPr>
            </w:pPr>
          </w:p>
          <w:p w14:paraId="545BA1C5" w14:textId="77777777" w:rsidR="00317FCB" w:rsidRPr="00317FCB" w:rsidRDefault="00317FCB" w:rsidP="007D179F">
            <w:pPr>
              <w:widowControl w:val="0"/>
              <w:spacing w:after="0" w:line="240" w:lineRule="auto"/>
              <w:rPr>
                <w:rFonts w:ascii="Arial" w:eastAsia="Times New Roman" w:hAnsi="Arial" w:cs="Arial"/>
                <w:sz w:val="24"/>
                <w:szCs w:val="24"/>
              </w:rPr>
            </w:pPr>
          </w:p>
          <w:p w14:paraId="5A59DD4E" w14:textId="77777777" w:rsidR="00317FCB" w:rsidRPr="00317FCB" w:rsidRDefault="00317FCB" w:rsidP="007D179F">
            <w:pPr>
              <w:widowControl w:val="0"/>
              <w:spacing w:after="0" w:line="240" w:lineRule="auto"/>
              <w:rPr>
                <w:rFonts w:ascii="Arial" w:eastAsia="Times New Roman" w:hAnsi="Arial" w:cs="Arial"/>
                <w:sz w:val="24"/>
                <w:szCs w:val="24"/>
              </w:rPr>
            </w:pPr>
          </w:p>
          <w:p w14:paraId="448BD1E7" w14:textId="77777777" w:rsidR="00317FCB" w:rsidRPr="00317FCB" w:rsidRDefault="00317FCB" w:rsidP="007D179F">
            <w:pPr>
              <w:widowControl w:val="0"/>
              <w:spacing w:after="0" w:line="240" w:lineRule="auto"/>
              <w:rPr>
                <w:rFonts w:ascii="Arial" w:eastAsia="Times New Roman" w:hAnsi="Arial" w:cs="Arial"/>
                <w:sz w:val="24"/>
                <w:szCs w:val="24"/>
              </w:rPr>
            </w:pPr>
            <w:r w:rsidRPr="00317FCB">
              <w:rPr>
                <w:rFonts w:ascii="Arial" w:eastAsia="Times New Roman" w:hAnsi="Arial" w:cs="Arial"/>
                <w:sz w:val="24"/>
                <w:szCs w:val="24"/>
              </w:rPr>
              <w:t>Case No. 17-1265-EL-AAM</w:t>
            </w:r>
          </w:p>
          <w:p w14:paraId="43005938" w14:textId="77777777" w:rsidR="00317FCB" w:rsidRPr="00317FCB" w:rsidRDefault="00317FCB" w:rsidP="007D179F">
            <w:pPr>
              <w:widowControl w:val="0"/>
              <w:spacing w:after="0" w:line="240" w:lineRule="auto"/>
              <w:rPr>
                <w:rFonts w:ascii="Arial" w:eastAsia="Times New Roman" w:hAnsi="Arial" w:cs="Arial"/>
                <w:sz w:val="24"/>
                <w:szCs w:val="24"/>
              </w:rPr>
            </w:pPr>
          </w:p>
          <w:p w14:paraId="7F6B8C10" w14:textId="77777777" w:rsidR="00317FCB" w:rsidRPr="00317FCB" w:rsidRDefault="00317FCB" w:rsidP="007D179F">
            <w:pPr>
              <w:widowControl w:val="0"/>
              <w:spacing w:after="0" w:line="240" w:lineRule="auto"/>
              <w:rPr>
                <w:rFonts w:ascii="Arial" w:eastAsia="Times New Roman" w:hAnsi="Arial" w:cs="Arial"/>
                <w:sz w:val="24"/>
                <w:szCs w:val="24"/>
              </w:rPr>
            </w:pPr>
          </w:p>
          <w:p w14:paraId="5BE93008" w14:textId="77777777" w:rsidR="00317FCB" w:rsidRPr="00317FCB" w:rsidRDefault="00317FCB" w:rsidP="007D179F">
            <w:pPr>
              <w:widowControl w:val="0"/>
              <w:spacing w:after="0" w:line="240" w:lineRule="auto"/>
              <w:rPr>
                <w:rFonts w:ascii="Arial" w:eastAsia="Times New Roman" w:hAnsi="Arial" w:cs="Arial"/>
                <w:sz w:val="24"/>
                <w:szCs w:val="24"/>
              </w:rPr>
            </w:pPr>
          </w:p>
          <w:p w14:paraId="1BE4843E" w14:textId="77777777" w:rsidR="00317FCB" w:rsidRPr="00317FCB" w:rsidRDefault="00317FCB" w:rsidP="007D179F">
            <w:pPr>
              <w:widowControl w:val="0"/>
              <w:spacing w:after="0" w:line="240" w:lineRule="auto"/>
              <w:rPr>
                <w:rFonts w:ascii="Arial" w:eastAsia="Times New Roman" w:hAnsi="Arial" w:cs="Arial"/>
                <w:sz w:val="24"/>
                <w:szCs w:val="24"/>
              </w:rPr>
            </w:pPr>
          </w:p>
          <w:p w14:paraId="28B1F021" w14:textId="77777777" w:rsidR="00317FCB" w:rsidRPr="00317FCB" w:rsidRDefault="00317FCB" w:rsidP="007D179F">
            <w:pPr>
              <w:widowControl w:val="0"/>
              <w:spacing w:after="0" w:line="240" w:lineRule="auto"/>
              <w:rPr>
                <w:rFonts w:ascii="Arial" w:eastAsia="Times New Roman" w:hAnsi="Arial" w:cs="Arial"/>
                <w:sz w:val="24"/>
                <w:szCs w:val="24"/>
              </w:rPr>
            </w:pPr>
            <w:r w:rsidRPr="00317FCB">
              <w:rPr>
                <w:rFonts w:ascii="Arial" w:eastAsia="Times New Roman" w:hAnsi="Arial" w:cs="Arial"/>
                <w:sz w:val="24"/>
                <w:szCs w:val="24"/>
              </w:rPr>
              <w:t xml:space="preserve">Case No. 16-1602-EL-ESS  </w:t>
            </w:r>
          </w:p>
        </w:tc>
      </w:tr>
    </w:tbl>
    <w:p w14:paraId="77E83B1D" w14:textId="77777777" w:rsidR="00FF2693" w:rsidRPr="00FE7C99" w:rsidRDefault="00FF2693" w:rsidP="00FF2693">
      <w:pPr>
        <w:widowControl w:val="0"/>
        <w:pBdr>
          <w:bottom w:val="single" w:sz="12" w:space="0" w:color="auto"/>
        </w:pBdr>
        <w:spacing w:after="0" w:line="240" w:lineRule="auto"/>
        <w:rPr>
          <w:rFonts w:ascii="Arial" w:hAnsi="Arial" w:cs="Arial"/>
          <w:sz w:val="24"/>
        </w:rPr>
      </w:pPr>
    </w:p>
    <w:p w14:paraId="2330D228" w14:textId="77777777" w:rsidR="00FF2693" w:rsidRPr="00FE7C99" w:rsidRDefault="00FF2693" w:rsidP="00FF2693">
      <w:pPr>
        <w:widowControl w:val="0"/>
        <w:spacing w:after="0" w:line="240" w:lineRule="auto"/>
        <w:jc w:val="center"/>
        <w:rPr>
          <w:rFonts w:ascii="Arial" w:hAnsi="Arial" w:cs="Arial"/>
          <w:b/>
          <w:sz w:val="24"/>
        </w:rPr>
      </w:pPr>
    </w:p>
    <w:p w14:paraId="22FAFD82" w14:textId="6C36365A" w:rsidR="00FF2693" w:rsidRPr="00FE7C99" w:rsidRDefault="00FF2693" w:rsidP="00FF2693">
      <w:pPr>
        <w:widowControl w:val="0"/>
        <w:spacing w:after="0" w:line="240" w:lineRule="auto"/>
        <w:jc w:val="center"/>
        <w:rPr>
          <w:rFonts w:ascii="Arial" w:hAnsi="Arial" w:cs="Arial"/>
          <w:b/>
          <w:sz w:val="24"/>
        </w:rPr>
      </w:pPr>
      <w:r w:rsidRPr="00FE7C99">
        <w:rPr>
          <w:rFonts w:ascii="Arial" w:hAnsi="Arial" w:cs="Arial"/>
          <w:b/>
          <w:sz w:val="24"/>
        </w:rPr>
        <w:t>APPLICATION FOR REHEARING AND MEMORANDUM IN SUPPORT OF INTERSTATE GAS SUPPLY, INC.</w:t>
      </w:r>
    </w:p>
    <w:p w14:paraId="11DC27D1" w14:textId="77777777" w:rsidR="00FF2693" w:rsidRPr="00317FCB" w:rsidRDefault="00FF2693" w:rsidP="00FF2693">
      <w:pPr>
        <w:widowControl w:val="0"/>
        <w:pBdr>
          <w:bottom w:val="single" w:sz="12" w:space="1" w:color="auto"/>
        </w:pBdr>
        <w:tabs>
          <w:tab w:val="left" w:pos="6461"/>
        </w:tabs>
        <w:spacing w:after="0" w:line="240" w:lineRule="auto"/>
        <w:rPr>
          <w:rFonts w:ascii="Arial" w:hAnsi="Arial" w:cs="Arial"/>
          <w:b/>
          <w:sz w:val="24"/>
        </w:rPr>
      </w:pPr>
    </w:p>
    <w:p w14:paraId="45F02A42" w14:textId="77777777" w:rsidR="00FF2693" w:rsidRDefault="00FF2693" w:rsidP="00FF2693">
      <w:pPr>
        <w:spacing w:line="480" w:lineRule="auto"/>
        <w:rPr>
          <w:rFonts w:ascii="Arial" w:hAnsi="Arial" w:cs="Arial"/>
          <w:b/>
          <w:sz w:val="24"/>
        </w:rPr>
      </w:pPr>
    </w:p>
    <w:p w14:paraId="0A13BB26" w14:textId="77777777" w:rsidR="00317FCB" w:rsidRDefault="00317FCB" w:rsidP="00FF2693">
      <w:pPr>
        <w:spacing w:line="480" w:lineRule="auto"/>
        <w:rPr>
          <w:rFonts w:ascii="Arial" w:hAnsi="Arial" w:cs="Arial"/>
          <w:b/>
          <w:sz w:val="24"/>
        </w:rPr>
      </w:pPr>
    </w:p>
    <w:p w14:paraId="2D53A8AE" w14:textId="77777777" w:rsidR="00317FCB" w:rsidRDefault="00317FCB" w:rsidP="00FF2693">
      <w:pPr>
        <w:spacing w:line="480" w:lineRule="auto"/>
        <w:rPr>
          <w:rFonts w:ascii="Arial" w:hAnsi="Arial" w:cs="Arial"/>
          <w:b/>
          <w:sz w:val="24"/>
        </w:rPr>
      </w:pPr>
    </w:p>
    <w:p w14:paraId="6FB6354D" w14:textId="77777777" w:rsidR="00317FCB" w:rsidRDefault="00317FCB" w:rsidP="00FF2693">
      <w:pPr>
        <w:spacing w:line="480" w:lineRule="auto"/>
        <w:rPr>
          <w:rFonts w:ascii="Arial" w:hAnsi="Arial" w:cs="Arial"/>
          <w:b/>
          <w:sz w:val="24"/>
        </w:rPr>
      </w:pPr>
    </w:p>
    <w:p w14:paraId="591583DC" w14:textId="77777777" w:rsidR="00317FCB" w:rsidRDefault="00317FCB" w:rsidP="00FF2693">
      <w:pPr>
        <w:spacing w:line="480" w:lineRule="auto"/>
        <w:rPr>
          <w:rFonts w:ascii="Arial" w:hAnsi="Arial" w:cs="Arial"/>
          <w:b/>
          <w:sz w:val="24"/>
        </w:rPr>
      </w:pPr>
    </w:p>
    <w:p w14:paraId="586CF2A4" w14:textId="77777777" w:rsidR="00317FCB" w:rsidRDefault="00317FCB" w:rsidP="00FF2693">
      <w:pPr>
        <w:spacing w:line="480" w:lineRule="auto"/>
        <w:rPr>
          <w:rFonts w:ascii="Arial" w:hAnsi="Arial" w:cs="Arial"/>
          <w:b/>
          <w:sz w:val="24"/>
        </w:rPr>
      </w:pPr>
    </w:p>
    <w:p w14:paraId="70A44F34" w14:textId="77777777" w:rsidR="00317FCB" w:rsidRDefault="00317FCB" w:rsidP="00FF2693">
      <w:pPr>
        <w:spacing w:line="480" w:lineRule="auto"/>
        <w:rPr>
          <w:rFonts w:ascii="Arial" w:hAnsi="Arial" w:cs="Arial"/>
          <w:b/>
          <w:sz w:val="24"/>
        </w:rPr>
      </w:pPr>
    </w:p>
    <w:p w14:paraId="0F3C2628" w14:textId="26EF52F6" w:rsidR="00317FCB" w:rsidRPr="00317FCB" w:rsidRDefault="00317FCB" w:rsidP="00FF2693">
      <w:pPr>
        <w:spacing w:line="480" w:lineRule="auto"/>
        <w:rPr>
          <w:rFonts w:ascii="Arial" w:hAnsi="Arial" w:cs="Arial"/>
          <w:b/>
          <w:sz w:val="24"/>
        </w:rPr>
      </w:pPr>
    </w:p>
    <w:p w14:paraId="347A88A2" w14:textId="47B157E1" w:rsidR="003A5642" w:rsidRPr="00FE7C99" w:rsidRDefault="003A5642" w:rsidP="00FF2693">
      <w:pPr>
        <w:spacing w:after="0" w:line="240" w:lineRule="auto"/>
        <w:rPr>
          <w:rFonts w:ascii="Arial" w:hAnsi="Arial" w:cs="Arial"/>
          <w:sz w:val="24"/>
          <w:szCs w:val="24"/>
        </w:rPr>
      </w:pPr>
    </w:p>
    <w:p w14:paraId="78AEA7DB" w14:textId="23093D1F" w:rsidR="003A5642" w:rsidRPr="00FE7C99" w:rsidRDefault="003A5642" w:rsidP="003A5642">
      <w:pPr>
        <w:spacing w:after="0" w:line="240" w:lineRule="auto"/>
        <w:ind w:left="5040"/>
        <w:rPr>
          <w:rFonts w:ascii="Arial" w:hAnsi="Arial" w:cs="Arial"/>
          <w:sz w:val="24"/>
          <w:szCs w:val="24"/>
        </w:rPr>
      </w:pPr>
      <w:r w:rsidRPr="00FE7C99">
        <w:rPr>
          <w:rFonts w:ascii="Arial" w:hAnsi="Arial" w:cs="Arial"/>
          <w:sz w:val="24"/>
          <w:szCs w:val="24"/>
        </w:rPr>
        <w:t>Joseph Oliker (0086088)</w:t>
      </w:r>
    </w:p>
    <w:p w14:paraId="5F6A7F9B" w14:textId="77777777" w:rsidR="003A5642" w:rsidRPr="00FE7C99" w:rsidRDefault="003A5642" w:rsidP="003A5642">
      <w:pPr>
        <w:spacing w:after="0" w:line="240" w:lineRule="auto"/>
        <w:ind w:left="5040"/>
        <w:rPr>
          <w:rFonts w:ascii="Arial" w:hAnsi="Arial" w:cs="Arial"/>
          <w:sz w:val="24"/>
          <w:szCs w:val="24"/>
        </w:rPr>
      </w:pPr>
      <w:r w:rsidRPr="00FE7C99">
        <w:rPr>
          <w:rFonts w:ascii="Arial" w:hAnsi="Arial" w:cs="Arial"/>
          <w:sz w:val="24"/>
          <w:szCs w:val="24"/>
        </w:rPr>
        <w:t xml:space="preserve">Counsel of Record </w:t>
      </w:r>
    </w:p>
    <w:p w14:paraId="13AE51AD" w14:textId="5639D2C5" w:rsidR="003A5642" w:rsidRPr="00FE7C99" w:rsidRDefault="003A5642" w:rsidP="003A5642">
      <w:pPr>
        <w:spacing w:after="0" w:line="240" w:lineRule="auto"/>
        <w:ind w:left="5040"/>
        <w:rPr>
          <w:rStyle w:val="Hyperlink"/>
          <w:rFonts w:ascii="Arial" w:hAnsi="Arial" w:cs="Arial"/>
          <w:color w:val="auto"/>
          <w:sz w:val="24"/>
          <w:szCs w:val="24"/>
          <w:u w:val="none"/>
        </w:rPr>
      </w:pPr>
      <w:r w:rsidRPr="00317FCB">
        <w:rPr>
          <w:rFonts w:ascii="Arial" w:hAnsi="Arial" w:cs="Arial"/>
          <w:sz w:val="24"/>
          <w:szCs w:val="24"/>
        </w:rPr>
        <w:t xml:space="preserve">Email: </w:t>
      </w:r>
      <w:r w:rsidR="00317FCB">
        <w:rPr>
          <w:rFonts w:ascii="Arial" w:hAnsi="Arial" w:cs="Arial"/>
        </w:rPr>
        <w:t>joliker@igsenergy.com</w:t>
      </w:r>
    </w:p>
    <w:p w14:paraId="521890CE" w14:textId="0DDE7E48" w:rsidR="0063758B" w:rsidRPr="00FE7C99" w:rsidRDefault="0063758B" w:rsidP="003A5642">
      <w:pPr>
        <w:spacing w:after="0" w:line="240" w:lineRule="auto"/>
        <w:ind w:left="5040"/>
        <w:rPr>
          <w:rStyle w:val="Hyperlink"/>
          <w:rFonts w:ascii="Arial" w:hAnsi="Arial" w:cs="Arial"/>
          <w:color w:val="auto"/>
          <w:sz w:val="24"/>
          <w:szCs w:val="24"/>
          <w:u w:val="none"/>
        </w:rPr>
      </w:pPr>
      <w:r w:rsidRPr="00FE7C99">
        <w:rPr>
          <w:rStyle w:val="Hyperlink"/>
          <w:rFonts w:ascii="Arial" w:hAnsi="Arial" w:cs="Arial"/>
          <w:color w:val="auto"/>
          <w:sz w:val="24"/>
          <w:szCs w:val="24"/>
          <w:u w:val="none"/>
        </w:rPr>
        <w:t>Michael Nugent</w:t>
      </w:r>
    </w:p>
    <w:p w14:paraId="2B9F577D" w14:textId="5C32857D" w:rsidR="0063758B" w:rsidRPr="00FE7C99" w:rsidRDefault="0063758B" w:rsidP="003A5642">
      <w:pPr>
        <w:spacing w:after="0" w:line="240" w:lineRule="auto"/>
        <w:ind w:left="5040"/>
        <w:rPr>
          <w:rStyle w:val="Hyperlink"/>
          <w:rFonts w:ascii="Arial" w:hAnsi="Arial" w:cs="Arial"/>
          <w:color w:val="auto"/>
          <w:sz w:val="24"/>
          <w:szCs w:val="24"/>
          <w:u w:val="none"/>
        </w:rPr>
      </w:pPr>
      <w:r w:rsidRPr="00FE7C99">
        <w:rPr>
          <w:rStyle w:val="Hyperlink"/>
          <w:rFonts w:ascii="Arial" w:hAnsi="Arial" w:cs="Arial"/>
          <w:color w:val="auto"/>
          <w:sz w:val="24"/>
          <w:szCs w:val="24"/>
          <w:u w:val="none"/>
        </w:rPr>
        <w:t>Email: mnugent@igsenergy.com</w:t>
      </w:r>
    </w:p>
    <w:p w14:paraId="1F82E720" w14:textId="77777777" w:rsidR="003A5642" w:rsidRPr="00FE7C99" w:rsidRDefault="003A5642" w:rsidP="003A5642">
      <w:pPr>
        <w:spacing w:after="0" w:line="240" w:lineRule="auto"/>
        <w:ind w:left="5040"/>
        <w:rPr>
          <w:rFonts w:ascii="Arial" w:hAnsi="Arial" w:cs="Arial"/>
          <w:sz w:val="24"/>
          <w:szCs w:val="24"/>
        </w:rPr>
      </w:pPr>
      <w:r w:rsidRPr="00FE7C99">
        <w:rPr>
          <w:rFonts w:ascii="Arial" w:hAnsi="Arial" w:cs="Arial"/>
          <w:sz w:val="24"/>
          <w:szCs w:val="24"/>
        </w:rPr>
        <w:t>IGS Energy</w:t>
      </w:r>
    </w:p>
    <w:p w14:paraId="7BE96F58" w14:textId="77777777" w:rsidR="003A5642" w:rsidRPr="00FE7C99" w:rsidRDefault="003A5642" w:rsidP="003A5642">
      <w:pPr>
        <w:spacing w:after="0" w:line="240" w:lineRule="auto"/>
        <w:ind w:left="5040"/>
        <w:rPr>
          <w:rFonts w:ascii="Arial" w:hAnsi="Arial" w:cs="Arial"/>
          <w:sz w:val="24"/>
          <w:szCs w:val="24"/>
        </w:rPr>
      </w:pPr>
      <w:r w:rsidRPr="00FE7C99">
        <w:rPr>
          <w:rFonts w:ascii="Arial" w:hAnsi="Arial" w:cs="Arial"/>
          <w:sz w:val="24"/>
          <w:szCs w:val="24"/>
        </w:rPr>
        <w:t>6100 Emerald Parkway</w:t>
      </w:r>
    </w:p>
    <w:p w14:paraId="45617010" w14:textId="77777777" w:rsidR="003A5642" w:rsidRPr="00FE7C99" w:rsidRDefault="003A5642" w:rsidP="003A5642">
      <w:pPr>
        <w:spacing w:after="0" w:line="240" w:lineRule="auto"/>
        <w:ind w:left="5040"/>
        <w:rPr>
          <w:rFonts w:ascii="Arial" w:hAnsi="Arial" w:cs="Arial"/>
          <w:sz w:val="24"/>
          <w:szCs w:val="24"/>
        </w:rPr>
      </w:pPr>
      <w:r w:rsidRPr="00FE7C99">
        <w:rPr>
          <w:rFonts w:ascii="Arial" w:hAnsi="Arial" w:cs="Arial"/>
          <w:sz w:val="24"/>
          <w:szCs w:val="24"/>
        </w:rPr>
        <w:t>Dublin, Ohio 43016</w:t>
      </w:r>
    </w:p>
    <w:p w14:paraId="461501A2" w14:textId="77777777" w:rsidR="003A5642" w:rsidRPr="00FE7C99" w:rsidRDefault="003A5642" w:rsidP="003A5642">
      <w:pPr>
        <w:spacing w:after="0" w:line="240" w:lineRule="auto"/>
        <w:ind w:left="5040"/>
        <w:rPr>
          <w:rFonts w:ascii="Arial" w:hAnsi="Arial" w:cs="Arial"/>
          <w:sz w:val="24"/>
          <w:szCs w:val="24"/>
        </w:rPr>
      </w:pPr>
      <w:r w:rsidRPr="00FE7C99">
        <w:rPr>
          <w:rFonts w:ascii="Arial" w:hAnsi="Arial" w:cs="Arial"/>
          <w:sz w:val="24"/>
          <w:szCs w:val="24"/>
        </w:rPr>
        <w:t>Telephone:</w:t>
      </w:r>
      <w:r w:rsidRPr="00FE7C99">
        <w:rPr>
          <w:rFonts w:ascii="Arial" w:hAnsi="Arial" w:cs="Arial"/>
          <w:sz w:val="24"/>
          <w:szCs w:val="24"/>
        </w:rPr>
        <w:tab/>
        <w:t>(614) 659-5000</w:t>
      </w:r>
    </w:p>
    <w:p w14:paraId="2EEC8C4E" w14:textId="77777777" w:rsidR="003A5642" w:rsidRPr="00FE7C99" w:rsidRDefault="003A5642" w:rsidP="003A5642">
      <w:pPr>
        <w:spacing w:after="0" w:line="240" w:lineRule="auto"/>
        <w:ind w:left="5040"/>
        <w:rPr>
          <w:rFonts w:ascii="Arial" w:hAnsi="Arial" w:cs="Arial"/>
          <w:sz w:val="24"/>
          <w:szCs w:val="24"/>
        </w:rPr>
      </w:pPr>
      <w:r w:rsidRPr="00FE7C99">
        <w:rPr>
          <w:rFonts w:ascii="Arial" w:hAnsi="Arial" w:cs="Arial"/>
          <w:sz w:val="24"/>
          <w:szCs w:val="24"/>
        </w:rPr>
        <w:t>Facsimile:</w:t>
      </w:r>
      <w:r w:rsidRPr="00FE7C99">
        <w:rPr>
          <w:rFonts w:ascii="Arial" w:hAnsi="Arial" w:cs="Arial"/>
          <w:sz w:val="24"/>
          <w:szCs w:val="24"/>
        </w:rPr>
        <w:tab/>
        <w:t>(614) 659-5073</w:t>
      </w:r>
    </w:p>
    <w:p w14:paraId="43CF47C1" w14:textId="77777777" w:rsidR="003A5642" w:rsidRPr="00FE7C99" w:rsidRDefault="003A5642" w:rsidP="003A5642">
      <w:pPr>
        <w:spacing w:after="0" w:line="240" w:lineRule="auto"/>
        <w:ind w:left="5040"/>
        <w:rPr>
          <w:rFonts w:ascii="Arial" w:hAnsi="Arial" w:cs="Arial"/>
          <w:sz w:val="24"/>
          <w:szCs w:val="24"/>
        </w:rPr>
      </w:pPr>
    </w:p>
    <w:p w14:paraId="02009288" w14:textId="3B43FD6B" w:rsidR="003A5642" w:rsidRPr="00FE7C99" w:rsidRDefault="003A5642" w:rsidP="003A5642">
      <w:pPr>
        <w:spacing w:after="0" w:line="240" w:lineRule="auto"/>
        <w:ind w:left="5040"/>
        <w:rPr>
          <w:rFonts w:ascii="Arial" w:hAnsi="Arial" w:cs="Arial"/>
          <w:b/>
          <w:i/>
          <w:sz w:val="24"/>
          <w:szCs w:val="24"/>
        </w:rPr>
      </w:pPr>
      <w:r w:rsidRPr="00FE7C99">
        <w:rPr>
          <w:rFonts w:ascii="Arial" w:hAnsi="Arial" w:cs="Arial"/>
          <w:b/>
          <w:i/>
          <w:sz w:val="24"/>
          <w:szCs w:val="24"/>
        </w:rPr>
        <w:t>Attorney</w:t>
      </w:r>
      <w:r w:rsidR="0063758B" w:rsidRPr="00FE7C99">
        <w:rPr>
          <w:rFonts w:ascii="Arial" w:hAnsi="Arial" w:cs="Arial"/>
          <w:b/>
          <w:i/>
          <w:sz w:val="24"/>
          <w:szCs w:val="24"/>
        </w:rPr>
        <w:t>s</w:t>
      </w:r>
      <w:r w:rsidRPr="00FE7C99">
        <w:rPr>
          <w:rFonts w:ascii="Arial" w:hAnsi="Arial" w:cs="Arial"/>
          <w:b/>
          <w:i/>
          <w:sz w:val="24"/>
          <w:szCs w:val="24"/>
        </w:rPr>
        <w:t xml:space="preserve"> for IGS Energy</w:t>
      </w:r>
    </w:p>
    <w:p w14:paraId="6B020F98" w14:textId="1030E53E" w:rsidR="003A5642" w:rsidRPr="00FE7C99" w:rsidRDefault="002576C0" w:rsidP="003A5642">
      <w:pPr>
        <w:spacing w:after="0" w:line="240" w:lineRule="auto"/>
        <w:rPr>
          <w:rFonts w:ascii="Arial" w:hAnsi="Arial" w:cs="Arial"/>
          <w:b/>
          <w:sz w:val="24"/>
          <w:szCs w:val="24"/>
        </w:rPr>
      </w:pPr>
      <w:r w:rsidRPr="00FE7C99">
        <w:rPr>
          <w:rFonts w:ascii="Arial" w:hAnsi="Arial" w:cs="Arial"/>
          <w:b/>
          <w:sz w:val="24"/>
          <w:szCs w:val="24"/>
        </w:rPr>
        <w:t>January 18, 2019</w:t>
      </w:r>
    </w:p>
    <w:p w14:paraId="64304EB1" w14:textId="77777777" w:rsidR="003A5642" w:rsidRPr="00FE7C99" w:rsidRDefault="003A5642" w:rsidP="00262C8D">
      <w:pPr>
        <w:widowControl w:val="0"/>
        <w:spacing w:after="0" w:line="240" w:lineRule="auto"/>
        <w:jc w:val="center"/>
        <w:rPr>
          <w:rFonts w:ascii="Arial" w:hAnsi="Arial" w:cs="Arial"/>
          <w:b/>
          <w:bCs/>
          <w:sz w:val="24"/>
          <w:szCs w:val="24"/>
          <w:u w:val="single"/>
        </w:rPr>
      </w:pPr>
    </w:p>
    <w:p w14:paraId="15B07877" w14:textId="25CEDFD7" w:rsidR="003A0C90" w:rsidRPr="00FE7C99" w:rsidRDefault="003A0C90" w:rsidP="00FF2693">
      <w:pPr>
        <w:spacing w:line="480" w:lineRule="auto"/>
        <w:ind w:firstLine="720"/>
        <w:jc w:val="both"/>
        <w:rPr>
          <w:rFonts w:ascii="Arial" w:hAnsi="Arial" w:cs="Arial"/>
          <w:sz w:val="24"/>
          <w:szCs w:val="24"/>
        </w:rPr>
      </w:pPr>
    </w:p>
    <w:p w14:paraId="1C71CC47" w14:textId="77777777" w:rsidR="003A0C90" w:rsidRPr="00FE7C99" w:rsidRDefault="003A0C90" w:rsidP="003A0C90">
      <w:pPr>
        <w:widowControl w:val="0"/>
        <w:spacing w:after="0" w:line="240" w:lineRule="auto"/>
        <w:jc w:val="center"/>
        <w:rPr>
          <w:rFonts w:ascii="Arial" w:hAnsi="Arial" w:cs="Arial"/>
          <w:b/>
          <w:bCs/>
          <w:sz w:val="24"/>
          <w:szCs w:val="24"/>
          <w:u w:val="single"/>
        </w:rPr>
      </w:pPr>
    </w:p>
    <w:p w14:paraId="54B66E8C" w14:textId="77777777" w:rsidR="003A0C90" w:rsidRPr="00FE7C99" w:rsidRDefault="003A0C90" w:rsidP="003A0C90">
      <w:pPr>
        <w:widowControl w:val="0"/>
        <w:spacing w:after="0" w:line="240" w:lineRule="auto"/>
        <w:jc w:val="center"/>
        <w:rPr>
          <w:rFonts w:ascii="Arial" w:hAnsi="Arial" w:cs="Arial"/>
          <w:b/>
          <w:bCs/>
          <w:sz w:val="24"/>
          <w:szCs w:val="24"/>
          <w:u w:val="single"/>
        </w:rPr>
      </w:pPr>
    </w:p>
    <w:p w14:paraId="75BBD7E2" w14:textId="77777777" w:rsidR="003A0C90" w:rsidRPr="00FE7C99" w:rsidRDefault="003A0C90" w:rsidP="003A0C90">
      <w:pPr>
        <w:widowControl w:val="0"/>
        <w:spacing w:after="0" w:line="240" w:lineRule="auto"/>
        <w:jc w:val="center"/>
        <w:rPr>
          <w:rFonts w:ascii="Arial" w:hAnsi="Arial" w:cs="Arial"/>
          <w:b/>
          <w:bCs/>
          <w:sz w:val="24"/>
          <w:szCs w:val="24"/>
          <w:u w:val="single"/>
        </w:rPr>
      </w:pPr>
      <w:r w:rsidRPr="00FE7C99">
        <w:rPr>
          <w:rFonts w:ascii="Arial" w:hAnsi="Arial" w:cs="Arial"/>
          <w:b/>
          <w:bCs/>
          <w:sz w:val="24"/>
          <w:szCs w:val="24"/>
          <w:u w:val="single"/>
        </w:rPr>
        <w:t>TABLE OF CONTENTS</w:t>
      </w:r>
    </w:p>
    <w:p w14:paraId="4255EFF0" w14:textId="575DB122" w:rsidR="003A0C90" w:rsidRPr="00FE7C99" w:rsidRDefault="003A0C90" w:rsidP="003A0C90">
      <w:pPr>
        <w:widowControl w:val="0"/>
        <w:spacing w:after="0" w:line="240" w:lineRule="auto"/>
        <w:jc w:val="center"/>
        <w:rPr>
          <w:rFonts w:ascii="Arial" w:hAnsi="Arial" w:cs="Arial"/>
          <w:b/>
          <w:bCs/>
          <w:sz w:val="24"/>
          <w:szCs w:val="24"/>
          <w:u w:val="single"/>
        </w:rPr>
      </w:pPr>
      <w:r w:rsidRPr="00FE7C99">
        <w:rPr>
          <w:rFonts w:ascii="Arial" w:hAnsi="Arial" w:cs="Arial"/>
          <w:b/>
          <w:bCs/>
          <w:sz w:val="24"/>
          <w:szCs w:val="24"/>
        </w:rPr>
        <w:tab/>
      </w:r>
      <w:r w:rsidRPr="00FE7C99">
        <w:rPr>
          <w:rFonts w:ascii="Arial" w:hAnsi="Arial" w:cs="Arial"/>
          <w:b/>
          <w:bCs/>
          <w:sz w:val="24"/>
          <w:szCs w:val="24"/>
        </w:rPr>
        <w:tab/>
      </w:r>
      <w:r w:rsidRPr="00FE7C99">
        <w:rPr>
          <w:rFonts w:ascii="Arial" w:hAnsi="Arial" w:cs="Arial"/>
          <w:b/>
          <w:bCs/>
          <w:sz w:val="24"/>
          <w:szCs w:val="24"/>
        </w:rPr>
        <w:tab/>
      </w:r>
      <w:r w:rsidRPr="00FE7C99">
        <w:rPr>
          <w:rFonts w:ascii="Arial" w:hAnsi="Arial" w:cs="Arial"/>
          <w:b/>
          <w:bCs/>
          <w:sz w:val="24"/>
          <w:szCs w:val="24"/>
        </w:rPr>
        <w:tab/>
      </w:r>
      <w:r w:rsidRPr="00FE7C99">
        <w:rPr>
          <w:rFonts w:ascii="Arial" w:hAnsi="Arial" w:cs="Arial"/>
          <w:b/>
          <w:bCs/>
          <w:sz w:val="24"/>
          <w:szCs w:val="24"/>
        </w:rPr>
        <w:tab/>
      </w:r>
      <w:r w:rsidRPr="00FE7C99">
        <w:rPr>
          <w:rFonts w:ascii="Arial" w:hAnsi="Arial" w:cs="Arial"/>
          <w:b/>
          <w:bCs/>
          <w:sz w:val="24"/>
          <w:szCs w:val="24"/>
        </w:rPr>
        <w:tab/>
      </w:r>
      <w:r w:rsidRPr="00FE7C99">
        <w:rPr>
          <w:rFonts w:ascii="Arial" w:hAnsi="Arial" w:cs="Arial"/>
          <w:b/>
          <w:bCs/>
          <w:sz w:val="24"/>
          <w:szCs w:val="24"/>
        </w:rPr>
        <w:tab/>
      </w:r>
      <w:r w:rsidRPr="00FE7C99">
        <w:rPr>
          <w:rFonts w:ascii="Arial" w:hAnsi="Arial" w:cs="Arial"/>
          <w:b/>
          <w:bCs/>
          <w:sz w:val="24"/>
          <w:szCs w:val="24"/>
        </w:rPr>
        <w:tab/>
      </w:r>
      <w:r w:rsidRPr="00FE7C99">
        <w:rPr>
          <w:rFonts w:ascii="Arial" w:hAnsi="Arial" w:cs="Arial"/>
          <w:b/>
          <w:bCs/>
          <w:sz w:val="24"/>
          <w:szCs w:val="24"/>
        </w:rPr>
        <w:tab/>
      </w:r>
      <w:r w:rsidRPr="00FE7C99">
        <w:rPr>
          <w:rFonts w:ascii="Arial" w:hAnsi="Arial" w:cs="Arial"/>
          <w:b/>
          <w:bCs/>
          <w:sz w:val="24"/>
          <w:szCs w:val="24"/>
        </w:rPr>
        <w:tab/>
        <w:t xml:space="preserve">        </w:t>
      </w:r>
      <w:r w:rsidRPr="00FE7C99">
        <w:rPr>
          <w:rFonts w:ascii="Arial" w:hAnsi="Arial" w:cs="Arial"/>
          <w:b/>
          <w:bCs/>
          <w:sz w:val="24"/>
          <w:szCs w:val="24"/>
          <w:u w:val="single"/>
        </w:rPr>
        <w:t>PAGE</w:t>
      </w:r>
    </w:p>
    <w:p w14:paraId="406140FD" w14:textId="77777777" w:rsidR="003A0C90" w:rsidRPr="00FE7C99" w:rsidRDefault="003A0C90" w:rsidP="003A0C90">
      <w:pPr>
        <w:widowControl w:val="0"/>
        <w:spacing w:after="0" w:line="240" w:lineRule="auto"/>
        <w:jc w:val="center"/>
        <w:rPr>
          <w:rFonts w:ascii="Arial" w:hAnsi="Arial" w:cs="Arial"/>
          <w:b/>
          <w:bCs/>
          <w:sz w:val="24"/>
          <w:szCs w:val="24"/>
          <w:u w:val="single"/>
        </w:rPr>
      </w:pPr>
    </w:p>
    <w:p w14:paraId="1339EC87" w14:textId="0500FC05" w:rsidR="003A0C90" w:rsidRPr="00FE7C99" w:rsidRDefault="003A0C90" w:rsidP="00D72485">
      <w:pPr>
        <w:widowControl w:val="0"/>
        <w:tabs>
          <w:tab w:val="left" w:pos="1080"/>
          <w:tab w:val="right" w:pos="8820"/>
        </w:tabs>
        <w:spacing w:after="0" w:line="240" w:lineRule="auto"/>
        <w:rPr>
          <w:rFonts w:ascii="Arial" w:hAnsi="Arial" w:cs="Arial"/>
          <w:b/>
          <w:bCs/>
          <w:webHidden/>
          <w:sz w:val="20"/>
          <w:szCs w:val="20"/>
        </w:rPr>
      </w:pPr>
      <w:r w:rsidRPr="00FE7C99">
        <w:rPr>
          <w:rFonts w:ascii="Arial" w:hAnsi="Arial" w:cs="Arial"/>
          <w:b/>
          <w:bCs/>
          <w:sz w:val="24"/>
          <w:szCs w:val="24"/>
        </w:rPr>
        <w:tab/>
      </w:r>
      <w:r w:rsidRPr="00FE7C99">
        <w:rPr>
          <w:rFonts w:ascii="Arial" w:hAnsi="Arial" w:cs="Arial"/>
          <w:b/>
          <w:bCs/>
          <w:sz w:val="20"/>
          <w:szCs w:val="20"/>
        </w:rPr>
        <w:t>APPLICATION FOR REHEARING………………………………………………………</w:t>
      </w:r>
      <w:r w:rsidR="00DF1AE1">
        <w:rPr>
          <w:rFonts w:ascii="Arial" w:hAnsi="Arial" w:cs="Arial"/>
          <w:b/>
          <w:bCs/>
          <w:sz w:val="20"/>
          <w:szCs w:val="20"/>
        </w:rPr>
        <w:t>…..</w:t>
      </w:r>
      <w:r w:rsidR="00D72485">
        <w:rPr>
          <w:rFonts w:ascii="Arial" w:hAnsi="Arial" w:cs="Arial"/>
          <w:b/>
          <w:bCs/>
          <w:sz w:val="20"/>
          <w:szCs w:val="20"/>
        </w:rPr>
        <w:tab/>
      </w:r>
      <w:r w:rsidR="0087737D">
        <w:rPr>
          <w:rFonts w:ascii="Arial" w:hAnsi="Arial" w:cs="Arial"/>
          <w:b/>
          <w:bCs/>
          <w:sz w:val="20"/>
          <w:szCs w:val="20"/>
        </w:rPr>
        <w:t>6</w:t>
      </w:r>
    </w:p>
    <w:p w14:paraId="3033B4B6" w14:textId="27F307FD" w:rsidR="003A0C90" w:rsidRPr="00FE7C99" w:rsidRDefault="003A0C90" w:rsidP="00DF1AE1">
      <w:pPr>
        <w:pStyle w:val="Level1"/>
        <w:numPr>
          <w:ilvl w:val="0"/>
          <w:numId w:val="11"/>
        </w:numPr>
        <w:tabs>
          <w:tab w:val="clear" w:pos="8630"/>
          <w:tab w:val="left" w:pos="8910"/>
        </w:tabs>
        <w:rPr>
          <w:rFonts w:ascii="Arial" w:hAnsi="Arial" w:cs="Arial"/>
        </w:rPr>
      </w:pPr>
      <w:r w:rsidRPr="00FE7C99">
        <w:rPr>
          <w:rFonts w:ascii="Arial" w:hAnsi="Arial" w:cs="Arial"/>
          <w:webHidden/>
        </w:rPr>
        <w:t>introduction</w:t>
      </w:r>
      <w:r w:rsidR="00D13A6B">
        <w:rPr>
          <w:rFonts w:ascii="Arial" w:hAnsi="Arial" w:cs="Arial"/>
          <w:webHidden/>
        </w:rPr>
        <w:t>………………………………………………………………………………</w:t>
      </w:r>
      <w:r w:rsidR="00C07433">
        <w:rPr>
          <w:rFonts w:ascii="Arial" w:hAnsi="Arial" w:cs="Arial"/>
          <w:webHidden/>
        </w:rPr>
        <w:t>10</w:t>
      </w:r>
    </w:p>
    <w:p w14:paraId="4AA87066" w14:textId="7B1C3741" w:rsidR="003A0C90" w:rsidRPr="00FE7C99" w:rsidRDefault="003A0C90" w:rsidP="00D13A6B">
      <w:pPr>
        <w:pStyle w:val="Level1"/>
        <w:numPr>
          <w:ilvl w:val="0"/>
          <w:numId w:val="11"/>
        </w:numPr>
        <w:tabs>
          <w:tab w:val="clear" w:pos="8630"/>
          <w:tab w:val="right" w:leader="dot" w:pos="8820"/>
        </w:tabs>
        <w:rPr>
          <w:rFonts w:ascii="Arial" w:hAnsi="Arial" w:cs="Arial"/>
          <w:webHidden/>
        </w:rPr>
      </w:pPr>
      <w:r w:rsidRPr="00FE7C99">
        <w:rPr>
          <w:rFonts w:ascii="Arial" w:hAnsi="Arial" w:cs="Arial"/>
          <w:webHidden/>
        </w:rPr>
        <w:t>BACKGROUND</w:t>
      </w:r>
      <w:r w:rsidRPr="00FE7C99">
        <w:rPr>
          <w:rFonts w:ascii="Arial" w:hAnsi="Arial" w:cs="Arial"/>
          <w:webHidden/>
        </w:rPr>
        <w:tab/>
      </w:r>
      <w:r w:rsidR="0085467B">
        <w:rPr>
          <w:rFonts w:ascii="Arial" w:hAnsi="Arial" w:cs="Arial"/>
          <w:webHidden/>
        </w:rPr>
        <w:t>1</w:t>
      </w:r>
      <w:r w:rsidR="00830EEB">
        <w:rPr>
          <w:rFonts w:ascii="Arial" w:hAnsi="Arial" w:cs="Arial"/>
          <w:webHidden/>
        </w:rPr>
        <w:t>1</w:t>
      </w:r>
    </w:p>
    <w:p w14:paraId="3AECE16E" w14:textId="28E58D9F" w:rsidR="003A0C90" w:rsidRPr="00FE7C99" w:rsidRDefault="003A0C90" w:rsidP="00D13A6B">
      <w:pPr>
        <w:pStyle w:val="Level1"/>
        <w:numPr>
          <w:ilvl w:val="1"/>
          <w:numId w:val="11"/>
        </w:numPr>
        <w:tabs>
          <w:tab w:val="clear" w:pos="8630"/>
          <w:tab w:val="right" w:leader="dot" w:pos="8820"/>
        </w:tabs>
        <w:rPr>
          <w:rFonts w:ascii="Arial" w:hAnsi="Arial" w:cs="Arial"/>
          <w:caps w:val="0"/>
        </w:rPr>
      </w:pPr>
      <w:r w:rsidRPr="00FE7C99">
        <w:rPr>
          <w:rFonts w:ascii="Arial" w:hAnsi="Arial" w:cs="Arial"/>
          <w:caps w:val="0"/>
        </w:rPr>
        <w:t>Restructuring and Unbundling</w:t>
      </w:r>
      <w:r w:rsidR="00D13A6B">
        <w:rPr>
          <w:rFonts w:ascii="Arial" w:hAnsi="Arial" w:cs="Arial"/>
          <w:webHidden/>
        </w:rPr>
        <w:t>…………</w:t>
      </w:r>
      <w:r w:rsidR="00D13A6B">
        <w:rPr>
          <w:rFonts w:ascii="Arial" w:hAnsi="Arial" w:cs="Arial"/>
          <w:webHidden/>
        </w:rPr>
        <w:tab/>
      </w:r>
      <w:r w:rsidR="008225C0">
        <w:rPr>
          <w:rFonts w:ascii="Arial" w:hAnsi="Arial" w:cs="Arial"/>
          <w:caps w:val="0"/>
          <w:webHidden/>
        </w:rPr>
        <w:t>1</w:t>
      </w:r>
      <w:r w:rsidR="00830EEB">
        <w:rPr>
          <w:rFonts w:ascii="Arial" w:hAnsi="Arial" w:cs="Arial"/>
          <w:caps w:val="0"/>
          <w:webHidden/>
        </w:rPr>
        <w:t>1</w:t>
      </w:r>
    </w:p>
    <w:p w14:paraId="795891F5" w14:textId="0A4B38AF" w:rsidR="008225C0" w:rsidRPr="008225C0" w:rsidRDefault="003A0C90" w:rsidP="00D13A6B">
      <w:pPr>
        <w:pStyle w:val="Level1"/>
        <w:numPr>
          <w:ilvl w:val="1"/>
          <w:numId w:val="11"/>
        </w:numPr>
        <w:tabs>
          <w:tab w:val="clear" w:pos="8630"/>
          <w:tab w:val="right" w:leader="dot" w:pos="8820"/>
        </w:tabs>
        <w:rPr>
          <w:rFonts w:ascii="Arial" w:hAnsi="Arial" w:cs="Arial"/>
          <w:webHidden/>
        </w:rPr>
      </w:pPr>
      <w:r w:rsidRPr="00FE7C99">
        <w:rPr>
          <w:rFonts w:ascii="Arial" w:hAnsi="Arial" w:cs="Arial"/>
          <w:caps w:val="0"/>
          <w:webHidden/>
        </w:rPr>
        <w:t xml:space="preserve">The </w:t>
      </w:r>
      <w:r w:rsidR="008225C0">
        <w:rPr>
          <w:rFonts w:ascii="Arial" w:hAnsi="Arial" w:cs="Arial"/>
          <w:caps w:val="0"/>
          <w:webHidden/>
        </w:rPr>
        <w:t>D</w:t>
      </w:r>
      <w:r w:rsidRPr="00FE7C99">
        <w:rPr>
          <w:rFonts w:ascii="Arial" w:hAnsi="Arial" w:cs="Arial"/>
          <w:caps w:val="0"/>
          <w:webHidden/>
        </w:rPr>
        <w:t>istribution Rate</w:t>
      </w:r>
      <w:r w:rsidR="008225C0">
        <w:rPr>
          <w:rFonts w:ascii="Arial" w:hAnsi="Arial" w:cs="Arial"/>
          <w:caps w:val="0"/>
          <w:webHidden/>
        </w:rPr>
        <w:t xml:space="preserve"> Case</w:t>
      </w:r>
      <w:r w:rsidR="008225C0" w:rsidRPr="00FE7C99">
        <w:rPr>
          <w:rFonts w:ascii="Arial" w:hAnsi="Arial" w:cs="Arial"/>
          <w:caps w:val="0"/>
          <w:webHidden/>
        </w:rPr>
        <w:tab/>
      </w:r>
      <w:r w:rsidR="008225C0">
        <w:rPr>
          <w:rFonts w:ascii="Arial" w:hAnsi="Arial" w:cs="Arial"/>
          <w:caps w:val="0"/>
          <w:webHidden/>
        </w:rPr>
        <w:t>1</w:t>
      </w:r>
      <w:r w:rsidR="00EC1E11">
        <w:rPr>
          <w:rFonts w:ascii="Arial" w:hAnsi="Arial" w:cs="Arial"/>
          <w:caps w:val="0"/>
          <w:webHidden/>
        </w:rPr>
        <w:t>3</w:t>
      </w:r>
    </w:p>
    <w:p w14:paraId="4602C9B8" w14:textId="0C9E43C9" w:rsidR="006F4218" w:rsidRPr="00F96AB0" w:rsidRDefault="008225C0" w:rsidP="00D13A6B">
      <w:pPr>
        <w:pStyle w:val="Level1"/>
        <w:numPr>
          <w:ilvl w:val="1"/>
          <w:numId w:val="11"/>
        </w:numPr>
        <w:tabs>
          <w:tab w:val="clear" w:pos="8630"/>
          <w:tab w:val="right" w:leader="dot" w:pos="8820"/>
        </w:tabs>
        <w:rPr>
          <w:rFonts w:ascii="Arial" w:hAnsi="Arial" w:cs="Arial"/>
          <w:webHidden/>
        </w:rPr>
      </w:pPr>
      <w:r w:rsidRPr="00F96AB0">
        <w:rPr>
          <w:rFonts w:ascii="Arial" w:hAnsi="Arial" w:cs="Arial"/>
          <w:caps w:val="0"/>
          <w:webHidden/>
        </w:rPr>
        <w:t>T</w:t>
      </w:r>
      <w:r w:rsidR="003A0C90" w:rsidRPr="00F96AB0">
        <w:rPr>
          <w:rFonts w:ascii="Arial" w:hAnsi="Arial" w:cs="Arial"/>
          <w:caps w:val="0"/>
          <w:webHidden/>
        </w:rPr>
        <w:t>he ESP</w:t>
      </w:r>
      <w:r w:rsidR="007619D2" w:rsidRPr="00F96AB0">
        <w:rPr>
          <w:rFonts w:ascii="Arial" w:hAnsi="Arial" w:cs="Arial"/>
          <w:caps w:val="0"/>
          <w:webHidden/>
        </w:rPr>
        <w:t xml:space="preserve"> Case</w:t>
      </w:r>
      <w:r w:rsidR="00BC2011">
        <w:rPr>
          <w:rFonts w:ascii="Arial" w:hAnsi="Arial" w:cs="Arial"/>
          <w:caps w:val="0"/>
          <w:webHidden/>
        </w:rPr>
        <w:t>.</w:t>
      </w:r>
      <w:r w:rsidR="003A0C90" w:rsidRPr="00F96AB0">
        <w:rPr>
          <w:rFonts w:ascii="Arial" w:hAnsi="Arial" w:cs="Arial"/>
          <w:webHidden/>
        </w:rPr>
        <w:tab/>
      </w:r>
      <w:r w:rsidR="00D13A6B">
        <w:rPr>
          <w:rFonts w:ascii="Arial" w:hAnsi="Arial" w:cs="Arial"/>
          <w:webHidden/>
        </w:rPr>
        <w:t>……….</w:t>
      </w:r>
      <w:r w:rsidR="003A0C90" w:rsidRPr="00F96AB0">
        <w:rPr>
          <w:rFonts w:ascii="Arial" w:hAnsi="Arial" w:cs="Arial"/>
          <w:webHidden/>
        </w:rPr>
        <w:t>1</w:t>
      </w:r>
      <w:r w:rsidR="006F4218" w:rsidRPr="00F96AB0">
        <w:rPr>
          <w:rFonts w:ascii="Arial" w:hAnsi="Arial" w:cs="Arial"/>
          <w:webHidden/>
        </w:rPr>
        <w:t>6</w:t>
      </w:r>
      <w:r w:rsidR="00F96AB0" w:rsidRPr="00F96AB0">
        <w:rPr>
          <w:rFonts w:ascii="Arial" w:hAnsi="Arial" w:cs="Arial"/>
          <w:webHidden/>
        </w:rPr>
        <w:t xml:space="preserve"> </w:t>
      </w:r>
    </w:p>
    <w:p w14:paraId="54B07276" w14:textId="2A1C4D47" w:rsidR="003A0C90" w:rsidRDefault="003A0C90" w:rsidP="00D13A6B">
      <w:pPr>
        <w:pStyle w:val="Level1"/>
        <w:numPr>
          <w:ilvl w:val="1"/>
          <w:numId w:val="11"/>
        </w:numPr>
        <w:tabs>
          <w:tab w:val="clear" w:pos="8630"/>
          <w:tab w:val="right" w:leader="dot" w:pos="8820"/>
        </w:tabs>
        <w:rPr>
          <w:rFonts w:ascii="Arial" w:hAnsi="Arial" w:cs="Arial"/>
          <w:webHidden/>
        </w:rPr>
      </w:pPr>
      <w:r w:rsidRPr="00FE7C99">
        <w:rPr>
          <w:rFonts w:ascii="Arial" w:hAnsi="Arial" w:cs="Arial"/>
          <w:caps w:val="0"/>
          <w:webHidden/>
        </w:rPr>
        <w:t xml:space="preserve">The </w:t>
      </w:r>
      <w:r w:rsidR="00BC2011">
        <w:rPr>
          <w:rFonts w:ascii="Arial" w:hAnsi="Arial" w:cs="Arial"/>
          <w:caps w:val="0"/>
          <w:webHidden/>
        </w:rPr>
        <w:t>Price Stab</w:t>
      </w:r>
      <w:r w:rsidR="00D32DA7">
        <w:rPr>
          <w:rFonts w:ascii="Arial" w:hAnsi="Arial" w:cs="Arial"/>
          <w:caps w:val="0"/>
          <w:webHidden/>
        </w:rPr>
        <w:t>ilization Rider Case</w:t>
      </w:r>
      <w:r w:rsidRPr="00FE7C99">
        <w:rPr>
          <w:rFonts w:ascii="Arial" w:hAnsi="Arial" w:cs="Arial"/>
          <w:webHidden/>
        </w:rPr>
        <w:tab/>
        <w:t>……1</w:t>
      </w:r>
      <w:r w:rsidR="00830EEB">
        <w:rPr>
          <w:rFonts w:ascii="Arial" w:hAnsi="Arial" w:cs="Arial"/>
          <w:webHidden/>
        </w:rPr>
        <w:t>6</w:t>
      </w:r>
    </w:p>
    <w:p w14:paraId="78B72518" w14:textId="744721E8" w:rsidR="00D32DA7" w:rsidRDefault="00D32DA7" w:rsidP="00D13A6B">
      <w:pPr>
        <w:pStyle w:val="Level1"/>
        <w:numPr>
          <w:ilvl w:val="1"/>
          <w:numId w:val="11"/>
        </w:numPr>
        <w:tabs>
          <w:tab w:val="clear" w:pos="8630"/>
          <w:tab w:val="right" w:leader="dot" w:pos="8820"/>
        </w:tabs>
        <w:rPr>
          <w:rFonts w:ascii="Arial" w:hAnsi="Arial" w:cs="Arial"/>
          <w:webHidden/>
        </w:rPr>
      </w:pPr>
      <w:r w:rsidRPr="00FE7C99">
        <w:rPr>
          <w:rFonts w:ascii="Arial" w:hAnsi="Arial" w:cs="Arial"/>
          <w:caps w:val="0"/>
          <w:webHidden/>
        </w:rPr>
        <w:t xml:space="preserve">The </w:t>
      </w:r>
      <w:r w:rsidR="009E42CA">
        <w:rPr>
          <w:rFonts w:ascii="Arial" w:hAnsi="Arial" w:cs="Arial"/>
          <w:caps w:val="0"/>
          <w:webHidden/>
        </w:rPr>
        <w:t xml:space="preserve">Reliability </w:t>
      </w:r>
      <w:r w:rsidR="00243B3B">
        <w:rPr>
          <w:rFonts w:ascii="Arial" w:hAnsi="Arial" w:cs="Arial"/>
          <w:caps w:val="0"/>
          <w:webHidden/>
        </w:rPr>
        <w:t>Standards</w:t>
      </w:r>
      <w:r>
        <w:rPr>
          <w:rFonts w:ascii="Arial" w:hAnsi="Arial" w:cs="Arial"/>
          <w:caps w:val="0"/>
          <w:webHidden/>
        </w:rPr>
        <w:t xml:space="preserve"> Case</w:t>
      </w:r>
      <w:r w:rsidRPr="00FE7C99">
        <w:rPr>
          <w:rFonts w:ascii="Arial" w:hAnsi="Arial" w:cs="Arial"/>
          <w:webHidden/>
        </w:rPr>
        <w:tab/>
        <w:t>……1</w:t>
      </w:r>
      <w:r>
        <w:rPr>
          <w:rFonts w:ascii="Arial" w:hAnsi="Arial" w:cs="Arial"/>
          <w:webHidden/>
        </w:rPr>
        <w:t>7</w:t>
      </w:r>
    </w:p>
    <w:p w14:paraId="56F3B590" w14:textId="0EB51D4D" w:rsidR="00D32DA7" w:rsidRDefault="00D32DA7" w:rsidP="00D13A6B">
      <w:pPr>
        <w:pStyle w:val="Level1"/>
        <w:numPr>
          <w:ilvl w:val="1"/>
          <w:numId w:val="11"/>
        </w:numPr>
        <w:tabs>
          <w:tab w:val="clear" w:pos="8630"/>
          <w:tab w:val="right" w:leader="dot" w:pos="8820"/>
        </w:tabs>
        <w:rPr>
          <w:rFonts w:ascii="Arial" w:hAnsi="Arial" w:cs="Arial"/>
          <w:webHidden/>
        </w:rPr>
      </w:pPr>
      <w:r w:rsidRPr="00FE7C99">
        <w:rPr>
          <w:rFonts w:ascii="Arial" w:hAnsi="Arial" w:cs="Arial"/>
          <w:caps w:val="0"/>
          <w:webHidden/>
        </w:rPr>
        <w:t xml:space="preserve">The </w:t>
      </w:r>
      <w:r w:rsidR="00243B3B">
        <w:rPr>
          <w:rFonts w:ascii="Arial" w:hAnsi="Arial" w:cs="Arial"/>
          <w:caps w:val="0"/>
          <w:webHidden/>
        </w:rPr>
        <w:t>Stipulation and Recommendation</w:t>
      </w:r>
      <w:r w:rsidRPr="00FE7C99">
        <w:rPr>
          <w:rFonts w:ascii="Arial" w:hAnsi="Arial" w:cs="Arial"/>
          <w:webHidden/>
        </w:rPr>
        <w:tab/>
        <w:t>……1</w:t>
      </w:r>
      <w:r>
        <w:rPr>
          <w:rFonts w:ascii="Arial" w:hAnsi="Arial" w:cs="Arial"/>
          <w:webHidden/>
        </w:rPr>
        <w:t>7</w:t>
      </w:r>
    </w:p>
    <w:p w14:paraId="79BA3D37" w14:textId="2C5B967F" w:rsidR="009E42CA" w:rsidRPr="00FE7C99" w:rsidRDefault="009E42CA" w:rsidP="00D13A6B">
      <w:pPr>
        <w:pStyle w:val="Level1"/>
        <w:numPr>
          <w:ilvl w:val="1"/>
          <w:numId w:val="11"/>
        </w:numPr>
        <w:tabs>
          <w:tab w:val="clear" w:pos="8630"/>
          <w:tab w:val="right" w:leader="dot" w:pos="8820"/>
        </w:tabs>
        <w:rPr>
          <w:rFonts w:ascii="Arial" w:hAnsi="Arial" w:cs="Arial"/>
          <w:webHidden/>
        </w:rPr>
      </w:pPr>
      <w:r w:rsidRPr="00FE7C99">
        <w:rPr>
          <w:rFonts w:ascii="Arial" w:hAnsi="Arial" w:cs="Arial"/>
          <w:caps w:val="0"/>
          <w:webHidden/>
        </w:rPr>
        <w:t xml:space="preserve">The </w:t>
      </w:r>
      <w:r w:rsidR="00FC783F">
        <w:rPr>
          <w:rFonts w:ascii="Arial" w:hAnsi="Arial" w:cs="Arial"/>
          <w:caps w:val="0"/>
          <w:webHidden/>
        </w:rPr>
        <w:t>Opinion and Order</w:t>
      </w:r>
      <w:r w:rsidRPr="00FE7C99">
        <w:rPr>
          <w:rFonts w:ascii="Arial" w:hAnsi="Arial" w:cs="Arial"/>
          <w:caps w:val="0"/>
          <w:webHidden/>
        </w:rPr>
        <w:tab/>
      </w:r>
      <w:r w:rsidR="00FC783F">
        <w:rPr>
          <w:rFonts w:ascii="Arial" w:hAnsi="Arial" w:cs="Arial"/>
          <w:caps w:val="0"/>
          <w:webHidden/>
        </w:rPr>
        <w:t>20</w:t>
      </w:r>
    </w:p>
    <w:p w14:paraId="2854AD74" w14:textId="28706B25" w:rsidR="0089365C" w:rsidRPr="0089365C" w:rsidRDefault="003A0C90" w:rsidP="00924914">
      <w:pPr>
        <w:pStyle w:val="Level1"/>
        <w:numPr>
          <w:ilvl w:val="0"/>
          <w:numId w:val="11"/>
        </w:numPr>
        <w:tabs>
          <w:tab w:val="clear" w:pos="8630"/>
          <w:tab w:val="right" w:leader="dot" w:pos="8820"/>
          <w:tab w:val="left" w:pos="9108"/>
        </w:tabs>
        <w:rPr>
          <w:rFonts w:ascii="Arial" w:hAnsi="Arial" w:cs="Arial"/>
          <w:webHidden/>
        </w:rPr>
      </w:pPr>
      <w:r w:rsidRPr="0089365C">
        <w:rPr>
          <w:rFonts w:ascii="Arial" w:hAnsi="Arial" w:cs="Arial"/>
        </w:rPr>
        <w:t>s</w:t>
      </w:r>
      <w:r w:rsidR="0089365C" w:rsidRPr="0089365C">
        <w:rPr>
          <w:rFonts w:ascii="Arial" w:hAnsi="Arial" w:cs="Arial"/>
        </w:rPr>
        <w:t>ettlement evaluation criteria and legal standard</w:t>
      </w:r>
      <w:r w:rsidR="0089365C" w:rsidRPr="00FE7C99">
        <w:rPr>
          <w:rFonts w:ascii="Arial" w:hAnsi="Arial" w:cs="Arial"/>
          <w:caps w:val="0"/>
          <w:webHidden/>
        </w:rPr>
        <w:tab/>
      </w:r>
      <w:r w:rsidR="00924914">
        <w:rPr>
          <w:rFonts w:ascii="Arial" w:hAnsi="Arial" w:cs="Arial"/>
          <w:caps w:val="0"/>
          <w:webHidden/>
        </w:rPr>
        <w:t>2</w:t>
      </w:r>
      <w:r w:rsidR="00830EEB">
        <w:rPr>
          <w:rFonts w:ascii="Arial" w:hAnsi="Arial" w:cs="Arial"/>
          <w:caps w:val="0"/>
          <w:webHidden/>
        </w:rPr>
        <w:t>2</w:t>
      </w:r>
    </w:p>
    <w:p w14:paraId="5189D43D" w14:textId="3D433555" w:rsidR="003A0C90" w:rsidRPr="0089365C" w:rsidRDefault="003A0C90" w:rsidP="00E077FF">
      <w:pPr>
        <w:pStyle w:val="Level1"/>
        <w:numPr>
          <w:ilvl w:val="0"/>
          <w:numId w:val="11"/>
        </w:numPr>
        <w:tabs>
          <w:tab w:val="clear" w:pos="8630"/>
          <w:tab w:val="right" w:leader="dot" w:pos="8820"/>
        </w:tabs>
        <w:rPr>
          <w:rFonts w:ascii="Arial" w:hAnsi="Arial" w:cs="Arial"/>
          <w:webHidden/>
        </w:rPr>
      </w:pPr>
      <w:r w:rsidRPr="0089365C">
        <w:rPr>
          <w:rFonts w:ascii="Arial" w:hAnsi="Arial" w:cs="Arial"/>
          <w:webHidden/>
        </w:rPr>
        <w:t>argument</w:t>
      </w:r>
      <w:r w:rsidRPr="00FE7C99">
        <w:rPr>
          <w:rFonts w:ascii="Arial" w:hAnsi="Arial" w:cs="Arial"/>
          <w:caps w:val="0"/>
          <w:webHidden/>
        </w:rPr>
        <w:tab/>
      </w:r>
      <w:r w:rsidR="009E0E3A">
        <w:rPr>
          <w:rFonts w:ascii="Arial" w:hAnsi="Arial" w:cs="Arial"/>
          <w:caps w:val="0"/>
          <w:webHidden/>
        </w:rPr>
        <w:t>2</w:t>
      </w:r>
      <w:r w:rsidR="00830EEB">
        <w:rPr>
          <w:rFonts w:ascii="Arial" w:hAnsi="Arial" w:cs="Arial"/>
          <w:caps w:val="0"/>
          <w:webHidden/>
        </w:rPr>
        <w:t>4</w:t>
      </w:r>
    </w:p>
    <w:p w14:paraId="7916E91F" w14:textId="06D60D9C" w:rsidR="00C46DFE" w:rsidRDefault="000F0512" w:rsidP="00D13A6B">
      <w:pPr>
        <w:pStyle w:val="Level1"/>
        <w:numPr>
          <w:ilvl w:val="1"/>
          <w:numId w:val="11"/>
        </w:numPr>
        <w:tabs>
          <w:tab w:val="clear" w:pos="8630"/>
          <w:tab w:val="right" w:leader="dot" w:pos="8820"/>
        </w:tabs>
        <w:rPr>
          <w:rFonts w:ascii="Arial" w:hAnsi="Arial" w:cs="Arial"/>
          <w:webHidden/>
        </w:rPr>
      </w:pPr>
      <w:r w:rsidRPr="00C46DFE">
        <w:rPr>
          <w:rFonts w:ascii="Arial" w:hAnsi="Arial" w:cs="Arial"/>
          <w:caps w:val="0"/>
        </w:rPr>
        <w:t xml:space="preserve">The Order is unlawful and unreasonable inasmuch as it authorized Duke to  recover the cost of competitive retail electric service through </w:t>
      </w:r>
      <w:r w:rsidR="00F9362D">
        <w:rPr>
          <w:rFonts w:ascii="Arial" w:hAnsi="Arial" w:cs="Arial"/>
          <w:caps w:val="0"/>
        </w:rPr>
        <w:t xml:space="preserve">                               </w:t>
      </w:r>
      <w:r w:rsidRPr="00C46DFE">
        <w:rPr>
          <w:rFonts w:ascii="Arial" w:hAnsi="Arial" w:cs="Arial"/>
          <w:caps w:val="0"/>
        </w:rPr>
        <w:t xml:space="preserve">non-competitive service rates.  R.C. 4928.05(A)(1) prohibits the </w:t>
      </w:r>
      <w:r w:rsidR="00F9362D">
        <w:rPr>
          <w:rFonts w:ascii="Arial" w:hAnsi="Arial" w:cs="Arial"/>
          <w:caps w:val="0"/>
        </w:rPr>
        <w:t xml:space="preserve">              </w:t>
      </w:r>
      <w:r w:rsidRPr="00C46DFE">
        <w:rPr>
          <w:rFonts w:ascii="Arial" w:hAnsi="Arial" w:cs="Arial"/>
          <w:caps w:val="0"/>
        </w:rPr>
        <w:t xml:space="preserve">Commission from exercising Chapter 4909 to regulate competitive retail </w:t>
      </w:r>
      <w:r w:rsidR="00F9362D">
        <w:rPr>
          <w:rFonts w:ascii="Arial" w:hAnsi="Arial" w:cs="Arial"/>
          <w:caps w:val="0"/>
        </w:rPr>
        <w:t xml:space="preserve">      </w:t>
      </w:r>
      <w:r w:rsidRPr="00C46DFE">
        <w:rPr>
          <w:rFonts w:ascii="Arial" w:hAnsi="Arial" w:cs="Arial"/>
          <w:caps w:val="0"/>
        </w:rPr>
        <w:t xml:space="preserve">electric services; therefore, the Order exceeded the scope of the </w:t>
      </w:r>
      <w:r w:rsidR="00F9362D">
        <w:rPr>
          <w:rFonts w:ascii="Arial" w:hAnsi="Arial" w:cs="Arial"/>
          <w:caps w:val="0"/>
        </w:rPr>
        <w:t xml:space="preserve">        </w:t>
      </w:r>
      <w:r w:rsidRPr="00C46DFE">
        <w:rPr>
          <w:rFonts w:ascii="Arial" w:hAnsi="Arial" w:cs="Arial"/>
          <w:caps w:val="0"/>
        </w:rPr>
        <w:t>Commission’s jurisdiction.</w:t>
      </w:r>
      <w:r w:rsidR="002A260E" w:rsidRPr="002A260E">
        <w:rPr>
          <w:rFonts w:ascii="Arial" w:hAnsi="Arial" w:cs="Arial"/>
          <w:caps w:val="0"/>
          <w:webHidden/>
        </w:rPr>
        <w:t xml:space="preserve"> </w:t>
      </w:r>
      <w:r w:rsidR="002A260E" w:rsidRPr="00FE7C99">
        <w:rPr>
          <w:rFonts w:ascii="Arial" w:hAnsi="Arial" w:cs="Arial"/>
          <w:caps w:val="0"/>
          <w:webHidden/>
        </w:rPr>
        <w:tab/>
      </w:r>
      <w:r w:rsidR="002F488F">
        <w:rPr>
          <w:rFonts w:ascii="Arial" w:hAnsi="Arial" w:cs="Arial"/>
          <w:caps w:val="0"/>
          <w:webHidden/>
        </w:rPr>
        <w:t>25</w:t>
      </w:r>
      <w:r w:rsidR="00C46DFE" w:rsidRPr="00F96AB0">
        <w:rPr>
          <w:rFonts w:ascii="Arial" w:hAnsi="Arial" w:cs="Arial"/>
          <w:webHidden/>
        </w:rPr>
        <w:t xml:space="preserve"> </w:t>
      </w:r>
    </w:p>
    <w:p w14:paraId="1B514985" w14:textId="51EFCBA0" w:rsidR="00170C8E" w:rsidRDefault="00200809" w:rsidP="00D13A6B">
      <w:pPr>
        <w:pStyle w:val="Level1"/>
        <w:numPr>
          <w:ilvl w:val="1"/>
          <w:numId w:val="11"/>
        </w:numPr>
        <w:tabs>
          <w:tab w:val="clear" w:pos="8630"/>
          <w:tab w:val="right" w:leader="dot" w:pos="8820"/>
        </w:tabs>
        <w:rPr>
          <w:rFonts w:ascii="Arial" w:hAnsi="Arial" w:cs="Arial"/>
          <w:caps w:val="0"/>
        </w:rPr>
      </w:pPr>
      <w:r w:rsidRPr="00200809">
        <w:rPr>
          <w:rFonts w:ascii="Arial" w:hAnsi="Arial" w:cs="Arial"/>
          <w:caps w:val="0"/>
          <w:webHidden/>
        </w:rPr>
        <w:t>T</w:t>
      </w:r>
      <w:r w:rsidR="000F0512" w:rsidRPr="00200809">
        <w:rPr>
          <w:rFonts w:ascii="Arial" w:hAnsi="Arial" w:cs="Arial"/>
          <w:caps w:val="0"/>
        </w:rPr>
        <w:t xml:space="preserve">he Order authorized an anticompetitive, unlawful, and unreasonable </w:t>
      </w:r>
      <w:r w:rsidR="00F9362D">
        <w:rPr>
          <w:rFonts w:ascii="Arial" w:hAnsi="Arial" w:cs="Arial"/>
          <w:caps w:val="0"/>
        </w:rPr>
        <w:t xml:space="preserve">          </w:t>
      </w:r>
      <w:r w:rsidR="000F0512" w:rsidRPr="00200809">
        <w:rPr>
          <w:rFonts w:ascii="Arial" w:hAnsi="Arial" w:cs="Arial"/>
          <w:caps w:val="0"/>
        </w:rPr>
        <w:t xml:space="preserve">subsidy to Duke’s competitive retail electric service in violation of </w:t>
      </w:r>
      <w:r w:rsidR="00F9362D">
        <w:rPr>
          <w:rFonts w:ascii="Arial" w:hAnsi="Arial" w:cs="Arial"/>
          <w:caps w:val="0"/>
        </w:rPr>
        <w:t xml:space="preserve">             </w:t>
      </w:r>
      <w:r w:rsidR="000F0512" w:rsidRPr="00200809">
        <w:rPr>
          <w:rFonts w:ascii="Arial" w:hAnsi="Arial" w:cs="Arial"/>
          <w:caps w:val="0"/>
        </w:rPr>
        <w:t xml:space="preserve">precedent and State policy enumerated in R.C. 4928.02.  Elyria Foundry </w:t>
      </w:r>
      <w:r w:rsidR="00F9362D">
        <w:rPr>
          <w:rFonts w:ascii="Arial" w:hAnsi="Arial" w:cs="Arial"/>
          <w:caps w:val="0"/>
        </w:rPr>
        <w:t xml:space="preserve">              </w:t>
      </w:r>
      <w:r w:rsidR="000F0512" w:rsidRPr="00200809">
        <w:rPr>
          <w:rFonts w:ascii="Arial" w:hAnsi="Arial" w:cs="Arial"/>
          <w:caps w:val="0"/>
        </w:rPr>
        <w:t>Co. v. Pub. Util. Comm’n, 14 Ohio St.3d 305, 315 (2007).</w:t>
      </w:r>
      <w:r w:rsidR="00DF47F8" w:rsidRPr="00DF47F8">
        <w:rPr>
          <w:rFonts w:ascii="Arial" w:hAnsi="Arial" w:cs="Arial"/>
          <w:caps w:val="0"/>
          <w:webHidden/>
        </w:rPr>
        <w:t xml:space="preserve"> </w:t>
      </w:r>
      <w:r w:rsidR="00DF47F8" w:rsidRPr="00FE7C99">
        <w:rPr>
          <w:rFonts w:ascii="Arial" w:hAnsi="Arial" w:cs="Arial"/>
          <w:caps w:val="0"/>
          <w:webHidden/>
        </w:rPr>
        <w:tab/>
      </w:r>
      <w:r w:rsidR="002F488F">
        <w:rPr>
          <w:rFonts w:ascii="Arial" w:hAnsi="Arial" w:cs="Arial"/>
          <w:caps w:val="0"/>
          <w:webHidden/>
        </w:rPr>
        <w:t>2</w:t>
      </w:r>
      <w:r w:rsidR="00830EEB">
        <w:rPr>
          <w:rFonts w:ascii="Arial" w:hAnsi="Arial" w:cs="Arial"/>
          <w:caps w:val="0"/>
          <w:webHidden/>
        </w:rPr>
        <w:t>7</w:t>
      </w:r>
    </w:p>
    <w:p w14:paraId="6490971C" w14:textId="6C2F70B2" w:rsidR="00C10062" w:rsidRDefault="00C10062" w:rsidP="00D13A6B">
      <w:pPr>
        <w:pStyle w:val="Level1"/>
        <w:numPr>
          <w:ilvl w:val="1"/>
          <w:numId w:val="11"/>
        </w:numPr>
        <w:tabs>
          <w:tab w:val="clear" w:pos="8630"/>
          <w:tab w:val="right" w:pos="8820"/>
        </w:tabs>
        <w:rPr>
          <w:rFonts w:ascii="Arial" w:hAnsi="Arial" w:cs="Arial"/>
          <w:caps w:val="0"/>
        </w:rPr>
      </w:pPr>
      <w:r>
        <w:rPr>
          <w:rFonts w:ascii="Arial" w:hAnsi="Arial" w:cs="Arial"/>
          <w:caps w:val="0"/>
        </w:rPr>
        <w:t>The Order</w:t>
      </w:r>
      <w:r w:rsidRPr="00CA25AC">
        <w:rPr>
          <w:rFonts w:ascii="Arial" w:hAnsi="Arial" w:cs="Arial"/>
          <w:caps w:val="0"/>
        </w:rPr>
        <w:t xml:space="preserve"> unlawfully and unreasonably rejected IGS proposal that would </w:t>
      </w:r>
      <w:r w:rsidR="00F9362D">
        <w:rPr>
          <w:rFonts w:ascii="Arial" w:hAnsi="Arial" w:cs="Arial"/>
          <w:caps w:val="0"/>
        </w:rPr>
        <w:t xml:space="preserve">     </w:t>
      </w:r>
      <w:r w:rsidRPr="00CA25AC">
        <w:rPr>
          <w:rFonts w:ascii="Arial" w:hAnsi="Arial" w:cs="Arial"/>
          <w:caps w:val="0"/>
        </w:rPr>
        <w:t xml:space="preserve">remedy Duke’s unlawful collection of competitive retail electric service </w:t>
      </w:r>
      <w:r w:rsidR="00F9362D">
        <w:rPr>
          <w:rFonts w:ascii="Arial" w:hAnsi="Arial" w:cs="Arial"/>
          <w:caps w:val="0"/>
        </w:rPr>
        <w:t xml:space="preserve">             </w:t>
      </w:r>
      <w:r w:rsidRPr="00CA25AC">
        <w:rPr>
          <w:rFonts w:ascii="Arial" w:hAnsi="Arial" w:cs="Arial"/>
          <w:caps w:val="0"/>
        </w:rPr>
        <w:t>costs through non-competitive service</w:t>
      </w:r>
      <w:r>
        <w:rPr>
          <w:rFonts w:ascii="Arial" w:hAnsi="Arial" w:cs="Arial"/>
          <w:caps w:val="0"/>
        </w:rPr>
        <w:t xml:space="preserve"> rates</w:t>
      </w:r>
      <w:r w:rsidR="00D13A6B">
        <w:rPr>
          <w:rFonts w:ascii="Arial" w:hAnsi="Arial" w:cs="Arial"/>
          <w:caps w:val="0"/>
        </w:rPr>
        <w:t>……………………………………</w:t>
      </w:r>
      <w:r w:rsidR="00DF47F8" w:rsidRPr="00FE7C99">
        <w:rPr>
          <w:rFonts w:ascii="Arial" w:hAnsi="Arial" w:cs="Arial"/>
          <w:caps w:val="0"/>
          <w:webHidden/>
        </w:rPr>
        <w:tab/>
      </w:r>
      <w:r w:rsidR="00830EEB">
        <w:rPr>
          <w:rFonts w:ascii="Arial" w:hAnsi="Arial" w:cs="Arial"/>
          <w:caps w:val="0"/>
          <w:webHidden/>
        </w:rPr>
        <w:t>29</w:t>
      </w:r>
    </w:p>
    <w:p w14:paraId="03C98C96" w14:textId="32220239" w:rsidR="00CE7243" w:rsidRDefault="00CE7243" w:rsidP="00D13A6B">
      <w:pPr>
        <w:pStyle w:val="Level1"/>
        <w:numPr>
          <w:ilvl w:val="1"/>
          <w:numId w:val="11"/>
        </w:numPr>
        <w:tabs>
          <w:tab w:val="clear" w:pos="8630"/>
          <w:tab w:val="right" w:leader="dot" w:pos="8820"/>
        </w:tabs>
        <w:rPr>
          <w:rFonts w:ascii="Arial" w:hAnsi="Arial" w:cs="Arial"/>
          <w:caps w:val="0"/>
        </w:rPr>
      </w:pPr>
      <w:r>
        <w:rPr>
          <w:rFonts w:ascii="Arial" w:hAnsi="Arial" w:cs="Arial"/>
          <w:caps w:val="0"/>
        </w:rPr>
        <w:t xml:space="preserve">The Order is unlawful </w:t>
      </w:r>
      <w:r w:rsidRPr="00D53994">
        <w:rPr>
          <w:rFonts w:ascii="Arial" w:hAnsi="Arial" w:cs="Arial"/>
          <w:caps w:val="0"/>
        </w:rPr>
        <w:t xml:space="preserve">and unreasonable because it violated R.C. 4903.09 </w:t>
      </w:r>
      <w:r w:rsidR="00F9362D">
        <w:rPr>
          <w:rFonts w:ascii="Arial" w:hAnsi="Arial" w:cs="Arial"/>
          <w:caps w:val="0"/>
        </w:rPr>
        <w:t xml:space="preserve">               </w:t>
      </w:r>
      <w:r w:rsidRPr="00D53994">
        <w:rPr>
          <w:rFonts w:ascii="Arial" w:hAnsi="Arial" w:cs="Arial"/>
          <w:caps w:val="0"/>
        </w:rPr>
        <w:t xml:space="preserve">by failing to state findings of fact and reasons prompting the Commission’s decisions. In re Application of Columbus Southern Power Company, 128 </w:t>
      </w:r>
      <w:r w:rsidR="00F9362D">
        <w:rPr>
          <w:rFonts w:ascii="Arial" w:hAnsi="Arial" w:cs="Arial"/>
          <w:caps w:val="0"/>
        </w:rPr>
        <w:t xml:space="preserve">           </w:t>
      </w:r>
      <w:r w:rsidRPr="00D53994">
        <w:rPr>
          <w:rFonts w:ascii="Arial" w:hAnsi="Arial" w:cs="Arial"/>
          <w:caps w:val="0"/>
        </w:rPr>
        <w:t xml:space="preserve">Ohio St. 3d 512,519, 526-27 (2011).  The Order failed to appropriately </w:t>
      </w:r>
      <w:r w:rsidR="00F9362D">
        <w:rPr>
          <w:rFonts w:ascii="Arial" w:hAnsi="Arial" w:cs="Arial"/>
          <w:caps w:val="0"/>
        </w:rPr>
        <w:t xml:space="preserve">            </w:t>
      </w:r>
      <w:r w:rsidRPr="00D53994">
        <w:rPr>
          <w:rFonts w:ascii="Arial" w:hAnsi="Arial" w:cs="Arial"/>
          <w:caps w:val="0"/>
        </w:rPr>
        <w:t xml:space="preserve">consider or address IGS’ arguments that the Stipulation recommended </w:t>
      </w:r>
      <w:r w:rsidR="00F9362D">
        <w:rPr>
          <w:rFonts w:ascii="Arial" w:hAnsi="Arial" w:cs="Arial"/>
          <w:caps w:val="0"/>
        </w:rPr>
        <w:t xml:space="preserve">              </w:t>
      </w:r>
      <w:r w:rsidRPr="00D53994">
        <w:rPr>
          <w:rFonts w:ascii="Arial" w:hAnsi="Arial" w:cs="Arial"/>
          <w:caps w:val="0"/>
        </w:rPr>
        <w:t xml:space="preserve">that the Commission: (1) unlawfully and unreasonably apply Chapter 4909 to authorize recovery of competitive retail electric service costs through non-competitive service rate structures; (2) unlawfully and unreasonably </w:t>
      </w:r>
      <w:r w:rsidR="00F9362D">
        <w:rPr>
          <w:rFonts w:ascii="Arial" w:hAnsi="Arial" w:cs="Arial"/>
          <w:caps w:val="0"/>
        </w:rPr>
        <w:t xml:space="preserve">            </w:t>
      </w:r>
      <w:r w:rsidRPr="00D53994">
        <w:rPr>
          <w:rFonts w:ascii="Arial" w:hAnsi="Arial" w:cs="Arial"/>
          <w:caps w:val="0"/>
        </w:rPr>
        <w:t xml:space="preserve">provided a subsidy to Duke’s competitive retail electric service rates in </w:t>
      </w:r>
      <w:r w:rsidR="00F9362D">
        <w:rPr>
          <w:rFonts w:ascii="Arial" w:hAnsi="Arial" w:cs="Arial"/>
          <w:caps w:val="0"/>
        </w:rPr>
        <w:t xml:space="preserve">        </w:t>
      </w:r>
      <w:r w:rsidRPr="00D53994">
        <w:rPr>
          <w:rFonts w:ascii="Arial" w:hAnsi="Arial" w:cs="Arial"/>
          <w:caps w:val="0"/>
        </w:rPr>
        <w:t xml:space="preserve">violation of R.C. 4928.02; and (3) the Order further failed to evaluate and </w:t>
      </w:r>
      <w:r w:rsidR="00F9362D">
        <w:rPr>
          <w:rFonts w:ascii="Arial" w:hAnsi="Arial" w:cs="Arial"/>
          <w:caps w:val="0"/>
        </w:rPr>
        <w:t xml:space="preserve">      </w:t>
      </w:r>
      <w:r w:rsidRPr="00D53994">
        <w:rPr>
          <w:rFonts w:ascii="Arial" w:hAnsi="Arial" w:cs="Arial"/>
          <w:caps w:val="0"/>
        </w:rPr>
        <w:t xml:space="preserve">address IGS’ analysis and quantification of competitive retail electric </w:t>
      </w:r>
      <w:r w:rsidR="00F9362D">
        <w:rPr>
          <w:rFonts w:ascii="Arial" w:hAnsi="Arial" w:cs="Arial"/>
          <w:caps w:val="0"/>
        </w:rPr>
        <w:t xml:space="preserve">             </w:t>
      </w:r>
      <w:r w:rsidRPr="00D53994">
        <w:rPr>
          <w:rFonts w:ascii="Arial" w:hAnsi="Arial" w:cs="Arial"/>
          <w:caps w:val="0"/>
        </w:rPr>
        <w:t>service costs proposed for recovery in distribution</w:t>
      </w:r>
      <w:r>
        <w:rPr>
          <w:rFonts w:ascii="Arial" w:hAnsi="Arial" w:cs="Arial"/>
          <w:caps w:val="0"/>
        </w:rPr>
        <w:t xml:space="preserve"> rates</w:t>
      </w:r>
      <w:r w:rsidR="002F488F">
        <w:rPr>
          <w:rFonts w:ascii="Arial" w:hAnsi="Arial" w:cs="Arial"/>
          <w:caps w:val="0"/>
        </w:rPr>
        <w:t>.</w:t>
      </w:r>
      <w:r w:rsidR="00DF47F8" w:rsidRPr="00FE7C99">
        <w:rPr>
          <w:rFonts w:ascii="Arial" w:hAnsi="Arial" w:cs="Arial"/>
          <w:caps w:val="0"/>
          <w:webHidden/>
        </w:rPr>
        <w:tab/>
      </w:r>
      <w:r w:rsidR="002F488F">
        <w:rPr>
          <w:rFonts w:ascii="Arial" w:hAnsi="Arial" w:cs="Arial"/>
          <w:caps w:val="0"/>
          <w:webHidden/>
        </w:rPr>
        <w:t>3</w:t>
      </w:r>
      <w:r w:rsidR="00830EEB">
        <w:rPr>
          <w:rFonts w:ascii="Arial" w:hAnsi="Arial" w:cs="Arial"/>
          <w:caps w:val="0"/>
          <w:webHidden/>
        </w:rPr>
        <w:t>0</w:t>
      </w:r>
    </w:p>
    <w:p w14:paraId="46BF3D70" w14:textId="0480DB0A" w:rsidR="00CE7243" w:rsidRDefault="00CE7243" w:rsidP="00170C8E">
      <w:pPr>
        <w:pStyle w:val="Level1"/>
        <w:numPr>
          <w:ilvl w:val="1"/>
          <w:numId w:val="11"/>
        </w:numPr>
        <w:tabs>
          <w:tab w:val="clear" w:pos="8630"/>
          <w:tab w:val="right" w:leader="dot" w:pos="8730"/>
        </w:tabs>
        <w:rPr>
          <w:rFonts w:ascii="Arial" w:hAnsi="Arial" w:cs="Arial"/>
          <w:caps w:val="0"/>
        </w:rPr>
      </w:pPr>
      <w:r>
        <w:rPr>
          <w:rFonts w:ascii="Arial" w:hAnsi="Arial" w:cs="Arial"/>
          <w:caps w:val="0"/>
        </w:rPr>
        <w:t xml:space="preserve">The Order is unlawful </w:t>
      </w:r>
      <w:r w:rsidRPr="00272F91">
        <w:rPr>
          <w:rFonts w:ascii="Arial" w:hAnsi="Arial" w:cs="Arial"/>
          <w:caps w:val="0"/>
        </w:rPr>
        <w:t xml:space="preserve">and unreasonable inasmuch as it concluded the </w:t>
      </w:r>
      <w:r w:rsidR="00F9362D">
        <w:rPr>
          <w:rFonts w:ascii="Arial" w:hAnsi="Arial" w:cs="Arial"/>
          <w:caps w:val="0"/>
        </w:rPr>
        <w:t xml:space="preserve">       </w:t>
      </w:r>
      <w:r w:rsidRPr="00272F91">
        <w:rPr>
          <w:rFonts w:ascii="Arial" w:hAnsi="Arial" w:cs="Arial"/>
          <w:caps w:val="0"/>
        </w:rPr>
        <w:t xml:space="preserve">existence of costs related to Duke’s facilitation of the choice market may </w:t>
      </w:r>
      <w:r w:rsidR="00F9362D">
        <w:rPr>
          <w:rFonts w:ascii="Arial" w:hAnsi="Arial" w:cs="Arial"/>
          <w:caps w:val="0"/>
        </w:rPr>
        <w:t xml:space="preserve">        </w:t>
      </w:r>
      <w:r w:rsidRPr="00272F91">
        <w:rPr>
          <w:rFonts w:ascii="Arial" w:hAnsi="Arial" w:cs="Arial"/>
          <w:caps w:val="0"/>
        </w:rPr>
        <w:t xml:space="preserve">justify subsidizing SSO service.  The Order’s reasoning circumvents the </w:t>
      </w:r>
      <w:r w:rsidR="00F9362D">
        <w:rPr>
          <w:rFonts w:ascii="Arial" w:hAnsi="Arial" w:cs="Arial"/>
          <w:caps w:val="0"/>
        </w:rPr>
        <w:t xml:space="preserve">    </w:t>
      </w:r>
      <w:r w:rsidRPr="00272F91">
        <w:rPr>
          <w:rFonts w:ascii="Arial" w:hAnsi="Arial" w:cs="Arial"/>
          <w:caps w:val="0"/>
        </w:rPr>
        <w:t>statutory limitation against</w:t>
      </w:r>
      <w:r w:rsidR="002A3093" w:rsidRPr="00272F91">
        <w:rPr>
          <w:rFonts w:ascii="Arial" w:hAnsi="Arial" w:cs="Arial"/>
          <w:caps w:val="0"/>
        </w:rPr>
        <w:t xml:space="preserve"> regulation of competitive retail electric services </w:t>
      </w:r>
      <w:r w:rsidR="00F9362D">
        <w:rPr>
          <w:rFonts w:ascii="Arial" w:hAnsi="Arial" w:cs="Arial"/>
          <w:caps w:val="0"/>
        </w:rPr>
        <w:t xml:space="preserve">     </w:t>
      </w:r>
      <w:r w:rsidR="002A3093" w:rsidRPr="00272F91">
        <w:rPr>
          <w:rFonts w:ascii="Arial" w:hAnsi="Arial" w:cs="Arial"/>
          <w:caps w:val="0"/>
        </w:rPr>
        <w:t xml:space="preserve">under Chapter 4909. The Order is also arbitrary, capricious, and an abuse of </w:t>
      </w:r>
      <w:r w:rsidR="002A3093" w:rsidRPr="00272F91">
        <w:rPr>
          <w:rFonts w:ascii="Arial" w:hAnsi="Arial" w:cs="Arial"/>
          <w:caps w:val="0"/>
        </w:rPr>
        <w:lastRenderedPageBreak/>
        <w:t xml:space="preserve">discretion given that choice-related costs are already directly assigned </w:t>
      </w:r>
      <w:r w:rsidR="00F9362D">
        <w:rPr>
          <w:rFonts w:ascii="Arial" w:hAnsi="Arial" w:cs="Arial"/>
          <w:caps w:val="0"/>
        </w:rPr>
        <w:t xml:space="preserve">                  </w:t>
      </w:r>
      <w:r w:rsidR="002A3093" w:rsidRPr="00272F91">
        <w:rPr>
          <w:rFonts w:ascii="Arial" w:hAnsi="Arial" w:cs="Arial"/>
          <w:caps w:val="0"/>
        </w:rPr>
        <w:t xml:space="preserve">to CRES providers.  Forest Hills Utility Co. v. Pub. Util. Comm’n Ohio, 31 </w:t>
      </w:r>
      <w:r w:rsidR="00F9362D">
        <w:rPr>
          <w:rFonts w:ascii="Arial" w:hAnsi="Arial" w:cs="Arial"/>
          <w:caps w:val="0"/>
        </w:rPr>
        <w:t xml:space="preserve">          </w:t>
      </w:r>
      <w:r w:rsidR="002A3093" w:rsidRPr="00272F91">
        <w:rPr>
          <w:rFonts w:ascii="Arial" w:hAnsi="Arial" w:cs="Arial"/>
          <w:caps w:val="0"/>
        </w:rPr>
        <w:t>Ohio St. 2d 46</w:t>
      </w:r>
      <w:r w:rsidR="00272F91" w:rsidRPr="00272F91">
        <w:rPr>
          <w:rFonts w:ascii="Arial" w:hAnsi="Arial" w:cs="Arial"/>
          <w:caps w:val="0"/>
        </w:rPr>
        <w:t xml:space="preserve"> (1972).</w:t>
      </w:r>
      <w:r w:rsidR="00DF47F8" w:rsidRPr="00DF47F8">
        <w:rPr>
          <w:rFonts w:ascii="Arial" w:hAnsi="Arial" w:cs="Arial"/>
          <w:caps w:val="0"/>
          <w:webHidden/>
        </w:rPr>
        <w:t xml:space="preserve"> </w:t>
      </w:r>
      <w:r w:rsidR="00DF47F8" w:rsidRPr="00FE7C99">
        <w:rPr>
          <w:rFonts w:ascii="Arial" w:hAnsi="Arial" w:cs="Arial"/>
          <w:caps w:val="0"/>
          <w:webHidden/>
        </w:rPr>
        <w:tab/>
      </w:r>
      <w:r w:rsidR="002F488F">
        <w:rPr>
          <w:rFonts w:ascii="Arial" w:hAnsi="Arial" w:cs="Arial"/>
          <w:caps w:val="0"/>
          <w:webHidden/>
        </w:rPr>
        <w:t>32</w:t>
      </w:r>
    </w:p>
    <w:p w14:paraId="1837F6D4" w14:textId="37FC0029" w:rsidR="00272F91" w:rsidRDefault="00212783" w:rsidP="00170C8E">
      <w:pPr>
        <w:pStyle w:val="Level1"/>
        <w:numPr>
          <w:ilvl w:val="1"/>
          <w:numId w:val="11"/>
        </w:numPr>
        <w:tabs>
          <w:tab w:val="clear" w:pos="8630"/>
          <w:tab w:val="right" w:leader="dot" w:pos="8730"/>
        </w:tabs>
        <w:rPr>
          <w:rFonts w:ascii="Arial" w:hAnsi="Arial" w:cs="Arial"/>
          <w:caps w:val="0"/>
        </w:rPr>
      </w:pPr>
      <w:r>
        <w:rPr>
          <w:rFonts w:ascii="Arial" w:hAnsi="Arial" w:cs="Arial"/>
          <w:caps w:val="0"/>
        </w:rPr>
        <w:t xml:space="preserve">The Order’s </w:t>
      </w:r>
      <w:r w:rsidRPr="00905D8A">
        <w:rPr>
          <w:rFonts w:ascii="Arial" w:hAnsi="Arial" w:cs="Arial"/>
          <w:caps w:val="0"/>
        </w:rPr>
        <w:t xml:space="preserve">determination that choice costs may justify subsidizing the </w:t>
      </w:r>
      <w:r w:rsidR="00F9362D">
        <w:rPr>
          <w:rFonts w:ascii="Arial" w:hAnsi="Arial" w:cs="Arial"/>
          <w:caps w:val="0"/>
        </w:rPr>
        <w:t xml:space="preserve">     </w:t>
      </w:r>
      <w:r w:rsidRPr="00905D8A">
        <w:rPr>
          <w:rFonts w:ascii="Arial" w:hAnsi="Arial" w:cs="Arial"/>
          <w:caps w:val="0"/>
        </w:rPr>
        <w:t xml:space="preserve">standard service offer is against the manifest weight of the evidence.  The </w:t>
      </w:r>
      <w:r w:rsidR="00F9362D">
        <w:rPr>
          <w:rFonts w:ascii="Arial" w:hAnsi="Arial" w:cs="Arial"/>
          <w:caps w:val="0"/>
        </w:rPr>
        <w:t xml:space="preserve">    </w:t>
      </w:r>
      <w:r w:rsidRPr="00905D8A">
        <w:rPr>
          <w:rFonts w:ascii="Arial" w:hAnsi="Arial" w:cs="Arial"/>
          <w:caps w:val="0"/>
        </w:rPr>
        <w:t xml:space="preserve"> record reflects $23 million in SSO-related costs proposed for recovery in distribution rates; substantial CRES provider fees to cover choice-related </w:t>
      </w:r>
      <w:r w:rsidR="00F9362D">
        <w:rPr>
          <w:rFonts w:ascii="Arial" w:hAnsi="Arial" w:cs="Arial"/>
          <w:caps w:val="0"/>
        </w:rPr>
        <w:t xml:space="preserve">       </w:t>
      </w:r>
      <w:r w:rsidRPr="00905D8A">
        <w:rPr>
          <w:rFonts w:ascii="Arial" w:hAnsi="Arial" w:cs="Arial"/>
          <w:caps w:val="0"/>
        </w:rPr>
        <w:t xml:space="preserve">costs; thus, the record demonstrates that additional costs should be </w:t>
      </w:r>
      <w:r w:rsidR="00F9362D">
        <w:rPr>
          <w:rFonts w:ascii="Arial" w:hAnsi="Arial" w:cs="Arial"/>
          <w:caps w:val="0"/>
        </w:rPr>
        <w:t xml:space="preserve">         </w:t>
      </w:r>
      <w:r w:rsidRPr="00905D8A">
        <w:rPr>
          <w:rFonts w:ascii="Arial" w:hAnsi="Arial" w:cs="Arial"/>
          <w:caps w:val="0"/>
        </w:rPr>
        <w:t xml:space="preserve">allocated to the SSO even under the Order’s unlawful reasoning. </w:t>
      </w:r>
      <w:r w:rsidR="00F9362D">
        <w:rPr>
          <w:rFonts w:ascii="Arial" w:hAnsi="Arial" w:cs="Arial"/>
          <w:caps w:val="0"/>
        </w:rPr>
        <w:t xml:space="preserve">                </w:t>
      </w:r>
      <w:r w:rsidRPr="00905D8A">
        <w:rPr>
          <w:rFonts w:ascii="Arial" w:hAnsi="Arial" w:cs="Arial"/>
          <w:caps w:val="0"/>
        </w:rPr>
        <w:t xml:space="preserve">Westside Cellular, Inc. v. Pub. Util. Comm., 98 Ohio St. 3d 165; </w:t>
      </w:r>
      <w:r w:rsidR="00F9362D">
        <w:rPr>
          <w:rFonts w:ascii="Arial" w:hAnsi="Arial" w:cs="Arial"/>
          <w:caps w:val="0"/>
        </w:rPr>
        <w:t xml:space="preserve">                   </w:t>
      </w:r>
      <w:r w:rsidRPr="00905D8A">
        <w:rPr>
          <w:rFonts w:ascii="Arial" w:hAnsi="Arial" w:cs="Arial"/>
          <w:caps w:val="0"/>
        </w:rPr>
        <w:t xml:space="preserve">Cleveland Elec. Illum. Co. v. Pub. Util. Comm’n Ohio, 76 Ohio St.3d 163, </w:t>
      </w:r>
      <w:r w:rsidR="00F9362D">
        <w:rPr>
          <w:rFonts w:ascii="Arial" w:hAnsi="Arial" w:cs="Arial"/>
          <w:caps w:val="0"/>
        </w:rPr>
        <w:t xml:space="preserve">              </w:t>
      </w:r>
      <w:r w:rsidRPr="00905D8A">
        <w:rPr>
          <w:rFonts w:ascii="Arial" w:hAnsi="Arial" w:cs="Arial"/>
          <w:caps w:val="0"/>
        </w:rPr>
        <w:t>166</w:t>
      </w:r>
      <w:r w:rsidR="00905D8A" w:rsidRPr="00905D8A">
        <w:rPr>
          <w:rFonts w:ascii="Arial" w:hAnsi="Arial" w:cs="Arial"/>
          <w:caps w:val="0"/>
        </w:rPr>
        <w:t xml:space="preserve"> (1996).</w:t>
      </w:r>
      <w:r w:rsidR="00DF47F8" w:rsidRPr="00DF47F8">
        <w:rPr>
          <w:rFonts w:ascii="Arial" w:hAnsi="Arial" w:cs="Arial"/>
          <w:caps w:val="0"/>
          <w:webHidden/>
        </w:rPr>
        <w:t xml:space="preserve"> </w:t>
      </w:r>
      <w:r w:rsidR="00DF47F8" w:rsidRPr="00FE7C99">
        <w:rPr>
          <w:rFonts w:ascii="Arial" w:hAnsi="Arial" w:cs="Arial"/>
          <w:caps w:val="0"/>
          <w:webHidden/>
        </w:rPr>
        <w:tab/>
      </w:r>
      <w:r w:rsidR="00A35934">
        <w:rPr>
          <w:rFonts w:ascii="Arial" w:hAnsi="Arial" w:cs="Arial"/>
          <w:caps w:val="0"/>
          <w:webHidden/>
        </w:rPr>
        <w:t>3</w:t>
      </w:r>
      <w:r w:rsidR="00830EEB">
        <w:rPr>
          <w:rFonts w:ascii="Arial" w:hAnsi="Arial" w:cs="Arial"/>
          <w:caps w:val="0"/>
          <w:webHidden/>
        </w:rPr>
        <w:t>3</w:t>
      </w:r>
    </w:p>
    <w:p w14:paraId="78186E21" w14:textId="2B70C604" w:rsidR="00905D8A" w:rsidRDefault="00905D8A" w:rsidP="00170C8E">
      <w:pPr>
        <w:pStyle w:val="Level1"/>
        <w:numPr>
          <w:ilvl w:val="1"/>
          <w:numId w:val="11"/>
        </w:numPr>
        <w:tabs>
          <w:tab w:val="clear" w:pos="8630"/>
          <w:tab w:val="right" w:leader="dot" w:pos="8730"/>
        </w:tabs>
        <w:rPr>
          <w:rFonts w:ascii="Arial" w:hAnsi="Arial" w:cs="Arial"/>
          <w:caps w:val="0"/>
        </w:rPr>
      </w:pPr>
      <w:r>
        <w:rPr>
          <w:rFonts w:ascii="Arial" w:hAnsi="Arial" w:cs="Arial"/>
          <w:caps w:val="0"/>
        </w:rPr>
        <w:t xml:space="preserve">The Order is </w:t>
      </w:r>
      <w:r w:rsidRPr="00905D8A">
        <w:rPr>
          <w:rFonts w:ascii="Arial" w:hAnsi="Arial" w:cs="Arial"/>
          <w:caps w:val="0"/>
        </w:rPr>
        <w:t xml:space="preserve">unlawful and unreasonable inasmuch as it deviated from </w:t>
      </w:r>
      <w:r w:rsidR="00F9362D">
        <w:rPr>
          <w:rFonts w:ascii="Arial" w:hAnsi="Arial" w:cs="Arial"/>
          <w:caps w:val="0"/>
        </w:rPr>
        <w:t xml:space="preserve">             </w:t>
      </w:r>
      <w:r w:rsidRPr="00905D8A">
        <w:rPr>
          <w:rFonts w:ascii="Arial" w:hAnsi="Arial" w:cs="Arial"/>
          <w:caps w:val="0"/>
        </w:rPr>
        <w:t xml:space="preserve">recent Commission precedent, which required a EDU to allocate to the </w:t>
      </w:r>
      <w:r w:rsidR="00F9362D">
        <w:rPr>
          <w:rFonts w:ascii="Arial" w:hAnsi="Arial" w:cs="Arial"/>
          <w:caps w:val="0"/>
        </w:rPr>
        <w:t xml:space="preserve">              </w:t>
      </w:r>
      <w:r w:rsidRPr="00905D8A">
        <w:rPr>
          <w:rFonts w:ascii="Arial" w:hAnsi="Arial" w:cs="Arial"/>
          <w:caps w:val="0"/>
        </w:rPr>
        <w:t xml:space="preserve">SSO the portion of the OCC and PUCO assessments related to SSO retail </w:t>
      </w:r>
      <w:r w:rsidR="00F9362D">
        <w:rPr>
          <w:rFonts w:ascii="Arial" w:hAnsi="Arial" w:cs="Arial"/>
          <w:caps w:val="0"/>
        </w:rPr>
        <w:t xml:space="preserve">      </w:t>
      </w:r>
      <w:r w:rsidRPr="00905D8A">
        <w:rPr>
          <w:rFonts w:ascii="Arial" w:hAnsi="Arial" w:cs="Arial"/>
          <w:caps w:val="0"/>
        </w:rPr>
        <w:t xml:space="preserve">electric generation. Consumers’ Counsel v. Pub. Util. Comm., 10 Ohio </w:t>
      </w:r>
      <w:r w:rsidR="00F9362D">
        <w:rPr>
          <w:rFonts w:ascii="Arial" w:hAnsi="Arial" w:cs="Arial"/>
          <w:caps w:val="0"/>
        </w:rPr>
        <w:t xml:space="preserve">               </w:t>
      </w:r>
      <w:r w:rsidRPr="00905D8A">
        <w:rPr>
          <w:rFonts w:ascii="Arial" w:hAnsi="Arial" w:cs="Arial"/>
          <w:caps w:val="0"/>
        </w:rPr>
        <w:t>St.3d 49, 50-51 (1984).</w:t>
      </w:r>
      <w:r w:rsidR="00DF47F8" w:rsidRPr="00DF47F8">
        <w:rPr>
          <w:rFonts w:ascii="Arial" w:hAnsi="Arial" w:cs="Arial"/>
          <w:caps w:val="0"/>
          <w:webHidden/>
        </w:rPr>
        <w:t xml:space="preserve"> </w:t>
      </w:r>
      <w:r w:rsidR="00DF47F8" w:rsidRPr="00FE7C99">
        <w:rPr>
          <w:rFonts w:ascii="Arial" w:hAnsi="Arial" w:cs="Arial"/>
          <w:caps w:val="0"/>
          <w:webHidden/>
        </w:rPr>
        <w:tab/>
      </w:r>
      <w:r w:rsidR="00A35934">
        <w:rPr>
          <w:rFonts w:ascii="Arial" w:hAnsi="Arial" w:cs="Arial"/>
          <w:caps w:val="0"/>
          <w:webHidden/>
        </w:rPr>
        <w:t>3</w:t>
      </w:r>
      <w:r w:rsidR="00830EEB">
        <w:rPr>
          <w:rFonts w:ascii="Arial" w:hAnsi="Arial" w:cs="Arial"/>
          <w:caps w:val="0"/>
          <w:webHidden/>
        </w:rPr>
        <w:t>5</w:t>
      </w:r>
    </w:p>
    <w:p w14:paraId="490AA7A7" w14:textId="05CA3B61" w:rsidR="00905D8A" w:rsidRDefault="00905D8A" w:rsidP="00170C8E">
      <w:pPr>
        <w:pStyle w:val="Level1"/>
        <w:numPr>
          <w:ilvl w:val="1"/>
          <w:numId w:val="11"/>
        </w:numPr>
        <w:tabs>
          <w:tab w:val="clear" w:pos="8630"/>
          <w:tab w:val="right" w:leader="dot" w:pos="8730"/>
        </w:tabs>
        <w:rPr>
          <w:rFonts w:ascii="Arial" w:hAnsi="Arial" w:cs="Arial"/>
          <w:caps w:val="0"/>
        </w:rPr>
      </w:pPr>
      <w:r>
        <w:rPr>
          <w:rFonts w:ascii="Arial" w:hAnsi="Arial" w:cs="Arial"/>
          <w:caps w:val="0"/>
        </w:rPr>
        <w:t xml:space="preserve">The Order </w:t>
      </w:r>
      <w:r w:rsidRPr="00905D8A">
        <w:rPr>
          <w:rFonts w:ascii="Arial" w:hAnsi="Arial" w:cs="Arial"/>
          <w:caps w:val="0"/>
        </w:rPr>
        <w:t xml:space="preserve">is unlawful, unreasonable, and discriminatory inasmuch as it </w:t>
      </w:r>
      <w:r w:rsidR="00F9362D">
        <w:rPr>
          <w:rFonts w:ascii="Arial" w:hAnsi="Arial" w:cs="Arial"/>
          <w:caps w:val="0"/>
        </w:rPr>
        <w:t xml:space="preserve">  </w:t>
      </w:r>
      <w:r w:rsidRPr="00905D8A">
        <w:rPr>
          <w:rFonts w:ascii="Arial" w:hAnsi="Arial" w:cs="Arial"/>
          <w:caps w:val="0"/>
        </w:rPr>
        <w:t xml:space="preserve">authorized Duke to impose switching fees and historical usage fees on </w:t>
      </w:r>
      <w:r w:rsidR="00F9362D">
        <w:rPr>
          <w:rFonts w:ascii="Arial" w:hAnsi="Arial" w:cs="Arial"/>
          <w:caps w:val="0"/>
        </w:rPr>
        <w:t xml:space="preserve">            </w:t>
      </w:r>
      <w:r w:rsidRPr="00905D8A">
        <w:rPr>
          <w:rFonts w:ascii="Arial" w:hAnsi="Arial" w:cs="Arial"/>
          <w:caps w:val="0"/>
        </w:rPr>
        <w:t xml:space="preserve">CRES providers without evidentiary support in violation of R.C. 4909.15 </w:t>
      </w:r>
      <w:r w:rsidR="00F9362D">
        <w:rPr>
          <w:rFonts w:ascii="Arial" w:hAnsi="Arial" w:cs="Arial"/>
          <w:caps w:val="0"/>
        </w:rPr>
        <w:t xml:space="preserve">              </w:t>
      </w:r>
      <w:r w:rsidRPr="00905D8A">
        <w:rPr>
          <w:rFonts w:ascii="Arial" w:hAnsi="Arial" w:cs="Arial"/>
          <w:caps w:val="0"/>
        </w:rPr>
        <w:t>and R.C. 4909.18. The application of these fees to CRES providers is discriminatory in violation of R.C. 4905.35 and 4928.02</w:t>
      </w:r>
      <w:r w:rsidR="002F488F">
        <w:rPr>
          <w:rFonts w:ascii="Arial" w:hAnsi="Arial" w:cs="Arial"/>
          <w:caps w:val="0"/>
        </w:rPr>
        <w:t>.</w:t>
      </w:r>
      <w:r w:rsidR="00DF47F8" w:rsidRPr="00FE7C99">
        <w:rPr>
          <w:rFonts w:ascii="Arial" w:hAnsi="Arial" w:cs="Arial"/>
          <w:caps w:val="0"/>
          <w:webHidden/>
        </w:rPr>
        <w:tab/>
      </w:r>
      <w:r w:rsidR="00A35934">
        <w:rPr>
          <w:rFonts w:ascii="Arial" w:hAnsi="Arial" w:cs="Arial"/>
          <w:caps w:val="0"/>
          <w:webHidden/>
        </w:rPr>
        <w:t>3</w:t>
      </w:r>
      <w:r w:rsidR="00830EEB">
        <w:rPr>
          <w:rFonts w:ascii="Arial" w:hAnsi="Arial" w:cs="Arial"/>
          <w:caps w:val="0"/>
          <w:webHidden/>
        </w:rPr>
        <w:t>6</w:t>
      </w:r>
    </w:p>
    <w:p w14:paraId="63635B12" w14:textId="5FA19BFA" w:rsidR="00402BFB" w:rsidRDefault="00402BFB" w:rsidP="00170C8E">
      <w:pPr>
        <w:pStyle w:val="Level1"/>
        <w:numPr>
          <w:ilvl w:val="1"/>
          <w:numId w:val="11"/>
        </w:numPr>
        <w:tabs>
          <w:tab w:val="clear" w:pos="8630"/>
          <w:tab w:val="right" w:leader="dot" w:pos="8730"/>
        </w:tabs>
        <w:rPr>
          <w:rFonts w:ascii="Arial" w:hAnsi="Arial" w:cs="Arial"/>
          <w:caps w:val="0"/>
          <w:webHidden/>
        </w:rPr>
      </w:pPr>
      <w:r>
        <w:rPr>
          <w:rFonts w:ascii="Arial" w:hAnsi="Arial" w:cs="Arial"/>
          <w:caps w:val="0"/>
        </w:rPr>
        <w:t xml:space="preserve">The Order </w:t>
      </w:r>
      <w:r w:rsidRPr="00402BFB">
        <w:rPr>
          <w:rFonts w:ascii="Arial" w:hAnsi="Arial" w:cs="Arial"/>
          <w:caps w:val="0"/>
        </w:rPr>
        <w:t xml:space="preserve">unlawfully, unjustly, and unreasonably permitted Duke to </w:t>
      </w:r>
      <w:r w:rsidR="00F9362D">
        <w:rPr>
          <w:rFonts w:ascii="Arial" w:hAnsi="Arial" w:cs="Arial"/>
          <w:caps w:val="0"/>
        </w:rPr>
        <w:t xml:space="preserve">     </w:t>
      </w:r>
      <w:r w:rsidRPr="00402BFB">
        <w:rPr>
          <w:rFonts w:ascii="Arial" w:hAnsi="Arial" w:cs="Arial"/>
          <w:caps w:val="0"/>
        </w:rPr>
        <w:t xml:space="preserve">Discriminate against CRES providers in the provision of non-electric </w:t>
      </w:r>
      <w:r w:rsidR="00F9362D">
        <w:rPr>
          <w:rFonts w:ascii="Arial" w:hAnsi="Arial" w:cs="Arial"/>
          <w:caps w:val="0"/>
        </w:rPr>
        <w:t xml:space="preserve">           </w:t>
      </w:r>
      <w:r w:rsidRPr="00402BFB">
        <w:rPr>
          <w:rFonts w:ascii="Arial" w:hAnsi="Arial" w:cs="Arial"/>
          <w:caps w:val="0"/>
        </w:rPr>
        <w:t>services on the utility consolidated billing in violation of R.C. 4905.35(A).</w:t>
      </w:r>
      <w:r w:rsidR="00DF47F8" w:rsidRPr="00DF47F8">
        <w:rPr>
          <w:rFonts w:ascii="Arial" w:hAnsi="Arial" w:cs="Arial"/>
          <w:caps w:val="0"/>
          <w:webHidden/>
        </w:rPr>
        <w:t xml:space="preserve"> </w:t>
      </w:r>
      <w:r w:rsidR="00DF47F8" w:rsidRPr="00FE7C99">
        <w:rPr>
          <w:rFonts w:ascii="Arial" w:hAnsi="Arial" w:cs="Arial"/>
          <w:caps w:val="0"/>
          <w:webHidden/>
        </w:rPr>
        <w:tab/>
      </w:r>
      <w:r w:rsidR="00A35934">
        <w:rPr>
          <w:rFonts w:ascii="Arial" w:hAnsi="Arial" w:cs="Arial"/>
          <w:caps w:val="0"/>
          <w:webHidden/>
        </w:rPr>
        <w:t>3</w:t>
      </w:r>
      <w:r w:rsidR="00830EEB">
        <w:rPr>
          <w:rFonts w:ascii="Arial" w:hAnsi="Arial" w:cs="Arial"/>
          <w:caps w:val="0"/>
          <w:webHidden/>
        </w:rPr>
        <w:t>8</w:t>
      </w:r>
    </w:p>
    <w:p w14:paraId="1D804A3B" w14:textId="639CFE45" w:rsidR="00BD0966" w:rsidRDefault="00BD0966" w:rsidP="00BD0966">
      <w:pPr>
        <w:pStyle w:val="Level1"/>
        <w:numPr>
          <w:ilvl w:val="0"/>
          <w:numId w:val="11"/>
        </w:numPr>
        <w:tabs>
          <w:tab w:val="clear" w:pos="8630"/>
          <w:tab w:val="right" w:leader="dot" w:pos="8730"/>
        </w:tabs>
        <w:rPr>
          <w:rFonts w:ascii="Arial" w:hAnsi="Arial" w:cs="Arial"/>
          <w:caps w:val="0"/>
        </w:rPr>
      </w:pPr>
      <w:r>
        <w:rPr>
          <w:rFonts w:ascii="Arial" w:hAnsi="Arial" w:cs="Arial"/>
          <w:caps w:val="0"/>
          <w:webHidden/>
        </w:rPr>
        <w:t>CONCLUSION</w:t>
      </w:r>
      <w:r w:rsidRPr="00FE7C99">
        <w:rPr>
          <w:rFonts w:ascii="Arial" w:hAnsi="Arial" w:cs="Arial"/>
          <w:caps w:val="0"/>
          <w:webHidden/>
        </w:rPr>
        <w:tab/>
      </w:r>
      <w:r w:rsidR="00830EEB">
        <w:rPr>
          <w:rFonts w:ascii="Arial" w:hAnsi="Arial" w:cs="Arial"/>
          <w:caps w:val="0"/>
          <w:webHidden/>
        </w:rPr>
        <w:t>39</w:t>
      </w:r>
    </w:p>
    <w:p w14:paraId="1B1173A1" w14:textId="09234FED" w:rsidR="000F0512" w:rsidRPr="00D53994" w:rsidRDefault="000F0512" w:rsidP="00402BFB">
      <w:pPr>
        <w:pStyle w:val="Level1"/>
        <w:tabs>
          <w:tab w:val="clear" w:pos="8630"/>
          <w:tab w:val="right" w:leader="dot" w:pos="8730"/>
        </w:tabs>
        <w:spacing w:line="256" w:lineRule="auto"/>
        <w:ind w:left="1440"/>
        <w:contextualSpacing/>
        <w:jc w:val="both"/>
        <w:rPr>
          <w:rFonts w:ascii="Arial" w:hAnsi="Arial" w:cs="Arial"/>
          <w:caps w:val="0"/>
        </w:rPr>
      </w:pPr>
    </w:p>
    <w:p w14:paraId="57C57EC9" w14:textId="77777777" w:rsidR="000F0512" w:rsidRPr="000F0512" w:rsidRDefault="000F0512" w:rsidP="000F0512">
      <w:pPr>
        <w:spacing w:after="0" w:line="256" w:lineRule="auto"/>
        <w:ind w:left="1449"/>
        <w:contextualSpacing/>
        <w:jc w:val="both"/>
        <w:rPr>
          <w:rFonts w:ascii="Arial" w:hAnsi="Arial" w:cs="Arial"/>
          <w:b/>
          <w:sz w:val="20"/>
          <w:szCs w:val="20"/>
        </w:rPr>
      </w:pPr>
    </w:p>
    <w:p w14:paraId="1004496F" w14:textId="27D4A1BB" w:rsidR="000F0512" w:rsidRPr="000F0512" w:rsidRDefault="000F0512" w:rsidP="000F0512">
      <w:pPr>
        <w:pStyle w:val="Level1"/>
        <w:tabs>
          <w:tab w:val="clear" w:pos="8630"/>
          <w:tab w:val="right" w:leader="dot" w:pos="8730"/>
        </w:tabs>
        <w:ind w:left="1440"/>
        <w:rPr>
          <w:rFonts w:ascii="Arial" w:hAnsi="Arial" w:cs="Arial"/>
          <w:webHidden/>
        </w:rPr>
      </w:pPr>
    </w:p>
    <w:p w14:paraId="150758FD" w14:textId="77777777" w:rsidR="004168D0" w:rsidRDefault="004168D0" w:rsidP="004168D0">
      <w:pPr>
        <w:autoSpaceDE w:val="0"/>
        <w:autoSpaceDN w:val="0"/>
        <w:adjustRightInd w:val="0"/>
        <w:spacing w:after="120" w:line="240" w:lineRule="auto"/>
        <w:jc w:val="both"/>
        <w:rPr>
          <w:rFonts w:ascii="Arial" w:hAnsi="Arial" w:cs="Arial"/>
          <w:sz w:val="20"/>
          <w:szCs w:val="20"/>
        </w:rPr>
      </w:pPr>
    </w:p>
    <w:p w14:paraId="177D1DA6" w14:textId="77777777" w:rsidR="004168D0" w:rsidRDefault="004168D0" w:rsidP="004168D0">
      <w:pPr>
        <w:autoSpaceDE w:val="0"/>
        <w:autoSpaceDN w:val="0"/>
        <w:adjustRightInd w:val="0"/>
        <w:spacing w:after="120" w:line="240" w:lineRule="auto"/>
        <w:jc w:val="both"/>
        <w:rPr>
          <w:rFonts w:ascii="Arial" w:hAnsi="Arial" w:cs="Arial"/>
          <w:sz w:val="20"/>
          <w:szCs w:val="20"/>
        </w:rPr>
      </w:pPr>
    </w:p>
    <w:p w14:paraId="7D761FC4" w14:textId="77777777" w:rsidR="004168D0" w:rsidRDefault="004168D0" w:rsidP="004168D0">
      <w:pPr>
        <w:autoSpaceDE w:val="0"/>
        <w:autoSpaceDN w:val="0"/>
        <w:adjustRightInd w:val="0"/>
        <w:spacing w:after="120" w:line="240" w:lineRule="auto"/>
        <w:jc w:val="both"/>
        <w:rPr>
          <w:rFonts w:ascii="Arial" w:hAnsi="Arial" w:cs="Arial"/>
          <w:sz w:val="20"/>
          <w:szCs w:val="20"/>
        </w:rPr>
      </w:pPr>
    </w:p>
    <w:p w14:paraId="1A422CB5" w14:textId="77777777" w:rsidR="004168D0" w:rsidRDefault="004168D0" w:rsidP="004168D0">
      <w:pPr>
        <w:autoSpaceDE w:val="0"/>
        <w:autoSpaceDN w:val="0"/>
        <w:adjustRightInd w:val="0"/>
        <w:spacing w:after="120" w:line="240" w:lineRule="auto"/>
        <w:jc w:val="both"/>
        <w:rPr>
          <w:rFonts w:ascii="Arial" w:hAnsi="Arial" w:cs="Arial"/>
          <w:sz w:val="20"/>
          <w:szCs w:val="20"/>
        </w:rPr>
      </w:pPr>
    </w:p>
    <w:p w14:paraId="303B65FE" w14:textId="77777777" w:rsidR="004168D0" w:rsidRDefault="004168D0" w:rsidP="004168D0">
      <w:pPr>
        <w:autoSpaceDE w:val="0"/>
        <w:autoSpaceDN w:val="0"/>
        <w:adjustRightInd w:val="0"/>
        <w:spacing w:after="120" w:line="240" w:lineRule="auto"/>
        <w:jc w:val="both"/>
        <w:rPr>
          <w:rFonts w:ascii="Arial" w:hAnsi="Arial" w:cs="Arial"/>
          <w:sz w:val="20"/>
          <w:szCs w:val="20"/>
        </w:rPr>
      </w:pPr>
    </w:p>
    <w:p w14:paraId="1C51D24C" w14:textId="77777777" w:rsidR="004168D0" w:rsidRDefault="004168D0" w:rsidP="004168D0">
      <w:pPr>
        <w:autoSpaceDE w:val="0"/>
        <w:autoSpaceDN w:val="0"/>
        <w:adjustRightInd w:val="0"/>
        <w:spacing w:after="120" w:line="240" w:lineRule="auto"/>
        <w:jc w:val="both"/>
        <w:rPr>
          <w:rFonts w:ascii="Arial" w:hAnsi="Arial" w:cs="Arial"/>
          <w:sz w:val="20"/>
          <w:szCs w:val="20"/>
        </w:rPr>
      </w:pPr>
    </w:p>
    <w:p w14:paraId="5D4523D4" w14:textId="77777777" w:rsidR="004168D0" w:rsidRDefault="004168D0" w:rsidP="004168D0">
      <w:pPr>
        <w:autoSpaceDE w:val="0"/>
        <w:autoSpaceDN w:val="0"/>
        <w:adjustRightInd w:val="0"/>
        <w:spacing w:after="120" w:line="240" w:lineRule="auto"/>
        <w:jc w:val="both"/>
        <w:rPr>
          <w:rFonts w:ascii="Arial" w:hAnsi="Arial" w:cs="Arial"/>
          <w:sz w:val="20"/>
          <w:szCs w:val="20"/>
        </w:rPr>
      </w:pPr>
    </w:p>
    <w:p w14:paraId="7F802700" w14:textId="77777777" w:rsidR="004168D0" w:rsidRDefault="004168D0" w:rsidP="004168D0">
      <w:pPr>
        <w:autoSpaceDE w:val="0"/>
        <w:autoSpaceDN w:val="0"/>
        <w:adjustRightInd w:val="0"/>
        <w:spacing w:after="120" w:line="240" w:lineRule="auto"/>
        <w:jc w:val="both"/>
        <w:rPr>
          <w:rFonts w:ascii="Arial" w:hAnsi="Arial" w:cs="Arial"/>
          <w:sz w:val="20"/>
          <w:szCs w:val="20"/>
        </w:rPr>
      </w:pPr>
    </w:p>
    <w:p w14:paraId="2C8DCEC7" w14:textId="77777777" w:rsidR="004168D0" w:rsidRDefault="004168D0" w:rsidP="004168D0">
      <w:pPr>
        <w:autoSpaceDE w:val="0"/>
        <w:autoSpaceDN w:val="0"/>
        <w:adjustRightInd w:val="0"/>
        <w:spacing w:after="120" w:line="240" w:lineRule="auto"/>
        <w:jc w:val="both"/>
        <w:rPr>
          <w:rFonts w:ascii="Arial" w:hAnsi="Arial" w:cs="Arial"/>
          <w:sz w:val="20"/>
          <w:szCs w:val="20"/>
        </w:rPr>
      </w:pPr>
    </w:p>
    <w:p w14:paraId="2DEE9F5E" w14:textId="77777777" w:rsidR="004168D0" w:rsidRDefault="004168D0" w:rsidP="004168D0">
      <w:pPr>
        <w:autoSpaceDE w:val="0"/>
        <w:autoSpaceDN w:val="0"/>
        <w:adjustRightInd w:val="0"/>
        <w:spacing w:after="120" w:line="240" w:lineRule="auto"/>
        <w:jc w:val="both"/>
        <w:rPr>
          <w:rFonts w:ascii="Arial" w:hAnsi="Arial" w:cs="Arial"/>
          <w:sz w:val="20"/>
          <w:szCs w:val="20"/>
        </w:rPr>
      </w:pPr>
    </w:p>
    <w:p w14:paraId="50E59D90" w14:textId="77777777" w:rsidR="004168D0" w:rsidRDefault="004168D0" w:rsidP="004168D0">
      <w:pPr>
        <w:autoSpaceDE w:val="0"/>
        <w:autoSpaceDN w:val="0"/>
        <w:adjustRightInd w:val="0"/>
        <w:spacing w:after="120" w:line="240" w:lineRule="auto"/>
        <w:jc w:val="both"/>
        <w:rPr>
          <w:rFonts w:ascii="Arial" w:hAnsi="Arial" w:cs="Arial"/>
          <w:sz w:val="20"/>
          <w:szCs w:val="20"/>
        </w:rPr>
      </w:pPr>
    </w:p>
    <w:p w14:paraId="40FCCF1D" w14:textId="77777777" w:rsidR="004168D0" w:rsidRDefault="004168D0" w:rsidP="004168D0">
      <w:pPr>
        <w:autoSpaceDE w:val="0"/>
        <w:autoSpaceDN w:val="0"/>
        <w:adjustRightInd w:val="0"/>
        <w:spacing w:after="120" w:line="240" w:lineRule="auto"/>
        <w:jc w:val="both"/>
        <w:rPr>
          <w:rFonts w:ascii="Arial" w:hAnsi="Arial" w:cs="Arial"/>
          <w:sz w:val="20"/>
          <w:szCs w:val="20"/>
        </w:rPr>
      </w:pPr>
    </w:p>
    <w:p w14:paraId="19C1A96E" w14:textId="77777777" w:rsidR="004168D0" w:rsidRDefault="004168D0" w:rsidP="004168D0">
      <w:pPr>
        <w:autoSpaceDE w:val="0"/>
        <w:autoSpaceDN w:val="0"/>
        <w:adjustRightInd w:val="0"/>
        <w:spacing w:after="120" w:line="240" w:lineRule="auto"/>
        <w:jc w:val="both"/>
        <w:rPr>
          <w:rFonts w:ascii="Arial" w:hAnsi="Arial" w:cs="Arial"/>
          <w:sz w:val="20"/>
          <w:szCs w:val="20"/>
        </w:rPr>
      </w:pPr>
    </w:p>
    <w:p w14:paraId="14BAD065" w14:textId="77777777" w:rsidR="004168D0" w:rsidRDefault="004168D0" w:rsidP="004168D0">
      <w:pPr>
        <w:autoSpaceDE w:val="0"/>
        <w:autoSpaceDN w:val="0"/>
        <w:adjustRightInd w:val="0"/>
        <w:spacing w:after="120" w:line="240" w:lineRule="auto"/>
        <w:jc w:val="both"/>
        <w:rPr>
          <w:rFonts w:ascii="Arial" w:hAnsi="Arial" w:cs="Arial"/>
          <w:sz w:val="20"/>
          <w:szCs w:val="20"/>
        </w:rPr>
      </w:pPr>
    </w:p>
    <w:p w14:paraId="7A6A77AF" w14:textId="77777777" w:rsidR="004168D0" w:rsidRDefault="004168D0" w:rsidP="004168D0">
      <w:pPr>
        <w:autoSpaceDE w:val="0"/>
        <w:autoSpaceDN w:val="0"/>
        <w:adjustRightInd w:val="0"/>
        <w:spacing w:after="120" w:line="240" w:lineRule="auto"/>
        <w:jc w:val="both"/>
        <w:rPr>
          <w:rFonts w:ascii="Arial" w:hAnsi="Arial" w:cs="Arial"/>
          <w:sz w:val="20"/>
          <w:szCs w:val="20"/>
        </w:rPr>
      </w:pPr>
    </w:p>
    <w:p w14:paraId="66D89605" w14:textId="77777777" w:rsidR="00086994" w:rsidRPr="003151DD" w:rsidRDefault="00086994" w:rsidP="00086994">
      <w:pPr>
        <w:spacing w:after="0" w:line="240" w:lineRule="auto"/>
        <w:jc w:val="center"/>
        <w:rPr>
          <w:rFonts w:ascii="Arial" w:eastAsia="Times New Roman" w:hAnsi="Arial" w:cs="Arial"/>
          <w:b/>
        </w:rPr>
      </w:pPr>
      <w:r w:rsidRPr="003151DD">
        <w:rPr>
          <w:rFonts w:ascii="Arial" w:eastAsia="Times New Roman" w:hAnsi="Arial" w:cs="Arial"/>
          <w:b/>
        </w:rPr>
        <w:lastRenderedPageBreak/>
        <w:t>BEFORE</w:t>
      </w:r>
    </w:p>
    <w:p w14:paraId="1E003B79" w14:textId="77777777" w:rsidR="00086994" w:rsidRPr="00086994" w:rsidRDefault="00086994" w:rsidP="0008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ourier New" w:hAnsi="Arial" w:cs="Arial"/>
          <w:b/>
          <w:bCs/>
          <w:sz w:val="24"/>
          <w:szCs w:val="24"/>
        </w:rPr>
      </w:pPr>
      <w:r w:rsidRPr="00FE7C99">
        <w:rPr>
          <w:rFonts w:ascii="Arial" w:eastAsia="Arial" w:hAnsi="Arial" w:cs="Arial"/>
          <w:b/>
          <w:sz w:val="24"/>
          <w:szCs w:val="24"/>
        </w:rPr>
        <w:t>THE PUBLIC UTILITIES COMMISSION OF OHIO</w:t>
      </w:r>
    </w:p>
    <w:tbl>
      <w:tblPr>
        <w:tblW w:w="9044" w:type="dxa"/>
        <w:jc w:val="center"/>
        <w:tblLook w:val="01E0" w:firstRow="1" w:lastRow="1" w:firstColumn="1" w:lastColumn="1" w:noHBand="0" w:noVBand="0"/>
      </w:tblPr>
      <w:tblGrid>
        <w:gridCol w:w="4532"/>
        <w:gridCol w:w="796"/>
        <w:gridCol w:w="3716"/>
      </w:tblGrid>
      <w:tr w:rsidR="00086994" w:rsidRPr="00086994" w14:paraId="51AC48CE" w14:textId="77777777" w:rsidTr="007D179F">
        <w:trPr>
          <w:trHeight w:val="873"/>
          <w:jc w:val="center"/>
        </w:trPr>
        <w:tc>
          <w:tcPr>
            <w:tcW w:w="4532" w:type="dxa"/>
          </w:tcPr>
          <w:p w14:paraId="78B808AC" w14:textId="77777777" w:rsidR="00086994" w:rsidRPr="00086994" w:rsidRDefault="00086994" w:rsidP="007D179F">
            <w:pPr>
              <w:spacing w:after="0" w:line="240" w:lineRule="auto"/>
              <w:rPr>
                <w:rFonts w:ascii="Arial" w:eastAsia="Times New Roman" w:hAnsi="Arial" w:cs="Arial"/>
                <w:sz w:val="24"/>
                <w:szCs w:val="24"/>
              </w:rPr>
            </w:pPr>
            <w:r w:rsidRPr="00086994">
              <w:rPr>
                <w:rFonts w:ascii="Arial" w:eastAsia="Times New Roman" w:hAnsi="Arial" w:cs="Arial"/>
                <w:sz w:val="24"/>
                <w:szCs w:val="24"/>
              </w:rPr>
              <w:t xml:space="preserve">In the Matter of the Application of Duke Energy Ohio, Inc. for an Increase in Electric Distribution Rates. </w:t>
            </w:r>
          </w:p>
          <w:p w14:paraId="4731A219" w14:textId="77777777" w:rsidR="00086994" w:rsidRPr="00086994" w:rsidRDefault="00086994" w:rsidP="007D179F">
            <w:pPr>
              <w:spacing w:after="0" w:line="240" w:lineRule="auto"/>
              <w:rPr>
                <w:rFonts w:ascii="Arial" w:eastAsia="Times New Roman" w:hAnsi="Arial" w:cs="Arial"/>
                <w:sz w:val="24"/>
                <w:szCs w:val="24"/>
              </w:rPr>
            </w:pPr>
          </w:p>
          <w:p w14:paraId="56247D69" w14:textId="77777777" w:rsidR="00086994" w:rsidRPr="00086994" w:rsidRDefault="00086994" w:rsidP="007D179F">
            <w:pPr>
              <w:autoSpaceDE w:val="0"/>
              <w:autoSpaceDN w:val="0"/>
              <w:adjustRightInd w:val="0"/>
              <w:spacing w:after="0" w:line="240" w:lineRule="auto"/>
              <w:rPr>
                <w:rFonts w:ascii="Arial" w:eastAsia="Times New Roman" w:hAnsi="Arial" w:cs="Arial"/>
                <w:sz w:val="24"/>
                <w:szCs w:val="24"/>
              </w:rPr>
            </w:pPr>
            <w:r w:rsidRPr="00086994">
              <w:rPr>
                <w:rFonts w:ascii="Arial" w:eastAsia="Times New Roman" w:hAnsi="Arial" w:cs="Arial"/>
                <w:sz w:val="24"/>
                <w:szCs w:val="24"/>
              </w:rPr>
              <w:t>In the Matter of the Application of Duke Energy Ohio, Inc. for Tariff Approval.</w:t>
            </w:r>
          </w:p>
          <w:p w14:paraId="50EC074D" w14:textId="77777777" w:rsidR="00086994" w:rsidRPr="00086994" w:rsidRDefault="00086994" w:rsidP="007D179F">
            <w:pPr>
              <w:autoSpaceDE w:val="0"/>
              <w:autoSpaceDN w:val="0"/>
              <w:adjustRightInd w:val="0"/>
              <w:spacing w:after="0" w:line="240" w:lineRule="auto"/>
              <w:rPr>
                <w:rFonts w:ascii="Arial" w:eastAsia="Times New Roman" w:hAnsi="Arial" w:cs="Arial"/>
                <w:sz w:val="24"/>
                <w:szCs w:val="24"/>
              </w:rPr>
            </w:pPr>
          </w:p>
          <w:p w14:paraId="09E0ECDE" w14:textId="77777777" w:rsidR="00086994" w:rsidRPr="00086994" w:rsidRDefault="00086994" w:rsidP="007D179F">
            <w:pPr>
              <w:autoSpaceDE w:val="0"/>
              <w:autoSpaceDN w:val="0"/>
              <w:adjustRightInd w:val="0"/>
              <w:spacing w:after="0" w:line="240" w:lineRule="auto"/>
              <w:rPr>
                <w:rFonts w:ascii="Arial" w:eastAsia="Times New Roman" w:hAnsi="Arial" w:cs="Arial"/>
                <w:sz w:val="24"/>
                <w:szCs w:val="24"/>
              </w:rPr>
            </w:pPr>
            <w:r w:rsidRPr="00086994">
              <w:rPr>
                <w:rFonts w:ascii="Arial" w:eastAsia="Times New Roman" w:hAnsi="Arial" w:cs="Arial"/>
                <w:sz w:val="24"/>
                <w:szCs w:val="24"/>
              </w:rPr>
              <w:t xml:space="preserve">In the Matter of the Application of Duke Energy Ohio, Inc. for Approval to Change Accounting Methods. </w:t>
            </w:r>
          </w:p>
        </w:tc>
        <w:tc>
          <w:tcPr>
            <w:tcW w:w="796" w:type="dxa"/>
          </w:tcPr>
          <w:p w14:paraId="14EBB69A"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31C8DD08"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01D44065"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46B716EB"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78F70000"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36C7ED8C"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2EF0DCEA"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6957DAAA"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6A6CADE8"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66588AAD"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tc>
        <w:tc>
          <w:tcPr>
            <w:tcW w:w="3716" w:type="dxa"/>
          </w:tcPr>
          <w:p w14:paraId="6DCCF02D" w14:textId="77777777" w:rsidR="00086994" w:rsidRPr="00086994" w:rsidRDefault="00086994" w:rsidP="007D179F">
            <w:pPr>
              <w:widowControl w:val="0"/>
              <w:spacing w:after="0" w:line="240" w:lineRule="auto"/>
              <w:rPr>
                <w:rFonts w:ascii="Arial" w:eastAsia="Times New Roman" w:hAnsi="Arial" w:cs="Arial"/>
                <w:sz w:val="24"/>
                <w:szCs w:val="24"/>
              </w:rPr>
            </w:pPr>
          </w:p>
          <w:p w14:paraId="6A26ECAD"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17-32-EL-AIR</w:t>
            </w:r>
          </w:p>
          <w:p w14:paraId="72528C46" w14:textId="77777777" w:rsidR="00086994" w:rsidRPr="00086994" w:rsidRDefault="00086994" w:rsidP="007D179F">
            <w:pPr>
              <w:widowControl w:val="0"/>
              <w:spacing w:after="0" w:line="240" w:lineRule="auto"/>
              <w:rPr>
                <w:rFonts w:ascii="Arial" w:eastAsia="Times New Roman" w:hAnsi="Arial" w:cs="Arial"/>
                <w:sz w:val="24"/>
                <w:szCs w:val="24"/>
              </w:rPr>
            </w:pPr>
          </w:p>
          <w:p w14:paraId="63DC5B0E" w14:textId="77777777" w:rsidR="00086994" w:rsidRPr="00086994" w:rsidRDefault="00086994" w:rsidP="007D179F">
            <w:pPr>
              <w:widowControl w:val="0"/>
              <w:spacing w:after="0" w:line="240" w:lineRule="auto"/>
              <w:rPr>
                <w:rFonts w:ascii="Arial" w:eastAsia="Times New Roman" w:hAnsi="Arial" w:cs="Arial"/>
                <w:sz w:val="24"/>
                <w:szCs w:val="24"/>
              </w:rPr>
            </w:pPr>
          </w:p>
          <w:p w14:paraId="179E0B38"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17-33-EL-ATA</w:t>
            </w:r>
          </w:p>
          <w:p w14:paraId="252122BC" w14:textId="77777777" w:rsidR="00086994" w:rsidRPr="00086994" w:rsidRDefault="00086994" w:rsidP="007D179F">
            <w:pPr>
              <w:widowControl w:val="0"/>
              <w:spacing w:after="0" w:line="240" w:lineRule="auto"/>
              <w:rPr>
                <w:rFonts w:ascii="Arial" w:eastAsia="Times New Roman" w:hAnsi="Arial" w:cs="Arial"/>
                <w:sz w:val="24"/>
                <w:szCs w:val="24"/>
              </w:rPr>
            </w:pPr>
          </w:p>
          <w:p w14:paraId="033E5367" w14:textId="77777777" w:rsidR="00086994" w:rsidRPr="00086994" w:rsidRDefault="00086994" w:rsidP="007D179F">
            <w:pPr>
              <w:widowControl w:val="0"/>
              <w:spacing w:after="0" w:line="240" w:lineRule="auto"/>
              <w:rPr>
                <w:rFonts w:ascii="Arial" w:eastAsia="Times New Roman" w:hAnsi="Arial" w:cs="Arial"/>
                <w:sz w:val="24"/>
                <w:szCs w:val="24"/>
              </w:rPr>
            </w:pPr>
          </w:p>
          <w:p w14:paraId="09124660" w14:textId="77777777" w:rsidR="00086994" w:rsidRPr="00086994" w:rsidRDefault="00086994" w:rsidP="007D179F">
            <w:pPr>
              <w:widowControl w:val="0"/>
              <w:spacing w:after="0" w:line="240" w:lineRule="auto"/>
              <w:rPr>
                <w:rFonts w:ascii="Arial" w:eastAsia="Times New Roman" w:hAnsi="Arial" w:cs="Arial"/>
                <w:sz w:val="24"/>
                <w:szCs w:val="24"/>
              </w:rPr>
            </w:pPr>
          </w:p>
          <w:p w14:paraId="1D228DF2"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17-34-EL-AAM</w:t>
            </w:r>
          </w:p>
        </w:tc>
      </w:tr>
      <w:tr w:rsidR="00086994" w:rsidRPr="00086994" w14:paraId="1D922BBE" w14:textId="77777777" w:rsidTr="007D179F">
        <w:trPr>
          <w:trHeight w:val="873"/>
          <w:jc w:val="center"/>
        </w:trPr>
        <w:tc>
          <w:tcPr>
            <w:tcW w:w="4532" w:type="dxa"/>
          </w:tcPr>
          <w:p w14:paraId="5971F7DD" w14:textId="77777777" w:rsidR="00086994" w:rsidRPr="00086994" w:rsidRDefault="00086994" w:rsidP="007D179F">
            <w:pPr>
              <w:spacing w:after="0" w:line="240" w:lineRule="auto"/>
              <w:rPr>
                <w:rFonts w:ascii="Arial" w:eastAsia="Times New Roman" w:hAnsi="Arial" w:cs="Arial"/>
                <w:sz w:val="24"/>
                <w:szCs w:val="24"/>
              </w:rPr>
            </w:pPr>
          </w:p>
          <w:p w14:paraId="043EC689" w14:textId="77777777" w:rsidR="00086994" w:rsidRPr="00086994" w:rsidRDefault="00086994" w:rsidP="007D179F">
            <w:pPr>
              <w:spacing w:after="0" w:line="240" w:lineRule="auto"/>
              <w:rPr>
                <w:rFonts w:ascii="Arial" w:eastAsia="Times New Roman" w:hAnsi="Arial" w:cs="Arial"/>
                <w:sz w:val="24"/>
                <w:szCs w:val="24"/>
              </w:rPr>
            </w:pPr>
            <w:r w:rsidRPr="00086994">
              <w:rPr>
                <w:rFonts w:ascii="Arial" w:eastAsia="Times New Roman" w:hAnsi="Arial" w:cs="Arial"/>
                <w:sz w:val="24"/>
                <w:szCs w:val="24"/>
              </w:rPr>
              <w:t>In the Matter of the Application of Duke Energy Ohio, Inc., for Approval to Modify Rider PSR.</w:t>
            </w:r>
          </w:p>
          <w:p w14:paraId="775322CC" w14:textId="77777777" w:rsidR="00086994" w:rsidRPr="00086994" w:rsidRDefault="00086994" w:rsidP="007D179F">
            <w:pPr>
              <w:spacing w:after="0" w:line="240" w:lineRule="auto"/>
              <w:rPr>
                <w:rFonts w:ascii="Arial" w:eastAsia="Times New Roman" w:hAnsi="Arial" w:cs="Arial"/>
                <w:sz w:val="24"/>
                <w:szCs w:val="24"/>
              </w:rPr>
            </w:pPr>
          </w:p>
          <w:p w14:paraId="4B6AF2AE" w14:textId="77777777" w:rsidR="00086994" w:rsidRPr="00086994" w:rsidRDefault="00086994" w:rsidP="007D179F">
            <w:pPr>
              <w:spacing w:after="0" w:line="240" w:lineRule="auto"/>
              <w:rPr>
                <w:rFonts w:ascii="Arial" w:eastAsia="Times New Roman" w:hAnsi="Arial" w:cs="Arial"/>
                <w:sz w:val="24"/>
                <w:szCs w:val="24"/>
              </w:rPr>
            </w:pPr>
            <w:r w:rsidRPr="00086994">
              <w:rPr>
                <w:rFonts w:ascii="Arial" w:eastAsia="Times New Roman" w:hAnsi="Arial" w:cs="Arial"/>
                <w:sz w:val="24"/>
                <w:szCs w:val="24"/>
              </w:rPr>
              <w:t>In the Matter of the Application of Duke Energy Ohio, Inc., for Approval to Amend Rider PSR.</w:t>
            </w:r>
          </w:p>
          <w:p w14:paraId="60ECDFBD" w14:textId="77777777" w:rsidR="00086994" w:rsidRPr="00086994" w:rsidRDefault="00086994" w:rsidP="007D179F">
            <w:pPr>
              <w:spacing w:after="0" w:line="240" w:lineRule="auto"/>
              <w:rPr>
                <w:rFonts w:ascii="Arial" w:eastAsia="Times New Roman" w:hAnsi="Arial" w:cs="Arial"/>
                <w:sz w:val="24"/>
                <w:szCs w:val="24"/>
              </w:rPr>
            </w:pPr>
          </w:p>
          <w:p w14:paraId="7A505064" w14:textId="77777777" w:rsidR="00086994" w:rsidRPr="00086994" w:rsidRDefault="00086994" w:rsidP="007D179F">
            <w:pPr>
              <w:spacing w:after="0" w:line="240" w:lineRule="auto"/>
              <w:rPr>
                <w:rFonts w:ascii="Arial" w:eastAsia="Times New Roman" w:hAnsi="Arial" w:cs="Arial"/>
                <w:sz w:val="24"/>
                <w:szCs w:val="24"/>
              </w:rPr>
            </w:pPr>
            <w:r w:rsidRPr="00086994">
              <w:rPr>
                <w:rFonts w:ascii="Arial" w:eastAsia="Times New Roman" w:hAnsi="Arial" w:cs="Arial"/>
                <w:sz w:val="24"/>
                <w:szCs w:val="24"/>
              </w:rPr>
              <w:t>In the Matter of the Application of Duke Energy Ohio Inc., for Approval to Change Accounting Methods.</w:t>
            </w:r>
          </w:p>
          <w:p w14:paraId="7628FA65" w14:textId="77777777" w:rsidR="00086994" w:rsidRPr="00086994" w:rsidRDefault="00086994" w:rsidP="007D179F">
            <w:pPr>
              <w:spacing w:after="0" w:line="240" w:lineRule="auto"/>
              <w:rPr>
                <w:rFonts w:ascii="Arial" w:eastAsia="Times New Roman" w:hAnsi="Arial" w:cs="Arial"/>
                <w:sz w:val="24"/>
                <w:szCs w:val="24"/>
              </w:rPr>
            </w:pPr>
          </w:p>
          <w:p w14:paraId="1D1AEE74" w14:textId="77777777" w:rsidR="00086994" w:rsidRPr="00086994" w:rsidRDefault="00086994" w:rsidP="007D179F">
            <w:pPr>
              <w:spacing w:after="0" w:line="240" w:lineRule="auto"/>
              <w:rPr>
                <w:rFonts w:ascii="Arial" w:eastAsia="Times New Roman" w:hAnsi="Arial" w:cs="Arial"/>
                <w:sz w:val="24"/>
                <w:szCs w:val="24"/>
              </w:rPr>
            </w:pPr>
            <w:r w:rsidRPr="00086994">
              <w:rPr>
                <w:rFonts w:ascii="Arial" w:eastAsia="Times New Roman" w:hAnsi="Arial" w:cs="Arial"/>
                <w:sz w:val="24"/>
                <w:szCs w:val="24"/>
              </w:rPr>
              <w:t>In the Matter of the Application of Duke Energy Ohio Inc., for Authority to Establish a Standard Service Offer Pursuant to Section 4928.143, Revised Code, in the Form of an Electric Security Plan, Accounting Modifications and Tariffs for Generation Service.</w:t>
            </w:r>
          </w:p>
          <w:p w14:paraId="2D3A9210" w14:textId="77777777" w:rsidR="00086994" w:rsidRPr="00086994" w:rsidRDefault="00086994" w:rsidP="007D179F">
            <w:pPr>
              <w:spacing w:after="0" w:line="240" w:lineRule="auto"/>
              <w:rPr>
                <w:rFonts w:ascii="Arial" w:eastAsia="Times New Roman" w:hAnsi="Arial" w:cs="Arial"/>
                <w:sz w:val="24"/>
                <w:szCs w:val="24"/>
              </w:rPr>
            </w:pPr>
          </w:p>
          <w:p w14:paraId="3B0232F3" w14:textId="77777777" w:rsidR="00086994" w:rsidRPr="00086994" w:rsidRDefault="00086994" w:rsidP="007D179F">
            <w:pPr>
              <w:spacing w:after="0" w:line="240" w:lineRule="auto"/>
              <w:rPr>
                <w:rFonts w:ascii="Arial" w:eastAsia="Times New Roman" w:hAnsi="Arial" w:cs="Arial"/>
                <w:sz w:val="24"/>
                <w:szCs w:val="24"/>
              </w:rPr>
            </w:pPr>
            <w:r w:rsidRPr="00086994">
              <w:rPr>
                <w:rFonts w:ascii="Arial" w:eastAsia="Times New Roman" w:hAnsi="Arial" w:cs="Arial"/>
                <w:sz w:val="24"/>
                <w:szCs w:val="24"/>
              </w:rPr>
              <w:t>In the Matter of the Application of Duke Energy Ohio, Inc., for Authority to Amend its Certified Supplier Tariff, P.U.C.O. No. 20.</w:t>
            </w:r>
          </w:p>
          <w:p w14:paraId="5E696486" w14:textId="77777777" w:rsidR="00086994" w:rsidRPr="00086994" w:rsidRDefault="00086994" w:rsidP="007D179F">
            <w:pPr>
              <w:spacing w:after="0" w:line="240" w:lineRule="auto"/>
              <w:rPr>
                <w:rFonts w:ascii="Arial" w:eastAsia="Times New Roman" w:hAnsi="Arial" w:cs="Arial"/>
                <w:sz w:val="24"/>
                <w:szCs w:val="24"/>
              </w:rPr>
            </w:pPr>
          </w:p>
          <w:p w14:paraId="0C425721" w14:textId="77777777" w:rsidR="00086994" w:rsidRPr="00086994" w:rsidRDefault="00086994" w:rsidP="007D179F">
            <w:pPr>
              <w:spacing w:after="0" w:line="240" w:lineRule="auto"/>
              <w:rPr>
                <w:rFonts w:ascii="Arial" w:eastAsia="Times New Roman" w:hAnsi="Arial" w:cs="Arial"/>
                <w:sz w:val="24"/>
                <w:szCs w:val="24"/>
              </w:rPr>
            </w:pPr>
            <w:r w:rsidRPr="00086994">
              <w:rPr>
                <w:rFonts w:ascii="Arial" w:eastAsia="Times New Roman" w:hAnsi="Arial" w:cs="Arial"/>
                <w:sz w:val="24"/>
                <w:szCs w:val="24"/>
              </w:rPr>
              <w:t>In the Matter of the Application of Duke Energy Ohio, Inc. for Authority to Defer Vegetation Management Costs.</w:t>
            </w:r>
          </w:p>
          <w:p w14:paraId="6815366C" w14:textId="77777777" w:rsidR="00086994" w:rsidRPr="00086994" w:rsidRDefault="00086994" w:rsidP="007D179F">
            <w:pPr>
              <w:spacing w:after="0" w:line="240" w:lineRule="auto"/>
              <w:rPr>
                <w:rFonts w:ascii="Arial" w:eastAsia="Times New Roman" w:hAnsi="Arial" w:cs="Arial"/>
                <w:sz w:val="24"/>
                <w:szCs w:val="24"/>
              </w:rPr>
            </w:pPr>
          </w:p>
          <w:p w14:paraId="10D5B83C" w14:textId="77777777" w:rsidR="00086994" w:rsidRPr="00086994" w:rsidRDefault="00086994" w:rsidP="007D179F">
            <w:pPr>
              <w:spacing w:after="0" w:line="240" w:lineRule="auto"/>
              <w:rPr>
                <w:rFonts w:ascii="Arial" w:eastAsia="Times New Roman" w:hAnsi="Arial" w:cs="Arial"/>
                <w:sz w:val="24"/>
                <w:szCs w:val="24"/>
              </w:rPr>
            </w:pPr>
            <w:r w:rsidRPr="00086994">
              <w:rPr>
                <w:rFonts w:ascii="Arial" w:eastAsia="Times New Roman" w:hAnsi="Arial" w:cs="Arial"/>
                <w:sz w:val="24"/>
                <w:szCs w:val="24"/>
              </w:rPr>
              <w:t>In the Matter of the Application of Duke Energy Ohio, Inc., to Establish Minimum Reliability Performance Standards Pursuant to Chapter 4901:1-10, Ohio Admin. Code.</w:t>
            </w:r>
          </w:p>
        </w:tc>
        <w:tc>
          <w:tcPr>
            <w:tcW w:w="796" w:type="dxa"/>
          </w:tcPr>
          <w:p w14:paraId="720997F5"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75177AC0"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20CD158F"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76C0C186"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5BCD22D2"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67BDB6EA"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741F2D09"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6B0FA00A"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517B7D84"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098B21B9"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399977D8"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4F9777CE"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00DBE79E"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0F513A58"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3A380050"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1170C0D7"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2DA2A3B7"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536F7261"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7583D757"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5DE91838"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525300AC"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554DA8A4"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1F4B7379"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2C999EE8"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1C71FBBB"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5BD2F96B"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47B75876"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5FC9717F"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4E13EBAE"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6D45442E"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15558DFA"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0E346DA4"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0C5EDA70"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2DEEB475"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tc>
        <w:tc>
          <w:tcPr>
            <w:tcW w:w="3716" w:type="dxa"/>
          </w:tcPr>
          <w:p w14:paraId="398DC811" w14:textId="77777777" w:rsidR="00086994" w:rsidRPr="00086994" w:rsidRDefault="00086994" w:rsidP="007D179F">
            <w:pPr>
              <w:widowControl w:val="0"/>
              <w:spacing w:after="0" w:line="240" w:lineRule="auto"/>
              <w:rPr>
                <w:rFonts w:ascii="Arial" w:eastAsia="Times New Roman" w:hAnsi="Arial" w:cs="Arial"/>
                <w:sz w:val="24"/>
                <w:szCs w:val="24"/>
              </w:rPr>
            </w:pPr>
          </w:p>
          <w:p w14:paraId="0F410CAB" w14:textId="77777777" w:rsidR="00086994" w:rsidRPr="00086994" w:rsidRDefault="00086994" w:rsidP="007D179F">
            <w:pPr>
              <w:widowControl w:val="0"/>
              <w:spacing w:after="0" w:line="240" w:lineRule="auto"/>
              <w:rPr>
                <w:rFonts w:ascii="Arial" w:eastAsia="Times New Roman" w:hAnsi="Arial" w:cs="Arial"/>
                <w:sz w:val="24"/>
                <w:szCs w:val="24"/>
              </w:rPr>
            </w:pPr>
          </w:p>
          <w:p w14:paraId="4D8FC374"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17-872-EL-RDR</w:t>
            </w:r>
          </w:p>
          <w:p w14:paraId="1F4A0FFC" w14:textId="77777777" w:rsidR="00086994" w:rsidRPr="00086994" w:rsidRDefault="00086994" w:rsidP="007D179F">
            <w:pPr>
              <w:widowControl w:val="0"/>
              <w:spacing w:after="0" w:line="240" w:lineRule="auto"/>
              <w:rPr>
                <w:rFonts w:ascii="Arial" w:eastAsia="Times New Roman" w:hAnsi="Arial" w:cs="Arial"/>
                <w:sz w:val="24"/>
                <w:szCs w:val="24"/>
              </w:rPr>
            </w:pPr>
          </w:p>
          <w:p w14:paraId="7753FE07" w14:textId="77777777" w:rsidR="00086994" w:rsidRPr="00086994" w:rsidRDefault="00086994" w:rsidP="007D179F">
            <w:pPr>
              <w:widowControl w:val="0"/>
              <w:spacing w:after="0" w:line="240" w:lineRule="auto"/>
              <w:rPr>
                <w:rFonts w:ascii="Arial" w:eastAsia="Times New Roman" w:hAnsi="Arial" w:cs="Arial"/>
                <w:sz w:val="24"/>
                <w:szCs w:val="24"/>
              </w:rPr>
            </w:pPr>
          </w:p>
          <w:p w14:paraId="6C453752" w14:textId="77777777" w:rsidR="00086994" w:rsidRPr="00086994" w:rsidRDefault="00086994" w:rsidP="007D179F">
            <w:pPr>
              <w:widowControl w:val="0"/>
              <w:spacing w:after="0" w:line="240" w:lineRule="auto"/>
              <w:rPr>
                <w:rFonts w:ascii="Arial" w:eastAsia="Times New Roman" w:hAnsi="Arial" w:cs="Arial"/>
                <w:sz w:val="24"/>
                <w:szCs w:val="24"/>
              </w:rPr>
            </w:pPr>
          </w:p>
          <w:p w14:paraId="36682A78"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17-873-EL-ATA</w:t>
            </w:r>
          </w:p>
          <w:p w14:paraId="553203CD" w14:textId="77777777" w:rsidR="00086994" w:rsidRPr="00086994" w:rsidRDefault="00086994" w:rsidP="007D179F">
            <w:pPr>
              <w:widowControl w:val="0"/>
              <w:spacing w:after="0" w:line="240" w:lineRule="auto"/>
              <w:rPr>
                <w:rFonts w:ascii="Arial" w:eastAsia="Times New Roman" w:hAnsi="Arial" w:cs="Arial"/>
                <w:sz w:val="24"/>
                <w:szCs w:val="24"/>
              </w:rPr>
            </w:pPr>
          </w:p>
          <w:p w14:paraId="7AC8B0E0" w14:textId="77777777" w:rsidR="00086994" w:rsidRPr="00086994" w:rsidRDefault="00086994" w:rsidP="007D179F">
            <w:pPr>
              <w:widowControl w:val="0"/>
              <w:spacing w:after="0" w:line="240" w:lineRule="auto"/>
              <w:rPr>
                <w:rFonts w:ascii="Arial" w:eastAsia="Times New Roman" w:hAnsi="Arial" w:cs="Arial"/>
                <w:sz w:val="24"/>
                <w:szCs w:val="24"/>
              </w:rPr>
            </w:pPr>
          </w:p>
          <w:p w14:paraId="003686AD" w14:textId="77777777" w:rsidR="00086994" w:rsidRPr="00086994" w:rsidRDefault="00086994" w:rsidP="007D179F">
            <w:pPr>
              <w:widowControl w:val="0"/>
              <w:spacing w:after="0" w:line="240" w:lineRule="auto"/>
              <w:rPr>
                <w:rFonts w:ascii="Arial" w:eastAsia="Times New Roman" w:hAnsi="Arial" w:cs="Arial"/>
                <w:sz w:val="24"/>
                <w:szCs w:val="24"/>
              </w:rPr>
            </w:pPr>
          </w:p>
          <w:p w14:paraId="46D953B8"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17-874-EL-AAM</w:t>
            </w:r>
          </w:p>
          <w:p w14:paraId="1A6D8E84" w14:textId="77777777" w:rsidR="00086994" w:rsidRPr="00086994" w:rsidRDefault="00086994" w:rsidP="007D179F">
            <w:pPr>
              <w:widowControl w:val="0"/>
              <w:spacing w:after="0" w:line="240" w:lineRule="auto"/>
              <w:rPr>
                <w:rFonts w:ascii="Arial" w:eastAsia="Times New Roman" w:hAnsi="Arial" w:cs="Arial"/>
                <w:sz w:val="24"/>
                <w:szCs w:val="24"/>
              </w:rPr>
            </w:pPr>
          </w:p>
          <w:p w14:paraId="7801298D" w14:textId="77777777" w:rsidR="00086994" w:rsidRPr="00086994" w:rsidRDefault="00086994" w:rsidP="007D179F">
            <w:pPr>
              <w:widowControl w:val="0"/>
              <w:spacing w:after="0" w:line="240" w:lineRule="auto"/>
              <w:rPr>
                <w:rFonts w:ascii="Arial" w:eastAsia="Times New Roman" w:hAnsi="Arial" w:cs="Arial"/>
                <w:sz w:val="24"/>
                <w:szCs w:val="24"/>
              </w:rPr>
            </w:pPr>
          </w:p>
          <w:p w14:paraId="5FA410FD" w14:textId="77777777" w:rsidR="00086994" w:rsidRPr="00086994" w:rsidRDefault="00086994" w:rsidP="007D179F">
            <w:pPr>
              <w:widowControl w:val="0"/>
              <w:spacing w:after="0" w:line="240" w:lineRule="auto"/>
              <w:rPr>
                <w:rFonts w:ascii="Arial" w:eastAsia="Times New Roman" w:hAnsi="Arial" w:cs="Arial"/>
                <w:sz w:val="24"/>
                <w:szCs w:val="24"/>
              </w:rPr>
            </w:pPr>
          </w:p>
          <w:p w14:paraId="342CA309" w14:textId="77777777" w:rsidR="00086994" w:rsidRPr="00086994" w:rsidRDefault="00086994" w:rsidP="007D179F">
            <w:pPr>
              <w:widowControl w:val="0"/>
              <w:spacing w:after="0" w:line="240" w:lineRule="auto"/>
              <w:rPr>
                <w:rFonts w:ascii="Arial" w:eastAsia="Times New Roman" w:hAnsi="Arial" w:cs="Arial"/>
                <w:sz w:val="24"/>
                <w:szCs w:val="24"/>
              </w:rPr>
            </w:pPr>
          </w:p>
          <w:p w14:paraId="2F77640A" w14:textId="77777777" w:rsidR="00086994" w:rsidRPr="00086994" w:rsidRDefault="00086994" w:rsidP="007D179F">
            <w:pPr>
              <w:widowControl w:val="0"/>
              <w:spacing w:after="0" w:line="240" w:lineRule="auto"/>
              <w:rPr>
                <w:rFonts w:ascii="Arial" w:eastAsia="Times New Roman" w:hAnsi="Arial" w:cs="Arial"/>
                <w:sz w:val="24"/>
                <w:szCs w:val="24"/>
              </w:rPr>
            </w:pPr>
          </w:p>
          <w:p w14:paraId="1245B052"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17-1263-EL-SSO</w:t>
            </w:r>
          </w:p>
          <w:p w14:paraId="168A07B8" w14:textId="77777777" w:rsidR="00086994" w:rsidRPr="00086994" w:rsidRDefault="00086994" w:rsidP="007D179F">
            <w:pPr>
              <w:widowControl w:val="0"/>
              <w:spacing w:after="0" w:line="240" w:lineRule="auto"/>
              <w:rPr>
                <w:rFonts w:ascii="Arial" w:eastAsia="Times New Roman" w:hAnsi="Arial" w:cs="Arial"/>
                <w:sz w:val="24"/>
                <w:szCs w:val="24"/>
              </w:rPr>
            </w:pPr>
          </w:p>
          <w:p w14:paraId="4856CDB9" w14:textId="77777777" w:rsidR="00086994" w:rsidRPr="00086994" w:rsidRDefault="00086994" w:rsidP="007D179F">
            <w:pPr>
              <w:widowControl w:val="0"/>
              <w:spacing w:after="0" w:line="240" w:lineRule="auto"/>
              <w:rPr>
                <w:rFonts w:ascii="Arial" w:eastAsia="Times New Roman" w:hAnsi="Arial" w:cs="Arial"/>
                <w:sz w:val="24"/>
                <w:szCs w:val="24"/>
              </w:rPr>
            </w:pPr>
          </w:p>
          <w:p w14:paraId="451F0EAB" w14:textId="77777777" w:rsidR="00086994" w:rsidRPr="00086994" w:rsidRDefault="00086994" w:rsidP="007D179F">
            <w:pPr>
              <w:widowControl w:val="0"/>
              <w:spacing w:after="0" w:line="240" w:lineRule="auto"/>
              <w:rPr>
                <w:rFonts w:ascii="Arial" w:eastAsia="Times New Roman" w:hAnsi="Arial" w:cs="Arial"/>
                <w:sz w:val="24"/>
                <w:szCs w:val="24"/>
              </w:rPr>
            </w:pPr>
          </w:p>
          <w:p w14:paraId="53829581" w14:textId="77777777" w:rsidR="00086994" w:rsidRPr="00086994" w:rsidRDefault="00086994" w:rsidP="007D179F">
            <w:pPr>
              <w:widowControl w:val="0"/>
              <w:spacing w:after="0" w:line="240" w:lineRule="auto"/>
              <w:rPr>
                <w:rFonts w:ascii="Arial" w:eastAsia="Times New Roman" w:hAnsi="Arial" w:cs="Arial"/>
                <w:sz w:val="24"/>
                <w:szCs w:val="24"/>
              </w:rPr>
            </w:pPr>
          </w:p>
          <w:p w14:paraId="53AE5878" w14:textId="77777777" w:rsidR="00086994" w:rsidRPr="00086994" w:rsidRDefault="00086994" w:rsidP="007D179F">
            <w:pPr>
              <w:widowControl w:val="0"/>
              <w:spacing w:after="0" w:line="240" w:lineRule="auto"/>
              <w:rPr>
                <w:rFonts w:ascii="Arial" w:eastAsia="Times New Roman" w:hAnsi="Arial" w:cs="Arial"/>
                <w:sz w:val="24"/>
                <w:szCs w:val="24"/>
              </w:rPr>
            </w:pPr>
          </w:p>
          <w:p w14:paraId="6284CEEE"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17-1264-EL-ATA</w:t>
            </w:r>
          </w:p>
          <w:p w14:paraId="1C036A69" w14:textId="77777777" w:rsidR="00086994" w:rsidRPr="00086994" w:rsidRDefault="00086994" w:rsidP="007D179F">
            <w:pPr>
              <w:widowControl w:val="0"/>
              <w:spacing w:after="0" w:line="240" w:lineRule="auto"/>
              <w:rPr>
                <w:rFonts w:ascii="Arial" w:eastAsia="Times New Roman" w:hAnsi="Arial" w:cs="Arial"/>
                <w:sz w:val="24"/>
                <w:szCs w:val="24"/>
              </w:rPr>
            </w:pPr>
          </w:p>
          <w:p w14:paraId="4A1611D7" w14:textId="77777777" w:rsidR="00086994" w:rsidRPr="00086994" w:rsidRDefault="00086994" w:rsidP="007D179F">
            <w:pPr>
              <w:widowControl w:val="0"/>
              <w:spacing w:after="0" w:line="240" w:lineRule="auto"/>
              <w:rPr>
                <w:rFonts w:ascii="Arial" w:eastAsia="Times New Roman" w:hAnsi="Arial" w:cs="Arial"/>
                <w:sz w:val="24"/>
                <w:szCs w:val="24"/>
              </w:rPr>
            </w:pPr>
          </w:p>
          <w:p w14:paraId="4BB73AD3" w14:textId="77777777" w:rsidR="00086994" w:rsidRPr="00086994" w:rsidRDefault="00086994" w:rsidP="007D179F">
            <w:pPr>
              <w:widowControl w:val="0"/>
              <w:spacing w:after="0" w:line="240" w:lineRule="auto"/>
              <w:rPr>
                <w:rFonts w:ascii="Arial" w:eastAsia="Times New Roman" w:hAnsi="Arial" w:cs="Arial"/>
                <w:sz w:val="24"/>
                <w:szCs w:val="24"/>
              </w:rPr>
            </w:pPr>
          </w:p>
          <w:p w14:paraId="4F5882B3" w14:textId="77777777" w:rsidR="00086994" w:rsidRPr="00086994" w:rsidRDefault="00086994" w:rsidP="007D179F">
            <w:pPr>
              <w:widowControl w:val="0"/>
              <w:spacing w:after="0" w:line="240" w:lineRule="auto"/>
              <w:rPr>
                <w:rFonts w:ascii="Arial" w:eastAsia="Times New Roman" w:hAnsi="Arial" w:cs="Arial"/>
                <w:sz w:val="24"/>
                <w:szCs w:val="24"/>
              </w:rPr>
            </w:pPr>
          </w:p>
          <w:p w14:paraId="119AE2E6"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17-1265-EL-AAM</w:t>
            </w:r>
          </w:p>
          <w:p w14:paraId="7DFF4B2C" w14:textId="77777777" w:rsidR="00086994" w:rsidRPr="00086994" w:rsidRDefault="00086994" w:rsidP="007D179F">
            <w:pPr>
              <w:widowControl w:val="0"/>
              <w:spacing w:after="0" w:line="240" w:lineRule="auto"/>
              <w:rPr>
                <w:rFonts w:ascii="Arial" w:eastAsia="Times New Roman" w:hAnsi="Arial" w:cs="Arial"/>
                <w:sz w:val="24"/>
                <w:szCs w:val="24"/>
              </w:rPr>
            </w:pPr>
          </w:p>
          <w:p w14:paraId="45F3CAF9" w14:textId="77777777" w:rsidR="00086994" w:rsidRPr="00086994" w:rsidRDefault="00086994" w:rsidP="007D179F">
            <w:pPr>
              <w:widowControl w:val="0"/>
              <w:spacing w:after="0" w:line="240" w:lineRule="auto"/>
              <w:rPr>
                <w:rFonts w:ascii="Arial" w:eastAsia="Times New Roman" w:hAnsi="Arial" w:cs="Arial"/>
                <w:sz w:val="24"/>
                <w:szCs w:val="24"/>
              </w:rPr>
            </w:pPr>
          </w:p>
          <w:p w14:paraId="34BE9331" w14:textId="77777777" w:rsidR="00086994" w:rsidRPr="00086994" w:rsidRDefault="00086994" w:rsidP="007D179F">
            <w:pPr>
              <w:widowControl w:val="0"/>
              <w:spacing w:after="0" w:line="240" w:lineRule="auto"/>
              <w:rPr>
                <w:rFonts w:ascii="Arial" w:eastAsia="Times New Roman" w:hAnsi="Arial" w:cs="Arial"/>
                <w:sz w:val="24"/>
                <w:szCs w:val="24"/>
              </w:rPr>
            </w:pPr>
          </w:p>
          <w:p w14:paraId="0E218563" w14:textId="77777777" w:rsidR="00086994" w:rsidRPr="00086994" w:rsidRDefault="00086994" w:rsidP="007D179F">
            <w:pPr>
              <w:widowControl w:val="0"/>
              <w:spacing w:after="0" w:line="240" w:lineRule="auto"/>
              <w:rPr>
                <w:rFonts w:ascii="Arial" w:eastAsia="Times New Roman" w:hAnsi="Arial" w:cs="Arial"/>
                <w:sz w:val="24"/>
                <w:szCs w:val="24"/>
              </w:rPr>
            </w:pPr>
          </w:p>
          <w:p w14:paraId="3706DE7D"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 xml:space="preserve">Case No. 16-1602-EL-ESS  </w:t>
            </w:r>
          </w:p>
        </w:tc>
      </w:tr>
    </w:tbl>
    <w:p w14:paraId="3C2A2431" w14:textId="77777777" w:rsidR="00FF2693" w:rsidRPr="00FE7C99" w:rsidRDefault="00FF2693" w:rsidP="00FF2693">
      <w:pPr>
        <w:widowControl w:val="0"/>
        <w:pBdr>
          <w:bottom w:val="single" w:sz="12" w:space="0" w:color="auto"/>
        </w:pBdr>
        <w:spacing w:after="0" w:line="240" w:lineRule="auto"/>
        <w:rPr>
          <w:rFonts w:ascii="Arial" w:hAnsi="Arial" w:cs="Arial"/>
          <w:sz w:val="24"/>
        </w:rPr>
      </w:pPr>
    </w:p>
    <w:p w14:paraId="37BB51A1" w14:textId="77777777" w:rsidR="00FF2693" w:rsidRPr="00FE7C99" w:rsidRDefault="00FF2693" w:rsidP="00FF2693">
      <w:pPr>
        <w:widowControl w:val="0"/>
        <w:spacing w:after="0" w:line="240" w:lineRule="auto"/>
        <w:jc w:val="center"/>
        <w:rPr>
          <w:rFonts w:ascii="Arial" w:hAnsi="Arial" w:cs="Arial"/>
          <w:b/>
          <w:bCs/>
          <w:sz w:val="24"/>
        </w:rPr>
      </w:pPr>
    </w:p>
    <w:p w14:paraId="2837618F" w14:textId="4E14B320" w:rsidR="00FF2693" w:rsidRPr="00FE7C99" w:rsidRDefault="00FF2693" w:rsidP="00FF2693">
      <w:pPr>
        <w:widowControl w:val="0"/>
        <w:spacing w:after="0" w:line="240" w:lineRule="auto"/>
        <w:jc w:val="center"/>
        <w:rPr>
          <w:rFonts w:ascii="Arial" w:hAnsi="Arial" w:cs="Arial"/>
          <w:b/>
          <w:bCs/>
          <w:sz w:val="24"/>
        </w:rPr>
      </w:pPr>
      <w:r w:rsidRPr="00FE7C99">
        <w:rPr>
          <w:rFonts w:ascii="Arial" w:hAnsi="Arial" w:cs="Arial"/>
          <w:b/>
          <w:bCs/>
          <w:sz w:val="24"/>
        </w:rPr>
        <w:t>APPLICATION FOR REHEARING</w:t>
      </w:r>
    </w:p>
    <w:p w14:paraId="6FA67D25" w14:textId="77777777" w:rsidR="00FF2693" w:rsidRPr="00086994" w:rsidRDefault="00FF2693" w:rsidP="00FF2693">
      <w:pPr>
        <w:widowControl w:val="0"/>
        <w:pBdr>
          <w:bottom w:val="single" w:sz="12" w:space="1" w:color="auto"/>
        </w:pBdr>
        <w:tabs>
          <w:tab w:val="left" w:pos="6461"/>
        </w:tabs>
        <w:spacing w:after="0" w:line="240" w:lineRule="auto"/>
        <w:rPr>
          <w:rFonts w:ascii="Arial" w:hAnsi="Arial" w:cs="Arial"/>
          <w:b/>
          <w:sz w:val="24"/>
        </w:rPr>
      </w:pPr>
    </w:p>
    <w:p w14:paraId="6FE28D29" w14:textId="77777777" w:rsidR="00FF2693" w:rsidRPr="00FE7C99" w:rsidRDefault="00FF2693" w:rsidP="00086994">
      <w:pPr>
        <w:spacing w:line="480" w:lineRule="auto"/>
        <w:jc w:val="both"/>
        <w:rPr>
          <w:rFonts w:ascii="Arial" w:hAnsi="Arial" w:cs="Arial"/>
          <w:sz w:val="24"/>
          <w:szCs w:val="24"/>
        </w:rPr>
      </w:pPr>
    </w:p>
    <w:p w14:paraId="2893455D" w14:textId="719D9D7C" w:rsidR="00533CDB" w:rsidRDefault="00FF2693" w:rsidP="00FF2693">
      <w:pPr>
        <w:spacing w:line="480" w:lineRule="auto"/>
        <w:ind w:firstLine="720"/>
        <w:jc w:val="both"/>
        <w:rPr>
          <w:rFonts w:ascii="Arial" w:hAnsi="Arial" w:cs="Arial"/>
          <w:sz w:val="24"/>
          <w:szCs w:val="24"/>
        </w:rPr>
      </w:pPr>
      <w:r w:rsidRPr="00FE7C99">
        <w:rPr>
          <w:rFonts w:ascii="Arial" w:hAnsi="Arial" w:cs="Arial"/>
          <w:sz w:val="24"/>
          <w:szCs w:val="24"/>
        </w:rPr>
        <w:t xml:space="preserve">Pursuant to Section 4903.10, Revised Code, and Rule 4901-1-35, Ohio Administrative Code (“O.A.C.”), Interstate Gas Supply, Inc. (“IGS Energy” or “IGS”) respectfully submits this Application for Rehearing of the Opinion and Order (“Order”) issued by the Public Utilities Commission of Ohio (“Commission”) on </w:t>
      </w:r>
      <w:r w:rsidR="00532EF4">
        <w:rPr>
          <w:rFonts w:ascii="Arial" w:hAnsi="Arial" w:cs="Arial"/>
          <w:sz w:val="24"/>
          <w:szCs w:val="24"/>
        </w:rPr>
        <w:t>December 19</w:t>
      </w:r>
      <w:r w:rsidRPr="00FE7C99">
        <w:rPr>
          <w:rFonts w:ascii="Arial" w:hAnsi="Arial" w:cs="Arial"/>
          <w:sz w:val="24"/>
          <w:szCs w:val="24"/>
        </w:rPr>
        <w:t>, 2018 for the following reasons:</w:t>
      </w:r>
    </w:p>
    <w:p w14:paraId="209CAD8B" w14:textId="77777777" w:rsidR="00533CDB" w:rsidRDefault="00533CDB" w:rsidP="000F0512">
      <w:pPr>
        <w:pStyle w:val="ListParagraph"/>
        <w:numPr>
          <w:ilvl w:val="0"/>
          <w:numId w:val="32"/>
        </w:numPr>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 xml:space="preserve">The Order is unlawful and unreasonable inasmuch as it authorized Duke to recover the cost of competitive retail electric service through non-competitive service rates.  R.C. 4928.05(A)(1) prohibits the Commission from exercising Chapter 4909 to regulate competitive retail electric services; therefore, the Order exceeded the scope of the Commission’s jurisdiction. </w:t>
      </w:r>
    </w:p>
    <w:p w14:paraId="31982DE7" w14:textId="77777777" w:rsidR="0095168B" w:rsidRDefault="0095168B" w:rsidP="0095168B">
      <w:pPr>
        <w:pStyle w:val="ListParagraph"/>
        <w:autoSpaceDE w:val="0"/>
        <w:autoSpaceDN w:val="0"/>
        <w:adjustRightInd w:val="0"/>
        <w:spacing w:after="120" w:line="240" w:lineRule="auto"/>
        <w:ind w:left="1449"/>
        <w:jc w:val="both"/>
        <w:rPr>
          <w:rFonts w:ascii="Arial" w:hAnsi="Arial" w:cs="Arial"/>
          <w:b/>
          <w:sz w:val="24"/>
          <w:szCs w:val="24"/>
        </w:rPr>
      </w:pPr>
    </w:p>
    <w:p w14:paraId="105DB9CE" w14:textId="77777777" w:rsidR="00533CDB" w:rsidRDefault="00533CDB" w:rsidP="000F0512">
      <w:pPr>
        <w:pStyle w:val="ListParagraph"/>
        <w:numPr>
          <w:ilvl w:val="0"/>
          <w:numId w:val="32"/>
        </w:numPr>
        <w:spacing w:after="120" w:line="240" w:lineRule="auto"/>
        <w:jc w:val="both"/>
        <w:rPr>
          <w:rFonts w:ascii="Arial" w:hAnsi="Arial" w:cs="Arial"/>
          <w:b/>
          <w:sz w:val="24"/>
          <w:szCs w:val="24"/>
        </w:rPr>
      </w:pPr>
      <w:r>
        <w:rPr>
          <w:rFonts w:ascii="Arial" w:hAnsi="Arial" w:cs="Arial"/>
          <w:b/>
          <w:sz w:val="24"/>
          <w:szCs w:val="24"/>
        </w:rPr>
        <w:t xml:space="preserve">The Order authorized an anticompetitive, unlawful, and unreasonable subsidy to Duke’s competitive retail electric service in violation of precedent and State policy enumerated in R.C. 4928.02.  </w:t>
      </w:r>
      <w:r>
        <w:rPr>
          <w:rFonts w:ascii="Arial" w:hAnsi="Arial" w:cs="Arial"/>
          <w:b/>
          <w:i/>
          <w:sz w:val="24"/>
          <w:szCs w:val="24"/>
        </w:rPr>
        <w:t>Elyria Foundry</w:t>
      </w:r>
      <w:r>
        <w:rPr>
          <w:rFonts w:ascii="Arial" w:hAnsi="Arial" w:cs="Arial"/>
          <w:b/>
          <w:sz w:val="24"/>
          <w:szCs w:val="24"/>
        </w:rPr>
        <w:t xml:space="preserve"> </w:t>
      </w:r>
      <w:r>
        <w:rPr>
          <w:rFonts w:ascii="Arial" w:hAnsi="Arial" w:cs="Arial"/>
          <w:b/>
          <w:i/>
          <w:sz w:val="24"/>
          <w:szCs w:val="24"/>
        </w:rPr>
        <w:t>Co. v. Pub. Util. Comm’n</w:t>
      </w:r>
      <w:r>
        <w:rPr>
          <w:rFonts w:ascii="Arial" w:hAnsi="Arial" w:cs="Arial"/>
          <w:b/>
          <w:sz w:val="24"/>
          <w:szCs w:val="24"/>
        </w:rPr>
        <w:t>, 14 Ohio St.3d 305, 315 (2007).</w:t>
      </w:r>
    </w:p>
    <w:p w14:paraId="583C4747" w14:textId="77777777" w:rsidR="0095168B" w:rsidRDefault="0095168B" w:rsidP="0095168B">
      <w:pPr>
        <w:pStyle w:val="ListParagraph"/>
        <w:spacing w:after="120" w:line="240" w:lineRule="auto"/>
        <w:ind w:left="1449"/>
        <w:jc w:val="both"/>
        <w:rPr>
          <w:rFonts w:ascii="Arial" w:hAnsi="Arial" w:cs="Arial"/>
          <w:b/>
          <w:sz w:val="24"/>
          <w:szCs w:val="24"/>
        </w:rPr>
      </w:pPr>
    </w:p>
    <w:p w14:paraId="3A918AFE" w14:textId="2FC4B067" w:rsidR="00533CDB" w:rsidRPr="00533CDB" w:rsidRDefault="00533CDB" w:rsidP="000F0512">
      <w:pPr>
        <w:pStyle w:val="ListParagraph"/>
        <w:numPr>
          <w:ilvl w:val="0"/>
          <w:numId w:val="32"/>
        </w:numPr>
        <w:autoSpaceDE w:val="0"/>
        <w:autoSpaceDN w:val="0"/>
        <w:adjustRightInd w:val="0"/>
        <w:spacing w:after="120" w:line="240" w:lineRule="auto"/>
        <w:jc w:val="both"/>
        <w:rPr>
          <w:rFonts w:ascii="Arial" w:hAnsi="Arial" w:cs="Arial"/>
          <w:b/>
          <w:sz w:val="24"/>
          <w:szCs w:val="24"/>
        </w:rPr>
      </w:pPr>
      <w:r w:rsidRPr="00533CDB">
        <w:rPr>
          <w:rFonts w:ascii="Arial" w:hAnsi="Arial" w:cs="Arial"/>
          <w:b/>
          <w:sz w:val="24"/>
          <w:szCs w:val="24"/>
        </w:rPr>
        <w:t>The Order unlawfully and unreasonably rejected IGS proposal that would remedy Duke’s unlawful collection of competitive retail electric service costs through non-competitive service rates.</w:t>
      </w:r>
    </w:p>
    <w:p w14:paraId="0DD32CDC" w14:textId="77777777" w:rsidR="0095168B" w:rsidRPr="00533CDB" w:rsidRDefault="0095168B" w:rsidP="0095168B">
      <w:pPr>
        <w:pStyle w:val="ListParagraph"/>
        <w:autoSpaceDE w:val="0"/>
        <w:autoSpaceDN w:val="0"/>
        <w:adjustRightInd w:val="0"/>
        <w:spacing w:after="120" w:line="240" w:lineRule="auto"/>
        <w:ind w:left="1449"/>
        <w:jc w:val="both"/>
        <w:rPr>
          <w:rFonts w:ascii="Arial" w:hAnsi="Arial" w:cs="Arial"/>
          <w:b/>
          <w:sz w:val="24"/>
          <w:szCs w:val="24"/>
        </w:rPr>
      </w:pPr>
    </w:p>
    <w:p w14:paraId="4E96A655" w14:textId="538E74BA" w:rsidR="0095168B" w:rsidRPr="0095168B" w:rsidRDefault="00533CDB" w:rsidP="000F0512">
      <w:pPr>
        <w:pStyle w:val="ListParagraph"/>
        <w:numPr>
          <w:ilvl w:val="0"/>
          <w:numId w:val="32"/>
        </w:numPr>
        <w:spacing w:line="256" w:lineRule="auto"/>
        <w:jc w:val="both"/>
        <w:rPr>
          <w:rFonts w:ascii="Arial" w:hAnsi="Arial" w:cs="Arial"/>
          <w:b/>
          <w:sz w:val="24"/>
          <w:szCs w:val="24"/>
        </w:rPr>
      </w:pPr>
      <w:r w:rsidRPr="00533CDB">
        <w:rPr>
          <w:rFonts w:ascii="Arial" w:hAnsi="Arial" w:cs="Arial"/>
          <w:b/>
          <w:sz w:val="24"/>
          <w:szCs w:val="24"/>
        </w:rPr>
        <w:t xml:space="preserve">The Order is unlawful and unreasonable because it violated R.C. 4903.09 by failing to state findings of fact and reasons prompting the Commission’s decisions. </w:t>
      </w:r>
      <w:r w:rsidRPr="00533CDB">
        <w:rPr>
          <w:rFonts w:ascii="Arial" w:hAnsi="Arial" w:cs="Arial"/>
          <w:b/>
          <w:i/>
          <w:sz w:val="24"/>
          <w:szCs w:val="24"/>
        </w:rPr>
        <w:t>In re Application of Columbus Southern Power Company</w:t>
      </w:r>
      <w:r w:rsidRPr="00533CDB">
        <w:rPr>
          <w:rFonts w:ascii="Arial" w:hAnsi="Arial" w:cs="Arial"/>
          <w:b/>
          <w:sz w:val="24"/>
          <w:szCs w:val="24"/>
        </w:rPr>
        <w:t xml:space="preserve">, 128 Ohio St. 3d 512,519, 526-27 (2011).  The Order failed to appropriately consider or address IGS’ arguments that the Stipulation recommended that the Commission: (1) unlawfully and unreasonably apply Chapter 4909 to authorize recovery of competitive retail electric service costs through non-competitive service rate structures; (2) unlawfully and unreasonably provided a subsidy to Duke’s competitive retail electric service rates in violation of R.C. 4928.02; and (3) the Order further failed to evaluate and address IGS’ </w:t>
      </w:r>
      <w:r w:rsidRPr="00533CDB">
        <w:rPr>
          <w:rFonts w:ascii="Arial" w:hAnsi="Arial" w:cs="Arial"/>
          <w:b/>
          <w:sz w:val="24"/>
          <w:szCs w:val="24"/>
        </w:rPr>
        <w:lastRenderedPageBreak/>
        <w:t>analysis and quantification of competitive retail electric service costs proposed for recovery in distribution rates</w:t>
      </w:r>
      <w:r w:rsidR="0095168B">
        <w:rPr>
          <w:rFonts w:ascii="Arial" w:hAnsi="Arial" w:cs="Arial"/>
          <w:b/>
          <w:sz w:val="24"/>
          <w:szCs w:val="24"/>
        </w:rPr>
        <w:t>.</w:t>
      </w:r>
    </w:p>
    <w:p w14:paraId="6109C34F" w14:textId="77777777" w:rsidR="0095168B" w:rsidRPr="0095168B" w:rsidRDefault="0095168B" w:rsidP="0095168B">
      <w:pPr>
        <w:pStyle w:val="ListParagraph"/>
        <w:spacing w:line="256" w:lineRule="auto"/>
        <w:ind w:left="1449"/>
        <w:jc w:val="both"/>
        <w:rPr>
          <w:rFonts w:ascii="Arial" w:hAnsi="Arial" w:cs="Arial"/>
          <w:b/>
          <w:sz w:val="24"/>
          <w:szCs w:val="24"/>
        </w:rPr>
      </w:pPr>
    </w:p>
    <w:p w14:paraId="4734AD74" w14:textId="77777777" w:rsidR="00533CDB" w:rsidRDefault="00533CDB" w:rsidP="000F0512">
      <w:pPr>
        <w:pStyle w:val="ListParagraph"/>
        <w:numPr>
          <w:ilvl w:val="0"/>
          <w:numId w:val="32"/>
        </w:numPr>
        <w:spacing w:after="0" w:line="256" w:lineRule="auto"/>
        <w:jc w:val="both"/>
        <w:rPr>
          <w:rFonts w:ascii="Arial" w:hAnsi="Arial" w:cs="Arial"/>
          <w:b/>
          <w:sz w:val="24"/>
          <w:szCs w:val="24"/>
        </w:rPr>
      </w:pPr>
      <w:r>
        <w:rPr>
          <w:rFonts w:ascii="Arial" w:hAnsi="Arial" w:cs="Arial"/>
          <w:b/>
          <w:sz w:val="24"/>
          <w:szCs w:val="24"/>
        </w:rPr>
        <w:t>The Order is unlawful and unreasonable inasmuch as it concluded the existence of costs related to Duke’s facilitation of the choice market may justify subsidizing SSO service.  The Order’s reasoning circumvents the statutory limitation against regulation of competitive retail electric services under Chapter 4909. The Order is also arbitrary, capricious, and an abuse of discretion given that choice-related costs are already directly assigned to CRES providers.</w:t>
      </w:r>
      <w:r>
        <w:rPr>
          <w:rFonts w:ascii="Arial" w:hAnsi="Arial" w:cs="Arial"/>
          <w:i/>
        </w:rPr>
        <w:t xml:space="preserve">  </w:t>
      </w:r>
      <w:r>
        <w:rPr>
          <w:rFonts w:ascii="Arial" w:hAnsi="Arial" w:cs="Arial"/>
          <w:b/>
          <w:i/>
          <w:sz w:val="24"/>
          <w:szCs w:val="24"/>
        </w:rPr>
        <w:t>Forest Hills Utility Co. v. Pub. Util. Comm’n Ohio</w:t>
      </w:r>
      <w:r>
        <w:rPr>
          <w:rFonts w:ascii="Arial" w:hAnsi="Arial" w:cs="Arial"/>
          <w:b/>
          <w:sz w:val="24"/>
          <w:szCs w:val="24"/>
        </w:rPr>
        <w:t xml:space="preserve">, 31 Ohio St. 2d 46 (1972).  </w:t>
      </w:r>
    </w:p>
    <w:p w14:paraId="63878936" w14:textId="77777777" w:rsidR="00533CDB" w:rsidRDefault="00533CDB" w:rsidP="00533CDB">
      <w:pPr>
        <w:pStyle w:val="ListParagraph"/>
        <w:spacing w:after="0" w:line="256" w:lineRule="auto"/>
        <w:ind w:left="1449"/>
        <w:jc w:val="both"/>
        <w:rPr>
          <w:rFonts w:ascii="Arial" w:hAnsi="Arial" w:cs="Arial"/>
          <w:b/>
          <w:sz w:val="24"/>
          <w:szCs w:val="24"/>
        </w:rPr>
      </w:pPr>
    </w:p>
    <w:p w14:paraId="40ED21AB" w14:textId="77777777" w:rsidR="00533CDB" w:rsidRDefault="00533CDB" w:rsidP="000F0512">
      <w:pPr>
        <w:pStyle w:val="ListParagraph"/>
        <w:numPr>
          <w:ilvl w:val="0"/>
          <w:numId w:val="32"/>
        </w:numPr>
        <w:spacing w:after="0" w:line="256" w:lineRule="auto"/>
        <w:jc w:val="both"/>
        <w:rPr>
          <w:rFonts w:ascii="Arial" w:hAnsi="Arial" w:cs="Arial"/>
          <w:b/>
          <w:sz w:val="24"/>
          <w:szCs w:val="24"/>
        </w:rPr>
      </w:pPr>
      <w:r>
        <w:rPr>
          <w:rFonts w:ascii="Arial" w:hAnsi="Arial" w:cs="Arial"/>
          <w:b/>
          <w:sz w:val="24"/>
          <w:szCs w:val="24"/>
        </w:rPr>
        <w:t xml:space="preserve">The Order’s determination that choice costs may justify subsidizing the standard service offer is against the manifest weight of the evidence.  The record reflects $23 million in SSO-related costs proposed for recovery in distribution rates; substantial CRES provider fees to cover choice-related costs; thus, the record demonstrates that additional costs should be allocated to the SSO even under the Order’s unlawful reasoning. </w:t>
      </w:r>
      <w:r>
        <w:rPr>
          <w:rFonts w:ascii="Arial" w:hAnsi="Arial" w:cs="Arial"/>
          <w:b/>
          <w:i/>
          <w:sz w:val="24"/>
          <w:szCs w:val="24"/>
        </w:rPr>
        <w:t>Westside Cellular, Inc. v. Pub. Util. Comm.</w:t>
      </w:r>
      <w:r>
        <w:rPr>
          <w:rFonts w:ascii="Arial" w:hAnsi="Arial" w:cs="Arial"/>
          <w:b/>
          <w:sz w:val="24"/>
          <w:szCs w:val="24"/>
        </w:rPr>
        <w:t xml:space="preserve">, 98 Ohio St. 3d 165; </w:t>
      </w:r>
      <w:r>
        <w:rPr>
          <w:rFonts w:ascii="Arial" w:hAnsi="Arial" w:cs="Arial"/>
          <w:b/>
          <w:i/>
          <w:sz w:val="24"/>
          <w:szCs w:val="24"/>
        </w:rPr>
        <w:t>Cleveland Elec. Illum. Co. v. Pub. Util. Comm’n Ohio</w:t>
      </w:r>
      <w:r>
        <w:rPr>
          <w:rFonts w:ascii="Arial" w:hAnsi="Arial" w:cs="Arial"/>
          <w:b/>
          <w:sz w:val="24"/>
          <w:szCs w:val="24"/>
        </w:rPr>
        <w:t>, 76 Ohio St.3d 163, 166 (1996).</w:t>
      </w:r>
    </w:p>
    <w:p w14:paraId="60BA1AA9" w14:textId="77777777" w:rsidR="00533CDB" w:rsidRDefault="00533CDB" w:rsidP="00533CDB">
      <w:pPr>
        <w:pStyle w:val="ListParagraph"/>
        <w:spacing w:after="0" w:line="256" w:lineRule="auto"/>
        <w:ind w:left="1449"/>
        <w:jc w:val="both"/>
        <w:rPr>
          <w:rFonts w:ascii="Arial" w:hAnsi="Arial" w:cs="Arial"/>
          <w:b/>
          <w:sz w:val="24"/>
          <w:szCs w:val="24"/>
        </w:rPr>
      </w:pPr>
    </w:p>
    <w:p w14:paraId="390E7FDC" w14:textId="77777777" w:rsidR="00533CDB" w:rsidRDefault="00533CDB" w:rsidP="000F0512">
      <w:pPr>
        <w:pStyle w:val="ListParagraph"/>
        <w:numPr>
          <w:ilvl w:val="0"/>
          <w:numId w:val="32"/>
        </w:numPr>
        <w:spacing w:after="0" w:line="256" w:lineRule="auto"/>
        <w:jc w:val="both"/>
        <w:rPr>
          <w:rFonts w:ascii="Arial" w:eastAsia="Times New Roman" w:hAnsi="Arial" w:cs="Arial"/>
          <w:b/>
          <w:sz w:val="24"/>
          <w:szCs w:val="24"/>
        </w:rPr>
      </w:pPr>
      <w:r>
        <w:rPr>
          <w:rFonts w:ascii="Arial" w:hAnsi="Arial" w:cs="Arial"/>
          <w:b/>
          <w:sz w:val="24"/>
          <w:szCs w:val="24"/>
        </w:rPr>
        <w:t>The Order is unlawful and unreasonable inasmuch as it deviated from recent Commission precedent, which required a EDU to allocate to the SSO the portion of the OCC and PUCO assessments related to SSO retail electric generation.</w:t>
      </w:r>
      <w:r>
        <w:rPr>
          <w:rFonts w:ascii="Arial" w:eastAsia="Times New Roman" w:hAnsi="Arial" w:cs="Arial"/>
          <w:b/>
          <w:i/>
          <w:sz w:val="24"/>
          <w:szCs w:val="24"/>
        </w:rPr>
        <w:t xml:space="preserve"> Consumers’ Counsel v. Pub. Util. Comm., </w:t>
      </w:r>
      <w:r>
        <w:rPr>
          <w:rFonts w:ascii="Arial" w:eastAsia="Times New Roman" w:hAnsi="Arial" w:cs="Arial"/>
          <w:b/>
          <w:sz w:val="24"/>
          <w:szCs w:val="24"/>
        </w:rPr>
        <w:t>10 Ohio St.3d 49, 50-51 (1984).</w:t>
      </w:r>
    </w:p>
    <w:p w14:paraId="6FC94BFD" w14:textId="77777777" w:rsidR="00533CDB" w:rsidRDefault="00533CDB" w:rsidP="00533CDB">
      <w:pPr>
        <w:pStyle w:val="ListParagraph"/>
        <w:spacing w:after="0" w:line="256" w:lineRule="auto"/>
        <w:ind w:left="1449"/>
        <w:jc w:val="both"/>
        <w:rPr>
          <w:rFonts w:ascii="Arial" w:eastAsia="Times New Roman" w:hAnsi="Arial" w:cs="Arial"/>
          <w:b/>
          <w:sz w:val="24"/>
          <w:szCs w:val="24"/>
        </w:rPr>
      </w:pPr>
    </w:p>
    <w:p w14:paraId="3A2F90AA" w14:textId="77777777" w:rsidR="00533CDB" w:rsidRDefault="00533CDB" w:rsidP="000F0512">
      <w:pPr>
        <w:pStyle w:val="ListParagraph"/>
        <w:numPr>
          <w:ilvl w:val="0"/>
          <w:numId w:val="32"/>
        </w:numPr>
        <w:spacing w:after="0" w:line="256" w:lineRule="auto"/>
        <w:jc w:val="both"/>
        <w:rPr>
          <w:rFonts w:ascii="Arial" w:hAnsi="Arial" w:cs="Arial"/>
          <w:b/>
          <w:sz w:val="24"/>
          <w:szCs w:val="24"/>
        </w:rPr>
      </w:pPr>
      <w:r>
        <w:rPr>
          <w:rFonts w:ascii="Arial" w:hAnsi="Arial" w:cs="Arial"/>
          <w:b/>
          <w:sz w:val="24"/>
          <w:szCs w:val="24"/>
        </w:rPr>
        <w:t>The Order is unlawful, unreasonable, and discriminatory inasmuch as it authorized Duke to impose switching fees and historical usage fees on CRES providers without evidentiary support in violation of R.C. 4909.15 and R.C. 4909.18. The application of these fees to CRES providers is discriminatory in violation of R.C. 4905.35 and 4928.02.</w:t>
      </w:r>
    </w:p>
    <w:p w14:paraId="699475A9" w14:textId="77777777" w:rsidR="00533CDB" w:rsidRDefault="00533CDB" w:rsidP="00533CDB">
      <w:pPr>
        <w:pStyle w:val="ListParagraph"/>
        <w:spacing w:after="0" w:line="256" w:lineRule="auto"/>
        <w:ind w:left="1449"/>
        <w:jc w:val="both"/>
        <w:rPr>
          <w:rFonts w:ascii="Arial" w:hAnsi="Arial" w:cs="Arial"/>
          <w:b/>
          <w:sz w:val="24"/>
          <w:szCs w:val="24"/>
        </w:rPr>
      </w:pPr>
    </w:p>
    <w:p w14:paraId="2AB243A0" w14:textId="77777777" w:rsidR="00533CDB" w:rsidRDefault="00533CDB" w:rsidP="000F0512">
      <w:pPr>
        <w:pStyle w:val="ListParagraph"/>
        <w:numPr>
          <w:ilvl w:val="0"/>
          <w:numId w:val="32"/>
        </w:num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The Order unlawfully, unjustly, and unreasonably permitted Duke to Discriminate against CRES providers in the provision of non-electric services on the utility consolidated billing in violation of R.C. 4905.35(A).</w:t>
      </w:r>
    </w:p>
    <w:p w14:paraId="4B3B7704" w14:textId="77777777" w:rsidR="00FF2693" w:rsidRPr="00FE7C99" w:rsidRDefault="00FF2693" w:rsidP="00FF2693">
      <w:pPr>
        <w:spacing w:after="0"/>
        <w:jc w:val="both"/>
        <w:rPr>
          <w:rFonts w:ascii="Arial" w:hAnsi="Arial" w:cs="Arial"/>
          <w:b/>
          <w:sz w:val="24"/>
          <w:szCs w:val="24"/>
        </w:rPr>
      </w:pPr>
    </w:p>
    <w:p w14:paraId="4351B363" w14:textId="4E3ADB55" w:rsidR="00FF2693" w:rsidRPr="00FE7C99" w:rsidRDefault="003A0C90" w:rsidP="00FF2693">
      <w:pPr>
        <w:tabs>
          <w:tab w:val="left" w:pos="960"/>
          <w:tab w:val="left" w:pos="1710"/>
          <w:tab w:val="right" w:leader="dot" w:pos="9360"/>
        </w:tabs>
        <w:spacing w:line="480" w:lineRule="auto"/>
        <w:jc w:val="both"/>
        <w:rPr>
          <w:rFonts w:ascii="Arial" w:hAnsi="Arial" w:cs="Arial"/>
          <w:sz w:val="24"/>
          <w:szCs w:val="24"/>
        </w:rPr>
      </w:pPr>
      <w:r w:rsidRPr="00FE7C99">
        <w:rPr>
          <w:rFonts w:ascii="Arial" w:hAnsi="Arial" w:cs="Arial"/>
          <w:sz w:val="24"/>
          <w:szCs w:val="24"/>
        </w:rPr>
        <w:t xml:space="preserve">As discussed further in the Memorandum in Support, IGS respectfully requests that the Commission to grant this Application for Rehearing and </w:t>
      </w:r>
      <w:r w:rsidR="00FF2693" w:rsidRPr="00FE7C99">
        <w:rPr>
          <w:rFonts w:ascii="Arial" w:hAnsi="Arial" w:cs="Arial"/>
          <w:sz w:val="24"/>
          <w:szCs w:val="24"/>
        </w:rPr>
        <w:t xml:space="preserve">correct the errors identified herein. </w:t>
      </w:r>
    </w:p>
    <w:p w14:paraId="305BBC20" w14:textId="77777777" w:rsidR="00FF2693" w:rsidRPr="00FE7C99" w:rsidRDefault="00FF2693" w:rsidP="00FF2693">
      <w:pPr>
        <w:spacing w:after="0" w:line="240" w:lineRule="auto"/>
        <w:ind w:left="5040"/>
        <w:rPr>
          <w:rFonts w:ascii="Arial" w:hAnsi="Arial" w:cs="Arial"/>
          <w:sz w:val="24"/>
          <w:szCs w:val="24"/>
        </w:rPr>
      </w:pPr>
      <w:r w:rsidRPr="00FE7C99">
        <w:rPr>
          <w:rFonts w:ascii="Arial" w:hAnsi="Arial" w:cs="Arial"/>
          <w:sz w:val="24"/>
          <w:szCs w:val="24"/>
        </w:rPr>
        <w:lastRenderedPageBreak/>
        <w:t>Respectfully submitted,</w:t>
      </w:r>
    </w:p>
    <w:p w14:paraId="4A4CE553" w14:textId="77777777" w:rsidR="00FF2693" w:rsidRPr="00FE7C99" w:rsidRDefault="00FF2693" w:rsidP="00FF2693">
      <w:pPr>
        <w:spacing w:after="0" w:line="240" w:lineRule="auto"/>
        <w:ind w:left="5040"/>
        <w:rPr>
          <w:rFonts w:ascii="Arial" w:hAnsi="Arial" w:cs="Arial"/>
          <w:sz w:val="24"/>
          <w:szCs w:val="24"/>
        </w:rPr>
      </w:pPr>
    </w:p>
    <w:p w14:paraId="030688DB" w14:textId="77777777" w:rsidR="00FF2693" w:rsidRPr="00FE7C99" w:rsidRDefault="00FF2693" w:rsidP="00FF2693">
      <w:pPr>
        <w:spacing w:after="0" w:line="240" w:lineRule="auto"/>
        <w:ind w:left="5040"/>
        <w:rPr>
          <w:rFonts w:ascii="Arial" w:hAnsi="Arial" w:cs="Arial"/>
          <w:b/>
          <w:i/>
          <w:sz w:val="24"/>
          <w:szCs w:val="24"/>
          <w:u w:val="single"/>
        </w:rPr>
      </w:pPr>
      <w:r w:rsidRPr="00FE7C99">
        <w:rPr>
          <w:rFonts w:ascii="Arial" w:hAnsi="Arial" w:cs="Arial"/>
          <w:b/>
          <w:i/>
          <w:sz w:val="24"/>
          <w:szCs w:val="24"/>
          <w:u w:val="single"/>
        </w:rPr>
        <w:t>/s/Joseph Oliker</w:t>
      </w:r>
    </w:p>
    <w:p w14:paraId="2CBCFC06" w14:textId="77777777" w:rsidR="00FF2693" w:rsidRPr="00FE7C99" w:rsidRDefault="00FF2693" w:rsidP="00FF2693">
      <w:pPr>
        <w:spacing w:after="0" w:line="240" w:lineRule="auto"/>
        <w:ind w:left="5040"/>
        <w:rPr>
          <w:rFonts w:ascii="Arial" w:hAnsi="Arial" w:cs="Arial"/>
          <w:sz w:val="24"/>
          <w:szCs w:val="24"/>
        </w:rPr>
      </w:pPr>
      <w:r w:rsidRPr="00FE7C99">
        <w:rPr>
          <w:rFonts w:ascii="Arial" w:hAnsi="Arial" w:cs="Arial"/>
          <w:sz w:val="24"/>
          <w:szCs w:val="24"/>
        </w:rPr>
        <w:t>Joseph Oliker (0086088)</w:t>
      </w:r>
    </w:p>
    <w:p w14:paraId="691D2A14" w14:textId="77777777" w:rsidR="00FF2693" w:rsidRPr="00FE7C99" w:rsidRDefault="00FF2693" w:rsidP="00FF2693">
      <w:pPr>
        <w:spacing w:after="0" w:line="240" w:lineRule="auto"/>
        <w:ind w:left="5040"/>
        <w:rPr>
          <w:rFonts w:ascii="Arial" w:hAnsi="Arial" w:cs="Arial"/>
          <w:sz w:val="24"/>
          <w:szCs w:val="24"/>
        </w:rPr>
      </w:pPr>
      <w:r w:rsidRPr="00FE7C99">
        <w:rPr>
          <w:rFonts w:ascii="Arial" w:hAnsi="Arial" w:cs="Arial"/>
          <w:sz w:val="24"/>
          <w:szCs w:val="24"/>
        </w:rPr>
        <w:t xml:space="preserve">Counsel of Record </w:t>
      </w:r>
    </w:p>
    <w:p w14:paraId="1EE41F14" w14:textId="0DF0AF4F" w:rsidR="00FF2693" w:rsidRPr="00FE7C99" w:rsidRDefault="00FF2693" w:rsidP="00FF2693">
      <w:pPr>
        <w:spacing w:after="0" w:line="240" w:lineRule="auto"/>
        <w:ind w:left="5040"/>
        <w:rPr>
          <w:rStyle w:val="Hyperlink"/>
          <w:rFonts w:ascii="Arial" w:hAnsi="Arial" w:cs="Arial"/>
          <w:color w:val="auto"/>
          <w:sz w:val="24"/>
          <w:szCs w:val="24"/>
          <w:u w:val="none"/>
        </w:rPr>
      </w:pPr>
      <w:r w:rsidRPr="00086994">
        <w:rPr>
          <w:rFonts w:ascii="Arial" w:hAnsi="Arial" w:cs="Arial"/>
          <w:sz w:val="24"/>
          <w:szCs w:val="24"/>
        </w:rPr>
        <w:t xml:space="preserve">Email: </w:t>
      </w:r>
      <w:r w:rsidR="00A1717A" w:rsidRPr="00A1717A">
        <w:rPr>
          <w:rFonts w:ascii="Arial" w:hAnsi="Arial" w:cs="Arial"/>
          <w:sz w:val="24"/>
          <w:szCs w:val="24"/>
        </w:rPr>
        <w:t>joliker@igsenergy.com</w:t>
      </w:r>
    </w:p>
    <w:p w14:paraId="308905A1" w14:textId="77777777" w:rsidR="00FF2693" w:rsidRPr="00FE7C99" w:rsidRDefault="00FF2693" w:rsidP="00FF2693">
      <w:pPr>
        <w:spacing w:after="0" w:line="240" w:lineRule="auto"/>
        <w:ind w:left="5040"/>
        <w:rPr>
          <w:rStyle w:val="Hyperlink"/>
          <w:rFonts w:ascii="Arial" w:hAnsi="Arial" w:cs="Arial"/>
          <w:color w:val="auto"/>
          <w:sz w:val="24"/>
          <w:szCs w:val="24"/>
          <w:u w:val="none"/>
        </w:rPr>
      </w:pPr>
      <w:r w:rsidRPr="00FE7C99">
        <w:rPr>
          <w:rStyle w:val="Hyperlink"/>
          <w:rFonts w:ascii="Arial" w:hAnsi="Arial" w:cs="Arial"/>
          <w:color w:val="auto"/>
          <w:sz w:val="24"/>
          <w:szCs w:val="24"/>
          <w:u w:val="none"/>
        </w:rPr>
        <w:t>Michael Nugent</w:t>
      </w:r>
    </w:p>
    <w:p w14:paraId="13A9B048" w14:textId="77777777" w:rsidR="00FF2693" w:rsidRPr="00FE7C99" w:rsidRDefault="00FF2693" w:rsidP="00FF2693">
      <w:pPr>
        <w:spacing w:after="0" w:line="240" w:lineRule="auto"/>
        <w:ind w:left="5040"/>
        <w:rPr>
          <w:rStyle w:val="Hyperlink"/>
          <w:rFonts w:ascii="Arial" w:hAnsi="Arial" w:cs="Arial"/>
          <w:sz w:val="24"/>
          <w:szCs w:val="24"/>
        </w:rPr>
      </w:pPr>
      <w:r w:rsidRPr="00FE7C99">
        <w:rPr>
          <w:rStyle w:val="Hyperlink"/>
          <w:rFonts w:ascii="Arial" w:hAnsi="Arial" w:cs="Arial"/>
          <w:color w:val="auto"/>
          <w:sz w:val="24"/>
          <w:szCs w:val="24"/>
          <w:u w:val="none"/>
        </w:rPr>
        <w:t>Email: Mnugent@igsenergy.com</w:t>
      </w:r>
    </w:p>
    <w:p w14:paraId="6FDC75DF" w14:textId="77777777" w:rsidR="00FF2693" w:rsidRPr="00FE7C99" w:rsidRDefault="00FF2693" w:rsidP="00FF2693">
      <w:pPr>
        <w:spacing w:after="0" w:line="240" w:lineRule="auto"/>
        <w:ind w:left="5040"/>
        <w:rPr>
          <w:rFonts w:ascii="Arial" w:hAnsi="Arial" w:cs="Arial"/>
          <w:sz w:val="24"/>
          <w:szCs w:val="24"/>
        </w:rPr>
      </w:pPr>
      <w:r w:rsidRPr="00FE7C99">
        <w:rPr>
          <w:rFonts w:ascii="Arial" w:hAnsi="Arial" w:cs="Arial"/>
          <w:sz w:val="24"/>
          <w:szCs w:val="24"/>
        </w:rPr>
        <w:t>IGS Energy</w:t>
      </w:r>
    </w:p>
    <w:p w14:paraId="77A2E34B" w14:textId="77777777" w:rsidR="00FF2693" w:rsidRPr="00FE7C99" w:rsidRDefault="00FF2693" w:rsidP="00FF2693">
      <w:pPr>
        <w:spacing w:after="0" w:line="240" w:lineRule="auto"/>
        <w:ind w:left="5040"/>
        <w:rPr>
          <w:rFonts w:ascii="Arial" w:hAnsi="Arial" w:cs="Arial"/>
          <w:sz w:val="24"/>
          <w:szCs w:val="24"/>
        </w:rPr>
      </w:pPr>
      <w:r w:rsidRPr="00FE7C99">
        <w:rPr>
          <w:rFonts w:ascii="Arial" w:hAnsi="Arial" w:cs="Arial"/>
          <w:sz w:val="24"/>
          <w:szCs w:val="24"/>
        </w:rPr>
        <w:t>6100 Emerald Parkway</w:t>
      </w:r>
    </w:p>
    <w:p w14:paraId="3EF6BB0B" w14:textId="77777777" w:rsidR="00FF2693" w:rsidRPr="00FE7C99" w:rsidRDefault="00FF2693" w:rsidP="00FF2693">
      <w:pPr>
        <w:spacing w:after="0" w:line="240" w:lineRule="auto"/>
        <w:ind w:left="5040"/>
        <w:rPr>
          <w:rFonts w:ascii="Arial" w:hAnsi="Arial" w:cs="Arial"/>
          <w:sz w:val="24"/>
          <w:szCs w:val="24"/>
        </w:rPr>
      </w:pPr>
      <w:r w:rsidRPr="00FE7C99">
        <w:rPr>
          <w:rFonts w:ascii="Arial" w:hAnsi="Arial" w:cs="Arial"/>
          <w:sz w:val="24"/>
          <w:szCs w:val="24"/>
        </w:rPr>
        <w:t>Dublin, Ohio 43016</w:t>
      </w:r>
    </w:p>
    <w:p w14:paraId="1A726625" w14:textId="77777777" w:rsidR="00FF2693" w:rsidRPr="00FE7C99" w:rsidRDefault="00FF2693" w:rsidP="00FF2693">
      <w:pPr>
        <w:spacing w:after="0" w:line="240" w:lineRule="auto"/>
        <w:ind w:left="5040"/>
        <w:rPr>
          <w:rFonts w:ascii="Arial" w:hAnsi="Arial" w:cs="Arial"/>
          <w:sz w:val="24"/>
          <w:szCs w:val="24"/>
        </w:rPr>
      </w:pPr>
      <w:r w:rsidRPr="00FE7C99">
        <w:rPr>
          <w:rFonts w:ascii="Arial" w:hAnsi="Arial" w:cs="Arial"/>
          <w:sz w:val="24"/>
          <w:szCs w:val="24"/>
        </w:rPr>
        <w:t>Telephone:</w:t>
      </w:r>
      <w:r w:rsidRPr="00FE7C99">
        <w:rPr>
          <w:rFonts w:ascii="Arial" w:hAnsi="Arial" w:cs="Arial"/>
          <w:sz w:val="24"/>
          <w:szCs w:val="24"/>
        </w:rPr>
        <w:tab/>
        <w:t>(614) 659-5000</w:t>
      </w:r>
    </w:p>
    <w:p w14:paraId="31C5686B" w14:textId="77777777" w:rsidR="00FF2693" w:rsidRPr="00FE7C99" w:rsidRDefault="00FF2693" w:rsidP="00FF2693">
      <w:pPr>
        <w:spacing w:after="0" w:line="240" w:lineRule="auto"/>
        <w:ind w:left="5040"/>
        <w:rPr>
          <w:rFonts w:ascii="Arial" w:hAnsi="Arial" w:cs="Arial"/>
          <w:sz w:val="24"/>
          <w:szCs w:val="24"/>
        </w:rPr>
      </w:pPr>
      <w:r w:rsidRPr="00FE7C99">
        <w:rPr>
          <w:rFonts w:ascii="Arial" w:hAnsi="Arial" w:cs="Arial"/>
          <w:sz w:val="24"/>
          <w:szCs w:val="24"/>
        </w:rPr>
        <w:t>Facsimile:</w:t>
      </w:r>
      <w:r w:rsidRPr="00FE7C99">
        <w:rPr>
          <w:rFonts w:ascii="Arial" w:hAnsi="Arial" w:cs="Arial"/>
          <w:sz w:val="24"/>
          <w:szCs w:val="24"/>
        </w:rPr>
        <w:tab/>
        <w:t>(614) 659-5073</w:t>
      </w:r>
    </w:p>
    <w:p w14:paraId="7D439594" w14:textId="77777777" w:rsidR="00FF2693" w:rsidRPr="00FE7C99" w:rsidRDefault="00FF2693" w:rsidP="00FF2693">
      <w:pPr>
        <w:spacing w:after="0" w:line="240" w:lineRule="auto"/>
        <w:ind w:left="5040"/>
        <w:rPr>
          <w:rFonts w:ascii="Arial" w:hAnsi="Arial" w:cs="Arial"/>
          <w:sz w:val="24"/>
          <w:szCs w:val="24"/>
        </w:rPr>
      </w:pPr>
    </w:p>
    <w:p w14:paraId="24CE3E43" w14:textId="77777777" w:rsidR="00FF2693" w:rsidRPr="00FE7C99" w:rsidRDefault="00FF2693" w:rsidP="00FF2693">
      <w:pPr>
        <w:pStyle w:val="ListParagraph"/>
        <w:spacing w:after="120" w:line="480" w:lineRule="auto"/>
        <w:ind w:left="4680" w:firstLine="360"/>
        <w:jc w:val="both"/>
        <w:rPr>
          <w:rFonts w:ascii="Arial" w:eastAsia="Arial" w:hAnsi="Arial" w:cs="Arial"/>
          <w:b/>
          <w:bCs/>
          <w:sz w:val="24"/>
          <w:szCs w:val="24"/>
        </w:rPr>
      </w:pPr>
      <w:r w:rsidRPr="00FE7C99">
        <w:rPr>
          <w:rFonts w:ascii="Arial" w:hAnsi="Arial" w:cs="Arial"/>
          <w:b/>
          <w:i/>
          <w:sz w:val="24"/>
          <w:szCs w:val="24"/>
        </w:rPr>
        <w:t>Attorneys for IGS Energy</w:t>
      </w:r>
    </w:p>
    <w:p w14:paraId="17374E9C" w14:textId="77777777" w:rsidR="00FF2693" w:rsidRPr="00FE7C99" w:rsidRDefault="00FF2693" w:rsidP="00FF2693">
      <w:pPr>
        <w:pStyle w:val="ListParagraph"/>
        <w:spacing w:after="120" w:line="480" w:lineRule="auto"/>
        <w:ind w:left="1080"/>
        <w:jc w:val="both"/>
        <w:rPr>
          <w:rFonts w:ascii="Arial" w:eastAsia="Arial" w:hAnsi="Arial" w:cs="Arial"/>
          <w:b/>
          <w:bCs/>
          <w:sz w:val="24"/>
          <w:szCs w:val="24"/>
        </w:rPr>
      </w:pPr>
    </w:p>
    <w:p w14:paraId="177B57E4" w14:textId="77777777" w:rsidR="003A5642" w:rsidRPr="00FE7C99" w:rsidRDefault="003A5642" w:rsidP="00262C8D">
      <w:pPr>
        <w:widowControl w:val="0"/>
        <w:spacing w:after="0" w:line="240" w:lineRule="auto"/>
        <w:jc w:val="center"/>
        <w:rPr>
          <w:rFonts w:ascii="Arial" w:hAnsi="Arial" w:cs="Arial"/>
          <w:b/>
          <w:bCs/>
          <w:sz w:val="24"/>
          <w:szCs w:val="24"/>
          <w:u w:val="single"/>
        </w:rPr>
      </w:pPr>
    </w:p>
    <w:p w14:paraId="751ED6F0" w14:textId="04E166FA" w:rsidR="0035756D" w:rsidRPr="00FE7C99" w:rsidRDefault="0035756D" w:rsidP="00FF2693">
      <w:pPr>
        <w:spacing w:line="480" w:lineRule="auto"/>
        <w:ind w:firstLine="720"/>
        <w:jc w:val="both"/>
        <w:rPr>
          <w:rFonts w:ascii="Arial" w:eastAsia="Arial" w:hAnsi="Arial" w:cs="Arial"/>
          <w:b/>
          <w:bCs/>
          <w:sz w:val="24"/>
          <w:szCs w:val="24"/>
        </w:rPr>
      </w:pPr>
    </w:p>
    <w:p w14:paraId="500E6AF9" w14:textId="2767AE7E" w:rsidR="0035756D" w:rsidRPr="00FE7C99" w:rsidRDefault="0035756D" w:rsidP="0063758B">
      <w:pPr>
        <w:pStyle w:val="ListParagraph"/>
        <w:spacing w:after="120" w:line="480" w:lineRule="auto"/>
        <w:ind w:left="1080"/>
        <w:jc w:val="both"/>
        <w:rPr>
          <w:rFonts w:ascii="Arial" w:eastAsia="Arial" w:hAnsi="Arial" w:cs="Arial"/>
          <w:b/>
          <w:bCs/>
          <w:sz w:val="24"/>
          <w:szCs w:val="24"/>
        </w:rPr>
      </w:pPr>
    </w:p>
    <w:p w14:paraId="4F9DE58C" w14:textId="3BE5928B" w:rsidR="0035756D" w:rsidRDefault="0035756D" w:rsidP="0063758B">
      <w:pPr>
        <w:pStyle w:val="ListParagraph"/>
        <w:spacing w:after="120" w:line="480" w:lineRule="auto"/>
        <w:ind w:left="1080"/>
        <w:jc w:val="both"/>
        <w:rPr>
          <w:rFonts w:ascii="Arial" w:eastAsia="Arial" w:hAnsi="Arial" w:cs="Arial"/>
          <w:b/>
          <w:bCs/>
          <w:sz w:val="24"/>
          <w:szCs w:val="24"/>
        </w:rPr>
      </w:pPr>
    </w:p>
    <w:p w14:paraId="2BFEDB54" w14:textId="77777777" w:rsidR="00086994" w:rsidRDefault="00086994" w:rsidP="0063758B">
      <w:pPr>
        <w:pStyle w:val="ListParagraph"/>
        <w:spacing w:after="120" w:line="480" w:lineRule="auto"/>
        <w:ind w:left="1080"/>
        <w:jc w:val="both"/>
        <w:rPr>
          <w:rFonts w:ascii="Arial" w:eastAsia="Arial" w:hAnsi="Arial" w:cs="Arial"/>
          <w:b/>
          <w:bCs/>
          <w:sz w:val="24"/>
          <w:szCs w:val="24"/>
        </w:rPr>
      </w:pPr>
    </w:p>
    <w:p w14:paraId="4F99308F" w14:textId="77777777" w:rsidR="00086994" w:rsidRDefault="00086994" w:rsidP="0063758B">
      <w:pPr>
        <w:pStyle w:val="ListParagraph"/>
        <w:spacing w:after="120" w:line="480" w:lineRule="auto"/>
        <w:ind w:left="1080"/>
        <w:jc w:val="both"/>
        <w:rPr>
          <w:rFonts w:ascii="Arial" w:eastAsia="Arial" w:hAnsi="Arial" w:cs="Arial"/>
          <w:b/>
          <w:bCs/>
          <w:sz w:val="24"/>
          <w:szCs w:val="24"/>
        </w:rPr>
      </w:pPr>
    </w:p>
    <w:p w14:paraId="786BE92F" w14:textId="77777777" w:rsidR="00086994" w:rsidRDefault="00086994" w:rsidP="0063758B">
      <w:pPr>
        <w:pStyle w:val="ListParagraph"/>
        <w:spacing w:after="120" w:line="480" w:lineRule="auto"/>
        <w:ind w:left="1080"/>
        <w:jc w:val="both"/>
        <w:rPr>
          <w:rFonts w:ascii="Arial" w:eastAsia="Arial" w:hAnsi="Arial" w:cs="Arial"/>
          <w:b/>
          <w:bCs/>
          <w:sz w:val="24"/>
          <w:szCs w:val="24"/>
        </w:rPr>
      </w:pPr>
    </w:p>
    <w:p w14:paraId="71339FAF" w14:textId="1027E921" w:rsidR="00086994" w:rsidRDefault="00086994" w:rsidP="0063758B">
      <w:pPr>
        <w:pStyle w:val="ListParagraph"/>
        <w:spacing w:after="120" w:line="480" w:lineRule="auto"/>
        <w:ind w:left="1080"/>
        <w:jc w:val="both"/>
        <w:rPr>
          <w:rFonts w:ascii="Arial" w:eastAsia="Arial" w:hAnsi="Arial" w:cs="Arial"/>
          <w:b/>
          <w:bCs/>
          <w:sz w:val="24"/>
          <w:szCs w:val="24"/>
        </w:rPr>
      </w:pPr>
    </w:p>
    <w:p w14:paraId="662756E6" w14:textId="77777777" w:rsidR="00086994" w:rsidRDefault="00086994" w:rsidP="0063758B">
      <w:pPr>
        <w:pStyle w:val="ListParagraph"/>
        <w:spacing w:after="120" w:line="480" w:lineRule="auto"/>
        <w:ind w:left="1080"/>
        <w:jc w:val="both"/>
        <w:rPr>
          <w:rFonts w:ascii="Arial" w:eastAsia="Arial" w:hAnsi="Arial" w:cs="Arial"/>
          <w:b/>
          <w:bCs/>
          <w:sz w:val="24"/>
          <w:szCs w:val="24"/>
        </w:rPr>
      </w:pPr>
    </w:p>
    <w:p w14:paraId="4E29FC0D" w14:textId="77777777" w:rsidR="00A1717A" w:rsidRPr="00FE7C99" w:rsidRDefault="00A1717A" w:rsidP="0063758B">
      <w:pPr>
        <w:pStyle w:val="ListParagraph"/>
        <w:spacing w:after="120" w:line="480" w:lineRule="auto"/>
        <w:ind w:left="1080"/>
        <w:jc w:val="both"/>
        <w:rPr>
          <w:rFonts w:ascii="Arial" w:eastAsia="Arial" w:hAnsi="Arial" w:cs="Arial"/>
          <w:b/>
          <w:bCs/>
          <w:sz w:val="24"/>
          <w:szCs w:val="24"/>
        </w:rPr>
      </w:pPr>
    </w:p>
    <w:p w14:paraId="5320037D" w14:textId="32FF1809" w:rsidR="00783315" w:rsidRPr="00FE7C99" w:rsidRDefault="00783315" w:rsidP="00FE32BA">
      <w:pPr>
        <w:rPr>
          <w:rFonts w:ascii="Arial" w:eastAsia="Arial" w:hAnsi="Arial" w:cs="Arial"/>
          <w:b/>
          <w:bCs/>
          <w:sz w:val="24"/>
          <w:szCs w:val="24"/>
        </w:rPr>
      </w:pPr>
    </w:p>
    <w:p w14:paraId="572AAD78" w14:textId="3473A224" w:rsidR="00086994" w:rsidRPr="00086994" w:rsidRDefault="00086994" w:rsidP="00086994">
      <w:pPr>
        <w:spacing w:after="0" w:line="240" w:lineRule="auto"/>
        <w:jc w:val="center"/>
        <w:rPr>
          <w:rFonts w:ascii="Arial" w:eastAsia="Times New Roman" w:hAnsi="Arial" w:cs="Arial"/>
          <w:b/>
          <w:sz w:val="24"/>
          <w:szCs w:val="24"/>
        </w:rPr>
      </w:pPr>
      <w:r w:rsidRPr="00FE7C99">
        <w:rPr>
          <w:rFonts w:ascii="Arial" w:eastAsia="Arial" w:hAnsi="Arial" w:cs="Arial"/>
          <w:b/>
          <w:sz w:val="24"/>
          <w:szCs w:val="24"/>
        </w:rPr>
        <w:t>BEFORE</w:t>
      </w:r>
    </w:p>
    <w:p w14:paraId="1B4DC1D7" w14:textId="77777777" w:rsidR="00086994" w:rsidRPr="00086994" w:rsidRDefault="00086994" w:rsidP="0008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ourier New" w:hAnsi="Arial" w:cs="Arial"/>
          <w:b/>
          <w:bCs/>
          <w:sz w:val="24"/>
          <w:szCs w:val="24"/>
        </w:rPr>
      </w:pPr>
      <w:r w:rsidRPr="00FE7C99">
        <w:rPr>
          <w:rFonts w:ascii="Arial" w:eastAsia="Arial" w:hAnsi="Arial" w:cs="Arial"/>
          <w:b/>
          <w:sz w:val="24"/>
          <w:szCs w:val="24"/>
        </w:rPr>
        <w:t>THE PUBLIC UTILITIES COMMISSION OF OHIO</w:t>
      </w:r>
    </w:p>
    <w:tbl>
      <w:tblPr>
        <w:tblW w:w="9044" w:type="dxa"/>
        <w:jc w:val="center"/>
        <w:tblLook w:val="01E0" w:firstRow="1" w:lastRow="1" w:firstColumn="1" w:lastColumn="1" w:noHBand="0" w:noVBand="0"/>
      </w:tblPr>
      <w:tblGrid>
        <w:gridCol w:w="4532"/>
        <w:gridCol w:w="796"/>
        <w:gridCol w:w="3716"/>
      </w:tblGrid>
      <w:tr w:rsidR="00086994" w:rsidRPr="00086994" w14:paraId="592AAFE1" w14:textId="77777777" w:rsidTr="007D179F">
        <w:trPr>
          <w:trHeight w:val="873"/>
          <w:jc w:val="center"/>
        </w:trPr>
        <w:tc>
          <w:tcPr>
            <w:tcW w:w="4532" w:type="dxa"/>
          </w:tcPr>
          <w:p w14:paraId="73A2D7ED" w14:textId="77777777" w:rsidR="00086994" w:rsidRPr="00086994" w:rsidRDefault="00086994" w:rsidP="007D179F">
            <w:pPr>
              <w:spacing w:after="0" w:line="240" w:lineRule="auto"/>
              <w:rPr>
                <w:rFonts w:ascii="Arial" w:eastAsia="Times New Roman" w:hAnsi="Arial" w:cs="Arial"/>
                <w:sz w:val="24"/>
                <w:szCs w:val="24"/>
              </w:rPr>
            </w:pPr>
            <w:r w:rsidRPr="00086994">
              <w:rPr>
                <w:rFonts w:ascii="Arial" w:eastAsia="Times New Roman" w:hAnsi="Arial" w:cs="Arial"/>
                <w:sz w:val="24"/>
                <w:szCs w:val="24"/>
              </w:rPr>
              <w:t xml:space="preserve">In the Matter of the Application of Duke Energy Ohio, Inc. for an Increase in Electric Distribution Rates. </w:t>
            </w:r>
          </w:p>
          <w:p w14:paraId="4942A36C" w14:textId="77777777" w:rsidR="00086994" w:rsidRPr="00086994" w:rsidRDefault="00086994" w:rsidP="007D179F">
            <w:pPr>
              <w:spacing w:after="0" w:line="240" w:lineRule="auto"/>
              <w:rPr>
                <w:rFonts w:ascii="Arial" w:eastAsia="Times New Roman" w:hAnsi="Arial" w:cs="Arial"/>
                <w:sz w:val="24"/>
                <w:szCs w:val="24"/>
              </w:rPr>
            </w:pPr>
          </w:p>
          <w:p w14:paraId="1C8437AF" w14:textId="77777777" w:rsidR="00086994" w:rsidRPr="00086994" w:rsidRDefault="00086994" w:rsidP="007D179F">
            <w:pPr>
              <w:autoSpaceDE w:val="0"/>
              <w:autoSpaceDN w:val="0"/>
              <w:adjustRightInd w:val="0"/>
              <w:spacing w:after="0" w:line="240" w:lineRule="auto"/>
              <w:rPr>
                <w:rFonts w:ascii="Arial" w:eastAsia="Times New Roman" w:hAnsi="Arial" w:cs="Arial"/>
                <w:sz w:val="24"/>
                <w:szCs w:val="24"/>
              </w:rPr>
            </w:pPr>
            <w:r w:rsidRPr="00086994">
              <w:rPr>
                <w:rFonts w:ascii="Arial" w:eastAsia="Times New Roman" w:hAnsi="Arial" w:cs="Arial"/>
                <w:sz w:val="24"/>
                <w:szCs w:val="24"/>
              </w:rPr>
              <w:lastRenderedPageBreak/>
              <w:t>In the Matter of the Application of Duke Energy Ohio, Inc. for Tariff Approval.</w:t>
            </w:r>
          </w:p>
          <w:p w14:paraId="1758F910" w14:textId="77777777" w:rsidR="00086994" w:rsidRPr="00086994" w:rsidRDefault="00086994" w:rsidP="007D179F">
            <w:pPr>
              <w:autoSpaceDE w:val="0"/>
              <w:autoSpaceDN w:val="0"/>
              <w:adjustRightInd w:val="0"/>
              <w:spacing w:after="0" w:line="240" w:lineRule="auto"/>
              <w:rPr>
                <w:rFonts w:ascii="Arial" w:eastAsia="Times New Roman" w:hAnsi="Arial" w:cs="Arial"/>
                <w:sz w:val="24"/>
                <w:szCs w:val="24"/>
              </w:rPr>
            </w:pPr>
          </w:p>
          <w:p w14:paraId="4B578F0A" w14:textId="77777777" w:rsidR="00086994" w:rsidRPr="00086994" w:rsidRDefault="00086994" w:rsidP="007D179F">
            <w:pPr>
              <w:autoSpaceDE w:val="0"/>
              <w:autoSpaceDN w:val="0"/>
              <w:adjustRightInd w:val="0"/>
              <w:spacing w:after="0" w:line="240" w:lineRule="auto"/>
              <w:rPr>
                <w:rFonts w:ascii="Arial" w:eastAsia="Times New Roman" w:hAnsi="Arial" w:cs="Arial"/>
                <w:sz w:val="24"/>
                <w:szCs w:val="24"/>
              </w:rPr>
            </w:pPr>
            <w:r w:rsidRPr="00086994">
              <w:rPr>
                <w:rFonts w:ascii="Arial" w:eastAsia="Times New Roman" w:hAnsi="Arial" w:cs="Arial"/>
                <w:sz w:val="24"/>
                <w:szCs w:val="24"/>
              </w:rPr>
              <w:t xml:space="preserve">In the Matter of the Application of Duke Energy Ohio, Inc. for Approval to Change Accounting Methods. </w:t>
            </w:r>
          </w:p>
        </w:tc>
        <w:tc>
          <w:tcPr>
            <w:tcW w:w="796" w:type="dxa"/>
          </w:tcPr>
          <w:p w14:paraId="79173D42"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lastRenderedPageBreak/>
              <w:t>)</w:t>
            </w:r>
          </w:p>
          <w:p w14:paraId="0B9609E3"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1605F527"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7D9A88AB"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2C7A0E78"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lastRenderedPageBreak/>
              <w:t>)</w:t>
            </w:r>
          </w:p>
          <w:p w14:paraId="6189DF4B"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014827F3"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483157BD"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27FFCBEC"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1B3EEF02"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tc>
        <w:tc>
          <w:tcPr>
            <w:tcW w:w="3716" w:type="dxa"/>
          </w:tcPr>
          <w:p w14:paraId="5863E423" w14:textId="77777777" w:rsidR="00086994" w:rsidRPr="00086994" w:rsidRDefault="00086994" w:rsidP="007D179F">
            <w:pPr>
              <w:widowControl w:val="0"/>
              <w:spacing w:after="0" w:line="240" w:lineRule="auto"/>
              <w:rPr>
                <w:rFonts w:ascii="Arial" w:eastAsia="Times New Roman" w:hAnsi="Arial" w:cs="Arial"/>
                <w:sz w:val="24"/>
                <w:szCs w:val="24"/>
              </w:rPr>
            </w:pPr>
          </w:p>
          <w:p w14:paraId="0B33E657"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17-32-EL-AIR</w:t>
            </w:r>
          </w:p>
          <w:p w14:paraId="61183FFD" w14:textId="77777777" w:rsidR="00086994" w:rsidRPr="00086994" w:rsidRDefault="00086994" w:rsidP="007D179F">
            <w:pPr>
              <w:widowControl w:val="0"/>
              <w:spacing w:after="0" w:line="240" w:lineRule="auto"/>
              <w:rPr>
                <w:rFonts w:ascii="Arial" w:eastAsia="Times New Roman" w:hAnsi="Arial" w:cs="Arial"/>
                <w:sz w:val="24"/>
                <w:szCs w:val="24"/>
              </w:rPr>
            </w:pPr>
          </w:p>
          <w:p w14:paraId="7A5BC970" w14:textId="77777777" w:rsidR="00086994" w:rsidRPr="00086994" w:rsidRDefault="00086994" w:rsidP="007D179F">
            <w:pPr>
              <w:widowControl w:val="0"/>
              <w:spacing w:after="0" w:line="240" w:lineRule="auto"/>
              <w:rPr>
                <w:rFonts w:ascii="Arial" w:eastAsia="Times New Roman" w:hAnsi="Arial" w:cs="Arial"/>
                <w:sz w:val="24"/>
                <w:szCs w:val="24"/>
              </w:rPr>
            </w:pPr>
          </w:p>
          <w:p w14:paraId="2E4BC98C"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lastRenderedPageBreak/>
              <w:t>Case No. 17-33-EL-ATA</w:t>
            </w:r>
          </w:p>
          <w:p w14:paraId="2C7FBD14" w14:textId="77777777" w:rsidR="00086994" w:rsidRPr="00086994" w:rsidRDefault="00086994" w:rsidP="007D179F">
            <w:pPr>
              <w:widowControl w:val="0"/>
              <w:spacing w:after="0" w:line="240" w:lineRule="auto"/>
              <w:rPr>
                <w:rFonts w:ascii="Arial" w:eastAsia="Times New Roman" w:hAnsi="Arial" w:cs="Arial"/>
                <w:sz w:val="24"/>
                <w:szCs w:val="24"/>
              </w:rPr>
            </w:pPr>
          </w:p>
          <w:p w14:paraId="3B856B1A" w14:textId="77777777" w:rsidR="00086994" w:rsidRPr="00086994" w:rsidRDefault="00086994" w:rsidP="007D179F">
            <w:pPr>
              <w:widowControl w:val="0"/>
              <w:spacing w:after="0" w:line="240" w:lineRule="auto"/>
              <w:rPr>
                <w:rFonts w:ascii="Arial" w:eastAsia="Times New Roman" w:hAnsi="Arial" w:cs="Arial"/>
                <w:sz w:val="24"/>
                <w:szCs w:val="24"/>
              </w:rPr>
            </w:pPr>
          </w:p>
          <w:p w14:paraId="086A9F30" w14:textId="77777777" w:rsidR="00086994" w:rsidRPr="00086994" w:rsidRDefault="00086994" w:rsidP="007D179F">
            <w:pPr>
              <w:widowControl w:val="0"/>
              <w:spacing w:after="0" w:line="240" w:lineRule="auto"/>
              <w:rPr>
                <w:rFonts w:ascii="Arial" w:eastAsia="Times New Roman" w:hAnsi="Arial" w:cs="Arial"/>
                <w:sz w:val="24"/>
                <w:szCs w:val="24"/>
              </w:rPr>
            </w:pPr>
          </w:p>
          <w:p w14:paraId="7D69A6A3"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17-34-EL-AAM</w:t>
            </w:r>
          </w:p>
        </w:tc>
      </w:tr>
      <w:tr w:rsidR="00086994" w:rsidRPr="00086994" w14:paraId="190BB27F" w14:textId="77777777" w:rsidTr="007D179F">
        <w:trPr>
          <w:trHeight w:val="873"/>
          <w:jc w:val="center"/>
        </w:trPr>
        <w:tc>
          <w:tcPr>
            <w:tcW w:w="4532" w:type="dxa"/>
          </w:tcPr>
          <w:p w14:paraId="55AA1D88" w14:textId="77777777" w:rsidR="00086994" w:rsidRPr="00086994" w:rsidRDefault="00086994" w:rsidP="007D179F">
            <w:pPr>
              <w:spacing w:after="0" w:line="240" w:lineRule="auto"/>
              <w:rPr>
                <w:rFonts w:ascii="Arial" w:eastAsia="Times New Roman" w:hAnsi="Arial" w:cs="Arial"/>
                <w:sz w:val="24"/>
                <w:szCs w:val="24"/>
              </w:rPr>
            </w:pPr>
          </w:p>
          <w:p w14:paraId="7A3BDF97" w14:textId="77777777" w:rsidR="00086994" w:rsidRPr="00086994" w:rsidRDefault="00086994" w:rsidP="007D179F">
            <w:pPr>
              <w:spacing w:after="0" w:line="240" w:lineRule="auto"/>
              <w:rPr>
                <w:rFonts w:ascii="Arial" w:eastAsia="Times New Roman" w:hAnsi="Arial" w:cs="Arial"/>
                <w:sz w:val="24"/>
                <w:szCs w:val="24"/>
              </w:rPr>
            </w:pPr>
            <w:r w:rsidRPr="00086994">
              <w:rPr>
                <w:rFonts w:ascii="Arial" w:eastAsia="Times New Roman" w:hAnsi="Arial" w:cs="Arial"/>
                <w:sz w:val="24"/>
                <w:szCs w:val="24"/>
              </w:rPr>
              <w:t>In the Matter of the Application of Duke Energy Ohio, Inc., for Approval to Modify Rider PSR.</w:t>
            </w:r>
          </w:p>
          <w:p w14:paraId="65FDA75A" w14:textId="77777777" w:rsidR="00086994" w:rsidRPr="00086994" w:rsidRDefault="00086994" w:rsidP="007D179F">
            <w:pPr>
              <w:spacing w:after="0" w:line="240" w:lineRule="auto"/>
              <w:rPr>
                <w:rFonts w:ascii="Arial" w:eastAsia="Times New Roman" w:hAnsi="Arial" w:cs="Arial"/>
                <w:sz w:val="24"/>
                <w:szCs w:val="24"/>
              </w:rPr>
            </w:pPr>
          </w:p>
          <w:p w14:paraId="4F0A1F81" w14:textId="77777777" w:rsidR="00086994" w:rsidRPr="00086994" w:rsidRDefault="00086994" w:rsidP="007D179F">
            <w:pPr>
              <w:spacing w:after="0" w:line="240" w:lineRule="auto"/>
              <w:rPr>
                <w:rFonts w:ascii="Arial" w:eastAsia="Times New Roman" w:hAnsi="Arial" w:cs="Arial"/>
                <w:sz w:val="24"/>
                <w:szCs w:val="24"/>
              </w:rPr>
            </w:pPr>
            <w:r w:rsidRPr="00086994">
              <w:rPr>
                <w:rFonts w:ascii="Arial" w:eastAsia="Times New Roman" w:hAnsi="Arial" w:cs="Arial"/>
                <w:sz w:val="24"/>
                <w:szCs w:val="24"/>
              </w:rPr>
              <w:t>In the Matter of the Application of Duke Energy Ohio, Inc., for Approval to Amend Rider PSR.</w:t>
            </w:r>
          </w:p>
          <w:p w14:paraId="526782B6" w14:textId="77777777" w:rsidR="00086994" w:rsidRPr="00086994" w:rsidRDefault="00086994" w:rsidP="007D179F">
            <w:pPr>
              <w:spacing w:after="0" w:line="240" w:lineRule="auto"/>
              <w:rPr>
                <w:rFonts w:ascii="Arial" w:eastAsia="Times New Roman" w:hAnsi="Arial" w:cs="Arial"/>
                <w:sz w:val="24"/>
                <w:szCs w:val="24"/>
              </w:rPr>
            </w:pPr>
          </w:p>
          <w:p w14:paraId="680E5AB4" w14:textId="77777777" w:rsidR="00086994" w:rsidRPr="00086994" w:rsidRDefault="00086994" w:rsidP="007D179F">
            <w:pPr>
              <w:spacing w:after="0" w:line="240" w:lineRule="auto"/>
              <w:rPr>
                <w:rFonts w:ascii="Arial" w:eastAsia="Times New Roman" w:hAnsi="Arial" w:cs="Arial"/>
                <w:sz w:val="24"/>
                <w:szCs w:val="24"/>
              </w:rPr>
            </w:pPr>
            <w:r w:rsidRPr="00086994">
              <w:rPr>
                <w:rFonts w:ascii="Arial" w:eastAsia="Times New Roman" w:hAnsi="Arial" w:cs="Arial"/>
                <w:sz w:val="24"/>
                <w:szCs w:val="24"/>
              </w:rPr>
              <w:t>In the Matter of the Application of Duke Energy Ohio Inc., for Approval to Change Accounting Methods.</w:t>
            </w:r>
          </w:p>
          <w:p w14:paraId="09BA9C63" w14:textId="77777777" w:rsidR="00086994" w:rsidRPr="00086994" w:rsidRDefault="00086994" w:rsidP="007D179F">
            <w:pPr>
              <w:spacing w:after="0" w:line="240" w:lineRule="auto"/>
              <w:rPr>
                <w:rFonts w:ascii="Arial" w:eastAsia="Times New Roman" w:hAnsi="Arial" w:cs="Arial"/>
                <w:sz w:val="24"/>
                <w:szCs w:val="24"/>
              </w:rPr>
            </w:pPr>
          </w:p>
          <w:p w14:paraId="570E3225" w14:textId="77777777" w:rsidR="00086994" w:rsidRPr="00086994" w:rsidRDefault="00086994" w:rsidP="007D179F">
            <w:pPr>
              <w:spacing w:after="0" w:line="240" w:lineRule="auto"/>
              <w:rPr>
                <w:rFonts w:ascii="Arial" w:eastAsia="Times New Roman" w:hAnsi="Arial" w:cs="Arial"/>
                <w:sz w:val="24"/>
                <w:szCs w:val="24"/>
              </w:rPr>
            </w:pPr>
            <w:r w:rsidRPr="00086994">
              <w:rPr>
                <w:rFonts w:ascii="Arial" w:eastAsia="Times New Roman" w:hAnsi="Arial" w:cs="Arial"/>
                <w:sz w:val="24"/>
                <w:szCs w:val="24"/>
              </w:rPr>
              <w:t>In the Matter of the Application of Duke Energy Ohio Inc., for Authority to Establish a Standard Service Offer Pursuant to Section 4928.143, Revised Code, in the Form of an Electric Security Plan, Accounting Modifications and Tariffs for Generation Service.</w:t>
            </w:r>
          </w:p>
          <w:p w14:paraId="56A68769" w14:textId="77777777" w:rsidR="00086994" w:rsidRPr="00086994" w:rsidRDefault="00086994" w:rsidP="007D179F">
            <w:pPr>
              <w:spacing w:after="0" w:line="240" w:lineRule="auto"/>
              <w:rPr>
                <w:rFonts w:ascii="Arial" w:eastAsia="Times New Roman" w:hAnsi="Arial" w:cs="Arial"/>
                <w:sz w:val="24"/>
                <w:szCs w:val="24"/>
              </w:rPr>
            </w:pPr>
          </w:p>
          <w:p w14:paraId="4DA5BC68" w14:textId="77777777" w:rsidR="00086994" w:rsidRPr="00086994" w:rsidRDefault="00086994" w:rsidP="007D179F">
            <w:pPr>
              <w:spacing w:after="0" w:line="240" w:lineRule="auto"/>
              <w:rPr>
                <w:rFonts w:ascii="Arial" w:eastAsia="Times New Roman" w:hAnsi="Arial" w:cs="Arial"/>
                <w:sz w:val="24"/>
                <w:szCs w:val="24"/>
              </w:rPr>
            </w:pPr>
            <w:r w:rsidRPr="00086994">
              <w:rPr>
                <w:rFonts w:ascii="Arial" w:eastAsia="Times New Roman" w:hAnsi="Arial" w:cs="Arial"/>
                <w:sz w:val="24"/>
                <w:szCs w:val="24"/>
              </w:rPr>
              <w:t>In the Matter of the Application of Duke Energy Ohio, Inc., for Authority to Amend its Certified Supplier Tariff, P.U.C.O. No. 20.</w:t>
            </w:r>
          </w:p>
          <w:p w14:paraId="6A39C5E2" w14:textId="77777777" w:rsidR="00086994" w:rsidRPr="00086994" w:rsidRDefault="00086994" w:rsidP="007D179F">
            <w:pPr>
              <w:spacing w:after="0" w:line="240" w:lineRule="auto"/>
              <w:rPr>
                <w:rFonts w:ascii="Arial" w:eastAsia="Times New Roman" w:hAnsi="Arial" w:cs="Arial"/>
                <w:sz w:val="24"/>
                <w:szCs w:val="24"/>
              </w:rPr>
            </w:pPr>
          </w:p>
          <w:p w14:paraId="456962B7" w14:textId="77777777" w:rsidR="00086994" w:rsidRPr="00086994" w:rsidRDefault="00086994" w:rsidP="007D179F">
            <w:pPr>
              <w:spacing w:after="0" w:line="240" w:lineRule="auto"/>
              <w:rPr>
                <w:rFonts w:ascii="Arial" w:eastAsia="Times New Roman" w:hAnsi="Arial" w:cs="Arial"/>
                <w:sz w:val="24"/>
                <w:szCs w:val="24"/>
              </w:rPr>
            </w:pPr>
            <w:r w:rsidRPr="00086994">
              <w:rPr>
                <w:rFonts w:ascii="Arial" w:eastAsia="Times New Roman" w:hAnsi="Arial" w:cs="Arial"/>
                <w:sz w:val="24"/>
                <w:szCs w:val="24"/>
              </w:rPr>
              <w:t>In the Matter of the Application of Duke Energy Ohio, Inc. for Authority to Defer Vegetation Management Costs.</w:t>
            </w:r>
          </w:p>
          <w:p w14:paraId="76FCEABB" w14:textId="77777777" w:rsidR="00086994" w:rsidRPr="00086994" w:rsidRDefault="00086994" w:rsidP="007D179F">
            <w:pPr>
              <w:spacing w:after="0" w:line="240" w:lineRule="auto"/>
              <w:rPr>
                <w:rFonts w:ascii="Arial" w:eastAsia="Times New Roman" w:hAnsi="Arial" w:cs="Arial"/>
                <w:sz w:val="24"/>
                <w:szCs w:val="24"/>
              </w:rPr>
            </w:pPr>
          </w:p>
          <w:p w14:paraId="5FC6097C" w14:textId="77777777" w:rsidR="00086994" w:rsidRPr="00086994" w:rsidRDefault="00086994" w:rsidP="007D179F">
            <w:pPr>
              <w:spacing w:after="0" w:line="240" w:lineRule="auto"/>
              <w:rPr>
                <w:rFonts w:ascii="Arial" w:eastAsia="Times New Roman" w:hAnsi="Arial" w:cs="Arial"/>
                <w:sz w:val="24"/>
                <w:szCs w:val="24"/>
              </w:rPr>
            </w:pPr>
            <w:r w:rsidRPr="00086994">
              <w:rPr>
                <w:rFonts w:ascii="Arial" w:eastAsia="Times New Roman" w:hAnsi="Arial" w:cs="Arial"/>
                <w:sz w:val="24"/>
                <w:szCs w:val="24"/>
              </w:rPr>
              <w:t>In the Matter of the Application of Duke Energy Ohio, Inc., to Establish Minimum Reliability Performance Standards Pursuant to Chapter 4901:1-10, Ohio Admin. Code.</w:t>
            </w:r>
          </w:p>
        </w:tc>
        <w:tc>
          <w:tcPr>
            <w:tcW w:w="796" w:type="dxa"/>
          </w:tcPr>
          <w:p w14:paraId="4B66B622"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3E661942"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6DE3C9D2"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56C27D1E"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7E46BD3D"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7AD6C917"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1CED61FB"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59D49FF1"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4D08BE83"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638178E3"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7907795F"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2EC83AB5"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5280FBB5"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3945334F"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2ECE2E66"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36D6CA95"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69269390"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07F7E890"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4CA18958"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6C1ED52D"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75E501E0"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6D85E92E"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454F7ED3"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15C13AE6"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30FD3FA7"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7E7FC90C"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0750DA55"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43D4A3DA"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4F9ECC25"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1A0A7B24" w14:textId="77777777" w:rsidR="00086994" w:rsidRPr="00086994" w:rsidRDefault="00086994" w:rsidP="007D179F">
            <w:pPr>
              <w:widowControl w:val="0"/>
              <w:spacing w:after="0" w:line="240" w:lineRule="auto"/>
              <w:jc w:val="center"/>
              <w:rPr>
                <w:rFonts w:ascii="Arial" w:eastAsia="Times New Roman" w:hAnsi="Arial" w:cs="Arial"/>
                <w:sz w:val="24"/>
                <w:szCs w:val="24"/>
              </w:rPr>
            </w:pPr>
          </w:p>
          <w:p w14:paraId="1F22C36F"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13B04B60"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6D485161"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p w14:paraId="0A66D63A" w14:textId="77777777" w:rsidR="00086994" w:rsidRPr="00086994" w:rsidRDefault="00086994" w:rsidP="007D179F">
            <w:pPr>
              <w:widowControl w:val="0"/>
              <w:spacing w:after="0" w:line="240" w:lineRule="auto"/>
              <w:jc w:val="center"/>
              <w:rPr>
                <w:rFonts w:ascii="Arial" w:eastAsia="Times New Roman" w:hAnsi="Arial" w:cs="Arial"/>
                <w:sz w:val="24"/>
                <w:szCs w:val="24"/>
              </w:rPr>
            </w:pPr>
            <w:r w:rsidRPr="00086994">
              <w:rPr>
                <w:rFonts w:ascii="Arial" w:eastAsia="Times New Roman" w:hAnsi="Arial" w:cs="Arial"/>
                <w:sz w:val="24"/>
                <w:szCs w:val="24"/>
              </w:rPr>
              <w:t>)</w:t>
            </w:r>
          </w:p>
        </w:tc>
        <w:tc>
          <w:tcPr>
            <w:tcW w:w="3716" w:type="dxa"/>
          </w:tcPr>
          <w:p w14:paraId="26351669" w14:textId="77777777" w:rsidR="00086994" w:rsidRPr="00086994" w:rsidRDefault="00086994" w:rsidP="007D179F">
            <w:pPr>
              <w:widowControl w:val="0"/>
              <w:spacing w:after="0" w:line="240" w:lineRule="auto"/>
              <w:rPr>
                <w:rFonts w:ascii="Arial" w:eastAsia="Times New Roman" w:hAnsi="Arial" w:cs="Arial"/>
                <w:sz w:val="24"/>
                <w:szCs w:val="24"/>
              </w:rPr>
            </w:pPr>
          </w:p>
          <w:p w14:paraId="5DA97B7B" w14:textId="77777777" w:rsidR="00086994" w:rsidRPr="00086994" w:rsidRDefault="00086994" w:rsidP="007D179F">
            <w:pPr>
              <w:widowControl w:val="0"/>
              <w:spacing w:after="0" w:line="240" w:lineRule="auto"/>
              <w:rPr>
                <w:rFonts w:ascii="Arial" w:eastAsia="Times New Roman" w:hAnsi="Arial" w:cs="Arial"/>
                <w:sz w:val="24"/>
                <w:szCs w:val="24"/>
              </w:rPr>
            </w:pPr>
          </w:p>
          <w:p w14:paraId="49F30682"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17-872-EL-RDR</w:t>
            </w:r>
          </w:p>
          <w:p w14:paraId="0B4D877D" w14:textId="77777777" w:rsidR="00086994" w:rsidRPr="00086994" w:rsidRDefault="00086994" w:rsidP="007D179F">
            <w:pPr>
              <w:widowControl w:val="0"/>
              <w:spacing w:after="0" w:line="240" w:lineRule="auto"/>
              <w:rPr>
                <w:rFonts w:ascii="Arial" w:eastAsia="Times New Roman" w:hAnsi="Arial" w:cs="Arial"/>
                <w:sz w:val="24"/>
                <w:szCs w:val="24"/>
              </w:rPr>
            </w:pPr>
          </w:p>
          <w:p w14:paraId="38538D38" w14:textId="77777777" w:rsidR="00086994" w:rsidRPr="00086994" w:rsidRDefault="00086994" w:rsidP="007D179F">
            <w:pPr>
              <w:widowControl w:val="0"/>
              <w:spacing w:after="0" w:line="240" w:lineRule="auto"/>
              <w:rPr>
                <w:rFonts w:ascii="Arial" w:eastAsia="Times New Roman" w:hAnsi="Arial" w:cs="Arial"/>
                <w:sz w:val="24"/>
                <w:szCs w:val="24"/>
              </w:rPr>
            </w:pPr>
          </w:p>
          <w:p w14:paraId="785D69C4" w14:textId="77777777" w:rsidR="00086994" w:rsidRPr="00086994" w:rsidRDefault="00086994" w:rsidP="007D179F">
            <w:pPr>
              <w:widowControl w:val="0"/>
              <w:spacing w:after="0" w:line="240" w:lineRule="auto"/>
              <w:rPr>
                <w:rFonts w:ascii="Arial" w:eastAsia="Times New Roman" w:hAnsi="Arial" w:cs="Arial"/>
                <w:sz w:val="24"/>
                <w:szCs w:val="24"/>
              </w:rPr>
            </w:pPr>
          </w:p>
          <w:p w14:paraId="32AF8EE6"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17-873-EL-ATA</w:t>
            </w:r>
          </w:p>
          <w:p w14:paraId="1409C96D" w14:textId="77777777" w:rsidR="00086994" w:rsidRPr="00086994" w:rsidRDefault="00086994" w:rsidP="007D179F">
            <w:pPr>
              <w:widowControl w:val="0"/>
              <w:spacing w:after="0" w:line="240" w:lineRule="auto"/>
              <w:rPr>
                <w:rFonts w:ascii="Arial" w:eastAsia="Times New Roman" w:hAnsi="Arial" w:cs="Arial"/>
                <w:sz w:val="24"/>
                <w:szCs w:val="24"/>
              </w:rPr>
            </w:pPr>
          </w:p>
          <w:p w14:paraId="56811318" w14:textId="77777777" w:rsidR="00086994" w:rsidRPr="00086994" w:rsidRDefault="00086994" w:rsidP="007D179F">
            <w:pPr>
              <w:widowControl w:val="0"/>
              <w:spacing w:after="0" w:line="240" w:lineRule="auto"/>
              <w:rPr>
                <w:rFonts w:ascii="Arial" w:eastAsia="Times New Roman" w:hAnsi="Arial" w:cs="Arial"/>
                <w:sz w:val="24"/>
                <w:szCs w:val="24"/>
              </w:rPr>
            </w:pPr>
          </w:p>
          <w:p w14:paraId="30C657E9" w14:textId="77777777" w:rsidR="00086994" w:rsidRPr="00086994" w:rsidRDefault="00086994" w:rsidP="007D179F">
            <w:pPr>
              <w:widowControl w:val="0"/>
              <w:spacing w:after="0" w:line="240" w:lineRule="auto"/>
              <w:rPr>
                <w:rFonts w:ascii="Arial" w:eastAsia="Times New Roman" w:hAnsi="Arial" w:cs="Arial"/>
                <w:sz w:val="24"/>
                <w:szCs w:val="24"/>
              </w:rPr>
            </w:pPr>
          </w:p>
          <w:p w14:paraId="44275777"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17-874-EL-AAM</w:t>
            </w:r>
          </w:p>
          <w:p w14:paraId="3453578F" w14:textId="77777777" w:rsidR="00086994" w:rsidRPr="00086994" w:rsidRDefault="00086994" w:rsidP="007D179F">
            <w:pPr>
              <w:widowControl w:val="0"/>
              <w:spacing w:after="0" w:line="240" w:lineRule="auto"/>
              <w:rPr>
                <w:rFonts w:ascii="Arial" w:eastAsia="Times New Roman" w:hAnsi="Arial" w:cs="Arial"/>
                <w:sz w:val="24"/>
                <w:szCs w:val="24"/>
              </w:rPr>
            </w:pPr>
          </w:p>
          <w:p w14:paraId="7C52CEEE" w14:textId="77777777" w:rsidR="00086994" w:rsidRPr="00086994" w:rsidRDefault="00086994" w:rsidP="007D179F">
            <w:pPr>
              <w:widowControl w:val="0"/>
              <w:spacing w:after="0" w:line="240" w:lineRule="auto"/>
              <w:rPr>
                <w:rFonts w:ascii="Arial" w:eastAsia="Times New Roman" w:hAnsi="Arial" w:cs="Arial"/>
                <w:sz w:val="24"/>
                <w:szCs w:val="24"/>
              </w:rPr>
            </w:pPr>
          </w:p>
          <w:p w14:paraId="0FD97354" w14:textId="77777777" w:rsidR="00086994" w:rsidRPr="00086994" w:rsidRDefault="00086994" w:rsidP="007D179F">
            <w:pPr>
              <w:widowControl w:val="0"/>
              <w:spacing w:after="0" w:line="240" w:lineRule="auto"/>
              <w:rPr>
                <w:rFonts w:ascii="Arial" w:eastAsia="Times New Roman" w:hAnsi="Arial" w:cs="Arial"/>
                <w:sz w:val="24"/>
                <w:szCs w:val="24"/>
              </w:rPr>
            </w:pPr>
          </w:p>
          <w:p w14:paraId="242A2287" w14:textId="77777777" w:rsidR="00086994" w:rsidRPr="00086994" w:rsidRDefault="00086994" w:rsidP="007D179F">
            <w:pPr>
              <w:widowControl w:val="0"/>
              <w:spacing w:after="0" w:line="240" w:lineRule="auto"/>
              <w:rPr>
                <w:rFonts w:ascii="Arial" w:eastAsia="Times New Roman" w:hAnsi="Arial" w:cs="Arial"/>
                <w:sz w:val="24"/>
                <w:szCs w:val="24"/>
              </w:rPr>
            </w:pPr>
          </w:p>
          <w:p w14:paraId="7F7B53AE" w14:textId="77777777" w:rsidR="00086994" w:rsidRPr="00086994" w:rsidRDefault="00086994" w:rsidP="007D179F">
            <w:pPr>
              <w:widowControl w:val="0"/>
              <w:spacing w:after="0" w:line="240" w:lineRule="auto"/>
              <w:rPr>
                <w:rFonts w:ascii="Arial" w:eastAsia="Times New Roman" w:hAnsi="Arial" w:cs="Arial"/>
                <w:sz w:val="24"/>
                <w:szCs w:val="24"/>
              </w:rPr>
            </w:pPr>
          </w:p>
          <w:p w14:paraId="394634B8"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17-1263-EL-SSO</w:t>
            </w:r>
          </w:p>
          <w:p w14:paraId="55615015" w14:textId="77777777" w:rsidR="00086994" w:rsidRPr="00086994" w:rsidRDefault="00086994" w:rsidP="007D179F">
            <w:pPr>
              <w:widowControl w:val="0"/>
              <w:spacing w:after="0" w:line="240" w:lineRule="auto"/>
              <w:rPr>
                <w:rFonts w:ascii="Arial" w:eastAsia="Times New Roman" w:hAnsi="Arial" w:cs="Arial"/>
                <w:sz w:val="24"/>
                <w:szCs w:val="24"/>
              </w:rPr>
            </w:pPr>
          </w:p>
          <w:p w14:paraId="114A1C49" w14:textId="77777777" w:rsidR="00086994" w:rsidRPr="00086994" w:rsidRDefault="00086994" w:rsidP="007D179F">
            <w:pPr>
              <w:widowControl w:val="0"/>
              <w:spacing w:after="0" w:line="240" w:lineRule="auto"/>
              <w:rPr>
                <w:rFonts w:ascii="Arial" w:eastAsia="Times New Roman" w:hAnsi="Arial" w:cs="Arial"/>
                <w:sz w:val="24"/>
                <w:szCs w:val="24"/>
              </w:rPr>
            </w:pPr>
          </w:p>
          <w:p w14:paraId="632BCA26" w14:textId="77777777" w:rsidR="00086994" w:rsidRPr="00086994" w:rsidRDefault="00086994" w:rsidP="007D179F">
            <w:pPr>
              <w:widowControl w:val="0"/>
              <w:spacing w:after="0" w:line="240" w:lineRule="auto"/>
              <w:rPr>
                <w:rFonts w:ascii="Arial" w:eastAsia="Times New Roman" w:hAnsi="Arial" w:cs="Arial"/>
                <w:sz w:val="24"/>
                <w:szCs w:val="24"/>
              </w:rPr>
            </w:pPr>
          </w:p>
          <w:p w14:paraId="21F70566" w14:textId="77777777" w:rsidR="00086994" w:rsidRPr="00086994" w:rsidRDefault="00086994" w:rsidP="007D179F">
            <w:pPr>
              <w:widowControl w:val="0"/>
              <w:spacing w:after="0" w:line="240" w:lineRule="auto"/>
              <w:rPr>
                <w:rFonts w:ascii="Arial" w:eastAsia="Times New Roman" w:hAnsi="Arial" w:cs="Arial"/>
                <w:sz w:val="24"/>
                <w:szCs w:val="24"/>
              </w:rPr>
            </w:pPr>
          </w:p>
          <w:p w14:paraId="1C96DB9F" w14:textId="77777777" w:rsidR="00086994" w:rsidRPr="00086994" w:rsidRDefault="00086994" w:rsidP="007D179F">
            <w:pPr>
              <w:widowControl w:val="0"/>
              <w:spacing w:after="0" w:line="240" w:lineRule="auto"/>
              <w:rPr>
                <w:rFonts w:ascii="Arial" w:eastAsia="Times New Roman" w:hAnsi="Arial" w:cs="Arial"/>
                <w:sz w:val="24"/>
                <w:szCs w:val="24"/>
              </w:rPr>
            </w:pPr>
          </w:p>
          <w:p w14:paraId="627413C3"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17-1264-EL-ATA</w:t>
            </w:r>
          </w:p>
          <w:p w14:paraId="1A27181A" w14:textId="77777777" w:rsidR="00086994" w:rsidRPr="00086994" w:rsidRDefault="00086994" w:rsidP="007D179F">
            <w:pPr>
              <w:widowControl w:val="0"/>
              <w:spacing w:after="0" w:line="240" w:lineRule="auto"/>
              <w:rPr>
                <w:rFonts w:ascii="Arial" w:eastAsia="Times New Roman" w:hAnsi="Arial" w:cs="Arial"/>
                <w:sz w:val="24"/>
                <w:szCs w:val="24"/>
              </w:rPr>
            </w:pPr>
          </w:p>
          <w:p w14:paraId="68D46560" w14:textId="77777777" w:rsidR="00086994" w:rsidRPr="00086994" w:rsidRDefault="00086994" w:rsidP="007D179F">
            <w:pPr>
              <w:widowControl w:val="0"/>
              <w:spacing w:after="0" w:line="240" w:lineRule="auto"/>
              <w:rPr>
                <w:rFonts w:ascii="Arial" w:eastAsia="Times New Roman" w:hAnsi="Arial" w:cs="Arial"/>
                <w:sz w:val="24"/>
                <w:szCs w:val="24"/>
              </w:rPr>
            </w:pPr>
          </w:p>
          <w:p w14:paraId="3741FC1A" w14:textId="77777777" w:rsidR="00086994" w:rsidRPr="00086994" w:rsidRDefault="00086994" w:rsidP="007D179F">
            <w:pPr>
              <w:widowControl w:val="0"/>
              <w:spacing w:after="0" w:line="240" w:lineRule="auto"/>
              <w:rPr>
                <w:rFonts w:ascii="Arial" w:eastAsia="Times New Roman" w:hAnsi="Arial" w:cs="Arial"/>
                <w:sz w:val="24"/>
                <w:szCs w:val="24"/>
              </w:rPr>
            </w:pPr>
          </w:p>
          <w:p w14:paraId="79713E52" w14:textId="77777777" w:rsidR="00086994" w:rsidRPr="00086994" w:rsidRDefault="00086994" w:rsidP="007D179F">
            <w:pPr>
              <w:widowControl w:val="0"/>
              <w:spacing w:after="0" w:line="240" w:lineRule="auto"/>
              <w:rPr>
                <w:rFonts w:ascii="Arial" w:eastAsia="Times New Roman" w:hAnsi="Arial" w:cs="Arial"/>
                <w:sz w:val="24"/>
                <w:szCs w:val="24"/>
              </w:rPr>
            </w:pPr>
          </w:p>
          <w:p w14:paraId="0870B792"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Case No. 17-1265-EL-AAM</w:t>
            </w:r>
          </w:p>
          <w:p w14:paraId="673EFF2E" w14:textId="77777777" w:rsidR="00086994" w:rsidRPr="00086994" w:rsidRDefault="00086994" w:rsidP="007D179F">
            <w:pPr>
              <w:widowControl w:val="0"/>
              <w:spacing w:after="0" w:line="240" w:lineRule="auto"/>
              <w:rPr>
                <w:rFonts w:ascii="Arial" w:eastAsia="Times New Roman" w:hAnsi="Arial" w:cs="Arial"/>
                <w:sz w:val="24"/>
                <w:szCs w:val="24"/>
              </w:rPr>
            </w:pPr>
          </w:p>
          <w:p w14:paraId="76D068D1" w14:textId="77777777" w:rsidR="00086994" w:rsidRPr="00086994" w:rsidRDefault="00086994" w:rsidP="007D179F">
            <w:pPr>
              <w:widowControl w:val="0"/>
              <w:spacing w:after="0" w:line="240" w:lineRule="auto"/>
              <w:rPr>
                <w:rFonts w:ascii="Arial" w:eastAsia="Times New Roman" w:hAnsi="Arial" w:cs="Arial"/>
                <w:sz w:val="24"/>
                <w:szCs w:val="24"/>
              </w:rPr>
            </w:pPr>
          </w:p>
          <w:p w14:paraId="3452035A" w14:textId="77777777" w:rsidR="00086994" w:rsidRPr="00086994" w:rsidRDefault="00086994" w:rsidP="007D179F">
            <w:pPr>
              <w:widowControl w:val="0"/>
              <w:spacing w:after="0" w:line="240" w:lineRule="auto"/>
              <w:rPr>
                <w:rFonts w:ascii="Arial" w:eastAsia="Times New Roman" w:hAnsi="Arial" w:cs="Arial"/>
                <w:sz w:val="24"/>
                <w:szCs w:val="24"/>
              </w:rPr>
            </w:pPr>
          </w:p>
          <w:p w14:paraId="49575D0D" w14:textId="77777777" w:rsidR="00086994" w:rsidRPr="00086994" w:rsidRDefault="00086994" w:rsidP="007D179F">
            <w:pPr>
              <w:widowControl w:val="0"/>
              <w:spacing w:after="0" w:line="240" w:lineRule="auto"/>
              <w:rPr>
                <w:rFonts w:ascii="Arial" w:eastAsia="Times New Roman" w:hAnsi="Arial" w:cs="Arial"/>
                <w:sz w:val="24"/>
                <w:szCs w:val="24"/>
              </w:rPr>
            </w:pPr>
          </w:p>
          <w:p w14:paraId="37998EE5" w14:textId="77777777" w:rsidR="00086994" w:rsidRPr="00086994" w:rsidRDefault="00086994" w:rsidP="007D179F">
            <w:pPr>
              <w:widowControl w:val="0"/>
              <w:spacing w:after="0" w:line="240" w:lineRule="auto"/>
              <w:rPr>
                <w:rFonts w:ascii="Arial" w:eastAsia="Times New Roman" w:hAnsi="Arial" w:cs="Arial"/>
                <w:sz w:val="24"/>
                <w:szCs w:val="24"/>
              </w:rPr>
            </w:pPr>
            <w:r w:rsidRPr="00086994">
              <w:rPr>
                <w:rFonts w:ascii="Arial" w:eastAsia="Times New Roman" w:hAnsi="Arial" w:cs="Arial"/>
                <w:sz w:val="24"/>
                <w:szCs w:val="24"/>
              </w:rPr>
              <w:t xml:space="preserve">Case No. 16-1602-EL-ESS  </w:t>
            </w:r>
          </w:p>
        </w:tc>
      </w:tr>
    </w:tbl>
    <w:p w14:paraId="61CB7BC9" w14:textId="77777777" w:rsidR="008B3507" w:rsidRPr="00FE7C99" w:rsidRDefault="008B3507" w:rsidP="008B3507">
      <w:pPr>
        <w:spacing w:line="200" w:lineRule="exact"/>
        <w:rPr>
          <w:rFonts w:ascii="Arial" w:hAnsi="Arial" w:cs="Arial"/>
          <w:sz w:val="24"/>
          <w:szCs w:val="24"/>
        </w:rPr>
      </w:pPr>
    </w:p>
    <w:p w14:paraId="5658A65C" w14:textId="77777777" w:rsidR="008B3507" w:rsidRPr="00FE7C99" w:rsidRDefault="008B3507" w:rsidP="008B3507">
      <w:pPr>
        <w:spacing w:line="200" w:lineRule="exact"/>
        <w:rPr>
          <w:rFonts w:ascii="Arial" w:hAnsi="Arial" w:cs="Arial"/>
          <w:sz w:val="24"/>
          <w:szCs w:val="24"/>
        </w:rPr>
      </w:pPr>
    </w:p>
    <w:p w14:paraId="21F2F72F" w14:textId="12714B95" w:rsidR="008B3507" w:rsidRPr="00086994" w:rsidRDefault="008B3507" w:rsidP="008B3507">
      <w:pPr>
        <w:spacing w:line="268" w:lineRule="exact"/>
        <w:ind w:right="942"/>
        <w:rPr>
          <w:rFonts w:ascii="Arial" w:eastAsia="Arial,Times New Roman" w:hAnsi="Arial" w:cs="Arial"/>
          <w:b/>
          <w:bCs/>
          <w:color w:val="21212A"/>
          <w:w w:val="105"/>
          <w:sz w:val="24"/>
          <w:szCs w:val="24"/>
        </w:rPr>
      </w:pPr>
      <w:r w:rsidRPr="00140B09">
        <w:rPr>
          <w:rFonts w:ascii="Arial" w:hAnsi="Arial" w:cs="Arial"/>
          <w:b/>
          <w:noProof/>
          <w:sz w:val="24"/>
          <w:szCs w:val="24"/>
        </w:rPr>
        <mc:AlternateContent>
          <mc:Choice Requires="wpg">
            <w:drawing>
              <wp:anchor distT="0" distB="0" distL="114300" distR="114300" simplePos="0" relativeHeight="251658240" behindDoc="1" locked="0" layoutInCell="1" allowOverlap="1" wp14:anchorId="0DBE284D" wp14:editId="531CBACF">
                <wp:simplePos x="0" y="0"/>
                <wp:positionH relativeFrom="page">
                  <wp:posOffset>1121410</wp:posOffset>
                </wp:positionH>
                <wp:positionV relativeFrom="paragraph">
                  <wp:posOffset>-193040</wp:posOffset>
                </wp:positionV>
                <wp:extent cx="5528945" cy="1270"/>
                <wp:effectExtent l="16510" t="16510" r="17145" b="20320"/>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304"/>
                          <a:chExt cx="8707" cy="2"/>
                        </a:xfrm>
                      </wpg:grpSpPr>
                      <wps:wsp>
                        <wps:cNvPr id="3" name="Freeform 37"/>
                        <wps:cNvSpPr>
                          <a:spLocks/>
                        </wps:cNvSpPr>
                        <wps:spPr bwMode="auto">
                          <a:xfrm>
                            <a:off x="1766" y="-304"/>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27E5D" id="Group 36" o:spid="_x0000_s1026" style="position:absolute;margin-left:88.3pt;margin-top:-15.2pt;width:435.35pt;height:.1pt;z-index:-251658240;mso-position-horizontal-relative:page" coordorigin="1766,-304"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2tYQMAAOYHAAAOAAAAZHJzL2Uyb0RvYy54bWykVduO2zgMfS+w/yDocYuML3EuY0ymKHIZ&#10;FJhegKYfoMjyBWtLrqTEmRb770tRdsaTtthFNw+KZFLk4SFF3r05NzU5CW0qJVc0ugkpEZKrrJLF&#10;in7Z7yZLSoxlMmO1kmJFn4Shb+7/eHXXtamIVanqTGgCRqRJu3ZFS2vbNAgML0XDzI1qhQRhrnTD&#10;LBx1EWSadWC9qYM4DOdBp3TWasWFMfB144X0Hu3nueD2Y54bYUm9ooDN4qpxPbg1uL9jaaFZW1a8&#10;h8F+A0XDKglOL6Y2zDJy1NUPppqKa2VUbm+4agKV5xUXGANEE4VX0TxodWwxliLtivZCE1B7xdNv&#10;m+UfTp80qTLIHSWSNZAi9Eqmc8dN1xYpqDzo9nP7SfsAYfuo+F8GxMG13J0Lr0wO3XuVgT12tAq5&#10;Oee6cSYganLGFDxdUiDOlnD4OJvFy9tkRgkHWRQv+gzxEtLoLkWL+ZwSkE2mYeKzx8ttf3m5CBf+&#10;ZuxEAUu9S4TZw3IxQamZZzbN/2Pzc8lagUkyjqqezenA5k4L4cqXTBeeUNQa2DRjKkcSh9EA4/9K&#10;4k/4GKj8FRss5UdjH4TCZLDTo7H+FWSwwxRnfSXs4cXkTQ0P4vWEhMT5wsXzXlzUoHS82p8B2Yek&#10;I+i6NzrYigclbytMFslPjQFzz8bikTFIZzFAZOWAmp9lDxt2hLm2E2K1tcq4gtkDuKHMwAIouRB/&#10;oQu+r3X9nd6Fhn5y3Uk0JdBJDp6TllmHzLlwW9KtKHLhPjTqJPYKRfaq/sHJs7SWYy24Di10hMqL&#10;4YZzgEV+ceqwjlIr1a6qa0xDLR2UOJkuEyTHqLrKnNTBMbo4rGtNTsw1Sfz1z+eFGjQjmaG1UrBs&#10;2+8tq2q/B+81kgsF2HPgShG74Pfb8Ha73C6TSRLPt5Mk3Gwmb3frZDLfRYvZZrpZrzfR3w5alKRl&#10;lWVCOnRDR46S//ZG+9nge+mlJ7+I4kWwO/z9GGzwEgayDLEM/xgdNBX/Rn1HOajsCd6rVn7EwEiE&#10;Tan0N0o6GC8rar4emRaU1O8kdJzbKEncPMJDMlvEcNBjyWEsYZKDqRW1FCrcbdfWz7Bjq6uiBE8R&#10;plWqt9Bs88o9aMTnUfUHaHq4w2GCsfSDz02r8Rm1nsfz/T8AAAD//wMAUEsDBBQABgAIAAAAIQDW&#10;SsqT4QAAAAwBAAAPAAAAZHJzL2Rvd25yZXYueG1sTI/BbsIwDIbvk/YOkSftBkkpK6g0RQhtO6FJ&#10;wKRpt9CYtqJxqia05e0XdtmOv/3p9+dsPZqG9di52pKEaCqAIRVW11RK+Dy+TZbAnFekVWMJJdzQ&#10;wTp/fMhUqu1Ae+wPvmShhFyqJFTetynnrqjQKDe1LVLYnW1nlA+xK7nu1BDKTcNnQiTcqJrChUq1&#10;uK2wuByuRsL7oIZNHL32u8t5e/s+vnx87SKU8vlp3KyAeRz9Hwx3/aAOeXA62Stpx5qQF0kSUAmT&#10;WMyB3QkxX8TATr+jGfA84/+fyH8AAAD//wMAUEsBAi0AFAAGAAgAAAAhALaDOJL+AAAA4QEAABMA&#10;AAAAAAAAAAAAAAAAAAAAAFtDb250ZW50X1R5cGVzXS54bWxQSwECLQAUAAYACAAAACEAOP0h/9YA&#10;AACUAQAACwAAAAAAAAAAAAAAAAAvAQAAX3JlbHMvLnJlbHNQSwECLQAUAAYACAAAACEAEbLNrWED&#10;AADmBwAADgAAAAAAAAAAAAAAAAAuAgAAZHJzL2Uyb0RvYy54bWxQSwECLQAUAAYACAAAACEA1krK&#10;k+EAAAAMAQAADwAAAAAAAAAAAAAAAAC7BQAAZHJzL2Rvd25yZXYueG1sUEsFBgAAAAAEAAQA8wAA&#10;AMkGAAAAAA==&#10;">
                <v:shape id="Freeform 37" o:spid="_x0000_s1027" style="position:absolute;left:1766;top:-304;width:8707;height:2;visibility:visible;mso-wrap-style:square;v-text-anchor:top"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bwgAAANoAAAAPAAAAZHJzL2Rvd25yZXYueG1sRI/NasMw&#10;EITvhbyD2EBujZwmhNa1EvJDIdemveS2WFvL2Fo5khqrbx8VCj0OM/MNU22T7cWNfGgdK1jMCxDE&#10;tdMtNwo+P94en0GEiKyxd0wKfijAdjN5qLDUbuR3up1jIzKEQ4kKTIxDKWWoDVkMczcQZ+/LeYsx&#10;S99I7XHMcNvLp6JYS4st5wWDAx0M1d352yo4Hi6n9OLX3SqZa7FfXoxLY1JqNk27VxCRUvwP/7VP&#10;WsESfq/kGyA3dwAAAP//AwBQSwECLQAUAAYACAAAACEA2+H2y+4AAACFAQAAEwAAAAAAAAAAAAAA&#10;AAAAAAAAW0NvbnRlbnRfVHlwZXNdLnhtbFBLAQItABQABgAIAAAAIQBa9CxbvwAAABUBAAALAAAA&#10;AAAAAAAAAAAAAB8BAABfcmVscy8ucmVsc1BLAQItABQABgAIAAAAIQBzD+2bwgAAANoAAAAPAAAA&#10;AAAAAAAAAAAAAAcCAABkcnMvZG93bnJldi54bWxQSwUGAAAAAAMAAwC3AAAA9gIAAAAA&#10;" path="m,l8708,e" filled="f" strokeweight="1.92pt">
                  <v:path arrowok="t" o:connecttype="custom" o:connectlocs="0,0;8708,0" o:connectangles="0,0"/>
                </v:shape>
                <w10:wrap anchorx="page"/>
              </v:group>
            </w:pict>
          </mc:Fallback>
        </mc:AlternateContent>
      </w:r>
      <w:r w:rsidRPr="00FE7C99">
        <w:rPr>
          <w:rFonts w:ascii="Arial" w:eastAsia="Arial" w:hAnsi="Arial" w:cs="Arial"/>
          <w:b/>
          <w:bCs/>
          <w:color w:val="21212A"/>
          <w:w w:val="105"/>
          <w:sz w:val="24"/>
          <w:szCs w:val="24"/>
        </w:rPr>
        <w:t xml:space="preserve">       MEMORANDUM IN SUPPORT OF INTERSTATE GAS SUPPLY, INC</w:t>
      </w:r>
      <w:r w:rsidRPr="00140B09">
        <w:rPr>
          <w:rFonts w:ascii="Arial" w:hAnsi="Arial" w:cs="Arial"/>
          <w:b/>
          <w:noProof/>
          <w:sz w:val="24"/>
          <w:szCs w:val="24"/>
        </w:rPr>
        <mc:AlternateContent>
          <mc:Choice Requires="wpg">
            <w:drawing>
              <wp:anchor distT="0" distB="0" distL="114300" distR="114300" simplePos="0" relativeHeight="251658241" behindDoc="1" locked="0" layoutInCell="1" allowOverlap="1" wp14:anchorId="103770D1" wp14:editId="39EFBEB1">
                <wp:simplePos x="0" y="0"/>
                <wp:positionH relativeFrom="page">
                  <wp:posOffset>1121410</wp:posOffset>
                </wp:positionH>
                <wp:positionV relativeFrom="paragraph">
                  <wp:posOffset>374650</wp:posOffset>
                </wp:positionV>
                <wp:extent cx="5528945" cy="1270"/>
                <wp:effectExtent l="16510" t="12700" r="17145" b="14605"/>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590"/>
                          <a:chExt cx="8707" cy="2"/>
                        </a:xfrm>
                      </wpg:grpSpPr>
                      <wps:wsp>
                        <wps:cNvPr id="5" name="Freeform 35"/>
                        <wps:cNvSpPr>
                          <a:spLocks/>
                        </wps:cNvSpPr>
                        <wps:spPr bwMode="auto">
                          <a:xfrm>
                            <a:off x="1766" y="590"/>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87A7" id="Group 34" o:spid="_x0000_s1026" style="position:absolute;margin-left:88.3pt;margin-top:29.5pt;width:435.35pt;height:.1pt;z-index:-251658239;mso-position-horizontal-relative:page" coordorigin="1766,590"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fnXQMAAOQ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I0oEayBF6JVMI8tN1xYxqNyr9qH9rFyAsH0v0380iL1ruT0XTpkcug8yA3vsaCRy&#10;c85VY01A1OSMKXi8pICfDUnh42wWLlfRjJIUZEG46DOUlpBGeylYzOeUgGy2uoi2/d3lwl+4i6HF&#10;7rHYeUSUPSobElSafiJT/x6ZDyVrOeZIW6Z6MiEAR+ZOcW6rl0xnjk/UGsjUYyZHEotRA+H/yeFL&#10;OgYiXyODxelRm3suMRXs9F4b9wYy2GGCsx76Ht5L3tTwHP6aEJ9YV7j0b+aiFgxqbzyy90lH0HVv&#10;dLAVDkrOlh8top8amw561lg4MgbZLAaIrBxQp2fRw4YdYbbp+FhrrdS2XPYAbigysABKNsRXdMH3&#10;ta6707tQ0E2u+4iiBPrIwXHSMmORWRd2S7qEIhf2QyNPfC9RZK6qH5w8SWsx1oLr0EBHqJwYblgH&#10;WOMXpxbrKLVC7qq6xjTUwkIJo+kyQnK0rKvMSi0crYrDulbkxGyLxF//ep6pQSsSGVorOcu2/d6w&#10;qnZ78F4juVCAPQe2FLEHflv5q+1yu4wmUTjfTiJ/s5m8262jyXwXLGab6Wa93gTfLbQgissqy7iw&#10;6IZ+HET/74n2k8F10ktHfhbFs2B3+HsZrPccBrIMsQz/GB30FPdEXUM5yOwRnquSbsDAQIRNKdVX&#10;SjoYLgnV/x6Z4pTUfwtoOKsgiuw0wkM0W4RwUGPJYSxhIgVTCTUUKtxu18ZNsGOrqqIETwGmVch3&#10;0Grzyj5oxOdQ9QfoebjDUYKx9GPPzqrxGbWehvPdDwAAAP//AwBQSwMEFAAGAAgAAAAhAMH8n7Pg&#10;AAAACgEAAA8AAABkcnMvZG93bnJldi54bWxMj8FOwzAQRO9I/IO1SNyok5amEOJUVQWcKiRaJMRt&#10;G2+TqPE6it0k/XucExxn9ml2JluPphE9da62rCCeRSCIC6trLhV8Hd4enkA4j6yxsUwKruRgnd/e&#10;ZJhqO/An9XtfihDCLkUFlfdtKqUrKjLoZrYlDreT7Qz6ILtS6g6HEG4aOY+iRBqsOXyosKVtRcV5&#10;fzEK3gccNov4td+dT9vrz2H58b2LSan7u3HzAsLT6P9gmOqH6pCHTkd7Ye1EE/QqSQKqYPkcNk1A&#10;9LhagDhOzhxknsn/E/JfAAAA//8DAFBLAQItABQABgAIAAAAIQC2gziS/gAAAOEBAAATAAAAAAAA&#10;AAAAAAAAAAAAAABbQ29udGVudF9UeXBlc10ueG1sUEsBAi0AFAAGAAgAAAAhADj9If/WAAAAlAEA&#10;AAsAAAAAAAAAAAAAAAAALwEAAF9yZWxzLy5yZWxzUEsBAi0AFAAGAAgAAAAhAKixh+ddAwAA5AcA&#10;AA4AAAAAAAAAAAAAAAAALgIAAGRycy9lMm9Eb2MueG1sUEsBAi0AFAAGAAgAAAAhAMH8n7PgAAAA&#10;CgEAAA8AAAAAAAAAAAAAAAAAtwUAAGRycy9kb3ducmV2LnhtbFBLBQYAAAAABAAEAPMAAADEBgAA&#10;AAA=&#10;">
                <v:shape id="Freeform 35" o:spid="_x0000_s1027" style="position:absolute;left:1766;top:590;width:8707;height:2;visibility:visible;mso-wrap-style:square;v-text-anchor:top"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B0wQAAANoAAAAPAAAAZHJzL2Rvd25yZXYueG1sRI9BawIx&#10;FITvQv9DeEJvmtW20q5GUYvgtdtevD02z83i5mWbRDf996ZQ6HGYmW+Y1SbZTtzIh9axgtm0AEFc&#10;O91yo+Dr8zB5BREissbOMSn4oQCb9cNohaV2A3/QrYqNyBAOJSowMfallKE2ZDFMXU+cvbPzFmOW&#10;vpHa45DhtpPzolhIiy3nBYM97Q3Vl+pqFbzvT8f05heX52S+i93Tybg0JKUex2m7BBEpxf/wX/uo&#10;FbzA75V8A+T6DgAA//8DAFBLAQItABQABgAIAAAAIQDb4fbL7gAAAIUBAAATAAAAAAAAAAAAAAAA&#10;AAAAAABbQ29udGVudF9UeXBlc10ueG1sUEsBAi0AFAAGAAgAAAAhAFr0LFu/AAAAFQEAAAsAAAAA&#10;AAAAAAAAAAAAHwEAAF9yZWxzLy5yZWxzUEsBAi0AFAAGAAgAAAAhAJOq0HTBAAAA2gAAAA8AAAAA&#10;AAAAAAAAAAAABwIAAGRycy9kb3ducmV2LnhtbFBLBQYAAAAAAwADALcAAAD1AgAAAAA=&#10;" path="m,l8708,e" filled="f" strokeweight="1.92pt">
                  <v:path arrowok="t" o:connecttype="custom" o:connectlocs="0,0;8708,0" o:connectangles="0,0"/>
                </v:shape>
                <w10:wrap anchorx="page"/>
              </v:group>
            </w:pict>
          </mc:Fallback>
        </mc:AlternateContent>
      </w:r>
      <w:r w:rsidRPr="00086994">
        <w:rPr>
          <w:rFonts w:ascii="Arial" w:eastAsia="Arial,Times New Roman" w:hAnsi="Arial" w:cs="Arial"/>
          <w:b/>
          <w:bCs/>
          <w:color w:val="21212A"/>
          <w:w w:val="105"/>
          <w:sz w:val="24"/>
          <w:szCs w:val="24"/>
        </w:rPr>
        <w:t>.</w:t>
      </w:r>
    </w:p>
    <w:p w14:paraId="0D7E468E" w14:textId="12107F6C" w:rsidR="0063758B" w:rsidRPr="00FE7C99" w:rsidRDefault="0063758B" w:rsidP="00FE32BA">
      <w:pPr>
        <w:spacing w:after="120" w:line="480" w:lineRule="auto"/>
        <w:jc w:val="both"/>
        <w:rPr>
          <w:rFonts w:ascii="Arial" w:eastAsia="Arial" w:hAnsi="Arial" w:cs="Arial"/>
          <w:b/>
          <w:bCs/>
          <w:sz w:val="24"/>
          <w:szCs w:val="24"/>
        </w:rPr>
      </w:pPr>
    </w:p>
    <w:p w14:paraId="39182D0A" w14:textId="359E4F91" w:rsidR="00B430AB" w:rsidRPr="00FE7C99" w:rsidRDefault="001D19B8" w:rsidP="00704BAD">
      <w:pPr>
        <w:pStyle w:val="ListParagraph"/>
        <w:numPr>
          <w:ilvl w:val="0"/>
          <w:numId w:val="1"/>
        </w:numPr>
        <w:spacing w:after="120" w:line="480" w:lineRule="auto"/>
        <w:jc w:val="both"/>
        <w:rPr>
          <w:rFonts w:ascii="Arial" w:eastAsia="Arial" w:hAnsi="Arial" w:cs="Arial"/>
          <w:b/>
          <w:bCs/>
          <w:sz w:val="24"/>
          <w:szCs w:val="24"/>
        </w:rPr>
      </w:pPr>
      <w:r w:rsidRPr="00FE7C99">
        <w:rPr>
          <w:rFonts w:ascii="Arial" w:eastAsia="Arial" w:hAnsi="Arial" w:cs="Arial"/>
          <w:b/>
          <w:bCs/>
          <w:sz w:val="24"/>
          <w:szCs w:val="24"/>
        </w:rPr>
        <w:lastRenderedPageBreak/>
        <w:t>INTRODUCTION</w:t>
      </w:r>
    </w:p>
    <w:p w14:paraId="4C28C78C" w14:textId="60A11AB0" w:rsidR="006F716D" w:rsidRPr="00FE7C99" w:rsidRDefault="006F716D" w:rsidP="00E22E1E">
      <w:pPr>
        <w:spacing w:after="120" w:line="480" w:lineRule="auto"/>
        <w:ind w:firstLine="720"/>
        <w:jc w:val="both"/>
        <w:rPr>
          <w:rFonts w:ascii="Arial" w:eastAsia="Arial" w:hAnsi="Arial" w:cs="Arial"/>
          <w:sz w:val="24"/>
          <w:szCs w:val="24"/>
        </w:rPr>
      </w:pPr>
      <w:r w:rsidRPr="00FE7C99">
        <w:rPr>
          <w:rFonts w:ascii="Arial" w:eastAsia="Arial" w:hAnsi="Arial" w:cs="Arial"/>
          <w:sz w:val="24"/>
          <w:szCs w:val="24"/>
        </w:rPr>
        <w:t>When the General Assembly restructured the Ohio electric market, it required incumbent electric distribution utilities (“EDUs”) to separate and unbundle their competitive and non-competitive services</w:t>
      </w:r>
      <w:r w:rsidR="00704BAD" w:rsidRPr="00FE7C99">
        <w:rPr>
          <w:rFonts w:ascii="Arial" w:eastAsia="Arial" w:hAnsi="Arial" w:cs="Arial"/>
          <w:sz w:val="24"/>
          <w:szCs w:val="24"/>
        </w:rPr>
        <w:t>.  Restructuring gave customers the right to choose the competitive services that they want and need.  In order to preserve this right, EDUs were prohibited from rebundling their competitive services into non-competitive services.  Each service was required to stand on its own.</w:t>
      </w:r>
      <w:r w:rsidR="00185192" w:rsidRPr="00FE7C99">
        <w:rPr>
          <w:rFonts w:ascii="Arial" w:eastAsia="Arial" w:hAnsi="Arial" w:cs="Arial"/>
          <w:sz w:val="24"/>
          <w:szCs w:val="24"/>
        </w:rPr>
        <w:t xml:space="preserve">  This paradigm protected customers from EDU abuses and ensured a level playing field for providers of competitive services.</w:t>
      </w:r>
    </w:p>
    <w:p w14:paraId="72926EBA" w14:textId="6AC90422" w:rsidR="002576C0" w:rsidRPr="00FE7C99" w:rsidRDefault="002576C0" w:rsidP="000576A3">
      <w:pPr>
        <w:spacing w:after="120" w:line="480" w:lineRule="auto"/>
        <w:ind w:firstLine="720"/>
        <w:jc w:val="both"/>
        <w:rPr>
          <w:rFonts w:ascii="Arial" w:eastAsia="Arial" w:hAnsi="Arial" w:cs="Arial"/>
          <w:sz w:val="24"/>
          <w:szCs w:val="24"/>
        </w:rPr>
      </w:pPr>
      <w:r w:rsidRPr="00FE7C99">
        <w:rPr>
          <w:rFonts w:ascii="Arial" w:eastAsia="Arial" w:hAnsi="Arial" w:cs="Arial"/>
          <w:sz w:val="24"/>
          <w:szCs w:val="24"/>
        </w:rPr>
        <w:t>On December 19, 2018, the Public Utilities Commission of Ohio (“Commission”) issued an Opinion and Order</w:t>
      </w:r>
      <w:r w:rsidR="000576A3" w:rsidRPr="00FE7C99">
        <w:rPr>
          <w:rFonts w:ascii="Arial" w:eastAsia="Arial" w:hAnsi="Arial" w:cs="Arial"/>
          <w:sz w:val="24"/>
          <w:szCs w:val="24"/>
        </w:rPr>
        <w:t xml:space="preserve"> (“Order”) approving a Stipulation and Recommendation.  As part of that Order, the Commission</w:t>
      </w:r>
      <w:r w:rsidRPr="00FE7C99">
        <w:rPr>
          <w:rFonts w:ascii="Arial" w:eastAsia="Arial" w:hAnsi="Arial" w:cs="Arial"/>
          <w:sz w:val="24"/>
          <w:szCs w:val="24"/>
        </w:rPr>
        <w:t xml:space="preserve"> aut</w:t>
      </w:r>
      <w:r w:rsidR="000576A3" w:rsidRPr="00FE7C99">
        <w:rPr>
          <w:rFonts w:ascii="Arial" w:eastAsia="Arial" w:hAnsi="Arial" w:cs="Arial"/>
          <w:sz w:val="24"/>
          <w:szCs w:val="24"/>
        </w:rPr>
        <w:t xml:space="preserve">horized Duke to establish rates with respect to its non-competitive distribution services.  The Order also authorized Duke’s application to establish an Electric Security Plan (“ESP), including a competitive standard service offer (“SSO” or “default service”).  </w:t>
      </w:r>
    </w:p>
    <w:p w14:paraId="0AB02D69" w14:textId="1E85DD05" w:rsidR="00587276" w:rsidRPr="00FE7C99" w:rsidRDefault="00185192" w:rsidP="000576A3">
      <w:pPr>
        <w:spacing w:after="120" w:line="480" w:lineRule="auto"/>
        <w:ind w:firstLine="720"/>
        <w:jc w:val="both"/>
        <w:rPr>
          <w:rFonts w:ascii="Arial" w:eastAsia="Arial" w:hAnsi="Arial" w:cs="Arial"/>
          <w:sz w:val="24"/>
          <w:szCs w:val="24"/>
        </w:rPr>
      </w:pPr>
      <w:r w:rsidRPr="00FE7C99">
        <w:rPr>
          <w:rFonts w:ascii="Arial" w:eastAsia="Arial" w:hAnsi="Arial" w:cs="Arial"/>
          <w:sz w:val="24"/>
          <w:szCs w:val="24"/>
        </w:rPr>
        <w:t>T</w:t>
      </w:r>
      <w:r w:rsidR="000576A3" w:rsidRPr="00FE7C99">
        <w:rPr>
          <w:rFonts w:ascii="Arial" w:eastAsia="Arial" w:hAnsi="Arial" w:cs="Arial"/>
          <w:sz w:val="24"/>
          <w:szCs w:val="24"/>
        </w:rPr>
        <w:t xml:space="preserve">he Order permitted Duke </w:t>
      </w:r>
      <w:r w:rsidR="00FE226F" w:rsidRPr="00FE7C99">
        <w:rPr>
          <w:rFonts w:ascii="Arial" w:eastAsia="Arial" w:hAnsi="Arial" w:cs="Arial"/>
          <w:sz w:val="24"/>
          <w:szCs w:val="24"/>
        </w:rPr>
        <w:t>to recover</w:t>
      </w:r>
      <w:r w:rsidR="006047C3" w:rsidRPr="00594F95">
        <w:rPr>
          <w:rFonts w:ascii="Arial" w:hAnsi="Arial" w:cs="Arial"/>
        </w:rPr>
        <w:t xml:space="preserve"> </w:t>
      </w:r>
      <w:r w:rsidR="006047C3" w:rsidRPr="00FE7C99">
        <w:rPr>
          <w:rFonts w:ascii="Arial" w:eastAsia="Arial" w:hAnsi="Arial" w:cs="Arial"/>
          <w:sz w:val="24"/>
          <w:szCs w:val="24"/>
        </w:rPr>
        <w:t>cos</w:t>
      </w:r>
      <w:r w:rsidR="00FE32BA" w:rsidRPr="00FE7C99">
        <w:rPr>
          <w:rFonts w:ascii="Arial" w:eastAsia="Arial" w:hAnsi="Arial" w:cs="Arial"/>
          <w:sz w:val="24"/>
          <w:szCs w:val="24"/>
        </w:rPr>
        <w:t xml:space="preserve">ts related to its provision of standard service offer (“SSO” or “default service”) </w:t>
      </w:r>
      <w:r w:rsidR="006047C3" w:rsidRPr="00FE7C99">
        <w:rPr>
          <w:rFonts w:ascii="Arial" w:eastAsia="Arial" w:hAnsi="Arial" w:cs="Arial"/>
          <w:sz w:val="24"/>
          <w:szCs w:val="24"/>
        </w:rPr>
        <w:t>service</w:t>
      </w:r>
      <w:r w:rsidR="00FE226F" w:rsidRPr="00FE7C99">
        <w:rPr>
          <w:rFonts w:ascii="Arial" w:eastAsia="Arial" w:hAnsi="Arial" w:cs="Arial"/>
          <w:sz w:val="24"/>
          <w:szCs w:val="24"/>
        </w:rPr>
        <w:t xml:space="preserve"> through its non-competitive </w:t>
      </w:r>
      <w:r w:rsidR="00FE32BA" w:rsidRPr="00FE7C99">
        <w:rPr>
          <w:rFonts w:ascii="Arial" w:eastAsia="Arial" w:hAnsi="Arial" w:cs="Arial"/>
          <w:sz w:val="24"/>
          <w:szCs w:val="24"/>
        </w:rPr>
        <w:t>service</w:t>
      </w:r>
      <w:r w:rsidR="00FE226F" w:rsidRPr="00FE7C99">
        <w:rPr>
          <w:rFonts w:ascii="Arial" w:eastAsia="Arial" w:hAnsi="Arial" w:cs="Arial"/>
          <w:sz w:val="24"/>
          <w:szCs w:val="24"/>
        </w:rPr>
        <w:t xml:space="preserve"> </w:t>
      </w:r>
      <w:r w:rsidRPr="00FE7C99">
        <w:rPr>
          <w:rFonts w:ascii="Arial" w:eastAsia="Arial" w:hAnsi="Arial" w:cs="Arial"/>
          <w:sz w:val="24"/>
          <w:szCs w:val="24"/>
        </w:rPr>
        <w:t>rates</w:t>
      </w:r>
      <w:r w:rsidR="00FE226F" w:rsidRPr="00FE7C99">
        <w:rPr>
          <w:rFonts w:ascii="Arial" w:eastAsia="Arial" w:hAnsi="Arial" w:cs="Arial"/>
          <w:sz w:val="24"/>
          <w:szCs w:val="24"/>
        </w:rPr>
        <w:t>.</w:t>
      </w:r>
      <w:r w:rsidR="0048028E" w:rsidRPr="00FE7C99">
        <w:rPr>
          <w:rFonts w:ascii="Arial" w:eastAsia="Arial" w:hAnsi="Arial" w:cs="Arial"/>
          <w:sz w:val="24"/>
          <w:szCs w:val="24"/>
        </w:rPr>
        <w:t xml:space="preserve"> </w:t>
      </w:r>
      <w:r w:rsidR="00587276" w:rsidRPr="00FE7C99">
        <w:rPr>
          <w:rFonts w:ascii="Arial" w:eastAsia="Arial" w:hAnsi="Arial" w:cs="Arial"/>
          <w:sz w:val="24"/>
          <w:szCs w:val="24"/>
        </w:rPr>
        <w:t xml:space="preserve">  </w:t>
      </w:r>
      <w:r w:rsidR="0048028E" w:rsidRPr="00FE7C99">
        <w:rPr>
          <w:rFonts w:ascii="Arial" w:eastAsia="Arial" w:hAnsi="Arial" w:cs="Arial"/>
          <w:sz w:val="24"/>
          <w:szCs w:val="24"/>
        </w:rPr>
        <w:t>The Order requires s</w:t>
      </w:r>
      <w:r w:rsidR="00587276" w:rsidRPr="00FE7C99">
        <w:rPr>
          <w:rFonts w:ascii="Arial" w:eastAsia="Arial" w:hAnsi="Arial" w:cs="Arial"/>
          <w:sz w:val="24"/>
          <w:szCs w:val="24"/>
        </w:rPr>
        <w:t>hop</w:t>
      </w:r>
      <w:r w:rsidR="0048028E" w:rsidRPr="00FE7C99">
        <w:rPr>
          <w:rFonts w:ascii="Arial" w:eastAsia="Arial" w:hAnsi="Arial" w:cs="Arial"/>
          <w:sz w:val="24"/>
          <w:szCs w:val="24"/>
        </w:rPr>
        <w:t>ping customers to pay for</w:t>
      </w:r>
      <w:r w:rsidR="00587276" w:rsidRPr="00FE7C99">
        <w:rPr>
          <w:rFonts w:ascii="Arial" w:eastAsia="Arial" w:hAnsi="Arial" w:cs="Arial"/>
          <w:sz w:val="24"/>
          <w:szCs w:val="24"/>
        </w:rPr>
        <w:t xml:space="preserve"> SSO services th</w:t>
      </w:r>
      <w:r w:rsidR="006047C3" w:rsidRPr="00FE7C99">
        <w:rPr>
          <w:rFonts w:ascii="Arial" w:eastAsia="Arial" w:hAnsi="Arial" w:cs="Arial"/>
          <w:sz w:val="24"/>
          <w:szCs w:val="24"/>
        </w:rPr>
        <w:t xml:space="preserve">ey do not receive in addition to the </w:t>
      </w:r>
      <w:r w:rsidR="00587276" w:rsidRPr="00FE7C99">
        <w:rPr>
          <w:rFonts w:ascii="Arial" w:eastAsia="Arial" w:hAnsi="Arial" w:cs="Arial"/>
          <w:sz w:val="24"/>
          <w:szCs w:val="24"/>
        </w:rPr>
        <w:t>charges they pay to their CRES providers for the same services.</w:t>
      </w:r>
      <w:r w:rsidR="0048028E" w:rsidRPr="00FE7C99">
        <w:rPr>
          <w:rFonts w:ascii="Arial" w:eastAsia="Arial" w:hAnsi="Arial" w:cs="Arial"/>
          <w:sz w:val="24"/>
          <w:szCs w:val="24"/>
        </w:rPr>
        <w:t xml:space="preserve">  This outcome is </w:t>
      </w:r>
      <w:r w:rsidR="006047C3" w:rsidRPr="00FE7C99">
        <w:rPr>
          <w:rFonts w:ascii="Arial" w:eastAsia="Arial" w:hAnsi="Arial" w:cs="Arial"/>
          <w:sz w:val="24"/>
          <w:szCs w:val="24"/>
        </w:rPr>
        <w:t xml:space="preserve">not only </w:t>
      </w:r>
      <w:r w:rsidR="0048028E" w:rsidRPr="00FE7C99">
        <w:rPr>
          <w:rFonts w:ascii="Arial" w:eastAsia="Arial" w:hAnsi="Arial" w:cs="Arial"/>
          <w:sz w:val="24"/>
          <w:szCs w:val="24"/>
        </w:rPr>
        <w:t>inequitable, but it also unlawful.</w:t>
      </w:r>
    </w:p>
    <w:p w14:paraId="68B57EA7" w14:textId="2EB9026E" w:rsidR="00587276" w:rsidRPr="00FE7C99" w:rsidRDefault="0079213B" w:rsidP="00FE32BA">
      <w:pPr>
        <w:spacing w:after="120" w:line="480" w:lineRule="auto"/>
        <w:ind w:firstLine="720"/>
        <w:jc w:val="both"/>
        <w:rPr>
          <w:rFonts w:ascii="Arial" w:eastAsia="Arial" w:hAnsi="Arial" w:cs="Arial"/>
          <w:sz w:val="24"/>
          <w:szCs w:val="24"/>
        </w:rPr>
      </w:pPr>
      <w:r w:rsidRPr="00FE7C99">
        <w:rPr>
          <w:rFonts w:ascii="Arial" w:eastAsia="Arial" w:hAnsi="Arial" w:cs="Arial"/>
          <w:sz w:val="24"/>
          <w:szCs w:val="24"/>
        </w:rPr>
        <w:t>U</w:t>
      </w:r>
      <w:r w:rsidR="0077799B" w:rsidRPr="00FE7C99">
        <w:rPr>
          <w:rFonts w:ascii="Arial" w:eastAsia="Arial" w:hAnsi="Arial" w:cs="Arial"/>
          <w:sz w:val="24"/>
          <w:szCs w:val="24"/>
        </w:rPr>
        <w:t>nder Ohio law</w:t>
      </w:r>
      <w:r w:rsidR="00AD593D" w:rsidRPr="00FE7C99">
        <w:rPr>
          <w:rFonts w:ascii="Arial" w:eastAsia="Arial" w:hAnsi="Arial" w:cs="Arial"/>
          <w:sz w:val="24"/>
          <w:szCs w:val="24"/>
        </w:rPr>
        <w:t>,</w:t>
      </w:r>
      <w:r w:rsidR="0077799B" w:rsidRPr="00FE7C99">
        <w:rPr>
          <w:rFonts w:ascii="Arial" w:eastAsia="Arial" w:hAnsi="Arial" w:cs="Arial"/>
          <w:sz w:val="24"/>
          <w:szCs w:val="24"/>
        </w:rPr>
        <w:t xml:space="preserve"> the Commission lacks the authority </w:t>
      </w:r>
      <w:r w:rsidR="00D46BDB" w:rsidRPr="00FE7C99">
        <w:rPr>
          <w:rFonts w:ascii="Arial" w:eastAsia="Arial" w:hAnsi="Arial" w:cs="Arial"/>
          <w:sz w:val="24"/>
          <w:szCs w:val="24"/>
        </w:rPr>
        <w:t xml:space="preserve">to allow the utility to recover costs to provide </w:t>
      </w:r>
      <w:r w:rsidR="00E46044" w:rsidRPr="00FE7C99">
        <w:rPr>
          <w:rFonts w:ascii="Arial" w:eastAsia="Arial" w:hAnsi="Arial" w:cs="Arial"/>
          <w:sz w:val="24"/>
          <w:szCs w:val="24"/>
        </w:rPr>
        <w:t>SSO generation service through distribution rates.</w:t>
      </w:r>
      <w:r w:rsidR="00185192" w:rsidRPr="00FE7C99">
        <w:rPr>
          <w:rFonts w:ascii="Arial" w:eastAsia="Arial" w:hAnsi="Arial" w:cs="Arial"/>
          <w:sz w:val="24"/>
          <w:szCs w:val="24"/>
        </w:rPr>
        <w:t xml:space="preserve">  Thus, </w:t>
      </w:r>
      <w:r w:rsidR="00185192" w:rsidRPr="00FE7C99">
        <w:rPr>
          <w:rFonts w:ascii="Arial" w:hAnsi="Arial" w:cs="Arial"/>
          <w:sz w:val="24"/>
          <w:szCs w:val="24"/>
        </w:rPr>
        <w:t>th</w:t>
      </w:r>
      <w:r w:rsidR="00185192" w:rsidRPr="00FE7C99">
        <w:rPr>
          <w:rFonts w:ascii="Arial" w:eastAsia="Arial" w:hAnsi="Arial" w:cs="Arial"/>
          <w:sz w:val="24"/>
          <w:szCs w:val="24"/>
        </w:rPr>
        <w:t>e Order violated bedrock principles of Ohio law.</w:t>
      </w:r>
    </w:p>
    <w:p w14:paraId="47A7BEB5" w14:textId="7E4433A2" w:rsidR="00C750AF" w:rsidRPr="00FE7C99" w:rsidRDefault="001D19B8" w:rsidP="00085080">
      <w:pPr>
        <w:spacing w:after="120" w:line="480" w:lineRule="auto"/>
        <w:jc w:val="both"/>
        <w:rPr>
          <w:rFonts w:ascii="Arial" w:eastAsia="Arial" w:hAnsi="Arial" w:cs="Arial"/>
          <w:sz w:val="24"/>
          <w:szCs w:val="24"/>
        </w:rPr>
      </w:pPr>
      <w:r w:rsidRPr="00FE7C99">
        <w:rPr>
          <w:rFonts w:ascii="Arial" w:hAnsi="Arial" w:cs="Arial"/>
          <w:sz w:val="24"/>
          <w:szCs w:val="24"/>
        </w:rPr>
        <w:lastRenderedPageBreak/>
        <w:tab/>
      </w:r>
      <w:r w:rsidRPr="00FE7C99">
        <w:rPr>
          <w:rFonts w:ascii="Arial" w:eastAsia="Arial" w:hAnsi="Arial" w:cs="Arial"/>
          <w:sz w:val="24"/>
          <w:szCs w:val="24"/>
        </w:rPr>
        <w:t xml:space="preserve">Making matters worse, the </w:t>
      </w:r>
      <w:r w:rsidR="00587276" w:rsidRPr="00FE7C99">
        <w:rPr>
          <w:rFonts w:ascii="Arial" w:eastAsia="Arial" w:hAnsi="Arial" w:cs="Arial"/>
          <w:sz w:val="24"/>
          <w:szCs w:val="24"/>
        </w:rPr>
        <w:t>Order authorized</w:t>
      </w:r>
      <w:r w:rsidR="00B26509" w:rsidRPr="00FE7C99">
        <w:rPr>
          <w:rFonts w:ascii="Arial" w:eastAsia="Arial" w:hAnsi="Arial" w:cs="Arial"/>
          <w:sz w:val="24"/>
          <w:szCs w:val="24"/>
        </w:rPr>
        <w:t xml:space="preserve"> </w:t>
      </w:r>
      <w:r w:rsidR="00513148" w:rsidRPr="00FE7C99">
        <w:rPr>
          <w:rFonts w:ascii="Arial" w:eastAsia="Arial" w:hAnsi="Arial" w:cs="Arial"/>
          <w:sz w:val="24"/>
          <w:szCs w:val="24"/>
        </w:rPr>
        <w:t xml:space="preserve">the continuation of </w:t>
      </w:r>
      <w:r w:rsidRPr="00FE7C99">
        <w:rPr>
          <w:rFonts w:ascii="Arial" w:eastAsia="Arial" w:hAnsi="Arial" w:cs="Arial"/>
          <w:sz w:val="24"/>
          <w:szCs w:val="24"/>
        </w:rPr>
        <w:t>significant fees on CRES provide</w:t>
      </w:r>
      <w:r w:rsidR="00361E8C" w:rsidRPr="00FE7C99">
        <w:rPr>
          <w:rFonts w:ascii="Arial" w:eastAsia="Arial" w:hAnsi="Arial" w:cs="Arial"/>
          <w:sz w:val="24"/>
          <w:szCs w:val="24"/>
        </w:rPr>
        <w:t>r</w:t>
      </w:r>
      <w:r w:rsidRPr="00FE7C99">
        <w:rPr>
          <w:rFonts w:ascii="Arial" w:eastAsia="Arial" w:hAnsi="Arial" w:cs="Arial"/>
          <w:sz w:val="24"/>
          <w:szCs w:val="24"/>
        </w:rPr>
        <w:t>s</w:t>
      </w:r>
      <w:r w:rsidR="0038079F" w:rsidRPr="00FE7C99">
        <w:rPr>
          <w:rFonts w:ascii="Arial" w:eastAsia="Arial" w:hAnsi="Arial" w:cs="Arial"/>
          <w:sz w:val="24"/>
          <w:szCs w:val="24"/>
        </w:rPr>
        <w:t xml:space="preserve">.  </w:t>
      </w:r>
      <w:r w:rsidR="0048028E" w:rsidRPr="00FE7C99">
        <w:rPr>
          <w:rFonts w:ascii="Arial" w:eastAsia="Arial" w:hAnsi="Arial" w:cs="Arial"/>
          <w:sz w:val="24"/>
          <w:szCs w:val="24"/>
        </w:rPr>
        <w:t>The Order requires</w:t>
      </w:r>
      <w:r w:rsidR="0038079F" w:rsidRPr="00FE7C99">
        <w:rPr>
          <w:rFonts w:ascii="Arial" w:eastAsia="Arial" w:hAnsi="Arial" w:cs="Arial"/>
          <w:sz w:val="24"/>
          <w:szCs w:val="24"/>
        </w:rPr>
        <w:t xml:space="preserve"> CRES providers</w:t>
      </w:r>
      <w:r w:rsidR="0048028E" w:rsidRPr="00FE7C99">
        <w:rPr>
          <w:rFonts w:ascii="Arial" w:eastAsia="Arial" w:hAnsi="Arial" w:cs="Arial"/>
          <w:sz w:val="24"/>
          <w:szCs w:val="24"/>
        </w:rPr>
        <w:t xml:space="preserve"> to pay these fees</w:t>
      </w:r>
      <w:r w:rsidR="00783315" w:rsidRPr="00FE7C99">
        <w:rPr>
          <w:rFonts w:ascii="Arial" w:eastAsia="Arial" w:hAnsi="Arial" w:cs="Arial"/>
          <w:sz w:val="24"/>
          <w:szCs w:val="24"/>
        </w:rPr>
        <w:t>—for</w:t>
      </w:r>
      <w:r w:rsidR="0030787A" w:rsidRPr="00FE7C99">
        <w:rPr>
          <w:rFonts w:ascii="Arial" w:eastAsia="Arial" w:hAnsi="Arial" w:cs="Arial"/>
          <w:sz w:val="24"/>
          <w:szCs w:val="24"/>
        </w:rPr>
        <w:t xml:space="preserve"> non-competitive</w:t>
      </w:r>
      <w:r w:rsidR="00783315" w:rsidRPr="00FE7C99">
        <w:rPr>
          <w:rFonts w:ascii="Arial" w:eastAsia="Arial" w:hAnsi="Arial" w:cs="Arial"/>
          <w:sz w:val="24"/>
          <w:szCs w:val="24"/>
        </w:rPr>
        <w:t xml:space="preserve"> services that CRES providers cannot obtain from any other source other than the EDU—</w:t>
      </w:r>
      <w:r w:rsidRPr="00FE7C99">
        <w:rPr>
          <w:rFonts w:ascii="Arial" w:eastAsia="Arial" w:hAnsi="Arial" w:cs="Arial"/>
          <w:sz w:val="24"/>
          <w:szCs w:val="24"/>
        </w:rPr>
        <w:t xml:space="preserve">just to be able offer competitive services </w:t>
      </w:r>
      <w:r w:rsidR="000576A3" w:rsidRPr="00FE7C99">
        <w:rPr>
          <w:rFonts w:ascii="Arial" w:eastAsia="Arial" w:hAnsi="Arial" w:cs="Arial"/>
          <w:sz w:val="24"/>
          <w:szCs w:val="24"/>
        </w:rPr>
        <w:t>in Duke</w:t>
      </w:r>
      <w:r w:rsidR="0048028E" w:rsidRPr="00FE7C99">
        <w:rPr>
          <w:rFonts w:ascii="Arial" w:eastAsia="Arial" w:hAnsi="Arial" w:cs="Arial"/>
          <w:sz w:val="24"/>
          <w:szCs w:val="24"/>
        </w:rPr>
        <w:t>’s service area.  These fees</w:t>
      </w:r>
      <w:r w:rsidRPr="00FE7C99">
        <w:rPr>
          <w:rFonts w:ascii="Arial" w:eastAsia="Arial" w:hAnsi="Arial" w:cs="Arial"/>
          <w:sz w:val="24"/>
          <w:szCs w:val="24"/>
        </w:rPr>
        <w:t xml:space="preserve"> are in addition to the costs that CRES providers must incur</w:t>
      </w:r>
      <w:r w:rsidR="004F10C1" w:rsidRPr="00FE7C99">
        <w:rPr>
          <w:rFonts w:ascii="Arial" w:eastAsia="Arial" w:hAnsi="Arial" w:cs="Arial"/>
          <w:sz w:val="24"/>
          <w:szCs w:val="24"/>
        </w:rPr>
        <w:t xml:space="preserve"> to provide</w:t>
      </w:r>
      <w:r w:rsidR="00EF500F" w:rsidRPr="00FE7C99">
        <w:rPr>
          <w:rFonts w:ascii="Arial" w:eastAsia="Arial" w:hAnsi="Arial" w:cs="Arial"/>
          <w:sz w:val="24"/>
          <w:szCs w:val="24"/>
        </w:rPr>
        <w:t xml:space="preserve"> generation service to their customers</w:t>
      </w:r>
      <w:r w:rsidR="00783315" w:rsidRPr="00FE7C99">
        <w:rPr>
          <w:rFonts w:ascii="Arial" w:eastAsia="Arial" w:hAnsi="Arial" w:cs="Arial"/>
          <w:sz w:val="24"/>
          <w:szCs w:val="24"/>
        </w:rPr>
        <w:t>.</w:t>
      </w:r>
      <w:r w:rsidR="0030787A" w:rsidRPr="00FE7C99">
        <w:rPr>
          <w:rFonts w:ascii="Arial" w:eastAsia="Arial" w:hAnsi="Arial" w:cs="Arial"/>
          <w:sz w:val="24"/>
          <w:szCs w:val="24"/>
        </w:rPr>
        <w:t xml:space="preserve">  At the same time</w:t>
      </w:r>
      <w:r w:rsidR="000576A3" w:rsidRPr="00FE7C99">
        <w:rPr>
          <w:rFonts w:ascii="Arial" w:eastAsia="Arial" w:hAnsi="Arial" w:cs="Arial"/>
          <w:sz w:val="24"/>
          <w:szCs w:val="24"/>
        </w:rPr>
        <w:t>, the Order permits Duke</w:t>
      </w:r>
      <w:r w:rsidR="00FE32BA" w:rsidRPr="00FE7C99">
        <w:rPr>
          <w:rFonts w:ascii="Arial" w:eastAsia="Arial" w:hAnsi="Arial" w:cs="Arial"/>
          <w:sz w:val="24"/>
          <w:szCs w:val="24"/>
        </w:rPr>
        <w:t xml:space="preserve"> to provide</w:t>
      </w:r>
      <w:r w:rsidR="0030787A" w:rsidRPr="00FE7C99">
        <w:rPr>
          <w:rFonts w:ascii="Arial" w:eastAsia="Arial" w:hAnsi="Arial" w:cs="Arial"/>
          <w:sz w:val="24"/>
          <w:szCs w:val="24"/>
        </w:rPr>
        <w:t xml:space="preserve"> the sam</w:t>
      </w:r>
      <w:r w:rsidR="00FE32BA" w:rsidRPr="00FE7C99">
        <w:rPr>
          <w:rFonts w:ascii="Arial" w:eastAsia="Arial" w:hAnsi="Arial" w:cs="Arial"/>
          <w:sz w:val="24"/>
          <w:szCs w:val="24"/>
        </w:rPr>
        <w:t>e non-competitive services for free to customers taking service on</w:t>
      </w:r>
      <w:r w:rsidR="0030787A" w:rsidRPr="00FE7C99">
        <w:rPr>
          <w:rFonts w:ascii="Arial" w:eastAsia="Arial" w:hAnsi="Arial" w:cs="Arial"/>
          <w:sz w:val="24"/>
          <w:szCs w:val="24"/>
        </w:rPr>
        <w:t xml:space="preserve"> the SSO.</w:t>
      </w:r>
    </w:p>
    <w:p w14:paraId="6C895F58" w14:textId="59BC61AA" w:rsidR="00B26509" w:rsidRPr="00FE7C99" w:rsidRDefault="0048028E" w:rsidP="00E22E1E">
      <w:pPr>
        <w:spacing w:after="120" w:line="480" w:lineRule="auto"/>
        <w:ind w:firstLine="720"/>
        <w:jc w:val="both"/>
        <w:rPr>
          <w:rFonts w:ascii="Arial" w:eastAsia="Arial" w:hAnsi="Arial" w:cs="Arial"/>
          <w:sz w:val="24"/>
          <w:szCs w:val="24"/>
        </w:rPr>
      </w:pPr>
      <w:r w:rsidRPr="00FE7C99">
        <w:rPr>
          <w:rFonts w:ascii="Arial" w:eastAsia="Arial" w:hAnsi="Arial" w:cs="Arial"/>
          <w:sz w:val="24"/>
          <w:szCs w:val="24"/>
        </w:rPr>
        <w:t>The Order</w:t>
      </w:r>
      <w:r w:rsidR="00C750AF" w:rsidRPr="00FE7C99">
        <w:rPr>
          <w:rFonts w:ascii="Arial" w:eastAsia="Arial" w:hAnsi="Arial" w:cs="Arial"/>
          <w:sz w:val="24"/>
          <w:szCs w:val="24"/>
        </w:rPr>
        <w:t xml:space="preserve"> is equivalent to heads SSO customers wins; tails</w:t>
      </w:r>
      <w:r w:rsidR="00BF11EE" w:rsidRPr="00FE7C99">
        <w:rPr>
          <w:rFonts w:ascii="Arial" w:eastAsia="Arial" w:hAnsi="Arial" w:cs="Arial"/>
          <w:sz w:val="24"/>
          <w:szCs w:val="24"/>
        </w:rPr>
        <w:t xml:space="preserve"> choice customers lose.</w:t>
      </w:r>
      <w:r w:rsidR="001D19B8" w:rsidRPr="00FE7C99">
        <w:rPr>
          <w:rFonts w:ascii="Arial" w:eastAsia="Arial" w:hAnsi="Arial" w:cs="Arial"/>
          <w:sz w:val="24"/>
          <w:szCs w:val="24"/>
        </w:rPr>
        <w:t xml:space="preserve">  It is unjust, unreasonable, unlawful, and fundamentally unf</w:t>
      </w:r>
      <w:r w:rsidRPr="00FE7C99">
        <w:rPr>
          <w:rFonts w:ascii="Arial" w:eastAsia="Arial" w:hAnsi="Arial" w:cs="Arial"/>
          <w:sz w:val="24"/>
          <w:szCs w:val="24"/>
        </w:rPr>
        <w:t xml:space="preserve">air to make CRES customers pay for their own costs whenever they shop in addition to paying for the cost related to SSO service.  </w:t>
      </w:r>
      <w:r w:rsidR="001D19B8" w:rsidRPr="00FE7C99">
        <w:rPr>
          <w:rFonts w:ascii="Arial" w:eastAsia="Arial" w:hAnsi="Arial" w:cs="Arial"/>
          <w:sz w:val="24"/>
          <w:szCs w:val="24"/>
        </w:rPr>
        <w:t>Costs associated with the SSO must be allocated to that service—not distribution rates.</w:t>
      </w:r>
      <w:r w:rsidR="006047C3" w:rsidRPr="00FE7C99">
        <w:rPr>
          <w:rFonts w:ascii="Arial" w:eastAsia="Arial" w:hAnsi="Arial" w:cs="Arial"/>
          <w:sz w:val="24"/>
          <w:szCs w:val="24"/>
        </w:rPr>
        <w:t xml:space="preserve">  And, while the Order is particularly egregious for shopping customers, at the end of the day, it is harmful to all customers.  Continued favoritism to default rate service stifles a true market for competitive retail competition from ever developing in Ohio.</w:t>
      </w:r>
    </w:p>
    <w:p w14:paraId="0E410A7C" w14:textId="24FC2353" w:rsidR="000576A3" w:rsidRPr="00FE7C99" w:rsidRDefault="000576A3" w:rsidP="00E22E1E">
      <w:pPr>
        <w:spacing w:after="120" w:line="480" w:lineRule="auto"/>
        <w:ind w:firstLine="720"/>
        <w:jc w:val="both"/>
        <w:rPr>
          <w:rFonts w:ascii="Arial" w:eastAsia="Arial" w:hAnsi="Arial" w:cs="Arial"/>
          <w:sz w:val="24"/>
          <w:szCs w:val="24"/>
        </w:rPr>
      </w:pPr>
      <w:r w:rsidRPr="00FE7C99">
        <w:rPr>
          <w:rFonts w:ascii="Arial" w:eastAsia="Arial" w:hAnsi="Arial" w:cs="Arial"/>
          <w:sz w:val="24"/>
          <w:szCs w:val="24"/>
        </w:rPr>
        <w:t xml:space="preserve">Finally, while the Order </w:t>
      </w:r>
      <w:r w:rsidR="003625C5" w:rsidRPr="00FE7C99">
        <w:rPr>
          <w:rFonts w:ascii="Arial" w:eastAsia="Arial" w:hAnsi="Arial" w:cs="Arial"/>
          <w:sz w:val="24"/>
          <w:szCs w:val="24"/>
        </w:rPr>
        <w:t xml:space="preserve">provided a ray of hope that a future case may lead to billing parity between CRES providers and Duke’s own affiliates, </w:t>
      </w:r>
      <w:r w:rsidR="0045193B">
        <w:rPr>
          <w:rFonts w:ascii="Arial" w:eastAsia="Arial" w:hAnsi="Arial" w:cs="Arial"/>
          <w:sz w:val="24"/>
          <w:szCs w:val="24"/>
        </w:rPr>
        <w:t xml:space="preserve">contrary to Ohio law, </w:t>
      </w:r>
      <w:r w:rsidR="003625C5" w:rsidRPr="00FE7C99">
        <w:rPr>
          <w:rFonts w:ascii="Arial" w:eastAsia="Arial" w:hAnsi="Arial" w:cs="Arial"/>
          <w:sz w:val="24"/>
          <w:szCs w:val="24"/>
        </w:rPr>
        <w:t>the Order permits Duke to continually discriminate in the provision of non-commodity services in t</w:t>
      </w:r>
      <w:r w:rsidR="0045193B">
        <w:rPr>
          <w:rFonts w:ascii="Arial" w:eastAsia="Arial" w:hAnsi="Arial" w:cs="Arial"/>
          <w:sz w:val="24"/>
          <w:szCs w:val="24"/>
        </w:rPr>
        <w:t>he near term.</w:t>
      </w:r>
      <w:r w:rsidR="003625C5" w:rsidRPr="00FE7C99">
        <w:rPr>
          <w:rFonts w:ascii="Arial" w:eastAsia="Arial" w:hAnsi="Arial" w:cs="Arial"/>
          <w:sz w:val="24"/>
          <w:szCs w:val="24"/>
        </w:rPr>
        <w:t xml:space="preserve">  </w:t>
      </w:r>
    </w:p>
    <w:p w14:paraId="11DD2CD2" w14:textId="16FA9712" w:rsidR="003625C5" w:rsidRPr="00FE7C99" w:rsidRDefault="003625C5" w:rsidP="00E22E1E">
      <w:pPr>
        <w:spacing w:after="120" w:line="480" w:lineRule="auto"/>
        <w:ind w:firstLine="720"/>
        <w:jc w:val="both"/>
        <w:rPr>
          <w:rFonts w:ascii="Arial" w:eastAsia="Arial" w:hAnsi="Arial" w:cs="Arial"/>
          <w:sz w:val="24"/>
          <w:szCs w:val="24"/>
        </w:rPr>
      </w:pPr>
      <w:r w:rsidRPr="00FE7C99">
        <w:rPr>
          <w:rFonts w:ascii="Arial" w:eastAsia="Arial" w:hAnsi="Arial" w:cs="Arial"/>
          <w:sz w:val="24"/>
          <w:szCs w:val="24"/>
        </w:rPr>
        <w:t>Therefore, IGS urges the Commission to grant this application for rehearing and to correct the errors identified herein.</w:t>
      </w:r>
    </w:p>
    <w:p w14:paraId="38A9835A" w14:textId="0859CB6A" w:rsidR="002238CE" w:rsidRPr="00FE7C99" w:rsidRDefault="00B26509" w:rsidP="00B26509">
      <w:pPr>
        <w:pStyle w:val="ListParagraph"/>
        <w:numPr>
          <w:ilvl w:val="0"/>
          <w:numId w:val="1"/>
        </w:numPr>
        <w:spacing w:after="120" w:line="480" w:lineRule="auto"/>
        <w:jc w:val="both"/>
        <w:rPr>
          <w:rFonts w:ascii="Arial" w:eastAsia="Arial" w:hAnsi="Arial" w:cs="Arial"/>
          <w:b/>
          <w:sz w:val="24"/>
          <w:szCs w:val="24"/>
        </w:rPr>
      </w:pPr>
      <w:r w:rsidRPr="00FE7C99">
        <w:rPr>
          <w:rFonts w:ascii="Arial" w:eastAsia="Arial" w:hAnsi="Arial" w:cs="Arial"/>
          <w:b/>
          <w:sz w:val="24"/>
          <w:szCs w:val="24"/>
        </w:rPr>
        <w:t>BACKGROUND</w:t>
      </w:r>
    </w:p>
    <w:p w14:paraId="72B5B3DC" w14:textId="77777777" w:rsidR="00847DA7" w:rsidRPr="00FE7C99" w:rsidRDefault="00847DA7" w:rsidP="00C038B5">
      <w:pPr>
        <w:pStyle w:val="ListParagraph"/>
        <w:numPr>
          <w:ilvl w:val="0"/>
          <w:numId w:val="2"/>
        </w:numPr>
        <w:spacing w:after="120" w:line="480" w:lineRule="auto"/>
        <w:jc w:val="both"/>
        <w:rPr>
          <w:rFonts w:ascii="Arial" w:eastAsia="Arial" w:hAnsi="Arial" w:cs="Arial"/>
          <w:b/>
          <w:bCs/>
          <w:sz w:val="24"/>
          <w:szCs w:val="24"/>
        </w:rPr>
      </w:pPr>
      <w:r w:rsidRPr="00FE7C99">
        <w:rPr>
          <w:rFonts w:ascii="Arial" w:eastAsia="Arial" w:hAnsi="Arial" w:cs="Arial"/>
          <w:b/>
          <w:bCs/>
          <w:sz w:val="24"/>
          <w:szCs w:val="24"/>
        </w:rPr>
        <w:t>Restructuring and Unbundling</w:t>
      </w:r>
    </w:p>
    <w:p w14:paraId="1B64006D" w14:textId="64163C1B" w:rsidR="003E1F76" w:rsidRPr="00FE7C99" w:rsidRDefault="00361E8C" w:rsidP="00C038B5">
      <w:pPr>
        <w:spacing w:after="0" w:line="480" w:lineRule="auto"/>
        <w:ind w:firstLine="720"/>
        <w:jc w:val="both"/>
        <w:rPr>
          <w:rFonts w:ascii="Arial" w:eastAsia="Arial" w:hAnsi="Arial" w:cs="Arial"/>
          <w:sz w:val="24"/>
          <w:szCs w:val="24"/>
        </w:rPr>
      </w:pPr>
      <w:r w:rsidRPr="00FE7C99">
        <w:rPr>
          <w:rFonts w:ascii="Arial" w:eastAsia="Arial" w:hAnsi="Arial" w:cs="Arial"/>
          <w:sz w:val="24"/>
          <w:szCs w:val="24"/>
        </w:rPr>
        <w:lastRenderedPageBreak/>
        <w:t>In 1999,</w:t>
      </w:r>
      <w:r w:rsidR="003E1F76" w:rsidRPr="00FE7C99">
        <w:rPr>
          <w:rFonts w:ascii="Arial" w:eastAsia="Arial" w:hAnsi="Arial" w:cs="Arial"/>
          <w:sz w:val="24"/>
          <w:szCs w:val="24"/>
        </w:rPr>
        <w:t xml:space="preserve"> Amended Substitute Senate Bill (“S.B. 3”) restructured the Ohio electric market. S.B. 3 “restructured Ohio's electric-utility industry to foster retail competition in the generation component of electric service.”</w:t>
      </w:r>
      <w:r w:rsidR="003E1F76" w:rsidRPr="00FE7C99">
        <w:rPr>
          <w:rStyle w:val="FootnoteReference"/>
          <w:rFonts w:ascii="Arial" w:eastAsia="Arial" w:hAnsi="Arial" w:cs="Arial"/>
          <w:sz w:val="24"/>
          <w:szCs w:val="24"/>
        </w:rPr>
        <w:footnoteReference w:id="2"/>
      </w:r>
      <w:r w:rsidR="003E1F76" w:rsidRPr="00FE7C99">
        <w:rPr>
          <w:rFonts w:ascii="Arial" w:eastAsia="Arial" w:hAnsi="Arial" w:cs="Arial"/>
          <w:sz w:val="24"/>
          <w:szCs w:val="24"/>
        </w:rPr>
        <w:t xml:space="preserve"> “In short, each service component was required to stand on its own.”</w:t>
      </w:r>
      <w:r w:rsidR="003E1F76" w:rsidRPr="00FE7C99">
        <w:rPr>
          <w:rStyle w:val="FootnoteReference"/>
          <w:rFonts w:ascii="Arial" w:eastAsia="Arial" w:hAnsi="Arial" w:cs="Arial"/>
          <w:sz w:val="24"/>
          <w:szCs w:val="24"/>
        </w:rPr>
        <w:footnoteReference w:id="3"/>
      </w:r>
      <w:r w:rsidR="003E1F76" w:rsidRPr="00FE7C99">
        <w:rPr>
          <w:rFonts w:ascii="Arial" w:eastAsia="Arial" w:hAnsi="Arial" w:cs="Arial"/>
          <w:i/>
          <w:iCs/>
          <w:sz w:val="24"/>
          <w:szCs w:val="24"/>
          <w:shd w:val="clear" w:color="auto" w:fill="FFFFFF"/>
        </w:rPr>
        <w:t xml:space="preserve"> </w:t>
      </w:r>
      <w:r w:rsidR="003E1F76" w:rsidRPr="00FE7C99">
        <w:rPr>
          <w:rFonts w:ascii="Arial" w:eastAsia="Arial" w:hAnsi="Arial" w:cs="Arial"/>
          <w:sz w:val="24"/>
          <w:szCs w:val="24"/>
        </w:rPr>
        <w:t>The foundation for competition was established by requiring “the three components of electric service — generation, transmission, and distribution — to be separated.”</w:t>
      </w:r>
      <w:r w:rsidR="003E1F76" w:rsidRPr="00FE7C99">
        <w:rPr>
          <w:rStyle w:val="FootnoteReference"/>
          <w:rFonts w:ascii="Arial" w:eastAsia="Arial" w:hAnsi="Arial" w:cs="Arial"/>
          <w:sz w:val="24"/>
          <w:szCs w:val="24"/>
        </w:rPr>
        <w:footnoteReference w:id="4"/>
      </w:r>
      <w:r w:rsidR="003E1F76" w:rsidRPr="00FE7C99">
        <w:rPr>
          <w:rFonts w:ascii="Arial" w:eastAsia="Arial" w:hAnsi="Arial" w:cs="Arial"/>
          <w:sz w:val="24"/>
          <w:szCs w:val="24"/>
        </w:rPr>
        <w:t xml:space="preserve">  This process was initially implemented through the electric transition plans filed by the investor owned utilities to implem</w:t>
      </w:r>
      <w:r w:rsidR="00847DA7" w:rsidRPr="00FE7C99">
        <w:rPr>
          <w:rFonts w:ascii="Arial" w:eastAsia="Arial" w:hAnsi="Arial" w:cs="Arial"/>
          <w:sz w:val="24"/>
          <w:szCs w:val="24"/>
        </w:rPr>
        <w:t>ent</w:t>
      </w:r>
      <w:r w:rsidR="003E1F76" w:rsidRPr="00FE7C99">
        <w:rPr>
          <w:rFonts w:ascii="Arial" w:eastAsia="Arial" w:hAnsi="Arial" w:cs="Arial"/>
          <w:sz w:val="24"/>
          <w:szCs w:val="24"/>
        </w:rPr>
        <w:t xml:space="preserve"> the mandate in S.B. 3.</w:t>
      </w:r>
      <w:r w:rsidR="00FB2E91" w:rsidRPr="00FE7C99">
        <w:rPr>
          <w:rFonts w:ascii="Arial" w:eastAsia="Arial" w:hAnsi="Arial" w:cs="Arial"/>
          <w:sz w:val="24"/>
          <w:szCs w:val="24"/>
        </w:rPr>
        <w:t xml:space="preserve">  The Commission took a hatchet to separate the existing pancaked rates into distribution, transmission, and generation.</w:t>
      </w:r>
      <w:r w:rsidR="003E1F76" w:rsidRPr="00FE7C99">
        <w:rPr>
          <w:rFonts w:ascii="Arial" w:eastAsia="Arial" w:hAnsi="Arial" w:cs="Arial"/>
          <w:sz w:val="24"/>
          <w:szCs w:val="24"/>
        </w:rPr>
        <w:t xml:space="preserve">  </w:t>
      </w:r>
      <w:r w:rsidR="006047C3" w:rsidRPr="00FE7C99">
        <w:rPr>
          <w:rFonts w:ascii="Arial" w:eastAsia="Arial" w:hAnsi="Arial" w:cs="Arial"/>
          <w:sz w:val="24"/>
          <w:szCs w:val="24"/>
        </w:rPr>
        <w:t>While t</w:t>
      </w:r>
      <w:r w:rsidR="003E1F76" w:rsidRPr="00FE7C99">
        <w:rPr>
          <w:rFonts w:ascii="Arial" w:eastAsia="Arial" w:hAnsi="Arial" w:cs="Arial"/>
          <w:sz w:val="24"/>
          <w:szCs w:val="24"/>
        </w:rPr>
        <w:t>his first step was important</w:t>
      </w:r>
      <w:r w:rsidRPr="00FE7C99">
        <w:rPr>
          <w:rFonts w:ascii="Arial" w:eastAsia="Arial" w:hAnsi="Arial" w:cs="Arial"/>
          <w:sz w:val="24"/>
          <w:szCs w:val="24"/>
        </w:rPr>
        <w:t>,</w:t>
      </w:r>
      <w:r w:rsidR="003E1F76" w:rsidRPr="00FE7C99">
        <w:rPr>
          <w:rFonts w:ascii="Arial" w:eastAsia="Arial" w:hAnsi="Arial" w:cs="Arial"/>
          <w:sz w:val="24"/>
          <w:szCs w:val="24"/>
        </w:rPr>
        <w:t xml:space="preserve"> as it laid the initial foundation for customers to evaluate differing competitive retail electric service o</w:t>
      </w:r>
      <w:r w:rsidR="006047C3" w:rsidRPr="00FE7C99">
        <w:rPr>
          <w:rFonts w:ascii="Arial" w:eastAsia="Arial" w:hAnsi="Arial" w:cs="Arial"/>
          <w:sz w:val="24"/>
          <w:szCs w:val="24"/>
        </w:rPr>
        <w:t>ptions from different suppliers, the Commission has not finished the job as the legislature intended.</w:t>
      </w:r>
    </w:p>
    <w:p w14:paraId="5C9120F4" w14:textId="58660930" w:rsidR="00F47880" w:rsidRPr="00FE7C99" w:rsidRDefault="0044279B">
      <w:pPr>
        <w:spacing w:after="0" w:line="480" w:lineRule="auto"/>
        <w:ind w:firstLine="720"/>
        <w:jc w:val="both"/>
        <w:rPr>
          <w:rFonts w:ascii="Arial" w:eastAsia="Arial" w:hAnsi="Arial" w:cs="Arial"/>
          <w:sz w:val="24"/>
          <w:szCs w:val="24"/>
        </w:rPr>
      </w:pPr>
      <w:r w:rsidRPr="00FE7C99">
        <w:rPr>
          <w:rFonts w:ascii="Arial" w:eastAsia="Arial" w:hAnsi="Arial" w:cs="Arial"/>
          <w:sz w:val="24"/>
          <w:szCs w:val="24"/>
        </w:rPr>
        <w:t>Through restructuring</w:t>
      </w:r>
      <w:r w:rsidR="003E1F76" w:rsidRPr="00FE7C99">
        <w:rPr>
          <w:rFonts w:ascii="Arial" w:eastAsia="Arial" w:hAnsi="Arial" w:cs="Arial"/>
          <w:sz w:val="24"/>
          <w:szCs w:val="24"/>
        </w:rPr>
        <w:t xml:space="preserve">, the General Assembly eliminated the Commission’s authority over competitive </w:t>
      </w:r>
      <w:r w:rsidRPr="00FE7C99">
        <w:rPr>
          <w:rFonts w:ascii="Arial" w:eastAsia="Arial" w:hAnsi="Arial" w:cs="Arial"/>
          <w:sz w:val="24"/>
          <w:szCs w:val="24"/>
        </w:rPr>
        <w:t xml:space="preserve">retail electric </w:t>
      </w:r>
      <w:r w:rsidR="003E1F76" w:rsidRPr="00FE7C99">
        <w:rPr>
          <w:rFonts w:ascii="Arial" w:eastAsia="Arial" w:hAnsi="Arial" w:cs="Arial"/>
          <w:sz w:val="24"/>
          <w:szCs w:val="24"/>
        </w:rPr>
        <w:t>services, exc</w:t>
      </w:r>
      <w:r w:rsidRPr="00FE7C99">
        <w:rPr>
          <w:rFonts w:ascii="Arial" w:eastAsia="Arial" w:hAnsi="Arial" w:cs="Arial"/>
          <w:sz w:val="24"/>
          <w:szCs w:val="24"/>
        </w:rPr>
        <w:t>ept for certain limited areas su</w:t>
      </w:r>
      <w:r w:rsidR="0048028E" w:rsidRPr="00FE7C99">
        <w:rPr>
          <w:rFonts w:ascii="Arial" w:eastAsia="Arial" w:hAnsi="Arial" w:cs="Arial"/>
          <w:sz w:val="24"/>
          <w:szCs w:val="24"/>
        </w:rPr>
        <w:t>ch as</w:t>
      </w:r>
      <w:r w:rsidR="006047C3" w:rsidRPr="00FE7C99">
        <w:rPr>
          <w:rFonts w:ascii="Arial" w:eastAsia="Arial" w:hAnsi="Arial" w:cs="Arial"/>
          <w:sz w:val="24"/>
          <w:szCs w:val="24"/>
        </w:rPr>
        <w:t xml:space="preserve"> regulating the establishment of</w:t>
      </w:r>
      <w:r w:rsidR="0048028E" w:rsidRPr="00FE7C99">
        <w:rPr>
          <w:rFonts w:ascii="Arial" w:eastAsia="Arial" w:hAnsi="Arial" w:cs="Arial"/>
          <w:sz w:val="24"/>
          <w:szCs w:val="24"/>
        </w:rPr>
        <w:t xml:space="preserve"> the SSO</w:t>
      </w:r>
      <w:r w:rsidRPr="00FE7C99">
        <w:rPr>
          <w:rFonts w:ascii="Arial" w:eastAsia="Arial" w:hAnsi="Arial" w:cs="Arial"/>
          <w:sz w:val="24"/>
          <w:szCs w:val="24"/>
        </w:rPr>
        <w:t>.</w:t>
      </w:r>
      <w:r w:rsidR="006047C3" w:rsidRPr="00FE7C99">
        <w:rPr>
          <w:rFonts w:ascii="Arial" w:eastAsia="Arial" w:hAnsi="Arial" w:cs="Arial"/>
          <w:sz w:val="24"/>
          <w:szCs w:val="24"/>
        </w:rPr>
        <w:t xml:space="preserve">  But t</w:t>
      </w:r>
      <w:r w:rsidRPr="00FE7C99">
        <w:rPr>
          <w:rFonts w:ascii="Arial" w:eastAsia="Arial" w:hAnsi="Arial" w:cs="Arial"/>
          <w:sz w:val="24"/>
          <w:szCs w:val="24"/>
        </w:rPr>
        <w:t>he Commission has no authority to regulate or provide compensation for competitive retail electric services through distribution rates. Indeed, “a competitive retail electric service supplied by an electric utility or electric services company shall not be subject to supervision and regulation . . . by the public utilities commission under Chapters 4901. to 4909., 4933., 4935., and 4963.”</w:t>
      </w:r>
      <w:r w:rsidR="0048028E" w:rsidRPr="00FE7C99">
        <w:rPr>
          <w:rStyle w:val="FootnoteReference"/>
          <w:rFonts w:ascii="Arial" w:eastAsia="Arial" w:hAnsi="Arial" w:cs="Arial"/>
          <w:sz w:val="24"/>
          <w:szCs w:val="24"/>
        </w:rPr>
        <w:footnoteReference w:id="5"/>
      </w:r>
      <w:r w:rsidR="00FB2E91" w:rsidRPr="00FE7C99">
        <w:rPr>
          <w:rFonts w:ascii="Arial" w:eastAsia="Arial" w:hAnsi="Arial" w:cs="Arial"/>
          <w:sz w:val="24"/>
          <w:szCs w:val="24"/>
        </w:rPr>
        <w:t xml:space="preserve">  </w:t>
      </w:r>
    </w:p>
    <w:p w14:paraId="67BD434E" w14:textId="238C77BA" w:rsidR="00C458EB" w:rsidRPr="00FE7C99" w:rsidRDefault="00C458EB" w:rsidP="00C458EB">
      <w:pPr>
        <w:pStyle w:val="ListParagraph"/>
        <w:numPr>
          <w:ilvl w:val="0"/>
          <w:numId w:val="2"/>
        </w:numPr>
        <w:spacing w:after="0" w:line="480" w:lineRule="auto"/>
        <w:jc w:val="both"/>
        <w:rPr>
          <w:rFonts w:ascii="Arial" w:eastAsia="Times New Roman" w:hAnsi="Arial" w:cs="Arial"/>
          <w:sz w:val="24"/>
          <w:szCs w:val="24"/>
        </w:rPr>
      </w:pPr>
      <w:r w:rsidRPr="00FE7C99">
        <w:rPr>
          <w:rFonts w:ascii="Arial" w:eastAsia="Times New Roman" w:hAnsi="Arial" w:cs="Arial"/>
          <w:b/>
          <w:sz w:val="24"/>
          <w:szCs w:val="24"/>
        </w:rPr>
        <w:lastRenderedPageBreak/>
        <w:t>The Distribution Rate Case</w:t>
      </w:r>
    </w:p>
    <w:p w14:paraId="62CBFC26" w14:textId="77777777" w:rsidR="00C458EB" w:rsidRPr="00FE7C99" w:rsidRDefault="00C458EB" w:rsidP="00C458EB">
      <w:pPr>
        <w:autoSpaceDE w:val="0"/>
        <w:autoSpaceDN w:val="0"/>
        <w:adjustRightInd w:val="0"/>
        <w:spacing w:line="480" w:lineRule="auto"/>
        <w:ind w:firstLine="720"/>
        <w:jc w:val="both"/>
        <w:rPr>
          <w:rFonts w:ascii="Arial" w:hAnsi="Arial" w:cs="Arial"/>
          <w:sz w:val="24"/>
          <w:szCs w:val="24"/>
        </w:rPr>
      </w:pPr>
      <w:r w:rsidRPr="00FE7C99">
        <w:rPr>
          <w:rFonts w:ascii="Arial" w:hAnsi="Arial" w:cs="Arial"/>
          <w:sz w:val="24"/>
          <w:szCs w:val="24"/>
        </w:rPr>
        <w:t>On March 2, 2017, Duke filed an application to increase its distribution rates, for tariff approval, and to change its accounting methods (“Distribution Case Application”).  The Staff Report of Investigation (“Staff Report”) was filed with the Commission on September 26, 2017, setting forth the Commission Staff’s ("Staff') findings regarding the Application.</w:t>
      </w:r>
    </w:p>
    <w:p w14:paraId="46951E76" w14:textId="25BAF5A5" w:rsidR="00C458EB" w:rsidRPr="00FE7C99" w:rsidRDefault="00C458EB" w:rsidP="00C458EB">
      <w:pPr>
        <w:spacing w:line="480" w:lineRule="auto"/>
        <w:ind w:firstLine="720"/>
        <w:jc w:val="both"/>
        <w:rPr>
          <w:rFonts w:ascii="Arial" w:eastAsia="Calibri" w:hAnsi="Arial" w:cs="Arial"/>
          <w:sz w:val="24"/>
          <w:szCs w:val="24"/>
        </w:rPr>
      </w:pPr>
      <w:r w:rsidRPr="00FE7C99">
        <w:rPr>
          <w:rFonts w:ascii="Arial" w:eastAsia="Times New Roman" w:hAnsi="Arial" w:cs="Arial"/>
          <w:sz w:val="24"/>
          <w:szCs w:val="24"/>
        </w:rPr>
        <w:t>On October 26, 2017, IGS submitted objections to the Staff Report.  As is relevant to the Stipulation, IGS objected to the Staff Report’s failure to recommend that Duke unbundle from distribution rates costs related to the provision of competitive generation service via the SSO.</w:t>
      </w:r>
      <w:r w:rsidRPr="00FE7C99">
        <w:rPr>
          <w:rStyle w:val="FootnoteReference"/>
          <w:rFonts w:ascii="Arial" w:eastAsia="Times New Roman" w:hAnsi="Arial" w:cs="Arial"/>
          <w:sz w:val="24"/>
          <w:szCs w:val="24"/>
        </w:rPr>
        <w:footnoteReference w:id="6"/>
      </w:r>
      <w:r w:rsidRPr="00FE7C99">
        <w:rPr>
          <w:rFonts w:ascii="Arial" w:eastAsia="Times New Roman" w:hAnsi="Arial" w:cs="Arial"/>
          <w:sz w:val="24"/>
          <w:szCs w:val="24"/>
        </w:rPr>
        <w:t xml:space="preserve">  Many of the costs necessary to support the SSO are proposed for recovery in Duke’s allowance for operation expense (operation and maintenance expense or “O&amp;M”).  These costs are identified and supported in the C-Schedules attached to the Application.  The Staff Report provides an analysis of the costs contained on these schedules.  But, absent from the Staff Report is any recommendation to appropriately refunctionalize the SSO costs that are necessary to support that service.  </w:t>
      </w:r>
      <w:r w:rsidRPr="00FE7C99">
        <w:rPr>
          <w:rFonts w:ascii="Arial" w:eastAsia="Calibri" w:hAnsi="Arial" w:cs="Arial"/>
          <w:sz w:val="24"/>
          <w:szCs w:val="24"/>
        </w:rPr>
        <w:t>The operation and maintenance expense categories that the Staff Report failed to analyze and allocate to the default service include:</w:t>
      </w:r>
    </w:p>
    <w:p w14:paraId="61BE7AD8" w14:textId="77777777" w:rsidR="00C458EB" w:rsidRPr="00FE7C99" w:rsidRDefault="00C458EB" w:rsidP="00C458EB">
      <w:pPr>
        <w:spacing w:after="120" w:line="480" w:lineRule="auto"/>
        <w:ind w:left="1440" w:hanging="720"/>
        <w:jc w:val="both"/>
        <w:rPr>
          <w:rFonts w:ascii="Arial" w:eastAsia="Calibri" w:hAnsi="Arial" w:cs="Arial"/>
          <w:sz w:val="24"/>
          <w:szCs w:val="24"/>
        </w:rPr>
      </w:pPr>
      <w:r w:rsidRPr="00FE7C99">
        <w:rPr>
          <w:rFonts w:ascii="Arial" w:eastAsia="Calibri" w:hAnsi="Arial" w:cs="Arial"/>
          <w:sz w:val="24"/>
          <w:szCs w:val="24"/>
        </w:rPr>
        <w:t>(1)</w:t>
      </w:r>
      <w:r w:rsidRPr="00FE7C99">
        <w:rPr>
          <w:rFonts w:ascii="Arial" w:eastAsia="Calibri" w:hAnsi="Arial" w:cs="Arial"/>
          <w:sz w:val="24"/>
          <w:szCs w:val="24"/>
        </w:rPr>
        <w:tab/>
        <w:t>Call center infrastructure and employees to maintain appropriate customer service for SSO customers;</w:t>
      </w:r>
      <w:r w:rsidRPr="00FE7C99">
        <w:rPr>
          <w:rFonts w:ascii="Arial" w:eastAsia="Calibri" w:hAnsi="Arial" w:cs="Arial"/>
          <w:sz w:val="24"/>
          <w:szCs w:val="24"/>
          <w:vertAlign w:val="superscript"/>
        </w:rPr>
        <w:footnoteReference w:id="7"/>
      </w:r>
    </w:p>
    <w:p w14:paraId="637B9279" w14:textId="77777777" w:rsidR="00C458EB" w:rsidRPr="00FE7C99" w:rsidRDefault="00C458EB" w:rsidP="00C458EB">
      <w:pPr>
        <w:spacing w:after="120" w:line="480" w:lineRule="auto"/>
        <w:ind w:left="1440" w:hanging="720"/>
        <w:jc w:val="both"/>
        <w:rPr>
          <w:rFonts w:ascii="Arial" w:eastAsia="Calibri" w:hAnsi="Arial" w:cs="Arial"/>
          <w:sz w:val="24"/>
          <w:szCs w:val="24"/>
        </w:rPr>
      </w:pPr>
      <w:r w:rsidRPr="00FE7C99">
        <w:rPr>
          <w:rFonts w:ascii="Arial" w:eastAsia="Calibri" w:hAnsi="Arial" w:cs="Arial"/>
          <w:sz w:val="24"/>
          <w:szCs w:val="24"/>
        </w:rPr>
        <w:lastRenderedPageBreak/>
        <w:t>(2)</w:t>
      </w:r>
      <w:r w:rsidRPr="00FE7C99">
        <w:rPr>
          <w:rFonts w:ascii="Arial" w:eastAsia="Calibri" w:hAnsi="Arial" w:cs="Arial"/>
          <w:sz w:val="24"/>
          <w:szCs w:val="24"/>
        </w:rPr>
        <w:tab/>
        <w:t xml:space="preserve">Outside and inside legal, regulatory, and compliance personnel to comply with the regulatory rule requirements for the SSO; </w:t>
      </w:r>
    </w:p>
    <w:p w14:paraId="16AF1C47" w14:textId="77777777" w:rsidR="00C458EB" w:rsidRPr="00FE7C99" w:rsidRDefault="00C458EB" w:rsidP="00C458EB">
      <w:pPr>
        <w:spacing w:after="120" w:line="480" w:lineRule="auto"/>
        <w:ind w:firstLine="720"/>
        <w:jc w:val="both"/>
        <w:rPr>
          <w:rFonts w:ascii="Arial" w:eastAsia="Calibri" w:hAnsi="Arial" w:cs="Arial"/>
          <w:sz w:val="24"/>
          <w:szCs w:val="24"/>
        </w:rPr>
      </w:pPr>
      <w:r w:rsidRPr="00FE7C99">
        <w:rPr>
          <w:rFonts w:ascii="Arial" w:eastAsia="Calibri" w:hAnsi="Arial" w:cs="Arial"/>
          <w:sz w:val="24"/>
          <w:szCs w:val="24"/>
        </w:rPr>
        <w:t>(3)</w:t>
      </w:r>
      <w:r w:rsidRPr="00FE7C99">
        <w:rPr>
          <w:rFonts w:ascii="Arial" w:eastAsia="Calibri" w:hAnsi="Arial" w:cs="Arial"/>
          <w:sz w:val="24"/>
          <w:szCs w:val="24"/>
        </w:rPr>
        <w:tab/>
        <w:t xml:space="preserve">IT employees, infrastructure, and software; </w:t>
      </w:r>
    </w:p>
    <w:p w14:paraId="56DC8DFB" w14:textId="77777777" w:rsidR="00C458EB" w:rsidRPr="00FE7C99" w:rsidRDefault="00C458EB" w:rsidP="00C458EB">
      <w:pPr>
        <w:spacing w:after="120" w:line="480" w:lineRule="auto"/>
        <w:ind w:firstLine="720"/>
        <w:jc w:val="both"/>
        <w:rPr>
          <w:rFonts w:ascii="Arial" w:eastAsia="Calibri" w:hAnsi="Arial" w:cs="Arial"/>
          <w:sz w:val="24"/>
          <w:szCs w:val="24"/>
        </w:rPr>
      </w:pPr>
      <w:r w:rsidRPr="00FE7C99">
        <w:rPr>
          <w:rFonts w:ascii="Arial" w:eastAsia="Calibri" w:hAnsi="Arial" w:cs="Arial"/>
          <w:sz w:val="24"/>
          <w:szCs w:val="24"/>
        </w:rPr>
        <w:t>(4)</w:t>
      </w:r>
      <w:r w:rsidRPr="00FE7C99">
        <w:rPr>
          <w:rFonts w:ascii="Arial" w:eastAsia="Calibri" w:hAnsi="Arial" w:cs="Arial"/>
          <w:sz w:val="24"/>
          <w:szCs w:val="24"/>
        </w:rPr>
        <w:tab/>
        <w:t xml:space="preserve">Office space for employees; </w:t>
      </w:r>
    </w:p>
    <w:p w14:paraId="663FCD3E" w14:textId="77777777" w:rsidR="00C458EB" w:rsidRPr="00FE7C99" w:rsidRDefault="00C458EB" w:rsidP="00C458EB">
      <w:pPr>
        <w:spacing w:after="120" w:line="480" w:lineRule="auto"/>
        <w:ind w:firstLine="720"/>
        <w:jc w:val="both"/>
        <w:rPr>
          <w:rFonts w:ascii="Arial" w:eastAsia="Calibri" w:hAnsi="Arial" w:cs="Arial"/>
          <w:sz w:val="24"/>
          <w:szCs w:val="24"/>
        </w:rPr>
      </w:pPr>
      <w:r w:rsidRPr="00FE7C99">
        <w:rPr>
          <w:rFonts w:ascii="Arial" w:eastAsia="Calibri" w:hAnsi="Arial" w:cs="Arial"/>
          <w:sz w:val="24"/>
          <w:szCs w:val="24"/>
        </w:rPr>
        <w:t>(5)</w:t>
      </w:r>
      <w:r w:rsidRPr="00FE7C99">
        <w:rPr>
          <w:rFonts w:ascii="Arial" w:eastAsia="Calibri" w:hAnsi="Arial" w:cs="Arial"/>
          <w:sz w:val="24"/>
          <w:szCs w:val="24"/>
        </w:rPr>
        <w:tab/>
        <w:t xml:space="preserve">Administrative and human resources staff to support the employees; </w:t>
      </w:r>
    </w:p>
    <w:p w14:paraId="38B1B56A" w14:textId="77777777" w:rsidR="00C458EB" w:rsidRPr="00FE7C99" w:rsidRDefault="00C458EB" w:rsidP="00C458EB">
      <w:pPr>
        <w:spacing w:after="120" w:line="480" w:lineRule="auto"/>
        <w:ind w:firstLine="720"/>
        <w:jc w:val="both"/>
        <w:rPr>
          <w:rFonts w:ascii="Arial" w:eastAsia="Calibri" w:hAnsi="Arial" w:cs="Arial"/>
          <w:sz w:val="24"/>
          <w:szCs w:val="24"/>
        </w:rPr>
      </w:pPr>
      <w:r w:rsidRPr="00FE7C99">
        <w:rPr>
          <w:rFonts w:ascii="Arial" w:eastAsia="Calibri" w:hAnsi="Arial" w:cs="Arial"/>
          <w:sz w:val="24"/>
          <w:szCs w:val="24"/>
        </w:rPr>
        <w:t>(6)</w:t>
      </w:r>
      <w:r w:rsidRPr="00FE7C99">
        <w:rPr>
          <w:rFonts w:ascii="Arial" w:eastAsia="Calibri" w:hAnsi="Arial" w:cs="Arial"/>
          <w:sz w:val="24"/>
          <w:szCs w:val="24"/>
        </w:rPr>
        <w:tab/>
        <w:t xml:space="preserve">Office supplies; </w:t>
      </w:r>
    </w:p>
    <w:p w14:paraId="148980F2" w14:textId="77777777" w:rsidR="00C458EB" w:rsidRPr="00FE7C99" w:rsidRDefault="00C458EB" w:rsidP="00C458EB">
      <w:pPr>
        <w:spacing w:after="120" w:line="480" w:lineRule="auto"/>
        <w:ind w:firstLine="720"/>
        <w:jc w:val="both"/>
        <w:rPr>
          <w:rFonts w:ascii="Arial" w:eastAsia="Calibri" w:hAnsi="Arial" w:cs="Arial"/>
          <w:sz w:val="24"/>
          <w:szCs w:val="24"/>
        </w:rPr>
      </w:pPr>
      <w:r w:rsidRPr="00FE7C99">
        <w:rPr>
          <w:rFonts w:ascii="Arial" w:eastAsia="Calibri" w:hAnsi="Arial" w:cs="Arial"/>
          <w:sz w:val="24"/>
          <w:szCs w:val="24"/>
        </w:rPr>
        <w:t>(7)</w:t>
      </w:r>
      <w:r w:rsidRPr="00FE7C99">
        <w:rPr>
          <w:rFonts w:ascii="Arial" w:eastAsia="Calibri" w:hAnsi="Arial" w:cs="Arial"/>
          <w:sz w:val="24"/>
          <w:szCs w:val="24"/>
        </w:rPr>
        <w:tab/>
        <w:t xml:space="preserve">Accounting and auditing services; </w:t>
      </w:r>
    </w:p>
    <w:p w14:paraId="7A248ACB" w14:textId="77777777" w:rsidR="00C458EB" w:rsidRPr="00FE7C99" w:rsidRDefault="00C458EB" w:rsidP="00C458EB">
      <w:pPr>
        <w:spacing w:after="120" w:line="480" w:lineRule="auto"/>
        <w:ind w:firstLine="720"/>
        <w:jc w:val="both"/>
        <w:rPr>
          <w:rFonts w:ascii="Arial" w:eastAsia="Calibri" w:hAnsi="Arial" w:cs="Arial"/>
          <w:sz w:val="24"/>
          <w:szCs w:val="24"/>
        </w:rPr>
      </w:pPr>
      <w:r w:rsidRPr="00FE7C99">
        <w:rPr>
          <w:rFonts w:ascii="Arial" w:eastAsia="Calibri" w:hAnsi="Arial" w:cs="Arial"/>
          <w:sz w:val="24"/>
          <w:szCs w:val="24"/>
        </w:rPr>
        <w:t>(8)</w:t>
      </w:r>
      <w:r w:rsidRPr="00FE7C99">
        <w:rPr>
          <w:rFonts w:ascii="Arial" w:eastAsia="Calibri" w:hAnsi="Arial" w:cs="Arial"/>
          <w:sz w:val="24"/>
          <w:szCs w:val="24"/>
        </w:rPr>
        <w:tab/>
        <w:t xml:space="preserve">Printing and postage to communicate with customers; </w:t>
      </w:r>
    </w:p>
    <w:p w14:paraId="66ED8781" w14:textId="77777777" w:rsidR="00C458EB" w:rsidRPr="00FE7C99" w:rsidRDefault="00C458EB" w:rsidP="00C458EB">
      <w:pPr>
        <w:spacing w:after="120" w:line="480" w:lineRule="auto"/>
        <w:ind w:left="1440" w:hanging="720"/>
        <w:jc w:val="both"/>
        <w:rPr>
          <w:rFonts w:ascii="Arial" w:eastAsia="Calibri" w:hAnsi="Arial" w:cs="Arial"/>
          <w:sz w:val="24"/>
          <w:szCs w:val="24"/>
        </w:rPr>
      </w:pPr>
      <w:r w:rsidRPr="00FE7C99">
        <w:rPr>
          <w:rFonts w:ascii="Arial" w:eastAsia="Calibri" w:hAnsi="Arial" w:cs="Arial"/>
          <w:sz w:val="24"/>
          <w:szCs w:val="24"/>
        </w:rPr>
        <w:t>(9)</w:t>
      </w:r>
      <w:r w:rsidRPr="00FE7C99">
        <w:rPr>
          <w:rFonts w:ascii="Arial" w:eastAsia="Calibri" w:hAnsi="Arial" w:cs="Arial"/>
          <w:sz w:val="24"/>
          <w:szCs w:val="24"/>
        </w:rPr>
        <w:tab/>
        <w:t>Uncollectible expense, to the extent that a purchase of receivable program contains a discount rate;</w:t>
      </w:r>
    </w:p>
    <w:p w14:paraId="41744025" w14:textId="77777777" w:rsidR="00C458EB" w:rsidRPr="00FE7C99" w:rsidRDefault="00C458EB" w:rsidP="00C458EB">
      <w:pPr>
        <w:spacing w:after="120" w:line="480" w:lineRule="auto"/>
        <w:ind w:left="1440" w:hanging="720"/>
        <w:jc w:val="both"/>
        <w:rPr>
          <w:rFonts w:ascii="Arial" w:eastAsia="Calibri" w:hAnsi="Arial" w:cs="Arial"/>
          <w:sz w:val="24"/>
          <w:szCs w:val="24"/>
        </w:rPr>
      </w:pPr>
      <w:r w:rsidRPr="00FE7C99">
        <w:rPr>
          <w:rFonts w:ascii="Arial" w:eastAsia="Calibri" w:hAnsi="Arial" w:cs="Arial"/>
          <w:sz w:val="24"/>
          <w:szCs w:val="24"/>
        </w:rPr>
        <w:t xml:space="preserve">(10) </w:t>
      </w:r>
      <w:r w:rsidRPr="00FE7C99">
        <w:rPr>
          <w:rFonts w:ascii="Arial" w:eastAsia="Calibri" w:hAnsi="Arial" w:cs="Arial"/>
          <w:sz w:val="24"/>
          <w:szCs w:val="24"/>
        </w:rPr>
        <w:tab/>
        <w:t>The regulatory assessments for the PUCO and the Ohio Consumers’ Counsel (“OCC”) that are based on SSO generation revenue, but are recovered through distribution rates;</w:t>
      </w:r>
    </w:p>
    <w:p w14:paraId="23CDB4F1" w14:textId="77777777" w:rsidR="00C458EB" w:rsidRPr="00FE7C99" w:rsidRDefault="00C458EB" w:rsidP="00C458EB">
      <w:pPr>
        <w:autoSpaceDE w:val="0"/>
        <w:autoSpaceDN w:val="0"/>
        <w:adjustRightInd w:val="0"/>
        <w:spacing w:after="120" w:line="480" w:lineRule="auto"/>
        <w:jc w:val="both"/>
        <w:rPr>
          <w:rFonts w:ascii="Arial" w:eastAsia="Times New Roman" w:hAnsi="Arial" w:cs="Arial"/>
          <w:sz w:val="24"/>
          <w:szCs w:val="24"/>
        </w:rPr>
      </w:pPr>
      <w:r w:rsidRPr="00FE7C99">
        <w:rPr>
          <w:rFonts w:ascii="Arial" w:eastAsia="Times New Roman" w:hAnsi="Arial" w:cs="Arial"/>
          <w:sz w:val="24"/>
          <w:szCs w:val="24"/>
        </w:rPr>
        <w:t xml:space="preserve"> </w:t>
      </w:r>
      <w:r w:rsidRPr="00FE7C99">
        <w:rPr>
          <w:rFonts w:ascii="Arial" w:eastAsia="Times New Roman" w:hAnsi="Arial" w:cs="Arial"/>
          <w:sz w:val="24"/>
          <w:szCs w:val="24"/>
        </w:rPr>
        <w:tab/>
        <w:t>(11)     Cash Working Capital.</w:t>
      </w:r>
      <w:r w:rsidRPr="00FE7C99">
        <w:rPr>
          <w:rFonts w:ascii="Arial" w:eastAsia="Times New Roman" w:hAnsi="Arial" w:cs="Arial"/>
          <w:sz w:val="24"/>
          <w:szCs w:val="24"/>
          <w:vertAlign w:val="superscript"/>
        </w:rPr>
        <w:footnoteReference w:id="8"/>
      </w:r>
    </w:p>
    <w:p w14:paraId="25A351CD" w14:textId="06BC0E7A" w:rsidR="00C458EB" w:rsidRPr="00FE7C99" w:rsidRDefault="00C458EB" w:rsidP="00C458EB">
      <w:pPr>
        <w:autoSpaceDE w:val="0"/>
        <w:autoSpaceDN w:val="0"/>
        <w:adjustRightInd w:val="0"/>
        <w:spacing w:line="480" w:lineRule="auto"/>
        <w:jc w:val="both"/>
        <w:rPr>
          <w:rFonts w:ascii="Arial" w:hAnsi="Arial" w:cs="Arial"/>
          <w:sz w:val="24"/>
          <w:szCs w:val="24"/>
        </w:rPr>
      </w:pPr>
      <w:r w:rsidRPr="00FE7C99">
        <w:rPr>
          <w:rFonts w:ascii="Arial" w:eastAsia="Times New Roman" w:hAnsi="Arial" w:cs="Arial"/>
          <w:sz w:val="24"/>
          <w:szCs w:val="24"/>
        </w:rPr>
        <w:t>These categories of cost are mainly identified in the following FERC Accounts (903-905; 908-910; 912; 920-935; 408).</w:t>
      </w:r>
      <w:r w:rsidRPr="00FE7C99">
        <w:rPr>
          <w:rFonts w:ascii="Arial" w:hAnsi="Arial" w:cs="Arial"/>
          <w:sz w:val="24"/>
          <w:szCs w:val="24"/>
        </w:rPr>
        <w:t xml:space="preserve"> Each of the aforementioned expenses and investments are used to support the SSO.  Moreover, each of these services reflect costs that CRES </w:t>
      </w:r>
      <w:r w:rsidRPr="00FE7C99">
        <w:rPr>
          <w:rFonts w:ascii="Arial" w:hAnsi="Arial" w:cs="Arial"/>
          <w:sz w:val="24"/>
          <w:szCs w:val="24"/>
        </w:rPr>
        <w:lastRenderedPageBreak/>
        <w:t>suppliers must incur to support their own rates.</w:t>
      </w:r>
      <w:r w:rsidR="00760874">
        <w:rPr>
          <w:rFonts w:ascii="Arial" w:hAnsi="Arial" w:cs="Arial"/>
          <w:sz w:val="24"/>
          <w:szCs w:val="24"/>
        </w:rPr>
        <w:t xml:space="preserve">  Witness Hess identified that these costs exceed $23 million.</w:t>
      </w:r>
      <w:r w:rsidR="00760874">
        <w:rPr>
          <w:rStyle w:val="FootnoteReference"/>
          <w:rFonts w:ascii="Arial" w:hAnsi="Arial" w:cs="Arial"/>
          <w:sz w:val="24"/>
          <w:szCs w:val="24"/>
        </w:rPr>
        <w:footnoteReference w:id="9"/>
      </w:r>
    </w:p>
    <w:p w14:paraId="0585ED8F" w14:textId="77777777" w:rsidR="00C458EB" w:rsidRPr="00FE7C99" w:rsidRDefault="00C458EB" w:rsidP="00C458EB">
      <w:pPr>
        <w:autoSpaceDE w:val="0"/>
        <w:autoSpaceDN w:val="0"/>
        <w:adjustRightInd w:val="0"/>
        <w:spacing w:line="480" w:lineRule="auto"/>
        <w:jc w:val="both"/>
        <w:rPr>
          <w:rFonts w:ascii="Arial" w:eastAsia="Times New Roman" w:hAnsi="Arial" w:cs="Arial"/>
          <w:sz w:val="24"/>
          <w:szCs w:val="24"/>
        </w:rPr>
      </w:pPr>
      <w:r w:rsidRPr="00FE7C99">
        <w:rPr>
          <w:rFonts w:ascii="Arial" w:hAnsi="Arial" w:cs="Arial"/>
          <w:sz w:val="24"/>
          <w:szCs w:val="24"/>
        </w:rPr>
        <w:tab/>
        <w:t>One of the most egregious subsidies related to Duke’s request to collect its OCC and PUCO assessments through distribution rates.  Under Ohio law, these annual assessments are directly related to a utility’s—a CRES providers is considered a utility for purposes of the assessment—total intrastate revenues, which includes SSO revenue.</w:t>
      </w:r>
      <w:r w:rsidRPr="00FE7C99">
        <w:rPr>
          <w:rStyle w:val="FootnoteReference"/>
          <w:rFonts w:ascii="Arial" w:hAnsi="Arial" w:cs="Arial"/>
          <w:sz w:val="24"/>
          <w:szCs w:val="24"/>
        </w:rPr>
        <w:footnoteReference w:id="10"/>
      </w:r>
      <w:r w:rsidRPr="00FE7C99">
        <w:rPr>
          <w:rFonts w:ascii="Arial" w:hAnsi="Arial" w:cs="Arial"/>
          <w:sz w:val="24"/>
          <w:szCs w:val="24"/>
        </w:rPr>
        <w:t xml:space="preserve">  For example, if Duke collected $300 million in SSO revenue</w:t>
      </w:r>
      <w:r w:rsidRPr="00FE7C99">
        <w:rPr>
          <w:rFonts w:ascii="Arial" w:hAnsi="Arial" w:cs="Arial"/>
          <w:sz w:val="24"/>
          <w:szCs w:val="24"/>
          <w:vertAlign w:val="superscript"/>
        </w:rPr>
        <w:footnoteReference w:id="11"/>
      </w:r>
      <w:r w:rsidRPr="00FE7C99">
        <w:rPr>
          <w:rFonts w:ascii="Arial" w:hAnsi="Arial" w:cs="Arial"/>
          <w:sz w:val="24"/>
          <w:szCs w:val="24"/>
        </w:rPr>
        <w:t xml:space="preserve"> and a CRES provider collected $300 million revenue, both would pay the same assessments for their generation-related revenue.</w:t>
      </w:r>
      <w:r w:rsidRPr="00FE7C99">
        <w:rPr>
          <w:rFonts w:ascii="Arial" w:hAnsi="Arial" w:cs="Arial"/>
          <w:sz w:val="24"/>
          <w:szCs w:val="24"/>
          <w:vertAlign w:val="superscript"/>
        </w:rPr>
        <w:footnoteReference w:id="12"/>
      </w:r>
      <w:r w:rsidRPr="00FE7C99">
        <w:rPr>
          <w:rFonts w:ascii="Arial" w:hAnsi="Arial" w:cs="Arial"/>
          <w:sz w:val="24"/>
          <w:szCs w:val="24"/>
        </w:rPr>
        <w:t xml:space="preserve">  It defies reason and principles of fair play to permit Duke to recover its assessment through non-competitive distribution rates while CRES providers must collect their assessments through their competitive service rates.</w:t>
      </w:r>
    </w:p>
    <w:p w14:paraId="7DF73062" w14:textId="2A815B43" w:rsidR="00C458EB" w:rsidRPr="00FE7C99" w:rsidRDefault="00C458EB" w:rsidP="00C458EB">
      <w:pPr>
        <w:spacing w:line="480" w:lineRule="auto"/>
        <w:jc w:val="both"/>
        <w:rPr>
          <w:rFonts w:ascii="Arial" w:eastAsia="Times New Roman" w:hAnsi="Arial" w:cs="Arial"/>
          <w:sz w:val="24"/>
          <w:szCs w:val="24"/>
        </w:rPr>
      </w:pPr>
      <w:r w:rsidRPr="00FE7C99">
        <w:rPr>
          <w:rFonts w:ascii="Arial" w:hAnsi="Arial" w:cs="Arial"/>
          <w:sz w:val="24"/>
          <w:szCs w:val="24"/>
        </w:rPr>
        <w:tab/>
        <w:t>In addition to the internal costs that CRES incur, CRES providers often must pay Duke additional fees, for example, switching fees, billing fees, and interval data fees.</w:t>
      </w:r>
      <w:r w:rsidRPr="00FE7C99">
        <w:rPr>
          <w:rStyle w:val="FootnoteReference"/>
          <w:rFonts w:ascii="Arial" w:hAnsi="Arial" w:cs="Arial"/>
          <w:sz w:val="24"/>
          <w:szCs w:val="24"/>
        </w:rPr>
        <w:footnoteReference w:id="13"/>
      </w:r>
      <w:r w:rsidRPr="00FE7C99">
        <w:rPr>
          <w:rFonts w:ascii="Arial" w:hAnsi="Arial" w:cs="Arial"/>
          <w:sz w:val="24"/>
          <w:szCs w:val="24"/>
        </w:rPr>
        <w:t xml:space="preserve"> Yet, customers are not required to pay switching fees to return to the SSO.</w:t>
      </w:r>
      <w:r w:rsidRPr="00FE7C99">
        <w:rPr>
          <w:rStyle w:val="FootnoteReference"/>
          <w:rFonts w:ascii="Arial" w:hAnsi="Arial" w:cs="Arial"/>
          <w:sz w:val="24"/>
          <w:szCs w:val="24"/>
        </w:rPr>
        <w:footnoteReference w:id="14"/>
      </w:r>
      <w:r w:rsidRPr="00FE7C99">
        <w:rPr>
          <w:rFonts w:ascii="Arial" w:hAnsi="Arial" w:cs="Arial"/>
          <w:sz w:val="24"/>
          <w:szCs w:val="24"/>
        </w:rPr>
        <w:t xml:space="preserve">  Similarly, Duke charges per bill fees to CRES providers to utilize the bill ready function.</w:t>
      </w:r>
      <w:r w:rsidRPr="00FE7C99">
        <w:rPr>
          <w:rStyle w:val="FootnoteReference"/>
          <w:rFonts w:ascii="Arial" w:hAnsi="Arial" w:cs="Arial"/>
          <w:sz w:val="24"/>
          <w:szCs w:val="24"/>
        </w:rPr>
        <w:footnoteReference w:id="15"/>
      </w:r>
      <w:r w:rsidRPr="00FE7C99">
        <w:rPr>
          <w:rFonts w:ascii="Arial" w:hAnsi="Arial" w:cs="Arial"/>
          <w:sz w:val="24"/>
          <w:szCs w:val="24"/>
        </w:rPr>
        <w:t xml:space="preserve">  Finally, </w:t>
      </w:r>
      <w:r w:rsidRPr="00FE7C99">
        <w:rPr>
          <w:rFonts w:ascii="Arial" w:hAnsi="Arial" w:cs="Arial"/>
          <w:sz w:val="24"/>
          <w:szCs w:val="24"/>
        </w:rPr>
        <w:lastRenderedPageBreak/>
        <w:t>Duke charges CRES providers $32 for each interval data request.</w:t>
      </w:r>
      <w:r w:rsidRPr="00FE7C99">
        <w:rPr>
          <w:rStyle w:val="FootnoteReference"/>
          <w:rFonts w:ascii="Arial" w:hAnsi="Arial" w:cs="Arial"/>
          <w:sz w:val="24"/>
          <w:szCs w:val="24"/>
        </w:rPr>
        <w:footnoteReference w:id="16"/>
      </w:r>
      <w:r w:rsidRPr="00FE7C99">
        <w:rPr>
          <w:rFonts w:ascii="Arial" w:hAnsi="Arial" w:cs="Arial"/>
          <w:sz w:val="24"/>
          <w:szCs w:val="24"/>
        </w:rPr>
        <w:t xml:space="preserve">  These fees have accounted for millions of dollars over the last few years.</w:t>
      </w:r>
      <w:r w:rsidR="001B7805">
        <w:rPr>
          <w:rStyle w:val="FootnoteReference"/>
          <w:rFonts w:ascii="Arial" w:hAnsi="Arial" w:cs="Arial"/>
          <w:sz w:val="24"/>
          <w:szCs w:val="24"/>
        </w:rPr>
        <w:footnoteReference w:id="17"/>
      </w:r>
      <w:r w:rsidRPr="00FE7C99">
        <w:rPr>
          <w:rFonts w:ascii="Arial" w:hAnsi="Arial" w:cs="Arial"/>
          <w:sz w:val="24"/>
          <w:szCs w:val="24"/>
        </w:rPr>
        <w:t xml:space="preserve">  Each of the fees discussed above are in addition to and apart from the substantial, non-wholesale costs that CRES providers must incur to make a competitive product available.  </w:t>
      </w:r>
    </w:p>
    <w:p w14:paraId="3CA3DB9C" w14:textId="2C66CB19" w:rsidR="00C458EB" w:rsidRPr="00FE7C99" w:rsidRDefault="00C458EB" w:rsidP="003625C5">
      <w:pPr>
        <w:spacing w:line="480" w:lineRule="auto"/>
        <w:ind w:firstLine="720"/>
        <w:jc w:val="both"/>
        <w:rPr>
          <w:rFonts w:ascii="Arial" w:eastAsia="Times New Roman" w:hAnsi="Arial" w:cs="Arial"/>
          <w:sz w:val="24"/>
          <w:szCs w:val="24"/>
        </w:rPr>
      </w:pPr>
      <w:r w:rsidRPr="00FE7C99">
        <w:rPr>
          <w:rFonts w:ascii="Arial" w:hAnsi="Arial" w:cs="Arial"/>
          <w:sz w:val="24"/>
          <w:szCs w:val="24"/>
        </w:rPr>
        <w:t>In addition to failing to unbundle SSO-related costs, the Staff Report failed to recommend any reduction or elimination of the fees that Duke charges to CRES providers or shopping customers. Thus, IGS and RESA objected to the Staff Report’s failure to analyze whether any supplier fees or charges contained on Tariff Sheet 52.4 ar</w:t>
      </w:r>
      <w:r w:rsidR="003625C5" w:rsidRPr="00FE7C99">
        <w:rPr>
          <w:rFonts w:ascii="Arial" w:hAnsi="Arial" w:cs="Arial"/>
          <w:sz w:val="24"/>
          <w:szCs w:val="24"/>
        </w:rPr>
        <w:t xml:space="preserve">e excessive. </w:t>
      </w:r>
    </w:p>
    <w:p w14:paraId="0CCABE72" w14:textId="3CBB07C1" w:rsidR="00C458EB" w:rsidRPr="00FE7C99" w:rsidRDefault="00C458EB" w:rsidP="00C458EB">
      <w:pPr>
        <w:pStyle w:val="ListParagraph"/>
        <w:numPr>
          <w:ilvl w:val="0"/>
          <w:numId w:val="2"/>
        </w:numPr>
        <w:spacing w:after="0" w:line="480" w:lineRule="auto"/>
        <w:jc w:val="both"/>
        <w:rPr>
          <w:rFonts w:ascii="Arial" w:eastAsia="Times New Roman" w:hAnsi="Arial" w:cs="Arial"/>
          <w:sz w:val="24"/>
          <w:szCs w:val="24"/>
        </w:rPr>
      </w:pPr>
      <w:r w:rsidRPr="00FE7C99">
        <w:rPr>
          <w:rFonts w:ascii="Arial" w:eastAsia="Times New Roman" w:hAnsi="Arial" w:cs="Arial"/>
          <w:b/>
          <w:sz w:val="24"/>
          <w:szCs w:val="24"/>
        </w:rPr>
        <w:t>The ESP Case</w:t>
      </w:r>
    </w:p>
    <w:p w14:paraId="58F8DC00" w14:textId="77777777" w:rsidR="00C458EB" w:rsidRPr="00FE7C99" w:rsidRDefault="00C458EB" w:rsidP="00C458EB">
      <w:pPr>
        <w:spacing w:after="0" w:line="480" w:lineRule="auto"/>
        <w:ind w:firstLine="720"/>
        <w:jc w:val="both"/>
        <w:rPr>
          <w:rFonts w:ascii="Arial" w:eastAsia="Times New Roman" w:hAnsi="Arial" w:cs="Arial"/>
          <w:sz w:val="24"/>
          <w:szCs w:val="24"/>
        </w:rPr>
      </w:pPr>
      <w:r w:rsidRPr="00FE7C99">
        <w:rPr>
          <w:rFonts w:ascii="Arial" w:eastAsia="Times New Roman" w:hAnsi="Arial" w:cs="Arial"/>
          <w:sz w:val="24"/>
          <w:szCs w:val="24"/>
        </w:rPr>
        <w:t xml:space="preserve">On June 1, 2017, Duke filed an application to establish an SSO in the form of an ESP (ESP Application).  Among other things, the Application proposed a PowerForward Rider, the deceptively named PSR, and the Distribution Capital Investment (“DCI”) Rider.  The PowerForward rider would permit Duke to recover costs associated with the Commission’s PowerForward initiative as well as costs associated with battery investments.  The PSR would permit Duke to recover through a non-bypassable rider the net costs associated with its power purchase agreement with OVEC.  The specific details associated with the PSR were addressed more fully in a separate docket discussed below.     </w:t>
      </w:r>
    </w:p>
    <w:p w14:paraId="5E1CDBDE" w14:textId="77777777" w:rsidR="00C458EB" w:rsidRPr="00FE7C99" w:rsidRDefault="00C458EB" w:rsidP="00C458EB">
      <w:pPr>
        <w:numPr>
          <w:ilvl w:val="0"/>
          <w:numId w:val="2"/>
        </w:numPr>
        <w:spacing w:after="0" w:line="480" w:lineRule="auto"/>
        <w:contextualSpacing/>
        <w:jc w:val="both"/>
        <w:rPr>
          <w:rFonts w:ascii="Arial" w:eastAsia="Times New Roman" w:hAnsi="Arial" w:cs="Arial"/>
          <w:sz w:val="24"/>
          <w:szCs w:val="24"/>
        </w:rPr>
      </w:pPr>
      <w:r w:rsidRPr="00FE7C99">
        <w:rPr>
          <w:rFonts w:ascii="Arial" w:eastAsia="Times New Roman" w:hAnsi="Arial" w:cs="Arial"/>
          <w:b/>
          <w:sz w:val="24"/>
          <w:szCs w:val="24"/>
        </w:rPr>
        <w:t>The Price Stabilization Rider Case</w:t>
      </w:r>
    </w:p>
    <w:p w14:paraId="0D9102BE" w14:textId="6C2DAC3C" w:rsidR="00C458EB" w:rsidRPr="00FE7C99" w:rsidRDefault="00F85D06" w:rsidP="004826E2">
      <w:pPr>
        <w:spacing w:after="0" w:line="480" w:lineRule="auto"/>
        <w:ind w:firstLine="720"/>
        <w:contextualSpacing/>
        <w:jc w:val="both"/>
        <w:rPr>
          <w:rFonts w:ascii="Arial" w:eastAsia="Times New Roman" w:hAnsi="Arial" w:cs="Arial"/>
          <w:sz w:val="24"/>
          <w:szCs w:val="24"/>
        </w:rPr>
      </w:pPr>
      <w:r>
        <w:rPr>
          <w:rFonts w:ascii="Arial" w:eastAsia="Times New Roman" w:hAnsi="Arial" w:cs="Arial"/>
          <w:sz w:val="24"/>
          <w:szCs w:val="24"/>
        </w:rPr>
        <w:lastRenderedPageBreak/>
        <w:t>O</w:t>
      </w:r>
      <w:r w:rsidR="00C458EB" w:rsidRPr="00FE7C99">
        <w:rPr>
          <w:rFonts w:ascii="Arial" w:eastAsia="Times New Roman" w:hAnsi="Arial" w:cs="Arial"/>
          <w:sz w:val="24"/>
          <w:szCs w:val="24"/>
        </w:rPr>
        <w:t>n March 30, 2017</w:t>
      </w:r>
      <w:r>
        <w:rPr>
          <w:rFonts w:ascii="Arial" w:eastAsia="Times New Roman" w:hAnsi="Arial" w:cs="Arial"/>
          <w:sz w:val="24"/>
          <w:szCs w:val="24"/>
        </w:rPr>
        <w:t>, Duke filed an application to recover costs through</w:t>
      </w:r>
      <w:r w:rsidR="00C458EB" w:rsidRPr="00FE7C99">
        <w:rPr>
          <w:rFonts w:ascii="Arial" w:eastAsia="Times New Roman" w:hAnsi="Arial" w:cs="Arial"/>
          <w:sz w:val="24"/>
          <w:szCs w:val="24"/>
        </w:rPr>
        <w:t xml:space="preserve"> the PSR. </w:t>
      </w:r>
      <w:r w:rsidR="00C458EB" w:rsidRPr="00FE7C99">
        <w:rPr>
          <w:rFonts w:ascii="Arial" w:eastAsia="Calibri" w:hAnsi="Arial" w:cs="Arial"/>
          <w:sz w:val="24"/>
          <w:szCs w:val="24"/>
        </w:rPr>
        <w:t>The PSR proposal would shift the cost and risk of OVEC ownership to Duke distribution customers.  Under the proposal Duke would sell the energy and capacity from the OVEC coal plants into PJM Interconnection, LLC’s (“PJM”) wholesale capacity and energy markets.</w:t>
      </w:r>
      <w:r w:rsidR="00C458EB" w:rsidRPr="00FE7C99">
        <w:rPr>
          <w:rFonts w:ascii="Arial" w:eastAsia="Calibri" w:hAnsi="Arial" w:cs="Arial"/>
          <w:sz w:val="24"/>
          <w:szCs w:val="24"/>
          <w:vertAlign w:val="superscript"/>
        </w:rPr>
        <w:footnoteReference w:id="18"/>
      </w:r>
      <w:r w:rsidR="00C458EB" w:rsidRPr="00FE7C99">
        <w:rPr>
          <w:rFonts w:ascii="Arial" w:eastAsia="Calibri" w:hAnsi="Arial" w:cs="Arial"/>
          <w:sz w:val="24"/>
          <w:szCs w:val="24"/>
        </w:rPr>
        <w:t xml:space="preserve">  If the wholesale market revenues that Duke receives are less than the cost-based rate that Duke must pay to OVEC under the ICPA, then Duke would collect the difference from its distribution customers through the PSR.</w:t>
      </w:r>
      <w:r w:rsidR="00C458EB" w:rsidRPr="00FE7C99">
        <w:rPr>
          <w:rFonts w:ascii="Arial" w:eastAsia="Calibri" w:hAnsi="Arial" w:cs="Arial"/>
          <w:sz w:val="24"/>
          <w:szCs w:val="24"/>
          <w:vertAlign w:val="superscript"/>
        </w:rPr>
        <w:footnoteReference w:id="19"/>
      </w:r>
      <w:r w:rsidR="00C458EB" w:rsidRPr="00FE7C99">
        <w:rPr>
          <w:rFonts w:ascii="Arial" w:eastAsia="Calibri" w:hAnsi="Arial" w:cs="Arial"/>
          <w:sz w:val="24"/>
          <w:szCs w:val="24"/>
        </w:rPr>
        <w:t xml:space="preserve">  </w:t>
      </w:r>
    </w:p>
    <w:p w14:paraId="7482AADB" w14:textId="77777777" w:rsidR="00C458EB" w:rsidRPr="00FE7C99" w:rsidRDefault="00C458EB" w:rsidP="00423914">
      <w:pPr>
        <w:pStyle w:val="ListParagraph"/>
        <w:numPr>
          <w:ilvl w:val="0"/>
          <w:numId w:val="2"/>
        </w:numPr>
        <w:spacing w:after="0" w:line="480" w:lineRule="auto"/>
        <w:jc w:val="both"/>
        <w:rPr>
          <w:rFonts w:ascii="Arial" w:eastAsia="Times New Roman" w:hAnsi="Arial" w:cs="Arial"/>
          <w:sz w:val="24"/>
          <w:szCs w:val="24"/>
        </w:rPr>
      </w:pPr>
      <w:r w:rsidRPr="00FE7C99">
        <w:rPr>
          <w:rFonts w:ascii="Arial" w:eastAsia="Times New Roman" w:hAnsi="Arial" w:cs="Arial"/>
          <w:b/>
          <w:sz w:val="24"/>
          <w:szCs w:val="24"/>
        </w:rPr>
        <w:t>The Reliability Standards Case</w:t>
      </w:r>
      <w:r w:rsidRPr="00FE7C99">
        <w:rPr>
          <w:rFonts w:ascii="Arial" w:eastAsia="Times New Roman" w:hAnsi="Arial" w:cs="Arial"/>
          <w:sz w:val="24"/>
          <w:szCs w:val="24"/>
        </w:rPr>
        <w:t xml:space="preserve">  </w:t>
      </w:r>
    </w:p>
    <w:p w14:paraId="53E19748" w14:textId="77777777" w:rsidR="00C458EB" w:rsidRPr="00FE7C99" w:rsidRDefault="00C458EB" w:rsidP="00C458EB">
      <w:pPr>
        <w:spacing w:after="0" w:line="480" w:lineRule="auto"/>
        <w:ind w:firstLine="720"/>
        <w:jc w:val="both"/>
        <w:rPr>
          <w:rFonts w:ascii="Arial" w:eastAsia="Times New Roman" w:hAnsi="Arial" w:cs="Arial"/>
          <w:sz w:val="24"/>
          <w:szCs w:val="24"/>
        </w:rPr>
      </w:pPr>
      <w:r w:rsidRPr="00FE7C99">
        <w:rPr>
          <w:rFonts w:ascii="Arial" w:eastAsia="Times New Roman" w:hAnsi="Arial" w:cs="Arial"/>
          <w:sz w:val="24"/>
          <w:szCs w:val="24"/>
        </w:rPr>
        <w:t>Finally, on July 22, 2016, Duke filed an application to establish reliability performance standards.  Although Duke has continually increased its total recovery of distribution-related revenue, it has often failed to satisfy its reliability performance standards.</w:t>
      </w:r>
    </w:p>
    <w:p w14:paraId="10758B96" w14:textId="77777777" w:rsidR="00C458EB" w:rsidRPr="00FE7C99" w:rsidRDefault="00C458EB">
      <w:pPr>
        <w:numPr>
          <w:ilvl w:val="0"/>
          <w:numId w:val="2"/>
        </w:numPr>
        <w:spacing w:after="0" w:line="480" w:lineRule="auto"/>
        <w:contextualSpacing/>
        <w:jc w:val="both"/>
        <w:rPr>
          <w:rFonts w:ascii="Arial" w:eastAsia="Times New Roman" w:hAnsi="Arial" w:cs="Arial"/>
          <w:b/>
          <w:sz w:val="24"/>
          <w:szCs w:val="24"/>
        </w:rPr>
      </w:pPr>
      <w:r w:rsidRPr="00FE7C99">
        <w:rPr>
          <w:rFonts w:ascii="Arial" w:eastAsia="Times New Roman" w:hAnsi="Arial" w:cs="Arial"/>
          <w:b/>
          <w:sz w:val="24"/>
          <w:szCs w:val="24"/>
        </w:rPr>
        <w:t>The Stipulation and Recommendation</w:t>
      </w:r>
    </w:p>
    <w:p w14:paraId="0878B896" w14:textId="2F357641" w:rsidR="00C458EB" w:rsidRPr="00FE7C99" w:rsidRDefault="00C458EB" w:rsidP="00C458EB">
      <w:pPr>
        <w:spacing w:after="0" w:line="480" w:lineRule="auto"/>
        <w:ind w:firstLine="720"/>
        <w:jc w:val="both"/>
        <w:rPr>
          <w:rFonts w:ascii="Arial" w:eastAsia="Times New Roman" w:hAnsi="Arial" w:cs="Arial"/>
          <w:sz w:val="24"/>
          <w:szCs w:val="24"/>
        </w:rPr>
      </w:pPr>
      <w:r w:rsidRPr="00FE7C99">
        <w:rPr>
          <w:rFonts w:ascii="Arial" w:eastAsia="Times New Roman" w:hAnsi="Arial" w:cs="Arial"/>
          <w:sz w:val="24"/>
          <w:szCs w:val="24"/>
        </w:rPr>
        <w:t xml:space="preserve">On April 13, 2018, certain parties entered a Stipulation to resolve several different cases, including but not limited to Duke’s application to increase distribution rates, Duke’s application to establish an SSO in the form of an ESP, and Duke’s application to modify the PSR. The Stipulation failed to address IGS’ objection to the Staff Report’s failure to properly unbundle SSO-related costs proposed for recovery in distribution rates.  Moreover, among other things, the Stipulation proposed that the Commission authorize the PowerForward Rider, the PSR including a retroactive ratemaking provision to collect </w:t>
      </w:r>
      <w:r w:rsidRPr="00FE7C99">
        <w:rPr>
          <w:rFonts w:ascii="Arial" w:eastAsia="Times New Roman" w:hAnsi="Arial" w:cs="Arial"/>
          <w:sz w:val="24"/>
          <w:szCs w:val="24"/>
        </w:rPr>
        <w:lastRenderedPageBreak/>
        <w:t>lost revenues since January 1, 2018, the SCR Rider to potentially subsidize the SSO rate, and extension of Rider DCI that was authorized under the prior ESP.</w:t>
      </w:r>
    </w:p>
    <w:p w14:paraId="1A4E03B9" w14:textId="77777777" w:rsidR="00C458EB" w:rsidRPr="00FE7C99" w:rsidRDefault="00C458EB" w:rsidP="00C458EB">
      <w:pPr>
        <w:spacing w:after="0" w:line="480" w:lineRule="auto"/>
        <w:ind w:firstLine="720"/>
        <w:jc w:val="both"/>
        <w:rPr>
          <w:rFonts w:ascii="Arial" w:eastAsia="Times New Roman" w:hAnsi="Arial" w:cs="Arial"/>
          <w:sz w:val="24"/>
          <w:szCs w:val="24"/>
        </w:rPr>
      </w:pPr>
      <w:r w:rsidRPr="00FE7C99">
        <w:rPr>
          <w:rFonts w:ascii="Arial" w:eastAsia="Times New Roman" w:hAnsi="Arial" w:cs="Arial"/>
          <w:sz w:val="24"/>
          <w:szCs w:val="24"/>
        </w:rPr>
        <w:t>Regarding to the Distribution Case Application, the Stipulation proposed that Duke decrease its base distribution rates.</w:t>
      </w:r>
      <w:r w:rsidRPr="00FE7C99">
        <w:rPr>
          <w:rFonts w:ascii="Arial" w:eastAsia="Times New Roman" w:hAnsi="Arial" w:cs="Arial"/>
          <w:sz w:val="24"/>
          <w:szCs w:val="24"/>
          <w:vertAlign w:val="superscript"/>
        </w:rPr>
        <w:footnoteReference w:id="20"/>
      </w:r>
      <w:r w:rsidRPr="00FE7C99">
        <w:rPr>
          <w:rFonts w:ascii="Arial" w:eastAsia="Times New Roman" w:hAnsi="Arial" w:cs="Arial"/>
          <w:sz w:val="24"/>
          <w:szCs w:val="24"/>
        </w:rPr>
        <w:t xml:space="preserve">  The Stipulation failed to address IGS’ objection to the Staff Report’s failure to unbundle SSO-related costs; thus, the Stipulation would permit Duke to recover SSO-related costs through distribution rates.</w:t>
      </w:r>
    </w:p>
    <w:p w14:paraId="3DF190A5" w14:textId="77777777" w:rsidR="00C458EB" w:rsidRPr="00FE7C99" w:rsidRDefault="00C458EB" w:rsidP="00C458EB">
      <w:pPr>
        <w:spacing w:after="0" w:line="480" w:lineRule="auto"/>
        <w:ind w:firstLine="720"/>
        <w:jc w:val="both"/>
        <w:rPr>
          <w:rFonts w:ascii="Arial" w:eastAsia="Times New Roman" w:hAnsi="Arial" w:cs="Arial"/>
          <w:sz w:val="24"/>
          <w:szCs w:val="24"/>
        </w:rPr>
      </w:pPr>
      <w:r w:rsidRPr="00FE7C99">
        <w:rPr>
          <w:rFonts w:ascii="Arial" w:eastAsia="Times New Roman" w:hAnsi="Arial" w:cs="Arial"/>
          <w:sz w:val="24"/>
          <w:szCs w:val="24"/>
        </w:rPr>
        <w:t>Regarding the ESP Application, the Stipulation proposed that Duke extend the DCI, subject to annual cost caps.  “Capital costs included in Rider DCI shall be those recorded in FERC Accounts 360 through 374.”</w:t>
      </w:r>
      <w:r w:rsidRPr="00FE7C99">
        <w:rPr>
          <w:rFonts w:ascii="Arial" w:eastAsia="Times New Roman" w:hAnsi="Arial" w:cs="Arial"/>
          <w:sz w:val="24"/>
          <w:szCs w:val="24"/>
          <w:vertAlign w:val="superscript"/>
        </w:rPr>
        <w:footnoteReference w:id="21"/>
      </w:r>
      <w:r w:rsidRPr="00FE7C99">
        <w:rPr>
          <w:rFonts w:ascii="Arial" w:eastAsia="Times New Roman" w:hAnsi="Arial" w:cs="Arial"/>
          <w:sz w:val="24"/>
          <w:szCs w:val="24"/>
        </w:rPr>
        <w:t xml:space="preserve">  Further, the Stipulation permits Duke to recover through Rider DCI up to $20 million associated with battery storage “for the purpose of deferring circuit investments or addressing distribution reliability issues.”</w:t>
      </w:r>
      <w:r w:rsidRPr="00FE7C99">
        <w:rPr>
          <w:rFonts w:ascii="Arial" w:eastAsia="Times New Roman" w:hAnsi="Arial" w:cs="Arial"/>
          <w:sz w:val="24"/>
          <w:szCs w:val="24"/>
          <w:vertAlign w:val="superscript"/>
        </w:rPr>
        <w:footnoteReference w:id="22"/>
      </w:r>
      <w:r w:rsidRPr="00FE7C99">
        <w:rPr>
          <w:rFonts w:ascii="Arial" w:eastAsia="Times New Roman" w:hAnsi="Arial" w:cs="Arial"/>
          <w:sz w:val="24"/>
          <w:szCs w:val="24"/>
        </w:rPr>
        <w:t xml:space="preserve">  In order to qualify for cost recovery under the DCI, the battery investments “[m]ust qualify as distribution equipment under the FERC uniform system of accounts authorized for collection via the Rider DCI and subject to the Rider DCI caps.”</w:t>
      </w:r>
      <w:r w:rsidRPr="00FE7C99">
        <w:rPr>
          <w:rFonts w:ascii="Arial" w:eastAsia="Times New Roman" w:hAnsi="Arial" w:cs="Arial"/>
          <w:sz w:val="24"/>
          <w:szCs w:val="24"/>
          <w:vertAlign w:val="superscript"/>
        </w:rPr>
        <w:footnoteReference w:id="23"/>
      </w:r>
      <w:r w:rsidRPr="00FE7C99">
        <w:rPr>
          <w:rFonts w:ascii="Arial" w:eastAsia="Times New Roman" w:hAnsi="Arial" w:cs="Arial"/>
          <w:sz w:val="24"/>
          <w:szCs w:val="24"/>
        </w:rPr>
        <w:t xml:space="preserve">  </w:t>
      </w:r>
    </w:p>
    <w:p w14:paraId="76D3B35C" w14:textId="77777777" w:rsidR="00C458EB" w:rsidRPr="00FE7C99" w:rsidRDefault="00C458EB" w:rsidP="00C458EB">
      <w:pPr>
        <w:spacing w:after="0" w:line="480" w:lineRule="auto"/>
        <w:ind w:firstLine="720"/>
        <w:jc w:val="both"/>
        <w:rPr>
          <w:rFonts w:ascii="Arial" w:eastAsia="Times New Roman" w:hAnsi="Arial" w:cs="Arial"/>
          <w:sz w:val="24"/>
          <w:szCs w:val="24"/>
        </w:rPr>
      </w:pPr>
      <w:r w:rsidRPr="00FE7C99">
        <w:rPr>
          <w:rFonts w:ascii="Arial" w:eastAsia="Times New Roman" w:hAnsi="Arial" w:cs="Arial"/>
          <w:sz w:val="24"/>
          <w:szCs w:val="24"/>
        </w:rPr>
        <w:t>The proposed PF Rider has three components:</w:t>
      </w:r>
    </w:p>
    <w:p w14:paraId="3294B93F" w14:textId="77777777" w:rsidR="00C458EB" w:rsidRPr="00FE7C99" w:rsidRDefault="00C458EB" w:rsidP="00C458EB">
      <w:pPr>
        <w:numPr>
          <w:ilvl w:val="0"/>
          <w:numId w:val="24"/>
        </w:numPr>
        <w:spacing w:after="0" w:line="480" w:lineRule="auto"/>
        <w:contextualSpacing/>
        <w:jc w:val="both"/>
        <w:rPr>
          <w:rFonts w:ascii="Arial" w:eastAsia="Times New Roman" w:hAnsi="Arial" w:cs="Arial"/>
          <w:sz w:val="24"/>
          <w:szCs w:val="24"/>
        </w:rPr>
      </w:pPr>
      <w:r w:rsidRPr="00FE7C99">
        <w:rPr>
          <w:rFonts w:ascii="Arial" w:eastAsia="Times New Roman" w:hAnsi="Arial" w:cs="Arial"/>
          <w:sz w:val="24"/>
          <w:szCs w:val="24"/>
        </w:rPr>
        <w:t>Incremental costs associated with the Commission’s PowerForward initiative.  Such costs shall only be authorized following Commission approval in a subsequent proceeding.</w:t>
      </w:r>
      <w:r w:rsidRPr="00FE7C99">
        <w:rPr>
          <w:rFonts w:ascii="Arial" w:eastAsia="Times New Roman" w:hAnsi="Arial" w:cs="Arial"/>
          <w:sz w:val="24"/>
          <w:szCs w:val="24"/>
          <w:vertAlign w:val="superscript"/>
        </w:rPr>
        <w:footnoteReference w:id="24"/>
      </w:r>
    </w:p>
    <w:p w14:paraId="0E93843A" w14:textId="77777777" w:rsidR="00C458EB" w:rsidRPr="00FE7C99" w:rsidRDefault="00C458EB" w:rsidP="00C458EB">
      <w:pPr>
        <w:numPr>
          <w:ilvl w:val="0"/>
          <w:numId w:val="24"/>
        </w:numPr>
        <w:spacing w:after="0" w:line="480" w:lineRule="auto"/>
        <w:contextualSpacing/>
        <w:jc w:val="both"/>
        <w:rPr>
          <w:rFonts w:ascii="Arial" w:eastAsia="Times New Roman" w:hAnsi="Arial" w:cs="Arial"/>
          <w:sz w:val="24"/>
          <w:szCs w:val="24"/>
        </w:rPr>
      </w:pPr>
      <w:r w:rsidRPr="00FE7C99">
        <w:rPr>
          <w:rFonts w:ascii="Arial" w:eastAsia="Times New Roman" w:hAnsi="Arial" w:cs="Arial"/>
          <w:sz w:val="24"/>
          <w:szCs w:val="24"/>
        </w:rPr>
        <w:lastRenderedPageBreak/>
        <w:t>Recovery of costs associated with early retirement and replacement of Duke’s ineffective advanced metering infrastructure (“AMI”), as well the provision of interval customer energy usage data (“CEUD”) to customers, CRES providers, and third parties, and settlement of CRES PJM statements based upon CEUD for all customers.</w:t>
      </w:r>
      <w:r w:rsidRPr="00FE7C99">
        <w:rPr>
          <w:rFonts w:ascii="Arial" w:eastAsia="Times New Roman" w:hAnsi="Arial" w:cs="Arial"/>
          <w:sz w:val="24"/>
          <w:szCs w:val="24"/>
          <w:vertAlign w:val="superscript"/>
        </w:rPr>
        <w:footnoteReference w:id="25"/>
      </w:r>
    </w:p>
    <w:p w14:paraId="4C444C7B" w14:textId="77777777" w:rsidR="00C458EB" w:rsidRPr="00FE7C99" w:rsidRDefault="00C458EB" w:rsidP="00C458EB">
      <w:pPr>
        <w:numPr>
          <w:ilvl w:val="0"/>
          <w:numId w:val="24"/>
        </w:numPr>
        <w:spacing w:after="0" w:line="480" w:lineRule="auto"/>
        <w:contextualSpacing/>
        <w:jc w:val="both"/>
        <w:rPr>
          <w:rFonts w:ascii="Arial" w:eastAsia="Times New Roman" w:hAnsi="Arial" w:cs="Arial"/>
          <w:sz w:val="24"/>
          <w:szCs w:val="24"/>
        </w:rPr>
      </w:pPr>
      <w:r w:rsidRPr="00FE7C99">
        <w:rPr>
          <w:rFonts w:ascii="Arial" w:eastAsia="Times New Roman" w:hAnsi="Arial" w:cs="Arial"/>
          <w:sz w:val="24"/>
          <w:szCs w:val="24"/>
        </w:rPr>
        <w:t>Provisions related to the implementation of an infrastructure modernization plan, as well as a proposal to upgrade the customer information system (“CIS”).  Cost recovery will be the subject of a separate proceeding.  The Stipulation, however, did not require Duke to include a proposal for supplier consolidated billing or non-commodity billing functionality for CRES providers—even though Duke offers that capability to its affiliate, Duke Energy One, Inc.</w:t>
      </w:r>
      <w:r w:rsidRPr="00FE7C99">
        <w:rPr>
          <w:rFonts w:ascii="Arial" w:eastAsia="Times New Roman" w:hAnsi="Arial" w:cs="Arial"/>
          <w:sz w:val="24"/>
          <w:szCs w:val="24"/>
          <w:vertAlign w:val="superscript"/>
        </w:rPr>
        <w:footnoteReference w:id="26"/>
      </w:r>
      <w:r w:rsidRPr="00FE7C99">
        <w:rPr>
          <w:rFonts w:ascii="Arial" w:eastAsia="Times New Roman" w:hAnsi="Arial" w:cs="Arial"/>
          <w:sz w:val="24"/>
          <w:szCs w:val="24"/>
        </w:rPr>
        <w:t xml:space="preserve"> </w:t>
      </w:r>
    </w:p>
    <w:p w14:paraId="413A5519" w14:textId="2C444790" w:rsidR="00C458EB" w:rsidRPr="00B25779" w:rsidRDefault="00C458EB" w:rsidP="00423914">
      <w:pPr>
        <w:spacing w:after="0" w:line="480" w:lineRule="auto"/>
        <w:ind w:firstLine="720"/>
        <w:jc w:val="both"/>
        <w:rPr>
          <w:rFonts w:ascii="Arial" w:eastAsia="Times New Roman" w:hAnsi="Arial" w:cs="Arial"/>
          <w:sz w:val="24"/>
          <w:szCs w:val="24"/>
        </w:rPr>
      </w:pPr>
      <w:r w:rsidRPr="00FE7C99">
        <w:rPr>
          <w:rFonts w:ascii="Arial" w:eastAsia="Times New Roman" w:hAnsi="Arial" w:cs="Arial"/>
          <w:sz w:val="24"/>
          <w:szCs w:val="24"/>
        </w:rPr>
        <w:t>Regarding the PSR, the Stipulation largely recommends approval of the PSR as originally filed by Duke, with some minor adjustments which do not provide significant value.</w:t>
      </w:r>
      <w:r w:rsidRPr="00FE7C99">
        <w:rPr>
          <w:rFonts w:ascii="Arial" w:eastAsia="Times New Roman" w:hAnsi="Arial" w:cs="Arial"/>
          <w:sz w:val="24"/>
          <w:szCs w:val="24"/>
          <w:vertAlign w:val="superscript"/>
        </w:rPr>
        <w:footnoteReference w:id="27"/>
      </w:r>
      <w:r w:rsidRPr="00FE7C99">
        <w:rPr>
          <w:rFonts w:ascii="Arial" w:eastAsia="Times New Roman" w:hAnsi="Arial" w:cs="Arial"/>
          <w:sz w:val="24"/>
          <w:szCs w:val="24"/>
        </w:rPr>
        <w:t xml:space="preserve"> Based upon Duke’s own testimony, the PSR is projected to be a charge on day one of the ESP and remain a charge for the duration of the ESP.</w:t>
      </w:r>
      <w:r w:rsidRPr="00FE7C99">
        <w:rPr>
          <w:rFonts w:ascii="Arial" w:eastAsia="Times New Roman" w:hAnsi="Arial" w:cs="Arial"/>
          <w:sz w:val="24"/>
          <w:szCs w:val="24"/>
          <w:vertAlign w:val="superscript"/>
        </w:rPr>
        <w:footnoteReference w:id="28"/>
      </w:r>
      <w:r w:rsidR="000E6D45" w:rsidRPr="00FE7C99">
        <w:rPr>
          <w:rFonts w:ascii="Arial" w:eastAsia="Times New Roman" w:hAnsi="Arial" w:cs="Arial"/>
          <w:sz w:val="24"/>
          <w:szCs w:val="24"/>
        </w:rPr>
        <w:t xml:space="preserve">  </w:t>
      </w:r>
    </w:p>
    <w:p w14:paraId="1F08D667" w14:textId="45459019" w:rsidR="00C458EB" w:rsidRPr="00FE7C99" w:rsidRDefault="00C458EB" w:rsidP="00C458EB">
      <w:pPr>
        <w:spacing w:after="0" w:line="480" w:lineRule="auto"/>
        <w:ind w:firstLine="720"/>
        <w:jc w:val="both"/>
        <w:rPr>
          <w:rFonts w:ascii="Arial" w:eastAsia="Times New Roman" w:hAnsi="Arial" w:cs="Arial"/>
          <w:sz w:val="24"/>
          <w:szCs w:val="24"/>
        </w:rPr>
      </w:pPr>
      <w:r w:rsidRPr="00FE7C99">
        <w:rPr>
          <w:rFonts w:ascii="Arial" w:eastAsia="Times New Roman" w:hAnsi="Arial" w:cs="Arial"/>
          <w:sz w:val="24"/>
          <w:szCs w:val="24"/>
        </w:rPr>
        <w:t xml:space="preserve">In conjunction with the filing of the Stipulation, Duke moved to consolidate the proceedings that are subject to the Stipulation.  Intervenors the Environmental Law &amp; Policy Center, Environmental Defense Fund, Natural Resources Defense Council, Ohio Environmental Council, Sierra Club, the Office of the Ohio Consumers’ Counsel, and the </w:t>
      </w:r>
      <w:r w:rsidRPr="00FE7C99">
        <w:rPr>
          <w:rFonts w:ascii="Arial" w:eastAsia="Times New Roman" w:hAnsi="Arial" w:cs="Arial"/>
          <w:sz w:val="24"/>
          <w:szCs w:val="24"/>
        </w:rPr>
        <w:lastRenderedPageBreak/>
        <w:t>Retail Energy Supply Association and IGS submitted a memorandum in opposition, noting the different statutory structures applicable to distribution rate cases and SSO cases.  On May 9, 2018, the Attorney Examiner granted Duke’s motion to consolidate, noting that the Commission will respect the specific statutory criteria applicable to distribution rate applications and ESP applications while hearing evidence within the context of a combined hearing and briefing process.</w:t>
      </w:r>
    </w:p>
    <w:p w14:paraId="18B5E4A7" w14:textId="3A1A1214" w:rsidR="00C458EB" w:rsidRPr="00FE7C99" w:rsidRDefault="00C458EB">
      <w:pPr>
        <w:pStyle w:val="ListParagraph"/>
        <w:numPr>
          <w:ilvl w:val="0"/>
          <w:numId w:val="2"/>
        </w:numPr>
        <w:spacing w:after="0" w:line="480" w:lineRule="auto"/>
        <w:jc w:val="both"/>
        <w:rPr>
          <w:rFonts w:ascii="Arial" w:eastAsia="Times New Roman" w:hAnsi="Arial" w:cs="Arial"/>
          <w:b/>
          <w:sz w:val="24"/>
          <w:szCs w:val="24"/>
        </w:rPr>
      </w:pPr>
      <w:r w:rsidRPr="00FE7C99">
        <w:rPr>
          <w:rFonts w:ascii="Arial" w:eastAsia="Times New Roman" w:hAnsi="Arial" w:cs="Arial"/>
          <w:b/>
          <w:sz w:val="24"/>
          <w:szCs w:val="24"/>
        </w:rPr>
        <w:t>The Opinion and Order</w:t>
      </w:r>
    </w:p>
    <w:p w14:paraId="47A4B06D" w14:textId="6E85ADA7" w:rsidR="00172029" w:rsidRPr="00FE7C99" w:rsidRDefault="001F7E88" w:rsidP="00172029">
      <w:pPr>
        <w:spacing w:after="0" w:line="480" w:lineRule="auto"/>
        <w:ind w:firstLine="720"/>
        <w:jc w:val="both"/>
        <w:rPr>
          <w:rFonts w:ascii="Arial" w:eastAsia="Times New Roman" w:hAnsi="Arial" w:cs="Arial"/>
          <w:sz w:val="24"/>
          <w:szCs w:val="24"/>
        </w:rPr>
      </w:pPr>
      <w:r w:rsidRPr="00FE7C99">
        <w:rPr>
          <w:rFonts w:ascii="Arial" w:eastAsia="Times New Roman" w:hAnsi="Arial" w:cs="Arial"/>
          <w:sz w:val="24"/>
          <w:szCs w:val="24"/>
        </w:rPr>
        <w:t xml:space="preserve">On December 19, 2018, the Commission issued an Opinion and </w:t>
      </w:r>
      <w:r w:rsidR="00392DAB" w:rsidRPr="00FE7C99">
        <w:rPr>
          <w:rFonts w:ascii="Arial" w:eastAsia="Times New Roman" w:hAnsi="Arial" w:cs="Arial"/>
          <w:sz w:val="24"/>
          <w:szCs w:val="24"/>
        </w:rPr>
        <w:t xml:space="preserve">Order authorizing the Stipulation. The Order is unlawful </w:t>
      </w:r>
      <w:r w:rsidR="000E6D45" w:rsidRPr="00FE7C99">
        <w:rPr>
          <w:rFonts w:ascii="Arial" w:eastAsia="Times New Roman" w:hAnsi="Arial" w:cs="Arial"/>
          <w:sz w:val="24"/>
          <w:szCs w:val="24"/>
        </w:rPr>
        <w:t>substantively and procedurally.  As discussed below, the Order largely places a rubber stamp on the proposals discussed above.</w:t>
      </w:r>
    </w:p>
    <w:p w14:paraId="24D2DF51" w14:textId="2F291F36" w:rsidR="00172029" w:rsidRPr="00FE7C99" w:rsidRDefault="00172029" w:rsidP="00C458EB">
      <w:pPr>
        <w:spacing w:after="0" w:line="480" w:lineRule="auto"/>
        <w:ind w:firstLine="720"/>
        <w:jc w:val="both"/>
        <w:rPr>
          <w:rFonts w:ascii="Arial" w:eastAsia="Times New Roman" w:hAnsi="Arial" w:cs="Arial"/>
          <w:sz w:val="24"/>
          <w:szCs w:val="24"/>
        </w:rPr>
      </w:pPr>
      <w:r w:rsidRPr="00FE7C99">
        <w:rPr>
          <w:rFonts w:ascii="Arial" w:eastAsia="Times New Roman" w:hAnsi="Arial" w:cs="Arial"/>
          <w:sz w:val="24"/>
          <w:szCs w:val="24"/>
        </w:rPr>
        <w:t>The Order authorized Duke to establish non-competitive distribution services rates.  But, included in that non-competitive</w:t>
      </w:r>
      <w:r w:rsidR="004826E2">
        <w:rPr>
          <w:rFonts w:ascii="Arial" w:eastAsia="Times New Roman" w:hAnsi="Arial" w:cs="Arial"/>
          <w:sz w:val="24"/>
          <w:szCs w:val="24"/>
        </w:rPr>
        <w:t xml:space="preserve"> service</w:t>
      </w:r>
      <w:r w:rsidRPr="00FE7C99">
        <w:rPr>
          <w:rFonts w:ascii="Arial" w:eastAsia="Times New Roman" w:hAnsi="Arial" w:cs="Arial"/>
          <w:sz w:val="24"/>
          <w:szCs w:val="24"/>
        </w:rPr>
        <w:t xml:space="preserve"> cost recovery, the Order authorized Duke to recover the cost of providing competitive SSO service. While acknowledging that this will occur, the Order indicated that it cannot separate SSO-related costs from distribution rates without evaluating costs related to the provision of the customer choice program.</w:t>
      </w:r>
      <w:r w:rsidR="004826E2">
        <w:rPr>
          <w:rStyle w:val="FootnoteReference"/>
          <w:rFonts w:ascii="Arial" w:eastAsia="Times New Roman" w:hAnsi="Arial" w:cs="Arial"/>
          <w:sz w:val="24"/>
          <w:szCs w:val="24"/>
        </w:rPr>
        <w:footnoteReference w:id="29"/>
      </w:r>
      <w:r w:rsidRPr="00FE7C99">
        <w:rPr>
          <w:rFonts w:ascii="Arial" w:eastAsia="Times New Roman" w:hAnsi="Arial" w:cs="Arial"/>
          <w:sz w:val="24"/>
          <w:szCs w:val="24"/>
        </w:rPr>
        <w:t xml:space="preserve">  Thus, the Order acknowledges that Duke’s distribution rates will recover costs related to the provision of competitive S</w:t>
      </w:r>
      <w:r w:rsidR="004B36B4" w:rsidRPr="00FE7C99">
        <w:rPr>
          <w:rFonts w:ascii="Arial" w:eastAsia="Times New Roman" w:hAnsi="Arial" w:cs="Arial"/>
          <w:sz w:val="24"/>
          <w:szCs w:val="24"/>
        </w:rPr>
        <w:t xml:space="preserve">SO service, </w:t>
      </w:r>
      <w:r w:rsidR="00482F03" w:rsidRPr="00FE7C99">
        <w:rPr>
          <w:rFonts w:ascii="Arial" w:eastAsia="Times New Roman" w:hAnsi="Arial" w:cs="Arial"/>
          <w:sz w:val="24"/>
          <w:szCs w:val="24"/>
        </w:rPr>
        <w:t>but indicated such cost recovery may be justified if there are equal costs related to the Choice program.</w:t>
      </w:r>
      <w:r w:rsidR="00E12F9B" w:rsidRPr="00FE7C99">
        <w:rPr>
          <w:rFonts w:ascii="Arial" w:eastAsia="Times New Roman" w:hAnsi="Arial" w:cs="Arial"/>
          <w:sz w:val="24"/>
          <w:szCs w:val="24"/>
        </w:rPr>
        <w:t xml:space="preserve">  The consequence of this decision is that Choice customers to will subsidize the provision of SSO service through their distribution rates</w:t>
      </w:r>
      <w:r w:rsidR="003D7B39">
        <w:rPr>
          <w:rFonts w:ascii="Arial" w:eastAsia="Times New Roman" w:hAnsi="Arial" w:cs="Arial"/>
          <w:sz w:val="24"/>
          <w:szCs w:val="24"/>
        </w:rPr>
        <w:t xml:space="preserve"> for the next several years</w:t>
      </w:r>
      <w:r w:rsidR="00E12F9B" w:rsidRPr="00FE7C99">
        <w:rPr>
          <w:rFonts w:ascii="Arial" w:eastAsia="Times New Roman" w:hAnsi="Arial" w:cs="Arial"/>
          <w:sz w:val="24"/>
          <w:szCs w:val="24"/>
        </w:rPr>
        <w:t>.</w:t>
      </w:r>
    </w:p>
    <w:p w14:paraId="647270A3" w14:textId="579F2911" w:rsidR="00482F03" w:rsidRPr="00FE7C99" w:rsidRDefault="00B81286" w:rsidP="0026527C">
      <w:pPr>
        <w:spacing w:after="0" w:line="480" w:lineRule="auto"/>
        <w:ind w:firstLine="720"/>
        <w:jc w:val="both"/>
        <w:rPr>
          <w:rFonts w:ascii="Arial" w:eastAsia="Times New Roman" w:hAnsi="Arial" w:cs="Arial"/>
          <w:sz w:val="24"/>
          <w:szCs w:val="24"/>
        </w:rPr>
      </w:pPr>
      <w:r w:rsidRPr="00FE7C99">
        <w:rPr>
          <w:rFonts w:ascii="Arial" w:eastAsia="Times New Roman" w:hAnsi="Arial" w:cs="Arial"/>
          <w:sz w:val="24"/>
          <w:szCs w:val="24"/>
        </w:rPr>
        <w:t xml:space="preserve">While the Order </w:t>
      </w:r>
      <w:r w:rsidR="00E12F9B" w:rsidRPr="00FE7C99">
        <w:rPr>
          <w:rFonts w:ascii="Arial" w:eastAsia="Times New Roman" w:hAnsi="Arial" w:cs="Arial"/>
          <w:sz w:val="24"/>
          <w:szCs w:val="24"/>
        </w:rPr>
        <w:t>required a comparison of SSO to choice costs before it would make the SSO pay its fair share, i</w:t>
      </w:r>
      <w:r w:rsidR="00482F03" w:rsidRPr="00FE7C99">
        <w:rPr>
          <w:rFonts w:ascii="Arial" w:eastAsia="Times New Roman" w:hAnsi="Arial" w:cs="Arial"/>
          <w:sz w:val="24"/>
          <w:szCs w:val="24"/>
        </w:rPr>
        <w:t>n a separate section</w:t>
      </w:r>
      <w:r w:rsidR="00E12F9B" w:rsidRPr="00FE7C99">
        <w:rPr>
          <w:rFonts w:ascii="Arial" w:eastAsia="Times New Roman" w:hAnsi="Arial" w:cs="Arial"/>
          <w:sz w:val="24"/>
          <w:szCs w:val="24"/>
        </w:rPr>
        <w:t xml:space="preserve">, the Order authorized the </w:t>
      </w:r>
      <w:r w:rsidR="00E12F9B" w:rsidRPr="00FE7C99">
        <w:rPr>
          <w:rFonts w:ascii="Arial" w:eastAsia="Times New Roman" w:hAnsi="Arial" w:cs="Arial"/>
          <w:sz w:val="24"/>
          <w:szCs w:val="24"/>
        </w:rPr>
        <w:lastRenderedPageBreak/>
        <w:t>continuation of fees that are currently assessed</w:t>
      </w:r>
      <w:r w:rsidR="0026527C" w:rsidRPr="00FE7C99">
        <w:rPr>
          <w:rFonts w:ascii="Arial" w:eastAsia="Times New Roman" w:hAnsi="Arial" w:cs="Arial"/>
          <w:sz w:val="24"/>
          <w:szCs w:val="24"/>
        </w:rPr>
        <w:t xml:space="preserve"> to CRES providers.  The Order reached this conclusion despite Duke’s failure to present any justification for the fees in either the Distribution Case or the ESP case.</w:t>
      </w:r>
      <w:r w:rsidR="003D7B39">
        <w:rPr>
          <w:rStyle w:val="FootnoteReference"/>
          <w:rFonts w:ascii="Arial" w:eastAsia="Times New Roman" w:hAnsi="Arial" w:cs="Arial"/>
          <w:sz w:val="24"/>
          <w:szCs w:val="24"/>
        </w:rPr>
        <w:footnoteReference w:id="30"/>
      </w:r>
      <w:r w:rsidR="00E12F9B" w:rsidRPr="00FE7C99">
        <w:rPr>
          <w:rFonts w:ascii="Arial" w:eastAsia="Times New Roman" w:hAnsi="Arial" w:cs="Arial"/>
          <w:sz w:val="24"/>
          <w:szCs w:val="24"/>
        </w:rPr>
        <w:t xml:space="preserve">  The Order indicated that these fees were authorized in a prior case,</w:t>
      </w:r>
      <w:r w:rsidR="0026527C" w:rsidRPr="00FE7C99">
        <w:rPr>
          <w:rFonts w:ascii="Arial" w:eastAsia="Times New Roman" w:hAnsi="Arial" w:cs="Arial"/>
          <w:sz w:val="24"/>
          <w:szCs w:val="24"/>
        </w:rPr>
        <w:t xml:space="preserve"> and stated, in reliance on </w:t>
      </w:r>
      <w:r w:rsidR="0026527C" w:rsidRPr="00FE7C99">
        <w:rPr>
          <w:rFonts w:ascii="Arial" w:eastAsia="Times New Roman" w:hAnsi="Arial" w:cs="Arial"/>
          <w:i/>
          <w:sz w:val="24"/>
          <w:szCs w:val="24"/>
        </w:rPr>
        <w:t xml:space="preserve">Consumers’ Counsel v. Pub. Util. Comm., </w:t>
      </w:r>
      <w:r w:rsidR="0026527C" w:rsidRPr="00FE7C99">
        <w:rPr>
          <w:rFonts w:ascii="Arial" w:eastAsia="Times New Roman" w:hAnsi="Arial" w:cs="Arial"/>
          <w:sz w:val="24"/>
          <w:szCs w:val="24"/>
        </w:rPr>
        <w:t>10 Ohio St.3d 49, 50-51 (1984), “before altering a lawful order, the Commission is required to provide and explanation for the change.”</w:t>
      </w:r>
      <w:r w:rsidR="00647CFA">
        <w:rPr>
          <w:rStyle w:val="FootnoteReference"/>
          <w:rFonts w:ascii="Arial" w:eastAsia="Times New Roman" w:hAnsi="Arial" w:cs="Arial"/>
          <w:sz w:val="24"/>
          <w:szCs w:val="24"/>
        </w:rPr>
        <w:footnoteReference w:id="31"/>
      </w:r>
      <w:r w:rsidR="0026527C" w:rsidRPr="00FE7C99">
        <w:rPr>
          <w:rFonts w:ascii="Arial" w:eastAsia="Times New Roman" w:hAnsi="Arial" w:cs="Arial"/>
          <w:sz w:val="24"/>
          <w:szCs w:val="24"/>
        </w:rPr>
        <w:t xml:space="preserve"> The Order further indicated that “RESA has not presented sufficient evidence that circumstances have changed since the fees were last altere</w:t>
      </w:r>
      <w:r w:rsidR="00647CFA">
        <w:rPr>
          <w:rFonts w:ascii="Arial" w:eastAsia="Times New Roman" w:hAnsi="Arial" w:cs="Arial"/>
          <w:sz w:val="24"/>
          <w:szCs w:val="24"/>
        </w:rPr>
        <w:t>d in 2011 . . . .”</w:t>
      </w:r>
      <w:r w:rsidR="00647CFA">
        <w:rPr>
          <w:rStyle w:val="FootnoteReference"/>
          <w:rFonts w:ascii="Arial" w:eastAsia="Times New Roman" w:hAnsi="Arial" w:cs="Arial"/>
          <w:sz w:val="24"/>
          <w:szCs w:val="24"/>
        </w:rPr>
        <w:footnoteReference w:id="32"/>
      </w:r>
    </w:p>
    <w:p w14:paraId="6CCF1355" w14:textId="37EED87F" w:rsidR="0026527C" w:rsidRPr="00FE7C99" w:rsidRDefault="006D665E" w:rsidP="00075428">
      <w:pPr>
        <w:tabs>
          <w:tab w:val="left" w:pos="0"/>
        </w:tabs>
        <w:spacing w:line="480" w:lineRule="auto"/>
        <w:jc w:val="both"/>
        <w:rPr>
          <w:rFonts w:ascii="Arial" w:hAnsi="Arial" w:cs="Arial"/>
          <w:sz w:val="24"/>
          <w:szCs w:val="24"/>
        </w:rPr>
      </w:pPr>
      <w:r w:rsidRPr="00FE7C99">
        <w:rPr>
          <w:rFonts w:ascii="Arial" w:eastAsia="Times New Roman" w:hAnsi="Arial" w:cs="Arial"/>
          <w:sz w:val="24"/>
          <w:szCs w:val="24"/>
        </w:rPr>
        <w:tab/>
      </w:r>
      <w:r w:rsidR="0026527C" w:rsidRPr="00FE7C99">
        <w:rPr>
          <w:rFonts w:ascii="Arial" w:eastAsia="Times New Roman" w:hAnsi="Arial" w:cs="Arial"/>
          <w:sz w:val="24"/>
          <w:szCs w:val="24"/>
        </w:rPr>
        <w:t xml:space="preserve">Regarding Duke’s </w:t>
      </w:r>
      <w:r w:rsidRPr="00FE7C99">
        <w:rPr>
          <w:rFonts w:ascii="Arial" w:eastAsia="Times New Roman" w:hAnsi="Arial" w:cs="Arial"/>
          <w:sz w:val="24"/>
          <w:szCs w:val="24"/>
        </w:rPr>
        <w:t>proposal to file a future application to update its CIS, IGS commends the Order for requiring Duke to propose a process for supplier consolidated billing.  This portion of the order provides a rare ray of ligh</w:t>
      </w:r>
      <w:r w:rsidR="00CA121C" w:rsidRPr="00FE7C99">
        <w:rPr>
          <w:rFonts w:ascii="Arial" w:eastAsia="Times New Roman" w:hAnsi="Arial" w:cs="Arial"/>
          <w:sz w:val="24"/>
          <w:szCs w:val="24"/>
        </w:rPr>
        <w:t>t for the competitive market</w:t>
      </w:r>
      <w:r w:rsidRPr="00FE7C99">
        <w:rPr>
          <w:rFonts w:ascii="Arial" w:eastAsia="Times New Roman" w:hAnsi="Arial" w:cs="Arial"/>
          <w:sz w:val="24"/>
          <w:szCs w:val="24"/>
        </w:rPr>
        <w:t>.</w:t>
      </w:r>
      <w:r w:rsidR="00CA121C" w:rsidRPr="00FE7C99">
        <w:rPr>
          <w:rFonts w:ascii="Arial" w:eastAsia="Times New Roman" w:hAnsi="Arial" w:cs="Arial"/>
          <w:sz w:val="24"/>
          <w:szCs w:val="24"/>
        </w:rPr>
        <w:t xml:space="preserve">  </w:t>
      </w:r>
      <w:r w:rsidRPr="00FE7C99">
        <w:rPr>
          <w:rFonts w:ascii="Arial" w:eastAsia="Times New Roman" w:hAnsi="Arial" w:cs="Arial"/>
          <w:sz w:val="24"/>
          <w:szCs w:val="24"/>
        </w:rPr>
        <w:t xml:space="preserve">At the same time, however, the Order fell short inasmuch as it would permit Duke’s ongoing discrimination against CRES providers.  </w:t>
      </w:r>
      <w:r w:rsidR="00CA121C" w:rsidRPr="00FE7C99">
        <w:rPr>
          <w:rFonts w:ascii="Arial" w:eastAsia="Times New Roman" w:hAnsi="Arial" w:cs="Arial"/>
          <w:sz w:val="24"/>
          <w:szCs w:val="24"/>
        </w:rPr>
        <w:t>Specifically, the record reflects that</w:t>
      </w:r>
      <w:r w:rsidRPr="00FE7C99">
        <w:rPr>
          <w:rFonts w:ascii="Arial" w:hAnsi="Arial" w:cs="Arial"/>
          <w:sz w:val="24"/>
          <w:szCs w:val="24"/>
        </w:rPr>
        <w:t xml:space="preserve"> under its current CIS</w:t>
      </w:r>
      <w:r w:rsidR="00CA121C" w:rsidRPr="00FE7C99">
        <w:rPr>
          <w:rFonts w:ascii="Arial" w:hAnsi="Arial" w:cs="Arial"/>
          <w:sz w:val="24"/>
          <w:szCs w:val="24"/>
        </w:rPr>
        <w:t>, Duke</w:t>
      </w:r>
      <w:r w:rsidRPr="00FE7C99">
        <w:rPr>
          <w:rFonts w:ascii="Arial" w:hAnsi="Arial" w:cs="Arial"/>
          <w:sz w:val="24"/>
          <w:szCs w:val="24"/>
        </w:rPr>
        <w:t xml:space="preserve"> lists non-commodity items on customer</w:t>
      </w:r>
      <w:r w:rsidR="00CA121C" w:rsidRPr="00FE7C99">
        <w:rPr>
          <w:rFonts w:ascii="Arial" w:hAnsi="Arial" w:cs="Arial"/>
          <w:sz w:val="24"/>
          <w:szCs w:val="24"/>
        </w:rPr>
        <w:t>s</w:t>
      </w:r>
      <w:r w:rsidRPr="00FE7C99">
        <w:rPr>
          <w:rFonts w:ascii="Arial" w:hAnsi="Arial" w:cs="Arial"/>
          <w:sz w:val="24"/>
          <w:szCs w:val="24"/>
        </w:rPr>
        <w:t xml:space="preserve"> billing statements for its affiliate, Duke Energy One.</w:t>
      </w:r>
      <w:r w:rsidRPr="00FE7C99">
        <w:rPr>
          <w:rFonts w:ascii="Arial" w:hAnsi="Arial" w:cs="Arial"/>
          <w:sz w:val="24"/>
          <w:szCs w:val="24"/>
          <w:vertAlign w:val="superscript"/>
        </w:rPr>
        <w:footnoteReference w:id="33"/>
      </w:r>
      <w:r w:rsidRPr="00FE7C99">
        <w:rPr>
          <w:rFonts w:ascii="Arial" w:hAnsi="Arial" w:cs="Arial"/>
          <w:sz w:val="24"/>
          <w:szCs w:val="24"/>
        </w:rPr>
        <w:t xml:space="preserve">  Yet, Duke has rejected forma</w:t>
      </w:r>
      <w:r w:rsidR="00CA121C" w:rsidRPr="00FE7C99">
        <w:rPr>
          <w:rFonts w:ascii="Arial" w:hAnsi="Arial" w:cs="Arial"/>
          <w:sz w:val="24"/>
          <w:szCs w:val="24"/>
        </w:rPr>
        <w:t>l requests from IGS to</w:t>
      </w:r>
      <w:r w:rsidRPr="00FE7C99">
        <w:rPr>
          <w:rFonts w:ascii="Arial" w:hAnsi="Arial" w:cs="Arial"/>
          <w:sz w:val="24"/>
          <w:szCs w:val="24"/>
        </w:rPr>
        <w:t xml:space="preserve"> place its non-commodity charges on the utility bill.</w:t>
      </w:r>
      <w:r w:rsidRPr="00FE7C99">
        <w:rPr>
          <w:rFonts w:ascii="Arial" w:hAnsi="Arial" w:cs="Arial"/>
          <w:sz w:val="24"/>
          <w:szCs w:val="24"/>
          <w:vertAlign w:val="superscript"/>
        </w:rPr>
        <w:footnoteReference w:id="34"/>
      </w:r>
      <w:r w:rsidRPr="00FE7C99">
        <w:rPr>
          <w:rFonts w:ascii="Arial" w:hAnsi="Arial" w:cs="Arial"/>
          <w:sz w:val="24"/>
          <w:szCs w:val="24"/>
        </w:rPr>
        <w:t xml:space="preserve">  Duke also acknowledged that its proposed CIS design could list non-commodity charges as a separate billing line item, yet it won’t commit to knowing whether the system will be configured to facilitate CRES non-</w:t>
      </w:r>
      <w:r w:rsidRPr="00FE7C99">
        <w:rPr>
          <w:rFonts w:ascii="Arial" w:hAnsi="Arial" w:cs="Arial"/>
          <w:sz w:val="24"/>
          <w:szCs w:val="24"/>
        </w:rPr>
        <w:lastRenderedPageBreak/>
        <w:t>commodity billing “until the Design phase of the project is complete.”</w:t>
      </w:r>
      <w:r w:rsidRPr="00FE7C99">
        <w:rPr>
          <w:rFonts w:ascii="Arial" w:hAnsi="Arial" w:cs="Arial"/>
          <w:sz w:val="24"/>
          <w:szCs w:val="24"/>
          <w:vertAlign w:val="superscript"/>
        </w:rPr>
        <w:footnoteReference w:id="35"/>
      </w:r>
      <w:r w:rsidR="00CA121C" w:rsidRPr="00FE7C99">
        <w:rPr>
          <w:rFonts w:ascii="Arial" w:hAnsi="Arial" w:cs="Arial"/>
          <w:sz w:val="24"/>
          <w:szCs w:val="24"/>
        </w:rPr>
        <w:t xml:space="preserve">   Rather than mandating equal treatment, the Order indicated that “we will not require that Duke’s CIS plan include non-commodity billing or a specific components; nor will we require stakeholder input before Duke submits its filing.”</w:t>
      </w:r>
      <w:r w:rsidR="00647CFA">
        <w:rPr>
          <w:rStyle w:val="FootnoteReference"/>
          <w:rFonts w:ascii="Arial" w:hAnsi="Arial" w:cs="Arial"/>
          <w:sz w:val="24"/>
          <w:szCs w:val="24"/>
        </w:rPr>
        <w:footnoteReference w:id="36"/>
      </w:r>
    </w:p>
    <w:p w14:paraId="15344B48" w14:textId="51A12289" w:rsidR="00C458EB" w:rsidRPr="00FE7C99" w:rsidRDefault="000E6D45" w:rsidP="00075428">
      <w:pPr>
        <w:spacing w:after="0" w:line="480" w:lineRule="auto"/>
        <w:ind w:firstLine="720"/>
        <w:jc w:val="both"/>
        <w:rPr>
          <w:rFonts w:ascii="Arial" w:eastAsia="Times New Roman" w:hAnsi="Arial" w:cs="Arial"/>
          <w:sz w:val="24"/>
          <w:szCs w:val="24"/>
        </w:rPr>
      </w:pPr>
      <w:r w:rsidRPr="00FE7C99">
        <w:rPr>
          <w:rFonts w:ascii="Arial" w:eastAsia="Times New Roman" w:hAnsi="Arial" w:cs="Arial"/>
          <w:sz w:val="24"/>
          <w:szCs w:val="24"/>
        </w:rPr>
        <w:t xml:space="preserve">Regarding Duke’s battery proposal, the Order did not squarely address the legal matters </w:t>
      </w:r>
      <w:r w:rsidR="00BD5C0D" w:rsidRPr="00FE7C99">
        <w:rPr>
          <w:rFonts w:ascii="Arial" w:eastAsia="Times New Roman" w:hAnsi="Arial" w:cs="Arial"/>
          <w:sz w:val="24"/>
          <w:szCs w:val="24"/>
        </w:rPr>
        <w:t>presented by the parties.  Rather, the Order stated that “The Commission will allow the battery storage project to go forward, as a pilot project.”</w:t>
      </w:r>
      <w:r w:rsidR="00647CFA">
        <w:rPr>
          <w:rStyle w:val="FootnoteReference"/>
          <w:rFonts w:ascii="Arial" w:eastAsia="Times New Roman" w:hAnsi="Arial" w:cs="Arial"/>
          <w:sz w:val="24"/>
          <w:szCs w:val="24"/>
        </w:rPr>
        <w:footnoteReference w:id="37"/>
      </w:r>
      <w:r w:rsidR="00BD5C0D" w:rsidRPr="00FE7C99">
        <w:rPr>
          <w:rFonts w:ascii="Arial" w:eastAsia="Times New Roman" w:hAnsi="Arial" w:cs="Arial"/>
          <w:sz w:val="24"/>
          <w:szCs w:val="24"/>
        </w:rPr>
        <w:t xml:space="preserve">  The Order indicated that “the project should be subject to pre-approval form the Commission and ongoing monitoring.  Duke should file its application detailing its proposed battery storage p</w:t>
      </w:r>
      <w:r w:rsidR="00647CFA">
        <w:rPr>
          <w:rFonts w:ascii="Arial" w:eastAsia="Times New Roman" w:hAnsi="Arial" w:cs="Arial"/>
          <w:sz w:val="24"/>
          <w:szCs w:val="24"/>
        </w:rPr>
        <w:t>roject in a separate proceeding.</w:t>
      </w:r>
      <w:r w:rsidR="00BD5C0D" w:rsidRPr="00FE7C99">
        <w:rPr>
          <w:rFonts w:ascii="Arial" w:eastAsia="Times New Roman" w:hAnsi="Arial" w:cs="Arial"/>
          <w:sz w:val="24"/>
          <w:szCs w:val="24"/>
        </w:rPr>
        <w:t>”</w:t>
      </w:r>
      <w:r w:rsidR="00647CFA">
        <w:rPr>
          <w:rStyle w:val="FootnoteReference"/>
          <w:rFonts w:ascii="Arial" w:eastAsia="Times New Roman" w:hAnsi="Arial" w:cs="Arial"/>
          <w:sz w:val="24"/>
          <w:szCs w:val="24"/>
        </w:rPr>
        <w:footnoteReference w:id="38"/>
      </w:r>
      <w:r w:rsidR="00BD5C0D" w:rsidRPr="00FE7C99">
        <w:rPr>
          <w:rFonts w:ascii="Arial" w:eastAsia="Times New Roman" w:hAnsi="Arial" w:cs="Arial"/>
          <w:sz w:val="24"/>
          <w:szCs w:val="24"/>
        </w:rPr>
        <w:t xml:space="preserve"> </w:t>
      </w:r>
      <w:r w:rsidR="00172029" w:rsidRPr="00FE7C99">
        <w:rPr>
          <w:rFonts w:ascii="Arial" w:eastAsia="Times New Roman" w:hAnsi="Arial" w:cs="Arial"/>
          <w:sz w:val="24"/>
          <w:szCs w:val="24"/>
        </w:rPr>
        <w:t>But, the Order also states that, “as stated in the Stipulation, cost recovery of the project will be eligible and recoverable through Rider DCI.”</w:t>
      </w:r>
      <w:r w:rsidR="00647CFA">
        <w:rPr>
          <w:rStyle w:val="FootnoteReference"/>
          <w:rFonts w:ascii="Arial" w:eastAsia="Times New Roman" w:hAnsi="Arial" w:cs="Arial"/>
          <w:sz w:val="24"/>
          <w:szCs w:val="24"/>
        </w:rPr>
        <w:footnoteReference w:id="39"/>
      </w:r>
      <w:r w:rsidR="002C2F18">
        <w:rPr>
          <w:rFonts w:ascii="Arial" w:eastAsia="Times New Roman" w:hAnsi="Arial" w:cs="Arial"/>
          <w:sz w:val="24"/>
          <w:szCs w:val="24"/>
        </w:rPr>
        <w:t xml:space="preserve">  </w:t>
      </w:r>
    </w:p>
    <w:p w14:paraId="3115E5B1" w14:textId="1E6A98E8" w:rsidR="00C458EB" w:rsidRPr="00FE7C99" w:rsidRDefault="00C458EB" w:rsidP="00392DAB">
      <w:pPr>
        <w:pStyle w:val="ListParagraph"/>
        <w:numPr>
          <w:ilvl w:val="0"/>
          <w:numId w:val="1"/>
        </w:numPr>
        <w:autoSpaceDE w:val="0"/>
        <w:autoSpaceDN w:val="0"/>
        <w:adjustRightInd w:val="0"/>
        <w:spacing w:after="0" w:line="480" w:lineRule="auto"/>
        <w:jc w:val="both"/>
        <w:rPr>
          <w:rFonts w:ascii="Arial" w:hAnsi="Arial" w:cs="Arial"/>
          <w:b/>
          <w:sz w:val="24"/>
          <w:szCs w:val="24"/>
        </w:rPr>
      </w:pPr>
      <w:r w:rsidRPr="00FE7C99">
        <w:rPr>
          <w:rFonts w:ascii="Arial" w:hAnsi="Arial" w:cs="Arial"/>
          <w:b/>
          <w:sz w:val="24"/>
          <w:szCs w:val="24"/>
        </w:rPr>
        <w:t>SETTLEMENT EVALUATION CRITERIA AND LEGAL STANDARD</w:t>
      </w:r>
    </w:p>
    <w:p w14:paraId="30197A96" w14:textId="77777777" w:rsidR="00C458EB" w:rsidRPr="00FE7C99" w:rsidRDefault="00C458EB" w:rsidP="00C458EB">
      <w:pPr>
        <w:autoSpaceDE w:val="0"/>
        <w:autoSpaceDN w:val="0"/>
        <w:adjustRightInd w:val="0"/>
        <w:spacing w:after="0" w:line="480" w:lineRule="auto"/>
        <w:ind w:firstLine="720"/>
        <w:jc w:val="both"/>
        <w:rPr>
          <w:rFonts w:ascii="Arial" w:hAnsi="Arial" w:cs="Arial"/>
          <w:sz w:val="24"/>
          <w:szCs w:val="24"/>
        </w:rPr>
      </w:pPr>
      <w:r w:rsidRPr="00FE7C99">
        <w:rPr>
          <w:rFonts w:ascii="Arial" w:hAnsi="Arial" w:cs="Arial"/>
          <w:sz w:val="24"/>
          <w:szCs w:val="24"/>
        </w:rPr>
        <w:t>Before approving a contested settlement, the Commission must find that: (1) the settlement is a product of serious bargaining among capable, knowledgeable parties; (2) the settlement, as a package, benefits ratepayers and the public interest; and; (3) the settlement package does not violate any important regulatory principles or practices.</w:t>
      </w:r>
      <w:r w:rsidRPr="00FE7C99">
        <w:rPr>
          <w:rFonts w:ascii="Arial" w:hAnsi="Arial" w:cs="Arial"/>
          <w:sz w:val="24"/>
          <w:szCs w:val="24"/>
          <w:vertAlign w:val="superscript"/>
        </w:rPr>
        <w:footnoteReference w:id="40"/>
      </w:r>
      <w:r w:rsidRPr="00FE7C99">
        <w:rPr>
          <w:rFonts w:ascii="Arial" w:hAnsi="Arial" w:cs="Arial"/>
          <w:sz w:val="24"/>
          <w:szCs w:val="24"/>
        </w:rPr>
        <w:t xml:space="preserve">  A settlement is not evidence and it is not binding on the Commission. It is a recommendation </w:t>
      </w:r>
      <w:r w:rsidRPr="00FE7C99">
        <w:rPr>
          <w:rFonts w:ascii="Arial" w:hAnsi="Arial" w:cs="Arial"/>
          <w:sz w:val="24"/>
          <w:szCs w:val="24"/>
        </w:rPr>
        <w:lastRenderedPageBreak/>
        <w:t xml:space="preserve">by parties to a proceeding on how the Commission should address and resolve contested issues and nothing more.  A settlement cannot provide the Commission with authority.  A settlement does not allow the Commission to disrespect procedural or substantive requirements established by the General Assembly or the Commission's rules. </w:t>
      </w:r>
    </w:p>
    <w:p w14:paraId="5C80AAAD" w14:textId="77777777" w:rsidR="00C458EB" w:rsidRPr="00FE7C99" w:rsidRDefault="00C458EB" w:rsidP="00C458EB">
      <w:pPr>
        <w:autoSpaceDE w:val="0"/>
        <w:autoSpaceDN w:val="0"/>
        <w:adjustRightInd w:val="0"/>
        <w:spacing w:after="0" w:line="480" w:lineRule="auto"/>
        <w:ind w:firstLine="720"/>
        <w:jc w:val="both"/>
        <w:rPr>
          <w:rFonts w:ascii="Arial" w:hAnsi="Arial" w:cs="Arial"/>
          <w:sz w:val="24"/>
          <w:szCs w:val="24"/>
        </w:rPr>
      </w:pPr>
      <w:r w:rsidRPr="00FE7C99">
        <w:rPr>
          <w:rFonts w:ascii="Arial" w:hAnsi="Arial" w:cs="Arial"/>
          <w:sz w:val="24"/>
          <w:szCs w:val="24"/>
        </w:rPr>
        <w:t>For example, Monongahela Power relied upon a settlement for its authority to end the five-year market development period early. The Ohio Supreme Court ("Supreme Court") rejected the claim that the settlement provided support for the early termination, stating:</w:t>
      </w:r>
    </w:p>
    <w:p w14:paraId="4F20950D" w14:textId="77777777" w:rsidR="00C458EB" w:rsidRPr="00FE7C99" w:rsidRDefault="00C458EB" w:rsidP="00C458EB">
      <w:pPr>
        <w:autoSpaceDE w:val="0"/>
        <w:autoSpaceDN w:val="0"/>
        <w:adjustRightInd w:val="0"/>
        <w:spacing w:after="0" w:line="240" w:lineRule="auto"/>
        <w:ind w:left="720" w:right="720"/>
        <w:jc w:val="both"/>
        <w:rPr>
          <w:rFonts w:ascii="Arial" w:hAnsi="Arial" w:cs="Arial"/>
          <w:sz w:val="24"/>
          <w:szCs w:val="24"/>
        </w:rPr>
      </w:pPr>
      <w:r w:rsidRPr="00FE7C99">
        <w:rPr>
          <w:rFonts w:ascii="Arial" w:hAnsi="Arial" w:cs="Arial"/>
          <w:sz w:val="24"/>
          <w:szCs w:val="24"/>
        </w:rPr>
        <w:t xml:space="preserve">Nevertheless, to the extent that Section IV of the Stipulation approved by the commission in the ETP Order can be considered an order authorizing the early end of Mon Power's MDP, that order was premature. </w:t>
      </w:r>
      <w:r w:rsidRPr="00FE7C99">
        <w:rPr>
          <w:rFonts w:ascii="Arial" w:hAnsi="Arial" w:cs="Arial"/>
          <w:i/>
          <w:sz w:val="24"/>
          <w:szCs w:val="24"/>
        </w:rPr>
        <w:t>It was based upon an optimistic assumption that the requisite levels of the switching rate or effective competition would be achieved by December 31, 2003, an assumption that proved to be unwarranted, making any such order ending the MDP unenforceable because the order exceeded the statutory authority of the commission</w:t>
      </w:r>
      <w:r w:rsidRPr="00FE7C99">
        <w:rPr>
          <w:rFonts w:ascii="Arial" w:hAnsi="Arial" w:cs="Arial"/>
          <w:sz w:val="24"/>
          <w:szCs w:val="24"/>
        </w:rPr>
        <w:t>.</w:t>
      </w:r>
      <w:r w:rsidRPr="00FE7C99">
        <w:rPr>
          <w:rFonts w:ascii="Arial" w:hAnsi="Arial" w:cs="Arial"/>
          <w:sz w:val="24"/>
          <w:szCs w:val="24"/>
          <w:vertAlign w:val="superscript"/>
        </w:rPr>
        <w:footnoteReference w:id="41"/>
      </w:r>
    </w:p>
    <w:p w14:paraId="3002E446" w14:textId="77777777" w:rsidR="00C458EB" w:rsidRPr="00FE7C99" w:rsidRDefault="00C458EB" w:rsidP="00C458EB">
      <w:pPr>
        <w:autoSpaceDE w:val="0"/>
        <w:autoSpaceDN w:val="0"/>
        <w:adjustRightInd w:val="0"/>
        <w:spacing w:after="0" w:line="240" w:lineRule="auto"/>
        <w:ind w:left="720" w:right="720"/>
        <w:jc w:val="both"/>
        <w:rPr>
          <w:rFonts w:ascii="Arial" w:hAnsi="Arial" w:cs="Arial"/>
          <w:sz w:val="24"/>
          <w:szCs w:val="24"/>
        </w:rPr>
      </w:pPr>
    </w:p>
    <w:p w14:paraId="79FC0F04" w14:textId="31066A37" w:rsidR="00C458EB" w:rsidRPr="00FE7C99" w:rsidRDefault="00C458EB" w:rsidP="00C458EB">
      <w:pPr>
        <w:autoSpaceDE w:val="0"/>
        <w:autoSpaceDN w:val="0"/>
        <w:adjustRightInd w:val="0"/>
        <w:spacing w:after="0" w:line="480" w:lineRule="auto"/>
        <w:jc w:val="both"/>
        <w:rPr>
          <w:rFonts w:ascii="Arial" w:hAnsi="Arial" w:cs="Arial"/>
          <w:sz w:val="24"/>
          <w:szCs w:val="24"/>
        </w:rPr>
      </w:pPr>
      <w:r w:rsidRPr="00FE7C99">
        <w:rPr>
          <w:rFonts w:ascii="Arial" w:hAnsi="Arial" w:cs="Arial"/>
          <w:sz w:val="24"/>
          <w:szCs w:val="24"/>
        </w:rPr>
        <w:t xml:space="preserve">Here, the </w:t>
      </w:r>
      <w:r w:rsidR="00392DAB" w:rsidRPr="00FE7C99">
        <w:rPr>
          <w:rFonts w:ascii="Arial" w:hAnsi="Arial" w:cs="Arial"/>
          <w:sz w:val="24"/>
          <w:szCs w:val="24"/>
        </w:rPr>
        <w:t xml:space="preserve">Order must comply with </w:t>
      </w:r>
      <w:r w:rsidRPr="00FE7C99">
        <w:rPr>
          <w:rFonts w:ascii="Arial" w:hAnsi="Arial" w:cs="Arial"/>
          <w:sz w:val="24"/>
          <w:szCs w:val="24"/>
        </w:rPr>
        <w:t>t</w:t>
      </w:r>
      <w:r w:rsidR="00392DAB" w:rsidRPr="00FE7C99">
        <w:rPr>
          <w:rFonts w:ascii="Arial" w:hAnsi="Arial" w:cs="Arial"/>
          <w:sz w:val="24"/>
          <w:szCs w:val="24"/>
        </w:rPr>
        <w:t>w</w:t>
      </w:r>
      <w:r w:rsidRPr="00FE7C99">
        <w:rPr>
          <w:rFonts w:ascii="Arial" w:hAnsi="Arial" w:cs="Arial"/>
          <w:sz w:val="24"/>
          <w:szCs w:val="24"/>
        </w:rPr>
        <w:t>o distinctly different statutory schemes</w:t>
      </w:r>
      <w:r w:rsidR="003B59A4">
        <w:rPr>
          <w:rFonts w:ascii="Arial" w:hAnsi="Arial" w:cs="Arial"/>
          <w:sz w:val="24"/>
          <w:szCs w:val="24"/>
        </w:rPr>
        <w:t>,</w:t>
      </w:r>
      <w:r w:rsidRPr="00FE7C99">
        <w:rPr>
          <w:rFonts w:ascii="Arial" w:hAnsi="Arial" w:cs="Arial"/>
          <w:sz w:val="24"/>
          <w:szCs w:val="24"/>
        </w:rPr>
        <w:t xml:space="preserve">  Chapter 4909 and Chapter 4928</w:t>
      </w:r>
      <w:r w:rsidR="003B59A4">
        <w:rPr>
          <w:rFonts w:ascii="Arial" w:hAnsi="Arial" w:cs="Arial"/>
          <w:sz w:val="24"/>
          <w:szCs w:val="24"/>
        </w:rPr>
        <w:t>,</w:t>
      </w:r>
      <w:r w:rsidRPr="00FE7C99">
        <w:rPr>
          <w:rFonts w:ascii="Arial" w:hAnsi="Arial" w:cs="Arial"/>
          <w:sz w:val="24"/>
          <w:szCs w:val="24"/>
        </w:rPr>
        <w:t xml:space="preserve"> and ensure that each statute is applied in a lawful manner to the facts of this case.</w:t>
      </w:r>
      <w:r w:rsidR="00392DAB" w:rsidRPr="00FE7C99">
        <w:rPr>
          <w:rFonts w:ascii="Arial" w:hAnsi="Arial" w:cs="Arial"/>
          <w:sz w:val="24"/>
          <w:szCs w:val="24"/>
        </w:rPr>
        <w:t xml:space="preserve">  </w:t>
      </w:r>
    </w:p>
    <w:p w14:paraId="317D0ED9" w14:textId="023F7BAF" w:rsidR="00345530" w:rsidRPr="00FE7C99" w:rsidRDefault="00345530" w:rsidP="00392DAB">
      <w:pPr>
        <w:autoSpaceDE w:val="0"/>
        <w:autoSpaceDN w:val="0"/>
        <w:adjustRightInd w:val="0"/>
        <w:spacing w:after="120" w:line="480" w:lineRule="auto"/>
        <w:ind w:firstLine="720"/>
        <w:jc w:val="both"/>
        <w:rPr>
          <w:rFonts w:ascii="Arial" w:hAnsi="Arial" w:cs="Arial"/>
          <w:color w:val="000000"/>
          <w:sz w:val="24"/>
          <w:szCs w:val="24"/>
          <w:shd w:val="clear" w:color="auto" w:fill="FFFFFF"/>
        </w:rPr>
      </w:pPr>
      <w:r w:rsidRPr="00FE7C99">
        <w:rPr>
          <w:rFonts w:ascii="Arial" w:hAnsi="Arial" w:cs="Arial"/>
          <w:color w:val="000000"/>
          <w:sz w:val="24"/>
          <w:szCs w:val="24"/>
          <w:shd w:val="clear" w:color="auto" w:fill="FFFFFF"/>
        </w:rPr>
        <w:t>In a distribution rate case, “the burden of proof to show that the increased rates or charges are just and reasonable shall be on the public utility.” R.C. 4909.18 and R.C. 4909.19(C).  Interpreting this standard, the Supreme Court of Ohio has stated that</w:t>
      </w:r>
      <w:r w:rsidRPr="00FE7C99">
        <w:rPr>
          <w:rFonts w:ascii="Arial" w:hAnsi="Arial" w:cs="Arial"/>
          <w:sz w:val="24"/>
          <w:szCs w:val="24"/>
        </w:rPr>
        <w:t xml:space="preserve"> the “</w:t>
      </w:r>
      <w:r w:rsidRPr="00FE7C99">
        <w:rPr>
          <w:rFonts w:ascii="Arial" w:hAnsi="Arial" w:cs="Arial"/>
          <w:color w:val="000000"/>
          <w:sz w:val="24"/>
          <w:szCs w:val="24"/>
          <w:shd w:val="clear" w:color="auto" w:fill="FFFFFF"/>
        </w:rPr>
        <w:t>company appropriately bears the risk that property not included in its application and not made available for timely verification will be excluded from rate base.”</w:t>
      </w:r>
      <w:r w:rsidRPr="00FE7C99">
        <w:rPr>
          <w:rFonts w:ascii="Arial" w:hAnsi="Arial" w:cs="Arial"/>
          <w:sz w:val="24"/>
          <w:szCs w:val="24"/>
        </w:rPr>
        <w:t xml:space="preserve"> </w:t>
      </w:r>
      <w:r w:rsidRPr="00FE7C99">
        <w:rPr>
          <w:rFonts w:ascii="Arial" w:hAnsi="Arial" w:cs="Arial"/>
          <w:i/>
          <w:color w:val="000000"/>
          <w:sz w:val="24"/>
          <w:szCs w:val="24"/>
          <w:shd w:val="clear" w:color="auto" w:fill="FFFFFF"/>
        </w:rPr>
        <w:t>Ohio Edison Co. v. Pub. Util. Comm’n</w:t>
      </w:r>
      <w:r w:rsidRPr="00FE7C99">
        <w:rPr>
          <w:rFonts w:ascii="Arial" w:hAnsi="Arial" w:cs="Arial"/>
          <w:color w:val="000000"/>
          <w:sz w:val="24"/>
          <w:szCs w:val="24"/>
          <w:shd w:val="clear" w:color="auto" w:fill="FFFFFF"/>
        </w:rPr>
        <w:t xml:space="preserve">, 63 Ohio St. 3d 555, 558; </w:t>
      </w:r>
      <w:r w:rsidRPr="00FE7C99">
        <w:rPr>
          <w:rFonts w:ascii="Arial" w:hAnsi="Arial" w:cs="Arial"/>
          <w:i/>
          <w:color w:val="000000"/>
          <w:sz w:val="24"/>
          <w:szCs w:val="24"/>
          <w:shd w:val="clear" w:color="auto" w:fill="FFFFFF"/>
        </w:rPr>
        <w:t xml:space="preserve">Cincinnati Bell Tel. Co. v. Pub. Util. </w:t>
      </w:r>
      <w:r w:rsidRPr="00FE7C99">
        <w:rPr>
          <w:rFonts w:ascii="Arial" w:hAnsi="Arial" w:cs="Arial"/>
          <w:i/>
          <w:color w:val="000000"/>
          <w:sz w:val="24"/>
          <w:szCs w:val="24"/>
          <w:shd w:val="clear" w:color="auto" w:fill="FFFFFF"/>
        </w:rPr>
        <w:lastRenderedPageBreak/>
        <w:t>Comm’n Ohio.</w:t>
      </w:r>
      <w:r w:rsidRPr="00FE7C99">
        <w:rPr>
          <w:rFonts w:ascii="Arial" w:hAnsi="Arial" w:cs="Arial"/>
          <w:color w:val="000000"/>
          <w:sz w:val="24"/>
          <w:szCs w:val="24"/>
          <w:shd w:val="clear" w:color="auto" w:fill="FFFFFF"/>
        </w:rPr>
        <w:t>, 12 Ohio St. 3d 280, 287 (Cincinnati bell “failed to sustain its burden of proof when it offered no testimony before the commission on the issue of its requested budget adjustment.”)</w:t>
      </w:r>
    </w:p>
    <w:p w14:paraId="54996F0D" w14:textId="6B0ADAF1" w:rsidR="0079213B" w:rsidRPr="00FE7C99" w:rsidRDefault="00773084" w:rsidP="00392DAB">
      <w:pPr>
        <w:autoSpaceDE w:val="0"/>
        <w:autoSpaceDN w:val="0"/>
        <w:adjustRightInd w:val="0"/>
        <w:spacing w:after="120" w:line="480" w:lineRule="auto"/>
        <w:ind w:firstLine="720"/>
        <w:jc w:val="both"/>
        <w:rPr>
          <w:rFonts w:ascii="Arial" w:hAnsi="Arial" w:cs="Arial"/>
          <w:sz w:val="24"/>
          <w:szCs w:val="24"/>
        </w:rPr>
      </w:pPr>
      <w:r w:rsidRPr="00FE7C99">
        <w:rPr>
          <w:rFonts w:ascii="Arial" w:hAnsi="Arial" w:cs="Arial"/>
          <w:sz w:val="24"/>
          <w:szCs w:val="24"/>
        </w:rPr>
        <w:t xml:space="preserve">As discussed below, the Order </w:t>
      </w:r>
      <w:r w:rsidR="00E77F44" w:rsidRPr="00FE7C99">
        <w:rPr>
          <w:rFonts w:ascii="Arial" w:hAnsi="Arial" w:cs="Arial"/>
          <w:sz w:val="24"/>
          <w:szCs w:val="24"/>
        </w:rPr>
        <w:t>applied the Commission’s traditional ratemaking authority under Chapter 4909 to authorize</w:t>
      </w:r>
      <w:r w:rsidR="00392DAB" w:rsidRPr="00FE7C99">
        <w:rPr>
          <w:rFonts w:ascii="Arial" w:hAnsi="Arial" w:cs="Arial"/>
          <w:sz w:val="24"/>
          <w:szCs w:val="24"/>
        </w:rPr>
        <w:t xml:space="preserve"> Duke</w:t>
      </w:r>
      <w:r w:rsidR="00F31E77" w:rsidRPr="00FE7C99">
        <w:rPr>
          <w:rFonts w:ascii="Arial" w:hAnsi="Arial" w:cs="Arial"/>
          <w:sz w:val="24"/>
          <w:szCs w:val="24"/>
        </w:rPr>
        <w:t xml:space="preserve"> to recover SSO-related costs through</w:t>
      </w:r>
      <w:r w:rsidR="00783315" w:rsidRPr="00FE7C99">
        <w:rPr>
          <w:rFonts w:ascii="Arial" w:hAnsi="Arial" w:cs="Arial"/>
          <w:sz w:val="24"/>
          <w:szCs w:val="24"/>
        </w:rPr>
        <w:t xml:space="preserve"> its</w:t>
      </w:r>
      <w:r w:rsidR="00F31E77" w:rsidRPr="00FE7C99">
        <w:rPr>
          <w:rFonts w:ascii="Arial" w:hAnsi="Arial" w:cs="Arial"/>
          <w:sz w:val="24"/>
          <w:szCs w:val="24"/>
        </w:rPr>
        <w:t xml:space="preserve"> distribution</w:t>
      </w:r>
      <w:r w:rsidR="00783315" w:rsidRPr="00FE7C99">
        <w:rPr>
          <w:rFonts w:ascii="Arial" w:hAnsi="Arial" w:cs="Arial"/>
          <w:sz w:val="24"/>
          <w:szCs w:val="24"/>
        </w:rPr>
        <w:t xml:space="preserve"> service</w:t>
      </w:r>
      <w:r w:rsidR="00F31E77" w:rsidRPr="00FE7C99">
        <w:rPr>
          <w:rFonts w:ascii="Arial" w:hAnsi="Arial" w:cs="Arial"/>
          <w:sz w:val="24"/>
          <w:szCs w:val="24"/>
        </w:rPr>
        <w:t xml:space="preserve"> rates.</w:t>
      </w:r>
      <w:r w:rsidR="00EE500A" w:rsidRPr="00FE7C99">
        <w:rPr>
          <w:rFonts w:ascii="Arial" w:hAnsi="Arial" w:cs="Arial"/>
          <w:sz w:val="24"/>
          <w:szCs w:val="24"/>
        </w:rPr>
        <w:t xml:space="preserve">  Consequently, the Order required choic</w:t>
      </w:r>
      <w:r w:rsidR="008A1878" w:rsidRPr="00FE7C99">
        <w:rPr>
          <w:rFonts w:ascii="Arial" w:hAnsi="Arial" w:cs="Arial"/>
          <w:sz w:val="24"/>
          <w:szCs w:val="24"/>
        </w:rPr>
        <w:t>e customers to pay twice for</w:t>
      </w:r>
      <w:r w:rsidR="00EE500A" w:rsidRPr="00FE7C99">
        <w:rPr>
          <w:rFonts w:ascii="Arial" w:hAnsi="Arial" w:cs="Arial"/>
          <w:sz w:val="24"/>
          <w:szCs w:val="24"/>
        </w:rPr>
        <w:t xml:space="preserve"> competitive retail electric services—once through their distribution rates</w:t>
      </w:r>
      <w:r w:rsidR="00783315" w:rsidRPr="00FE7C99">
        <w:rPr>
          <w:rFonts w:ascii="Arial" w:hAnsi="Arial" w:cs="Arial"/>
          <w:sz w:val="24"/>
          <w:szCs w:val="24"/>
        </w:rPr>
        <w:t xml:space="preserve"> to pay for service provided</w:t>
      </w:r>
      <w:r w:rsidR="00EE500A" w:rsidRPr="00FE7C99">
        <w:rPr>
          <w:rFonts w:ascii="Arial" w:hAnsi="Arial" w:cs="Arial"/>
          <w:sz w:val="24"/>
          <w:szCs w:val="24"/>
        </w:rPr>
        <w:t xml:space="preserve"> to SSO customers, and a second time for </w:t>
      </w:r>
      <w:r w:rsidR="00783315" w:rsidRPr="00FE7C99">
        <w:rPr>
          <w:rFonts w:ascii="Arial" w:hAnsi="Arial" w:cs="Arial"/>
          <w:sz w:val="24"/>
          <w:szCs w:val="24"/>
        </w:rPr>
        <w:t xml:space="preserve">the </w:t>
      </w:r>
      <w:r w:rsidR="00EE500A" w:rsidRPr="00FE7C99">
        <w:rPr>
          <w:rFonts w:ascii="Arial" w:hAnsi="Arial" w:cs="Arial"/>
          <w:sz w:val="24"/>
          <w:szCs w:val="24"/>
        </w:rPr>
        <w:t>services provided by their CRES provider.</w:t>
      </w:r>
      <w:r w:rsidR="00F31E77" w:rsidRPr="00FE7C99">
        <w:rPr>
          <w:rFonts w:ascii="Arial" w:hAnsi="Arial" w:cs="Arial"/>
          <w:sz w:val="24"/>
          <w:szCs w:val="24"/>
        </w:rPr>
        <w:t xml:space="preserve">  </w:t>
      </w:r>
      <w:r w:rsidR="00783315" w:rsidRPr="00FE7C99">
        <w:rPr>
          <w:rFonts w:ascii="Arial" w:hAnsi="Arial" w:cs="Arial"/>
          <w:sz w:val="24"/>
          <w:szCs w:val="24"/>
        </w:rPr>
        <w:t>The General Assembly prohibited the Commission from authorizing</w:t>
      </w:r>
      <w:r w:rsidR="00F31E77" w:rsidRPr="00FE7C99">
        <w:rPr>
          <w:rFonts w:ascii="Arial" w:hAnsi="Arial" w:cs="Arial"/>
          <w:sz w:val="24"/>
          <w:szCs w:val="24"/>
        </w:rPr>
        <w:t xml:space="preserve"> the recovery of competitive services through non-competitive distribution rates.</w:t>
      </w:r>
      <w:r w:rsidR="0079213B" w:rsidRPr="00FE7C99">
        <w:rPr>
          <w:rFonts w:ascii="Arial" w:hAnsi="Arial" w:cs="Arial"/>
          <w:sz w:val="24"/>
          <w:szCs w:val="24"/>
        </w:rPr>
        <w:t xml:space="preserve">  Thus, the settlement violates Ohio law, discriminates against choice customers, and is c</w:t>
      </w:r>
      <w:r w:rsidR="00EE500A" w:rsidRPr="00FE7C99">
        <w:rPr>
          <w:rFonts w:ascii="Arial" w:hAnsi="Arial" w:cs="Arial"/>
          <w:sz w:val="24"/>
          <w:szCs w:val="24"/>
        </w:rPr>
        <w:t>ontrary to the public interest.</w:t>
      </w:r>
      <w:r w:rsidR="00E77F44" w:rsidRPr="00FE7C99">
        <w:rPr>
          <w:rFonts w:ascii="Arial" w:hAnsi="Arial" w:cs="Arial"/>
          <w:sz w:val="24"/>
          <w:szCs w:val="24"/>
        </w:rPr>
        <w:t xml:space="preserve">  On rehearing, the Commission should eliminate</w:t>
      </w:r>
      <w:r w:rsidR="00783315" w:rsidRPr="00FE7C99">
        <w:rPr>
          <w:rFonts w:ascii="Arial" w:hAnsi="Arial" w:cs="Arial"/>
          <w:sz w:val="24"/>
          <w:szCs w:val="24"/>
        </w:rPr>
        <w:t xml:space="preserve"> from distribution rates</w:t>
      </w:r>
      <w:r w:rsidR="00EE500A" w:rsidRPr="00FE7C99">
        <w:rPr>
          <w:rFonts w:ascii="Arial" w:hAnsi="Arial" w:cs="Arial"/>
          <w:sz w:val="24"/>
          <w:szCs w:val="24"/>
        </w:rPr>
        <w:t xml:space="preserve"> approximately </w:t>
      </w:r>
      <w:r w:rsidR="00E77F44" w:rsidRPr="00FE7C99">
        <w:rPr>
          <w:rFonts w:ascii="Arial" w:hAnsi="Arial" w:cs="Arial"/>
          <w:sz w:val="24"/>
          <w:szCs w:val="24"/>
        </w:rPr>
        <w:t>$</w:t>
      </w:r>
      <w:r w:rsidR="00404718" w:rsidRPr="00FE7C99">
        <w:rPr>
          <w:rFonts w:ascii="Arial" w:hAnsi="Arial" w:cs="Arial"/>
          <w:sz w:val="24"/>
          <w:szCs w:val="24"/>
        </w:rPr>
        <w:t xml:space="preserve">23 </w:t>
      </w:r>
      <w:r w:rsidR="00E77F44" w:rsidRPr="00FE7C99">
        <w:rPr>
          <w:rFonts w:ascii="Arial" w:hAnsi="Arial" w:cs="Arial"/>
          <w:sz w:val="24"/>
          <w:szCs w:val="24"/>
        </w:rPr>
        <w:t>million in SSO-relate</w:t>
      </w:r>
      <w:r w:rsidR="0058390A" w:rsidRPr="00FE7C99">
        <w:rPr>
          <w:rFonts w:ascii="Arial" w:hAnsi="Arial" w:cs="Arial"/>
          <w:sz w:val="24"/>
          <w:szCs w:val="24"/>
        </w:rPr>
        <w:t>d costs and reallo</w:t>
      </w:r>
      <w:r w:rsidR="00FD6E4D" w:rsidRPr="00FE7C99">
        <w:rPr>
          <w:rFonts w:ascii="Arial" w:hAnsi="Arial" w:cs="Arial"/>
          <w:sz w:val="24"/>
          <w:szCs w:val="24"/>
        </w:rPr>
        <w:t xml:space="preserve">cate those costs to SSO service.  Moreover, the Commission should eliminate </w:t>
      </w:r>
      <w:r w:rsidR="00404718" w:rsidRPr="00FE7C99">
        <w:rPr>
          <w:rFonts w:ascii="Arial" w:hAnsi="Arial" w:cs="Arial"/>
          <w:sz w:val="24"/>
          <w:szCs w:val="24"/>
        </w:rPr>
        <w:t>Duke</w:t>
      </w:r>
      <w:r w:rsidR="00FD6E4D" w:rsidRPr="00FE7C99">
        <w:rPr>
          <w:rFonts w:ascii="Arial" w:hAnsi="Arial" w:cs="Arial"/>
          <w:sz w:val="24"/>
          <w:szCs w:val="24"/>
        </w:rPr>
        <w:t>’s unsubstantiated</w:t>
      </w:r>
      <w:r w:rsidR="00404718" w:rsidRPr="00FE7C99">
        <w:rPr>
          <w:rFonts w:ascii="Arial" w:hAnsi="Arial" w:cs="Arial"/>
          <w:sz w:val="24"/>
          <w:szCs w:val="24"/>
        </w:rPr>
        <w:t xml:space="preserve"> supplier</w:t>
      </w:r>
      <w:r w:rsidR="00FD6E4D" w:rsidRPr="00FE7C99">
        <w:rPr>
          <w:rFonts w:ascii="Arial" w:hAnsi="Arial" w:cs="Arial"/>
          <w:sz w:val="24"/>
          <w:szCs w:val="24"/>
        </w:rPr>
        <w:t xml:space="preserve"> fees.</w:t>
      </w:r>
    </w:p>
    <w:p w14:paraId="267362D9" w14:textId="69B7AF23" w:rsidR="00392DAB" w:rsidRPr="00FE7C99" w:rsidRDefault="001B3CA3" w:rsidP="001B3CA3">
      <w:pPr>
        <w:autoSpaceDE w:val="0"/>
        <w:autoSpaceDN w:val="0"/>
        <w:adjustRightInd w:val="0"/>
        <w:spacing w:after="120" w:line="480" w:lineRule="auto"/>
        <w:ind w:firstLine="720"/>
        <w:jc w:val="both"/>
        <w:rPr>
          <w:rFonts w:ascii="Arial" w:hAnsi="Arial" w:cs="Arial"/>
          <w:sz w:val="24"/>
          <w:szCs w:val="24"/>
        </w:rPr>
      </w:pPr>
      <w:r w:rsidRPr="00FE7C99">
        <w:rPr>
          <w:rFonts w:ascii="Arial" w:hAnsi="Arial" w:cs="Arial"/>
          <w:sz w:val="24"/>
          <w:szCs w:val="24"/>
        </w:rPr>
        <w:t>In an ESP case, the applicant must demonstrate that each provision is permissible under the statutory provisions contained in R.C. 4928.143.  Moreover, the provisions of the ESP, must be “more favorable in the aggregate as compared to the expected results that would otherwise apply under section 4928.142 o</w:t>
      </w:r>
      <w:r w:rsidR="001C2BCA" w:rsidRPr="00FE7C99">
        <w:rPr>
          <w:rFonts w:ascii="Arial" w:hAnsi="Arial" w:cs="Arial"/>
          <w:sz w:val="24"/>
          <w:szCs w:val="24"/>
        </w:rPr>
        <w:t>f the Revised Code.”  In other words,</w:t>
      </w:r>
      <w:r w:rsidRPr="00FE7C99">
        <w:rPr>
          <w:rFonts w:ascii="Arial" w:hAnsi="Arial" w:cs="Arial"/>
          <w:sz w:val="24"/>
          <w:szCs w:val="24"/>
        </w:rPr>
        <w:t xml:space="preserve"> the outcome of the ESP must be more favorable than what would occur under a fully market-based outcome.  </w:t>
      </w:r>
      <w:r w:rsidR="00392DAB" w:rsidRPr="00FE7C99">
        <w:rPr>
          <w:rFonts w:ascii="Arial" w:hAnsi="Arial" w:cs="Arial"/>
          <w:sz w:val="24"/>
          <w:szCs w:val="24"/>
        </w:rPr>
        <w:t>“</w:t>
      </w:r>
      <w:r w:rsidRPr="00FE7C99">
        <w:rPr>
          <w:rFonts w:ascii="Arial" w:hAnsi="Arial" w:cs="Arial"/>
          <w:sz w:val="24"/>
          <w:szCs w:val="24"/>
        </w:rPr>
        <w:t>T</w:t>
      </w:r>
      <w:r w:rsidR="00392DAB" w:rsidRPr="00FE7C99">
        <w:rPr>
          <w:rFonts w:ascii="Arial" w:hAnsi="Arial" w:cs="Arial"/>
          <w:sz w:val="24"/>
          <w:szCs w:val="24"/>
        </w:rPr>
        <w:t>he burden of proof in the proceeding shall be on the electric distribution utility.” R.C. 4928.143(C)</w:t>
      </w:r>
      <w:r w:rsidRPr="00FE7C99">
        <w:rPr>
          <w:rFonts w:ascii="Arial" w:hAnsi="Arial" w:cs="Arial"/>
          <w:sz w:val="24"/>
          <w:szCs w:val="24"/>
        </w:rPr>
        <w:t>(1).</w:t>
      </w:r>
    </w:p>
    <w:p w14:paraId="393961D7" w14:textId="26153154" w:rsidR="00F31E77" w:rsidRPr="00FE7C99" w:rsidRDefault="00500F07" w:rsidP="003A0C90">
      <w:pPr>
        <w:pStyle w:val="ListParagraph"/>
        <w:numPr>
          <w:ilvl w:val="0"/>
          <w:numId w:val="1"/>
        </w:numPr>
        <w:autoSpaceDE w:val="0"/>
        <w:autoSpaceDN w:val="0"/>
        <w:adjustRightInd w:val="0"/>
        <w:spacing w:after="120" w:line="480" w:lineRule="auto"/>
        <w:jc w:val="both"/>
        <w:rPr>
          <w:rFonts w:ascii="Arial" w:hAnsi="Arial" w:cs="Arial"/>
          <w:b/>
          <w:sz w:val="24"/>
          <w:szCs w:val="24"/>
        </w:rPr>
      </w:pPr>
      <w:r w:rsidRPr="00FE7C99">
        <w:rPr>
          <w:rFonts w:ascii="Arial" w:hAnsi="Arial" w:cs="Arial"/>
          <w:b/>
          <w:sz w:val="24"/>
          <w:szCs w:val="24"/>
        </w:rPr>
        <w:t>ARGUMENT</w:t>
      </w:r>
    </w:p>
    <w:p w14:paraId="70629390" w14:textId="6F1D0A8C" w:rsidR="00A721A9" w:rsidRPr="00FE7C99" w:rsidRDefault="00E77F44">
      <w:pPr>
        <w:pStyle w:val="ListParagraph"/>
        <w:numPr>
          <w:ilvl w:val="0"/>
          <w:numId w:val="13"/>
        </w:numPr>
        <w:autoSpaceDE w:val="0"/>
        <w:autoSpaceDN w:val="0"/>
        <w:adjustRightInd w:val="0"/>
        <w:spacing w:after="120" w:line="240" w:lineRule="auto"/>
        <w:jc w:val="both"/>
        <w:rPr>
          <w:rFonts w:ascii="Arial" w:hAnsi="Arial" w:cs="Arial"/>
          <w:b/>
          <w:sz w:val="24"/>
          <w:szCs w:val="24"/>
        </w:rPr>
      </w:pPr>
      <w:r w:rsidRPr="00FE7C99">
        <w:rPr>
          <w:rFonts w:ascii="Arial" w:hAnsi="Arial" w:cs="Arial"/>
          <w:b/>
          <w:sz w:val="24"/>
          <w:szCs w:val="24"/>
        </w:rPr>
        <w:lastRenderedPageBreak/>
        <w:t xml:space="preserve">The Order is unlawful and unreasonable inasmuch as </w:t>
      </w:r>
      <w:r w:rsidR="003B59A4" w:rsidRPr="00C104EA">
        <w:rPr>
          <w:rFonts w:ascii="Arial" w:hAnsi="Arial" w:cs="Arial"/>
          <w:b/>
          <w:sz w:val="24"/>
          <w:szCs w:val="24"/>
        </w:rPr>
        <w:t xml:space="preserve">it </w:t>
      </w:r>
      <w:r w:rsidR="007867DF" w:rsidRPr="00FE7C99">
        <w:rPr>
          <w:rFonts w:ascii="Arial" w:hAnsi="Arial" w:cs="Arial"/>
          <w:b/>
          <w:sz w:val="24"/>
          <w:szCs w:val="24"/>
        </w:rPr>
        <w:t>authorized</w:t>
      </w:r>
      <w:r w:rsidR="001B3CA3" w:rsidRPr="00FE7C99">
        <w:rPr>
          <w:rFonts w:ascii="Arial" w:hAnsi="Arial" w:cs="Arial"/>
          <w:b/>
          <w:sz w:val="24"/>
          <w:szCs w:val="24"/>
        </w:rPr>
        <w:t xml:space="preserve"> Duke</w:t>
      </w:r>
      <w:r w:rsidR="007867DF" w:rsidRPr="00FE7C99">
        <w:rPr>
          <w:rFonts w:ascii="Arial" w:hAnsi="Arial" w:cs="Arial"/>
          <w:b/>
          <w:sz w:val="24"/>
          <w:szCs w:val="24"/>
        </w:rPr>
        <w:t xml:space="preserve"> to recover the cost of competitive retail elect</w:t>
      </w:r>
      <w:r w:rsidR="00E92575" w:rsidRPr="00FE7C99">
        <w:rPr>
          <w:rFonts w:ascii="Arial" w:hAnsi="Arial" w:cs="Arial"/>
          <w:b/>
          <w:sz w:val="24"/>
          <w:szCs w:val="24"/>
        </w:rPr>
        <w:t>ric service through non-competitive service</w:t>
      </w:r>
      <w:r w:rsidR="007867DF" w:rsidRPr="00FE7C99">
        <w:rPr>
          <w:rFonts w:ascii="Arial" w:hAnsi="Arial" w:cs="Arial"/>
          <w:b/>
          <w:sz w:val="24"/>
          <w:szCs w:val="24"/>
        </w:rPr>
        <w:t xml:space="preserve"> rates.  </w:t>
      </w:r>
      <w:r w:rsidR="003B59A4" w:rsidRPr="00C104EA">
        <w:rPr>
          <w:rFonts w:ascii="Arial" w:hAnsi="Arial" w:cs="Arial"/>
          <w:b/>
          <w:sz w:val="24"/>
          <w:szCs w:val="24"/>
        </w:rPr>
        <w:t xml:space="preserve">R.C. </w:t>
      </w:r>
      <w:r w:rsidR="007867DF" w:rsidRPr="00FE7C99">
        <w:rPr>
          <w:rFonts w:ascii="Arial" w:hAnsi="Arial" w:cs="Arial"/>
          <w:b/>
          <w:sz w:val="24"/>
          <w:szCs w:val="24"/>
        </w:rPr>
        <w:t xml:space="preserve">4928.05(A)(1) prohibits the Commission from exercising Chapter 4909 to regulate competitive retail electric services; therefore, the Order exceeded the scope of the Commission’s jurisdiction. </w:t>
      </w:r>
    </w:p>
    <w:p w14:paraId="1ADE7960" w14:textId="774F89AD" w:rsidR="00A721A9" w:rsidRPr="00FE7C99" w:rsidRDefault="00A721A9" w:rsidP="009712AC">
      <w:pPr>
        <w:autoSpaceDE w:val="0"/>
        <w:autoSpaceDN w:val="0"/>
        <w:adjustRightInd w:val="0"/>
        <w:spacing w:after="120" w:line="480" w:lineRule="auto"/>
        <w:ind w:firstLine="720"/>
        <w:jc w:val="both"/>
        <w:rPr>
          <w:rFonts w:ascii="Arial" w:hAnsi="Arial" w:cs="Arial"/>
          <w:sz w:val="24"/>
          <w:szCs w:val="24"/>
        </w:rPr>
      </w:pPr>
      <w:r w:rsidRPr="00FE7C99">
        <w:rPr>
          <w:rFonts w:ascii="Arial" w:hAnsi="Arial" w:cs="Arial"/>
          <w:sz w:val="24"/>
          <w:szCs w:val="24"/>
        </w:rPr>
        <w:t>The Or</w:t>
      </w:r>
      <w:r w:rsidR="00A81DB4" w:rsidRPr="00FE7C99">
        <w:rPr>
          <w:rFonts w:ascii="Arial" w:hAnsi="Arial" w:cs="Arial"/>
          <w:sz w:val="24"/>
          <w:szCs w:val="24"/>
        </w:rPr>
        <w:t xml:space="preserve">der authorized </w:t>
      </w:r>
      <w:r w:rsidR="00924AEE" w:rsidRPr="00FE7C99">
        <w:rPr>
          <w:rFonts w:ascii="Arial" w:hAnsi="Arial" w:cs="Arial"/>
          <w:sz w:val="24"/>
          <w:szCs w:val="24"/>
        </w:rPr>
        <w:t>Duke</w:t>
      </w:r>
      <w:r w:rsidR="00A81DB4" w:rsidRPr="00FE7C99">
        <w:rPr>
          <w:rFonts w:ascii="Arial" w:hAnsi="Arial" w:cs="Arial"/>
          <w:sz w:val="24"/>
          <w:szCs w:val="24"/>
        </w:rPr>
        <w:t xml:space="preserve"> to increase its </w:t>
      </w:r>
      <w:r w:rsidRPr="00FE7C99">
        <w:rPr>
          <w:rFonts w:ascii="Arial" w:hAnsi="Arial" w:cs="Arial"/>
          <w:sz w:val="24"/>
          <w:szCs w:val="24"/>
        </w:rPr>
        <w:t>distribution rates pursuant to Chapte</w:t>
      </w:r>
      <w:r w:rsidR="00924AEE" w:rsidRPr="00FE7C99">
        <w:rPr>
          <w:rFonts w:ascii="Arial" w:hAnsi="Arial" w:cs="Arial"/>
          <w:sz w:val="24"/>
          <w:szCs w:val="24"/>
        </w:rPr>
        <w:t xml:space="preserve">r 4909. </w:t>
      </w:r>
      <w:r w:rsidR="009712AC" w:rsidRPr="00FE7C99">
        <w:rPr>
          <w:rFonts w:ascii="Arial" w:hAnsi="Arial" w:cs="Arial"/>
          <w:sz w:val="24"/>
          <w:szCs w:val="24"/>
        </w:rPr>
        <w:t>The Order declined to adopt IGS’ suggestion to unbundle and eliminate from Duke’s proposed distribution rate recovery the costs associated with the provision of the SSO.  The Order stated that “separating SSO-specific costs from distribution rates would likewise necessitate separating any costs specifically related to the customer choice program.”</w:t>
      </w:r>
      <w:r w:rsidR="00647CFA">
        <w:rPr>
          <w:rStyle w:val="FootnoteReference"/>
          <w:rFonts w:ascii="Arial" w:hAnsi="Arial" w:cs="Arial"/>
          <w:sz w:val="24"/>
          <w:szCs w:val="24"/>
        </w:rPr>
        <w:footnoteReference w:id="42"/>
      </w:r>
      <w:r w:rsidR="009712AC" w:rsidRPr="00FE7C99">
        <w:rPr>
          <w:rFonts w:ascii="Arial" w:hAnsi="Arial" w:cs="Arial"/>
          <w:sz w:val="24"/>
          <w:szCs w:val="24"/>
        </w:rPr>
        <w:t xml:space="preserve">  Thus, </w:t>
      </w:r>
      <w:r w:rsidR="00924AEE" w:rsidRPr="00FE7C99">
        <w:rPr>
          <w:rFonts w:ascii="Arial" w:hAnsi="Arial" w:cs="Arial"/>
          <w:sz w:val="24"/>
          <w:szCs w:val="24"/>
        </w:rPr>
        <w:t>Duke</w:t>
      </w:r>
      <w:r w:rsidR="00A81DB4" w:rsidRPr="00FE7C99">
        <w:rPr>
          <w:rFonts w:ascii="Arial" w:hAnsi="Arial" w:cs="Arial"/>
          <w:sz w:val="24"/>
          <w:szCs w:val="24"/>
        </w:rPr>
        <w:t>’s</w:t>
      </w:r>
      <w:r w:rsidR="009712AC" w:rsidRPr="00FE7C99">
        <w:rPr>
          <w:rFonts w:ascii="Arial" w:hAnsi="Arial" w:cs="Arial"/>
          <w:sz w:val="24"/>
          <w:szCs w:val="24"/>
        </w:rPr>
        <w:t xml:space="preserve"> non-competitive distribution service</w:t>
      </w:r>
      <w:r w:rsidR="00A81DB4" w:rsidRPr="00FE7C99">
        <w:rPr>
          <w:rFonts w:ascii="Arial" w:hAnsi="Arial" w:cs="Arial"/>
          <w:sz w:val="24"/>
          <w:szCs w:val="24"/>
        </w:rPr>
        <w:t xml:space="preserve"> rates will, in part, include</w:t>
      </w:r>
      <w:r w:rsidRPr="00FE7C99">
        <w:rPr>
          <w:rFonts w:ascii="Arial" w:hAnsi="Arial" w:cs="Arial"/>
          <w:sz w:val="24"/>
          <w:szCs w:val="24"/>
        </w:rPr>
        <w:t xml:space="preserve"> test year expense and capital costs, including a rate of return on those costs, related to the provision of</w:t>
      </w:r>
      <w:r w:rsidR="00A81DB4" w:rsidRPr="00FE7C99">
        <w:rPr>
          <w:rFonts w:ascii="Arial" w:hAnsi="Arial" w:cs="Arial"/>
          <w:sz w:val="24"/>
          <w:szCs w:val="24"/>
        </w:rPr>
        <w:t xml:space="preserve"> competitive retail electric service to SSO customers</w:t>
      </w:r>
      <w:r w:rsidRPr="00FE7C99">
        <w:rPr>
          <w:rFonts w:ascii="Arial" w:hAnsi="Arial" w:cs="Arial"/>
          <w:sz w:val="24"/>
          <w:szCs w:val="24"/>
        </w:rPr>
        <w:t>.  In this respect, the Order erred.</w:t>
      </w:r>
    </w:p>
    <w:p w14:paraId="296191D5" w14:textId="066C28D2" w:rsidR="00A721A9" w:rsidRPr="00FE7C99" w:rsidRDefault="00D541C3" w:rsidP="00DE0999">
      <w:pPr>
        <w:spacing w:after="120" w:line="480" w:lineRule="auto"/>
        <w:ind w:firstLine="720"/>
        <w:jc w:val="both"/>
        <w:rPr>
          <w:rFonts w:ascii="Arial" w:hAnsi="Arial" w:cs="Arial"/>
          <w:sz w:val="24"/>
          <w:szCs w:val="24"/>
        </w:rPr>
      </w:pPr>
      <w:r w:rsidRPr="00FE7C99">
        <w:rPr>
          <w:rFonts w:ascii="Arial" w:hAnsi="Arial" w:cs="Arial"/>
          <w:sz w:val="24"/>
          <w:szCs w:val="24"/>
        </w:rPr>
        <w:t>Prior to 1999, Ohioans received one bundled rate for all retail electric services.</w:t>
      </w:r>
      <w:r w:rsidR="00A721A9" w:rsidRPr="00FE7C99">
        <w:rPr>
          <w:rFonts w:ascii="Arial" w:hAnsi="Arial" w:cs="Arial"/>
          <w:sz w:val="24"/>
          <w:szCs w:val="24"/>
        </w:rPr>
        <w:t xml:space="preserve"> At the time, all retail electric services were regulated under Chapter 4909.</w:t>
      </w:r>
      <w:r w:rsidRPr="00FE7C99">
        <w:rPr>
          <w:rFonts w:ascii="Arial" w:hAnsi="Arial" w:cs="Arial"/>
          <w:sz w:val="24"/>
          <w:szCs w:val="24"/>
        </w:rPr>
        <w:t xml:space="preserve">  </w:t>
      </w:r>
      <w:r w:rsidR="00A721A9" w:rsidRPr="00FE7C99">
        <w:rPr>
          <w:rFonts w:ascii="Arial" w:hAnsi="Arial" w:cs="Arial"/>
          <w:sz w:val="24"/>
          <w:szCs w:val="24"/>
        </w:rPr>
        <w:t>Under this traditional form of regulation, commonly referred to as economic regulation, the Commission established retail electric rates based upon a formula.</w:t>
      </w:r>
      <w:r w:rsidR="00A721A9" w:rsidRPr="00FE7C99">
        <w:rPr>
          <w:rStyle w:val="FootnoteReference"/>
          <w:rFonts w:ascii="Arial" w:hAnsi="Arial" w:cs="Arial"/>
          <w:sz w:val="24"/>
          <w:szCs w:val="24"/>
        </w:rPr>
        <w:footnoteReference w:id="43"/>
      </w:r>
      <w:r w:rsidR="00A721A9" w:rsidRPr="00FE7C99">
        <w:rPr>
          <w:rFonts w:ascii="Arial" w:hAnsi="Arial" w:cs="Arial"/>
          <w:sz w:val="24"/>
          <w:szCs w:val="24"/>
        </w:rPr>
        <w:t xml:space="preserve">  The Commission was required to follow the formula—“the Commission may not legislate in its own right.”</w:t>
      </w:r>
      <w:r w:rsidR="00A721A9" w:rsidRPr="00FE7C99">
        <w:rPr>
          <w:rStyle w:val="FootnoteReference"/>
          <w:rFonts w:ascii="Arial" w:hAnsi="Arial" w:cs="Arial"/>
          <w:sz w:val="24"/>
          <w:szCs w:val="24"/>
        </w:rPr>
        <w:footnoteReference w:id="44"/>
      </w:r>
    </w:p>
    <w:p w14:paraId="601F359F" w14:textId="604FEFE2" w:rsidR="00DE0999" w:rsidRPr="00FE7C99" w:rsidRDefault="00D541C3" w:rsidP="00A721A9">
      <w:pPr>
        <w:spacing w:after="120" w:line="480" w:lineRule="auto"/>
        <w:ind w:firstLine="720"/>
        <w:jc w:val="both"/>
        <w:rPr>
          <w:rFonts w:ascii="Arial" w:hAnsi="Arial" w:cs="Arial"/>
          <w:sz w:val="24"/>
          <w:szCs w:val="24"/>
        </w:rPr>
      </w:pPr>
      <w:r w:rsidRPr="00FE7C99">
        <w:rPr>
          <w:rFonts w:ascii="Arial" w:hAnsi="Arial" w:cs="Arial"/>
          <w:sz w:val="24"/>
          <w:szCs w:val="24"/>
        </w:rPr>
        <w:t xml:space="preserve">Senate Bill 3 restructured the retail electric market, separating the distribution, transmission, and generation functions that were traditionally provided through pancaked </w:t>
      </w:r>
      <w:r w:rsidRPr="00FE7C99">
        <w:rPr>
          <w:rFonts w:ascii="Arial" w:hAnsi="Arial" w:cs="Arial"/>
          <w:sz w:val="24"/>
          <w:szCs w:val="24"/>
        </w:rPr>
        <w:lastRenderedPageBreak/>
        <w:t>bundle</w:t>
      </w:r>
      <w:r w:rsidR="001D04B2" w:rsidRPr="00FE7C99">
        <w:rPr>
          <w:rFonts w:ascii="Arial" w:hAnsi="Arial" w:cs="Arial"/>
          <w:sz w:val="24"/>
          <w:szCs w:val="24"/>
        </w:rPr>
        <w:t>d rates</w:t>
      </w:r>
      <w:r w:rsidRPr="00FE7C99">
        <w:rPr>
          <w:rFonts w:ascii="Arial" w:hAnsi="Arial" w:cs="Arial"/>
          <w:sz w:val="24"/>
          <w:szCs w:val="24"/>
        </w:rPr>
        <w:t xml:space="preserve">.  The purpose of unbundling was to separate the competitive and non-competitive functions so that customers could “shop” for their competitive retail electric service. </w:t>
      </w:r>
    </w:p>
    <w:p w14:paraId="565AC3CC" w14:textId="0C551898" w:rsidR="00227AD4" w:rsidRPr="00FE7C99" w:rsidRDefault="003B59A4" w:rsidP="00D5473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Additionally, </w:t>
      </w:r>
      <w:r w:rsidR="00A721A9" w:rsidRPr="00FE7C99">
        <w:rPr>
          <w:rFonts w:ascii="Arial" w:hAnsi="Arial" w:cs="Arial"/>
          <w:sz w:val="24"/>
          <w:szCs w:val="24"/>
        </w:rPr>
        <w:t>SB 3 eliminated</w:t>
      </w:r>
      <w:r w:rsidR="00DE0999" w:rsidRPr="00FE7C99">
        <w:rPr>
          <w:rFonts w:ascii="Arial" w:hAnsi="Arial" w:cs="Arial"/>
          <w:sz w:val="24"/>
          <w:szCs w:val="24"/>
        </w:rPr>
        <w:t xml:space="preserve"> t</w:t>
      </w:r>
      <w:r w:rsidR="00A721A9" w:rsidRPr="00FE7C99">
        <w:rPr>
          <w:rFonts w:ascii="Arial" w:hAnsi="Arial" w:cs="Arial"/>
          <w:sz w:val="24"/>
          <w:szCs w:val="24"/>
        </w:rPr>
        <w:t>he Commission’s a</w:t>
      </w:r>
      <w:r w:rsidR="00F31E77" w:rsidRPr="00FE7C99">
        <w:rPr>
          <w:rFonts w:ascii="Arial" w:hAnsi="Arial" w:cs="Arial"/>
          <w:sz w:val="24"/>
          <w:szCs w:val="24"/>
        </w:rPr>
        <w:t xml:space="preserve">uthority to regulate or provide compensation to support competitive retail electric service through </w:t>
      </w:r>
      <w:r w:rsidR="00FD6E4D" w:rsidRPr="00FE7C99">
        <w:rPr>
          <w:rFonts w:ascii="Arial" w:hAnsi="Arial" w:cs="Arial"/>
          <w:sz w:val="24"/>
          <w:szCs w:val="24"/>
        </w:rPr>
        <w:t>non-competitive service rates</w:t>
      </w:r>
      <w:r w:rsidR="00DE0999" w:rsidRPr="00FE7C99">
        <w:rPr>
          <w:rFonts w:ascii="Arial" w:hAnsi="Arial" w:cs="Arial"/>
          <w:sz w:val="24"/>
          <w:szCs w:val="24"/>
        </w:rPr>
        <w:t xml:space="preserve"> regulated under Chapter 4909</w:t>
      </w:r>
      <w:r w:rsidR="00F31E77" w:rsidRPr="00FE7C99">
        <w:rPr>
          <w:rFonts w:ascii="Arial" w:hAnsi="Arial" w:cs="Arial"/>
          <w:sz w:val="24"/>
          <w:szCs w:val="24"/>
        </w:rPr>
        <w:t>. Indeed,</w:t>
      </w:r>
      <w:r w:rsidR="00227AD4" w:rsidRPr="00FE7C99">
        <w:rPr>
          <w:rFonts w:ascii="Arial" w:hAnsi="Arial" w:cs="Arial"/>
          <w:sz w:val="24"/>
          <w:szCs w:val="24"/>
        </w:rPr>
        <w:t xml:space="preserve"> the General Assembly specifically provided that</w:t>
      </w:r>
      <w:r w:rsidR="00F31E77" w:rsidRPr="00FE7C99">
        <w:rPr>
          <w:rFonts w:ascii="Arial" w:hAnsi="Arial" w:cs="Arial"/>
          <w:sz w:val="24"/>
          <w:szCs w:val="24"/>
        </w:rPr>
        <w:t xml:space="preserve"> “</w:t>
      </w:r>
      <w:r w:rsidR="00F31E77" w:rsidRPr="00FE7C99">
        <w:rPr>
          <w:rFonts w:ascii="Arial" w:hAnsi="Arial" w:cs="Arial"/>
          <w:i/>
          <w:sz w:val="24"/>
          <w:szCs w:val="24"/>
        </w:rPr>
        <w:t>a competitive retail electric service supplied by an electric utility or electric services company shall not be subject to supervision and regulation</w:t>
      </w:r>
      <w:r w:rsidR="00F31E77" w:rsidRPr="00FE7C99">
        <w:rPr>
          <w:rFonts w:ascii="Arial" w:hAnsi="Arial" w:cs="Arial"/>
          <w:sz w:val="24"/>
          <w:szCs w:val="24"/>
        </w:rPr>
        <w:t xml:space="preserve"> . . . by the public utilities commission under Chapters </w:t>
      </w:r>
      <w:r w:rsidR="00F31E77" w:rsidRPr="00FE7C99">
        <w:rPr>
          <w:rFonts w:ascii="Arial" w:hAnsi="Arial" w:cs="Arial"/>
          <w:b/>
          <w:i/>
          <w:sz w:val="24"/>
          <w:szCs w:val="24"/>
        </w:rPr>
        <w:t>4901. to 4909</w:t>
      </w:r>
      <w:r w:rsidR="00F31E77" w:rsidRPr="00FE7C99">
        <w:rPr>
          <w:rFonts w:ascii="Arial" w:hAnsi="Arial" w:cs="Arial"/>
          <w:sz w:val="24"/>
          <w:szCs w:val="24"/>
        </w:rPr>
        <w:t>., 4933., 4935., and 4963.”</w:t>
      </w:r>
      <w:r w:rsidR="00227AD4" w:rsidRPr="00FE7C99">
        <w:rPr>
          <w:rFonts w:ascii="Arial" w:hAnsi="Arial" w:cs="Arial"/>
          <w:sz w:val="24"/>
          <w:szCs w:val="24"/>
        </w:rPr>
        <w:t xml:space="preserve">  R.C. 4928.05(A)(1)</w:t>
      </w:r>
      <w:r w:rsidR="001D04B2" w:rsidRPr="00FE7C99">
        <w:rPr>
          <w:rFonts w:ascii="Arial" w:hAnsi="Arial" w:cs="Arial"/>
          <w:sz w:val="24"/>
          <w:szCs w:val="24"/>
        </w:rPr>
        <w:t xml:space="preserve"> (emphasis added).</w:t>
      </w:r>
      <w:r w:rsidR="00CA37C3" w:rsidRPr="00FE7C99">
        <w:rPr>
          <w:rFonts w:ascii="Arial" w:hAnsi="Arial" w:cs="Arial"/>
          <w:sz w:val="24"/>
          <w:szCs w:val="24"/>
        </w:rPr>
        <w:t xml:space="preserve">  </w:t>
      </w:r>
      <w:r w:rsidR="00D541C3" w:rsidRPr="00FE7C99">
        <w:rPr>
          <w:rFonts w:ascii="Arial" w:hAnsi="Arial" w:cs="Arial"/>
          <w:sz w:val="24"/>
          <w:szCs w:val="24"/>
        </w:rPr>
        <w:t>SB 3 removed the Commission’s jur</w:t>
      </w:r>
      <w:r w:rsidR="00783315" w:rsidRPr="00FE7C99">
        <w:rPr>
          <w:rFonts w:ascii="Arial" w:hAnsi="Arial" w:cs="Arial"/>
          <w:sz w:val="24"/>
          <w:szCs w:val="24"/>
        </w:rPr>
        <w:t>isdiction to regulate</w:t>
      </w:r>
      <w:r w:rsidR="00D541C3" w:rsidRPr="00FE7C99">
        <w:rPr>
          <w:rFonts w:ascii="Arial" w:hAnsi="Arial" w:cs="Arial"/>
          <w:sz w:val="24"/>
          <w:szCs w:val="24"/>
        </w:rPr>
        <w:t xml:space="preserve"> competitive retail electric service under Chapter 4909. </w:t>
      </w:r>
      <w:r w:rsidR="00227AD4" w:rsidRPr="00FE7C99">
        <w:rPr>
          <w:rFonts w:ascii="Arial" w:hAnsi="Arial" w:cs="Arial"/>
          <w:sz w:val="24"/>
          <w:szCs w:val="24"/>
        </w:rPr>
        <w:t xml:space="preserve">  In other words, the Commission lacks authority to authorize the recovery </w:t>
      </w:r>
      <w:r w:rsidR="001D04B2" w:rsidRPr="00FE7C99">
        <w:rPr>
          <w:rFonts w:ascii="Arial" w:hAnsi="Arial" w:cs="Arial"/>
          <w:sz w:val="24"/>
          <w:szCs w:val="24"/>
        </w:rPr>
        <w:t xml:space="preserve">of costs related to </w:t>
      </w:r>
      <w:r w:rsidR="00227AD4" w:rsidRPr="00FE7C99">
        <w:rPr>
          <w:rFonts w:ascii="Arial" w:hAnsi="Arial" w:cs="Arial"/>
          <w:sz w:val="24"/>
          <w:szCs w:val="24"/>
        </w:rPr>
        <w:t xml:space="preserve">competitive retail electric services in a distribution </w:t>
      </w:r>
      <w:r w:rsidR="00D54732" w:rsidRPr="00FE7C99">
        <w:rPr>
          <w:rFonts w:ascii="Arial" w:hAnsi="Arial" w:cs="Arial"/>
          <w:sz w:val="24"/>
          <w:szCs w:val="24"/>
        </w:rPr>
        <w:t xml:space="preserve">rate case filed under </w:t>
      </w:r>
      <w:r>
        <w:rPr>
          <w:rFonts w:ascii="Arial" w:hAnsi="Arial" w:cs="Arial"/>
          <w:sz w:val="24"/>
          <w:szCs w:val="24"/>
        </w:rPr>
        <w:t xml:space="preserve">R.C. </w:t>
      </w:r>
      <w:r w:rsidR="00D54732" w:rsidRPr="00FE7C99">
        <w:rPr>
          <w:rFonts w:ascii="Arial" w:hAnsi="Arial" w:cs="Arial"/>
          <w:sz w:val="24"/>
          <w:szCs w:val="24"/>
        </w:rPr>
        <w:t>4909.</w:t>
      </w:r>
      <w:r w:rsidR="00783315" w:rsidRPr="00FE7C99">
        <w:rPr>
          <w:rFonts w:ascii="Arial" w:hAnsi="Arial" w:cs="Arial"/>
          <w:sz w:val="24"/>
          <w:szCs w:val="24"/>
        </w:rPr>
        <w:t>18.  Thus, the Commission</w:t>
      </w:r>
      <w:r w:rsidR="00D54732" w:rsidRPr="00FE7C99">
        <w:rPr>
          <w:rFonts w:ascii="Arial" w:hAnsi="Arial" w:cs="Arial"/>
          <w:sz w:val="24"/>
          <w:szCs w:val="24"/>
        </w:rPr>
        <w:t xml:space="preserve"> may only</w:t>
      </w:r>
      <w:r w:rsidR="00E92575" w:rsidRPr="00FE7C99">
        <w:rPr>
          <w:rFonts w:ascii="Arial" w:hAnsi="Arial" w:cs="Arial"/>
          <w:sz w:val="24"/>
          <w:szCs w:val="24"/>
        </w:rPr>
        <w:t xml:space="preserve"> regulate non-competitive service in a base distribution rate case.</w:t>
      </w:r>
      <w:r w:rsidR="00D54732" w:rsidRPr="00FE7C99">
        <w:rPr>
          <w:rFonts w:ascii="Arial" w:hAnsi="Arial" w:cs="Arial"/>
          <w:sz w:val="24"/>
          <w:szCs w:val="24"/>
        </w:rPr>
        <w:t xml:space="preserve"> </w:t>
      </w:r>
    </w:p>
    <w:p w14:paraId="150859AC" w14:textId="663B2ADE" w:rsidR="00A721A9" w:rsidRPr="00FE7C99" w:rsidRDefault="00783315" w:rsidP="00A721A9">
      <w:pPr>
        <w:autoSpaceDE w:val="0"/>
        <w:autoSpaceDN w:val="0"/>
        <w:adjustRightInd w:val="0"/>
        <w:spacing w:after="120" w:line="480" w:lineRule="auto"/>
        <w:ind w:firstLine="720"/>
        <w:jc w:val="both"/>
        <w:rPr>
          <w:rFonts w:ascii="Arial" w:hAnsi="Arial" w:cs="Arial"/>
          <w:sz w:val="24"/>
          <w:szCs w:val="24"/>
        </w:rPr>
      </w:pPr>
      <w:r w:rsidRPr="00FE7C99">
        <w:rPr>
          <w:rFonts w:ascii="Arial" w:hAnsi="Arial" w:cs="Arial"/>
          <w:sz w:val="24"/>
          <w:szCs w:val="24"/>
        </w:rPr>
        <w:t>By law, the SSO is an EDU</w:t>
      </w:r>
      <w:r w:rsidR="00227AD4" w:rsidRPr="00FE7C99">
        <w:rPr>
          <w:rFonts w:ascii="Arial" w:hAnsi="Arial" w:cs="Arial"/>
          <w:sz w:val="24"/>
          <w:szCs w:val="24"/>
        </w:rPr>
        <w:t xml:space="preserve"> offering of</w:t>
      </w:r>
      <w:r w:rsidR="00CA37C3" w:rsidRPr="00FE7C99">
        <w:rPr>
          <w:rFonts w:ascii="Arial" w:hAnsi="Arial" w:cs="Arial"/>
          <w:sz w:val="24"/>
          <w:szCs w:val="24"/>
        </w:rPr>
        <w:t xml:space="preserve"> a</w:t>
      </w:r>
      <w:r w:rsidR="00227AD4" w:rsidRPr="00FE7C99">
        <w:rPr>
          <w:rFonts w:ascii="Arial" w:hAnsi="Arial" w:cs="Arial"/>
          <w:sz w:val="24"/>
          <w:szCs w:val="24"/>
        </w:rPr>
        <w:t xml:space="preserve"> competitive retail electric services</w:t>
      </w:r>
      <w:r w:rsidR="00A81DB4" w:rsidRPr="00FE7C99">
        <w:rPr>
          <w:rFonts w:ascii="Arial" w:hAnsi="Arial" w:cs="Arial"/>
          <w:sz w:val="24"/>
          <w:szCs w:val="24"/>
        </w:rPr>
        <w:t>:</w:t>
      </w:r>
      <w:r w:rsidRPr="00FE7C99">
        <w:rPr>
          <w:rFonts w:ascii="Arial" w:hAnsi="Arial" w:cs="Arial"/>
          <w:sz w:val="24"/>
          <w:szCs w:val="24"/>
        </w:rPr>
        <w:t xml:space="preserve"> it is</w:t>
      </w:r>
      <w:r w:rsidR="00A81DB4" w:rsidRPr="00FE7C99">
        <w:rPr>
          <w:rFonts w:ascii="Arial" w:hAnsi="Arial" w:cs="Arial"/>
          <w:sz w:val="24"/>
          <w:szCs w:val="24"/>
        </w:rPr>
        <w:t xml:space="preserve"> “</w:t>
      </w:r>
      <w:r w:rsidR="00A81DB4" w:rsidRPr="00FE7C99">
        <w:rPr>
          <w:rFonts w:ascii="Arial" w:hAnsi="Arial" w:cs="Arial"/>
          <w:i/>
          <w:sz w:val="24"/>
          <w:szCs w:val="24"/>
        </w:rPr>
        <w:t>a standard service offer of all competitive retail electric services</w:t>
      </w:r>
      <w:r w:rsidR="00A81DB4" w:rsidRPr="00FE7C99">
        <w:rPr>
          <w:rFonts w:ascii="Arial" w:hAnsi="Arial" w:cs="Arial"/>
          <w:sz w:val="24"/>
          <w:szCs w:val="24"/>
        </w:rPr>
        <w:t xml:space="preserve"> necessary to maintain essential electric service to consumers.”</w:t>
      </w:r>
      <w:r w:rsidR="00CA37C3" w:rsidRPr="00FE7C99">
        <w:rPr>
          <w:rStyle w:val="FootnoteReference"/>
          <w:rFonts w:ascii="Arial" w:hAnsi="Arial" w:cs="Arial"/>
          <w:sz w:val="24"/>
          <w:szCs w:val="24"/>
        </w:rPr>
        <w:footnoteReference w:id="45"/>
      </w:r>
      <w:r w:rsidR="00227AD4" w:rsidRPr="00FE7C99">
        <w:rPr>
          <w:rFonts w:ascii="Arial" w:hAnsi="Arial" w:cs="Arial"/>
          <w:sz w:val="24"/>
          <w:szCs w:val="24"/>
        </w:rPr>
        <w:t xml:space="preserve">  Th</w:t>
      </w:r>
      <w:r w:rsidR="00C07484" w:rsidRPr="00FE7C99">
        <w:rPr>
          <w:rFonts w:ascii="Arial" w:hAnsi="Arial" w:cs="Arial"/>
          <w:sz w:val="24"/>
          <w:szCs w:val="24"/>
        </w:rPr>
        <w:t>e  Order p</w:t>
      </w:r>
      <w:r w:rsidR="00924AEE" w:rsidRPr="00FE7C99">
        <w:rPr>
          <w:rFonts w:ascii="Arial" w:hAnsi="Arial" w:cs="Arial"/>
          <w:sz w:val="24"/>
          <w:szCs w:val="24"/>
        </w:rPr>
        <w:t>ermit</w:t>
      </w:r>
      <w:r w:rsidR="00C07484" w:rsidRPr="00FE7C99">
        <w:rPr>
          <w:rFonts w:ascii="Arial" w:hAnsi="Arial" w:cs="Arial"/>
          <w:sz w:val="24"/>
          <w:szCs w:val="24"/>
        </w:rPr>
        <w:t>ted</w:t>
      </w:r>
      <w:r w:rsidR="00924AEE" w:rsidRPr="00FE7C99">
        <w:rPr>
          <w:rFonts w:ascii="Arial" w:hAnsi="Arial" w:cs="Arial"/>
          <w:sz w:val="24"/>
          <w:szCs w:val="24"/>
        </w:rPr>
        <w:t xml:space="preserve"> Duke</w:t>
      </w:r>
      <w:r w:rsidR="00C07484" w:rsidRPr="00FE7C99">
        <w:rPr>
          <w:rFonts w:ascii="Arial" w:hAnsi="Arial" w:cs="Arial"/>
          <w:sz w:val="24"/>
          <w:szCs w:val="24"/>
        </w:rPr>
        <w:t xml:space="preserve"> to </w:t>
      </w:r>
      <w:r w:rsidR="00227AD4" w:rsidRPr="00FE7C99">
        <w:rPr>
          <w:rFonts w:ascii="Arial" w:hAnsi="Arial" w:cs="Arial"/>
          <w:sz w:val="24"/>
          <w:szCs w:val="24"/>
        </w:rPr>
        <w:t>recover</w:t>
      </w:r>
      <w:r w:rsidR="00404718" w:rsidRPr="00FE7C99">
        <w:rPr>
          <w:rFonts w:ascii="Arial" w:hAnsi="Arial" w:cs="Arial"/>
          <w:sz w:val="24"/>
          <w:szCs w:val="24"/>
        </w:rPr>
        <w:t xml:space="preserve"> </w:t>
      </w:r>
      <w:r w:rsidR="00C07484" w:rsidRPr="00FE7C99">
        <w:rPr>
          <w:rFonts w:ascii="Arial" w:hAnsi="Arial" w:cs="Arial"/>
          <w:sz w:val="24"/>
          <w:szCs w:val="24"/>
        </w:rPr>
        <w:t>incremental overhead and administrative costs components to provide retail electric generation service—specifically, bypassable competitive retail electric service under the SSO service—t</w:t>
      </w:r>
      <w:r w:rsidR="00227AD4" w:rsidRPr="00FE7C99">
        <w:rPr>
          <w:rFonts w:ascii="Arial" w:hAnsi="Arial" w:cs="Arial"/>
          <w:sz w:val="24"/>
          <w:szCs w:val="24"/>
        </w:rPr>
        <w:t>hrough distribution rates authorized under R.C. 4909.18.</w:t>
      </w:r>
      <w:r w:rsidR="00FD6E4D" w:rsidRPr="00FE7C99">
        <w:rPr>
          <w:rStyle w:val="FootnoteReference"/>
          <w:rFonts w:ascii="Arial" w:hAnsi="Arial" w:cs="Arial"/>
          <w:sz w:val="24"/>
          <w:szCs w:val="24"/>
        </w:rPr>
        <w:footnoteReference w:id="46"/>
      </w:r>
      <w:r w:rsidR="002834D5" w:rsidRPr="00FE7C99">
        <w:rPr>
          <w:rFonts w:ascii="Arial" w:hAnsi="Arial" w:cs="Arial"/>
          <w:sz w:val="24"/>
          <w:szCs w:val="24"/>
        </w:rPr>
        <w:t xml:space="preserve"> </w:t>
      </w:r>
      <w:r w:rsidR="00FD6E4D" w:rsidRPr="00FE7C99">
        <w:rPr>
          <w:rFonts w:ascii="Arial" w:hAnsi="Arial" w:cs="Arial"/>
          <w:sz w:val="24"/>
          <w:szCs w:val="24"/>
        </w:rPr>
        <w:t xml:space="preserve">Indeed, IGS </w:t>
      </w:r>
      <w:r w:rsidR="00FD6E4D" w:rsidRPr="00FE7C99">
        <w:rPr>
          <w:rFonts w:ascii="Arial" w:hAnsi="Arial" w:cs="Arial"/>
          <w:sz w:val="24"/>
          <w:szCs w:val="24"/>
        </w:rPr>
        <w:lastRenderedPageBreak/>
        <w:t xml:space="preserve">put forth evidence demonstrating that these costs exceed of </w:t>
      </w:r>
      <w:r w:rsidR="00404718" w:rsidRPr="00FE7C99">
        <w:rPr>
          <w:rFonts w:ascii="Arial" w:hAnsi="Arial" w:cs="Arial"/>
          <w:sz w:val="24"/>
          <w:szCs w:val="24"/>
        </w:rPr>
        <w:softHyphen/>
        <w:t xml:space="preserve">23 </w:t>
      </w:r>
      <w:r w:rsidR="00FD6E4D" w:rsidRPr="00FE7C99">
        <w:rPr>
          <w:rFonts w:ascii="Arial" w:hAnsi="Arial" w:cs="Arial"/>
          <w:sz w:val="24"/>
          <w:szCs w:val="24"/>
        </w:rPr>
        <w:t>million.</w:t>
      </w:r>
      <w:r w:rsidR="00FD6E4D" w:rsidRPr="00FE7C99">
        <w:rPr>
          <w:rStyle w:val="FootnoteReference"/>
          <w:rFonts w:ascii="Arial" w:hAnsi="Arial" w:cs="Arial"/>
          <w:sz w:val="24"/>
          <w:szCs w:val="24"/>
        </w:rPr>
        <w:footnoteReference w:id="47"/>
      </w:r>
      <w:r w:rsidR="00FD6E4D" w:rsidRPr="00FE7C99">
        <w:rPr>
          <w:rFonts w:ascii="Arial" w:hAnsi="Arial" w:cs="Arial"/>
          <w:sz w:val="24"/>
          <w:szCs w:val="24"/>
        </w:rPr>
        <w:t xml:space="preserve"> </w:t>
      </w:r>
      <w:r w:rsidR="002834D5" w:rsidRPr="00FE7C99">
        <w:rPr>
          <w:rFonts w:ascii="Arial" w:hAnsi="Arial" w:cs="Arial"/>
          <w:sz w:val="24"/>
          <w:szCs w:val="24"/>
        </w:rPr>
        <w:t xml:space="preserve"> Moreover, these costs are comparable to the costs that CRES providers must incur simply to make a competitive product available.</w:t>
      </w:r>
      <w:r w:rsidR="00FD6E4D" w:rsidRPr="00FE7C99">
        <w:rPr>
          <w:rStyle w:val="FootnoteReference"/>
          <w:rFonts w:ascii="Arial" w:hAnsi="Arial" w:cs="Arial"/>
          <w:sz w:val="24"/>
          <w:szCs w:val="24"/>
        </w:rPr>
        <w:footnoteReference w:id="48"/>
      </w:r>
      <w:r w:rsidR="002834D5" w:rsidRPr="00FE7C99">
        <w:rPr>
          <w:rFonts w:ascii="Arial" w:hAnsi="Arial" w:cs="Arial"/>
          <w:sz w:val="24"/>
          <w:szCs w:val="24"/>
        </w:rPr>
        <w:t xml:space="preserve">  </w:t>
      </w:r>
    </w:p>
    <w:p w14:paraId="7229A524" w14:textId="0765CD5A" w:rsidR="009712AC" w:rsidRPr="00FE7C99" w:rsidRDefault="00227AD4" w:rsidP="00854B59">
      <w:pPr>
        <w:autoSpaceDE w:val="0"/>
        <w:autoSpaceDN w:val="0"/>
        <w:adjustRightInd w:val="0"/>
        <w:spacing w:after="120" w:line="480" w:lineRule="auto"/>
        <w:ind w:firstLine="720"/>
        <w:jc w:val="both"/>
        <w:rPr>
          <w:rFonts w:ascii="Arial" w:hAnsi="Arial" w:cs="Arial"/>
          <w:sz w:val="24"/>
          <w:szCs w:val="24"/>
        </w:rPr>
      </w:pPr>
      <w:r w:rsidRPr="00FE7C99">
        <w:rPr>
          <w:rFonts w:ascii="Arial" w:hAnsi="Arial" w:cs="Arial"/>
          <w:sz w:val="24"/>
          <w:szCs w:val="24"/>
        </w:rPr>
        <w:t>The Commission’s authority to supervise and regulate the SSO is limited to R.C. 4928.141-144.  “Nothing in this division shall be construed to limit the commission's authority under sections 4928.141 t</w:t>
      </w:r>
      <w:r w:rsidR="008C12A9" w:rsidRPr="00FE7C99">
        <w:rPr>
          <w:rFonts w:ascii="Arial" w:hAnsi="Arial" w:cs="Arial"/>
          <w:sz w:val="24"/>
          <w:szCs w:val="24"/>
        </w:rPr>
        <w:t>o 4928.144 of the Revised Code</w:t>
      </w:r>
      <w:r w:rsidRPr="00FE7C99">
        <w:rPr>
          <w:rFonts w:ascii="Arial" w:hAnsi="Arial" w:cs="Arial"/>
          <w:sz w:val="24"/>
          <w:szCs w:val="24"/>
        </w:rPr>
        <w:t>.”</w:t>
      </w:r>
      <w:r w:rsidR="008C12A9" w:rsidRPr="00FE7C99">
        <w:rPr>
          <w:rStyle w:val="FootnoteReference"/>
          <w:rFonts w:ascii="Arial" w:hAnsi="Arial" w:cs="Arial"/>
          <w:sz w:val="24"/>
          <w:szCs w:val="24"/>
        </w:rPr>
        <w:footnoteReference w:id="49"/>
      </w:r>
      <w:r w:rsidR="008C12A9" w:rsidRPr="00FE7C99">
        <w:rPr>
          <w:rFonts w:ascii="Arial" w:hAnsi="Arial" w:cs="Arial"/>
          <w:sz w:val="24"/>
          <w:szCs w:val="24"/>
        </w:rPr>
        <w:t xml:space="preserve">  </w:t>
      </w:r>
      <w:r w:rsidRPr="00FE7C99">
        <w:rPr>
          <w:rFonts w:ascii="Arial" w:hAnsi="Arial" w:cs="Arial"/>
          <w:sz w:val="24"/>
          <w:szCs w:val="24"/>
        </w:rPr>
        <w:t xml:space="preserve">Of those statutes, the Commission’s ability to establish rates is limited to R.C. 4928.142 and 4928.143.  </w:t>
      </w:r>
      <w:r w:rsidR="00A721A9" w:rsidRPr="00FE7C99">
        <w:rPr>
          <w:rFonts w:ascii="Arial" w:hAnsi="Arial" w:cs="Arial"/>
          <w:sz w:val="24"/>
          <w:szCs w:val="24"/>
        </w:rPr>
        <w:t xml:space="preserve">Therefore, The Order violated the explicit prohibition against application of Chapter 4909 to regulate and grant cost recovery for competitive retail electric services. </w:t>
      </w:r>
    </w:p>
    <w:p w14:paraId="2A8FEC50" w14:textId="1B20D4DA" w:rsidR="00C045FB" w:rsidRPr="00FE7C99" w:rsidRDefault="007867DF" w:rsidP="004F0F8D">
      <w:pPr>
        <w:pStyle w:val="ListParagraph"/>
        <w:numPr>
          <w:ilvl w:val="0"/>
          <w:numId w:val="13"/>
        </w:numPr>
        <w:spacing w:after="120" w:line="240" w:lineRule="auto"/>
        <w:jc w:val="both"/>
        <w:rPr>
          <w:rFonts w:ascii="Arial" w:hAnsi="Arial" w:cs="Arial"/>
          <w:b/>
          <w:sz w:val="24"/>
          <w:szCs w:val="24"/>
        </w:rPr>
      </w:pPr>
      <w:r w:rsidRPr="00FE7C99">
        <w:rPr>
          <w:rFonts w:ascii="Arial" w:hAnsi="Arial" w:cs="Arial"/>
          <w:b/>
          <w:sz w:val="24"/>
          <w:szCs w:val="24"/>
        </w:rPr>
        <w:t xml:space="preserve">The Order authorized an anticompetitive, unlawful, </w:t>
      </w:r>
      <w:r w:rsidR="00C07484" w:rsidRPr="00FE7C99">
        <w:rPr>
          <w:rFonts w:ascii="Arial" w:hAnsi="Arial" w:cs="Arial"/>
          <w:b/>
          <w:sz w:val="24"/>
          <w:szCs w:val="24"/>
        </w:rPr>
        <w:t>and unreasonable subsidy to Duke</w:t>
      </w:r>
      <w:r w:rsidRPr="00FE7C99">
        <w:rPr>
          <w:rFonts w:ascii="Arial" w:hAnsi="Arial" w:cs="Arial"/>
          <w:b/>
          <w:sz w:val="24"/>
          <w:szCs w:val="24"/>
        </w:rPr>
        <w:t>’s competitive retail electric service</w:t>
      </w:r>
      <w:r w:rsidR="004F0F8D" w:rsidRPr="00FE7C99">
        <w:rPr>
          <w:rFonts w:ascii="Arial" w:hAnsi="Arial" w:cs="Arial"/>
          <w:b/>
          <w:sz w:val="24"/>
          <w:szCs w:val="24"/>
        </w:rPr>
        <w:t xml:space="preserve"> in violation of precedent and State policy enumerated in R.C. 4928.02.  </w:t>
      </w:r>
      <w:r w:rsidR="004F0F8D" w:rsidRPr="00FE7C99">
        <w:rPr>
          <w:rFonts w:ascii="Arial" w:hAnsi="Arial" w:cs="Arial"/>
          <w:b/>
          <w:i/>
          <w:sz w:val="24"/>
          <w:szCs w:val="24"/>
        </w:rPr>
        <w:t>Elyria Foundry</w:t>
      </w:r>
      <w:r w:rsidR="00FD6E4D" w:rsidRPr="00FE7C99">
        <w:rPr>
          <w:rFonts w:ascii="Arial" w:hAnsi="Arial" w:cs="Arial"/>
          <w:b/>
          <w:sz w:val="24"/>
          <w:szCs w:val="24"/>
        </w:rPr>
        <w:t xml:space="preserve"> </w:t>
      </w:r>
      <w:r w:rsidR="00FD6E4D" w:rsidRPr="00FE7C99">
        <w:rPr>
          <w:rFonts w:ascii="Arial" w:hAnsi="Arial" w:cs="Arial"/>
          <w:b/>
          <w:i/>
          <w:sz w:val="24"/>
          <w:szCs w:val="24"/>
        </w:rPr>
        <w:t>Co. v. Pub. Util. Comm’n</w:t>
      </w:r>
      <w:r w:rsidR="004F0F8D" w:rsidRPr="00FE7C99">
        <w:rPr>
          <w:rFonts w:ascii="Arial" w:hAnsi="Arial" w:cs="Arial"/>
          <w:b/>
          <w:sz w:val="24"/>
          <w:szCs w:val="24"/>
        </w:rPr>
        <w:t>, 14 Ohio St.3d 305</w:t>
      </w:r>
      <w:r w:rsidR="00FD6E4D" w:rsidRPr="00FE7C99">
        <w:rPr>
          <w:rFonts w:ascii="Arial" w:hAnsi="Arial" w:cs="Arial"/>
          <w:b/>
          <w:sz w:val="24"/>
          <w:szCs w:val="24"/>
        </w:rPr>
        <w:t>, 315</w:t>
      </w:r>
      <w:r w:rsidR="004F0F8D" w:rsidRPr="00FE7C99">
        <w:rPr>
          <w:rFonts w:ascii="Arial" w:hAnsi="Arial" w:cs="Arial"/>
          <w:b/>
          <w:sz w:val="24"/>
          <w:szCs w:val="24"/>
        </w:rPr>
        <w:t xml:space="preserve"> (2007).</w:t>
      </w:r>
    </w:p>
    <w:p w14:paraId="2CFAC29E" w14:textId="31CED23E" w:rsidR="009C4639" w:rsidRDefault="00800E26" w:rsidP="003035D0">
      <w:pPr>
        <w:spacing w:after="120" w:line="480" w:lineRule="auto"/>
        <w:ind w:firstLine="720"/>
        <w:jc w:val="both"/>
        <w:rPr>
          <w:rFonts w:ascii="Arial" w:hAnsi="Arial" w:cs="Arial"/>
          <w:sz w:val="24"/>
          <w:szCs w:val="24"/>
        </w:rPr>
      </w:pPr>
      <w:r w:rsidRPr="00FE7C99">
        <w:rPr>
          <w:rFonts w:ascii="Arial" w:hAnsi="Arial" w:cs="Arial"/>
          <w:sz w:val="24"/>
          <w:szCs w:val="24"/>
        </w:rPr>
        <w:t xml:space="preserve">Ohio law </w:t>
      </w:r>
      <w:r w:rsidR="00F62582">
        <w:rPr>
          <w:rFonts w:ascii="Arial" w:hAnsi="Arial" w:cs="Arial"/>
          <w:sz w:val="24"/>
          <w:szCs w:val="24"/>
        </w:rPr>
        <w:t>states “</w:t>
      </w:r>
      <w:r w:rsidR="00F62582" w:rsidRPr="00F62582">
        <w:rPr>
          <w:rFonts w:ascii="Arial" w:hAnsi="Arial" w:cs="Arial"/>
          <w:sz w:val="24"/>
          <w:szCs w:val="24"/>
        </w:rPr>
        <w:t xml:space="preserve">the public utilities commission </w:t>
      </w:r>
      <w:r w:rsidR="00F62582" w:rsidRPr="00F42DD0">
        <w:rPr>
          <w:rFonts w:ascii="Arial" w:hAnsi="Arial" w:cs="Arial"/>
          <w:i/>
          <w:sz w:val="24"/>
          <w:szCs w:val="24"/>
        </w:rPr>
        <w:t>shall ensure</w:t>
      </w:r>
      <w:r w:rsidR="00F62582" w:rsidRPr="00F62582">
        <w:rPr>
          <w:rFonts w:ascii="Arial" w:hAnsi="Arial" w:cs="Arial"/>
          <w:sz w:val="24"/>
          <w:szCs w:val="24"/>
        </w:rPr>
        <w:t xml:space="preserve"> that the policy specified in section 4928.02 of the Revised Code is</w:t>
      </w:r>
      <w:r w:rsidR="00F62582" w:rsidRPr="00F42DD0">
        <w:rPr>
          <w:rFonts w:ascii="Arial" w:hAnsi="Arial" w:cs="Arial"/>
          <w:i/>
          <w:sz w:val="24"/>
          <w:szCs w:val="24"/>
        </w:rPr>
        <w:t xml:space="preserve"> effectuated</w:t>
      </w:r>
      <w:r w:rsidR="00F62582" w:rsidRPr="00F62582">
        <w:rPr>
          <w:rFonts w:ascii="Arial" w:hAnsi="Arial" w:cs="Arial"/>
          <w:sz w:val="24"/>
          <w:szCs w:val="24"/>
        </w:rPr>
        <w:t>.</w:t>
      </w:r>
      <w:r w:rsidR="00F62582">
        <w:rPr>
          <w:rFonts w:ascii="Arial" w:hAnsi="Arial" w:cs="Arial"/>
          <w:sz w:val="24"/>
          <w:szCs w:val="24"/>
        </w:rPr>
        <w:t>”</w:t>
      </w:r>
      <w:r w:rsidR="00F62582">
        <w:rPr>
          <w:rStyle w:val="FootnoteReference"/>
          <w:rFonts w:ascii="Arial" w:hAnsi="Arial" w:cs="Arial"/>
          <w:sz w:val="24"/>
          <w:szCs w:val="24"/>
        </w:rPr>
        <w:footnoteReference w:id="50"/>
      </w:r>
      <w:r w:rsidRPr="00FE7C99">
        <w:rPr>
          <w:rFonts w:ascii="Arial" w:hAnsi="Arial" w:cs="Arial"/>
          <w:sz w:val="24"/>
          <w:szCs w:val="24"/>
        </w:rPr>
        <w:t xml:space="preserve"> </w:t>
      </w:r>
      <w:r w:rsidR="009C4639">
        <w:rPr>
          <w:rFonts w:ascii="Arial" w:hAnsi="Arial" w:cs="Arial"/>
          <w:sz w:val="24"/>
          <w:szCs w:val="24"/>
        </w:rPr>
        <w:t>Under the plain language of the law, the Commission must effectuate the State policy. Webster’s defines “effectuated” as “</w:t>
      </w:r>
      <w:r w:rsidR="009C4639" w:rsidRPr="009C4639">
        <w:rPr>
          <w:rFonts w:ascii="Arial" w:hAnsi="Arial" w:cs="Arial"/>
          <w:sz w:val="24"/>
          <w:szCs w:val="24"/>
        </w:rPr>
        <w:t xml:space="preserve">to cause or bring about (something): to put (something) into effect or </w:t>
      </w:r>
      <w:r w:rsidR="009C4639" w:rsidRPr="009C4639">
        <w:rPr>
          <w:rFonts w:ascii="Arial" w:hAnsi="Arial" w:cs="Arial"/>
          <w:sz w:val="24"/>
          <w:szCs w:val="24"/>
        </w:rPr>
        <w:lastRenderedPageBreak/>
        <w:t>operation</w:t>
      </w:r>
      <w:r w:rsidR="009C4639">
        <w:rPr>
          <w:rFonts w:ascii="Arial" w:hAnsi="Arial" w:cs="Arial"/>
          <w:sz w:val="24"/>
          <w:szCs w:val="24"/>
        </w:rPr>
        <w:t>.”</w:t>
      </w:r>
      <w:r w:rsidR="00E11A63">
        <w:rPr>
          <w:rStyle w:val="FootnoteReference"/>
          <w:rFonts w:ascii="Arial" w:hAnsi="Arial" w:cs="Arial"/>
          <w:sz w:val="24"/>
          <w:szCs w:val="24"/>
        </w:rPr>
        <w:footnoteReference w:id="51"/>
      </w:r>
      <w:r w:rsidR="009C4639">
        <w:rPr>
          <w:rFonts w:ascii="Arial" w:hAnsi="Arial" w:cs="Arial"/>
          <w:sz w:val="24"/>
          <w:szCs w:val="24"/>
        </w:rPr>
        <w:t xml:space="preserve"> Thus, in other words, the Commission must cause the State policy to</w:t>
      </w:r>
      <w:r w:rsidR="00DB50CF">
        <w:rPr>
          <w:rFonts w:ascii="Arial" w:hAnsi="Arial" w:cs="Arial"/>
          <w:sz w:val="24"/>
          <w:szCs w:val="24"/>
        </w:rPr>
        <w:t xml:space="preserve"> be</w:t>
      </w:r>
      <w:r w:rsidR="009C4639">
        <w:rPr>
          <w:rFonts w:ascii="Arial" w:hAnsi="Arial" w:cs="Arial"/>
          <w:sz w:val="24"/>
          <w:szCs w:val="24"/>
        </w:rPr>
        <w:t xml:space="preserve"> implemented, it must put the State policy into effect. </w:t>
      </w:r>
    </w:p>
    <w:p w14:paraId="039AB7BD" w14:textId="66645C3A" w:rsidR="00800E26" w:rsidRPr="00FE7C99" w:rsidRDefault="00E11A63" w:rsidP="003035D0">
      <w:pPr>
        <w:spacing w:after="120" w:line="480" w:lineRule="auto"/>
        <w:ind w:firstLine="720"/>
        <w:jc w:val="both"/>
        <w:rPr>
          <w:rFonts w:ascii="Arial" w:hAnsi="Arial" w:cs="Arial"/>
          <w:sz w:val="24"/>
          <w:szCs w:val="24"/>
        </w:rPr>
      </w:pPr>
      <w:r>
        <w:rPr>
          <w:rFonts w:ascii="Arial" w:hAnsi="Arial" w:cs="Arial"/>
          <w:sz w:val="24"/>
          <w:szCs w:val="24"/>
        </w:rPr>
        <w:t xml:space="preserve">Specifically, state policy requires </w:t>
      </w:r>
      <w:r w:rsidR="00800E26" w:rsidRPr="00FE7C99">
        <w:rPr>
          <w:rFonts w:ascii="Arial" w:hAnsi="Arial" w:cs="Arial"/>
          <w:sz w:val="24"/>
          <w:szCs w:val="24"/>
        </w:rPr>
        <w:t>t</w:t>
      </w:r>
      <w:r>
        <w:rPr>
          <w:rFonts w:ascii="Arial" w:hAnsi="Arial" w:cs="Arial"/>
          <w:sz w:val="24"/>
          <w:szCs w:val="24"/>
        </w:rPr>
        <w:t>he Commission to</w:t>
      </w:r>
      <w:r w:rsidR="00800E26" w:rsidRPr="00FE7C99">
        <w:rPr>
          <w:rFonts w:ascii="Arial" w:hAnsi="Arial" w:cs="Arial"/>
          <w:sz w:val="24"/>
          <w:szCs w:val="24"/>
        </w:rPr>
        <w:t xml:space="preserve"> “[e]nsure the availability of unbundled and comparable retail electric service.”</w:t>
      </w:r>
      <w:r w:rsidR="00CA37C3" w:rsidRPr="00FE7C99">
        <w:rPr>
          <w:rStyle w:val="FootnoteReference"/>
          <w:rFonts w:ascii="Arial" w:hAnsi="Arial" w:cs="Arial"/>
          <w:sz w:val="24"/>
          <w:szCs w:val="24"/>
        </w:rPr>
        <w:footnoteReference w:id="52"/>
      </w:r>
      <w:r w:rsidR="00CA37C3" w:rsidRPr="00FE7C99">
        <w:rPr>
          <w:rFonts w:ascii="Arial" w:hAnsi="Arial" w:cs="Arial"/>
          <w:sz w:val="24"/>
          <w:szCs w:val="24"/>
        </w:rPr>
        <w:t xml:space="preserve">  Ohio policy further requires the Commission to ensure that customers have “nondiscriminatory, and reasonably priced retail electric service.”</w:t>
      </w:r>
      <w:r w:rsidR="00CA37C3" w:rsidRPr="00FE7C99">
        <w:rPr>
          <w:rStyle w:val="FootnoteReference"/>
          <w:rFonts w:ascii="Arial" w:hAnsi="Arial" w:cs="Arial"/>
          <w:sz w:val="24"/>
          <w:szCs w:val="24"/>
        </w:rPr>
        <w:footnoteReference w:id="53"/>
      </w:r>
      <w:r w:rsidR="00800E26" w:rsidRPr="00FE7C99">
        <w:rPr>
          <w:rFonts w:ascii="Arial" w:hAnsi="Arial" w:cs="Arial"/>
          <w:sz w:val="24"/>
          <w:szCs w:val="24"/>
        </w:rPr>
        <w:t xml:space="preserve">  Likewise, the Commission must “[e]nsure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distribution or transmission rates.”</w:t>
      </w:r>
      <w:r w:rsidR="00CA37C3" w:rsidRPr="00FE7C99">
        <w:rPr>
          <w:rStyle w:val="FootnoteReference"/>
          <w:rFonts w:ascii="Arial" w:hAnsi="Arial" w:cs="Arial"/>
          <w:sz w:val="24"/>
          <w:szCs w:val="24"/>
        </w:rPr>
        <w:footnoteReference w:id="54"/>
      </w:r>
      <w:r w:rsidR="00800E26" w:rsidRPr="00FE7C99">
        <w:rPr>
          <w:rFonts w:ascii="Arial" w:hAnsi="Arial" w:cs="Arial"/>
          <w:sz w:val="24"/>
          <w:szCs w:val="24"/>
        </w:rPr>
        <w:t xml:space="preserve">  </w:t>
      </w:r>
    </w:p>
    <w:p w14:paraId="3943E72D" w14:textId="333316C1" w:rsidR="003035D0" w:rsidRPr="00FE7C99" w:rsidRDefault="00E11A63" w:rsidP="003035D0">
      <w:pPr>
        <w:spacing w:after="120" w:line="480" w:lineRule="auto"/>
        <w:ind w:firstLine="720"/>
        <w:jc w:val="both"/>
        <w:rPr>
          <w:rFonts w:ascii="Arial" w:hAnsi="Arial" w:cs="Arial"/>
          <w:sz w:val="24"/>
          <w:szCs w:val="24"/>
        </w:rPr>
      </w:pPr>
      <w:r>
        <w:rPr>
          <w:rFonts w:ascii="Arial" w:hAnsi="Arial" w:cs="Arial"/>
          <w:sz w:val="24"/>
          <w:szCs w:val="24"/>
        </w:rPr>
        <w:t>Further, t</w:t>
      </w:r>
      <w:r w:rsidR="00800E26" w:rsidRPr="00FE7C99">
        <w:rPr>
          <w:rFonts w:ascii="Arial" w:hAnsi="Arial" w:cs="Arial"/>
          <w:sz w:val="24"/>
          <w:szCs w:val="24"/>
        </w:rPr>
        <w:t xml:space="preserve">he </w:t>
      </w:r>
      <w:r w:rsidR="003035D0" w:rsidRPr="00FE7C99">
        <w:rPr>
          <w:rFonts w:ascii="Arial" w:hAnsi="Arial" w:cs="Arial"/>
          <w:sz w:val="24"/>
          <w:szCs w:val="24"/>
        </w:rPr>
        <w:t>Supreme Court has noted that the General Assembly “restructured Ohio's electric-utility industry to foster retail competition in the generation component of electric service.”</w:t>
      </w:r>
      <w:r w:rsidR="003035D0" w:rsidRPr="00FE7C99">
        <w:rPr>
          <w:rStyle w:val="FootnoteReference"/>
          <w:rFonts w:ascii="Arial" w:hAnsi="Arial" w:cs="Arial"/>
          <w:sz w:val="24"/>
          <w:szCs w:val="24"/>
        </w:rPr>
        <w:footnoteReference w:id="55"/>
      </w:r>
      <w:r w:rsidR="003035D0" w:rsidRPr="00FE7C99">
        <w:rPr>
          <w:rFonts w:ascii="Arial" w:hAnsi="Arial" w:cs="Arial"/>
          <w:sz w:val="24"/>
          <w:szCs w:val="24"/>
        </w:rPr>
        <w:t xml:space="preserve"> To that end, the General Assembly “</w:t>
      </w:r>
      <w:r w:rsidR="003035D0" w:rsidRPr="00FE7C99">
        <w:rPr>
          <w:rFonts w:ascii="Arial" w:hAnsi="Arial" w:cs="Arial"/>
          <w:color w:val="222222"/>
          <w:sz w:val="24"/>
          <w:szCs w:val="24"/>
          <w:shd w:val="clear" w:color="auto" w:fill="FFFFFF"/>
        </w:rPr>
        <w:t xml:space="preserve">required the unbundling of the three major components of electric service — generation, distribution, and transmission — </w:t>
      </w:r>
      <w:r w:rsidR="003035D0" w:rsidRPr="00F42DD0">
        <w:rPr>
          <w:rFonts w:ascii="Arial" w:hAnsi="Arial" w:cs="Arial"/>
          <w:i/>
          <w:color w:val="222222"/>
          <w:sz w:val="24"/>
          <w:szCs w:val="24"/>
          <w:shd w:val="clear" w:color="auto" w:fill="FFFFFF"/>
        </w:rPr>
        <w:t>and the components that make up</w:t>
      </w:r>
      <w:r w:rsidR="003035D0" w:rsidRPr="00FE7C99">
        <w:rPr>
          <w:rFonts w:ascii="Arial" w:hAnsi="Arial" w:cs="Arial"/>
          <w:color w:val="222222"/>
          <w:sz w:val="24"/>
          <w:szCs w:val="24"/>
          <w:shd w:val="clear" w:color="auto" w:fill="FFFFFF"/>
        </w:rPr>
        <w:t xml:space="preserve"> the three major service components.</w:t>
      </w:r>
      <w:r w:rsidR="003035D0" w:rsidRPr="00FE7C99">
        <w:rPr>
          <w:rFonts w:ascii="Arial" w:hAnsi="Arial" w:cs="Arial"/>
          <w:sz w:val="24"/>
          <w:szCs w:val="24"/>
        </w:rPr>
        <w:t>”</w:t>
      </w:r>
      <w:r w:rsidR="003035D0" w:rsidRPr="00FE7C99">
        <w:rPr>
          <w:rStyle w:val="FootnoteReference"/>
          <w:rFonts w:ascii="Arial" w:hAnsi="Arial" w:cs="Arial"/>
          <w:sz w:val="24"/>
          <w:szCs w:val="24"/>
        </w:rPr>
        <w:footnoteReference w:id="56"/>
      </w:r>
      <w:r w:rsidR="003035D0" w:rsidRPr="00FE7C99">
        <w:rPr>
          <w:rFonts w:ascii="Arial" w:hAnsi="Arial" w:cs="Arial"/>
          <w:sz w:val="24"/>
          <w:szCs w:val="24"/>
        </w:rPr>
        <w:t xml:space="preserve"> “In short, each service component was required to stand on its own.”</w:t>
      </w:r>
      <w:r w:rsidR="003035D0" w:rsidRPr="00FE7C99">
        <w:rPr>
          <w:rStyle w:val="FootnoteReference"/>
          <w:rFonts w:ascii="Arial" w:hAnsi="Arial" w:cs="Arial"/>
          <w:sz w:val="24"/>
          <w:szCs w:val="24"/>
        </w:rPr>
        <w:footnoteReference w:id="57"/>
      </w:r>
      <w:r w:rsidR="003035D0" w:rsidRPr="00FE7C99">
        <w:rPr>
          <w:rFonts w:ascii="Arial" w:hAnsi="Arial" w:cs="Arial"/>
          <w:sz w:val="24"/>
          <w:szCs w:val="24"/>
        </w:rPr>
        <w:t xml:space="preserve">  </w:t>
      </w:r>
    </w:p>
    <w:p w14:paraId="5FD0AA48" w14:textId="01226B9C" w:rsidR="00057C1B" w:rsidRPr="00FE7C99" w:rsidRDefault="003035D0" w:rsidP="00983DDD">
      <w:pPr>
        <w:spacing w:after="120" w:line="480" w:lineRule="auto"/>
        <w:ind w:firstLine="720"/>
        <w:jc w:val="both"/>
        <w:rPr>
          <w:rFonts w:ascii="Arial" w:hAnsi="Arial" w:cs="Arial"/>
          <w:color w:val="222222"/>
          <w:sz w:val="24"/>
          <w:szCs w:val="24"/>
          <w:shd w:val="clear" w:color="auto" w:fill="FFFFFF"/>
        </w:rPr>
      </w:pPr>
      <w:r w:rsidRPr="00FE7C99">
        <w:rPr>
          <w:rFonts w:ascii="Arial" w:hAnsi="Arial" w:cs="Arial"/>
          <w:sz w:val="24"/>
          <w:szCs w:val="24"/>
        </w:rPr>
        <w:lastRenderedPageBreak/>
        <w:t xml:space="preserve">The Court has rebuffed prior attempts to rebundle the recovery of competitive services through non-competitive distribution rates.  For example, in </w:t>
      </w:r>
      <w:r w:rsidRPr="00FE7C99">
        <w:rPr>
          <w:rFonts w:ascii="Arial" w:hAnsi="Arial" w:cs="Arial"/>
          <w:i/>
          <w:sz w:val="24"/>
          <w:szCs w:val="24"/>
        </w:rPr>
        <w:t>Elyria Foundry</w:t>
      </w:r>
      <w:r w:rsidR="00057C1B" w:rsidRPr="00FE7C99">
        <w:rPr>
          <w:rFonts w:ascii="Arial" w:hAnsi="Arial" w:cs="Arial"/>
          <w:i/>
          <w:sz w:val="24"/>
          <w:szCs w:val="24"/>
        </w:rPr>
        <w:t xml:space="preserve"> Co. v. Pub. Util. Comm’n</w:t>
      </w:r>
      <w:r w:rsidRPr="00FE7C99">
        <w:rPr>
          <w:rFonts w:ascii="Arial" w:hAnsi="Arial" w:cs="Arial"/>
          <w:sz w:val="24"/>
          <w:szCs w:val="24"/>
        </w:rPr>
        <w:t>,</w:t>
      </w:r>
      <w:r w:rsidRPr="00F42DD0">
        <w:rPr>
          <w:rFonts w:ascii="Arial" w:hAnsi="Arial" w:cs="Arial"/>
        </w:rPr>
        <w:t xml:space="preserve"> </w:t>
      </w:r>
      <w:r w:rsidRPr="00FE7C99">
        <w:rPr>
          <w:rFonts w:ascii="Arial" w:hAnsi="Arial" w:cs="Arial"/>
          <w:sz w:val="24"/>
          <w:szCs w:val="24"/>
        </w:rPr>
        <w:t>14 Ohio St.3d 305 (2007), the Commission authorized Fir</w:t>
      </w:r>
      <w:r w:rsidR="00CA37C3" w:rsidRPr="00FE7C99">
        <w:rPr>
          <w:rFonts w:ascii="Arial" w:hAnsi="Arial" w:cs="Arial"/>
          <w:sz w:val="24"/>
          <w:szCs w:val="24"/>
        </w:rPr>
        <w:t xml:space="preserve">stEnergy </w:t>
      </w:r>
      <w:r w:rsidRPr="00FE7C99">
        <w:rPr>
          <w:rFonts w:ascii="Arial" w:hAnsi="Arial" w:cs="Arial"/>
          <w:sz w:val="24"/>
          <w:szCs w:val="24"/>
        </w:rPr>
        <w:t xml:space="preserve">to </w:t>
      </w:r>
      <w:r w:rsidR="00CA37C3" w:rsidRPr="00FE7C99">
        <w:rPr>
          <w:rFonts w:ascii="Arial" w:hAnsi="Arial" w:cs="Arial"/>
          <w:sz w:val="24"/>
          <w:szCs w:val="24"/>
        </w:rPr>
        <w:t xml:space="preserve">recover </w:t>
      </w:r>
      <w:r w:rsidRPr="00FE7C99">
        <w:rPr>
          <w:rFonts w:ascii="Arial" w:hAnsi="Arial" w:cs="Arial"/>
          <w:sz w:val="24"/>
          <w:szCs w:val="24"/>
        </w:rPr>
        <w:t>SSO-related fuel costs through distribution rates.  Following an appeal, the Court held that “</w:t>
      </w:r>
      <w:r w:rsidR="00CA37C3" w:rsidRPr="00FE7C99">
        <w:rPr>
          <w:rFonts w:ascii="Arial" w:hAnsi="Arial" w:cs="Arial"/>
          <w:color w:val="222222"/>
          <w:sz w:val="24"/>
          <w:szCs w:val="24"/>
          <w:shd w:val="clear" w:color="auto" w:fill="FFFFFF"/>
        </w:rPr>
        <w:t>[f]</w:t>
      </w:r>
      <w:r w:rsidR="001B7252" w:rsidRPr="00FE7C99">
        <w:rPr>
          <w:rFonts w:ascii="Arial" w:hAnsi="Arial" w:cs="Arial"/>
          <w:color w:val="222222"/>
          <w:sz w:val="24"/>
          <w:szCs w:val="24"/>
          <w:shd w:val="clear" w:color="auto" w:fill="FFFFFF"/>
        </w:rPr>
        <w:t>uel is an incremental cost component of generation service. Thus, by allowing that generation-cost component to be deferred and subsequently recovered in a distribution rate case, or alternatively allowing FirstEnergy to apply generation revenues to reduce distribution expenses, the commission violated R.C. 4928.02(G).</w:t>
      </w:r>
      <w:r w:rsidRPr="00FE7C99">
        <w:rPr>
          <w:rFonts w:ascii="Arial" w:hAnsi="Arial" w:cs="Arial"/>
          <w:color w:val="222222"/>
          <w:sz w:val="24"/>
          <w:szCs w:val="24"/>
          <w:shd w:val="clear" w:color="auto" w:fill="FFFFFF"/>
        </w:rPr>
        <w:t>”</w:t>
      </w:r>
      <w:r w:rsidR="00057C1B" w:rsidRPr="00FE7C99">
        <w:rPr>
          <w:rStyle w:val="FootnoteReference"/>
          <w:rFonts w:ascii="Arial" w:hAnsi="Arial" w:cs="Arial"/>
          <w:color w:val="222222"/>
          <w:sz w:val="24"/>
          <w:szCs w:val="24"/>
          <w:shd w:val="clear" w:color="auto" w:fill="FFFFFF"/>
        </w:rPr>
        <w:footnoteReference w:id="58"/>
      </w:r>
      <w:r w:rsidRPr="00FE7C99">
        <w:rPr>
          <w:rFonts w:ascii="Arial" w:hAnsi="Arial" w:cs="Arial"/>
          <w:color w:val="222222"/>
          <w:sz w:val="24"/>
          <w:szCs w:val="24"/>
          <w:shd w:val="clear" w:color="auto" w:fill="FFFFFF"/>
        </w:rPr>
        <w:t xml:space="preserve"> </w:t>
      </w:r>
    </w:p>
    <w:p w14:paraId="373AFF27" w14:textId="3DB05F68" w:rsidR="00983DDD" w:rsidRPr="00FE7C99" w:rsidRDefault="003035D0" w:rsidP="00983DDD">
      <w:pPr>
        <w:spacing w:after="120" w:line="480" w:lineRule="auto"/>
        <w:ind w:firstLine="720"/>
        <w:jc w:val="both"/>
        <w:rPr>
          <w:rFonts w:ascii="Arial" w:hAnsi="Arial" w:cs="Arial"/>
          <w:color w:val="222222"/>
          <w:sz w:val="24"/>
          <w:szCs w:val="24"/>
          <w:shd w:val="clear" w:color="auto" w:fill="FFFFFF"/>
        </w:rPr>
      </w:pPr>
      <w:r w:rsidRPr="00FE7C99">
        <w:rPr>
          <w:rFonts w:ascii="Arial" w:hAnsi="Arial" w:cs="Arial"/>
          <w:color w:val="222222"/>
          <w:sz w:val="24"/>
          <w:szCs w:val="24"/>
          <w:shd w:val="clear" w:color="auto" w:fill="FFFFFF"/>
        </w:rPr>
        <w:t>Here, the record evidence sh</w:t>
      </w:r>
      <w:r w:rsidR="00B631B3" w:rsidRPr="00FE7C99">
        <w:rPr>
          <w:rFonts w:ascii="Arial" w:hAnsi="Arial" w:cs="Arial"/>
          <w:color w:val="222222"/>
          <w:sz w:val="24"/>
          <w:szCs w:val="24"/>
          <w:shd w:val="clear" w:color="auto" w:fill="FFFFFF"/>
        </w:rPr>
        <w:t>ows that the Order authorized</w:t>
      </w:r>
      <w:r w:rsidR="00BF5BE4" w:rsidRPr="00FE7C99">
        <w:rPr>
          <w:rFonts w:ascii="Arial" w:hAnsi="Arial" w:cs="Arial"/>
          <w:color w:val="222222"/>
          <w:sz w:val="24"/>
          <w:szCs w:val="24"/>
          <w:shd w:val="clear" w:color="auto" w:fill="FFFFFF"/>
        </w:rPr>
        <w:t xml:space="preserve"> Duke</w:t>
      </w:r>
      <w:r w:rsidRPr="00FE7C99">
        <w:rPr>
          <w:rFonts w:ascii="Arial" w:hAnsi="Arial" w:cs="Arial"/>
          <w:color w:val="222222"/>
          <w:sz w:val="24"/>
          <w:szCs w:val="24"/>
          <w:shd w:val="clear" w:color="auto" w:fill="FFFFFF"/>
        </w:rPr>
        <w:t xml:space="preserve"> to recover through distribution rates costs components related to </w:t>
      </w:r>
      <w:r w:rsidR="00983DDD" w:rsidRPr="00FE7C99">
        <w:rPr>
          <w:rFonts w:ascii="Arial" w:hAnsi="Arial" w:cs="Arial"/>
          <w:color w:val="222222"/>
          <w:sz w:val="24"/>
          <w:szCs w:val="24"/>
          <w:shd w:val="clear" w:color="auto" w:fill="FFFFFF"/>
        </w:rPr>
        <w:t>the provision of the</w:t>
      </w:r>
      <w:r w:rsidRPr="00FE7C99">
        <w:rPr>
          <w:rFonts w:ascii="Arial" w:hAnsi="Arial" w:cs="Arial"/>
          <w:color w:val="222222"/>
          <w:sz w:val="24"/>
          <w:szCs w:val="24"/>
          <w:shd w:val="clear" w:color="auto" w:fill="FFFFFF"/>
        </w:rPr>
        <w:t xml:space="preserve"> SSO</w:t>
      </w:r>
      <w:r w:rsidR="00E92575" w:rsidRPr="00FE7C99">
        <w:rPr>
          <w:rFonts w:ascii="Arial" w:hAnsi="Arial" w:cs="Arial"/>
          <w:color w:val="222222"/>
          <w:sz w:val="24"/>
          <w:szCs w:val="24"/>
          <w:shd w:val="clear" w:color="auto" w:fill="FFFFFF"/>
        </w:rPr>
        <w:t>—similar costs that CRES providers must incur to offer a competitive product</w:t>
      </w:r>
      <w:r w:rsidRPr="00FE7C99">
        <w:rPr>
          <w:rFonts w:ascii="Arial" w:hAnsi="Arial" w:cs="Arial"/>
          <w:color w:val="222222"/>
          <w:sz w:val="24"/>
          <w:szCs w:val="24"/>
          <w:shd w:val="clear" w:color="auto" w:fill="FFFFFF"/>
        </w:rPr>
        <w:t>.</w:t>
      </w:r>
      <w:r w:rsidR="009A6EC5" w:rsidRPr="00FE7C99">
        <w:rPr>
          <w:rFonts w:ascii="Arial" w:hAnsi="Arial" w:cs="Arial"/>
          <w:color w:val="222222"/>
          <w:sz w:val="24"/>
          <w:szCs w:val="24"/>
          <w:shd w:val="clear" w:color="auto" w:fill="FFFFFF"/>
        </w:rPr>
        <w:t xml:space="preserve">  Rather than requiring SSO service to “stand on i</w:t>
      </w:r>
      <w:r w:rsidR="00B631B3" w:rsidRPr="00FE7C99">
        <w:rPr>
          <w:rFonts w:ascii="Arial" w:hAnsi="Arial" w:cs="Arial"/>
          <w:color w:val="222222"/>
          <w:sz w:val="24"/>
          <w:szCs w:val="24"/>
          <w:shd w:val="clear" w:color="auto" w:fill="FFFFFF"/>
        </w:rPr>
        <w:t>ts own</w:t>
      </w:r>
      <w:r w:rsidR="00057C1B" w:rsidRPr="00FE7C99">
        <w:rPr>
          <w:rFonts w:ascii="Arial" w:hAnsi="Arial" w:cs="Arial"/>
          <w:color w:val="222222"/>
          <w:sz w:val="24"/>
          <w:szCs w:val="24"/>
          <w:shd w:val="clear" w:color="auto" w:fill="FFFFFF"/>
        </w:rPr>
        <w:t>,”</w:t>
      </w:r>
      <w:r w:rsidR="00B631B3" w:rsidRPr="00FE7C99">
        <w:rPr>
          <w:rFonts w:ascii="Arial" w:hAnsi="Arial" w:cs="Arial"/>
          <w:color w:val="222222"/>
          <w:sz w:val="24"/>
          <w:szCs w:val="24"/>
          <w:shd w:val="clear" w:color="auto" w:fill="FFFFFF"/>
        </w:rPr>
        <w:t xml:space="preserve"> the Order authorized</w:t>
      </w:r>
      <w:r w:rsidR="00BF5BE4" w:rsidRPr="00FE7C99">
        <w:rPr>
          <w:rFonts w:ascii="Arial" w:hAnsi="Arial" w:cs="Arial"/>
          <w:color w:val="222222"/>
          <w:sz w:val="24"/>
          <w:szCs w:val="24"/>
          <w:shd w:val="clear" w:color="auto" w:fill="FFFFFF"/>
        </w:rPr>
        <w:t xml:space="preserve"> Duke</w:t>
      </w:r>
      <w:r w:rsidR="009A6EC5" w:rsidRPr="00FE7C99">
        <w:rPr>
          <w:rFonts w:ascii="Arial" w:hAnsi="Arial" w:cs="Arial"/>
          <w:color w:val="222222"/>
          <w:sz w:val="24"/>
          <w:szCs w:val="24"/>
          <w:shd w:val="clear" w:color="auto" w:fill="FFFFFF"/>
        </w:rPr>
        <w:t xml:space="preserve"> to </w:t>
      </w:r>
      <w:r w:rsidR="004D41C5" w:rsidRPr="00FE7C99">
        <w:rPr>
          <w:rFonts w:ascii="Arial" w:hAnsi="Arial" w:cs="Arial"/>
          <w:color w:val="222222"/>
          <w:sz w:val="24"/>
          <w:szCs w:val="24"/>
          <w:shd w:val="clear" w:color="auto" w:fill="FFFFFF"/>
        </w:rPr>
        <w:t>bundl</w:t>
      </w:r>
      <w:r w:rsidR="00C038B5" w:rsidRPr="00FE7C99">
        <w:rPr>
          <w:rFonts w:ascii="Arial" w:hAnsi="Arial" w:cs="Arial"/>
          <w:color w:val="222222"/>
          <w:sz w:val="24"/>
          <w:szCs w:val="24"/>
          <w:shd w:val="clear" w:color="auto" w:fill="FFFFFF"/>
        </w:rPr>
        <w:t>e</w:t>
      </w:r>
      <w:r w:rsidR="004D41C5" w:rsidRPr="00FE7C99">
        <w:rPr>
          <w:rFonts w:ascii="Arial" w:hAnsi="Arial" w:cs="Arial"/>
          <w:color w:val="222222"/>
          <w:sz w:val="24"/>
          <w:szCs w:val="24"/>
          <w:shd w:val="clear" w:color="auto" w:fill="FFFFFF"/>
        </w:rPr>
        <w:t xml:space="preserve"> </w:t>
      </w:r>
      <w:r w:rsidR="00BF5BE4" w:rsidRPr="00FE7C99">
        <w:rPr>
          <w:rFonts w:ascii="Arial" w:hAnsi="Arial" w:cs="Arial"/>
          <w:color w:val="222222"/>
          <w:sz w:val="24"/>
          <w:szCs w:val="24"/>
          <w:shd w:val="clear" w:color="auto" w:fill="FFFFFF"/>
        </w:rPr>
        <w:t xml:space="preserve">components related to the provision of retail electric generation—the competitive </w:t>
      </w:r>
      <w:r w:rsidR="009A6EC5" w:rsidRPr="00FE7C99">
        <w:rPr>
          <w:rFonts w:ascii="Arial" w:hAnsi="Arial" w:cs="Arial"/>
          <w:color w:val="222222"/>
          <w:sz w:val="24"/>
          <w:szCs w:val="24"/>
          <w:shd w:val="clear" w:color="auto" w:fill="FFFFFF"/>
        </w:rPr>
        <w:t>SSO</w:t>
      </w:r>
      <w:r w:rsidR="00BF5BE4" w:rsidRPr="00FE7C99">
        <w:rPr>
          <w:rFonts w:ascii="Arial" w:hAnsi="Arial" w:cs="Arial"/>
          <w:color w:val="222222"/>
          <w:sz w:val="24"/>
          <w:szCs w:val="24"/>
          <w:shd w:val="clear" w:color="auto" w:fill="FFFFFF"/>
        </w:rPr>
        <w:t>—</w:t>
      </w:r>
      <w:r w:rsidR="009A6EC5" w:rsidRPr="00FE7C99">
        <w:rPr>
          <w:rFonts w:ascii="Arial" w:hAnsi="Arial" w:cs="Arial"/>
          <w:color w:val="222222"/>
          <w:sz w:val="24"/>
          <w:szCs w:val="24"/>
          <w:shd w:val="clear" w:color="auto" w:fill="FFFFFF"/>
        </w:rPr>
        <w:t xml:space="preserve"> into distribution rates and therefore provide the SSO with an anticompeti</w:t>
      </w:r>
      <w:r w:rsidR="00097759" w:rsidRPr="00FE7C99">
        <w:rPr>
          <w:rFonts w:ascii="Arial" w:hAnsi="Arial" w:cs="Arial"/>
          <w:color w:val="222222"/>
          <w:sz w:val="24"/>
          <w:szCs w:val="24"/>
          <w:shd w:val="clear" w:color="auto" w:fill="FFFFFF"/>
        </w:rPr>
        <w:t xml:space="preserve">tive subsidy.  The </w:t>
      </w:r>
      <w:r w:rsidR="00057C1B" w:rsidRPr="00FE7C99">
        <w:rPr>
          <w:rFonts w:ascii="Arial" w:hAnsi="Arial" w:cs="Arial"/>
          <w:color w:val="222222"/>
          <w:sz w:val="24"/>
          <w:szCs w:val="24"/>
          <w:shd w:val="clear" w:color="auto" w:fill="FFFFFF"/>
        </w:rPr>
        <w:t>subsidy is collected disproportionately</w:t>
      </w:r>
      <w:r w:rsidR="00097759" w:rsidRPr="00FE7C99">
        <w:rPr>
          <w:rFonts w:ascii="Arial" w:hAnsi="Arial" w:cs="Arial"/>
          <w:color w:val="222222"/>
          <w:sz w:val="24"/>
          <w:szCs w:val="24"/>
          <w:shd w:val="clear" w:color="auto" w:fill="FFFFFF"/>
        </w:rPr>
        <w:t xml:space="preserve"> from shopping customers; therefore, it is discriminatory</w:t>
      </w:r>
      <w:r w:rsidR="00E92575" w:rsidRPr="00FE7C99">
        <w:rPr>
          <w:rFonts w:ascii="Arial" w:hAnsi="Arial" w:cs="Arial"/>
          <w:color w:val="222222"/>
          <w:sz w:val="24"/>
          <w:szCs w:val="24"/>
          <w:shd w:val="clear" w:color="auto" w:fill="FFFFFF"/>
        </w:rPr>
        <w:t>.</w:t>
      </w:r>
      <w:r w:rsidR="009A6EC5" w:rsidRPr="00FE7C99">
        <w:rPr>
          <w:rFonts w:ascii="Arial" w:hAnsi="Arial" w:cs="Arial"/>
          <w:color w:val="222222"/>
          <w:sz w:val="24"/>
          <w:szCs w:val="24"/>
          <w:shd w:val="clear" w:color="auto" w:fill="FFFFFF"/>
        </w:rPr>
        <w:t xml:space="preserve">   T</w:t>
      </w:r>
      <w:r w:rsidRPr="00FE7C99">
        <w:rPr>
          <w:rFonts w:ascii="Arial" w:hAnsi="Arial" w:cs="Arial"/>
          <w:color w:val="222222"/>
          <w:sz w:val="24"/>
          <w:szCs w:val="24"/>
          <w:shd w:val="clear" w:color="auto" w:fill="FFFFFF"/>
        </w:rPr>
        <w:t xml:space="preserve">he </w:t>
      </w:r>
      <w:r w:rsidR="00B631B3" w:rsidRPr="00FE7C99">
        <w:rPr>
          <w:rFonts w:ascii="Arial" w:hAnsi="Arial" w:cs="Arial"/>
          <w:color w:val="222222"/>
          <w:sz w:val="24"/>
          <w:szCs w:val="24"/>
          <w:shd w:val="clear" w:color="auto" w:fill="FFFFFF"/>
        </w:rPr>
        <w:t>Order authorized</w:t>
      </w:r>
      <w:r w:rsidRPr="00FE7C99">
        <w:rPr>
          <w:rFonts w:ascii="Arial" w:hAnsi="Arial" w:cs="Arial"/>
          <w:color w:val="222222"/>
          <w:sz w:val="24"/>
          <w:szCs w:val="24"/>
          <w:shd w:val="clear" w:color="auto" w:fill="FFFFFF"/>
        </w:rPr>
        <w:t xml:space="preserve"> a result that violates Ohio law and Supreme Court precedent </w:t>
      </w:r>
      <w:r w:rsidR="009A6EC5" w:rsidRPr="00FE7C99">
        <w:rPr>
          <w:rFonts w:ascii="Arial" w:hAnsi="Arial" w:cs="Arial"/>
          <w:color w:val="222222"/>
          <w:sz w:val="24"/>
          <w:szCs w:val="24"/>
          <w:shd w:val="clear" w:color="auto" w:fill="FFFFFF"/>
        </w:rPr>
        <w:t>that</w:t>
      </w:r>
      <w:r w:rsidR="00983DDD" w:rsidRPr="00FE7C99">
        <w:rPr>
          <w:rFonts w:ascii="Arial" w:hAnsi="Arial" w:cs="Arial"/>
          <w:color w:val="222222"/>
          <w:sz w:val="24"/>
          <w:szCs w:val="24"/>
          <w:shd w:val="clear" w:color="auto" w:fill="FFFFFF"/>
        </w:rPr>
        <w:t xml:space="preserve"> prohibits anticompetitive subsidies and</w:t>
      </w:r>
      <w:r w:rsidR="009A6EC5" w:rsidRPr="00FE7C99">
        <w:rPr>
          <w:rFonts w:ascii="Arial" w:hAnsi="Arial" w:cs="Arial"/>
          <w:color w:val="222222"/>
          <w:sz w:val="24"/>
          <w:szCs w:val="24"/>
          <w:shd w:val="clear" w:color="auto" w:fill="FFFFFF"/>
        </w:rPr>
        <w:t xml:space="preserve"> requires unbundled</w:t>
      </w:r>
      <w:r w:rsidR="00E92575" w:rsidRPr="00FE7C99">
        <w:rPr>
          <w:rFonts w:ascii="Arial" w:hAnsi="Arial" w:cs="Arial"/>
          <w:color w:val="222222"/>
          <w:sz w:val="24"/>
          <w:szCs w:val="24"/>
          <w:shd w:val="clear" w:color="auto" w:fill="FFFFFF"/>
        </w:rPr>
        <w:t xml:space="preserve"> and comparable</w:t>
      </w:r>
      <w:r w:rsidR="009A6EC5" w:rsidRPr="00FE7C99">
        <w:rPr>
          <w:rFonts w:ascii="Arial" w:hAnsi="Arial" w:cs="Arial"/>
          <w:color w:val="222222"/>
          <w:sz w:val="24"/>
          <w:szCs w:val="24"/>
          <w:shd w:val="clear" w:color="auto" w:fill="FFFFFF"/>
        </w:rPr>
        <w:t xml:space="preserve"> rates.</w:t>
      </w:r>
    </w:p>
    <w:p w14:paraId="3C5DAA1A" w14:textId="07AE2787" w:rsidR="007271D9" w:rsidRDefault="007271D9" w:rsidP="00157A5C">
      <w:pPr>
        <w:pStyle w:val="ListParagraph"/>
        <w:numPr>
          <w:ilvl w:val="0"/>
          <w:numId w:val="13"/>
        </w:numPr>
        <w:autoSpaceDE w:val="0"/>
        <w:autoSpaceDN w:val="0"/>
        <w:adjustRightInd w:val="0"/>
        <w:spacing w:after="120" w:line="240" w:lineRule="auto"/>
        <w:ind w:left="1454"/>
        <w:jc w:val="both"/>
        <w:rPr>
          <w:rFonts w:ascii="Arial" w:hAnsi="Arial" w:cs="Arial"/>
          <w:b/>
          <w:sz w:val="24"/>
          <w:szCs w:val="24"/>
        </w:rPr>
      </w:pPr>
      <w:r w:rsidRPr="00FE7C99">
        <w:rPr>
          <w:rFonts w:ascii="Arial" w:hAnsi="Arial" w:cs="Arial"/>
          <w:b/>
          <w:sz w:val="24"/>
          <w:szCs w:val="24"/>
        </w:rPr>
        <w:t>The Order unlawfully and unreas</w:t>
      </w:r>
      <w:r w:rsidR="00BF5BE4" w:rsidRPr="00FE7C99">
        <w:rPr>
          <w:rFonts w:ascii="Arial" w:hAnsi="Arial" w:cs="Arial"/>
          <w:b/>
          <w:sz w:val="24"/>
          <w:szCs w:val="24"/>
        </w:rPr>
        <w:t>onably rejected IGS propos</w:t>
      </w:r>
      <w:r w:rsidR="00DB50CF">
        <w:rPr>
          <w:rFonts w:ascii="Arial" w:hAnsi="Arial" w:cs="Arial"/>
          <w:b/>
          <w:sz w:val="24"/>
          <w:szCs w:val="24"/>
        </w:rPr>
        <w:t xml:space="preserve">al that would remedy Duke’s unlawful collection of competitive </w:t>
      </w:r>
      <w:r w:rsidR="00083E74">
        <w:rPr>
          <w:rFonts w:ascii="Arial" w:hAnsi="Arial" w:cs="Arial"/>
          <w:b/>
          <w:sz w:val="24"/>
          <w:szCs w:val="24"/>
        </w:rPr>
        <w:t xml:space="preserve">retail </w:t>
      </w:r>
      <w:r w:rsidR="00DB50CF">
        <w:rPr>
          <w:rFonts w:ascii="Arial" w:hAnsi="Arial" w:cs="Arial"/>
          <w:b/>
          <w:sz w:val="24"/>
          <w:szCs w:val="24"/>
        </w:rPr>
        <w:t>electric service costs through</w:t>
      </w:r>
      <w:r w:rsidR="00083E74">
        <w:rPr>
          <w:rFonts w:ascii="Arial" w:hAnsi="Arial" w:cs="Arial"/>
          <w:b/>
          <w:sz w:val="24"/>
          <w:szCs w:val="24"/>
        </w:rPr>
        <w:t xml:space="preserve"> non</w:t>
      </w:r>
      <w:r w:rsidR="00BE289F">
        <w:rPr>
          <w:rFonts w:ascii="Arial" w:hAnsi="Arial" w:cs="Arial"/>
          <w:b/>
          <w:sz w:val="24"/>
          <w:szCs w:val="24"/>
        </w:rPr>
        <w:t>-com</w:t>
      </w:r>
      <w:r w:rsidR="00083E74">
        <w:rPr>
          <w:rFonts w:ascii="Arial" w:hAnsi="Arial" w:cs="Arial"/>
          <w:b/>
          <w:sz w:val="24"/>
          <w:szCs w:val="24"/>
        </w:rPr>
        <w:t xml:space="preserve">petitive service </w:t>
      </w:r>
      <w:r w:rsidR="00DB50CF">
        <w:rPr>
          <w:rFonts w:ascii="Arial" w:hAnsi="Arial" w:cs="Arial"/>
          <w:b/>
          <w:sz w:val="24"/>
          <w:szCs w:val="24"/>
        </w:rPr>
        <w:t>rates.</w:t>
      </w:r>
    </w:p>
    <w:p w14:paraId="59AB097A" w14:textId="77777777" w:rsidR="00157A5C" w:rsidRPr="00FE7C99" w:rsidRDefault="00157A5C" w:rsidP="00157A5C">
      <w:pPr>
        <w:pStyle w:val="ListParagraph"/>
        <w:autoSpaceDE w:val="0"/>
        <w:autoSpaceDN w:val="0"/>
        <w:adjustRightInd w:val="0"/>
        <w:spacing w:after="120" w:line="240" w:lineRule="auto"/>
        <w:ind w:left="1454"/>
        <w:jc w:val="both"/>
        <w:rPr>
          <w:rFonts w:ascii="Arial" w:hAnsi="Arial" w:cs="Arial"/>
          <w:b/>
          <w:sz w:val="24"/>
          <w:szCs w:val="24"/>
        </w:rPr>
      </w:pPr>
    </w:p>
    <w:p w14:paraId="7254DAE0" w14:textId="69067A01" w:rsidR="007271D9" w:rsidRPr="005E558F" w:rsidRDefault="007271D9" w:rsidP="005E558F">
      <w:pPr>
        <w:autoSpaceDE w:val="0"/>
        <w:autoSpaceDN w:val="0"/>
        <w:adjustRightInd w:val="0"/>
        <w:spacing w:after="120" w:line="480" w:lineRule="auto"/>
        <w:ind w:firstLine="720"/>
        <w:jc w:val="both"/>
        <w:rPr>
          <w:rFonts w:ascii="Arial" w:hAnsi="Arial" w:cs="Arial"/>
          <w:sz w:val="24"/>
          <w:szCs w:val="24"/>
        </w:rPr>
      </w:pPr>
      <w:r w:rsidRPr="00FE7C99">
        <w:rPr>
          <w:rFonts w:ascii="Arial" w:hAnsi="Arial" w:cs="Arial"/>
          <w:sz w:val="24"/>
          <w:szCs w:val="24"/>
        </w:rPr>
        <w:lastRenderedPageBreak/>
        <w:t>In conjunction with its rejection of IGS’ proposal to unbundle from distribution rates costs related to the SSO, the Order rejected IGS proposal to establish a non-bypassable credit and bypassable charge to reallocate to the SSO costs associated wit</w:t>
      </w:r>
      <w:r w:rsidR="00BF5BE4" w:rsidRPr="00FE7C99">
        <w:rPr>
          <w:rFonts w:ascii="Arial" w:hAnsi="Arial" w:cs="Arial"/>
          <w:sz w:val="24"/>
          <w:szCs w:val="24"/>
        </w:rPr>
        <w:t>h the provision of that service.</w:t>
      </w:r>
      <w:r w:rsidR="009E7779" w:rsidRPr="00FE7C99">
        <w:rPr>
          <w:rFonts w:ascii="Arial" w:hAnsi="Arial" w:cs="Arial"/>
          <w:sz w:val="24"/>
          <w:szCs w:val="24"/>
        </w:rPr>
        <w:t xml:space="preserve">  Given that the Order unlawfully and unreasonably determined that Duke may recover</w:t>
      </w:r>
      <w:r w:rsidR="00DB50CF">
        <w:rPr>
          <w:rFonts w:ascii="Arial" w:hAnsi="Arial" w:cs="Arial"/>
          <w:sz w:val="24"/>
          <w:szCs w:val="24"/>
        </w:rPr>
        <w:t xml:space="preserve"> competitive </w:t>
      </w:r>
      <w:r w:rsidR="00083E74">
        <w:rPr>
          <w:rFonts w:ascii="Arial" w:hAnsi="Arial" w:cs="Arial"/>
          <w:sz w:val="24"/>
          <w:szCs w:val="24"/>
        </w:rPr>
        <w:t xml:space="preserve">retail </w:t>
      </w:r>
      <w:r w:rsidR="00DB50CF">
        <w:rPr>
          <w:rFonts w:ascii="Arial" w:hAnsi="Arial" w:cs="Arial"/>
          <w:sz w:val="24"/>
          <w:szCs w:val="24"/>
        </w:rPr>
        <w:t>electric service costs through nonbypassable rates, i</w:t>
      </w:r>
      <w:r w:rsidR="00BF5BE4" w:rsidRPr="00FE7C99">
        <w:rPr>
          <w:rFonts w:ascii="Arial" w:hAnsi="Arial" w:cs="Arial"/>
          <w:sz w:val="24"/>
          <w:szCs w:val="24"/>
        </w:rPr>
        <w:t xml:space="preserve">n eliminating IGS’ proposed credit and charge rider, the Order permits Duke to </w:t>
      </w:r>
      <w:r w:rsidR="00DB50CF">
        <w:rPr>
          <w:rFonts w:ascii="Arial" w:hAnsi="Arial" w:cs="Arial"/>
          <w:sz w:val="24"/>
          <w:szCs w:val="24"/>
        </w:rPr>
        <w:t xml:space="preserve">further </w:t>
      </w:r>
      <w:r w:rsidR="00BF5BE4" w:rsidRPr="00FE7C99">
        <w:rPr>
          <w:rFonts w:ascii="Arial" w:hAnsi="Arial" w:cs="Arial"/>
          <w:sz w:val="24"/>
          <w:szCs w:val="24"/>
        </w:rPr>
        <w:t xml:space="preserve">violate Ohio law.  </w:t>
      </w:r>
      <w:r w:rsidR="00DB50CF">
        <w:rPr>
          <w:rFonts w:ascii="Arial" w:hAnsi="Arial" w:cs="Arial"/>
          <w:sz w:val="24"/>
          <w:szCs w:val="24"/>
        </w:rPr>
        <w:t xml:space="preserve">IGS’ proposal would cure the Commission’s error. </w:t>
      </w:r>
      <w:r w:rsidR="00BF5BE4" w:rsidRPr="00FE7C99">
        <w:rPr>
          <w:rFonts w:ascii="Arial" w:hAnsi="Arial" w:cs="Arial"/>
          <w:sz w:val="24"/>
          <w:szCs w:val="24"/>
        </w:rPr>
        <w:t>A</w:t>
      </w:r>
      <w:r w:rsidR="009E7779" w:rsidRPr="00FE7C99">
        <w:rPr>
          <w:rFonts w:ascii="Arial" w:hAnsi="Arial" w:cs="Arial"/>
          <w:sz w:val="24"/>
          <w:szCs w:val="24"/>
        </w:rPr>
        <w:t xml:space="preserve">s discussed above, </w:t>
      </w:r>
      <w:r w:rsidR="00BF5BE4" w:rsidRPr="00FE7C99">
        <w:rPr>
          <w:rFonts w:ascii="Arial" w:hAnsi="Arial" w:cs="Arial"/>
          <w:sz w:val="24"/>
          <w:szCs w:val="24"/>
        </w:rPr>
        <w:t>t</w:t>
      </w:r>
      <w:r w:rsidRPr="00FE7C99">
        <w:rPr>
          <w:rFonts w:ascii="Arial" w:hAnsi="Arial" w:cs="Arial"/>
          <w:sz w:val="24"/>
          <w:szCs w:val="24"/>
        </w:rPr>
        <w:t>he Order is unlawful and unreasonable and should be modifie</w:t>
      </w:r>
      <w:r w:rsidR="00BF5BE4" w:rsidRPr="00FE7C99">
        <w:rPr>
          <w:rFonts w:ascii="Arial" w:hAnsi="Arial" w:cs="Arial"/>
          <w:sz w:val="24"/>
          <w:szCs w:val="24"/>
        </w:rPr>
        <w:t>d on rehearing to eliminate Duke</w:t>
      </w:r>
      <w:r w:rsidRPr="00FE7C99">
        <w:rPr>
          <w:rFonts w:ascii="Arial" w:hAnsi="Arial" w:cs="Arial"/>
          <w:sz w:val="24"/>
          <w:szCs w:val="24"/>
        </w:rPr>
        <w:t xml:space="preserve">’s recovery of SSO costs through distribution rates.  While the Order should eliminate such unlawful distribution-based cost recovery, IGS does not object to the Commission permitting DP&amp;L to collect such </w:t>
      </w:r>
      <w:r w:rsidR="00C27FDD" w:rsidRPr="00FE7C99">
        <w:rPr>
          <w:rFonts w:ascii="Arial" w:hAnsi="Arial" w:cs="Arial"/>
          <w:sz w:val="24"/>
          <w:szCs w:val="24"/>
        </w:rPr>
        <w:t>costs through a bypassable rate as recommended by witness Hess.</w:t>
      </w:r>
    </w:p>
    <w:p w14:paraId="34F7562C" w14:textId="6E8E3E63" w:rsidR="00D54732" w:rsidRPr="00FE7C99" w:rsidRDefault="00B631B3" w:rsidP="007271D9">
      <w:pPr>
        <w:pStyle w:val="ListParagraph"/>
        <w:numPr>
          <w:ilvl w:val="0"/>
          <w:numId w:val="13"/>
        </w:numPr>
        <w:jc w:val="both"/>
        <w:rPr>
          <w:rFonts w:ascii="Arial" w:hAnsi="Arial" w:cs="Arial"/>
          <w:b/>
          <w:sz w:val="24"/>
          <w:szCs w:val="24"/>
        </w:rPr>
      </w:pPr>
      <w:r w:rsidRPr="00FE7C99">
        <w:rPr>
          <w:rFonts w:ascii="Arial" w:hAnsi="Arial" w:cs="Arial"/>
          <w:b/>
          <w:sz w:val="24"/>
          <w:szCs w:val="24"/>
        </w:rPr>
        <w:t xml:space="preserve">The Order is unlawful and unreasonable because it violated R.C. 4903.09 by failing to state findings of fact and reasons prompting the Commission’s decisions. </w:t>
      </w:r>
      <w:r w:rsidRPr="00FE7C99">
        <w:rPr>
          <w:rFonts w:ascii="Arial" w:hAnsi="Arial" w:cs="Arial"/>
          <w:b/>
          <w:i/>
          <w:sz w:val="24"/>
          <w:szCs w:val="24"/>
        </w:rPr>
        <w:t>In re Application of Columbus Southern Power Company</w:t>
      </w:r>
      <w:r w:rsidRPr="00FE7C99">
        <w:rPr>
          <w:rFonts w:ascii="Arial" w:hAnsi="Arial" w:cs="Arial"/>
          <w:b/>
          <w:sz w:val="24"/>
          <w:szCs w:val="24"/>
        </w:rPr>
        <w:t>, 128 Ohio St. 3d 512,519, 526-27 (2011).  The Order failed to appropriately consider or address IGS’ argument</w:t>
      </w:r>
      <w:r w:rsidR="00983DDD" w:rsidRPr="00FE7C99">
        <w:rPr>
          <w:rFonts w:ascii="Arial" w:hAnsi="Arial" w:cs="Arial"/>
          <w:b/>
          <w:sz w:val="24"/>
          <w:szCs w:val="24"/>
        </w:rPr>
        <w:t>s</w:t>
      </w:r>
      <w:r w:rsidRPr="00FE7C99">
        <w:rPr>
          <w:rFonts w:ascii="Arial" w:hAnsi="Arial" w:cs="Arial"/>
          <w:b/>
          <w:sz w:val="24"/>
          <w:szCs w:val="24"/>
        </w:rPr>
        <w:t xml:space="preserve"> that</w:t>
      </w:r>
      <w:r w:rsidR="00983DDD" w:rsidRPr="00FE7C99">
        <w:rPr>
          <w:rFonts w:ascii="Arial" w:hAnsi="Arial" w:cs="Arial"/>
          <w:b/>
          <w:sz w:val="24"/>
          <w:szCs w:val="24"/>
        </w:rPr>
        <w:t xml:space="preserve"> the</w:t>
      </w:r>
      <w:r w:rsidRPr="00FE7C99">
        <w:rPr>
          <w:rFonts w:ascii="Arial" w:hAnsi="Arial" w:cs="Arial"/>
          <w:b/>
          <w:sz w:val="24"/>
          <w:szCs w:val="24"/>
        </w:rPr>
        <w:t xml:space="preserve"> Stipulation recommended that the Commission: (1) unlawfully and unreasonably apply Chapter 4909 to authorize recovery of competitive retail electric service costs through non-competitive service</w:t>
      </w:r>
      <w:r w:rsidR="00405575" w:rsidRPr="00FE7C99">
        <w:rPr>
          <w:rFonts w:ascii="Arial" w:hAnsi="Arial" w:cs="Arial"/>
          <w:b/>
          <w:sz w:val="24"/>
          <w:szCs w:val="24"/>
        </w:rPr>
        <w:t xml:space="preserve"> rate structures; </w:t>
      </w:r>
      <w:r w:rsidRPr="00FE7C99">
        <w:rPr>
          <w:rFonts w:ascii="Arial" w:hAnsi="Arial" w:cs="Arial"/>
          <w:b/>
          <w:sz w:val="24"/>
          <w:szCs w:val="24"/>
        </w:rPr>
        <w:t>(2) unlawfully and unreaso</w:t>
      </w:r>
      <w:r w:rsidR="00C27FDD" w:rsidRPr="00FE7C99">
        <w:rPr>
          <w:rFonts w:ascii="Arial" w:hAnsi="Arial" w:cs="Arial"/>
          <w:b/>
          <w:sz w:val="24"/>
          <w:szCs w:val="24"/>
        </w:rPr>
        <w:t>nably provided a subsidy to Duke</w:t>
      </w:r>
      <w:r w:rsidRPr="00FE7C99">
        <w:rPr>
          <w:rFonts w:ascii="Arial" w:hAnsi="Arial" w:cs="Arial"/>
          <w:b/>
          <w:sz w:val="24"/>
          <w:szCs w:val="24"/>
        </w:rPr>
        <w:t>’s competitive retail electric service rates</w:t>
      </w:r>
      <w:r w:rsidR="00DC04A6" w:rsidRPr="00FE7C99">
        <w:rPr>
          <w:rFonts w:ascii="Arial" w:hAnsi="Arial" w:cs="Arial"/>
          <w:b/>
          <w:sz w:val="24"/>
          <w:szCs w:val="24"/>
        </w:rPr>
        <w:t xml:space="preserve"> in violation of R.C. 4928.02</w:t>
      </w:r>
      <w:r w:rsidR="00583E4E" w:rsidRPr="00FE7C99">
        <w:rPr>
          <w:rFonts w:ascii="Arial" w:hAnsi="Arial" w:cs="Arial"/>
          <w:b/>
          <w:sz w:val="24"/>
          <w:szCs w:val="24"/>
        </w:rPr>
        <w:t>; and (3) the Order further failed to evaluate and address IGS’ analysis and quantification of competitive retail electric service costs proposed for recovery in distribution rates</w:t>
      </w:r>
    </w:p>
    <w:p w14:paraId="28A48676" w14:textId="7A5705DF" w:rsidR="00583E4E" w:rsidRPr="00FE7C99" w:rsidRDefault="00B631B3" w:rsidP="00B631B3">
      <w:pPr>
        <w:spacing w:after="120" w:line="480" w:lineRule="auto"/>
        <w:ind w:firstLine="720"/>
        <w:jc w:val="both"/>
        <w:rPr>
          <w:rFonts w:ascii="Arial" w:hAnsi="Arial" w:cs="Arial"/>
          <w:sz w:val="24"/>
          <w:szCs w:val="24"/>
        </w:rPr>
      </w:pPr>
      <w:r w:rsidRPr="00FE7C99">
        <w:rPr>
          <w:rFonts w:ascii="Arial" w:hAnsi="Arial" w:cs="Arial"/>
          <w:sz w:val="24"/>
          <w:szCs w:val="24"/>
        </w:rPr>
        <w:t>R.C. 4903.09 requires the Commission to address competing arguments and provide a record upon which the Supreme Court of Ohio may evaluate the Commission’s decisions.</w:t>
      </w:r>
      <w:r w:rsidR="00E22E1E" w:rsidRPr="00FE7C99">
        <w:rPr>
          <w:rFonts w:ascii="Arial" w:hAnsi="Arial" w:cs="Arial"/>
          <w:sz w:val="24"/>
          <w:szCs w:val="24"/>
        </w:rPr>
        <w:t xml:space="preserve"> </w:t>
      </w:r>
      <w:r w:rsidR="00E22E1E" w:rsidRPr="00FE7C99">
        <w:rPr>
          <w:rFonts w:ascii="Arial" w:hAnsi="Arial" w:cs="Arial"/>
          <w:i/>
          <w:sz w:val="24"/>
          <w:szCs w:val="24"/>
        </w:rPr>
        <w:t>In re Application of Columbus Southern Power Company</w:t>
      </w:r>
      <w:r w:rsidR="00E22E1E" w:rsidRPr="00FE7C99">
        <w:rPr>
          <w:rFonts w:ascii="Arial" w:hAnsi="Arial" w:cs="Arial"/>
          <w:sz w:val="24"/>
          <w:szCs w:val="24"/>
        </w:rPr>
        <w:t>, 128 Ohio St. 3d 512,519, 526-27 (2011);</w:t>
      </w:r>
      <w:r w:rsidR="00057C1B" w:rsidRPr="00FE7C99">
        <w:rPr>
          <w:rFonts w:ascii="Arial" w:hAnsi="Arial" w:cs="Arial"/>
          <w:i/>
          <w:sz w:val="24"/>
          <w:szCs w:val="24"/>
        </w:rPr>
        <w:t xml:space="preserve"> In re Comm’n</w:t>
      </w:r>
      <w:r w:rsidR="00E22E1E" w:rsidRPr="00FE7C99">
        <w:rPr>
          <w:rFonts w:ascii="Arial" w:hAnsi="Arial" w:cs="Arial"/>
          <w:i/>
          <w:sz w:val="24"/>
          <w:szCs w:val="24"/>
        </w:rPr>
        <w:t xml:space="preserve"> Rev. of Capacity Charges of Ohio Power Co.</w:t>
      </w:r>
      <w:r w:rsidR="00E22E1E" w:rsidRPr="00FE7C99">
        <w:rPr>
          <w:rFonts w:ascii="Arial" w:hAnsi="Arial" w:cs="Arial"/>
          <w:sz w:val="24"/>
          <w:szCs w:val="24"/>
        </w:rPr>
        <w:t xml:space="preserve">, 147 </w:t>
      </w:r>
      <w:r w:rsidR="00E22E1E" w:rsidRPr="00FE7C99">
        <w:rPr>
          <w:rFonts w:ascii="Arial" w:hAnsi="Arial" w:cs="Arial"/>
          <w:sz w:val="24"/>
          <w:szCs w:val="24"/>
        </w:rPr>
        <w:lastRenderedPageBreak/>
        <w:t>Ohio St. 3d 59</w:t>
      </w:r>
      <w:r w:rsidR="00057C1B" w:rsidRPr="00FE7C99">
        <w:rPr>
          <w:rFonts w:ascii="Arial" w:hAnsi="Arial" w:cs="Arial"/>
          <w:sz w:val="24"/>
          <w:szCs w:val="24"/>
        </w:rPr>
        <w:t>, 70-72</w:t>
      </w:r>
      <w:r w:rsidR="00E22E1E" w:rsidRPr="00FE7C99">
        <w:rPr>
          <w:rFonts w:ascii="Arial" w:hAnsi="Arial" w:cs="Arial"/>
          <w:sz w:val="24"/>
          <w:szCs w:val="24"/>
        </w:rPr>
        <w:t xml:space="preserve"> (2016).</w:t>
      </w:r>
      <w:r w:rsidR="00583E4E" w:rsidRPr="00FE7C99">
        <w:rPr>
          <w:rFonts w:ascii="Arial" w:hAnsi="Arial" w:cs="Arial"/>
          <w:sz w:val="24"/>
          <w:szCs w:val="24"/>
        </w:rPr>
        <w:t xml:space="preserve">  The Order failed to comply with this requirement in several respects.</w:t>
      </w:r>
    </w:p>
    <w:p w14:paraId="57CA3F67" w14:textId="4057551B" w:rsidR="00583E4E" w:rsidRPr="00FE7C99" w:rsidRDefault="00583E4E" w:rsidP="00583E4E">
      <w:pPr>
        <w:spacing w:after="120" w:line="480" w:lineRule="auto"/>
        <w:ind w:firstLine="720"/>
        <w:jc w:val="both"/>
        <w:rPr>
          <w:rFonts w:ascii="Arial" w:hAnsi="Arial" w:cs="Arial"/>
          <w:sz w:val="24"/>
          <w:szCs w:val="24"/>
        </w:rPr>
      </w:pPr>
      <w:r w:rsidRPr="00FE7C99">
        <w:rPr>
          <w:rFonts w:ascii="Arial" w:hAnsi="Arial" w:cs="Arial"/>
          <w:sz w:val="24"/>
          <w:szCs w:val="24"/>
        </w:rPr>
        <w:t>First,</w:t>
      </w:r>
      <w:r w:rsidR="00B631B3" w:rsidRPr="00FE7C99">
        <w:rPr>
          <w:rFonts w:ascii="Arial" w:hAnsi="Arial" w:cs="Arial"/>
          <w:sz w:val="24"/>
          <w:szCs w:val="24"/>
        </w:rPr>
        <w:t xml:space="preserve"> IGS challenged the legality of applying the Commission’s Chap</w:t>
      </w:r>
      <w:r w:rsidR="00305A7A" w:rsidRPr="00FE7C99">
        <w:rPr>
          <w:rFonts w:ascii="Arial" w:hAnsi="Arial" w:cs="Arial"/>
          <w:sz w:val="24"/>
          <w:szCs w:val="24"/>
        </w:rPr>
        <w:t>ter 4909  authority to provide</w:t>
      </w:r>
      <w:r w:rsidR="00B631B3" w:rsidRPr="00FE7C99">
        <w:rPr>
          <w:rFonts w:ascii="Arial" w:hAnsi="Arial" w:cs="Arial"/>
          <w:sz w:val="24"/>
          <w:szCs w:val="24"/>
        </w:rPr>
        <w:t xml:space="preserve"> recovery for competitive retail electric service costs through </w:t>
      </w:r>
      <w:r w:rsidR="00305A7A" w:rsidRPr="00FE7C99">
        <w:rPr>
          <w:rFonts w:ascii="Arial" w:hAnsi="Arial" w:cs="Arial"/>
          <w:sz w:val="24"/>
          <w:szCs w:val="24"/>
        </w:rPr>
        <w:t>non-competitive service</w:t>
      </w:r>
      <w:r w:rsidR="00B631B3" w:rsidRPr="00FE7C99">
        <w:rPr>
          <w:rFonts w:ascii="Arial" w:hAnsi="Arial" w:cs="Arial"/>
          <w:sz w:val="24"/>
          <w:szCs w:val="24"/>
        </w:rPr>
        <w:t xml:space="preserve"> rates.</w:t>
      </w:r>
      <w:r w:rsidR="00305A7A" w:rsidRPr="00FE7C99">
        <w:rPr>
          <w:rStyle w:val="FootnoteReference"/>
          <w:rFonts w:ascii="Arial" w:hAnsi="Arial" w:cs="Arial"/>
          <w:sz w:val="24"/>
          <w:szCs w:val="24"/>
        </w:rPr>
        <w:footnoteReference w:id="59"/>
      </w:r>
      <w:r w:rsidRPr="00FE7C99">
        <w:rPr>
          <w:rFonts w:ascii="Arial" w:hAnsi="Arial" w:cs="Arial"/>
          <w:sz w:val="24"/>
          <w:szCs w:val="24"/>
        </w:rPr>
        <w:t xml:space="preserve">  As discussed previously, IGS argued that R.C. 4928.05(A)(1) prohibits the Commission </w:t>
      </w:r>
      <w:r w:rsidR="00305A7A" w:rsidRPr="00FE7C99">
        <w:rPr>
          <w:rFonts w:ascii="Arial" w:hAnsi="Arial" w:cs="Arial"/>
          <w:sz w:val="24"/>
          <w:szCs w:val="24"/>
        </w:rPr>
        <w:t xml:space="preserve">from </w:t>
      </w:r>
      <w:r w:rsidRPr="00FE7C99">
        <w:rPr>
          <w:rFonts w:ascii="Arial" w:hAnsi="Arial" w:cs="Arial"/>
          <w:sz w:val="24"/>
          <w:szCs w:val="24"/>
        </w:rPr>
        <w:t>applying</w:t>
      </w:r>
      <w:r w:rsidR="00057C1B" w:rsidRPr="00FE7C99">
        <w:rPr>
          <w:rFonts w:ascii="Arial" w:hAnsi="Arial" w:cs="Arial"/>
          <w:sz w:val="24"/>
          <w:szCs w:val="24"/>
        </w:rPr>
        <w:t xml:space="preserve"> its traditional ratemaking authority under</w:t>
      </w:r>
      <w:r w:rsidRPr="00FE7C99">
        <w:rPr>
          <w:rFonts w:ascii="Arial" w:hAnsi="Arial" w:cs="Arial"/>
          <w:sz w:val="24"/>
          <w:szCs w:val="24"/>
        </w:rPr>
        <w:t xml:space="preserve"> Chapter 4909 in this nature.  The Order failed to substantively address IGS’ argument.</w:t>
      </w:r>
      <w:r w:rsidR="00CE7769">
        <w:rPr>
          <w:rStyle w:val="FootnoteReference"/>
          <w:rFonts w:ascii="Arial" w:hAnsi="Arial" w:cs="Arial"/>
          <w:sz w:val="24"/>
          <w:szCs w:val="24"/>
        </w:rPr>
        <w:footnoteReference w:id="60"/>
      </w:r>
    </w:p>
    <w:p w14:paraId="1AAF5311" w14:textId="73251949" w:rsidR="00B631B3" w:rsidRPr="00FE7C99" w:rsidRDefault="00583E4E" w:rsidP="00583E4E">
      <w:pPr>
        <w:spacing w:after="120" w:line="480" w:lineRule="auto"/>
        <w:ind w:firstLine="720"/>
        <w:jc w:val="both"/>
        <w:rPr>
          <w:rFonts w:ascii="Arial" w:hAnsi="Arial" w:cs="Arial"/>
          <w:sz w:val="24"/>
          <w:szCs w:val="24"/>
        </w:rPr>
      </w:pPr>
      <w:r w:rsidRPr="00FE7C99">
        <w:rPr>
          <w:rFonts w:ascii="Arial" w:hAnsi="Arial" w:cs="Arial"/>
          <w:sz w:val="24"/>
          <w:szCs w:val="24"/>
        </w:rPr>
        <w:t>Second, IGS argued that recovering SSO-related costs through non-competitive services rate structures</w:t>
      </w:r>
      <w:r w:rsidR="00B631B3" w:rsidRPr="00FE7C99">
        <w:rPr>
          <w:rFonts w:ascii="Arial" w:hAnsi="Arial" w:cs="Arial"/>
          <w:sz w:val="24"/>
          <w:szCs w:val="24"/>
        </w:rPr>
        <w:t xml:space="preserve"> would run afoul of State Policy and precedent set forth in </w:t>
      </w:r>
      <w:r w:rsidR="00B631B3" w:rsidRPr="00FE7C99">
        <w:rPr>
          <w:rFonts w:ascii="Arial" w:hAnsi="Arial" w:cs="Arial"/>
          <w:i/>
          <w:sz w:val="24"/>
          <w:szCs w:val="24"/>
        </w:rPr>
        <w:t>Elyria Foundry</w:t>
      </w:r>
      <w:r w:rsidR="00057C1B" w:rsidRPr="00FE7C99">
        <w:rPr>
          <w:rFonts w:ascii="Arial" w:hAnsi="Arial" w:cs="Arial"/>
          <w:i/>
          <w:sz w:val="24"/>
          <w:szCs w:val="24"/>
        </w:rPr>
        <w:t xml:space="preserve"> Co.</w:t>
      </w:r>
      <w:r w:rsidR="00057C1B" w:rsidRPr="00FE7C99">
        <w:rPr>
          <w:rFonts w:ascii="Arial" w:hAnsi="Arial" w:cs="Arial"/>
          <w:sz w:val="24"/>
          <w:szCs w:val="24"/>
        </w:rPr>
        <w:t>,</w:t>
      </w:r>
      <w:r w:rsidR="00057C1B" w:rsidRPr="00FE7C99">
        <w:rPr>
          <w:rFonts w:ascii="Arial" w:hAnsi="Arial" w:cs="Arial"/>
          <w:i/>
          <w:sz w:val="24"/>
          <w:szCs w:val="24"/>
        </w:rPr>
        <w:t xml:space="preserve"> </w:t>
      </w:r>
      <w:r w:rsidR="00057C1B" w:rsidRPr="00FE7C99">
        <w:rPr>
          <w:rFonts w:ascii="Arial" w:hAnsi="Arial" w:cs="Arial"/>
          <w:sz w:val="24"/>
          <w:szCs w:val="24"/>
        </w:rPr>
        <w:t>14 Ohio St.3d 305 (2007)</w:t>
      </w:r>
      <w:r w:rsidR="00B631B3" w:rsidRPr="00FE7C99">
        <w:rPr>
          <w:rFonts w:ascii="Arial" w:hAnsi="Arial" w:cs="Arial"/>
          <w:sz w:val="24"/>
          <w:szCs w:val="24"/>
        </w:rPr>
        <w:t>.</w:t>
      </w:r>
      <w:r w:rsidR="00305A7A" w:rsidRPr="00FE7C99">
        <w:rPr>
          <w:rStyle w:val="FootnoteReference"/>
          <w:rFonts w:ascii="Arial" w:hAnsi="Arial" w:cs="Arial"/>
          <w:sz w:val="24"/>
          <w:szCs w:val="24"/>
        </w:rPr>
        <w:footnoteReference w:id="61"/>
      </w:r>
      <w:r w:rsidR="00B631B3" w:rsidRPr="00FE7C99">
        <w:rPr>
          <w:rFonts w:ascii="Arial" w:hAnsi="Arial" w:cs="Arial"/>
          <w:sz w:val="24"/>
          <w:szCs w:val="24"/>
        </w:rPr>
        <w:t xml:space="preserve">  The Order failed t</w:t>
      </w:r>
      <w:r w:rsidR="00057C1B" w:rsidRPr="00FE7C99">
        <w:rPr>
          <w:rFonts w:ascii="Arial" w:hAnsi="Arial" w:cs="Arial"/>
          <w:sz w:val="24"/>
          <w:szCs w:val="24"/>
        </w:rPr>
        <w:t>o address IGS’</w:t>
      </w:r>
      <w:r w:rsidR="00F04461" w:rsidRPr="00FE7C99">
        <w:rPr>
          <w:rFonts w:ascii="Arial" w:hAnsi="Arial" w:cs="Arial"/>
          <w:sz w:val="24"/>
          <w:szCs w:val="24"/>
        </w:rPr>
        <w:t xml:space="preserve"> argument.</w:t>
      </w:r>
      <w:r w:rsidR="00CE7769">
        <w:rPr>
          <w:rStyle w:val="FootnoteReference"/>
          <w:rFonts w:ascii="Arial" w:hAnsi="Arial" w:cs="Arial"/>
          <w:sz w:val="24"/>
          <w:szCs w:val="24"/>
        </w:rPr>
        <w:footnoteReference w:id="62"/>
      </w:r>
    </w:p>
    <w:p w14:paraId="67D70DC7" w14:textId="4B9F22D4" w:rsidR="00F04461" w:rsidRPr="00FE7C99" w:rsidRDefault="00305A7A" w:rsidP="00E22E1E">
      <w:pPr>
        <w:spacing w:after="120" w:line="480" w:lineRule="auto"/>
        <w:ind w:firstLine="720"/>
        <w:jc w:val="both"/>
        <w:rPr>
          <w:rFonts w:ascii="Arial" w:hAnsi="Arial" w:cs="Arial"/>
          <w:sz w:val="24"/>
          <w:szCs w:val="24"/>
        </w:rPr>
      </w:pPr>
      <w:r w:rsidRPr="00FE7C99">
        <w:rPr>
          <w:rFonts w:ascii="Arial" w:hAnsi="Arial" w:cs="Arial"/>
          <w:sz w:val="24"/>
          <w:szCs w:val="24"/>
        </w:rPr>
        <w:t>Finally, IGS’ testimony and briefs</w:t>
      </w:r>
      <w:r w:rsidR="00F04461" w:rsidRPr="00FE7C99">
        <w:rPr>
          <w:rFonts w:ascii="Arial" w:hAnsi="Arial" w:cs="Arial"/>
          <w:sz w:val="24"/>
          <w:szCs w:val="24"/>
        </w:rPr>
        <w:t xml:space="preserve"> presented a comprehensive thoughtful analysis and quantification of SSO-related costs unlawfully proposed for recovery through distribution rates.</w:t>
      </w:r>
      <w:r w:rsidRPr="00FE7C99">
        <w:rPr>
          <w:rStyle w:val="FootnoteReference"/>
          <w:rFonts w:ascii="Arial" w:hAnsi="Arial" w:cs="Arial"/>
          <w:sz w:val="24"/>
          <w:szCs w:val="24"/>
        </w:rPr>
        <w:footnoteReference w:id="63"/>
      </w:r>
      <w:r w:rsidR="00F04461" w:rsidRPr="00FE7C99">
        <w:rPr>
          <w:rFonts w:ascii="Arial" w:hAnsi="Arial" w:cs="Arial"/>
          <w:sz w:val="24"/>
          <w:szCs w:val="24"/>
        </w:rPr>
        <w:t xml:space="preserve">  Specif</w:t>
      </w:r>
      <w:r w:rsidR="00E22E1E" w:rsidRPr="00FE7C99">
        <w:rPr>
          <w:rFonts w:ascii="Arial" w:hAnsi="Arial" w:cs="Arial"/>
          <w:sz w:val="24"/>
          <w:szCs w:val="24"/>
        </w:rPr>
        <w:t>ically, IGS iden</w:t>
      </w:r>
      <w:r w:rsidR="00D14FE7" w:rsidRPr="00FE7C99">
        <w:rPr>
          <w:rFonts w:ascii="Arial" w:hAnsi="Arial" w:cs="Arial"/>
          <w:sz w:val="24"/>
          <w:szCs w:val="24"/>
        </w:rPr>
        <w:t>tified these costs to exceed $23</w:t>
      </w:r>
      <w:r w:rsidR="00E22E1E" w:rsidRPr="00FE7C99">
        <w:rPr>
          <w:rFonts w:ascii="Arial" w:hAnsi="Arial" w:cs="Arial"/>
          <w:sz w:val="24"/>
          <w:szCs w:val="24"/>
        </w:rPr>
        <w:t xml:space="preserve"> million.</w:t>
      </w:r>
      <w:r w:rsidRPr="00FE7C99">
        <w:rPr>
          <w:rStyle w:val="FootnoteReference"/>
          <w:rFonts w:ascii="Arial" w:hAnsi="Arial" w:cs="Arial"/>
          <w:sz w:val="24"/>
          <w:szCs w:val="24"/>
        </w:rPr>
        <w:footnoteReference w:id="64"/>
      </w:r>
      <w:r w:rsidR="00E22E1E" w:rsidRPr="00FE7C99">
        <w:rPr>
          <w:rFonts w:ascii="Arial" w:hAnsi="Arial" w:cs="Arial"/>
          <w:sz w:val="24"/>
          <w:szCs w:val="24"/>
        </w:rPr>
        <w:t xml:space="preserve">  The Order rejected IGS’ proposed allocation of costs without substantively address</w:t>
      </w:r>
      <w:r w:rsidRPr="00FE7C99">
        <w:rPr>
          <w:rFonts w:ascii="Arial" w:hAnsi="Arial" w:cs="Arial"/>
          <w:sz w:val="24"/>
          <w:szCs w:val="24"/>
        </w:rPr>
        <w:t>ing</w:t>
      </w:r>
      <w:r w:rsidR="00E22E1E" w:rsidRPr="00FE7C99">
        <w:rPr>
          <w:rFonts w:ascii="Arial" w:hAnsi="Arial" w:cs="Arial"/>
          <w:sz w:val="24"/>
          <w:szCs w:val="24"/>
        </w:rPr>
        <w:t xml:space="preserve"> IGS’ position.</w:t>
      </w:r>
      <w:r w:rsidR="00CE7769">
        <w:rPr>
          <w:rStyle w:val="FootnoteReference"/>
          <w:rFonts w:ascii="Arial" w:hAnsi="Arial" w:cs="Arial"/>
          <w:sz w:val="24"/>
          <w:szCs w:val="24"/>
        </w:rPr>
        <w:footnoteReference w:id="65"/>
      </w:r>
    </w:p>
    <w:p w14:paraId="3BAFE2AF" w14:textId="5A42871E" w:rsidR="003A0C90" w:rsidRPr="00FE7C99" w:rsidRDefault="00E22E1E" w:rsidP="00DC04A6">
      <w:pPr>
        <w:spacing w:after="120" w:line="480" w:lineRule="auto"/>
        <w:ind w:firstLine="720"/>
        <w:jc w:val="both"/>
        <w:rPr>
          <w:rFonts w:ascii="Arial" w:hAnsi="Arial" w:cs="Arial"/>
          <w:sz w:val="24"/>
          <w:szCs w:val="24"/>
        </w:rPr>
      </w:pPr>
      <w:r w:rsidRPr="00FE7C99">
        <w:rPr>
          <w:rFonts w:ascii="Arial" w:hAnsi="Arial" w:cs="Arial"/>
          <w:sz w:val="24"/>
          <w:szCs w:val="24"/>
        </w:rPr>
        <w:lastRenderedPageBreak/>
        <w:t>Accordingly, o</w:t>
      </w:r>
      <w:r w:rsidR="00B631B3" w:rsidRPr="00FE7C99">
        <w:rPr>
          <w:rFonts w:ascii="Arial" w:hAnsi="Arial" w:cs="Arial"/>
          <w:sz w:val="24"/>
          <w:szCs w:val="24"/>
        </w:rPr>
        <w:t>n rehearing, the Commission should fully address IGS’ arguments and render conclusions of law based upon the record.</w:t>
      </w:r>
    </w:p>
    <w:p w14:paraId="7AFA7C6C" w14:textId="59E74D32" w:rsidR="009665E9" w:rsidRPr="00FE7C99" w:rsidRDefault="009665E9" w:rsidP="007271D9">
      <w:pPr>
        <w:pStyle w:val="ListParagraph"/>
        <w:numPr>
          <w:ilvl w:val="0"/>
          <w:numId w:val="13"/>
        </w:numPr>
        <w:spacing w:after="0"/>
        <w:jc w:val="both"/>
        <w:rPr>
          <w:rFonts w:ascii="Arial" w:hAnsi="Arial" w:cs="Arial"/>
          <w:b/>
          <w:sz w:val="24"/>
          <w:szCs w:val="24"/>
        </w:rPr>
      </w:pPr>
      <w:r w:rsidRPr="00FE7C99">
        <w:rPr>
          <w:rFonts w:ascii="Arial" w:hAnsi="Arial" w:cs="Arial"/>
          <w:b/>
          <w:sz w:val="24"/>
          <w:szCs w:val="24"/>
        </w:rPr>
        <w:t>The Order is unlawful and unreasonable inasmuch as it concluded the e</w:t>
      </w:r>
      <w:r w:rsidR="00C27FDD" w:rsidRPr="00FE7C99">
        <w:rPr>
          <w:rFonts w:ascii="Arial" w:hAnsi="Arial" w:cs="Arial"/>
          <w:b/>
          <w:sz w:val="24"/>
          <w:szCs w:val="24"/>
        </w:rPr>
        <w:t>xistence of costs related to Duke</w:t>
      </w:r>
      <w:r w:rsidRPr="00FE7C99">
        <w:rPr>
          <w:rFonts w:ascii="Arial" w:hAnsi="Arial" w:cs="Arial"/>
          <w:b/>
          <w:sz w:val="24"/>
          <w:szCs w:val="24"/>
        </w:rPr>
        <w:t xml:space="preserve">’s facilitation of the choice </w:t>
      </w:r>
      <w:r w:rsidR="00305A7A" w:rsidRPr="00FE7C99">
        <w:rPr>
          <w:rFonts w:ascii="Arial" w:hAnsi="Arial" w:cs="Arial"/>
          <w:b/>
          <w:sz w:val="24"/>
          <w:szCs w:val="24"/>
        </w:rPr>
        <w:t>market may justify subsidizing SSO service.  The Order’s reasoning</w:t>
      </w:r>
      <w:r w:rsidR="00A14FBC" w:rsidRPr="00FE7C99">
        <w:rPr>
          <w:rFonts w:ascii="Arial" w:hAnsi="Arial" w:cs="Arial"/>
          <w:b/>
          <w:sz w:val="24"/>
          <w:szCs w:val="24"/>
        </w:rPr>
        <w:t xml:space="preserve"> </w:t>
      </w:r>
      <w:r w:rsidRPr="00FE7C99">
        <w:rPr>
          <w:rFonts w:ascii="Arial" w:hAnsi="Arial" w:cs="Arial"/>
          <w:b/>
          <w:sz w:val="24"/>
          <w:szCs w:val="24"/>
        </w:rPr>
        <w:t>circumvent</w:t>
      </w:r>
      <w:r w:rsidR="00305A7A" w:rsidRPr="00FE7C99">
        <w:rPr>
          <w:rFonts w:ascii="Arial" w:hAnsi="Arial" w:cs="Arial"/>
          <w:b/>
          <w:sz w:val="24"/>
          <w:szCs w:val="24"/>
        </w:rPr>
        <w:t>s</w:t>
      </w:r>
      <w:r w:rsidRPr="00FE7C99">
        <w:rPr>
          <w:rFonts w:ascii="Arial" w:hAnsi="Arial" w:cs="Arial"/>
          <w:b/>
          <w:sz w:val="24"/>
          <w:szCs w:val="24"/>
        </w:rPr>
        <w:t xml:space="preserve"> the statutory limitation against regulation of competitive retail electric services under Chapter 4909. </w:t>
      </w:r>
      <w:r w:rsidR="00A14FBC" w:rsidRPr="00FE7C99">
        <w:rPr>
          <w:rFonts w:ascii="Arial" w:hAnsi="Arial" w:cs="Arial"/>
          <w:b/>
          <w:sz w:val="24"/>
          <w:szCs w:val="24"/>
        </w:rPr>
        <w:t>The Order is also arbitrary</w:t>
      </w:r>
      <w:r w:rsidR="004C2BF5" w:rsidRPr="00FE7C99">
        <w:rPr>
          <w:rFonts w:ascii="Arial" w:hAnsi="Arial" w:cs="Arial"/>
          <w:b/>
          <w:sz w:val="24"/>
          <w:szCs w:val="24"/>
        </w:rPr>
        <w:t>,</w:t>
      </w:r>
      <w:r w:rsidR="00A14FBC" w:rsidRPr="00FE7C99">
        <w:rPr>
          <w:rFonts w:ascii="Arial" w:hAnsi="Arial" w:cs="Arial"/>
          <w:b/>
          <w:sz w:val="24"/>
          <w:szCs w:val="24"/>
        </w:rPr>
        <w:t xml:space="preserve"> capricious</w:t>
      </w:r>
      <w:r w:rsidR="004C2BF5" w:rsidRPr="00FE7C99">
        <w:rPr>
          <w:rFonts w:ascii="Arial" w:hAnsi="Arial" w:cs="Arial"/>
          <w:b/>
          <w:sz w:val="24"/>
          <w:szCs w:val="24"/>
        </w:rPr>
        <w:t xml:space="preserve">, and an abuse of discretion given that </w:t>
      </w:r>
      <w:r w:rsidR="00305A7A" w:rsidRPr="00FE7C99">
        <w:rPr>
          <w:rFonts w:ascii="Arial" w:hAnsi="Arial" w:cs="Arial"/>
          <w:b/>
          <w:sz w:val="24"/>
          <w:szCs w:val="24"/>
        </w:rPr>
        <w:t xml:space="preserve">choice-related costs </w:t>
      </w:r>
      <w:r w:rsidR="00A14FBC" w:rsidRPr="00FE7C99">
        <w:rPr>
          <w:rFonts w:ascii="Arial" w:hAnsi="Arial" w:cs="Arial"/>
          <w:b/>
          <w:sz w:val="24"/>
          <w:szCs w:val="24"/>
        </w:rPr>
        <w:t>are already direc</w:t>
      </w:r>
      <w:r w:rsidR="00305A7A" w:rsidRPr="00FE7C99">
        <w:rPr>
          <w:rFonts w:ascii="Arial" w:hAnsi="Arial" w:cs="Arial"/>
          <w:b/>
          <w:sz w:val="24"/>
          <w:szCs w:val="24"/>
        </w:rPr>
        <w:t>tly assigned to CRES providers</w:t>
      </w:r>
      <w:r w:rsidR="00A14FBC" w:rsidRPr="00FE7C99">
        <w:rPr>
          <w:rFonts w:ascii="Arial" w:hAnsi="Arial" w:cs="Arial"/>
          <w:b/>
          <w:sz w:val="24"/>
          <w:szCs w:val="24"/>
        </w:rPr>
        <w:t>.</w:t>
      </w:r>
      <w:r w:rsidR="00D33D6C" w:rsidRPr="00BE289F">
        <w:rPr>
          <w:rFonts w:ascii="Arial" w:hAnsi="Arial" w:cs="Arial"/>
          <w:i/>
        </w:rPr>
        <w:t xml:space="preserve"> </w:t>
      </w:r>
      <w:r w:rsidR="004C2BF5" w:rsidRPr="00BE289F">
        <w:rPr>
          <w:rFonts w:ascii="Arial" w:hAnsi="Arial" w:cs="Arial"/>
          <w:i/>
        </w:rPr>
        <w:t xml:space="preserve"> </w:t>
      </w:r>
      <w:r w:rsidR="00D33D6C" w:rsidRPr="00FE7C99">
        <w:rPr>
          <w:rFonts w:ascii="Arial" w:hAnsi="Arial" w:cs="Arial"/>
          <w:b/>
          <w:i/>
          <w:sz w:val="24"/>
          <w:szCs w:val="24"/>
        </w:rPr>
        <w:t>Forest Hills Utility Co. v. Pub. Util. Comm’n Ohio</w:t>
      </w:r>
      <w:r w:rsidR="00D33D6C" w:rsidRPr="00FE7C99">
        <w:rPr>
          <w:rFonts w:ascii="Arial" w:hAnsi="Arial" w:cs="Arial"/>
          <w:b/>
          <w:sz w:val="24"/>
          <w:szCs w:val="24"/>
        </w:rPr>
        <w:t>, 31 Ohio St. 2d 46 (1972)</w:t>
      </w:r>
      <w:r w:rsidR="004C2BF5" w:rsidRPr="00FE7C99">
        <w:rPr>
          <w:rFonts w:ascii="Arial" w:hAnsi="Arial" w:cs="Arial"/>
          <w:b/>
          <w:sz w:val="24"/>
          <w:szCs w:val="24"/>
        </w:rPr>
        <w:t xml:space="preserve">.  </w:t>
      </w:r>
    </w:p>
    <w:p w14:paraId="51F9F356" w14:textId="77777777" w:rsidR="00A14FBC" w:rsidRPr="00FE7C99" w:rsidRDefault="00A14FBC" w:rsidP="00A14FBC">
      <w:pPr>
        <w:pStyle w:val="ListParagraph"/>
        <w:spacing w:after="0"/>
        <w:ind w:left="1449"/>
        <w:jc w:val="both"/>
        <w:rPr>
          <w:rFonts w:ascii="Arial" w:hAnsi="Arial" w:cs="Arial"/>
          <w:b/>
          <w:sz w:val="24"/>
          <w:szCs w:val="24"/>
        </w:rPr>
      </w:pPr>
    </w:p>
    <w:p w14:paraId="22F8DDEC" w14:textId="07750270" w:rsidR="009665E9" w:rsidRPr="00FE7C99" w:rsidRDefault="009E7779" w:rsidP="009665E9">
      <w:pPr>
        <w:spacing w:after="120" w:line="480" w:lineRule="auto"/>
        <w:ind w:firstLine="720"/>
        <w:jc w:val="both"/>
        <w:rPr>
          <w:rFonts w:ascii="Arial" w:hAnsi="Arial" w:cs="Arial"/>
          <w:sz w:val="24"/>
          <w:szCs w:val="24"/>
        </w:rPr>
      </w:pPr>
      <w:r w:rsidRPr="00FE7C99">
        <w:rPr>
          <w:rFonts w:ascii="Arial" w:hAnsi="Arial" w:cs="Arial"/>
          <w:sz w:val="24"/>
          <w:szCs w:val="24"/>
        </w:rPr>
        <w:t>The Order stated that “separating SSO-specific costs from distribution rates would likewise necessitate separating any costs specifically related to the customer choice program.”</w:t>
      </w:r>
      <w:r w:rsidR="007C3631">
        <w:rPr>
          <w:rStyle w:val="FootnoteReference"/>
          <w:rFonts w:ascii="Arial" w:hAnsi="Arial" w:cs="Arial"/>
          <w:sz w:val="24"/>
          <w:szCs w:val="24"/>
        </w:rPr>
        <w:footnoteReference w:id="66"/>
      </w:r>
      <w:r w:rsidR="007C3631">
        <w:rPr>
          <w:rFonts w:ascii="Arial" w:hAnsi="Arial" w:cs="Arial"/>
          <w:sz w:val="24"/>
          <w:szCs w:val="24"/>
        </w:rPr>
        <w:t xml:space="preserve"> </w:t>
      </w:r>
      <w:r w:rsidRPr="00FE7C99">
        <w:rPr>
          <w:rFonts w:ascii="Arial" w:hAnsi="Arial" w:cs="Arial"/>
          <w:sz w:val="24"/>
          <w:szCs w:val="24"/>
        </w:rPr>
        <w:t xml:space="preserve"> </w:t>
      </w:r>
      <w:r w:rsidR="00B70FF6" w:rsidRPr="00FE7C99">
        <w:rPr>
          <w:rFonts w:ascii="Arial" w:hAnsi="Arial" w:cs="Arial"/>
          <w:sz w:val="24"/>
          <w:szCs w:val="24"/>
        </w:rPr>
        <w:t>The Order erred for several reasons.</w:t>
      </w:r>
    </w:p>
    <w:p w14:paraId="1C876A63" w14:textId="43537058" w:rsidR="00B70FF6" w:rsidRPr="00FE7C99" w:rsidRDefault="00B70FF6" w:rsidP="009665E9">
      <w:pPr>
        <w:spacing w:after="120" w:line="480" w:lineRule="auto"/>
        <w:jc w:val="both"/>
        <w:rPr>
          <w:rFonts w:ascii="Arial" w:hAnsi="Arial" w:cs="Arial"/>
          <w:sz w:val="24"/>
          <w:szCs w:val="24"/>
        </w:rPr>
      </w:pPr>
      <w:r w:rsidRPr="00FE7C99">
        <w:rPr>
          <w:rFonts w:ascii="Arial" w:hAnsi="Arial" w:cs="Arial"/>
          <w:sz w:val="24"/>
          <w:szCs w:val="24"/>
        </w:rPr>
        <w:tab/>
        <w:t>First,</w:t>
      </w:r>
      <w:r w:rsidR="009665E9" w:rsidRPr="00FE7C99">
        <w:rPr>
          <w:rFonts w:ascii="Arial" w:hAnsi="Arial" w:cs="Arial"/>
          <w:sz w:val="24"/>
          <w:szCs w:val="24"/>
        </w:rPr>
        <w:t xml:space="preserve"> the</w:t>
      </w:r>
      <w:r w:rsidRPr="00FE7C99">
        <w:rPr>
          <w:rFonts w:ascii="Arial" w:hAnsi="Arial" w:cs="Arial"/>
          <w:sz w:val="24"/>
          <w:szCs w:val="24"/>
        </w:rPr>
        <w:t xml:space="preserve"> Order </w:t>
      </w:r>
      <w:r w:rsidR="00D26F6B" w:rsidRPr="00FE7C99">
        <w:rPr>
          <w:rFonts w:ascii="Arial" w:hAnsi="Arial" w:cs="Arial"/>
          <w:sz w:val="24"/>
          <w:szCs w:val="24"/>
        </w:rPr>
        <w:t xml:space="preserve">is </w:t>
      </w:r>
      <w:r w:rsidRPr="00FE7C99">
        <w:rPr>
          <w:rFonts w:ascii="Arial" w:hAnsi="Arial" w:cs="Arial"/>
          <w:sz w:val="24"/>
          <w:szCs w:val="24"/>
        </w:rPr>
        <w:t>incorrectly concluded</w:t>
      </w:r>
      <w:r w:rsidR="009665E9" w:rsidRPr="00FE7C99">
        <w:rPr>
          <w:rFonts w:ascii="Arial" w:hAnsi="Arial" w:cs="Arial"/>
          <w:sz w:val="24"/>
          <w:szCs w:val="24"/>
        </w:rPr>
        <w:t xml:space="preserve"> that </w:t>
      </w:r>
      <w:r w:rsidRPr="00FE7C99">
        <w:rPr>
          <w:rFonts w:ascii="Arial" w:hAnsi="Arial" w:cs="Arial"/>
          <w:sz w:val="24"/>
          <w:szCs w:val="24"/>
        </w:rPr>
        <w:t>the Commission has authority to regulate or provide cost recovery related to the SSO through distribution rates pursuant to the Commission’s traditional ratemaking authority.</w:t>
      </w:r>
      <w:r w:rsidR="00DA1783" w:rsidRPr="00FE7C99">
        <w:rPr>
          <w:rStyle w:val="FootnoteReference"/>
          <w:rFonts w:ascii="Arial" w:hAnsi="Arial" w:cs="Arial"/>
          <w:sz w:val="24"/>
          <w:szCs w:val="24"/>
        </w:rPr>
        <w:footnoteReference w:id="67"/>
      </w:r>
      <w:r w:rsidRPr="00FE7C99">
        <w:rPr>
          <w:rFonts w:ascii="Arial" w:hAnsi="Arial" w:cs="Arial"/>
          <w:sz w:val="24"/>
          <w:szCs w:val="24"/>
        </w:rPr>
        <w:t xml:space="preserve">  The Commission has no such authority; therefore, the existence of choice-related costs cannot justify otherwise unlawful cost recovery related to SSO service. </w:t>
      </w:r>
    </w:p>
    <w:p w14:paraId="4A6AE5DB" w14:textId="78C4135B" w:rsidR="00A14FBC" w:rsidRPr="00FE7C99" w:rsidRDefault="00D26F6B" w:rsidP="00A14FBC">
      <w:pPr>
        <w:spacing w:after="120" w:line="480" w:lineRule="auto"/>
        <w:ind w:firstLine="720"/>
        <w:jc w:val="both"/>
        <w:rPr>
          <w:rFonts w:ascii="Arial" w:hAnsi="Arial" w:cs="Arial"/>
          <w:sz w:val="24"/>
          <w:szCs w:val="24"/>
        </w:rPr>
      </w:pPr>
      <w:r w:rsidRPr="00FE7C99">
        <w:rPr>
          <w:rFonts w:ascii="Arial" w:hAnsi="Arial" w:cs="Arial"/>
          <w:sz w:val="24"/>
          <w:szCs w:val="24"/>
        </w:rPr>
        <w:t>Second</w:t>
      </w:r>
      <w:r w:rsidR="00B70FF6" w:rsidRPr="00FE7C99">
        <w:rPr>
          <w:rFonts w:ascii="Arial" w:hAnsi="Arial" w:cs="Arial"/>
          <w:sz w:val="24"/>
          <w:szCs w:val="24"/>
        </w:rPr>
        <w:t>,</w:t>
      </w:r>
      <w:r w:rsidRPr="00FE7C99">
        <w:rPr>
          <w:rFonts w:ascii="Arial" w:hAnsi="Arial" w:cs="Arial"/>
          <w:sz w:val="24"/>
          <w:szCs w:val="24"/>
        </w:rPr>
        <w:t xml:space="preserve"> </w:t>
      </w:r>
      <w:r w:rsidR="00A14FBC" w:rsidRPr="00FE7C99">
        <w:rPr>
          <w:rFonts w:ascii="Arial" w:hAnsi="Arial" w:cs="Arial"/>
          <w:sz w:val="24"/>
          <w:szCs w:val="24"/>
        </w:rPr>
        <w:t xml:space="preserve">the “netting” concept alluded to by the Order is arbitrary, unjust, and unreasonable inasmuch as it attempts to justify subsidizing the SSO based upon a flawed comparison. To start, </w:t>
      </w:r>
      <w:r w:rsidR="00A14FBC" w:rsidRPr="00FE7C99">
        <w:rPr>
          <w:rFonts w:ascii="Arial" w:eastAsia="Arial" w:hAnsi="Arial" w:cs="Arial"/>
          <w:bCs/>
          <w:sz w:val="24"/>
          <w:szCs w:val="24"/>
        </w:rPr>
        <w:t xml:space="preserve">unlike SSO customers, </w:t>
      </w:r>
      <w:r w:rsidR="00A14FBC" w:rsidRPr="00FE7C99">
        <w:rPr>
          <w:rFonts w:ascii="Arial" w:eastAsia="Arial" w:hAnsi="Arial" w:cs="Arial"/>
          <w:b/>
          <w:bCs/>
          <w:i/>
          <w:sz w:val="24"/>
          <w:szCs w:val="24"/>
        </w:rPr>
        <w:t>shopping customer</w:t>
      </w:r>
      <w:r w:rsidR="009E7779" w:rsidRPr="00FE7C99">
        <w:rPr>
          <w:rFonts w:ascii="Arial" w:eastAsia="Arial" w:hAnsi="Arial" w:cs="Arial"/>
          <w:b/>
          <w:bCs/>
          <w:i/>
          <w:sz w:val="24"/>
          <w:szCs w:val="24"/>
        </w:rPr>
        <w:t>s are already paying fees to Duke</w:t>
      </w:r>
      <w:r w:rsidR="00A14FBC" w:rsidRPr="00FE7C99">
        <w:rPr>
          <w:rFonts w:ascii="Arial" w:eastAsia="Arial" w:hAnsi="Arial" w:cs="Arial"/>
          <w:b/>
          <w:bCs/>
          <w:i/>
          <w:sz w:val="24"/>
          <w:szCs w:val="24"/>
        </w:rPr>
        <w:t xml:space="preserve"> for services rendered.</w:t>
      </w:r>
      <w:r w:rsidR="00A14FBC" w:rsidRPr="00FE7C99">
        <w:rPr>
          <w:rFonts w:ascii="Arial" w:eastAsia="Arial" w:hAnsi="Arial" w:cs="Arial"/>
          <w:bCs/>
          <w:sz w:val="24"/>
          <w:szCs w:val="24"/>
        </w:rPr>
        <w:t xml:space="preserve">  These fees have added up to </w:t>
      </w:r>
      <w:r w:rsidR="00A14FBC" w:rsidRPr="00FE7C99">
        <w:rPr>
          <w:rFonts w:ascii="Arial" w:eastAsia="Arial" w:hAnsi="Arial" w:cs="Arial"/>
          <w:b/>
          <w:bCs/>
          <w:i/>
          <w:sz w:val="24"/>
          <w:szCs w:val="24"/>
        </w:rPr>
        <w:t>millions of dollars</w:t>
      </w:r>
      <w:r w:rsidR="00A14FBC" w:rsidRPr="00FE7C99">
        <w:rPr>
          <w:rFonts w:ascii="Arial" w:eastAsia="Arial" w:hAnsi="Arial" w:cs="Arial"/>
          <w:bCs/>
          <w:sz w:val="24"/>
          <w:szCs w:val="24"/>
        </w:rPr>
        <w:t>.</w:t>
      </w:r>
      <w:r w:rsidR="00A14FBC" w:rsidRPr="00FE7C99">
        <w:rPr>
          <w:rStyle w:val="FootnoteReference"/>
          <w:rFonts w:ascii="Arial" w:eastAsia="Arial" w:hAnsi="Arial" w:cs="Arial"/>
          <w:bCs/>
          <w:sz w:val="24"/>
          <w:szCs w:val="24"/>
        </w:rPr>
        <w:footnoteReference w:id="68"/>
      </w:r>
      <w:r w:rsidR="009E7779" w:rsidRPr="00FE7C99">
        <w:rPr>
          <w:rFonts w:ascii="Arial" w:eastAsia="Arial" w:hAnsi="Arial" w:cs="Arial"/>
          <w:bCs/>
          <w:sz w:val="24"/>
          <w:szCs w:val="24"/>
        </w:rPr>
        <w:t xml:space="preserve">  </w:t>
      </w:r>
      <w:r w:rsidR="009E7779" w:rsidRPr="00FE7C99">
        <w:rPr>
          <w:rFonts w:ascii="Arial" w:eastAsia="Arial" w:hAnsi="Arial" w:cs="Arial"/>
          <w:bCs/>
          <w:sz w:val="24"/>
          <w:szCs w:val="24"/>
        </w:rPr>
        <w:lastRenderedPageBreak/>
        <w:t>Duke</w:t>
      </w:r>
      <w:r w:rsidR="00A14FBC" w:rsidRPr="00FE7C99">
        <w:rPr>
          <w:rFonts w:ascii="Arial" w:eastAsia="Arial" w:hAnsi="Arial" w:cs="Arial"/>
          <w:bCs/>
          <w:sz w:val="24"/>
          <w:szCs w:val="24"/>
        </w:rPr>
        <w:t xml:space="preserve"> has not even attempted to quantify the reasonableness of these fees</w:t>
      </w:r>
      <w:r w:rsidR="00C27FDD" w:rsidRPr="00FE7C99">
        <w:rPr>
          <w:rFonts w:ascii="Arial" w:eastAsia="Arial" w:hAnsi="Arial" w:cs="Arial"/>
          <w:bCs/>
          <w:sz w:val="24"/>
          <w:szCs w:val="24"/>
        </w:rPr>
        <w:t>, which may overcompensate Duke</w:t>
      </w:r>
      <w:r w:rsidR="001008BA" w:rsidRPr="00140B09">
        <w:rPr>
          <w:rFonts w:ascii="Arial" w:eastAsia="Arial" w:hAnsi="Arial" w:cs="Arial"/>
          <w:sz w:val="24"/>
          <w:szCs w:val="24"/>
        </w:rPr>
        <w:t xml:space="preserve"> </w:t>
      </w:r>
      <w:r w:rsidR="00A14FBC" w:rsidRPr="00FE7C99">
        <w:rPr>
          <w:rFonts w:ascii="Arial" w:eastAsia="Arial" w:hAnsi="Arial" w:cs="Arial"/>
          <w:bCs/>
          <w:sz w:val="24"/>
          <w:szCs w:val="24"/>
        </w:rPr>
        <w:t xml:space="preserve">for services provided to CRES providers and their customers.  </w:t>
      </w:r>
      <w:r w:rsidR="00D33D6C" w:rsidRPr="00FE7C99">
        <w:rPr>
          <w:rFonts w:ascii="Arial" w:eastAsia="Arial" w:hAnsi="Arial" w:cs="Arial"/>
          <w:bCs/>
          <w:sz w:val="24"/>
          <w:szCs w:val="24"/>
        </w:rPr>
        <w:t xml:space="preserve">  It is arbitrary and capricious to net choice-costs against SSO service costs when </w:t>
      </w:r>
      <w:r w:rsidR="00CC6D23" w:rsidRPr="00FE7C99">
        <w:rPr>
          <w:rFonts w:ascii="Arial" w:eastAsia="Arial" w:hAnsi="Arial" w:cs="Arial"/>
          <w:bCs/>
          <w:sz w:val="24"/>
          <w:szCs w:val="24"/>
        </w:rPr>
        <w:t xml:space="preserve">the record reflects that no such costs are actually recovered through distribution rates—they </w:t>
      </w:r>
      <w:r w:rsidR="00D33D6C" w:rsidRPr="00FE7C99">
        <w:rPr>
          <w:rFonts w:ascii="Arial" w:eastAsia="Arial" w:hAnsi="Arial" w:cs="Arial"/>
          <w:bCs/>
          <w:sz w:val="24"/>
          <w:szCs w:val="24"/>
        </w:rPr>
        <w:t>are already directly assigned to CRES providers.</w:t>
      </w:r>
    </w:p>
    <w:p w14:paraId="58C7E3F1" w14:textId="4B3C1A82" w:rsidR="00F92409" w:rsidRPr="00FE7C99" w:rsidRDefault="00A14FBC" w:rsidP="00B7562C">
      <w:pPr>
        <w:spacing w:after="120" w:line="480" w:lineRule="auto"/>
        <w:ind w:firstLine="720"/>
        <w:jc w:val="both"/>
        <w:rPr>
          <w:rFonts w:ascii="Arial" w:hAnsi="Arial" w:cs="Arial"/>
          <w:color w:val="222222"/>
          <w:sz w:val="24"/>
          <w:szCs w:val="24"/>
          <w:shd w:val="clear" w:color="auto" w:fill="FFFFFF"/>
        </w:rPr>
      </w:pPr>
      <w:r w:rsidRPr="00FE7C99">
        <w:rPr>
          <w:rFonts w:ascii="Arial" w:hAnsi="Arial" w:cs="Arial"/>
          <w:sz w:val="24"/>
          <w:szCs w:val="24"/>
        </w:rPr>
        <w:t>Third, although shopping customers and CRES provid</w:t>
      </w:r>
      <w:r w:rsidR="009E7779" w:rsidRPr="00FE7C99">
        <w:rPr>
          <w:rFonts w:ascii="Arial" w:hAnsi="Arial" w:cs="Arial"/>
          <w:sz w:val="24"/>
          <w:szCs w:val="24"/>
        </w:rPr>
        <w:t>ers are already compensating Duke</w:t>
      </w:r>
      <w:r w:rsidRPr="00FE7C99">
        <w:rPr>
          <w:rFonts w:ascii="Arial" w:hAnsi="Arial" w:cs="Arial"/>
          <w:sz w:val="24"/>
          <w:szCs w:val="24"/>
        </w:rPr>
        <w:t xml:space="preserve"> for the services they receive, </w:t>
      </w:r>
      <w:r w:rsidR="00D26F6B" w:rsidRPr="00FE7C99">
        <w:rPr>
          <w:rFonts w:ascii="Arial" w:hAnsi="Arial" w:cs="Arial"/>
          <w:sz w:val="24"/>
          <w:szCs w:val="24"/>
        </w:rPr>
        <w:t>t</w:t>
      </w:r>
      <w:r w:rsidR="00B70FF6" w:rsidRPr="00FE7C99">
        <w:rPr>
          <w:rFonts w:ascii="Arial" w:hAnsi="Arial" w:cs="Arial"/>
          <w:sz w:val="24"/>
          <w:szCs w:val="24"/>
        </w:rPr>
        <w:t>he</w:t>
      </w:r>
      <w:r w:rsidR="00D33D6C" w:rsidRPr="00FE7C99">
        <w:rPr>
          <w:rFonts w:ascii="Arial" w:eastAsia="Arial" w:hAnsi="Arial" w:cs="Arial"/>
          <w:bCs/>
          <w:sz w:val="24"/>
          <w:szCs w:val="24"/>
        </w:rPr>
        <w:t xml:space="preserve">se services </w:t>
      </w:r>
      <w:r w:rsidR="00B70FF6" w:rsidRPr="00FE7C99">
        <w:rPr>
          <w:rFonts w:ascii="Arial" w:eastAsia="Arial" w:hAnsi="Arial" w:cs="Arial"/>
          <w:bCs/>
          <w:sz w:val="24"/>
          <w:szCs w:val="24"/>
        </w:rPr>
        <w:t xml:space="preserve">do not relate to competitive </w:t>
      </w:r>
      <w:r w:rsidR="00D26F6B" w:rsidRPr="00FE7C99">
        <w:rPr>
          <w:rFonts w:ascii="Arial" w:eastAsia="Arial" w:hAnsi="Arial" w:cs="Arial"/>
          <w:bCs/>
          <w:sz w:val="24"/>
          <w:szCs w:val="24"/>
        </w:rPr>
        <w:t>retail electric service</w:t>
      </w:r>
      <w:r w:rsidR="00B70FF6" w:rsidRPr="00FE7C99">
        <w:rPr>
          <w:rFonts w:ascii="Arial" w:eastAsia="Arial" w:hAnsi="Arial" w:cs="Arial"/>
          <w:bCs/>
          <w:sz w:val="24"/>
          <w:szCs w:val="24"/>
        </w:rPr>
        <w:t>.</w:t>
      </w:r>
      <w:r w:rsidR="00D26F6B" w:rsidRPr="00FE7C99">
        <w:rPr>
          <w:rFonts w:ascii="Arial" w:eastAsia="Arial" w:hAnsi="Arial" w:cs="Arial"/>
          <w:bCs/>
          <w:sz w:val="24"/>
          <w:szCs w:val="24"/>
        </w:rPr>
        <w:t xml:space="preserve"> </w:t>
      </w:r>
      <w:r w:rsidR="00B70FF6" w:rsidRPr="00FE7C99">
        <w:rPr>
          <w:rFonts w:ascii="Arial" w:eastAsia="Arial" w:hAnsi="Arial" w:cs="Arial"/>
          <w:bCs/>
          <w:sz w:val="24"/>
          <w:szCs w:val="24"/>
        </w:rPr>
        <w:t xml:space="preserve"> </w:t>
      </w:r>
      <w:r w:rsidR="00D26F6B" w:rsidRPr="00FE7C99">
        <w:rPr>
          <w:rFonts w:ascii="Arial" w:hAnsi="Arial" w:cs="Arial"/>
          <w:color w:val="222222"/>
          <w:sz w:val="24"/>
          <w:szCs w:val="24"/>
          <w:shd w:val="clear" w:color="auto" w:fill="FFFFFF"/>
        </w:rPr>
        <w:t>W</w:t>
      </w:r>
      <w:r w:rsidR="009E7779" w:rsidRPr="00FE7C99">
        <w:rPr>
          <w:rFonts w:ascii="Arial" w:hAnsi="Arial" w:cs="Arial"/>
          <w:color w:val="222222"/>
          <w:sz w:val="24"/>
          <w:szCs w:val="24"/>
          <w:shd w:val="clear" w:color="auto" w:fill="FFFFFF"/>
        </w:rPr>
        <w:t>hen Duke</w:t>
      </w:r>
      <w:r w:rsidR="00B70FF6" w:rsidRPr="00FE7C99">
        <w:rPr>
          <w:rFonts w:ascii="Arial" w:hAnsi="Arial" w:cs="Arial"/>
          <w:color w:val="222222"/>
          <w:sz w:val="24"/>
          <w:szCs w:val="24"/>
          <w:shd w:val="clear" w:color="auto" w:fill="FFFFFF"/>
        </w:rPr>
        <w:t xml:space="preserve"> incurs cost related to the choice market, these costs relate to services that are a traditional monopoly f</w:t>
      </w:r>
      <w:r w:rsidR="009E7779" w:rsidRPr="00FE7C99">
        <w:rPr>
          <w:rFonts w:ascii="Arial" w:hAnsi="Arial" w:cs="Arial"/>
          <w:color w:val="222222"/>
          <w:sz w:val="24"/>
          <w:szCs w:val="24"/>
          <w:shd w:val="clear" w:color="auto" w:fill="FFFFFF"/>
        </w:rPr>
        <w:t>unction.  For example, when Duke</w:t>
      </w:r>
      <w:r w:rsidR="00B70FF6" w:rsidRPr="00FE7C99">
        <w:rPr>
          <w:rFonts w:ascii="Arial" w:hAnsi="Arial" w:cs="Arial"/>
          <w:color w:val="222222"/>
          <w:sz w:val="24"/>
          <w:szCs w:val="24"/>
          <w:shd w:val="clear" w:color="auto" w:fill="FFFFFF"/>
        </w:rPr>
        <w:t xml:space="preserve"> provides meter data through an E</w:t>
      </w:r>
      <w:r w:rsidR="00D33D6C" w:rsidRPr="00FE7C99">
        <w:rPr>
          <w:rFonts w:ascii="Arial" w:hAnsi="Arial" w:cs="Arial"/>
          <w:color w:val="222222"/>
          <w:sz w:val="24"/>
          <w:szCs w:val="24"/>
          <w:shd w:val="clear" w:color="auto" w:fill="FFFFFF"/>
        </w:rPr>
        <w:t xml:space="preserve">lectronic </w:t>
      </w:r>
      <w:r w:rsidR="00B70FF6" w:rsidRPr="00FE7C99">
        <w:rPr>
          <w:rFonts w:ascii="Arial" w:hAnsi="Arial" w:cs="Arial"/>
          <w:color w:val="222222"/>
          <w:sz w:val="24"/>
          <w:szCs w:val="24"/>
          <w:shd w:val="clear" w:color="auto" w:fill="FFFFFF"/>
        </w:rPr>
        <w:t>D</w:t>
      </w:r>
      <w:r w:rsidR="00D33D6C" w:rsidRPr="00FE7C99">
        <w:rPr>
          <w:rFonts w:ascii="Arial" w:hAnsi="Arial" w:cs="Arial"/>
          <w:color w:val="222222"/>
          <w:sz w:val="24"/>
          <w:szCs w:val="24"/>
          <w:shd w:val="clear" w:color="auto" w:fill="FFFFFF"/>
        </w:rPr>
        <w:t>at</w:t>
      </w:r>
      <w:r w:rsidR="00A17C0E">
        <w:rPr>
          <w:rFonts w:ascii="Arial" w:hAnsi="Arial" w:cs="Arial"/>
          <w:color w:val="222222"/>
          <w:sz w:val="24"/>
          <w:szCs w:val="24"/>
          <w:shd w:val="clear" w:color="auto" w:fill="FFFFFF"/>
        </w:rPr>
        <w:t>a</w:t>
      </w:r>
      <w:r w:rsidR="00D33D6C" w:rsidRPr="00FE7C99">
        <w:rPr>
          <w:rFonts w:ascii="Arial" w:hAnsi="Arial" w:cs="Arial"/>
          <w:color w:val="222222"/>
          <w:sz w:val="24"/>
          <w:szCs w:val="24"/>
          <w:shd w:val="clear" w:color="auto" w:fill="FFFFFF"/>
        </w:rPr>
        <w:t xml:space="preserve"> </w:t>
      </w:r>
      <w:r w:rsidR="00B70FF6" w:rsidRPr="00FE7C99">
        <w:rPr>
          <w:rFonts w:ascii="Arial" w:hAnsi="Arial" w:cs="Arial"/>
          <w:color w:val="222222"/>
          <w:sz w:val="24"/>
          <w:szCs w:val="24"/>
          <w:shd w:val="clear" w:color="auto" w:fill="FFFFFF"/>
        </w:rPr>
        <w:t>I</w:t>
      </w:r>
      <w:r w:rsidR="00D33D6C" w:rsidRPr="00FE7C99">
        <w:rPr>
          <w:rFonts w:ascii="Arial" w:hAnsi="Arial" w:cs="Arial"/>
          <w:color w:val="222222"/>
          <w:sz w:val="24"/>
          <w:szCs w:val="24"/>
          <w:shd w:val="clear" w:color="auto" w:fill="FFFFFF"/>
        </w:rPr>
        <w:t>nterchange</w:t>
      </w:r>
      <w:r w:rsidR="00B70FF6" w:rsidRPr="00FE7C99">
        <w:rPr>
          <w:rFonts w:ascii="Arial" w:hAnsi="Arial" w:cs="Arial"/>
          <w:color w:val="222222"/>
          <w:sz w:val="24"/>
          <w:szCs w:val="24"/>
          <w:shd w:val="clear" w:color="auto" w:fill="FFFFFF"/>
        </w:rPr>
        <w:t xml:space="preserve"> transaction to a CRES provider, there is no other way to obtain that data to be able to bill a customer.</w:t>
      </w:r>
      <w:r w:rsidR="00B70FF6" w:rsidRPr="00FE7C99">
        <w:rPr>
          <w:rStyle w:val="FootnoteReference"/>
          <w:rFonts w:ascii="Arial" w:hAnsi="Arial" w:cs="Arial"/>
          <w:color w:val="222222"/>
          <w:sz w:val="24"/>
          <w:szCs w:val="24"/>
          <w:shd w:val="clear" w:color="auto" w:fill="FFFFFF"/>
        </w:rPr>
        <w:footnoteReference w:id="69"/>
      </w:r>
      <w:r w:rsidR="00B7562C" w:rsidRPr="00FE7C99">
        <w:rPr>
          <w:rFonts w:ascii="Arial" w:hAnsi="Arial" w:cs="Arial"/>
          <w:color w:val="222222"/>
          <w:sz w:val="24"/>
          <w:szCs w:val="24"/>
          <w:shd w:val="clear" w:color="auto" w:fill="FFFFFF"/>
        </w:rPr>
        <w:t xml:space="preserve">  Moreover, that same data is being used for SSO customers without a fee.  </w:t>
      </w:r>
      <w:r w:rsidR="00506B26" w:rsidRPr="00FE7C99">
        <w:rPr>
          <w:rFonts w:ascii="Arial" w:hAnsi="Arial" w:cs="Arial"/>
          <w:color w:val="222222"/>
          <w:sz w:val="24"/>
          <w:szCs w:val="24"/>
          <w:shd w:val="clear" w:color="auto" w:fill="FFFFFF"/>
        </w:rPr>
        <w:t>When Duke</w:t>
      </w:r>
      <w:r w:rsidR="00B70FF6" w:rsidRPr="00FE7C99">
        <w:rPr>
          <w:rFonts w:ascii="Arial" w:hAnsi="Arial" w:cs="Arial"/>
          <w:color w:val="222222"/>
          <w:sz w:val="24"/>
          <w:szCs w:val="24"/>
          <w:shd w:val="clear" w:color="auto" w:fill="FFFFFF"/>
        </w:rPr>
        <w:t xml:space="preserve"> provides such service</w:t>
      </w:r>
      <w:r w:rsidR="00506B26" w:rsidRPr="00FE7C99">
        <w:rPr>
          <w:rFonts w:ascii="Arial" w:hAnsi="Arial" w:cs="Arial"/>
          <w:color w:val="222222"/>
          <w:sz w:val="24"/>
          <w:szCs w:val="24"/>
          <w:shd w:val="clear" w:color="auto" w:fill="FFFFFF"/>
        </w:rPr>
        <w:t xml:space="preserve"> to CRES providers</w:t>
      </w:r>
      <w:r w:rsidR="00B70FF6" w:rsidRPr="00FE7C99">
        <w:rPr>
          <w:rFonts w:ascii="Arial" w:hAnsi="Arial" w:cs="Arial"/>
          <w:color w:val="222222"/>
          <w:sz w:val="24"/>
          <w:szCs w:val="24"/>
          <w:shd w:val="clear" w:color="auto" w:fill="FFFFFF"/>
        </w:rPr>
        <w:t xml:space="preserve">, it is not in fact providing a competitive retail electric service.  The provision of the CRES product is handled by the CRES, which sends an EDI transaction in the other direction </w:t>
      </w:r>
      <w:r w:rsidR="00D26F6B" w:rsidRPr="00FE7C99">
        <w:rPr>
          <w:rFonts w:ascii="Arial" w:hAnsi="Arial" w:cs="Arial"/>
          <w:color w:val="222222"/>
          <w:sz w:val="24"/>
          <w:szCs w:val="24"/>
          <w:shd w:val="clear" w:color="auto" w:fill="FFFFFF"/>
        </w:rPr>
        <w:t xml:space="preserve">to administer the </w:t>
      </w:r>
      <w:r w:rsidR="00D33D6C" w:rsidRPr="00FE7C99">
        <w:rPr>
          <w:rFonts w:ascii="Arial" w:hAnsi="Arial" w:cs="Arial"/>
          <w:color w:val="222222"/>
          <w:sz w:val="24"/>
          <w:szCs w:val="24"/>
          <w:shd w:val="clear" w:color="auto" w:fill="FFFFFF"/>
        </w:rPr>
        <w:t xml:space="preserve">product.  Thus, the Order sought to </w:t>
      </w:r>
      <w:r w:rsidR="00D26F6B" w:rsidRPr="00FE7C99">
        <w:rPr>
          <w:rFonts w:ascii="Arial" w:hAnsi="Arial" w:cs="Arial"/>
          <w:color w:val="222222"/>
          <w:sz w:val="24"/>
          <w:szCs w:val="24"/>
          <w:shd w:val="clear" w:color="auto" w:fill="FFFFFF"/>
        </w:rPr>
        <w:t xml:space="preserve">net choice and SSO-related costs based upon a flawed apples to oranges comparison. </w:t>
      </w:r>
      <w:r w:rsidR="00CC6D23" w:rsidRPr="00FE7C99">
        <w:rPr>
          <w:rFonts w:ascii="Arial" w:hAnsi="Arial" w:cs="Arial"/>
          <w:color w:val="222222"/>
          <w:sz w:val="24"/>
          <w:szCs w:val="24"/>
          <w:shd w:val="clear" w:color="auto" w:fill="FFFFFF"/>
        </w:rPr>
        <w:t xml:space="preserve"> </w:t>
      </w:r>
      <w:r w:rsidR="00B7562C" w:rsidRPr="00FE7C99">
        <w:rPr>
          <w:rFonts w:ascii="Arial" w:hAnsi="Arial" w:cs="Arial"/>
          <w:color w:val="222222"/>
          <w:sz w:val="24"/>
          <w:szCs w:val="24"/>
          <w:shd w:val="clear" w:color="auto" w:fill="FFFFFF"/>
        </w:rPr>
        <w:t xml:space="preserve">Moreover, </w:t>
      </w:r>
      <w:r w:rsidR="00B7562C" w:rsidRPr="00FE7C99">
        <w:rPr>
          <w:rFonts w:ascii="Arial" w:hAnsi="Arial" w:cs="Arial"/>
          <w:bCs/>
          <w:color w:val="222222"/>
          <w:sz w:val="24"/>
          <w:szCs w:val="24"/>
          <w:shd w:val="clear" w:color="auto" w:fill="FFFFFF"/>
        </w:rPr>
        <w:t>i</w:t>
      </w:r>
      <w:r w:rsidR="00506B26" w:rsidRPr="00FE7C99">
        <w:rPr>
          <w:rFonts w:ascii="Arial" w:hAnsi="Arial" w:cs="Arial"/>
          <w:bCs/>
          <w:color w:val="222222"/>
          <w:sz w:val="24"/>
          <w:szCs w:val="24"/>
          <w:shd w:val="clear" w:color="auto" w:fill="FFFFFF"/>
        </w:rPr>
        <w:t>f the services Duke</w:t>
      </w:r>
      <w:r w:rsidR="00CC6D23" w:rsidRPr="00FE7C99">
        <w:rPr>
          <w:rFonts w:ascii="Arial" w:hAnsi="Arial" w:cs="Arial"/>
          <w:bCs/>
          <w:color w:val="222222"/>
          <w:sz w:val="24"/>
          <w:szCs w:val="24"/>
          <w:shd w:val="clear" w:color="auto" w:fill="FFFFFF"/>
        </w:rPr>
        <w:t xml:space="preserve"> provided to the choice market are truly a </w:t>
      </w:r>
      <w:r w:rsidR="003849D3" w:rsidRPr="00FE7C99">
        <w:rPr>
          <w:rFonts w:ascii="Arial" w:hAnsi="Arial" w:cs="Arial"/>
          <w:bCs/>
          <w:color w:val="222222"/>
          <w:sz w:val="24"/>
          <w:szCs w:val="24"/>
          <w:shd w:val="clear" w:color="auto" w:fill="FFFFFF"/>
        </w:rPr>
        <w:t>function of distribution service</w:t>
      </w:r>
      <w:r w:rsidR="00CC6D23" w:rsidRPr="00FE7C99">
        <w:rPr>
          <w:rFonts w:ascii="Arial" w:hAnsi="Arial" w:cs="Arial"/>
          <w:bCs/>
          <w:color w:val="222222"/>
          <w:sz w:val="24"/>
          <w:szCs w:val="24"/>
          <w:shd w:val="clear" w:color="auto" w:fill="FFFFFF"/>
        </w:rPr>
        <w:t xml:space="preserve"> and if the Commission includes them in any netting methodology, the fees and shopping penalties should be eliminated.</w:t>
      </w:r>
      <w:r w:rsidR="00B70FF6" w:rsidRPr="00FE7C99">
        <w:rPr>
          <w:rFonts w:ascii="Arial" w:hAnsi="Arial" w:cs="Arial"/>
          <w:sz w:val="24"/>
          <w:szCs w:val="24"/>
        </w:rPr>
        <w:tab/>
      </w:r>
    </w:p>
    <w:p w14:paraId="1B64C0D3" w14:textId="5031BAD6" w:rsidR="00F92409" w:rsidRPr="00FE7C99" w:rsidRDefault="00F92409" w:rsidP="007271D9">
      <w:pPr>
        <w:pStyle w:val="ListParagraph"/>
        <w:numPr>
          <w:ilvl w:val="0"/>
          <w:numId w:val="13"/>
        </w:numPr>
        <w:spacing w:after="0"/>
        <w:jc w:val="both"/>
        <w:rPr>
          <w:rFonts w:ascii="Arial" w:hAnsi="Arial" w:cs="Arial"/>
          <w:b/>
          <w:sz w:val="24"/>
          <w:szCs w:val="24"/>
        </w:rPr>
      </w:pPr>
      <w:r w:rsidRPr="00FE7C99">
        <w:rPr>
          <w:rFonts w:ascii="Arial" w:hAnsi="Arial" w:cs="Arial"/>
          <w:b/>
          <w:sz w:val="24"/>
          <w:szCs w:val="24"/>
        </w:rPr>
        <w:t>The Order’s determination that choice costs may justify subsidizing the standard service offer is against the manifest weight of the ev</w:t>
      </w:r>
      <w:r w:rsidR="00506B26" w:rsidRPr="00FE7C99">
        <w:rPr>
          <w:rFonts w:ascii="Arial" w:hAnsi="Arial" w:cs="Arial"/>
          <w:b/>
          <w:sz w:val="24"/>
          <w:szCs w:val="24"/>
        </w:rPr>
        <w:t>idence.  The record reflects $23</w:t>
      </w:r>
      <w:r w:rsidRPr="00FE7C99">
        <w:rPr>
          <w:rFonts w:ascii="Arial" w:hAnsi="Arial" w:cs="Arial"/>
          <w:b/>
          <w:sz w:val="24"/>
          <w:szCs w:val="24"/>
        </w:rPr>
        <w:t xml:space="preserve"> million in SSO-related costs proposed for recovery in distribution rates; substantial CRES provider fees to cover choice-related costs; t</w:t>
      </w:r>
      <w:r w:rsidR="00361E8C" w:rsidRPr="00FE7C99">
        <w:rPr>
          <w:rFonts w:ascii="Arial" w:hAnsi="Arial" w:cs="Arial"/>
          <w:b/>
          <w:sz w:val="24"/>
          <w:szCs w:val="24"/>
        </w:rPr>
        <w:t>hus, the record demonstrates that</w:t>
      </w:r>
      <w:r w:rsidRPr="00FE7C99">
        <w:rPr>
          <w:rFonts w:ascii="Arial" w:hAnsi="Arial" w:cs="Arial"/>
          <w:b/>
          <w:sz w:val="24"/>
          <w:szCs w:val="24"/>
        </w:rPr>
        <w:t xml:space="preserve"> </w:t>
      </w:r>
      <w:r w:rsidRPr="00FE7C99">
        <w:rPr>
          <w:rFonts w:ascii="Arial" w:hAnsi="Arial" w:cs="Arial"/>
          <w:b/>
          <w:sz w:val="24"/>
          <w:szCs w:val="24"/>
        </w:rPr>
        <w:lastRenderedPageBreak/>
        <w:t xml:space="preserve">additional costs should be allocated to the SSO even under the Order’s unlawful reasoning. </w:t>
      </w:r>
      <w:r w:rsidRPr="00FE7C99">
        <w:rPr>
          <w:rFonts w:ascii="Arial" w:hAnsi="Arial" w:cs="Arial"/>
          <w:b/>
          <w:i/>
          <w:sz w:val="24"/>
          <w:szCs w:val="24"/>
        </w:rPr>
        <w:t>Westside Cellular, Inc. v. Pub. Util. Comm.</w:t>
      </w:r>
      <w:r w:rsidRPr="00FE7C99">
        <w:rPr>
          <w:rFonts w:ascii="Arial" w:hAnsi="Arial" w:cs="Arial"/>
          <w:b/>
          <w:sz w:val="24"/>
          <w:szCs w:val="24"/>
        </w:rPr>
        <w:t xml:space="preserve">, 98 Ohio St. 3d 165; </w:t>
      </w:r>
      <w:r w:rsidRPr="00FE7C99">
        <w:rPr>
          <w:rFonts w:ascii="Arial" w:hAnsi="Arial" w:cs="Arial"/>
          <w:b/>
          <w:i/>
          <w:sz w:val="24"/>
          <w:szCs w:val="24"/>
        </w:rPr>
        <w:t>Cleveland Elec. Illum. Co. v. Pub. Util. Comm’n Ohio</w:t>
      </w:r>
      <w:r w:rsidRPr="00FE7C99">
        <w:rPr>
          <w:rFonts w:ascii="Arial" w:hAnsi="Arial" w:cs="Arial"/>
          <w:b/>
          <w:sz w:val="24"/>
          <w:szCs w:val="24"/>
        </w:rPr>
        <w:t>, 76 Ohio St.3d 163, 166 (1996).</w:t>
      </w:r>
    </w:p>
    <w:p w14:paraId="4E32F5CD" w14:textId="77777777" w:rsidR="00E22E1E" w:rsidRPr="00FE7C99" w:rsidRDefault="00E22E1E" w:rsidP="00E22E1E">
      <w:pPr>
        <w:pStyle w:val="ListParagraph"/>
        <w:spacing w:after="0"/>
        <w:ind w:left="1449"/>
        <w:jc w:val="both"/>
        <w:rPr>
          <w:rFonts w:ascii="Arial" w:hAnsi="Arial" w:cs="Arial"/>
          <w:b/>
          <w:sz w:val="24"/>
          <w:szCs w:val="24"/>
        </w:rPr>
      </w:pPr>
    </w:p>
    <w:p w14:paraId="5DCCAA67" w14:textId="092D48A7" w:rsidR="00F92409" w:rsidRPr="00FE7C99" w:rsidRDefault="001106E5" w:rsidP="00F92409">
      <w:pPr>
        <w:spacing w:after="0" w:line="480" w:lineRule="auto"/>
        <w:ind w:firstLine="720"/>
        <w:jc w:val="both"/>
        <w:rPr>
          <w:rFonts w:ascii="Arial" w:hAnsi="Arial" w:cs="Arial"/>
          <w:sz w:val="24"/>
          <w:szCs w:val="24"/>
        </w:rPr>
      </w:pPr>
      <w:r w:rsidRPr="00FE7C99">
        <w:rPr>
          <w:rFonts w:ascii="Arial" w:hAnsi="Arial" w:cs="Arial"/>
          <w:sz w:val="24"/>
          <w:szCs w:val="24"/>
        </w:rPr>
        <w:t xml:space="preserve">In a distribution rate case “the burden of proof to show that the increased rates or charges are just and reasonable shall be on the public utility.”  R.C. 4909.18 and R.C. 4901.19(C).  </w:t>
      </w:r>
      <w:r w:rsidR="00F92409" w:rsidRPr="00FE7C99">
        <w:rPr>
          <w:rFonts w:ascii="Arial" w:hAnsi="Arial" w:cs="Arial"/>
          <w:sz w:val="24"/>
          <w:szCs w:val="24"/>
        </w:rPr>
        <w:t>Assuming arguendo that the Commission may net choice-related costs against SSO-related costs, the Order is not supported by the manifest weight of the evidence.</w:t>
      </w:r>
      <w:r w:rsidRPr="00FE7C99">
        <w:rPr>
          <w:rFonts w:ascii="Arial" w:hAnsi="Arial" w:cs="Arial"/>
          <w:sz w:val="24"/>
          <w:szCs w:val="24"/>
        </w:rPr>
        <w:t xml:space="preserve"> </w:t>
      </w:r>
      <w:r w:rsidR="00F92409" w:rsidRPr="00FE7C99">
        <w:rPr>
          <w:rFonts w:ascii="Arial" w:hAnsi="Arial" w:cs="Arial"/>
          <w:sz w:val="24"/>
          <w:szCs w:val="24"/>
        </w:rPr>
        <w:t xml:space="preserve"> Indeed, the record contradicts the Order’s conclusion.</w:t>
      </w:r>
      <w:r w:rsidR="00405575" w:rsidRPr="00FE7C99">
        <w:rPr>
          <w:rFonts w:ascii="Arial" w:hAnsi="Arial" w:cs="Arial"/>
          <w:sz w:val="24"/>
          <w:szCs w:val="24"/>
        </w:rPr>
        <w:t xml:space="preserve">  As the Supreme Court has held, “</w:t>
      </w:r>
      <w:r w:rsidR="00CC6D23" w:rsidRPr="00FE7C99">
        <w:rPr>
          <w:rFonts w:ascii="Arial" w:hAnsi="Arial" w:cs="Arial"/>
          <w:sz w:val="24"/>
          <w:szCs w:val="24"/>
        </w:rPr>
        <w:t>[a]</w:t>
      </w:r>
      <w:r w:rsidR="00405575" w:rsidRPr="00FE7C99">
        <w:rPr>
          <w:rFonts w:ascii="Arial" w:hAnsi="Arial" w:cs="Arial"/>
          <w:sz w:val="24"/>
          <w:szCs w:val="24"/>
        </w:rPr>
        <w:t xml:space="preserve"> legion of cases establish that the commission abuses its discretion if it renders an opinion on an issue without record support.”</w:t>
      </w:r>
      <w:r w:rsidR="00405575" w:rsidRPr="00FE7C99">
        <w:rPr>
          <w:rFonts w:ascii="Arial" w:hAnsi="Arial" w:cs="Arial"/>
          <w:i/>
          <w:sz w:val="24"/>
          <w:szCs w:val="24"/>
        </w:rPr>
        <w:t xml:space="preserve"> Cleveland Elec. Illum. Co. v. Pub. Util. Comm’n Ohio</w:t>
      </w:r>
      <w:r w:rsidR="00405575" w:rsidRPr="00FE7C99">
        <w:rPr>
          <w:rFonts w:ascii="Arial" w:hAnsi="Arial" w:cs="Arial"/>
          <w:sz w:val="24"/>
          <w:szCs w:val="24"/>
        </w:rPr>
        <w:t>, 76 Ohio St.3d 163, 166 (1996).</w:t>
      </w:r>
      <w:r w:rsidR="00E22E1E" w:rsidRPr="00FE7C99">
        <w:rPr>
          <w:rFonts w:ascii="Arial" w:hAnsi="Arial" w:cs="Arial"/>
          <w:i/>
          <w:sz w:val="24"/>
          <w:szCs w:val="24"/>
        </w:rPr>
        <w:t xml:space="preserve"> Westside Cellular, Inc. v. Pub. Util. Comm.</w:t>
      </w:r>
      <w:r w:rsidR="00E22E1E" w:rsidRPr="00FE7C99">
        <w:rPr>
          <w:rFonts w:ascii="Arial" w:hAnsi="Arial" w:cs="Arial"/>
          <w:sz w:val="24"/>
          <w:szCs w:val="24"/>
        </w:rPr>
        <w:t>, 98 Ohio St. 3d 165</w:t>
      </w:r>
      <w:r w:rsidR="00D85B2E">
        <w:rPr>
          <w:rFonts w:ascii="Arial" w:hAnsi="Arial" w:cs="Arial"/>
          <w:sz w:val="24"/>
          <w:szCs w:val="24"/>
        </w:rPr>
        <w:t>.</w:t>
      </w:r>
    </w:p>
    <w:p w14:paraId="73E89754" w14:textId="2948F37E" w:rsidR="00F92409" w:rsidRPr="00FE7C99" w:rsidRDefault="00F92409" w:rsidP="00D10503">
      <w:pPr>
        <w:spacing w:after="0" w:line="480" w:lineRule="auto"/>
        <w:ind w:firstLine="720"/>
        <w:jc w:val="both"/>
        <w:rPr>
          <w:rFonts w:ascii="Arial" w:hAnsi="Arial" w:cs="Arial"/>
          <w:sz w:val="24"/>
          <w:szCs w:val="24"/>
        </w:rPr>
      </w:pPr>
      <w:r w:rsidRPr="00FE7C99">
        <w:rPr>
          <w:rFonts w:ascii="Arial" w:hAnsi="Arial" w:cs="Arial"/>
          <w:sz w:val="24"/>
          <w:szCs w:val="24"/>
        </w:rPr>
        <w:t>IGS submitted testimony indicated that based upon the amount of revenue reco</w:t>
      </w:r>
      <w:r w:rsidR="00C27FDD" w:rsidRPr="00FE7C99">
        <w:rPr>
          <w:rFonts w:ascii="Arial" w:hAnsi="Arial" w:cs="Arial"/>
          <w:sz w:val="24"/>
          <w:szCs w:val="24"/>
        </w:rPr>
        <w:t>mmended in the Staff Report, Duke</w:t>
      </w:r>
      <w:r w:rsidR="00506B26" w:rsidRPr="00FE7C99">
        <w:rPr>
          <w:rFonts w:ascii="Arial" w:hAnsi="Arial" w:cs="Arial"/>
          <w:sz w:val="24"/>
          <w:szCs w:val="24"/>
        </w:rPr>
        <w:t xml:space="preserve"> would recover in excess of $23</w:t>
      </w:r>
      <w:r w:rsidRPr="00FE7C99">
        <w:rPr>
          <w:rFonts w:ascii="Arial" w:hAnsi="Arial" w:cs="Arial"/>
          <w:sz w:val="24"/>
          <w:szCs w:val="24"/>
        </w:rPr>
        <w:t xml:space="preserve"> million in SSO-related costs through distribution rates.</w:t>
      </w:r>
      <w:r w:rsidR="00D85B2E">
        <w:rPr>
          <w:rStyle w:val="FootnoteReference"/>
          <w:rFonts w:ascii="Arial" w:hAnsi="Arial" w:cs="Arial"/>
          <w:sz w:val="24"/>
          <w:szCs w:val="24"/>
        </w:rPr>
        <w:footnoteReference w:id="70"/>
      </w:r>
      <w:r w:rsidRPr="00FE7C99">
        <w:rPr>
          <w:rFonts w:ascii="Arial" w:hAnsi="Arial" w:cs="Arial"/>
          <w:sz w:val="24"/>
          <w:szCs w:val="24"/>
        </w:rPr>
        <w:t xml:space="preserve">  No other quantitative estimate of the SSO subsidy was provided in this case.   To avoid allocating this amount to the SSO, the Order relies upon the alleged existence of choice-related costs.  But the Order failed to cite any evidence to quantify such costs.  At the same time, the</w:t>
      </w:r>
      <w:r w:rsidR="00506B26" w:rsidRPr="00FE7C99">
        <w:rPr>
          <w:rFonts w:ascii="Arial" w:hAnsi="Arial" w:cs="Arial"/>
          <w:sz w:val="24"/>
          <w:szCs w:val="24"/>
        </w:rPr>
        <w:t xml:space="preserve"> record reflects that Duke</w:t>
      </w:r>
      <w:r w:rsidRPr="00FE7C99">
        <w:rPr>
          <w:rFonts w:ascii="Arial" w:hAnsi="Arial" w:cs="Arial"/>
          <w:sz w:val="24"/>
          <w:szCs w:val="24"/>
        </w:rPr>
        <w:t xml:space="preserve"> already collected significant</w:t>
      </w:r>
      <w:r w:rsidR="00CC6D23" w:rsidRPr="00FE7C99">
        <w:rPr>
          <w:rFonts w:ascii="Arial" w:hAnsi="Arial" w:cs="Arial"/>
          <w:sz w:val="24"/>
          <w:szCs w:val="24"/>
        </w:rPr>
        <w:t>,</w:t>
      </w:r>
      <w:r w:rsidRPr="00FE7C99">
        <w:rPr>
          <w:rFonts w:ascii="Arial" w:hAnsi="Arial" w:cs="Arial"/>
          <w:sz w:val="24"/>
          <w:szCs w:val="24"/>
        </w:rPr>
        <w:t xml:space="preserve"> unsubstantiated switching fees and historical usage fees from CRES providers, adding up to millions of dollars in just a few years.</w:t>
      </w:r>
      <w:r w:rsidRPr="00FE7C99">
        <w:rPr>
          <w:rStyle w:val="FootnoteReference"/>
          <w:rFonts w:ascii="Arial" w:hAnsi="Arial" w:cs="Arial"/>
          <w:sz w:val="24"/>
          <w:szCs w:val="24"/>
        </w:rPr>
        <w:footnoteReference w:id="71"/>
      </w:r>
      <w:r w:rsidRPr="00FE7C99">
        <w:rPr>
          <w:rFonts w:ascii="Arial" w:hAnsi="Arial" w:cs="Arial"/>
          <w:sz w:val="24"/>
          <w:szCs w:val="24"/>
        </w:rPr>
        <w:t xml:space="preserve">  Thus, the re</w:t>
      </w:r>
      <w:r w:rsidR="00506B26" w:rsidRPr="00FE7C99">
        <w:rPr>
          <w:rFonts w:ascii="Arial" w:hAnsi="Arial" w:cs="Arial"/>
          <w:sz w:val="24"/>
          <w:szCs w:val="24"/>
        </w:rPr>
        <w:t>cord reflects there are over $23</w:t>
      </w:r>
      <w:r w:rsidRPr="00FE7C99">
        <w:rPr>
          <w:rFonts w:ascii="Arial" w:hAnsi="Arial" w:cs="Arial"/>
          <w:sz w:val="24"/>
          <w:szCs w:val="24"/>
        </w:rPr>
        <w:t xml:space="preserve"> million in SSO-related costs in distribution rates and zero </w:t>
      </w:r>
      <w:r w:rsidRPr="00FE7C99">
        <w:rPr>
          <w:rFonts w:ascii="Arial" w:hAnsi="Arial" w:cs="Arial"/>
          <w:sz w:val="24"/>
          <w:szCs w:val="24"/>
        </w:rPr>
        <w:lastRenderedPageBreak/>
        <w:t>uncompensate</w:t>
      </w:r>
      <w:r w:rsidR="00CC6D23" w:rsidRPr="00FE7C99">
        <w:rPr>
          <w:rFonts w:ascii="Arial" w:hAnsi="Arial" w:cs="Arial"/>
          <w:sz w:val="24"/>
          <w:szCs w:val="24"/>
        </w:rPr>
        <w:t>d choice-related costs.  T</w:t>
      </w:r>
      <w:r w:rsidRPr="00FE7C99">
        <w:rPr>
          <w:rFonts w:ascii="Arial" w:hAnsi="Arial" w:cs="Arial"/>
          <w:sz w:val="24"/>
          <w:szCs w:val="24"/>
        </w:rPr>
        <w:t>he</w:t>
      </w:r>
      <w:r w:rsidR="00506B26" w:rsidRPr="00FE7C99">
        <w:rPr>
          <w:rFonts w:ascii="Arial" w:hAnsi="Arial" w:cs="Arial"/>
          <w:sz w:val="24"/>
          <w:szCs w:val="24"/>
        </w:rPr>
        <w:t xml:space="preserve"> Order’s failure to allocate $23</w:t>
      </w:r>
      <w:r w:rsidRPr="00FE7C99">
        <w:rPr>
          <w:rFonts w:ascii="Arial" w:hAnsi="Arial" w:cs="Arial"/>
          <w:sz w:val="24"/>
          <w:szCs w:val="24"/>
        </w:rPr>
        <w:t xml:space="preserve"> million in SSO-related costs—even under the Order’s own flawed methodology—is contrary to the manifest weight of the evidence and reflects an abuse of discretion.</w:t>
      </w:r>
      <w:r w:rsidR="00CC6D23" w:rsidRPr="00FE7C99">
        <w:rPr>
          <w:rFonts w:ascii="Arial" w:hAnsi="Arial" w:cs="Arial"/>
          <w:i/>
          <w:sz w:val="24"/>
          <w:szCs w:val="24"/>
        </w:rPr>
        <w:t xml:space="preserve"> Cleveland Elec. Illum. Co. v. Pub. Util. Comm’n Ohio</w:t>
      </w:r>
      <w:r w:rsidR="00CC6D23" w:rsidRPr="00FE7C99">
        <w:rPr>
          <w:rFonts w:ascii="Arial" w:hAnsi="Arial" w:cs="Arial"/>
          <w:sz w:val="24"/>
          <w:szCs w:val="24"/>
        </w:rPr>
        <w:t>, 76 Ohio St.3d 163, 166 (1996).</w:t>
      </w:r>
      <w:r w:rsidR="001106E5" w:rsidRPr="00FE7C99">
        <w:rPr>
          <w:rFonts w:ascii="Arial" w:hAnsi="Arial" w:cs="Arial"/>
          <w:sz w:val="24"/>
          <w:szCs w:val="24"/>
        </w:rPr>
        <w:t xml:space="preserve">  Therefore, the Commission should grant this application for rehearing and eliminate SSO-related costs from distribution service recovery and reallocate such costs to SSO service.</w:t>
      </w:r>
      <w:r w:rsidRPr="00FE7C99">
        <w:rPr>
          <w:rFonts w:ascii="Arial" w:hAnsi="Arial" w:cs="Arial"/>
          <w:sz w:val="24"/>
          <w:szCs w:val="24"/>
        </w:rPr>
        <w:t xml:space="preserve">  </w:t>
      </w:r>
    </w:p>
    <w:p w14:paraId="7358DEB9" w14:textId="4A7BF229" w:rsidR="00D85B2E" w:rsidRDefault="00D85B2E" w:rsidP="00D85B2E">
      <w:pPr>
        <w:pStyle w:val="ListParagraph"/>
        <w:numPr>
          <w:ilvl w:val="0"/>
          <w:numId w:val="13"/>
        </w:numPr>
        <w:spacing w:after="0"/>
        <w:jc w:val="both"/>
        <w:rPr>
          <w:rFonts w:ascii="Arial" w:eastAsia="Times New Roman" w:hAnsi="Arial" w:cs="Arial"/>
          <w:b/>
          <w:sz w:val="24"/>
          <w:szCs w:val="24"/>
        </w:rPr>
      </w:pPr>
      <w:r>
        <w:rPr>
          <w:rFonts w:ascii="Arial" w:hAnsi="Arial" w:cs="Arial"/>
          <w:b/>
          <w:sz w:val="24"/>
          <w:szCs w:val="24"/>
        </w:rPr>
        <w:t xml:space="preserve">The Order is unlawful and unreasonable inasmuch </w:t>
      </w:r>
      <w:r w:rsidR="002D65BA">
        <w:rPr>
          <w:rFonts w:ascii="Arial" w:hAnsi="Arial" w:cs="Arial"/>
          <w:b/>
          <w:sz w:val="24"/>
          <w:szCs w:val="24"/>
        </w:rPr>
        <w:t>as it deviated from</w:t>
      </w:r>
      <w:r>
        <w:rPr>
          <w:rFonts w:ascii="Arial" w:hAnsi="Arial" w:cs="Arial"/>
          <w:b/>
          <w:sz w:val="24"/>
          <w:szCs w:val="24"/>
        </w:rPr>
        <w:t xml:space="preserve"> recent Commissi</w:t>
      </w:r>
      <w:r w:rsidR="002D65BA">
        <w:rPr>
          <w:rFonts w:ascii="Arial" w:hAnsi="Arial" w:cs="Arial"/>
          <w:b/>
          <w:sz w:val="24"/>
          <w:szCs w:val="24"/>
        </w:rPr>
        <w:t>on precedent, which required a EDU to allocate to</w:t>
      </w:r>
      <w:r>
        <w:rPr>
          <w:rFonts w:ascii="Arial" w:hAnsi="Arial" w:cs="Arial"/>
          <w:b/>
          <w:sz w:val="24"/>
          <w:szCs w:val="24"/>
        </w:rPr>
        <w:t xml:space="preserve"> the SSO the </w:t>
      </w:r>
      <w:r w:rsidRPr="002D65BA">
        <w:rPr>
          <w:rFonts w:ascii="Arial" w:hAnsi="Arial" w:cs="Arial"/>
          <w:b/>
          <w:sz w:val="24"/>
          <w:szCs w:val="24"/>
        </w:rPr>
        <w:t>portion of the OCC and PUCO assessments related to SSO retail electric generation.</w:t>
      </w:r>
      <w:r w:rsidR="002D65BA" w:rsidRPr="002D65BA">
        <w:rPr>
          <w:rFonts w:ascii="Arial" w:eastAsia="Times New Roman" w:hAnsi="Arial" w:cs="Arial"/>
          <w:b/>
          <w:i/>
          <w:sz w:val="24"/>
          <w:szCs w:val="24"/>
        </w:rPr>
        <w:t xml:space="preserve"> </w:t>
      </w:r>
      <w:bookmarkStart w:id="1" w:name="_Hlk535584575"/>
      <w:r w:rsidR="002D65BA" w:rsidRPr="002D65BA">
        <w:rPr>
          <w:rFonts w:ascii="Arial" w:eastAsia="Times New Roman" w:hAnsi="Arial" w:cs="Arial"/>
          <w:b/>
          <w:i/>
          <w:sz w:val="24"/>
          <w:szCs w:val="24"/>
        </w:rPr>
        <w:t xml:space="preserve">Consumers’ Counsel v. Pub. Util. Comm., </w:t>
      </w:r>
      <w:r w:rsidR="002D65BA" w:rsidRPr="002D65BA">
        <w:rPr>
          <w:rFonts w:ascii="Arial" w:eastAsia="Times New Roman" w:hAnsi="Arial" w:cs="Arial"/>
          <w:b/>
          <w:sz w:val="24"/>
          <w:szCs w:val="24"/>
        </w:rPr>
        <w:t>10 Ohio St.3d 49, 50-51 (1984).</w:t>
      </w:r>
      <w:bookmarkEnd w:id="1"/>
    </w:p>
    <w:p w14:paraId="1005F39A" w14:textId="6664352E" w:rsidR="002D65BA" w:rsidRDefault="002D65BA" w:rsidP="002D65BA">
      <w:pPr>
        <w:spacing w:after="0"/>
        <w:jc w:val="both"/>
        <w:rPr>
          <w:rFonts w:ascii="Arial" w:eastAsia="Times New Roman" w:hAnsi="Arial" w:cs="Arial"/>
          <w:b/>
          <w:sz w:val="24"/>
          <w:szCs w:val="24"/>
        </w:rPr>
      </w:pPr>
    </w:p>
    <w:p w14:paraId="583C0B56" w14:textId="77777777" w:rsidR="00CC5525" w:rsidRDefault="002D65BA" w:rsidP="002D65BA">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As discussed above, IGS’ testimony and briefs urged the Commission to a</w:t>
      </w:r>
      <w:r w:rsidR="003F183F">
        <w:rPr>
          <w:rFonts w:ascii="Arial" w:eastAsia="Times New Roman" w:hAnsi="Arial" w:cs="Arial"/>
          <w:sz w:val="24"/>
          <w:szCs w:val="24"/>
        </w:rPr>
        <w:t xml:space="preserve">llocate to the SSO all costs associated with the provision of that service.  One of the components related to the PUCO and OCC assessments, which are partially the consequence of the amount of generation-related revenues Duke collects.  The Order rejected IGS’ recommendation in its entirety.  </w:t>
      </w:r>
    </w:p>
    <w:p w14:paraId="00D43FA5" w14:textId="4884E382" w:rsidR="00D85B2E" w:rsidRPr="00AE68DE" w:rsidRDefault="003F183F" w:rsidP="00AE68DE">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A recent Commission order, however, in the Dayton Power and Light Company’s distribution rate case reached a different result.</w:t>
      </w:r>
      <w:r>
        <w:rPr>
          <w:rStyle w:val="FootnoteReference"/>
          <w:rFonts w:ascii="Arial" w:eastAsia="Times New Roman" w:hAnsi="Arial" w:cs="Arial"/>
          <w:sz w:val="24"/>
          <w:szCs w:val="24"/>
        </w:rPr>
        <w:footnoteReference w:id="72"/>
      </w:r>
      <w:r>
        <w:rPr>
          <w:rFonts w:ascii="Arial" w:eastAsia="Times New Roman" w:hAnsi="Arial" w:cs="Arial"/>
          <w:sz w:val="24"/>
          <w:szCs w:val="24"/>
        </w:rPr>
        <w:t xml:space="preserve">  In that litigated case, the Commiss</w:t>
      </w:r>
      <w:r w:rsidR="00CC5525">
        <w:rPr>
          <w:rFonts w:ascii="Arial" w:eastAsia="Times New Roman" w:hAnsi="Arial" w:cs="Arial"/>
          <w:sz w:val="24"/>
          <w:szCs w:val="24"/>
        </w:rPr>
        <w:t>ion required DP&amp;L to allocate the portion of the OCC and PUCO expense that was the result of DP&amp;L’s generation-related revenue.</w:t>
      </w:r>
      <w:r w:rsidR="000755AA">
        <w:rPr>
          <w:rStyle w:val="FootnoteReference"/>
          <w:rFonts w:ascii="Arial" w:eastAsia="Times New Roman" w:hAnsi="Arial" w:cs="Arial"/>
          <w:sz w:val="24"/>
          <w:szCs w:val="24"/>
        </w:rPr>
        <w:footnoteReference w:id="73"/>
      </w:r>
      <w:r w:rsidR="00CC5525">
        <w:rPr>
          <w:rFonts w:ascii="Arial" w:eastAsia="Times New Roman" w:hAnsi="Arial" w:cs="Arial"/>
          <w:sz w:val="24"/>
          <w:szCs w:val="24"/>
        </w:rPr>
        <w:t xml:space="preserve">  The Supreme Court of Ohio has indicated that, for the sake of certainty in the regulatory process, the Commission should issues order consistent with its pre</w:t>
      </w:r>
      <w:r w:rsidR="00FF3421">
        <w:rPr>
          <w:rFonts w:ascii="Arial" w:eastAsia="Times New Roman" w:hAnsi="Arial" w:cs="Arial"/>
          <w:sz w:val="24"/>
          <w:szCs w:val="24"/>
        </w:rPr>
        <w:t>ce</w:t>
      </w:r>
      <w:r w:rsidR="00CC5525">
        <w:rPr>
          <w:rFonts w:ascii="Arial" w:eastAsia="Times New Roman" w:hAnsi="Arial" w:cs="Arial"/>
          <w:sz w:val="24"/>
          <w:szCs w:val="24"/>
        </w:rPr>
        <w:t>dent.</w:t>
      </w:r>
      <w:r w:rsidR="00CC5525" w:rsidRPr="00CC5525">
        <w:rPr>
          <w:rFonts w:ascii="Arial" w:eastAsia="Times New Roman" w:hAnsi="Arial" w:cs="Arial"/>
          <w:sz w:val="24"/>
          <w:szCs w:val="24"/>
        </w:rPr>
        <w:t xml:space="preserve">  </w:t>
      </w:r>
      <w:r w:rsidR="00CC5525" w:rsidRPr="00CC5525">
        <w:rPr>
          <w:rFonts w:ascii="Arial" w:eastAsia="Times New Roman" w:hAnsi="Arial" w:cs="Arial"/>
          <w:i/>
          <w:sz w:val="24"/>
          <w:szCs w:val="24"/>
        </w:rPr>
        <w:t xml:space="preserve">Consumers’ Counsel v. Pub. Util. Comm., </w:t>
      </w:r>
      <w:r w:rsidR="00CC5525" w:rsidRPr="00CC5525">
        <w:rPr>
          <w:rFonts w:ascii="Arial" w:eastAsia="Times New Roman" w:hAnsi="Arial" w:cs="Arial"/>
          <w:sz w:val="24"/>
          <w:szCs w:val="24"/>
        </w:rPr>
        <w:t>10 Ohio St.3d 49, 50-51 (1984).</w:t>
      </w:r>
      <w:r w:rsidR="00CC5525">
        <w:rPr>
          <w:rFonts w:ascii="Arial" w:eastAsia="Times New Roman" w:hAnsi="Arial" w:cs="Arial"/>
          <w:sz w:val="24"/>
          <w:szCs w:val="24"/>
        </w:rPr>
        <w:t xml:space="preserve">  Given the court’s directive, the Order is unlawful and unreasonable </w:t>
      </w:r>
      <w:r w:rsidR="00CC5525">
        <w:rPr>
          <w:rFonts w:ascii="Arial" w:eastAsia="Times New Roman" w:hAnsi="Arial" w:cs="Arial"/>
          <w:sz w:val="24"/>
          <w:szCs w:val="24"/>
        </w:rPr>
        <w:lastRenderedPageBreak/>
        <w:t xml:space="preserve">inasmuch as it has issued inconsistent orders unbundling PUCO and OCC-related expenses in one utility service territory but not another within the same year.  On rehearing, the Commission should correct this error and direct Duke to remove from its distribution rates the portion of the OCC and PUCO assessments that resulted from Duke’s collection of SSO-related generation revenues.  </w:t>
      </w:r>
    </w:p>
    <w:p w14:paraId="6DE562B5" w14:textId="7380F1A5" w:rsidR="00AC779C" w:rsidRPr="00FE7C99" w:rsidRDefault="00AC779C" w:rsidP="007271D9">
      <w:pPr>
        <w:pStyle w:val="ListParagraph"/>
        <w:numPr>
          <w:ilvl w:val="0"/>
          <w:numId w:val="13"/>
        </w:numPr>
        <w:spacing w:after="0"/>
        <w:jc w:val="both"/>
        <w:rPr>
          <w:rFonts w:ascii="Arial" w:hAnsi="Arial" w:cs="Arial"/>
          <w:b/>
          <w:sz w:val="24"/>
          <w:szCs w:val="24"/>
        </w:rPr>
      </w:pPr>
      <w:r w:rsidRPr="00FE7C99">
        <w:rPr>
          <w:rFonts w:ascii="Arial" w:hAnsi="Arial" w:cs="Arial"/>
          <w:b/>
          <w:sz w:val="24"/>
          <w:szCs w:val="24"/>
        </w:rPr>
        <w:t>The Order is unlawful, unreasonable, and discriminatory</w:t>
      </w:r>
      <w:r w:rsidR="00506B26" w:rsidRPr="00FE7C99">
        <w:rPr>
          <w:rFonts w:ascii="Arial" w:hAnsi="Arial" w:cs="Arial"/>
          <w:b/>
          <w:sz w:val="24"/>
          <w:szCs w:val="24"/>
        </w:rPr>
        <w:t xml:space="preserve"> inasmuch as it authorized Duke </w:t>
      </w:r>
      <w:r w:rsidRPr="00FE7C99">
        <w:rPr>
          <w:rFonts w:ascii="Arial" w:hAnsi="Arial" w:cs="Arial"/>
          <w:b/>
          <w:sz w:val="24"/>
          <w:szCs w:val="24"/>
        </w:rPr>
        <w:t>to impose switching fees and historical usage fees on CRES providers without evidentiary support</w:t>
      </w:r>
      <w:r w:rsidR="00361E8C" w:rsidRPr="00FE7C99">
        <w:rPr>
          <w:rFonts w:ascii="Arial" w:hAnsi="Arial" w:cs="Arial"/>
          <w:b/>
          <w:sz w:val="24"/>
          <w:szCs w:val="24"/>
        </w:rPr>
        <w:t xml:space="preserve"> in violation of R.C. 4909.15</w:t>
      </w:r>
      <w:r w:rsidR="00FD6AE6" w:rsidRPr="00FE7C99">
        <w:rPr>
          <w:rFonts w:ascii="Arial" w:hAnsi="Arial" w:cs="Arial"/>
          <w:b/>
          <w:sz w:val="24"/>
          <w:szCs w:val="24"/>
        </w:rPr>
        <w:t xml:space="preserve"> and R.C. 4909.18</w:t>
      </w:r>
      <w:r w:rsidRPr="00FE7C99">
        <w:rPr>
          <w:rFonts w:ascii="Arial" w:hAnsi="Arial" w:cs="Arial"/>
          <w:b/>
          <w:sz w:val="24"/>
          <w:szCs w:val="24"/>
        </w:rPr>
        <w:t>. The application of these fees to CRES providers is discriminatory in violation of R.C. 4905.35 and 4928.02.</w:t>
      </w:r>
    </w:p>
    <w:p w14:paraId="1408A8CD" w14:textId="77777777" w:rsidR="00AC779C" w:rsidRPr="00FE7C99" w:rsidRDefault="00AC779C" w:rsidP="00AC779C">
      <w:pPr>
        <w:spacing w:after="0"/>
        <w:jc w:val="both"/>
        <w:rPr>
          <w:rFonts w:ascii="Arial" w:hAnsi="Arial" w:cs="Arial"/>
          <w:b/>
          <w:sz w:val="24"/>
          <w:szCs w:val="24"/>
        </w:rPr>
      </w:pPr>
    </w:p>
    <w:p w14:paraId="2B407B71" w14:textId="5546FEBF" w:rsidR="00AC779C" w:rsidRPr="00FE7C99" w:rsidRDefault="007271D9" w:rsidP="00AC779C">
      <w:pPr>
        <w:spacing w:after="0" w:line="480" w:lineRule="auto"/>
        <w:ind w:firstLine="720"/>
        <w:jc w:val="both"/>
        <w:rPr>
          <w:rFonts w:ascii="Arial" w:hAnsi="Arial" w:cs="Arial"/>
          <w:sz w:val="24"/>
          <w:szCs w:val="24"/>
        </w:rPr>
      </w:pPr>
      <w:r w:rsidRPr="00FE7C99">
        <w:rPr>
          <w:rFonts w:ascii="Arial" w:hAnsi="Arial" w:cs="Arial"/>
          <w:sz w:val="24"/>
          <w:szCs w:val="24"/>
        </w:rPr>
        <w:t>The Order states that Duke’s switching fee and histo</w:t>
      </w:r>
      <w:r w:rsidR="00506B26" w:rsidRPr="00FE7C99">
        <w:rPr>
          <w:rFonts w:ascii="Arial" w:hAnsi="Arial" w:cs="Arial"/>
          <w:sz w:val="24"/>
          <w:szCs w:val="24"/>
        </w:rPr>
        <w:t xml:space="preserve">rical usage fees were approved in a prior order.  </w:t>
      </w:r>
      <w:r w:rsidR="00DA1783" w:rsidRPr="00FE7C99">
        <w:rPr>
          <w:rFonts w:ascii="Arial" w:hAnsi="Arial" w:cs="Arial"/>
          <w:sz w:val="24"/>
          <w:szCs w:val="24"/>
        </w:rPr>
        <w:t>Regarding both</w:t>
      </w:r>
      <w:r w:rsidR="00AC779C" w:rsidRPr="00FE7C99">
        <w:rPr>
          <w:rFonts w:ascii="Arial" w:hAnsi="Arial" w:cs="Arial"/>
          <w:sz w:val="24"/>
          <w:szCs w:val="24"/>
        </w:rPr>
        <w:t xml:space="preserve"> fees, the Order states that no evidence was presented to demonstrate that either fee is unreasonable.  The Order is incorrect factually and legally, an</w:t>
      </w:r>
      <w:r w:rsidR="00DA1783" w:rsidRPr="00FE7C99">
        <w:rPr>
          <w:rFonts w:ascii="Arial" w:hAnsi="Arial" w:cs="Arial"/>
          <w:sz w:val="24"/>
          <w:szCs w:val="24"/>
        </w:rPr>
        <w:t>d failure to correct the Order</w:t>
      </w:r>
      <w:r w:rsidR="00AC779C" w:rsidRPr="00FE7C99">
        <w:rPr>
          <w:rFonts w:ascii="Arial" w:hAnsi="Arial" w:cs="Arial"/>
          <w:sz w:val="24"/>
          <w:szCs w:val="24"/>
        </w:rPr>
        <w:t xml:space="preserve"> would further discriminate against shopping customers.</w:t>
      </w:r>
    </w:p>
    <w:p w14:paraId="3B37851C" w14:textId="6D04AD2E" w:rsidR="002B26D0" w:rsidRPr="00FE7C99" w:rsidRDefault="002B26D0" w:rsidP="002B26D0">
      <w:pPr>
        <w:spacing w:after="0" w:line="480" w:lineRule="auto"/>
        <w:ind w:firstLine="720"/>
        <w:jc w:val="both"/>
        <w:rPr>
          <w:rFonts w:ascii="Arial" w:eastAsia="Times New Roman" w:hAnsi="Arial" w:cs="Arial"/>
          <w:sz w:val="24"/>
          <w:szCs w:val="24"/>
        </w:rPr>
      </w:pPr>
      <w:r w:rsidRPr="00FE7C99">
        <w:rPr>
          <w:rFonts w:ascii="Arial" w:hAnsi="Arial" w:cs="Arial"/>
          <w:sz w:val="24"/>
          <w:szCs w:val="24"/>
        </w:rPr>
        <w:t>Initially,</w:t>
      </w:r>
      <w:r w:rsidRPr="00FE7C99">
        <w:rPr>
          <w:rFonts w:ascii="Arial" w:eastAsia="Times New Roman" w:hAnsi="Arial" w:cs="Arial"/>
          <w:sz w:val="24"/>
          <w:szCs w:val="24"/>
        </w:rPr>
        <w:t xml:space="preserve"> the Order’s reliance </w:t>
      </w:r>
      <w:r w:rsidRPr="00FE7C99">
        <w:rPr>
          <w:rFonts w:ascii="Arial" w:eastAsia="Times New Roman" w:hAnsi="Arial" w:cs="Arial"/>
          <w:i/>
          <w:sz w:val="24"/>
          <w:szCs w:val="24"/>
        </w:rPr>
        <w:t xml:space="preserve">Consumers’ Counsel v. Pub. Util. Comm., </w:t>
      </w:r>
      <w:r w:rsidRPr="00FE7C99">
        <w:rPr>
          <w:rFonts w:ascii="Arial" w:eastAsia="Times New Roman" w:hAnsi="Arial" w:cs="Arial"/>
          <w:sz w:val="24"/>
          <w:szCs w:val="24"/>
        </w:rPr>
        <w:t xml:space="preserve">10 Ohio St.3d 49, 50-51 (1984) is misplaced.  That case simply holds that when the Commission establishes precedent, for the sake of predictability, it should honor that precedent in future case.  And, should the Commission determine that it must deviate from its prior precedent, it must justify its new direction.  Here, IGS is not seeking for the Commission to modify any prior precedent or Commission orders, rather, IGS requests that the Commission uphold its long-standing precedent that charges, whether to suppliers or customers, must be based upon actual evidence in the record.  </w:t>
      </w:r>
    </w:p>
    <w:p w14:paraId="63CC7604" w14:textId="0506FA1E" w:rsidR="00AC779C" w:rsidRPr="00FE7C99" w:rsidRDefault="002B26D0" w:rsidP="00AC779C">
      <w:pPr>
        <w:spacing w:after="0" w:line="480" w:lineRule="auto"/>
        <w:ind w:firstLine="720"/>
        <w:jc w:val="both"/>
        <w:rPr>
          <w:rFonts w:ascii="Arial" w:hAnsi="Arial" w:cs="Arial"/>
          <w:color w:val="000000"/>
          <w:sz w:val="24"/>
          <w:szCs w:val="24"/>
          <w:shd w:val="clear" w:color="auto" w:fill="FFFFFF"/>
        </w:rPr>
      </w:pPr>
      <w:r w:rsidRPr="00FE7C99">
        <w:rPr>
          <w:rFonts w:ascii="Arial" w:eastAsia="Arial" w:hAnsi="Arial" w:cs="Arial"/>
          <w:sz w:val="24"/>
          <w:szCs w:val="24"/>
        </w:rPr>
        <w:t>T</w:t>
      </w:r>
      <w:r w:rsidR="00AC779C" w:rsidRPr="00FE7C99">
        <w:rPr>
          <w:rFonts w:ascii="Arial" w:eastAsia="Arial" w:hAnsi="Arial" w:cs="Arial"/>
          <w:sz w:val="24"/>
          <w:szCs w:val="24"/>
        </w:rPr>
        <w:t>he Order is incorrect that IGS was required to demonstrate the unreasonableness of the switching fee</w:t>
      </w:r>
      <w:r w:rsidR="00506B26" w:rsidRPr="00FE7C99">
        <w:rPr>
          <w:rFonts w:ascii="Arial" w:eastAsia="Arial" w:hAnsi="Arial" w:cs="Arial"/>
          <w:sz w:val="24"/>
          <w:szCs w:val="24"/>
        </w:rPr>
        <w:t xml:space="preserve"> and the historical usage fee. </w:t>
      </w:r>
      <w:r w:rsidR="00AC779C" w:rsidRPr="00FE7C99">
        <w:rPr>
          <w:rFonts w:ascii="Arial" w:eastAsia="Arial" w:hAnsi="Arial" w:cs="Arial"/>
          <w:sz w:val="24"/>
          <w:szCs w:val="24"/>
        </w:rPr>
        <w:t xml:space="preserve"> This is a dist</w:t>
      </w:r>
      <w:r w:rsidR="00506B26" w:rsidRPr="00FE7C99">
        <w:rPr>
          <w:rFonts w:ascii="Arial" w:eastAsia="Arial" w:hAnsi="Arial" w:cs="Arial"/>
          <w:sz w:val="24"/>
          <w:szCs w:val="24"/>
        </w:rPr>
        <w:t xml:space="preserve">ribution rate case in which </w:t>
      </w:r>
      <w:r w:rsidR="00506B26" w:rsidRPr="00FE7C99">
        <w:rPr>
          <w:rFonts w:ascii="Arial" w:eastAsia="Arial" w:hAnsi="Arial" w:cs="Arial"/>
          <w:sz w:val="24"/>
          <w:szCs w:val="24"/>
        </w:rPr>
        <w:lastRenderedPageBreak/>
        <w:t>Duke requested authority to increase its rates for</w:t>
      </w:r>
      <w:r w:rsidR="00AC779C" w:rsidRPr="00FE7C99">
        <w:rPr>
          <w:rFonts w:ascii="Arial" w:eastAsia="Arial" w:hAnsi="Arial" w:cs="Arial"/>
          <w:sz w:val="24"/>
          <w:szCs w:val="24"/>
        </w:rPr>
        <w:t xml:space="preserve"> non-competitive </w:t>
      </w:r>
      <w:r w:rsidR="00506B26" w:rsidRPr="00FE7C99">
        <w:rPr>
          <w:rFonts w:ascii="Arial" w:eastAsia="Arial" w:hAnsi="Arial" w:cs="Arial"/>
          <w:sz w:val="24"/>
          <w:szCs w:val="24"/>
        </w:rPr>
        <w:t xml:space="preserve">services.  This includes the services that Duke </w:t>
      </w:r>
      <w:r w:rsidR="00AC779C" w:rsidRPr="00FE7C99">
        <w:rPr>
          <w:rFonts w:ascii="Arial" w:eastAsia="Arial" w:hAnsi="Arial" w:cs="Arial"/>
          <w:sz w:val="24"/>
          <w:szCs w:val="24"/>
        </w:rPr>
        <w:t xml:space="preserve">provides to CRES providers. </w:t>
      </w:r>
      <w:r w:rsidR="00AC779C" w:rsidRPr="00FE7C99">
        <w:rPr>
          <w:rFonts w:ascii="Arial" w:hAnsi="Arial" w:cs="Arial"/>
          <w:color w:val="000000"/>
          <w:sz w:val="24"/>
          <w:szCs w:val="24"/>
          <w:shd w:val="clear" w:color="auto" w:fill="FFFFFF"/>
        </w:rPr>
        <w:t xml:space="preserve">  Pursuant to R.C. 4909.15(C)(1), the “revenues and expenses of the utility shall be determined during a test period.” </w:t>
      </w:r>
      <w:r w:rsidR="00AC779C" w:rsidRPr="00FE7C99">
        <w:rPr>
          <w:rFonts w:ascii="Arial" w:eastAsia="Arial" w:hAnsi="Arial" w:cs="Arial"/>
          <w:sz w:val="24"/>
          <w:szCs w:val="24"/>
        </w:rPr>
        <w:t xml:space="preserve">  In </w:t>
      </w:r>
      <w:r w:rsidR="00AC779C" w:rsidRPr="00FE7C99">
        <w:rPr>
          <w:rFonts w:ascii="Arial" w:hAnsi="Arial" w:cs="Arial"/>
          <w:color w:val="000000"/>
          <w:sz w:val="24"/>
          <w:szCs w:val="24"/>
          <w:shd w:val="clear" w:color="auto" w:fill="FFFFFF"/>
        </w:rPr>
        <w:t xml:space="preserve">a distribution rate case, “the burden of proof to show that the increased rates or charges are just and reasonable shall be on the public utility.” R.C. 4909.18 and R.C. 4909.19(C). </w:t>
      </w:r>
    </w:p>
    <w:p w14:paraId="190886FB" w14:textId="30046398" w:rsidR="00737F99" w:rsidRPr="00FE7C99" w:rsidRDefault="00506B26" w:rsidP="00737F99">
      <w:pPr>
        <w:spacing w:after="0" w:line="480" w:lineRule="auto"/>
        <w:ind w:firstLine="720"/>
        <w:jc w:val="both"/>
        <w:rPr>
          <w:rFonts w:ascii="Arial" w:hAnsi="Arial" w:cs="Arial"/>
          <w:color w:val="000000"/>
          <w:sz w:val="24"/>
          <w:szCs w:val="24"/>
          <w:shd w:val="clear" w:color="auto" w:fill="FFFFFF"/>
        </w:rPr>
      </w:pPr>
      <w:r w:rsidRPr="00FE7C99">
        <w:rPr>
          <w:rFonts w:ascii="Arial" w:hAnsi="Arial" w:cs="Arial"/>
          <w:color w:val="000000"/>
          <w:sz w:val="24"/>
          <w:szCs w:val="24"/>
          <w:shd w:val="clear" w:color="auto" w:fill="FFFFFF"/>
        </w:rPr>
        <w:t xml:space="preserve">Accordingly, </w:t>
      </w:r>
      <w:r w:rsidRPr="00FE7C99">
        <w:rPr>
          <w:rFonts w:ascii="Arial" w:hAnsi="Arial" w:cs="Arial"/>
          <w:i/>
          <w:color w:val="000000"/>
          <w:sz w:val="24"/>
          <w:szCs w:val="24"/>
          <w:shd w:val="clear" w:color="auto" w:fill="FFFFFF"/>
        </w:rPr>
        <w:t>Duke</w:t>
      </w:r>
      <w:r w:rsidR="00AC779C" w:rsidRPr="00FE7C99">
        <w:rPr>
          <w:rFonts w:ascii="Arial" w:hAnsi="Arial" w:cs="Arial"/>
          <w:i/>
          <w:color w:val="000000"/>
          <w:sz w:val="24"/>
          <w:szCs w:val="24"/>
          <w:shd w:val="clear" w:color="auto" w:fill="FFFFFF"/>
        </w:rPr>
        <w:t>’s costs for providing non-competitive services to CRES providers is embedded in the test year expense in this case</w:t>
      </w:r>
      <w:r w:rsidR="00AC779C" w:rsidRPr="00FE7C99">
        <w:rPr>
          <w:rFonts w:ascii="Arial" w:hAnsi="Arial" w:cs="Arial"/>
          <w:color w:val="000000"/>
          <w:sz w:val="24"/>
          <w:szCs w:val="24"/>
          <w:shd w:val="clear" w:color="auto" w:fill="FFFFFF"/>
        </w:rPr>
        <w:t xml:space="preserve">.  Likewise, </w:t>
      </w:r>
      <w:r w:rsidR="00AC779C" w:rsidRPr="00FE7C99">
        <w:rPr>
          <w:rFonts w:ascii="Arial" w:hAnsi="Arial" w:cs="Arial"/>
          <w:i/>
          <w:color w:val="000000"/>
          <w:sz w:val="24"/>
          <w:szCs w:val="24"/>
          <w:shd w:val="clear" w:color="auto" w:fill="FFFFFF"/>
        </w:rPr>
        <w:t>t</w:t>
      </w:r>
      <w:r w:rsidRPr="00FE7C99">
        <w:rPr>
          <w:rFonts w:ascii="Arial" w:hAnsi="Arial" w:cs="Arial"/>
          <w:i/>
          <w:color w:val="000000"/>
          <w:sz w:val="24"/>
          <w:szCs w:val="24"/>
          <w:shd w:val="clear" w:color="auto" w:fill="FFFFFF"/>
        </w:rPr>
        <w:t>he revenues that Duke</w:t>
      </w:r>
      <w:r w:rsidR="00AC779C" w:rsidRPr="00FE7C99">
        <w:rPr>
          <w:rFonts w:ascii="Arial" w:hAnsi="Arial" w:cs="Arial"/>
          <w:i/>
          <w:color w:val="000000"/>
          <w:sz w:val="24"/>
          <w:szCs w:val="24"/>
          <w:shd w:val="clear" w:color="auto" w:fill="FFFFFF"/>
        </w:rPr>
        <w:t xml:space="preserve"> collects pursuant t</w:t>
      </w:r>
      <w:r w:rsidR="00C27FDD" w:rsidRPr="00FE7C99">
        <w:rPr>
          <w:rFonts w:ascii="Arial" w:hAnsi="Arial" w:cs="Arial"/>
          <w:i/>
          <w:color w:val="000000"/>
          <w:sz w:val="24"/>
          <w:szCs w:val="24"/>
          <w:shd w:val="clear" w:color="auto" w:fill="FFFFFF"/>
        </w:rPr>
        <w:t>o these fees is a credit to Duke</w:t>
      </w:r>
      <w:r w:rsidR="00AC779C" w:rsidRPr="00FE7C99">
        <w:rPr>
          <w:rFonts w:ascii="Arial" w:hAnsi="Arial" w:cs="Arial"/>
          <w:i/>
          <w:color w:val="000000"/>
          <w:sz w:val="24"/>
          <w:szCs w:val="24"/>
          <w:shd w:val="clear" w:color="auto" w:fill="FFFFFF"/>
        </w:rPr>
        <w:t>’s costs.</w:t>
      </w:r>
      <w:r w:rsidR="00AC779C" w:rsidRPr="00FE7C99">
        <w:rPr>
          <w:rFonts w:ascii="Arial" w:hAnsi="Arial" w:cs="Arial"/>
          <w:color w:val="000000"/>
          <w:sz w:val="24"/>
          <w:szCs w:val="24"/>
          <w:shd w:val="clear" w:color="auto" w:fill="FFFFFF"/>
        </w:rPr>
        <w:t xml:space="preserve"> </w:t>
      </w:r>
      <w:r w:rsidRPr="00FE7C99">
        <w:rPr>
          <w:rFonts w:ascii="Arial" w:hAnsi="Arial" w:cs="Arial"/>
          <w:color w:val="000000"/>
          <w:sz w:val="24"/>
          <w:szCs w:val="24"/>
          <w:shd w:val="clear" w:color="auto" w:fill="FFFFFF"/>
        </w:rPr>
        <w:t xml:space="preserve"> </w:t>
      </w:r>
      <w:r w:rsidR="00AC779C" w:rsidRPr="00FE7C99">
        <w:rPr>
          <w:rFonts w:ascii="Arial" w:hAnsi="Arial" w:cs="Arial"/>
          <w:color w:val="000000"/>
          <w:sz w:val="24"/>
          <w:szCs w:val="24"/>
          <w:shd w:val="clear" w:color="auto" w:fill="FFFFFF"/>
        </w:rPr>
        <w:t>Theref</w:t>
      </w:r>
      <w:r w:rsidR="003548FA" w:rsidRPr="00FE7C99">
        <w:rPr>
          <w:rFonts w:ascii="Arial" w:hAnsi="Arial" w:cs="Arial"/>
          <w:color w:val="000000"/>
          <w:sz w:val="24"/>
          <w:szCs w:val="24"/>
          <w:shd w:val="clear" w:color="auto" w:fill="FFFFFF"/>
        </w:rPr>
        <w:t>ore, the combined impact of Duke</w:t>
      </w:r>
      <w:r w:rsidR="00AC779C" w:rsidRPr="00FE7C99">
        <w:rPr>
          <w:rFonts w:ascii="Arial" w:hAnsi="Arial" w:cs="Arial"/>
          <w:color w:val="000000"/>
          <w:sz w:val="24"/>
          <w:szCs w:val="24"/>
          <w:shd w:val="clear" w:color="auto" w:fill="FFFFFF"/>
        </w:rPr>
        <w:t xml:space="preserve">’s fees and expenses is embedded in the revenue requirement the Order authorized.  </w:t>
      </w:r>
      <w:r w:rsidR="003548FA" w:rsidRPr="00FE7C99">
        <w:rPr>
          <w:rFonts w:ascii="Arial" w:hAnsi="Arial" w:cs="Arial"/>
          <w:color w:val="000000"/>
          <w:sz w:val="24"/>
          <w:szCs w:val="24"/>
          <w:shd w:val="clear" w:color="auto" w:fill="FFFFFF"/>
        </w:rPr>
        <w:t>Given’s Duke</w:t>
      </w:r>
      <w:r w:rsidR="00DA1783" w:rsidRPr="00FE7C99">
        <w:rPr>
          <w:rFonts w:ascii="Arial" w:hAnsi="Arial" w:cs="Arial"/>
          <w:color w:val="000000"/>
          <w:sz w:val="24"/>
          <w:szCs w:val="24"/>
          <w:shd w:val="clear" w:color="auto" w:fill="FFFFFF"/>
        </w:rPr>
        <w:t>’s burden of proof,</w:t>
      </w:r>
      <w:r w:rsidR="00AC779C" w:rsidRPr="00FE7C99">
        <w:rPr>
          <w:rFonts w:ascii="Arial" w:hAnsi="Arial" w:cs="Arial"/>
          <w:color w:val="000000"/>
          <w:sz w:val="24"/>
          <w:szCs w:val="24"/>
          <w:shd w:val="clear" w:color="auto" w:fill="FFFFFF"/>
        </w:rPr>
        <w:t xml:space="preserve"> </w:t>
      </w:r>
      <w:r w:rsidR="00DA1783" w:rsidRPr="00FE7C99">
        <w:rPr>
          <w:rFonts w:ascii="Arial" w:hAnsi="Arial" w:cs="Arial"/>
          <w:color w:val="000000"/>
          <w:sz w:val="24"/>
          <w:szCs w:val="24"/>
          <w:shd w:val="clear" w:color="auto" w:fill="FFFFFF"/>
        </w:rPr>
        <w:t xml:space="preserve">the </w:t>
      </w:r>
      <w:r w:rsidR="00AC779C" w:rsidRPr="00FE7C99">
        <w:rPr>
          <w:rFonts w:ascii="Arial" w:hAnsi="Arial" w:cs="Arial"/>
          <w:color w:val="000000"/>
          <w:sz w:val="24"/>
          <w:szCs w:val="24"/>
          <w:shd w:val="clear" w:color="auto" w:fill="FFFFFF"/>
        </w:rPr>
        <w:t>Order should have required</w:t>
      </w:r>
      <w:r w:rsidR="003548FA" w:rsidRPr="00FE7C99">
        <w:rPr>
          <w:rFonts w:ascii="Arial" w:hAnsi="Arial" w:cs="Arial"/>
          <w:color w:val="000000"/>
          <w:sz w:val="24"/>
          <w:szCs w:val="24"/>
          <w:shd w:val="clear" w:color="auto" w:fill="FFFFFF"/>
        </w:rPr>
        <w:t xml:space="preserve"> it</w:t>
      </w:r>
      <w:r w:rsidR="00AC779C" w:rsidRPr="00FE7C99">
        <w:rPr>
          <w:rFonts w:ascii="Arial" w:hAnsi="Arial" w:cs="Arial"/>
          <w:color w:val="000000"/>
          <w:sz w:val="24"/>
          <w:szCs w:val="24"/>
          <w:shd w:val="clear" w:color="auto" w:fill="FFFFFF"/>
        </w:rPr>
        <w:t xml:space="preserve"> to demonstrate that its fees are just and reasonable if they </w:t>
      </w:r>
      <w:r w:rsidR="003548FA" w:rsidRPr="00FE7C99">
        <w:rPr>
          <w:rFonts w:ascii="Arial" w:hAnsi="Arial" w:cs="Arial"/>
          <w:color w:val="000000"/>
          <w:sz w:val="24"/>
          <w:szCs w:val="24"/>
          <w:shd w:val="clear" w:color="auto" w:fill="FFFFFF"/>
        </w:rPr>
        <w:t>are to be assessed at all.  Duke</w:t>
      </w:r>
      <w:r w:rsidR="00AC779C" w:rsidRPr="00FE7C99">
        <w:rPr>
          <w:rFonts w:ascii="Arial" w:hAnsi="Arial" w:cs="Arial"/>
          <w:color w:val="000000"/>
          <w:sz w:val="24"/>
          <w:szCs w:val="24"/>
          <w:shd w:val="clear" w:color="auto" w:fill="FFFFFF"/>
        </w:rPr>
        <w:t xml:space="preserve">, however, provided no evidentiary support for such fees and the Order cited no record evidence to support the calculation of the fees.  Therefore, the Order is unlawful and unreasonable. </w:t>
      </w:r>
      <w:r w:rsidR="003849D3" w:rsidRPr="00FE7C99">
        <w:rPr>
          <w:rFonts w:ascii="Arial" w:hAnsi="Arial" w:cs="Arial"/>
          <w:sz w:val="24"/>
          <w:szCs w:val="24"/>
        </w:rPr>
        <w:t>“A</w:t>
      </w:r>
      <w:r w:rsidR="00AC779C" w:rsidRPr="00FE7C99">
        <w:rPr>
          <w:rFonts w:ascii="Arial" w:hAnsi="Arial" w:cs="Arial"/>
          <w:sz w:val="24"/>
          <w:szCs w:val="24"/>
        </w:rPr>
        <w:t xml:space="preserve"> legion of cases establish that the commission abuses its discretion if it renders an opinion on an issue without record support.”</w:t>
      </w:r>
      <w:r w:rsidR="00AC779C" w:rsidRPr="00FE7C99">
        <w:rPr>
          <w:rFonts w:ascii="Arial" w:hAnsi="Arial" w:cs="Arial"/>
          <w:i/>
          <w:sz w:val="24"/>
          <w:szCs w:val="24"/>
        </w:rPr>
        <w:t xml:space="preserve"> Cleveland Elec. Illum. Co. v. Pub. Util. Comm’n Ohio</w:t>
      </w:r>
      <w:r w:rsidR="00AC779C" w:rsidRPr="00FE7C99">
        <w:rPr>
          <w:rFonts w:ascii="Arial" w:hAnsi="Arial" w:cs="Arial"/>
          <w:sz w:val="24"/>
          <w:szCs w:val="24"/>
        </w:rPr>
        <w:t>, 76 Ohio St.3d 163, 166 (1996).</w:t>
      </w:r>
      <w:r w:rsidR="00AC779C" w:rsidRPr="00FE7C99">
        <w:rPr>
          <w:rFonts w:ascii="Arial" w:hAnsi="Arial" w:cs="Arial"/>
          <w:i/>
          <w:sz w:val="24"/>
          <w:szCs w:val="24"/>
        </w:rPr>
        <w:t xml:space="preserve"> Westside Cellular, Inc. v. Pub. Util. Comm.</w:t>
      </w:r>
      <w:r w:rsidR="00AC779C" w:rsidRPr="00FE7C99">
        <w:rPr>
          <w:rFonts w:ascii="Arial" w:hAnsi="Arial" w:cs="Arial"/>
          <w:sz w:val="24"/>
          <w:szCs w:val="24"/>
        </w:rPr>
        <w:t>, 98 Ohio St. 3d 165.  Just as the Commission has</w:t>
      </w:r>
      <w:r w:rsidR="00DA1783" w:rsidRPr="00FE7C99">
        <w:rPr>
          <w:rFonts w:ascii="Arial" w:hAnsi="Arial" w:cs="Arial"/>
          <w:sz w:val="24"/>
          <w:szCs w:val="24"/>
        </w:rPr>
        <w:t xml:space="preserve"> previously</w:t>
      </w:r>
      <w:r w:rsidR="00AC779C" w:rsidRPr="00FE7C99">
        <w:rPr>
          <w:rFonts w:ascii="Arial" w:hAnsi="Arial" w:cs="Arial"/>
          <w:sz w:val="24"/>
          <w:szCs w:val="24"/>
        </w:rPr>
        <w:t xml:space="preserve"> declined to authorize rates without an evidentiary basis, the</w:t>
      </w:r>
      <w:r w:rsidR="00737F99" w:rsidRPr="00FE7C99">
        <w:rPr>
          <w:rFonts w:ascii="Arial" w:hAnsi="Arial" w:cs="Arial"/>
          <w:sz w:val="24"/>
          <w:szCs w:val="24"/>
        </w:rPr>
        <w:t xml:space="preserve"> Order should have directed Duke</w:t>
      </w:r>
      <w:r w:rsidR="00AC779C" w:rsidRPr="00FE7C99">
        <w:rPr>
          <w:rFonts w:ascii="Arial" w:hAnsi="Arial" w:cs="Arial"/>
          <w:sz w:val="24"/>
          <w:szCs w:val="24"/>
        </w:rPr>
        <w:t xml:space="preserve"> to eliminate its unsubstantiated switching fee and historical usage fee.</w:t>
      </w:r>
      <w:r w:rsidR="00AC779C" w:rsidRPr="00FE7C99">
        <w:rPr>
          <w:rFonts w:ascii="Arial" w:hAnsi="Arial" w:cs="Arial"/>
          <w:color w:val="000000"/>
          <w:sz w:val="24"/>
          <w:szCs w:val="24"/>
          <w:shd w:val="clear" w:color="auto" w:fill="FFFFFF"/>
        </w:rPr>
        <w:t xml:space="preserve"> </w:t>
      </w:r>
      <w:r w:rsidR="00AC779C" w:rsidRPr="00FE7C99">
        <w:rPr>
          <w:rFonts w:ascii="Arial" w:hAnsi="Arial" w:cs="Arial"/>
          <w:i/>
          <w:color w:val="000000"/>
          <w:sz w:val="24"/>
          <w:szCs w:val="24"/>
          <w:shd w:val="clear" w:color="auto" w:fill="FFFFFF"/>
        </w:rPr>
        <w:t>Cincinnati Bell Tel. Co. v. Pub. Util. Comm’n Ohio.</w:t>
      </w:r>
      <w:r w:rsidR="00AC779C" w:rsidRPr="00FE7C99">
        <w:rPr>
          <w:rFonts w:ascii="Arial" w:hAnsi="Arial" w:cs="Arial"/>
          <w:color w:val="000000"/>
          <w:sz w:val="24"/>
          <w:szCs w:val="24"/>
          <w:shd w:val="clear" w:color="auto" w:fill="FFFFFF"/>
        </w:rPr>
        <w:t>, 12 Ohio St. 3d 280, 287.  The Order impermissibly shifted the burden of demonstrating the unreasonableness of these fees to IGS.</w:t>
      </w:r>
    </w:p>
    <w:p w14:paraId="65BE9F3C" w14:textId="64793FE5" w:rsidR="003849D3" w:rsidRPr="00157A5C" w:rsidRDefault="002B26D0" w:rsidP="00157A5C">
      <w:pPr>
        <w:spacing w:after="0" w:line="480" w:lineRule="auto"/>
        <w:ind w:firstLine="720"/>
        <w:jc w:val="both"/>
        <w:rPr>
          <w:rFonts w:ascii="Arial" w:eastAsia="Arial" w:hAnsi="Arial" w:cs="Arial"/>
          <w:sz w:val="24"/>
          <w:szCs w:val="24"/>
        </w:rPr>
      </w:pPr>
      <w:r w:rsidRPr="00FE7C99">
        <w:rPr>
          <w:rFonts w:ascii="Arial" w:eastAsia="Arial" w:hAnsi="Arial" w:cs="Arial"/>
          <w:sz w:val="24"/>
          <w:szCs w:val="24"/>
        </w:rPr>
        <w:t>Moreover, s</w:t>
      </w:r>
      <w:r w:rsidR="00AC779C" w:rsidRPr="00FE7C99">
        <w:rPr>
          <w:rFonts w:ascii="Arial" w:eastAsia="Arial" w:hAnsi="Arial" w:cs="Arial"/>
          <w:sz w:val="24"/>
          <w:szCs w:val="24"/>
        </w:rPr>
        <w:t xml:space="preserve">electively imposing switching fees on </w:t>
      </w:r>
      <w:r w:rsidR="00433B5F">
        <w:rPr>
          <w:rFonts w:ascii="Arial" w:eastAsia="Arial" w:hAnsi="Arial" w:cs="Arial"/>
          <w:sz w:val="24"/>
          <w:szCs w:val="24"/>
        </w:rPr>
        <w:t xml:space="preserve">customers </w:t>
      </w:r>
      <w:r w:rsidR="00DE193B">
        <w:rPr>
          <w:rFonts w:ascii="Arial" w:eastAsia="Arial" w:hAnsi="Arial" w:cs="Arial"/>
          <w:sz w:val="24"/>
          <w:szCs w:val="24"/>
        </w:rPr>
        <w:t>when</w:t>
      </w:r>
      <w:r w:rsidR="008B095E">
        <w:rPr>
          <w:rFonts w:ascii="Arial" w:eastAsia="Arial" w:hAnsi="Arial" w:cs="Arial"/>
          <w:sz w:val="24"/>
          <w:szCs w:val="24"/>
        </w:rPr>
        <w:t xml:space="preserve"> </w:t>
      </w:r>
      <w:r w:rsidR="00DE193B">
        <w:rPr>
          <w:rFonts w:ascii="Arial" w:eastAsia="Arial" w:hAnsi="Arial" w:cs="Arial"/>
          <w:sz w:val="24"/>
          <w:szCs w:val="24"/>
        </w:rPr>
        <w:t>they request</w:t>
      </w:r>
      <w:r w:rsidR="00BC7205">
        <w:rPr>
          <w:rFonts w:ascii="Arial" w:eastAsia="Arial" w:hAnsi="Arial" w:cs="Arial"/>
          <w:sz w:val="24"/>
          <w:szCs w:val="24"/>
        </w:rPr>
        <w:t xml:space="preserve"> a change in their generation </w:t>
      </w:r>
      <w:r w:rsidR="00D734FB">
        <w:rPr>
          <w:rFonts w:ascii="Arial" w:eastAsia="Arial" w:hAnsi="Arial" w:cs="Arial"/>
          <w:sz w:val="24"/>
          <w:szCs w:val="24"/>
        </w:rPr>
        <w:t>provider</w:t>
      </w:r>
      <w:r w:rsidR="00433B5F">
        <w:rPr>
          <w:rFonts w:ascii="Arial" w:eastAsia="Arial" w:hAnsi="Arial" w:cs="Arial"/>
          <w:sz w:val="24"/>
          <w:szCs w:val="24"/>
        </w:rPr>
        <w:t xml:space="preserve"> </w:t>
      </w:r>
      <w:r w:rsidR="00AC779C" w:rsidRPr="00FE7C99">
        <w:rPr>
          <w:rFonts w:ascii="Arial" w:eastAsia="Arial" w:hAnsi="Arial" w:cs="Arial"/>
          <w:sz w:val="24"/>
          <w:szCs w:val="24"/>
        </w:rPr>
        <w:t>violate</w:t>
      </w:r>
      <w:r w:rsidR="00D734FB">
        <w:rPr>
          <w:rFonts w:ascii="Arial" w:eastAsia="Arial" w:hAnsi="Arial" w:cs="Arial"/>
          <w:sz w:val="24"/>
          <w:szCs w:val="24"/>
        </w:rPr>
        <w:t>s</w:t>
      </w:r>
      <w:r w:rsidR="00AC779C" w:rsidRPr="00FE7C99">
        <w:rPr>
          <w:rFonts w:ascii="Arial" w:eastAsia="Arial" w:hAnsi="Arial" w:cs="Arial"/>
          <w:sz w:val="24"/>
          <w:szCs w:val="24"/>
        </w:rPr>
        <w:t xml:space="preserve"> Ohio law.  Under R.C. 4905.35, “[n]o public </w:t>
      </w:r>
      <w:r w:rsidR="00AC779C" w:rsidRPr="00FE7C99">
        <w:rPr>
          <w:rFonts w:ascii="Arial" w:eastAsia="Arial" w:hAnsi="Arial" w:cs="Arial"/>
          <w:sz w:val="24"/>
          <w:szCs w:val="24"/>
        </w:rPr>
        <w:lastRenderedPageBreak/>
        <w:t>utility shall make or give any undue or unreasonable preference or advantage to any person, firm, corporation, or locality, or subject any person, firm, corporation, or locality to any undue or unreasonable prejudice or disadvantage.”  Moreover, it is the state policy to “</w:t>
      </w:r>
      <w:r w:rsidR="003849D3" w:rsidRPr="00FE7C99">
        <w:rPr>
          <w:rFonts w:ascii="Arial" w:eastAsia="Arial" w:hAnsi="Arial" w:cs="Arial"/>
          <w:sz w:val="24"/>
          <w:szCs w:val="24"/>
        </w:rPr>
        <w:t>[e]</w:t>
      </w:r>
      <w:r w:rsidR="00AC779C" w:rsidRPr="00FE7C99">
        <w:rPr>
          <w:rFonts w:ascii="Arial" w:eastAsia="Arial" w:hAnsi="Arial" w:cs="Arial"/>
          <w:sz w:val="24"/>
          <w:szCs w:val="24"/>
        </w:rPr>
        <w:t>nsure the availability to consumers of adequate, reliable, safe, efficient, nondiscriminatory, and reasonably priced retail electric service.”</w:t>
      </w:r>
      <w:r w:rsidR="00AC779C" w:rsidRPr="00FE7C99">
        <w:rPr>
          <w:rStyle w:val="FootnoteReference"/>
          <w:rFonts w:ascii="Arial" w:eastAsia="Arial" w:hAnsi="Arial" w:cs="Arial"/>
          <w:sz w:val="24"/>
          <w:szCs w:val="24"/>
        </w:rPr>
        <w:footnoteReference w:id="74"/>
      </w:r>
      <w:r w:rsidR="00AC779C" w:rsidRPr="00FE7C99">
        <w:rPr>
          <w:rFonts w:ascii="Arial" w:eastAsia="Arial" w:hAnsi="Arial" w:cs="Arial"/>
          <w:sz w:val="24"/>
          <w:szCs w:val="24"/>
        </w:rPr>
        <w:t xml:space="preserve"> It is unduly discriminatory and unreasonable to impose a switching fee on customers </w:t>
      </w:r>
      <w:r w:rsidR="00C104EA">
        <w:rPr>
          <w:rFonts w:ascii="Arial" w:eastAsia="Arial" w:hAnsi="Arial" w:cs="Arial"/>
          <w:sz w:val="24"/>
          <w:szCs w:val="24"/>
        </w:rPr>
        <w:t xml:space="preserve">only when they are </w:t>
      </w:r>
      <w:r w:rsidR="00AC779C" w:rsidRPr="00FE7C99">
        <w:rPr>
          <w:rFonts w:ascii="Arial" w:eastAsia="Arial" w:hAnsi="Arial" w:cs="Arial"/>
          <w:sz w:val="24"/>
          <w:szCs w:val="24"/>
        </w:rPr>
        <w:t>selecting a CRES provider, whi</w:t>
      </w:r>
      <w:r w:rsidR="00B8213A">
        <w:rPr>
          <w:rFonts w:ascii="Arial" w:eastAsia="Arial" w:hAnsi="Arial" w:cs="Arial"/>
          <w:sz w:val="24"/>
          <w:szCs w:val="24"/>
        </w:rPr>
        <w:t>le imposing no fee on customers</w:t>
      </w:r>
      <w:r w:rsidR="00DA1783" w:rsidRPr="00FE7C99">
        <w:rPr>
          <w:rFonts w:ascii="Arial" w:eastAsia="Arial" w:hAnsi="Arial" w:cs="Arial"/>
          <w:sz w:val="24"/>
          <w:szCs w:val="24"/>
        </w:rPr>
        <w:t xml:space="preserve"> </w:t>
      </w:r>
      <w:r w:rsidR="00610322">
        <w:rPr>
          <w:rFonts w:ascii="Arial" w:eastAsia="Arial" w:hAnsi="Arial" w:cs="Arial"/>
          <w:sz w:val="24"/>
          <w:szCs w:val="24"/>
        </w:rPr>
        <w:t xml:space="preserve">when they are selecting </w:t>
      </w:r>
      <w:r w:rsidR="00AC779C" w:rsidRPr="00FE7C99">
        <w:rPr>
          <w:rFonts w:ascii="Arial" w:eastAsia="Arial" w:hAnsi="Arial" w:cs="Arial"/>
          <w:sz w:val="24"/>
          <w:szCs w:val="24"/>
        </w:rPr>
        <w:t>the SSO.</w:t>
      </w:r>
      <w:r w:rsidR="00773F49">
        <w:rPr>
          <w:rStyle w:val="FootnoteReference"/>
          <w:rFonts w:ascii="Arial" w:eastAsia="Arial" w:hAnsi="Arial" w:cs="Arial"/>
          <w:sz w:val="24"/>
          <w:szCs w:val="24"/>
        </w:rPr>
        <w:footnoteReference w:id="75"/>
      </w:r>
      <w:r w:rsidR="00AC779C" w:rsidRPr="00FE7C99">
        <w:rPr>
          <w:rFonts w:ascii="Arial" w:eastAsia="Arial" w:hAnsi="Arial" w:cs="Arial"/>
          <w:sz w:val="24"/>
          <w:szCs w:val="24"/>
        </w:rPr>
        <w:t xml:space="preserve">  To the extent that the Order does not eliminate the switching fee altogether, at a minimum, it must be applied to customers that switch to the SSO.</w:t>
      </w:r>
    </w:p>
    <w:p w14:paraId="34FF306A" w14:textId="16BAB4B5" w:rsidR="00C11C42" w:rsidRPr="00FE7C99" w:rsidRDefault="00C11C42" w:rsidP="00085D04">
      <w:pPr>
        <w:pStyle w:val="ListParagraph"/>
        <w:numPr>
          <w:ilvl w:val="0"/>
          <w:numId w:val="13"/>
        </w:numPr>
        <w:autoSpaceDE w:val="0"/>
        <w:autoSpaceDN w:val="0"/>
        <w:adjustRightInd w:val="0"/>
        <w:spacing w:after="0" w:line="240" w:lineRule="auto"/>
        <w:jc w:val="both"/>
        <w:rPr>
          <w:rFonts w:ascii="Arial" w:eastAsia="Calibri" w:hAnsi="Arial" w:cs="Arial"/>
          <w:b/>
          <w:sz w:val="24"/>
          <w:szCs w:val="24"/>
        </w:rPr>
      </w:pPr>
      <w:r w:rsidRPr="00FE7C99">
        <w:rPr>
          <w:rFonts w:ascii="Arial" w:eastAsia="Calibri" w:hAnsi="Arial" w:cs="Arial"/>
          <w:b/>
          <w:sz w:val="24"/>
          <w:szCs w:val="24"/>
        </w:rPr>
        <w:t xml:space="preserve">The Order </w:t>
      </w:r>
      <w:r w:rsidR="000F2047" w:rsidRPr="00650A7C">
        <w:rPr>
          <w:rFonts w:ascii="Arial" w:eastAsia="Calibri" w:hAnsi="Arial" w:cs="Arial"/>
          <w:b/>
          <w:sz w:val="24"/>
          <w:szCs w:val="24"/>
        </w:rPr>
        <w:t>u</w:t>
      </w:r>
      <w:r w:rsidRPr="00FE7C99">
        <w:rPr>
          <w:rFonts w:ascii="Arial" w:eastAsia="Calibri" w:hAnsi="Arial" w:cs="Arial"/>
          <w:b/>
          <w:sz w:val="24"/>
          <w:szCs w:val="24"/>
        </w:rPr>
        <w:t xml:space="preserve">nlawfully, </w:t>
      </w:r>
      <w:r w:rsidR="000F2047" w:rsidRPr="00650A7C">
        <w:rPr>
          <w:rFonts w:ascii="Arial" w:eastAsia="Calibri" w:hAnsi="Arial" w:cs="Arial"/>
          <w:b/>
          <w:sz w:val="24"/>
          <w:szCs w:val="24"/>
        </w:rPr>
        <w:t>u</w:t>
      </w:r>
      <w:r w:rsidRPr="00FE7C99">
        <w:rPr>
          <w:rFonts w:ascii="Arial" w:eastAsia="Calibri" w:hAnsi="Arial" w:cs="Arial"/>
          <w:b/>
          <w:sz w:val="24"/>
          <w:szCs w:val="24"/>
        </w:rPr>
        <w:t xml:space="preserve">njustly, and </w:t>
      </w:r>
      <w:r w:rsidR="000F2047" w:rsidRPr="00650A7C">
        <w:rPr>
          <w:rFonts w:ascii="Arial" w:eastAsia="Calibri" w:hAnsi="Arial" w:cs="Arial"/>
          <w:b/>
          <w:sz w:val="24"/>
          <w:szCs w:val="24"/>
        </w:rPr>
        <w:t>u</w:t>
      </w:r>
      <w:r w:rsidRPr="00FE7C99">
        <w:rPr>
          <w:rFonts w:ascii="Arial" w:eastAsia="Calibri" w:hAnsi="Arial" w:cs="Arial"/>
          <w:b/>
          <w:sz w:val="24"/>
          <w:szCs w:val="24"/>
        </w:rPr>
        <w:t xml:space="preserve">nreasonably permitted Duke to Discriminate against CRES providers in the provision of non-electric services on the utility consolidated billing in violation of </w:t>
      </w:r>
      <w:r w:rsidR="001D34DA" w:rsidRPr="00650A7C">
        <w:rPr>
          <w:rFonts w:ascii="Arial" w:eastAsia="Calibri" w:hAnsi="Arial" w:cs="Arial"/>
          <w:b/>
          <w:sz w:val="24"/>
          <w:szCs w:val="24"/>
        </w:rPr>
        <w:t>R.C. 4905.35(A)</w:t>
      </w:r>
      <w:r w:rsidR="0003529C" w:rsidRPr="00650A7C">
        <w:rPr>
          <w:rFonts w:ascii="Arial" w:eastAsia="Calibri" w:hAnsi="Arial" w:cs="Arial"/>
          <w:b/>
          <w:sz w:val="24"/>
          <w:szCs w:val="24"/>
        </w:rPr>
        <w:t>.</w:t>
      </w:r>
    </w:p>
    <w:p w14:paraId="5D6A962A" w14:textId="7DEF99A0" w:rsidR="00C11C42" w:rsidRPr="00FE7C99" w:rsidRDefault="00C11C42" w:rsidP="00C11C42">
      <w:pPr>
        <w:tabs>
          <w:tab w:val="left" w:pos="0"/>
        </w:tabs>
        <w:spacing w:line="480" w:lineRule="auto"/>
        <w:jc w:val="both"/>
        <w:rPr>
          <w:rFonts w:ascii="Arial" w:hAnsi="Arial" w:cs="Arial"/>
          <w:sz w:val="24"/>
          <w:szCs w:val="24"/>
        </w:rPr>
      </w:pPr>
      <w:r w:rsidRPr="00FE7C99">
        <w:rPr>
          <w:rFonts w:ascii="Arial" w:hAnsi="Arial" w:cs="Arial"/>
          <w:sz w:val="24"/>
          <w:szCs w:val="24"/>
        </w:rPr>
        <w:tab/>
      </w:r>
      <w:r w:rsidR="00344721" w:rsidRPr="00FE7C99">
        <w:rPr>
          <w:rFonts w:ascii="Arial" w:hAnsi="Arial" w:cs="Arial"/>
          <w:sz w:val="24"/>
          <w:szCs w:val="24"/>
        </w:rPr>
        <w:t xml:space="preserve">The record reflects that Duke’s current CIS </w:t>
      </w:r>
      <w:r w:rsidRPr="00FE7C99">
        <w:rPr>
          <w:rFonts w:ascii="Arial" w:hAnsi="Arial" w:cs="Arial"/>
          <w:sz w:val="24"/>
          <w:szCs w:val="24"/>
        </w:rPr>
        <w:t>lists non-commodity items on customer billing statements for its affiliate, Duke Energy One.</w:t>
      </w:r>
      <w:r w:rsidRPr="00FE7C99">
        <w:rPr>
          <w:rStyle w:val="FootnoteReference"/>
          <w:rFonts w:ascii="Arial" w:hAnsi="Arial" w:cs="Arial"/>
          <w:sz w:val="24"/>
          <w:szCs w:val="24"/>
        </w:rPr>
        <w:footnoteReference w:id="76"/>
      </w:r>
      <w:r w:rsidRPr="00FE7C99">
        <w:rPr>
          <w:rFonts w:ascii="Arial" w:hAnsi="Arial" w:cs="Arial"/>
          <w:sz w:val="24"/>
          <w:szCs w:val="24"/>
        </w:rPr>
        <w:t xml:space="preserve">  </w:t>
      </w:r>
      <w:r w:rsidR="00344721" w:rsidRPr="00FE7C99">
        <w:rPr>
          <w:rFonts w:ascii="Arial" w:hAnsi="Arial" w:cs="Arial"/>
          <w:sz w:val="24"/>
          <w:szCs w:val="24"/>
        </w:rPr>
        <w:t xml:space="preserve">It also reflects that </w:t>
      </w:r>
      <w:r w:rsidRPr="00FE7C99">
        <w:rPr>
          <w:rFonts w:ascii="Arial" w:hAnsi="Arial" w:cs="Arial"/>
          <w:sz w:val="24"/>
          <w:szCs w:val="24"/>
        </w:rPr>
        <w:t>Duke has rejected formal requests from IGS to similarly place its non-commodity charges on the utility bill.</w:t>
      </w:r>
      <w:r w:rsidRPr="00FE7C99">
        <w:rPr>
          <w:rStyle w:val="FootnoteReference"/>
          <w:rFonts w:ascii="Arial" w:hAnsi="Arial" w:cs="Arial"/>
          <w:sz w:val="24"/>
          <w:szCs w:val="24"/>
        </w:rPr>
        <w:footnoteReference w:id="77"/>
      </w:r>
      <w:r w:rsidRPr="00FE7C99">
        <w:rPr>
          <w:rFonts w:ascii="Arial" w:hAnsi="Arial" w:cs="Arial"/>
          <w:sz w:val="24"/>
          <w:szCs w:val="24"/>
        </w:rPr>
        <w:t xml:space="preserve">  </w:t>
      </w:r>
      <w:r w:rsidR="00344721" w:rsidRPr="00FE7C99">
        <w:rPr>
          <w:rFonts w:ascii="Arial" w:hAnsi="Arial" w:cs="Arial"/>
          <w:sz w:val="24"/>
          <w:szCs w:val="24"/>
        </w:rPr>
        <w:t>Despite this clear undeniable discrimination, the Order permits this unjust result to continue.  The Order erred.</w:t>
      </w:r>
    </w:p>
    <w:p w14:paraId="5D0FB049" w14:textId="382066BF" w:rsidR="00C11C42" w:rsidRPr="00684AB0" w:rsidRDefault="00C11C42" w:rsidP="00C11C42">
      <w:pPr>
        <w:tabs>
          <w:tab w:val="left" w:pos="0"/>
        </w:tabs>
        <w:spacing w:line="480" w:lineRule="auto"/>
        <w:jc w:val="both"/>
        <w:rPr>
          <w:rFonts w:ascii="Arial" w:hAnsi="Arial" w:cs="Arial"/>
          <w:i/>
          <w:sz w:val="24"/>
          <w:szCs w:val="24"/>
        </w:rPr>
      </w:pPr>
      <w:r w:rsidRPr="00FE7C99">
        <w:rPr>
          <w:rFonts w:ascii="Arial" w:hAnsi="Arial" w:cs="Arial"/>
          <w:sz w:val="24"/>
          <w:szCs w:val="24"/>
        </w:rPr>
        <w:tab/>
        <w:t>Under R.C. 4905.35(A), a public utility is prohibited from giving “any undue or unreasonable advantage to any person, firm, corporation, or locality, or subject any person, firm</w:t>
      </w:r>
      <w:r w:rsidRPr="00FE7C99">
        <w:rPr>
          <w:rFonts w:ascii="Arial" w:hAnsi="Arial" w:cs="Arial"/>
          <w:i/>
          <w:sz w:val="24"/>
          <w:szCs w:val="24"/>
        </w:rPr>
        <w:t xml:space="preserve">, corporation, or locality to any undue or unreasonable prejudice or </w:t>
      </w:r>
      <w:r w:rsidRPr="00FE7C99">
        <w:rPr>
          <w:rFonts w:ascii="Arial" w:hAnsi="Arial" w:cs="Arial"/>
          <w:i/>
          <w:sz w:val="24"/>
          <w:szCs w:val="24"/>
        </w:rPr>
        <w:lastRenderedPageBreak/>
        <w:t>disadvantage</w:t>
      </w:r>
      <w:r w:rsidRPr="00FE7C99">
        <w:rPr>
          <w:rFonts w:ascii="Arial" w:hAnsi="Arial" w:cs="Arial"/>
          <w:sz w:val="24"/>
          <w:szCs w:val="24"/>
        </w:rPr>
        <w:t xml:space="preserve">.” (emphasis added).  Moreover, R.C. 4928.17(A)(2) and (3) expressly prohibit Duke from providing </w:t>
      </w:r>
      <w:r w:rsidRPr="00FE7C99">
        <w:rPr>
          <w:rFonts w:ascii="Arial" w:hAnsi="Arial" w:cs="Arial"/>
          <w:i/>
          <w:sz w:val="24"/>
          <w:szCs w:val="24"/>
        </w:rPr>
        <w:t>any affiliate or part of its business engaged in the supply of nonelectric products and services</w:t>
      </w:r>
      <w:r w:rsidRPr="00FE7C99">
        <w:rPr>
          <w:rFonts w:ascii="Arial" w:hAnsi="Arial" w:cs="Arial"/>
          <w:sz w:val="24"/>
          <w:szCs w:val="24"/>
        </w:rPr>
        <w:t xml:space="preserve"> with an unfair competitive advantage through the preferential use of its utility billing and mailing systems.  </w:t>
      </w:r>
    </w:p>
    <w:p w14:paraId="09BC525B" w14:textId="4B91DE20" w:rsidR="006E6A28" w:rsidRDefault="00850FB8" w:rsidP="00C11C42">
      <w:pPr>
        <w:tabs>
          <w:tab w:val="left" w:pos="0"/>
        </w:tabs>
        <w:spacing w:line="480" w:lineRule="auto"/>
        <w:jc w:val="both"/>
        <w:rPr>
          <w:rFonts w:ascii="Arial" w:hAnsi="Arial" w:cs="Arial"/>
          <w:sz w:val="24"/>
          <w:szCs w:val="24"/>
        </w:rPr>
      </w:pPr>
      <w:r>
        <w:rPr>
          <w:rFonts w:ascii="Arial" w:hAnsi="Arial" w:cs="Arial"/>
          <w:sz w:val="24"/>
          <w:szCs w:val="24"/>
        </w:rPr>
        <w:tab/>
        <w:t xml:space="preserve">The law expressly prohibits Duke to </w:t>
      </w:r>
      <w:r w:rsidR="007D033C">
        <w:rPr>
          <w:rFonts w:ascii="Arial" w:hAnsi="Arial" w:cs="Arial"/>
          <w:sz w:val="24"/>
          <w:szCs w:val="24"/>
        </w:rPr>
        <w:t xml:space="preserve">give any undue or unreasonable </w:t>
      </w:r>
      <w:r w:rsidR="00B307EF">
        <w:rPr>
          <w:rFonts w:ascii="Arial" w:hAnsi="Arial" w:cs="Arial"/>
          <w:sz w:val="24"/>
          <w:szCs w:val="24"/>
        </w:rPr>
        <w:t xml:space="preserve">advantage to any </w:t>
      </w:r>
      <w:r w:rsidR="005E27CE">
        <w:rPr>
          <w:rFonts w:ascii="Arial" w:hAnsi="Arial" w:cs="Arial"/>
          <w:sz w:val="24"/>
          <w:szCs w:val="24"/>
        </w:rPr>
        <w:t xml:space="preserve">corporation. Here, as Duke recognizes, </w:t>
      </w:r>
      <w:r w:rsidR="00B05C16">
        <w:rPr>
          <w:rFonts w:ascii="Arial" w:hAnsi="Arial" w:cs="Arial"/>
          <w:sz w:val="24"/>
          <w:szCs w:val="24"/>
        </w:rPr>
        <w:t xml:space="preserve">it is allowing Duke Energy One, a corporation, to </w:t>
      </w:r>
      <w:r w:rsidR="00D11AA5">
        <w:rPr>
          <w:rFonts w:ascii="Arial" w:hAnsi="Arial" w:cs="Arial"/>
          <w:sz w:val="24"/>
          <w:szCs w:val="24"/>
        </w:rPr>
        <w:t xml:space="preserve">places Duke Energy One’s </w:t>
      </w:r>
      <w:r w:rsidR="00861085">
        <w:rPr>
          <w:rFonts w:ascii="Arial" w:hAnsi="Arial" w:cs="Arial"/>
          <w:sz w:val="24"/>
          <w:szCs w:val="24"/>
        </w:rPr>
        <w:t xml:space="preserve">non-commodity </w:t>
      </w:r>
      <w:r w:rsidR="004D2428">
        <w:rPr>
          <w:rFonts w:ascii="Arial" w:hAnsi="Arial" w:cs="Arial"/>
          <w:sz w:val="24"/>
          <w:szCs w:val="24"/>
        </w:rPr>
        <w:t xml:space="preserve">services on Duke’s utility bill. </w:t>
      </w:r>
      <w:r w:rsidR="007B3068">
        <w:rPr>
          <w:rFonts w:ascii="Arial" w:hAnsi="Arial" w:cs="Arial"/>
          <w:sz w:val="24"/>
          <w:szCs w:val="24"/>
        </w:rPr>
        <w:t xml:space="preserve">Duke also acknowledges it does </w:t>
      </w:r>
      <w:r w:rsidR="00EA0A99">
        <w:rPr>
          <w:rFonts w:ascii="Arial" w:hAnsi="Arial" w:cs="Arial"/>
          <w:sz w:val="24"/>
          <w:szCs w:val="24"/>
        </w:rPr>
        <w:t>not allow CRES provid</w:t>
      </w:r>
      <w:r w:rsidR="007B3068">
        <w:rPr>
          <w:rFonts w:ascii="Arial" w:hAnsi="Arial" w:cs="Arial"/>
          <w:sz w:val="24"/>
          <w:szCs w:val="24"/>
        </w:rPr>
        <w:t xml:space="preserve">ers to do the same. </w:t>
      </w:r>
      <w:r w:rsidR="00330D6E">
        <w:rPr>
          <w:rFonts w:ascii="Arial" w:hAnsi="Arial" w:cs="Arial"/>
          <w:sz w:val="24"/>
          <w:szCs w:val="24"/>
        </w:rPr>
        <w:t xml:space="preserve">Therefore, Duke is providing an advantage to Duke Energy One. </w:t>
      </w:r>
    </w:p>
    <w:p w14:paraId="18385A23" w14:textId="361229EF" w:rsidR="00C11C42" w:rsidRPr="00FE7C99" w:rsidRDefault="006E6A28" w:rsidP="00344721">
      <w:pPr>
        <w:tabs>
          <w:tab w:val="left" w:pos="0"/>
        </w:tabs>
        <w:spacing w:line="480" w:lineRule="auto"/>
        <w:jc w:val="both"/>
        <w:rPr>
          <w:rFonts w:ascii="Arial" w:hAnsi="Arial" w:cs="Arial"/>
          <w:sz w:val="24"/>
          <w:szCs w:val="24"/>
        </w:rPr>
      </w:pPr>
      <w:r>
        <w:rPr>
          <w:rFonts w:ascii="Arial" w:hAnsi="Arial" w:cs="Arial"/>
          <w:sz w:val="24"/>
          <w:szCs w:val="24"/>
        </w:rPr>
        <w:tab/>
      </w:r>
      <w:r w:rsidR="00C11C42" w:rsidRPr="00FE7C99">
        <w:rPr>
          <w:rFonts w:ascii="Arial" w:hAnsi="Arial" w:cs="Arial"/>
          <w:sz w:val="24"/>
          <w:szCs w:val="24"/>
        </w:rPr>
        <w:t xml:space="preserve">Ensuring a level playing field in the design of Duke’s new CIS is tantamount for ensuring compliance with R.C. 4905.35(A) and 4928.17(A)(2)-(3).  Given Duke’s reluctance to offer CRES providers the same, or similar, billing functionalities it offers its affiliates, and its acknowledgement that the scope of the proposed system’s billing functionalities for CRES providers are largely unknown, the Commission should direct Duke to include in its infrastructure management plan a CIS program design that will enable non-commodity billing for CRES providers.  </w:t>
      </w:r>
    </w:p>
    <w:p w14:paraId="5982921E" w14:textId="18A2CA1D" w:rsidR="00E217B5" w:rsidRPr="00FE7C99" w:rsidRDefault="00E63424" w:rsidP="00121FB5">
      <w:pPr>
        <w:pStyle w:val="ListParagraph"/>
        <w:numPr>
          <w:ilvl w:val="0"/>
          <w:numId w:val="1"/>
        </w:numPr>
        <w:spacing w:line="480" w:lineRule="auto"/>
        <w:rPr>
          <w:rFonts w:ascii="Arial" w:hAnsi="Arial" w:cs="Arial"/>
          <w:b/>
          <w:sz w:val="24"/>
          <w:szCs w:val="24"/>
        </w:rPr>
      </w:pPr>
      <w:r w:rsidRPr="00FE7C99">
        <w:rPr>
          <w:rFonts w:ascii="Arial" w:hAnsi="Arial" w:cs="Arial"/>
          <w:b/>
          <w:sz w:val="24"/>
          <w:szCs w:val="24"/>
        </w:rPr>
        <w:t>CONCLUSION</w:t>
      </w:r>
    </w:p>
    <w:p w14:paraId="1880311A" w14:textId="54A49B2B" w:rsidR="004A0C52" w:rsidRPr="00FE7C99" w:rsidRDefault="004A0C52" w:rsidP="00A048DC">
      <w:pPr>
        <w:spacing w:line="480" w:lineRule="auto"/>
        <w:ind w:firstLine="720"/>
        <w:jc w:val="both"/>
        <w:rPr>
          <w:rFonts w:ascii="Arial" w:hAnsi="Arial" w:cs="Arial"/>
          <w:sz w:val="24"/>
          <w:szCs w:val="24"/>
        </w:rPr>
      </w:pPr>
      <w:r w:rsidRPr="00FE7C99">
        <w:rPr>
          <w:rFonts w:ascii="Arial" w:hAnsi="Arial" w:cs="Arial"/>
          <w:sz w:val="24"/>
          <w:szCs w:val="24"/>
        </w:rPr>
        <w:t xml:space="preserve">For the reasons stated herein, </w:t>
      </w:r>
      <w:r w:rsidR="003849D3" w:rsidRPr="00FE7C99">
        <w:rPr>
          <w:rFonts w:ascii="Arial" w:hAnsi="Arial" w:cs="Arial"/>
          <w:sz w:val="24"/>
          <w:szCs w:val="24"/>
        </w:rPr>
        <w:t>IGS urges the Commission to grant this Application for Rehearing</w:t>
      </w:r>
      <w:r w:rsidRPr="00FE7C99">
        <w:rPr>
          <w:rFonts w:ascii="Arial" w:hAnsi="Arial" w:cs="Arial"/>
          <w:sz w:val="24"/>
          <w:szCs w:val="24"/>
        </w:rPr>
        <w:t xml:space="preserve">.  It is unjust, unreasonable, discriminatory on multiple fronts, contrary to the public interest, and would violate Ohio law.  The Commission should </w:t>
      </w:r>
      <w:r w:rsidR="003849D3" w:rsidRPr="00FE7C99">
        <w:rPr>
          <w:rFonts w:ascii="Arial" w:hAnsi="Arial" w:cs="Arial"/>
          <w:sz w:val="24"/>
          <w:szCs w:val="24"/>
        </w:rPr>
        <w:t xml:space="preserve">grant this Application for Rehearing and </w:t>
      </w:r>
      <w:r w:rsidRPr="00FE7C99">
        <w:rPr>
          <w:rFonts w:ascii="Arial" w:hAnsi="Arial" w:cs="Arial"/>
          <w:sz w:val="24"/>
          <w:szCs w:val="24"/>
        </w:rPr>
        <w:t xml:space="preserve">ensure that customers are not penalized for exercising their right to </w:t>
      </w:r>
      <w:r w:rsidRPr="00FE7C99">
        <w:rPr>
          <w:rFonts w:ascii="Arial" w:hAnsi="Arial" w:cs="Arial"/>
          <w:sz w:val="24"/>
          <w:szCs w:val="24"/>
        </w:rPr>
        <w:lastRenderedPageBreak/>
        <w:t xml:space="preserve">shop.  </w:t>
      </w:r>
      <w:r w:rsidR="003849D3" w:rsidRPr="00FE7C99">
        <w:rPr>
          <w:rFonts w:ascii="Arial" w:hAnsi="Arial" w:cs="Arial"/>
          <w:sz w:val="24"/>
          <w:szCs w:val="24"/>
        </w:rPr>
        <w:t>Further, the Commission should eliminate the discriminatory and unsubstantiated fee</w:t>
      </w:r>
      <w:r w:rsidR="00C27FDD" w:rsidRPr="00FE7C99">
        <w:rPr>
          <w:rFonts w:ascii="Arial" w:hAnsi="Arial" w:cs="Arial"/>
          <w:sz w:val="24"/>
          <w:szCs w:val="24"/>
        </w:rPr>
        <w:t>s that Duke</w:t>
      </w:r>
      <w:r w:rsidR="003849D3" w:rsidRPr="00FE7C99">
        <w:rPr>
          <w:rFonts w:ascii="Arial" w:hAnsi="Arial" w:cs="Arial"/>
          <w:sz w:val="24"/>
          <w:szCs w:val="24"/>
        </w:rPr>
        <w:t xml:space="preserve"> has sought to impose upon CRES providers and their customers.</w:t>
      </w:r>
      <w:r w:rsidRPr="00FE7C99">
        <w:rPr>
          <w:rFonts w:ascii="Arial" w:hAnsi="Arial" w:cs="Arial"/>
          <w:sz w:val="24"/>
          <w:szCs w:val="24"/>
        </w:rPr>
        <w:t xml:space="preserve"> </w:t>
      </w:r>
    </w:p>
    <w:p w14:paraId="38FD0EB9" w14:textId="79FDF4C2" w:rsidR="005C0566" w:rsidRPr="00FE7C99" w:rsidRDefault="005C0566" w:rsidP="00A048DC">
      <w:pPr>
        <w:spacing w:after="0" w:line="480" w:lineRule="auto"/>
        <w:ind w:left="5040"/>
        <w:rPr>
          <w:rFonts w:ascii="Arial" w:hAnsi="Arial" w:cs="Arial"/>
          <w:sz w:val="24"/>
          <w:szCs w:val="24"/>
        </w:rPr>
      </w:pPr>
      <w:r w:rsidRPr="00FE7C99">
        <w:rPr>
          <w:rFonts w:ascii="Arial" w:hAnsi="Arial" w:cs="Arial"/>
          <w:sz w:val="24"/>
          <w:szCs w:val="24"/>
        </w:rPr>
        <w:t>Respectfully submitted,</w:t>
      </w:r>
    </w:p>
    <w:p w14:paraId="1EA3BF00" w14:textId="1EAAB0DE" w:rsidR="005C0566" w:rsidRPr="00FE7C99" w:rsidRDefault="005C0566" w:rsidP="00A048DC">
      <w:pPr>
        <w:spacing w:after="0" w:line="480" w:lineRule="auto"/>
        <w:ind w:left="5040"/>
        <w:rPr>
          <w:rFonts w:ascii="Arial" w:hAnsi="Arial" w:cs="Arial"/>
          <w:sz w:val="24"/>
          <w:szCs w:val="24"/>
        </w:rPr>
      </w:pPr>
    </w:p>
    <w:p w14:paraId="15500A12" w14:textId="327041E8" w:rsidR="005C0566" w:rsidRPr="00FE7C99" w:rsidRDefault="005C0566" w:rsidP="00A048DC">
      <w:pPr>
        <w:spacing w:after="0" w:line="480" w:lineRule="auto"/>
        <w:ind w:left="5040"/>
        <w:rPr>
          <w:rFonts w:ascii="Arial" w:hAnsi="Arial" w:cs="Arial"/>
          <w:b/>
          <w:i/>
          <w:sz w:val="24"/>
          <w:szCs w:val="24"/>
          <w:u w:val="single"/>
        </w:rPr>
      </w:pPr>
      <w:r w:rsidRPr="00FE7C99">
        <w:rPr>
          <w:rFonts w:ascii="Arial" w:hAnsi="Arial" w:cs="Arial"/>
          <w:b/>
          <w:i/>
          <w:sz w:val="24"/>
          <w:szCs w:val="24"/>
          <w:u w:val="single"/>
        </w:rPr>
        <w:t>/s/Joseph Oliker</w:t>
      </w:r>
    </w:p>
    <w:p w14:paraId="65C2F42E" w14:textId="22192069" w:rsidR="005C0566" w:rsidRPr="00FE7C99" w:rsidRDefault="005C0566" w:rsidP="00157A5C">
      <w:pPr>
        <w:spacing w:after="0" w:line="240" w:lineRule="auto"/>
        <w:ind w:left="5040"/>
        <w:rPr>
          <w:rFonts w:ascii="Arial" w:hAnsi="Arial" w:cs="Arial"/>
          <w:sz w:val="24"/>
          <w:szCs w:val="24"/>
        </w:rPr>
      </w:pPr>
      <w:r w:rsidRPr="00FE7C99">
        <w:rPr>
          <w:rFonts w:ascii="Arial" w:hAnsi="Arial" w:cs="Arial"/>
          <w:sz w:val="24"/>
          <w:szCs w:val="24"/>
        </w:rPr>
        <w:t>Joseph Oliker (0086088)</w:t>
      </w:r>
    </w:p>
    <w:p w14:paraId="031E7F07" w14:textId="77777777" w:rsidR="005C0566" w:rsidRPr="00FE7C99" w:rsidRDefault="005C0566" w:rsidP="00157A5C">
      <w:pPr>
        <w:spacing w:after="0" w:line="240" w:lineRule="auto"/>
        <w:ind w:left="5040"/>
        <w:rPr>
          <w:rFonts w:ascii="Arial" w:hAnsi="Arial" w:cs="Arial"/>
          <w:sz w:val="24"/>
          <w:szCs w:val="24"/>
        </w:rPr>
      </w:pPr>
      <w:r w:rsidRPr="00FE7C99">
        <w:rPr>
          <w:rFonts w:ascii="Arial" w:hAnsi="Arial" w:cs="Arial"/>
          <w:sz w:val="24"/>
          <w:szCs w:val="24"/>
        </w:rPr>
        <w:t xml:space="preserve">Counsel of Record </w:t>
      </w:r>
    </w:p>
    <w:p w14:paraId="43FBDBC0" w14:textId="4E4FD567" w:rsidR="005C0566" w:rsidRPr="00FE7C99" w:rsidRDefault="005C0566" w:rsidP="00157A5C">
      <w:pPr>
        <w:spacing w:after="0" w:line="240" w:lineRule="auto"/>
        <w:ind w:left="5040"/>
        <w:rPr>
          <w:rStyle w:val="Hyperlink"/>
          <w:rFonts w:ascii="Arial" w:hAnsi="Arial" w:cs="Arial"/>
          <w:color w:val="auto"/>
          <w:sz w:val="24"/>
          <w:szCs w:val="24"/>
          <w:u w:val="none"/>
        </w:rPr>
      </w:pPr>
      <w:r w:rsidRPr="00BE289F">
        <w:rPr>
          <w:rFonts w:ascii="Arial" w:hAnsi="Arial" w:cs="Arial"/>
          <w:sz w:val="24"/>
          <w:szCs w:val="24"/>
        </w:rPr>
        <w:t xml:space="preserve">Email: </w:t>
      </w:r>
      <w:r w:rsidR="00BE289F" w:rsidRPr="00BE289F">
        <w:rPr>
          <w:rFonts w:ascii="Arial" w:hAnsi="Arial" w:cs="Arial"/>
          <w:sz w:val="24"/>
          <w:szCs w:val="24"/>
        </w:rPr>
        <w:t>joliker@igsenergy.com</w:t>
      </w:r>
    </w:p>
    <w:p w14:paraId="7D7C571C" w14:textId="4F0B677C" w:rsidR="00836EE1" w:rsidRPr="00FE7C99" w:rsidRDefault="00836EE1" w:rsidP="00157A5C">
      <w:pPr>
        <w:spacing w:after="0" w:line="240" w:lineRule="auto"/>
        <w:ind w:left="5040"/>
        <w:rPr>
          <w:rStyle w:val="Hyperlink"/>
          <w:rFonts w:ascii="Arial" w:hAnsi="Arial" w:cs="Arial"/>
          <w:color w:val="auto"/>
          <w:sz w:val="24"/>
          <w:szCs w:val="24"/>
          <w:u w:val="none"/>
        </w:rPr>
      </w:pPr>
      <w:r w:rsidRPr="00FE7C99">
        <w:rPr>
          <w:rStyle w:val="Hyperlink"/>
          <w:rFonts w:ascii="Arial" w:hAnsi="Arial" w:cs="Arial"/>
          <w:color w:val="auto"/>
          <w:sz w:val="24"/>
          <w:szCs w:val="24"/>
          <w:u w:val="none"/>
        </w:rPr>
        <w:t>Michael Nugent</w:t>
      </w:r>
    </w:p>
    <w:p w14:paraId="038DDD7D" w14:textId="0409C2C9" w:rsidR="00836EE1" w:rsidRPr="00FE7C99" w:rsidRDefault="00836EE1" w:rsidP="00157A5C">
      <w:pPr>
        <w:spacing w:after="0" w:line="240" w:lineRule="auto"/>
        <w:ind w:left="5040"/>
        <w:rPr>
          <w:rStyle w:val="Hyperlink"/>
          <w:rFonts w:ascii="Arial" w:hAnsi="Arial" w:cs="Arial"/>
          <w:sz w:val="24"/>
          <w:szCs w:val="24"/>
        </w:rPr>
      </w:pPr>
      <w:r w:rsidRPr="00FE7C99">
        <w:rPr>
          <w:rStyle w:val="Hyperlink"/>
          <w:rFonts w:ascii="Arial" w:hAnsi="Arial" w:cs="Arial"/>
          <w:color w:val="auto"/>
          <w:sz w:val="24"/>
          <w:szCs w:val="24"/>
          <w:u w:val="none"/>
        </w:rPr>
        <w:t>Email: Mnugent@igsenergy.com</w:t>
      </w:r>
    </w:p>
    <w:p w14:paraId="302A3509" w14:textId="77777777" w:rsidR="005C0566" w:rsidRPr="00FE7C99" w:rsidRDefault="005C0566" w:rsidP="00157A5C">
      <w:pPr>
        <w:spacing w:after="0" w:line="240" w:lineRule="auto"/>
        <w:ind w:left="5040"/>
        <w:rPr>
          <w:rFonts w:ascii="Arial" w:hAnsi="Arial" w:cs="Arial"/>
          <w:sz w:val="24"/>
          <w:szCs w:val="24"/>
        </w:rPr>
      </w:pPr>
      <w:r w:rsidRPr="00FE7C99">
        <w:rPr>
          <w:rFonts w:ascii="Arial" w:hAnsi="Arial" w:cs="Arial"/>
          <w:sz w:val="24"/>
          <w:szCs w:val="24"/>
        </w:rPr>
        <w:t>IGS Energy</w:t>
      </w:r>
    </w:p>
    <w:p w14:paraId="5E417468" w14:textId="77777777" w:rsidR="005C0566" w:rsidRPr="00FE7C99" w:rsidRDefault="005C0566" w:rsidP="00157A5C">
      <w:pPr>
        <w:spacing w:after="0" w:line="240" w:lineRule="auto"/>
        <w:ind w:left="5040"/>
        <w:rPr>
          <w:rFonts w:ascii="Arial" w:hAnsi="Arial" w:cs="Arial"/>
          <w:sz w:val="24"/>
          <w:szCs w:val="24"/>
        </w:rPr>
      </w:pPr>
      <w:r w:rsidRPr="00FE7C99">
        <w:rPr>
          <w:rFonts w:ascii="Arial" w:hAnsi="Arial" w:cs="Arial"/>
          <w:sz w:val="24"/>
          <w:szCs w:val="24"/>
        </w:rPr>
        <w:t>6100 Emerald Parkway</w:t>
      </w:r>
    </w:p>
    <w:p w14:paraId="101BA754" w14:textId="77777777" w:rsidR="005C0566" w:rsidRPr="00FE7C99" w:rsidRDefault="005C0566" w:rsidP="00157A5C">
      <w:pPr>
        <w:spacing w:after="0" w:line="240" w:lineRule="auto"/>
        <w:ind w:left="5040"/>
        <w:rPr>
          <w:rFonts w:ascii="Arial" w:hAnsi="Arial" w:cs="Arial"/>
          <w:sz w:val="24"/>
          <w:szCs w:val="24"/>
        </w:rPr>
      </w:pPr>
      <w:r w:rsidRPr="00FE7C99">
        <w:rPr>
          <w:rFonts w:ascii="Arial" w:hAnsi="Arial" w:cs="Arial"/>
          <w:sz w:val="24"/>
          <w:szCs w:val="24"/>
        </w:rPr>
        <w:t>Dublin, Ohio 43016</w:t>
      </w:r>
    </w:p>
    <w:p w14:paraId="0FEF0A6D" w14:textId="77777777" w:rsidR="005C0566" w:rsidRPr="00FE7C99" w:rsidRDefault="005C0566" w:rsidP="00157A5C">
      <w:pPr>
        <w:spacing w:after="0" w:line="240" w:lineRule="auto"/>
        <w:ind w:left="5040"/>
        <w:rPr>
          <w:rFonts w:ascii="Arial" w:hAnsi="Arial" w:cs="Arial"/>
          <w:sz w:val="24"/>
          <w:szCs w:val="24"/>
        </w:rPr>
      </w:pPr>
      <w:r w:rsidRPr="00FE7C99">
        <w:rPr>
          <w:rFonts w:ascii="Arial" w:hAnsi="Arial" w:cs="Arial"/>
          <w:sz w:val="24"/>
          <w:szCs w:val="24"/>
        </w:rPr>
        <w:t>Telephone:</w:t>
      </w:r>
      <w:r w:rsidRPr="00FE7C99">
        <w:rPr>
          <w:rFonts w:ascii="Arial" w:hAnsi="Arial" w:cs="Arial"/>
          <w:sz w:val="24"/>
          <w:szCs w:val="24"/>
        </w:rPr>
        <w:tab/>
        <w:t>(614) 659-5000</w:t>
      </w:r>
    </w:p>
    <w:p w14:paraId="606FA0F5" w14:textId="77777777" w:rsidR="005C0566" w:rsidRPr="00FE7C99" w:rsidRDefault="005C0566" w:rsidP="00157A5C">
      <w:pPr>
        <w:spacing w:after="0" w:line="240" w:lineRule="auto"/>
        <w:ind w:left="5040"/>
        <w:rPr>
          <w:rFonts w:ascii="Arial" w:hAnsi="Arial" w:cs="Arial"/>
          <w:sz w:val="24"/>
          <w:szCs w:val="24"/>
        </w:rPr>
      </w:pPr>
      <w:r w:rsidRPr="00FE7C99">
        <w:rPr>
          <w:rFonts w:ascii="Arial" w:hAnsi="Arial" w:cs="Arial"/>
          <w:sz w:val="24"/>
          <w:szCs w:val="24"/>
        </w:rPr>
        <w:t>Facsimile:</w:t>
      </w:r>
      <w:r w:rsidRPr="00FE7C99">
        <w:rPr>
          <w:rFonts w:ascii="Arial" w:hAnsi="Arial" w:cs="Arial"/>
          <w:sz w:val="24"/>
          <w:szCs w:val="24"/>
        </w:rPr>
        <w:tab/>
        <w:t>(614) 659-5073</w:t>
      </w:r>
    </w:p>
    <w:p w14:paraId="357EBB09" w14:textId="77777777" w:rsidR="005C0566" w:rsidRPr="00FE7C99" w:rsidRDefault="005C0566" w:rsidP="00A048DC">
      <w:pPr>
        <w:spacing w:after="0" w:line="480" w:lineRule="auto"/>
        <w:ind w:left="5040"/>
        <w:rPr>
          <w:rFonts w:ascii="Arial" w:hAnsi="Arial" w:cs="Arial"/>
          <w:sz w:val="24"/>
          <w:szCs w:val="24"/>
        </w:rPr>
      </w:pPr>
    </w:p>
    <w:p w14:paraId="2B80FB0A" w14:textId="50E2152C" w:rsidR="005E5B59" w:rsidRPr="00FE7C99" w:rsidRDefault="005C0566" w:rsidP="00A048DC">
      <w:pPr>
        <w:spacing w:after="0" w:line="480" w:lineRule="auto"/>
        <w:ind w:left="5040"/>
        <w:rPr>
          <w:rFonts w:ascii="Arial" w:hAnsi="Arial" w:cs="Arial"/>
          <w:b/>
          <w:i/>
          <w:sz w:val="24"/>
          <w:szCs w:val="24"/>
        </w:rPr>
      </w:pPr>
      <w:r w:rsidRPr="00FE7C99">
        <w:rPr>
          <w:rFonts w:ascii="Arial" w:hAnsi="Arial" w:cs="Arial"/>
          <w:b/>
          <w:i/>
          <w:sz w:val="24"/>
          <w:szCs w:val="24"/>
        </w:rPr>
        <w:t>Attorney</w:t>
      </w:r>
      <w:r w:rsidR="00836EE1" w:rsidRPr="00FE7C99">
        <w:rPr>
          <w:rFonts w:ascii="Arial" w:hAnsi="Arial" w:cs="Arial"/>
          <w:b/>
          <w:i/>
          <w:sz w:val="24"/>
          <w:szCs w:val="24"/>
        </w:rPr>
        <w:t>s</w:t>
      </w:r>
      <w:r w:rsidRPr="00FE7C99">
        <w:rPr>
          <w:rFonts w:ascii="Arial" w:hAnsi="Arial" w:cs="Arial"/>
          <w:b/>
          <w:i/>
          <w:sz w:val="24"/>
          <w:szCs w:val="24"/>
        </w:rPr>
        <w:t xml:space="preserve"> for IGS Energy</w:t>
      </w:r>
    </w:p>
    <w:p w14:paraId="064DF2E0" w14:textId="505DD63D" w:rsidR="005C0566" w:rsidRPr="00FE7C99" w:rsidRDefault="005C0566" w:rsidP="00A048DC">
      <w:pPr>
        <w:spacing w:after="0" w:line="480" w:lineRule="auto"/>
        <w:ind w:left="5040"/>
        <w:rPr>
          <w:rFonts w:ascii="Arial" w:hAnsi="Arial" w:cs="Arial"/>
          <w:b/>
          <w:i/>
          <w:sz w:val="24"/>
          <w:szCs w:val="24"/>
        </w:rPr>
      </w:pPr>
    </w:p>
    <w:p w14:paraId="3AF0B40F" w14:textId="1548628F" w:rsidR="005C0566" w:rsidRPr="00FE7C99" w:rsidRDefault="005C0566" w:rsidP="00A048DC">
      <w:pPr>
        <w:spacing w:after="0" w:line="480" w:lineRule="auto"/>
        <w:ind w:left="5040"/>
        <w:rPr>
          <w:rFonts w:ascii="Arial" w:hAnsi="Arial" w:cs="Arial"/>
          <w:b/>
          <w:i/>
          <w:sz w:val="24"/>
          <w:szCs w:val="24"/>
        </w:rPr>
      </w:pPr>
    </w:p>
    <w:p w14:paraId="14F9D4E7" w14:textId="11EC5AF7" w:rsidR="005C0566" w:rsidRPr="00FE7C99" w:rsidRDefault="005C0566" w:rsidP="005C0566">
      <w:pPr>
        <w:spacing w:after="0" w:line="240" w:lineRule="auto"/>
        <w:ind w:left="5040"/>
        <w:rPr>
          <w:rFonts w:ascii="Arial" w:hAnsi="Arial" w:cs="Arial"/>
          <w:b/>
          <w:i/>
          <w:sz w:val="24"/>
          <w:szCs w:val="24"/>
        </w:rPr>
      </w:pPr>
    </w:p>
    <w:p w14:paraId="336A7BB7" w14:textId="606E01E1" w:rsidR="003A536A" w:rsidRPr="00FE7C99" w:rsidRDefault="003A536A" w:rsidP="005C0566">
      <w:pPr>
        <w:spacing w:after="0" w:line="240" w:lineRule="auto"/>
        <w:ind w:left="5040"/>
        <w:rPr>
          <w:rFonts w:ascii="Arial" w:hAnsi="Arial" w:cs="Arial"/>
          <w:b/>
          <w:i/>
          <w:sz w:val="24"/>
          <w:szCs w:val="24"/>
        </w:rPr>
      </w:pPr>
    </w:p>
    <w:p w14:paraId="774AF34B" w14:textId="2CDFB1D2" w:rsidR="003A536A" w:rsidRPr="00FE7C99" w:rsidRDefault="003A536A" w:rsidP="005C0566">
      <w:pPr>
        <w:spacing w:after="0" w:line="240" w:lineRule="auto"/>
        <w:ind w:left="5040"/>
        <w:rPr>
          <w:rFonts w:ascii="Arial" w:hAnsi="Arial" w:cs="Arial"/>
          <w:b/>
          <w:i/>
          <w:sz w:val="24"/>
          <w:szCs w:val="24"/>
        </w:rPr>
      </w:pPr>
    </w:p>
    <w:p w14:paraId="1CB585B8" w14:textId="30700959" w:rsidR="003A536A" w:rsidRPr="00FE7C99" w:rsidRDefault="003A536A" w:rsidP="005C0566">
      <w:pPr>
        <w:spacing w:after="0" w:line="240" w:lineRule="auto"/>
        <w:ind w:left="5040"/>
        <w:rPr>
          <w:rFonts w:ascii="Arial" w:hAnsi="Arial" w:cs="Arial"/>
          <w:b/>
          <w:i/>
          <w:sz w:val="24"/>
          <w:szCs w:val="24"/>
        </w:rPr>
      </w:pPr>
    </w:p>
    <w:p w14:paraId="5523716C" w14:textId="14710BC9" w:rsidR="003A536A" w:rsidRPr="00FE7C99" w:rsidRDefault="003A536A" w:rsidP="005C0566">
      <w:pPr>
        <w:spacing w:after="0" w:line="240" w:lineRule="auto"/>
        <w:ind w:left="5040"/>
        <w:rPr>
          <w:rFonts w:ascii="Arial" w:hAnsi="Arial" w:cs="Arial"/>
          <w:b/>
          <w:i/>
          <w:sz w:val="24"/>
          <w:szCs w:val="24"/>
        </w:rPr>
      </w:pPr>
    </w:p>
    <w:p w14:paraId="4FDDE101" w14:textId="54820CD6" w:rsidR="003A536A" w:rsidRPr="00FE7C99" w:rsidRDefault="003A536A" w:rsidP="005C0566">
      <w:pPr>
        <w:spacing w:after="0" w:line="240" w:lineRule="auto"/>
        <w:ind w:left="5040"/>
        <w:rPr>
          <w:rFonts w:ascii="Arial" w:hAnsi="Arial" w:cs="Arial"/>
          <w:b/>
          <w:i/>
          <w:sz w:val="24"/>
          <w:szCs w:val="24"/>
        </w:rPr>
      </w:pPr>
    </w:p>
    <w:p w14:paraId="1C334303" w14:textId="4A70076E" w:rsidR="003A536A" w:rsidRPr="00FE7C99" w:rsidRDefault="003A536A" w:rsidP="005C0566">
      <w:pPr>
        <w:spacing w:after="0" w:line="240" w:lineRule="auto"/>
        <w:ind w:left="5040"/>
        <w:rPr>
          <w:rFonts w:ascii="Arial" w:hAnsi="Arial" w:cs="Arial"/>
          <w:b/>
          <w:i/>
          <w:sz w:val="24"/>
          <w:szCs w:val="24"/>
        </w:rPr>
      </w:pPr>
    </w:p>
    <w:p w14:paraId="46D9E093" w14:textId="3DCDB2C4" w:rsidR="003A536A" w:rsidRPr="00FE7C99" w:rsidRDefault="003A536A" w:rsidP="005C0566">
      <w:pPr>
        <w:spacing w:after="0" w:line="240" w:lineRule="auto"/>
        <w:ind w:left="5040"/>
        <w:rPr>
          <w:rFonts w:ascii="Arial" w:hAnsi="Arial" w:cs="Arial"/>
          <w:b/>
          <w:i/>
          <w:sz w:val="24"/>
          <w:szCs w:val="24"/>
        </w:rPr>
      </w:pPr>
    </w:p>
    <w:p w14:paraId="174FE478" w14:textId="71C78DF7" w:rsidR="003A536A" w:rsidRPr="00FE7C99" w:rsidRDefault="003A536A" w:rsidP="005C0566">
      <w:pPr>
        <w:spacing w:after="0" w:line="240" w:lineRule="auto"/>
        <w:ind w:left="5040"/>
        <w:rPr>
          <w:rFonts w:ascii="Arial" w:hAnsi="Arial" w:cs="Arial"/>
          <w:b/>
          <w:i/>
          <w:sz w:val="24"/>
          <w:szCs w:val="24"/>
        </w:rPr>
      </w:pPr>
    </w:p>
    <w:p w14:paraId="0F9E3BAA" w14:textId="57EE7A83" w:rsidR="003A536A" w:rsidRDefault="003A536A" w:rsidP="005C0566">
      <w:pPr>
        <w:spacing w:after="0" w:line="240" w:lineRule="auto"/>
        <w:ind w:left="5040"/>
        <w:rPr>
          <w:rFonts w:ascii="Arial" w:hAnsi="Arial" w:cs="Arial"/>
          <w:b/>
          <w:i/>
          <w:sz w:val="24"/>
          <w:szCs w:val="24"/>
        </w:rPr>
      </w:pPr>
    </w:p>
    <w:p w14:paraId="7F5BF50F" w14:textId="77777777" w:rsidR="00BE289F" w:rsidRDefault="00BE289F" w:rsidP="005C0566">
      <w:pPr>
        <w:spacing w:after="0" w:line="240" w:lineRule="auto"/>
        <w:ind w:left="5040"/>
        <w:rPr>
          <w:rFonts w:ascii="Arial" w:hAnsi="Arial" w:cs="Arial"/>
          <w:b/>
          <w:i/>
          <w:sz w:val="24"/>
          <w:szCs w:val="24"/>
        </w:rPr>
      </w:pPr>
    </w:p>
    <w:p w14:paraId="24989BFC" w14:textId="77777777" w:rsidR="00BE289F" w:rsidRDefault="00BE289F" w:rsidP="005C0566">
      <w:pPr>
        <w:spacing w:after="0" w:line="240" w:lineRule="auto"/>
        <w:ind w:left="5040"/>
        <w:rPr>
          <w:rFonts w:ascii="Arial" w:hAnsi="Arial" w:cs="Arial"/>
          <w:b/>
          <w:i/>
          <w:sz w:val="24"/>
          <w:szCs w:val="24"/>
        </w:rPr>
      </w:pPr>
    </w:p>
    <w:p w14:paraId="08B1BECC" w14:textId="77777777" w:rsidR="00BE289F" w:rsidRDefault="00BE289F" w:rsidP="005C0566">
      <w:pPr>
        <w:spacing w:after="0" w:line="240" w:lineRule="auto"/>
        <w:ind w:left="5040"/>
        <w:rPr>
          <w:rFonts w:ascii="Arial" w:hAnsi="Arial" w:cs="Arial"/>
          <w:b/>
          <w:i/>
          <w:sz w:val="24"/>
          <w:szCs w:val="24"/>
        </w:rPr>
      </w:pPr>
    </w:p>
    <w:p w14:paraId="381266F4" w14:textId="77777777" w:rsidR="00BE289F" w:rsidRDefault="00BE289F" w:rsidP="005C0566">
      <w:pPr>
        <w:spacing w:after="0" w:line="240" w:lineRule="auto"/>
        <w:ind w:left="5040"/>
        <w:rPr>
          <w:rFonts w:ascii="Arial" w:hAnsi="Arial" w:cs="Arial"/>
          <w:b/>
          <w:i/>
          <w:sz w:val="24"/>
          <w:szCs w:val="24"/>
        </w:rPr>
      </w:pPr>
    </w:p>
    <w:p w14:paraId="070A9E4F" w14:textId="77777777" w:rsidR="00BE289F" w:rsidRDefault="00BE289F" w:rsidP="005C0566">
      <w:pPr>
        <w:spacing w:after="0" w:line="240" w:lineRule="auto"/>
        <w:ind w:left="5040"/>
        <w:rPr>
          <w:rFonts w:ascii="Arial" w:hAnsi="Arial" w:cs="Arial"/>
          <w:b/>
          <w:i/>
          <w:sz w:val="24"/>
          <w:szCs w:val="24"/>
        </w:rPr>
      </w:pPr>
    </w:p>
    <w:p w14:paraId="570E44AD" w14:textId="77777777" w:rsidR="00BE289F" w:rsidRDefault="00BE289F" w:rsidP="005C0566">
      <w:pPr>
        <w:spacing w:after="0" w:line="240" w:lineRule="auto"/>
        <w:ind w:left="5040"/>
        <w:rPr>
          <w:rFonts w:ascii="Arial" w:hAnsi="Arial" w:cs="Arial"/>
          <w:b/>
          <w:i/>
          <w:sz w:val="24"/>
          <w:szCs w:val="24"/>
        </w:rPr>
      </w:pPr>
    </w:p>
    <w:p w14:paraId="09C824BF" w14:textId="1982AE64" w:rsidR="003A536A" w:rsidRPr="00FE7C99" w:rsidRDefault="003A536A" w:rsidP="00964F3F">
      <w:pPr>
        <w:spacing w:after="0" w:line="240" w:lineRule="auto"/>
        <w:rPr>
          <w:rFonts w:ascii="Arial" w:hAnsi="Arial" w:cs="Arial"/>
          <w:b/>
          <w:i/>
          <w:sz w:val="24"/>
          <w:szCs w:val="24"/>
        </w:rPr>
      </w:pPr>
    </w:p>
    <w:p w14:paraId="6CA1E638" w14:textId="35E47F05" w:rsidR="003849D3" w:rsidRPr="00FE7C99" w:rsidRDefault="003849D3" w:rsidP="00964F3F">
      <w:pPr>
        <w:spacing w:after="0"/>
        <w:rPr>
          <w:rFonts w:ascii="Arial" w:hAnsi="Arial" w:cs="Arial"/>
          <w:b/>
          <w:i/>
          <w:sz w:val="24"/>
          <w:szCs w:val="24"/>
        </w:rPr>
      </w:pPr>
    </w:p>
    <w:p w14:paraId="2CFD9706" w14:textId="4168CD89" w:rsidR="005E5B59" w:rsidRPr="00FE7C99" w:rsidRDefault="005E5B59" w:rsidP="003849D3">
      <w:pPr>
        <w:spacing w:after="0"/>
        <w:ind w:left="-90"/>
        <w:jc w:val="center"/>
        <w:rPr>
          <w:rFonts w:ascii="Arial" w:eastAsia="Arial" w:hAnsi="Arial" w:cs="Arial"/>
          <w:b/>
          <w:sz w:val="24"/>
          <w:szCs w:val="24"/>
          <w:u w:val="single"/>
        </w:rPr>
      </w:pPr>
      <w:r w:rsidRPr="00FE7C99">
        <w:rPr>
          <w:rFonts w:ascii="Arial" w:eastAsia="Arial" w:hAnsi="Arial" w:cs="Arial"/>
          <w:b/>
          <w:sz w:val="24"/>
          <w:szCs w:val="24"/>
          <w:u w:val="single"/>
        </w:rPr>
        <w:lastRenderedPageBreak/>
        <w:t>CERTIFICATE OF SERVICE</w:t>
      </w:r>
    </w:p>
    <w:p w14:paraId="17979195" w14:textId="77777777" w:rsidR="005E5B59" w:rsidRPr="00FE7C99" w:rsidRDefault="005E5B59" w:rsidP="005E5B59">
      <w:pPr>
        <w:spacing w:after="0"/>
        <w:jc w:val="center"/>
        <w:rPr>
          <w:rFonts w:ascii="Arial" w:eastAsia="Arial" w:hAnsi="Arial" w:cs="Arial"/>
          <w:b/>
          <w:sz w:val="24"/>
          <w:szCs w:val="24"/>
          <w:u w:val="single"/>
        </w:rPr>
      </w:pPr>
    </w:p>
    <w:p w14:paraId="2CB8B0C9" w14:textId="32AB4F47" w:rsidR="005E5B59" w:rsidRPr="00FE7C99" w:rsidRDefault="005E5B59" w:rsidP="005E5B59">
      <w:pPr>
        <w:spacing w:after="0"/>
        <w:jc w:val="both"/>
        <w:rPr>
          <w:rFonts w:ascii="Arial" w:eastAsia="Calibri" w:hAnsi="Arial" w:cs="Arial"/>
          <w:sz w:val="24"/>
          <w:szCs w:val="24"/>
        </w:rPr>
      </w:pPr>
      <w:r w:rsidRPr="00FE7C99">
        <w:rPr>
          <w:rFonts w:ascii="Arial" w:eastAsia="Arial" w:hAnsi="Arial" w:cs="Arial"/>
          <w:sz w:val="24"/>
          <w:szCs w:val="24"/>
        </w:rPr>
        <w:tab/>
      </w:r>
      <w:r w:rsidRPr="00FE7C99">
        <w:rPr>
          <w:rFonts w:ascii="Arial" w:eastAsia="Calibri" w:hAnsi="Arial" w:cs="Arial"/>
          <w:sz w:val="24"/>
          <w:szCs w:val="24"/>
        </w:rPr>
        <w:t xml:space="preserve">The undersigned hereby certifies that a copy of the foregoing </w:t>
      </w:r>
      <w:r w:rsidR="00B7562C" w:rsidRPr="00FE7C99">
        <w:rPr>
          <w:rFonts w:ascii="Arial" w:eastAsia="Calibri" w:hAnsi="Arial" w:cs="Arial"/>
          <w:i/>
          <w:sz w:val="24"/>
          <w:szCs w:val="24"/>
        </w:rPr>
        <w:t>Application for Rehearing</w:t>
      </w:r>
      <w:r w:rsidR="0045390F" w:rsidRPr="00FE7C99">
        <w:rPr>
          <w:rFonts w:ascii="Arial" w:eastAsia="Calibri" w:hAnsi="Arial" w:cs="Arial"/>
          <w:i/>
          <w:sz w:val="24"/>
          <w:szCs w:val="24"/>
        </w:rPr>
        <w:t xml:space="preserve"> and Memorandum in Support</w:t>
      </w:r>
      <w:r w:rsidR="00B7562C" w:rsidRPr="00FE7C99">
        <w:rPr>
          <w:rFonts w:ascii="Arial" w:eastAsia="Calibri" w:hAnsi="Arial" w:cs="Arial"/>
          <w:i/>
          <w:sz w:val="24"/>
          <w:szCs w:val="24"/>
        </w:rPr>
        <w:t xml:space="preserve"> of</w:t>
      </w:r>
      <w:r w:rsidRPr="00FE7C99">
        <w:rPr>
          <w:rFonts w:ascii="Arial" w:eastAsia="Calibri" w:hAnsi="Arial" w:cs="Arial"/>
          <w:i/>
          <w:sz w:val="24"/>
          <w:szCs w:val="24"/>
        </w:rPr>
        <w:t xml:space="preserve"> Interstate Gas Supply, Inc. </w:t>
      </w:r>
      <w:r w:rsidR="00BE289F">
        <w:rPr>
          <w:rFonts w:ascii="Arial" w:eastAsia="Calibri" w:hAnsi="Arial" w:cs="Arial"/>
          <w:sz w:val="24"/>
          <w:szCs w:val="24"/>
        </w:rPr>
        <w:t>was served this 18th day of January 2019</w:t>
      </w:r>
      <w:r w:rsidRPr="00FE7C99">
        <w:rPr>
          <w:rFonts w:ascii="Arial" w:eastAsia="Calibri" w:hAnsi="Arial" w:cs="Arial"/>
          <w:sz w:val="24"/>
          <w:szCs w:val="24"/>
        </w:rPr>
        <w:t xml:space="preserve"> via electronic mail upon the following:</w:t>
      </w:r>
    </w:p>
    <w:p w14:paraId="4462D693" w14:textId="77777777" w:rsidR="005E5B59" w:rsidRPr="00FE7C99" w:rsidRDefault="005E5B59" w:rsidP="005E5B59">
      <w:pPr>
        <w:spacing w:after="0"/>
        <w:jc w:val="both"/>
        <w:rPr>
          <w:rFonts w:ascii="Arial" w:eastAsia="Calibri" w:hAnsi="Arial" w:cs="Arial"/>
          <w:sz w:val="24"/>
          <w:szCs w:val="24"/>
        </w:rPr>
      </w:pPr>
    </w:p>
    <w:p w14:paraId="1ECEB127" w14:textId="77777777" w:rsidR="005E5B59" w:rsidRPr="00FE7C99" w:rsidRDefault="005E5B59" w:rsidP="005E5B59">
      <w:pPr>
        <w:spacing w:after="0"/>
        <w:jc w:val="both"/>
        <w:rPr>
          <w:rFonts w:ascii="Arial" w:eastAsia="Arial" w:hAnsi="Arial" w:cs="Arial"/>
          <w:sz w:val="24"/>
          <w:szCs w:val="24"/>
        </w:rPr>
      </w:pPr>
    </w:p>
    <w:p w14:paraId="7A6EE048" w14:textId="77777777" w:rsidR="005E5B59" w:rsidRPr="00FE7C99" w:rsidRDefault="005E5B59" w:rsidP="005E5B59">
      <w:pPr>
        <w:spacing w:after="0"/>
        <w:jc w:val="both"/>
        <w:rPr>
          <w:rFonts w:ascii="Arial" w:eastAsia="Arial" w:hAnsi="Arial" w:cs="Arial"/>
          <w:b/>
          <w:sz w:val="24"/>
          <w:szCs w:val="24"/>
        </w:rPr>
      </w:pPr>
    </w:p>
    <w:p w14:paraId="0A9F366D" w14:textId="77777777" w:rsidR="005E5B59" w:rsidRPr="00FE7C99" w:rsidRDefault="005E5B59" w:rsidP="005E5B59">
      <w:pPr>
        <w:spacing w:after="0"/>
        <w:ind w:left="5040" w:firstLine="720"/>
        <w:rPr>
          <w:rFonts w:ascii="Arial" w:eastAsia="Calibri" w:hAnsi="Arial" w:cs="Arial"/>
          <w:sz w:val="24"/>
          <w:szCs w:val="24"/>
          <w:u w:val="single"/>
        </w:rPr>
      </w:pPr>
      <w:r w:rsidRPr="00FE7C99">
        <w:rPr>
          <w:rFonts w:ascii="Arial" w:eastAsia="Arial" w:hAnsi="Arial" w:cs="Arial"/>
          <w:b/>
          <w:i/>
          <w:sz w:val="24"/>
          <w:szCs w:val="24"/>
          <w:u w:val="single"/>
        </w:rPr>
        <w:t>/s/ Joseph Oliker__</w:t>
      </w:r>
      <w:r w:rsidRPr="00FE7C99">
        <w:rPr>
          <w:rFonts w:ascii="Arial" w:eastAsia="Arial" w:hAnsi="Arial" w:cs="Arial"/>
          <w:i/>
          <w:sz w:val="24"/>
          <w:szCs w:val="24"/>
          <w:u w:val="single"/>
        </w:rPr>
        <w:t>_____</w:t>
      </w:r>
    </w:p>
    <w:p w14:paraId="18F7A846" w14:textId="77777777" w:rsidR="005E5B59" w:rsidRPr="00FE7C99" w:rsidRDefault="005E5B59" w:rsidP="005E5B59">
      <w:pPr>
        <w:spacing w:after="0"/>
        <w:ind w:left="5040" w:firstLine="720"/>
        <w:rPr>
          <w:rFonts w:ascii="Arial" w:eastAsia="Times New Roman" w:hAnsi="Arial" w:cs="Arial"/>
          <w:sz w:val="24"/>
          <w:szCs w:val="24"/>
        </w:rPr>
      </w:pPr>
      <w:r w:rsidRPr="00FE7C99">
        <w:rPr>
          <w:rFonts w:ascii="Arial" w:eastAsia="Times New Roman" w:hAnsi="Arial" w:cs="Arial"/>
          <w:sz w:val="24"/>
          <w:szCs w:val="24"/>
        </w:rPr>
        <w:t>Joseph Oliker</w:t>
      </w:r>
    </w:p>
    <w:tbl>
      <w:tblPr>
        <w:tblStyle w:val="TableGrid"/>
        <w:tblW w:w="0" w:type="auto"/>
        <w:tblLayout w:type="fixed"/>
        <w:tblLook w:val="04A0" w:firstRow="1" w:lastRow="0" w:firstColumn="1" w:lastColumn="0" w:noHBand="0" w:noVBand="1"/>
      </w:tblPr>
      <w:tblGrid>
        <w:gridCol w:w="3994"/>
        <w:gridCol w:w="4636"/>
      </w:tblGrid>
      <w:tr w:rsidR="005F77B5" w:rsidRPr="005F77B5" w14:paraId="2BC0C197" w14:textId="77777777" w:rsidTr="006411AE">
        <w:tc>
          <w:tcPr>
            <w:tcW w:w="3994" w:type="dxa"/>
          </w:tcPr>
          <w:p w14:paraId="04F373D3" w14:textId="77777777" w:rsidR="005F77B5" w:rsidRPr="005F77B5" w:rsidRDefault="005F77B5" w:rsidP="005F77B5">
            <w:pPr>
              <w:rPr>
                <w:rFonts w:ascii="Arial" w:hAnsi="Arial" w:cs="Arial"/>
                <w:sz w:val="24"/>
                <w:szCs w:val="24"/>
              </w:rPr>
            </w:pPr>
            <w:r w:rsidRPr="005F77B5">
              <w:rPr>
                <w:rFonts w:ascii="Arial" w:hAnsi="Arial" w:cs="Arial"/>
                <w:sz w:val="24"/>
                <w:szCs w:val="24"/>
              </w:rPr>
              <w:t xml:space="preserve">jeanne.kinger@duke-energy.com elizabeth.watts@duke-energy.com rocco.dascenzo@dukeenergy.com mkurtz@bkllawfirm.com jkylercohn@bkllawfirm.com fdarr@mwncmh.com mpritchard@mwncmh.com cmooney@ohiopartners.org </w:t>
            </w:r>
          </w:p>
          <w:p w14:paraId="0AAF20C6" w14:textId="77777777" w:rsidR="005F77B5" w:rsidRPr="005F77B5" w:rsidRDefault="00083D57" w:rsidP="005F77B5">
            <w:pPr>
              <w:rPr>
                <w:rFonts w:ascii="Arial" w:hAnsi="Arial" w:cs="Arial"/>
                <w:sz w:val="24"/>
                <w:szCs w:val="24"/>
              </w:rPr>
            </w:pPr>
            <w:hyperlink r:id="rId11" w:history="1">
              <w:r w:rsidR="005F77B5" w:rsidRPr="005F77B5">
                <w:rPr>
                  <w:rFonts w:ascii="Arial" w:hAnsi="Arial" w:cs="Arial"/>
                  <w:sz w:val="24"/>
                  <w:szCs w:val="24"/>
                </w:rPr>
                <w:t>mfleisher@elpc.org</w:t>
              </w:r>
            </w:hyperlink>
            <w:r w:rsidR="005F77B5" w:rsidRPr="005F77B5">
              <w:rPr>
                <w:rFonts w:ascii="Arial" w:hAnsi="Arial" w:cs="Arial"/>
                <w:sz w:val="24"/>
                <w:szCs w:val="24"/>
              </w:rPr>
              <w:t xml:space="preserve"> </w:t>
            </w:r>
          </w:p>
          <w:p w14:paraId="7B890B77" w14:textId="77777777" w:rsidR="005F77B5" w:rsidRPr="005F77B5" w:rsidRDefault="00083D57" w:rsidP="005F77B5">
            <w:pPr>
              <w:rPr>
                <w:rFonts w:ascii="Arial" w:hAnsi="Arial" w:cs="Arial"/>
                <w:sz w:val="24"/>
                <w:szCs w:val="24"/>
              </w:rPr>
            </w:pPr>
            <w:hyperlink r:id="rId12" w:history="1">
              <w:r w:rsidR="005F77B5" w:rsidRPr="005F77B5">
                <w:rPr>
                  <w:rFonts w:ascii="Arial" w:hAnsi="Arial" w:cs="Arial"/>
                  <w:sz w:val="24"/>
                  <w:szCs w:val="24"/>
                </w:rPr>
                <w:t>paul@carpenterlipps.com</w:t>
              </w:r>
            </w:hyperlink>
          </w:p>
          <w:p w14:paraId="5389D5A1" w14:textId="77777777" w:rsidR="005F77B5" w:rsidRPr="005F77B5" w:rsidRDefault="005F77B5" w:rsidP="005F77B5">
            <w:pPr>
              <w:rPr>
                <w:rFonts w:ascii="Arial" w:hAnsi="Arial" w:cs="Arial"/>
                <w:sz w:val="24"/>
                <w:szCs w:val="24"/>
              </w:rPr>
            </w:pPr>
            <w:r w:rsidRPr="005F77B5">
              <w:rPr>
                <w:rFonts w:ascii="Arial" w:hAnsi="Arial" w:cs="Arial"/>
                <w:sz w:val="24"/>
                <w:szCs w:val="24"/>
              </w:rPr>
              <w:t>William.Michael@occ.ohio.gov</w:t>
            </w:r>
          </w:p>
          <w:p w14:paraId="69D57600" w14:textId="77777777" w:rsidR="005F77B5" w:rsidRPr="005F77B5" w:rsidRDefault="00083D57" w:rsidP="005F77B5">
            <w:pPr>
              <w:rPr>
                <w:rFonts w:ascii="Arial" w:hAnsi="Arial" w:cs="Arial"/>
                <w:sz w:val="24"/>
                <w:szCs w:val="24"/>
              </w:rPr>
            </w:pPr>
            <w:hyperlink r:id="rId13" w:history="1">
              <w:r w:rsidR="005F77B5" w:rsidRPr="005F77B5">
                <w:rPr>
                  <w:rFonts w:ascii="Arial" w:hAnsi="Arial" w:cs="Arial"/>
                  <w:sz w:val="24"/>
                  <w:szCs w:val="24"/>
                </w:rPr>
                <w:t>Christopher.Healey@occ.ohio.gov</w:t>
              </w:r>
            </w:hyperlink>
          </w:p>
          <w:p w14:paraId="3D1CC926" w14:textId="77777777" w:rsidR="005F77B5" w:rsidRPr="005F77B5" w:rsidRDefault="00083D57" w:rsidP="005F77B5">
            <w:pPr>
              <w:rPr>
                <w:rFonts w:ascii="Arial" w:hAnsi="Arial" w:cs="Arial"/>
                <w:sz w:val="24"/>
                <w:szCs w:val="24"/>
              </w:rPr>
            </w:pPr>
            <w:hyperlink r:id="rId14" w:history="1">
              <w:r w:rsidR="005F77B5" w:rsidRPr="005F77B5">
                <w:rPr>
                  <w:rFonts w:ascii="Arial" w:hAnsi="Arial" w:cs="Arial"/>
                  <w:sz w:val="24"/>
                  <w:szCs w:val="24"/>
                </w:rPr>
                <w:t>daltman@environlaw.com</w:t>
              </w:r>
            </w:hyperlink>
          </w:p>
          <w:p w14:paraId="145D86E8" w14:textId="77777777" w:rsidR="005F77B5" w:rsidRPr="005F77B5" w:rsidRDefault="00083D57" w:rsidP="005F77B5">
            <w:pPr>
              <w:rPr>
                <w:rFonts w:ascii="Arial" w:hAnsi="Arial" w:cs="Arial"/>
                <w:sz w:val="24"/>
                <w:szCs w:val="24"/>
              </w:rPr>
            </w:pPr>
            <w:hyperlink r:id="rId15" w:history="1">
              <w:r w:rsidR="005F77B5" w:rsidRPr="005F77B5">
                <w:rPr>
                  <w:rFonts w:ascii="Arial" w:hAnsi="Arial" w:cs="Arial"/>
                  <w:sz w:val="24"/>
                  <w:szCs w:val="24"/>
                </w:rPr>
                <w:t>jnewman@environlaw.com</w:t>
              </w:r>
            </w:hyperlink>
          </w:p>
          <w:p w14:paraId="630D2C6C" w14:textId="77777777" w:rsidR="005F77B5" w:rsidRPr="005F77B5" w:rsidRDefault="005F77B5" w:rsidP="005F77B5">
            <w:pPr>
              <w:rPr>
                <w:rFonts w:ascii="Arial" w:hAnsi="Arial" w:cs="Arial"/>
                <w:sz w:val="24"/>
                <w:szCs w:val="24"/>
              </w:rPr>
            </w:pPr>
            <w:r w:rsidRPr="005F77B5">
              <w:rPr>
                <w:rFonts w:ascii="Arial" w:hAnsi="Arial" w:cs="Arial"/>
                <w:sz w:val="24"/>
                <w:szCs w:val="24"/>
              </w:rPr>
              <w:t>jweber@environlaw.com</w:t>
            </w:r>
          </w:p>
          <w:p w14:paraId="0B6E29A4" w14:textId="77777777" w:rsidR="005F77B5" w:rsidRPr="005F77B5" w:rsidRDefault="00083D57" w:rsidP="005F77B5">
            <w:pPr>
              <w:rPr>
                <w:rFonts w:ascii="Arial" w:hAnsi="Arial" w:cs="Arial"/>
                <w:sz w:val="24"/>
                <w:szCs w:val="24"/>
              </w:rPr>
            </w:pPr>
            <w:hyperlink r:id="rId16" w:history="1">
              <w:r w:rsidR="005F77B5" w:rsidRPr="005F77B5">
                <w:rPr>
                  <w:rFonts w:ascii="Arial" w:hAnsi="Arial" w:cs="Arial"/>
                  <w:sz w:val="24"/>
                  <w:szCs w:val="24"/>
                </w:rPr>
                <w:t>swilliams@nrdc.org</w:t>
              </w:r>
            </w:hyperlink>
          </w:p>
          <w:p w14:paraId="1C403C77" w14:textId="77777777" w:rsidR="005F77B5" w:rsidRPr="005F77B5" w:rsidRDefault="00083D57" w:rsidP="005F77B5">
            <w:pPr>
              <w:rPr>
                <w:rFonts w:ascii="Arial" w:hAnsi="Arial" w:cs="Arial"/>
                <w:sz w:val="24"/>
                <w:szCs w:val="24"/>
              </w:rPr>
            </w:pPr>
            <w:hyperlink r:id="rId17" w:history="1">
              <w:r w:rsidR="005F77B5" w:rsidRPr="005F77B5">
                <w:rPr>
                  <w:rFonts w:ascii="Arial" w:hAnsi="Arial" w:cs="Arial"/>
                  <w:sz w:val="24"/>
                  <w:szCs w:val="24"/>
                </w:rPr>
                <w:t>mjsettineri@vorys.com</w:t>
              </w:r>
            </w:hyperlink>
          </w:p>
          <w:p w14:paraId="675C6A6F" w14:textId="77777777" w:rsidR="005F77B5" w:rsidRPr="005F77B5" w:rsidRDefault="00083D57" w:rsidP="005F77B5">
            <w:pPr>
              <w:rPr>
                <w:rFonts w:ascii="Arial" w:hAnsi="Arial" w:cs="Arial"/>
                <w:sz w:val="24"/>
                <w:szCs w:val="24"/>
              </w:rPr>
            </w:pPr>
            <w:hyperlink r:id="rId18" w:history="1">
              <w:r w:rsidR="005F77B5" w:rsidRPr="005F77B5">
                <w:rPr>
                  <w:rFonts w:ascii="Arial" w:hAnsi="Arial" w:cs="Arial"/>
                  <w:sz w:val="24"/>
                  <w:szCs w:val="24"/>
                </w:rPr>
                <w:t>Terry.Etter@occ.ohio.gov</w:t>
              </w:r>
            </w:hyperlink>
          </w:p>
          <w:p w14:paraId="5F6C0FEB" w14:textId="77777777" w:rsidR="005F77B5" w:rsidRPr="005F77B5" w:rsidRDefault="00083D57" w:rsidP="005F77B5">
            <w:pPr>
              <w:rPr>
                <w:rFonts w:ascii="Arial" w:hAnsi="Arial" w:cs="Arial"/>
                <w:sz w:val="24"/>
                <w:szCs w:val="24"/>
              </w:rPr>
            </w:pPr>
            <w:hyperlink r:id="rId19" w:history="1">
              <w:r w:rsidR="005F77B5" w:rsidRPr="005F77B5">
                <w:rPr>
                  <w:rFonts w:ascii="Arial" w:hAnsi="Arial" w:cs="Arial"/>
                  <w:sz w:val="24"/>
                  <w:szCs w:val="24"/>
                </w:rPr>
                <w:t>DWilliamson@spilmanlaw.com</w:t>
              </w:r>
            </w:hyperlink>
          </w:p>
          <w:p w14:paraId="4FABA447" w14:textId="77777777" w:rsidR="005F77B5" w:rsidRPr="005F77B5" w:rsidRDefault="00083D57" w:rsidP="005F77B5">
            <w:pPr>
              <w:rPr>
                <w:rFonts w:ascii="Arial" w:hAnsi="Arial" w:cs="Arial"/>
                <w:sz w:val="24"/>
                <w:szCs w:val="24"/>
              </w:rPr>
            </w:pPr>
            <w:hyperlink r:id="rId20" w:history="1">
              <w:r w:rsidR="005F77B5" w:rsidRPr="005F77B5">
                <w:rPr>
                  <w:rFonts w:ascii="Arial" w:hAnsi="Arial" w:cs="Arial"/>
                  <w:sz w:val="24"/>
                  <w:szCs w:val="24"/>
                </w:rPr>
                <w:t>lbrandfass@spilmanlaw.com</w:t>
              </w:r>
            </w:hyperlink>
          </w:p>
          <w:p w14:paraId="06CA25F1" w14:textId="77777777" w:rsidR="005F77B5" w:rsidRPr="005F77B5" w:rsidRDefault="00083D57" w:rsidP="005F77B5">
            <w:pPr>
              <w:rPr>
                <w:rFonts w:ascii="Arial" w:hAnsi="Arial" w:cs="Arial"/>
                <w:sz w:val="24"/>
                <w:szCs w:val="24"/>
              </w:rPr>
            </w:pPr>
            <w:hyperlink r:id="rId21" w:history="1">
              <w:r w:rsidR="005F77B5" w:rsidRPr="005F77B5">
                <w:rPr>
                  <w:rFonts w:ascii="Arial" w:hAnsi="Arial" w:cs="Arial"/>
                  <w:sz w:val="24"/>
                  <w:szCs w:val="24"/>
                </w:rPr>
                <w:t>JLang@Calfee.com</w:t>
              </w:r>
            </w:hyperlink>
          </w:p>
          <w:p w14:paraId="141E427B" w14:textId="77777777" w:rsidR="005F77B5" w:rsidRPr="005F77B5" w:rsidRDefault="00083D57" w:rsidP="005F77B5">
            <w:pPr>
              <w:rPr>
                <w:rFonts w:ascii="Arial" w:hAnsi="Arial" w:cs="Arial"/>
                <w:sz w:val="24"/>
                <w:szCs w:val="24"/>
              </w:rPr>
            </w:pPr>
            <w:hyperlink r:id="rId22" w:history="1">
              <w:r w:rsidR="005F77B5" w:rsidRPr="005F77B5">
                <w:rPr>
                  <w:rFonts w:ascii="Arial" w:hAnsi="Arial" w:cs="Arial"/>
                  <w:sz w:val="24"/>
                  <w:szCs w:val="24"/>
                </w:rPr>
                <w:t>rsahli@columbus.rr.com</w:t>
              </w:r>
            </w:hyperlink>
          </w:p>
          <w:p w14:paraId="67E91770" w14:textId="77777777" w:rsidR="005F77B5" w:rsidRPr="005F77B5" w:rsidRDefault="00083D57" w:rsidP="005F77B5">
            <w:pPr>
              <w:rPr>
                <w:rFonts w:ascii="Arial" w:hAnsi="Arial" w:cs="Arial"/>
                <w:sz w:val="24"/>
                <w:szCs w:val="24"/>
              </w:rPr>
            </w:pPr>
            <w:hyperlink r:id="rId23" w:history="1">
              <w:r w:rsidR="005F77B5" w:rsidRPr="005F77B5">
                <w:rPr>
                  <w:rFonts w:ascii="Arial" w:hAnsi="Arial" w:cs="Arial"/>
                  <w:sz w:val="24"/>
                  <w:szCs w:val="24"/>
                </w:rPr>
                <w:t>tony.mendoza@sierraclub.org</w:t>
              </w:r>
            </w:hyperlink>
          </w:p>
          <w:p w14:paraId="74350AB6" w14:textId="77777777" w:rsidR="005F77B5" w:rsidRPr="005F77B5" w:rsidRDefault="005F77B5" w:rsidP="005F77B5">
            <w:pPr>
              <w:rPr>
                <w:rFonts w:ascii="Arial" w:hAnsi="Arial" w:cs="Arial"/>
                <w:sz w:val="24"/>
                <w:szCs w:val="24"/>
              </w:rPr>
            </w:pPr>
            <w:r w:rsidRPr="005F77B5">
              <w:rPr>
                <w:rFonts w:ascii="Arial" w:hAnsi="Arial" w:cs="Arial"/>
                <w:sz w:val="24"/>
                <w:szCs w:val="24"/>
              </w:rPr>
              <w:t>Zachary.woltz@occ.ohio.gov</w:t>
            </w:r>
          </w:p>
        </w:tc>
        <w:tc>
          <w:tcPr>
            <w:tcW w:w="4636" w:type="dxa"/>
          </w:tcPr>
          <w:p w14:paraId="31E8DEF4" w14:textId="77777777" w:rsidR="005F77B5" w:rsidRPr="005F77B5" w:rsidRDefault="005F77B5" w:rsidP="005F77B5">
            <w:pPr>
              <w:rPr>
                <w:rFonts w:ascii="Arial" w:hAnsi="Arial" w:cs="Arial"/>
                <w:sz w:val="24"/>
                <w:szCs w:val="24"/>
              </w:rPr>
            </w:pPr>
            <w:r w:rsidRPr="005F77B5">
              <w:rPr>
                <w:rFonts w:ascii="Arial" w:hAnsi="Arial" w:cs="Arial"/>
                <w:sz w:val="24"/>
                <w:szCs w:val="24"/>
              </w:rPr>
              <w:t xml:space="preserve">whitt@whitt-sturtevant.com </w:t>
            </w:r>
          </w:p>
          <w:p w14:paraId="4DBE13C7" w14:textId="77777777" w:rsidR="005F77B5" w:rsidRPr="005F77B5" w:rsidRDefault="00083D57" w:rsidP="005F77B5">
            <w:pPr>
              <w:rPr>
                <w:rFonts w:ascii="Arial" w:hAnsi="Arial" w:cs="Arial"/>
                <w:sz w:val="24"/>
                <w:szCs w:val="24"/>
              </w:rPr>
            </w:pPr>
            <w:hyperlink r:id="rId24" w:history="1">
              <w:r w:rsidR="005F77B5" w:rsidRPr="005F77B5">
                <w:rPr>
                  <w:rFonts w:ascii="Arial" w:hAnsi="Arial" w:cs="Arial"/>
                  <w:sz w:val="24"/>
                  <w:szCs w:val="24"/>
                </w:rPr>
                <w:t>campbell@whitt-sturtevant.com</w:t>
              </w:r>
            </w:hyperlink>
            <w:r w:rsidR="005F77B5" w:rsidRPr="005F77B5">
              <w:rPr>
                <w:rFonts w:ascii="Arial" w:hAnsi="Arial" w:cs="Arial"/>
                <w:sz w:val="24"/>
                <w:szCs w:val="24"/>
              </w:rPr>
              <w:t xml:space="preserve"> </w:t>
            </w:r>
          </w:p>
          <w:p w14:paraId="10098AAB" w14:textId="77777777" w:rsidR="005F77B5" w:rsidRPr="005F77B5" w:rsidRDefault="00083D57" w:rsidP="005F77B5">
            <w:pPr>
              <w:rPr>
                <w:rFonts w:ascii="Arial" w:hAnsi="Arial" w:cs="Arial"/>
                <w:sz w:val="24"/>
                <w:szCs w:val="24"/>
              </w:rPr>
            </w:pPr>
            <w:hyperlink r:id="rId25" w:history="1">
              <w:r w:rsidR="005F77B5" w:rsidRPr="005F77B5">
                <w:rPr>
                  <w:rFonts w:ascii="Arial" w:hAnsi="Arial" w:cs="Arial"/>
                  <w:sz w:val="24"/>
                  <w:szCs w:val="24"/>
                </w:rPr>
                <w:t>glover@whitt-sturtevant.com</w:t>
              </w:r>
            </w:hyperlink>
          </w:p>
          <w:p w14:paraId="59197FA3" w14:textId="77777777" w:rsidR="005F77B5" w:rsidRPr="005F77B5" w:rsidRDefault="00083D57" w:rsidP="005F77B5">
            <w:pPr>
              <w:rPr>
                <w:rFonts w:ascii="Arial" w:hAnsi="Arial" w:cs="Arial"/>
                <w:sz w:val="24"/>
                <w:szCs w:val="24"/>
              </w:rPr>
            </w:pPr>
            <w:hyperlink r:id="rId26" w:history="1">
              <w:r w:rsidR="005F77B5" w:rsidRPr="005F77B5">
                <w:rPr>
                  <w:rFonts w:ascii="Arial" w:hAnsi="Arial" w:cs="Arial"/>
                  <w:sz w:val="24"/>
                  <w:szCs w:val="24"/>
                </w:rPr>
                <w:t>tdougherty@theoec.org</w:t>
              </w:r>
            </w:hyperlink>
            <w:r w:rsidR="005F77B5" w:rsidRPr="005F77B5">
              <w:rPr>
                <w:rFonts w:ascii="Arial" w:hAnsi="Arial" w:cs="Arial"/>
                <w:sz w:val="24"/>
                <w:szCs w:val="24"/>
              </w:rPr>
              <w:t xml:space="preserve"> </w:t>
            </w:r>
          </w:p>
          <w:p w14:paraId="42426EED" w14:textId="77777777" w:rsidR="005F77B5" w:rsidRPr="005F77B5" w:rsidRDefault="005F77B5" w:rsidP="005F77B5">
            <w:pPr>
              <w:rPr>
                <w:rFonts w:ascii="Arial" w:hAnsi="Arial" w:cs="Arial"/>
                <w:sz w:val="24"/>
                <w:szCs w:val="24"/>
              </w:rPr>
            </w:pPr>
            <w:r w:rsidRPr="005F77B5">
              <w:rPr>
                <w:rFonts w:ascii="Arial" w:hAnsi="Arial" w:cs="Arial"/>
                <w:sz w:val="24"/>
                <w:szCs w:val="24"/>
              </w:rPr>
              <w:t xml:space="preserve">eakhbari@bricker.com rick.sites@ohiohospitals.org </w:t>
            </w:r>
            <w:hyperlink r:id="rId27" w:history="1">
              <w:r w:rsidRPr="005F77B5">
                <w:rPr>
                  <w:rFonts w:ascii="Arial" w:hAnsi="Arial" w:cs="Arial"/>
                  <w:sz w:val="24"/>
                  <w:szCs w:val="24"/>
                </w:rPr>
                <w:t>dborchers@bricker.com</w:t>
              </w:r>
            </w:hyperlink>
            <w:r w:rsidRPr="005F77B5">
              <w:rPr>
                <w:rFonts w:ascii="Arial" w:hAnsi="Arial" w:cs="Arial"/>
                <w:sz w:val="24"/>
                <w:szCs w:val="24"/>
              </w:rPr>
              <w:t xml:space="preserve"> </w:t>
            </w:r>
          </w:p>
          <w:p w14:paraId="09A6445B" w14:textId="77777777" w:rsidR="005F77B5" w:rsidRPr="005F77B5" w:rsidRDefault="00083D57" w:rsidP="005F77B5">
            <w:pPr>
              <w:rPr>
                <w:rFonts w:ascii="Arial" w:hAnsi="Arial" w:cs="Arial"/>
                <w:sz w:val="24"/>
                <w:szCs w:val="24"/>
              </w:rPr>
            </w:pPr>
            <w:hyperlink r:id="rId28" w:history="1">
              <w:r w:rsidR="005F77B5" w:rsidRPr="005F77B5">
                <w:rPr>
                  <w:rFonts w:ascii="Arial" w:hAnsi="Arial" w:cs="Arial"/>
                  <w:sz w:val="24"/>
                  <w:szCs w:val="24"/>
                </w:rPr>
                <w:t>dparram@bricker.com</w:t>
              </w:r>
            </w:hyperlink>
            <w:r w:rsidR="005F77B5" w:rsidRPr="005F77B5">
              <w:rPr>
                <w:rFonts w:ascii="Arial" w:hAnsi="Arial" w:cs="Arial"/>
                <w:sz w:val="24"/>
                <w:szCs w:val="24"/>
              </w:rPr>
              <w:t xml:space="preserve"> </w:t>
            </w:r>
          </w:p>
          <w:p w14:paraId="4A990AC2" w14:textId="77777777" w:rsidR="005F77B5" w:rsidRPr="005F77B5" w:rsidRDefault="005F77B5" w:rsidP="005F77B5">
            <w:pPr>
              <w:rPr>
                <w:rFonts w:ascii="Arial" w:hAnsi="Arial" w:cs="Arial"/>
                <w:sz w:val="24"/>
                <w:szCs w:val="24"/>
              </w:rPr>
            </w:pPr>
            <w:r w:rsidRPr="005F77B5">
              <w:rPr>
                <w:rFonts w:ascii="Arial" w:hAnsi="Arial" w:cs="Arial"/>
                <w:sz w:val="24"/>
                <w:szCs w:val="24"/>
              </w:rPr>
              <w:t xml:space="preserve">mdortch@kravitzllc.com </w:t>
            </w:r>
            <w:hyperlink r:id="rId29" w:history="1">
              <w:r w:rsidRPr="005F77B5">
                <w:rPr>
                  <w:rFonts w:ascii="Arial" w:hAnsi="Arial" w:cs="Arial"/>
                  <w:sz w:val="24"/>
                  <w:szCs w:val="24"/>
                </w:rPr>
                <w:t>dboehm@bkllawfirm.com</w:t>
              </w:r>
            </w:hyperlink>
          </w:p>
          <w:p w14:paraId="6C3E9B0D" w14:textId="77777777" w:rsidR="005F77B5" w:rsidRPr="005F77B5" w:rsidRDefault="005F77B5" w:rsidP="005F77B5">
            <w:pPr>
              <w:rPr>
                <w:rFonts w:ascii="Arial" w:hAnsi="Arial" w:cs="Arial"/>
                <w:sz w:val="24"/>
                <w:szCs w:val="24"/>
              </w:rPr>
            </w:pPr>
            <w:r w:rsidRPr="005F77B5">
              <w:rPr>
                <w:rFonts w:ascii="Arial" w:hAnsi="Arial" w:cs="Arial"/>
                <w:sz w:val="24"/>
                <w:szCs w:val="24"/>
              </w:rPr>
              <w:t xml:space="preserve">kboehm@bkllawfirm.com bojko@carpenterlipps.com perko@carpenterlipps.com </w:t>
            </w:r>
            <w:hyperlink r:id="rId30" w:history="1">
              <w:r w:rsidRPr="005F77B5">
                <w:rPr>
                  <w:rFonts w:ascii="Arial" w:hAnsi="Arial" w:cs="Arial"/>
                  <w:sz w:val="24"/>
                  <w:szCs w:val="24"/>
                </w:rPr>
                <w:t>mleppla@theoec.org</w:t>
              </w:r>
            </w:hyperlink>
          </w:p>
          <w:p w14:paraId="38CF351D" w14:textId="77777777" w:rsidR="005F77B5" w:rsidRPr="005F77B5" w:rsidRDefault="005F77B5" w:rsidP="005F77B5">
            <w:pPr>
              <w:rPr>
                <w:rFonts w:ascii="Arial" w:hAnsi="Arial" w:cs="Arial"/>
                <w:sz w:val="24"/>
                <w:szCs w:val="24"/>
              </w:rPr>
            </w:pPr>
            <w:r w:rsidRPr="005F77B5">
              <w:rPr>
                <w:rFonts w:ascii="Arial" w:hAnsi="Arial" w:cs="Arial"/>
                <w:sz w:val="24"/>
                <w:szCs w:val="24"/>
              </w:rPr>
              <w:t>steven.beeler@ohioattorneygeneral.gov</w:t>
            </w:r>
          </w:p>
          <w:p w14:paraId="003568E3" w14:textId="77777777" w:rsidR="005F77B5" w:rsidRPr="005F77B5" w:rsidRDefault="005F77B5" w:rsidP="005F77B5">
            <w:pPr>
              <w:rPr>
                <w:rFonts w:ascii="Arial" w:hAnsi="Arial" w:cs="Arial"/>
                <w:sz w:val="24"/>
                <w:szCs w:val="24"/>
              </w:rPr>
            </w:pPr>
            <w:r w:rsidRPr="005F77B5">
              <w:rPr>
                <w:rFonts w:ascii="Arial" w:hAnsi="Arial" w:cs="Arial"/>
                <w:sz w:val="24"/>
                <w:szCs w:val="24"/>
              </w:rPr>
              <w:t>robert.eubanks@ohioattorneygeneral.gov</w:t>
            </w:r>
          </w:p>
          <w:p w14:paraId="1C058DA8" w14:textId="77777777" w:rsidR="005F77B5" w:rsidRPr="005F77B5" w:rsidRDefault="00083D57" w:rsidP="005F77B5">
            <w:pPr>
              <w:rPr>
                <w:rFonts w:ascii="Arial" w:hAnsi="Arial" w:cs="Arial"/>
                <w:sz w:val="24"/>
                <w:szCs w:val="24"/>
              </w:rPr>
            </w:pPr>
            <w:hyperlink r:id="rId31" w:history="1">
              <w:r w:rsidR="005F77B5" w:rsidRPr="005F77B5">
                <w:rPr>
                  <w:rFonts w:ascii="Arial" w:hAnsi="Arial" w:cs="Arial"/>
                  <w:sz w:val="24"/>
                  <w:szCs w:val="24"/>
                </w:rPr>
                <w:t>glpetrucci@vorys.com</w:t>
              </w:r>
            </w:hyperlink>
          </w:p>
          <w:p w14:paraId="1C181A8F" w14:textId="77777777" w:rsidR="005F77B5" w:rsidRPr="005F77B5" w:rsidRDefault="00083D57" w:rsidP="005F77B5">
            <w:pPr>
              <w:rPr>
                <w:rFonts w:ascii="Arial" w:hAnsi="Arial" w:cs="Arial"/>
                <w:sz w:val="24"/>
                <w:szCs w:val="24"/>
              </w:rPr>
            </w:pPr>
            <w:hyperlink r:id="rId32" w:history="1">
              <w:r w:rsidR="005F77B5" w:rsidRPr="005F77B5">
                <w:rPr>
                  <w:rFonts w:ascii="Arial" w:hAnsi="Arial" w:cs="Arial"/>
                  <w:sz w:val="24"/>
                  <w:szCs w:val="24"/>
                </w:rPr>
                <w:t>Kevin.Moore@occ.ohio.gov</w:t>
              </w:r>
            </w:hyperlink>
          </w:p>
          <w:p w14:paraId="63BFAE79" w14:textId="77777777" w:rsidR="005F77B5" w:rsidRPr="005F77B5" w:rsidRDefault="00083D57" w:rsidP="005F77B5">
            <w:pPr>
              <w:rPr>
                <w:rFonts w:ascii="Arial" w:hAnsi="Arial" w:cs="Arial"/>
                <w:sz w:val="24"/>
                <w:szCs w:val="24"/>
              </w:rPr>
            </w:pPr>
            <w:hyperlink r:id="rId33" w:history="1">
              <w:r w:rsidR="005F77B5" w:rsidRPr="005F77B5">
                <w:rPr>
                  <w:rFonts w:ascii="Arial" w:hAnsi="Arial" w:cs="Arial"/>
                  <w:sz w:val="24"/>
                  <w:szCs w:val="24"/>
                </w:rPr>
                <w:t>CHarris@spilmanlaw.com</w:t>
              </w:r>
            </w:hyperlink>
          </w:p>
          <w:p w14:paraId="4B953F95" w14:textId="77777777" w:rsidR="005F77B5" w:rsidRPr="005F77B5" w:rsidRDefault="00083D57" w:rsidP="005F77B5">
            <w:pPr>
              <w:rPr>
                <w:rFonts w:ascii="Arial" w:hAnsi="Arial" w:cs="Arial"/>
                <w:sz w:val="24"/>
                <w:szCs w:val="24"/>
              </w:rPr>
            </w:pPr>
            <w:hyperlink r:id="rId34" w:history="1">
              <w:r w:rsidR="005F77B5" w:rsidRPr="005F77B5">
                <w:rPr>
                  <w:rFonts w:ascii="Arial" w:hAnsi="Arial" w:cs="Arial"/>
                  <w:sz w:val="24"/>
                  <w:szCs w:val="24"/>
                </w:rPr>
                <w:t>SLesser@Calfee.com</w:t>
              </w:r>
            </w:hyperlink>
          </w:p>
          <w:p w14:paraId="37B518FC" w14:textId="77777777" w:rsidR="005F77B5" w:rsidRPr="005F77B5" w:rsidRDefault="00083D57" w:rsidP="005F77B5">
            <w:pPr>
              <w:rPr>
                <w:rFonts w:ascii="Arial" w:hAnsi="Arial" w:cs="Arial"/>
                <w:sz w:val="24"/>
                <w:szCs w:val="24"/>
              </w:rPr>
            </w:pPr>
            <w:hyperlink r:id="rId35" w:history="1">
              <w:r w:rsidR="005F77B5" w:rsidRPr="005F77B5">
                <w:rPr>
                  <w:rFonts w:ascii="Arial" w:hAnsi="Arial" w:cs="Arial"/>
                  <w:sz w:val="24"/>
                  <w:szCs w:val="24"/>
                </w:rPr>
                <w:t>TAlexander@Calfee.com</w:t>
              </w:r>
            </w:hyperlink>
          </w:p>
          <w:p w14:paraId="398C5DEE" w14:textId="77777777" w:rsidR="005F77B5" w:rsidRPr="005F77B5" w:rsidRDefault="00083D57" w:rsidP="005F77B5">
            <w:pPr>
              <w:rPr>
                <w:rFonts w:ascii="Arial" w:hAnsi="Arial" w:cs="Arial"/>
                <w:sz w:val="24"/>
                <w:szCs w:val="24"/>
              </w:rPr>
            </w:pPr>
            <w:hyperlink r:id="rId36" w:history="1">
              <w:r w:rsidR="005F77B5" w:rsidRPr="005F77B5">
                <w:rPr>
                  <w:rFonts w:ascii="Arial" w:hAnsi="Arial" w:cs="Arial"/>
                  <w:sz w:val="24"/>
                  <w:szCs w:val="24"/>
                </w:rPr>
                <w:t>mkeaney@calfee.com</w:t>
              </w:r>
            </w:hyperlink>
          </w:p>
          <w:p w14:paraId="58FC39E4" w14:textId="77777777" w:rsidR="005F77B5" w:rsidRPr="005F77B5" w:rsidRDefault="00083D57" w:rsidP="005F77B5">
            <w:pPr>
              <w:rPr>
                <w:rFonts w:ascii="Arial" w:hAnsi="Arial" w:cs="Arial"/>
                <w:sz w:val="24"/>
                <w:szCs w:val="24"/>
              </w:rPr>
            </w:pPr>
            <w:hyperlink r:id="rId37" w:history="1">
              <w:r w:rsidR="005F77B5" w:rsidRPr="005F77B5">
                <w:rPr>
                  <w:rFonts w:ascii="Arial" w:hAnsi="Arial" w:cs="Arial"/>
                  <w:sz w:val="24"/>
                  <w:szCs w:val="24"/>
                </w:rPr>
                <w:t>EAkhbari@bricker.com</w:t>
              </w:r>
            </w:hyperlink>
          </w:p>
          <w:p w14:paraId="5F45D623" w14:textId="77777777" w:rsidR="005F77B5" w:rsidRPr="005F77B5" w:rsidRDefault="00083D57" w:rsidP="005F77B5">
            <w:pPr>
              <w:rPr>
                <w:rFonts w:ascii="Arial" w:hAnsi="Arial" w:cs="Arial"/>
                <w:sz w:val="24"/>
                <w:szCs w:val="24"/>
              </w:rPr>
            </w:pPr>
            <w:hyperlink r:id="rId38" w:history="1">
              <w:r w:rsidR="005F77B5" w:rsidRPr="005F77B5">
                <w:rPr>
                  <w:rFonts w:ascii="Arial" w:hAnsi="Arial" w:cs="Arial"/>
                  <w:sz w:val="24"/>
                  <w:szCs w:val="24"/>
                </w:rPr>
                <w:t>William.wright@ohioattorneygeneral.gov</w:t>
              </w:r>
            </w:hyperlink>
          </w:p>
          <w:p w14:paraId="1534F5A7" w14:textId="77777777" w:rsidR="005F77B5" w:rsidRPr="005F77B5" w:rsidRDefault="005F77B5" w:rsidP="005F77B5">
            <w:pPr>
              <w:rPr>
                <w:rFonts w:ascii="Arial" w:hAnsi="Arial" w:cs="Arial"/>
                <w:sz w:val="24"/>
                <w:szCs w:val="24"/>
              </w:rPr>
            </w:pPr>
            <w:r w:rsidRPr="005F77B5">
              <w:rPr>
                <w:rFonts w:ascii="Arial" w:hAnsi="Arial" w:cs="Arial"/>
                <w:sz w:val="24"/>
                <w:szCs w:val="24"/>
              </w:rPr>
              <w:t>Kevin.moore@occ.ohio.gov</w:t>
            </w:r>
          </w:p>
        </w:tc>
      </w:tr>
    </w:tbl>
    <w:p w14:paraId="653A7873" w14:textId="77777777" w:rsidR="005E5B59" w:rsidRPr="00FE7C99" w:rsidRDefault="005E5B59" w:rsidP="004A0C52">
      <w:pPr>
        <w:spacing w:line="480" w:lineRule="auto"/>
        <w:ind w:firstLine="720"/>
        <w:jc w:val="both"/>
        <w:rPr>
          <w:rFonts w:ascii="Arial" w:hAnsi="Arial" w:cs="Arial"/>
          <w:sz w:val="24"/>
          <w:szCs w:val="24"/>
        </w:rPr>
      </w:pPr>
    </w:p>
    <w:sectPr w:rsidR="005E5B59" w:rsidRPr="00FE7C99" w:rsidSect="00650A7C">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AE48" w14:textId="77777777" w:rsidR="00445A36" w:rsidRDefault="00445A36" w:rsidP="003E1F76">
      <w:pPr>
        <w:spacing w:after="0" w:line="240" w:lineRule="auto"/>
      </w:pPr>
      <w:r>
        <w:separator/>
      </w:r>
    </w:p>
  </w:endnote>
  <w:endnote w:type="continuationSeparator" w:id="0">
    <w:p w14:paraId="60758DB8" w14:textId="77777777" w:rsidR="00445A36" w:rsidRDefault="00445A36" w:rsidP="003E1F76">
      <w:pPr>
        <w:spacing w:after="0" w:line="240" w:lineRule="auto"/>
      </w:pPr>
      <w:r>
        <w:continuationSeparator/>
      </w:r>
    </w:p>
  </w:endnote>
  <w:endnote w:type="continuationNotice" w:id="1">
    <w:p w14:paraId="31401C60" w14:textId="77777777" w:rsidR="00445A36" w:rsidRDefault="00445A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235013"/>
      <w:docPartObj>
        <w:docPartGallery w:val="Page Numbers (Bottom of Page)"/>
        <w:docPartUnique/>
      </w:docPartObj>
    </w:sdtPr>
    <w:sdtEndPr>
      <w:rPr>
        <w:noProof/>
      </w:rPr>
    </w:sdtEndPr>
    <w:sdtContent>
      <w:p w14:paraId="4CC9D74C" w14:textId="76D4B118" w:rsidR="00E077FF" w:rsidRDefault="00E077FF">
        <w:pPr>
          <w:pStyle w:val="Footer"/>
          <w:jc w:val="center"/>
        </w:pPr>
        <w:r>
          <w:fldChar w:fldCharType="begin"/>
        </w:r>
        <w:r>
          <w:instrText xml:space="preserve"> PAGE   \* MERGEFORMAT </w:instrText>
        </w:r>
        <w:r>
          <w:fldChar w:fldCharType="separate"/>
        </w:r>
        <w:r w:rsidR="00083D57">
          <w:rPr>
            <w:noProof/>
          </w:rPr>
          <w:t>2</w:t>
        </w:r>
        <w:r>
          <w:rPr>
            <w:noProof/>
          </w:rPr>
          <w:fldChar w:fldCharType="end"/>
        </w:r>
      </w:p>
    </w:sdtContent>
  </w:sdt>
  <w:p w14:paraId="1E983FB7" w14:textId="77777777" w:rsidR="00E077FF" w:rsidRDefault="00E07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0ED82" w14:textId="77777777" w:rsidR="00445A36" w:rsidRDefault="00445A36" w:rsidP="003E1F76">
      <w:pPr>
        <w:spacing w:after="0" w:line="240" w:lineRule="auto"/>
      </w:pPr>
      <w:r>
        <w:separator/>
      </w:r>
    </w:p>
  </w:footnote>
  <w:footnote w:type="continuationSeparator" w:id="0">
    <w:p w14:paraId="284A210A" w14:textId="77777777" w:rsidR="00445A36" w:rsidRDefault="00445A36" w:rsidP="003E1F76">
      <w:pPr>
        <w:spacing w:after="0" w:line="240" w:lineRule="auto"/>
      </w:pPr>
      <w:r>
        <w:continuationSeparator/>
      </w:r>
    </w:p>
  </w:footnote>
  <w:footnote w:type="continuationNotice" w:id="1">
    <w:p w14:paraId="0BCBB541" w14:textId="77777777" w:rsidR="00445A36" w:rsidRDefault="00445A36">
      <w:pPr>
        <w:spacing w:after="0" w:line="240" w:lineRule="auto"/>
      </w:pPr>
    </w:p>
  </w:footnote>
  <w:footnote w:id="2">
    <w:p w14:paraId="00DB954E" w14:textId="77777777"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Industrial Energy Users-Ohio v. Pub. Util. Comm’n</w:t>
      </w:r>
      <w:r w:rsidRPr="00964F3F">
        <w:rPr>
          <w:rFonts w:ascii="Arial" w:hAnsi="Arial" w:cs="Arial"/>
        </w:rPr>
        <w:t>, 117 Ohio St. 3d 486, 487 (2008).</w:t>
      </w:r>
    </w:p>
    <w:p w14:paraId="23DE523C" w14:textId="77777777" w:rsidR="00E077FF" w:rsidRPr="00964F3F" w:rsidRDefault="00E077FF" w:rsidP="002B1A03">
      <w:pPr>
        <w:pStyle w:val="FootnoteText"/>
        <w:jc w:val="both"/>
        <w:rPr>
          <w:rFonts w:ascii="Arial" w:hAnsi="Arial" w:cs="Arial"/>
        </w:rPr>
      </w:pPr>
    </w:p>
  </w:footnote>
  <w:footnote w:id="3">
    <w:p w14:paraId="79A78F29" w14:textId="77777777" w:rsidR="00E077FF" w:rsidRPr="00964F3F" w:rsidRDefault="00E077FF" w:rsidP="002B1A03">
      <w:pPr>
        <w:pStyle w:val="FootnoteText"/>
        <w:jc w:val="both"/>
        <w:rPr>
          <w:rFonts w:ascii="Arial" w:hAnsi="Arial" w:cs="Arial"/>
          <w:shd w:val="clear" w:color="auto" w:fill="FFFFFF"/>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shd w:val="clear" w:color="auto" w:fill="FFFFFF"/>
        </w:rPr>
        <w:t>Migden-Ostrander v. Pub. Util. Comm’n</w:t>
      </w:r>
      <w:r w:rsidRPr="00964F3F">
        <w:rPr>
          <w:rFonts w:ascii="Arial" w:hAnsi="Arial" w:cs="Arial"/>
          <w:shd w:val="clear" w:color="auto" w:fill="FFFFFF"/>
        </w:rPr>
        <w:t>, 102 Ohio St. 3d 451, 452-53 (2004).</w:t>
      </w:r>
    </w:p>
    <w:p w14:paraId="52E56223" w14:textId="77777777" w:rsidR="00E077FF" w:rsidRPr="00964F3F" w:rsidRDefault="00E077FF" w:rsidP="002B1A03">
      <w:pPr>
        <w:pStyle w:val="FootnoteText"/>
        <w:jc w:val="both"/>
        <w:rPr>
          <w:rFonts w:ascii="Arial" w:hAnsi="Arial" w:cs="Arial"/>
        </w:rPr>
      </w:pPr>
    </w:p>
  </w:footnote>
  <w:footnote w:id="4">
    <w:p w14:paraId="54F51331" w14:textId="77777777"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Industrial Energy Users-Ohio v. Pub. Util. Comm’n</w:t>
      </w:r>
      <w:r w:rsidRPr="00964F3F">
        <w:rPr>
          <w:rFonts w:ascii="Arial" w:hAnsi="Arial" w:cs="Arial"/>
        </w:rPr>
        <w:t>, 117 Ohio St. 3d 486, 487 (2008).</w:t>
      </w:r>
    </w:p>
    <w:p w14:paraId="6DF151DD" w14:textId="77777777" w:rsidR="00295862" w:rsidRPr="00964F3F" w:rsidRDefault="00295862" w:rsidP="002B1A03">
      <w:pPr>
        <w:pStyle w:val="FootnoteText"/>
        <w:jc w:val="both"/>
        <w:rPr>
          <w:rFonts w:ascii="Arial" w:hAnsi="Arial" w:cs="Arial"/>
        </w:rPr>
      </w:pPr>
    </w:p>
  </w:footnote>
  <w:footnote w:id="5">
    <w:p w14:paraId="7FBCFBC4" w14:textId="63027E5A"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R.C. 4928.05(A)(1). </w:t>
      </w:r>
    </w:p>
    <w:p w14:paraId="71B63110" w14:textId="77777777" w:rsidR="00E077FF" w:rsidRPr="00964F3F" w:rsidRDefault="00E077FF" w:rsidP="002B1A03">
      <w:pPr>
        <w:pStyle w:val="FootnoteText"/>
        <w:jc w:val="both"/>
        <w:rPr>
          <w:rFonts w:ascii="Arial" w:hAnsi="Arial" w:cs="Arial"/>
        </w:rPr>
      </w:pPr>
    </w:p>
  </w:footnote>
  <w:footnote w:id="6">
    <w:p w14:paraId="428B781B" w14:textId="77777777" w:rsidR="00E077FF" w:rsidRPr="00964F3F" w:rsidRDefault="00E077FF" w:rsidP="00C458EB">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Objections of Interstate Gas Supply, Inc. and Summary of Major Issues at 4-7 (Oct. 26, 2018).</w:t>
      </w:r>
    </w:p>
    <w:p w14:paraId="7B8B8C8E" w14:textId="77777777" w:rsidR="00E077FF" w:rsidRPr="00964F3F" w:rsidRDefault="00E077FF" w:rsidP="00C458EB">
      <w:pPr>
        <w:pStyle w:val="FootnoteText"/>
        <w:rPr>
          <w:rFonts w:ascii="Arial" w:hAnsi="Arial" w:cs="Arial"/>
        </w:rPr>
      </w:pPr>
    </w:p>
  </w:footnote>
  <w:footnote w:id="7">
    <w:p w14:paraId="339C213E" w14:textId="775FED06" w:rsidR="00E077FF" w:rsidRPr="00964F3F" w:rsidRDefault="00E077FF" w:rsidP="007D179F">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For example, the Stipulation permits Duke to collect $5,107,749 in call center expenses through electric distribution rates. IGS Ex. 11 (Duke Response to IGS-02-010, Case Nos. 17-32-EL-AIR, </w:t>
      </w:r>
      <w:r w:rsidRPr="00964F3F">
        <w:rPr>
          <w:rFonts w:ascii="Arial" w:hAnsi="Arial" w:cs="Arial"/>
          <w:i/>
        </w:rPr>
        <w:t>et al.</w:t>
      </w:r>
      <w:r w:rsidRPr="00964F3F">
        <w:rPr>
          <w:rFonts w:ascii="Arial" w:hAnsi="Arial" w:cs="Arial"/>
        </w:rPr>
        <w:t>,).</w:t>
      </w:r>
    </w:p>
    <w:p w14:paraId="3615036E" w14:textId="77777777" w:rsidR="00E077FF" w:rsidRPr="00964F3F" w:rsidRDefault="00E077FF" w:rsidP="00C458EB">
      <w:pPr>
        <w:pStyle w:val="FootnoteText"/>
        <w:rPr>
          <w:rFonts w:ascii="Arial" w:hAnsi="Arial" w:cs="Arial"/>
        </w:rPr>
      </w:pPr>
    </w:p>
  </w:footnote>
  <w:footnote w:id="8">
    <w:p w14:paraId="07B41288" w14:textId="77777777" w:rsidR="00E077FF" w:rsidRPr="00964F3F" w:rsidRDefault="00E077FF" w:rsidP="007D179F">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Although the Staff Report recommends that Duke not collect a Cash Working Capital expense, this recommendation does not change the fact that Duke does in fact incur a capital cost to pay auction suppliers.  Staff Report at 11.  By failing to allocate a cash working capital requirement to the SSO rate, Duke thereby subsidizes this cost through revenue collected through distribution rates.</w:t>
      </w:r>
    </w:p>
    <w:p w14:paraId="22379811" w14:textId="77777777" w:rsidR="00E077FF" w:rsidRPr="00964F3F" w:rsidRDefault="00E077FF" w:rsidP="007D179F">
      <w:pPr>
        <w:pStyle w:val="FootnoteText"/>
        <w:jc w:val="both"/>
        <w:rPr>
          <w:rFonts w:ascii="Arial" w:hAnsi="Arial" w:cs="Arial"/>
        </w:rPr>
      </w:pPr>
    </w:p>
  </w:footnote>
  <w:footnote w:id="9">
    <w:p w14:paraId="77841012" w14:textId="17ABD057" w:rsidR="00760874" w:rsidRPr="00964F3F" w:rsidRDefault="00760874">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00CD6F9E" w:rsidRPr="00964F3F">
        <w:rPr>
          <w:rFonts w:ascii="Arial" w:hAnsi="Arial" w:cs="Arial"/>
        </w:rPr>
        <w:t>RESA/IGS Ex. 1 at JEH-1.</w:t>
      </w:r>
    </w:p>
    <w:p w14:paraId="653E412B" w14:textId="77777777" w:rsidR="00CD6F9E" w:rsidRPr="00964F3F" w:rsidRDefault="00CD6F9E">
      <w:pPr>
        <w:pStyle w:val="FootnoteText"/>
        <w:rPr>
          <w:rFonts w:ascii="Arial" w:hAnsi="Arial" w:cs="Arial"/>
        </w:rPr>
      </w:pPr>
    </w:p>
  </w:footnote>
  <w:footnote w:id="10">
    <w:p w14:paraId="49D1818B" w14:textId="77777777" w:rsidR="00E077FF" w:rsidRPr="00964F3F" w:rsidRDefault="00E077FF" w:rsidP="007D179F">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R.C. 4911.18; R.C. 4905.10.</w:t>
      </w:r>
    </w:p>
    <w:p w14:paraId="05638246" w14:textId="77777777" w:rsidR="00E077FF" w:rsidRPr="00964F3F" w:rsidRDefault="00E077FF" w:rsidP="007D179F">
      <w:pPr>
        <w:pStyle w:val="FootnoteText"/>
        <w:jc w:val="both"/>
        <w:rPr>
          <w:rFonts w:ascii="Arial" w:hAnsi="Arial" w:cs="Arial"/>
        </w:rPr>
      </w:pPr>
    </w:p>
  </w:footnote>
  <w:footnote w:id="11">
    <w:p w14:paraId="55896390" w14:textId="0AEF876F" w:rsidR="00E077FF" w:rsidRPr="00964F3F" w:rsidRDefault="00E077FF" w:rsidP="007D179F">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Because Duke also collects revenue related to its distribution services, it would pay an additional assessment related to the distribution revenue it collects.  IGS is not proposing to allocate this distribution revenue-related portion of Duke’s PUCO and OCC assessments to the SSO.  </w:t>
      </w:r>
    </w:p>
    <w:p w14:paraId="12BD64A1" w14:textId="77777777" w:rsidR="00E077FF" w:rsidRPr="00964F3F" w:rsidRDefault="00E077FF" w:rsidP="007D179F">
      <w:pPr>
        <w:pStyle w:val="FootnoteText"/>
        <w:jc w:val="both"/>
        <w:rPr>
          <w:rFonts w:ascii="Arial" w:hAnsi="Arial" w:cs="Arial"/>
        </w:rPr>
      </w:pPr>
    </w:p>
  </w:footnote>
  <w:footnote w:id="12">
    <w:p w14:paraId="06CA3BC0" w14:textId="77777777" w:rsidR="00E077FF" w:rsidRPr="00964F3F" w:rsidRDefault="00E077FF" w:rsidP="007D179F">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Tr. Vol. XI 1929-30.  </w:t>
      </w:r>
    </w:p>
    <w:p w14:paraId="1762DE43" w14:textId="77777777" w:rsidR="00E077FF" w:rsidRPr="00964F3F" w:rsidRDefault="00E077FF" w:rsidP="007D179F">
      <w:pPr>
        <w:pStyle w:val="FootnoteText"/>
        <w:jc w:val="both"/>
        <w:rPr>
          <w:rFonts w:ascii="Arial" w:hAnsi="Arial" w:cs="Arial"/>
        </w:rPr>
      </w:pPr>
    </w:p>
  </w:footnote>
  <w:footnote w:id="13">
    <w:p w14:paraId="46F57BF1" w14:textId="77777777" w:rsidR="00E077FF" w:rsidRPr="00964F3F" w:rsidRDefault="00E077FF" w:rsidP="007D179F">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IGS Ex. 8 (Duke Response to IGS-INT-01-016(b), Case Nos. 17-1263-EL-SSO, </w:t>
      </w:r>
      <w:r w:rsidRPr="00964F3F">
        <w:rPr>
          <w:rFonts w:ascii="Arial" w:hAnsi="Arial" w:cs="Arial"/>
          <w:i/>
        </w:rPr>
        <w:t>et al.</w:t>
      </w:r>
      <w:r w:rsidRPr="00964F3F">
        <w:rPr>
          <w:rFonts w:ascii="Arial" w:hAnsi="Arial" w:cs="Arial"/>
        </w:rPr>
        <w:t>).  The terms of this charge are set forth on Tariff Sheet 52.4.</w:t>
      </w:r>
    </w:p>
    <w:p w14:paraId="52A0B0F4" w14:textId="77777777" w:rsidR="00E077FF" w:rsidRPr="00964F3F" w:rsidRDefault="00E077FF" w:rsidP="00C458EB">
      <w:pPr>
        <w:pStyle w:val="FootnoteText"/>
        <w:rPr>
          <w:rFonts w:ascii="Arial" w:hAnsi="Arial" w:cs="Arial"/>
        </w:rPr>
      </w:pPr>
    </w:p>
  </w:footnote>
  <w:footnote w:id="14">
    <w:p w14:paraId="79B169C3" w14:textId="77777777" w:rsidR="00E077FF" w:rsidRPr="00964F3F" w:rsidRDefault="00E077FF" w:rsidP="00C458EB">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Id</w:t>
      </w:r>
      <w:r w:rsidRPr="00964F3F">
        <w:rPr>
          <w:rFonts w:ascii="Arial" w:hAnsi="Arial" w:cs="Arial"/>
        </w:rPr>
        <w:t>. at (a). The terms of this charge are set forth on Tariff Sheet 52.4.</w:t>
      </w:r>
    </w:p>
    <w:p w14:paraId="263357FA" w14:textId="77777777" w:rsidR="00E077FF" w:rsidRPr="00964F3F" w:rsidRDefault="00E077FF" w:rsidP="00C458EB">
      <w:pPr>
        <w:pStyle w:val="FootnoteText"/>
        <w:rPr>
          <w:rFonts w:ascii="Arial" w:hAnsi="Arial" w:cs="Arial"/>
        </w:rPr>
      </w:pPr>
    </w:p>
  </w:footnote>
  <w:footnote w:id="15">
    <w:p w14:paraId="1AC2C84C" w14:textId="77777777" w:rsidR="00E077FF" w:rsidRPr="00964F3F" w:rsidRDefault="00E077FF" w:rsidP="00C458EB">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IGS Ex. 8 (Duke Response to IGS-INT-01-17, Case Nos. 17-1263-EL-SSO, </w:t>
      </w:r>
      <w:r w:rsidRPr="00964F3F">
        <w:rPr>
          <w:rFonts w:ascii="Arial" w:hAnsi="Arial" w:cs="Arial"/>
          <w:i/>
        </w:rPr>
        <w:t>et al</w:t>
      </w:r>
      <w:r w:rsidRPr="00964F3F">
        <w:rPr>
          <w:rFonts w:ascii="Arial" w:hAnsi="Arial" w:cs="Arial"/>
        </w:rPr>
        <w:t>).</w:t>
      </w:r>
    </w:p>
    <w:p w14:paraId="3D8AC11C" w14:textId="77777777" w:rsidR="00E077FF" w:rsidRPr="00964F3F" w:rsidRDefault="00E077FF" w:rsidP="00C458EB">
      <w:pPr>
        <w:pStyle w:val="FootnoteText"/>
        <w:rPr>
          <w:rFonts w:ascii="Arial" w:hAnsi="Arial" w:cs="Arial"/>
        </w:rPr>
      </w:pPr>
    </w:p>
  </w:footnote>
  <w:footnote w:id="16">
    <w:p w14:paraId="0F1F1D2D" w14:textId="77777777" w:rsidR="00E077FF" w:rsidRPr="00964F3F" w:rsidRDefault="00E077FF" w:rsidP="00C458EB">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IGS Ex. 8 (Duke Response to IGS-INT-02-01(h), Case Nos. 17-32-EL-AIR, </w:t>
      </w:r>
      <w:r w:rsidRPr="00964F3F">
        <w:rPr>
          <w:rFonts w:ascii="Arial" w:hAnsi="Arial" w:cs="Arial"/>
          <w:i/>
        </w:rPr>
        <w:t>et al.</w:t>
      </w:r>
      <w:r w:rsidRPr="00964F3F">
        <w:rPr>
          <w:rFonts w:ascii="Arial" w:hAnsi="Arial" w:cs="Arial"/>
        </w:rPr>
        <w:t>). The terms of this charge are set forth on Tariff Sheet 52.4.</w:t>
      </w:r>
    </w:p>
    <w:p w14:paraId="37AEFE32" w14:textId="77777777" w:rsidR="00E077FF" w:rsidRPr="00964F3F" w:rsidRDefault="00E077FF" w:rsidP="00C458EB">
      <w:pPr>
        <w:pStyle w:val="FootnoteText"/>
        <w:rPr>
          <w:rFonts w:ascii="Arial" w:hAnsi="Arial" w:cs="Arial"/>
        </w:rPr>
      </w:pPr>
    </w:p>
  </w:footnote>
  <w:footnote w:id="17">
    <w:p w14:paraId="3F96E58B" w14:textId="599C3354" w:rsidR="00E077FF" w:rsidRPr="00964F3F" w:rsidRDefault="00E077FF">
      <w:pPr>
        <w:pStyle w:val="FootnoteText"/>
        <w:rPr>
          <w:rFonts w:ascii="Arial" w:hAnsi="Arial" w:cs="Arial"/>
          <w:i/>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Id.</w:t>
      </w:r>
    </w:p>
  </w:footnote>
  <w:footnote w:id="18">
    <w:p w14:paraId="4E30785C" w14:textId="77777777" w:rsidR="00E077FF" w:rsidRPr="00964F3F" w:rsidRDefault="00E077FF" w:rsidP="00C458EB">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Duke Ex. 29 at 7.</w:t>
      </w:r>
    </w:p>
    <w:p w14:paraId="34862F20" w14:textId="77777777" w:rsidR="00E077FF" w:rsidRPr="00964F3F" w:rsidRDefault="00E077FF" w:rsidP="00C458EB">
      <w:pPr>
        <w:pStyle w:val="FootnoteText"/>
        <w:rPr>
          <w:rFonts w:ascii="Arial" w:hAnsi="Arial" w:cs="Arial"/>
        </w:rPr>
      </w:pPr>
    </w:p>
  </w:footnote>
  <w:footnote w:id="19">
    <w:p w14:paraId="1ACA9FF7" w14:textId="77777777" w:rsidR="00E077FF" w:rsidRPr="00964F3F" w:rsidRDefault="00E077FF" w:rsidP="00C458EB">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 xml:space="preserve">Id. </w:t>
      </w:r>
      <w:r w:rsidRPr="00964F3F">
        <w:rPr>
          <w:rFonts w:ascii="Arial" w:hAnsi="Arial" w:cs="Arial"/>
        </w:rPr>
        <w:t>at 4-8.</w:t>
      </w:r>
    </w:p>
  </w:footnote>
  <w:footnote w:id="20">
    <w:p w14:paraId="2106FB10" w14:textId="0337C736" w:rsidR="00E077FF" w:rsidRPr="00964F3F" w:rsidRDefault="00E077FF" w:rsidP="00674611">
      <w:pPr>
        <w:spacing w:line="240" w:lineRule="auto"/>
        <w:jc w:val="both"/>
        <w:rPr>
          <w:rFonts w:ascii="Arial" w:eastAsia="Times New Roman" w:hAnsi="Arial" w:cs="Arial"/>
          <w:sz w:val="20"/>
          <w:szCs w:val="20"/>
        </w:rPr>
      </w:pPr>
      <w:r w:rsidRPr="00964F3F">
        <w:rPr>
          <w:rStyle w:val="FootnoteReference"/>
          <w:rFonts w:ascii="Arial" w:hAnsi="Arial" w:cs="Arial"/>
          <w:sz w:val="20"/>
          <w:szCs w:val="20"/>
        </w:rPr>
        <w:footnoteRef/>
      </w:r>
      <w:r w:rsidRPr="00964F3F">
        <w:rPr>
          <w:rFonts w:ascii="Arial" w:hAnsi="Arial" w:cs="Arial"/>
          <w:sz w:val="20"/>
          <w:szCs w:val="20"/>
        </w:rPr>
        <w:t xml:space="preserve"> </w:t>
      </w:r>
      <w:r w:rsidRPr="00964F3F">
        <w:rPr>
          <w:rFonts w:ascii="Arial" w:eastAsia="Times New Roman" w:hAnsi="Arial" w:cs="Arial"/>
          <w:sz w:val="20"/>
          <w:szCs w:val="20"/>
        </w:rPr>
        <w:t xml:space="preserve">This proposed recommendation is deceptive, given that the Stipulation permits Duke to increase total distribution rates through the rider mechanisms proposed under the ESP.  </w:t>
      </w:r>
    </w:p>
  </w:footnote>
  <w:footnote w:id="21">
    <w:p w14:paraId="23DA5B9F" w14:textId="77777777" w:rsidR="00E077FF" w:rsidRPr="00964F3F" w:rsidRDefault="00E077FF" w:rsidP="004826E2">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Joint Ex. 1 at 12.</w:t>
      </w:r>
    </w:p>
    <w:p w14:paraId="0AF9AF31" w14:textId="77777777" w:rsidR="00E077FF" w:rsidRPr="00964F3F" w:rsidRDefault="00E077FF" w:rsidP="004826E2">
      <w:pPr>
        <w:pStyle w:val="FootnoteText"/>
        <w:jc w:val="both"/>
        <w:rPr>
          <w:rFonts w:ascii="Arial" w:hAnsi="Arial" w:cs="Arial"/>
        </w:rPr>
      </w:pPr>
    </w:p>
  </w:footnote>
  <w:footnote w:id="22">
    <w:p w14:paraId="27C2A8C5" w14:textId="77777777" w:rsidR="00E077FF" w:rsidRPr="00964F3F" w:rsidRDefault="00E077FF" w:rsidP="004826E2">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 xml:space="preserve">Id. </w:t>
      </w:r>
      <w:r w:rsidRPr="00964F3F">
        <w:rPr>
          <w:rFonts w:ascii="Arial" w:hAnsi="Arial" w:cs="Arial"/>
        </w:rPr>
        <w:t>at 13.</w:t>
      </w:r>
    </w:p>
    <w:p w14:paraId="71D1495B" w14:textId="77777777" w:rsidR="00E077FF" w:rsidRPr="00964F3F" w:rsidRDefault="00E077FF" w:rsidP="00C458EB">
      <w:pPr>
        <w:pStyle w:val="FootnoteText"/>
        <w:rPr>
          <w:rFonts w:ascii="Arial" w:hAnsi="Arial" w:cs="Arial"/>
        </w:rPr>
      </w:pPr>
    </w:p>
  </w:footnote>
  <w:footnote w:id="23">
    <w:p w14:paraId="04F82651" w14:textId="77777777" w:rsidR="00E077FF" w:rsidRPr="00964F3F" w:rsidRDefault="00E077FF" w:rsidP="00C458EB">
      <w:pPr>
        <w:pStyle w:val="FootnoteText"/>
        <w:rPr>
          <w:rFonts w:ascii="Arial" w:hAnsi="Arial" w:cs="Arial"/>
          <w:i/>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 xml:space="preserve">Id. </w:t>
      </w:r>
    </w:p>
    <w:p w14:paraId="3EE2A773" w14:textId="77777777" w:rsidR="00E077FF" w:rsidRPr="00964F3F" w:rsidRDefault="00E077FF" w:rsidP="00C458EB">
      <w:pPr>
        <w:pStyle w:val="FootnoteText"/>
        <w:rPr>
          <w:rFonts w:ascii="Arial" w:hAnsi="Arial" w:cs="Arial"/>
          <w:i/>
        </w:rPr>
      </w:pPr>
    </w:p>
  </w:footnote>
  <w:footnote w:id="24">
    <w:p w14:paraId="4FF69301" w14:textId="77777777" w:rsidR="00E077FF" w:rsidRPr="00964F3F" w:rsidRDefault="00E077FF" w:rsidP="00C458EB">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Joint Ex. 1 at 16-18.</w:t>
      </w:r>
    </w:p>
    <w:p w14:paraId="41727AD5" w14:textId="77777777" w:rsidR="00E077FF" w:rsidRPr="00964F3F" w:rsidRDefault="00E077FF" w:rsidP="00C458EB">
      <w:pPr>
        <w:pStyle w:val="FootnoteText"/>
        <w:rPr>
          <w:rFonts w:ascii="Arial" w:hAnsi="Arial" w:cs="Arial"/>
        </w:rPr>
      </w:pPr>
    </w:p>
  </w:footnote>
  <w:footnote w:id="25">
    <w:p w14:paraId="5FDF25AD" w14:textId="77777777" w:rsidR="00E077FF" w:rsidRPr="00964F3F" w:rsidRDefault="00E077FF" w:rsidP="00C458EB">
      <w:pPr>
        <w:pStyle w:val="FootnoteText"/>
        <w:rPr>
          <w:rFonts w:ascii="Arial" w:hAnsi="Arial" w:cs="Arial"/>
          <w:i/>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 xml:space="preserve">Id. </w:t>
      </w:r>
    </w:p>
    <w:p w14:paraId="0EB5580F" w14:textId="77777777" w:rsidR="00E077FF" w:rsidRPr="00964F3F" w:rsidRDefault="00E077FF" w:rsidP="00C458EB">
      <w:pPr>
        <w:pStyle w:val="FootnoteText"/>
        <w:rPr>
          <w:rFonts w:ascii="Arial" w:hAnsi="Arial" w:cs="Arial"/>
          <w:i/>
        </w:rPr>
      </w:pPr>
    </w:p>
  </w:footnote>
  <w:footnote w:id="26">
    <w:p w14:paraId="5DFFF4BD" w14:textId="77777777" w:rsidR="00E077FF" w:rsidRPr="00964F3F" w:rsidRDefault="00E077FF" w:rsidP="00C458EB">
      <w:pPr>
        <w:pStyle w:val="FootnoteText"/>
        <w:rPr>
          <w:rFonts w:ascii="Arial" w:hAnsi="Arial" w:cs="Arial"/>
          <w:i/>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 xml:space="preserve">Id. </w:t>
      </w:r>
    </w:p>
    <w:p w14:paraId="3F5CE6D4" w14:textId="77777777" w:rsidR="00E077FF" w:rsidRPr="00964F3F" w:rsidRDefault="00E077FF" w:rsidP="00C458EB">
      <w:pPr>
        <w:pStyle w:val="FootnoteText"/>
        <w:rPr>
          <w:rFonts w:ascii="Arial" w:hAnsi="Arial" w:cs="Arial"/>
          <w:i/>
        </w:rPr>
      </w:pPr>
    </w:p>
  </w:footnote>
  <w:footnote w:id="27">
    <w:p w14:paraId="6A1029A1" w14:textId="77777777" w:rsidR="00E077FF" w:rsidRPr="00964F3F" w:rsidRDefault="00E077FF" w:rsidP="00C458EB">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 xml:space="preserve">Id. </w:t>
      </w:r>
      <w:r w:rsidRPr="00964F3F">
        <w:rPr>
          <w:rFonts w:ascii="Arial" w:hAnsi="Arial" w:cs="Arial"/>
        </w:rPr>
        <w:t xml:space="preserve">at 18-20.  For example, Duke may not collect costs associated with forced outages that exceed 90 days and capacity performance assessments are excluded.  </w:t>
      </w:r>
      <w:r w:rsidRPr="00964F3F">
        <w:rPr>
          <w:rFonts w:ascii="Arial" w:hAnsi="Arial" w:cs="Arial"/>
          <w:i/>
        </w:rPr>
        <w:t xml:space="preserve">Id. </w:t>
      </w:r>
      <w:r w:rsidRPr="00964F3F">
        <w:rPr>
          <w:rFonts w:ascii="Arial" w:hAnsi="Arial" w:cs="Arial"/>
        </w:rPr>
        <w:t>at 19.</w:t>
      </w:r>
    </w:p>
    <w:p w14:paraId="091A04CC" w14:textId="77777777" w:rsidR="00E077FF" w:rsidRPr="00964F3F" w:rsidRDefault="00E077FF" w:rsidP="00C458EB">
      <w:pPr>
        <w:pStyle w:val="FootnoteText"/>
        <w:rPr>
          <w:rFonts w:ascii="Arial" w:hAnsi="Arial" w:cs="Arial"/>
        </w:rPr>
      </w:pPr>
    </w:p>
  </w:footnote>
  <w:footnote w:id="28">
    <w:p w14:paraId="4636AA86" w14:textId="77777777" w:rsidR="00E077FF" w:rsidRPr="00964F3F" w:rsidRDefault="00E077FF" w:rsidP="00C458EB">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Tr. Vol. V at 957 L 18-22; Tr. Vol. V at 945 L 20 to 946 L 20.</w:t>
      </w:r>
    </w:p>
    <w:p w14:paraId="3A38BB29" w14:textId="77777777" w:rsidR="00E077FF" w:rsidRPr="00964F3F" w:rsidRDefault="00E077FF" w:rsidP="00C458EB">
      <w:pPr>
        <w:pStyle w:val="FootnoteText"/>
        <w:rPr>
          <w:rFonts w:ascii="Arial" w:hAnsi="Arial" w:cs="Arial"/>
        </w:rPr>
      </w:pPr>
    </w:p>
  </w:footnote>
  <w:footnote w:id="29">
    <w:p w14:paraId="5F2274CD" w14:textId="1C0C7B31" w:rsidR="00E077FF" w:rsidRPr="00964F3F" w:rsidRDefault="00E077FF">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Order at 82.</w:t>
      </w:r>
    </w:p>
    <w:p w14:paraId="25DEB88E" w14:textId="77777777" w:rsidR="00E077FF" w:rsidRPr="00964F3F" w:rsidRDefault="00E077FF">
      <w:pPr>
        <w:pStyle w:val="FootnoteText"/>
        <w:rPr>
          <w:rFonts w:ascii="Arial" w:hAnsi="Arial" w:cs="Arial"/>
        </w:rPr>
      </w:pPr>
    </w:p>
  </w:footnote>
  <w:footnote w:id="30">
    <w:p w14:paraId="0FF751D6" w14:textId="3DB83076" w:rsidR="003D7B39" w:rsidRPr="00964F3F" w:rsidRDefault="003D7B39">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RESA/IGS Ex. </w:t>
      </w:r>
      <w:r w:rsidR="00AC3864" w:rsidRPr="00964F3F">
        <w:rPr>
          <w:rFonts w:ascii="Arial" w:hAnsi="Arial" w:cs="Arial"/>
        </w:rPr>
        <w:t xml:space="preserve">1 at JEH-5; </w:t>
      </w:r>
      <w:r w:rsidR="000735FC" w:rsidRPr="00964F3F">
        <w:rPr>
          <w:rFonts w:ascii="Arial" w:hAnsi="Arial" w:cs="Arial"/>
        </w:rPr>
        <w:t>IGS Ex. 6 at 3-4.</w:t>
      </w:r>
    </w:p>
    <w:p w14:paraId="3D075A3D" w14:textId="77777777" w:rsidR="000735FC" w:rsidRPr="00964F3F" w:rsidRDefault="000735FC">
      <w:pPr>
        <w:pStyle w:val="FootnoteText"/>
        <w:rPr>
          <w:rFonts w:ascii="Arial" w:hAnsi="Arial" w:cs="Arial"/>
        </w:rPr>
      </w:pPr>
    </w:p>
  </w:footnote>
  <w:footnote w:id="31">
    <w:p w14:paraId="4544BC02" w14:textId="379654C7" w:rsidR="00E077FF" w:rsidRPr="00964F3F" w:rsidRDefault="00E077FF">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Order at 87.</w:t>
      </w:r>
    </w:p>
    <w:p w14:paraId="1D3F2F76" w14:textId="77777777" w:rsidR="00E077FF" w:rsidRPr="00964F3F" w:rsidRDefault="00E077FF">
      <w:pPr>
        <w:pStyle w:val="FootnoteText"/>
        <w:rPr>
          <w:rFonts w:ascii="Arial" w:hAnsi="Arial" w:cs="Arial"/>
        </w:rPr>
      </w:pPr>
    </w:p>
  </w:footnote>
  <w:footnote w:id="32">
    <w:p w14:paraId="4CC4A440" w14:textId="1805F50B" w:rsidR="00E077FF" w:rsidRPr="00964F3F" w:rsidRDefault="00E077FF">
      <w:pPr>
        <w:pStyle w:val="FootnoteText"/>
        <w:rPr>
          <w:rFonts w:ascii="Arial" w:hAnsi="Arial" w:cs="Arial"/>
          <w:i/>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Id.</w:t>
      </w:r>
    </w:p>
    <w:p w14:paraId="3D4E9022" w14:textId="77777777" w:rsidR="009A1BB7" w:rsidRPr="00964F3F" w:rsidRDefault="009A1BB7">
      <w:pPr>
        <w:pStyle w:val="FootnoteText"/>
        <w:rPr>
          <w:rFonts w:ascii="Arial" w:hAnsi="Arial" w:cs="Arial"/>
          <w:i/>
        </w:rPr>
      </w:pPr>
    </w:p>
  </w:footnote>
  <w:footnote w:id="33">
    <w:p w14:paraId="6502BC71" w14:textId="77777777" w:rsidR="00E077FF" w:rsidRPr="00964F3F" w:rsidRDefault="00E077FF" w:rsidP="006D665E">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 xml:space="preserve">Id. </w:t>
      </w:r>
      <w:r w:rsidRPr="00964F3F">
        <w:rPr>
          <w:rFonts w:ascii="Arial" w:hAnsi="Arial" w:cs="Arial"/>
        </w:rPr>
        <w:t>at MW-1 (Duke Response to IGS-INT-01-020(b)).</w:t>
      </w:r>
    </w:p>
    <w:p w14:paraId="35043110" w14:textId="77777777" w:rsidR="00E077FF" w:rsidRPr="00964F3F" w:rsidRDefault="00E077FF" w:rsidP="006D665E">
      <w:pPr>
        <w:pStyle w:val="FootnoteText"/>
        <w:rPr>
          <w:rFonts w:ascii="Arial" w:hAnsi="Arial" w:cs="Arial"/>
        </w:rPr>
      </w:pPr>
    </w:p>
  </w:footnote>
  <w:footnote w:id="34">
    <w:p w14:paraId="7CDB0FDF" w14:textId="77777777" w:rsidR="00E077FF" w:rsidRPr="00964F3F" w:rsidRDefault="00E077FF" w:rsidP="006D665E">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RESA-IGS Ex. 5 at 12.</w:t>
      </w:r>
    </w:p>
    <w:p w14:paraId="7AFCCEC7" w14:textId="77777777" w:rsidR="00E077FF" w:rsidRPr="00964F3F" w:rsidRDefault="00E077FF" w:rsidP="006D665E">
      <w:pPr>
        <w:pStyle w:val="FootnoteText"/>
        <w:rPr>
          <w:rFonts w:ascii="Arial" w:hAnsi="Arial" w:cs="Arial"/>
        </w:rPr>
      </w:pPr>
    </w:p>
  </w:footnote>
  <w:footnote w:id="35">
    <w:p w14:paraId="4F95905E" w14:textId="77777777" w:rsidR="00E077FF" w:rsidRPr="00964F3F" w:rsidRDefault="00E077FF" w:rsidP="006D665E">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 xml:space="preserve">Id. </w:t>
      </w:r>
      <w:r w:rsidRPr="00964F3F">
        <w:rPr>
          <w:rFonts w:ascii="Arial" w:hAnsi="Arial" w:cs="Arial"/>
        </w:rPr>
        <w:t>at MW-1 (Duke Response to IGS-INT-01-020(d)) (emphasis added).</w:t>
      </w:r>
    </w:p>
    <w:p w14:paraId="37D04B87" w14:textId="77777777" w:rsidR="00E077FF" w:rsidRPr="00964F3F" w:rsidRDefault="00E077FF" w:rsidP="006D665E">
      <w:pPr>
        <w:pStyle w:val="FootnoteText"/>
        <w:rPr>
          <w:rFonts w:ascii="Arial" w:hAnsi="Arial" w:cs="Arial"/>
        </w:rPr>
      </w:pPr>
    </w:p>
  </w:footnote>
  <w:footnote w:id="36">
    <w:p w14:paraId="60F45A93" w14:textId="14D71500" w:rsidR="00E077FF" w:rsidRPr="00964F3F" w:rsidRDefault="00E077FF">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Order at 86.</w:t>
      </w:r>
    </w:p>
    <w:p w14:paraId="1A4D6D94" w14:textId="77777777" w:rsidR="00E077FF" w:rsidRPr="00964F3F" w:rsidRDefault="00E077FF">
      <w:pPr>
        <w:pStyle w:val="FootnoteText"/>
        <w:rPr>
          <w:rFonts w:ascii="Arial" w:hAnsi="Arial" w:cs="Arial"/>
        </w:rPr>
      </w:pPr>
    </w:p>
  </w:footnote>
  <w:footnote w:id="37">
    <w:p w14:paraId="0C42ACDC" w14:textId="45437B59" w:rsidR="00E077FF" w:rsidRPr="00964F3F" w:rsidRDefault="00E077FF">
      <w:pPr>
        <w:pStyle w:val="FootnoteText"/>
        <w:rPr>
          <w:rFonts w:ascii="Arial" w:eastAsia="Times New Roman"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eastAsia="Times New Roman" w:hAnsi="Arial" w:cs="Arial"/>
        </w:rPr>
        <w:t>Order at 72.</w:t>
      </w:r>
    </w:p>
    <w:p w14:paraId="48DFE889" w14:textId="77777777" w:rsidR="00E077FF" w:rsidRPr="00964F3F" w:rsidRDefault="00E077FF">
      <w:pPr>
        <w:pStyle w:val="FootnoteText"/>
        <w:rPr>
          <w:rFonts w:ascii="Arial" w:hAnsi="Arial" w:cs="Arial"/>
        </w:rPr>
      </w:pPr>
    </w:p>
  </w:footnote>
  <w:footnote w:id="38">
    <w:p w14:paraId="44872BD4" w14:textId="24614762" w:rsidR="00E077FF" w:rsidRPr="00964F3F" w:rsidRDefault="00E077FF">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Order at 72-73.</w:t>
      </w:r>
    </w:p>
    <w:p w14:paraId="42FC4707" w14:textId="77777777" w:rsidR="00E077FF" w:rsidRPr="00964F3F" w:rsidRDefault="00E077FF">
      <w:pPr>
        <w:pStyle w:val="FootnoteText"/>
        <w:rPr>
          <w:rFonts w:ascii="Arial" w:hAnsi="Arial" w:cs="Arial"/>
        </w:rPr>
      </w:pPr>
    </w:p>
  </w:footnote>
  <w:footnote w:id="39">
    <w:p w14:paraId="3476DB1C" w14:textId="0B10F3AF" w:rsidR="00E077FF" w:rsidRPr="00964F3F" w:rsidRDefault="00E077FF">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Order at 73.  </w:t>
      </w:r>
    </w:p>
  </w:footnote>
  <w:footnote w:id="40">
    <w:p w14:paraId="5DF312C6" w14:textId="77777777" w:rsidR="00E077FF" w:rsidRPr="00964F3F" w:rsidRDefault="00E077FF" w:rsidP="00C458EB">
      <w:pPr>
        <w:pStyle w:val="FootnoteText"/>
        <w:rPr>
          <w:rFonts w:ascii="Arial" w:hAnsi="Arial" w:cs="Arial"/>
        </w:rPr>
      </w:pPr>
    </w:p>
    <w:p w14:paraId="512412FD" w14:textId="77777777" w:rsidR="00E077FF" w:rsidRPr="00964F3F" w:rsidRDefault="00E077FF" w:rsidP="00C458EB">
      <w:pPr>
        <w:pStyle w:val="FootnoteText"/>
        <w:rPr>
          <w:rFonts w:ascii="Arial" w:hAnsi="Arial" w:cs="Arial"/>
          <w:i/>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Consumers' Counsel v. Pub. Util. Comm’n</w:t>
      </w:r>
      <w:r w:rsidRPr="00964F3F">
        <w:rPr>
          <w:rFonts w:ascii="Arial" w:hAnsi="Arial" w:cs="Arial"/>
        </w:rPr>
        <w:t xml:space="preserve">, 64 Ohio St.3d 123, 126 (1992). See, also, </w:t>
      </w:r>
      <w:r w:rsidRPr="00964F3F">
        <w:rPr>
          <w:rFonts w:ascii="Arial" w:hAnsi="Arial" w:cs="Arial"/>
          <w:i/>
        </w:rPr>
        <w:t>AK Steel Corp. v.</w:t>
      </w:r>
    </w:p>
    <w:p w14:paraId="6FF964AD" w14:textId="77777777" w:rsidR="00E077FF" w:rsidRPr="00964F3F" w:rsidRDefault="00E077FF" w:rsidP="00C458EB">
      <w:pPr>
        <w:pStyle w:val="FootnoteText"/>
        <w:rPr>
          <w:rFonts w:ascii="Arial" w:hAnsi="Arial" w:cs="Arial"/>
        </w:rPr>
      </w:pPr>
      <w:r w:rsidRPr="00964F3F">
        <w:rPr>
          <w:rFonts w:ascii="Arial" w:hAnsi="Arial" w:cs="Arial"/>
          <w:i/>
        </w:rPr>
        <w:t>Pub. Util. Comm’n</w:t>
      </w:r>
      <w:r w:rsidRPr="00964F3F">
        <w:rPr>
          <w:rFonts w:ascii="Arial" w:hAnsi="Arial" w:cs="Arial"/>
        </w:rPr>
        <w:t>, 95 Ohio St.3d 81, 82-83 (2002).</w:t>
      </w:r>
    </w:p>
    <w:p w14:paraId="4D9828D9" w14:textId="77777777" w:rsidR="00E077FF" w:rsidRPr="00964F3F" w:rsidRDefault="00E077FF" w:rsidP="00C458EB">
      <w:pPr>
        <w:pStyle w:val="FootnoteText"/>
        <w:rPr>
          <w:rFonts w:ascii="Arial" w:hAnsi="Arial" w:cs="Arial"/>
        </w:rPr>
      </w:pPr>
    </w:p>
  </w:footnote>
  <w:footnote w:id="41">
    <w:p w14:paraId="6163EB2A" w14:textId="77777777" w:rsidR="00E077FF" w:rsidRPr="00964F3F" w:rsidRDefault="00E077FF" w:rsidP="00C458EB">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Monongahela Power Co. v. Pub. Util. Comm’n.,</w:t>
      </w:r>
      <w:r w:rsidRPr="00964F3F">
        <w:rPr>
          <w:rFonts w:ascii="Arial" w:hAnsi="Arial" w:cs="Arial"/>
        </w:rPr>
        <w:t xml:space="preserve"> 104 Ohio St.3d 571, 2004-Ohio-6896 at 26 (2004)</w:t>
      </w:r>
    </w:p>
    <w:p w14:paraId="51419E65" w14:textId="77777777" w:rsidR="00E077FF" w:rsidRPr="00964F3F" w:rsidRDefault="00E077FF" w:rsidP="00C458EB">
      <w:pPr>
        <w:pStyle w:val="FootnoteText"/>
        <w:rPr>
          <w:rFonts w:ascii="Arial" w:hAnsi="Arial" w:cs="Arial"/>
        </w:rPr>
      </w:pPr>
      <w:r w:rsidRPr="00964F3F">
        <w:rPr>
          <w:rFonts w:ascii="Arial" w:hAnsi="Arial" w:cs="Arial"/>
        </w:rPr>
        <w:t xml:space="preserve">(emphasis added). </w:t>
      </w:r>
      <w:r w:rsidRPr="00964F3F">
        <w:rPr>
          <w:rFonts w:ascii="Arial" w:hAnsi="Arial" w:cs="Arial"/>
        </w:rPr>
        <w:cr/>
      </w:r>
    </w:p>
  </w:footnote>
  <w:footnote w:id="42">
    <w:p w14:paraId="4161AEC1" w14:textId="2A0F7ED3" w:rsidR="00E077FF" w:rsidRPr="00964F3F" w:rsidRDefault="00E077FF">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Order at 82.</w:t>
      </w:r>
    </w:p>
    <w:p w14:paraId="6B25DD4F" w14:textId="77777777" w:rsidR="00C161BD" w:rsidRPr="00964F3F" w:rsidRDefault="00C161BD">
      <w:pPr>
        <w:pStyle w:val="FootnoteText"/>
        <w:rPr>
          <w:rFonts w:ascii="Arial" w:hAnsi="Arial" w:cs="Arial"/>
        </w:rPr>
      </w:pPr>
    </w:p>
  </w:footnote>
  <w:footnote w:id="43">
    <w:p w14:paraId="79D489BE" w14:textId="77777777"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Office of Consumers’ Counsel v. Pub. Util. Comm’n</w:t>
      </w:r>
      <w:r w:rsidRPr="00964F3F">
        <w:rPr>
          <w:rFonts w:ascii="Arial" w:hAnsi="Arial" w:cs="Arial"/>
        </w:rPr>
        <w:t>, 67 Ohio St. 2d. 153 (1981).</w:t>
      </w:r>
    </w:p>
    <w:p w14:paraId="69B53ADA" w14:textId="77777777" w:rsidR="00E077FF" w:rsidRPr="00964F3F" w:rsidRDefault="00E077FF" w:rsidP="002B1A03">
      <w:pPr>
        <w:pStyle w:val="FootnoteText"/>
        <w:jc w:val="both"/>
        <w:rPr>
          <w:rFonts w:ascii="Arial" w:hAnsi="Arial" w:cs="Arial"/>
        </w:rPr>
      </w:pPr>
    </w:p>
  </w:footnote>
  <w:footnote w:id="44">
    <w:p w14:paraId="689FAEB6" w14:textId="77777777"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 xml:space="preserve">Id. </w:t>
      </w:r>
      <w:r w:rsidRPr="00964F3F">
        <w:rPr>
          <w:rFonts w:ascii="Arial" w:hAnsi="Arial" w:cs="Arial"/>
        </w:rPr>
        <w:t>at 166.</w:t>
      </w:r>
    </w:p>
    <w:p w14:paraId="50FE5D13" w14:textId="77777777" w:rsidR="00E077FF" w:rsidRPr="00964F3F" w:rsidRDefault="00E077FF" w:rsidP="002B1A03">
      <w:pPr>
        <w:pStyle w:val="FootnoteText"/>
        <w:jc w:val="both"/>
        <w:rPr>
          <w:rFonts w:ascii="Arial" w:hAnsi="Arial" w:cs="Arial"/>
        </w:rPr>
      </w:pPr>
    </w:p>
  </w:footnote>
  <w:footnote w:id="45">
    <w:p w14:paraId="21B8A3F1" w14:textId="0C0528B0"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RC. 4928.141(emphasis added). R.C. 4928.03.</w:t>
      </w:r>
    </w:p>
    <w:p w14:paraId="3CF691BF" w14:textId="77777777" w:rsidR="00E077FF" w:rsidRPr="00964F3F" w:rsidRDefault="00E077FF" w:rsidP="002B1A03">
      <w:pPr>
        <w:pStyle w:val="FootnoteText"/>
        <w:jc w:val="both"/>
        <w:rPr>
          <w:rFonts w:ascii="Arial" w:hAnsi="Arial" w:cs="Arial"/>
        </w:rPr>
      </w:pPr>
    </w:p>
  </w:footnote>
  <w:footnote w:id="46">
    <w:p w14:paraId="1D42E2B9" w14:textId="31F56B6E"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Tr. Vol. XI at 1896-97 (Duke incurs call center expenses related to the SSO); Tr. Vol. XI at 1897 (Duke incurs costs related to SSO billing functionality); Tr. Vol. XI at 1897 (Duke incurs costs to modify bypassable SSO rates; Duke incurs IT expenses related to the SSO); Tr. Vol. XI at 1906, 1929-1930 (A portion of Duke’s PUCO and OCC assessments is the result of the SSO revenue it collects); Tr. Vol. V at 990-991 (Duke incurs call center expenses related to the SSO); Tr. Vol. V at 1011-12 (regulatory expenses related to the SSO).</w:t>
      </w:r>
    </w:p>
    <w:p w14:paraId="2F27175B" w14:textId="77777777" w:rsidR="00E077FF" w:rsidRPr="00964F3F" w:rsidRDefault="00E077FF" w:rsidP="002B1A03">
      <w:pPr>
        <w:pStyle w:val="FootnoteText"/>
        <w:jc w:val="both"/>
        <w:rPr>
          <w:rFonts w:ascii="Arial" w:hAnsi="Arial" w:cs="Arial"/>
        </w:rPr>
      </w:pPr>
    </w:p>
  </w:footnote>
  <w:footnote w:id="47">
    <w:p w14:paraId="6D9B9F9E" w14:textId="54AC8384"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RESA/IGS Ex. 1 at JEH-1.</w:t>
      </w:r>
    </w:p>
    <w:p w14:paraId="0F8FAE0F" w14:textId="77777777" w:rsidR="00E077FF" w:rsidRPr="00964F3F" w:rsidRDefault="00E077FF" w:rsidP="002B1A03">
      <w:pPr>
        <w:pStyle w:val="FootnoteText"/>
        <w:jc w:val="both"/>
        <w:rPr>
          <w:rFonts w:ascii="Arial" w:hAnsi="Arial" w:cs="Arial"/>
        </w:rPr>
      </w:pPr>
    </w:p>
  </w:footnote>
  <w:footnote w:id="48">
    <w:p w14:paraId="0B902A79" w14:textId="74014BEA"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RESA/IGS Ex. 1 at 6-9.</w:t>
      </w:r>
    </w:p>
    <w:p w14:paraId="1A974101" w14:textId="77777777" w:rsidR="00E077FF" w:rsidRPr="00964F3F" w:rsidRDefault="00E077FF" w:rsidP="002B1A03">
      <w:pPr>
        <w:pStyle w:val="FootnoteText"/>
        <w:jc w:val="both"/>
        <w:rPr>
          <w:rFonts w:ascii="Arial" w:hAnsi="Arial" w:cs="Arial"/>
        </w:rPr>
      </w:pPr>
    </w:p>
  </w:footnote>
  <w:footnote w:id="49">
    <w:p w14:paraId="5341BCB4" w14:textId="5DB4F7A7"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R.C. 4928.05(A)(1).  Conversely, “On and after the starting date of competitive retail electric service, a noncompetitive retail electric service supplied by an electric utility shall be subject to supervision and regulation by the commission under Chapters 4901. to 4909.”  R.C. 4928.05(A)(2). </w:t>
      </w:r>
    </w:p>
    <w:p w14:paraId="028DA746" w14:textId="77777777" w:rsidR="00E077FF" w:rsidRPr="00964F3F" w:rsidRDefault="00E077FF" w:rsidP="002B1A03">
      <w:pPr>
        <w:pStyle w:val="FootnoteText"/>
        <w:jc w:val="both"/>
        <w:rPr>
          <w:rFonts w:ascii="Arial" w:hAnsi="Arial" w:cs="Arial"/>
        </w:rPr>
      </w:pPr>
    </w:p>
  </w:footnote>
  <w:footnote w:id="50">
    <w:p w14:paraId="12152583" w14:textId="38786E95" w:rsidR="00E077FF" w:rsidRPr="00964F3F" w:rsidRDefault="00E077FF">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R.C. 4928.06(A) (emphasis added).</w:t>
      </w:r>
    </w:p>
    <w:p w14:paraId="7F370CD0" w14:textId="77777777" w:rsidR="00E077FF" w:rsidRPr="00964F3F" w:rsidRDefault="00E077FF">
      <w:pPr>
        <w:pStyle w:val="FootnoteText"/>
        <w:rPr>
          <w:rFonts w:ascii="Arial" w:hAnsi="Arial" w:cs="Arial"/>
        </w:rPr>
      </w:pPr>
    </w:p>
  </w:footnote>
  <w:footnote w:id="51">
    <w:p w14:paraId="714D4B97" w14:textId="1B86DF73" w:rsidR="00E077FF" w:rsidRPr="00964F3F" w:rsidRDefault="00E077FF">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w:t>
      </w:r>
      <w:hyperlink r:id="rId1" w:history="1">
        <w:r w:rsidR="005D25B2" w:rsidRPr="00964F3F">
          <w:rPr>
            <w:rStyle w:val="Hyperlink"/>
            <w:rFonts w:ascii="Arial" w:hAnsi="Arial" w:cs="Arial"/>
          </w:rPr>
          <w:t>https://www.merriam-webster.com/dictionary/effectuate</w:t>
        </w:r>
      </w:hyperlink>
      <w:r w:rsidR="005D25B2" w:rsidRPr="00964F3F">
        <w:rPr>
          <w:rFonts w:ascii="Arial" w:hAnsi="Arial" w:cs="Arial"/>
        </w:rPr>
        <w:t>.</w:t>
      </w:r>
    </w:p>
    <w:p w14:paraId="0998F9D3" w14:textId="77777777" w:rsidR="005D25B2" w:rsidRPr="00964F3F" w:rsidRDefault="005D25B2">
      <w:pPr>
        <w:pStyle w:val="FootnoteText"/>
        <w:rPr>
          <w:rFonts w:ascii="Arial" w:hAnsi="Arial" w:cs="Arial"/>
        </w:rPr>
      </w:pPr>
    </w:p>
  </w:footnote>
  <w:footnote w:id="52">
    <w:p w14:paraId="2E6DA7BF" w14:textId="310433C6"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R.C. 4928.02(B); </w:t>
      </w:r>
      <w:r w:rsidRPr="00964F3F">
        <w:rPr>
          <w:rFonts w:ascii="Arial" w:hAnsi="Arial" w:cs="Arial"/>
          <w:i/>
        </w:rPr>
        <w:t>see also</w:t>
      </w:r>
      <w:r w:rsidRPr="00964F3F">
        <w:rPr>
          <w:rFonts w:ascii="Arial" w:hAnsi="Arial" w:cs="Arial"/>
        </w:rPr>
        <w:t xml:space="preserve"> R.C. 4928.05(A)(1) eliminating authority to apply traditional regulatory authority to unbundled competitive services. </w:t>
      </w:r>
    </w:p>
    <w:p w14:paraId="26751423" w14:textId="77777777" w:rsidR="00E077FF" w:rsidRPr="00964F3F" w:rsidRDefault="00E077FF" w:rsidP="002B1A03">
      <w:pPr>
        <w:pStyle w:val="FootnoteText"/>
        <w:jc w:val="both"/>
        <w:rPr>
          <w:rFonts w:ascii="Arial" w:hAnsi="Arial" w:cs="Arial"/>
        </w:rPr>
      </w:pPr>
    </w:p>
  </w:footnote>
  <w:footnote w:id="53">
    <w:p w14:paraId="2AF68D01" w14:textId="2901DE4B"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R.C. 4829.02(A).</w:t>
      </w:r>
    </w:p>
    <w:p w14:paraId="47B9A4A9" w14:textId="77777777" w:rsidR="00E077FF" w:rsidRPr="00964F3F" w:rsidRDefault="00E077FF" w:rsidP="002B1A03">
      <w:pPr>
        <w:pStyle w:val="FootnoteText"/>
        <w:jc w:val="both"/>
        <w:rPr>
          <w:rFonts w:ascii="Arial" w:hAnsi="Arial" w:cs="Arial"/>
        </w:rPr>
      </w:pPr>
    </w:p>
  </w:footnote>
  <w:footnote w:id="54">
    <w:p w14:paraId="59D9173E" w14:textId="613D67EF"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R.C. 4928.02(H).</w:t>
      </w:r>
    </w:p>
    <w:p w14:paraId="0BC934B0" w14:textId="77777777" w:rsidR="00E077FF" w:rsidRPr="00964F3F" w:rsidRDefault="00E077FF" w:rsidP="002B1A03">
      <w:pPr>
        <w:pStyle w:val="FootnoteText"/>
        <w:jc w:val="both"/>
        <w:rPr>
          <w:rFonts w:ascii="Arial" w:hAnsi="Arial" w:cs="Arial"/>
        </w:rPr>
      </w:pPr>
    </w:p>
  </w:footnote>
  <w:footnote w:id="55">
    <w:p w14:paraId="419B2D2D" w14:textId="20370117"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Industrial Energy Users-Ohio v. Pub. Util. Comm’n</w:t>
      </w:r>
      <w:r w:rsidRPr="00964F3F">
        <w:rPr>
          <w:rFonts w:ascii="Arial" w:hAnsi="Arial" w:cs="Arial"/>
        </w:rPr>
        <w:t>, 117 Ohio St. 3d 486, 487 (2008) (emphasis added)</w:t>
      </w:r>
    </w:p>
    <w:p w14:paraId="61829076" w14:textId="77777777" w:rsidR="00E077FF" w:rsidRPr="00964F3F" w:rsidRDefault="00E077FF" w:rsidP="002B1A03">
      <w:pPr>
        <w:pStyle w:val="FootnoteText"/>
        <w:jc w:val="both"/>
        <w:rPr>
          <w:rFonts w:ascii="Arial" w:hAnsi="Arial" w:cs="Arial"/>
        </w:rPr>
      </w:pPr>
    </w:p>
  </w:footnote>
  <w:footnote w:id="56">
    <w:p w14:paraId="3D1D6C86" w14:textId="4BA9E26F"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Industrial Energy Users-Ohio v. Pub. Util. Comm’n</w:t>
      </w:r>
      <w:r w:rsidRPr="00964F3F">
        <w:rPr>
          <w:rFonts w:ascii="Arial" w:hAnsi="Arial" w:cs="Arial"/>
        </w:rPr>
        <w:t>, 117 Ohio St. 3d 486, 487 (2008).</w:t>
      </w:r>
    </w:p>
    <w:p w14:paraId="4F6096B0" w14:textId="77777777" w:rsidR="00E077FF" w:rsidRPr="00964F3F" w:rsidRDefault="00E077FF" w:rsidP="002B1A03">
      <w:pPr>
        <w:pStyle w:val="FootnoteText"/>
        <w:jc w:val="both"/>
        <w:rPr>
          <w:rFonts w:ascii="Arial" w:hAnsi="Arial" w:cs="Arial"/>
        </w:rPr>
      </w:pPr>
    </w:p>
  </w:footnote>
  <w:footnote w:id="57">
    <w:p w14:paraId="3FC38240" w14:textId="77777777" w:rsidR="00E077FF" w:rsidRPr="00964F3F" w:rsidRDefault="00E077FF" w:rsidP="002B1A03">
      <w:pPr>
        <w:pStyle w:val="FootnoteText"/>
        <w:jc w:val="both"/>
        <w:rPr>
          <w:rFonts w:ascii="Arial" w:hAnsi="Arial" w:cs="Arial"/>
          <w:shd w:val="clear" w:color="auto" w:fill="FFFFFF"/>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shd w:val="clear" w:color="auto" w:fill="FFFFFF"/>
        </w:rPr>
        <w:t>Migden-Ostrander v. Pub. Util. Comm’n</w:t>
      </w:r>
      <w:r w:rsidRPr="00964F3F">
        <w:rPr>
          <w:rFonts w:ascii="Arial" w:hAnsi="Arial" w:cs="Arial"/>
          <w:shd w:val="clear" w:color="auto" w:fill="FFFFFF"/>
        </w:rPr>
        <w:t>, 102 Ohio St. 3d 451, 452-53 (2004).</w:t>
      </w:r>
    </w:p>
    <w:p w14:paraId="2BA226A1" w14:textId="77777777" w:rsidR="00E077FF" w:rsidRPr="00964F3F" w:rsidRDefault="00E077FF" w:rsidP="002B1A03">
      <w:pPr>
        <w:pStyle w:val="FootnoteText"/>
        <w:jc w:val="both"/>
        <w:rPr>
          <w:rFonts w:ascii="Arial" w:hAnsi="Arial" w:cs="Arial"/>
        </w:rPr>
      </w:pPr>
    </w:p>
  </w:footnote>
  <w:footnote w:id="58">
    <w:p w14:paraId="23005953" w14:textId="61382CBF"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i/>
        </w:rPr>
        <w:t xml:space="preserve"> Elyria Foundry Co. v. Pub. Util. Comm’n</w:t>
      </w:r>
      <w:r w:rsidRPr="00964F3F">
        <w:rPr>
          <w:rFonts w:ascii="Arial" w:hAnsi="Arial" w:cs="Arial"/>
        </w:rPr>
        <w:t>, 114 Ohio St.3d 305, 315 (2007).</w:t>
      </w:r>
    </w:p>
  </w:footnote>
  <w:footnote w:id="59">
    <w:p w14:paraId="05FCA639" w14:textId="5C17FBFA"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Initial Brief at 16-26.</w:t>
      </w:r>
    </w:p>
    <w:p w14:paraId="056696F7" w14:textId="77777777" w:rsidR="00E077FF" w:rsidRPr="00964F3F" w:rsidRDefault="00E077FF" w:rsidP="002B1A03">
      <w:pPr>
        <w:pStyle w:val="FootnoteText"/>
        <w:jc w:val="both"/>
        <w:rPr>
          <w:rFonts w:ascii="Arial" w:hAnsi="Arial" w:cs="Arial"/>
        </w:rPr>
      </w:pPr>
    </w:p>
  </w:footnote>
  <w:footnote w:id="60">
    <w:p w14:paraId="7168BC3B" w14:textId="6A5B0755" w:rsidR="00E077FF" w:rsidRPr="00964F3F" w:rsidRDefault="00E077FF">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Order at 82.</w:t>
      </w:r>
    </w:p>
    <w:p w14:paraId="4BEB2503" w14:textId="77777777" w:rsidR="00E31FB3" w:rsidRPr="00964F3F" w:rsidRDefault="00E31FB3">
      <w:pPr>
        <w:pStyle w:val="FootnoteText"/>
        <w:rPr>
          <w:rFonts w:ascii="Arial" w:hAnsi="Arial" w:cs="Arial"/>
        </w:rPr>
      </w:pPr>
    </w:p>
  </w:footnote>
  <w:footnote w:id="61">
    <w:p w14:paraId="6C9311FE" w14:textId="0B223A26"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Initial Brief at 23.</w:t>
      </w:r>
    </w:p>
    <w:p w14:paraId="5E06EAD4" w14:textId="77777777" w:rsidR="00E077FF" w:rsidRPr="00964F3F" w:rsidRDefault="00E077FF" w:rsidP="002B1A03">
      <w:pPr>
        <w:pStyle w:val="FootnoteText"/>
        <w:jc w:val="both"/>
        <w:rPr>
          <w:rFonts w:ascii="Arial" w:hAnsi="Arial" w:cs="Arial"/>
        </w:rPr>
      </w:pPr>
    </w:p>
  </w:footnote>
  <w:footnote w:id="62">
    <w:p w14:paraId="71480006" w14:textId="219DDF47" w:rsidR="00E077FF" w:rsidRPr="00964F3F" w:rsidRDefault="00E077FF">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Order at 82.</w:t>
      </w:r>
    </w:p>
    <w:p w14:paraId="408B7013" w14:textId="77777777" w:rsidR="00E077FF" w:rsidRPr="00964F3F" w:rsidRDefault="00E077FF">
      <w:pPr>
        <w:pStyle w:val="FootnoteText"/>
        <w:rPr>
          <w:rFonts w:ascii="Arial" w:hAnsi="Arial" w:cs="Arial"/>
        </w:rPr>
      </w:pPr>
    </w:p>
  </w:footnote>
  <w:footnote w:id="63">
    <w:p w14:paraId="0EEB0115" w14:textId="0DA454EF"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 xml:space="preserve">Id. </w:t>
      </w:r>
      <w:r w:rsidRPr="00964F3F">
        <w:rPr>
          <w:rFonts w:ascii="Arial" w:hAnsi="Arial" w:cs="Arial"/>
        </w:rPr>
        <w:t>at 6-9, 16-19</w:t>
      </w:r>
    </w:p>
    <w:p w14:paraId="418E0681" w14:textId="77777777" w:rsidR="00E077FF" w:rsidRPr="00964F3F" w:rsidRDefault="00E077FF" w:rsidP="002B1A03">
      <w:pPr>
        <w:pStyle w:val="FootnoteText"/>
        <w:jc w:val="both"/>
        <w:rPr>
          <w:rFonts w:ascii="Arial" w:hAnsi="Arial" w:cs="Arial"/>
        </w:rPr>
      </w:pPr>
    </w:p>
  </w:footnote>
  <w:footnote w:id="64">
    <w:p w14:paraId="64BE462A" w14:textId="4C2BE325"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 xml:space="preserve">Id.; </w:t>
      </w:r>
      <w:r w:rsidRPr="00964F3F">
        <w:rPr>
          <w:rFonts w:ascii="Arial" w:hAnsi="Arial" w:cs="Arial"/>
        </w:rPr>
        <w:t>IGS/RESA Ex. 1 at JEH-1.</w:t>
      </w:r>
    </w:p>
    <w:p w14:paraId="2DB98437" w14:textId="77777777" w:rsidR="00E077FF" w:rsidRPr="00964F3F" w:rsidRDefault="00E077FF" w:rsidP="002B1A03">
      <w:pPr>
        <w:pStyle w:val="FootnoteText"/>
        <w:jc w:val="both"/>
        <w:rPr>
          <w:rFonts w:ascii="Arial" w:hAnsi="Arial" w:cs="Arial"/>
          <w:i/>
        </w:rPr>
      </w:pPr>
    </w:p>
  </w:footnote>
  <w:footnote w:id="65">
    <w:p w14:paraId="3307EF44" w14:textId="4C00BD96" w:rsidR="00E077FF" w:rsidRPr="00964F3F" w:rsidRDefault="00E077FF">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Order at 82.</w:t>
      </w:r>
    </w:p>
    <w:p w14:paraId="53760EDD" w14:textId="77777777" w:rsidR="00E077FF" w:rsidRPr="00964F3F" w:rsidRDefault="00E077FF">
      <w:pPr>
        <w:pStyle w:val="FootnoteText"/>
        <w:rPr>
          <w:rFonts w:ascii="Arial" w:hAnsi="Arial" w:cs="Arial"/>
        </w:rPr>
      </w:pPr>
    </w:p>
  </w:footnote>
  <w:footnote w:id="66">
    <w:p w14:paraId="2EEB3411" w14:textId="33212C18" w:rsidR="00E077FF" w:rsidRPr="00964F3F" w:rsidRDefault="00E077FF">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Order at 82.</w:t>
      </w:r>
    </w:p>
    <w:p w14:paraId="1AA56C9D" w14:textId="77777777" w:rsidR="00E077FF" w:rsidRPr="00964F3F" w:rsidRDefault="00E077FF">
      <w:pPr>
        <w:pStyle w:val="FootnoteText"/>
        <w:rPr>
          <w:rFonts w:ascii="Arial" w:hAnsi="Arial" w:cs="Arial"/>
        </w:rPr>
      </w:pPr>
    </w:p>
  </w:footnote>
  <w:footnote w:id="67">
    <w:p w14:paraId="7309B562" w14:textId="1EDEF415"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R.C. 4928.05(A)(1).</w:t>
      </w:r>
    </w:p>
    <w:p w14:paraId="6A469322" w14:textId="77777777" w:rsidR="00E077FF" w:rsidRPr="00964F3F" w:rsidRDefault="00E077FF" w:rsidP="002B1A03">
      <w:pPr>
        <w:pStyle w:val="FootnoteText"/>
        <w:jc w:val="both"/>
        <w:rPr>
          <w:rFonts w:ascii="Arial" w:hAnsi="Arial" w:cs="Arial"/>
        </w:rPr>
      </w:pPr>
    </w:p>
  </w:footnote>
  <w:footnote w:id="68">
    <w:p w14:paraId="73370331" w14:textId="4C442E99"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RESA/IGS Ex. 6 at 3-4; RESA/IGS Ex. 1 at 8-9 and JEH-5.</w:t>
      </w:r>
    </w:p>
    <w:p w14:paraId="6EBC8DC1" w14:textId="77777777" w:rsidR="00E077FF" w:rsidRPr="00964F3F" w:rsidRDefault="00E077FF" w:rsidP="002B1A03">
      <w:pPr>
        <w:pStyle w:val="FootnoteText"/>
        <w:jc w:val="both"/>
        <w:rPr>
          <w:rFonts w:ascii="Arial" w:hAnsi="Arial" w:cs="Arial"/>
        </w:rPr>
      </w:pPr>
    </w:p>
    <w:p w14:paraId="2082730D" w14:textId="77777777" w:rsidR="00E077FF" w:rsidRPr="00964F3F" w:rsidRDefault="00E077FF" w:rsidP="002B1A03">
      <w:pPr>
        <w:pStyle w:val="FootnoteText"/>
        <w:jc w:val="both"/>
        <w:rPr>
          <w:rFonts w:ascii="Arial" w:hAnsi="Arial" w:cs="Arial"/>
        </w:rPr>
      </w:pPr>
    </w:p>
  </w:footnote>
  <w:footnote w:id="69">
    <w:p w14:paraId="738FAF80" w14:textId="0759C898"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RESA/IGS Ex. 6</w:t>
      </w:r>
      <w:r w:rsidR="005D0E05" w:rsidRPr="00964F3F">
        <w:rPr>
          <w:rFonts w:ascii="Arial" w:hAnsi="Arial" w:cs="Arial"/>
        </w:rPr>
        <w:t xml:space="preserve"> at</w:t>
      </w:r>
      <w:r w:rsidRPr="00964F3F">
        <w:rPr>
          <w:rFonts w:ascii="Arial" w:hAnsi="Arial" w:cs="Arial"/>
        </w:rPr>
        <w:t xml:space="preserve"> 3-4.</w:t>
      </w:r>
    </w:p>
  </w:footnote>
  <w:footnote w:id="70">
    <w:p w14:paraId="6EB1E92C" w14:textId="0567F58E" w:rsidR="00E077FF" w:rsidRPr="00964F3F" w:rsidRDefault="00E077FF">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RESA/IGS Ex. 1 at JEH-1.</w:t>
      </w:r>
    </w:p>
    <w:p w14:paraId="00440C07" w14:textId="77777777" w:rsidR="00E077FF" w:rsidRPr="00964F3F" w:rsidRDefault="00E077FF">
      <w:pPr>
        <w:pStyle w:val="FootnoteText"/>
        <w:rPr>
          <w:rFonts w:ascii="Arial" w:hAnsi="Arial" w:cs="Arial"/>
        </w:rPr>
      </w:pPr>
    </w:p>
  </w:footnote>
  <w:footnote w:id="71">
    <w:p w14:paraId="272E59BE" w14:textId="265615E1"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IGS/RESA Ex. 6 at 3-4.</w:t>
      </w:r>
    </w:p>
    <w:p w14:paraId="59E8B7B4" w14:textId="77777777" w:rsidR="00E077FF" w:rsidRPr="00964F3F" w:rsidRDefault="00E077FF" w:rsidP="002B1A03">
      <w:pPr>
        <w:pStyle w:val="FootnoteText"/>
        <w:jc w:val="both"/>
        <w:rPr>
          <w:rFonts w:ascii="Arial" w:hAnsi="Arial" w:cs="Arial"/>
        </w:rPr>
      </w:pPr>
    </w:p>
  </w:footnote>
  <w:footnote w:id="72">
    <w:p w14:paraId="0113C7E9" w14:textId="6BB4BB1F" w:rsidR="00E077FF" w:rsidRPr="00964F3F" w:rsidRDefault="00E077FF" w:rsidP="00FF3421">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In the Matter of the Application of The Dayton Power and Light Company for an Increase in its Electric Distribution Rates</w:t>
      </w:r>
      <w:r w:rsidRPr="00964F3F">
        <w:rPr>
          <w:rFonts w:ascii="Arial" w:hAnsi="Arial" w:cs="Arial"/>
        </w:rPr>
        <w:t xml:space="preserve">, Case Nos. 15-1830-EL-AIR, </w:t>
      </w:r>
      <w:r w:rsidRPr="00964F3F">
        <w:rPr>
          <w:rFonts w:ascii="Arial" w:hAnsi="Arial" w:cs="Arial"/>
          <w:i/>
        </w:rPr>
        <w:t>et al.</w:t>
      </w:r>
      <w:r w:rsidRPr="00964F3F">
        <w:rPr>
          <w:rFonts w:ascii="Arial" w:hAnsi="Arial" w:cs="Arial"/>
        </w:rPr>
        <w:t xml:space="preserve">, Opinion and Order at 10, 12 (September 26, </w:t>
      </w:r>
      <w:r w:rsidR="00261B06" w:rsidRPr="00964F3F">
        <w:rPr>
          <w:rFonts w:ascii="Arial" w:hAnsi="Arial" w:cs="Arial"/>
        </w:rPr>
        <w:t>2018</w:t>
      </w:r>
      <w:r w:rsidR="003F183F" w:rsidRPr="00964F3F">
        <w:rPr>
          <w:rFonts w:ascii="Arial" w:hAnsi="Arial" w:cs="Arial"/>
        </w:rPr>
        <w:t>)</w:t>
      </w:r>
      <w:r w:rsidR="00261B06" w:rsidRPr="00964F3F">
        <w:rPr>
          <w:rFonts w:ascii="Arial" w:hAnsi="Arial" w:cs="Arial"/>
        </w:rPr>
        <w:t>.</w:t>
      </w:r>
    </w:p>
    <w:p w14:paraId="59139378" w14:textId="77777777" w:rsidR="000755AA" w:rsidRPr="00964F3F" w:rsidRDefault="000755AA" w:rsidP="00FF3421">
      <w:pPr>
        <w:pStyle w:val="FootnoteText"/>
        <w:jc w:val="both"/>
        <w:rPr>
          <w:rFonts w:ascii="Arial" w:hAnsi="Arial" w:cs="Arial"/>
        </w:rPr>
      </w:pPr>
    </w:p>
  </w:footnote>
  <w:footnote w:id="73">
    <w:p w14:paraId="7EEFF82A" w14:textId="55A21D14" w:rsidR="000755AA" w:rsidRPr="00964F3F" w:rsidRDefault="000755AA">
      <w:pPr>
        <w:pStyle w:val="FootnoteText"/>
        <w:rPr>
          <w:rFonts w:ascii="Arial" w:hAnsi="Arial" w:cs="Arial"/>
          <w:i/>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 xml:space="preserve">Id. </w:t>
      </w:r>
    </w:p>
  </w:footnote>
  <w:footnote w:id="74">
    <w:p w14:paraId="31131F8E" w14:textId="77777777" w:rsidR="00E077FF" w:rsidRPr="00964F3F" w:rsidRDefault="00E077FF" w:rsidP="002B1A03">
      <w:pPr>
        <w:pStyle w:val="FootnoteText"/>
        <w:jc w:val="both"/>
        <w:rPr>
          <w:rFonts w:ascii="Arial" w:hAnsi="Arial" w:cs="Arial"/>
        </w:rPr>
      </w:pPr>
      <w:r w:rsidRPr="00964F3F">
        <w:rPr>
          <w:rStyle w:val="FootnoteReference"/>
          <w:rFonts w:ascii="Arial" w:hAnsi="Arial" w:cs="Arial"/>
        </w:rPr>
        <w:footnoteRef/>
      </w:r>
      <w:r w:rsidRPr="00964F3F">
        <w:rPr>
          <w:rFonts w:ascii="Arial" w:hAnsi="Arial" w:cs="Arial"/>
        </w:rPr>
        <w:t xml:space="preserve"> R.C. 4928.02.</w:t>
      </w:r>
    </w:p>
    <w:p w14:paraId="7BC58BEF" w14:textId="77777777" w:rsidR="00E077FF" w:rsidRPr="00964F3F" w:rsidRDefault="00E077FF" w:rsidP="002B1A03">
      <w:pPr>
        <w:pStyle w:val="FootnoteText"/>
        <w:jc w:val="both"/>
        <w:rPr>
          <w:rFonts w:ascii="Arial" w:hAnsi="Arial" w:cs="Arial"/>
        </w:rPr>
      </w:pPr>
    </w:p>
  </w:footnote>
  <w:footnote w:id="75">
    <w:p w14:paraId="6F026FB6" w14:textId="1D50D2C3" w:rsidR="00E077FF" w:rsidRPr="00964F3F" w:rsidRDefault="00E077FF">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RESA/IGS Ex. 1 at JEH-1 (Duke Response to IGS INT-01-16a).</w:t>
      </w:r>
    </w:p>
    <w:p w14:paraId="32E9C139" w14:textId="77777777" w:rsidR="00E077FF" w:rsidRPr="00964F3F" w:rsidRDefault="00E077FF">
      <w:pPr>
        <w:pStyle w:val="FootnoteText"/>
        <w:rPr>
          <w:rFonts w:ascii="Arial" w:hAnsi="Arial" w:cs="Arial"/>
        </w:rPr>
      </w:pPr>
    </w:p>
  </w:footnote>
  <w:footnote w:id="76">
    <w:p w14:paraId="7307558E" w14:textId="77777777" w:rsidR="00E077FF" w:rsidRPr="00964F3F" w:rsidRDefault="00E077FF" w:rsidP="00C11C42">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w:t>
      </w:r>
      <w:r w:rsidRPr="00964F3F">
        <w:rPr>
          <w:rFonts w:ascii="Arial" w:hAnsi="Arial" w:cs="Arial"/>
          <w:i/>
        </w:rPr>
        <w:t xml:space="preserve">Id. </w:t>
      </w:r>
      <w:r w:rsidRPr="00964F3F">
        <w:rPr>
          <w:rFonts w:ascii="Arial" w:hAnsi="Arial" w:cs="Arial"/>
        </w:rPr>
        <w:t>at MW-1 (Duke Response to IGS-INT-01-020(b)).</w:t>
      </w:r>
    </w:p>
    <w:p w14:paraId="7B6A1335" w14:textId="77777777" w:rsidR="00E077FF" w:rsidRPr="00964F3F" w:rsidRDefault="00E077FF" w:rsidP="00C11C42">
      <w:pPr>
        <w:pStyle w:val="FootnoteText"/>
        <w:rPr>
          <w:rFonts w:ascii="Arial" w:hAnsi="Arial" w:cs="Arial"/>
        </w:rPr>
      </w:pPr>
    </w:p>
  </w:footnote>
  <w:footnote w:id="77">
    <w:p w14:paraId="2F6FC460" w14:textId="77777777" w:rsidR="00E077FF" w:rsidRPr="00964F3F" w:rsidRDefault="00E077FF" w:rsidP="00C11C42">
      <w:pPr>
        <w:pStyle w:val="FootnoteText"/>
        <w:rPr>
          <w:rFonts w:ascii="Arial" w:hAnsi="Arial" w:cs="Arial"/>
        </w:rPr>
      </w:pPr>
      <w:r w:rsidRPr="00964F3F">
        <w:rPr>
          <w:rStyle w:val="FootnoteReference"/>
          <w:rFonts w:ascii="Arial" w:hAnsi="Arial" w:cs="Arial"/>
        </w:rPr>
        <w:footnoteRef/>
      </w:r>
      <w:r w:rsidRPr="00964F3F">
        <w:rPr>
          <w:rFonts w:ascii="Arial" w:hAnsi="Arial" w:cs="Arial"/>
        </w:rPr>
        <w:t xml:space="preserve"> RESA-IGS Ex. 5 at 12.</w:t>
      </w:r>
    </w:p>
    <w:p w14:paraId="6DCD74E8" w14:textId="77777777" w:rsidR="00E077FF" w:rsidRDefault="00E077FF" w:rsidP="00C11C4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A2B"/>
    <w:multiLevelType w:val="hybridMultilevel"/>
    <w:tmpl w:val="67BCF2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1EDE"/>
    <w:multiLevelType w:val="hybridMultilevel"/>
    <w:tmpl w:val="469ACEFE"/>
    <w:lvl w:ilvl="0" w:tplc="6AC0DBF0">
      <w:start w:val="1"/>
      <w:numFmt w:val="upperLetter"/>
      <w:lvlText w:val="%1."/>
      <w:lvlJc w:val="left"/>
      <w:pPr>
        <w:ind w:left="1449" w:hanging="360"/>
      </w:pPr>
      <w:rPr>
        <w:rFonts w:ascii="Arial" w:eastAsia="Times New Roman" w:hAnsi="Arial" w:cs="Arial"/>
      </w:r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 w15:restartNumberingAfterBreak="0">
    <w:nsid w:val="03406B6D"/>
    <w:multiLevelType w:val="hybridMultilevel"/>
    <w:tmpl w:val="986CCDB6"/>
    <w:lvl w:ilvl="0" w:tplc="71AC6F3E">
      <w:start w:val="1"/>
      <w:numFmt w:val="upperLetter"/>
      <w:lvlText w:val="%1."/>
      <w:lvlJc w:val="left"/>
      <w:pPr>
        <w:ind w:left="1089" w:hanging="369"/>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E5A74"/>
    <w:multiLevelType w:val="hybridMultilevel"/>
    <w:tmpl w:val="5ED22992"/>
    <w:lvl w:ilvl="0" w:tplc="304C2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6A2D5C"/>
    <w:multiLevelType w:val="hybridMultilevel"/>
    <w:tmpl w:val="5E8202A2"/>
    <w:lvl w:ilvl="0" w:tplc="523A157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270F9D"/>
    <w:multiLevelType w:val="hybridMultilevel"/>
    <w:tmpl w:val="655A8CF4"/>
    <w:lvl w:ilvl="0" w:tplc="337C79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86D57"/>
    <w:multiLevelType w:val="hybridMultilevel"/>
    <w:tmpl w:val="8FD4573E"/>
    <w:lvl w:ilvl="0" w:tplc="7C76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EB35E8"/>
    <w:multiLevelType w:val="hybridMultilevel"/>
    <w:tmpl w:val="831ADD6C"/>
    <w:lvl w:ilvl="0" w:tplc="FD928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89601D"/>
    <w:multiLevelType w:val="hybridMultilevel"/>
    <w:tmpl w:val="5B60C766"/>
    <w:lvl w:ilvl="0" w:tplc="8942479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D0F76"/>
    <w:multiLevelType w:val="hybridMultilevel"/>
    <w:tmpl w:val="0C903892"/>
    <w:lvl w:ilvl="0" w:tplc="AB0EDBA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083953"/>
    <w:multiLevelType w:val="hybridMultilevel"/>
    <w:tmpl w:val="F0A6991E"/>
    <w:lvl w:ilvl="0" w:tplc="787A673C">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15:restartNumberingAfterBreak="0">
    <w:nsid w:val="271217A7"/>
    <w:multiLevelType w:val="hybridMultilevel"/>
    <w:tmpl w:val="D92C2ECE"/>
    <w:lvl w:ilvl="0" w:tplc="BF6ABE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D30320"/>
    <w:multiLevelType w:val="hybridMultilevel"/>
    <w:tmpl w:val="945E71DC"/>
    <w:lvl w:ilvl="0" w:tplc="11D45F6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B9208F"/>
    <w:multiLevelType w:val="hybridMultilevel"/>
    <w:tmpl w:val="71B4A2F4"/>
    <w:lvl w:ilvl="0" w:tplc="11D45F6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4D40AD"/>
    <w:multiLevelType w:val="hybridMultilevel"/>
    <w:tmpl w:val="23B05C70"/>
    <w:lvl w:ilvl="0" w:tplc="D70212BC">
      <w:start w:val="1"/>
      <w:numFmt w:val="upperLetter"/>
      <w:lvlText w:val="%1."/>
      <w:lvlJc w:val="left"/>
      <w:pPr>
        <w:ind w:left="1449" w:hanging="360"/>
      </w:pPr>
      <w:rPr>
        <w:rFonts w:hint="default"/>
      </w:rPr>
    </w:lvl>
    <w:lvl w:ilvl="1" w:tplc="04090019">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5" w15:restartNumberingAfterBreak="0">
    <w:nsid w:val="3B933476"/>
    <w:multiLevelType w:val="hybridMultilevel"/>
    <w:tmpl w:val="F10E3C04"/>
    <w:lvl w:ilvl="0" w:tplc="11D45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DF3CE2"/>
    <w:multiLevelType w:val="hybridMultilevel"/>
    <w:tmpl w:val="7B2EF504"/>
    <w:lvl w:ilvl="0" w:tplc="B90471B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AC5D39"/>
    <w:multiLevelType w:val="hybridMultilevel"/>
    <w:tmpl w:val="76529BEA"/>
    <w:lvl w:ilvl="0" w:tplc="A74C88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C81FEC"/>
    <w:multiLevelType w:val="multilevel"/>
    <w:tmpl w:val="C25A84E2"/>
    <w:name w:val="Testimony"/>
    <w:lvl w:ilvl="0">
      <w:start w:val="1"/>
      <w:numFmt w:val="none"/>
      <w:pStyle w:val="Heading1"/>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1"/>
      <w:numFmt w:val="none"/>
      <w:pStyle w:val="Heading2"/>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lvlRestart w:val="0"/>
      <w:lvlText w:val="%3."/>
      <w:lvlJc w:val="left"/>
      <w:pPr>
        <w:tabs>
          <w:tab w:val="num" w:pos="720"/>
        </w:tabs>
        <w:ind w:left="720" w:hanging="720"/>
      </w:pPr>
      <w:rPr>
        <w:rFonts w:ascii="Arial" w:hAnsi="Arial" w:cs="Arial" w:hint="default"/>
        <w:b/>
        <w:i w:val="0"/>
        <w:caps w:val="0"/>
        <w:color w:val="000000"/>
        <w:u w:val="none"/>
      </w:rPr>
    </w:lvl>
    <w:lvl w:ilvl="3">
      <w:start w:val="1"/>
      <w:numFmt w:val="upperLetter"/>
      <w:lvlRestart w:val="0"/>
      <w:pStyle w:val="Heading4"/>
      <w:lvlText w:val="(%4)"/>
      <w:lvlJc w:val="left"/>
      <w:pPr>
        <w:tabs>
          <w:tab w:val="num" w:pos="1440"/>
        </w:tabs>
        <w:ind w:left="720" w:firstLine="0"/>
      </w:pPr>
      <w:rPr>
        <w:rFonts w:hint="default"/>
        <w:b/>
        <w:i/>
        <w:caps w:val="0"/>
        <w:color w:val="000000"/>
        <w:u w:val="none"/>
      </w:rPr>
    </w:lvl>
    <w:lvl w:ilvl="4">
      <w:start w:val="1"/>
      <w:numFmt w:val="none"/>
      <w:lvlText w:val=""/>
      <w:lvlJc w:val="left"/>
      <w:pPr>
        <w:tabs>
          <w:tab w:val="num" w:pos="1800"/>
        </w:tabs>
        <w:ind w:left="0" w:firstLine="0"/>
      </w:pPr>
      <w:rPr>
        <w:rFonts w:ascii="Courier New" w:hAnsi="Courier New" w:cs="Courier New" w:hint="default"/>
        <w:b w:val="0"/>
        <w:i w:val="0"/>
        <w:caps w:val="0"/>
        <w:color w:val="000000"/>
        <w:u w:val="none"/>
      </w:rPr>
    </w:lvl>
    <w:lvl w:ilvl="5">
      <w:start w:val="1"/>
      <w:numFmt w:val="none"/>
      <w:pStyle w:val="Heading6"/>
      <w:lvlText w:val=""/>
      <w:lvlJc w:val="left"/>
      <w:pPr>
        <w:tabs>
          <w:tab w:val="num" w:pos="2160"/>
        </w:tabs>
        <w:ind w:left="0" w:firstLine="0"/>
      </w:pPr>
      <w:rPr>
        <w:rFonts w:ascii="Times New Roman" w:hAnsi="Times New Roman" w:cs="Times New Roman" w:hint="default"/>
        <w:b w:val="0"/>
        <w:i w:val="0"/>
        <w:caps w:val="0"/>
        <w:color w:val="000000"/>
        <w:u w:val="none"/>
      </w:rPr>
    </w:lvl>
    <w:lvl w:ilvl="6">
      <w:start w:val="1"/>
      <w:numFmt w:val="none"/>
      <w:pStyle w:val="Heading7"/>
      <w:lvlText w:val=""/>
      <w:lvlJc w:val="left"/>
      <w:pPr>
        <w:tabs>
          <w:tab w:val="num" w:pos="2520"/>
        </w:tabs>
        <w:ind w:left="0" w:firstLine="0"/>
      </w:pPr>
      <w:rPr>
        <w:rFonts w:ascii="Times New Roman" w:hAnsi="Times New Roman" w:cs="Times New Roman" w:hint="default"/>
        <w:b w:val="0"/>
        <w:i w:val="0"/>
        <w:caps w:val="0"/>
        <w:color w:val="000000"/>
        <w:u w:val="none"/>
      </w:rPr>
    </w:lvl>
    <w:lvl w:ilvl="7">
      <w:start w:val="1"/>
      <w:numFmt w:val="none"/>
      <w:pStyle w:val="Heading8"/>
      <w:lvlText w:val=""/>
      <w:lvlJc w:val="left"/>
      <w:pPr>
        <w:tabs>
          <w:tab w:val="num" w:pos="2880"/>
        </w:tabs>
        <w:ind w:left="0" w:firstLine="0"/>
      </w:pPr>
      <w:rPr>
        <w:rFonts w:ascii="Courier New" w:hAnsi="Courier New" w:cs="Courier New" w:hint="default"/>
        <w:b w:val="0"/>
        <w:i w:val="0"/>
        <w:caps w:val="0"/>
        <w:color w:val="000000"/>
        <w:u w:val="none"/>
      </w:rPr>
    </w:lvl>
    <w:lvl w:ilvl="8">
      <w:start w:val="1"/>
      <w:numFmt w:val="none"/>
      <w:pStyle w:val="Heading9"/>
      <w:lvlText w:val=""/>
      <w:lvlJc w:val="left"/>
      <w:pPr>
        <w:tabs>
          <w:tab w:val="num" w:pos="3240"/>
        </w:tabs>
        <w:ind w:left="0" w:firstLine="0"/>
      </w:pPr>
      <w:rPr>
        <w:rFonts w:ascii="Times New Roman" w:hAnsi="Times New Roman" w:cs="Times New Roman" w:hint="default"/>
        <w:b w:val="0"/>
        <w:i w:val="0"/>
        <w:caps w:val="0"/>
        <w:color w:val="000000"/>
        <w:u w:val="none"/>
      </w:rPr>
    </w:lvl>
  </w:abstractNum>
  <w:abstractNum w:abstractNumId="19" w15:restartNumberingAfterBreak="0">
    <w:nsid w:val="4F9F39D4"/>
    <w:multiLevelType w:val="hybridMultilevel"/>
    <w:tmpl w:val="76925A92"/>
    <w:lvl w:ilvl="0" w:tplc="0276E6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015047C"/>
    <w:multiLevelType w:val="hybridMultilevel"/>
    <w:tmpl w:val="D6D6637A"/>
    <w:lvl w:ilvl="0" w:tplc="2B081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720B8B"/>
    <w:multiLevelType w:val="hybridMultilevel"/>
    <w:tmpl w:val="5FBAFF84"/>
    <w:lvl w:ilvl="0" w:tplc="0688D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F57A1"/>
    <w:multiLevelType w:val="hybridMultilevel"/>
    <w:tmpl w:val="F20E91F0"/>
    <w:lvl w:ilvl="0" w:tplc="4E0C97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EE35BF"/>
    <w:multiLevelType w:val="hybridMultilevel"/>
    <w:tmpl w:val="383E051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40A14"/>
    <w:multiLevelType w:val="hybridMultilevel"/>
    <w:tmpl w:val="068C6B54"/>
    <w:lvl w:ilvl="0" w:tplc="54D02C9A">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C35262"/>
    <w:multiLevelType w:val="hybridMultilevel"/>
    <w:tmpl w:val="F94ECFC2"/>
    <w:lvl w:ilvl="0" w:tplc="C8CCF67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466635"/>
    <w:multiLevelType w:val="hybridMultilevel"/>
    <w:tmpl w:val="50B836B8"/>
    <w:lvl w:ilvl="0" w:tplc="43545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B474C4"/>
    <w:multiLevelType w:val="hybridMultilevel"/>
    <w:tmpl w:val="F76204D4"/>
    <w:lvl w:ilvl="0" w:tplc="D70212BC">
      <w:start w:val="1"/>
      <w:numFmt w:val="upperLetter"/>
      <w:lvlText w:val="%1."/>
      <w:lvlJc w:val="left"/>
      <w:pPr>
        <w:ind w:left="1449" w:hanging="360"/>
      </w:pPr>
      <w:rPr>
        <w:rFonts w:hint="default"/>
      </w:rPr>
    </w:lvl>
    <w:lvl w:ilvl="1" w:tplc="04090019">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8" w15:restartNumberingAfterBreak="0">
    <w:nsid w:val="75A33C62"/>
    <w:multiLevelType w:val="hybridMultilevel"/>
    <w:tmpl w:val="90847B60"/>
    <w:lvl w:ilvl="0" w:tplc="118A55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8D6F36"/>
    <w:multiLevelType w:val="hybridMultilevel"/>
    <w:tmpl w:val="B37C4678"/>
    <w:lvl w:ilvl="0" w:tplc="D70212BC">
      <w:start w:val="1"/>
      <w:numFmt w:val="upperLetter"/>
      <w:lvlText w:val="%1."/>
      <w:lvlJc w:val="left"/>
      <w:pPr>
        <w:ind w:left="1449" w:hanging="360"/>
      </w:pPr>
      <w:rPr>
        <w:rFonts w:hint="default"/>
      </w:r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0" w15:restartNumberingAfterBreak="0">
    <w:nsid w:val="7D0D3106"/>
    <w:multiLevelType w:val="hybridMultilevel"/>
    <w:tmpl w:val="B5F4F370"/>
    <w:lvl w:ilvl="0" w:tplc="9300E8FC">
      <w:start w:val="1"/>
      <w:numFmt w:val="upperLetter"/>
      <w:lvlText w:val="%1."/>
      <w:lvlJc w:val="left"/>
      <w:pPr>
        <w:ind w:left="1800" w:hanging="360"/>
      </w:pPr>
      <w:rPr>
        <w:rFonts w:eastAsiaTheme="minorHAns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9"/>
  </w:num>
  <w:num w:numId="3">
    <w:abstractNumId w:val="6"/>
  </w:num>
  <w:num w:numId="4">
    <w:abstractNumId w:val="22"/>
  </w:num>
  <w:num w:numId="5">
    <w:abstractNumId w:val="18"/>
  </w:num>
  <w:num w:numId="6">
    <w:abstractNumId w:val="0"/>
  </w:num>
  <w:num w:numId="7">
    <w:abstractNumId w:val="2"/>
  </w:num>
  <w:num w:numId="8">
    <w:abstractNumId w:val="20"/>
  </w:num>
  <w:num w:numId="9">
    <w:abstractNumId w:val="26"/>
  </w:num>
  <w:num w:numId="10">
    <w:abstractNumId w:val="17"/>
  </w:num>
  <w:num w:numId="11">
    <w:abstractNumId w:val="8"/>
  </w:num>
  <w:num w:numId="12">
    <w:abstractNumId w:val="24"/>
  </w:num>
  <w:num w:numId="13">
    <w:abstractNumId w:val="1"/>
  </w:num>
  <w:num w:numId="14">
    <w:abstractNumId w:val="25"/>
  </w:num>
  <w:num w:numId="15">
    <w:abstractNumId w:val="19"/>
  </w:num>
  <w:num w:numId="16">
    <w:abstractNumId w:val="14"/>
  </w:num>
  <w:num w:numId="17">
    <w:abstractNumId w:val="12"/>
  </w:num>
  <w:num w:numId="18">
    <w:abstractNumId w:val="13"/>
  </w:num>
  <w:num w:numId="19">
    <w:abstractNumId w:val="15"/>
  </w:num>
  <w:num w:numId="20">
    <w:abstractNumId w:val="30"/>
  </w:num>
  <w:num w:numId="21">
    <w:abstractNumId w:val="10"/>
  </w:num>
  <w:num w:numId="22">
    <w:abstractNumId w:val="11"/>
  </w:num>
  <w:num w:numId="23">
    <w:abstractNumId w:val="4"/>
  </w:num>
  <w:num w:numId="24">
    <w:abstractNumId w:val="7"/>
  </w:num>
  <w:num w:numId="25">
    <w:abstractNumId w:val="27"/>
  </w:num>
  <w:num w:numId="26">
    <w:abstractNumId w:val="23"/>
  </w:num>
  <w:num w:numId="27">
    <w:abstractNumId w:val="16"/>
  </w:num>
  <w:num w:numId="28">
    <w:abstractNumId w:val="3"/>
  </w:num>
  <w:num w:numId="29">
    <w:abstractNumId w:val="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B5"/>
    <w:rsid w:val="0000183E"/>
    <w:rsid w:val="00001F0C"/>
    <w:rsid w:val="000070C2"/>
    <w:rsid w:val="00010ED3"/>
    <w:rsid w:val="000113C6"/>
    <w:rsid w:val="00021552"/>
    <w:rsid w:val="00024BC4"/>
    <w:rsid w:val="0002566D"/>
    <w:rsid w:val="00026B92"/>
    <w:rsid w:val="0003529C"/>
    <w:rsid w:val="000353D5"/>
    <w:rsid w:val="00036D52"/>
    <w:rsid w:val="00041A36"/>
    <w:rsid w:val="0005085D"/>
    <w:rsid w:val="0005174B"/>
    <w:rsid w:val="00051A32"/>
    <w:rsid w:val="000576A3"/>
    <w:rsid w:val="00057C1B"/>
    <w:rsid w:val="00061D66"/>
    <w:rsid w:val="00067D7E"/>
    <w:rsid w:val="00070546"/>
    <w:rsid w:val="000717C0"/>
    <w:rsid w:val="000735FC"/>
    <w:rsid w:val="00074BD6"/>
    <w:rsid w:val="00074FAF"/>
    <w:rsid w:val="00075428"/>
    <w:rsid w:val="000755AA"/>
    <w:rsid w:val="00083D57"/>
    <w:rsid w:val="00083E74"/>
    <w:rsid w:val="00084E1E"/>
    <w:rsid w:val="00085080"/>
    <w:rsid w:val="00085D04"/>
    <w:rsid w:val="00086994"/>
    <w:rsid w:val="0008714F"/>
    <w:rsid w:val="00090576"/>
    <w:rsid w:val="00093185"/>
    <w:rsid w:val="00097759"/>
    <w:rsid w:val="000B029D"/>
    <w:rsid w:val="000B1AB7"/>
    <w:rsid w:val="000B401D"/>
    <w:rsid w:val="000B41A9"/>
    <w:rsid w:val="000B4BB0"/>
    <w:rsid w:val="000C18BF"/>
    <w:rsid w:val="000C279D"/>
    <w:rsid w:val="000C28C4"/>
    <w:rsid w:val="000C4150"/>
    <w:rsid w:val="000C673F"/>
    <w:rsid w:val="000C76ED"/>
    <w:rsid w:val="000D0753"/>
    <w:rsid w:val="000D1859"/>
    <w:rsid w:val="000D351F"/>
    <w:rsid w:val="000D37C1"/>
    <w:rsid w:val="000D55CC"/>
    <w:rsid w:val="000D7232"/>
    <w:rsid w:val="000D7516"/>
    <w:rsid w:val="000E2454"/>
    <w:rsid w:val="000E3B61"/>
    <w:rsid w:val="000E6D45"/>
    <w:rsid w:val="000F0512"/>
    <w:rsid w:val="000F1DDC"/>
    <w:rsid w:val="000F2047"/>
    <w:rsid w:val="000F4484"/>
    <w:rsid w:val="000F54F4"/>
    <w:rsid w:val="001008BA"/>
    <w:rsid w:val="00101A37"/>
    <w:rsid w:val="00101C3E"/>
    <w:rsid w:val="0010281C"/>
    <w:rsid w:val="001030D8"/>
    <w:rsid w:val="00106916"/>
    <w:rsid w:val="00106FD5"/>
    <w:rsid w:val="001106E5"/>
    <w:rsid w:val="001112EA"/>
    <w:rsid w:val="001148C1"/>
    <w:rsid w:val="0012109C"/>
    <w:rsid w:val="00121FB5"/>
    <w:rsid w:val="001305A4"/>
    <w:rsid w:val="00130F7A"/>
    <w:rsid w:val="00134AA7"/>
    <w:rsid w:val="00136CFE"/>
    <w:rsid w:val="00140B09"/>
    <w:rsid w:val="001417B0"/>
    <w:rsid w:val="0014434C"/>
    <w:rsid w:val="00144B38"/>
    <w:rsid w:val="00145B41"/>
    <w:rsid w:val="001535E5"/>
    <w:rsid w:val="001572DB"/>
    <w:rsid w:val="00157A5C"/>
    <w:rsid w:val="00157F53"/>
    <w:rsid w:val="00170C8E"/>
    <w:rsid w:val="00171406"/>
    <w:rsid w:val="00172029"/>
    <w:rsid w:val="00173324"/>
    <w:rsid w:val="00185192"/>
    <w:rsid w:val="00186492"/>
    <w:rsid w:val="00187398"/>
    <w:rsid w:val="001874A7"/>
    <w:rsid w:val="00187925"/>
    <w:rsid w:val="001947C3"/>
    <w:rsid w:val="00194B51"/>
    <w:rsid w:val="001978E3"/>
    <w:rsid w:val="001A0A2B"/>
    <w:rsid w:val="001A5803"/>
    <w:rsid w:val="001B02E8"/>
    <w:rsid w:val="001B1711"/>
    <w:rsid w:val="001B3CA3"/>
    <w:rsid w:val="001B6707"/>
    <w:rsid w:val="001B7252"/>
    <w:rsid w:val="001B7744"/>
    <w:rsid w:val="001B7805"/>
    <w:rsid w:val="001C1A7F"/>
    <w:rsid w:val="001C2BCA"/>
    <w:rsid w:val="001C5391"/>
    <w:rsid w:val="001C6747"/>
    <w:rsid w:val="001D04B2"/>
    <w:rsid w:val="001D1177"/>
    <w:rsid w:val="001D1601"/>
    <w:rsid w:val="001D19B8"/>
    <w:rsid w:val="001D34DA"/>
    <w:rsid w:val="001D62FB"/>
    <w:rsid w:val="001E35AC"/>
    <w:rsid w:val="001E5829"/>
    <w:rsid w:val="001F25AD"/>
    <w:rsid w:val="001F4205"/>
    <w:rsid w:val="001F703E"/>
    <w:rsid w:val="001F7E88"/>
    <w:rsid w:val="00200809"/>
    <w:rsid w:val="00202071"/>
    <w:rsid w:val="00203A9D"/>
    <w:rsid w:val="00204F83"/>
    <w:rsid w:val="00206243"/>
    <w:rsid w:val="00211AC1"/>
    <w:rsid w:val="00212783"/>
    <w:rsid w:val="002133DB"/>
    <w:rsid w:val="00214B12"/>
    <w:rsid w:val="00216A5B"/>
    <w:rsid w:val="00216EF7"/>
    <w:rsid w:val="002238CE"/>
    <w:rsid w:val="00224BBD"/>
    <w:rsid w:val="00225120"/>
    <w:rsid w:val="00227AD4"/>
    <w:rsid w:val="00230481"/>
    <w:rsid w:val="00230C9E"/>
    <w:rsid w:val="00241CD3"/>
    <w:rsid w:val="00243B3B"/>
    <w:rsid w:val="002441F9"/>
    <w:rsid w:val="0024580C"/>
    <w:rsid w:val="00250807"/>
    <w:rsid w:val="002528C6"/>
    <w:rsid w:val="002576C0"/>
    <w:rsid w:val="00261B06"/>
    <w:rsid w:val="00262C8D"/>
    <w:rsid w:val="0026527C"/>
    <w:rsid w:val="00272F91"/>
    <w:rsid w:val="002740F4"/>
    <w:rsid w:val="00276D3C"/>
    <w:rsid w:val="00277CC9"/>
    <w:rsid w:val="002804C0"/>
    <w:rsid w:val="002813ED"/>
    <w:rsid w:val="002834D5"/>
    <w:rsid w:val="00290369"/>
    <w:rsid w:val="00290AFD"/>
    <w:rsid w:val="00295862"/>
    <w:rsid w:val="002A260E"/>
    <w:rsid w:val="002A3093"/>
    <w:rsid w:val="002B1A03"/>
    <w:rsid w:val="002B26D0"/>
    <w:rsid w:val="002B38F4"/>
    <w:rsid w:val="002B3CEE"/>
    <w:rsid w:val="002B7386"/>
    <w:rsid w:val="002C2F18"/>
    <w:rsid w:val="002C481E"/>
    <w:rsid w:val="002C7179"/>
    <w:rsid w:val="002C723F"/>
    <w:rsid w:val="002D65BA"/>
    <w:rsid w:val="002D68E1"/>
    <w:rsid w:val="002D7288"/>
    <w:rsid w:val="002E09BA"/>
    <w:rsid w:val="002E35BD"/>
    <w:rsid w:val="002E54F0"/>
    <w:rsid w:val="002E773B"/>
    <w:rsid w:val="002F1C31"/>
    <w:rsid w:val="002F1F66"/>
    <w:rsid w:val="002F488F"/>
    <w:rsid w:val="002F747C"/>
    <w:rsid w:val="003007ED"/>
    <w:rsid w:val="003018BC"/>
    <w:rsid w:val="003027BD"/>
    <w:rsid w:val="003035D0"/>
    <w:rsid w:val="00304CF7"/>
    <w:rsid w:val="00305A7A"/>
    <w:rsid w:val="0030787A"/>
    <w:rsid w:val="003116A7"/>
    <w:rsid w:val="00312C36"/>
    <w:rsid w:val="00313D2E"/>
    <w:rsid w:val="00314379"/>
    <w:rsid w:val="0031564F"/>
    <w:rsid w:val="00317FCB"/>
    <w:rsid w:val="003227CA"/>
    <w:rsid w:val="00322BD5"/>
    <w:rsid w:val="00325B4A"/>
    <w:rsid w:val="00330D6E"/>
    <w:rsid w:val="003330E2"/>
    <w:rsid w:val="00333A18"/>
    <w:rsid w:val="003358D3"/>
    <w:rsid w:val="00344721"/>
    <w:rsid w:val="00345530"/>
    <w:rsid w:val="00345B4A"/>
    <w:rsid w:val="00346B2E"/>
    <w:rsid w:val="00347544"/>
    <w:rsid w:val="00347E89"/>
    <w:rsid w:val="003548FA"/>
    <w:rsid w:val="0035756D"/>
    <w:rsid w:val="00361E8C"/>
    <w:rsid w:val="003625C5"/>
    <w:rsid w:val="00363433"/>
    <w:rsid w:val="00370B28"/>
    <w:rsid w:val="0037268D"/>
    <w:rsid w:val="003745D9"/>
    <w:rsid w:val="003765B7"/>
    <w:rsid w:val="0038079F"/>
    <w:rsid w:val="003823E4"/>
    <w:rsid w:val="00382A86"/>
    <w:rsid w:val="003849D3"/>
    <w:rsid w:val="00386F6F"/>
    <w:rsid w:val="003929C5"/>
    <w:rsid w:val="00392A98"/>
    <w:rsid w:val="00392DAB"/>
    <w:rsid w:val="00394A86"/>
    <w:rsid w:val="003A0C90"/>
    <w:rsid w:val="003A337C"/>
    <w:rsid w:val="003A536A"/>
    <w:rsid w:val="003A5642"/>
    <w:rsid w:val="003A691F"/>
    <w:rsid w:val="003B26BC"/>
    <w:rsid w:val="003B59A4"/>
    <w:rsid w:val="003C1AF5"/>
    <w:rsid w:val="003D365C"/>
    <w:rsid w:val="003D3873"/>
    <w:rsid w:val="003D7B39"/>
    <w:rsid w:val="003E1F76"/>
    <w:rsid w:val="003E53B4"/>
    <w:rsid w:val="003E63D0"/>
    <w:rsid w:val="003E759D"/>
    <w:rsid w:val="003F017A"/>
    <w:rsid w:val="003F183F"/>
    <w:rsid w:val="003F2FF3"/>
    <w:rsid w:val="003F300E"/>
    <w:rsid w:val="00402BFB"/>
    <w:rsid w:val="004036B1"/>
    <w:rsid w:val="00403850"/>
    <w:rsid w:val="00404442"/>
    <w:rsid w:val="00404718"/>
    <w:rsid w:val="00405306"/>
    <w:rsid w:val="00405575"/>
    <w:rsid w:val="004161ED"/>
    <w:rsid w:val="004168D0"/>
    <w:rsid w:val="004227C0"/>
    <w:rsid w:val="00423914"/>
    <w:rsid w:val="004242F8"/>
    <w:rsid w:val="0042505C"/>
    <w:rsid w:val="00433B5F"/>
    <w:rsid w:val="00433CBA"/>
    <w:rsid w:val="0044279B"/>
    <w:rsid w:val="00443666"/>
    <w:rsid w:val="00445A36"/>
    <w:rsid w:val="00447205"/>
    <w:rsid w:val="0045193B"/>
    <w:rsid w:val="0045390F"/>
    <w:rsid w:val="00457980"/>
    <w:rsid w:val="00457F95"/>
    <w:rsid w:val="0046389C"/>
    <w:rsid w:val="0046611E"/>
    <w:rsid w:val="00471A77"/>
    <w:rsid w:val="00476CC5"/>
    <w:rsid w:val="0048028E"/>
    <w:rsid w:val="004826E2"/>
    <w:rsid w:val="00482F03"/>
    <w:rsid w:val="0049223B"/>
    <w:rsid w:val="00492789"/>
    <w:rsid w:val="00496698"/>
    <w:rsid w:val="00497356"/>
    <w:rsid w:val="004A0C52"/>
    <w:rsid w:val="004B36B4"/>
    <w:rsid w:val="004B426E"/>
    <w:rsid w:val="004C01EF"/>
    <w:rsid w:val="004C2BF5"/>
    <w:rsid w:val="004D2428"/>
    <w:rsid w:val="004D308E"/>
    <w:rsid w:val="004D41C5"/>
    <w:rsid w:val="004E51FE"/>
    <w:rsid w:val="004E7F7E"/>
    <w:rsid w:val="004F0F8D"/>
    <w:rsid w:val="004F10C1"/>
    <w:rsid w:val="004F140E"/>
    <w:rsid w:val="004F2437"/>
    <w:rsid w:val="004F47D9"/>
    <w:rsid w:val="004F491E"/>
    <w:rsid w:val="004F699C"/>
    <w:rsid w:val="004F787E"/>
    <w:rsid w:val="00500871"/>
    <w:rsid w:val="00500F07"/>
    <w:rsid w:val="00503603"/>
    <w:rsid w:val="00503CC6"/>
    <w:rsid w:val="00503D08"/>
    <w:rsid w:val="005056AE"/>
    <w:rsid w:val="00506686"/>
    <w:rsid w:val="00506B26"/>
    <w:rsid w:val="00512D36"/>
    <w:rsid w:val="00513148"/>
    <w:rsid w:val="0051538C"/>
    <w:rsid w:val="00521DB7"/>
    <w:rsid w:val="00522289"/>
    <w:rsid w:val="00523C99"/>
    <w:rsid w:val="0052442A"/>
    <w:rsid w:val="00525EA1"/>
    <w:rsid w:val="00526B66"/>
    <w:rsid w:val="00526BF6"/>
    <w:rsid w:val="00527764"/>
    <w:rsid w:val="00530D04"/>
    <w:rsid w:val="00532EF4"/>
    <w:rsid w:val="00533CDB"/>
    <w:rsid w:val="0054302C"/>
    <w:rsid w:val="00545603"/>
    <w:rsid w:val="00550D1A"/>
    <w:rsid w:val="005617C9"/>
    <w:rsid w:val="0056222A"/>
    <w:rsid w:val="00566C50"/>
    <w:rsid w:val="005750C8"/>
    <w:rsid w:val="00580277"/>
    <w:rsid w:val="0058270B"/>
    <w:rsid w:val="00582A78"/>
    <w:rsid w:val="0058390A"/>
    <w:rsid w:val="00583E4E"/>
    <w:rsid w:val="005848CF"/>
    <w:rsid w:val="00587276"/>
    <w:rsid w:val="00592D3F"/>
    <w:rsid w:val="00594F95"/>
    <w:rsid w:val="005A1197"/>
    <w:rsid w:val="005A6C48"/>
    <w:rsid w:val="005B2D63"/>
    <w:rsid w:val="005B49FA"/>
    <w:rsid w:val="005B6F80"/>
    <w:rsid w:val="005C0566"/>
    <w:rsid w:val="005C40D1"/>
    <w:rsid w:val="005C75FD"/>
    <w:rsid w:val="005D0E05"/>
    <w:rsid w:val="005D2548"/>
    <w:rsid w:val="005D25B2"/>
    <w:rsid w:val="005D35C8"/>
    <w:rsid w:val="005D508C"/>
    <w:rsid w:val="005E224F"/>
    <w:rsid w:val="005E27CE"/>
    <w:rsid w:val="005E3667"/>
    <w:rsid w:val="005E46C9"/>
    <w:rsid w:val="005E558F"/>
    <w:rsid w:val="005E5B59"/>
    <w:rsid w:val="005E5B74"/>
    <w:rsid w:val="005E766B"/>
    <w:rsid w:val="005F1205"/>
    <w:rsid w:val="005F5A4C"/>
    <w:rsid w:val="005F77B5"/>
    <w:rsid w:val="00602766"/>
    <w:rsid w:val="006047C3"/>
    <w:rsid w:val="00610322"/>
    <w:rsid w:val="00614C2D"/>
    <w:rsid w:val="0062306E"/>
    <w:rsid w:val="006235B1"/>
    <w:rsid w:val="006361A2"/>
    <w:rsid w:val="0063758B"/>
    <w:rsid w:val="0064254A"/>
    <w:rsid w:val="0064589E"/>
    <w:rsid w:val="006465BB"/>
    <w:rsid w:val="0064725C"/>
    <w:rsid w:val="00647CFA"/>
    <w:rsid w:val="00650A7C"/>
    <w:rsid w:val="006534EA"/>
    <w:rsid w:val="006543F9"/>
    <w:rsid w:val="006548FD"/>
    <w:rsid w:val="00656E4E"/>
    <w:rsid w:val="00663A20"/>
    <w:rsid w:val="00663D46"/>
    <w:rsid w:val="006670F7"/>
    <w:rsid w:val="00671552"/>
    <w:rsid w:val="00674611"/>
    <w:rsid w:val="006774F1"/>
    <w:rsid w:val="006805FA"/>
    <w:rsid w:val="00684AB0"/>
    <w:rsid w:val="006865AE"/>
    <w:rsid w:val="00692C4D"/>
    <w:rsid w:val="006938F9"/>
    <w:rsid w:val="006A373B"/>
    <w:rsid w:val="006B1103"/>
    <w:rsid w:val="006B5BE6"/>
    <w:rsid w:val="006B70F8"/>
    <w:rsid w:val="006B7115"/>
    <w:rsid w:val="006C25F9"/>
    <w:rsid w:val="006C39CD"/>
    <w:rsid w:val="006C487C"/>
    <w:rsid w:val="006C549E"/>
    <w:rsid w:val="006D3115"/>
    <w:rsid w:val="006D3FB3"/>
    <w:rsid w:val="006D4519"/>
    <w:rsid w:val="006D665E"/>
    <w:rsid w:val="006E200C"/>
    <w:rsid w:val="006E3097"/>
    <w:rsid w:val="006E6A28"/>
    <w:rsid w:val="006E6FA0"/>
    <w:rsid w:val="006E782D"/>
    <w:rsid w:val="006F1711"/>
    <w:rsid w:val="006F2B07"/>
    <w:rsid w:val="006F4218"/>
    <w:rsid w:val="006F4405"/>
    <w:rsid w:val="006F716D"/>
    <w:rsid w:val="00702267"/>
    <w:rsid w:val="00703A18"/>
    <w:rsid w:val="00704BAD"/>
    <w:rsid w:val="007243CE"/>
    <w:rsid w:val="0072443A"/>
    <w:rsid w:val="007271D9"/>
    <w:rsid w:val="007351D1"/>
    <w:rsid w:val="00737F99"/>
    <w:rsid w:val="007442D9"/>
    <w:rsid w:val="00744B94"/>
    <w:rsid w:val="0074795A"/>
    <w:rsid w:val="007515A3"/>
    <w:rsid w:val="00755F2F"/>
    <w:rsid w:val="00760874"/>
    <w:rsid w:val="00761984"/>
    <w:rsid w:val="007619D2"/>
    <w:rsid w:val="007655CD"/>
    <w:rsid w:val="0076797D"/>
    <w:rsid w:val="00773084"/>
    <w:rsid w:val="0077344F"/>
    <w:rsid w:val="00773F49"/>
    <w:rsid w:val="00777363"/>
    <w:rsid w:val="007773A4"/>
    <w:rsid w:val="0077799B"/>
    <w:rsid w:val="00777F4F"/>
    <w:rsid w:val="00782D5A"/>
    <w:rsid w:val="00783234"/>
    <w:rsid w:val="00783315"/>
    <w:rsid w:val="007867DF"/>
    <w:rsid w:val="0079213B"/>
    <w:rsid w:val="0079264E"/>
    <w:rsid w:val="00796A89"/>
    <w:rsid w:val="0079771E"/>
    <w:rsid w:val="007A00B9"/>
    <w:rsid w:val="007A5A37"/>
    <w:rsid w:val="007B21CB"/>
    <w:rsid w:val="007B3068"/>
    <w:rsid w:val="007B45D0"/>
    <w:rsid w:val="007B46B0"/>
    <w:rsid w:val="007B50E0"/>
    <w:rsid w:val="007B5855"/>
    <w:rsid w:val="007C3631"/>
    <w:rsid w:val="007C5A1C"/>
    <w:rsid w:val="007D033C"/>
    <w:rsid w:val="007D1762"/>
    <w:rsid w:val="007D179F"/>
    <w:rsid w:val="007D45FD"/>
    <w:rsid w:val="007E1C07"/>
    <w:rsid w:val="007E44F2"/>
    <w:rsid w:val="007F5697"/>
    <w:rsid w:val="007F5932"/>
    <w:rsid w:val="008000E7"/>
    <w:rsid w:val="00800E26"/>
    <w:rsid w:val="00802C25"/>
    <w:rsid w:val="008042F1"/>
    <w:rsid w:val="00806913"/>
    <w:rsid w:val="0081077A"/>
    <w:rsid w:val="00813279"/>
    <w:rsid w:val="00813E66"/>
    <w:rsid w:val="00815161"/>
    <w:rsid w:val="008155DD"/>
    <w:rsid w:val="008161A3"/>
    <w:rsid w:val="0081780F"/>
    <w:rsid w:val="00820896"/>
    <w:rsid w:val="008225C0"/>
    <w:rsid w:val="00824DFD"/>
    <w:rsid w:val="008265EF"/>
    <w:rsid w:val="008269F3"/>
    <w:rsid w:val="008309DF"/>
    <w:rsid w:val="00830EEB"/>
    <w:rsid w:val="00831FD2"/>
    <w:rsid w:val="0083448D"/>
    <w:rsid w:val="00836ED3"/>
    <w:rsid w:val="00836EE1"/>
    <w:rsid w:val="00842708"/>
    <w:rsid w:val="0084296F"/>
    <w:rsid w:val="00844B7A"/>
    <w:rsid w:val="00846E98"/>
    <w:rsid w:val="00847DA7"/>
    <w:rsid w:val="00847E15"/>
    <w:rsid w:val="00850F1F"/>
    <w:rsid w:val="00850FB8"/>
    <w:rsid w:val="0085467B"/>
    <w:rsid w:val="00854B59"/>
    <w:rsid w:val="00861085"/>
    <w:rsid w:val="00861FD6"/>
    <w:rsid w:val="00864BAB"/>
    <w:rsid w:val="00864C04"/>
    <w:rsid w:val="00864E62"/>
    <w:rsid w:val="008711AC"/>
    <w:rsid w:val="00871619"/>
    <w:rsid w:val="0087737D"/>
    <w:rsid w:val="008804DC"/>
    <w:rsid w:val="00881DCE"/>
    <w:rsid w:val="00887B61"/>
    <w:rsid w:val="00892685"/>
    <w:rsid w:val="0089365C"/>
    <w:rsid w:val="008A1878"/>
    <w:rsid w:val="008A5841"/>
    <w:rsid w:val="008B095E"/>
    <w:rsid w:val="008B24AF"/>
    <w:rsid w:val="008B3507"/>
    <w:rsid w:val="008B5F66"/>
    <w:rsid w:val="008B7539"/>
    <w:rsid w:val="008C12A9"/>
    <w:rsid w:val="008C560D"/>
    <w:rsid w:val="008C5B6E"/>
    <w:rsid w:val="008D1CAD"/>
    <w:rsid w:val="008D3734"/>
    <w:rsid w:val="008D44FD"/>
    <w:rsid w:val="008D454C"/>
    <w:rsid w:val="008E14F0"/>
    <w:rsid w:val="008E253F"/>
    <w:rsid w:val="008E359A"/>
    <w:rsid w:val="008E3906"/>
    <w:rsid w:val="008E4454"/>
    <w:rsid w:val="008E70AF"/>
    <w:rsid w:val="008F0ED4"/>
    <w:rsid w:val="008F219E"/>
    <w:rsid w:val="008F38AE"/>
    <w:rsid w:val="008F643D"/>
    <w:rsid w:val="0090288B"/>
    <w:rsid w:val="00904436"/>
    <w:rsid w:val="00904C00"/>
    <w:rsid w:val="00905D8A"/>
    <w:rsid w:val="009100BE"/>
    <w:rsid w:val="00910316"/>
    <w:rsid w:val="00924914"/>
    <w:rsid w:val="00924AEE"/>
    <w:rsid w:val="0092594F"/>
    <w:rsid w:val="00930A87"/>
    <w:rsid w:val="009371D8"/>
    <w:rsid w:val="009505E9"/>
    <w:rsid w:val="00950969"/>
    <w:rsid w:val="0095168B"/>
    <w:rsid w:val="00951C5D"/>
    <w:rsid w:val="00964F3F"/>
    <w:rsid w:val="009665E9"/>
    <w:rsid w:val="009665F6"/>
    <w:rsid w:val="009712AC"/>
    <w:rsid w:val="0097487E"/>
    <w:rsid w:val="00975FBB"/>
    <w:rsid w:val="00981C2C"/>
    <w:rsid w:val="00982AE0"/>
    <w:rsid w:val="00983A40"/>
    <w:rsid w:val="00983DDD"/>
    <w:rsid w:val="0098491A"/>
    <w:rsid w:val="00984AB9"/>
    <w:rsid w:val="00985CA3"/>
    <w:rsid w:val="009949F0"/>
    <w:rsid w:val="00995902"/>
    <w:rsid w:val="009A1BB7"/>
    <w:rsid w:val="009A1D53"/>
    <w:rsid w:val="009A56B2"/>
    <w:rsid w:val="009A6EC5"/>
    <w:rsid w:val="009B6881"/>
    <w:rsid w:val="009C3769"/>
    <w:rsid w:val="009C4639"/>
    <w:rsid w:val="009C5736"/>
    <w:rsid w:val="009C7267"/>
    <w:rsid w:val="009D1916"/>
    <w:rsid w:val="009D3EE6"/>
    <w:rsid w:val="009D4854"/>
    <w:rsid w:val="009E0554"/>
    <w:rsid w:val="009E0E3A"/>
    <w:rsid w:val="009E3E54"/>
    <w:rsid w:val="009E42CA"/>
    <w:rsid w:val="009E68ED"/>
    <w:rsid w:val="009E7779"/>
    <w:rsid w:val="009F001A"/>
    <w:rsid w:val="009F1B09"/>
    <w:rsid w:val="009F1CFB"/>
    <w:rsid w:val="009F205D"/>
    <w:rsid w:val="009F21E4"/>
    <w:rsid w:val="009F5ABE"/>
    <w:rsid w:val="00A007D3"/>
    <w:rsid w:val="00A01338"/>
    <w:rsid w:val="00A048DC"/>
    <w:rsid w:val="00A0549F"/>
    <w:rsid w:val="00A11DC5"/>
    <w:rsid w:val="00A13170"/>
    <w:rsid w:val="00A14FBC"/>
    <w:rsid w:val="00A15F8B"/>
    <w:rsid w:val="00A1717A"/>
    <w:rsid w:val="00A17C0E"/>
    <w:rsid w:val="00A24370"/>
    <w:rsid w:val="00A27FE2"/>
    <w:rsid w:val="00A3024D"/>
    <w:rsid w:val="00A31865"/>
    <w:rsid w:val="00A326A6"/>
    <w:rsid w:val="00A3489A"/>
    <w:rsid w:val="00A35934"/>
    <w:rsid w:val="00A43D0E"/>
    <w:rsid w:val="00A45D44"/>
    <w:rsid w:val="00A4695B"/>
    <w:rsid w:val="00A52A03"/>
    <w:rsid w:val="00A54466"/>
    <w:rsid w:val="00A605E4"/>
    <w:rsid w:val="00A6196A"/>
    <w:rsid w:val="00A63155"/>
    <w:rsid w:val="00A636C5"/>
    <w:rsid w:val="00A654AE"/>
    <w:rsid w:val="00A65539"/>
    <w:rsid w:val="00A6774C"/>
    <w:rsid w:val="00A67820"/>
    <w:rsid w:val="00A721A9"/>
    <w:rsid w:val="00A80671"/>
    <w:rsid w:val="00A81DB4"/>
    <w:rsid w:val="00A86EF2"/>
    <w:rsid w:val="00A923A5"/>
    <w:rsid w:val="00A926A6"/>
    <w:rsid w:val="00A928E4"/>
    <w:rsid w:val="00A946C6"/>
    <w:rsid w:val="00A94B72"/>
    <w:rsid w:val="00A961F1"/>
    <w:rsid w:val="00AA37BF"/>
    <w:rsid w:val="00AA4D0C"/>
    <w:rsid w:val="00AB3602"/>
    <w:rsid w:val="00AB5950"/>
    <w:rsid w:val="00AC27D7"/>
    <w:rsid w:val="00AC2BA6"/>
    <w:rsid w:val="00AC3864"/>
    <w:rsid w:val="00AC55D6"/>
    <w:rsid w:val="00AC6E96"/>
    <w:rsid w:val="00AC7367"/>
    <w:rsid w:val="00AC779C"/>
    <w:rsid w:val="00AD1139"/>
    <w:rsid w:val="00AD173C"/>
    <w:rsid w:val="00AD1BA0"/>
    <w:rsid w:val="00AD4FEC"/>
    <w:rsid w:val="00AD593D"/>
    <w:rsid w:val="00AE47A3"/>
    <w:rsid w:val="00AE50ED"/>
    <w:rsid w:val="00AE68DE"/>
    <w:rsid w:val="00AE7D6A"/>
    <w:rsid w:val="00AE7E7B"/>
    <w:rsid w:val="00AF4882"/>
    <w:rsid w:val="00AF5863"/>
    <w:rsid w:val="00AF5B05"/>
    <w:rsid w:val="00B00E2D"/>
    <w:rsid w:val="00B03304"/>
    <w:rsid w:val="00B05C16"/>
    <w:rsid w:val="00B076B2"/>
    <w:rsid w:val="00B157EE"/>
    <w:rsid w:val="00B1778F"/>
    <w:rsid w:val="00B2018D"/>
    <w:rsid w:val="00B250DA"/>
    <w:rsid w:val="00B25779"/>
    <w:rsid w:val="00B259F3"/>
    <w:rsid w:val="00B26216"/>
    <w:rsid w:val="00B26509"/>
    <w:rsid w:val="00B307EF"/>
    <w:rsid w:val="00B34572"/>
    <w:rsid w:val="00B430AB"/>
    <w:rsid w:val="00B45150"/>
    <w:rsid w:val="00B45955"/>
    <w:rsid w:val="00B51377"/>
    <w:rsid w:val="00B52261"/>
    <w:rsid w:val="00B53E24"/>
    <w:rsid w:val="00B54C75"/>
    <w:rsid w:val="00B566A8"/>
    <w:rsid w:val="00B631B3"/>
    <w:rsid w:val="00B67BA3"/>
    <w:rsid w:val="00B70BAF"/>
    <w:rsid w:val="00B70EB5"/>
    <w:rsid w:val="00B70FF6"/>
    <w:rsid w:val="00B7562C"/>
    <w:rsid w:val="00B75EDF"/>
    <w:rsid w:val="00B80102"/>
    <w:rsid w:val="00B81286"/>
    <w:rsid w:val="00B8213A"/>
    <w:rsid w:val="00B83806"/>
    <w:rsid w:val="00B87974"/>
    <w:rsid w:val="00B94FDD"/>
    <w:rsid w:val="00BA1A2F"/>
    <w:rsid w:val="00BA2C30"/>
    <w:rsid w:val="00BA2DEF"/>
    <w:rsid w:val="00BA58D6"/>
    <w:rsid w:val="00BB779A"/>
    <w:rsid w:val="00BB7F4F"/>
    <w:rsid w:val="00BC2011"/>
    <w:rsid w:val="00BC4129"/>
    <w:rsid w:val="00BC5385"/>
    <w:rsid w:val="00BC7205"/>
    <w:rsid w:val="00BC7F4B"/>
    <w:rsid w:val="00BD0297"/>
    <w:rsid w:val="00BD0966"/>
    <w:rsid w:val="00BD22A6"/>
    <w:rsid w:val="00BD2C1A"/>
    <w:rsid w:val="00BD2DEB"/>
    <w:rsid w:val="00BD465B"/>
    <w:rsid w:val="00BD561F"/>
    <w:rsid w:val="00BD5C0D"/>
    <w:rsid w:val="00BD63A0"/>
    <w:rsid w:val="00BD7019"/>
    <w:rsid w:val="00BE27C8"/>
    <w:rsid w:val="00BE289F"/>
    <w:rsid w:val="00BE28F7"/>
    <w:rsid w:val="00BE36CF"/>
    <w:rsid w:val="00BE3D7F"/>
    <w:rsid w:val="00BE41D9"/>
    <w:rsid w:val="00BE5E2B"/>
    <w:rsid w:val="00BE63F3"/>
    <w:rsid w:val="00BF11EE"/>
    <w:rsid w:val="00BF2B9E"/>
    <w:rsid w:val="00BF5BE4"/>
    <w:rsid w:val="00BF6263"/>
    <w:rsid w:val="00C006FA"/>
    <w:rsid w:val="00C01BF4"/>
    <w:rsid w:val="00C038B5"/>
    <w:rsid w:val="00C045FB"/>
    <w:rsid w:val="00C04ABA"/>
    <w:rsid w:val="00C07433"/>
    <w:rsid w:val="00C07484"/>
    <w:rsid w:val="00C10062"/>
    <w:rsid w:val="00C104EA"/>
    <w:rsid w:val="00C11C42"/>
    <w:rsid w:val="00C15579"/>
    <w:rsid w:val="00C161BD"/>
    <w:rsid w:val="00C167C6"/>
    <w:rsid w:val="00C16CAC"/>
    <w:rsid w:val="00C16D5F"/>
    <w:rsid w:val="00C22AA4"/>
    <w:rsid w:val="00C24A30"/>
    <w:rsid w:val="00C276E0"/>
    <w:rsid w:val="00C27FDD"/>
    <w:rsid w:val="00C32934"/>
    <w:rsid w:val="00C45434"/>
    <w:rsid w:val="00C458EB"/>
    <w:rsid w:val="00C46DFE"/>
    <w:rsid w:val="00C47C41"/>
    <w:rsid w:val="00C47F68"/>
    <w:rsid w:val="00C51B6A"/>
    <w:rsid w:val="00C52AC8"/>
    <w:rsid w:val="00C705C8"/>
    <w:rsid w:val="00C750AF"/>
    <w:rsid w:val="00C7692A"/>
    <w:rsid w:val="00C7752E"/>
    <w:rsid w:val="00C80590"/>
    <w:rsid w:val="00C902C1"/>
    <w:rsid w:val="00C936F6"/>
    <w:rsid w:val="00C94BF1"/>
    <w:rsid w:val="00C95FFA"/>
    <w:rsid w:val="00C97544"/>
    <w:rsid w:val="00CA0DFE"/>
    <w:rsid w:val="00CA121C"/>
    <w:rsid w:val="00CA25AC"/>
    <w:rsid w:val="00CA37C3"/>
    <w:rsid w:val="00CB0409"/>
    <w:rsid w:val="00CB060F"/>
    <w:rsid w:val="00CB5B51"/>
    <w:rsid w:val="00CB6143"/>
    <w:rsid w:val="00CB6798"/>
    <w:rsid w:val="00CB717B"/>
    <w:rsid w:val="00CB7F8F"/>
    <w:rsid w:val="00CC5525"/>
    <w:rsid w:val="00CC64F1"/>
    <w:rsid w:val="00CC6D23"/>
    <w:rsid w:val="00CD12C4"/>
    <w:rsid w:val="00CD49B5"/>
    <w:rsid w:val="00CD5770"/>
    <w:rsid w:val="00CD68A9"/>
    <w:rsid w:val="00CD6F9E"/>
    <w:rsid w:val="00CE44D5"/>
    <w:rsid w:val="00CE6E22"/>
    <w:rsid w:val="00CE7243"/>
    <w:rsid w:val="00CE7769"/>
    <w:rsid w:val="00CF4822"/>
    <w:rsid w:val="00CF55F4"/>
    <w:rsid w:val="00CF72E4"/>
    <w:rsid w:val="00D06DFE"/>
    <w:rsid w:val="00D07677"/>
    <w:rsid w:val="00D10503"/>
    <w:rsid w:val="00D1165A"/>
    <w:rsid w:val="00D11AA5"/>
    <w:rsid w:val="00D11C36"/>
    <w:rsid w:val="00D13A6B"/>
    <w:rsid w:val="00D14FE7"/>
    <w:rsid w:val="00D15862"/>
    <w:rsid w:val="00D222F3"/>
    <w:rsid w:val="00D24093"/>
    <w:rsid w:val="00D26F6B"/>
    <w:rsid w:val="00D27525"/>
    <w:rsid w:val="00D3160C"/>
    <w:rsid w:val="00D32CA9"/>
    <w:rsid w:val="00D32DA7"/>
    <w:rsid w:val="00D33D6C"/>
    <w:rsid w:val="00D46BDB"/>
    <w:rsid w:val="00D50A1A"/>
    <w:rsid w:val="00D53994"/>
    <w:rsid w:val="00D541C3"/>
    <w:rsid w:val="00D54732"/>
    <w:rsid w:val="00D612FB"/>
    <w:rsid w:val="00D63FE5"/>
    <w:rsid w:val="00D7041F"/>
    <w:rsid w:val="00D708A0"/>
    <w:rsid w:val="00D72485"/>
    <w:rsid w:val="00D734FB"/>
    <w:rsid w:val="00D7597C"/>
    <w:rsid w:val="00D77223"/>
    <w:rsid w:val="00D85B2E"/>
    <w:rsid w:val="00D87FFD"/>
    <w:rsid w:val="00D97EB2"/>
    <w:rsid w:val="00DA00F2"/>
    <w:rsid w:val="00DA0A01"/>
    <w:rsid w:val="00DA1783"/>
    <w:rsid w:val="00DA47F7"/>
    <w:rsid w:val="00DB0F73"/>
    <w:rsid w:val="00DB2023"/>
    <w:rsid w:val="00DB2572"/>
    <w:rsid w:val="00DB27F2"/>
    <w:rsid w:val="00DB443F"/>
    <w:rsid w:val="00DB4812"/>
    <w:rsid w:val="00DB50CF"/>
    <w:rsid w:val="00DB5F56"/>
    <w:rsid w:val="00DC04A6"/>
    <w:rsid w:val="00DC194D"/>
    <w:rsid w:val="00DC3BD9"/>
    <w:rsid w:val="00DC42E1"/>
    <w:rsid w:val="00DC7E92"/>
    <w:rsid w:val="00DD088B"/>
    <w:rsid w:val="00DD688B"/>
    <w:rsid w:val="00DD7503"/>
    <w:rsid w:val="00DE0999"/>
    <w:rsid w:val="00DE1192"/>
    <w:rsid w:val="00DE11F9"/>
    <w:rsid w:val="00DE193B"/>
    <w:rsid w:val="00DE1D92"/>
    <w:rsid w:val="00DE2201"/>
    <w:rsid w:val="00DE7A44"/>
    <w:rsid w:val="00DE7B96"/>
    <w:rsid w:val="00DF1AE1"/>
    <w:rsid w:val="00DF3B0E"/>
    <w:rsid w:val="00DF47F8"/>
    <w:rsid w:val="00DF66F4"/>
    <w:rsid w:val="00E0286F"/>
    <w:rsid w:val="00E0417C"/>
    <w:rsid w:val="00E056D2"/>
    <w:rsid w:val="00E05795"/>
    <w:rsid w:val="00E06258"/>
    <w:rsid w:val="00E077FF"/>
    <w:rsid w:val="00E11A63"/>
    <w:rsid w:val="00E123A6"/>
    <w:rsid w:val="00E12F9B"/>
    <w:rsid w:val="00E16492"/>
    <w:rsid w:val="00E217B5"/>
    <w:rsid w:val="00E22E1E"/>
    <w:rsid w:val="00E2729D"/>
    <w:rsid w:val="00E27CD3"/>
    <w:rsid w:val="00E31FB3"/>
    <w:rsid w:val="00E324EA"/>
    <w:rsid w:val="00E34991"/>
    <w:rsid w:val="00E34994"/>
    <w:rsid w:val="00E364A8"/>
    <w:rsid w:val="00E3789D"/>
    <w:rsid w:val="00E41C4B"/>
    <w:rsid w:val="00E42388"/>
    <w:rsid w:val="00E4448B"/>
    <w:rsid w:val="00E46044"/>
    <w:rsid w:val="00E529EC"/>
    <w:rsid w:val="00E61328"/>
    <w:rsid w:val="00E63424"/>
    <w:rsid w:val="00E6351B"/>
    <w:rsid w:val="00E66435"/>
    <w:rsid w:val="00E678C4"/>
    <w:rsid w:val="00E7387F"/>
    <w:rsid w:val="00E76A26"/>
    <w:rsid w:val="00E77F44"/>
    <w:rsid w:val="00E8471F"/>
    <w:rsid w:val="00E85101"/>
    <w:rsid w:val="00E866DB"/>
    <w:rsid w:val="00E92575"/>
    <w:rsid w:val="00EA00D5"/>
    <w:rsid w:val="00EA0A99"/>
    <w:rsid w:val="00EA1BB5"/>
    <w:rsid w:val="00EA1F4A"/>
    <w:rsid w:val="00EA3593"/>
    <w:rsid w:val="00EA43F6"/>
    <w:rsid w:val="00EA4989"/>
    <w:rsid w:val="00EC0441"/>
    <w:rsid w:val="00EC1E11"/>
    <w:rsid w:val="00EC578A"/>
    <w:rsid w:val="00ED305C"/>
    <w:rsid w:val="00ED3293"/>
    <w:rsid w:val="00EE4B1B"/>
    <w:rsid w:val="00EE500A"/>
    <w:rsid w:val="00EF03F5"/>
    <w:rsid w:val="00EF3B7E"/>
    <w:rsid w:val="00EF500F"/>
    <w:rsid w:val="00F03A27"/>
    <w:rsid w:val="00F04461"/>
    <w:rsid w:val="00F06470"/>
    <w:rsid w:val="00F06E61"/>
    <w:rsid w:val="00F07D52"/>
    <w:rsid w:val="00F10C2E"/>
    <w:rsid w:val="00F10C48"/>
    <w:rsid w:val="00F11798"/>
    <w:rsid w:val="00F160CC"/>
    <w:rsid w:val="00F16E53"/>
    <w:rsid w:val="00F21577"/>
    <w:rsid w:val="00F2492F"/>
    <w:rsid w:val="00F24E6E"/>
    <w:rsid w:val="00F26D5A"/>
    <w:rsid w:val="00F31D62"/>
    <w:rsid w:val="00F31E3D"/>
    <w:rsid w:val="00F31E77"/>
    <w:rsid w:val="00F33457"/>
    <w:rsid w:val="00F3409D"/>
    <w:rsid w:val="00F370D8"/>
    <w:rsid w:val="00F41CE9"/>
    <w:rsid w:val="00F42DD0"/>
    <w:rsid w:val="00F43EC6"/>
    <w:rsid w:val="00F47880"/>
    <w:rsid w:val="00F47DEA"/>
    <w:rsid w:val="00F524D7"/>
    <w:rsid w:val="00F56089"/>
    <w:rsid w:val="00F57A7D"/>
    <w:rsid w:val="00F615AB"/>
    <w:rsid w:val="00F62582"/>
    <w:rsid w:val="00F67B86"/>
    <w:rsid w:val="00F80E95"/>
    <w:rsid w:val="00F81085"/>
    <w:rsid w:val="00F8173F"/>
    <w:rsid w:val="00F85B0A"/>
    <w:rsid w:val="00F85D06"/>
    <w:rsid w:val="00F87642"/>
    <w:rsid w:val="00F87C4A"/>
    <w:rsid w:val="00F92409"/>
    <w:rsid w:val="00F9362D"/>
    <w:rsid w:val="00F958C6"/>
    <w:rsid w:val="00F969BB"/>
    <w:rsid w:val="00F96AB0"/>
    <w:rsid w:val="00FA0D19"/>
    <w:rsid w:val="00FA18AE"/>
    <w:rsid w:val="00FA2BAE"/>
    <w:rsid w:val="00FA2EAC"/>
    <w:rsid w:val="00FA599F"/>
    <w:rsid w:val="00FA6677"/>
    <w:rsid w:val="00FA7DED"/>
    <w:rsid w:val="00FB1336"/>
    <w:rsid w:val="00FB2E91"/>
    <w:rsid w:val="00FB4CC0"/>
    <w:rsid w:val="00FB5EA1"/>
    <w:rsid w:val="00FB6DDB"/>
    <w:rsid w:val="00FC669C"/>
    <w:rsid w:val="00FC783F"/>
    <w:rsid w:val="00FD16B7"/>
    <w:rsid w:val="00FD214F"/>
    <w:rsid w:val="00FD569E"/>
    <w:rsid w:val="00FD6AE6"/>
    <w:rsid w:val="00FD6E4D"/>
    <w:rsid w:val="00FE226F"/>
    <w:rsid w:val="00FE32BA"/>
    <w:rsid w:val="00FE490D"/>
    <w:rsid w:val="00FE53DC"/>
    <w:rsid w:val="00FE7C99"/>
    <w:rsid w:val="00FF04E7"/>
    <w:rsid w:val="00FF1F22"/>
    <w:rsid w:val="00FF2693"/>
    <w:rsid w:val="00FF3421"/>
    <w:rsid w:val="00FF44E1"/>
    <w:rsid w:val="00FF6992"/>
    <w:rsid w:val="0EBF8006"/>
    <w:rsid w:val="1BB7B8B5"/>
    <w:rsid w:val="1D0DCADB"/>
    <w:rsid w:val="20D76EF5"/>
    <w:rsid w:val="21D4ACF2"/>
    <w:rsid w:val="3A32C30D"/>
    <w:rsid w:val="4781285C"/>
    <w:rsid w:val="49D7B11C"/>
    <w:rsid w:val="4CAE6EA8"/>
    <w:rsid w:val="606E5F32"/>
    <w:rsid w:val="649FFF35"/>
    <w:rsid w:val="64F2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6F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0F7"/>
  </w:style>
  <w:style w:type="paragraph" w:styleId="Heading1">
    <w:name w:val="heading 1"/>
    <w:basedOn w:val="Normal"/>
    <w:next w:val="BodyText"/>
    <w:link w:val="Heading1Char"/>
    <w:qFormat/>
    <w:rsid w:val="000D7232"/>
    <w:pPr>
      <w:keepNext/>
      <w:numPr>
        <w:numId w:val="5"/>
      </w:numPr>
      <w:spacing w:after="240" w:line="240" w:lineRule="auto"/>
      <w:outlineLvl w:val="0"/>
    </w:pPr>
    <w:rPr>
      <w:rFonts w:ascii="Times New Roman" w:eastAsiaTheme="majorEastAsia" w:hAnsi="Times New Roman" w:cs="Times New Roman"/>
      <w:b/>
      <w:caps/>
      <w:sz w:val="24"/>
      <w:szCs w:val="28"/>
    </w:rPr>
  </w:style>
  <w:style w:type="paragraph" w:styleId="Heading2">
    <w:name w:val="heading 2"/>
    <w:basedOn w:val="Normal"/>
    <w:next w:val="BodyText"/>
    <w:link w:val="Heading2Char"/>
    <w:unhideWhenUsed/>
    <w:qFormat/>
    <w:rsid w:val="000D7232"/>
    <w:pPr>
      <w:numPr>
        <w:ilvl w:val="1"/>
        <w:numId w:val="5"/>
      </w:numPr>
      <w:spacing w:after="0" w:line="480" w:lineRule="auto"/>
      <w:outlineLvl w:val="1"/>
    </w:pPr>
    <w:rPr>
      <w:rFonts w:ascii="Times New Roman" w:eastAsiaTheme="majorEastAsia" w:hAnsi="Times New Roman" w:cs="Times New Roman"/>
      <w:bCs/>
      <w:sz w:val="24"/>
      <w:szCs w:val="26"/>
    </w:rPr>
  </w:style>
  <w:style w:type="paragraph" w:styleId="Heading4">
    <w:name w:val="heading 4"/>
    <w:basedOn w:val="Normal"/>
    <w:next w:val="BodyText"/>
    <w:link w:val="Heading4Char"/>
    <w:unhideWhenUsed/>
    <w:qFormat/>
    <w:rsid w:val="000D7232"/>
    <w:pPr>
      <w:keepNext/>
      <w:numPr>
        <w:ilvl w:val="3"/>
        <w:numId w:val="5"/>
      </w:numPr>
      <w:spacing w:after="240" w:line="240" w:lineRule="auto"/>
      <w:outlineLvl w:val="3"/>
    </w:pPr>
    <w:rPr>
      <w:rFonts w:ascii="Times New Roman" w:eastAsiaTheme="majorEastAsia" w:hAnsi="Times New Roman" w:cs="Times New Roman"/>
      <w:b/>
      <w:bCs/>
      <w:i/>
      <w:iCs/>
      <w:sz w:val="24"/>
      <w:szCs w:val="24"/>
      <w:u w:val="single"/>
    </w:rPr>
  </w:style>
  <w:style w:type="paragraph" w:styleId="Heading6">
    <w:name w:val="heading 6"/>
    <w:basedOn w:val="Normal"/>
    <w:next w:val="BodyText"/>
    <w:link w:val="Heading6Char"/>
    <w:unhideWhenUsed/>
    <w:qFormat/>
    <w:rsid w:val="000D7232"/>
    <w:pPr>
      <w:numPr>
        <w:ilvl w:val="5"/>
        <w:numId w:val="5"/>
      </w:numPr>
      <w:spacing w:after="240" w:line="240" w:lineRule="auto"/>
      <w:outlineLvl w:val="5"/>
    </w:pPr>
    <w:rPr>
      <w:rFonts w:ascii="Times New Roman" w:eastAsiaTheme="majorEastAsia" w:hAnsi="Times New Roman" w:cs="Times New Roman"/>
      <w:iCs/>
      <w:sz w:val="24"/>
      <w:szCs w:val="24"/>
    </w:rPr>
  </w:style>
  <w:style w:type="paragraph" w:styleId="Heading7">
    <w:name w:val="heading 7"/>
    <w:basedOn w:val="Normal"/>
    <w:next w:val="BodyText"/>
    <w:link w:val="Heading7Char"/>
    <w:unhideWhenUsed/>
    <w:qFormat/>
    <w:rsid w:val="000D7232"/>
    <w:pPr>
      <w:numPr>
        <w:ilvl w:val="6"/>
        <w:numId w:val="5"/>
      </w:numPr>
      <w:spacing w:after="240" w:line="240" w:lineRule="auto"/>
      <w:outlineLvl w:val="6"/>
    </w:pPr>
    <w:rPr>
      <w:rFonts w:ascii="Times New Roman" w:eastAsiaTheme="majorEastAsia" w:hAnsi="Times New Roman" w:cs="Times New Roman"/>
      <w:iCs/>
      <w:sz w:val="24"/>
      <w:szCs w:val="24"/>
    </w:rPr>
  </w:style>
  <w:style w:type="paragraph" w:styleId="Heading8">
    <w:name w:val="heading 8"/>
    <w:basedOn w:val="Normal"/>
    <w:next w:val="BodyText"/>
    <w:link w:val="Heading8Char"/>
    <w:unhideWhenUsed/>
    <w:qFormat/>
    <w:rsid w:val="000D7232"/>
    <w:pPr>
      <w:numPr>
        <w:ilvl w:val="7"/>
        <w:numId w:val="5"/>
      </w:numPr>
      <w:spacing w:after="240" w:line="240" w:lineRule="auto"/>
      <w:outlineLvl w:val="7"/>
    </w:pPr>
    <w:rPr>
      <w:rFonts w:ascii="Times New Roman" w:eastAsiaTheme="majorEastAsia" w:hAnsi="Times New Roman" w:cs="Times New Roman"/>
      <w:sz w:val="24"/>
      <w:szCs w:val="20"/>
    </w:rPr>
  </w:style>
  <w:style w:type="paragraph" w:styleId="Heading9">
    <w:name w:val="heading 9"/>
    <w:basedOn w:val="Normal"/>
    <w:next w:val="BodyText"/>
    <w:link w:val="Heading9Char"/>
    <w:unhideWhenUsed/>
    <w:qFormat/>
    <w:rsid w:val="000D7232"/>
    <w:pPr>
      <w:numPr>
        <w:ilvl w:val="8"/>
        <w:numId w:val="5"/>
      </w:numPr>
      <w:spacing w:after="240" w:line="240" w:lineRule="auto"/>
      <w:outlineLvl w:val="8"/>
    </w:pPr>
    <w:rPr>
      <w:rFonts w:ascii="Times New Roman" w:eastAsiaTheme="majorEastAsia" w:hAnsi="Times New Roman" w:cs="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1F76"/>
    <w:pPr>
      <w:spacing w:after="0" w:line="240" w:lineRule="auto"/>
    </w:pPr>
    <w:rPr>
      <w:sz w:val="20"/>
      <w:szCs w:val="20"/>
    </w:rPr>
  </w:style>
  <w:style w:type="character" w:customStyle="1" w:styleId="FootnoteTextChar">
    <w:name w:val="Footnote Text Char"/>
    <w:basedOn w:val="DefaultParagraphFont"/>
    <w:link w:val="FootnoteText"/>
    <w:uiPriority w:val="99"/>
    <w:rsid w:val="003E1F76"/>
    <w:rPr>
      <w:sz w:val="20"/>
      <w:szCs w:val="20"/>
    </w:rPr>
  </w:style>
  <w:style w:type="character" w:styleId="FootnoteReference">
    <w:name w:val="footnote reference"/>
    <w:aliases w:val="o,(NECG) Footnote Reference,Style 12,Style 13,Style 15,Style 17,Style 18,Style 19,Style 20,Style 28,Style 42,Style 7,Style 8,Style 9,fr,fr1,fr2,fr3,o1,o2,o3"/>
    <w:basedOn w:val="DefaultParagraphFont"/>
    <w:uiPriority w:val="99"/>
    <w:unhideWhenUsed/>
    <w:rsid w:val="003E1F76"/>
    <w:rPr>
      <w:vertAlign w:val="superscript"/>
    </w:rPr>
  </w:style>
  <w:style w:type="paragraph" w:styleId="ListParagraph">
    <w:name w:val="List Paragraph"/>
    <w:basedOn w:val="Normal"/>
    <w:uiPriority w:val="34"/>
    <w:qFormat/>
    <w:rsid w:val="001D19B8"/>
    <w:pPr>
      <w:ind w:left="720"/>
      <w:contextualSpacing/>
    </w:pPr>
  </w:style>
  <w:style w:type="paragraph" w:styleId="BodyText">
    <w:name w:val="Body Text"/>
    <w:basedOn w:val="Normal"/>
    <w:link w:val="BodyTextChar"/>
    <w:uiPriority w:val="99"/>
    <w:unhideWhenUsed/>
    <w:rsid w:val="00755F2F"/>
    <w:pPr>
      <w:spacing w:after="120"/>
    </w:pPr>
  </w:style>
  <w:style w:type="character" w:customStyle="1" w:styleId="BodyTextChar">
    <w:name w:val="Body Text Char"/>
    <w:basedOn w:val="DefaultParagraphFont"/>
    <w:link w:val="BodyText"/>
    <w:uiPriority w:val="99"/>
    <w:rsid w:val="00755F2F"/>
  </w:style>
  <w:style w:type="character" w:customStyle="1" w:styleId="Heading1Char">
    <w:name w:val="Heading 1 Char"/>
    <w:basedOn w:val="DefaultParagraphFont"/>
    <w:link w:val="Heading1"/>
    <w:rsid w:val="000D7232"/>
    <w:rPr>
      <w:rFonts w:ascii="Times New Roman" w:eastAsiaTheme="majorEastAsia" w:hAnsi="Times New Roman" w:cs="Times New Roman"/>
      <w:b/>
      <w:caps/>
      <w:sz w:val="24"/>
      <w:szCs w:val="28"/>
    </w:rPr>
  </w:style>
  <w:style w:type="character" w:customStyle="1" w:styleId="Heading2Char">
    <w:name w:val="Heading 2 Char"/>
    <w:basedOn w:val="DefaultParagraphFont"/>
    <w:link w:val="Heading2"/>
    <w:rsid w:val="000D7232"/>
    <w:rPr>
      <w:rFonts w:ascii="Times New Roman" w:eastAsiaTheme="majorEastAsia" w:hAnsi="Times New Roman" w:cs="Times New Roman"/>
      <w:bCs/>
      <w:sz w:val="24"/>
      <w:szCs w:val="26"/>
    </w:rPr>
  </w:style>
  <w:style w:type="character" w:customStyle="1" w:styleId="Heading4Char">
    <w:name w:val="Heading 4 Char"/>
    <w:basedOn w:val="DefaultParagraphFont"/>
    <w:link w:val="Heading4"/>
    <w:rsid w:val="000D7232"/>
    <w:rPr>
      <w:rFonts w:ascii="Times New Roman" w:eastAsiaTheme="majorEastAsia" w:hAnsi="Times New Roman" w:cs="Times New Roman"/>
      <w:b/>
      <w:bCs/>
      <w:i/>
      <w:iCs/>
      <w:sz w:val="24"/>
      <w:szCs w:val="24"/>
      <w:u w:val="single"/>
    </w:rPr>
  </w:style>
  <w:style w:type="character" w:customStyle="1" w:styleId="Heading6Char">
    <w:name w:val="Heading 6 Char"/>
    <w:basedOn w:val="DefaultParagraphFont"/>
    <w:link w:val="Heading6"/>
    <w:rsid w:val="000D7232"/>
    <w:rPr>
      <w:rFonts w:ascii="Times New Roman" w:eastAsiaTheme="majorEastAsia" w:hAnsi="Times New Roman" w:cs="Times New Roman"/>
      <w:iCs/>
      <w:sz w:val="24"/>
      <w:szCs w:val="24"/>
    </w:rPr>
  </w:style>
  <w:style w:type="character" w:customStyle="1" w:styleId="Heading7Char">
    <w:name w:val="Heading 7 Char"/>
    <w:basedOn w:val="DefaultParagraphFont"/>
    <w:link w:val="Heading7"/>
    <w:rsid w:val="000D7232"/>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rsid w:val="000D7232"/>
    <w:rPr>
      <w:rFonts w:ascii="Times New Roman" w:eastAsiaTheme="majorEastAsia" w:hAnsi="Times New Roman" w:cs="Times New Roman"/>
      <w:sz w:val="24"/>
      <w:szCs w:val="20"/>
    </w:rPr>
  </w:style>
  <w:style w:type="character" w:customStyle="1" w:styleId="Heading9Char">
    <w:name w:val="Heading 9 Char"/>
    <w:basedOn w:val="DefaultParagraphFont"/>
    <w:link w:val="Heading9"/>
    <w:rsid w:val="000D7232"/>
    <w:rPr>
      <w:rFonts w:ascii="Times New Roman" w:eastAsiaTheme="majorEastAsia" w:hAnsi="Times New Roman" w:cs="Times New Roman"/>
      <w:iCs/>
      <w:sz w:val="24"/>
      <w:szCs w:val="20"/>
    </w:rPr>
  </w:style>
  <w:style w:type="paragraph" w:styleId="BalloonText">
    <w:name w:val="Balloon Text"/>
    <w:basedOn w:val="Normal"/>
    <w:link w:val="BalloonTextChar"/>
    <w:uiPriority w:val="99"/>
    <w:semiHidden/>
    <w:unhideWhenUsed/>
    <w:rsid w:val="00C75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AF"/>
    <w:rPr>
      <w:rFonts w:ascii="Segoe UI" w:hAnsi="Segoe UI" w:cs="Segoe UI"/>
      <w:sz w:val="18"/>
      <w:szCs w:val="18"/>
    </w:rPr>
  </w:style>
  <w:style w:type="paragraph" w:styleId="Header">
    <w:name w:val="header"/>
    <w:basedOn w:val="Normal"/>
    <w:link w:val="HeaderChar"/>
    <w:uiPriority w:val="99"/>
    <w:unhideWhenUsed/>
    <w:rsid w:val="00BA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C30"/>
  </w:style>
  <w:style w:type="paragraph" w:styleId="Footer">
    <w:name w:val="footer"/>
    <w:basedOn w:val="Normal"/>
    <w:link w:val="FooterChar"/>
    <w:uiPriority w:val="99"/>
    <w:unhideWhenUsed/>
    <w:rsid w:val="00BA2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C30"/>
  </w:style>
  <w:style w:type="paragraph" w:customStyle="1" w:styleId="Level1">
    <w:name w:val="Level 1"/>
    <w:basedOn w:val="TOC1"/>
    <w:link w:val="Level1Char"/>
    <w:qFormat/>
    <w:rsid w:val="00262C8D"/>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262C8D"/>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262C8D"/>
    <w:pPr>
      <w:spacing w:after="100"/>
    </w:pPr>
  </w:style>
  <w:style w:type="character" w:styleId="Hyperlink">
    <w:name w:val="Hyperlink"/>
    <w:basedOn w:val="DefaultParagraphFont"/>
    <w:uiPriority w:val="99"/>
    <w:rsid w:val="003A5642"/>
    <w:rPr>
      <w:color w:val="0000FF"/>
      <w:u w:val="single"/>
    </w:rPr>
  </w:style>
  <w:style w:type="character" w:styleId="UnresolvedMention">
    <w:name w:val="Unresolved Mention"/>
    <w:basedOn w:val="DefaultParagraphFont"/>
    <w:uiPriority w:val="99"/>
    <w:semiHidden/>
    <w:unhideWhenUsed/>
    <w:rsid w:val="00317FCB"/>
    <w:rPr>
      <w:color w:val="808080"/>
      <w:shd w:val="clear" w:color="auto" w:fill="E6E6E6"/>
    </w:rPr>
  </w:style>
  <w:style w:type="table" w:styleId="TableGrid">
    <w:name w:val="Table Grid"/>
    <w:basedOn w:val="TableNormal"/>
    <w:uiPriority w:val="59"/>
    <w:rsid w:val="00C167C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346">
      <w:bodyDiv w:val="1"/>
      <w:marLeft w:val="0"/>
      <w:marRight w:val="0"/>
      <w:marTop w:val="0"/>
      <w:marBottom w:val="0"/>
      <w:divBdr>
        <w:top w:val="none" w:sz="0" w:space="0" w:color="auto"/>
        <w:left w:val="none" w:sz="0" w:space="0" w:color="auto"/>
        <w:bottom w:val="none" w:sz="0" w:space="0" w:color="auto"/>
        <w:right w:val="none" w:sz="0" w:space="0" w:color="auto"/>
      </w:divBdr>
    </w:div>
    <w:div w:id="240796678">
      <w:bodyDiv w:val="1"/>
      <w:marLeft w:val="0"/>
      <w:marRight w:val="0"/>
      <w:marTop w:val="0"/>
      <w:marBottom w:val="0"/>
      <w:divBdr>
        <w:top w:val="none" w:sz="0" w:space="0" w:color="auto"/>
        <w:left w:val="none" w:sz="0" w:space="0" w:color="auto"/>
        <w:bottom w:val="none" w:sz="0" w:space="0" w:color="auto"/>
        <w:right w:val="none" w:sz="0" w:space="0" w:color="auto"/>
      </w:divBdr>
    </w:div>
    <w:div w:id="252593149">
      <w:bodyDiv w:val="1"/>
      <w:marLeft w:val="0"/>
      <w:marRight w:val="0"/>
      <w:marTop w:val="0"/>
      <w:marBottom w:val="0"/>
      <w:divBdr>
        <w:top w:val="none" w:sz="0" w:space="0" w:color="auto"/>
        <w:left w:val="none" w:sz="0" w:space="0" w:color="auto"/>
        <w:bottom w:val="none" w:sz="0" w:space="0" w:color="auto"/>
        <w:right w:val="none" w:sz="0" w:space="0" w:color="auto"/>
      </w:divBdr>
    </w:div>
    <w:div w:id="595329729">
      <w:bodyDiv w:val="1"/>
      <w:marLeft w:val="0"/>
      <w:marRight w:val="0"/>
      <w:marTop w:val="0"/>
      <w:marBottom w:val="0"/>
      <w:divBdr>
        <w:top w:val="none" w:sz="0" w:space="0" w:color="auto"/>
        <w:left w:val="none" w:sz="0" w:space="0" w:color="auto"/>
        <w:bottom w:val="none" w:sz="0" w:space="0" w:color="auto"/>
        <w:right w:val="none" w:sz="0" w:space="0" w:color="auto"/>
      </w:divBdr>
    </w:div>
    <w:div w:id="765343312">
      <w:bodyDiv w:val="1"/>
      <w:marLeft w:val="0"/>
      <w:marRight w:val="0"/>
      <w:marTop w:val="0"/>
      <w:marBottom w:val="0"/>
      <w:divBdr>
        <w:top w:val="none" w:sz="0" w:space="0" w:color="auto"/>
        <w:left w:val="none" w:sz="0" w:space="0" w:color="auto"/>
        <w:bottom w:val="none" w:sz="0" w:space="0" w:color="auto"/>
        <w:right w:val="none" w:sz="0" w:space="0" w:color="auto"/>
      </w:divBdr>
    </w:div>
    <w:div w:id="774861451">
      <w:bodyDiv w:val="1"/>
      <w:marLeft w:val="0"/>
      <w:marRight w:val="0"/>
      <w:marTop w:val="0"/>
      <w:marBottom w:val="0"/>
      <w:divBdr>
        <w:top w:val="none" w:sz="0" w:space="0" w:color="auto"/>
        <w:left w:val="none" w:sz="0" w:space="0" w:color="auto"/>
        <w:bottom w:val="none" w:sz="0" w:space="0" w:color="auto"/>
        <w:right w:val="none" w:sz="0" w:space="0" w:color="auto"/>
      </w:divBdr>
    </w:div>
    <w:div w:id="796487661">
      <w:bodyDiv w:val="1"/>
      <w:marLeft w:val="0"/>
      <w:marRight w:val="0"/>
      <w:marTop w:val="0"/>
      <w:marBottom w:val="0"/>
      <w:divBdr>
        <w:top w:val="none" w:sz="0" w:space="0" w:color="auto"/>
        <w:left w:val="none" w:sz="0" w:space="0" w:color="auto"/>
        <w:bottom w:val="none" w:sz="0" w:space="0" w:color="auto"/>
        <w:right w:val="none" w:sz="0" w:space="0" w:color="auto"/>
      </w:divBdr>
    </w:div>
    <w:div w:id="904022981">
      <w:bodyDiv w:val="1"/>
      <w:marLeft w:val="0"/>
      <w:marRight w:val="0"/>
      <w:marTop w:val="0"/>
      <w:marBottom w:val="0"/>
      <w:divBdr>
        <w:top w:val="none" w:sz="0" w:space="0" w:color="auto"/>
        <w:left w:val="none" w:sz="0" w:space="0" w:color="auto"/>
        <w:bottom w:val="none" w:sz="0" w:space="0" w:color="auto"/>
        <w:right w:val="none" w:sz="0" w:space="0" w:color="auto"/>
      </w:divBdr>
    </w:div>
    <w:div w:id="911693768">
      <w:bodyDiv w:val="1"/>
      <w:marLeft w:val="0"/>
      <w:marRight w:val="0"/>
      <w:marTop w:val="0"/>
      <w:marBottom w:val="0"/>
      <w:divBdr>
        <w:top w:val="none" w:sz="0" w:space="0" w:color="auto"/>
        <w:left w:val="none" w:sz="0" w:space="0" w:color="auto"/>
        <w:bottom w:val="none" w:sz="0" w:space="0" w:color="auto"/>
        <w:right w:val="none" w:sz="0" w:space="0" w:color="auto"/>
      </w:divBdr>
    </w:div>
    <w:div w:id="1004938883">
      <w:bodyDiv w:val="1"/>
      <w:marLeft w:val="0"/>
      <w:marRight w:val="0"/>
      <w:marTop w:val="0"/>
      <w:marBottom w:val="0"/>
      <w:divBdr>
        <w:top w:val="none" w:sz="0" w:space="0" w:color="auto"/>
        <w:left w:val="none" w:sz="0" w:space="0" w:color="auto"/>
        <w:bottom w:val="none" w:sz="0" w:space="0" w:color="auto"/>
        <w:right w:val="none" w:sz="0" w:space="0" w:color="auto"/>
      </w:divBdr>
    </w:div>
    <w:div w:id="1053851594">
      <w:bodyDiv w:val="1"/>
      <w:marLeft w:val="0"/>
      <w:marRight w:val="0"/>
      <w:marTop w:val="0"/>
      <w:marBottom w:val="0"/>
      <w:divBdr>
        <w:top w:val="none" w:sz="0" w:space="0" w:color="auto"/>
        <w:left w:val="none" w:sz="0" w:space="0" w:color="auto"/>
        <w:bottom w:val="none" w:sz="0" w:space="0" w:color="auto"/>
        <w:right w:val="none" w:sz="0" w:space="0" w:color="auto"/>
      </w:divBdr>
    </w:div>
    <w:div w:id="1189491772">
      <w:bodyDiv w:val="1"/>
      <w:marLeft w:val="0"/>
      <w:marRight w:val="0"/>
      <w:marTop w:val="0"/>
      <w:marBottom w:val="0"/>
      <w:divBdr>
        <w:top w:val="none" w:sz="0" w:space="0" w:color="auto"/>
        <w:left w:val="none" w:sz="0" w:space="0" w:color="auto"/>
        <w:bottom w:val="none" w:sz="0" w:space="0" w:color="auto"/>
        <w:right w:val="none" w:sz="0" w:space="0" w:color="auto"/>
      </w:divBdr>
    </w:div>
    <w:div w:id="1329599060">
      <w:bodyDiv w:val="1"/>
      <w:marLeft w:val="0"/>
      <w:marRight w:val="0"/>
      <w:marTop w:val="0"/>
      <w:marBottom w:val="0"/>
      <w:divBdr>
        <w:top w:val="none" w:sz="0" w:space="0" w:color="auto"/>
        <w:left w:val="none" w:sz="0" w:space="0" w:color="auto"/>
        <w:bottom w:val="none" w:sz="0" w:space="0" w:color="auto"/>
        <w:right w:val="none" w:sz="0" w:space="0" w:color="auto"/>
      </w:divBdr>
    </w:div>
    <w:div w:id="1799296313">
      <w:bodyDiv w:val="1"/>
      <w:marLeft w:val="0"/>
      <w:marRight w:val="0"/>
      <w:marTop w:val="0"/>
      <w:marBottom w:val="0"/>
      <w:divBdr>
        <w:top w:val="none" w:sz="0" w:space="0" w:color="auto"/>
        <w:left w:val="none" w:sz="0" w:space="0" w:color="auto"/>
        <w:bottom w:val="none" w:sz="0" w:space="0" w:color="auto"/>
        <w:right w:val="none" w:sz="0" w:space="0" w:color="auto"/>
      </w:divBdr>
    </w:div>
    <w:div w:id="19491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opher.Healey@occ.ohio.gov" TargetMode="External"/><Relationship Id="rId18" Type="http://schemas.openxmlformats.org/officeDocument/2006/relationships/hyperlink" Target="mailto:Terry.Etter@occ.ohio.gov" TargetMode="External"/><Relationship Id="rId26" Type="http://schemas.openxmlformats.org/officeDocument/2006/relationships/hyperlink" Target="mailto:tdougherty@theoec.org"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JLang@Calfee.com" TargetMode="External"/><Relationship Id="rId34" Type="http://schemas.openxmlformats.org/officeDocument/2006/relationships/hyperlink" Target="mailto:SLesser@Calfee.com" TargetMode="External"/><Relationship Id="rId7" Type="http://schemas.openxmlformats.org/officeDocument/2006/relationships/settings" Target="settings.xml"/><Relationship Id="rId12" Type="http://schemas.openxmlformats.org/officeDocument/2006/relationships/hyperlink" Target="mailto:paul@carpenterlipps.com" TargetMode="External"/><Relationship Id="rId17" Type="http://schemas.openxmlformats.org/officeDocument/2006/relationships/hyperlink" Target="mailto:mjsettineri@vorys.com" TargetMode="External"/><Relationship Id="rId25" Type="http://schemas.openxmlformats.org/officeDocument/2006/relationships/hyperlink" Target="mailto:glover@whitt-sturtevant.com" TargetMode="External"/><Relationship Id="rId33" Type="http://schemas.openxmlformats.org/officeDocument/2006/relationships/hyperlink" Target="mailto:CHarris@spilmanlaw.com" TargetMode="External"/><Relationship Id="rId38" Type="http://schemas.openxmlformats.org/officeDocument/2006/relationships/hyperlink" Target="mailto:William.wright@ohioattorneygeneral.gov" TargetMode="External"/><Relationship Id="rId2" Type="http://schemas.openxmlformats.org/officeDocument/2006/relationships/customXml" Target="../customXml/item2.xml"/><Relationship Id="rId16" Type="http://schemas.openxmlformats.org/officeDocument/2006/relationships/hyperlink" Target="mailto:swilliams@nrdc.org" TargetMode="External"/><Relationship Id="rId20" Type="http://schemas.openxmlformats.org/officeDocument/2006/relationships/hyperlink" Target="mailto:lbrandfass@spilmanlaw.com" TargetMode="External"/><Relationship Id="rId29" Type="http://schemas.openxmlformats.org/officeDocument/2006/relationships/hyperlink" Target="mailto:dboehm@bkllawfirm.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leisher@elpc.org" TargetMode="External"/><Relationship Id="rId24" Type="http://schemas.openxmlformats.org/officeDocument/2006/relationships/hyperlink" Target="mailto:campbell@whitt-sturtevant.com" TargetMode="External"/><Relationship Id="rId32" Type="http://schemas.openxmlformats.org/officeDocument/2006/relationships/hyperlink" Target="mailto:Kevin.Moore@occ.ohio.gov" TargetMode="External"/><Relationship Id="rId37" Type="http://schemas.openxmlformats.org/officeDocument/2006/relationships/hyperlink" Target="mailto:EAkhbari@bricker.co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newman@environlaw.com" TargetMode="External"/><Relationship Id="rId23" Type="http://schemas.openxmlformats.org/officeDocument/2006/relationships/hyperlink" Target="mailto:tony.mendoza@sierraclub.org" TargetMode="External"/><Relationship Id="rId28" Type="http://schemas.openxmlformats.org/officeDocument/2006/relationships/hyperlink" Target="mailto:dparram@bricker.com" TargetMode="External"/><Relationship Id="rId36" Type="http://schemas.openxmlformats.org/officeDocument/2006/relationships/hyperlink" Target="mailto:mkeaney@calfee.com" TargetMode="External"/><Relationship Id="rId10" Type="http://schemas.openxmlformats.org/officeDocument/2006/relationships/endnotes" Target="endnotes.xml"/><Relationship Id="rId19" Type="http://schemas.openxmlformats.org/officeDocument/2006/relationships/hyperlink" Target="mailto:DWilliamson@spilmanlaw.com" TargetMode="External"/><Relationship Id="rId31" Type="http://schemas.openxmlformats.org/officeDocument/2006/relationships/hyperlink" Target="mailto:glpetrucci@vory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ltman@environlaw.com" TargetMode="External"/><Relationship Id="rId22" Type="http://schemas.openxmlformats.org/officeDocument/2006/relationships/hyperlink" Target="mailto:rsahli@columbus.rr.com" TargetMode="External"/><Relationship Id="rId27" Type="http://schemas.openxmlformats.org/officeDocument/2006/relationships/hyperlink" Target="mailto:dborchers@bricker.com" TargetMode="External"/><Relationship Id="rId30" Type="http://schemas.openxmlformats.org/officeDocument/2006/relationships/hyperlink" Target="mailto:mleppla@theoec.org" TargetMode="External"/><Relationship Id="rId35" Type="http://schemas.openxmlformats.org/officeDocument/2006/relationships/hyperlink" Target="mailto:TAlexander@Calfe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effect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4" ma:contentTypeDescription="Create a new document." ma:contentTypeScope="" ma:versionID="d918d5c27cec337b8aa5c8d3e9b6675c">
  <xsd:schema xmlns:xsd="http://www.w3.org/2001/XMLSchema" xmlns:xs="http://www.w3.org/2001/XMLSchema" xmlns:p="http://schemas.microsoft.com/office/2006/metadata/properties" xmlns:ns2="7b65a839-91ea-4ae8-a3e7-aa2e1fd1ecb0" targetNamespace="http://schemas.microsoft.com/office/2006/metadata/properties" ma:root="true" ma:fieldsID="6e25d13ed8ab8316a9153911676548a6" ns2:_="">
    <xsd:import namespace="7b65a839-91ea-4ae8-a3e7-aa2e1fd1ecb0"/>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79D2E-CBC1-424C-98F1-52B12E72E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D9347-E117-44A4-B2B9-9C176F5326AA}">
  <ds:schemaRefs>
    <ds:schemaRef ds:uri="http://purl.org/dc/terms/"/>
    <ds:schemaRef ds:uri="7b65a839-91ea-4ae8-a3e7-aa2e1fd1ecb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F85A265-E3CF-4598-820C-68847261931B}">
  <ds:schemaRefs>
    <ds:schemaRef ds:uri="http://schemas.microsoft.com/sharepoint/v3/contenttype/forms"/>
  </ds:schemaRefs>
</ds:datastoreItem>
</file>

<file path=customXml/itemProps4.xml><?xml version="1.0" encoding="utf-8"?>
<ds:datastoreItem xmlns:ds="http://schemas.openxmlformats.org/officeDocument/2006/customXml" ds:itemID="{E375255B-676F-45ED-916D-0E5C887B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9751</Words>
  <Characters>55587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2019-01-18T21:45:00Z</dcterms:created>
  <dcterms:modified xsi:type="dcterms:W3CDTF">2019-01-18T21:45:00Z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