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A3D4E" w14:textId="77777777" w:rsidR="00E5670F" w:rsidRDefault="00E5670F" w:rsidP="00E5670F">
      <w:pPr>
        <w:tabs>
          <w:tab w:val="right" w:pos="9270"/>
        </w:tabs>
        <w:rPr>
          <w:rFonts w:asciiTheme="majorBidi" w:hAnsiTheme="majorBidi" w:cstheme="majorBidi"/>
          <w:b/>
          <w:bCs/>
          <w:i/>
          <w:iCs/>
        </w:rPr>
      </w:pPr>
      <w:bookmarkStart w:id="0" w:name="_GoBack"/>
      <w:bookmarkEnd w:id="0"/>
      <w:r w:rsidRPr="008D56A9">
        <w:rPr>
          <w:rFonts w:asciiTheme="majorBidi" w:hAnsiTheme="majorBidi" w:cstheme="majorBidi"/>
          <w:b/>
          <w:bCs/>
        </w:rPr>
        <w:tab/>
      </w:r>
      <w:r w:rsidRPr="008D56A9">
        <w:rPr>
          <w:rFonts w:asciiTheme="majorBidi" w:hAnsiTheme="majorBidi" w:cstheme="majorBidi"/>
          <w:b/>
          <w:bCs/>
          <w:i/>
          <w:iCs/>
        </w:rPr>
        <w:t>OCC EXHIBIT NO. ______</w:t>
      </w:r>
    </w:p>
    <w:p w14:paraId="049EC9F0" w14:textId="77777777" w:rsidR="008B12E3" w:rsidRDefault="008B12E3" w:rsidP="00E5670F">
      <w:pPr>
        <w:tabs>
          <w:tab w:val="right" w:pos="9270"/>
        </w:tabs>
        <w:rPr>
          <w:rFonts w:asciiTheme="majorBidi" w:hAnsiTheme="majorBidi" w:cstheme="majorBidi"/>
          <w:b/>
          <w:bCs/>
          <w:i/>
          <w:iCs/>
        </w:rPr>
      </w:pPr>
    </w:p>
    <w:p w14:paraId="5AB5B7C1" w14:textId="77777777" w:rsidR="008B12E3" w:rsidRPr="008D56A9" w:rsidRDefault="008B12E3" w:rsidP="00E5670F">
      <w:pPr>
        <w:tabs>
          <w:tab w:val="right" w:pos="9270"/>
        </w:tabs>
        <w:rPr>
          <w:rFonts w:asciiTheme="majorBidi" w:hAnsiTheme="majorBidi" w:cstheme="majorBidi"/>
          <w:b/>
          <w:bCs/>
          <w:i/>
          <w:iCs/>
        </w:rPr>
      </w:pPr>
    </w:p>
    <w:p w14:paraId="08575077" w14:textId="77777777" w:rsidR="00E5670F" w:rsidRPr="008D56A9" w:rsidRDefault="00E5670F" w:rsidP="00E5670F">
      <w:pPr>
        <w:pStyle w:val="HTMLPreformatted"/>
        <w:jc w:val="center"/>
        <w:rPr>
          <w:rFonts w:asciiTheme="majorBidi" w:hAnsiTheme="majorBidi" w:cstheme="majorBidi"/>
          <w:b/>
          <w:bCs/>
          <w:sz w:val="24"/>
          <w:szCs w:val="24"/>
        </w:rPr>
      </w:pPr>
      <w:r w:rsidRPr="008D56A9">
        <w:rPr>
          <w:rFonts w:asciiTheme="majorBidi" w:hAnsiTheme="majorBidi" w:cstheme="majorBidi"/>
          <w:b/>
          <w:bCs/>
          <w:sz w:val="24"/>
          <w:szCs w:val="24"/>
        </w:rPr>
        <w:t>BEFORE</w:t>
      </w:r>
    </w:p>
    <w:p w14:paraId="18B6A78B" w14:textId="1508ACEB" w:rsidR="00E5670F" w:rsidRDefault="00E5670F" w:rsidP="00E5670F">
      <w:pPr>
        <w:pStyle w:val="HTMLPreformatted"/>
        <w:jc w:val="center"/>
        <w:rPr>
          <w:rFonts w:asciiTheme="majorBidi" w:hAnsiTheme="majorBidi" w:cstheme="majorBidi"/>
          <w:b/>
          <w:bCs/>
          <w:sz w:val="24"/>
          <w:szCs w:val="24"/>
        </w:rPr>
      </w:pPr>
      <w:r w:rsidRPr="008D56A9">
        <w:rPr>
          <w:rFonts w:asciiTheme="majorBidi" w:hAnsiTheme="majorBidi" w:cstheme="majorBidi"/>
          <w:b/>
          <w:bCs/>
          <w:sz w:val="24"/>
          <w:szCs w:val="24"/>
        </w:rPr>
        <w:t>THE PUBLIC UTILITIES COMMISSION OF OHIO</w:t>
      </w:r>
    </w:p>
    <w:p w14:paraId="08DE5D8F" w14:textId="77777777" w:rsidR="00E2736A" w:rsidRPr="008D56A9" w:rsidRDefault="00E2736A" w:rsidP="00E5670F">
      <w:pPr>
        <w:pStyle w:val="HTMLPreformatted"/>
        <w:jc w:val="center"/>
        <w:rPr>
          <w:rFonts w:asciiTheme="majorBidi" w:hAnsiTheme="majorBidi" w:cstheme="majorBidi"/>
          <w:b/>
          <w:bCs/>
          <w:sz w:val="24"/>
          <w:szCs w:val="24"/>
        </w:rPr>
      </w:pPr>
    </w:p>
    <w:p w14:paraId="32464FD2" w14:textId="77777777" w:rsidR="00E5670F" w:rsidRPr="008D56A9" w:rsidRDefault="00E5670F" w:rsidP="00E5670F">
      <w:pPr>
        <w:pStyle w:val="HTMLPreformatted"/>
        <w:jc w:val="center"/>
        <w:rPr>
          <w:rFonts w:asciiTheme="majorBidi" w:hAnsiTheme="majorBidi" w:cstheme="majorBidi"/>
          <w:b/>
          <w:bCs/>
          <w:sz w:val="24"/>
          <w:szCs w:val="24"/>
        </w:rPr>
      </w:pPr>
    </w:p>
    <w:tbl>
      <w:tblPr>
        <w:tblW w:w="9654" w:type="dxa"/>
        <w:tblLook w:val="01E0" w:firstRow="1" w:lastRow="1" w:firstColumn="1" w:lastColumn="1" w:noHBand="0" w:noVBand="0"/>
      </w:tblPr>
      <w:tblGrid>
        <w:gridCol w:w="5148"/>
        <w:gridCol w:w="360"/>
        <w:gridCol w:w="4146"/>
      </w:tblGrid>
      <w:tr w:rsidR="008D4EE3" w14:paraId="54E16954" w14:textId="77777777" w:rsidTr="00E5670F">
        <w:trPr>
          <w:trHeight w:val="807"/>
        </w:trPr>
        <w:tc>
          <w:tcPr>
            <w:tcW w:w="5148" w:type="dxa"/>
            <w:shd w:val="clear" w:color="auto" w:fill="auto"/>
          </w:tcPr>
          <w:p w14:paraId="4E70FA56" w14:textId="77777777" w:rsidR="00E5670F" w:rsidRPr="008D56A9" w:rsidRDefault="00E5670F" w:rsidP="00E5670F">
            <w:pPr>
              <w:pStyle w:val="HTMLPreformatted"/>
              <w:rPr>
                <w:rFonts w:asciiTheme="majorBidi" w:hAnsiTheme="majorBidi" w:cstheme="majorBidi"/>
                <w:sz w:val="24"/>
                <w:szCs w:val="24"/>
              </w:rPr>
            </w:pPr>
            <w:r w:rsidRPr="008D56A9">
              <w:rPr>
                <w:rFonts w:asciiTheme="majorBidi" w:hAnsiTheme="majorBidi" w:cstheme="majorBidi"/>
                <w:sz w:val="24"/>
                <w:szCs w:val="24"/>
              </w:rPr>
              <w:t>In the Matter of the Application of Vectren Energy Delivery of Ohio, Inc., for Approval of an Alternative Rate Plan.</w:t>
            </w:r>
          </w:p>
        </w:tc>
        <w:tc>
          <w:tcPr>
            <w:tcW w:w="360" w:type="dxa"/>
            <w:shd w:val="clear" w:color="auto" w:fill="auto"/>
          </w:tcPr>
          <w:p w14:paraId="5F40A748" w14:textId="77777777" w:rsidR="00E5670F" w:rsidRPr="008D56A9" w:rsidRDefault="00E5670F" w:rsidP="00E5670F">
            <w:pPr>
              <w:pStyle w:val="HTMLPreformatted"/>
              <w:rPr>
                <w:rFonts w:asciiTheme="majorBidi" w:hAnsiTheme="majorBidi" w:cstheme="majorBidi"/>
                <w:sz w:val="24"/>
              </w:rPr>
            </w:pPr>
            <w:r w:rsidRPr="008D56A9">
              <w:rPr>
                <w:rFonts w:asciiTheme="majorBidi" w:hAnsiTheme="majorBidi" w:cstheme="majorBidi"/>
                <w:sz w:val="24"/>
              </w:rPr>
              <w:t>)</w:t>
            </w:r>
          </w:p>
          <w:p w14:paraId="4E5E6087" w14:textId="77777777" w:rsidR="00E5670F" w:rsidRPr="008D56A9" w:rsidRDefault="00E5670F" w:rsidP="00E5670F">
            <w:pPr>
              <w:pStyle w:val="HTMLPreformatted"/>
              <w:rPr>
                <w:rFonts w:asciiTheme="majorBidi" w:hAnsiTheme="majorBidi" w:cstheme="majorBidi"/>
                <w:sz w:val="24"/>
              </w:rPr>
            </w:pPr>
            <w:r w:rsidRPr="008D56A9">
              <w:rPr>
                <w:rFonts w:asciiTheme="majorBidi" w:hAnsiTheme="majorBidi" w:cstheme="majorBidi"/>
                <w:sz w:val="24"/>
              </w:rPr>
              <w:t>)</w:t>
            </w:r>
          </w:p>
          <w:p w14:paraId="15AA000D" w14:textId="77777777" w:rsidR="00E5670F" w:rsidRPr="008D56A9" w:rsidRDefault="00E5670F" w:rsidP="00E5670F">
            <w:pPr>
              <w:pStyle w:val="HTMLPreformatted"/>
              <w:rPr>
                <w:rFonts w:asciiTheme="majorBidi" w:hAnsiTheme="majorBidi" w:cstheme="majorBidi"/>
                <w:sz w:val="24"/>
              </w:rPr>
            </w:pPr>
            <w:r w:rsidRPr="008D56A9">
              <w:rPr>
                <w:rFonts w:asciiTheme="majorBidi" w:hAnsiTheme="majorBidi" w:cstheme="majorBidi"/>
                <w:sz w:val="24"/>
              </w:rPr>
              <w:t>)</w:t>
            </w:r>
          </w:p>
          <w:p w14:paraId="35D0A081" w14:textId="77777777" w:rsidR="00E5670F" w:rsidRPr="008D56A9" w:rsidRDefault="00E5670F" w:rsidP="00E5670F">
            <w:pPr>
              <w:pStyle w:val="HTMLPreformatted"/>
              <w:rPr>
                <w:rFonts w:asciiTheme="majorBidi" w:hAnsiTheme="majorBidi" w:cstheme="majorBidi"/>
                <w:sz w:val="24"/>
              </w:rPr>
            </w:pPr>
          </w:p>
        </w:tc>
        <w:tc>
          <w:tcPr>
            <w:tcW w:w="4146" w:type="dxa"/>
            <w:shd w:val="clear" w:color="auto" w:fill="auto"/>
          </w:tcPr>
          <w:p w14:paraId="1FAA4E08" w14:textId="77777777" w:rsidR="00E5670F" w:rsidRPr="008D56A9" w:rsidRDefault="00E5670F" w:rsidP="00E5670F">
            <w:pPr>
              <w:pStyle w:val="HTMLPreformatted"/>
              <w:rPr>
                <w:rFonts w:asciiTheme="majorBidi" w:hAnsiTheme="majorBidi" w:cstheme="majorBidi"/>
                <w:sz w:val="24"/>
              </w:rPr>
            </w:pPr>
          </w:p>
          <w:p w14:paraId="63804239" w14:textId="77777777" w:rsidR="00E5670F" w:rsidRPr="008D56A9" w:rsidRDefault="00E5670F" w:rsidP="00E5670F">
            <w:pPr>
              <w:pStyle w:val="HTMLPreformatted"/>
              <w:rPr>
                <w:rFonts w:asciiTheme="majorBidi" w:hAnsiTheme="majorBidi" w:cstheme="majorBidi"/>
                <w:sz w:val="24"/>
              </w:rPr>
            </w:pPr>
            <w:r w:rsidRPr="008D56A9">
              <w:rPr>
                <w:rFonts w:asciiTheme="majorBidi" w:hAnsiTheme="majorBidi" w:cstheme="majorBidi"/>
                <w:sz w:val="24"/>
              </w:rPr>
              <w:t>Case No. 18-0049-GA-ALT</w:t>
            </w:r>
          </w:p>
          <w:p w14:paraId="4A798330" w14:textId="77777777" w:rsidR="00E5670F" w:rsidRPr="008D56A9" w:rsidRDefault="00E5670F" w:rsidP="00E5670F">
            <w:pPr>
              <w:pStyle w:val="HTMLPreformatted"/>
              <w:rPr>
                <w:rFonts w:asciiTheme="majorBidi" w:hAnsiTheme="majorBidi" w:cstheme="majorBidi"/>
                <w:sz w:val="24"/>
              </w:rPr>
            </w:pPr>
          </w:p>
          <w:p w14:paraId="32AA934B" w14:textId="77777777" w:rsidR="00E5670F" w:rsidRPr="008D56A9" w:rsidRDefault="00E5670F" w:rsidP="00E5670F">
            <w:pPr>
              <w:pStyle w:val="HTMLPreformatted"/>
              <w:rPr>
                <w:rFonts w:asciiTheme="majorBidi" w:hAnsiTheme="majorBidi" w:cstheme="majorBidi"/>
                <w:sz w:val="24"/>
              </w:rPr>
            </w:pPr>
          </w:p>
        </w:tc>
      </w:tr>
      <w:tr w:rsidR="008D4EE3" w14:paraId="040F4478" w14:textId="77777777" w:rsidTr="00E5670F">
        <w:trPr>
          <w:trHeight w:val="807"/>
        </w:trPr>
        <w:tc>
          <w:tcPr>
            <w:tcW w:w="5148" w:type="dxa"/>
            <w:shd w:val="clear" w:color="auto" w:fill="auto"/>
          </w:tcPr>
          <w:p w14:paraId="6692A77C" w14:textId="77777777" w:rsidR="00E5670F" w:rsidRPr="008D56A9" w:rsidRDefault="00E5670F" w:rsidP="00E5670F">
            <w:pPr>
              <w:pStyle w:val="HTMLPreformatted"/>
              <w:rPr>
                <w:rFonts w:asciiTheme="majorBidi" w:hAnsiTheme="majorBidi" w:cstheme="majorBidi"/>
                <w:sz w:val="24"/>
                <w:szCs w:val="24"/>
              </w:rPr>
            </w:pPr>
            <w:r w:rsidRPr="008D56A9">
              <w:rPr>
                <w:rFonts w:asciiTheme="majorBidi" w:hAnsiTheme="majorBidi" w:cstheme="majorBidi"/>
                <w:sz w:val="24"/>
                <w:szCs w:val="24"/>
              </w:rPr>
              <w:t>In the Matter of the Application of Vectren Energy Delivery of Ohio, Inc., for Approval of an Increase in Gas Rates.</w:t>
            </w:r>
          </w:p>
          <w:p w14:paraId="23303670" w14:textId="77777777" w:rsidR="00E5670F" w:rsidRPr="008D56A9" w:rsidRDefault="00E5670F" w:rsidP="00E5670F">
            <w:pPr>
              <w:pStyle w:val="HTMLPreformatted"/>
              <w:rPr>
                <w:rFonts w:asciiTheme="majorBidi" w:hAnsiTheme="majorBidi" w:cstheme="majorBidi"/>
                <w:sz w:val="24"/>
                <w:szCs w:val="24"/>
              </w:rPr>
            </w:pPr>
          </w:p>
          <w:p w14:paraId="0BA519DE" w14:textId="77777777" w:rsidR="00E5670F" w:rsidRPr="008D56A9" w:rsidRDefault="00E5670F" w:rsidP="00E5670F">
            <w:pPr>
              <w:pStyle w:val="HTMLPreformatted"/>
              <w:rPr>
                <w:rFonts w:asciiTheme="majorBidi" w:hAnsiTheme="majorBidi" w:cstheme="majorBidi"/>
                <w:sz w:val="24"/>
                <w:szCs w:val="24"/>
              </w:rPr>
            </w:pPr>
            <w:r w:rsidRPr="008D56A9">
              <w:rPr>
                <w:rFonts w:asciiTheme="majorBidi" w:hAnsiTheme="majorBidi" w:cstheme="majorBidi"/>
                <w:sz w:val="24"/>
                <w:szCs w:val="24"/>
              </w:rPr>
              <w:t xml:space="preserve">In the Matter of the Application of Vectren Energy Delivery of Ohio, Inc., for Approval of an Alternative Rate Plan. </w:t>
            </w:r>
          </w:p>
        </w:tc>
        <w:tc>
          <w:tcPr>
            <w:tcW w:w="360" w:type="dxa"/>
            <w:shd w:val="clear" w:color="auto" w:fill="auto"/>
          </w:tcPr>
          <w:p w14:paraId="57DE0F72" w14:textId="77777777" w:rsidR="00E5670F" w:rsidRPr="008D56A9" w:rsidRDefault="00E5670F" w:rsidP="00E5670F">
            <w:pPr>
              <w:pStyle w:val="HTMLPreformatted"/>
              <w:rPr>
                <w:rFonts w:asciiTheme="majorBidi" w:hAnsiTheme="majorBidi" w:cstheme="majorBidi"/>
                <w:sz w:val="24"/>
              </w:rPr>
            </w:pPr>
            <w:r w:rsidRPr="008D56A9">
              <w:rPr>
                <w:rFonts w:asciiTheme="majorBidi" w:hAnsiTheme="majorBidi" w:cstheme="majorBidi"/>
                <w:sz w:val="24"/>
              </w:rPr>
              <w:t>)</w:t>
            </w:r>
          </w:p>
          <w:p w14:paraId="7D037249" w14:textId="77777777" w:rsidR="00E5670F" w:rsidRPr="008D56A9" w:rsidRDefault="00E5670F" w:rsidP="00E5670F">
            <w:pPr>
              <w:pStyle w:val="HTMLPreformatted"/>
              <w:rPr>
                <w:rFonts w:asciiTheme="majorBidi" w:hAnsiTheme="majorBidi" w:cstheme="majorBidi"/>
                <w:sz w:val="24"/>
              </w:rPr>
            </w:pPr>
            <w:r w:rsidRPr="008D56A9">
              <w:rPr>
                <w:rFonts w:asciiTheme="majorBidi" w:hAnsiTheme="majorBidi" w:cstheme="majorBidi"/>
                <w:sz w:val="24"/>
              </w:rPr>
              <w:t>)</w:t>
            </w:r>
          </w:p>
          <w:p w14:paraId="08444D9D" w14:textId="77777777" w:rsidR="00E5670F" w:rsidRPr="008D56A9" w:rsidRDefault="00E5670F" w:rsidP="00E5670F">
            <w:pPr>
              <w:pStyle w:val="HTMLPreformatted"/>
              <w:rPr>
                <w:rFonts w:asciiTheme="majorBidi" w:hAnsiTheme="majorBidi" w:cstheme="majorBidi"/>
                <w:sz w:val="24"/>
              </w:rPr>
            </w:pPr>
            <w:r w:rsidRPr="008D56A9">
              <w:rPr>
                <w:rFonts w:asciiTheme="majorBidi" w:hAnsiTheme="majorBidi" w:cstheme="majorBidi"/>
                <w:sz w:val="24"/>
              </w:rPr>
              <w:t>)</w:t>
            </w:r>
          </w:p>
          <w:p w14:paraId="3F623383" w14:textId="77777777" w:rsidR="00E5670F" w:rsidRPr="008D56A9" w:rsidRDefault="00E5670F" w:rsidP="00E5670F">
            <w:pPr>
              <w:pStyle w:val="HTMLPreformatted"/>
              <w:rPr>
                <w:rFonts w:asciiTheme="majorBidi" w:hAnsiTheme="majorBidi" w:cstheme="majorBidi"/>
                <w:sz w:val="24"/>
              </w:rPr>
            </w:pPr>
          </w:p>
          <w:p w14:paraId="355EFA43" w14:textId="77777777" w:rsidR="00E5670F" w:rsidRPr="008D56A9" w:rsidRDefault="00E5670F" w:rsidP="00E5670F">
            <w:pPr>
              <w:pStyle w:val="HTMLPreformatted"/>
              <w:rPr>
                <w:rFonts w:asciiTheme="majorBidi" w:hAnsiTheme="majorBidi" w:cstheme="majorBidi"/>
                <w:sz w:val="24"/>
              </w:rPr>
            </w:pPr>
            <w:r w:rsidRPr="008D56A9">
              <w:rPr>
                <w:rFonts w:asciiTheme="majorBidi" w:hAnsiTheme="majorBidi" w:cstheme="majorBidi"/>
                <w:sz w:val="24"/>
              </w:rPr>
              <w:t>)</w:t>
            </w:r>
          </w:p>
          <w:p w14:paraId="17B3B5BB" w14:textId="77777777" w:rsidR="00E5670F" w:rsidRPr="008D56A9" w:rsidRDefault="00E5670F" w:rsidP="00E5670F">
            <w:pPr>
              <w:pStyle w:val="HTMLPreformatted"/>
              <w:rPr>
                <w:rFonts w:asciiTheme="majorBidi" w:hAnsiTheme="majorBidi" w:cstheme="majorBidi"/>
                <w:sz w:val="24"/>
              </w:rPr>
            </w:pPr>
            <w:r w:rsidRPr="008D56A9">
              <w:rPr>
                <w:rFonts w:asciiTheme="majorBidi" w:hAnsiTheme="majorBidi" w:cstheme="majorBidi"/>
                <w:sz w:val="24"/>
              </w:rPr>
              <w:t>)</w:t>
            </w:r>
          </w:p>
          <w:p w14:paraId="644F9528" w14:textId="77777777" w:rsidR="00E5670F" w:rsidRPr="008D56A9" w:rsidRDefault="00E5670F" w:rsidP="00E5670F">
            <w:pPr>
              <w:pStyle w:val="HTMLPreformatted"/>
              <w:rPr>
                <w:rFonts w:asciiTheme="majorBidi" w:hAnsiTheme="majorBidi" w:cstheme="majorBidi"/>
                <w:sz w:val="24"/>
              </w:rPr>
            </w:pPr>
            <w:r w:rsidRPr="008D56A9">
              <w:rPr>
                <w:rFonts w:asciiTheme="majorBidi" w:hAnsiTheme="majorBidi" w:cstheme="majorBidi"/>
                <w:sz w:val="24"/>
              </w:rPr>
              <w:t>)</w:t>
            </w:r>
          </w:p>
        </w:tc>
        <w:tc>
          <w:tcPr>
            <w:tcW w:w="4146" w:type="dxa"/>
            <w:shd w:val="clear" w:color="auto" w:fill="auto"/>
          </w:tcPr>
          <w:p w14:paraId="5C1A11A5" w14:textId="77777777" w:rsidR="00E5670F" w:rsidRPr="008D56A9" w:rsidRDefault="00E5670F" w:rsidP="00E5670F">
            <w:pPr>
              <w:pStyle w:val="HTMLPreformatted"/>
              <w:rPr>
                <w:rFonts w:asciiTheme="majorBidi" w:hAnsiTheme="majorBidi" w:cstheme="majorBidi"/>
                <w:sz w:val="24"/>
              </w:rPr>
            </w:pPr>
          </w:p>
          <w:p w14:paraId="6F23D948" w14:textId="77777777" w:rsidR="00E5670F" w:rsidRPr="008D56A9" w:rsidRDefault="00E5670F" w:rsidP="00E5670F">
            <w:pPr>
              <w:pStyle w:val="HTMLPreformatted"/>
              <w:rPr>
                <w:rFonts w:asciiTheme="majorBidi" w:hAnsiTheme="majorBidi" w:cstheme="majorBidi"/>
                <w:sz w:val="24"/>
              </w:rPr>
            </w:pPr>
            <w:r w:rsidRPr="008D56A9">
              <w:rPr>
                <w:rFonts w:asciiTheme="majorBidi" w:hAnsiTheme="majorBidi" w:cstheme="majorBidi"/>
                <w:sz w:val="24"/>
              </w:rPr>
              <w:t>Case No. 18-0298-GA-AIR</w:t>
            </w:r>
          </w:p>
          <w:p w14:paraId="4D53800A" w14:textId="77777777" w:rsidR="00E5670F" w:rsidRPr="008D56A9" w:rsidRDefault="00E5670F" w:rsidP="00E5670F">
            <w:pPr>
              <w:pStyle w:val="HTMLPreformatted"/>
              <w:rPr>
                <w:rFonts w:asciiTheme="majorBidi" w:hAnsiTheme="majorBidi" w:cstheme="majorBidi"/>
                <w:sz w:val="24"/>
              </w:rPr>
            </w:pPr>
          </w:p>
          <w:p w14:paraId="1763D43B" w14:textId="77777777" w:rsidR="00E5670F" w:rsidRPr="008D56A9" w:rsidRDefault="00E5670F" w:rsidP="00E5670F">
            <w:pPr>
              <w:pStyle w:val="HTMLPreformatted"/>
              <w:rPr>
                <w:rFonts w:asciiTheme="majorBidi" w:hAnsiTheme="majorBidi" w:cstheme="majorBidi"/>
                <w:sz w:val="24"/>
              </w:rPr>
            </w:pPr>
          </w:p>
          <w:p w14:paraId="6BD191AE" w14:textId="77777777" w:rsidR="00E5670F" w:rsidRPr="008D56A9" w:rsidRDefault="00E5670F" w:rsidP="00E5670F">
            <w:pPr>
              <w:pStyle w:val="HTMLPreformatted"/>
              <w:rPr>
                <w:rFonts w:asciiTheme="majorBidi" w:hAnsiTheme="majorBidi" w:cstheme="majorBidi"/>
                <w:sz w:val="24"/>
              </w:rPr>
            </w:pPr>
          </w:p>
          <w:p w14:paraId="61CEAD88" w14:textId="77777777" w:rsidR="00E5670F" w:rsidRPr="008D56A9" w:rsidRDefault="00E5670F" w:rsidP="00E5670F">
            <w:pPr>
              <w:pStyle w:val="HTMLPreformatted"/>
              <w:rPr>
                <w:rFonts w:asciiTheme="majorBidi" w:hAnsiTheme="majorBidi" w:cstheme="majorBidi"/>
                <w:sz w:val="24"/>
              </w:rPr>
            </w:pPr>
            <w:r w:rsidRPr="008D56A9">
              <w:rPr>
                <w:rFonts w:asciiTheme="majorBidi" w:hAnsiTheme="majorBidi" w:cstheme="majorBidi"/>
                <w:sz w:val="24"/>
              </w:rPr>
              <w:t>Case No. 18-0299-GA-ALT</w:t>
            </w:r>
          </w:p>
          <w:p w14:paraId="50E414D8" w14:textId="77777777" w:rsidR="00E5670F" w:rsidRPr="008D56A9" w:rsidRDefault="00E5670F" w:rsidP="00E5670F">
            <w:pPr>
              <w:pStyle w:val="HTMLPreformatted"/>
              <w:rPr>
                <w:rFonts w:asciiTheme="majorBidi" w:hAnsiTheme="majorBidi" w:cstheme="majorBidi"/>
                <w:sz w:val="24"/>
              </w:rPr>
            </w:pPr>
          </w:p>
          <w:p w14:paraId="59008586" w14:textId="77777777" w:rsidR="00E5670F" w:rsidRPr="008D56A9" w:rsidRDefault="00E5670F" w:rsidP="00E5670F">
            <w:pPr>
              <w:pStyle w:val="HTMLPreformatted"/>
              <w:rPr>
                <w:rFonts w:asciiTheme="majorBidi" w:hAnsiTheme="majorBidi" w:cstheme="majorBidi"/>
                <w:sz w:val="24"/>
              </w:rPr>
            </w:pPr>
          </w:p>
        </w:tc>
      </w:tr>
    </w:tbl>
    <w:p w14:paraId="58C25A74" w14:textId="77777777" w:rsidR="00E5670F" w:rsidRPr="008D56A9" w:rsidRDefault="00E5670F" w:rsidP="00E5670F">
      <w:pPr>
        <w:jc w:val="center"/>
        <w:rPr>
          <w:rFonts w:asciiTheme="majorBidi" w:hAnsiTheme="majorBidi" w:cstheme="majorBidi"/>
          <w:b/>
        </w:rPr>
      </w:pPr>
    </w:p>
    <w:p w14:paraId="3314EA16" w14:textId="77777777" w:rsidR="00E5670F" w:rsidRPr="008D56A9" w:rsidRDefault="00E5670F" w:rsidP="00E5670F">
      <w:pPr>
        <w:jc w:val="center"/>
        <w:rPr>
          <w:rFonts w:asciiTheme="majorBidi" w:hAnsiTheme="majorBidi" w:cstheme="majorBidi"/>
          <w:b/>
        </w:rPr>
      </w:pPr>
    </w:p>
    <w:p w14:paraId="44650E95" w14:textId="77777777" w:rsidR="00E5670F" w:rsidRPr="008D56A9" w:rsidRDefault="00E5670F" w:rsidP="00E5670F">
      <w:pPr>
        <w:jc w:val="center"/>
        <w:rPr>
          <w:rFonts w:asciiTheme="majorBidi" w:hAnsiTheme="majorBidi" w:cstheme="majorBidi"/>
          <w:b/>
        </w:rPr>
      </w:pPr>
    </w:p>
    <w:p w14:paraId="73ED33A1" w14:textId="77777777" w:rsidR="00E5670F" w:rsidRPr="008D56A9" w:rsidRDefault="00E5670F" w:rsidP="00E5670F">
      <w:pPr>
        <w:jc w:val="center"/>
        <w:rPr>
          <w:rFonts w:asciiTheme="majorBidi" w:hAnsiTheme="majorBidi" w:cstheme="majorBidi"/>
          <w:b/>
        </w:rPr>
      </w:pPr>
    </w:p>
    <w:p w14:paraId="6DE2AEF5" w14:textId="2F853E93" w:rsidR="00E5670F" w:rsidRPr="008D56A9" w:rsidRDefault="007A1F11" w:rsidP="00E5670F">
      <w:pPr>
        <w:jc w:val="center"/>
        <w:rPr>
          <w:rFonts w:asciiTheme="majorBidi" w:hAnsiTheme="majorBidi" w:cstheme="majorBidi"/>
          <w:b/>
        </w:rPr>
      </w:pPr>
      <w:r>
        <w:rPr>
          <w:rFonts w:asciiTheme="majorBidi" w:hAnsiTheme="majorBidi" w:cstheme="majorBidi"/>
          <w:b/>
        </w:rPr>
        <w:t xml:space="preserve">SUPPLEMENTAL </w:t>
      </w:r>
      <w:r w:rsidR="00E5670F" w:rsidRPr="008D56A9">
        <w:rPr>
          <w:rFonts w:asciiTheme="majorBidi" w:hAnsiTheme="majorBidi" w:cstheme="majorBidi"/>
          <w:b/>
        </w:rPr>
        <w:t xml:space="preserve">DIRECT TESTIMONY </w:t>
      </w:r>
    </w:p>
    <w:p w14:paraId="2C5ED66E" w14:textId="77777777" w:rsidR="00E5670F" w:rsidRPr="008D56A9" w:rsidRDefault="00E5670F" w:rsidP="00E5670F">
      <w:pPr>
        <w:jc w:val="center"/>
        <w:rPr>
          <w:rFonts w:asciiTheme="majorBidi" w:hAnsiTheme="majorBidi" w:cstheme="majorBidi"/>
          <w:b/>
        </w:rPr>
      </w:pPr>
      <w:r w:rsidRPr="008D56A9">
        <w:rPr>
          <w:rFonts w:asciiTheme="majorBidi" w:hAnsiTheme="majorBidi" w:cstheme="majorBidi"/>
          <w:b/>
        </w:rPr>
        <w:t xml:space="preserve">OF </w:t>
      </w:r>
    </w:p>
    <w:p w14:paraId="4D550351" w14:textId="77777777" w:rsidR="00E5670F" w:rsidRPr="008D56A9" w:rsidRDefault="00E5670F" w:rsidP="00E5670F">
      <w:pPr>
        <w:jc w:val="center"/>
        <w:rPr>
          <w:rFonts w:asciiTheme="majorBidi" w:hAnsiTheme="majorBidi" w:cstheme="majorBidi"/>
          <w:b/>
        </w:rPr>
      </w:pPr>
      <w:r w:rsidRPr="008D56A9">
        <w:rPr>
          <w:rFonts w:asciiTheme="majorBidi" w:hAnsiTheme="majorBidi" w:cstheme="majorBidi"/>
          <w:b/>
        </w:rPr>
        <w:t>WILSON GONZALEZ</w:t>
      </w:r>
    </w:p>
    <w:p w14:paraId="516D0D98" w14:textId="77777777" w:rsidR="00E5670F" w:rsidRPr="008D56A9" w:rsidRDefault="00E5670F" w:rsidP="00E5670F">
      <w:pPr>
        <w:jc w:val="center"/>
        <w:rPr>
          <w:rFonts w:asciiTheme="majorBidi" w:hAnsiTheme="majorBidi" w:cstheme="majorBidi"/>
          <w:b/>
        </w:rPr>
      </w:pPr>
    </w:p>
    <w:p w14:paraId="5FAF71E2" w14:textId="77777777" w:rsidR="00E5670F" w:rsidRPr="008D56A9" w:rsidRDefault="00E24E2C" w:rsidP="00E5670F">
      <w:pPr>
        <w:jc w:val="center"/>
        <w:rPr>
          <w:rFonts w:asciiTheme="majorBidi" w:hAnsiTheme="majorBidi" w:cstheme="majorBidi"/>
          <w:b/>
        </w:rPr>
      </w:pPr>
      <w:r w:rsidRPr="00AE3D38">
        <w:rPr>
          <w:b/>
        </w:rPr>
        <w:t>IN OPPOSITION TO THE JOINT STIPULATION AND RECOMMENDATION</w:t>
      </w:r>
    </w:p>
    <w:p w14:paraId="68B0D9FE" w14:textId="77777777" w:rsidR="00E5670F" w:rsidRPr="008D56A9" w:rsidRDefault="00E5670F" w:rsidP="00E5670F">
      <w:pPr>
        <w:jc w:val="center"/>
        <w:rPr>
          <w:rFonts w:asciiTheme="majorBidi" w:hAnsiTheme="majorBidi" w:cstheme="majorBidi"/>
          <w:b/>
        </w:rPr>
      </w:pPr>
    </w:p>
    <w:p w14:paraId="63A7DEE1" w14:textId="77777777" w:rsidR="00E5670F" w:rsidRPr="008D56A9" w:rsidRDefault="00E5670F" w:rsidP="00E5670F">
      <w:pPr>
        <w:jc w:val="center"/>
        <w:rPr>
          <w:rFonts w:asciiTheme="majorBidi" w:hAnsiTheme="majorBidi" w:cstheme="majorBidi"/>
          <w:b/>
        </w:rPr>
      </w:pPr>
      <w:r w:rsidRPr="008D56A9">
        <w:rPr>
          <w:rFonts w:asciiTheme="majorBidi" w:hAnsiTheme="majorBidi" w:cstheme="majorBidi"/>
          <w:b/>
        </w:rPr>
        <w:t xml:space="preserve">On Behalf of </w:t>
      </w:r>
      <w:r w:rsidRPr="008D56A9">
        <w:rPr>
          <w:rFonts w:asciiTheme="majorBidi" w:hAnsiTheme="majorBidi" w:cstheme="majorBidi"/>
          <w:b/>
        </w:rPr>
        <w:br/>
        <w:t>The Office of the Ohio Consumers’ Counsel</w:t>
      </w:r>
    </w:p>
    <w:p w14:paraId="3A1E5660" w14:textId="77777777" w:rsidR="00E5670F" w:rsidRPr="008D56A9" w:rsidRDefault="00E5670F" w:rsidP="00E5670F">
      <w:pPr>
        <w:jc w:val="center"/>
        <w:rPr>
          <w:rFonts w:asciiTheme="majorBidi" w:eastAsia="Calibri" w:hAnsiTheme="majorBidi" w:cstheme="majorBidi"/>
          <w:i/>
        </w:rPr>
      </w:pPr>
      <w:r w:rsidRPr="008D56A9">
        <w:rPr>
          <w:rFonts w:asciiTheme="majorBidi" w:eastAsia="Calibri" w:hAnsiTheme="majorBidi" w:cstheme="majorBidi"/>
          <w:i/>
        </w:rPr>
        <w:t>65 East State Street, 7th Floor</w:t>
      </w:r>
    </w:p>
    <w:p w14:paraId="38E46549" w14:textId="77777777" w:rsidR="00E5670F" w:rsidRPr="008D56A9" w:rsidRDefault="00E5670F" w:rsidP="00E5670F">
      <w:pPr>
        <w:jc w:val="center"/>
        <w:rPr>
          <w:rFonts w:asciiTheme="majorBidi" w:eastAsia="Calibri" w:hAnsiTheme="majorBidi" w:cstheme="majorBidi"/>
          <w:i/>
        </w:rPr>
      </w:pPr>
      <w:r w:rsidRPr="008D56A9">
        <w:rPr>
          <w:rFonts w:asciiTheme="majorBidi" w:eastAsia="Calibri" w:hAnsiTheme="majorBidi" w:cstheme="majorBidi"/>
          <w:i/>
        </w:rPr>
        <w:t>Columbus, Ohio 43215-4213</w:t>
      </w:r>
    </w:p>
    <w:p w14:paraId="2D0E7524" w14:textId="77777777" w:rsidR="00E5670F" w:rsidRPr="008D56A9" w:rsidRDefault="00E5670F" w:rsidP="00E5670F">
      <w:pPr>
        <w:jc w:val="center"/>
        <w:rPr>
          <w:rFonts w:asciiTheme="majorBidi" w:hAnsiTheme="majorBidi" w:cstheme="majorBidi"/>
          <w:b/>
        </w:rPr>
      </w:pPr>
    </w:p>
    <w:p w14:paraId="1EB0B4D5" w14:textId="77777777" w:rsidR="00E5670F" w:rsidRPr="008D56A9" w:rsidRDefault="00E5670F" w:rsidP="00E5670F">
      <w:pPr>
        <w:jc w:val="center"/>
        <w:rPr>
          <w:rFonts w:asciiTheme="majorBidi" w:hAnsiTheme="majorBidi" w:cstheme="majorBidi"/>
          <w:b/>
        </w:rPr>
      </w:pPr>
    </w:p>
    <w:p w14:paraId="7C15FF2E" w14:textId="77777777" w:rsidR="00E5670F" w:rsidRPr="008D56A9" w:rsidRDefault="00E5670F" w:rsidP="00E5670F">
      <w:pPr>
        <w:jc w:val="center"/>
        <w:rPr>
          <w:rFonts w:asciiTheme="majorBidi" w:hAnsiTheme="majorBidi" w:cstheme="majorBidi"/>
          <w:b/>
        </w:rPr>
      </w:pPr>
    </w:p>
    <w:p w14:paraId="72EB8391" w14:textId="77777777" w:rsidR="00E5670F" w:rsidRPr="008D56A9" w:rsidRDefault="00E5670F" w:rsidP="00E5670F">
      <w:pPr>
        <w:jc w:val="center"/>
        <w:rPr>
          <w:rFonts w:asciiTheme="majorBidi" w:hAnsiTheme="majorBidi" w:cstheme="majorBidi"/>
          <w:b/>
        </w:rPr>
      </w:pPr>
    </w:p>
    <w:p w14:paraId="50233541" w14:textId="77777777" w:rsidR="00E5670F" w:rsidRPr="008D56A9" w:rsidRDefault="00E24E2C" w:rsidP="00E5670F">
      <w:pPr>
        <w:jc w:val="center"/>
        <w:rPr>
          <w:rFonts w:asciiTheme="majorBidi" w:hAnsiTheme="majorBidi" w:cstheme="majorBidi"/>
          <w:b/>
        </w:rPr>
        <w:sectPr w:rsidR="00E5670F" w:rsidRPr="008D56A9" w:rsidSect="00E5670F">
          <w:footerReference w:type="default" r:id="rId8"/>
          <w:footerReference w:type="first" r:id="rId9"/>
          <w:pgSz w:w="12240" w:h="15840" w:code="1"/>
          <w:pgMar w:top="1440" w:right="1800" w:bottom="1440" w:left="1800" w:header="720" w:footer="720" w:gutter="0"/>
          <w:pgNumType w:fmt="lowerRoman" w:start="1"/>
          <w:cols w:space="720"/>
          <w:titlePg/>
          <w:docGrid w:linePitch="360"/>
        </w:sectPr>
      </w:pPr>
      <w:r>
        <w:rPr>
          <w:rFonts w:asciiTheme="majorBidi" w:hAnsiTheme="majorBidi" w:cstheme="majorBidi"/>
          <w:b/>
        </w:rPr>
        <w:t>January 28</w:t>
      </w:r>
      <w:r w:rsidR="00E5670F" w:rsidRPr="008D56A9">
        <w:rPr>
          <w:rFonts w:asciiTheme="majorBidi" w:hAnsiTheme="majorBidi" w:cstheme="majorBidi"/>
          <w:b/>
        </w:rPr>
        <w:t>, 201</w:t>
      </w:r>
      <w:r>
        <w:rPr>
          <w:rFonts w:asciiTheme="majorBidi" w:hAnsiTheme="majorBidi" w:cstheme="majorBidi"/>
          <w:b/>
        </w:rPr>
        <w:t>9</w:t>
      </w:r>
    </w:p>
    <w:p w14:paraId="71BEE7E3" w14:textId="4F820A18" w:rsidR="00E5670F" w:rsidRPr="00A12A5C" w:rsidRDefault="00E5670F" w:rsidP="00E5670F">
      <w:pPr>
        <w:jc w:val="center"/>
        <w:rPr>
          <w:rFonts w:asciiTheme="majorBidi" w:hAnsiTheme="majorBidi" w:cstheme="majorBidi"/>
          <w:b/>
          <w:u w:val="single"/>
        </w:rPr>
      </w:pPr>
      <w:r w:rsidRPr="00A12A5C">
        <w:rPr>
          <w:rFonts w:asciiTheme="majorBidi" w:hAnsiTheme="majorBidi" w:cstheme="majorBidi"/>
          <w:b/>
          <w:u w:val="single"/>
        </w:rPr>
        <w:lastRenderedPageBreak/>
        <w:t>TABLE OF CONTENTS</w:t>
      </w:r>
      <w:r w:rsidR="00D31239" w:rsidRPr="00A12A5C">
        <w:rPr>
          <w:rFonts w:asciiTheme="majorBidi" w:hAnsiTheme="majorBidi" w:cstheme="majorBidi"/>
          <w:b/>
          <w:u w:val="single"/>
        </w:rPr>
        <w:t xml:space="preserve"> </w:t>
      </w:r>
    </w:p>
    <w:p w14:paraId="43D2D12C" w14:textId="77777777" w:rsidR="00E5670F" w:rsidRPr="008D56A9" w:rsidRDefault="00E5670F" w:rsidP="00E5670F">
      <w:pPr>
        <w:jc w:val="center"/>
        <w:rPr>
          <w:rFonts w:asciiTheme="majorBidi" w:hAnsiTheme="majorBidi" w:cstheme="majorBidi"/>
          <w:b/>
        </w:rPr>
      </w:pPr>
    </w:p>
    <w:p w14:paraId="09AF596F" w14:textId="0D75F188" w:rsidR="00E5670F" w:rsidRPr="008D56A9" w:rsidRDefault="00E5670F" w:rsidP="00E5670F">
      <w:pPr>
        <w:jc w:val="right"/>
        <w:rPr>
          <w:rFonts w:asciiTheme="majorBidi" w:hAnsiTheme="majorBidi" w:cstheme="majorBidi"/>
          <w:b/>
        </w:rPr>
      </w:pPr>
      <w:r w:rsidRPr="008D56A9">
        <w:rPr>
          <w:rFonts w:asciiTheme="majorBidi" w:hAnsiTheme="majorBidi" w:cstheme="majorBidi"/>
          <w:b/>
        </w:rPr>
        <w:tab/>
        <w:t>P</w:t>
      </w:r>
      <w:r w:rsidR="00A12A5C">
        <w:rPr>
          <w:rFonts w:asciiTheme="majorBidi" w:hAnsiTheme="majorBidi" w:cstheme="majorBidi"/>
          <w:b/>
        </w:rPr>
        <w:t>AGE</w:t>
      </w:r>
    </w:p>
    <w:p w14:paraId="27069FA3" w14:textId="77777777" w:rsidR="00E5670F" w:rsidRPr="009A512C" w:rsidRDefault="00E5670F" w:rsidP="00E5670F">
      <w:pPr>
        <w:rPr>
          <w:rFonts w:asciiTheme="majorBidi" w:hAnsiTheme="majorBidi" w:cstheme="majorBidi"/>
          <w:b/>
          <w:bCs/>
        </w:rPr>
      </w:pPr>
    </w:p>
    <w:p w14:paraId="3AF9A5C2" w14:textId="4EA7A3D9" w:rsidR="007B374E" w:rsidRDefault="00E5670F">
      <w:pPr>
        <w:pStyle w:val="TOC1"/>
        <w:rPr>
          <w:rFonts w:asciiTheme="minorHAnsi" w:eastAsiaTheme="minorEastAsia" w:hAnsiTheme="minorHAnsi" w:cstheme="minorBidi"/>
          <w:caps w:val="0"/>
          <w:noProof/>
          <w:sz w:val="22"/>
          <w:szCs w:val="22"/>
          <w:lang w:bidi="he-IL"/>
        </w:rPr>
      </w:pPr>
      <w:r w:rsidRPr="008D56A9">
        <w:rPr>
          <w:rFonts w:asciiTheme="majorBidi" w:hAnsiTheme="majorBidi" w:cstheme="majorBidi"/>
          <w:b/>
          <w:bCs/>
          <w:i/>
          <w:iCs/>
        </w:rPr>
        <w:fldChar w:fldCharType="begin"/>
      </w:r>
      <w:r w:rsidRPr="008D56A9">
        <w:rPr>
          <w:rFonts w:asciiTheme="majorBidi" w:hAnsiTheme="majorBidi" w:cstheme="majorBidi"/>
          <w:b/>
          <w:bCs/>
          <w:i/>
          <w:iCs/>
        </w:rPr>
        <w:instrText xml:space="preserve"> TOC \o "1-1" \h \z \u </w:instrText>
      </w:r>
      <w:r w:rsidRPr="008D56A9">
        <w:rPr>
          <w:rFonts w:asciiTheme="majorBidi" w:hAnsiTheme="majorBidi" w:cstheme="majorBidi"/>
          <w:b/>
          <w:bCs/>
          <w:i/>
          <w:iCs/>
        </w:rPr>
        <w:fldChar w:fldCharType="separate"/>
      </w:r>
      <w:hyperlink w:anchor="_Toc536435622" w:history="1">
        <w:r w:rsidR="007B374E" w:rsidRPr="00C94B8E">
          <w:rPr>
            <w:rStyle w:val="Hyperlink"/>
            <w:rFonts w:asciiTheme="majorBidi" w:hAnsiTheme="majorBidi" w:cstheme="majorBidi"/>
            <w:noProof/>
          </w:rPr>
          <w:t>I.</w:t>
        </w:r>
        <w:r w:rsidR="007B374E">
          <w:rPr>
            <w:rFonts w:asciiTheme="minorHAnsi" w:eastAsiaTheme="minorEastAsia" w:hAnsiTheme="minorHAnsi" w:cstheme="minorBidi"/>
            <w:caps w:val="0"/>
            <w:noProof/>
            <w:sz w:val="22"/>
            <w:szCs w:val="22"/>
            <w:lang w:bidi="he-IL"/>
          </w:rPr>
          <w:tab/>
        </w:r>
        <w:r w:rsidR="007B374E" w:rsidRPr="00C94B8E">
          <w:rPr>
            <w:rStyle w:val="Hyperlink"/>
            <w:rFonts w:asciiTheme="majorBidi" w:hAnsiTheme="majorBidi" w:cstheme="majorBidi"/>
            <w:noProof/>
          </w:rPr>
          <w:t>INTRODUCTION</w:t>
        </w:r>
        <w:r w:rsidR="007B374E">
          <w:rPr>
            <w:noProof/>
            <w:webHidden/>
          </w:rPr>
          <w:tab/>
        </w:r>
        <w:r w:rsidR="007B374E">
          <w:rPr>
            <w:noProof/>
            <w:webHidden/>
          </w:rPr>
          <w:fldChar w:fldCharType="begin"/>
        </w:r>
        <w:r w:rsidR="007B374E">
          <w:rPr>
            <w:noProof/>
            <w:webHidden/>
          </w:rPr>
          <w:instrText xml:space="preserve"> PAGEREF _Toc536435622 \h </w:instrText>
        </w:r>
        <w:r w:rsidR="007B374E">
          <w:rPr>
            <w:noProof/>
            <w:webHidden/>
          </w:rPr>
        </w:r>
        <w:r w:rsidR="007B374E">
          <w:rPr>
            <w:noProof/>
            <w:webHidden/>
          </w:rPr>
          <w:fldChar w:fldCharType="separate"/>
        </w:r>
        <w:r w:rsidR="004E191E">
          <w:rPr>
            <w:noProof/>
            <w:webHidden/>
          </w:rPr>
          <w:t>1</w:t>
        </w:r>
        <w:r w:rsidR="007B374E">
          <w:rPr>
            <w:noProof/>
            <w:webHidden/>
          </w:rPr>
          <w:fldChar w:fldCharType="end"/>
        </w:r>
      </w:hyperlink>
    </w:p>
    <w:p w14:paraId="1658CC4F" w14:textId="07E2CD15" w:rsidR="007B374E" w:rsidRDefault="0019322A">
      <w:pPr>
        <w:pStyle w:val="TOC1"/>
        <w:rPr>
          <w:rFonts w:asciiTheme="minorHAnsi" w:eastAsiaTheme="minorEastAsia" w:hAnsiTheme="minorHAnsi" w:cstheme="minorBidi"/>
          <w:caps w:val="0"/>
          <w:noProof/>
          <w:sz w:val="22"/>
          <w:szCs w:val="22"/>
          <w:lang w:bidi="he-IL"/>
        </w:rPr>
      </w:pPr>
      <w:hyperlink w:anchor="_Toc536435623" w:history="1">
        <w:r w:rsidR="007B374E" w:rsidRPr="00C94B8E">
          <w:rPr>
            <w:rStyle w:val="Hyperlink"/>
            <w:rFonts w:asciiTheme="majorBidi" w:hAnsiTheme="majorBidi" w:cstheme="majorBidi"/>
            <w:noProof/>
          </w:rPr>
          <w:t>II.</w:t>
        </w:r>
        <w:r w:rsidR="007B374E">
          <w:rPr>
            <w:rFonts w:asciiTheme="minorHAnsi" w:eastAsiaTheme="minorEastAsia" w:hAnsiTheme="minorHAnsi" w:cstheme="minorBidi"/>
            <w:caps w:val="0"/>
            <w:noProof/>
            <w:sz w:val="22"/>
            <w:szCs w:val="22"/>
            <w:lang w:bidi="he-IL"/>
          </w:rPr>
          <w:tab/>
        </w:r>
        <w:r w:rsidR="007B374E" w:rsidRPr="00C94B8E">
          <w:rPr>
            <w:rStyle w:val="Hyperlink"/>
            <w:rFonts w:asciiTheme="majorBidi" w:hAnsiTheme="majorBidi" w:cstheme="majorBidi"/>
            <w:noProof/>
          </w:rPr>
          <w:t>PURPOSE OF TESTIMONY AND RECOMMENDATIONS</w:t>
        </w:r>
        <w:r w:rsidR="007B374E">
          <w:rPr>
            <w:noProof/>
            <w:webHidden/>
          </w:rPr>
          <w:tab/>
        </w:r>
        <w:r w:rsidR="007B374E">
          <w:rPr>
            <w:noProof/>
            <w:webHidden/>
          </w:rPr>
          <w:fldChar w:fldCharType="begin"/>
        </w:r>
        <w:r w:rsidR="007B374E">
          <w:rPr>
            <w:noProof/>
            <w:webHidden/>
          </w:rPr>
          <w:instrText xml:space="preserve"> PAGEREF _Toc536435623 \h </w:instrText>
        </w:r>
        <w:r w:rsidR="007B374E">
          <w:rPr>
            <w:noProof/>
            <w:webHidden/>
          </w:rPr>
        </w:r>
        <w:r w:rsidR="007B374E">
          <w:rPr>
            <w:noProof/>
            <w:webHidden/>
          </w:rPr>
          <w:fldChar w:fldCharType="separate"/>
        </w:r>
        <w:r w:rsidR="004E191E">
          <w:rPr>
            <w:noProof/>
            <w:webHidden/>
          </w:rPr>
          <w:t>4</w:t>
        </w:r>
        <w:r w:rsidR="007B374E">
          <w:rPr>
            <w:noProof/>
            <w:webHidden/>
          </w:rPr>
          <w:fldChar w:fldCharType="end"/>
        </w:r>
      </w:hyperlink>
    </w:p>
    <w:p w14:paraId="67A2BB74" w14:textId="5EC5665D" w:rsidR="007B374E" w:rsidRDefault="0019322A">
      <w:pPr>
        <w:pStyle w:val="TOC1"/>
        <w:rPr>
          <w:rFonts w:asciiTheme="minorHAnsi" w:eastAsiaTheme="minorEastAsia" w:hAnsiTheme="minorHAnsi" w:cstheme="minorBidi"/>
          <w:caps w:val="0"/>
          <w:noProof/>
          <w:sz w:val="22"/>
          <w:szCs w:val="22"/>
          <w:lang w:bidi="he-IL"/>
        </w:rPr>
      </w:pPr>
      <w:hyperlink w:anchor="_Toc536435624" w:history="1">
        <w:r w:rsidR="007B374E" w:rsidRPr="00C94B8E">
          <w:rPr>
            <w:rStyle w:val="Hyperlink"/>
            <w:rFonts w:asciiTheme="majorBidi" w:hAnsiTheme="majorBidi" w:cstheme="majorBidi"/>
            <w:noProof/>
          </w:rPr>
          <w:t>III.</w:t>
        </w:r>
        <w:r w:rsidR="007B374E">
          <w:rPr>
            <w:rFonts w:asciiTheme="minorHAnsi" w:eastAsiaTheme="minorEastAsia" w:hAnsiTheme="minorHAnsi" w:cstheme="minorBidi"/>
            <w:caps w:val="0"/>
            <w:noProof/>
            <w:sz w:val="22"/>
            <w:szCs w:val="22"/>
            <w:lang w:bidi="he-IL"/>
          </w:rPr>
          <w:tab/>
        </w:r>
        <w:r w:rsidR="007B374E" w:rsidRPr="00C94B8E">
          <w:rPr>
            <w:rStyle w:val="Hyperlink"/>
            <w:noProof/>
          </w:rPr>
          <w:t>EVALUATION OF THE STIPULATION REGARDING THE THREE-PRONG TEST USED BY THE PUCO FOR EVALUATING SETTLEMENTS.</w:t>
        </w:r>
        <w:r w:rsidR="007B374E">
          <w:rPr>
            <w:noProof/>
            <w:webHidden/>
          </w:rPr>
          <w:tab/>
        </w:r>
        <w:r w:rsidR="007B374E">
          <w:rPr>
            <w:noProof/>
            <w:webHidden/>
          </w:rPr>
          <w:fldChar w:fldCharType="begin"/>
        </w:r>
        <w:r w:rsidR="007B374E">
          <w:rPr>
            <w:noProof/>
            <w:webHidden/>
          </w:rPr>
          <w:instrText xml:space="preserve"> PAGEREF _Toc536435624 \h </w:instrText>
        </w:r>
        <w:r w:rsidR="007B374E">
          <w:rPr>
            <w:noProof/>
            <w:webHidden/>
          </w:rPr>
        </w:r>
        <w:r w:rsidR="007B374E">
          <w:rPr>
            <w:noProof/>
            <w:webHidden/>
          </w:rPr>
          <w:fldChar w:fldCharType="separate"/>
        </w:r>
        <w:r w:rsidR="004E191E">
          <w:rPr>
            <w:noProof/>
            <w:webHidden/>
          </w:rPr>
          <w:t>7</w:t>
        </w:r>
        <w:r w:rsidR="007B374E">
          <w:rPr>
            <w:noProof/>
            <w:webHidden/>
          </w:rPr>
          <w:fldChar w:fldCharType="end"/>
        </w:r>
      </w:hyperlink>
    </w:p>
    <w:p w14:paraId="68FE394A" w14:textId="2C785CE7" w:rsidR="007B374E" w:rsidRDefault="0019322A">
      <w:pPr>
        <w:pStyle w:val="TOC1"/>
        <w:rPr>
          <w:rFonts w:asciiTheme="minorHAnsi" w:eastAsiaTheme="minorEastAsia" w:hAnsiTheme="minorHAnsi" w:cstheme="minorBidi"/>
          <w:caps w:val="0"/>
          <w:noProof/>
          <w:sz w:val="22"/>
          <w:szCs w:val="22"/>
          <w:lang w:bidi="he-IL"/>
        </w:rPr>
      </w:pPr>
      <w:hyperlink w:anchor="_Toc536435625" w:history="1">
        <w:r w:rsidR="007B374E" w:rsidRPr="00C94B8E">
          <w:rPr>
            <w:rStyle w:val="Hyperlink"/>
            <w:noProof/>
          </w:rPr>
          <w:t>IV.</w:t>
        </w:r>
        <w:r w:rsidR="007B374E">
          <w:rPr>
            <w:rFonts w:asciiTheme="minorHAnsi" w:eastAsiaTheme="minorEastAsia" w:hAnsiTheme="minorHAnsi" w:cstheme="minorBidi"/>
            <w:caps w:val="0"/>
            <w:noProof/>
            <w:sz w:val="22"/>
            <w:szCs w:val="22"/>
            <w:lang w:bidi="he-IL"/>
          </w:rPr>
          <w:tab/>
        </w:r>
        <w:r w:rsidR="007B374E" w:rsidRPr="00C94B8E">
          <w:rPr>
            <w:rStyle w:val="Hyperlink"/>
            <w:noProof/>
          </w:rPr>
          <w:t>EVALUATION AND RECOMMENDATION OF THE SETTLEMENT’S RESIDENTIAL FIX CHARGES ON LOW USAGE CUSTOMERS</w:t>
        </w:r>
        <w:r w:rsidR="007B374E">
          <w:rPr>
            <w:noProof/>
            <w:webHidden/>
          </w:rPr>
          <w:tab/>
        </w:r>
        <w:r w:rsidR="007B374E">
          <w:rPr>
            <w:noProof/>
            <w:webHidden/>
          </w:rPr>
          <w:fldChar w:fldCharType="begin"/>
        </w:r>
        <w:r w:rsidR="007B374E">
          <w:rPr>
            <w:noProof/>
            <w:webHidden/>
          </w:rPr>
          <w:instrText xml:space="preserve"> PAGEREF _Toc536435625 \h </w:instrText>
        </w:r>
        <w:r w:rsidR="007B374E">
          <w:rPr>
            <w:noProof/>
            <w:webHidden/>
          </w:rPr>
        </w:r>
        <w:r w:rsidR="007B374E">
          <w:rPr>
            <w:noProof/>
            <w:webHidden/>
          </w:rPr>
          <w:fldChar w:fldCharType="separate"/>
        </w:r>
        <w:r w:rsidR="004E191E">
          <w:rPr>
            <w:noProof/>
            <w:webHidden/>
          </w:rPr>
          <w:t>8</w:t>
        </w:r>
        <w:r w:rsidR="007B374E">
          <w:rPr>
            <w:noProof/>
            <w:webHidden/>
          </w:rPr>
          <w:fldChar w:fldCharType="end"/>
        </w:r>
      </w:hyperlink>
    </w:p>
    <w:p w14:paraId="7BE8B827" w14:textId="717E5B25" w:rsidR="007B374E" w:rsidRDefault="0019322A">
      <w:pPr>
        <w:pStyle w:val="TOC1"/>
        <w:rPr>
          <w:rFonts w:asciiTheme="minorHAnsi" w:eastAsiaTheme="minorEastAsia" w:hAnsiTheme="minorHAnsi" w:cstheme="minorBidi"/>
          <w:caps w:val="0"/>
          <w:noProof/>
          <w:sz w:val="22"/>
          <w:szCs w:val="22"/>
          <w:lang w:bidi="he-IL"/>
        </w:rPr>
      </w:pPr>
      <w:hyperlink w:anchor="_Toc536435626" w:history="1">
        <w:r w:rsidR="007B374E" w:rsidRPr="00C94B8E">
          <w:rPr>
            <w:rStyle w:val="Hyperlink"/>
            <w:rFonts w:asciiTheme="majorBidi" w:hAnsiTheme="majorBidi" w:cstheme="majorBidi"/>
            <w:noProof/>
          </w:rPr>
          <w:t>V.</w:t>
        </w:r>
        <w:r w:rsidR="007B374E">
          <w:rPr>
            <w:rFonts w:asciiTheme="minorHAnsi" w:eastAsiaTheme="minorEastAsia" w:hAnsiTheme="minorHAnsi" w:cstheme="minorBidi"/>
            <w:caps w:val="0"/>
            <w:noProof/>
            <w:sz w:val="22"/>
            <w:szCs w:val="22"/>
            <w:lang w:bidi="he-IL"/>
          </w:rPr>
          <w:tab/>
        </w:r>
        <w:r w:rsidR="007B374E" w:rsidRPr="00C94B8E">
          <w:rPr>
            <w:rStyle w:val="Hyperlink"/>
            <w:rFonts w:asciiTheme="majorBidi" w:hAnsiTheme="majorBidi" w:cstheme="majorBidi"/>
            <w:noProof/>
          </w:rPr>
          <w:t>OTHER CONCERNS WITH A STRICT FIXED CHARGE RATE DESIGN</w:t>
        </w:r>
        <w:r w:rsidR="007B374E">
          <w:rPr>
            <w:noProof/>
            <w:webHidden/>
          </w:rPr>
          <w:tab/>
        </w:r>
        <w:r w:rsidR="007B374E">
          <w:rPr>
            <w:noProof/>
            <w:webHidden/>
          </w:rPr>
          <w:fldChar w:fldCharType="begin"/>
        </w:r>
        <w:r w:rsidR="007B374E">
          <w:rPr>
            <w:noProof/>
            <w:webHidden/>
          </w:rPr>
          <w:instrText xml:space="preserve"> PAGEREF _Toc536435626 \h </w:instrText>
        </w:r>
        <w:r w:rsidR="007B374E">
          <w:rPr>
            <w:noProof/>
            <w:webHidden/>
          </w:rPr>
        </w:r>
        <w:r w:rsidR="007B374E">
          <w:rPr>
            <w:noProof/>
            <w:webHidden/>
          </w:rPr>
          <w:fldChar w:fldCharType="separate"/>
        </w:r>
        <w:r w:rsidR="004E191E">
          <w:rPr>
            <w:noProof/>
            <w:webHidden/>
          </w:rPr>
          <w:t>15</w:t>
        </w:r>
        <w:r w:rsidR="007B374E">
          <w:rPr>
            <w:noProof/>
            <w:webHidden/>
          </w:rPr>
          <w:fldChar w:fldCharType="end"/>
        </w:r>
      </w:hyperlink>
    </w:p>
    <w:p w14:paraId="29ED9C11" w14:textId="7BD73E76" w:rsidR="007B374E" w:rsidRDefault="0019322A">
      <w:pPr>
        <w:pStyle w:val="TOC1"/>
        <w:rPr>
          <w:rFonts w:asciiTheme="minorHAnsi" w:eastAsiaTheme="minorEastAsia" w:hAnsiTheme="minorHAnsi" w:cstheme="minorBidi"/>
          <w:caps w:val="0"/>
          <w:noProof/>
          <w:sz w:val="22"/>
          <w:szCs w:val="22"/>
          <w:lang w:bidi="he-IL"/>
        </w:rPr>
      </w:pPr>
      <w:hyperlink w:anchor="_Toc536435627" w:history="1">
        <w:r w:rsidR="007B374E" w:rsidRPr="00C94B8E">
          <w:rPr>
            <w:rStyle w:val="Hyperlink"/>
            <w:rFonts w:asciiTheme="majorBidi" w:hAnsiTheme="majorBidi" w:cstheme="majorBidi"/>
            <w:noProof/>
          </w:rPr>
          <w:t>VI.</w:t>
        </w:r>
        <w:r w:rsidR="007B374E">
          <w:rPr>
            <w:rFonts w:asciiTheme="minorHAnsi" w:eastAsiaTheme="minorEastAsia" w:hAnsiTheme="minorHAnsi" w:cstheme="minorBidi"/>
            <w:caps w:val="0"/>
            <w:noProof/>
            <w:sz w:val="22"/>
            <w:szCs w:val="22"/>
            <w:lang w:bidi="he-IL"/>
          </w:rPr>
          <w:tab/>
        </w:r>
        <w:r w:rsidR="007B374E" w:rsidRPr="00C94B8E">
          <w:rPr>
            <w:rStyle w:val="Hyperlink"/>
            <w:rFonts w:asciiTheme="majorBidi" w:hAnsiTheme="majorBidi" w:cstheme="majorBidi"/>
            <w:noProof/>
          </w:rPr>
          <w:t>REVENUE DECOUPLING</w:t>
        </w:r>
        <w:r w:rsidR="007B374E">
          <w:rPr>
            <w:noProof/>
            <w:webHidden/>
          </w:rPr>
          <w:tab/>
        </w:r>
        <w:r w:rsidR="007B374E">
          <w:rPr>
            <w:noProof/>
            <w:webHidden/>
          </w:rPr>
          <w:fldChar w:fldCharType="begin"/>
        </w:r>
        <w:r w:rsidR="007B374E">
          <w:rPr>
            <w:noProof/>
            <w:webHidden/>
          </w:rPr>
          <w:instrText xml:space="preserve"> PAGEREF _Toc536435627 \h </w:instrText>
        </w:r>
        <w:r w:rsidR="007B374E">
          <w:rPr>
            <w:noProof/>
            <w:webHidden/>
          </w:rPr>
        </w:r>
        <w:r w:rsidR="007B374E">
          <w:rPr>
            <w:noProof/>
            <w:webHidden/>
          </w:rPr>
          <w:fldChar w:fldCharType="separate"/>
        </w:r>
        <w:r w:rsidR="004E191E">
          <w:rPr>
            <w:noProof/>
            <w:webHidden/>
          </w:rPr>
          <w:t>20</w:t>
        </w:r>
        <w:r w:rsidR="007B374E">
          <w:rPr>
            <w:noProof/>
            <w:webHidden/>
          </w:rPr>
          <w:fldChar w:fldCharType="end"/>
        </w:r>
      </w:hyperlink>
    </w:p>
    <w:p w14:paraId="1B89013C" w14:textId="329F5CCD" w:rsidR="007B374E" w:rsidRDefault="0019322A">
      <w:pPr>
        <w:pStyle w:val="TOC1"/>
        <w:rPr>
          <w:noProof/>
        </w:rPr>
      </w:pPr>
      <w:hyperlink w:anchor="_Toc536435628" w:history="1">
        <w:r w:rsidR="007B374E" w:rsidRPr="00C94B8E">
          <w:rPr>
            <w:rStyle w:val="Hyperlink"/>
            <w:rFonts w:asciiTheme="majorBidi" w:hAnsiTheme="majorBidi" w:cstheme="majorBidi"/>
            <w:noProof/>
          </w:rPr>
          <w:t>VII.</w:t>
        </w:r>
        <w:r w:rsidR="007B374E">
          <w:rPr>
            <w:rFonts w:asciiTheme="minorHAnsi" w:eastAsiaTheme="minorEastAsia" w:hAnsiTheme="minorHAnsi" w:cstheme="minorBidi"/>
            <w:caps w:val="0"/>
            <w:noProof/>
            <w:sz w:val="22"/>
            <w:szCs w:val="22"/>
            <w:lang w:bidi="he-IL"/>
          </w:rPr>
          <w:tab/>
        </w:r>
        <w:r w:rsidR="007B374E" w:rsidRPr="00C94B8E">
          <w:rPr>
            <w:rStyle w:val="Hyperlink"/>
            <w:rFonts w:asciiTheme="majorBidi" w:hAnsiTheme="majorBidi" w:cstheme="majorBidi"/>
            <w:noProof/>
          </w:rPr>
          <w:t>CONCLUSION</w:t>
        </w:r>
        <w:r w:rsidR="007B374E">
          <w:rPr>
            <w:noProof/>
            <w:webHidden/>
          </w:rPr>
          <w:tab/>
        </w:r>
        <w:r w:rsidR="007B374E">
          <w:rPr>
            <w:noProof/>
            <w:webHidden/>
          </w:rPr>
          <w:fldChar w:fldCharType="begin"/>
        </w:r>
        <w:r w:rsidR="007B374E">
          <w:rPr>
            <w:noProof/>
            <w:webHidden/>
          </w:rPr>
          <w:instrText xml:space="preserve"> PAGEREF _Toc536435628 \h </w:instrText>
        </w:r>
        <w:r w:rsidR="007B374E">
          <w:rPr>
            <w:noProof/>
            <w:webHidden/>
          </w:rPr>
        </w:r>
        <w:r w:rsidR="007B374E">
          <w:rPr>
            <w:noProof/>
            <w:webHidden/>
          </w:rPr>
          <w:fldChar w:fldCharType="separate"/>
        </w:r>
        <w:r w:rsidR="004E191E">
          <w:rPr>
            <w:noProof/>
            <w:webHidden/>
          </w:rPr>
          <w:t>22</w:t>
        </w:r>
        <w:r w:rsidR="007B374E">
          <w:rPr>
            <w:noProof/>
            <w:webHidden/>
          </w:rPr>
          <w:fldChar w:fldCharType="end"/>
        </w:r>
      </w:hyperlink>
    </w:p>
    <w:p w14:paraId="26B7FDF0" w14:textId="376A9520" w:rsidR="004E191E" w:rsidRDefault="004E191E" w:rsidP="004E191E">
      <w:pPr>
        <w:rPr>
          <w:rFonts w:eastAsiaTheme="minorEastAsia"/>
        </w:rPr>
      </w:pPr>
    </w:p>
    <w:p w14:paraId="0EE7B456" w14:textId="77777777" w:rsidR="004E191E" w:rsidRDefault="004E191E" w:rsidP="004E191E">
      <w:pPr>
        <w:rPr>
          <w:rFonts w:eastAsiaTheme="minorEastAsia"/>
        </w:rPr>
      </w:pPr>
    </w:p>
    <w:p w14:paraId="395C383C" w14:textId="026CD37E" w:rsidR="004E191E" w:rsidRDefault="004E191E" w:rsidP="004E191E">
      <w:pPr>
        <w:jc w:val="center"/>
        <w:rPr>
          <w:rFonts w:eastAsiaTheme="minorEastAsia"/>
        </w:rPr>
      </w:pPr>
      <w:r>
        <w:rPr>
          <w:rFonts w:eastAsiaTheme="minorEastAsia"/>
        </w:rPr>
        <w:t>ATTACHMENTS</w:t>
      </w:r>
    </w:p>
    <w:p w14:paraId="23FA4731" w14:textId="1537AB7D" w:rsidR="004E191E" w:rsidRDefault="004E191E" w:rsidP="004E191E">
      <w:pPr>
        <w:jc w:val="center"/>
        <w:rPr>
          <w:rFonts w:eastAsiaTheme="minorEastAsia"/>
        </w:rPr>
      </w:pPr>
    </w:p>
    <w:p w14:paraId="13BAA052" w14:textId="6E9724C5" w:rsidR="004E191E" w:rsidRDefault="004E191E" w:rsidP="004E191E">
      <w:pPr>
        <w:rPr>
          <w:rFonts w:eastAsiaTheme="minorEastAsia"/>
        </w:rPr>
      </w:pPr>
      <w:r>
        <w:rPr>
          <w:rFonts w:eastAsiaTheme="minorEastAsia"/>
        </w:rPr>
        <w:t xml:space="preserve">Exhibit WG-1 </w:t>
      </w:r>
    </w:p>
    <w:p w14:paraId="7CABAEE3" w14:textId="77777777" w:rsidR="004E191E" w:rsidRPr="004E191E" w:rsidRDefault="004E191E" w:rsidP="004E191E">
      <w:pPr>
        <w:jc w:val="center"/>
        <w:rPr>
          <w:rFonts w:eastAsiaTheme="minorEastAsia"/>
        </w:rPr>
      </w:pPr>
    </w:p>
    <w:p w14:paraId="2791CDAF" w14:textId="2EDEF8C0" w:rsidR="00E5670F" w:rsidRPr="008D56A9" w:rsidRDefault="00E5670F">
      <w:pPr>
        <w:jc w:val="center"/>
        <w:rPr>
          <w:rFonts w:asciiTheme="majorBidi" w:hAnsiTheme="majorBidi" w:cstheme="majorBidi"/>
          <w:b/>
          <w:bCs/>
          <w:i/>
          <w:iCs/>
        </w:rPr>
        <w:sectPr w:rsidR="00E5670F" w:rsidRPr="008D56A9" w:rsidSect="00E5670F">
          <w:footerReference w:type="first" r:id="rId10"/>
          <w:pgSz w:w="12240" w:h="15840" w:code="1"/>
          <w:pgMar w:top="1440" w:right="1800" w:bottom="1440" w:left="1800" w:header="720" w:footer="720" w:gutter="0"/>
          <w:pgNumType w:fmt="lowerRoman" w:start="1"/>
          <w:cols w:space="720"/>
          <w:titlePg/>
          <w:docGrid w:linePitch="360"/>
        </w:sectPr>
      </w:pPr>
      <w:r w:rsidRPr="008D56A9">
        <w:rPr>
          <w:rFonts w:asciiTheme="majorBidi" w:hAnsiTheme="majorBidi" w:cstheme="majorBidi"/>
          <w:b/>
          <w:bCs/>
          <w:i/>
          <w:iCs/>
        </w:rPr>
        <w:fldChar w:fldCharType="end"/>
      </w:r>
    </w:p>
    <w:p w14:paraId="1F8C677A" w14:textId="77777777" w:rsidR="00E5670F" w:rsidRPr="008D56A9" w:rsidRDefault="00E5670F" w:rsidP="00E5670F">
      <w:pPr>
        <w:pStyle w:val="Heading1"/>
        <w:rPr>
          <w:rFonts w:asciiTheme="majorBidi" w:hAnsiTheme="majorBidi" w:cstheme="majorBidi"/>
        </w:rPr>
      </w:pPr>
      <w:bookmarkStart w:id="1" w:name="_Toc247688898"/>
      <w:bookmarkStart w:id="2" w:name="_Toc258266222"/>
      <w:bookmarkStart w:id="3" w:name="_Toc258267102"/>
      <w:bookmarkStart w:id="4" w:name="_Toc325370168"/>
      <w:bookmarkStart w:id="5" w:name="_Toc421705450"/>
      <w:bookmarkStart w:id="6" w:name="_Toc517443767"/>
      <w:bookmarkStart w:id="7" w:name="_Toc536435622"/>
      <w:r w:rsidRPr="008D56A9">
        <w:rPr>
          <w:rFonts w:asciiTheme="majorBidi" w:hAnsiTheme="majorBidi" w:cstheme="majorBidi"/>
        </w:rPr>
        <w:lastRenderedPageBreak/>
        <w:t>I.</w:t>
      </w:r>
      <w:r w:rsidRPr="008D56A9">
        <w:rPr>
          <w:rFonts w:asciiTheme="majorBidi" w:hAnsiTheme="majorBidi" w:cstheme="majorBidi"/>
        </w:rPr>
        <w:tab/>
        <w:t>INTRODUCTION</w:t>
      </w:r>
      <w:bookmarkEnd w:id="1"/>
      <w:bookmarkEnd w:id="2"/>
      <w:bookmarkEnd w:id="3"/>
      <w:bookmarkEnd w:id="4"/>
      <w:bookmarkEnd w:id="5"/>
      <w:bookmarkEnd w:id="6"/>
      <w:bookmarkEnd w:id="7"/>
    </w:p>
    <w:p w14:paraId="686A6FEF" w14:textId="77777777" w:rsidR="00E5670F" w:rsidRPr="008D56A9" w:rsidRDefault="00E5670F" w:rsidP="00E5670F">
      <w:pPr>
        <w:spacing w:line="480" w:lineRule="auto"/>
        <w:rPr>
          <w:rFonts w:asciiTheme="majorBidi" w:hAnsiTheme="majorBidi" w:cstheme="majorBidi"/>
        </w:rPr>
      </w:pPr>
    </w:p>
    <w:p w14:paraId="56552201" w14:textId="77777777" w:rsidR="00E5670F" w:rsidRPr="008D56A9" w:rsidRDefault="00E5670F" w:rsidP="00E5670F">
      <w:pPr>
        <w:autoSpaceDE w:val="0"/>
        <w:autoSpaceDN w:val="0"/>
        <w:adjustRightInd w:val="0"/>
        <w:spacing w:line="480" w:lineRule="auto"/>
        <w:ind w:left="720" w:hanging="720"/>
        <w:rPr>
          <w:rFonts w:asciiTheme="majorBidi" w:hAnsiTheme="majorBidi" w:cstheme="majorBidi"/>
          <w:b/>
          <w:bCs/>
          <w:i/>
          <w:iCs/>
        </w:rPr>
      </w:pPr>
      <w:r w:rsidRPr="008D56A9">
        <w:rPr>
          <w:rFonts w:asciiTheme="majorBidi" w:hAnsiTheme="majorBidi" w:cstheme="majorBidi"/>
          <w:b/>
          <w:bCs/>
          <w:i/>
          <w:iCs/>
        </w:rPr>
        <w:t>Q1.</w:t>
      </w:r>
      <w:r w:rsidRPr="008D56A9">
        <w:rPr>
          <w:rFonts w:asciiTheme="majorBidi" w:hAnsiTheme="majorBidi" w:cstheme="majorBidi"/>
          <w:b/>
          <w:bCs/>
          <w:i/>
          <w:iCs/>
        </w:rPr>
        <w:tab/>
        <w:t>PLEASE STATE YOUR NAME, ADDRESS AND POSITION.</w:t>
      </w:r>
    </w:p>
    <w:p w14:paraId="1B0655B6" w14:textId="77777777" w:rsidR="00E5670F" w:rsidRPr="008D56A9" w:rsidRDefault="00E5670F" w:rsidP="00E5670F">
      <w:pPr>
        <w:autoSpaceDE w:val="0"/>
        <w:autoSpaceDN w:val="0"/>
        <w:adjustRightInd w:val="0"/>
        <w:spacing w:line="480" w:lineRule="auto"/>
        <w:ind w:left="720" w:hanging="720"/>
        <w:rPr>
          <w:rFonts w:asciiTheme="majorBidi" w:hAnsiTheme="majorBidi" w:cstheme="majorBidi"/>
        </w:rPr>
      </w:pPr>
      <w:r w:rsidRPr="008D56A9">
        <w:rPr>
          <w:rFonts w:asciiTheme="majorBidi" w:hAnsiTheme="majorBidi" w:cstheme="majorBidi"/>
          <w:b/>
          <w:bCs/>
          <w:i/>
          <w:iCs/>
        </w:rPr>
        <w:t>A1.</w:t>
      </w:r>
      <w:r w:rsidRPr="008D56A9">
        <w:rPr>
          <w:rFonts w:asciiTheme="majorBidi" w:hAnsiTheme="majorBidi" w:cstheme="majorBidi"/>
          <w:b/>
          <w:bCs/>
          <w:i/>
          <w:iCs/>
        </w:rPr>
        <w:tab/>
      </w:r>
      <w:r w:rsidRPr="008D56A9">
        <w:rPr>
          <w:rFonts w:asciiTheme="majorBidi" w:hAnsiTheme="majorBidi" w:cstheme="majorBidi"/>
        </w:rPr>
        <w:t>My name is Wilson Gonzalez.  My business address is 450 Whitney Avenue, Worthington, Ohio 43085.  I am the President of Tree House Energy and Economic Consulting, LLC.  I am testifying in this proceeding on behalf of the Office of the Ohio Consumers’ Counsel (“OCC”).</w:t>
      </w:r>
    </w:p>
    <w:p w14:paraId="5D12D652" w14:textId="77777777" w:rsidR="00E5670F" w:rsidRPr="008D56A9" w:rsidRDefault="00E5670F" w:rsidP="00E5670F">
      <w:pPr>
        <w:autoSpaceDE w:val="0"/>
        <w:autoSpaceDN w:val="0"/>
        <w:adjustRightInd w:val="0"/>
        <w:spacing w:line="480" w:lineRule="auto"/>
        <w:ind w:left="720" w:hanging="720"/>
        <w:rPr>
          <w:rFonts w:asciiTheme="majorBidi" w:hAnsiTheme="majorBidi" w:cstheme="majorBidi"/>
        </w:rPr>
      </w:pPr>
    </w:p>
    <w:p w14:paraId="36B4F243" w14:textId="77777777" w:rsidR="00E5670F" w:rsidRPr="008D56A9" w:rsidRDefault="00E5670F" w:rsidP="00E5670F">
      <w:pPr>
        <w:autoSpaceDE w:val="0"/>
        <w:autoSpaceDN w:val="0"/>
        <w:adjustRightInd w:val="0"/>
        <w:spacing w:line="480" w:lineRule="auto"/>
        <w:ind w:left="720" w:hanging="720"/>
        <w:rPr>
          <w:rFonts w:asciiTheme="majorBidi" w:hAnsiTheme="majorBidi" w:cstheme="majorBidi"/>
          <w:b/>
          <w:bCs/>
        </w:rPr>
      </w:pPr>
      <w:r w:rsidRPr="008D56A9">
        <w:rPr>
          <w:rFonts w:asciiTheme="majorBidi" w:hAnsiTheme="majorBidi" w:cstheme="majorBidi"/>
          <w:b/>
          <w:bCs/>
          <w:i/>
          <w:iCs/>
        </w:rPr>
        <w:t>Q2.</w:t>
      </w:r>
      <w:r w:rsidRPr="008D56A9">
        <w:rPr>
          <w:rFonts w:asciiTheme="majorBidi" w:hAnsiTheme="majorBidi" w:cstheme="majorBidi"/>
          <w:b/>
          <w:bCs/>
          <w:i/>
          <w:iCs/>
        </w:rPr>
        <w:tab/>
        <w:t>PLEASE DESCRIBE YOUR EDUCATIONAL BACKGROUND AND PROFESSIONAL EXPERIENCE.</w:t>
      </w:r>
    </w:p>
    <w:p w14:paraId="56BED273" w14:textId="77777777" w:rsidR="00E5670F" w:rsidRPr="008D56A9" w:rsidRDefault="00E5670F" w:rsidP="00E5670F">
      <w:pPr>
        <w:autoSpaceDE w:val="0"/>
        <w:autoSpaceDN w:val="0"/>
        <w:adjustRightInd w:val="0"/>
        <w:spacing w:line="480" w:lineRule="auto"/>
        <w:ind w:left="720" w:hanging="720"/>
        <w:rPr>
          <w:rFonts w:asciiTheme="majorBidi" w:hAnsiTheme="majorBidi" w:cstheme="majorBidi"/>
        </w:rPr>
      </w:pPr>
      <w:r w:rsidRPr="008D56A9">
        <w:rPr>
          <w:rFonts w:asciiTheme="majorBidi" w:hAnsiTheme="majorBidi" w:cstheme="majorBidi"/>
          <w:b/>
          <w:bCs/>
          <w:i/>
          <w:iCs/>
        </w:rPr>
        <w:t>A2.</w:t>
      </w:r>
      <w:r w:rsidRPr="008D56A9">
        <w:rPr>
          <w:rFonts w:asciiTheme="majorBidi" w:hAnsiTheme="majorBidi" w:cstheme="majorBidi"/>
          <w:b/>
          <w:bCs/>
          <w:i/>
          <w:iCs/>
        </w:rPr>
        <w:tab/>
      </w:r>
      <w:r w:rsidRPr="008D56A9">
        <w:rPr>
          <w:rFonts w:asciiTheme="majorBidi" w:hAnsiTheme="majorBidi" w:cstheme="majorBidi"/>
        </w:rPr>
        <w:t>I have a Bachelor of Arts degree in Economics from Yale University, and a Master of Arts degree in Economics from the University of Massachusetts at Amherst.  I have also completed coursework and passed my comprehensive exams towards a Ph.D. in Economics at the University of Massachusetts at Amherst.</w:t>
      </w:r>
    </w:p>
    <w:p w14:paraId="719C6502" w14:textId="77777777" w:rsidR="00E5670F" w:rsidRPr="008D56A9" w:rsidRDefault="00E5670F" w:rsidP="00E5670F">
      <w:pPr>
        <w:autoSpaceDE w:val="0"/>
        <w:autoSpaceDN w:val="0"/>
        <w:adjustRightInd w:val="0"/>
        <w:spacing w:line="480" w:lineRule="auto"/>
        <w:ind w:left="720" w:hanging="720"/>
        <w:rPr>
          <w:rFonts w:asciiTheme="majorBidi" w:hAnsiTheme="majorBidi" w:cstheme="majorBidi"/>
        </w:rPr>
      </w:pPr>
    </w:p>
    <w:p w14:paraId="17DBF8C3" w14:textId="77777777" w:rsidR="00E5670F" w:rsidRPr="008D56A9" w:rsidRDefault="00E5670F" w:rsidP="00E5670F">
      <w:pPr>
        <w:autoSpaceDE w:val="0"/>
        <w:autoSpaceDN w:val="0"/>
        <w:adjustRightInd w:val="0"/>
        <w:spacing w:line="480" w:lineRule="auto"/>
        <w:ind w:left="720"/>
        <w:rPr>
          <w:rFonts w:asciiTheme="majorBidi" w:hAnsiTheme="majorBidi" w:cstheme="majorBidi"/>
        </w:rPr>
      </w:pPr>
      <w:r w:rsidRPr="008D56A9">
        <w:rPr>
          <w:rFonts w:asciiTheme="majorBidi" w:hAnsiTheme="majorBidi" w:cstheme="majorBidi"/>
        </w:rPr>
        <w:t xml:space="preserve">I have been employed in the energy industry since 1986.  I was first employed by the Connecticut Energy Office as a Senior Economist (1986-1992).  Then I was employed by Columbia Gas Distribution Companies (“Columbia Gas”) as an Integrated Resource Planning Coordinator (1992-1996).  After that, I was employed by American Electric Power Shared Services (“AEP”) as a Marketing Profitability Coordinator and Market Research Consultant (1996-2002).  From 2004 to 2013, I managed the Resource Planning activities for OCC.  Since 2011, </w:t>
      </w:r>
      <w:r w:rsidRPr="008D56A9">
        <w:rPr>
          <w:rFonts w:asciiTheme="majorBidi" w:hAnsiTheme="majorBidi" w:cstheme="majorBidi"/>
        </w:rPr>
        <w:lastRenderedPageBreak/>
        <w:t xml:space="preserve">Tree House Energy and Economics Consulting has provided </w:t>
      </w:r>
      <w:r>
        <w:rPr>
          <w:rFonts w:asciiTheme="majorBidi" w:hAnsiTheme="majorBidi" w:cstheme="majorBidi"/>
        </w:rPr>
        <w:t xml:space="preserve">analytical and policy related </w:t>
      </w:r>
      <w:r w:rsidRPr="008D56A9">
        <w:rPr>
          <w:rFonts w:asciiTheme="majorBidi" w:hAnsiTheme="majorBidi" w:cstheme="majorBidi"/>
        </w:rPr>
        <w:t>consulting services to consumer and environmental organizations.</w:t>
      </w:r>
    </w:p>
    <w:p w14:paraId="6CE30E34" w14:textId="77777777" w:rsidR="00E5670F" w:rsidRPr="008D56A9" w:rsidRDefault="00E5670F" w:rsidP="00E5670F">
      <w:pPr>
        <w:autoSpaceDE w:val="0"/>
        <w:autoSpaceDN w:val="0"/>
        <w:adjustRightInd w:val="0"/>
        <w:spacing w:line="480" w:lineRule="auto"/>
        <w:ind w:left="720"/>
        <w:rPr>
          <w:rFonts w:asciiTheme="majorBidi" w:hAnsiTheme="majorBidi" w:cstheme="majorBidi"/>
        </w:rPr>
      </w:pPr>
    </w:p>
    <w:p w14:paraId="5DA4D806" w14:textId="77777777" w:rsidR="00E5670F" w:rsidRPr="008D56A9" w:rsidRDefault="00E5670F" w:rsidP="00E5670F">
      <w:pPr>
        <w:pStyle w:val="BodyText"/>
        <w:autoSpaceDE w:val="0"/>
        <w:autoSpaceDN w:val="0"/>
        <w:adjustRightInd w:val="0"/>
        <w:spacing w:after="0" w:line="480" w:lineRule="auto"/>
        <w:ind w:left="720" w:hanging="720"/>
        <w:rPr>
          <w:rFonts w:asciiTheme="majorBidi" w:hAnsiTheme="majorBidi" w:cstheme="majorBidi"/>
          <w:b/>
          <w:bCs/>
          <w:sz w:val="24"/>
          <w:szCs w:val="24"/>
        </w:rPr>
      </w:pPr>
      <w:r w:rsidRPr="008D56A9">
        <w:rPr>
          <w:rFonts w:asciiTheme="majorBidi" w:hAnsiTheme="majorBidi" w:cstheme="majorBidi"/>
          <w:b/>
          <w:bCs/>
          <w:i/>
          <w:iCs/>
          <w:sz w:val="24"/>
          <w:szCs w:val="24"/>
        </w:rPr>
        <w:t>Q3.</w:t>
      </w:r>
      <w:r w:rsidRPr="008D56A9">
        <w:rPr>
          <w:rFonts w:asciiTheme="majorBidi" w:hAnsiTheme="majorBidi" w:cstheme="majorBidi"/>
          <w:i/>
          <w:iCs/>
          <w:sz w:val="24"/>
          <w:szCs w:val="24"/>
        </w:rPr>
        <w:tab/>
      </w:r>
      <w:r w:rsidRPr="008D56A9">
        <w:rPr>
          <w:rFonts w:asciiTheme="majorBidi" w:hAnsiTheme="majorBidi" w:cstheme="majorBidi"/>
          <w:b/>
          <w:bCs/>
          <w:i/>
          <w:iCs/>
          <w:sz w:val="24"/>
          <w:szCs w:val="24"/>
        </w:rPr>
        <w:t>WHAT HAS BEEN YOUR EXPERIENCE IN PUCO PROCEEDINGS REGARDING STRAIGHT FIXED VARIABLE (</w:t>
      </w:r>
      <w:r>
        <w:rPr>
          <w:rFonts w:asciiTheme="majorBidi" w:hAnsiTheme="majorBidi" w:cstheme="majorBidi"/>
          <w:b/>
          <w:bCs/>
          <w:i/>
          <w:iCs/>
          <w:sz w:val="24"/>
          <w:szCs w:val="24"/>
        </w:rPr>
        <w:t>“FIXED CHARGE”</w:t>
      </w:r>
      <w:r w:rsidRPr="008D56A9">
        <w:rPr>
          <w:rFonts w:asciiTheme="majorBidi" w:hAnsiTheme="majorBidi" w:cstheme="majorBidi"/>
          <w:b/>
          <w:bCs/>
          <w:i/>
          <w:iCs/>
          <w:sz w:val="24"/>
          <w:szCs w:val="24"/>
        </w:rPr>
        <w:t>) RATE DESIGN AND REVENUE DECOUPLING MECHANISMS?</w:t>
      </w:r>
    </w:p>
    <w:p w14:paraId="18005731" w14:textId="77777777" w:rsidR="00E5670F" w:rsidRPr="008D56A9" w:rsidRDefault="00E5670F" w:rsidP="00E5670F">
      <w:pPr>
        <w:pStyle w:val="BodyText"/>
        <w:spacing w:after="0" w:line="480" w:lineRule="auto"/>
        <w:ind w:left="720" w:hanging="720"/>
        <w:rPr>
          <w:rFonts w:asciiTheme="majorBidi" w:hAnsiTheme="majorBidi" w:cstheme="majorBidi"/>
          <w:sz w:val="24"/>
          <w:szCs w:val="24"/>
        </w:rPr>
      </w:pPr>
      <w:r w:rsidRPr="008D56A9">
        <w:rPr>
          <w:rFonts w:asciiTheme="majorBidi" w:hAnsiTheme="majorBidi" w:cstheme="majorBidi"/>
          <w:b/>
          <w:bCs/>
          <w:i/>
          <w:iCs/>
          <w:sz w:val="24"/>
          <w:szCs w:val="24"/>
        </w:rPr>
        <w:t>A3.</w:t>
      </w:r>
      <w:r w:rsidRPr="008D56A9">
        <w:rPr>
          <w:rFonts w:asciiTheme="majorBidi" w:hAnsiTheme="majorBidi" w:cstheme="majorBidi"/>
          <w:i/>
          <w:iCs/>
          <w:sz w:val="24"/>
          <w:szCs w:val="24"/>
        </w:rPr>
        <w:tab/>
      </w:r>
      <w:r w:rsidRPr="008D56A9">
        <w:rPr>
          <w:rFonts w:asciiTheme="majorBidi" w:hAnsiTheme="majorBidi" w:cstheme="majorBidi"/>
          <w:sz w:val="24"/>
          <w:szCs w:val="24"/>
        </w:rPr>
        <w:t xml:space="preserve">I have been directly involved in </w:t>
      </w:r>
      <w:r>
        <w:rPr>
          <w:rFonts w:asciiTheme="majorBidi" w:hAnsiTheme="majorBidi" w:cstheme="majorBidi"/>
          <w:sz w:val="24"/>
          <w:szCs w:val="24"/>
        </w:rPr>
        <w:t>Fixed Charge</w:t>
      </w:r>
      <w:r w:rsidRPr="008D56A9">
        <w:rPr>
          <w:rFonts w:asciiTheme="majorBidi" w:hAnsiTheme="majorBidi" w:cstheme="majorBidi"/>
          <w:sz w:val="24"/>
          <w:szCs w:val="24"/>
        </w:rPr>
        <w:t xml:space="preserve"> rate design and revenue decoupling cases that have been filed before the Public Utilities Commission of Ohio (“PUCO”).  I filed testimony in the Duke Energy Ohio Case No. 07-589-GA-AIR, Vectren (“VEDO” or “</w:t>
      </w:r>
      <w:r>
        <w:rPr>
          <w:rFonts w:asciiTheme="majorBidi" w:hAnsiTheme="majorBidi" w:cstheme="majorBidi"/>
          <w:sz w:val="24"/>
          <w:szCs w:val="24"/>
        </w:rPr>
        <w:t>Utility</w:t>
      </w:r>
      <w:r w:rsidRPr="008D56A9">
        <w:rPr>
          <w:rFonts w:asciiTheme="majorBidi" w:hAnsiTheme="majorBidi" w:cstheme="majorBidi"/>
          <w:sz w:val="24"/>
          <w:szCs w:val="24"/>
        </w:rPr>
        <w:t xml:space="preserve">”) Case No. 05-1444-GA-UNC, Dominion Case No. 07-829-GA-AIR, and AEP Ohio Case No. 11-351-EL-AIR.  </w:t>
      </w:r>
    </w:p>
    <w:p w14:paraId="601DB3B0" w14:textId="77777777" w:rsidR="00E5670F" w:rsidRPr="008D56A9" w:rsidRDefault="00E5670F" w:rsidP="00E5670F">
      <w:pPr>
        <w:pStyle w:val="BodyText"/>
        <w:spacing w:after="0" w:line="480" w:lineRule="auto"/>
        <w:ind w:left="720"/>
        <w:rPr>
          <w:rFonts w:asciiTheme="majorBidi" w:hAnsiTheme="majorBidi" w:cstheme="majorBidi"/>
          <w:sz w:val="24"/>
          <w:szCs w:val="24"/>
        </w:rPr>
      </w:pPr>
    </w:p>
    <w:p w14:paraId="6E834C50" w14:textId="77777777" w:rsidR="00E5670F" w:rsidRPr="008D56A9" w:rsidRDefault="00E5670F" w:rsidP="00E5670F">
      <w:pPr>
        <w:pStyle w:val="BodyText"/>
        <w:spacing w:after="0" w:line="480" w:lineRule="auto"/>
        <w:ind w:left="720" w:hanging="720"/>
        <w:rPr>
          <w:rFonts w:asciiTheme="majorBidi" w:hAnsiTheme="majorBidi" w:cstheme="majorBidi"/>
          <w:b/>
          <w:bCs/>
          <w:i/>
          <w:iCs/>
          <w:sz w:val="24"/>
          <w:szCs w:val="24"/>
        </w:rPr>
      </w:pPr>
      <w:r w:rsidRPr="008D56A9">
        <w:rPr>
          <w:rFonts w:asciiTheme="majorBidi" w:hAnsiTheme="majorBidi" w:cstheme="majorBidi"/>
          <w:b/>
          <w:bCs/>
          <w:i/>
          <w:iCs/>
          <w:sz w:val="24"/>
          <w:szCs w:val="24"/>
        </w:rPr>
        <w:t>Q4</w:t>
      </w:r>
      <w:r w:rsidRPr="008D56A9">
        <w:rPr>
          <w:rFonts w:asciiTheme="majorBidi" w:hAnsiTheme="majorBidi" w:cstheme="majorBidi"/>
          <w:sz w:val="24"/>
          <w:szCs w:val="24"/>
        </w:rPr>
        <w:t>.</w:t>
      </w:r>
      <w:r w:rsidRPr="008D56A9">
        <w:rPr>
          <w:rFonts w:asciiTheme="majorBidi" w:hAnsiTheme="majorBidi" w:cstheme="majorBidi"/>
          <w:sz w:val="24"/>
          <w:szCs w:val="24"/>
        </w:rPr>
        <w:tab/>
      </w:r>
      <w:r w:rsidRPr="008D56A9">
        <w:rPr>
          <w:rFonts w:asciiTheme="majorBidi" w:hAnsiTheme="majorBidi" w:cstheme="majorBidi"/>
          <w:b/>
          <w:bCs/>
          <w:i/>
          <w:iCs/>
          <w:sz w:val="24"/>
          <w:szCs w:val="24"/>
        </w:rPr>
        <w:t>WHAT HAS BEEN YOUR EXPERIENCE IN OTHER REGULATORY PROCEEDINGS?</w:t>
      </w:r>
    </w:p>
    <w:p w14:paraId="3E13900D" w14:textId="77777777" w:rsidR="00E5670F" w:rsidRPr="008D56A9" w:rsidRDefault="00E5670F" w:rsidP="00E5670F">
      <w:pPr>
        <w:tabs>
          <w:tab w:val="left" w:pos="-720"/>
        </w:tabs>
        <w:spacing w:line="480" w:lineRule="auto"/>
        <w:ind w:left="720" w:hanging="720"/>
        <w:rPr>
          <w:rFonts w:asciiTheme="majorBidi" w:hAnsiTheme="majorBidi" w:cstheme="majorBidi"/>
        </w:rPr>
      </w:pPr>
      <w:r w:rsidRPr="008D56A9">
        <w:rPr>
          <w:rFonts w:asciiTheme="majorBidi" w:hAnsiTheme="majorBidi" w:cstheme="majorBidi"/>
          <w:b/>
          <w:bCs/>
          <w:i/>
          <w:iCs/>
        </w:rPr>
        <w:t>A4.</w:t>
      </w:r>
      <w:r w:rsidRPr="008D56A9">
        <w:rPr>
          <w:rFonts w:asciiTheme="majorBidi" w:hAnsiTheme="majorBidi" w:cstheme="majorBidi"/>
        </w:rPr>
        <w:tab/>
        <w:t xml:space="preserve">I have been involved with many aspects of electric utility regulation since 1986 including, but not limited to, rate design and integrated resource planning (with or without transmission as a resource in the planning mix).  While at the Connecticut Energy Office, I was involved in one of the first demand-side management (“DSM”) collaborative processes in the country -- Connecticut Department of Public Utility Control (“CDPUC”) Docket No. 87-07-01.  In that case, I analyzed the performance and cost-effectiveness of many energy efficiency programs for Connecticut’s electric and gas utilities that led to demonstration projects, policy recommendations, DSM programs (including rate design recommendations) and </w:t>
      </w:r>
      <w:r w:rsidRPr="008D56A9">
        <w:rPr>
          <w:rFonts w:asciiTheme="majorBidi" w:hAnsiTheme="majorBidi" w:cstheme="majorBidi"/>
        </w:rPr>
        <w:lastRenderedPageBreak/>
        <w:t xml:space="preserve">energy efficiency standards.  I also performed </w:t>
      </w:r>
      <w:proofErr w:type="gramStart"/>
      <w:r w:rsidRPr="008D56A9">
        <w:rPr>
          <w:rFonts w:asciiTheme="majorBidi" w:hAnsiTheme="majorBidi" w:cstheme="majorBidi"/>
        </w:rPr>
        <w:t>all of</w:t>
      </w:r>
      <w:proofErr w:type="gramEnd"/>
      <w:r w:rsidRPr="008D56A9">
        <w:rPr>
          <w:rFonts w:asciiTheme="majorBidi" w:hAnsiTheme="majorBidi" w:cstheme="majorBidi"/>
        </w:rPr>
        <w:t xml:space="preserve"> the analytical modeling for United Illuminating’s first integrated resource plan filed before the CDPUC in 1990.</w:t>
      </w:r>
    </w:p>
    <w:p w14:paraId="0F8A0749" w14:textId="77777777" w:rsidR="00E5670F" w:rsidRPr="008D56A9" w:rsidRDefault="00E5670F" w:rsidP="00E5670F">
      <w:pPr>
        <w:tabs>
          <w:tab w:val="left" w:pos="-720"/>
        </w:tabs>
        <w:spacing w:line="480" w:lineRule="auto"/>
        <w:ind w:left="720" w:hanging="720"/>
        <w:rPr>
          <w:rFonts w:asciiTheme="majorBidi" w:hAnsiTheme="majorBidi" w:cstheme="majorBidi"/>
        </w:rPr>
      </w:pPr>
    </w:p>
    <w:p w14:paraId="3D4636B7" w14:textId="77777777" w:rsidR="00E5670F" w:rsidRPr="008D56A9" w:rsidRDefault="00E5670F" w:rsidP="00E5670F">
      <w:pPr>
        <w:autoSpaceDE w:val="0"/>
        <w:autoSpaceDN w:val="0"/>
        <w:adjustRightInd w:val="0"/>
        <w:spacing w:line="480" w:lineRule="auto"/>
        <w:ind w:left="720" w:hanging="720"/>
        <w:rPr>
          <w:rFonts w:asciiTheme="majorBidi" w:hAnsiTheme="majorBidi" w:cstheme="majorBidi"/>
          <w:b/>
          <w:bCs/>
          <w:i/>
          <w:iCs/>
        </w:rPr>
      </w:pPr>
      <w:r w:rsidRPr="008D56A9">
        <w:rPr>
          <w:rFonts w:asciiTheme="majorBidi" w:hAnsiTheme="majorBidi" w:cstheme="majorBidi"/>
          <w:b/>
          <w:bCs/>
          <w:i/>
          <w:iCs/>
        </w:rPr>
        <w:t>Q5.</w:t>
      </w:r>
      <w:r w:rsidRPr="008D56A9">
        <w:rPr>
          <w:rFonts w:asciiTheme="majorBidi" w:hAnsiTheme="majorBidi" w:cstheme="majorBidi"/>
          <w:b/>
          <w:bCs/>
          <w:i/>
          <w:iCs/>
        </w:rPr>
        <w:tab/>
        <w:t>HAVE YOU PREVIOUSLY SUBMITTED TESTIMONY BEFORE THE PUBLIC UTILITIES COMMISSION OF OHIO?</w:t>
      </w:r>
    </w:p>
    <w:p w14:paraId="49ADD0FD" w14:textId="77777777" w:rsidR="00E5670F" w:rsidRPr="008D56A9" w:rsidRDefault="00E5670F" w:rsidP="00E5670F">
      <w:pPr>
        <w:autoSpaceDE w:val="0"/>
        <w:autoSpaceDN w:val="0"/>
        <w:adjustRightInd w:val="0"/>
        <w:spacing w:line="480" w:lineRule="auto"/>
        <w:ind w:left="720" w:hanging="720"/>
        <w:rPr>
          <w:rFonts w:asciiTheme="majorBidi" w:hAnsiTheme="majorBidi" w:cstheme="majorBidi"/>
          <w:b/>
          <w:bCs/>
          <w:i/>
          <w:iCs/>
        </w:rPr>
      </w:pPr>
      <w:r w:rsidRPr="008D56A9">
        <w:rPr>
          <w:rFonts w:asciiTheme="majorBidi" w:hAnsiTheme="majorBidi" w:cstheme="majorBidi"/>
          <w:b/>
          <w:bCs/>
          <w:i/>
          <w:iCs/>
        </w:rPr>
        <w:t>A5.</w:t>
      </w:r>
      <w:r w:rsidRPr="008D56A9">
        <w:rPr>
          <w:rFonts w:asciiTheme="majorBidi" w:hAnsiTheme="majorBidi" w:cstheme="majorBidi"/>
        </w:rPr>
        <w:tab/>
        <w:t>Yes.  A list of my testimony before the</w:t>
      </w:r>
      <w:r>
        <w:rPr>
          <w:rFonts w:asciiTheme="majorBidi" w:hAnsiTheme="majorBidi" w:cstheme="majorBidi"/>
        </w:rPr>
        <w:t xml:space="preserve"> Public Utilities Commission of Ohio</w:t>
      </w:r>
      <w:r w:rsidRPr="008D56A9">
        <w:rPr>
          <w:rFonts w:asciiTheme="majorBidi" w:hAnsiTheme="majorBidi" w:cstheme="majorBidi"/>
        </w:rPr>
        <w:t xml:space="preserve"> </w:t>
      </w:r>
      <w:r>
        <w:rPr>
          <w:rFonts w:asciiTheme="majorBidi" w:hAnsiTheme="majorBidi" w:cstheme="majorBidi"/>
        </w:rPr>
        <w:t>(“</w:t>
      </w:r>
      <w:r w:rsidRPr="008D56A9">
        <w:rPr>
          <w:rFonts w:asciiTheme="majorBidi" w:hAnsiTheme="majorBidi" w:cstheme="majorBidi"/>
        </w:rPr>
        <w:t>PUCO</w:t>
      </w:r>
      <w:r>
        <w:rPr>
          <w:rFonts w:asciiTheme="majorBidi" w:hAnsiTheme="majorBidi" w:cstheme="majorBidi"/>
        </w:rPr>
        <w:t>”)</w:t>
      </w:r>
      <w:r w:rsidRPr="008D56A9">
        <w:rPr>
          <w:rFonts w:asciiTheme="majorBidi" w:hAnsiTheme="majorBidi" w:cstheme="majorBidi"/>
        </w:rPr>
        <w:t xml:space="preserve"> is attached as Exhibit WG-1.</w:t>
      </w:r>
    </w:p>
    <w:p w14:paraId="2C3750D4" w14:textId="77777777" w:rsidR="00E5670F" w:rsidRPr="008D56A9" w:rsidRDefault="00E5670F" w:rsidP="00E5670F">
      <w:pPr>
        <w:autoSpaceDE w:val="0"/>
        <w:autoSpaceDN w:val="0"/>
        <w:adjustRightInd w:val="0"/>
        <w:spacing w:line="480" w:lineRule="auto"/>
        <w:ind w:left="720" w:hanging="720"/>
        <w:rPr>
          <w:rFonts w:asciiTheme="majorBidi" w:hAnsiTheme="majorBidi" w:cstheme="majorBidi"/>
          <w:b/>
          <w:bCs/>
          <w:i/>
          <w:iCs/>
        </w:rPr>
      </w:pPr>
    </w:p>
    <w:p w14:paraId="6124A377" w14:textId="77777777" w:rsidR="00E5670F" w:rsidRPr="008D56A9" w:rsidRDefault="00E5670F" w:rsidP="00E5670F">
      <w:pPr>
        <w:autoSpaceDE w:val="0"/>
        <w:autoSpaceDN w:val="0"/>
        <w:adjustRightInd w:val="0"/>
        <w:spacing w:line="480" w:lineRule="auto"/>
        <w:ind w:left="720" w:hanging="720"/>
        <w:rPr>
          <w:rFonts w:asciiTheme="majorBidi" w:hAnsiTheme="majorBidi" w:cstheme="majorBidi"/>
          <w:b/>
          <w:bCs/>
          <w:i/>
          <w:iCs/>
        </w:rPr>
      </w:pPr>
      <w:r w:rsidRPr="008D56A9">
        <w:rPr>
          <w:rFonts w:asciiTheme="majorBidi" w:hAnsiTheme="majorBidi" w:cstheme="majorBidi"/>
          <w:b/>
          <w:bCs/>
          <w:i/>
          <w:iCs/>
        </w:rPr>
        <w:t>Q6.</w:t>
      </w:r>
      <w:r w:rsidRPr="008D56A9">
        <w:rPr>
          <w:rFonts w:asciiTheme="majorBidi" w:hAnsiTheme="majorBidi" w:cstheme="majorBidi"/>
          <w:b/>
          <w:bCs/>
          <w:i/>
          <w:iCs/>
        </w:rPr>
        <w:tab/>
        <w:t xml:space="preserve">WHAT DOCUMENTS HAVE YOU REVIEWED IN THE PREPARATION OF YOUR </w:t>
      </w:r>
      <w:r>
        <w:rPr>
          <w:rFonts w:asciiTheme="majorBidi" w:hAnsiTheme="majorBidi" w:cstheme="majorBidi"/>
          <w:b/>
          <w:bCs/>
          <w:i/>
          <w:iCs/>
        </w:rPr>
        <w:t>FIXED CHARGE</w:t>
      </w:r>
      <w:r w:rsidRPr="008D56A9">
        <w:rPr>
          <w:rFonts w:asciiTheme="majorBidi" w:hAnsiTheme="majorBidi" w:cstheme="majorBidi"/>
          <w:b/>
          <w:bCs/>
          <w:i/>
          <w:iCs/>
        </w:rPr>
        <w:t xml:space="preserve"> TESTIMONY?</w:t>
      </w:r>
    </w:p>
    <w:p w14:paraId="559FECE3" w14:textId="77777777" w:rsidR="00D31239" w:rsidRDefault="00E5670F" w:rsidP="00E5670F">
      <w:pPr>
        <w:autoSpaceDE w:val="0"/>
        <w:autoSpaceDN w:val="0"/>
        <w:adjustRightInd w:val="0"/>
        <w:spacing w:line="480" w:lineRule="auto"/>
        <w:ind w:left="720" w:hanging="720"/>
        <w:sectPr w:rsidR="00D31239" w:rsidSect="00E5670F">
          <w:headerReference w:type="even" r:id="rId11"/>
          <w:headerReference w:type="default" r:id="rId12"/>
          <w:footerReference w:type="default" r:id="rId13"/>
          <w:headerReference w:type="first" r:id="rId14"/>
          <w:footerReference w:type="first" r:id="rId15"/>
          <w:pgSz w:w="12240" w:h="15840" w:code="1"/>
          <w:pgMar w:top="1440" w:right="1800" w:bottom="1440" w:left="1800" w:header="720" w:footer="576" w:gutter="0"/>
          <w:lnNumType w:countBy="1"/>
          <w:pgNumType w:start="1"/>
          <w:cols w:space="720"/>
          <w:titlePg/>
          <w:docGrid w:linePitch="360"/>
        </w:sectPr>
      </w:pPr>
      <w:r w:rsidRPr="008D56A9">
        <w:rPr>
          <w:rFonts w:asciiTheme="majorBidi" w:hAnsiTheme="majorBidi" w:cstheme="majorBidi"/>
          <w:b/>
          <w:bCs/>
          <w:i/>
          <w:iCs/>
        </w:rPr>
        <w:t>A6</w:t>
      </w:r>
      <w:r w:rsidRPr="008D56A9">
        <w:rPr>
          <w:rFonts w:asciiTheme="majorBidi" w:hAnsiTheme="majorBidi" w:cstheme="majorBidi"/>
          <w:b/>
          <w:bCs/>
        </w:rPr>
        <w:t>.</w:t>
      </w:r>
      <w:r w:rsidRPr="008D56A9">
        <w:rPr>
          <w:rFonts w:asciiTheme="majorBidi" w:hAnsiTheme="majorBidi" w:cstheme="majorBidi"/>
          <w:b/>
          <w:bCs/>
        </w:rPr>
        <w:tab/>
      </w:r>
      <w:r w:rsidRPr="008D56A9">
        <w:rPr>
          <w:rFonts w:asciiTheme="majorBidi" w:hAnsiTheme="majorBidi" w:cstheme="majorBidi"/>
        </w:rPr>
        <w:t xml:space="preserve">I have reviewed the rate design portions of VEDO’s Rate </w:t>
      </w:r>
      <w:r w:rsidR="00253A66">
        <w:rPr>
          <w:rFonts w:asciiTheme="majorBidi" w:hAnsiTheme="majorBidi" w:cstheme="majorBidi"/>
        </w:rPr>
        <w:t xml:space="preserve">Increase </w:t>
      </w:r>
      <w:r w:rsidRPr="008D56A9">
        <w:rPr>
          <w:rFonts w:asciiTheme="majorBidi" w:hAnsiTheme="majorBidi" w:cstheme="majorBidi"/>
        </w:rPr>
        <w:t xml:space="preserve">Application (“Application”), the Direct Testimony of VEDO witnesses Scott Albertson and Rina Harris, and the Staff Report in this proceeding.  </w:t>
      </w:r>
      <w:r w:rsidR="00095466" w:rsidRPr="00AE3D38">
        <w:t xml:space="preserve">Finally, I have reviewed </w:t>
      </w:r>
      <w:r w:rsidR="00095466">
        <w:t>the relevant residential rate design related sections</w:t>
      </w:r>
      <w:r w:rsidR="00095466" w:rsidRPr="00AE3D38">
        <w:t xml:space="preserve"> in the </w:t>
      </w:r>
      <w:r w:rsidR="00D77DC7">
        <w:t>Stipulation and Recommendations (“</w:t>
      </w:r>
      <w:r w:rsidR="00095466">
        <w:t>Settlement</w:t>
      </w:r>
      <w:r w:rsidR="00D77DC7">
        <w:t>”)</w:t>
      </w:r>
      <w:r w:rsidR="00095466" w:rsidRPr="00AE3D38">
        <w:t xml:space="preserve"> filed by </w:t>
      </w:r>
      <w:r w:rsidR="00095466">
        <w:t>VEDO</w:t>
      </w:r>
      <w:r w:rsidR="00095466" w:rsidRPr="00AE3D38">
        <w:t xml:space="preserve"> on </w:t>
      </w:r>
      <w:r w:rsidR="00095466">
        <w:t>January 4</w:t>
      </w:r>
      <w:r w:rsidR="00095466" w:rsidRPr="00AE3D38">
        <w:t>, 201</w:t>
      </w:r>
      <w:r w:rsidR="00095466">
        <w:t>9</w:t>
      </w:r>
      <w:r w:rsidR="00095466" w:rsidRPr="00AE3D38">
        <w:t>.</w:t>
      </w:r>
    </w:p>
    <w:p w14:paraId="734FA670" w14:textId="77777777" w:rsidR="00E5670F" w:rsidRPr="008D56A9" w:rsidRDefault="00E5670F" w:rsidP="00E5670F">
      <w:pPr>
        <w:pStyle w:val="Heading1"/>
        <w:rPr>
          <w:rFonts w:asciiTheme="majorBidi" w:hAnsiTheme="majorBidi" w:cstheme="majorBidi"/>
        </w:rPr>
      </w:pPr>
      <w:bookmarkStart w:id="8" w:name="_Toc247688899"/>
      <w:bookmarkStart w:id="9" w:name="_Toc258266223"/>
      <w:bookmarkStart w:id="10" w:name="_Toc258267103"/>
      <w:bookmarkStart w:id="11" w:name="_Toc325370169"/>
      <w:bookmarkStart w:id="12" w:name="_Toc421705451"/>
      <w:bookmarkStart w:id="13" w:name="_Toc517443768"/>
      <w:bookmarkStart w:id="14" w:name="_Toc536435623"/>
      <w:r w:rsidRPr="008D56A9">
        <w:rPr>
          <w:rFonts w:asciiTheme="majorBidi" w:hAnsiTheme="majorBidi" w:cstheme="majorBidi"/>
        </w:rPr>
        <w:lastRenderedPageBreak/>
        <w:t>II.</w:t>
      </w:r>
      <w:r w:rsidRPr="008D56A9">
        <w:rPr>
          <w:rFonts w:asciiTheme="majorBidi" w:hAnsiTheme="majorBidi" w:cstheme="majorBidi"/>
        </w:rPr>
        <w:tab/>
        <w:t xml:space="preserve">PURPOSE OF </w:t>
      </w:r>
      <w:bookmarkEnd w:id="8"/>
      <w:bookmarkEnd w:id="9"/>
      <w:bookmarkEnd w:id="10"/>
      <w:r w:rsidRPr="008D56A9">
        <w:rPr>
          <w:rFonts w:asciiTheme="majorBidi" w:hAnsiTheme="majorBidi" w:cstheme="majorBidi"/>
        </w:rPr>
        <w:t>TESTIMONY AND RECOMMENDATIONS</w:t>
      </w:r>
      <w:bookmarkEnd w:id="11"/>
      <w:bookmarkEnd w:id="12"/>
      <w:bookmarkEnd w:id="13"/>
      <w:bookmarkEnd w:id="14"/>
    </w:p>
    <w:p w14:paraId="51B11F0E" w14:textId="77777777" w:rsidR="00E5670F" w:rsidRPr="008D56A9" w:rsidRDefault="00E5670F" w:rsidP="00E5670F">
      <w:pPr>
        <w:spacing w:line="480" w:lineRule="auto"/>
        <w:ind w:left="1080"/>
        <w:rPr>
          <w:rFonts w:asciiTheme="majorBidi" w:hAnsiTheme="majorBidi" w:cstheme="majorBidi"/>
        </w:rPr>
      </w:pPr>
    </w:p>
    <w:p w14:paraId="13014C68" w14:textId="77777777" w:rsidR="00E5670F" w:rsidRPr="008D56A9" w:rsidRDefault="00E5670F" w:rsidP="00E5670F">
      <w:pPr>
        <w:autoSpaceDE w:val="0"/>
        <w:autoSpaceDN w:val="0"/>
        <w:adjustRightInd w:val="0"/>
        <w:spacing w:line="480" w:lineRule="auto"/>
        <w:ind w:left="720" w:hanging="720"/>
        <w:rPr>
          <w:rFonts w:asciiTheme="majorBidi" w:hAnsiTheme="majorBidi" w:cstheme="majorBidi"/>
          <w:b/>
          <w:bCs/>
          <w:i/>
          <w:iCs/>
        </w:rPr>
      </w:pPr>
      <w:r w:rsidRPr="008D56A9">
        <w:rPr>
          <w:rFonts w:asciiTheme="majorBidi" w:hAnsiTheme="majorBidi" w:cstheme="majorBidi"/>
          <w:b/>
          <w:bCs/>
          <w:i/>
          <w:iCs/>
        </w:rPr>
        <w:t>Q7.</w:t>
      </w:r>
      <w:r w:rsidRPr="008D56A9">
        <w:rPr>
          <w:rFonts w:asciiTheme="majorBidi" w:hAnsiTheme="majorBidi" w:cstheme="majorBidi"/>
          <w:b/>
          <w:bCs/>
          <w:i/>
          <w:iCs/>
        </w:rPr>
        <w:tab/>
        <w:t>WHAT IS THE PURPOSE OF YOUR TESTIMONY?</w:t>
      </w:r>
    </w:p>
    <w:p w14:paraId="33DCEFF9" w14:textId="77777777" w:rsidR="00E5670F" w:rsidRDefault="00E5670F" w:rsidP="00E5670F">
      <w:pPr>
        <w:autoSpaceDE w:val="0"/>
        <w:autoSpaceDN w:val="0"/>
        <w:adjustRightInd w:val="0"/>
        <w:spacing w:line="480" w:lineRule="auto"/>
        <w:ind w:left="720" w:hanging="720"/>
        <w:rPr>
          <w:rFonts w:asciiTheme="majorBidi" w:hAnsiTheme="majorBidi" w:cstheme="majorBidi"/>
          <w:bCs/>
        </w:rPr>
      </w:pPr>
      <w:r w:rsidRPr="008D56A9">
        <w:rPr>
          <w:rFonts w:asciiTheme="majorBidi" w:hAnsiTheme="majorBidi" w:cstheme="majorBidi"/>
          <w:b/>
          <w:bCs/>
          <w:i/>
          <w:iCs/>
        </w:rPr>
        <w:t>A7.</w:t>
      </w:r>
      <w:r w:rsidRPr="008D56A9">
        <w:rPr>
          <w:rFonts w:asciiTheme="majorBidi" w:hAnsiTheme="majorBidi" w:cstheme="majorBidi"/>
          <w:b/>
          <w:bCs/>
          <w:i/>
          <w:iCs/>
        </w:rPr>
        <w:tab/>
      </w:r>
      <w:r w:rsidRPr="008D56A9">
        <w:rPr>
          <w:rFonts w:asciiTheme="majorBidi" w:hAnsiTheme="majorBidi" w:cstheme="majorBidi"/>
          <w:bCs/>
        </w:rPr>
        <w:t>My testimony concerns VEDO’s strict</w:t>
      </w:r>
      <w:r>
        <w:rPr>
          <w:rStyle w:val="FootnoteReference"/>
          <w:rFonts w:asciiTheme="majorBidi" w:hAnsiTheme="majorBidi" w:cstheme="majorBidi"/>
        </w:rPr>
        <w:footnoteReference w:id="2"/>
      </w:r>
      <w:r w:rsidRPr="008D56A9">
        <w:rPr>
          <w:rFonts w:asciiTheme="majorBidi" w:hAnsiTheme="majorBidi" w:cstheme="majorBidi"/>
          <w:bCs/>
        </w:rPr>
        <w:t xml:space="preserve"> </w:t>
      </w:r>
      <w:r>
        <w:rPr>
          <w:rFonts w:asciiTheme="majorBidi" w:hAnsiTheme="majorBidi" w:cstheme="majorBidi"/>
          <w:bCs/>
        </w:rPr>
        <w:t>Fixed Charge</w:t>
      </w:r>
      <w:r w:rsidRPr="008D56A9">
        <w:rPr>
          <w:rFonts w:asciiTheme="majorBidi" w:hAnsiTheme="majorBidi" w:cstheme="majorBidi"/>
          <w:bCs/>
        </w:rPr>
        <w:t xml:space="preserve"> rate design</w:t>
      </w:r>
      <w:r w:rsidR="00095466">
        <w:rPr>
          <w:rFonts w:asciiTheme="majorBidi" w:hAnsiTheme="majorBidi" w:cstheme="majorBidi"/>
          <w:bCs/>
        </w:rPr>
        <w:t xml:space="preserve"> </w:t>
      </w:r>
      <w:r w:rsidR="00D77DC7">
        <w:rPr>
          <w:rFonts w:asciiTheme="majorBidi" w:hAnsiTheme="majorBidi" w:cstheme="majorBidi"/>
          <w:bCs/>
        </w:rPr>
        <w:t xml:space="preserve">that has been </w:t>
      </w:r>
      <w:r w:rsidR="00095466">
        <w:rPr>
          <w:rFonts w:asciiTheme="majorBidi" w:hAnsiTheme="majorBidi" w:cstheme="majorBidi"/>
          <w:bCs/>
        </w:rPr>
        <w:t xml:space="preserve">adopted in the filed </w:t>
      </w:r>
      <w:r w:rsidR="00D77DC7">
        <w:rPr>
          <w:rFonts w:asciiTheme="majorBidi" w:hAnsiTheme="majorBidi" w:cstheme="majorBidi"/>
          <w:bCs/>
        </w:rPr>
        <w:t>S</w:t>
      </w:r>
      <w:r w:rsidR="00095466">
        <w:rPr>
          <w:rFonts w:asciiTheme="majorBidi" w:hAnsiTheme="majorBidi" w:cstheme="majorBidi"/>
          <w:bCs/>
        </w:rPr>
        <w:t>ettlement</w:t>
      </w:r>
      <w:r w:rsidR="00D77DC7">
        <w:rPr>
          <w:rFonts w:asciiTheme="majorBidi" w:hAnsiTheme="majorBidi" w:cstheme="majorBidi"/>
          <w:bCs/>
        </w:rPr>
        <w:t>,</w:t>
      </w:r>
      <w:r w:rsidRPr="008D56A9">
        <w:rPr>
          <w:rFonts w:asciiTheme="majorBidi" w:hAnsiTheme="majorBidi" w:cstheme="majorBidi"/>
          <w:bCs/>
        </w:rPr>
        <w:t xml:space="preserve"> and its significant</w:t>
      </w:r>
      <w:r>
        <w:rPr>
          <w:rFonts w:asciiTheme="majorBidi" w:hAnsiTheme="majorBidi" w:cstheme="majorBidi"/>
          <w:bCs/>
        </w:rPr>
        <w:t xml:space="preserve"> negative</w:t>
      </w:r>
      <w:r w:rsidRPr="008D56A9">
        <w:rPr>
          <w:rFonts w:asciiTheme="majorBidi" w:hAnsiTheme="majorBidi" w:cstheme="majorBidi"/>
          <w:bCs/>
        </w:rPr>
        <w:t xml:space="preserve"> bill impact on low income residential customers</w:t>
      </w:r>
      <w:r>
        <w:rPr>
          <w:rFonts w:asciiTheme="majorBidi" w:hAnsiTheme="majorBidi" w:cstheme="majorBidi"/>
          <w:bCs/>
        </w:rPr>
        <w:t xml:space="preserve"> with low usage,</w:t>
      </w:r>
      <w:r w:rsidRPr="008D56A9">
        <w:rPr>
          <w:rFonts w:asciiTheme="majorBidi" w:hAnsiTheme="majorBidi" w:cstheme="majorBidi"/>
          <w:bCs/>
        </w:rPr>
        <w:t xml:space="preserve"> and </w:t>
      </w:r>
      <w:r>
        <w:rPr>
          <w:rFonts w:asciiTheme="majorBidi" w:hAnsiTheme="majorBidi" w:cstheme="majorBidi"/>
          <w:bCs/>
        </w:rPr>
        <w:t xml:space="preserve">regular </w:t>
      </w:r>
      <w:r w:rsidRPr="008D56A9">
        <w:rPr>
          <w:rFonts w:asciiTheme="majorBidi" w:hAnsiTheme="majorBidi" w:cstheme="majorBidi"/>
          <w:bCs/>
        </w:rPr>
        <w:t xml:space="preserve">low usage residential customers if the </w:t>
      </w:r>
      <w:r>
        <w:rPr>
          <w:rFonts w:asciiTheme="majorBidi" w:hAnsiTheme="majorBidi" w:cstheme="majorBidi"/>
          <w:bCs/>
        </w:rPr>
        <w:t>Utility</w:t>
      </w:r>
      <w:r w:rsidRPr="008D56A9">
        <w:rPr>
          <w:rFonts w:asciiTheme="majorBidi" w:hAnsiTheme="majorBidi" w:cstheme="majorBidi"/>
          <w:bCs/>
        </w:rPr>
        <w:t xml:space="preserve">’s rate increase is approved.  </w:t>
      </w:r>
    </w:p>
    <w:p w14:paraId="3DEEF428" w14:textId="77777777" w:rsidR="00E5670F" w:rsidRDefault="00E5670F" w:rsidP="00E5670F">
      <w:pPr>
        <w:autoSpaceDE w:val="0"/>
        <w:autoSpaceDN w:val="0"/>
        <w:adjustRightInd w:val="0"/>
        <w:spacing w:line="480" w:lineRule="auto"/>
        <w:ind w:left="720"/>
        <w:rPr>
          <w:rFonts w:asciiTheme="majorBidi" w:hAnsiTheme="majorBidi" w:cstheme="majorBidi"/>
          <w:bCs/>
        </w:rPr>
      </w:pPr>
      <w:r>
        <w:rPr>
          <w:rFonts w:asciiTheme="majorBidi" w:hAnsiTheme="majorBidi" w:cstheme="majorBidi"/>
          <w:bCs/>
        </w:rPr>
        <w:t>I recommend the rejection of</w:t>
      </w:r>
      <w:r>
        <w:t xml:space="preserve"> VEDO’s proposed Fixed Charge rate design (Objection 11), meaning the fixed charge should be reduced below the current $ 18.37.</w:t>
      </w:r>
      <w:r w:rsidRPr="00F81E82">
        <w:rPr>
          <w:rStyle w:val="FootnoteReference"/>
          <w:rFonts w:asciiTheme="majorBidi" w:hAnsiTheme="majorBidi" w:cstheme="majorBidi"/>
        </w:rPr>
        <w:t xml:space="preserve"> </w:t>
      </w:r>
      <w:r>
        <w:rPr>
          <w:rStyle w:val="FootnoteReference"/>
          <w:rFonts w:asciiTheme="majorBidi" w:hAnsiTheme="majorBidi" w:cstheme="majorBidi"/>
        </w:rPr>
        <w:footnoteReference w:id="3"/>
      </w:r>
      <w:r>
        <w:t xml:space="preserve">  A Fixed Charge rate design adversely impacts low-usage customers, sends an improper price signal to customers, fails to encourage customer-initiated conservation, and adversely impacts customer efficiency efforts.</w:t>
      </w:r>
    </w:p>
    <w:p w14:paraId="13196E10" w14:textId="77777777" w:rsidR="00E5670F" w:rsidRDefault="00E5670F" w:rsidP="00E5670F">
      <w:pPr>
        <w:autoSpaceDE w:val="0"/>
        <w:autoSpaceDN w:val="0"/>
        <w:adjustRightInd w:val="0"/>
        <w:spacing w:line="480" w:lineRule="auto"/>
        <w:ind w:left="720" w:hanging="720"/>
        <w:rPr>
          <w:rFonts w:asciiTheme="majorBidi" w:hAnsiTheme="majorBidi" w:cstheme="majorBidi"/>
          <w:bCs/>
        </w:rPr>
      </w:pPr>
    </w:p>
    <w:p w14:paraId="51A012E2" w14:textId="77777777" w:rsidR="00E5670F" w:rsidRPr="008D56A9" w:rsidRDefault="00E5670F" w:rsidP="00E5670F">
      <w:pPr>
        <w:autoSpaceDE w:val="0"/>
        <w:autoSpaceDN w:val="0"/>
        <w:adjustRightInd w:val="0"/>
        <w:spacing w:line="480" w:lineRule="auto"/>
        <w:ind w:left="720"/>
        <w:rPr>
          <w:rFonts w:asciiTheme="majorBidi" w:hAnsiTheme="majorBidi" w:cstheme="majorBidi"/>
          <w:bCs/>
        </w:rPr>
      </w:pPr>
      <w:r>
        <w:rPr>
          <w:rFonts w:asciiTheme="majorBidi" w:hAnsiTheme="majorBidi" w:cstheme="majorBidi"/>
          <w:bCs/>
        </w:rPr>
        <w:t>As a secondary alternative position (Objections 13 and 14)</w:t>
      </w:r>
      <w:r w:rsidRPr="008D56A9">
        <w:rPr>
          <w:rFonts w:asciiTheme="majorBidi" w:hAnsiTheme="majorBidi" w:cstheme="majorBidi"/>
          <w:bCs/>
        </w:rPr>
        <w:t xml:space="preserve">, I recommend that the </w:t>
      </w:r>
      <w:r>
        <w:rPr>
          <w:rFonts w:asciiTheme="majorBidi" w:hAnsiTheme="majorBidi" w:cstheme="majorBidi"/>
          <w:bCs/>
        </w:rPr>
        <w:t>PUCO</w:t>
      </w:r>
      <w:r w:rsidRPr="008D56A9">
        <w:rPr>
          <w:rFonts w:asciiTheme="majorBidi" w:hAnsiTheme="majorBidi" w:cstheme="majorBidi"/>
          <w:bCs/>
        </w:rPr>
        <w:t xml:space="preserve"> </w:t>
      </w:r>
      <w:r>
        <w:rPr>
          <w:rFonts w:asciiTheme="majorBidi" w:hAnsiTheme="majorBidi" w:cstheme="majorBidi"/>
          <w:bCs/>
        </w:rPr>
        <w:t xml:space="preserve">maintain the $18.37 fixed charge and </w:t>
      </w:r>
      <w:r w:rsidRPr="008D56A9">
        <w:rPr>
          <w:rFonts w:asciiTheme="majorBidi" w:hAnsiTheme="majorBidi" w:cstheme="majorBidi"/>
          <w:bCs/>
        </w:rPr>
        <w:t xml:space="preserve">reassign </w:t>
      </w:r>
      <w:r>
        <w:rPr>
          <w:rFonts w:asciiTheme="majorBidi" w:hAnsiTheme="majorBidi" w:cstheme="majorBidi"/>
          <w:bCs/>
        </w:rPr>
        <w:t xml:space="preserve">any </w:t>
      </w:r>
      <w:r w:rsidRPr="008D56A9">
        <w:rPr>
          <w:rFonts w:asciiTheme="majorBidi" w:hAnsiTheme="majorBidi" w:cstheme="majorBidi"/>
          <w:bCs/>
        </w:rPr>
        <w:t xml:space="preserve">base rate increases </w:t>
      </w:r>
      <w:r>
        <w:rPr>
          <w:rFonts w:asciiTheme="majorBidi" w:hAnsiTheme="majorBidi" w:cstheme="majorBidi"/>
          <w:bCs/>
        </w:rPr>
        <w:t xml:space="preserve">to be approved </w:t>
      </w:r>
      <w:r w:rsidRPr="008D56A9">
        <w:rPr>
          <w:rFonts w:asciiTheme="majorBidi" w:hAnsiTheme="majorBidi" w:cstheme="majorBidi"/>
          <w:bCs/>
        </w:rPr>
        <w:t xml:space="preserve">and existing </w:t>
      </w:r>
      <w:r>
        <w:rPr>
          <w:rFonts w:asciiTheme="majorBidi" w:hAnsiTheme="majorBidi" w:cstheme="majorBidi"/>
          <w:bCs/>
        </w:rPr>
        <w:t>Distribution Replacement Rider</w:t>
      </w:r>
      <w:r w:rsidR="00943A67">
        <w:rPr>
          <w:rFonts w:asciiTheme="majorBidi" w:hAnsiTheme="majorBidi" w:cstheme="majorBidi"/>
          <w:bCs/>
        </w:rPr>
        <w:t xml:space="preserve"> </w:t>
      </w:r>
      <w:r>
        <w:rPr>
          <w:rFonts w:asciiTheme="majorBidi" w:hAnsiTheme="majorBidi" w:cstheme="majorBidi"/>
          <w:bCs/>
        </w:rPr>
        <w:t>(“</w:t>
      </w:r>
      <w:r w:rsidRPr="008D56A9">
        <w:rPr>
          <w:rFonts w:asciiTheme="majorBidi" w:hAnsiTheme="majorBidi" w:cstheme="majorBidi"/>
          <w:bCs/>
        </w:rPr>
        <w:t>DRR</w:t>
      </w:r>
      <w:r>
        <w:rPr>
          <w:rFonts w:asciiTheme="majorBidi" w:hAnsiTheme="majorBidi" w:cstheme="majorBidi"/>
          <w:bCs/>
        </w:rPr>
        <w:t>”)</w:t>
      </w:r>
      <w:r w:rsidRPr="008D56A9">
        <w:rPr>
          <w:rFonts w:asciiTheme="majorBidi" w:hAnsiTheme="majorBidi" w:cstheme="majorBidi"/>
          <w:bCs/>
        </w:rPr>
        <w:t xml:space="preserve"> </w:t>
      </w:r>
      <w:r w:rsidR="00D77DC7">
        <w:rPr>
          <w:rFonts w:asciiTheme="majorBidi" w:hAnsiTheme="majorBidi" w:cstheme="majorBidi"/>
          <w:bCs/>
        </w:rPr>
        <w:t xml:space="preserve">and the Capital Expenditure Program (“CEP”) rider </w:t>
      </w:r>
      <w:r w:rsidR="006A4162" w:rsidRPr="008D56A9">
        <w:rPr>
          <w:rFonts w:asciiTheme="majorBidi" w:hAnsiTheme="majorBidi" w:cstheme="majorBidi"/>
          <w:bCs/>
        </w:rPr>
        <w:t>charge</w:t>
      </w:r>
      <w:r w:rsidR="006A4162">
        <w:rPr>
          <w:rFonts w:asciiTheme="majorBidi" w:hAnsiTheme="majorBidi" w:cstheme="majorBidi"/>
          <w:bCs/>
        </w:rPr>
        <w:t>s</w:t>
      </w:r>
      <w:r w:rsidR="006A4162" w:rsidRPr="008D56A9">
        <w:rPr>
          <w:rFonts w:asciiTheme="majorBidi" w:hAnsiTheme="majorBidi" w:cstheme="majorBidi"/>
          <w:bCs/>
        </w:rPr>
        <w:t xml:space="preserve"> </w:t>
      </w:r>
      <w:r w:rsidRPr="008D56A9">
        <w:rPr>
          <w:rFonts w:asciiTheme="majorBidi" w:hAnsiTheme="majorBidi" w:cstheme="majorBidi"/>
          <w:bCs/>
        </w:rPr>
        <w:t>from a fixed customer charge to a volumetric charge in order to provide bill relief to low usage customers.  VEDO</w:t>
      </w:r>
      <w:r w:rsidR="00D77DC7">
        <w:rPr>
          <w:rFonts w:asciiTheme="majorBidi" w:hAnsiTheme="majorBidi" w:cstheme="majorBidi"/>
          <w:bCs/>
        </w:rPr>
        <w:t xml:space="preserve"> </w:t>
      </w:r>
      <w:r w:rsidR="00D77DC7">
        <w:rPr>
          <w:rFonts w:asciiTheme="majorBidi" w:hAnsiTheme="majorBidi" w:cstheme="majorBidi"/>
          <w:bCs/>
        </w:rPr>
        <w:lastRenderedPageBreak/>
        <w:t>and the Settlement’</w:t>
      </w:r>
      <w:r w:rsidRPr="008D56A9">
        <w:rPr>
          <w:rFonts w:asciiTheme="majorBidi" w:hAnsiTheme="majorBidi" w:cstheme="majorBidi"/>
          <w:bCs/>
        </w:rPr>
        <w:t xml:space="preserve">s proposal to continue a strict </w:t>
      </w:r>
      <w:r>
        <w:rPr>
          <w:rFonts w:asciiTheme="majorBidi" w:hAnsiTheme="majorBidi" w:cstheme="majorBidi"/>
          <w:bCs/>
        </w:rPr>
        <w:t>Fixed Charge</w:t>
      </w:r>
      <w:r w:rsidRPr="008D56A9">
        <w:rPr>
          <w:rFonts w:asciiTheme="majorBidi" w:hAnsiTheme="majorBidi" w:cstheme="majorBidi"/>
          <w:bCs/>
        </w:rPr>
        <w:t xml:space="preserve"> rate design is problematic because it:</w:t>
      </w:r>
    </w:p>
    <w:p w14:paraId="0501555A" w14:textId="77777777" w:rsidR="00E5670F" w:rsidRPr="008D56A9" w:rsidRDefault="00E5670F" w:rsidP="00E5670F">
      <w:pPr>
        <w:pStyle w:val="ListParagraph"/>
        <w:numPr>
          <w:ilvl w:val="0"/>
          <w:numId w:val="36"/>
        </w:numPr>
        <w:autoSpaceDE w:val="0"/>
        <w:autoSpaceDN w:val="0"/>
        <w:adjustRightInd w:val="0"/>
        <w:spacing w:line="480" w:lineRule="auto"/>
        <w:ind w:left="2160" w:right="720" w:hanging="720"/>
        <w:rPr>
          <w:rFonts w:asciiTheme="majorBidi" w:hAnsiTheme="majorBidi" w:cstheme="majorBidi"/>
          <w:bCs/>
        </w:rPr>
      </w:pPr>
      <w:r w:rsidRPr="008D56A9">
        <w:rPr>
          <w:rFonts w:asciiTheme="majorBidi" w:hAnsiTheme="majorBidi" w:cstheme="majorBidi"/>
          <w:bCs/>
          <w:sz w:val="24"/>
          <w:szCs w:val="24"/>
        </w:rPr>
        <w:t>penalizes those customers who have undertaken energy efficiency investments</w:t>
      </w:r>
      <w:r>
        <w:rPr>
          <w:rFonts w:asciiTheme="majorBidi" w:hAnsiTheme="majorBidi" w:cstheme="majorBidi"/>
          <w:bCs/>
          <w:sz w:val="24"/>
          <w:szCs w:val="24"/>
        </w:rPr>
        <w:t>,</w:t>
      </w:r>
    </w:p>
    <w:p w14:paraId="1F340ABB" w14:textId="77777777" w:rsidR="00E5670F" w:rsidRPr="008D56A9" w:rsidRDefault="00E5670F" w:rsidP="00E5670F">
      <w:pPr>
        <w:pStyle w:val="ListParagraph"/>
        <w:numPr>
          <w:ilvl w:val="0"/>
          <w:numId w:val="36"/>
        </w:numPr>
        <w:autoSpaceDE w:val="0"/>
        <w:autoSpaceDN w:val="0"/>
        <w:adjustRightInd w:val="0"/>
        <w:spacing w:line="480" w:lineRule="auto"/>
        <w:ind w:left="2160" w:right="720" w:hanging="720"/>
        <w:rPr>
          <w:rFonts w:asciiTheme="majorBidi" w:hAnsiTheme="majorBidi" w:cstheme="majorBidi"/>
          <w:bCs/>
        </w:rPr>
      </w:pPr>
      <w:r w:rsidRPr="008D56A9">
        <w:rPr>
          <w:rFonts w:asciiTheme="majorBidi" w:hAnsiTheme="majorBidi" w:cstheme="majorBidi"/>
          <w:bCs/>
          <w:sz w:val="24"/>
          <w:szCs w:val="24"/>
        </w:rPr>
        <w:t>leads to less energy efficiency by lessening consumer incentives for self-initiated efficiency</w:t>
      </w:r>
      <w:r>
        <w:rPr>
          <w:rFonts w:asciiTheme="majorBidi" w:hAnsiTheme="majorBidi" w:cstheme="majorBidi"/>
          <w:bCs/>
          <w:sz w:val="24"/>
          <w:szCs w:val="24"/>
        </w:rPr>
        <w:t>,</w:t>
      </w:r>
    </w:p>
    <w:p w14:paraId="2A8C61C8" w14:textId="77777777" w:rsidR="00E5670F" w:rsidRPr="008D56A9" w:rsidRDefault="00E5670F" w:rsidP="00E5670F">
      <w:pPr>
        <w:pStyle w:val="ListParagraph"/>
        <w:numPr>
          <w:ilvl w:val="0"/>
          <w:numId w:val="36"/>
        </w:numPr>
        <w:autoSpaceDE w:val="0"/>
        <w:autoSpaceDN w:val="0"/>
        <w:adjustRightInd w:val="0"/>
        <w:spacing w:line="480" w:lineRule="auto"/>
        <w:ind w:left="2160" w:right="720" w:hanging="720"/>
        <w:rPr>
          <w:rFonts w:asciiTheme="majorBidi" w:hAnsiTheme="majorBidi" w:cstheme="majorBidi"/>
          <w:bCs/>
        </w:rPr>
      </w:pPr>
      <w:r>
        <w:rPr>
          <w:rFonts w:asciiTheme="majorBidi" w:hAnsiTheme="majorBidi" w:cstheme="majorBidi"/>
          <w:bCs/>
          <w:sz w:val="24"/>
          <w:szCs w:val="24"/>
        </w:rPr>
        <w:t>sends improper</w:t>
      </w:r>
      <w:r w:rsidRPr="008D56A9">
        <w:rPr>
          <w:rFonts w:asciiTheme="majorBidi" w:hAnsiTheme="majorBidi" w:cstheme="majorBidi"/>
          <w:bCs/>
          <w:sz w:val="24"/>
          <w:szCs w:val="24"/>
        </w:rPr>
        <w:t xml:space="preserve"> price signals, encouraging more natural gas consumption that may conflict with energy efficiency policy goals</w:t>
      </w:r>
      <w:r>
        <w:rPr>
          <w:rFonts w:asciiTheme="majorBidi" w:hAnsiTheme="majorBidi" w:cstheme="majorBidi"/>
          <w:bCs/>
          <w:sz w:val="24"/>
          <w:szCs w:val="24"/>
        </w:rPr>
        <w:t>,</w:t>
      </w:r>
    </w:p>
    <w:p w14:paraId="668FF1D2" w14:textId="77777777" w:rsidR="00E5670F" w:rsidRPr="008D56A9" w:rsidRDefault="00E5670F" w:rsidP="00E5670F">
      <w:pPr>
        <w:pStyle w:val="ListParagraph"/>
        <w:numPr>
          <w:ilvl w:val="0"/>
          <w:numId w:val="36"/>
        </w:numPr>
        <w:autoSpaceDE w:val="0"/>
        <w:autoSpaceDN w:val="0"/>
        <w:adjustRightInd w:val="0"/>
        <w:spacing w:line="480" w:lineRule="auto"/>
        <w:ind w:left="2160" w:right="720" w:hanging="720"/>
        <w:rPr>
          <w:rFonts w:asciiTheme="majorBidi" w:hAnsiTheme="majorBidi" w:cstheme="majorBidi"/>
          <w:bCs/>
        </w:rPr>
      </w:pPr>
      <w:r w:rsidRPr="008D56A9">
        <w:rPr>
          <w:rFonts w:asciiTheme="majorBidi" w:hAnsiTheme="majorBidi" w:cstheme="majorBidi"/>
          <w:bCs/>
          <w:sz w:val="24"/>
          <w:szCs w:val="24"/>
        </w:rPr>
        <w:t>has a more extreme impact when compared to a revenue reconciling form of decoupling</w:t>
      </w:r>
      <w:r>
        <w:rPr>
          <w:rFonts w:asciiTheme="majorBidi" w:hAnsiTheme="majorBidi" w:cstheme="majorBidi"/>
          <w:bCs/>
          <w:sz w:val="24"/>
          <w:szCs w:val="24"/>
        </w:rPr>
        <w:t>,</w:t>
      </w:r>
    </w:p>
    <w:p w14:paraId="3B3D0006" w14:textId="77777777" w:rsidR="00E5670F" w:rsidRPr="008D56A9" w:rsidRDefault="00E5670F" w:rsidP="00E5670F">
      <w:pPr>
        <w:pStyle w:val="ListParagraph"/>
        <w:numPr>
          <w:ilvl w:val="0"/>
          <w:numId w:val="36"/>
        </w:numPr>
        <w:autoSpaceDE w:val="0"/>
        <w:autoSpaceDN w:val="0"/>
        <w:adjustRightInd w:val="0"/>
        <w:spacing w:line="480" w:lineRule="auto"/>
        <w:ind w:left="2160" w:right="720" w:hanging="720"/>
        <w:rPr>
          <w:rFonts w:asciiTheme="majorBidi" w:hAnsiTheme="majorBidi" w:cstheme="majorBidi"/>
          <w:bCs/>
        </w:rPr>
      </w:pPr>
      <w:r w:rsidRPr="008D56A9">
        <w:rPr>
          <w:rFonts w:asciiTheme="majorBidi" w:hAnsiTheme="majorBidi" w:cstheme="majorBidi"/>
          <w:bCs/>
          <w:sz w:val="24"/>
          <w:szCs w:val="24"/>
        </w:rPr>
        <w:t>violates the tenant of Gradualism for low use customers</w:t>
      </w:r>
      <w:r>
        <w:rPr>
          <w:rFonts w:asciiTheme="majorBidi" w:hAnsiTheme="majorBidi" w:cstheme="majorBidi"/>
          <w:bCs/>
          <w:sz w:val="24"/>
          <w:szCs w:val="24"/>
        </w:rPr>
        <w:t>,</w:t>
      </w:r>
    </w:p>
    <w:p w14:paraId="2E36ADE3" w14:textId="77777777" w:rsidR="00E5670F" w:rsidRPr="008D56A9" w:rsidRDefault="00E5670F" w:rsidP="00E5670F">
      <w:pPr>
        <w:pStyle w:val="ListParagraph"/>
        <w:numPr>
          <w:ilvl w:val="0"/>
          <w:numId w:val="36"/>
        </w:numPr>
        <w:autoSpaceDE w:val="0"/>
        <w:autoSpaceDN w:val="0"/>
        <w:adjustRightInd w:val="0"/>
        <w:spacing w:line="480" w:lineRule="auto"/>
        <w:ind w:left="2160" w:right="720" w:hanging="720"/>
        <w:rPr>
          <w:rFonts w:asciiTheme="majorBidi" w:hAnsiTheme="majorBidi" w:cstheme="majorBidi"/>
          <w:bCs/>
        </w:rPr>
      </w:pPr>
      <w:r w:rsidRPr="008D56A9">
        <w:rPr>
          <w:rFonts w:asciiTheme="majorBidi" w:hAnsiTheme="majorBidi" w:cstheme="majorBidi"/>
          <w:bCs/>
          <w:sz w:val="24"/>
          <w:szCs w:val="24"/>
        </w:rPr>
        <w:t xml:space="preserve">takes away some of the control customers </w:t>
      </w:r>
      <w:proofErr w:type="gramStart"/>
      <w:r w:rsidRPr="008D56A9">
        <w:rPr>
          <w:rFonts w:asciiTheme="majorBidi" w:hAnsiTheme="majorBidi" w:cstheme="majorBidi"/>
          <w:bCs/>
          <w:sz w:val="24"/>
          <w:szCs w:val="24"/>
        </w:rPr>
        <w:t>have to</w:t>
      </w:r>
      <w:proofErr w:type="gramEnd"/>
      <w:r w:rsidRPr="008D56A9">
        <w:rPr>
          <w:rFonts w:asciiTheme="majorBidi" w:hAnsiTheme="majorBidi" w:cstheme="majorBidi"/>
          <w:bCs/>
          <w:sz w:val="24"/>
          <w:szCs w:val="24"/>
        </w:rPr>
        <w:t xml:space="preserve"> manage their utility bills</w:t>
      </w:r>
      <w:r>
        <w:rPr>
          <w:rFonts w:asciiTheme="majorBidi" w:hAnsiTheme="majorBidi" w:cstheme="majorBidi"/>
          <w:bCs/>
          <w:sz w:val="24"/>
          <w:szCs w:val="24"/>
        </w:rPr>
        <w:t>,</w:t>
      </w:r>
    </w:p>
    <w:p w14:paraId="02B9B0CA" w14:textId="77777777" w:rsidR="00E5670F" w:rsidRPr="008D56A9" w:rsidRDefault="00E5670F" w:rsidP="00E5670F">
      <w:pPr>
        <w:pStyle w:val="ListParagraph"/>
        <w:numPr>
          <w:ilvl w:val="0"/>
          <w:numId w:val="36"/>
        </w:numPr>
        <w:autoSpaceDE w:val="0"/>
        <w:autoSpaceDN w:val="0"/>
        <w:adjustRightInd w:val="0"/>
        <w:spacing w:line="480" w:lineRule="auto"/>
        <w:ind w:left="2160" w:right="720" w:hanging="720"/>
        <w:rPr>
          <w:rFonts w:asciiTheme="majorBidi" w:hAnsiTheme="majorBidi" w:cstheme="majorBidi"/>
          <w:bCs/>
        </w:rPr>
      </w:pPr>
      <w:r w:rsidRPr="008D56A9">
        <w:rPr>
          <w:rFonts w:asciiTheme="majorBidi" w:hAnsiTheme="majorBidi" w:cstheme="majorBidi"/>
          <w:bCs/>
          <w:sz w:val="24"/>
          <w:szCs w:val="24"/>
        </w:rPr>
        <w:t>may cause very low usage customers to drop off the system</w:t>
      </w:r>
      <w:r>
        <w:rPr>
          <w:rFonts w:asciiTheme="majorBidi" w:hAnsiTheme="majorBidi" w:cstheme="majorBidi"/>
          <w:bCs/>
          <w:sz w:val="24"/>
          <w:szCs w:val="24"/>
        </w:rPr>
        <w:t>,</w:t>
      </w:r>
    </w:p>
    <w:p w14:paraId="28BFE843" w14:textId="77777777" w:rsidR="00E5670F" w:rsidRPr="008D56A9" w:rsidRDefault="00E5670F" w:rsidP="00E5670F">
      <w:pPr>
        <w:pStyle w:val="ListParagraph"/>
        <w:numPr>
          <w:ilvl w:val="0"/>
          <w:numId w:val="36"/>
        </w:numPr>
        <w:autoSpaceDE w:val="0"/>
        <w:autoSpaceDN w:val="0"/>
        <w:adjustRightInd w:val="0"/>
        <w:spacing w:line="480" w:lineRule="auto"/>
        <w:ind w:left="2160" w:right="720" w:hanging="720"/>
        <w:rPr>
          <w:rFonts w:asciiTheme="majorBidi" w:hAnsiTheme="majorBidi" w:cstheme="majorBidi"/>
          <w:bCs/>
        </w:rPr>
      </w:pPr>
      <w:r w:rsidRPr="008D56A9">
        <w:rPr>
          <w:rFonts w:asciiTheme="majorBidi" w:hAnsiTheme="majorBidi" w:cstheme="majorBidi"/>
          <w:bCs/>
          <w:sz w:val="24"/>
          <w:szCs w:val="24"/>
        </w:rPr>
        <w:t>is an exercise of monopoly power</w:t>
      </w:r>
      <w:r>
        <w:rPr>
          <w:rFonts w:asciiTheme="majorBidi" w:hAnsiTheme="majorBidi" w:cstheme="majorBidi"/>
          <w:bCs/>
          <w:sz w:val="24"/>
          <w:szCs w:val="24"/>
        </w:rPr>
        <w:t xml:space="preserve">, </w:t>
      </w:r>
      <w:proofErr w:type="gramStart"/>
      <w:r>
        <w:rPr>
          <w:rFonts w:asciiTheme="majorBidi" w:hAnsiTheme="majorBidi" w:cstheme="majorBidi"/>
          <w:bCs/>
          <w:sz w:val="24"/>
          <w:szCs w:val="24"/>
        </w:rPr>
        <w:t>and</w:t>
      </w:r>
      <w:proofErr w:type="gramEnd"/>
    </w:p>
    <w:p w14:paraId="653E12A1" w14:textId="77777777" w:rsidR="00E5670F" w:rsidRPr="008D56A9" w:rsidRDefault="00E5670F" w:rsidP="00E5670F">
      <w:pPr>
        <w:pStyle w:val="ListParagraph"/>
        <w:numPr>
          <w:ilvl w:val="0"/>
          <w:numId w:val="36"/>
        </w:numPr>
        <w:autoSpaceDE w:val="0"/>
        <w:autoSpaceDN w:val="0"/>
        <w:adjustRightInd w:val="0"/>
        <w:spacing w:line="480" w:lineRule="auto"/>
        <w:ind w:left="2160" w:right="720" w:hanging="720"/>
        <w:rPr>
          <w:rFonts w:asciiTheme="majorBidi" w:hAnsiTheme="majorBidi" w:cstheme="majorBidi"/>
          <w:b/>
          <w:bCs/>
          <w:i/>
          <w:iCs/>
        </w:rPr>
      </w:pPr>
      <w:r w:rsidRPr="008D56A9">
        <w:rPr>
          <w:rFonts w:asciiTheme="majorBidi" w:hAnsiTheme="majorBidi" w:cstheme="majorBidi"/>
          <w:bCs/>
          <w:sz w:val="24"/>
          <w:szCs w:val="24"/>
        </w:rPr>
        <w:t>is not particularly fair since all residential consumers contribute equally to VEDO’s distribution revenue</w:t>
      </w:r>
      <w:r w:rsidRPr="008D56A9">
        <w:rPr>
          <w:rFonts w:asciiTheme="majorBidi" w:hAnsiTheme="majorBidi" w:cstheme="majorBidi"/>
          <w:sz w:val="24"/>
          <w:szCs w:val="24"/>
        </w:rPr>
        <w:t xml:space="preserve"> regardless of the level of their usage. </w:t>
      </w:r>
    </w:p>
    <w:p w14:paraId="195D957D" w14:textId="77777777" w:rsidR="00D31239" w:rsidRDefault="00CF1616" w:rsidP="00D31239">
      <w:pPr>
        <w:pStyle w:val="ListParagraph"/>
        <w:spacing w:line="480" w:lineRule="auto"/>
        <w:rPr>
          <w:rFonts w:ascii="Times New Roman" w:hAnsi="Times New Roman" w:cs="Times New Roman"/>
          <w:sz w:val="24"/>
          <w:szCs w:val="24"/>
        </w:rPr>
      </w:pPr>
      <w:r w:rsidRPr="007B19CB">
        <w:rPr>
          <w:rFonts w:ascii="Times New Roman" w:hAnsi="Times New Roman" w:cs="Times New Roman"/>
          <w:bCs/>
          <w:iCs/>
          <w:sz w:val="24"/>
          <w:szCs w:val="24"/>
        </w:rPr>
        <w:lastRenderedPageBreak/>
        <w:t xml:space="preserve">Therefore, VEDO’s residential rate designs </w:t>
      </w:r>
      <w:r w:rsidRPr="007B19CB">
        <w:rPr>
          <w:rFonts w:ascii="Times New Roman" w:hAnsi="Times New Roman" w:cs="Times New Roman"/>
          <w:sz w:val="24"/>
          <w:szCs w:val="24"/>
        </w:rPr>
        <w:t>adopted by the filed Settlement are not in the public interest.</w:t>
      </w:r>
    </w:p>
    <w:p w14:paraId="363C9E93" w14:textId="77777777" w:rsidR="00D31239" w:rsidRDefault="00D31239" w:rsidP="00D31239">
      <w:pPr>
        <w:pStyle w:val="ListParagraph"/>
        <w:spacing w:after="0" w:line="480" w:lineRule="auto"/>
        <w:rPr>
          <w:rFonts w:ascii="Times New Roman" w:hAnsi="Times New Roman" w:cs="Times New Roman"/>
          <w:sz w:val="24"/>
          <w:szCs w:val="24"/>
        </w:rPr>
      </w:pPr>
    </w:p>
    <w:p w14:paraId="4E9C2FCA" w14:textId="77777777" w:rsidR="00E5670F" w:rsidRPr="008D56A9" w:rsidRDefault="00E5670F" w:rsidP="00D31239">
      <w:pPr>
        <w:pStyle w:val="ListParagraph"/>
        <w:spacing w:line="480" w:lineRule="auto"/>
        <w:ind w:left="0"/>
        <w:rPr>
          <w:rFonts w:asciiTheme="majorBidi" w:hAnsiTheme="majorBidi" w:cstheme="majorBidi"/>
          <w:b/>
          <w:bCs/>
          <w:i/>
          <w:iCs/>
        </w:rPr>
      </w:pPr>
      <w:r w:rsidRPr="008D56A9">
        <w:rPr>
          <w:rFonts w:asciiTheme="majorBidi" w:hAnsiTheme="majorBidi" w:cstheme="majorBidi"/>
          <w:b/>
          <w:bCs/>
          <w:i/>
          <w:iCs/>
        </w:rPr>
        <w:t>Q8.</w:t>
      </w:r>
      <w:r w:rsidRPr="008D56A9">
        <w:rPr>
          <w:rFonts w:asciiTheme="majorBidi" w:hAnsiTheme="majorBidi" w:cstheme="majorBidi"/>
          <w:b/>
          <w:bCs/>
          <w:i/>
          <w:iCs/>
        </w:rPr>
        <w:tab/>
        <w:t>PLEASE SUMMARIZE YOUR RECOMMENDATIONS.</w:t>
      </w:r>
    </w:p>
    <w:p w14:paraId="58E22FAC" w14:textId="5654D542" w:rsidR="00E5670F" w:rsidRDefault="00E5670F" w:rsidP="00E5670F">
      <w:pPr>
        <w:spacing w:line="480" w:lineRule="auto"/>
        <w:ind w:left="720" w:hanging="720"/>
        <w:rPr>
          <w:rFonts w:asciiTheme="majorBidi" w:hAnsiTheme="majorBidi" w:cstheme="majorBidi"/>
        </w:rPr>
      </w:pPr>
      <w:r w:rsidRPr="008D56A9">
        <w:rPr>
          <w:rFonts w:asciiTheme="majorBidi" w:hAnsiTheme="majorBidi" w:cstheme="majorBidi"/>
          <w:b/>
          <w:bCs/>
          <w:i/>
          <w:iCs/>
        </w:rPr>
        <w:t>A8</w:t>
      </w:r>
      <w:r w:rsidRPr="008D56A9">
        <w:rPr>
          <w:rFonts w:asciiTheme="majorBidi" w:hAnsiTheme="majorBidi" w:cstheme="majorBidi"/>
          <w:b/>
          <w:bCs/>
        </w:rPr>
        <w:t>.</w:t>
      </w:r>
      <w:r w:rsidRPr="008D56A9">
        <w:rPr>
          <w:rFonts w:asciiTheme="majorBidi" w:hAnsiTheme="majorBidi" w:cstheme="majorBidi"/>
          <w:b/>
          <w:bCs/>
        </w:rPr>
        <w:tab/>
      </w:r>
      <w:r w:rsidR="00CF1616" w:rsidRPr="00AE3D38">
        <w:t xml:space="preserve">I recommend that the PUCO reject the Settlement filed in this proceeding because it violates the three-prong test that the PUCO uses in evaluating </w:t>
      </w:r>
      <w:r w:rsidR="00CF1616">
        <w:t xml:space="preserve">the approval of </w:t>
      </w:r>
      <w:r w:rsidR="00CF1616" w:rsidRPr="00AE3D38">
        <w:t xml:space="preserve">settlements. </w:t>
      </w:r>
      <w:r w:rsidR="00CF1616">
        <w:t xml:space="preserve"> </w:t>
      </w:r>
      <w:r>
        <w:t xml:space="preserve">The level of fixed charges that will be realized if the filed Settlement is approved, will harm low usage customers (low income and non-low income) and are not in the public interest.   Specifically, </w:t>
      </w:r>
      <w:r w:rsidRPr="008D56A9">
        <w:rPr>
          <w:rFonts w:asciiTheme="majorBidi" w:hAnsiTheme="majorBidi" w:cstheme="majorBidi"/>
        </w:rPr>
        <w:t>I recommend that the</w:t>
      </w:r>
      <w:r>
        <w:rPr>
          <w:rFonts w:asciiTheme="majorBidi" w:hAnsiTheme="majorBidi" w:cstheme="majorBidi"/>
        </w:rPr>
        <w:t xml:space="preserve"> better approach for customers is for the</w:t>
      </w:r>
      <w:r w:rsidRPr="008D56A9">
        <w:rPr>
          <w:rFonts w:asciiTheme="majorBidi" w:hAnsiTheme="majorBidi" w:cstheme="majorBidi"/>
        </w:rPr>
        <w:t xml:space="preserve"> PUCO</w:t>
      </w:r>
      <w:r>
        <w:rPr>
          <w:rFonts w:asciiTheme="majorBidi" w:hAnsiTheme="majorBidi" w:cstheme="majorBidi"/>
        </w:rPr>
        <w:t xml:space="preserve"> to</w:t>
      </w:r>
      <w:r w:rsidRPr="008D56A9">
        <w:rPr>
          <w:rFonts w:asciiTheme="majorBidi" w:hAnsiTheme="majorBidi" w:cstheme="majorBidi"/>
        </w:rPr>
        <w:t xml:space="preserve"> reject VEDO’s </w:t>
      </w:r>
      <w:r w:rsidR="00CF1616">
        <w:rPr>
          <w:rFonts w:asciiTheme="majorBidi" w:hAnsiTheme="majorBidi" w:cstheme="majorBidi"/>
        </w:rPr>
        <w:t xml:space="preserve">and the </w:t>
      </w:r>
      <w:r>
        <w:rPr>
          <w:rFonts w:asciiTheme="majorBidi" w:hAnsiTheme="majorBidi" w:cstheme="majorBidi"/>
        </w:rPr>
        <w:t>S</w:t>
      </w:r>
      <w:r w:rsidR="00CF1616">
        <w:rPr>
          <w:rFonts w:asciiTheme="majorBidi" w:hAnsiTheme="majorBidi" w:cstheme="majorBidi"/>
        </w:rPr>
        <w:t xml:space="preserve">ettlement’s </w:t>
      </w:r>
      <w:r w:rsidRPr="008D56A9">
        <w:rPr>
          <w:rFonts w:asciiTheme="majorBidi" w:hAnsiTheme="majorBidi" w:cstheme="majorBidi"/>
        </w:rPr>
        <w:t xml:space="preserve">adherence to a </w:t>
      </w:r>
      <w:r>
        <w:rPr>
          <w:rFonts w:asciiTheme="majorBidi" w:hAnsiTheme="majorBidi" w:cstheme="majorBidi"/>
        </w:rPr>
        <w:t>Fixed Charge</w:t>
      </w:r>
      <w:r w:rsidRPr="008D56A9">
        <w:rPr>
          <w:rFonts w:asciiTheme="majorBidi" w:hAnsiTheme="majorBidi" w:cstheme="majorBidi"/>
        </w:rPr>
        <w:t xml:space="preserve"> rate design</w:t>
      </w:r>
      <w:r>
        <w:rPr>
          <w:rFonts w:asciiTheme="majorBidi" w:hAnsiTheme="majorBidi" w:cstheme="majorBidi"/>
        </w:rPr>
        <w:t xml:space="preserve"> and reduce the current fixed charge of $18.37 to pre-Fixed Charge customer charge levels.  </w:t>
      </w:r>
    </w:p>
    <w:p w14:paraId="784BCAC6" w14:textId="77777777" w:rsidR="00E5670F" w:rsidRDefault="00E5670F" w:rsidP="00E5670F">
      <w:pPr>
        <w:spacing w:line="480" w:lineRule="auto"/>
        <w:ind w:left="720"/>
        <w:rPr>
          <w:rFonts w:asciiTheme="majorBidi" w:hAnsiTheme="majorBidi" w:cstheme="majorBidi"/>
        </w:rPr>
      </w:pPr>
      <w:r>
        <w:rPr>
          <w:rFonts w:asciiTheme="majorBidi" w:hAnsiTheme="majorBidi" w:cstheme="majorBidi"/>
        </w:rPr>
        <w:t xml:space="preserve">As a secondary alternative, I recommend that the PUCO maintain the current Fixed Charge residential charge of $18.37 </w:t>
      </w:r>
      <w:r w:rsidRPr="008D56A9">
        <w:rPr>
          <w:rFonts w:asciiTheme="majorBidi" w:hAnsiTheme="majorBidi" w:cstheme="majorBidi"/>
        </w:rPr>
        <w:t xml:space="preserve">and apply any </w:t>
      </w:r>
      <w:r>
        <w:rPr>
          <w:rFonts w:asciiTheme="majorBidi" w:hAnsiTheme="majorBidi" w:cstheme="majorBidi"/>
        </w:rPr>
        <w:t>PUCO</w:t>
      </w:r>
      <w:r w:rsidRPr="008D56A9">
        <w:rPr>
          <w:rFonts w:asciiTheme="majorBidi" w:hAnsiTheme="majorBidi" w:cstheme="majorBidi"/>
        </w:rPr>
        <w:t xml:space="preserve"> approved base rate increases </w:t>
      </w:r>
      <w:r>
        <w:rPr>
          <w:rFonts w:asciiTheme="majorBidi" w:hAnsiTheme="majorBidi" w:cstheme="majorBidi"/>
        </w:rPr>
        <w:t xml:space="preserve">and DRR </w:t>
      </w:r>
      <w:r w:rsidR="00CF1616">
        <w:rPr>
          <w:rFonts w:asciiTheme="majorBidi" w:hAnsiTheme="majorBidi" w:cstheme="majorBidi"/>
        </w:rPr>
        <w:t xml:space="preserve">and CEP </w:t>
      </w:r>
      <w:r w:rsidRPr="008D56A9">
        <w:rPr>
          <w:rFonts w:asciiTheme="majorBidi" w:hAnsiTheme="majorBidi" w:cstheme="majorBidi"/>
        </w:rPr>
        <w:t xml:space="preserve">to a volumetric rate component. </w:t>
      </w:r>
      <w:r>
        <w:rPr>
          <w:rFonts w:asciiTheme="majorBidi" w:hAnsiTheme="majorBidi" w:cstheme="majorBidi"/>
        </w:rPr>
        <w:t xml:space="preserve"> </w:t>
      </w:r>
      <w:r w:rsidRPr="008D56A9">
        <w:rPr>
          <w:rFonts w:asciiTheme="majorBidi" w:hAnsiTheme="majorBidi" w:cstheme="majorBidi"/>
        </w:rPr>
        <w:t xml:space="preserve"> </w:t>
      </w:r>
    </w:p>
    <w:p w14:paraId="0EAF0059" w14:textId="77777777" w:rsidR="00E5670F" w:rsidRDefault="00E5670F" w:rsidP="00E5670F">
      <w:pPr>
        <w:spacing w:line="480" w:lineRule="auto"/>
        <w:ind w:left="720"/>
        <w:rPr>
          <w:rFonts w:asciiTheme="majorBidi" w:hAnsiTheme="majorBidi" w:cstheme="majorBidi"/>
        </w:rPr>
      </w:pPr>
    </w:p>
    <w:p w14:paraId="6AAD17E4" w14:textId="0FA803C8" w:rsidR="00E5670F" w:rsidRPr="008D56A9" w:rsidRDefault="00E5670F" w:rsidP="00E5670F">
      <w:pPr>
        <w:spacing w:line="480" w:lineRule="auto"/>
        <w:ind w:left="720"/>
        <w:rPr>
          <w:rFonts w:asciiTheme="majorBidi" w:hAnsiTheme="majorBidi" w:cstheme="majorBidi"/>
        </w:rPr>
      </w:pPr>
      <w:r w:rsidRPr="008D56A9">
        <w:rPr>
          <w:rFonts w:asciiTheme="majorBidi" w:hAnsiTheme="majorBidi" w:cstheme="majorBidi"/>
        </w:rPr>
        <w:t>In addition</w:t>
      </w:r>
      <w:r>
        <w:rPr>
          <w:rFonts w:asciiTheme="majorBidi" w:hAnsiTheme="majorBidi" w:cstheme="majorBidi"/>
        </w:rPr>
        <w:t xml:space="preserve"> (Objection 16)</w:t>
      </w:r>
      <w:r w:rsidRPr="008D56A9">
        <w:rPr>
          <w:rFonts w:asciiTheme="majorBidi" w:hAnsiTheme="majorBidi" w:cstheme="majorBidi"/>
        </w:rPr>
        <w:t xml:space="preserve">, the </w:t>
      </w:r>
      <w:r>
        <w:rPr>
          <w:rFonts w:asciiTheme="majorBidi" w:hAnsiTheme="majorBidi" w:cstheme="majorBidi"/>
        </w:rPr>
        <w:t>PUCO</w:t>
      </w:r>
      <w:r w:rsidRPr="008D56A9">
        <w:rPr>
          <w:rFonts w:asciiTheme="majorBidi" w:hAnsiTheme="majorBidi" w:cstheme="majorBidi"/>
        </w:rPr>
        <w:t xml:space="preserve"> should also approve a volumetric revenue decoupling mechanism.</w:t>
      </w:r>
      <w:r>
        <w:rPr>
          <w:rFonts w:asciiTheme="majorBidi" w:hAnsiTheme="majorBidi" w:cstheme="majorBidi"/>
        </w:rPr>
        <w:t xml:space="preserve">   This symmetrical mechanism will reconcile VEDO’s revenue </w:t>
      </w:r>
      <w:r w:rsidR="00253A66">
        <w:rPr>
          <w:rFonts w:asciiTheme="majorBidi" w:hAnsiTheme="majorBidi" w:cstheme="majorBidi"/>
        </w:rPr>
        <w:t>through an annual</w:t>
      </w:r>
      <w:r>
        <w:rPr>
          <w:rFonts w:asciiTheme="majorBidi" w:hAnsiTheme="majorBidi" w:cstheme="majorBidi"/>
        </w:rPr>
        <w:t xml:space="preserve"> true-up and provide residential customers with a credit when VEDO’s authorized revenue requirement is exceeded. </w:t>
      </w:r>
    </w:p>
    <w:p w14:paraId="0D7A8390" w14:textId="77777777" w:rsidR="00E5670F" w:rsidRPr="008D56A9" w:rsidRDefault="00E5670F" w:rsidP="00E5670F">
      <w:pPr>
        <w:pStyle w:val="Heading1"/>
        <w:rPr>
          <w:rFonts w:asciiTheme="majorBidi" w:hAnsiTheme="majorBidi" w:cstheme="majorBidi"/>
        </w:rPr>
      </w:pPr>
      <w:bookmarkStart w:id="15" w:name="_Toc421705452"/>
      <w:bookmarkStart w:id="16" w:name="_Toc517443769"/>
      <w:bookmarkStart w:id="17" w:name="_Toc536435624"/>
      <w:r w:rsidRPr="008D56A9">
        <w:rPr>
          <w:rFonts w:asciiTheme="majorBidi" w:hAnsiTheme="majorBidi" w:cstheme="majorBidi"/>
        </w:rPr>
        <w:lastRenderedPageBreak/>
        <w:t>III.</w:t>
      </w:r>
      <w:r w:rsidRPr="008D56A9">
        <w:rPr>
          <w:rFonts w:asciiTheme="majorBidi" w:hAnsiTheme="majorBidi" w:cstheme="majorBidi"/>
        </w:rPr>
        <w:tab/>
      </w:r>
      <w:r w:rsidRPr="00AE3D38">
        <w:t>EVALUATION OF THE STIPULATION REGARDING THE THREE-PRONG TEST USED BY THE PUCO FOR EVALUATING SETTLEMENTS.</w:t>
      </w:r>
      <w:bookmarkEnd w:id="15"/>
      <w:bookmarkEnd w:id="16"/>
      <w:bookmarkEnd w:id="17"/>
    </w:p>
    <w:p w14:paraId="3015D6D9" w14:textId="77777777" w:rsidR="00E5670F" w:rsidRPr="008D56A9" w:rsidRDefault="00E5670F" w:rsidP="00E5670F">
      <w:pPr>
        <w:spacing w:line="480" w:lineRule="auto"/>
        <w:rPr>
          <w:rFonts w:asciiTheme="majorBidi" w:hAnsiTheme="majorBidi" w:cstheme="majorBidi"/>
        </w:rPr>
      </w:pPr>
    </w:p>
    <w:p w14:paraId="50E00AC3" w14:textId="77777777" w:rsidR="00E5670F" w:rsidRPr="00AE3D38" w:rsidRDefault="00E5670F" w:rsidP="00E5670F">
      <w:pPr>
        <w:spacing w:line="480" w:lineRule="auto"/>
        <w:ind w:left="720" w:hanging="720"/>
        <w:rPr>
          <w:b/>
          <w:bCs/>
          <w:i/>
          <w:iCs/>
        </w:rPr>
      </w:pPr>
      <w:r w:rsidRPr="00AE3D38">
        <w:rPr>
          <w:b/>
          <w:bCs/>
          <w:i/>
          <w:iCs/>
        </w:rPr>
        <w:t>Q9.</w:t>
      </w:r>
      <w:r w:rsidRPr="00AE3D38">
        <w:rPr>
          <w:b/>
          <w:bCs/>
          <w:i/>
          <w:iCs/>
        </w:rPr>
        <w:tab/>
        <w:t>WHAT CRITERIA DOES THE PUCO RELY UPON FOR CONSIDERING WHETHER TO ADOPT A STIPULATION?</w:t>
      </w:r>
    </w:p>
    <w:p w14:paraId="3E09C311" w14:textId="77777777" w:rsidR="00E5670F" w:rsidRPr="00AE3D38" w:rsidRDefault="00E5670F" w:rsidP="00E5670F">
      <w:pPr>
        <w:spacing w:line="480" w:lineRule="auto"/>
        <w:ind w:left="720" w:hanging="720"/>
        <w:rPr>
          <w:bCs/>
          <w:iCs/>
        </w:rPr>
      </w:pPr>
      <w:r w:rsidRPr="00AE3D38">
        <w:rPr>
          <w:b/>
          <w:bCs/>
          <w:i/>
          <w:iCs/>
        </w:rPr>
        <w:t>A9.</w:t>
      </w:r>
      <w:r w:rsidRPr="00AE3D38">
        <w:rPr>
          <w:b/>
          <w:bCs/>
          <w:iCs/>
        </w:rPr>
        <w:tab/>
      </w:r>
      <w:r w:rsidRPr="00AE3D38">
        <w:rPr>
          <w:bCs/>
          <w:iCs/>
        </w:rPr>
        <w:t>The PUCO will adopt a stipulation only if it meets all three criteria below. The PUCO must analyze the Settlement and decide the following:</w:t>
      </w:r>
    </w:p>
    <w:p w14:paraId="178D300E" w14:textId="77777777" w:rsidR="00E5670F" w:rsidRPr="00AE3D38" w:rsidRDefault="00E5670F" w:rsidP="00E5670F">
      <w:pPr>
        <w:pStyle w:val="ListParagraph"/>
        <w:numPr>
          <w:ilvl w:val="0"/>
          <w:numId w:val="32"/>
        </w:numPr>
        <w:spacing w:line="480" w:lineRule="auto"/>
        <w:ind w:left="2160" w:right="720" w:hanging="720"/>
        <w:rPr>
          <w:rFonts w:ascii="Times New Roman" w:hAnsi="Times New Roman" w:cs="Times New Roman"/>
          <w:bCs/>
          <w:iCs/>
          <w:sz w:val="24"/>
          <w:szCs w:val="24"/>
        </w:rPr>
      </w:pPr>
      <w:r w:rsidRPr="00AE3D38">
        <w:rPr>
          <w:rFonts w:ascii="Times New Roman" w:hAnsi="Times New Roman" w:cs="Times New Roman"/>
          <w:bCs/>
          <w:iCs/>
          <w:sz w:val="24"/>
          <w:szCs w:val="24"/>
        </w:rPr>
        <w:t>Is the settlement a product of serious bargaining among capable, knowledgeable parties?</w:t>
      </w:r>
    </w:p>
    <w:p w14:paraId="1E794A80" w14:textId="77777777" w:rsidR="00E5670F" w:rsidRPr="00AE3D38" w:rsidRDefault="00E5670F" w:rsidP="00E5670F">
      <w:pPr>
        <w:pStyle w:val="ListParagraph"/>
        <w:numPr>
          <w:ilvl w:val="0"/>
          <w:numId w:val="32"/>
        </w:numPr>
        <w:spacing w:line="480" w:lineRule="auto"/>
        <w:ind w:left="2160" w:right="720" w:hanging="720"/>
        <w:rPr>
          <w:rFonts w:ascii="Times New Roman" w:hAnsi="Times New Roman" w:cs="Times New Roman"/>
          <w:bCs/>
          <w:iCs/>
          <w:sz w:val="24"/>
          <w:szCs w:val="24"/>
        </w:rPr>
      </w:pPr>
      <w:r w:rsidRPr="00AE3D38">
        <w:rPr>
          <w:rFonts w:ascii="Times New Roman" w:hAnsi="Times New Roman" w:cs="Times New Roman"/>
          <w:bCs/>
          <w:iCs/>
          <w:sz w:val="24"/>
          <w:szCs w:val="24"/>
        </w:rPr>
        <w:t>Does the settlement, as a package, benefit customers and the public interest?</w:t>
      </w:r>
    </w:p>
    <w:p w14:paraId="2E2BD9EE" w14:textId="77777777" w:rsidR="00E5670F" w:rsidRDefault="00E5670F" w:rsidP="00E5670F">
      <w:pPr>
        <w:pStyle w:val="ListParagraph"/>
        <w:numPr>
          <w:ilvl w:val="0"/>
          <w:numId w:val="32"/>
        </w:numPr>
        <w:spacing w:line="480" w:lineRule="auto"/>
        <w:ind w:left="2160" w:right="720" w:hanging="720"/>
        <w:rPr>
          <w:rFonts w:ascii="Times New Roman" w:hAnsi="Times New Roman" w:cs="Times New Roman"/>
          <w:bCs/>
          <w:iCs/>
          <w:sz w:val="24"/>
          <w:szCs w:val="24"/>
        </w:rPr>
      </w:pPr>
      <w:r w:rsidRPr="00AE3D38">
        <w:rPr>
          <w:rFonts w:ascii="Times New Roman" w:hAnsi="Times New Roman" w:cs="Times New Roman"/>
          <w:bCs/>
          <w:iCs/>
          <w:sz w:val="24"/>
          <w:szCs w:val="24"/>
        </w:rPr>
        <w:t>Does the settlement package violate any important regulatory principle or practice?</w:t>
      </w:r>
      <w:r>
        <w:rPr>
          <w:rStyle w:val="FootnoteReference"/>
          <w:rFonts w:ascii="Times New Roman" w:hAnsi="Times New Roman" w:cs="Times New Roman"/>
          <w:bCs/>
          <w:iCs/>
          <w:sz w:val="24"/>
          <w:szCs w:val="24"/>
        </w:rPr>
        <w:footnoteReference w:id="4"/>
      </w:r>
    </w:p>
    <w:p w14:paraId="63545999" w14:textId="77777777" w:rsidR="00E5670F" w:rsidRDefault="00E5670F" w:rsidP="00E5670F">
      <w:pPr>
        <w:spacing w:line="480" w:lineRule="auto"/>
        <w:ind w:left="720"/>
        <w:rPr>
          <w:bCs/>
          <w:iCs/>
        </w:rPr>
      </w:pPr>
      <w:r>
        <w:rPr>
          <w:bCs/>
          <w:iCs/>
        </w:rPr>
        <w:t>In addition to these criteria, the PUCO also routinely considers whether the parties to the settlement represent diverse interests.</w:t>
      </w:r>
      <w:r>
        <w:rPr>
          <w:bCs/>
          <w:iCs/>
        </w:rPr>
        <w:br w:type="page"/>
      </w:r>
    </w:p>
    <w:p w14:paraId="35FE3021" w14:textId="77777777" w:rsidR="00E5670F" w:rsidRPr="00AE3D38" w:rsidRDefault="00E5670F" w:rsidP="00E5670F">
      <w:pPr>
        <w:spacing w:line="480" w:lineRule="auto"/>
        <w:ind w:left="720" w:hanging="720"/>
        <w:rPr>
          <w:b/>
          <w:bCs/>
          <w:i/>
          <w:iCs/>
        </w:rPr>
      </w:pPr>
      <w:r w:rsidRPr="00AE3D38">
        <w:rPr>
          <w:b/>
          <w:bCs/>
          <w:i/>
          <w:iCs/>
        </w:rPr>
        <w:lastRenderedPageBreak/>
        <w:t>Q10.</w:t>
      </w:r>
      <w:r w:rsidRPr="00AE3D38">
        <w:rPr>
          <w:b/>
          <w:bCs/>
          <w:i/>
          <w:iCs/>
        </w:rPr>
        <w:tab/>
        <w:t>DOES THE SETTLEMENT, AS A PACKAGE, BENEFIT CUSTOMERS AND THE PUBLIC INTEREST?</w:t>
      </w:r>
    </w:p>
    <w:p w14:paraId="73892AE4" w14:textId="77777777" w:rsidR="00E5670F" w:rsidRDefault="00E5670F" w:rsidP="00E5670F">
      <w:pPr>
        <w:spacing w:line="480" w:lineRule="auto"/>
        <w:ind w:left="720" w:hanging="720"/>
        <w:rPr>
          <w:rFonts w:asciiTheme="majorBidi" w:hAnsiTheme="majorBidi" w:cstheme="majorBidi"/>
          <w:b/>
          <w:bCs/>
          <w:i/>
          <w:iCs/>
        </w:rPr>
      </w:pPr>
      <w:r w:rsidRPr="00AE3D38">
        <w:rPr>
          <w:b/>
          <w:bCs/>
          <w:i/>
          <w:iCs/>
        </w:rPr>
        <w:t>A10.</w:t>
      </w:r>
      <w:r w:rsidRPr="00AE3D38">
        <w:rPr>
          <w:b/>
          <w:bCs/>
          <w:i/>
          <w:iCs/>
        </w:rPr>
        <w:tab/>
      </w:r>
      <w:r w:rsidRPr="00AE3D38">
        <w:rPr>
          <w:bCs/>
          <w:iCs/>
        </w:rPr>
        <w:t xml:space="preserve">No. The Settlement does </w:t>
      </w:r>
      <w:r>
        <w:rPr>
          <w:bCs/>
          <w:iCs/>
        </w:rPr>
        <w:t xml:space="preserve">not </w:t>
      </w:r>
      <w:r w:rsidRPr="00AE3D38">
        <w:rPr>
          <w:bCs/>
          <w:iCs/>
        </w:rPr>
        <w:t xml:space="preserve">benefit </w:t>
      </w:r>
      <w:r>
        <w:rPr>
          <w:bCs/>
          <w:iCs/>
        </w:rPr>
        <w:t xml:space="preserve">either </w:t>
      </w:r>
      <w:r w:rsidR="00815C55">
        <w:rPr>
          <w:bCs/>
          <w:iCs/>
        </w:rPr>
        <w:t xml:space="preserve">residential </w:t>
      </w:r>
      <w:r w:rsidRPr="00AE3D38">
        <w:rPr>
          <w:bCs/>
          <w:iCs/>
        </w:rPr>
        <w:t>customers or the public interest.</w:t>
      </w:r>
      <w:r w:rsidR="00815C55">
        <w:rPr>
          <w:bCs/>
          <w:iCs/>
        </w:rPr>
        <w:t xml:space="preserve">  Specifically, the number and level of fixed charges embedded in the Settlement harms low usage customers and reflects an exercise in monopoly</w:t>
      </w:r>
      <w:r w:rsidR="007A49DA">
        <w:rPr>
          <w:bCs/>
          <w:iCs/>
        </w:rPr>
        <w:t xml:space="preserve"> power.</w:t>
      </w:r>
    </w:p>
    <w:p w14:paraId="703F62EA" w14:textId="77777777" w:rsidR="00E5670F" w:rsidRDefault="00E5670F" w:rsidP="00E5670F">
      <w:pPr>
        <w:spacing w:line="480" w:lineRule="auto"/>
        <w:ind w:left="720" w:hanging="720"/>
        <w:rPr>
          <w:rFonts w:asciiTheme="majorBidi" w:hAnsiTheme="majorBidi" w:cstheme="majorBidi"/>
          <w:b/>
          <w:bCs/>
          <w:i/>
          <w:iCs/>
        </w:rPr>
      </w:pPr>
    </w:p>
    <w:p w14:paraId="4AC28F09" w14:textId="77777777" w:rsidR="007A49DA" w:rsidRPr="007B19CB" w:rsidRDefault="007A49DA" w:rsidP="008E613B">
      <w:pPr>
        <w:pStyle w:val="Heading1"/>
        <w:rPr>
          <w:rFonts w:asciiTheme="majorBidi" w:hAnsiTheme="majorBidi" w:cstheme="majorBidi"/>
          <w:bCs/>
        </w:rPr>
      </w:pPr>
      <w:bookmarkStart w:id="18" w:name="_Toc517443770"/>
      <w:bookmarkStart w:id="19" w:name="_Toc536435625"/>
      <w:r w:rsidRPr="007B19CB">
        <w:t>IV.</w:t>
      </w:r>
      <w:r w:rsidRPr="007B19CB">
        <w:tab/>
        <w:t xml:space="preserve">EVALUATION AND RECOMMENDATION OF THE SETTLEMENT’S </w:t>
      </w:r>
      <w:r>
        <w:t>RESIDENTIAL FIX CHARGES ON</w:t>
      </w:r>
      <w:bookmarkEnd w:id="18"/>
      <w:r>
        <w:t xml:space="preserve"> LOW USAGE CUSTOMERS</w:t>
      </w:r>
      <w:bookmarkEnd w:id="19"/>
    </w:p>
    <w:p w14:paraId="14F53142" w14:textId="77777777" w:rsidR="007A49DA" w:rsidRDefault="007A49DA" w:rsidP="00E5670F">
      <w:pPr>
        <w:spacing w:line="480" w:lineRule="auto"/>
        <w:ind w:left="720" w:hanging="720"/>
        <w:rPr>
          <w:rFonts w:asciiTheme="majorBidi" w:hAnsiTheme="majorBidi" w:cstheme="majorBidi"/>
          <w:b/>
          <w:bCs/>
          <w:i/>
          <w:iCs/>
        </w:rPr>
      </w:pPr>
    </w:p>
    <w:p w14:paraId="1D6F614F" w14:textId="77777777" w:rsidR="00E5670F" w:rsidRPr="008D56A9" w:rsidRDefault="00E5670F" w:rsidP="00E5670F">
      <w:pPr>
        <w:spacing w:line="480" w:lineRule="auto"/>
        <w:ind w:left="720" w:hanging="720"/>
        <w:rPr>
          <w:rFonts w:asciiTheme="majorBidi" w:hAnsiTheme="majorBidi" w:cstheme="majorBidi"/>
          <w:b/>
          <w:bCs/>
          <w:i/>
          <w:iCs/>
        </w:rPr>
      </w:pPr>
      <w:r w:rsidRPr="008D56A9">
        <w:rPr>
          <w:rFonts w:asciiTheme="majorBidi" w:hAnsiTheme="majorBidi" w:cstheme="majorBidi"/>
          <w:b/>
          <w:bCs/>
          <w:i/>
          <w:iCs/>
        </w:rPr>
        <w:t>Q</w:t>
      </w:r>
      <w:r w:rsidR="006D2EBE">
        <w:rPr>
          <w:rFonts w:asciiTheme="majorBidi" w:hAnsiTheme="majorBidi" w:cstheme="majorBidi"/>
          <w:b/>
          <w:bCs/>
          <w:i/>
          <w:iCs/>
        </w:rPr>
        <w:t>11</w:t>
      </w:r>
      <w:r w:rsidRPr="008D56A9">
        <w:rPr>
          <w:rFonts w:asciiTheme="majorBidi" w:hAnsiTheme="majorBidi" w:cstheme="majorBidi"/>
          <w:b/>
          <w:bCs/>
          <w:i/>
          <w:iCs/>
        </w:rPr>
        <w:t>.</w:t>
      </w:r>
      <w:r w:rsidRPr="008D56A9">
        <w:rPr>
          <w:rFonts w:asciiTheme="majorBidi" w:hAnsiTheme="majorBidi" w:cstheme="majorBidi"/>
          <w:b/>
          <w:bCs/>
          <w:i/>
          <w:iCs/>
        </w:rPr>
        <w:tab/>
        <w:t>WHAT ARE THE RESIDENTIAL CUSTOMER BILL IMPACTS FROM POTENTIAL INCREASES IN THE FIXED PORTION OF THEIR BILL?</w:t>
      </w:r>
    </w:p>
    <w:p w14:paraId="54F4CD3E" w14:textId="5EF6B610" w:rsidR="008C30AF" w:rsidRDefault="00E5670F" w:rsidP="00E5670F">
      <w:pPr>
        <w:spacing w:line="480" w:lineRule="auto"/>
        <w:ind w:left="720" w:hanging="720"/>
        <w:rPr>
          <w:rFonts w:asciiTheme="majorBidi" w:hAnsiTheme="majorBidi" w:cstheme="majorBidi"/>
          <w:bCs/>
          <w:iCs/>
        </w:rPr>
      </w:pPr>
      <w:r w:rsidRPr="008D56A9">
        <w:rPr>
          <w:rFonts w:asciiTheme="majorBidi" w:hAnsiTheme="majorBidi" w:cstheme="majorBidi"/>
          <w:b/>
          <w:bCs/>
          <w:i/>
          <w:iCs/>
        </w:rPr>
        <w:t>A</w:t>
      </w:r>
      <w:r w:rsidR="006D2EBE">
        <w:rPr>
          <w:rFonts w:asciiTheme="majorBidi" w:hAnsiTheme="majorBidi" w:cstheme="majorBidi"/>
          <w:b/>
          <w:bCs/>
          <w:i/>
          <w:iCs/>
        </w:rPr>
        <w:t>11</w:t>
      </w:r>
      <w:r w:rsidRPr="008D56A9">
        <w:rPr>
          <w:rFonts w:asciiTheme="majorBidi" w:hAnsiTheme="majorBidi" w:cstheme="majorBidi"/>
          <w:b/>
          <w:bCs/>
          <w:i/>
          <w:iCs/>
        </w:rPr>
        <w:t>.</w:t>
      </w:r>
      <w:r w:rsidRPr="008D56A9">
        <w:rPr>
          <w:rFonts w:asciiTheme="majorBidi" w:hAnsiTheme="majorBidi" w:cstheme="majorBidi"/>
          <w:b/>
          <w:bCs/>
          <w:iCs/>
        </w:rPr>
        <w:tab/>
      </w:r>
      <w:r w:rsidRPr="008D56A9">
        <w:rPr>
          <w:rFonts w:asciiTheme="majorBidi" w:hAnsiTheme="majorBidi" w:cstheme="majorBidi"/>
          <w:bCs/>
          <w:iCs/>
        </w:rPr>
        <w:t>Placing the rate case increases into the fixed portion of a residential customer’s</w:t>
      </w:r>
      <w:r>
        <w:rPr>
          <w:rFonts w:asciiTheme="majorBidi" w:hAnsiTheme="majorBidi" w:cstheme="majorBidi"/>
          <w:bCs/>
          <w:iCs/>
        </w:rPr>
        <w:t xml:space="preserve"> bill</w:t>
      </w:r>
      <w:r w:rsidRPr="008D56A9">
        <w:rPr>
          <w:rFonts w:asciiTheme="majorBidi" w:hAnsiTheme="majorBidi" w:cstheme="majorBidi"/>
          <w:bCs/>
          <w:iCs/>
        </w:rPr>
        <w:t xml:space="preserve"> will have </w:t>
      </w:r>
      <w:r>
        <w:rPr>
          <w:rFonts w:asciiTheme="majorBidi" w:hAnsiTheme="majorBidi" w:cstheme="majorBidi"/>
          <w:bCs/>
          <w:iCs/>
        </w:rPr>
        <w:t>bad</w:t>
      </w:r>
      <w:r w:rsidRPr="008D56A9">
        <w:rPr>
          <w:rFonts w:asciiTheme="majorBidi" w:hAnsiTheme="majorBidi" w:cstheme="majorBidi"/>
          <w:bCs/>
          <w:iCs/>
        </w:rPr>
        <w:t xml:space="preserve"> consequences for low income and low use residential customers</w:t>
      </w:r>
      <w:r>
        <w:rPr>
          <w:rFonts w:asciiTheme="majorBidi" w:hAnsiTheme="majorBidi" w:cstheme="majorBidi"/>
          <w:bCs/>
          <w:iCs/>
        </w:rPr>
        <w:t xml:space="preserve"> (Objections 12 and 15)</w:t>
      </w:r>
      <w:r w:rsidRPr="008D56A9">
        <w:rPr>
          <w:rFonts w:asciiTheme="majorBidi" w:hAnsiTheme="majorBidi" w:cstheme="majorBidi"/>
          <w:bCs/>
          <w:iCs/>
        </w:rPr>
        <w:t xml:space="preserve">.   This occurs because the residential bill increases are skewed towards low use customers because of the </w:t>
      </w:r>
      <w:r>
        <w:rPr>
          <w:rFonts w:asciiTheme="majorBidi" w:hAnsiTheme="majorBidi" w:cstheme="majorBidi"/>
          <w:bCs/>
          <w:iCs/>
        </w:rPr>
        <w:t>Fixed Charge</w:t>
      </w:r>
      <w:r w:rsidRPr="008D56A9">
        <w:rPr>
          <w:rFonts w:asciiTheme="majorBidi" w:hAnsiTheme="majorBidi" w:cstheme="majorBidi"/>
          <w:bCs/>
          <w:iCs/>
        </w:rPr>
        <w:t xml:space="preserve"> rate design.  </w:t>
      </w:r>
      <w:r w:rsidR="00DF293E">
        <w:rPr>
          <w:rFonts w:asciiTheme="majorBidi" w:hAnsiTheme="majorBidi" w:cstheme="majorBidi"/>
          <w:bCs/>
          <w:iCs/>
        </w:rPr>
        <w:t>The Settlement, if approved, will</w:t>
      </w:r>
      <w:r w:rsidRPr="008D56A9">
        <w:rPr>
          <w:rFonts w:asciiTheme="majorBidi" w:hAnsiTheme="majorBidi" w:cstheme="majorBidi"/>
          <w:bCs/>
          <w:iCs/>
        </w:rPr>
        <w:t xml:space="preserve"> increase the residential fixed charge from $</w:t>
      </w:r>
      <w:r>
        <w:rPr>
          <w:rFonts w:asciiTheme="majorBidi" w:hAnsiTheme="majorBidi" w:cstheme="majorBidi"/>
          <w:bCs/>
          <w:iCs/>
        </w:rPr>
        <w:t>27.62</w:t>
      </w:r>
      <w:r w:rsidRPr="008D56A9">
        <w:rPr>
          <w:rFonts w:asciiTheme="majorBidi" w:hAnsiTheme="majorBidi" w:cstheme="majorBidi"/>
          <w:bCs/>
          <w:iCs/>
        </w:rPr>
        <w:t xml:space="preserve"> </w:t>
      </w:r>
      <w:r>
        <w:rPr>
          <w:rFonts w:asciiTheme="majorBidi" w:hAnsiTheme="majorBidi" w:cstheme="majorBidi"/>
          <w:bCs/>
          <w:iCs/>
        </w:rPr>
        <w:t xml:space="preserve">($18.37+$9.25 DRR) </w:t>
      </w:r>
      <w:r w:rsidRPr="008D56A9">
        <w:rPr>
          <w:rFonts w:asciiTheme="majorBidi" w:hAnsiTheme="majorBidi" w:cstheme="majorBidi"/>
          <w:bCs/>
          <w:iCs/>
        </w:rPr>
        <w:t>to $3</w:t>
      </w:r>
      <w:r w:rsidR="00DF293E">
        <w:rPr>
          <w:rFonts w:asciiTheme="majorBidi" w:hAnsiTheme="majorBidi" w:cstheme="majorBidi"/>
          <w:bCs/>
          <w:iCs/>
        </w:rPr>
        <w:t>2</w:t>
      </w:r>
      <w:r w:rsidRPr="008D56A9">
        <w:rPr>
          <w:rFonts w:asciiTheme="majorBidi" w:hAnsiTheme="majorBidi" w:cstheme="majorBidi"/>
          <w:bCs/>
          <w:iCs/>
        </w:rPr>
        <w:t>.</w:t>
      </w:r>
      <w:r w:rsidR="00DF293E">
        <w:rPr>
          <w:rFonts w:asciiTheme="majorBidi" w:hAnsiTheme="majorBidi" w:cstheme="majorBidi"/>
          <w:bCs/>
          <w:iCs/>
        </w:rPr>
        <w:t>86</w:t>
      </w:r>
      <w:r w:rsidRPr="008D56A9">
        <w:rPr>
          <w:rFonts w:asciiTheme="majorBidi" w:hAnsiTheme="majorBidi" w:cstheme="majorBidi"/>
          <w:bCs/>
          <w:iCs/>
        </w:rPr>
        <w:t xml:space="preserve">, a sizable </w:t>
      </w:r>
      <w:r w:rsidR="00DF293E">
        <w:rPr>
          <w:rFonts w:asciiTheme="majorBidi" w:hAnsiTheme="majorBidi" w:cstheme="majorBidi"/>
          <w:bCs/>
          <w:iCs/>
        </w:rPr>
        <w:t>19</w:t>
      </w:r>
      <w:r w:rsidRPr="008D56A9">
        <w:rPr>
          <w:rFonts w:asciiTheme="majorBidi" w:hAnsiTheme="majorBidi" w:cstheme="majorBidi"/>
          <w:bCs/>
          <w:iCs/>
        </w:rPr>
        <w:t>% increase, whereas the Staff Report land</w:t>
      </w:r>
      <w:r w:rsidR="00266DA9">
        <w:rPr>
          <w:rFonts w:asciiTheme="majorBidi" w:hAnsiTheme="majorBidi" w:cstheme="majorBidi"/>
          <w:bCs/>
          <w:iCs/>
        </w:rPr>
        <w:t>ed</w:t>
      </w:r>
      <w:r w:rsidRPr="008D56A9">
        <w:rPr>
          <w:rFonts w:asciiTheme="majorBidi" w:hAnsiTheme="majorBidi" w:cstheme="majorBidi"/>
          <w:bCs/>
          <w:iCs/>
        </w:rPr>
        <w:t xml:space="preserve"> on $30.95, or an increase of </w:t>
      </w:r>
      <w:r>
        <w:rPr>
          <w:rFonts w:asciiTheme="majorBidi" w:hAnsiTheme="majorBidi" w:cstheme="majorBidi"/>
          <w:bCs/>
          <w:iCs/>
        </w:rPr>
        <w:t>12</w:t>
      </w:r>
      <w:r w:rsidRPr="008D56A9">
        <w:rPr>
          <w:rFonts w:asciiTheme="majorBidi" w:hAnsiTheme="majorBidi" w:cstheme="majorBidi"/>
          <w:bCs/>
          <w:iCs/>
        </w:rPr>
        <w:t>%.</w:t>
      </w:r>
      <w:r>
        <w:rPr>
          <w:rStyle w:val="FootnoteReference"/>
          <w:rFonts w:asciiTheme="majorBidi" w:hAnsiTheme="majorBidi" w:cstheme="majorBidi"/>
          <w:bCs/>
          <w:iCs/>
        </w:rPr>
        <w:footnoteReference w:id="5"/>
      </w:r>
      <w:r w:rsidRPr="008D56A9">
        <w:rPr>
          <w:rFonts w:asciiTheme="majorBidi" w:hAnsiTheme="majorBidi" w:cstheme="majorBidi"/>
          <w:bCs/>
          <w:iCs/>
        </w:rPr>
        <w:t xml:space="preserve">  </w:t>
      </w:r>
      <w:r w:rsidR="00615961">
        <w:rPr>
          <w:rFonts w:asciiTheme="majorBidi" w:hAnsiTheme="majorBidi" w:cstheme="majorBidi"/>
          <w:bCs/>
          <w:iCs/>
        </w:rPr>
        <w:t>However, residential fixed charges stand to increase further</w:t>
      </w:r>
      <w:r w:rsidR="000E43D0">
        <w:rPr>
          <w:rFonts w:asciiTheme="majorBidi" w:hAnsiTheme="majorBidi" w:cstheme="majorBidi"/>
          <w:bCs/>
          <w:iCs/>
        </w:rPr>
        <w:t xml:space="preserve"> this year</w:t>
      </w:r>
      <w:r w:rsidR="00615961">
        <w:rPr>
          <w:rFonts w:asciiTheme="majorBidi" w:hAnsiTheme="majorBidi" w:cstheme="majorBidi"/>
          <w:bCs/>
          <w:iCs/>
        </w:rPr>
        <w:t xml:space="preserve">, with </w:t>
      </w:r>
      <w:r w:rsidR="000E43D0">
        <w:rPr>
          <w:rFonts w:asciiTheme="majorBidi" w:hAnsiTheme="majorBidi" w:cstheme="majorBidi"/>
          <w:bCs/>
          <w:iCs/>
        </w:rPr>
        <w:t xml:space="preserve">additional </w:t>
      </w:r>
      <w:r w:rsidR="00615961">
        <w:rPr>
          <w:rFonts w:asciiTheme="majorBidi" w:hAnsiTheme="majorBidi" w:cstheme="majorBidi"/>
          <w:bCs/>
          <w:iCs/>
        </w:rPr>
        <w:t xml:space="preserve">DRR and CEP charges </w:t>
      </w:r>
      <w:r w:rsidR="000E43D0">
        <w:rPr>
          <w:rFonts w:asciiTheme="majorBidi" w:hAnsiTheme="majorBidi" w:cstheme="majorBidi"/>
          <w:bCs/>
          <w:iCs/>
        </w:rPr>
        <w:t xml:space="preserve">(DRR </w:t>
      </w:r>
      <w:r w:rsidR="000E43D0">
        <w:rPr>
          <w:rFonts w:asciiTheme="majorBidi" w:hAnsiTheme="majorBidi" w:cstheme="majorBidi"/>
          <w:bCs/>
          <w:iCs/>
        </w:rPr>
        <w:lastRenderedPageBreak/>
        <w:t xml:space="preserve">capped at $2.50 </w:t>
      </w:r>
      <w:r w:rsidR="008F5762">
        <w:rPr>
          <w:rFonts w:asciiTheme="majorBidi" w:hAnsiTheme="majorBidi" w:cstheme="majorBidi"/>
          <w:bCs/>
          <w:iCs/>
        </w:rPr>
        <w:t xml:space="preserve">plus applicable </w:t>
      </w:r>
      <w:r w:rsidR="000E43D0">
        <w:rPr>
          <w:rFonts w:asciiTheme="majorBidi" w:hAnsiTheme="majorBidi" w:cstheme="majorBidi"/>
          <w:bCs/>
          <w:iCs/>
        </w:rPr>
        <w:t>CEP cap) in 2019,</w:t>
      </w:r>
      <w:r w:rsidR="0084726C">
        <w:rPr>
          <w:rFonts w:asciiTheme="majorBidi" w:hAnsiTheme="majorBidi" w:cstheme="majorBidi"/>
          <w:bCs/>
          <w:iCs/>
        </w:rPr>
        <w:t xml:space="preserve"> and</w:t>
      </w:r>
      <w:r w:rsidR="000E43D0">
        <w:rPr>
          <w:rFonts w:asciiTheme="majorBidi" w:hAnsiTheme="majorBidi" w:cstheme="majorBidi"/>
          <w:bCs/>
          <w:iCs/>
        </w:rPr>
        <w:t xml:space="preserve"> up to a </w:t>
      </w:r>
      <w:r w:rsidR="00615961">
        <w:rPr>
          <w:rFonts w:asciiTheme="majorBidi" w:hAnsiTheme="majorBidi" w:cstheme="majorBidi"/>
          <w:bCs/>
          <w:iCs/>
        </w:rPr>
        <w:t>maximum</w:t>
      </w:r>
      <w:r w:rsidR="000E43D0">
        <w:rPr>
          <w:rFonts w:asciiTheme="majorBidi" w:hAnsiTheme="majorBidi" w:cstheme="majorBidi"/>
          <w:bCs/>
          <w:iCs/>
        </w:rPr>
        <w:t xml:space="preserve"> of $15.25 (DRR Capped at $13.75 and CEP capped at $1.50) by 2024</w:t>
      </w:r>
      <w:r w:rsidR="008C30AF">
        <w:rPr>
          <w:rFonts w:asciiTheme="majorBidi" w:hAnsiTheme="majorBidi" w:cstheme="majorBidi"/>
          <w:bCs/>
          <w:iCs/>
        </w:rPr>
        <w:t xml:space="preserve"> as shown in Table 1 below</w:t>
      </w:r>
      <w:r w:rsidR="000E43D0">
        <w:rPr>
          <w:rFonts w:asciiTheme="majorBidi" w:hAnsiTheme="majorBidi" w:cstheme="majorBidi"/>
          <w:bCs/>
          <w:iCs/>
        </w:rPr>
        <w:t>.</w:t>
      </w:r>
      <w:r w:rsidR="004607F9">
        <w:rPr>
          <w:rStyle w:val="FootnoteReference"/>
          <w:rFonts w:asciiTheme="majorBidi" w:hAnsiTheme="majorBidi" w:cstheme="majorBidi"/>
          <w:bCs/>
          <w:iCs/>
        </w:rPr>
        <w:footnoteReference w:id="6"/>
      </w:r>
      <w:r w:rsidR="00615961">
        <w:rPr>
          <w:rFonts w:asciiTheme="majorBidi" w:hAnsiTheme="majorBidi" w:cstheme="majorBidi"/>
          <w:bCs/>
          <w:iCs/>
        </w:rPr>
        <w:t xml:space="preserve"> </w:t>
      </w:r>
    </w:p>
    <w:p w14:paraId="4E72B08B" w14:textId="77777777" w:rsidR="008C30AF" w:rsidRDefault="00442391" w:rsidP="00E5670F">
      <w:pPr>
        <w:spacing w:line="480" w:lineRule="auto"/>
        <w:ind w:left="720" w:hanging="720"/>
        <w:rPr>
          <w:rFonts w:asciiTheme="majorBidi" w:hAnsiTheme="majorBidi" w:cstheme="majorBidi"/>
          <w:bCs/>
          <w:iCs/>
        </w:rPr>
      </w:pPr>
      <w:r>
        <w:rPr>
          <w:rFonts w:asciiTheme="majorBidi" w:hAnsiTheme="majorBidi" w:cstheme="majorBidi"/>
          <w:bCs/>
          <w:iCs/>
        </w:rPr>
        <w:t xml:space="preserve"> </w:t>
      </w:r>
    </w:p>
    <w:tbl>
      <w:tblPr>
        <w:tblW w:w="8701" w:type="dxa"/>
        <w:tblInd w:w="93" w:type="dxa"/>
        <w:tblLook w:val="04A0" w:firstRow="1" w:lastRow="0" w:firstColumn="1" w:lastColumn="0" w:noHBand="0" w:noVBand="1"/>
      </w:tblPr>
      <w:tblGrid>
        <w:gridCol w:w="2146"/>
        <w:gridCol w:w="1074"/>
        <w:gridCol w:w="670"/>
        <w:gridCol w:w="2236"/>
        <w:gridCol w:w="1230"/>
        <w:gridCol w:w="1345"/>
      </w:tblGrid>
      <w:tr w:rsidR="008C30AF" w14:paraId="4B197517" w14:textId="77777777" w:rsidTr="007B19CB">
        <w:trPr>
          <w:trHeight w:val="372"/>
        </w:trPr>
        <w:tc>
          <w:tcPr>
            <w:tcW w:w="2146" w:type="dxa"/>
            <w:tcBorders>
              <w:top w:val="nil"/>
              <w:left w:val="nil"/>
              <w:bottom w:val="nil"/>
              <w:right w:val="nil"/>
            </w:tcBorders>
            <w:shd w:val="clear" w:color="auto" w:fill="auto"/>
            <w:noWrap/>
            <w:vAlign w:val="bottom"/>
            <w:hideMark/>
          </w:tcPr>
          <w:p w14:paraId="20EBA95A" w14:textId="77777777" w:rsidR="008C30AF" w:rsidRDefault="008C30AF">
            <w:pPr>
              <w:rPr>
                <w:rFonts w:ascii="Calibri" w:hAnsi="Calibri" w:cs="Calibri"/>
                <w:color w:val="000000"/>
                <w:sz w:val="22"/>
                <w:szCs w:val="22"/>
              </w:rPr>
            </w:pPr>
            <w:r>
              <w:rPr>
                <w:rFonts w:ascii="Calibri" w:hAnsi="Calibri" w:cs="Calibri"/>
                <w:color w:val="000000"/>
                <w:sz w:val="22"/>
                <w:szCs w:val="22"/>
              </w:rPr>
              <w:t>Table 1.</w:t>
            </w:r>
          </w:p>
        </w:tc>
        <w:tc>
          <w:tcPr>
            <w:tcW w:w="1074" w:type="dxa"/>
            <w:tcBorders>
              <w:top w:val="nil"/>
              <w:left w:val="nil"/>
              <w:bottom w:val="nil"/>
              <w:right w:val="nil"/>
            </w:tcBorders>
            <w:shd w:val="clear" w:color="auto" w:fill="auto"/>
            <w:noWrap/>
            <w:vAlign w:val="bottom"/>
            <w:hideMark/>
          </w:tcPr>
          <w:p w14:paraId="0BCCA7E8" w14:textId="77777777" w:rsidR="008C30AF" w:rsidRDefault="008C30AF">
            <w:pPr>
              <w:rPr>
                <w:rFonts w:ascii="Calibri" w:hAnsi="Calibri" w:cs="Calibri"/>
                <w:color w:val="000000"/>
                <w:sz w:val="22"/>
                <w:szCs w:val="22"/>
              </w:rPr>
            </w:pPr>
          </w:p>
        </w:tc>
        <w:tc>
          <w:tcPr>
            <w:tcW w:w="670" w:type="dxa"/>
            <w:tcBorders>
              <w:top w:val="nil"/>
              <w:left w:val="nil"/>
              <w:bottom w:val="nil"/>
              <w:right w:val="nil"/>
            </w:tcBorders>
            <w:shd w:val="clear" w:color="auto" w:fill="auto"/>
            <w:noWrap/>
            <w:vAlign w:val="bottom"/>
            <w:hideMark/>
          </w:tcPr>
          <w:p w14:paraId="45522A53" w14:textId="77777777" w:rsidR="008C30AF" w:rsidRDefault="008C30AF">
            <w:pPr>
              <w:rPr>
                <w:rFonts w:ascii="Calibri" w:hAnsi="Calibri" w:cs="Calibri"/>
                <w:color w:val="000000"/>
                <w:sz w:val="22"/>
                <w:szCs w:val="22"/>
              </w:rPr>
            </w:pPr>
          </w:p>
        </w:tc>
        <w:tc>
          <w:tcPr>
            <w:tcW w:w="2236" w:type="dxa"/>
            <w:tcBorders>
              <w:top w:val="nil"/>
              <w:left w:val="nil"/>
              <w:bottom w:val="nil"/>
              <w:right w:val="nil"/>
            </w:tcBorders>
            <w:shd w:val="clear" w:color="auto" w:fill="auto"/>
            <w:noWrap/>
            <w:vAlign w:val="bottom"/>
            <w:hideMark/>
          </w:tcPr>
          <w:p w14:paraId="7C2E9115" w14:textId="77777777" w:rsidR="008C30AF" w:rsidRDefault="008C30AF">
            <w:pPr>
              <w:rPr>
                <w:rFonts w:ascii="Calibri" w:hAnsi="Calibri" w:cs="Calibri"/>
                <w:color w:val="000000"/>
                <w:sz w:val="22"/>
                <w:szCs w:val="22"/>
              </w:rPr>
            </w:pPr>
          </w:p>
        </w:tc>
        <w:tc>
          <w:tcPr>
            <w:tcW w:w="1230" w:type="dxa"/>
            <w:tcBorders>
              <w:top w:val="nil"/>
              <w:left w:val="nil"/>
              <w:bottom w:val="nil"/>
              <w:right w:val="nil"/>
            </w:tcBorders>
            <w:shd w:val="clear" w:color="auto" w:fill="auto"/>
            <w:noWrap/>
            <w:vAlign w:val="bottom"/>
            <w:hideMark/>
          </w:tcPr>
          <w:p w14:paraId="2180D827" w14:textId="77777777" w:rsidR="008C30AF" w:rsidRDefault="008C30AF">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14:paraId="66F11E04" w14:textId="77777777" w:rsidR="008C30AF" w:rsidRDefault="008C30AF">
            <w:pPr>
              <w:rPr>
                <w:rFonts w:ascii="Calibri" w:hAnsi="Calibri" w:cs="Calibri"/>
                <w:color w:val="000000"/>
                <w:sz w:val="22"/>
                <w:szCs w:val="22"/>
              </w:rPr>
            </w:pPr>
            <w:r>
              <w:rPr>
                <w:rFonts w:ascii="Calibri" w:hAnsi="Calibri" w:cs="Calibri"/>
                <w:color w:val="000000"/>
                <w:sz w:val="22"/>
                <w:szCs w:val="22"/>
              </w:rPr>
              <w:t>Residential</w:t>
            </w:r>
          </w:p>
        </w:tc>
      </w:tr>
      <w:tr w:rsidR="008C30AF" w14:paraId="2993A9E1" w14:textId="77777777" w:rsidTr="007B19CB">
        <w:trPr>
          <w:trHeight w:val="372"/>
        </w:trPr>
        <w:tc>
          <w:tcPr>
            <w:tcW w:w="3219" w:type="dxa"/>
            <w:gridSpan w:val="2"/>
            <w:tcBorders>
              <w:top w:val="nil"/>
              <w:left w:val="nil"/>
              <w:bottom w:val="nil"/>
              <w:right w:val="nil"/>
            </w:tcBorders>
            <w:shd w:val="clear" w:color="auto" w:fill="auto"/>
            <w:noWrap/>
            <w:vAlign w:val="bottom"/>
            <w:hideMark/>
          </w:tcPr>
          <w:p w14:paraId="2AADD3F1" w14:textId="77777777" w:rsidR="008C30AF" w:rsidRDefault="008C30AF">
            <w:pPr>
              <w:rPr>
                <w:rFonts w:ascii="Calibri" w:hAnsi="Calibri" w:cs="Calibri"/>
                <w:color w:val="000000"/>
                <w:sz w:val="22"/>
                <w:szCs w:val="22"/>
              </w:rPr>
            </w:pPr>
            <w:r>
              <w:rPr>
                <w:rFonts w:ascii="Calibri" w:hAnsi="Calibri" w:cs="Calibri"/>
                <w:color w:val="000000"/>
                <w:sz w:val="22"/>
                <w:szCs w:val="22"/>
              </w:rPr>
              <w:t>DRR Caps per Settlement</w:t>
            </w:r>
          </w:p>
        </w:tc>
        <w:tc>
          <w:tcPr>
            <w:tcW w:w="670" w:type="dxa"/>
            <w:tcBorders>
              <w:top w:val="nil"/>
              <w:left w:val="nil"/>
              <w:bottom w:val="nil"/>
              <w:right w:val="nil"/>
            </w:tcBorders>
            <w:shd w:val="clear" w:color="auto" w:fill="auto"/>
            <w:noWrap/>
            <w:vAlign w:val="bottom"/>
            <w:hideMark/>
          </w:tcPr>
          <w:p w14:paraId="69A87D32" w14:textId="77777777" w:rsidR="008C30AF" w:rsidRDefault="008C30AF">
            <w:pPr>
              <w:rPr>
                <w:rFonts w:ascii="Calibri" w:hAnsi="Calibri" w:cs="Calibri"/>
                <w:color w:val="000000"/>
                <w:sz w:val="22"/>
                <w:szCs w:val="22"/>
              </w:rPr>
            </w:pPr>
          </w:p>
        </w:tc>
        <w:tc>
          <w:tcPr>
            <w:tcW w:w="3466" w:type="dxa"/>
            <w:gridSpan w:val="2"/>
            <w:tcBorders>
              <w:top w:val="nil"/>
              <w:left w:val="nil"/>
              <w:bottom w:val="nil"/>
              <w:right w:val="nil"/>
            </w:tcBorders>
            <w:shd w:val="clear" w:color="auto" w:fill="auto"/>
            <w:noWrap/>
            <w:vAlign w:val="bottom"/>
            <w:hideMark/>
          </w:tcPr>
          <w:p w14:paraId="7FD7CD4A" w14:textId="77777777" w:rsidR="008C30AF" w:rsidRDefault="008C30AF">
            <w:pPr>
              <w:rPr>
                <w:rFonts w:ascii="Calibri" w:hAnsi="Calibri" w:cs="Calibri"/>
                <w:color w:val="000000"/>
                <w:sz w:val="22"/>
                <w:szCs w:val="22"/>
              </w:rPr>
            </w:pPr>
            <w:r>
              <w:rPr>
                <w:rFonts w:ascii="Calibri" w:hAnsi="Calibri" w:cs="Calibri"/>
                <w:color w:val="000000"/>
                <w:sz w:val="22"/>
                <w:szCs w:val="22"/>
              </w:rPr>
              <w:t>DRR Investment Period</w:t>
            </w:r>
          </w:p>
        </w:tc>
        <w:tc>
          <w:tcPr>
            <w:tcW w:w="1345" w:type="dxa"/>
            <w:tcBorders>
              <w:top w:val="nil"/>
              <w:left w:val="nil"/>
              <w:bottom w:val="nil"/>
              <w:right w:val="nil"/>
            </w:tcBorders>
            <w:shd w:val="clear" w:color="auto" w:fill="auto"/>
            <w:noWrap/>
            <w:vAlign w:val="bottom"/>
            <w:hideMark/>
          </w:tcPr>
          <w:p w14:paraId="14EB7FD4" w14:textId="77777777" w:rsidR="008C30AF" w:rsidRDefault="008C30AF">
            <w:pPr>
              <w:rPr>
                <w:rFonts w:ascii="Calibri" w:hAnsi="Calibri" w:cs="Calibri"/>
                <w:color w:val="000000"/>
                <w:sz w:val="22"/>
                <w:szCs w:val="22"/>
              </w:rPr>
            </w:pPr>
            <w:r>
              <w:rPr>
                <w:rFonts w:ascii="Calibri" w:hAnsi="Calibri" w:cs="Calibri"/>
                <w:color w:val="000000"/>
                <w:sz w:val="22"/>
                <w:szCs w:val="22"/>
              </w:rPr>
              <w:t>Rate Cap</w:t>
            </w:r>
          </w:p>
        </w:tc>
      </w:tr>
      <w:tr w:rsidR="008C30AF" w14:paraId="0A842E11" w14:textId="77777777" w:rsidTr="007B19CB">
        <w:trPr>
          <w:trHeight w:val="372"/>
        </w:trPr>
        <w:tc>
          <w:tcPr>
            <w:tcW w:w="2146" w:type="dxa"/>
            <w:tcBorders>
              <w:top w:val="nil"/>
              <w:left w:val="nil"/>
              <w:bottom w:val="nil"/>
              <w:right w:val="nil"/>
            </w:tcBorders>
            <w:shd w:val="clear" w:color="auto" w:fill="auto"/>
            <w:noWrap/>
            <w:vAlign w:val="bottom"/>
            <w:hideMark/>
          </w:tcPr>
          <w:p w14:paraId="20E8E99E" w14:textId="77777777" w:rsidR="008C30AF" w:rsidRDefault="008C30AF">
            <w:pPr>
              <w:rPr>
                <w:rFonts w:ascii="Calibri" w:hAnsi="Calibri" w:cs="Calibri"/>
                <w:color w:val="000000"/>
                <w:sz w:val="22"/>
                <w:szCs w:val="22"/>
              </w:rPr>
            </w:pPr>
            <w:r>
              <w:rPr>
                <w:rFonts w:ascii="Calibri" w:hAnsi="Calibri" w:cs="Calibri"/>
                <w:color w:val="000000"/>
                <w:sz w:val="22"/>
                <w:szCs w:val="22"/>
              </w:rPr>
              <w:t>9/1/19 - 8/31/20</w:t>
            </w:r>
          </w:p>
        </w:tc>
        <w:tc>
          <w:tcPr>
            <w:tcW w:w="1074" w:type="dxa"/>
            <w:tcBorders>
              <w:top w:val="nil"/>
              <w:left w:val="nil"/>
              <w:bottom w:val="nil"/>
              <w:right w:val="nil"/>
            </w:tcBorders>
            <w:shd w:val="clear" w:color="auto" w:fill="auto"/>
            <w:noWrap/>
            <w:vAlign w:val="bottom"/>
            <w:hideMark/>
          </w:tcPr>
          <w:p w14:paraId="225713D0" w14:textId="77777777" w:rsidR="008C30AF" w:rsidRDefault="008C30AF">
            <w:pPr>
              <w:rPr>
                <w:rFonts w:ascii="Calibri" w:hAnsi="Calibri" w:cs="Calibri"/>
                <w:color w:val="000000"/>
                <w:sz w:val="22"/>
                <w:szCs w:val="22"/>
              </w:rPr>
            </w:pPr>
          </w:p>
        </w:tc>
        <w:tc>
          <w:tcPr>
            <w:tcW w:w="670" w:type="dxa"/>
            <w:tcBorders>
              <w:top w:val="nil"/>
              <w:left w:val="nil"/>
              <w:bottom w:val="nil"/>
              <w:right w:val="nil"/>
            </w:tcBorders>
            <w:shd w:val="clear" w:color="auto" w:fill="auto"/>
            <w:noWrap/>
            <w:vAlign w:val="bottom"/>
            <w:hideMark/>
          </w:tcPr>
          <w:p w14:paraId="019FDBFF" w14:textId="77777777" w:rsidR="008C30AF" w:rsidRDefault="008C30AF">
            <w:pPr>
              <w:rPr>
                <w:rFonts w:ascii="Calibri" w:hAnsi="Calibri" w:cs="Calibri"/>
                <w:color w:val="000000"/>
                <w:sz w:val="22"/>
                <w:szCs w:val="22"/>
              </w:rPr>
            </w:pPr>
          </w:p>
        </w:tc>
        <w:tc>
          <w:tcPr>
            <w:tcW w:w="2236" w:type="dxa"/>
            <w:tcBorders>
              <w:top w:val="nil"/>
              <w:left w:val="nil"/>
              <w:bottom w:val="nil"/>
              <w:right w:val="nil"/>
            </w:tcBorders>
            <w:shd w:val="clear" w:color="auto" w:fill="auto"/>
            <w:noWrap/>
            <w:vAlign w:val="bottom"/>
            <w:hideMark/>
          </w:tcPr>
          <w:p w14:paraId="6CC77969" w14:textId="77777777" w:rsidR="008C30AF" w:rsidRDefault="008C30AF">
            <w:pPr>
              <w:rPr>
                <w:rFonts w:ascii="Calibri" w:hAnsi="Calibri" w:cs="Calibri"/>
                <w:color w:val="000000"/>
                <w:sz w:val="22"/>
                <w:szCs w:val="22"/>
              </w:rPr>
            </w:pPr>
            <w:r>
              <w:rPr>
                <w:rFonts w:ascii="Calibri" w:hAnsi="Calibri" w:cs="Calibri"/>
                <w:color w:val="000000"/>
                <w:sz w:val="22"/>
                <w:szCs w:val="22"/>
              </w:rPr>
              <w:t>As of 12/31/2018</w:t>
            </w:r>
          </w:p>
        </w:tc>
        <w:tc>
          <w:tcPr>
            <w:tcW w:w="1230" w:type="dxa"/>
            <w:tcBorders>
              <w:top w:val="nil"/>
              <w:left w:val="nil"/>
              <w:bottom w:val="nil"/>
              <w:right w:val="nil"/>
            </w:tcBorders>
            <w:shd w:val="clear" w:color="auto" w:fill="auto"/>
            <w:noWrap/>
            <w:vAlign w:val="bottom"/>
            <w:hideMark/>
          </w:tcPr>
          <w:p w14:paraId="3B899EB1" w14:textId="77777777" w:rsidR="008C30AF" w:rsidRDefault="008C30AF">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14:paraId="2999C0BF" w14:textId="77777777" w:rsidR="008C30AF" w:rsidRDefault="008C30AF" w:rsidP="008C30AF">
            <w:pPr>
              <w:rPr>
                <w:rFonts w:ascii="Calibri" w:hAnsi="Calibri" w:cs="Calibri"/>
                <w:color w:val="000000"/>
                <w:sz w:val="22"/>
                <w:szCs w:val="22"/>
              </w:rPr>
            </w:pPr>
            <w:r>
              <w:rPr>
                <w:rFonts w:ascii="Calibri" w:hAnsi="Calibri" w:cs="Calibri"/>
                <w:color w:val="000000"/>
                <w:sz w:val="22"/>
                <w:szCs w:val="22"/>
              </w:rPr>
              <w:t xml:space="preserve"> $        2.50 </w:t>
            </w:r>
          </w:p>
        </w:tc>
      </w:tr>
      <w:tr w:rsidR="008C30AF" w14:paraId="3B521F9F" w14:textId="77777777" w:rsidTr="007B19CB">
        <w:trPr>
          <w:trHeight w:val="372"/>
        </w:trPr>
        <w:tc>
          <w:tcPr>
            <w:tcW w:w="2146" w:type="dxa"/>
            <w:tcBorders>
              <w:top w:val="nil"/>
              <w:left w:val="nil"/>
              <w:bottom w:val="nil"/>
              <w:right w:val="nil"/>
            </w:tcBorders>
            <w:shd w:val="clear" w:color="auto" w:fill="auto"/>
            <w:noWrap/>
            <w:vAlign w:val="bottom"/>
            <w:hideMark/>
          </w:tcPr>
          <w:p w14:paraId="0BE7EB04" w14:textId="77777777" w:rsidR="008C30AF" w:rsidRDefault="008C30AF">
            <w:pPr>
              <w:rPr>
                <w:rFonts w:ascii="Calibri" w:hAnsi="Calibri" w:cs="Calibri"/>
                <w:color w:val="000000"/>
                <w:sz w:val="22"/>
                <w:szCs w:val="22"/>
              </w:rPr>
            </w:pPr>
            <w:r>
              <w:rPr>
                <w:rFonts w:ascii="Calibri" w:hAnsi="Calibri" w:cs="Calibri"/>
                <w:color w:val="000000"/>
                <w:sz w:val="22"/>
                <w:szCs w:val="22"/>
              </w:rPr>
              <w:t>9/1/20 - 8/31/21</w:t>
            </w:r>
          </w:p>
        </w:tc>
        <w:tc>
          <w:tcPr>
            <w:tcW w:w="1074" w:type="dxa"/>
            <w:tcBorders>
              <w:top w:val="nil"/>
              <w:left w:val="nil"/>
              <w:bottom w:val="nil"/>
              <w:right w:val="nil"/>
            </w:tcBorders>
            <w:shd w:val="clear" w:color="auto" w:fill="auto"/>
            <w:noWrap/>
            <w:vAlign w:val="bottom"/>
            <w:hideMark/>
          </w:tcPr>
          <w:p w14:paraId="5B2FABB4" w14:textId="77777777" w:rsidR="008C30AF" w:rsidRDefault="008C30AF">
            <w:pPr>
              <w:rPr>
                <w:rFonts w:ascii="Calibri" w:hAnsi="Calibri" w:cs="Calibri"/>
                <w:color w:val="000000"/>
                <w:sz w:val="22"/>
                <w:szCs w:val="22"/>
              </w:rPr>
            </w:pPr>
          </w:p>
        </w:tc>
        <w:tc>
          <w:tcPr>
            <w:tcW w:w="670" w:type="dxa"/>
            <w:tcBorders>
              <w:top w:val="nil"/>
              <w:left w:val="nil"/>
              <w:bottom w:val="nil"/>
              <w:right w:val="nil"/>
            </w:tcBorders>
            <w:shd w:val="clear" w:color="auto" w:fill="auto"/>
            <w:noWrap/>
            <w:vAlign w:val="bottom"/>
            <w:hideMark/>
          </w:tcPr>
          <w:p w14:paraId="4EDAFB85" w14:textId="77777777" w:rsidR="008C30AF" w:rsidRDefault="008C30AF">
            <w:pPr>
              <w:rPr>
                <w:rFonts w:ascii="Calibri" w:hAnsi="Calibri" w:cs="Calibri"/>
                <w:color w:val="000000"/>
                <w:sz w:val="22"/>
                <w:szCs w:val="22"/>
              </w:rPr>
            </w:pPr>
          </w:p>
        </w:tc>
        <w:tc>
          <w:tcPr>
            <w:tcW w:w="2236" w:type="dxa"/>
            <w:tcBorders>
              <w:top w:val="nil"/>
              <w:left w:val="nil"/>
              <w:bottom w:val="nil"/>
              <w:right w:val="nil"/>
            </w:tcBorders>
            <w:shd w:val="clear" w:color="auto" w:fill="auto"/>
            <w:noWrap/>
            <w:vAlign w:val="bottom"/>
            <w:hideMark/>
          </w:tcPr>
          <w:p w14:paraId="41F00312" w14:textId="77777777" w:rsidR="008C30AF" w:rsidRDefault="008C30AF">
            <w:pPr>
              <w:rPr>
                <w:rFonts w:ascii="Calibri" w:hAnsi="Calibri" w:cs="Calibri"/>
                <w:color w:val="000000"/>
                <w:sz w:val="22"/>
                <w:szCs w:val="22"/>
              </w:rPr>
            </w:pPr>
            <w:r>
              <w:rPr>
                <w:rFonts w:ascii="Calibri" w:hAnsi="Calibri" w:cs="Calibri"/>
                <w:color w:val="000000"/>
                <w:sz w:val="22"/>
                <w:szCs w:val="22"/>
              </w:rPr>
              <w:t>As of 12/31/2019</w:t>
            </w:r>
          </w:p>
        </w:tc>
        <w:tc>
          <w:tcPr>
            <w:tcW w:w="1230" w:type="dxa"/>
            <w:tcBorders>
              <w:top w:val="nil"/>
              <w:left w:val="nil"/>
              <w:bottom w:val="nil"/>
              <w:right w:val="nil"/>
            </w:tcBorders>
            <w:shd w:val="clear" w:color="auto" w:fill="auto"/>
            <w:noWrap/>
            <w:vAlign w:val="bottom"/>
            <w:hideMark/>
          </w:tcPr>
          <w:p w14:paraId="2FB296A4" w14:textId="77777777" w:rsidR="008C30AF" w:rsidRDefault="008C30AF">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14:paraId="7149E7E5" w14:textId="77777777" w:rsidR="008C30AF" w:rsidRDefault="008C30AF" w:rsidP="008C30AF">
            <w:pPr>
              <w:rPr>
                <w:rFonts w:ascii="Calibri" w:hAnsi="Calibri" w:cs="Calibri"/>
                <w:color w:val="000000"/>
                <w:sz w:val="22"/>
                <w:szCs w:val="22"/>
              </w:rPr>
            </w:pPr>
            <w:r>
              <w:rPr>
                <w:rFonts w:ascii="Calibri" w:hAnsi="Calibri" w:cs="Calibri"/>
                <w:color w:val="000000"/>
                <w:sz w:val="22"/>
                <w:szCs w:val="22"/>
              </w:rPr>
              <w:t xml:space="preserve"> $        5.00 </w:t>
            </w:r>
          </w:p>
        </w:tc>
      </w:tr>
      <w:tr w:rsidR="008C30AF" w14:paraId="5B668A3E" w14:textId="77777777" w:rsidTr="007B19CB">
        <w:trPr>
          <w:trHeight w:val="372"/>
        </w:trPr>
        <w:tc>
          <w:tcPr>
            <w:tcW w:w="2146" w:type="dxa"/>
            <w:tcBorders>
              <w:top w:val="nil"/>
              <w:left w:val="nil"/>
              <w:bottom w:val="nil"/>
              <w:right w:val="nil"/>
            </w:tcBorders>
            <w:shd w:val="clear" w:color="auto" w:fill="auto"/>
            <w:noWrap/>
            <w:vAlign w:val="bottom"/>
            <w:hideMark/>
          </w:tcPr>
          <w:p w14:paraId="5893F219" w14:textId="77777777" w:rsidR="008C30AF" w:rsidRDefault="008C30AF">
            <w:pPr>
              <w:rPr>
                <w:rFonts w:ascii="Calibri" w:hAnsi="Calibri" w:cs="Calibri"/>
                <w:color w:val="000000"/>
                <w:sz w:val="22"/>
                <w:szCs w:val="22"/>
              </w:rPr>
            </w:pPr>
            <w:r>
              <w:rPr>
                <w:rFonts w:ascii="Calibri" w:hAnsi="Calibri" w:cs="Calibri"/>
                <w:color w:val="000000"/>
                <w:sz w:val="22"/>
                <w:szCs w:val="22"/>
              </w:rPr>
              <w:t>9/1/21 - 8/31/22</w:t>
            </w:r>
          </w:p>
        </w:tc>
        <w:tc>
          <w:tcPr>
            <w:tcW w:w="1074" w:type="dxa"/>
            <w:tcBorders>
              <w:top w:val="nil"/>
              <w:left w:val="nil"/>
              <w:bottom w:val="nil"/>
              <w:right w:val="nil"/>
            </w:tcBorders>
            <w:shd w:val="clear" w:color="auto" w:fill="auto"/>
            <w:noWrap/>
            <w:vAlign w:val="bottom"/>
            <w:hideMark/>
          </w:tcPr>
          <w:p w14:paraId="3EBB9308" w14:textId="77777777" w:rsidR="008C30AF" w:rsidRDefault="008C30AF">
            <w:pPr>
              <w:rPr>
                <w:rFonts w:ascii="Calibri" w:hAnsi="Calibri" w:cs="Calibri"/>
                <w:color w:val="000000"/>
                <w:sz w:val="22"/>
                <w:szCs w:val="22"/>
              </w:rPr>
            </w:pPr>
          </w:p>
        </w:tc>
        <w:tc>
          <w:tcPr>
            <w:tcW w:w="670" w:type="dxa"/>
            <w:tcBorders>
              <w:top w:val="nil"/>
              <w:left w:val="nil"/>
              <w:bottom w:val="nil"/>
              <w:right w:val="nil"/>
            </w:tcBorders>
            <w:shd w:val="clear" w:color="auto" w:fill="auto"/>
            <w:noWrap/>
            <w:vAlign w:val="bottom"/>
            <w:hideMark/>
          </w:tcPr>
          <w:p w14:paraId="3D046D9A" w14:textId="77777777" w:rsidR="008C30AF" w:rsidRDefault="008C30AF">
            <w:pPr>
              <w:rPr>
                <w:rFonts w:ascii="Calibri" w:hAnsi="Calibri" w:cs="Calibri"/>
                <w:color w:val="000000"/>
                <w:sz w:val="22"/>
                <w:szCs w:val="22"/>
              </w:rPr>
            </w:pPr>
          </w:p>
        </w:tc>
        <w:tc>
          <w:tcPr>
            <w:tcW w:w="2236" w:type="dxa"/>
            <w:tcBorders>
              <w:top w:val="nil"/>
              <w:left w:val="nil"/>
              <w:bottom w:val="nil"/>
              <w:right w:val="nil"/>
            </w:tcBorders>
            <w:shd w:val="clear" w:color="auto" w:fill="auto"/>
            <w:noWrap/>
            <w:vAlign w:val="bottom"/>
            <w:hideMark/>
          </w:tcPr>
          <w:p w14:paraId="6DED82A9" w14:textId="77777777" w:rsidR="008C30AF" w:rsidRDefault="008C30AF">
            <w:pPr>
              <w:rPr>
                <w:rFonts w:ascii="Calibri" w:hAnsi="Calibri" w:cs="Calibri"/>
                <w:color w:val="000000"/>
                <w:sz w:val="22"/>
                <w:szCs w:val="22"/>
              </w:rPr>
            </w:pPr>
            <w:r>
              <w:rPr>
                <w:rFonts w:ascii="Calibri" w:hAnsi="Calibri" w:cs="Calibri"/>
                <w:color w:val="000000"/>
                <w:sz w:val="22"/>
                <w:szCs w:val="22"/>
              </w:rPr>
              <w:t>As of 12/31/2020</w:t>
            </w:r>
          </w:p>
        </w:tc>
        <w:tc>
          <w:tcPr>
            <w:tcW w:w="1230" w:type="dxa"/>
            <w:tcBorders>
              <w:top w:val="nil"/>
              <w:left w:val="nil"/>
              <w:bottom w:val="nil"/>
              <w:right w:val="nil"/>
            </w:tcBorders>
            <w:shd w:val="clear" w:color="auto" w:fill="auto"/>
            <w:noWrap/>
            <w:vAlign w:val="bottom"/>
            <w:hideMark/>
          </w:tcPr>
          <w:p w14:paraId="4BBA85CE" w14:textId="77777777" w:rsidR="008C30AF" w:rsidRDefault="008C30AF">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14:paraId="4DAC05C7" w14:textId="77777777" w:rsidR="008C30AF" w:rsidRDefault="008C30AF" w:rsidP="008C30AF">
            <w:pPr>
              <w:rPr>
                <w:rFonts w:ascii="Calibri" w:hAnsi="Calibri" w:cs="Calibri"/>
                <w:color w:val="000000"/>
                <w:sz w:val="22"/>
                <w:szCs w:val="22"/>
              </w:rPr>
            </w:pPr>
            <w:r>
              <w:rPr>
                <w:rFonts w:ascii="Calibri" w:hAnsi="Calibri" w:cs="Calibri"/>
                <w:color w:val="000000"/>
                <w:sz w:val="22"/>
                <w:szCs w:val="22"/>
              </w:rPr>
              <w:t xml:space="preserve"> $        7.50 </w:t>
            </w:r>
          </w:p>
        </w:tc>
      </w:tr>
      <w:tr w:rsidR="008C30AF" w14:paraId="4CAD24BD" w14:textId="77777777" w:rsidTr="007B19CB">
        <w:trPr>
          <w:trHeight w:val="372"/>
        </w:trPr>
        <w:tc>
          <w:tcPr>
            <w:tcW w:w="2146" w:type="dxa"/>
            <w:tcBorders>
              <w:top w:val="nil"/>
              <w:left w:val="nil"/>
              <w:bottom w:val="nil"/>
              <w:right w:val="nil"/>
            </w:tcBorders>
            <w:shd w:val="clear" w:color="auto" w:fill="auto"/>
            <w:noWrap/>
            <w:vAlign w:val="bottom"/>
            <w:hideMark/>
          </w:tcPr>
          <w:p w14:paraId="07D25C65" w14:textId="77777777" w:rsidR="008C30AF" w:rsidRDefault="008C30AF">
            <w:pPr>
              <w:rPr>
                <w:rFonts w:ascii="Calibri" w:hAnsi="Calibri" w:cs="Calibri"/>
                <w:color w:val="000000"/>
                <w:sz w:val="22"/>
                <w:szCs w:val="22"/>
              </w:rPr>
            </w:pPr>
            <w:r>
              <w:rPr>
                <w:rFonts w:ascii="Calibri" w:hAnsi="Calibri" w:cs="Calibri"/>
                <w:color w:val="000000"/>
                <w:sz w:val="22"/>
                <w:szCs w:val="22"/>
              </w:rPr>
              <w:t>9/1/22 - 8/31/23</w:t>
            </w:r>
          </w:p>
        </w:tc>
        <w:tc>
          <w:tcPr>
            <w:tcW w:w="1074" w:type="dxa"/>
            <w:tcBorders>
              <w:top w:val="nil"/>
              <w:left w:val="nil"/>
              <w:bottom w:val="nil"/>
              <w:right w:val="nil"/>
            </w:tcBorders>
            <w:shd w:val="clear" w:color="auto" w:fill="auto"/>
            <w:noWrap/>
            <w:vAlign w:val="bottom"/>
            <w:hideMark/>
          </w:tcPr>
          <w:p w14:paraId="2C2F4970" w14:textId="77777777" w:rsidR="008C30AF" w:rsidRDefault="008C30AF">
            <w:pPr>
              <w:rPr>
                <w:rFonts w:ascii="Calibri" w:hAnsi="Calibri" w:cs="Calibri"/>
                <w:color w:val="000000"/>
                <w:sz w:val="22"/>
                <w:szCs w:val="22"/>
              </w:rPr>
            </w:pPr>
          </w:p>
        </w:tc>
        <w:tc>
          <w:tcPr>
            <w:tcW w:w="670" w:type="dxa"/>
            <w:tcBorders>
              <w:top w:val="nil"/>
              <w:left w:val="nil"/>
              <w:bottom w:val="nil"/>
              <w:right w:val="nil"/>
            </w:tcBorders>
            <w:shd w:val="clear" w:color="auto" w:fill="auto"/>
            <w:noWrap/>
            <w:vAlign w:val="bottom"/>
            <w:hideMark/>
          </w:tcPr>
          <w:p w14:paraId="2D2110C0" w14:textId="77777777" w:rsidR="008C30AF" w:rsidRDefault="008C30AF">
            <w:pPr>
              <w:rPr>
                <w:rFonts w:ascii="Calibri" w:hAnsi="Calibri" w:cs="Calibri"/>
                <w:color w:val="000000"/>
                <w:sz w:val="22"/>
                <w:szCs w:val="22"/>
              </w:rPr>
            </w:pPr>
          </w:p>
        </w:tc>
        <w:tc>
          <w:tcPr>
            <w:tcW w:w="2236" w:type="dxa"/>
            <w:tcBorders>
              <w:top w:val="nil"/>
              <w:left w:val="nil"/>
              <w:bottom w:val="nil"/>
              <w:right w:val="nil"/>
            </w:tcBorders>
            <w:shd w:val="clear" w:color="auto" w:fill="auto"/>
            <w:noWrap/>
            <w:vAlign w:val="bottom"/>
            <w:hideMark/>
          </w:tcPr>
          <w:p w14:paraId="688C5F07" w14:textId="77777777" w:rsidR="008C30AF" w:rsidRDefault="008C30AF">
            <w:pPr>
              <w:rPr>
                <w:rFonts w:ascii="Calibri" w:hAnsi="Calibri" w:cs="Calibri"/>
                <w:color w:val="000000"/>
                <w:sz w:val="22"/>
                <w:szCs w:val="22"/>
              </w:rPr>
            </w:pPr>
            <w:r>
              <w:rPr>
                <w:rFonts w:ascii="Calibri" w:hAnsi="Calibri" w:cs="Calibri"/>
                <w:color w:val="000000"/>
                <w:sz w:val="22"/>
                <w:szCs w:val="22"/>
              </w:rPr>
              <w:t>As of 12/31/2021</w:t>
            </w:r>
          </w:p>
        </w:tc>
        <w:tc>
          <w:tcPr>
            <w:tcW w:w="1230" w:type="dxa"/>
            <w:tcBorders>
              <w:top w:val="nil"/>
              <w:left w:val="nil"/>
              <w:bottom w:val="nil"/>
              <w:right w:val="nil"/>
            </w:tcBorders>
            <w:shd w:val="clear" w:color="auto" w:fill="auto"/>
            <w:noWrap/>
            <w:vAlign w:val="bottom"/>
            <w:hideMark/>
          </w:tcPr>
          <w:p w14:paraId="6C26821B" w14:textId="77777777" w:rsidR="008C30AF" w:rsidRDefault="008C30AF">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14:paraId="1C5A3B99" w14:textId="77777777" w:rsidR="008C30AF" w:rsidRDefault="008C30AF">
            <w:pPr>
              <w:rPr>
                <w:rFonts w:ascii="Calibri" w:hAnsi="Calibri" w:cs="Calibri"/>
                <w:color w:val="000000"/>
                <w:sz w:val="22"/>
                <w:szCs w:val="22"/>
              </w:rPr>
            </w:pPr>
            <w:r>
              <w:rPr>
                <w:rFonts w:ascii="Calibri" w:hAnsi="Calibri" w:cs="Calibri"/>
                <w:color w:val="000000"/>
                <w:sz w:val="22"/>
                <w:szCs w:val="22"/>
              </w:rPr>
              <w:t xml:space="preserve"> $      10.00 </w:t>
            </w:r>
          </w:p>
        </w:tc>
      </w:tr>
      <w:tr w:rsidR="008C30AF" w14:paraId="67834E27" w14:textId="77777777" w:rsidTr="007B19CB">
        <w:trPr>
          <w:trHeight w:val="372"/>
        </w:trPr>
        <w:tc>
          <w:tcPr>
            <w:tcW w:w="2146" w:type="dxa"/>
            <w:tcBorders>
              <w:top w:val="nil"/>
              <w:left w:val="nil"/>
              <w:bottom w:val="nil"/>
              <w:right w:val="nil"/>
            </w:tcBorders>
            <w:shd w:val="clear" w:color="auto" w:fill="auto"/>
            <w:noWrap/>
            <w:vAlign w:val="bottom"/>
            <w:hideMark/>
          </w:tcPr>
          <w:p w14:paraId="29673D6E" w14:textId="77777777" w:rsidR="008C30AF" w:rsidRDefault="008C30AF">
            <w:pPr>
              <w:rPr>
                <w:rFonts w:ascii="Calibri" w:hAnsi="Calibri" w:cs="Calibri"/>
                <w:color w:val="000000"/>
                <w:sz w:val="22"/>
                <w:szCs w:val="22"/>
              </w:rPr>
            </w:pPr>
            <w:r>
              <w:rPr>
                <w:rFonts w:ascii="Calibri" w:hAnsi="Calibri" w:cs="Calibri"/>
                <w:color w:val="000000"/>
                <w:sz w:val="22"/>
                <w:szCs w:val="22"/>
              </w:rPr>
              <w:t>9/1/23 - 8/31/24</w:t>
            </w:r>
          </w:p>
        </w:tc>
        <w:tc>
          <w:tcPr>
            <w:tcW w:w="1074" w:type="dxa"/>
            <w:tcBorders>
              <w:top w:val="nil"/>
              <w:left w:val="nil"/>
              <w:bottom w:val="nil"/>
              <w:right w:val="nil"/>
            </w:tcBorders>
            <w:shd w:val="clear" w:color="auto" w:fill="auto"/>
            <w:noWrap/>
            <w:vAlign w:val="bottom"/>
            <w:hideMark/>
          </w:tcPr>
          <w:p w14:paraId="78AC6579" w14:textId="77777777" w:rsidR="008C30AF" w:rsidRDefault="008C30AF">
            <w:pPr>
              <w:rPr>
                <w:rFonts w:ascii="Calibri" w:hAnsi="Calibri" w:cs="Calibri"/>
                <w:color w:val="000000"/>
                <w:sz w:val="22"/>
                <w:szCs w:val="22"/>
              </w:rPr>
            </w:pPr>
          </w:p>
        </w:tc>
        <w:tc>
          <w:tcPr>
            <w:tcW w:w="670" w:type="dxa"/>
            <w:tcBorders>
              <w:top w:val="nil"/>
              <w:left w:val="nil"/>
              <w:bottom w:val="nil"/>
              <w:right w:val="nil"/>
            </w:tcBorders>
            <w:shd w:val="clear" w:color="auto" w:fill="auto"/>
            <w:noWrap/>
            <w:vAlign w:val="bottom"/>
            <w:hideMark/>
          </w:tcPr>
          <w:p w14:paraId="08BDBBDC" w14:textId="77777777" w:rsidR="008C30AF" w:rsidRDefault="008C30AF">
            <w:pPr>
              <w:rPr>
                <w:rFonts w:ascii="Calibri" w:hAnsi="Calibri" w:cs="Calibri"/>
                <w:color w:val="000000"/>
                <w:sz w:val="22"/>
                <w:szCs w:val="22"/>
              </w:rPr>
            </w:pPr>
          </w:p>
        </w:tc>
        <w:tc>
          <w:tcPr>
            <w:tcW w:w="2236" w:type="dxa"/>
            <w:tcBorders>
              <w:top w:val="nil"/>
              <w:left w:val="nil"/>
              <w:bottom w:val="nil"/>
              <w:right w:val="nil"/>
            </w:tcBorders>
            <w:shd w:val="clear" w:color="auto" w:fill="auto"/>
            <w:noWrap/>
            <w:vAlign w:val="bottom"/>
            <w:hideMark/>
          </w:tcPr>
          <w:p w14:paraId="71DCA5C9" w14:textId="77777777" w:rsidR="008C30AF" w:rsidRDefault="008C30AF">
            <w:pPr>
              <w:rPr>
                <w:rFonts w:ascii="Calibri" w:hAnsi="Calibri" w:cs="Calibri"/>
                <w:color w:val="000000"/>
                <w:sz w:val="22"/>
                <w:szCs w:val="22"/>
              </w:rPr>
            </w:pPr>
            <w:r>
              <w:rPr>
                <w:rFonts w:ascii="Calibri" w:hAnsi="Calibri" w:cs="Calibri"/>
                <w:color w:val="000000"/>
                <w:sz w:val="22"/>
                <w:szCs w:val="22"/>
              </w:rPr>
              <w:t>As of 12/31/2022</w:t>
            </w:r>
          </w:p>
        </w:tc>
        <w:tc>
          <w:tcPr>
            <w:tcW w:w="1230" w:type="dxa"/>
            <w:tcBorders>
              <w:top w:val="nil"/>
              <w:left w:val="nil"/>
              <w:bottom w:val="nil"/>
              <w:right w:val="nil"/>
            </w:tcBorders>
            <w:shd w:val="clear" w:color="auto" w:fill="auto"/>
            <w:noWrap/>
            <w:vAlign w:val="bottom"/>
            <w:hideMark/>
          </w:tcPr>
          <w:p w14:paraId="38D0F912" w14:textId="77777777" w:rsidR="008C30AF" w:rsidRDefault="008C30AF">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14:paraId="43EFF47E" w14:textId="77777777" w:rsidR="008C30AF" w:rsidRDefault="008C30AF">
            <w:pPr>
              <w:rPr>
                <w:rFonts w:ascii="Calibri" w:hAnsi="Calibri" w:cs="Calibri"/>
                <w:color w:val="000000"/>
                <w:sz w:val="22"/>
                <w:szCs w:val="22"/>
              </w:rPr>
            </w:pPr>
            <w:r>
              <w:rPr>
                <w:rFonts w:ascii="Calibri" w:hAnsi="Calibri" w:cs="Calibri"/>
                <w:color w:val="000000"/>
                <w:sz w:val="22"/>
                <w:szCs w:val="22"/>
              </w:rPr>
              <w:t xml:space="preserve"> $      12.00 </w:t>
            </w:r>
          </w:p>
        </w:tc>
      </w:tr>
      <w:tr w:rsidR="008C30AF" w14:paraId="0476F514" w14:textId="77777777" w:rsidTr="007B19CB">
        <w:trPr>
          <w:trHeight w:val="372"/>
        </w:trPr>
        <w:tc>
          <w:tcPr>
            <w:tcW w:w="2146" w:type="dxa"/>
            <w:tcBorders>
              <w:top w:val="nil"/>
              <w:left w:val="nil"/>
              <w:bottom w:val="nil"/>
              <w:right w:val="nil"/>
            </w:tcBorders>
            <w:shd w:val="clear" w:color="auto" w:fill="auto"/>
            <w:noWrap/>
            <w:vAlign w:val="bottom"/>
            <w:hideMark/>
          </w:tcPr>
          <w:p w14:paraId="335A19D7" w14:textId="77777777" w:rsidR="008C30AF" w:rsidRDefault="008C30AF">
            <w:pPr>
              <w:rPr>
                <w:rFonts w:ascii="Calibri" w:hAnsi="Calibri" w:cs="Calibri"/>
                <w:color w:val="000000"/>
                <w:sz w:val="22"/>
                <w:szCs w:val="22"/>
              </w:rPr>
            </w:pPr>
            <w:r>
              <w:rPr>
                <w:rFonts w:ascii="Calibri" w:hAnsi="Calibri" w:cs="Calibri"/>
                <w:color w:val="000000"/>
                <w:sz w:val="22"/>
                <w:szCs w:val="22"/>
              </w:rPr>
              <w:t>9/1/24 - 8/31/25</w:t>
            </w:r>
          </w:p>
        </w:tc>
        <w:tc>
          <w:tcPr>
            <w:tcW w:w="1074" w:type="dxa"/>
            <w:tcBorders>
              <w:top w:val="nil"/>
              <w:left w:val="nil"/>
              <w:bottom w:val="nil"/>
              <w:right w:val="nil"/>
            </w:tcBorders>
            <w:shd w:val="clear" w:color="auto" w:fill="auto"/>
            <w:noWrap/>
            <w:vAlign w:val="bottom"/>
            <w:hideMark/>
          </w:tcPr>
          <w:p w14:paraId="229E279F" w14:textId="77777777" w:rsidR="008C30AF" w:rsidRDefault="008C30AF">
            <w:pPr>
              <w:rPr>
                <w:rFonts w:ascii="Calibri" w:hAnsi="Calibri" w:cs="Calibri"/>
                <w:color w:val="000000"/>
                <w:sz w:val="22"/>
                <w:szCs w:val="22"/>
              </w:rPr>
            </w:pPr>
          </w:p>
        </w:tc>
        <w:tc>
          <w:tcPr>
            <w:tcW w:w="670" w:type="dxa"/>
            <w:tcBorders>
              <w:top w:val="nil"/>
              <w:left w:val="nil"/>
              <w:bottom w:val="nil"/>
              <w:right w:val="nil"/>
            </w:tcBorders>
            <w:shd w:val="clear" w:color="auto" w:fill="auto"/>
            <w:noWrap/>
            <w:vAlign w:val="bottom"/>
            <w:hideMark/>
          </w:tcPr>
          <w:p w14:paraId="2862C26C" w14:textId="77777777" w:rsidR="008C30AF" w:rsidRDefault="008C30AF">
            <w:pPr>
              <w:rPr>
                <w:rFonts w:ascii="Calibri" w:hAnsi="Calibri" w:cs="Calibri"/>
                <w:color w:val="000000"/>
                <w:sz w:val="22"/>
                <w:szCs w:val="22"/>
              </w:rPr>
            </w:pPr>
          </w:p>
        </w:tc>
        <w:tc>
          <w:tcPr>
            <w:tcW w:w="2236" w:type="dxa"/>
            <w:tcBorders>
              <w:top w:val="nil"/>
              <w:left w:val="nil"/>
              <w:bottom w:val="nil"/>
              <w:right w:val="nil"/>
            </w:tcBorders>
            <w:shd w:val="clear" w:color="auto" w:fill="auto"/>
            <w:noWrap/>
            <w:vAlign w:val="bottom"/>
            <w:hideMark/>
          </w:tcPr>
          <w:p w14:paraId="6FC983E5" w14:textId="77777777" w:rsidR="008C30AF" w:rsidRDefault="008C30AF">
            <w:pPr>
              <w:rPr>
                <w:rFonts w:ascii="Calibri" w:hAnsi="Calibri" w:cs="Calibri"/>
                <w:color w:val="000000"/>
                <w:sz w:val="22"/>
                <w:szCs w:val="22"/>
              </w:rPr>
            </w:pPr>
            <w:r>
              <w:rPr>
                <w:rFonts w:ascii="Calibri" w:hAnsi="Calibri" w:cs="Calibri"/>
                <w:color w:val="000000"/>
                <w:sz w:val="22"/>
                <w:szCs w:val="22"/>
              </w:rPr>
              <w:t>As of 12/31/2023</w:t>
            </w:r>
          </w:p>
        </w:tc>
        <w:tc>
          <w:tcPr>
            <w:tcW w:w="1230" w:type="dxa"/>
            <w:tcBorders>
              <w:top w:val="nil"/>
              <w:left w:val="nil"/>
              <w:bottom w:val="nil"/>
              <w:right w:val="nil"/>
            </w:tcBorders>
            <w:shd w:val="clear" w:color="auto" w:fill="auto"/>
            <w:noWrap/>
            <w:vAlign w:val="bottom"/>
            <w:hideMark/>
          </w:tcPr>
          <w:p w14:paraId="20D5E027" w14:textId="77777777" w:rsidR="008C30AF" w:rsidRDefault="008C30AF">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14:paraId="48050AAA" w14:textId="77777777" w:rsidR="008C30AF" w:rsidRDefault="008C30AF">
            <w:pPr>
              <w:rPr>
                <w:rFonts w:ascii="Calibri" w:hAnsi="Calibri" w:cs="Calibri"/>
                <w:color w:val="000000"/>
                <w:sz w:val="22"/>
                <w:szCs w:val="22"/>
              </w:rPr>
            </w:pPr>
            <w:r>
              <w:rPr>
                <w:rFonts w:ascii="Calibri" w:hAnsi="Calibri" w:cs="Calibri"/>
                <w:color w:val="000000"/>
                <w:sz w:val="22"/>
                <w:szCs w:val="22"/>
              </w:rPr>
              <w:t xml:space="preserve"> $      13.75 </w:t>
            </w:r>
          </w:p>
        </w:tc>
      </w:tr>
    </w:tbl>
    <w:p w14:paraId="62A4A128" w14:textId="77777777" w:rsidR="008C30AF" w:rsidRDefault="008C30AF" w:rsidP="00E5670F">
      <w:pPr>
        <w:spacing w:line="480" w:lineRule="auto"/>
        <w:ind w:left="720" w:hanging="720"/>
        <w:rPr>
          <w:rFonts w:asciiTheme="majorBidi" w:hAnsiTheme="majorBidi" w:cstheme="majorBidi"/>
          <w:bCs/>
          <w:iCs/>
        </w:rPr>
      </w:pPr>
    </w:p>
    <w:p w14:paraId="60C771C4" w14:textId="23E07879" w:rsidR="0084726C" w:rsidRDefault="00442391" w:rsidP="007B19CB">
      <w:pPr>
        <w:spacing w:line="480" w:lineRule="auto"/>
        <w:ind w:left="720"/>
        <w:rPr>
          <w:rFonts w:asciiTheme="majorBidi" w:hAnsiTheme="majorBidi" w:cstheme="majorBidi"/>
          <w:bCs/>
          <w:iCs/>
        </w:rPr>
      </w:pPr>
      <w:r>
        <w:rPr>
          <w:rFonts w:asciiTheme="majorBidi" w:hAnsiTheme="majorBidi" w:cstheme="majorBidi"/>
          <w:bCs/>
          <w:iCs/>
        </w:rPr>
        <w:t>When added to the $32.86 fixed charge in residential rates,</w:t>
      </w:r>
      <w:r w:rsidR="00B43845">
        <w:rPr>
          <w:rFonts w:asciiTheme="majorBidi" w:hAnsiTheme="majorBidi" w:cstheme="majorBidi"/>
          <w:bCs/>
          <w:iCs/>
        </w:rPr>
        <w:t xml:space="preserve"> the DRR and CEP rate caps</w:t>
      </w:r>
      <w:r>
        <w:rPr>
          <w:rFonts w:asciiTheme="majorBidi" w:hAnsiTheme="majorBidi" w:cstheme="majorBidi"/>
          <w:bCs/>
          <w:iCs/>
        </w:rPr>
        <w:t xml:space="preserve"> can potentially</w:t>
      </w:r>
      <w:r w:rsidR="004607F9">
        <w:rPr>
          <w:rStyle w:val="FootnoteReference"/>
          <w:rFonts w:asciiTheme="majorBidi" w:hAnsiTheme="majorBidi" w:cstheme="majorBidi"/>
          <w:bCs/>
          <w:iCs/>
        </w:rPr>
        <w:footnoteReference w:id="7"/>
      </w:r>
      <w:r>
        <w:rPr>
          <w:rFonts w:asciiTheme="majorBidi" w:hAnsiTheme="majorBidi" w:cstheme="majorBidi"/>
          <w:bCs/>
          <w:iCs/>
        </w:rPr>
        <w:t xml:space="preserve"> increase residential fixed charges from </w:t>
      </w:r>
      <w:r w:rsidR="00B43845">
        <w:rPr>
          <w:rFonts w:asciiTheme="majorBidi" w:hAnsiTheme="majorBidi" w:cstheme="majorBidi"/>
          <w:bCs/>
          <w:iCs/>
        </w:rPr>
        <w:t xml:space="preserve">$32.86 </w:t>
      </w:r>
      <w:r>
        <w:rPr>
          <w:rFonts w:asciiTheme="majorBidi" w:hAnsiTheme="majorBidi" w:cstheme="majorBidi"/>
          <w:bCs/>
          <w:iCs/>
        </w:rPr>
        <w:t>to $48.11 in 2024.   This represents</w:t>
      </w:r>
      <w:r w:rsidR="00B43845">
        <w:rPr>
          <w:rFonts w:asciiTheme="majorBidi" w:hAnsiTheme="majorBidi" w:cstheme="majorBidi"/>
          <w:bCs/>
          <w:iCs/>
        </w:rPr>
        <w:t xml:space="preserve"> an</w:t>
      </w:r>
      <w:r>
        <w:rPr>
          <w:rFonts w:asciiTheme="majorBidi" w:hAnsiTheme="majorBidi" w:cstheme="majorBidi"/>
          <w:bCs/>
          <w:iCs/>
        </w:rPr>
        <w:t xml:space="preserve"> extraordinary residential fixed charge increase</w:t>
      </w:r>
      <w:r w:rsidR="0084726C">
        <w:rPr>
          <w:rFonts w:asciiTheme="majorBidi" w:hAnsiTheme="majorBidi" w:cstheme="majorBidi"/>
          <w:bCs/>
          <w:iCs/>
        </w:rPr>
        <w:t xml:space="preserve"> </w:t>
      </w:r>
      <w:r>
        <w:rPr>
          <w:rFonts w:asciiTheme="majorBidi" w:hAnsiTheme="majorBidi" w:cstheme="majorBidi"/>
          <w:bCs/>
          <w:iCs/>
        </w:rPr>
        <w:t xml:space="preserve">ranging from </w:t>
      </w:r>
      <w:r w:rsidR="008F5762">
        <w:rPr>
          <w:rFonts w:asciiTheme="majorBidi" w:hAnsiTheme="majorBidi" w:cstheme="majorBidi"/>
          <w:bCs/>
          <w:iCs/>
        </w:rPr>
        <w:t xml:space="preserve">approximately </w:t>
      </w:r>
      <w:r w:rsidR="00B43845">
        <w:rPr>
          <w:rFonts w:asciiTheme="majorBidi" w:hAnsiTheme="majorBidi" w:cstheme="majorBidi"/>
          <w:bCs/>
          <w:iCs/>
        </w:rPr>
        <w:t>20</w:t>
      </w:r>
      <w:r w:rsidR="00253A66">
        <w:rPr>
          <w:rFonts w:asciiTheme="majorBidi" w:hAnsiTheme="majorBidi" w:cstheme="majorBidi"/>
          <w:bCs/>
          <w:iCs/>
        </w:rPr>
        <w:t>%</w:t>
      </w:r>
      <w:r>
        <w:rPr>
          <w:rFonts w:asciiTheme="majorBidi" w:hAnsiTheme="majorBidi" w:cstheme="majorBidi"/>
          <w:bCs/>
          <w:iCs/>
        </w:rPr>
        <w:t xml:space="preserve"> to </w:t>
      </w:r>
      <w:r w:rsidR="0084726C">
        <w:rPr>
          <w:rFonts w:asciiTheme="majorBidi" w:hAnsiTheme="majorBidi" w:cstheme="majorBidi"/>
          <w:bCs/>
          <w:iCs/>
        </w:rPr>
        <w:t>74</w:t>
      </w:r>
      <w:r w:rsidR="00253A66">
        <w:rPr>
          <w:rFonts w:asciiTheme="majorBidi" w:hAnsiTheme="majorBidi" w:cstheme="majorBidi"/>
          <w:bCs/>
          <w:iCs/>
        </w:rPr>
        <w:t>%</w:t>
      </w:r>
      <w:r>
        <w:rPr>
          <w:rFonts w:asciiTheme="majorBidi" w:hAnsiTheme="majorBidi" w:cstheme="majorBidi"/>
          <w:bCs/>
          <w:iCs/>
        </w:rPr>
        <w:t>.</w:t>
      </w:r>
      <w:r>
        <w:rPr>
          <w:rStyle w:val="FootnoteReference"/>
          <w:rFonts w:asciiTheme="majorBidi" w:hAnsiTheme="majorBidi" w:cstheme="majorBidi"/>
          <w:bCs/>
          <w:iCs/>
        </w:rPr>
        <w:footnoteReference w:id="8"/>
      </w:r>
      <w:r>
        <w:rPr>
          <w:rFonts w:asciiTheme="majorBidi" w:hAnsiTheme="majorBidi" w:cstheme="majorBidi"/>
          <w:bCs/>
          <w:iCs/>
        </w:rPr>
        <w:t xml:space="preserve">  </w:t>
      </w:r>
    </w:p>
    <w:p w14:paraId="5E645E2B" w14:textId="77777777" w:rsidR="00D31239" w:rsidRDefault="009E5F58" w:rsidP="007B19CB">
      <w:pPr>
        <w:spacing w:line="480" w:lineRule="auto"/>
        <w:ind w:left="720"/>
        <w:rPr>
          <w:rFonts w:asciiTheme="majorBidi" w:hAnsiTheme="majorBidi" w:cstheme="majorBidi"/>
          <w:bCs/>
          <w:iCs/>
        </w:rPr>
        <w:sectPr w:rsidR="00D31239" w:rsidSect="00B1755F">
          <w:pgSz w:w="12240" w:h="15840" w:code="1"/>
          <w:pgMar w:top="1440" w:right="1800" w:bottom="1440" w:left="1800" w:header="720" w:footer="576" w:gutter="0"/>
          <w:lnNumType w:countBy="1"/>
          <w:cols w:space="720"/>
          <w:titlePg/>
          <w:docGrid w:linePitch="360"/>
        </w:sectPr>
      </w:pPr>
      <w:r>
        <w:rPr>
          <w:rFonts w:asciiTheme="majorBidi" w:hAnsiTheme="majorBidi" w:cstheme="majorBidi"/>
          <w:bCs/>
          <w:iCs/>
        </w:rPr>
        <w:t>T</w:t>
      </w:r>
      <w:r w:rsidR="00E5670F" w:rsidRPr="008D56A9">
        <w:rPr>
          <w:rFonts w:asciiTheme="majorBidi" w:hAnsiTheme="majorBidi" w:cstheme="majorBidi"/>
          <w:bCs/>
          <w:iCs/>
        </w:rPr>
        <w:t>able</w:t>
      </w:r>
      <w:r>
        <w:rPr>
          <w:rFonts w:asciiTheme="majorBidi" w:hAnsiTheme="majorBidi" w:cstheme="majorBidi"/>
          <w:bCs/>
          <w:iCs/>
        </w:rPr>
        <w:t xml:space="preserve"> 2</w:t>
      </w:r>
      <w:r w:rsidR="00C57E6A">
        <w:rPr>
          <w:rFonts w:asciiTheme="majorBidi" w:hAnsiTheme="majorBidi" w:cstheme="majorBidi"/>
          <w:bCs/>
          <w:iCs/>
        </w:rPr>
        <w:t>, Table 3,</w:t>
      </w:r>
      <w:r w:rsidR="00E5670F" w:rsidRPr="008D56A9">
        <w:rPr>
          <w:rFonts w:asciiTheme="majorBidi" w:hAnsiTheme="majorBidi" w:cstheme="majorBidi"/>
          <w:bCs/>
          <w:iCs/>
        </w:rPr>
        <w:t xml:space="preserve"> and graph </w:t>
      </w:r>
      <w:r>
        <w:rPr>
          <w:rFonts w:asciiTheme="majorBidi" w:hAnsiTheme="majorBidi" w:cstheme="majorBidi"/>
          <w:bCs/>
          <w:iCs/>
        </w:rPr>
        <w:t xml:space="preserve">1 </w:t>
      </w:r>
      <w:r w:rsidR="00E5670F" w:rsidRPr="008D56A9">
        <w:rPr>
          <w:rFonts w:asciiTheme="majorBidi" w:hAnsiTheme="majorBidi" w:cstheme="majorBidi"/>
          <w:bCs/>
          <w:iCs/>
        </w:rPr>
        <w:t xml:space="preserve">below shows the projected residential rate and bill increases if the </w:t>
      </w:r>
      <w:r w:rsidR="00AB26FE">
        <w:rPr>
          <w:rFonts w:asciiTheme="majorBidi" w:hAnsiTheme="majorBidi" w:cstheme="majorBidi"/>
          <w:bCs/>
          <w:iCs/>
        </w:rPr>
        <w:t>Settlement’s</w:t>
      </w:r>
      <w:r w:rsidR="00E5670F" w:rsidRPr="008D56A9">
        <w:rPr>
          <w:rFonts w:asciiTheme="majorBidi" w:hAnsiTheme="majorBidi" w:cstheme="majorBidi"/>
          <w:bCs/>
          <w:iCs/>
        </w:rPr>
        <w:t xml:space="preserve"> distribution rate increases are approved and added to the fix charge, compared to OCC’s </w:t>
      </w:r>
      <w:r w:rsidR="00035BB7">
        <w:rPr>
          <w:rFonts w:asciiTheme="majorBidi" w:hAnsiTheme="majorBidi" w:cstheme="majorBidi"/>
          <w:bCs/>
          <w:iCs/>
        </w:rPr>
        <w:t xml:space="preserve">alternate </w:t>
      </w:r>
      <w:r w:rsidR="00E5670F" w:rsidRPr="008D56A9">
        <w:rPr>
          <w:rFonts w:asciiTheme="majorBidi" w:hAnsiTheme="majorBidi" w:cstheme="majorBidi"/>
          <w:bCs/>
          <w:iCs/>
        </w:rPr>
        <w:t xml:space="preserve">recommendation that the distribution increase </w:t>
      </w:r>
      <w:r w:rsidR="00035BB7">
        <w:rPr>
          <w:rFonts w:asciiTheme="majorBidi" w:hAnsiTheme="majorBidi" w:cstheme="majorBidi"/>
          <w:bCs/>
          <w:iCs/>
        </w:rPr>
        <w:t>above $18.37</w:t>
      </w:r>
      <w:r w:rsidR="00E5670F" w:rsidRPr="008D56A9">
        <w:rPr>
          <w:rFonts w:asciiTheme="majorBidi" w:hAnsiTheme="majorBidi" w:cstheme="majorBidi"/>
          <w:bCs/>
          <w:iCs/>
        </w:rPr>
        <w:t xml:space="preserve"> get billed on a volumetric basis.</w:t>
      </w:r>
    </w:p>
    <w:tbl>
      <w:tblPr>
        <w:tblW w:w="11707" w:type="dxa"/>
        <w:tblInd w:w="-1530" w:type="dxa"/>
        <w:tblLook w:val="04A0" w:firstRow="1" w:lastRow="0" w:firstColumn="1" w:lastColumn="0" w:noHBand="0" w:noVBand="1"/>
      </w:tblPr>
      <w:tblGrid>
        <w:gridCol w:w="2114"/>
        <w:gridCol w:w="1094"/>
        <w:gridCol w:w="242"/>
        <w:gridCol w:w="1570"/>
        <w:gridCol w:w="1319"/>
        <w:gridCol w:w="1163"/>
        <w:gridCol w:w="242"/>
        <w:gridCol w:w="1637"/>
        <w:gridCol w:w="1163"/>
        <w:gridCol w:w="1163"/>
      </w:tblGrid>
      <w:tr w:rsidR="00916D6E" w14:paraId="66DB4121" w14:textId="77777777" w:rsidTr="00D31239">
        <w:trPr>
          <w:trHeight w:val="369"/>
        </w:trPr>
        <w:tc>
          <w:tcPr>
            <w:tcW w:w="3450" w:type="dxa"/>
            <w:gridSpan w:val="3"/>
            <w:tcBorders>
              <w:top w:val="nil"/>
              <w:left w:val="nil"/>
              <w:bottom w:val="nil"/>
              <w:right w:val="nil"/>
            </w:tcBorders>
            <w:shd w:val="clear" w:color="auto" w:fill="auto"/>
            <w:noWrap/>
            <w:vAlign w:val="bottom"/>
            <w:hideMark/>
          </w:tcPr>
          <w:p w14:paraId="4B7D7C06" w14:textId="77777777" w:rsidR="00916D6E" w:rsidRPr="00386D58" w:rsidRDefault="009E5F58">
            <w:pPr>
              <w:rPr>
                <w:color w:val="000000"/>
              </w:rPr>
            </w:pPr>
            <w:r>
              <w:rPr>
                <w:color w:val="000000"/>
              </w:rPr>
              <w:lastRenderedPageBreak/>
              <w:t xml:space="preserve">Table 2: </w:t>
            </w:r>
            <w:r w:rsidR="00916D6E" w:rsidRPr="00386D58">
              <w:rPr>
                <w:color w:val="000000"/>
              </w:rPr>
              <w:t>Vectren Typical Residential Bill Including Fuel</w:t>
            </w:r>
          </w:p>
        </w:tc>
        <w:tc>
          <w:tcPr>
            <w:tcW w:w="1570" w:type="dxa"/>
            <w:tcBorders>
              <w:top w:val="nil"/>
              <w:left w:val="nil"/>
              <w:bottom w:val="nil"/>
              <w:right w:val="nil"/>
            </w:tcBorders>
            <w:shd w:val="clear" w:color="auto" w:fill="auto"/>
            <w:noWrap/>
            <w:vAlign w:val="bottom"/>
            <w:hideMark/>
          </w:tcPr>
          <w:p w14:paraId="280BDB4E" w14:textId="77777777" w:rsidR="00916D6E" w:rsidRPr="00386D58" w:rsidRDefault="00916D6E">
            <w:pPr>
              <w:rPr>
                <w:color w:val="000000"/>
              </w:rPr>
            </w:pPr>
          </w:p>
        </w:tc>
        <w:tc>
          <w:tcPr>
            <w:tcW w:w="1319" w:type="dxa"/>
            <w:tcBorders>
              <w:top w:val="nil"/>
              <w:left w:val="nil"/>
              <w:bottom w:val="nil"/>
              <w:right w:val="nil"/>
            </w:tcBorders>
            <w:shd w:val="clear" w:color="auto" w:fill="auto"/>
            <w:noWrap/>
            <w:vAlign w:val="bottom"/>
            <w:hideMark/>
          </w:tcPr>
          <w:p w14:paraId="69E9131B"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2D8ECF7F" w14:textId="77777777" w:rsidR="00916D6E" w:rsidRPr="00386D58" w:rsidRDefault="00916D6E">
            <w:pPr>
              <w:rPr>
                <w:color w:val="000000"/>
              </w:rPr>
            </w:pPr>
          </w:p>
        </w:tc>
        <w:tc>
          <w:tcPr>
            <w:tcW w:w="242" w:type="dxa"/>
            <w:tcBorders>
              <w:top w:val="nil"/>
              <w:left w:val="nil"/>
              <w:bottom w:val="nil"/>
              <w:right w:val="nil"/>
            </w:tcBorders>
            <w:shd w:val="clear" w:color="auto" w:fill="auto"/>
            <w:noWrap/>
            <w:vAlign w:val="bottom"/>
            <w:hideMark/>
          </w:tcPr>
          <w:p w14:paraId="5ABB0910" w14:textId="77777777" w:rsidR="00916D6E" w:rsidRPr="00386D58" w:rsidRDefault="00916D6E">
            <w:pPr>
              <w:rPr>
                <w:color w:val="000000"/>
              </w:rPr>
            </w:pPr>
          </w:p>
        </w:tc>
        <w:tc>
          <w:tcPr>
            <w:tcW w:w="1637" w:type="dxa"/>
            <w:tcBorders>
              <w:top w:val="nil"/>
              <w:left w:val="nil"/>
              <w:bottom w:val="nil"/>
              <w:right w:val="nil"/>
            </w:tcBorders>
            <w:shd w:val="clear" w:color="auto" w:fill="auto"/>
            <w:noWrap/>
            <w:vAlign w:val="bottom"/>
            <w:hideMark/>
          </w:tcPr>
          <w:p w14:paraId="5457810E"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3BFED28C"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39E0243E" w14:textId="77777777" w:rsidR="00916D6E" w:rsidRPr="00386D58" w:rsidRDefault="00916D6E">
            <w:pPr>
              <w:rPr>
                <w:color w:val="000000"/>
              </w:rPr>
            </w:pPr>
          </w:p>
        </w:tc>
      </w:tr>
      <w:tr w:rsidR="00916D6E" w14:paraId="220CCA1E" w14:textId="77777777" w:rsidTr="00D31239">
        <w:trPr>
          <w:trHeight w:val="369"/>
        </w:trPr>
        <w:tc>
          <w:tcPr>
            <w:tcW w:w="2114" w:type="dxa"/>
            <w:tcBorders>
              <w:top w:val="nil"/>
              <w:left w:val="nil"/>
              <w:bottom w:val="nil"/>
              <w:right w:val="nil"/>
            </w:tcBorders>
            <w:shd w:val="clear" w:color="auto" w:fill="auto"/>
            <w:noWrap/>
            <w:vAlign w:val="bottom"/>
            <w:hideMark/>
          </w:tcPr>
          <w:p w14:paraId="045E6A54" w14:textId="77777777" w:rsidR="00916D6E" w:rsidRPr="00386D58" w:rsidRDefault="00916D6E">
            <w:pPr>
              <w:rPr>
                <w:color w:val="000000"/>
              </w:rPr>
            </w:pPr>
          </w:p>
        </w:tc>
        <w:tc>
          <w:tcPr>
            <w:tcW w:w="1094" w:type="dxa"/>
            <w:tcBorders>
              <w:top w:val="nil"/>
              <w:left w:val="nil"/>
              <w:bottom w:val="nil"/>
              <w:right w:val="nil"/>
            </w:tcBorders>
            <w:shd w:val="clear" w:color="auto" w:fill="auto"/>
            <w:noWrap/>
            <w:vAlign w:val="bottom"/>
            <w:hideMark/>
          </w:tcPr>
          <w:p w14:paraId="3521DC1A" w14:textId="77777777" w:rsidR="00916D6E" w:rsidRPr="00386D58" w:rsidRDefault="00916D6E">
            <w:pPr>
              <w:rPr>
                <w:color w:val="000000"/>
              </w:rPr>
            </w:pPr>
          </w:p>
        </w:tc>
        <w:tc>
          <w:tcPr>
            <w:tcW w:w="242" w:type="dxa"/>
            <w:tcBorders>
              <w:top w:val="nil"/>
              <w:left w:val="nil"/>
              <w:bottom w:val="nil"/>
              <w:right w:val="nil"/>
            </w:tcBorders>
            <w:shd w:val="clear" w:color="auto" w:fill="auto"/>
            <w:noWrap/>
            <w:vAlign w:val="bottom"/>
            <w:hideMark/>
          </w:tcPr>
          <w:p w14:paraId="6F05A523" w14:textId="77777777" w:rsidR="00916D6E" w:rsidRPr="00386D58" w:rsidRDefault="00916D6E">
            <w:pPr>
              <w:rPr>
                <w:color w:val="000000"/>
              </w:rPr>
            </w:pPr>
          </w:p>
        </w:tc>
        <w:tc>
          <w:tcPr>
            <w:tcW w:w="1570" w:type="dxa"/>
            <w:tcBorders>
              <w:top w:val="nil"/>
              <w:left w:val="nil"/>
              <w:bottom w:val="nil"/>
              <w:right w:val="nil"/>
            </w:tcBorders>
            <w:shd w:val="clear" w:color="auto" w:fill="auto"/>
            <w:noWrap/>
            <w:vAlign w:val="bottom"/>
            <w:hideMark/>
          </w:tcPr>
          <w:p w14:paraId="469D2BCC" w14:textId="77777777" w:rsidR="00916D6E" w:rsidRPr="00386D58" w:rsidRDefault="00916D6E">
            <w:pPr>
              <w:rPr>
                <w:color w:val="000000"/>
              </w:rPr>
            </w:pPr>
          </w:p>
        </w:tc>
        <w:tc>
          <w:tcPr>
            <w:tcW w:w="1319" w:type="dxa"/>
            <w:tcBorders>
              <w:top w:val="nil"/>
              <w:left w:val="nil"/>
              <w:bottom w:val="nil"/>
              <w:right w:val="nil"/>
            </w:tcBorders>
            <w:shd w:val="clear" w:color="auto" w:fill="auto"/>
            <w:noWrap/>
            <w:vAlign w:val="bottom"/>
            <w:hideMark/>
          </w:tcPr>
          <w:p w14:paraId="16A60329" w14:textId="77777777" w:rsidR="00916D6E" w:rsidRPr="00386D58" w:rsidRDefault="00916D6E">
            <w:pPr>
              <w:rPr>
                <w:color w:val="000000"/>
              </w:rPr>
            </w:pPr>
            <w:r w:rsidRPr="00386D58">
              <w:rPr>
                <w:color w:val="000000"/>
              </w:rPr>
              <w:t xml:space="preserve">Proposed </w:t>
            </w:r>
          </w:p>
        </w:tc>
        <w:tc>
          <w:tcPr>
            <w:tcW w:w="1163" w:type="dxa"/>
            <w:tcBorders>
              <w:top w:val="nil"/>
              <w:left w:val="nil"/>
              <w:bottom w:val="nil"/>
              <w:right w:val="nil"/>
            </w:tcBorders>
            <w:shd w:val="clear" w:color="auto" w:fill="auto"/>
            <w:noWrap/>
            <w:vAlign w:val="bottom"/>
            <w:hideMark/>
          </w:tcPr>
          <w:p w14:paraId="79D3EB65" w14:textId="77777777" w:rsidR="00916D6E" w:rsidRPr="00386D58" w:rsidRDefault="00916D6E">
            <w:pPr>
              <w:rPr>
                <w:color w:val="000000"/>
              </w:rPr>
            </w:pPr>
            <w:r w:rsidRPr="00386D58">
              <w:rPr>
                <w:color w:val="000000"/>
              </w:rPr>
              <w:t>Proposed</w:t>
            </w:r>
          </w:p>
        </w:tc>
        <w:tc>
          <w:tcPr>
            <w:tcW w:w="242" w:type="dxa"/>
            <w:tcBorders>
              <w:top w:val="nil"/>
              <w:left w:val="nil"/>
              <w:bottom w:val="nil"/>
              <w:right w:val="nil"/>
            </w:tcBorders>
            <w:shd w:val="clear" w:color="auto" w:fill="auto"/>
            <w:noWrap/>
            <w:vAlign w:val="bottom"/>
            <w:hideMark/>
          </w:tcPr>
          <w:p w14:paraId="51FA8809" w14:textId="77777777" w:rsidR="00916D6E" w:rsidRPr="00386D58" w:rsidRDefault="00916D6E">
            <w:pPr>
              <w:rPr>
                <w:color w:val="000000"/>
              </w:rPr>
            </w:pPr>
          </w:p>
        </w:tc>
        <w:tc>
          <w:tcPr>
            <w:tcW w:w="1637" w:type="dxa"/>
            <w:tcBorders>
              <w:top w:val="nil"/>
              <w:left w:val="nil"/>
              <w:bottom w:val="nil"/>
              <w:right w:val="nil"/>
            </w:tcBorders>
            <w:shd w:val="clear" w:color="auto" w:fill="auto"/>
            <w:noWrap/>
            <w:vAlign w:val="bottom"/>
            <w:hideMark/>
          </w:tcPr>
          <w:p w14:paraId="1341B556"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5AD66594" w14:textId="77777777" w:rsidR="00916D6E" w:rsidRPr="00386D58" w:rsidRDefault="00916D6E">
            <w:pPr>
              <w:rPr>
                <w:color w:val="000000"/>
              </w:rPr>
            </w:pPr>
            <w:r w:rsidRPr="00386D58">
              <w:rPr>
                <w:color w:val="000000"/>
              </w:rPr>
              <w:t>Proposed</w:t>
            </w:r>
          </w:p>
        </w:tc>
        <w:tc>
          <w:tcPr>
            <w:tcW w:w="1163" w:type="dxa"/>
            <w:tcBorders>
              <w:top w:val="nil"/>
              <w:left w:val="nil"/>
              <w:bottom w:val="nil"/>
              <w:right w:val="nil"/>
            </w:tcBorders>
            <w:shd w:val="clear" w:color="auto" w:fill="auto"/>
            <w:noWrap/>
            <w:vAlign w:val="bottom"/>
            <w:hideMark/>
          </w:tcPr>
          <w:p w14:paraId="6E03C796" w14:textId="77777777" w:rsidR="00916D6E" w:rsidRPr="00386D58" w:rsidRDefault="00916D6E">
            <w:pPr>
              <w:rPr>
                <w:color w:val="000000"/>
              </w:rPr>
            </w:pPr>
            <w:r w:rsidRPr="00386D58">
              <w:rPr>
                <w:color w:val="000000"/>
              </w:rPr>
              <w:t>Proposed</w:t>
            </w:r>
          </w:p>
        </w:tc>
      </w:tr>
      <w:tr w:rsidR="00916D6E" w14:paraId="63C57328" w14:textId="77777777" w:rsidTr="00D31239">
        <w:trPr>
          <w:trHeight w:val="369"/>
        </w:trPr>
        <w:tc>
          <w:tcPr>
            <w:tcW w:w="2114" w:type="dxa"/>
            <w:tcBorders>
              <w:top w:val="nil"/>
              <w:left w:val="nil"/>
              <w:bottom w:val="nil"/>
              <w:right w:val="nil"/>
            </w:tcBorders>
            <w:shd w:val="clear" w:color="auto" w:fill="auto"/>
            <w:noWrap/>
            <w:vAlign w:val="bottom"/>
            <w:hideMark/>
          </w:tcPr>
          <w:p w14:paraId="5FB2A7DB" w14:textId="77777777" w:rsidR="00916D6E" w:rsidRPr="00386D58" w:rsidRDefault="00916D6E">
            <w:pPr>
              <w:rPr>
                <w:color w:val="000000"/>
              </w:rPr>
            </w:pPr>
          </w:p>
        </w:tc>
        <w:tc>
          <w:tcPr>
            <w:tcW w:w="1094" w:type="dxa"/>
            <w:tcBorders>
              <w:top w:val="nil"/>
              <w:left w:val="nil"/>
              <w:bottom w:val="nil"/>
              <w:right w:val="nil"/>
            </w:tcBorders>
            <w:shd w:val="clear" w:color="auto" w:fill="auto"/>
            <w:noWrap/>
            <w:vAlign w:val="bottom"/>
            <w:hideMark/>
          </w:tcPr>
          <w:p w14:paraId="63DE56EC" w14:textId="77777777" w:rsidR="00916D6E" w:rsidRPr="00386D58" w:rsidRDefault="00916D6E">
            <w:pPr>
              <w:rPr>
                <w:color w:val="000000"/>
              </w:rPr>
            </w:pPr>
            <w:r w:rsidRPr="00386D58">
              <w:rPr>
                <w:color w:val="000000"/>
              </w:rPr>
              <w:t>Current</w:t>
            </w:r>
          </w:p>
        </w:tc>
        <w:tc>
          <w:tcPr>
            <w:tcW w:w="242" w:type="dxa"/>
            <w:tcBorders>
              <w:top w:val="nil"/>
              <w:left w:val="nil"/>
              <w:bottom w:val="nil"/>
              <w:right w:val="nil"/>
            </w:tcBorders>
            <w:shd w:val="clear" w:color="auto" w:fill="auto"/>
            <w:noWrap/>
            <w:vAlign w:val="bottom"/>
            <w:hideMark/>
          </w:tcPr>
          <w:p w14:paraId="63B977D2" w14:textId="77777777" w:rsidR="00916D6E" w:rsidRPr="00386D58" w:rsidRDefault="00916D6E">
            <w:pPr>
              <w:rPr>
                <w:color w:val="000000"/>
              </w:rPr>
            </w:pPr>
          </w:p>
        </w:tc>
        <w:tc>
          <w:tcPr>
            <w:tcW w:w="1570" w:type="dxa"/>
            <w:tcBorders>
              <w:top w:val="nil"/>
              <w:left w:val="nil"/>
              <w:bottom w:val="nil"/>
              <w:right w:val="nil"/>
            </w:tcBorders>
            <w:shd w:val="clear" w:color="auto" w:fill="auto"/>
            <w:noWrap/>
            <w:vAlign w:val="bottom"/>
            <w:hideMark/>
          </w:tcPr>
          <w:p w14:paraId="5D369631" w14:textId="77777777" w:rsidR="00916D6E" w:rsidRPr="00386D58" w:rsidRDefault="00916D6E">
            <w:pPr>
              <w:rPr>
                <w:color w:val="000000"/>
              </w:rPr>
            </w:pPr>
            <w:r w:rsidRPr="00386D58">
              <w:rPr>
                <w:color w:val="000000"/>
              </w:rPr>
              <w:t>Settlement</w:t>
            </w:r>
          </w:p>
        </w:tc>
        <w:tc>
          <w:tcPr>
            <w:tcW w:w="1319" w:type="dxa"/>
            <w:tcBorders>
              <w:top w:val="nil"/>
              <w:left w:val="nil"/>
              <w:bottom w:val="nil"/>
              <w:right w:val="nil"/>
            </w:tcBorders>
            <w:shd w:val="clear" w:color="auto" w:fill="auto"/>
            <w:noWrap/>
            <w:vAlign w:val="bottom"/>
            <w:hideMark/>
          </w:tcPr>
          <w:p w14:paraId="122CCD04" w14:textId="77777777" w:rsidR="00916D6E" w:rsidRPr="00386D58" w:rsidRDefault="00916D6E">
            <w:pPr>
              <w:rPr>
                <w:color w:val="000000"/>
              </w:rPr>
            </w:pPr>
            <w:r w:rsidRPr="00386D58">
              <w:rPr>
                <w:color w:val="000000"/>
              </w:rPr>
              <w:t>Settlement</w:t>
            </w:r>
          </w:p>
        </w:tc>
        <w:tc>
          <w:tcPr>
            <w:tcW w:w="1405" w:type="dxa"/>
            <w:gridSpan w:val="2"/>
            <w:tcBorders>
              <w:top w:val="nil"/>
              <w:left w:val="nil"/>
              <w:bottom w:val="nil"/>
              <w:right w:val="nil"/>
            </w:tcBorders>
            <w:shd w:val="clear" w:color="auto" w:fill="auto"/>
            <w:noWrap/>
            <w:vAlign w:val="bottom"/>
            <w:hideMark/>
          </w:tcPr>
          <w:p w14:paraId="5BC1C58E" w14:textId="77777777" w:rsidR="00916D6E" w:rsidRPr="00386D58" w:rsidRDefault="00916D6E">
            <w:pPr>
              <w:rPr>
                <w:color w:val="000000"/>
              </w:rPr>
            </w:pPr>
            <w:r w:rsidRPr="00386D58">
              <w:rPr>
                <w:color w:val="000000"/>
              </w:rPr>
              <w:t>Settlement</w:t>
            </w:r>
          </w:p>
        </w:tc>
        <w:tc>
          <w:tcPr>
            <w:tcW w:w="1637" w:type="dxa"/>
            <w:tcBorders>
              <w:top w:val="nil"/>
              <w:left w:val="nil"/>
              <w:bottom w:val="nil"/>
              <w:right w:val="nil"/>
            </w:tcBorders>
            <w:shd w:val="clear" w:color="auto" w:fill="auto"/>
            <w:noWrap/>
            <w:vAlign w:val="bottom"/>
            <w:hideMark/>
          </w:tcPr>
          <w:p w14:paraId="33C4ADC8" w14:textId="77777777" w:rsidR="00916D6E" w:rsidRPr="00386D58" w:rsidRDefault="00916D6E">
            <w:pPr>
              <w:rPr>
                <w:color w:val="000000"/>
              </w:rPr>
            </w:pPr>
            <w:r w:rsidRPr="00386D58">
              <w:rPr>
                <w:color w:val="000000"/>
              </w:rPr>
              <w:t>OCC</w:t>
            </w:r>
          </w:p>
        </w:tc>
        <w:tc>
          <w:tcPr>
            <w:tcW w:w="1163" w:type="dxa"/>
            <w:tcBorders>
              <w:top w:val="nil"/>
              <w:left w:val="nil"/>
              <w:bottom w:val="nil"/>
              <w:right w:val="nil"/>
            </w:tcBorders>
            <w:shd w:val="clear" w:color="auto" w:fill="auto"/>
            <w:noWrap/>
            <w:vAlign w:val="bottom"/>
            <w:hideMark/>
          </w:tcPr>
          <w:p w14:paraId="1B4B994A" w14:textId="77777777" w:rsidR="00916D6E" w:rsidRPr="00386D58" w:rsidRDefault="00916D6E">
            <w:pPr>
              <w:rPr>
                <w:color w:val="000000"/>
              </w:rPr>
            </w:pPr>
            <w:r w:rsidRPr="00386D58">
              <w:rPr>
                <w:color w:val="000000"/>
              </w:rPr>
              <w:t>OCC</w:t>
            </w:r>
          </w:p>
        </w:tc>
        <w:tc>
          <w:tcPr>
            <w:tcW w:w="1163" w:type="dxa"/>
            <w:tcBorders>
              <w:top w:val="nil"/>
              <w:left w:val="nil"/>
              <w:bottom w:val="nil"/>
              <w:right w:val="nil"/>
            </w:tcBorders>
            <w:shd w:val="clear" w:color="auto" w:fill="auto"/>
            <w:noWrap/>
            <w:vAlign w:val="bottom"/>
            <w:hideMark/>
          </w:tcPr>
          <w:p w14:paraId="3E44783C" w14:textId="77777777" w:rsidR="00916D6E" w:rsidRPr="00386D58" w:rsidRDefault="00916D6E">
            <w:pPr>
              <w:rPr>
                <w:color w:val="000000"/>
              </w:rPr>
            </w:pPr>
            <w:r w:rsidRPr="00386D58">
              <w:rPr>
                <w:color w:val="000000"/>
              </w:rPr>
              <w:t>OCC</w:t>
            </w:r>
          </w:p>
        </w:tc>
      </w:tr>
      <w:tr w:rsidR="00916D6E" w14:paraId="59568CD2" w14:textId="77777777" w:rsidTr="00D31239">
        <w:trPr>
          <w:trHeight w:val="369"/>
        </w:trPr>
        <w:tc>
          <w:tcPr>
            <w:tcW w:w="2114" w:type="dxa"/>
            <w:tcBorders>
              <w:top w:val="nil"/>
              <w:left w:val="nil"/>
              <w:bottom w:val="nil"/>
              <w:right w:val="nil"/>
            </w:tcBorders>
            <w:shd w:val="clear" w:color="auto" w:fill="auto"/>
            <w:noWrap/>
            <w:vAlign w:val="bottom"/>
            <w:hideMark/>
          </w:tcPr>
          <w:p w14:paraId="28DFABCF" w14:textId="77777777" w:rsidR="00916D6E" w:rsidRPr="00386D58" w:rsidRDefault="00916D6E">
            <w:pPr>
              <w:rPr>
                <w:color w:val="000000"/>
              </w:rPr>
            </w:pPr>
          </w:p>
        </w:tc>
        <w:tc>
          <w:tcPr>
            <w:tcW w:w="1094" w:type="dxa"/>
            <w:tcBorders>
              <w:top w:val="nil"/>
              <w:left w:val="nil"/>
              <w:bottom w:val="nil"/>
              <w:right w:val="nil"/>
            </w:tcBorders>
            <w:shd w:val="clear" w:color="auto" w:fill="auto"/>
            <w:noWrap/>
            <w:vAlign w:val="bottom"/>
            <w:hideMark/>
          </w:tcPr>
          <w:p w14:paraId="27CEFBB8" w14:textId="77777777" w:rsidR="00916D6E" w:rsidRPr="00386D58" w:rsidRDefault="00916D6E">
            <w:pPr>
              <w:rPr>
                <w:color w:val="000000"/>
              </w:rPr>
            </w:pPr>
            <w:r w:rsidRPr="00386D58">
              <w:rPr>
                <w:color w:val="000000"/>
              </w:rPr>
              <w:t>Bill</w:t>
            </w:r>
          </w:p>
        </w:tc>
        <w:tc>
          <w:tcPr>
            <w:tcW w:w="242" w:type="dxa"/>
            <w:tcBorders>
              <w:top w:val="nil"/>
              <w:left w:val="nil"/>
              <w:bottom w:val="nil"/>
              <w:right w:val="nil"/>
            </w:tcBorders>
            <w:shd w:val="clear" w:color="auto" w:fill="auto"/>
            <w:noWrap/>
            <w:vAlign w:val="bottom"/>
            <w:hideMark/>
          </w:tcPr>
          <w:p w14:paraId="4A9B7B50" w14:textId="77777777" w:rsidR="00916D6E" w:rsidRPr="00386D58" w:rsidRDefault="00916D6E">
            <w:pPr>
              <w:rPr>
                <w:color w:val="000000"/>
              </w:rPr>
            </w:pPr>
          </w:p>
        </w:tc>
        <w:tc>
          <w:tcPr>
            <w:tcW w:w="1570" w:type="dxa"/>
            <w:tcBorders>
              <w:top w:val="nil"/>
              <w:left w:val="nil"/>
              <w:bottom w:val="nil"/>
              <w:right w:val="nil"/>
            </w:tcBorders>
            <w:shd w:val="clear" w:color="auto" w:fill="auto"/>
            <w:noWrap/>
            <w:vAlign w:val="bottom"/>
            <w:hideMark/>
          </w:tcPr>
          <w:p w14:paraId="49D6921D" w14:textId="77777777" w:rsidR="00916D6E" w:rsidRPr="00386D58" w:rsidRDefault="00916D6E">
            <w:pPr>
              <w:rPr>
                <w:color w:val="000000"/>
              </w:rPr>
            </w:pPr>
            <w:r w:rsidRPr="00386D58">
              <w:rPr>
                <w:color w:val="000000"/>
              </w:rPr>
              <w:t>Proposed Bill</w:t>
            </w:r>
          </w:p>
        </w:tc>
        <w:tc>
          <w:tcPr>
            <w:tcW w:w="1319" w:type="dxa"/>
            <w:tcBorders>
              <w:top w:val="nil"/>
              <w:left w:val="nil"/>
              <w:bottom w:val="nil"/>
              <w:right w:val="nil"/>
            </w:tcBorders>
            <w:shd w:val="clear" w:color="auto" w:fill="auto"/>
            <w:noWrap/>
            <w:vAlign w:val="bottom"/>
            <w:hideMark/>
          </w:tcPr>
          <w:p w14:paraId="47B04B82" w14:textId="77777777" w:rsidR="00916D6E" w:rsidRPr="00386D58" w:rsidRDefault="00916D6E">
            <w:pPr>
              <w:rPr>
                <w:color w:val="000000"/>
              </w:rPr>
            </w:pPr>
            <w:r w:rsidRPr="00386D58">
              <w:rPr>
                <w:color w:val="000000"/>
              </w:rPr>
              <w:t>Increase</w:t>
            </w:r>
          </w:p>
        </w:tc>
        <w:tc>
          <w:tcPr>
            <w:tcW w:w="1163" w:type="dxa"/>
            <w:tcBorders>
              <w:top w:val="nil"/>
              <w:left w:val="nil"/>
              <w:bottom w:val="nil"/>
              <w:right w:val="nil"/>
            </w:tcBorders>
            <w:shd w:val="clear" w:color="auto" w:fill="auto"/>
            <w:noWrap/>
            <w:vAlign w:val="bottom"/>
            <w:hideMark/>
          </w:tcPr>
          <w:p w14:paraId="514DA66C" w14:textId="77777777" w:rsidR="00916D6E" w:rsidRPr="00386D58" w:rsidRDefault="00916D6E">
            <w:pPr>
              <w:rPr>
                <w:color w:val="000000"/>
              </w:rPr>
            </w:pPr>
            <w:proofErr w:type="spellStart"/>
            <w:r w:rsidRPr="00386D58">
              <w:rPr>
                <w:color w:val="000000"/>
              </w:rPr>
              <w:t>Incr</w:t>
            </w:r>
            <w:proofErr w:type="spellEnd"/>
            <w:r w:rsidRPr="00386D58">
              <w:rPr>
                <w:color w:val="000000"/>
              </w:rPr>
              <w:t xml:space="preserve"> %</w:t>
            </w:r>
          </w:p>
        </w:tc>
        <w:tc>
          <w:tcPr>
            <w:tcW w:w="242" w:type="dxa"/>
            <w:tcBorders>
              <w:top w:val="nil"/>
              <w:left w:val="nil"/>
              <w:bottom w:val="nil"/>
              <w:right w:val="nil"/>
            </w:tcBorders>
            <w:shd w:val="clear" w:color="auto" w:fill="auto"/>
            <w:noWrap/>
            <w:vAlign w:val="bottom"/>
            <w:hideMark/>
          </w:tcPr>
          <w:p w14:paraId="2AF6622A" w14:textId="77777777" w:rsidR="00916D6E" w:rsidRPr="00386D58" w:rsidRDefault="00916D6E">
            <w:pPr>
              <w:rPr>
                <w:color w:val="000000"/>
              </w:rPr>
            </w:pPr>
          </w:p>
        </w:tc>
        <w:tc>
          <w:tcPr>
            <w:tcW w:w="1637" w:type="dxa"/>
            <w:tcBorders>
              <w:top w:val="nil"/>
              <w:left w:val="nil"/>
              <w:bottom w:val="nil"/>
              <w:right w:val="nil"/>
            </w:tcBorders>
            <w:shd w:val="clear" w:color="auto" w:fill="auto"/>
            <w:noWrap/>
            <w:vAlign w:val="bottom"/>
            <w:hideMark/>
          </w:tcPr>
          <w:p w14:paraId="4920B26F" w14:textId="77777777" w:rsidR="00916D6E" w:rsidRPr="00386D58" w:rsidRDefault="00916D6E">
            <w:pPr>
              <w:rPr>
                <w:color w:val="000000"/>
              </w:rPr>
            </w:pPr>
            <w:r w:rsidRPr="00386D58">
              <w:rPr>
                <w:color w:val="000000"/>
              </w:rPr>
              <w:t>Proposed Bill</w:t>
            </w:r>
          </w:p>
        </w:tc>
        <w:tc>
          <w:tcPr>
            <w:tcW w:w="1163" w:type="dxa"/>
            <w:tcBorders>
              <w:top w:val="nil"/>
              <w:left w:val="nil"/>
              <w:bottom w:val="nil"/>
              <w:right w:val="nil"/>
            </w:tcBorders>
            <w:shd w:val="clear" w:color="auto" w:fill="auto"/>
            <w:noWrap/>
            <w:vAlign w:val="bottom"/>
            <w:hideMark/>
          </w:tcPr>
          <w:p w14:paraId="066A299D" w14:textId="77777777" w:rsidR="00916D6E" w:rsidRPr="00386D58" w:rsidRDefault="00916D6E">
            <w:pPr>
              <w:rPr>
                <w:color w:val="000000"/>
              </w:rPr>
            </w:pPr>
            <w:r w:rsidRPr="00386D58">
              <w:rPr>
                <w:color w:val="000000"/>
              </w:rPr>
              <w:t>Increase</w:t>
            </w:r>
          </w:p>
        </w:tc>
        <w:tc>
          <w:tcPr>
            <w:tcW w:w="1163" w:type="dxa"/>
            <w:tcBorders>
              <w:top w:val="nil"/>
              <w:left w:val="nil"/>
              <w:bottom w:val="nil"/>
              <w:right w:val="nil"/>
            </w:tcBorders>
            <w:shd w:val="clear" w:color="auto" w:fill="auto"/>
            <w:noWrap/>
            <w:vAlign w:val="bottom"/>
            <w:hideMark/>
          </w:tcPr>
          <w:p w14:paraId="31CB24FB" w14:textId="77777777" w:rsidR="00916D6E" w:rsidRPr="00386D58" w:rsidRDefault="00916D6E">
            <w:pPr>
              <w:rPr>
                <w:color w:val="000000"/>
              </w:rPr>
            </w:pPr>
            <w:proofErr w:type="spellStart"/>
            <w:r w:rsidRPr="00386D58">
              <w:rPr>
                <w:color w:val="000000"/>
              </w:rPr>
              <w:t>Incr</w:t>
            </w:r>
            <w:proofErr w:type="spellEnd"/>
            <w:r w:rsidRPr="00386D58">
              <w:rPr>
                <w:color w:val="000000"/>
              </w:rPr>
              <w:t xml:space="preserve"> %</w:t>
            </w:r>
          </w:p>
        </w:tc>
      </w:tr>
      <w:tr w:rsidR="00916D6E" w14:paraId="46FCFA04" w14:textId="77777777" w:rsidTr="00D31239">
        <w:trPr>
          <w:trHeight w:val="369"/>
        </w:trPr>
        <w:tc>
          <w:tcPr>
            <w:tcW w:w="2114" w:type="dxa"/>
            <w:tcBorders>
              <w:top w:val="nil"/>
              <w:left w:val="nil"/>
              <w:bottom w:val="nil"/>
              <w:right w:val="nil"/>
            </w:tcBorders>
            <w:shd w:val="clear" w:color="auto" w:fill="auto"/>
            <w:noWrap/>
            <w:vAlign w:val="bottom"/>
            <w:hideMark/>
          </w:tcPr>
          <w:p w14:paraId="686533BF" w14:textId="77777777" w:rsidR="00916D6E" w:rsidRPr="00386D58" w:rsidRDefault="00916D6E">
            <w:pPr>
              <w:rPr>
                <w:color w:val="000000"/>
              </w:rPr>
            </w:pPr>
            <w:r w:rsidRPr="00386D58">
              <w:rPr>
                <w:color w:val="000000"/>
              </w:rPr>
              <w:t>Customer Charge</w:t>
            </w:r>
          </w:p>
        </w:tc>
        <w:tc>
          <w:tcPr>
            <w:tcW w:w="1094" w:type="dxa"/>
            <w:tcBorders>
              <w:top w:val="nil"/>
              <w:left w:val="nil"/>
              <w:bottom w:val="nil"/>
              <w:right w:val="nil"/>
            </w:tcBorders>
            <w:shd w:val="clear" w:color="auto" w:fill="auto"/>
            <w:noWrap/>
            <w:vAlign w:val="bottom"/>
            <w:hideMark/>
          </w:tcPr>
          <w:p w14:paraId="0D7F0FF7" w14:textId="77777777" w:rsidR="00916D6E" w:rsidRPr="00386D58" w:rsidRDefault="00916D6E" w:rsidP="00386D58">
            <w:pPr>
              <w:rPr>
                <w:color w:val="000000"/>
              </w:rPr>
            </w:pPr>
            <w:r w:rsidRPr="00386D58">
              <w:rPr>
                <w:color w:val="000000"/>
              </w:rPr>
              <w:t xml:space="preserve"> </w:t>
            </w:r>
            <w:proofErr w:type="gramStart"/>
            <w:r w:rsidRPr="00386D58">
              <w:rPr>
                <w:color w:val="000000"/>
              </w:rPr>
              <w:t>$  18.37</w:t>
            </w:r>
            <w:proofErr w:type="gramEnd"/>
            <w:r w:rsidRPr="00386D58">
              <w:rPr>
                <w:color w:val="000000"/>
              </w:rPr>
              <w:t xml:space="preserve"> </w:t>
            </w:r>
          </w:p>
        </w:tc>
        <w:tc>
          <w:tcPr>
            <w:tcW w:w="242" w:type="dxa"/>
            <w:tcBorders>
              <w:top w:val="nil"/>
              <w:left w:val="nil"/>
              <w:bottom w:val="nil"/>
              <w:right w:val="nil"/>
            </w:tcBorders>
            <w:shd w:val="clear" w:color="auto" w:fill="auto"/>
            <w:noWrap/>
            <w:vAlign w:val="bottom"/>
            <w:hideMark/>
          </w:tcPr>
          <w:p w14:paraId="5E942795" w14:textId="77777777" w:rsidR="00916D6E" w:rsidRPr="00386D58" w:rsidRDefault="00916D6E">
            <w:pPr>
              <w:rPr>
                <w:color w:val="000000"/>
              </w:rPr>
            </w:pPr>
          </w:p>
        </w:tc>
        <w:tc>
          <w:tcPr>
            <w:tcW w:w="1570" w:type="dxa"/>
            <w:tcBorders>
              <w:top w:val="nil"/>
              <w:left w:val="nil"/>
              <w:bottom w:val="nil"/>
              <w:right w:val="nil"/>
            </w:tcBorders>
            <w:shd w:val="clear" w:color="auto" w:fill="auto"/>
            <w:noWrap/>
            <w:vAlign w:val="bottom"/>
            <w:hideMark/>
          </w:tcPr>
          <w:p w14:paraId="74BF6973" w14:textId="77777777" w:rsidR="00916D6E" w:rsidRPr="00386D58" w:rsidRDefault="00823290" w:rsidP="00823290">
            <w:pPr>
              <w:rPr>
                <w:color w:val="000000"/>
              </w:rPr>
            </w:pPr>
            <w:r w:rsidRPr="00386D58">
              <w:rPr>
                <w:color w:val="000000"/>
              </w:rPr>
              <w:t xml:space="preserve"> </w:t>
            </w:r>
            <w:r w:rsidR="00916D6E" w:rsidRPr="00386D58">
              <w:rPr>
                <w:color w:val="000000"/>
              </w:rPr>
              <w:t xml:space="preserve">            </w:t>
            </w:r>
            <w:r w:rsidRPr="00386D58">
              <w:rPr>
                <w:color w:val="000000"/>
              </w:rPr>
              <w:t>$</w:t>
            </w:r>
            <w:r w:rsidR="00916D6E" w:rsidRPr="00386D58">
              <w:rPr>
                <w:color w:val="000000"/>
              </w:rPr>
              <w:t xml:space="preserve">32.86 </w:t>
            </w:r>
          </w:p>
        </w:tc>
        <w:tc>
          <w:tcPr>
            <w:tcW w:w="1319" w:type="dxa"/>
            <w:tcBorders>
              <w:top w:val="nil"/>
              <w:left w:val="nil"/>
              <w:bottom w:val="nil"/>
              <w:right w:val="nil"/>
            </w:tcBorders>
            <w:shd w:val="clear" w:color="auto" w:fill="auto"/>
            <w:noWrap/>
            <w:vAlign w:val="bottom"/>
            <w:hideMark/>
          </w:tcPr>
          <w:p w14:paraId="6E3D5750"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424B7FB0" w14:textId="77777777" w:rsidR="00916D6E" w:rsidRPr="00386D58" w:rsidRDefault="00916D6E">
            <w:pPr>
              <w:rPr>
                <w:color w:val="000000"/>
              </w:rPr>
            </w:pPr>
          </w:p>
        </w:tc>
        <w:tc>
          <w:tcPr>
            <w:tcW w:w="242" w:type="dxa"/>
            <w:tcBorders>
              <w:top w:val="nil"/>
              <w:left w:val="nil"/>
              <w:bottom w:val="nil"/>
              <w:right w:val="nil"/>
            </w:tcBorders>
            <w:shd w:val="clear" w:color="auto" w:fill="auto"/>
            <w:noWrap/>
            <w:vAlign w:val="bottom"/>
            <w:hideMark/>
          </w:tcPr>
          <w:p w14:paraId="656E64DE" w14:textId="77777777" w:rsidR="00916D6E" w:rsidRPr="00386D58" w:rsidRDefault="00916D6E">
            <w:pPr>
              <w:rPr>
                <w:color w:val="000000"/>
              </w:rPr>
            </w:pPr>
          </w:p>
        </w:tc>
        <w:tc>
          <w:tcPr>
            <w:tcW w:w="1637" w:type="dxa"/>
            <w:tcBorders>
              <w:top w:val="nil"/>
              <w:left w:val="nil"/>
              <w:bottom w:val="nil"/>
              <w:right w:val="nil"/>
            </w:tcBorders>
            <w:shd w:val="clear" w:color="auto" w:fill="auto"/>
            <w:noWrap/>
            <w:vAlign w:val="bottom"/>
            <w:hideMark/>
          </w:tcPr>
          <w:p w14:paraId="572081FF" w14:textId="77777777" w:rsidR="00916D6E" w:rsidRPr="00386D58" w:rsidRDefault="00823290" w:rsidP="00F35DB3">
            <w:pPr>
              <w:rPr>
                <w:color w:val="000000"/>
              </w:rPr>
            </w:pPr>
            <w:r w:rsidRPr="00386D58">
              <w:rPr>
                <w:color w:val="000000"/>
              </w:rPr>
              <w:t>$</w:t>
            </w:r>
            <w:r w:rsidR="00916D6E" w:rsidRPr="00386D58">
              <w:rPr>
                <w:color w:val="000000"/>
              </w:rPr>
              <w:t>18.37</w:t>
            </w:r>
          </w:p>
        </w:tc>
        <w:tc>
          <w:tcPr>
            <w:tcW w:w="1163" w:type="dxa"/>
            <w:tcBorders>
              <w:top w:val="nil"/>
              <w:left w:val="nil"/>
              <w:bottom w:val="nil"/>
              <w:right w:val="nil"/>
            </w:tcBorders>
            <w:shd w:val="clear" w:color="auto" w:fill="auto"/>
            <w:noWrap/>
            <w:vAlign w:val="bottom"/>
            <w:hideMark/>
          </w:tcPr>
          <w:p w14:paraId="1527FC51"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3A075963" w14:textId="77777777" w:rsidR="00916D6E" w:rsidRPr="00386D58" w:rsidRDefault="00916D6E">
            <w:pPr>
              <w:rPr>
                <w:color w:val="000000"/>
              </w:rPr>
            </w:pPr>
          </w:p>
        </w:tc>
      </w:tr>
      <w:tr w:rsidR="00916D6E" w14:paraId="39682E0D" w14:textId="77777777" w:rsidTr="00D31239">
        <w:trPr>
          <w:trHeight w:val="369"/>
        </w:trPr>
        <w:tc>
          <w:tcPr>
            <w:tcW w:w="2114" w:type="dxa"/>
            <w:tcBorders>
              <w:top w:val="nil"/>
              <w:left w:val="nil"/>
              <w:bottom w:val="nil"/>
              <w:right w:val="nil"/>
            </w:tcBorders>
            <w:shd w:val="clear" w:color="auto" w:fill="auto"/>
            <w:noWrap/>
            <w:vAlign w:val="bottom"/>
            <w:hideMark/>
          </w:tcPr>
          <w:p w14:paraId="72103721" w14:textId="77777777" w:rsidR="00916D6E" w:rsidRPr="00386D58" w:rsidRDefault="00916D6E">
            <w:pPr>
              <w:rPr>
                <w:color w:val="000000"/>
              </w:rPr>
            </w:pPr>
            <w:r w:rsidRPr="00386D58">
              <w:rPr>
                <w:color w:val="000000"/>
              </w:rPr>
              <w:t>DRR</w:t>
            </w:r>
          </w:p>
        </w:tc>
        <w:tc>
          <w:tcPr>
            <w:tcW w:w="1094" w:type="dxa"/>
            <w:tcBorders>
              <w:top w:val="nil"/>
              <w:left w:val="nil"/>
              <w:bottom w:val="nil"/>
              <w:right w:val="nil"/>
            </w:tcBorders>
            <w:shd w:val="clear" w:color="auto" w:fill="auto"/>
            <w:noWrap/>
            <w:vAlign w:val="bottom"/>
            <w:hideMark/>
          </w:tcPr>
          <w:p w14:paraId="731FD85C" w14:textId="77777777" w:rsidR="00916D6E" w:rsidRPr="00386D58" w:rsidRDefault="00916D6E" w:rsidP="00386D58">
            <w:pPr>
              <w:rPr>
                <w:color w:val="000000"/>
              </w:rPr>
            </w:pPr>
            <w:r w:rsidRPr="00386D58">
              <w:rPr>
                <w:color w:val="000000"/>
              </w:rPr>
              <w:t xml:space="preserve"> $    9.25 </w:t>
            </w:r>
          </w:p>
        </w:tc>
        <w:tc>
          <w:tcPr>
            <w:tcW w:w="242" w:type="dxa"/>
            <w:tcBorders>
              <w:top w:val="nil"/>
              <w:left w:val="nil"/>
              <w:bottom w:val="nil"/>
              <w:right w:val="nil"/>
            </w:tcBorders>
            <w:shd w:val="clear" w:color="auto" w:fill="auto"/>
            <w:noWrap/>
            <w:vAlign w:val="bottom"/>
            <w:hideMark/>
          </w:tcPr>
          <w:p w14:paraId="27BC2681" w14:textId="77777777" w:rsidR="00916D6E" w:rsidRPr="00386D58" w:rsidRDefault="00916D6E">
            <w:pPr>
              <w:rPr>
                <w:color w:val="000000"/>
              </w:rPr>
            </w:pPr>
          </w:p>
        </w:tc>
        <w:tc>
          <w:tcPr>
            <w:tcW w:w="1570" w:type="dxa"/>
            <w:tcBorders>
              <w:top w:val="nil"/>
              <w:left w:val="nil"/>
              <w:bottom w:val="nil"/>
              <w:right w:val="nil"/>
            </w:tcBorders>
            <w:shd w:val="clear" w:color="auto" w:fill="auto"/>
            <w:noWrap/>
            <w:vAlign w:val="bottom"/>
            <w:hideMark/>
          </w:tcPr>
          <w:p w14:paraId="781DD7AF" w14:textId="77777777" w:rsidR="00916D6E" w:rsidRPr="00386D58" w:rsidRDefault="00916D6E">
            <w:pPr>
              <w:rPr>
                <w:color w:val="000000"/>
              </w:rPr>
            </w:pPr>
          </w:p>
        </w:tc>
        <w:tc>
          <w:tcPr>
            <w:tcW w:w="1319" w:type="dxa"/>
            <w:tcBorders>
              <w:top w:val="nil"/>
              <w:left w:val="nil"/>
              <w:bottom w:val="nil"/>
              <w:right w:val="nil"/>
            </w:tcBorders>
            <w:shd w:val="clear" w:color="auto" w:fill="auto"/>
            <w:noWrap/>
            <w:vAlign w:val="bottom"/>
            <w:hideMark/>
          </w:tcPr>
          <w:p w14:paraId="2BE856F3"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0B5C8438" w14:textId="77777777" w:rsidR="00916D6E" w:rsidRPr="00386D58" w:rsidRDefault="00916D6E">
            <w:pPr>
              <w:rPr>
                <w:color w:val="000000"/>
              </w:rPr>
            </w:pPr>
          </w:p>
        </w:tc>
        <w:tc>
          <w:tcPr>
            <w:tcW w:w="242" w:type="dxa"/>
            <w:tcBorders>
              <w:top w:val="nil"/>
              <w:left w:val="nil"/>
              <w:bottom w:val="nil"/>
              <w:right w:val="nil"/>
            </w:tcBorders>
            <w:shd w:val="clear" w:color="auto" w:fill="auto"/>
            <w:noWrap/>
            <w:vAlign w:val="bottom"/>
            <w:hideMark/>
          </w:tcPr>
          <w:p w14:paraId="774906F2" w14:textId="77777777" w:rsidR="00916D6E" w:rsidRPr="00386D58" w:rsidRDefault="00916D6E">
            <w:pPr>
              <w:rPr>
                <w:color w:val="000000"/>
              </w:rPr>
            </w:pPr>
          </w:p>
        </w:tc>
        <w:tc>
          <w:tcPr>
            <w:tcW w:w="1637" w:type="dxa"/>
            <w:tcBorders>
              <w:top w:val="nil"/>
              <w:left w:val="nil"/>
              <w:bottom w:val="nil"/>
              <w:right w:val="nil"/>
            </w:tcBorders>
            <w:shd w:val="clear" w:color="auto" w:fill="auto"/>
            <w:noWrap/>
            <w:vAlign w:val="bottom"/>
            <w:hideMark/>
          </w:tcPr>
          <w:p w14:paraId="479C715E"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57B5FBF0"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7B8F0964" w14:textId="77777777" w:rsidR="00916D6E" w:rsidRPr="00386D58" w:rsidRDefault="00916D6E">
            <w:pPr>
              <w:rPr>
                <w:color w:val="000000"/>
              </w:rPr>
            </w:pPr>
          </w:p>
        </w:tc>
      </w:tr>
      <w:tr w:rsidR="00916D6E" w14:paraId="61E34C0B" w14:textId="77777777" w:rsidTr="00D31239">
        <w:trPr>
          <w:trHeight w:val="369"/>
        </w:trPr>
        <w:tc>
          <w:tcPr>
            <w:tcW w:w="2114" w:type="dxa"/>
            <w:tcBorders>
              <w:top w:val="nil"/>
              <w:left w:val="nil"/>
              <w:bottom w:val="nil"/>
              <w:right w:val="nil"/>
            </w:tcBorders>
            <w:shd w:val="clear" w:color="auto" w:fill="auto"/>
            <w:noWrap/>
            <w:vAlign w:val="bottom"/>
            <w:hideMark/>
          </w:tcPr>
          <w:p w14:paraId="6CBB71C6" w14:textId="77777777" w:rsidR="00916D6E" w:rsidRPr="00386D58" w:rsidRDefault="00916D6E">
            <w:pPr>
              <w:rPr>
                <w:color w:val="000000"/>
              </w:rPr>
            </w:pPr>
            <w:r w:rsidRPr="00386D58">
              <w:rPr>
                <w:color w:val="000000"/>
              </w:rPr>
              <w:t>Total Fixed Charge</w:t>
            </w:r>
          </w:p>
        </w:tc>
        <w:tc>
          <w:tcPr>
            <w:tcW w:w="1094" w:type="dxa"/>
            <w:tcBorders>
              <w:top w:val="nil"/>
              <w:left w:val="nil"/>
              <w:bottom w:val="nil"/>
              <w:right w:val="nil"/>
            </w:tcBorders>
            <w:shd w:val="clear" w:color="auto" w:fill="auto"/>
            <w:noWrap/>
            <w:vAlign w:val="bottom"/>
            <w:hideMark/>
          </w:tcPr>
          <w:p w14:paraId="6E08BCF3" w14:textId="77777777" w:rsidR="00916D6E" w:rsidRPr="00386D58" w:rsidRDefault="00916D6E" w:rsidP="00386D58">
            <w:pPr>
              <w:rPr>
                <w:color w:val="000000"/>
              </w:rPr>
            </w:pPr>
            <w:r w:rsidRPr="00386D58">
              <w:rPr>
                <w:color w:val="000000"/>
              </w:rPr>
              <w:t xml:space="preserve"> </w:t>
            </w:r>
            <w:proofErr w:type="gramStart"/>
            <w:r w:rsidRPr="00386D58">
              <w:rPr>
                <w:color w:val="000000"/>
              </w:rPr>
              <w:t>$  27.62</w:t>
            </w:r>
            <w:proofErr w:type="gramEnd"/>
            <w:r w:rsidRPr="00386D58">
              <w:rPr>
                <w:color w:val="000000"/>
              </w:rPr>
              <w:t xml:space="preserve"> </w:t>
            </w:r>
          </w:p>
        </w:tc>
        <w:tc>
          <w:tcPr>
            <w:tcW w:w="242" w:type="dxa"/>
            <w:tcBorders>
              <w:top w:val="nil"/>
              <w:left w:val="nil"/>
              <w:bottom w:val="nil"/>
              <w:right w:val="nil"/>
            </w:tcBorders>
            <w:shd w:val="clear" w:color="auto" w:fill="auto"/>
            <w:noWrap/>
            <w:vAlign w:val="bottom"/>
            <w:hideMark/>
          </w:tcPr>
          <w:p w14:paraId="6045B893" w14:textId="77777777" w:rsidR="00916D6E" w:rsidRPr="00386D58" w:rsidRDefault="00916D6E">
            <w:pPr>
              <w:rPr>
                <w:color w:val="000000"/>
              </w:rPr>
            </w:pPr>
          </w:p>
        </w:tc>
        <w:tc>
          <w:tcPr>
            <w:tcW w:w="1570" w:type="dxa"/>
            <w:tcBorders>
              <w:top w:val="nil"/>
              <w:left w:val="nil"/>
              <w:bottom w:val="nil"/>
              <w:right w:val="nil"/>
            </w:tcBorders>
            <w:shd w:val="clear" w:color="auto" w:fill="auto"/>
            <w:noWrap/>
            <w:vAlign w:val="bottom"/>
            <w:hideMark/>
          </w:tcPr>
          <w:p w14:paraId="6DC6DACF" w14:textId="77777777" w:rsidR="00916D6E" w:rsidRPr="00386D58" w:rsidRDefault="00916D6E" w:rsidP="00F35DB3">
            <w:pPr>
              <w:rPr>
                <w:color w:val="000000"/>
              </w:rPr>
            </w:pPr>
            <w:r w:rsidRPr="00386D58">
              <w:rPr>
                <w:color w:val="000000"/>
              </w:rPr>
              <w:t xml:space="preserve"> $32.86 </w:t>
            </w:r>
          </w:p>
        </w:tc>
        <w:tc>
          <w:tcPr>
            <w:tcW w:w="1319" w:type="dxa"/>
            <w:tcBorders>
              <w:top w:val="nil"/>
              <w:left w:val="nil"/>
              <w:bottom w:val="nil"/>
              <w:right w:val="nil"/>
            </w:tcBorders>
            <w:shd w:val="clear" w:color="auto" w:fill="auto"/>
            <w:noWrap/>
            <w:vAlign w:val="bottom"/>
            <w:hideMark/>
          </w:tcPr>
          <w:p w14:paraId="00C51743"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241A13B9" w14:textId="77777777" w:rsidR="00916D6E" w:rsidRPr="00386D58" w:rsidRDefault="00916D6E">
            <w:pPr>
              <w:rPr>
                <w:color w:val="000000"/>
              </w:rPr>
            </w:pPr>
          </w:p>
        </w:tc>
        <w:tc>
          <w:tcPr>
            <w:tcW w:w="242" w:type="dxa"/>
            <w:tcBorders>
              <w:top w:val="nil"/>
              <w:left w:val="nil"/>
              <w:bottom w:val="nil"/>
              <w:right w:val="nil"/>
            </w:tcBorders>
            <w:shd w:val="clear" w:color="auto" w:fill="auto"/>
            <w:noWrap/>
            <w:vAlign w:val="bottom"/>
            <w:hideMark/>
          </w:tcPr>
          <w:p w14:paraId="17736465" w14:textId="77777777" w:rsidR="00916D6E" w:rsidRPr="00386D58" w:rsidRDefault="00916D6E">
            <w:pPr>
              <w:rPr>
                <w:color w:val="000000"/>
              </w:rPr>
            </w:pPr>
          </w:p>
        </w:tc>
        <w:tc>
          <w:tcPr>
            <w:tcW w:w="1637" w:type="dxa"/>
            <w:tcBorders>
              <w:top w:val="nil"/>
              <w:left w:val="nil"/>
              <w:bottom w:val="nil"/>
              <w:right w:val="nil"/>
            </w:tcBorders>
            <w:shd w:val="clear" w:color="auto" w:fill="auto"/>
            <w:noWrap/>
            <w:vAlign w:val="bottom"/>
            <w:hideMark/>
          </w:tcPr>
          <w:p w14:paraId="40DF40E8" w14:textId="77777777" w:rsidR="00916D6E" w:rsidRPr="00386D58" w:rsidRDefault="00823290" w:rsidP="00386D58">
            <w:pPr>
              <w:rPr>
                <w:color w:val="000000"/>
              </w:rPr>
            </w:pPr>
            <w:r w:rsidRPr="00386D58">
              <w:rPr>
                <w:color w:val="000000"/>
              </w:rPr>
              <w:t xml:space="preserve"> </w:t>
            </w:r>
            <w:r w:rsidR="00916D6E" w:rsidRPr="00386D58">
              <w:rPr>
                <w:color w:val="000000"/>
              </w:rPr>
              <w:t xml:space="preserve">        </w:t>
            </w:r>
            <w:r w:rsidRPr="00386D58">
              <w:rPr>
                <w:color w:val="000000"/>
              </w:rPr>
              <w:t xml:space="preserve">   </w:t>
            </w:r>
            <w:r w:rsidR="00916D6E" w:rsidRPr="00386D58">
              <w:rPr>
                <w:color w:val="000000"/>
              </w:rPr>
              <w:t xml:space="preserve"> </w:t>
            </w:r>
            <w:r w:rsidR="00386D58">
              <w:rPr>
                <w:color w:val="000000"/>
              </w:rPr>
              <w:t xml:space="preserve">   $18.37              </w:t>
            </w:r>
          </w:p>
        </w:tc>
        <w:tc>
          <w:tcPr>
            <w:tcW w:w="1163" w:type="dxa"/>
            <w:tcBorders>
              <w:top w:val="nil"/>
              <w:left w:val="nil"/>
              <w:bottom w:val="nil"/>
              <w:right w:val="nil"/>
            </w:tcBorders>
            <w:shd w:val="clear" w:color="auto" w:fill="auto"/>
            <w:noWrap/>
            <w:vAlign w:val="bottom"/>
            <w:hideMark/>
          </w:tcPr>
          <w:p w14:paraId="4FC9EE0B"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10BDF16B" w14:textId="77777777" w:rsidR="00916D6E" w:rsidRPr="00386D58" w:rsidRDefault="00916D6E">
            <w:pPr>
              <w:rPr>
                <w:color w:val="000000"/>
              </w:rPr>
            </w:pPr>
          </w:p>
        </w:tc>
      </w:tr>
      <w:tr w:rsidR="00916D6E" w14:paraId="55F593CB" w14:textId="77777777" w:rsidTr="00D31239">
        <w:trPr>
          <w:trHeight w:val="369"/>
        </w:trPr>
        <w:tc>
          <w:tcPr>
            <w:tcW w:w="2114" w:type="dxa"/>
            <w:tcBorders>
              <w:top w:val="nil"/>
              <w:left w:val="nil"/>
              <w:bottom w:val="nil"/>
              <w:right w:val="nil"/>
            </w:tcBorders>
            <w:shd w:val="clear" w:color="auto" w:fill="auto"/>
            <w:noWrap/>
            <w:vAlign w:val="bottom"/>
            <w:hideMark/>
          </w:tcPr>
          <w:p w14:paraId="67E92859" w14:textId="77777777" w:rsidR="00916D6E" w:rsidRPr="00386D58" w:rsidRDefault="00916D6E">
            <w:pPr>
              <w:rPr>
                <w:color w:val="000000"/>
              </w:rPr>
            </w:pPr>
            <w:r w:rsidRPr="00386D58">
              <w:rPr>
                <w:color w:val="000000"/>
              </w:rPr>
              <w:t>Volumetric Charge</w:t>
            </w:r>
          </w:p>
        </w:tc>
        <w:tc>
          <w:tcPr>
            <w:tcW w:w="1094" w:type="dxa"/>
            <w:tcBorders>
              <w:top w:val="nil"/>
              <w:left w:val="nil"/>
              <w:bottom w:val="nil"/>
              <w:right w:val="nil"/>
            </w:tcBorders>
            <w:shd w:val="clear" w:color="auto" w:fill="auto"/>
            <w:noWrap/>
            <w:vAlign w:val="bottom"/>
            <w:hideMark/>
          </w:tcPr>
          <w:p w14:paraId="76BDBCD0" w14:textId="77777777" w:rsidR="00916D6E" w:rsidRPr="00386D58" w:rsidRDefault="00916D6E">
            <w:pPr>
              <w:rPr>
                <w:color w:val="000000"/>
              </w:rPr>
            </w:pPr>
          </w:p>
        </w:tc>
        <w:tc>
          <w:tcPr>
            <w:tcW w:w="242" w:type="dxa"/>
            <w:tcBorders>
              <w:top w:val="nil"/>
              <w:left w:val="nil"/>
              <w:bottom w:val="nil"/>
              <w:right w:val="nil"/>
            </w:tcBorders>
            <w:shd w:val="clear" w:color="auto" w:fill="auto"/>
            <w:noWrap/>
            <w:vAlign w:val="bottom"/>
            <w:hideMark/>
          </w:tcPr>
          <w:p w14:paraId="680179A3" w14:textId="77777777" w:rsidR="00916D6E" w:rsidRPr="00386D58" w:rsidRDefault="00916D6E">
            <w:pPr>
              <w:rPr>
                <w:color w:val="000000"/>
              </w:rPr>
            </w:pPr>
          </w:p>
        </w:tc>
        <w:tc>
          <w:tcPr>
            <w:tcW w:w="1570" w:type="dxa"/>
            <w:tcBorders>
              <w:top w:val="nil"/>
              <w:left w:val="nil"/>
              <w:bottom w:val="nil"/>
              <w:right w:val="nil"/>
            </w:tcBorders>
            <w:shd w:val="clear" w:color="auto" w:fill="auto"/>
            <w:noWrap/>
            <w:vAlign w:val="bottom"/>
            <w:hideMark/>
          </w:tcPr>
          <w:p w14:paraId="1BA448A5" w14:textId="77777777" w:rsidR="00916D6E" w:rsidRPr="00386D58" w:rsidRDefault="00916D6E">
            <w:pPr>
              <w:rPr>
                <w:color w:val="000000"/>
              </w:rPr>
            </w:pPr>
          </w:p>
        </w:tc>
        <w:tc>
          <w:tcPr>
            <w:tcW w:w="1319" w:type="dxa"/>
            <w:tcBorders>
              <w:top w:val="nil"/>
              <w:left w:val="nil"/>
              <w:bottom w:val="nil"/>
              <w:right w:val="nil"/>
            </w:tcBorders>
            <w:shd w:val="clear" w:color="auto" w:fill="auto"/>
            <w:noWrap/>
            <w:vAlign w:val="bottom"/>
            <w:hideMark/>
          </w:tcPr>
          <w:p w14:paraId="0883A109"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3CC5877F" w14:textId="77777777" w:rsidR="00916D6E" w:rsidRPr="00386D58" w:rsidRDefault="00916D6E">
            <w:pPr>
              <w:rPr>
                <w:color w:val="000000"/>
              </w:rPr>
            </w:pPr>
          </w:p>
        </w:tc>
        <w:tc>
          <w:tcPr>
            <w:tcW w:w="242" w:type="dxa"/>
            <w:tcBorders>
              <w:top w:val="nil"/>
              <w:left w:val="nil"/>
              <w:bottom w:val="nil"/>
              <w:right w:val="nil"/>
            </w:tcBorders>
            <w:shd w:val="clear" w:color="auto" w:fill="auto"/>
            <w:noWrap/>
            <w:vAlign w:val="bottom"/>
            <w:hideMark/>
          </w:tcPr>
          <w:p w14:paraId="00EBF9F1" w14:textId="77777777" w:rsidR="00916D6E" w:rsidRPr="00386D58" w:rsidRDefault="00916D6E">
            <w:pPr>
              <w:rPr>
                <w:color w:val="000000"/>
              </w:rPr>
            </w:pPr>
          </w:p>
        </w:tc>
        <w:tc>
          <w:tcPr>
            <w:tcW w:w="1637" w:type="dxa"/>
            <w:tcBorders>
              <w:top w:val="nil"/>
              <w:left w:val="nil"/>
              <w:bottom w:val="nil"/>
              <w:right w:val="nil"/>
            </w:tcBorders>
            <w:shd w:val="clear" w:color="auto" w:fill="auto"/>
            <w:noWrap/>
            <w:vAlign w:val="bottom"/>
            <w:hideMark/>
          </w:tcPr>
          <w:p w14:paraId="77E04E1E" w14:textId="77777777" w:rsidR="00916D6E" w:rsidRPr="00386D58" w:rsidRDefault="00916D6E">
            <w:pPr>
              <w:jc w:val="right"/>
              <w:rPr>
                <w:color w:val="000000"/>
              </w:rPr>
            </w:pPr>
            <w:r w:rsidRPr="00386D58">
              <w:rPr>
                <w:color w:val="000000"/>
              </w:rPr>
              <w:t>$0.2372/CCF</w:t>
            </w:r>
            <w:r w:rsidR="00823290" w:rsidRPr="00386D58">
              <w:rPr>
                <w:color w:val="000000"/>
              </w:rPr>
              <w:t>*</w:t>
            </w:r>
          </w:p>
        </w:tc>
        <w:tc>
          <w:tcPr>
            <w:tcW w:w="1163" w:type="dxa"/>
            <w:tcBorders>
              <w:top w:val="nil"/>
              <w:left w:val="nil"/>
              <w:bottom w:val="nil"/>
              <w:right w:val="nil"/>
            </w:tcBorders>
            <w:shd w:val="clear" w:color="auto" w:fill="auto"/>
            <w:noWrap/>
            <w:vAlign w:val="bottom"/>
            <w:hideMark/>
          </w:tcPr>
          <w:p w14:paraId="7321BE3F" w14:textId="77777777" w:rsidR="00916D6E" w:rsidRPr="00386D58" w:rsidRDefault="00916D6E">
            <w:pPr>
              <w:jc w:val="right"/>
              <w:rPr>
                <w:color w:val="000000"/>
              </w:rPr>
            </w:pPr>
          </w:p>
        </w:tc>
        <w:tc>
          <w:tcPr>
            <w:tcW w:w="1163" w:type="dxa"/>
            <w:tcBorders>
              <w:top w:val="nil"/>
              <w:left w:val="nil"/>
              <w:bottom w:val="nil"/>
              <w:right w:val="nil"/>
            </w:tcBorders>
            <w:shd w:val="clear" w:color="auto" w:fill="auto"/>
            <w:noWrap/>
            <w:vAlign w:val="bottom"/>
            <w:hideMark/>
          </w:tcPr>
          <w:p w14:paraId="708C6B19" w14:textId="77777777" w:rsidR="00916D6E" w:rsidRPr="00386D58" w:rsidRDefault="00916D6E">
            <w:pPr>
              <w:jc w:val="right"/>
              <w:rPr>
                <w:color w:val="000000"/>
              </w:rPr>
            </w:pPr>
          </w:p>
        </w:tc>
      </w:tr>
      <w:tr w:rsidR="00916D6E" w14:paraId="7C56D5D0" w14:textId="77777777" w:rsidTr="00D31239">
        <w:trPr>
          <w:trHeight w:val="369"/>
        </w:trPr>
        <w:tc>
          <w:tcPr>
            <w:tcW w:w="2114" w:type="dxa"/>
            <w:tcBorders>
              <w:top w:val="nil"/>
              <w:left w:val="nil"/>
              <w:bottom w:val="nil"/>
              <w:right w:val="nil"/>
            </w:tcBorders>
            <w:shd w:val="clear" w:color="auto" w:fill="auto"/>
            <w:noWrap/>
            <w:vAlign w:val="bottom"/>
            <w:hideMark/>
          </w:tcPr>
          <w:p w14:paraId="4933BA5F" w14:textId="77777777" w:rsidR="00916D6E" w:rsidRPr="00386D58" w:rsidRDefault="00916D6E">
            <w:pPr>
              <w:rPr>
                <w:color w:val="000000"/>
              </w:rPr>
            </w:pPr>
          </w:p>
        </w:tc>
        <w:tc>
          <w:tcPr>
            <w:tcW w:w="1094" w:type="dxa"/>
            <w:tcBorders>
              <w:top w:val="nil"/>
              <w:left w:val="nil"/>
              <w:bottom w:val="nil"/>
              <w:right w:val="nil"/>
            </w:tcBorders>
            <w:shd w:val="clear" w:color="auto" w:fill="auto"/>
            <w:noWrap/>
            <w:vAlign w:val="bottom"/>
            <w:hideMark/>
          </w:tcPr>
          <w:p w14:paraId="6081B05E" w14:textId="77777777" w:rsidR="00916D6E" w:rsidRPr="00386D58" w:rsidRDefault="00916D6E">
            <w:pPr>
              <w:rPr>
                <w:color w:val="000000"/>
              </w:rPr>
            </w:pPr>
          </w:p>
        </w:tc>
        <w:tc>
          <w:tcPr>
            <w:tcW w:w="242" w:type="dxa"/>
            <w:tcBorders>
              <w:top w:val="nil"/>
              <w:left w:val="nil"/>
              <w:bottom w:val="nil"/>
              <w:right w:val="nil"/>
            </w:tcBorders>
            <w:shd w:val="clear" w:color="auto" w:fill="auto"/>
            <w:noWrap/>
            <w:vAlign w:val="bottom"/>
            <w:hideMark/>
          </w:tcPr>
          <w:p w14:paraId="6A57E887" w14:textId="77777777" w:rsidR="00916D6E" w:rsidRPr="00386D58" w:rsidRDefault="00916D6E">
            <w:pPr>
              <w:rPr>
                <w:color w:val="000000"/>
              </w:rPr>
            </w:pPr>
          </w:p>
        </w:tc>
        <w:tc>
          <w:tcPr>
            <w:tcW w:w="1570" w:type="dxa"/>
            <w:tcBorders>
              <w:top w:val="nil"/>
              <w:left w:val="nil"/>
              <w:bottom w:val="nil"/>
              <w:right w:val="nil"/>
            </w:tcBorders>
            <w:shd w:val="clear" w:color="auto" w:fill="auto"/>
            <w:noWrap/>
            <w:vAlign w:val="bottom"/>
            <w:hideMark/>
          </w:tcPr>
          <w:p w14:paraId="49806FD7" w14:textId="77777777" w:rsidR="00916D6E" w:rsidRPr="00386D58" w:rsidRDefault="00916D6E">
            <w:pPr>
              <w:rPr>
                <w:color w:val="000000"/>
              </w:rPr>
            </w:pPr>
          </w:p>
        </w:tc>
        <w:tc>
          <w:tcPr>
            <w:tcW w:w="1319" w:type="dxa"/>
            <w:tcBorders>
              <w:top w:val="nil"/>
              <w:left w:val="nil"/>
              <w:bottom w:val="nil"/>
              <w:right w:val="nil"/>
            </w:tcBorders>
            <w:shd w:val="clear" w:color="auto" w:fill="auto"/>
            <w:noWrap/>
            <w:vAlign w:val="bottom"/>
            <w:hideMark/>
          </w:tcPr>
          <w:p w14:paraId="5F4F5B0D"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0264FAA9" w14:textId="77777777" w:rsidR="00916D6E" w:rsidRPr="00386D58" w:rsidRDefault="00916D6E">
            <w:pPr>
              <w:rPr>
                <w:color w:val="000000"/>
              </w:rPr>
            </w:pPr>
          </w:p>
        </w:tc>
        <w:tc>
          <w:tcPr>
            <w:tcW w:w="242" w:type="dxa"/>
            <w:tcBorders>
              <w:top w:val="nil"/>
              <w:left w:val="nil"/>
              <w:bottom w:val="nil"/>
              <w:right w:val="nil"/>
            </w:tcBorders>
            <w:shd w:val="clear" w:color="auto" w:fill="auto"/>
            <w:noWrap/>
            <w:vAlign w:val="bottom"/>
            <w:hideMark/>
          </w:tcPr>
          <w:p w14:paraId="76F0DF50" w14:textId="77777777" w:rsidR="00916D6E" w:rsidRPr="00386D58" w:rsidRDefault="00916D6E">
            <w:pPr>
              <w:rPr>
                <w:color w:val="000000"/>
              </w:rPr>
            </w:pPr>
          </w:p>
        </w:tc>
        <w:tc>
          <w:tcPr>
            <w:tcW w:w="1637" w:type="dxa"/>
            <w:tcBorders>
              <w:top w:val="nil"/>
              <w:left w:val="nil"/>
              <w:bottom w:val="nil"/>
              <w:right w:val="nil"/>
            </w:tcBorders>
            <w:shd w:val="clear" w:color="auto" w:fill="auto"/>
            <w:noWrap/>
            <w:vAlign w:val="bottom"/>
            <w:hideMark/>
          </w:tcPr>
          <w:p w14:paraId="11B3E991"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3E1420A4"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2534F990" w14:textId="77777777" w:rsidR="00916D6E" w:rsidRPr="00386D58" w:rsidRDefault="00916D6E">
            <w:pPr>
              <w:rPr>
                <w:color w:val="000000"/>
              </w:rPr>
            </w:pPr>
          </w:p>
        </w:tc>
      </w:tr>
      <w:tr w:rsidR="00916D6E" w14:paraId="5AA11CCF" w14:textId="77777777" w:rsidTr="00D31239">
        <w:trPr>
          <w:trHeight w:val="369"/>
        </w:trPr>
        <w:tc>
          <w:tcPr>
            <w:tcW w:w="2114" w:type="dxa"/>
            <w:tcBorders>
              <w:top w:val="nil"/>
              <w:left w:val="nil"/>
              <w:bottom w:val="nil"/>
              <w:right w:val="nil"/>
            </w:tcBorders>
            <w:shd w:val="clear" w:color="auto" w:fill="auto"/>
            <w:noWrap/>
            <w:vAlign w:val="bottom"/>
            <w:hideMark/>
          </w:tcPr>
          <w:p w14:paraId="2A5577DD" w14:textId="77777777" w:rsidR="00916D6E" w:rsidRPr="00386D58" w:rsidRDefault="00916D6E" w:rsidP="00386D58">
            <w:pPr>
              <w:rPr>
                <w:color w:val="000000"/>
              </w:rPr>
            </w:pPr>
            <w:r w:rsidRPr="00386D58">
              <w:rPr>
                <w:color w:val="000000"/>
              </w:rPr>
              <w:t xml:space="preserve">CCF Usage           </w:t>
            </w:r>
            <w:r w:rsidR="00386D58">
              <w:rPr>
                <w:color w:val="000000"/>
              </w:rPr>
              <w:t>0</w:t>
            </w:r>
            <w:r w:rsidRPr="00386D58">
              <w:rPr>
                <w:color w:val="000000"/>
              </w:rPr>
              <w:t xml:space="preserve">      </w:t>
            </w:r>
            <w:r w:rsidR="00386D58">
              <w:rPr>
                <w:color w:val="000000"/>
              </w:rPr>
              <w:t xml:space="preserve">                      </w:t>
            </w:r>
          </w:p>
        </w:tc>
        <w:tc>
          <w:tcPr>
            <w:tcW w:w="1094" w:type="dxa"/>
            <w:tcBorders>
              <w:top w:val="nil"/>
              <w:left w:val="nil"/>
              <w:bottom w:val="nil"/>
              <w:right w:val="nil"/>
            </w:tcBorders>
            <w:shd w:val="clear" w:color="auto" w:fill="auto"/>
            <w:noWrap/>
            <w:vAlign w:val="bottom"/>
            <w:hideMark/>
          </w:tcPr>
          <w:p w14:paraId="2BE410F5" w14:textId="77777777" w:rsidR="00916D6E" w:rsidRPr="00386D58" w:rsidRDefault="00916D6E" w:rsidP="00386D58">
            <w:pPr>
              <w:rPr>
                <w:color w:val="000000"/>
              </w:rPr>
            </w:pPr>
            <w:r w:rsidRPr="00386D58">
              <w:rPr>
                <w:color w:val="000000"/>
              </w:rPr>
              <w:t xml:space="preserve"> </w:t>
            </w:r>
            <w:proofErr w:type="gramStart"/>
            <w:r w:rsidRPr="00386D58">
              <w:rPr>
                <w:color w:val="000000"/>
              </w:rPr>
              <w:t>$  29.00</w:t>
            </w:r>
            <w:proofErr w:type="gramEnd"/>
            <w:r w:rsidRPr="00386D58">
              <w:rPr>
                <w:color w:val="000000"/>
              </w:rPr>
              <w:t xml:space="preserve"> </w:t>
            </w:r>
          </w:p>
        </w:tc>
        <w:tc>
          <w:tcPr>
            <w:tcW w:w="242" w:type="dxa"/>
            <w:tcBorders>
              <w:top w:val="nil"/>
              <w:left w:val="nil"/>
              <w:bottom w:val="nil"/>
              <w:right w:val="nil"/>
            </w:tcBorders>
            <w:shd w:val="clear" w:color="auto" w:fill="auto"/>
            <w:noWrap/>
            <w:vAlign w:val="bottom"/>
            <w:hideMark/>
          </w:tcPr>
          <w:p w14:paraId="676B5F44" w14:textId="77777777" w:rsidR="00916D6E" w:rsidRPr="00386D58" w:rsidRDefault="00916D6E">
            <w:pPr>
              <w:rPr>
                <w:color w:val="000000"/>
              </w:rPr>
            </w:pPr>
          </w:p>
        </w:tc>
        <w:tc>
          <w:tcPr>
            <w:tcW w:w="1570" w:type="dxa"/>
            <w:tcBorders>
              <w:top w:val="nil"/>
              <w:left w:val="nil"/>
              <w:bottom w:val="nil"/>
              <w:right w:val="nil"/>
            </w:tcBorders>
            <w:shd w:val="clear" w:color="auto" w:fill="auto"/>
            <w:noWrap/>
            <w:vAlign w:val="bottom"/>
            <w:hideMark/>
          </w:tcPr>
          <w:p w14:paraId="1D32B2DC" w14:textId="77777777" w:rsidR="00916D6E" w:rsidRPr="00386D58" w:rsidRDefault="00916D6E" w:rsidP="00F35DB3">
            <w:pPr>
              <w:rPr>
                <w:color w:val="000000"/>
              </w:rPr>
            </w:pPr>
            <w:r w:rsidRPr="00386D58">
              <w:rPr>
                <w:color w:val="000000"/>
              </w:rPr>
              <w:t xml:space="preserve"> $          34.50 </w:t>
            </w:r>
          </w:p>
        </w:tc>
        <w:tc>
          <w:tcPr>
            <w:tcW w:w="1319" w:type="dxa"/>
            <w:tcBorders>
              <w:top w:val="nil"/>
              <w:left w:val="nil"/>
              <w:bottom w:val="nil"/>
              <w:right w:val="nil"/>
            </w:tcBorders>
            <w:shd w:val="clear" w:color="auto" w:fill="auto"/>
            <w:noWrap/>
            <w:vAlign w:val="bottom"/>
            <w:hideMark/>
          </w:tcPr>
          <w:p w14:paraId="3D045EC4" w14:textId="77777777" w:rsidR="00916D6E" w:rsidRPr="00386D58" w:rsidRDefault="00916D6E" w:rsidP="00F35DB3">
            <w:pPr>
              <w:rPr>
                <w:color w:val="000000"/>
              </w:rPr>
            </w:pPr>
            <w:r w:rsidRPr="00386D58">
              <w:rPr>
                <w:color w:val="000000"/>
              </w:rPr>
              <w:t xml:space="preserve"> $        5.50 </w:t>
            </w:r>
          </w:p>
        </w:tc>
        <w:tc>
          <w:tcPr>
            <w:tcW w:w="1163" w:type="dxa"/>
            <w:tcBorders>
              <w:top w:val="nil"/>
              <w:left w:val="nil"/>
              <w:bottom w:val="nil"/>
              <w:right w:val="nil"/>
            </w:tcBorders>
            <w:shd w:val="clear" w:color="auto" w:fill="auto"/>
            <w:noWrap/>
            <w:vAlign w:val="bottom"/>
            <w:hideMark/>
          </w:tcPr>
          <w:p w14:paraId="6BB44B8F" w14:textId="77777777" w:rsidR="00916D6E" w:rsidRPr="00386D58" w:rsidRDefault="00916D6E">
            <w:pPr>
              <w:jc w:val="right"/>
              <w:rPr>
                <w:color w:val="000000"/>
              </w:rPr>
            </w:pPr>
            <w:r w:rsidRPr="00386D58">
              <w:rPr>
                <w:color w:val="000000"/>
              </w:rPr>
              <w:t>18.97%</w:t>
            </w:r>
          </w:p>
        </w:tc>
        <w:tc>
          <w:tcPr>
            <w:tcW w:w="242" w:type="dxa"/>
            <w:tcBorders>
              <w:top w:val="nil"/>
              <w:left w:val="nil"/>
              <w:bottom w:val="nil"/>
              <w:right w:val="nil"/>
            </w:tcBorders>
            <w:shd w:val="clear" w:color="auto" w:fill="auto"/>
            <w:noWrap/>
            <w:vAlign w:val="bottom"/>
            <w:hideMark/>
          </w:tcPr>
          <w:p w14:paraId="7EC39C4A" w14:textId="77777777" w:rsidR="00916D6E" w:rsidRPr="00386D58" w:rsidRDefault="00916D6E">
            <w:pPr>
              <w:rPr>
                <w:color w:val="000000"/>
              </w:rPr>
            </w:pPr>
          </w:p>
        </w:tc>
        <w:tc>
          <w:tcPr>
            <w:tcW w:w="1637" w:type="dxa"/>
            <w:tcBorders>
              <w:top w:val="nil"/>
              <w:left w:val="nil"/>
              <w:bottom w:val="nil"/>
              <w:right w:val="nil"/>
            </w:tcBorders>
            <w:shd w:val="clear" w:color="auto" w:fill="auto"/>
            <w:noWrap/>
            <w:vAlign w:val="bottom"/>
            <w:hideMark/>
          </w:tcPr>
          <w:p w14:paraId="314FC017" w14:textId="77777777" w:rsidR="00916D6E" w:rsidRPr="00386D58" w:rsidRDefault="00916D6E" w:rsidP="00F35DB3">
            <w:pPr>
              <w:rPr>
                <w:color w:val="000000"/>
              </w:rPr>
            </w:pPr>
            <w:r w:rsidRPr="00386D58">
              <w:rPr>
                <w:color w:val="000000"/>
              </w:rPr>
              <w:t xml:space="preserve"> $           19.29 </w:t>
            </w:r>
          </w:p>
        </w:tc>
        <w:tc>
          <w:tcPr>
            <w:tcW w:w="1163" w:type="dxa"/>
            <w:tcBorders>
              <w:top w:val="nil"/>
              <w:left w:val="nil"/>
              <w:bottom w:val="nil"/>
              <w:right w:val="nil"/>
            </w:tcBorders>
            <w:shd w:val="clear" w:color="auto" w:fill="auto"/>
            <w:noWrap/>
            <w:vAlign w:val="bottom"/>
            <w:hideMark/>
          </w:tcPr>
          <w:p w14:paraId="5B88F9E9" w14:textId="77777777" w:rsidR="00916D6E" w:rsidRPr="00386D58" w:rsidRDefault="00916D6E" w:rsidP="00F35DB3">
            <w:pPr>
              <w:rPr>
                <w:color w:val="000000"/>
              </w:rPr>
            </w:pPr>
            <w:r w:rsidRPr="00386D58">
              <w:rPr>
                <w:color w:val="000000"/>
              </w:rPr>
              <w:t xml:space="preserve"> $</w:t>
            </w:r>
            <w:proofErr w:type="gramStart"/>
            <w:r w:rsidRPr="00386D58">
              <w:rPr>
                <w:color w:val="000000"/>
              </w:rPr>
              <w:t xml:space="preserve">   (</w:t>
            </w:r>
            <w:proofErr w:type="gramEnd"/>
            <w:r w:rsidRPr="00386D58">
              <w:rPr>
                <w:color w:val="000000"/>
              </w:rPr>
              <w:t>9.71)</w:t>
            </w:r>
          </w:p>
        </w:tc>
        <w:tc>
          <w:tcPr>
            <w:tcW w:w="1163" w:type="dxa"/>
            <w:tcBorders>
              <w:top w:val="nil"/>
              <w:left w:val="nil"/>
              <w:bottom w:val="nil"/>
              <w:right w:val="nil"/>
            </w:tcBorders>
            <w:shd w:val="clear" w:color="auto" w:fill="auto"/>
            <w:noWrap/>
            <w:vAlign w:val="bottom"/>
            <w:hideMark/>
          </w:tcPr>
          <w:p w14:paraId="30E84B65" w14:textId="77777777" w:rsidR="00916D6E" w:rsidRPr="00386D58" w:rsidRDefault="00916D6E">
            <w:pPr>
              <w:jc w:val="right"/>
              <w:rPr>
                <w:color w:val="000000"/>
              </w:rPr>
            </w:pPr>
            <w:r w:rsidRPr="00386D58">
              <w:rPr>
                <w:color w:val="000000"/>
              </w:rPr>
              <w:t>-33.48%</w:t>
            </w:r>
          </w:p>
        </w:tc>
      </w:tr>
      <w:tr w:rsidR="00916D6E" w14:paraId="39A29C77" w14:textId="77777777" w:rsidTr="00D31239">
        <w:trPr>
          <w:trHeight w:val="369"/>
        </w:trPr>
        <w:tc>
          <w:tcPr>
            <w:tcW w:w="2114" w:type="dxa"/>
            <w:tcBorders>
              <w:top w:val="nil"/>
              <w:left w:val="nil"/>
              <w:bottom w:val="nil"/>
              <w:right w:val="nil"/>
            </w:tcBorders>
            <w:shd w:val="clear" w:color="auto" w:fill="auto"/>
            <w:noWrap/>
            <w:vAlign w:val="bottom"/>
            <w:hideMark/>
          </w:tcPr>
          <w:p w14:paraId="71DB1719" w14:textId="77777777" w:rsidR="00916D6E" w:rsidRPr="00386D58" w:rsidRDefault="00916D6E">
            <w:pPr>
              <w:jc w:val="right"/>
              <w:rPr>
                <w:color w:val="000000"/>
              </w:rPr>
            </w:pPr>
            <w:r w:rsidRPr="00386D58">
              <w:rPr>
                <w:color w:val="000000"/>
              </w:rPr>
              <w:t>25</w:t>
            </w:r>
          </w:p>
        </w:tc>
        <w:tc>
          <w:tcPr>
            <w:tcW w:w="1094" w:type="dxa"/>
            <w:tcBorders>
              <w:top w:val="nil"/>
              <w:left w:val="nil"/>
              <w:bottom w:val="nil"/>
              <w:right w:val="nil"/>
            </w:tcBorders>
            <w:shd w:val="clear" w:color="auto" w:fill="auto"/>
            <w:noWrap/>
            <w:vAlign w:val="bottom"/>
            <w:hideMark/>
          </w:tcPr>
          <w:p w14:paraId="7D121B7B" w14:textId="77777777" w:rsidR="00916D6E" w:rsidRPr="00386D58" w:rsidRDefault="00916D6E" w:rsidP="00386D58">
            <w:pPr>
              <w:rPr>
                <w:color w:val="000000"/>
              </w:rPr>
            </w:pPr>
            <w:r w:rsidRPr="00386D58">
              <w:rPr>
                <w:color w:val="000000"/>
              </w:rPr>
              <w:t xml:space="preserve"> </w:t>
            </w:r>
            <w:proofErr w:type="gramStart"/>
            <w:r w:rsidRPr="00386D58">
              <w:rPr>
                <w:color w:val="000000"/>
              </w:rPr>
              <w:t>$  41.13</w:t>
            </w:r>
            <w:proofErr w:type="gramEnd"/>
            <w:r w:rsidRPr="00386D58">
              <w:rPr>
                <w:color w:val="000000"/>
              </w:rPr>
              <w:t xml:space="preserve"> </w:t>
            </w:r>
          </w:p>
        </w:tc>
        <w:tc>
          <w:tcPr>
            <w:tcW w:w="242" w:type="dxa"/>
            <w:tcBorders>
              <w:top w:val="nil"/>
              <w:left w:val="nil"/>
              <w:bottom w:val="nil"/>
              <w:right w:val="nil"/>
            </w:tcBorders>
            <w:shd w:val="clear" w:color="auto" w:fill="auto"/>
            <w:noWrap/>
            <w:vAlign w:val="bottom"/>
            <w:hideMark/>
          </w:tcPr>
          <w:p w14:paraId="3AB53233" w14:textId="77777777" w:rsidR="00916D6E" w:rsidRPr="00386D58" w:rsidRDefault="00916D6E">
            <w:pPr>
              <w:rPr>
                <w:color w:val="000000"/>
              </w:rPr>
            </w:pPr>
          </w:p>
        </w:tc>
        <w:tc>
          <w:tcPr>
            <w:tcW w:w="1570" w:type="dxa"/>
            <w:tcBorders>
              <w:top w:val="nil"/>
              <w:left w:val="nil"/>
              <w:bottom w:val="nil"/>
              <w:right w:val="nil"/>
            </w:tcBorders>
            <w:shd w:val="clear" w:color="auto" w:fill="auto"/>
            <w:noWrap/>
            <w:vAlign w:val="bottom"/>
            <w:hideMark/>
          </w:tcPr>
          <w:p w14:paraId="54539363" w14:textId="77777777" w:rsidR="00916D6E" w:rsidRPr="00386D58" w:rsidRDefault="00916D6E" w:rsidP="00F35DB3">
            <w:pPr>
              <w:rPr>
                <w:color w:val="000000"/>
              </w:rPr>
            </w:pPr>
            <w:r w:rsidRPr="00386D58">
              <w:rPr>
                <w:color w:val="000000"/>
              </w:rPr>
              <w:t xml:space="preserve"> $          46.40 </w:t>
            </w:r>
          </w:p>
        </w:tc>
        <w:tc>
          <w:tcPr>
            <w:tcW w:w="1319" w:type="dxa"/>
            <w:tcBorders>
              <w:top w:val="nil"/>
              <w:left w:val="nil"/>
              <w:bottom w:val="nil"/>
              <w:right w:val="nil"/>
            </w:tcBorders>
            <w:shd w:val="clear" w:color="auto" w:fill="auto"/>
            <w:noWrap/>
            <w:vAlign w:val="bottom"/>
            <w:hideMark/>
          </w:tcPr>
          <w:p w14:paraId="254A1409" w14:textId="77777777" w:rsidR="00916D6E" w:rsidRPr="00386D58" w:rsidRDefault="00916D6E" w:rsidP="00F35DB3">
            <w:pPr>
              <w:rPr>
                <w:color w:val="000000"/>
              </w:rPr>
            </w:pPr>
            <w:r w:rsidRPr="00386D58">
              <w:rPr>
                <w:color w:val="000000"/>
              </w:rPr>
              <w:t xml:space="preserve"> $        5.27 </w:t>
            </w:r>
          </w:p>
        </w:tc>
        <w:tc>
          <w:tcPr>
            <w:tcW w:w="1163" w:type="dxa"/>
            <w:tcBorders>
              <w:top w:val="nil"/>
              <w:left w:val="nil"/>
              <w:bottom w:val="nil"/>
              <w:right w:val="nil"/>
            </w:tcBorders>
            <w:shd w:val="clear" w:color="auto" w:fill="auto"/>
            <w:noWrap/>
            <w:vAlign w:val="bottom"/>
            <w:hideMark/>
          </w:tcPr>
          <w:p w14:paraId="25EF534B" w14:textId="77777777" w:rsidR="00916D6E" w:rsidRPr="00386D58" w:rsidRDefault="00916D6E">
            <w:pPr>
              <w:jc w:val="right"/>
              <w:rPr>
                <w:color w:val="000000"/>
              </w:rPr>
            </w:pPr>
            <w:r w:rsidRPr="00386D58">
              <w:rPr>
                <w:color w:val="000000"/>
              </w:rPr>
              <w:t>12.81%</w:t>
            </w:r>
          </w:p>
        </w:tc>
        <w:tc>
          <w:tcPr>
            <w:tcW w:w="242" w:type="dxa"/>
            <w:tcBorders>
              <w:top w:val="nil"/>
              <w:left w:val="nil"/>
              <w:bottom w:val="nil"/>
              <w:right w:val="nil"/>
            </w:tcBorders>
            <w:shd w:val="clear" w:color="auto" w:fill="auto"/>
            <w:noWrap/>
            <w:vAlign w:val="bottom"/>
            <w:hideMark/>
          </w:tcPr>
          <w:p w14:paraId="695B3CA9" w14:textId="77777777" w:rsidR="00916D6E" w:rsidRPr="00386D58" w:rsidRDefault="00916D6E">
            <w:pPr>
              <w:rPr>
                <w:color w:val="000000"/>
              </w:rPr>
            </w:pPr>
          </w:p>
        </w:tc>
        <w:tc>
          <w:tcPr>
            <w:tcW w:w="1637" w:type="dxa"/>
            <w:tcBorders>
              <w:top w:val="nil"/>
              <w:left w:val="nil"/>
              <w:bottom w:val="nil"/>
              <w:right w:val="nil"/>
            </w:tcBorders>
            <w:shd w:val="clear" w:color="auto" w:fill="auto"/>
            <w:noWrap/>
            <w:vAlign w:val="bottom"/>
            <w:hideMark/>
          </w:tcPr>
          <w:p w14:paraId="6C33061E" w14:textId="77777777" w:rsidR="00916D6E" w:rsidRPr="00386D58" w:rsidRDefault="00916D6E" w:rsidP="00F35DB3">
            <w:pPr>
              <w:rPr>
                <w:color w:val="000000"/>
              </w:rPr>
            </w:pPr>
            <w:r w:rsidRPr="00386D58">
              <w:rPr>
                <w:color w:val="000000"/>
              </w:rPr>
              <w:t xml:space="preserve"> $           37.42 </w:t>
            </w:r>
          </w:p>
        </w:tc>
        <w:tc>
          <w:tcPr>
            <w:tcW w:w="1163" w:type="dxa"/>
            <w:tcBorders>
              <w:top w:val="nil"/>
              <w:left w:val="nil"/>
              <w:bottom w:val="nil"/>
              <w:right w:val="nil"/>
            </w:tcBorders>
            <w:shd w:val="clear" w:color="auto" w:fill="auto"/>
            <w:noWrap/>
            <w:vAlign w:val="bottom"/>
            <w:hideMark/>
          </w:tcPr>
          <w:p w14:paraId="7C7EAE39" w14:textId="77777777" w:rsidR="00916D6E" w:rsidRPr="00386D58" w:rsidRDefault="00916D6E" w:rsidP="00F35DB3">
            <w:pPr>
              <w:rPr>
                <w:color w:val="000000"/>
              </w:rPr>
            </w:pPr>
            <w:r w:rsidRPr="00386D58">
              <w:rPr>
                <w:color w:val="000000"/>
              </w:rPr>
              <w:t xml:space="preserve"> $</w:t>
            </w:r>
            <w:proofErr w:type="gramStart"/>
            <w:r w:rsidRPr="00386D58">
              <w:rPr>
                <w:color w:val="000000"/>
              </w:rPr>
              <w:t xml:space="preserve">   (</w:t>
            </w:r>
            <w:proofErr w:type="gramEnd"/>
            <w:r w:rsidRPr="00386D58">
              <w:rPr>
                <w:color w:val="000000"/>
              </w:rPr>
              <w:t>3.71)</w:t>
            </w:r>
          </w:p>
        </w:tc>
        <w:tc>
          <w:tcPr>
            <w:tcW w:w="1163" w:type="dxa"/>
            <w:tcBorders>
              <w:top w:val="nil"/>
              <w:left w:val="nil"/>
              <w:bottom w:val="nil"/>
              <w:right w:val="nil"/>
            </w:tcBorders>
            <w:shd w:val="clear" w:color="auto" w:fill="auto"/>
            <w:noWrap/>
            <w:vAlign w:val="bottom"/>
            <w:hideMark/>
          </w:tcPr>
          <w:p w14:paraId="22EEAE54" w14:textId="77777777" w:rsidR="00916D6E" w:rsidRPr="00386D58" w:rsidRDefault="00916D6E">
            <w:pPr>
              <w:jc w:val="right"/>
              <w:rPr>
                <w:color w:val="000000"/>
              </w:rPr>
            </w:pPr>
            <w:r w:rsidRPr="00386D58">
              <w:rPr>
                <w:color w:val="000000"/>
              </w:rPr>
              <w:t>-9.02%</w:t>
            </w:r>
          </w:p>
        </w:tc>
      </w:tr>
      <w:tr w:rsidR="00916D6E" w14:paraId="3EC78013" w14:textId="77777777" w:rsidTr="00D31239">
        <w:trPr>
          <w:trHeight w:val="369"/>
        </w:trPr>
        <w:tc>
          <w:tcPr>
            <w:tcW w:w="2114" w:type="dxa"/>
            <w:tcBorders>
              <w:top w:val="nil"/>
              <w:left w:val="nil"/>
              <w:bottom w:val="nil"/>
              <w:right w:val="nil"/>
            </w:tcBorders>
            <w:shd w:val="clear" w:color="auto" w:fill="auto"/>
            <w:noWrap/>
            <w:vAlign w:val="bottom"/>
            <w:hideMark/>
          </w:tcPr>
          <w:p w14:paraId="2E5953CE" w14:textId="77777777" w:rsidR="00916D6E" w:rsidRPr="00386D58" w:rsidRDefault="00916D6E">
            <w:pPr>
              <w:jc w:val="right"/>
              <w:rPr>
                <w:color w:val="000000"/>
              </w:rPr>
            </w:pPr>
            <w:r w:rsidRPr="00386D58">
              <w:rPr>
                <w:color w:val="000000"/>
              </w:rPr>
              <w:t>50</w:t>
            </w:r>
          </w:p>
        </w:tc>
        <w:tc>
          <w:tcPr>
            <w:tcW w:w="1094" w:type="dxa"/>
            <w:tcBorders>
              <w:top w:val="nil"/>
              <w:left w:val="nil"/>
              <w:bottom w:val="nil"/>
              <w:right w:val="nil"/>
            </w:tcBorders>
            <w:shd w:val="clear" w:color="auto" w:fill="auto"/>
            <w:noWrap/>
            <w:vAlign w:val="bottom"/>
            <w:hideMark/>
          </w:tcPr>
          <w:p w14:paraId="33F0BFC2" w14:textId="77777777" w:rsidR="00916D6E" w:rsidRPr="00386D58" w:rsidRDefault="00916D6E" w:rsidP="00386D58">
            <w:pPr>
              <w:rPr>
                <w:color w:val="000000"/>
              </w:rPr>
            </w:pPr>
            <w:r w:rsidRPr="00386D58">
              <w:rPr>
                <w:color w:val="000000"/>
              </w:rPr>
              <w:t xml:space="preserve"> </w:t>
            </w:r>
            <w:proofErr w:type="gramStart"/>
            <w:r w:rsidRPr="00386D58">
              <w:rPr>
                <w:color w:val="000000"/>
              </w:rPr>
              <w:t>$  53.27</w:t>
            </w:r>
            <w:proofErr w:type="gramEnd"/>
            <w:r w:rsidRPr="00386D58">
              <w:rPr>
                <w:color w:val="000000"/>
              </w:rPr>
              <w:t xml:space="preserve"> </w:t>
            </w:r>
          </w:p>
        </w:tc>
        <w:tc>
          <w:tcPr>
            <w:tcW w:w="242" w:type="dxa"/>
            <w:tcBorders>
              <w:top w:val="nil"/>
              <w:left w:val="nil"/>
              <w:bottom w:val="nil"/>
              <w:right w:val="nil"/>
            </w:tcBorders>
            <w:shd w:val="clear" w:color="auto" w:fill="auto"/>
            <w:noWrap/>
            <w:vAlign w:val="bottom"/>
            <w:hideMark/>
          </w:tcPr>
          <w:p w14:paraId="35F9389D" w14:textId="77777777" w:rsidR="00916D6E" w:rsidRPr="00386D58" w:rsidRDefault="00916D6E">
            <w:pPr>
              <w:rPr>
                <w:color w:val="000000"/>
              </w:rPr>
            </w:pPr>
          </w:p>
        </w:tc>
        <w:tc>
          <w:tcPr>
            <w:tcW w:w="1570" w:type="dxa"/>
            <w:tcBorders>
              <w:top w:val="nil"/>
              <w:left w:val="nil"/>
              <w:bottom w:val="nil"/>
              <w:right w:val="nil"/>
            </w:tcBorders>
            <w:shd w:val="clear" w:color="auto" w:fill="auto"/>
            <w:noWrap/>
            <w:vAlign w:val="bottom"/>
            <w:hideMark/>
          </w:tcPr>
          <w:p w14:paraId="34FDAF49" w14:textId="77777777" w:rsidR="00916D6E" w:rsidRPr="00386D58" w:rsidRDefault="00916D6E" w:rsidP="00F35DB3">
            <w:pPr>
              <w:rPr>
                <w:color w:val="000000"/>
              </w:rPr>
            </w:pPr>
            <w:r w:rsidRPr="00386D58">
              <w:rPr>
                <w:color w:val="000000"/>
              </w:rPr>
              <w:t xml:space="preserve"> $          58.31 </w:t>
            </w:r>
          </w:p>
        </w:tc>
        <w:tc>
          <w:tcPr>
            <w:tcW w:w="1319" w:type="dxa"/>
            <w:tcBorders>
              <w:top w:val="nil"/>
              <w:left w:val="nil"/>
              <w:bottom w:val="nil"/>
              <w:right w:val="nil"/>
            </w:tcBorders>
            <w:shd w:val="clear" w:color="auto" w:fill="auto"/>
            <w:noWrap/>
            <w:vAlign w:val="bottom"/>
            <w:hideMark/>
          </w:tcPr>
          <w:p w14:paraId="033A4B9B" w14:textId="77777777" w:rsidR="00916D6E" w:rsidRPr="00386D58" w:rsidRDefault="00916D6E" w:rsidP="00F35DB3">
            <w:pPr>
              <w:rPr>
                <w:color w:val="000000"/>
              </w:rPr>
            </w:pPr>
            <w:r w:rsidRPr="00386D58">
              <w:rPr>
                <w:color w:val="000000"/>
              </w:rPr>
              <w:t xml:space="preserve"> $        5.04 </w:t>
            </w:r>
          </w:p>
        </w:tc>
        <w:tc>
          <w:tcPr>
            <w:tcW w:w="1163" w:type="dxa"/>
            <w:tcBorders>
              <w:top w:val="nil"/>
              <w:left w:val="nil"/>
              <w:bottom w:val="nil"/>
              <w:right w:val="nil"/>
            </w:tcBorders>
            <w:shd w:val="clear" w:color="auto" w:fill="auto"/>
            <w:noWrap/>
            <w:vAlign w:val="bottom"/>
            <w:hideMark/>
          </w:tcPr>
          <w:p w14:paraId="6E7322BE" w14:textId="77777777" w:rsidR="00916D6E" w:rsidRPr="00386D58" w:rsidRDefault="00916D6E">
            <w:pPr>
              <w:jc w:val="right"/>
              <w:rPr>
                <w:color w:val="000000"/>
              </w:rPr>
            </w:pPr>
            <w:r w:rsidRPr="00386D58">
              <w:rPr>
                <w:color w:val="000000"/>
              </w:rPr>
              <w:t>9.46%</w:t>
            </w:r>
          </w:p>
        </w:tc>
        <w:tc>
          <w:tcPr>
            <w:tcW w:w="242" w:type="dxa"/>
            <w:tcBorders>
              <w:top w:val="nil"/>
              <w:left w:val="nil"/>
              <w:bottom w:val="nil"/>
              <w:right w:val="nil"/>
            </w:tcBorders>
            <w:shd w:val="clear" w:color="auto" w:fill="auto"/>
            <w:noWrap/>
            <w:vAlign w:val="bottom"/>
            <w:hideMark/>
          </w:tcPr>
          <w:p w14:paraId="5208BE06" w14:textId="77777777" w:rsidR="00916D6E" w:rsidRPr="00386D58" w:rsidRDefault="00916D6E">
            <w:pPr>
              <w:rPr>
                <w:color w:val="000000"/>
              </w:rPr>
            </w:pPr>
          </w:p>
        </w:tc>
        <w:tc>
          <w:tcPr>
            <w:tcW w:w="1637" w:type="dxa"/>
            <w:tcBorders>
              <w:top w:val="nil"/>
              <w:left w:val="nil"/>
              <w:bottom w:val="nil"/>
              <w:right w:val="nil"/>
            </w:tcBorders>
            <w:shd w:val="clear" w:color="auto" w:fill="auto"/>
            <w:noWrap/>
            <w:vAlign w:val="bottom"/>
            <w:hideMark/>
          </w:tcPr>
          <w:p w14:paraId="346EC56C" w14:textId="77777777" w:rsidR="00916D6E" w:rsidRPr="00386D58" w:rsidRDefault="00916D6E" w:rsidP="00F35DB3">
            <w:pPr>
              <w:rPr>
                <w:color w:val="000000"/>
              </w:rPr>
            </w:pPr>
            <w:r w:rsidRPr="00386D58">
              <w:rPr>
                <w:color w:val="000000"/>
              </w:rPr>
              <w:t xml:space="preserve"> $           55.55 </w:t>
            </w:r>
          </w:p>
        </w:tc>
        <w:tc>
          <w:tcPr>
            <w:tcW w:w="1163" w:type="dxa"/>
            <w:tcBorders>
              <w:top w:val="nil"/>
              <w:left w:val="nil"/>
              <w:bottom w:val="nil"/>
              <w:right w:val="nil"/>
            </w:tcBorders>
            <w:shd w:val="clear" w:color="auto" w:fill="auto"/>
            <w:noWrap/>
            <w:vAlign w:val="bottom"/>
            <w:hideMark/>
          </w:tcPr>
          <w:p w14:paraId="18988087" w14:textId="77777777" w:rsidR="00916D6E" w:rsidRPr="00386D58" w:rsidRDefault="00916D6E" w:rsidP="00F35DB3">
            <w:pPr>
              <w:rPr>
                <w:color w:val="000000"/>
              </w:rPr>
            </w:pPr>
            <w:r w:rsidRPr="00386D58">
              <w:rPr>
                <w:color w:val="000000"/>
              </w:rPr>
              <w:t xml:space="preserve"> $     2.28 </w:t>
            </w:r>
          </w:p>
        </w:tc>
        <w:tc>
          <w:tcPr>
            <w:tcW w:w="1163" w:type="dxa"/>
            <w:tcBorders>
              <w:top w:val="nil"/>
              <w:left w:val="nil"/>
              <w:bottom w:val="nil"/>
              <w:right w:val="nil"/>
            </w:tcBorders>
            <w:shd w:val="clear" w:color="auto" w:fill="auto"/>
            <w:noWrap/>
            <w:vAlign w:val="bottom"/>
            <w:hideMark/>
          </w:tcPr>
          <w:p w14:paraId="2D8768AD" w14:textId="77777777" w:rsidR="00916D6E" w:rsidRPr="00386D58" w:rsidRDefault="00916D6E">
            <w:pPr>
              <w:jc w:val="right"/>
              <w:rPr>
                <w:color w:val="000000"/>
              </w:rPr>
            </w:pPr>
            <w:r w:rsidRPr="00386D58">
              <w:rPr>
                <w:color w:val="000000"/>
              </w:rPr>
              <w:t>4.28%</w:t>
            </w:r>
          </w:p>
        </w:tc>
      </w:tr>
      <w:tr w:rsidR="00916D6E" w14:paraId="0298D1ED" w14:textId="77777777" w:rsidTr="00D31239">
        <w:trPr>
          <w:trHeight w:val="369"/>
        </w:trPr>
        <w:tc>
          <w:tcPr>
            <w:tcW w:w="2114" w:type="dxa"/>
            <w:tcBorders>
              <w:top w:val="nil"/>
              <w:left w:val="nil"/>
              <w:bottom w:val="nil"/>
              <w:right w:val="nil"/>
            </w:tcBorders>
            <w:shd w:val="clear" w:color="auto" w:fill="auto"/>
            <w:noWrap/>
            <w:vAlign w:val="bottom"/>
            <w:hideMark/>
          </w:tcPr>
          <w:p w14:paraId="068940D5" w14:textId="77777777" w:rsidR="00916D6E" w:rsidRPr="00386D58" w:rsidRDefault="00916D6E" w:rsidP="00F35DB3">
            <w:pPr>
              <w:rPr>
                <w:color w:val="000000"/>
              </w:rPr>
            </w:pPr>
            <w:r w:rsidRPr="00386D58">
              <w:rPr>
                <w:color w:val="000000"/>
              </w:rPr>
              <w:t>Avg</w:t>
            </w:r>
            <w:r w:rsidR="00F35DB3">
              <w:rPr>
                <w:color w:val="000000"/>
              </w:rPr>
              <w:t>.</w:t>
            </w:r>
            <w:r w:rsidRPr="00386D58">
              <w:rPr>
                <w:color w:val="000000"/>
              </w:rPr>
              <w:t xml:space="preserve"> Usage</w:t>
            </w:r>
            <w:r w:rsidR="00F35DB3">
              <w:rPr>
                <w:color w:val="000000"/>
              </w:rPr>
              <w:t xml:space="preserve"> 61.1</w:t>
            </w:r>
          </w:p>
        </w:tc>
        <w:tc>
          <w:tcPr>
            <w:tcW w:w="1094" w:type="dxa"/>
            <w:tcBorders>
              <w:top w:val="nil"/>
              <w:left w:val="nil"/>
              <w:bottom w:val="nil"/>
              <w:right w:val="nil"/>
            </w:tcBorders>
            <w:shd w:val="clear" w:color="auto" w:fill="auto"/>
            <w:noWrap/>
            <w:vAlign w:val="bottom"/>
            <w:hideMark/>
          </w:tcPr>
          <w:p w14:paraId="5A88DC61" w14:textId="77777777" w:rsidR="00916D6E" w:rsidRPr="00386D58" w:rsidRDefault="00916D6E" w:rsidP="00386D58">
            <w:pPr>
              <w:rPr>
                <w:color w:val="000000"/>
              </w:rPr>
            </w:pPr>
            <w:r w:rsidRPr="00386D58">
              <w:rPr>
                <w:color w:val="000000"/>
              </w:rPr>
              <w:t xml:space="preserve"> </w:t>
            </w:r>
            <w:proofErr w:type="gramStart"/>
            <w:r w:rsidRPr="00386D58">
              <w:rPr>
                <w:color w:val="000000"/>
              </w:rPr>
              <w:t>$  58.66</w:t>
            </w:r>
            <w:proofErr w:type="gramEnd"/>
            <w:r w:rsidRPr="00386D58">
              <w:rPr>
                <w:color w:val="000000"/>
              </w:rPr>
              <w:t xml:space="preserve"> </w:t>
            </w:r>
          </w:p>
        </w:tc>
        <w:tc>
          <w:tcPr>
            <w:tcW w:w="242" w:type="dxa"/>
            <w:tcBorders>
              <w:top w:val="nil"/>
              <w:left w:val="nil"/>
              <w:bottom w:val="nil"/>
              <w:right w:val="nil"/>
            </w:tcBorders>
            <w:shd w:val="clear" w:color="auto" w:fill="auto"/>
            <w:noWrap/>
            <w:vAlign w:val="bottom"/>
            <w:hideMark/>
          </w:tcPr>
          <w:p w14:paraId="4F7B6D7F" w14:textId="77777777" w:rsidR="00916D6E" w:rsidRPr="00386D58" w:rsidRDefault="00916D6E">
            <w:pPr>
              <w:rPr>
                <w:color w:val="000000"/>
              </w:rPr>
            </w:pPr>
          </w:p>
        </w:tc>
        <w:tc>
          <w:tcPr>
            <w:tcW w:w="1570" w:type="dxa"/>
            <w:tcBorders>
              <w:top w:val="nil"/>
              <w:left w:val="nil"/>
              <w:bottom w:val="nil"/>
              <w:right w:val="nil"/>
            </w:tcBorders>
            <w:shd w:val="clear" w:color="auto" w:fill="auto"/>
            <w:noWrap/>
            <w:vAlign w:val="bottom"/>
            <w:hideMark/>
          </w:tcPr>
          <w:p w14:paraId="4D248F6E" w14:textId="77777777" w:rsidR="00916D6E" w:rsidRPr="00386D58" w:rsidRDefault="00916D6E" w:rsidP="00F35DB3">
            <w:pPr>
              <w:rPr>
                <w:color w:val="000000"/>
              </w:rPr>
            </w:pPr>
            <w:r w:rsidRPr="00386D58">
              <w:rPr>
                <w:color w:val="000000"/>
              </w:rPr>
              <w:t xml:space="preserve"> $          63.59 </w:t>
            </w:r>
          </w:p>
        </w:tc>
        <w:tc>
          <w:tcPr>
            <w:tcW w:w="1319" w:type="dxa"/>
            <w:tcBorders>
              <w:top w:val="nil"/>
              <w:left w:val="nil"/>
              <w:bottom w:val="nil"/>
              <w:right w:val="nil"/>
            </w:tcBorders>
            <w:shd w:val="clear" w:color="auto" w:fill="auto"/>
            <w:noWrap/>
            <w:vAlign w:val="bottom"/>
            <w:hideMark/>
          </w:tcPr>
          <w:p w14:paraId="0E9F5731" w14:textId="77777777" w:rsidR="00916D6E" w:rsidRPr="00386D58" w:rsidRDefault="00916D6E" w:rsidP="00F35DB3">
            <w:pPr>
              <w:rPr>
                <w:color w:val="000000"/>
              </w:rPr>
            </w:pPr>
            <w:r w:rsidRPr="00386D58">
              <w:rPr>
                <w:color w:val="000000"/>
              </w:rPr>
              <w:t xml:space="preserve"> $        4.93</w:t>
            </w:r>
          </w:p>
        </w:tc>
        <w:tc>
          <w:tcPr>
            <w:tcW w:w="1163" w:type="dxa"/>
            <w:tcBorders>
              <w:top w:val="nil"/>
              <w:left w:val="nil"/>
              <w:bottom w:val="nil"/>
              <w:right w:val="nil"/>
            </w:tcBorders>
            <w:shd w:val="clear" w:color="auto" w:fill="auto"/>
            <w:noWrap/>
            <w:vAlign w:val="bottom"/>
            <w:hideMark/>
          </w:tcPr>
          <w:p w14:paraId="11E09951" w14:textId="77777777" w:rsidR="00916D6E" w:rsidRPr="00386D58" w:rsidRDefault="00916D6E">
            <w:pPr>
              <w:jc w:val="right"/>
              <w:rPr>
                <w:color w:val="000000"/>
              </w:rPr>
            </w:pPr>
            <w:r w:rsidRPr="00386D58">
              <w:rPr>
                <w:color w:val="000000"/>
              </w:rPr>
              <w:t>8.40%</w:t>
            </w:r>
          </w:p>
        </w:tc>
        <w:tc>
          <w:tcPr>
            <w:tcW w:w="242" w:type="dxa"/>
            <w:tcBorders>
              <w:top w:val="nil"/>
              <w:left w:val="nil"/>
              <w:bottom w:val="nil"/>
              <w:right w:val="nil"/>
            </w:tcBorders>
            <w:shd w:val="clear" w:color="auto" w:fill="auto"/>
            <w:noWrap/>
            <w:vAlign w:val="bottom"/>
            <w:hideMark/>
          </w:tcPr>
          <w:p w14:paraId="706679D6" w14:textId="77777777" w:rsidR="00916D6E" w:rsidRPr="00386D58" w:rsidRDefault="00916D6E">
            <w:pPr>
              <w:rPr>
                <w:color w:val="000000"/>
              </w:rPr>
            </w:pPr>
          </w:p>
        </w:tc>
        <w:tc>
          <w:tcPr>
            <w:tcW w:w="1637" w:type="dxa"/>
            <w:tcBorders>
              <w:top w:val="nil"/>
              <w:left w:val="nil"/>
              <w:bottom w:val="nil"/>
              <w:right w:val="nil"/>
            </w:tcBorders>
            <w:shd w:val="clear" w:color="auto" w:fill="auto"/>
            <w:noWrap/>
            <w:vAlign w:val="bottom"/>
            <w:hideMark/>
          </w:tcPr>
          <w:p w14:paraId="265CF689" w14:textId="77777777" w:rsidR="00916D6E" w:rsidRPr="00386D58" w:rsidRDefault="00916D6E" w:rsidP="00F35DB3">
            <w:pPr>
              <w:rPr>
                <w:color w:val="000000"/>
              </w:rPr>
            </w:pPr>
            <w:r w:rsidRPr="00386D58">
              <w:rPr>
                <w:color w:val="000000"/>
              </w:rPr>
              <w:t xml:space="preserve"> $           63.60 </w:t>
            </w:r>
          </w:p>
        </w:tc>
        <w:tc>
          <w:tcPr>
            <w:tcW w:w="1163" w:type="dxa"/>
            <w:tcBorders>
              <w:top w:val="nil"/>
              <w:left w:val="nil"/>
              <w:bottom w:val="nil"/>
              <w:right w:val="nil"/>
            </w:tcBorders>
            <w:shd w:val="clear" w:color="auto" w:fill="auto"/>
            <w:noWrap/>
            <w:vAlign w:val="bottom"/>
            <w:hideMark/>
          </w:tcPr>
          <w:p w14:paraId="576ABFE8" w14:textId="77777777" w:rsidR="00916D6E" w:rsidRPr="00386D58" w:rsidRDefault="00916D6E" w:rsidP="00F35DB3">
            <w:pPr>
              <w:rPr>
                <w:color w:val="000000"/>
              </w:rPr>
            </w:pPr>
            <w:r w:rsidRPr="00386D58">
              <w:rPr>
                <w:color w:val="000000"/>
              </w:rPr>
              <w:t xml:space="preserve"> $     4.94 </w:t>
            </w:r>
          </w:p>
        </w:tc>
        <w:tc>
          <w:tcPr>
            <w:tcW w:w="1163" w:type="dxa"/>
            <w:tcBorders>
              <w:top w:val="nil"/>
              <w:left w:val="nil"/>
              <w:bottom w:val="nil"/>
              <w:right w:val="nil"/>
            </w:tcBorders>
            <w:shd w:val="clear" w:color="auto" w:fill="auto"/>
            <w:noWrap/>
            <w:vAlign w:val="bottom"/>
            <w:hideMark/>
          </w:tcPr>
          <w:p w14:paraId="355114D4" w14:textId="77777777" w:rsidR="00916D6E" w:rsidRPr="00386D58" w:rsidRDefault="00916D6E">
            <w:pPr>
              <w:jc w:val="right"/>
              <w:rPr>
                <w:color w:val="000000"/>
              </w:rPr>
            </w:pPr>
            <w:r w:rsidRPr="00386D58">
              <w:rPr>
                <w:color w:val="000000"/>
              </w:rPr>
              <w:t>8.42%</w:t>
            </w:r>
          </w:p>
        </w:tc>
      </w:tr>
      <w:tr w:rsidR="00916D6E" w14:paraId="1DA58F0D" w14:textId="77777777" w:rsidTr="00D31239">
        <w:trPr>
          <w:trHeight w:val="369"/>
        </w:trPr>
        <w:tc>
          <w:tcPr>
            <w:tcW w:w="2114" w:type="dxa"/>
            <w:tcBorders>
              <w:top w:val="nil"/>
              <w:left w:val="nil"/>
              <w:bottom w:val="nil"/>
              <w:right w:val="nil"/>
            </w:tcBorders>
            <w:shd w:val="clear" w:color="auto" w:fill="auto"/>
            <w:noWrap/>
            <w:vAlign w:val="bottom"/>
            <w:hideMark/>
          </w:tcPr>
          <w:p w14:paraId="3BBA1A75" w14:textId="77777777" w:rsidR="00916D6E" w:rsidRPr="00386D58" w:rsidRDefault="00916D6E">
            <w:pPr>
              <w:jc w:val="right"/>
              <w:rPr>
                <w:color w:val="000000"/>
              </w:rPr>
            </w:pPr>
            <w:r w:rsidRPr="00386D58">
              <w:rPr>
                <w:color w:val="000000"/>
              </w:rPr>
              <w:t>100</w:t>
            </w:r>
          </w:p>
        </w:tc>
        <w:tc>
          <w:tcPr>
            <w:tcW w:w="1094" w:type="dxa"/>
            <w:tcBorders>
              <w:top w:val="nil"/>
              <w:left w:val="nil"/>
              <w:bottom w:val="nil"/>
              <w:right w:val="nil"/>
            </w:tcBorders>
            <w:shd w:val="clear" w:color="auto" w:fill="auto"/>
            <w:noWrap/>
            <w:vAlign w:val="bottom"/>
            <w:hideMark/>
          </w:tcPr>
          <w:p w14:paraId="6D95DE88" w14:textId="77777777" w:rsidR="00916D6E" w:rsidRPr="00386D58" w:rsidRDefault="00916D6E" w:rsidP="00386D58">
            <w:pPr>
              <w:rPr>
                <w:color w:val="000000"/>
              </w:rPr>
            </w:pPr>
            <w:r w:rsidRPr="00386D58">
              <w:rPr>
                <w:color w:val="000000"/>
              </w:rPr>
              <w:t xml:space="preserve"> </w:t>
            </w:r>
            <w:proofErr w:type="gramStart"/>
            <w:r w:rsidRPr="00386D58">
              <w:rPr>
                <w:color w:val="000000"/>
              </w:rPr>
              <w:t>$  77.54</w:t>
            </w:r>
            <w:proofErr w:type="gramEnd"/>
            <w:r w:rsidRPr="00386D58">
              <w:rPr>
                <w:color w:val="000000"/>
              </w:rPr>
              <w:t xml:space="preserve"> </w:t>
            </w:r>
          </w:p>
        </w:tc>
        <w:tc>
          <w:tcPr>
            <w:tcW w:w="242" w:type="dxa"/>
            <w:tcBorders>
              <w:top w:val="nil"/>
              <w:left w:val="nil"/>
              <w:bottom w:val="nil"/>
              <w:right w:val="nil"/>
            </w:tcBorders>
            <w:shd w:val="clear" w:color="auto" w:fill="auto"/>
            <w:noWrap/>
            <w:vAlign w:val="bottom"/>
            <w:hideMark/>
          </w:tcPr>
          <w:p w14:paraId="29870B0F" w14:textId="77777777" w:rsidR="00916D6E" w:rsidRPr="00386D58" w:rsidRDefault="00916D6E">
            <w:pPr>
              <w:rPr>
                <w:color w:val="000000"/>
              </w:rPr>
            </w:pPr>
          </w:p>
        </w:tc>
        <w:tc>
          <w:tcPr>
            <w:tcW w:w="1570" w:type="dxa"/>
            <w:tcBorders>
              <w:top w:val="nil"/>
              <w:left w:val="nil"/>
              <w:bottom w:val="nil"/>
              <w:right w:val="nil"/>
            </w:tcBorders>
            <w:shd w:val="clear" w:color="auto" w:fill="auto"/>
            <w:noWrap/>
            <w:vAlign w:val="bottom"/>
            <w:hideMark/>
          </w:tcPr>
          <w:p w14:paraId="3CBFF778" w14:textId="77777777" w:rsidR="00916D6E" w:rsidRPr="00386D58" w:rsidRDefault="00916D6E" w:rsidP="00F35DB3">
            <w:pPr>
              <w:rPr>
                <w:color w:val="000000"/>
              </w:rPr>
            </w:pPr>
            <w:r w:rsidRPr="00386D58">
              <w:rPr>
                <w:color w:val="000000"/>
              </w:rPr>
              <w:t xml:space="preserve"> $          82.12 </w:t>
            </w:r>
          </w:p>
        </w:tc>
        <w:tc>
          <w:tcPr>
            <w:tcW w:w="1319" w:type="dxa"/>
            <w:tcBorders>
              <w:top w:val="nil"/>
              <w:left w:val="nil"/>
              <w:bottom w:val="nil"/>
              <w:right w:val="nil"/>
            </w:tcBorders>
            <w:shd w:val="clear" w:color="auto" w:fill="auto"/>
            <w:noWrap/>
            <w:vAlign w:val="bottom"/>
            <w:hideMark/>
          </w:tcPr>
          <w:p w14:paraId="2B859933" w14:textId="77777777" w:rsidR="00916D6E" w:rsidRPr="00386D58" w:rsidRDefault="00916D6E" w:rsidP="00F35DB3">
            <w:pPr>
              <w:rPr>
                <w:color w:val="000000"/>
              </w:rPr>
            </w:pPr>
            <w:r w:rsidRPr="00386D58">
              <w:rPr>
                <w:color w:val="000000"/>
              </w:rPr>
              <w:t xml:space="preserve"> $        4.58 </w:t>
            </w:r>
          </w:p>
        </w:tc>
        <w:tc>
          <w:tcPr>
            <w:tcW w:w="1163" w:type="dxa"/>
            <w:tcBorders>
              <w:top w:val="nil"/>
              <w:left w:val="nil"/>
              <w:bottom w:val="nil"/>
              <w:right w:val="nil"/>
            </w:tcBorders>
            <w:shd w:val="clear" w:color="auto" w:fill="auto"/>
            <w:noWrap/>
            <w:vAlign w:val="bottom"/>
            <w:hideMark/>
          </w:tcPr>
          <w:p w14:paraId="3F5314DE" w14:textId="77777777" w:rsidR="00916D6E" w:rsidRPr="00386D58" w:rsidRDefault="00916D6E">
            <w:pPr>
              <w:jc w:val="right"/>
              <w:rPr>
                <w:color w:val="000000"/>
              </w:rPr>
            </w:pPr>
            <w:r w:rsidRPr="00386D58">
              <w:rPr>
                <w:color w:val="000000"/>
              </w:rPr>
              <w:t>5.91%</w:t>
            </w:r>
          </w:p>
        </w:tc>
        <w:tc>
          <w:tcPr>
            <w:tcW w:w="242" w:type="dxa"/>
            <w:tcBorders>
              <w:top w:val="nil"/>
              <w:left w:val="nil"/>
              <w:bottom w:val="nil"/>
              <w:right w:val="nil"/>
            </w:tcBorders>
            <w:shd w:val="clear" w:color="auto" w:fill="auto"/>
            <w:noWrap/>
            <w:vAlign w:val="bottom"/>
            <w:hideMark/>
          </w:tcPr>
          <w:p w14:paraId="71544C3B" w14:textId="77777777" w:rsidR="00916D6E" w:rsidRPr="00386D58" w:rsidRDefault="00916D6E">
            <w:pPr>
              <w:rPr>
                <w:color w:val="000000"/>
              </w:rPr>
            </w:pPr>
          </w:p>
        </w:tc>
        <w:tc>
          <w:tcPr>
            <w:tcW w:w="1637" w:type="dxa"/>
            <w:tcBorders>
              <w:top w:val="nil"/>
              <w:left w:val="nil"/>
              <w:bottom w:val="nil"/>
              <w:right w:val="nil"/>
            </w:tcBorders>
            <w:shd w:val="clear" w:color="auto" w:fill="auto"/>
            <w:noWrap/>
            <w:vAlign w:val="bottom"/>
            <w:hideMark/>
          </w:tcPr>
          <w:p w14:paraId="49FD6D7E" w14:textId="77777777" w:rsidR="00916D6E" w:rsidRPr="00386D58" w:rsidRDefault="00916D6E" w:rsidP="00F35DB3">
            <w:pPr>
              <w:rPr>
                <w:color w:val="000000"/>
              </w:rPr>
            </w:pPr>
            <w:r w:rsidRPr="00386D58">
              <w:rPr>
                <w:color w:val="000000"/>
              </w:rPr>
              <w:t xml:space="preserve"> $           91.81 </w:t>
            </w:r>
          </w:p>
        </w:tc>
        <w:tc>
          <w:tcPr>
            <w:tcW w:w="1163" w:type="dxa"/>
            <w:tcBorders>
              <w:top w:val="nil"/>
              <w:left w:val="nil"/>
              <w:bottom w:val="nil"/>
              <w:right w:val="nil"/>
            </w:tcBorders>
            <w:shd w:val="clear" w:color="auto" w:fill="auto"/>
            <w:noWrap/>
            <w:vAlign w:val="bottom"/>
            <w:hideMark/>
          </w:tcPr>
          <w:p w14:paraId="1A5E5092" w14:textId="77777777" w:rsidR="00916D6E" w:rsidRPr="00386D58" w:rsidRDefault="00916D6E" w:rsidP="00F35DB3">
            <w:pPr>
              <w:rPr>
                <w:color w:val="000000"/>
              </w:rPr>
            </w:pPr>
            <w:r w:rsidRPr="00386D58">
              <w:rPr>
                <w:color w:val="000000"/>
              </w:rPr>
              <w:t xml:space="preserve"> $   14.27 </w:t>
            </w:r>
          </w:p>
        </w:tc>
        <w:tc>
          <w:tcPr>
            <w:tcW w:w="1163" w:type="dxa"/>
            <w:tcBorders>
              <w:top w:val="nil"/>
              <w:left w:val="nil"/>
              <w:bottom w:val="nil"/>
              <w:right w:val="nil"/>
            </w:tcBorders>
            <w:shd w:val="clear" w:color="auto" w:fill="auto"/>
            <w:noWrap/>
            <w:vAlign w:val="bottom"/>
            <w:hideMark/>
          </w:tcPr>
          <w:p w14:paraId="2F45A3B1" w14:textId="77777777" w:rsidR="00916D6E" w:rsidRPr="00386D58" w:rsidRDefault="00916D6E">
            <w:pPr>
              <w:jc w:val="right"/>
              <w:rPr>
                <w:color w:val="000000"/>
              </w:rPr>
            </w:pPr>
            <w:r w:rsidRPr="00386D58">
              <w:rPr>
                <w:color w:val="000000"/>
              </w:rPr>
              <w:t>18.40%</w:t>
            </w:r>
          </w:p>
        </w:tc>
      </w:tr>
      <w:tr w:rsidR="00916D6E" w14:paraId="5B80F1FE" w14:textId="77777777" w:rsidTr="00D31239">
        <w:trPr>
          <w:trHeight w:val="369"/>
        </w:trPr>
        <w:tc>
          <w:tcPr>
            <w:tcW w:w="2114" w:type="dxa"/>
            <w:tcBorders>
              <w:top w:val="nil"/>
              <w:left w:val="nil"/>
              <w:bottom w:val="nil"/>
              <w:right w:val="nil"/>
            </w:tcBorders>
            <w:shd w:val="clear" w:color="auto" w:fill="auto"/>
            <w:noWrap/>
            <w:vAlign w:val="bottom"/>
            <w:hideMark/>
          </w:tcPr>
          <w:p w14:paraId="736D9FB7" w14:textId="77777777" w:rsidR="00916D6E" w:rsidRPr="00386D58" w:rsidRDefault="00916D6E">
            <w:pPr>
              <w:jc w:val="right"/>
              <w:rPr>
                <w:color w:val="000000"/>
              </w:rPr>
            </w:pPr>
            <w:r w:rsidRPr="00386D58">
              <w:rPr>
                <w:color w:val="000000"/>
              </w:rPr>
              <w:t>150</w:t>
            </w:r>
          </w:p>
        </w:tc>
        <w:tc>
          <w:tcPr>
            <w:tcW w:w="1094" w:type="dxa"/>
            <w:tcBorders>
              <w:top w:val="nil"/>
              <w:left w:val="nil"/>
              <w:bottom w:val="nil"/>
              <w:right w:val="nil"/>
            </w:tcBorders>
            <w:shd w:val="clear" w:color="auto" w:fill="auto"/>
            <w:noWrap/>
            <w:vAlign w:val="bottom"/>
            <w:hideMark/>
          </w:tcPr>
          <w:p w14:paraId="4F951FF2" w14:textId="77777777" w:rsidR="00916D6E" w:rsidRPr="00386D58" w:rsidRDefault="00916D6E" w:rsidP="00386D58">
            <w:pPr>
              <w:rPr>
                <w:color w:val="000000"/>
              </w:rPr>
            </w:pPr>
            <w:r w:rsidRPr="00386D58">
              <w:rPr>
                <w:color w:val="000000"/>
              </w:rPr>
              <w:t xml:space="preserve"> $101.81 </w:t>
            </w:r>
          </w:p>
        </w:tc>
        <w:tc>
          <w:tcPr>
            <w:tcW w:w="242" w:type="dxa"/>
            <w:tcBorders>
              <w:top w:val="nil"/>
              <w:left w:val="nil"/>
              <w:bottom w:val="nil"/>
              <w:right w:val="nil"/>
            </w:tcBorders>
            <w:shd w:val="clear" w:color="auto" w:fill="auto"/>
            <w:noWrap/>
            <w:vAlign w:val="bottom"/>
            <w:hideMark/>
          </w:tcPr>
          <w:p w14:paraId="26F7797B" w14:textId="77777777" w:rsidR="00916D6E" w:rsidRPr="00386D58" w:rsidRDefault="00916D6E">
            <w:pPr>
              <w:rPr>
                <w:color w:val="000000"/>
              </w:rPr>
            </w:pPr>
          </w:p>
        </w:tc>
        <w:tc>
          <w:tcPr>
            <w:tcW w:w="1570" w:type="dxa"/>
            <w:tcBorders>
              <w:top w:val="nil"/>
              <w:left w:val="nil"/>
              <w:bottom w:val="nil"/>
              <w:right w:val="nil"/>
            </w:tcBorders>
            <w:shd w:val="clear" w:color="auto" w:fill="auto"/>
            <w:noWrap/>
            <w:vAlign w:val="bottom"/>
            <w:hideMark/>
          </w:tcPr>
          <w:p w14:paraId="7EFC331B" w14:textId="77777777" w:rsidR="00916D6E" w:rsidRPr="00386D58" w:rsidRDefault="00916D6E" w:rsidP="00F35DB3">
            <w:pPr>
              <w:rPr>
                <w:color w:val="000000"/>
              </w:rPr>
            </w:pPr>
            <w:r w:rsidRPr="00386D58">
              <w:rPr>
                <w:color w:val="000000"/>
              </w:rPr>
              <w:t xml:space="preserve"> $        105.93 </w:t>
            </w:r>
          </w:p>
        </w:tc>
        <w:tc>
          <w:tcPr>
            <w:tcW w:w="1319" w:type="dxa"/>
            <w:tcBorders>
              <w:top w:val="nil"/>
              <w:left w:val="nil"/>
              <w:bottom w:val="nil"/>
              <w:right w:val="nil"/>
            </w:tcBorders>
            <w:shd w:val="clear" w:color="auto" w:fill="auto"/>
            <w:noWrap/>
            <w:vAlign w:val="bottom"/>
            <w:hideMark/>
          </w:tcPr>
          <w:p w14:paraId="2C418154" w14:textId="77777777" w:rsidR="00916D6E" w:rsidRPr="00386D58" w:rsidRDefault="00916D6E" w:rsidP="00F35DB3">
            <w:pPr>
              <w:rPr>
                <w:color w:val="000000"/>
              </w:rPr>
            </w:pPr>
            <w:r w:rsidRPr="00386D58">
              <w:rPr>
                <w:color w:val="000000"/>
              </w:rPr>
              <w:t xml:space="preserve"> $        4.12 </w:t>
            </w:r>
          </w:p>
        </w:tc>
        <w:tc>
          <w:tcPr>
            <w:tcW w:w="1163" w:type="dxa"/>
            <w:tcBorders>
              <w:top w:val="nil"/>
              <w:left w:val="nil"/>
              <w:bottom w:val="nil"/>
              <w:right w:val="nil"/>
            </w:tcBorders>
            <w:shd w:val="clear" w:color="auto" w:fill="auto"/>
            <w:noWrap/>
            <w:vAlign w:val="bottom"/>
            <w:hideMark/>
          </w:tcPr>
          <w:p w14:paraId="680B4A5B" w14:textId="77777777" w:rsidR="00916D6E" w:rsidRPr="00386D58" w:rsidRDefault="00916D6E">
            <w:pPr>
              <w:jc w:val="right"/>
              <w:rPr>
                <w:color w:val="000000"/>
              </w:rPr>
            </w:pPr>
            <w:r w:rsidRPr="00386D58">
              <w:rPr>
                <w:color w:val="000000"/>
              </w:rPr>
              <w:t>4.05%</w:t>
            </w:r>
          </w:p>
        </w:tc>
        <w:tc>
          <w:tcPr>
            <w:tcW w:w="242" w:type="dxa"/>
            <w:tcBorders>
              <w:top w:val="nil"/>
              <w:left w:val="nil"/>
              <w:bottom w:val="nil"/>
              <w:right w:val="nil"/>
            </w:tcBorders>
            <w:shd w:val="clear" w:color="auto" w:fill="auto"/>
            <w:noWrap/>
            <w:vAlign w:val="bottom"/>
            <w:hideMark/>
          </w:tcPr>
          <w:p w14:paraId="143072E8" w14:textId="77777777" w:rsidR="00916D6E" w:rsidRPr="00386D58" w:rsidRDefault="00916D6E">
            <w:pPr>
              <w:rPr>
                <w:color w:val="000000"/>
              </w:rPr>
            </w:pPr>
          </w:p>
        </w:tc>
        <w:tc>
          <w:tcPr>
            <w:tcW w:w="1637" w:type="dxa"/>
            <w:tcBorders>
              <w:top w:val="nil"/>
              <w:left w:val="nil"/>
              <w:bottom w:val="nil"/>
              <w:right w:val="nil"/>
            </w:tcBorders>
            <w:shd w:val="clear" w:color="auto" w:fill="auto"/>
            <w:noWrap/>
            <w:vAlign w:val="bottom"/>
            <w:hideMark/>
          </w:tcPr>
          <w:p w14:paraId="21B4ECB3" w14:textId="77777777" w:rsidR="00916D6E" w:rsidRPr="00386D58" w:rsidRDefault="00916D6E" w:rsidP="00916D6E">
            <w:pPr>
              <w:rPr>
                <w:color w:val="000000"/>
              </w:rPr>
            </w:pPr>
            <w:r w:rsidRPr="00386D58">
              <w:rPr>
                <w:color w:val="000000"/>
              </w:rPr>
              <w:t xml:space="preserve"> $         128.07 </w:t>
            </w:r>
          </w:p>
        </w:tc>
        <w:tc>
          <w:tcPr>
            <w:tcW w:w="1163" w:type="dxa"/>
            <w:tcBorders>
              <w:top w:val="nil"/>
              <w:left w:val="nil"/>
              <w:bottom w:val="nil"/>
              <w:right w:val="nil"/>
            </w:tcBorders>
            <w:shd w:val="clear" w:color="auto" w:fill="auto"/>
            <w:noWrap/>
            <w:vAlign w:val="bottom"/>
            <w:hideMark/>
          </w:tcPr>
          <w:p w14:paraId="34E94E45" w14:textId="77777777" w:rsidR="00916D6E" w:rsidRPr="00386D58" w:rsidRDefault="00916D6E" w:rsidP="00F35DB3">
            <w:pPr>
              <w:rPr>
                <w:color w:val="000000"/>
              </w:rPr>
            </w:pPr>
            <w:r w:rsidRPr="00386D58">
              <w:rPr>
                <w:color w:val="000000"/>
              </w:rPr>
              <w:t xml:space="preserve"> $   26.26 </w:t>
            </w:r>
          </w:p>
        </w:tc>
        <w:tc>
          <w:tcPr>
            <w:tcW w:w="1163" w:type="dxa"/>
            <w:tcBorders>
              <w:top w:val="nil"/>
              <w:left w:val="nil"/>
              <w:bottom w:val="nil"/>
              <w:right w:val="nil"/>
            </w:tcBorders>
            <w:shd w:val="clear" w:color="auto" w:fill="auto"/>
            <w:noWrap/>
            <w:vAlign w:val="bottom"/>
            <w:hideMark/>
          </w:tcPr>
          <w:p w14:paraId="756C6C3A" w14:textId="77777777" w:rsidR="00916D6E" w:rsidRPr="00386D58" w:rsidRDefault="00916D6E">
            <w:pPr>
              <w:jc w:val="right"/>
              <w:rPr>
                <w:color w:val="000000"/>
              </w:rPr>
            </w:pPr>
            <w:r w:rsidRPr="00386D58">
              <w:rPr>
                <w:color w:val="000000"/>
              </w:rPr>
              <w:t>25.79%</w:t>
            </w:r>
          </w:p>
        </w:tc>
      </w:tr>
      <w:tr w:rsidR="00916D6E" w14:paraId="50C504D8" w14:textId="77777777" w:rsidTr="00D31239">
        <w:trPr>
          <w:trHeight w:val="369"/>
        </w:trPr>
        <w:tc>
          <w:tcPr>
            <w:tcW w:w="2114" w:type="dxa"/>
            <w:tcBorders>
              <w:top w:val="nil"/>
              <w:left w:val="nil"/>
              <w:bottom w:val="nil"/>
              <w:right w:val="nil"/>
            </w:tcBorders>
            <w:shd w:val="clear" w:color="auto" w:fill="auto"/>
            <w:noWrap/>
            <w:vAlign w:val="bottom"/>
            <w:hideMark/>
          </w:tcPr>
          <w:p w14:paraId="7CD0801A" w14:textId="77777777" w:rsidR="00916D6E" w:rsidRPr="00386D58" w:rsidRDefault="00916D6E" w:rsidP="00386D58">
            <w:pPr>
              <w:rPr>
                <w:color w:val="000000"/>
              </w:rPr>
            </w:pPr>
          </w:p>
        </w:tc>
        <w:tc>
          <w:tcPr>
            <w:tcW w:w="1094" w:type="dxa"/>
            <w:tcBorders>
              <w:top w:val="nil"/>
              <w:left w:val="nil"/>
              <w:bottom w:val="nil"/>
              <w:right w:val="nil"/>
            </w:tcBorders>
            <w:shd w:val="clear" w:color="auto" w:fill="auto"/>
            <w:noWrap/>
            <w:vAlign w:val="bottom"/>
            <w:hideMark/>
          </w:tcPr>
          <w:p w14:paraId="65CF55B0" w14:textId="77777777" w:rsidR="00916D6E" w:rsidRPr="00386D58" w:rsidRDefault="00916D6E">
            <w:pPr>
              <w:rPr>
                <w:color w:val="000000"/>
              </w:rPr>
            </w:pPr>
          </w:p>
        </w:tc>
        <w:tc>
          <w:tcPr>
            <w:tcW w:w="242" w:type="dxa"/>
            <w:tcBorders>
              <w:top w:val="nil"/>
              <w:left w:val="nil"/>
              <w:bottom w:val="nil"/>
              <w:right w:val="nil"/>
            </w:tcBorders>
            <w:shd w:val="clear" w:color="auto" w:fill="auto"/>
            <w:noWrap/>
            <w:vAlign w:val="bottom"/>
            <w:hideMark/>
          </w:tcPr>
          <w:p w14:paraId="5E171EAC" w14:textId="77777777" w:rsidR="00916D6E" w:rsidRPr="00386D58" w:rsidRDefault="00916D6E">
            <w:pPr>
              <w:rPr>
                <w:color w:val="000000"/>
              </w:rPr>
            </w:pPr>
          </w:p>
        </w:tc>
        <w:tc>
          <w:tcPr>
            <w:tcW w:w="1570" w:type="dxa"/>
            <w:tcBorders>
              <w:top w:val="nil"/>
              <w:left w:val="nil"/>
              <w:bottom w:val="nil"/>
              <w:right w:val="nil"/>
            </w:tcBorders>
            <w:shd w:val="clear" w:color="auto" w:fill="auto"/>
            <w:noWrap/>
            <w:vAlign w:val="bottom"/>
            <w:hideMark/>
          </w:tcPr>
          <w:p w14:paraId="38008F3E" w14:textId="77777777" w:rsidR="00916D6E" w:rsidRPr="00386D58" w:rsidRDefault="00916D6E">
            <w:pPr>
              <w:rPr>
                <w:color w:val="000000"/>
              </w:rPr>
            </w:pPr>
          </w:p>
        </w:tc>
        <w:tc>
          <w:tcPr>
            <w:tcW w:w="1319" w:type="dxa"/>
            <w:tcBorders>
              <w:top w:val="nil"/>
              <w:left w:val="nil"/>
              <w:bottom w:val="nil"/>
              <w:right w:val="nil"/>
            </w:tcBorders>
            <w:shd w:val="clear" w:color="auto" w:fill="auto"/>
            <w:noWrap/>
            <w:vAlign w:val="bottom"/>
            <w:hideMark/>
          </w:tcPr>
          <w:p w14:paraId="08840070"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4B118408" w14:textId="77777777" w:rsidR="00916D6E" w:rsidRPr="00386D58" w:rsidRDefault="00916D6E">
            <w:pPr>
              <w:rPr>
                <w:color w:val="000000"/>
              </w:rPr>
            </w:pPr>
          </w:p>
        </w:tc>
        <w:tc>
          <w:tcPr>
            <w:tcW w:w="242" w:type="dxa"/>
            <w:tcBorders>
              <w:top w:val="nil"/>
              <w:left w:val="nil"/>
              <w:bottom w:val="nil"/>
              <w:right w:val="nil"/>
            </w:tcBorders>
            <w:shd w:val="clear" w:color="auto" w:fill="auto"/>
            <w:noWrap/>
            <w:vAlign w:val="bottom"/>
            <w:hideMark/>
          </w:tcPr>
          <w:p w14:paraId="7A02FB59" w14:textId="77777777" w:rsidR="00916D6E" w:rsidRPr="00386D58" w:rsidRDefault="00916D6E">
            <w:pPr>
              <w:rPr>
                <w:color w:val="000000"/>
              </w:rPr>
            </w:pPr>
          </w:p>
        </w:tc>
        <w:tc>
          <w:tcPr>
            <w:tcW w:w="1637" w:type="dxa"/>
            <w:tcBorders>
              <w:top w:val="nil"/>
              <w:left w:val="nil"/>
              <w:bottom w:val="nil"/>
              <w:right w:val="nil"/>
            </w:tcBorders>
            <w:shd w:val="clear" w:color="auto" w:fill="auto"/>
            <w:noWrap/>
            <w:vAlign w:val="bottom"/>
            <w:hideMark/>
          </w:tcPr>
          <w:p w14:paraId="5F717A5E"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1F705DDD" w14:textId="77777777" w:rsidR="00916D6E" w:rsidRPr="00386D58" w:rsidRDefault="00916D6E">
            <w:pPr>
              <w:rPr>
                <w:color w:val="000000"/>
              </w:rPr>
            </w:pPr>
          </w:p>
        </w:tc>
        <w:tc>
          <w:tcPr>
            <w:tcW w:w="1163" w:type="dxa"/>
            <w:tcBorders>
              <w:top w:val="nil"/>
              <w:left w:val="nil"/>
              <w:bottom w:val="nil"/>
              <w:right w:val="nil"/>
            </w:tcBorders>
            <w:shd w:val="clear" w:color="auto" w:fill="auto"/>
            <w:noWrap/>
            <w:vAlign w:val="bottom"/>
            <w:hideMark/>
          </w:tcPr>
          <w:p w14:paraId="34CDA879" w14:textId="77777777" w:rsidR="00916D6E" w:rsidRPr="00386D58" w:rsidRDefault="00916D6E">
            <w:pPr>
              <w:rPr>
                <w:color w:val="000000"/>
              </w:rPr>
            </w:pPr>
          </w:p>
        </w:tc>
      </w:tr>
    </w:tbl>
    <w:p w14:paraId="3157B8F9" w14:textId="77777777" w:rsidR="00C57E6A" w:rsidRDefault="00386D58" w:rsidP="00D31239">
      <w:pPr>
        <w:spacing w:line="480" w:lineRule="auto"/>
        <w:rPr>
          <w:rFonts w:asciiTheme="majorBidi" w:hAnsiTheme="majorBidi" w:cstheme="majorBidi"/>
          <w:bCs/>
          <w:iCs/>
        </w:rPr>
      </w:pPr>
      <w:r>
        <w:rPr>
          <w:rFonts w:asciiTheme="majorBidi" w:hAnsiTheme="majorBidi" w:cstheme="majorBidi"/>
          <w:bCs/>
          <w:iCs/>
        </w:rPr>
        <w:t>*32.86 - $18.37 = $14.49 Converted to a volumetric charge.</w:t>
      </w:r>
      <w:r w:rsidR="00035BB7">
        <w:rPr>
          <w:rFonts w:asciiTheme="majorBidi" w:hAnsiTheme="majorBidi" w:cstheme="majorBidi"/>
          <w:bCs/>
          <w:iCs/>
        </w:rPr>
        <w:t xml:space="preserve"> (Does not include any additional DRR, CEP, or tax credits</w:t>
      </w:r>
      <w:r w:rsidR="009E5F58">
        <w:rPr>
          <w:rFonts w:asciiTheme="majorBidi" w:hAnsiTheme="majorBidi" w:cstheme="majorBidi"/>
          <w:bCs/>
          <w:iCs/>
        </w:rPr>
        <w:t>)</w:t>
      </w:r>
      <w:r w:rsidR="00035BB7">
        <w:rPr>
          <w:rFonts w:asciiTheme="majorBidi" w:hAnsiTheme="majorBidi" w:cstheme="majorBidi"/>
          <w:bCs/>
          <w:iCs/>
        </w:rPr>
        <w:t>.</w:t>
      </w:r>
      <w:r w:rsidR="00F47166">
        <w:rPr>
          <w:rFonts w:asciiTheme="majorBidi" w:hAnsiTheme="majorBidi" w:cstheme="majorBidi"/>
          <w:bCs/>
          <w:iCs/>
        </w:rPr>
        <w:br w:type="page"/>
      </w:r>
    </w:p>
    <w:tbl>
      <w:tblPr>
        <w:tblW w:w="8193" w:type="dxa"/>
        <w:tblInd w:w="93" w:type="dxa"/>
        <w:tblLook w:val="04A0" w:firstRow="1" w:lastRow="0" w:firstColumn="1" w:lastColumn="0" w:noHBand="0" w:noVBand="1"/>
      </w:tblPr>
      <w:tblGrid>
        <w:gridCol w:w="2962"/>
        <w:gridCol w:w="1669"/>
        <w:gridCol w:w="1584"/>
        <w:gridCol w:w="1978"/>
      </w:tblGrid>
      <w:tr w:rsidR="00547259" w14:paraId="6644A954" w14:textId="77777777" w:rsidTr="00775B5D">
        <w:trPr>
          <w:trHeight w:val="417"/>
        </w:trPr>
        <w:tc>
          <w:tcPr>
            <w:tcW w:w="2962" w:type="dxa"/>
            <w:tcBorders>
              <w:top w:val="nil"/>
              <w:left w:val="nil"/>
              <w:bottom w:val="nil"/>
              <w:right w:val="nil"/>
            </w:tcBorders>
            <w:shd w:val="clear" w:color="auto" w:fill="auto"/>
            <w:noWrap/>
            <w:vAlign w:val="bottom"/>
            <w:hideMark/>
          </w:tcPr>
          <w:p w14:paraId="0D5FEE85" w14:textId="77777777" w:rsidR="00C57E6A" w:rsidRPr="00C57E6A" w:rsidRDefault="00C57E6A" w:rsidP="00FB5B21">
            <w:pPr>
              <w:rPr>
                <w:color w:val="000000"/>
              </w:rPr>
            </w:pPr>
            <w:r w:rsidRPr="00C57E6A">
              <w:rPr>
                <w:color w:val="000000"/>
              </w:rPr>
              <w:lastRenderedPageBreak/>
              <w:t xml:space="preserve">Table </w:t>
            </w:r>
            <w:proofErr w:type="gramStart"/>
            <w:r w:rsidR="00FB5B21">
              <w:rPr>
                <w:color w:val="000000"/>
              </w:rPr>
              <w:t xml:space="preserve">3 </w:t>
            </w:r>
            <w:r w:rsidRPr="00C57E6A">
              <w:rPr>
                <w:color w:val="000000"/>
              </w:rPr>
              <w:t xml:space="preserve"> Vectren</w:t>
            </w:r>
            <w:proofErr w:type="gramEnd"/>
            <w:r w:rsidRPr="00C57E6A">
              <w:rPr>
                <w:color w:val="000000"/>
              </w:rPr>
              <w:t xml:space="preserve"> Typical Residential Bill Including Fuel</w:t>
            </w:r>
            <w:r w:rsidR="00FB5B21">
              <w:rPr>
                <w:color w:val="000000"/>
              </w:rPr>
              <w:t>*</w:t>
            </w:r>
          </w:p>
        </w:tc>
        <w:tc>
          <w:tcPr>
            <w:tcW w:w="1669" w:type="dxa"/>
            <w:tcBorders>
              <w:top w:val="nil"/>
              <w:left w:val="nil"/>
              <w:bottom w:val="nil"/>
              <w:right w:val="nil"/>
            </w:tcBorders>
            <w:shd w:val="clear" w:color="auto" w:fill="auto"/>
            <w:noWrap/>
            <w:vAlign w:val="bottom"/>
            <w:hideMark/>
          </w:tcPr>
          <w:p w14:paraId="344E116D" w14:textId="77777777" w:rsidR="00C57E6A" w:rsidRPr="00C57E6A" w:rsidRDefault="00C57E6A">
            <w:pPr>
              <w:rPr>
                <w:color w:val="000000"/>
              </w:rPr>
            </w:pPr>
            <w:r w:rsidRPr="00C57E6A">
              <w:rPr>
                <w:color w:val="000000"/>
              </w:rPr>
              <w:t>Potential</w:t>
            </w:r>
          </w:p>
        </w:tc>
        <w:tc>
          <w:tcPr>
            <w:tcW w:w="1584" w:type="dxa"/>
            <w:tcBorders>
              <w:top w:val="nil"/>
              <w:left w:val="nil"/>
              <w:bottom w:val="nil"/>
              <w:right w:val="nil"/>
            </w:tcBorders>
            <w:shd w:val="clear" w:color="auto" w:fill="auto"/>
            <w:noWrap/>
            <w:vAlign w:val="bottom"/>
            <w:hideMark/>
          </w:tcPr>
          <w:p w14:paraId="31FF4369" w14:textId="77777777" w:rsidR="00C57E6A" w:rsidRPr="00C57E6A" w:rsidRDefault="00FB5B21">
            <w:pPr>
              <w:rPr>
                <w:color w:val="000000"/>
              </w:rPr>
            </w:pPr>
            <w:r>
              <w:rPr>
                <w:color w:val="000000"/>
              </w:rPr>
              <w:t>Increase</w:t>
            </w:r>
          </w:p>
        </w:tc>
        <w:tc>
          <w:tcPr>
            <w:tcW w:w="1978" w:type="dxa"/>
            <w:tcBorders>
              <w:top w:val="nil"/>
              <w:left w:val="nil"/>
              <w:bottom w:val="nil"/>
              <w:right w:val="nil"/>
            </w:tcBorders>
            <w:shd w:val="clear" w:color="auto" w:fill="auto"/>
            <w:noWrap/>
            <w:vAlign w:val="bottom"/>
            <w:hideMark/>
          </w:tcPr>
          <w:p w14:paraId="28C9F18E" w14:textId="77777777" w:rsidR="00C57E6A" w:rsidRPr="00C57E6A" w:rsidRDefault="00FB5B21">
            <w:pPr>
              <w:rPr>
                <w:color w:val="000000"/>
              </w:rPr>
            </w:pPr>
            <w:r>
              <w:rPr>
                <w:color w:val="000000"/>
              </w:rPr>
              <w:t>Percentage</w:t>
            </w:r>
          </w:p>
        </w:tc>
      </w:tr>
      <w:tr w:rsidR="00C57E6A" w14:paraId="39FE3B77" w14:textId="77777777" w:rsidTr="002D6A6C">
        <w:trPr>
          <w:trHeight w:val="417"/>
        </w:trPr>
        <w:tc>
          <w:tcPr>
            <w:tcW w:w="2962" w:type="dxa"/>
            <w:tcBorders>
              <w:top w:val="nil"/>
              <w:left w:val="nil"/>
              <w:bottom w:val="nil"/>
              <w:right w:val="nil"/>
            </w:tcBorders>
            <w:shd w:val="clear" w:color="auto" w:fill="auto"/>
            <w:noWrap/>
            <w:vAlign w:val="bottom"/>
            <w:hideMark/>
          </w:tcPr>
          <w:p w14:paraId="7320E610" w14:textId="77777777" w:rsidR="00C57E6A" w:rsidRPr="00C57E6A" w:rsidRDefault="00C57E6A">
            <w:pPr>
              <w:rPr>
                <w:color w:val="000000"/>
              </w:rPr>
            </w:pPr>
          </w:p>
        </w:tc>
        <w:tc>
          <w:tcPr>
            <w:tcW w:w="3252" w:type="dxa"/>
            <w:gridSpan w:val="2"/>
            <w:tcBorders>
              <w:top w:val="nil"/>
              <w:left w:val="nil"/>
              <w:bottom w:val="nil"/>
              <w:right w:val="nil"/>
            </w:tcBorders>
            <w:shd w:val="clear" w:color="auto" w:fill="auto"/>
            <w:noWrap/>
            <w:vAlign w:val="bottom"/>
            <w:hideMark/>
          </w:tcPr>
          <w:p w14:paraId="5026D8E4" w14:textId="77777777" w:rsidR="00C57E6A" w:rsidRPr="00C57E6A" w:rsidRDefault="00C57E6A">
            <w:pPr>
              <w:rPr>
                <w:color w:val="000000"/>
              </w:rPr>
            </w:pPr>
            <w:r w:rsidRPr="00C57E6A">
              <w:rPr>
                <w:color w:val="000000"/>
              </w:rPr>
              <w:t xml:space="preserve">Proposed </w:t>
            </w:r>
          </w:p>
        </w:tc>
        <w:tc>
          <w:tcPr>
            <w:tcW w:w="1978" w:type="dxa"/>
            <w:tcBorders>
              <w:top w:val="nil"/>
              <w:left w:val="nil"/>
              <w:bottom w:val="nil"/>
              <w:right w:val="nil"/>
            </w:tcBorders>
            <w:shd w:val="clear" w:color="auto" w:fill="auto"/>
            <w:noWrap/>
            <w:vAlign w:val="bottom"/>
            <w:hideMark/>
          </w:tcPr>
          <w:p w14:paraId="7D5B7E03" w14:textId="77777777" w:rsidR="00C57E6A" w:rsidRPr="00C57E6A" w:rsidRDefault="00FB5B21">
            <w:pPr>
              <w:rPr>
                <w:color w:val="000000"/>
              </w:rPr>
            </w:pPr>
            <w:r>
              <w:rPr>
                <w:color w:val="000000"/>
              </w:rPr>
              <w:t>Increase</w:t>
            </w:r>
          </w:p>
        </w:tc>
      </w:tr>
      <w:tr w:rsidR="00C57E6A" w14:paraId="5906A7A1" w14:textId="77777777" w:rsidTr="002D6A6C">
        <w:trPr>
          <w:trHeight w:val="417"/>
        </w:trPr>
        <w:tc>
          <w:tcPr>
            <w:tcW w:w="2962" w:type="dxa"/>
            <w:tcBorders>
              <w:top w:val="nil"/>
              <w:left w:val="nil"/>
              <w:bottom w:val="nil"/>
              <w:right w:val="nil"/>
            </w:tcBorders>
            <w:shd w:val="clear" w:color="auto" w:fill="auto"/>
            <w:noWrap/>
            <w:vAlign w:val="bottom"/>
            <w:hideMark/>
          </w:tcPr>
          <w:p w14:paraId="693C202A" w14:textId="77777777" w:rsidR="00C57E6A" w:rsidRPr="00C57E6A" w:rsidRDefault="00C57E6A">
            <w:pPr>
              <w:rPr>
                <w:color w:val="000000"/>
              </w:rPr>
            </w:pPr>
          </w:p>
        </w:tc>
        <w:tc>
          <w:tcPr>
            <w:tcW w:w="3252" w:type="dxa"/>
            <w:gridSpan w:val="2"/>
            <w:tcBorders>
              <w:top w:val="nil"/>
              <w:left w:val="nil"/>
              <w:bottom w:val="nil"/>
              <w:right w:val="nil"/>
            </w:tcBorders>
            <w:shd w:val="clear" w:color="auto" w:fill="auto"/>
            <w:noWrap/>
            <w:vAlign w:val="bottom"/>
            <w:hideMark/>
          </w:tcPr>
          <w:p w14:paraId="42AAE697" w14:textId="77777777" w:rsidR="00C57E6A" w:rsidRPr="00C57E6A" w:rsidRDefault="00C57E6A">
            <w:pPr>
              <w:rPr>
                <w:color w:val="000000"/>
              </w:rPr>
            </w:pPr>
            <w:r w:rsidRPr="00C57E6A">
              <w:rPr>
                <w:color w:val="000000"/>
              </w:rPr>
              <w:t>Settlement</w:t>
            </w:r>
          </w:p>
        </w:tc>
        <w:tc>
          <w:tcPr>
            <w:tcW w:w="1978" w:type="dxa"/>
            <w:tcBorders>
              <w:top w:val="nil"/>
              <w:left w:val="nil"/>
              <w:bottom w:val="nil"/>
              <w:right w:val="nil"/>
            </w:tcBorders>
            <w:shd w:val="clear" w:color="auto" w:fill="auto"/>
            <w:noWrap/>
            <w:vAlign w:val="bottom"/>
            <w:hideMark/>
          </w:tcPr>
          <w:p w14:paraId="315D07F2" w14:textId="77777777" w:rsidR="00C57E6A" w:rsidRPr="00C57E6A" w:rsidRDefault="00C57E6A">
            <w:pPr>
              <w:rPr>
                <w:color w:val="000000"/>
              </w:rPr>
            </w:pPr>
          </w:p>
        </w:tc>
      </w:tr>
      <w:tr w:rsidR="00C57E6A" w14:paraId="29E2DC79" w14:textId="77777777" w:rsidTr="002D6A6C">
        <w:trPr>
          <w:trHeight w:val="417"/>
        </w:trPr>
        <w:tc>
          <w:tcPr>
            <w:tcW w:w="2962" w:type="dxa"/>
            <w:tcBorders>
              <w:top w:val="nil"/>
              <w:left w:val="nil"/>
              <w:bottom w:val="nil"/>
              <w:right w:val="nil"/>
            </w:tcBorders>
            <w:shd w:val="clear" w:color="auto" w:fill="auto"/>
            <w:noWrap/>
            <w:vAlign w:val="bottom"/>
            <w:hideMark/>
          </w:tcPr>
          <w:p w14:paraId="6F59A7B9" w14:textId="77777777" w:rsidR="00C57E6A" w:rsidRPr="00C57E6A" w:rsidRDefault="00C57E6A">
            <w:pPr>
              <w:rPr>
                <w:color w:val="000000"/>
              </w:rPr>
            </w:pPr>
          </w:p>
        </w:tc>
        <w:tc>
          <w:tcPr>
            <w:tcW w:w="3252" w:type="dxa"/>
            <w:gridSpan w:val="2"/>
            <w:tcBorders>
              <w:top w:val="nil"/>
              <w:left w:val="nil"/>
              <w:bottom w:val="nil"/>
              <w:right w:val="nil"/>
            </w:tcBorders>
            <w:shd w:val="clear" w:color="auto" w:fill="auto"/>
            <w:noWrap/>
            <w:vAlign w:val="bottom"/>
            <w:hideMark/>
          </w:tcPr>
          <w:p w14:paraId="5D84550C" w14:textId="77777777" w:rsidR="00C57E6A" w:rsidRPr="00C57E6A" w:rsidRDefault="00C57E6A">
            <w:pPr>
              <w:rPr>
                <w:color w:val="000000"/>
              </w:rPr>
            </w:pPr>
            <w:r w:rsidRPr="00C57E6A">
              <w:rPr>
                <w:color w:val="000000"/>
              </w:rPr>
              <w:t>Final Year</w:t>
            </w:r>
          </w:p>
        </w:tc>
        <w:tc>
          <w:tcPr>
            <w:tcW w:w="1978" w:type="dxa"/>
            <w:tcBorders>
              <w:top w:val="nil"/>
              <w:left w:val="nil"/>
              <w:bottom w:val="nil"/>
              <w:right w:val="nil"/>
            </w:tcBorders>
            <w:shd w:val="clear" w:color="auto" w:fill="auto"/>
            <w:noWrap/>
            <w:vAlign w:val="bottom"/>
            <w:hideMark/>
          </w:tcPr>
          <w:p w14:paraId="38BF9C7B" w14:textId="77777777" w:rsidR="00C57E6A" w:rsidRPr="00C57E6A" w:rsidRDefault="00C57E6A">
            <w:pPr>
              <w:rPr>
                <w:color w:val="000000"/>
              </w:rPr>
            </w:pPr>
          </w:p>
        </w:tc>
      </w:tr>
      <w:tr w:rsidR="00C57E6A" w14:paraId="40E4D818" w14:textId="77777777" w:rsidTr="002D6A6C">
        <w:trPr>
          <w:trHeight w:val="417"/>
        </w:trPr>
        <w:tc>
          <w:tcPr>
            <w:tcW w:w="2962" w:type="dxa"/>
            <w:tcBorders>
              <w:top w:val="nil"/>
              <w:left w:val="nil"/>
              <w:bottom w:val="nil"/>
              <w:right w:val="nil"/>
            </w:tcBorders>
            <w:shd w:val="clear" w:color="auto" w:fill="auto"/>
            <w:noWrap/>
            <w:vAlign w:val="bottom"/>
            <w:hideMark/>
          </w:tcPr>
          <w:p w14:paraId="7F30D3DD" w14:textId="77777777" w:rsidR="00C57E6A" w:rsidRPr="00C57E6A" w:rsidRDefault="00C57E6A">
            <w:pPr>
              <w:rPr>
                <w:color w:val="000000"/>
              </w:rPr>
            </w:pPr>
            <w:r w:rsidRPr="00C57E6A">
              <w:rPr>
                <w:color w:val="000000"/>
              </w:rPr>
              <w:t>Customer Charge</w:t>
            </w:r>
          </w:p>
        </w:tc>
        <w:tc>
          <w:tcPr>
            <w:tcW w:w="1669" w:type="dxa"/>
            <w:tcBorders>
              <w:top w:val="nil"/>
              <w:left w:val="nil"/>
              <w:bottom w:val="nil"/>
              <w:right w:val="nil"/>
            </w:tcBorders>
            <w:shd w:val="clear" w:color="auto" w:fill="auto"/>
            <w:noWrap/>
            <w:vAlign w:val="bottom"/>
            <w:hideMark/>
          </w:tcPr>
          <w:p w14:paraId="0F3CB12F" w14:textId="77777777" w:rsidR="00C57E6A" w:rsidRPr="00C57E6A" w:rsidRDefault="00C57E6A" w:rsidP="00C57E6A">
            <w:pPr>
              <w:rPr>
                <w:color w:val="000000"/>
              </w:rPr>
            </w:pPr>
            <w:r w:rsidRPr="00C57E6A">
              <w:rPr>
                <w:color w:val="000000"/>
              </w:rPr>
              <w:t xml:space="preserve"> </w:t>
            </w:r>
            <w:proofErr w:type="gramStart"/>
            <w:r w:rsidRPr="00C57E6A">
              <w:rPr>
                <w:color w:val="000000"/>
              </w:rPr>
              <w:t>$  32.86</w:t>
            </w:r>
            <w:proofErr w:type="gramEnd"/>
            <w:r w:rsidRPr="00C57E6A">
              <w:rPr>
                <w:color w:val="000000"/>
              </w:rPr>
              <w:t xml:space="preserve"> </w:t>
            </w:r>
          </w:p>
        </w:tc>
        <w:tc>
          <w:tcPr>
            <w:tcW w:w="1584" w:type="dxa"/>
            <w:tcBorders>
              <w:top w:val="nil"/>
              <w:left w:val="nil"/>
              <w:bottom w:val="nil"/>
              <w:right w:val="nil"/>
            </w:tcBorders>
            <w:shd w:val="clear" w:color="auto" w:fill="auto"/>
            <w:noWrap/>
            <w:vAlign w:val="bottom"/>
            <w:hideMark/>
          </w:tcPr>
          <w:p w14:paraId="26662122" w14:textId="77777777" w:rsidR="00C57E6A" w:rsidRPr="00C57E6A" w:rsidRDefault="00C57E6A">
            <w:pPr>
              <w:rPr>
                <w:color w:val="000000"/>
              </w:rPr>
            </w:pPr>
          </w:p>
        </w:tc>
        <w:tc>
          <w:tcPr>
            <w:tcW w:w="1978" w:type="dxa"/>
            <w:tcBorders>
              <w:top w:val="nil"/>
              <w:left w:val="nil"/>
              <w:bottom w:val="nil"/>
              <w:right w:val="nil"/>
            </w:tcBorders>
            <w:shd w:val="clear" w:color="auto" w:fill="auto"/>
            <w:noWrap/>
            <w:vAlign w:val="bottom"/>
            <w:hideMark/>
          </w:tcPr>
          <w:p w14:paraId="3711CCA6" w14:textId="77777777" w:rsidR="00C57E6A" w:rsidRPr="00C57E6A" w:rsidRDefault="00C57E6A">
            <w:pPr>
              <w:rPr>
                <w:color w:val="000000"/>
              </w:rPr>
            </w:pPr>
          </w:p>
        </w:tc>
      </w:tr>
      <w:tr w:rsidR="00C57E6A" w14:paraId="4B07ECA4" w14:textId="77777777" w:rsidTr="002D6A6C">
        <w:trPr>
          <w:trHeight w:val="417"/>
        </w:trPr>
        <w:tc>
          <w:tcPr>
            <w:tcW w:w="2962" w:type="dxa"/>
            <w:tcBorders>
              <w:top w:val="nil"/>
              <w:left w:val="nil"/>
              <w:bottom w:val="nil"/>
              <w:right w:val="nil"/>
            </w:tcBorders>
            <w:shd w:val="clear" w:color="auto" w:fill="auto"/>
            <w:noWrap/>
            <w:vAlign w:val="bottom"/>
            <w:hideMark/>
          </w:tcPr>
          <w:p w14:paraId="2642D7C1" w14:textId="77777777" w:rsidR="00C57E6A" w:rsidRPr="00C57E6A" w:rsidRDefault="00C57E6A">
            <w:pPr>
              <w:rPr>
                <w:color w:val="000000"/>
              </w:rPr>
            </w:pPr>
            <w:r w:rsidRPr="00C57E6A">
              <w:rPr>
                <w:color w:val="000000"/>
              </w:rPr>
              <w:t>DRR</w:t>
            </w:r>
          </w:p>
        </w:tc>
        <w:tc>
          <w:tcPr>
            <w:tcW w:w="1669" w:type="dxa"/>
            <w:tcBorders>
              <w:top w:val="nil"/>
              <w:left w:val="nil"/>
              <w:bottom w:val="nil"/>
              <w:right w:val="nil"/>
            </w:tcBorders>
            <w:shd w:val="clear" w:color="auto" w:fill="auto"/>
            <w:noWrap/>
            <w:vAlign w:val="bottom"/>
            <w:hideMark/>
          </w:tcPr>
          <w:p w14:paraId="6D5BC214" w14:textId="77777777" w:rsidR="00C57E6A" w:rsidRPr="00C57E6A" w:rsidRDefault="00C57E6A" w:rsidP="00C57E6A">
            <w:pPr>
              <w:rPr>
                <w:color w:val="000000"/>
              </w:rPr>
            </w:pPr>
            <w:r w:rsidRPr="00C57E6A">
              <w:rPr>
                <w:color w:val="000000"/>
              </w:rPr>
              <w:t xml:space="preserve"> </w:t>
            </w:r>
            <w:proofErr w:type="gramStart"/>
            <w:r w:rsidRPr="00C57E6A">
              <w:rPr>
                <w:color w:val="000000"/>
              </w:rPr>
              <w:t>$  13.75</w:t>
            </w:r>
            <w:proofErr w:type="gramEnd"/>
            <w:r w:rsidRPr="00C57E6A">
              <w:rPr>
                <w:color w:val="000000"/>
              </w:rPr>
              <w:t xml:space="preserve"> </w:t>
            </w:r>
          </w:p>
        </w:tc>
        <w:tc>
          <w:tcPr>
            <w:tcW w:w="1584" w:type="dxa"/>
            <w:tcBorders>
              <w:top w:val="nil"/>
              <w:left w:val="nil"/>
              <w:bottom w:val="nil"/>
              <w:right w:val="nil"/>
            </w:tcBorders>
            <w:shd w:val="clear" w:color="auto" w:fill="auto"/>
            <w:noWrap/>
            <w:vAlign w:val="bottom"/>
            <w:hideMark/>
          </w:tcPr>
          <w:p w14:paraId="74317798" w14:textId="77777777" w:rsidR="00C57E6A" w:rsidRPr="00C57E6A" w:rsidRDefault="00C57E6A">
            <w:pPr>
              <w:rPr>
                <w:color w:val="000000"/>
              </w:rPr>
            </w:pPr>
          </w:p>
        </w:tc>
        <w:tc>
          <w:tcPr>
            <w:tcW w:w="1978" w:type="dxa"/>
            <w:tcBorders>
              <w:top w:val="nil"/>
              <w:left w:val="nil"/>
              <w:bottom w:val="nil"/>
              <w:right w:val="nil"/>
            </w:tcBorders>
            <w:shd w:val="clear" w:color="auto" w:fill="auto"/>
            <w:noWrap/>
            <w:vAlign w:val="bottom"/>
            <w:hideMark/>
          </w:tcPr>
          <w:p w14:paraId="28C5E5A6" w14:textId="77777777" w:rsidR="00C57E6A" w:rsidRPr="00C57E6A" w:rsidRDefault="00C57E6A">
            <w:pPr>
              <w:rPr>
                <w:color w:val="000000"/>
              </w:rPr>
            </w:pPr>
          </w:p>
        </w:tc>
      </w:tr>
      <w:tr w:rsidR="00C57E6A" w14:paraId="04830C64" w14:textId="77777777" w:rsidTr="002D6A6C">
        <w:trPr>
          <w:trHeight w:val="417"/>
        </w:trPr>
        <w:tc>
          <w:tcPr>
            <w:tcW w:w="2962" w:type="dxa"/>
            <w:tcBorders>
              <w:top w:val="nil"/>
              <w:left w:val="nil"/>
              <w:bottom w:val="nil"/>
              <w:right w:val="nil"/>
            </w:tcBorders>
            <w:shd w:val="clear" w:color="auto" w:fill="auto"/>
            <w:noWrap/>
            <w:vAlign w:val="bottom"/>
            <w:hideMark/>
          </w:tcPr>
          <w:p w14:paraId="0A0E3988" w14:textId="77777777" w:rsidR="00C57E6A" w:rsidRPr="00C57E6A" w:rsidRDefault="00C57E6A">
            <w:pPr>
              <w:rPr>
                <w:color w:val="000000"/>
              </w:rPr>
            </w:pPr>
            <w:r w:rsidRPr="00C57E6A">
              <w:rPr>
                <w:color w:val="000000"/>
              </w:rPr>
              <w:t>CEP</w:t>
            </w:r>
          </w:p>
        </w:tc>
        <w:tc>
          <w:tcPr>
            <w:tcW w:w="1669" w:type="dxa"/>
            <w:tcBorders>
              <w:top w:val="nil"/>
              <w:left w:val="nil"/>
              <w:bottom w:val="nil"/>
              <w:right w:val="nil"/>
            </w:tcBorders>
            <w:shd w:val="clear" w:color="auto" w:fill="auto"/>
            <w:noWrap/>
            <w:vAlign w:val="bottom"/>
            <w:hideMark/>
          </w:tcPr>
          <w:p w14:paraId="5EC1C3BC" w14:textId="77777777" w:rsidR="00C57E6A" w:rsidRPr="00C57E6A" w:rsidRDefault="00C57E6A" w:rsidP="00C57E6A">
            <w:pPr>
              <w:rPr>
                <w:color w:val="000000"/>
              </w:rPr>
            </w:pPr>
            <w:r w:rsidRPr="00C57E6A">
              <w:rPr>
                <w:color w:val="000000"/>
              </w:rPr>
              <w:t xml:space="preserve"> $    1.50 </w:t>
            </w:r>
          </w:p>
        </w:tc>
        <w:tc>
          <w:tcPr>
            <w:tcW w:w="1584" w:type="dxa"/>
            <w:tcBorders>
              <w:top w:val="nil"/>
              <w:left w:val="nil"/>
              <w:bottom w:val="nil"/>
              <w:right w:val="nil"/>
            </w:tcBorders>
            <w:shd w:val="clear" w:color="auto" w:fill="auto"/>
            <w:noWrap/>
            <w:vAlign w:val="bottom"/>
            <w:hideMark/>
          </w:tcPr>
          <w:p w14:paraId="4A7EFF61" w14:textId="77777777" w:rsidR="00C57E6A" w:rsidRPr="00C57E6A" w:rsidRDefault="00C57E6A">
            <w:pPr>
              <w:rPr>
                <w:color w:val="000000"/>
              </w:rPr>
            </w:pPr>
          </w:p>
        </w:tc>
        <w:tc>
          <w:tcPr>
            <w:tcW w:w="1978" w:type="dxa"/>
            <w:tcBorders>
              <w:top w:val="nil"/>
              <w:left w:val="nil"/>
              <w:bottom w:val="nil"/>
              <w:right w:val="nil"/>
            </w:tcBorders>
            <w:shd w:val="clear" w:color="auto" w:fill="auto"/>
            <w:noWrap/>
            <w:vAlign w:val="bottom"/>
            <w:hideMark/>
          </w:tcPr>
          <w:p w14:paraId="0517FE4A" w14:textId="77777777" w:rsidR="00C57E6A" w:rsidRPr="00C57E6A" w:rsidRDefault="00C57E6A">
            <w:pPr>
              <w:rPr>
                <w:color w:val="000000"/>
              </w:rPr>
            </w:pPr>
          </w:p>
        </w:tc>
      </w:tr>
      <w:tr w:rsidR="00C57E6A" w14:paraId="4811D049" w14:textId="77777777" w:rsidTr="002D6A6C">
        <w:trPr>
          <w:trHeight w:val="417"/>
        </w:trPr>
        <w:tc>
          <w:tcPr>
            <w:tcW w:w="2962" w:type="dxa"/>
            <w:tcBorders>
              <w:top w:val="nil"/>
              <w:left w:val="nil"/>
              <w:bottom w:val="nil"/>
              <w:right w:val="nil"/>
            </w:tcBorders>
            <w:shd w:val="clear" w:color="auto" w:fill="auto"/>
            <w:noWrap/>
            <w:vAlign w:val="bottom"/>
            <w:hideMark/>
          </w:tcPr>
          <w:p w14:paraId="327F11F3" w14:textId="77777777" w:rsidR="00C57E6A" w:rsidRPr="00C57E6A" w:rsidRDefault="00C57E6A">
            <w:pPr>
              <w:rPr>
                <w:color w:val="000000"/>
              </w:rPr>
            </w:pPr>
            <w:r w:rsidRPr="00C57E6A">
              <w:rPr>
                <w:color w:val="000000"/>
              </w:rPr>
              <w:t>Total Fixed Charge</w:t>
            </w:r>
          </w:p>
        </w:tc>
        <w:tc>
          <w:tcPr>
            <w:tcW w:w="1669" w:type="dxa"/>
            <w:tcBorders>
              <w:top w:val="nil"/>
              <w:left w:val="nil"/>
              <w:bottom w:val="nil"/>
              <w:right w:val="nil"/>
            </w:tcBorders>
            <w:shd w:val="clear" w:color="auto" w:fill="auto"/>
            <w:noWrap/>
            <w:vAlign w:val="bottom"/>
            <w:hideMark/>
          </w:tcPr>
          <w:p w14:paraId="4FE064E7" w14:textId="77777777" w:rsidR="00C57E6A" w:rsidRPr="00C57E6A" w:rsidRDefault="00C57E6A" w:rsidP="00C57E6A">
            <w:pPr>
              <w:rPr>
                <w:color w:val="000000"/>
              </w:rPr>
            </w:pPr>
            <w:r w:rsidRPr="00C57E6A">
              <w:rPr>
                <w:color w:val="000000"/>
              </w:rPr>
              <w:t xml:space="preserve"> </w:t>
            </w:r>
            <w:proofErr w:type="gramStart"/>
            <w:r w:rsidRPr="00C57E6A">
              <w:rPr>
                <w:color w:val="000000"/>
              </w:rPr>
              <w:t>$  48.11</w:t>
            </w:r>
            <w:proofErr w:type="gramEnd"/>
            <w:r w:rsidRPr="00C57E6A">
              <w:rPr>
                <w:color w:val="000000"/>
              </w:rPr>
              <w:t xml:space="preserve"> </w:t>
            </w:r>
          </w:p>
        </w:tc>
        <w:tc>
          <w:tcPr>
            <w:tcW w:w="1584" w:type="dxa"/>
            <w:tcBorders>
              <w:top w:val="nil"/>
              <w:left w:val="nil"/>
              <w:bottom w:val="nil"/>
              <w:right w:val="nil"/>
            </w:tcBorders>
            <w:shd w:val="clear" w:color="auto" w:fill="auto"/>
            <w:noWrap/>
            <w:vAlign w:val="bottom"/>
            <w:hideMark/>
          </w:tcPr>
          <w:p w14:paraId="6E8BD2A6" w14:textId="77777777" w:rsidR="00C57E6A" w:rsidRPr="00C57E6A" w:rsidRDefault="00C57E6A">
            <w:pPr>
              <w:rPr>
                <w:color w:val="000000"/>
              </w:rPr>
            </w:pPr>
          </w:p>
        </w:tc>
        <w:tc>
          <w:tcPr>
            <w:tcW w:w="1978" w:type="dxa"/>
            <w:tcBorders>
              <w:top w:val="nil"/>
              <w:left w:val="nil"/>
              <w:bottom w:val="nil"/>
              <w:right w:val="nil"/>
            </w:tcBorders>
            <w:shd w:val="clear" w:color="auto" w:fill="auto"/>
            <w:noWrap/>
            <w:vAlign w:val="bottom"/>
            <w:hideMark/>
          </w:tcPr>
          <w:p w14:paraId="051D1741" w14:textId="77777777" w:rsidR="00C57E6A" w:rsidRPr="00C57E6A" w:rsidRDefault="00C57E6A">
            <w:pPr>
              <w:rPr>
                <w:color w:val="000000"/>
              </w:rPr>
            </w:pPr>
          </w:p>
        </w:tc>
      </w:tr>
      <w:tr w:rsidR="00C57E6A" w14:paraId="7AFDD6F2" w14:textId="77777777" w:rsidTr="002D6A6C">
        <w:trPr>
          <w:trHeight w:val="417"/>
        </w:trPr>
        <w:tc>
          <w:tcPr>
            <w:tcW w:w="2962" w:type="dxa"/>
            <w:tcBorders>
              <w:top w:val="nil"/>
              <w:left w:val="nil"/>
              <w:bottom w:val="nil"/>
              <w:right w:val="nil"/>
            </w:tcBorders>
            <w:shd w:val="clear" w:color="auto" w:fill="auto"/>
            <w:noWrap/>
            <w:vAlign w:val="bottom"/>
            <w:hideMark/>
          </w:tcPr>
          <w:p w14:paraId="6E7058C8" w14:textId="77777777" w:rsidR="00C57E6A" w:rsidRPr="00C57E6A" w:rsidRDefault="00C57E6A">
            <w:pPr>
              <w:rPr>
                <w:color w:val="000000"/>
              </w:rPr>
            </w:pPr>
            <w:r w:rsidRPr="00C57E6A">
              <w:rPr>
                <w:color w:val="000000"/>
              </w:rPr>
              <w:t>CCF Usage</w:t>
            </w:r>
          </w:p>
        </w:tc>
        <w:tc>
          <w:tcPr>
            <w:tcW w:w="1669" w:type="dxa"/>
            <w:tcBorders>
              <w:top w:val="nil"/>
              <w:left w:val="nil"/>
              <w:bottom w:val="nil"/>
              <w:right w:val="nil"/>
            </w:tcBorders>
            <w:shd w:val="clear" w:color="auto" w:fill="auto"/>
            <w:noWrap/>
            <w:vAlign w:val="bottom"/>
            <w:hideMark/>
          </w:tcPr>
          <w:p w14:paraId="670AEFCF" w14:textId="77777777" w:rsidR="00C57E6A" w:rsidRPr="00C57E6A" w:rsidRDefault="00C57E6A">
            <w:pPr>
              <w:rPr>
                <w:color w:val="000000"/>
              </w:rPr>
            </w:pPr>
          </w:p>
        </w:tc>
        <w:tc>
          <w:tcPr>
            <w:tcW w:w="1584" w:type="dxa"/>
            <w:tcBorders>
              <w:top w:val="nil"/>
              <w:left w:val="nil"/>
              <w:bottom w:val="nil"/>
              <w:right w:val="nil"/>
            </w:tcBorders>
            <w:shd w:val="clear" w:color="auto" w:fill="auto"/>
            <w:noWrap/>
            <w:vAlign w:val="bottom"/>
            <w:hideMark/>
          </w:tcPr>
          <w:p w14:paraId="299EBB7B" w14:textId="77777777" w:rsidR="00C57E6A" w:rsidRPr="00C57E6A" w:rsidRDefault="00C57E6A">
            <w:pPr>
              <w:rPr>
                <w:color w:val="000000"/>
              </w:rPr>
            </w:pPr>
          </w:p>
        </w:tc>
        <w:tc>
          <w:tcPr>
            <w:tcW w:w="1978" w:type="dxa"/>
            <w:tcBorders>
              <w:top w:val="nil"/>
              <w:left w:val="nil"/>
              <w:bottom w:val="nil"/>
              <w:right w:val="nil"/>
            </w:tcBorders>
            <w:shd w:val="clear" w:color="auto" w:fill="auto"/>
            <w:noWrap/>
            <w:vAlign w:val="bottom"/>
            <w:hideMark/>
          </w:tcPr>
          <w:p w14:paraId="498B2B02" w14:textId="77777777" w:rsidR="00C57E6A" w:rsidRPr="00C57E6A" w:rsidRDefault="00C57E6A">
            <w:pPr>
              <w:rPr>
                <w:color w:val="000000"/>
              </w:rPr>
            </w:pPr>
          </w:p>
        </w:tc>
      </w:tr>
      <w:tr w:rsidR="00C57E6A" w14:paraId="427EE4B4" w14:textId="77777777" w:rsidTr="002D6A6C">
        <w:trPr>
          <w:trHeight w:val="417"/>
        </w:trPr>
        <w:tc>
          <w:tcPr>
            <w:tcW w:w="2962" w:type="dxa"/>
            <w:tcBorders>
              <w:top w:val="nil"/>
              <w:left w:val="nil"/>
              <w:bottom w:val="nil"/>
              <w:right w:val="nil"/>
            </w:tcBorders>
            <w:shd w:val="clear" w:color="auto" w:fill="auto"/>
            <w:noWrap/>
            <w:vAlign w:val="bottom"/>
            <w:hideMark/>
          </w:tcPr>
          <w:p w14:paraId="772BFF57" w14:textId="77777777" w:rsidR="00C57E6A" w:rsidRPr="00C57E6A" w:rsidRDefault="00C57E6A">
            <w:pPr>
              <w:jc w:val="right"/>
              <w:rPr>
                <w:color w:val="000000"/>
              </w:rPr>
            </w:pPr>
            <w:r w:rsidRPr="00C57E6A">
              <w:rPr>
                <w:color w:val="000000"/>
              </w:rPr>
              <w:t>0</w:t>
            </w:r>
          </w:p>
        </w:tc>
        <w:tc>
          <w:tcPr>
            <w:tcW w:w="1669" w:type="dxa"/>
            <w:tcBorders>
              <w:top w:val="nil"/>
              <w:left w:val="nil"/>
              <w:bottom w:val="nil"/>
              <w:right w:val="nil"/>
            </w:tcBorders>
            <w:shd w:val="clear" w:color="auto" w:fill="auto"/>
            <w:noWrap/>
            <w:vAlign w:val="bottom"/>
            <w:hideMark/>
          </w:tcPr>
          <w:p w14:paraId="6DEFAF81" w14:textId="77777777" w:rsidR="00C57E6A" w:rsidRPr="00C57E6A" w:rsidRDefault="00C57E6A" w:rsidP="00C57E6A">
            <w:pPr>
              <w:rPr>
                <w:color w:val="000000"/>
              </w:rPr>
            </w:pPr>
            <w:r w:rsidRPr="00C57E6A">
              <w:rPr>
                <w:color w:val="000000"/>
              </w:rPr>
              <w:t xml:space="preserve"> </w:t>
            </w:r>
            <w:proofErr w:type="gramStart"/>
            <w:r w:rsidRPr="00C57E6A">
              <w:rPr>
                <w:color w:val="000000"/>
              </w:rPr>
              <w:t>$  50.51</w:t>
            </w:r>
            <w:proofErr w:type="gramEnd"/>
            <w:r w:rsidRPr="00C57E6A">
              <w:rPr>
                <w:color w:val="000000"/>
              </w:rPr>
              <w:t xml:space="preserve"> </w:t>
            </w:r>
          </w:p>
        </w:tc>
        <w:tc>
          <w:tcPr>
            <w:tcW w:w="1584" w:type="dxa"/>
            <w:tcBorders>
              <w:top w:val="nil"/>
              <w:left w:val="nil"/>
              <w:bottom w:val="nil"/>
              <w:right w:val="nil"/>
            </w:tcBorders>
            <w:shd w:val="clear" w:color="auto" w:fill="auto"/>
            <w:noWrap/>
            <w:vAlign w:val="bottom"/>
            <w:hideMark/>
          </w:tcPr>
          <w:p w14:paraId="1F2CCE4B" w14:textId="77777777" w:rsidR="00C57E6A" w:rsidRPr="00C57E6A" w:rsidRDefault="00C57E6A" w:rsidP="00C57E6A">
            <w:pPr>
              <w:rPr>
                <w:color w:val="000000"/>
              </w:rPr>
            </w:pPr>
            <w:r w:rsidRPr="00C57E6A">
              <w:rPr>
                <w:color w:val="000000"/>
              </w:rPr>
              <w:t xml:space="preserve"> $21.51 </w:t>
            </w:r>
          </w:p>
        </w:tc>
        <w:tc>
          <w:tcPr>
            <w:tcW w:w="1978" w:type="dxa"/>
            <w:tcBorders>
              <w:top w:val="nil"/>
              <w:left w:val="nil"/>
              <w:bottom w:val="nil"/>
              <w:right w:val="nil"/>
            </w:tcBorders>
            <w:shd w:val="clear" w:color="auto" w:fill="auto"/>
            <w:noWrap/>
            <w:vAlign w:val="bottom"/>
            <w:hideMark/>
          </w:tcPr>
          <w:p w14:paraId="14F2D26A" w14:textId="77777777" w:rsidR="00C57E6A" w:rsidRPr="00C57E6A" w:rsidRDefault="00C57E6A" w:rsidP="002D6A6C">
            <w:pPr>
              <w:jc w:val="center"/>
              <w:rPr>
                <w:color w:val="000000"/>
              </w:rPr>
            </w:pPr>
            <w:r w:rsidRPr="00C57E6A">
              <w:rPr>
                <w:color w:val="000000"/>
              </w:rPr>
              <w:t>74.17%</w:t>
            </w:r>
          </w:p>
        </w:tc>
      </w:tr>
      <w:tr w:rsidR="00C57E6A" w14:paraId="23C0D88F" w14:textId="77777777" w:rsidTr="002D6A6C">
        <w:trPr>
          <w:trHeight w:val="417"/>
        </w:trPr>
        <w:tc>
          <w:tcPr>
            <w:tcW w:w="2962" w:type="dxa"/>
            <w:tcBorders>
              <w:top w:val="nil"/>
              <w:left w:val="nil"/>
              <w:bottom w:val="nil"/>
              <w:right w:val="nil"/>
            </w:tcBorders>
            <w:shd w:val="clear" w:color="auto" w:fill="auto"/>
            <w:noWrap/>
            <w:vAlign w:val="bottom"/>
            <w:hideMark/>
          </w:tcPr>
          <w:p w14:paraId="1918B013" w14:textId="77777777" w:rsidR="00C57E6A" w:rsidRPr="00C57E6A" w:rsidRDefault="00C57E6A">
            <w:pPr>
              <w:jc w:val="right"/>
              <w:rPr>
                <w:color w:val="000000"/>
              </w:rPr>
            </w:pPr>
            <w:r w:rsidRPr="00C57E6A">
              <w:rPr>
                <w:color w:val="000000"/>
              </w:rPr>
              <w:t>25</w:t>
            </w:r>
          </w:p>
        </w:tc>
        <w:tc>
          <w:tcPr>
            <w:tcW w:w="1669" w:type="dxa"/>
            <w:tcBorders>
              <w:top w:val="nil"/>
              <w:left w:val="nil"/>
              <w:bottom w:val="nil"/>
              <w:right w:val="nil"/>
            </w:tcBorders>
            <w:shd w:val="clear" w:color="auto" w:fill="auto"/>
            <w:noWrap/>
            <w:vAlign w:val="bottom"/>
            <w:hideMark/>
          </w:tcPr>
          <w:p w14:paraId="632784D8" w14:textId="77777777" w:rsidR="00C57E6A" w:rsidRPr="00C57E6A" w:rsidRDefault="00C57E6A" w:rsidP="00C57E6A">
            <w:pPr>
              <w:rPr>
                <w:color w:val="000000"/>
              </w:rPr>
            </w:pPr>
            <w:r w:rsidRPr="00C57E6A">
              <w:rPr>
                <w:color w:val="000000"/>
              </w:rPr>
              <w:t xml:space="preserve"> </w:t>
            </w:r>
            <w:proofErr w:type="gramStart"/>
            <w:r w:rsidRPr="00C57E6A">
              <w:rPr>
                <w:color w:val="000000"/>
              </w:rPr>
              <w:t>$  62.42</w:t>
            </w:r>
            <w:proofErr w:type="gramEnd"/>
            <w:r w:rsidRPr="00C57E6A">
              <w:rPr>
                <w:color w:val="000000"/>
              </w:rPr>
              <w:t xml:space="preserve"> </w:t>
            </w:r>
          </w:p>
        </w:tc>
        <w:tc>
          <w:tcPr>
            <w:tcW w:w="1584" w:type="dxa"/>
            <w:tcBorders>
              <w:top w:val="nil"/>
              <w:left w:val="nil"/>
              <w:bottom w:val="nil"/>
              <w:right w:val="nil"/>
            </w:tcBorders>
            <w:shd w:val="clear" w:color="auto" w:fill="auto"/>
            <w:noWrap/>
            <w:vAlign w:val="bottom"/>
            <w:hideMark/>
          </w:tcPr>
          <w:p w14:paraId="7E20384B" w14:textId="77777777" w:rsidR="00C57E6A" w:rsidRPr="00C57E6A" w:rsidRDefault="00C57E6A" w:rsidP="00C57E6A">
            <w:pPr>
              <w:rPr>
                <w:color w:val="000000"/>
              </w:rPr>
            </w:pPr>
            <w:r w:rsidRPr="00C57E6A">
              <w:rPr>
                <w:color w:val="000000"/>
              </w:rPr>
              <w:t xml:space="preserve"> $21.29 </w:t>
            </w:r>
          </w:p>
        </w:tc>
        <w:tc>
          <w:tcPr>
            <w:tcW w:w="1978" w:type="dxa"/>
            <w:tcBorders>
              <w:top w:val="nil"/>
              <w:left w:val="nil"/>
              <w:bottom w:val="nil"/>
              <w:right w:val="nil"/>
            </w:tcBorders>
            <w:shd w:val="clear" w:color="auto" w:fill="auto"/>
            <w:noWrap/>
            <w:vAlign w:val="bottom"/>
            <w:hideMark/>
          </w:tcPr>
          <w:p w14:paraId="351C8FAE" w14:textId="77777777" w:rsidR="00C57E6A" w:rsidRPr="00C57E6A" w:rsidRDefault="00C57E6A" w:rsidP="002D6A6C">
            <w:pPr>
              <w:jc w:val="center"/>
              <w:rPr>
                <w:color w:val="000000"/>
              </w:rPr>
            </w:pPr>
            <w:r w:rsidRPr="00C57E6A">
              <w:rPr>
                <w:color w:val="000000"/>
              </w:rPr>
              <w:t>51.76%</w:t>
            </w:r>
          </w:p>
        </w:tc>
      </w:tr>
      <w:tr w:rsidR="00C57E6A" w14:paraId="6958CA65" w14:textId="77777777" w:rsidTr="002D6A6C">
        <w:trPr>
          <w:trHeight w:val="417"/>
        </w:trPr>
        <w:tc>
          <w:tcPr>
            <w:tcW w:w="2962" w:type="dxa"/>
            <w:tcBorders>
              <w:top w:val="nil"/>
              <w:left w:val="nil"/>
              <w:bottom w:val="nil"/>
              <w:right w:val="nil"/>
            </w:tcBorders>
            <w:shd w:val="clear" w:color="auto" w:fill="auto"/>
            <w:noWrap/>
            <w:vAlign w:val="bottom"/>
            <w:hideMark/>
          </w:tcPr>
          <w:p w14:paraId="3840B154" w14:textId="77777777" w:rsidR="00C57E6A" w:rsidRPr="00C57E6A" w:rsidRDefault="00C57E6A">
            <w:pPr>
              <w:jc w:val="right"/>
              <w:rPr>
                <w:color w:val="000000"/>
              </w:rPr>
            </w:pPr>
            <w:r w:rsidRPr="00C57E6A">
              <w:rPr>
                <w:color w:val="000000"/>
              </w:rPr>
              <w:t>50</w:t>
            </w:r>
          </w:p>
        </w:tc>
        <w:tc>
          <w:tcPr>
            <w:tcW w:w="1669" w:type="dxa"/>
            <w:tcBorders>
              <w:top w:val="nil"/>
              <w:left w:val="nil"/>
              <w:bottom w:val="nil"/>
              <w:right w:val="nil"/>
            </w:tcBorders>
            <w:shd w:val="clear" w:color="auto" w:fill="auto"/>
            <w:noWrap/>
            <w:vAlign w:val="bottom"/>
            <w:hideMark/>
          </w:tcPr>
          <w:p w14:paraId="24DFB304" w14:textId="77777777" w:rsidR="00C57E6A" w:rsidRPr="00C57E6A" w:rsidRDefault="00C57E6A" w:rsidP="00C57E6A">
            <w:pPr>
              <w:rPr>
                <w:color w:val="000000"/>
              </w:rPr>
            </w:pPr>
            <w:r w:rsidRPr="00C57E6A">
              <w:rPr>
                <w:color w:val="000000"/>
              </w:rPr>
              <w:t xml:space="preserve"> </w:t>
            </w:r>
            <w:proofErr w:type="gramStart"/>
            <w:r w:rsidRPr="00C57E6A">
              <w:rPr>
                <w:color w:val="000000"/>
              </w:rPr>
              <w:t>$  74.32</w:t>
            </w:r>
            <w:proofErr w:type="gramEnd"/>
            <w:r w:rsidRPr="00C57E6A">
              <w:rPr>
                <w:color w:val="000000"/>
              </w:rPr>
              <w:t xml:space="preserve"> </w:t>
            </w:r>
          </w:p>
        </w:tc>
        <w:tc>
          <w:tcPr>
            <w:tcW w:w="1584" w:type="dxa"/>
            <w:tcBorders>
              <w:top w:val="nil"/>
              <w:left w:val="nil"/>
              <w:bottom w:val="nil"/>
              <w:right w:val="nil"/>
            </w:tcBorders>
            <w:shd w:val="clear" w:color="auto" w:fill="auto"/>
            <w:noWrap/>
            <w:vAlign w:val="bottom"/>
            <w:hideMark/>
          </w:tcPr>
          <w:p w14:paraId="34E36F94" w14:textId="77777777" w:rsidR="00C57E6A" w:rsidRPr="00C57E6A" w:rsidRDefault="00C57E6A" w:rsidP="00C57E6A">
            <w:pPr>
              <w:rPr>
                <w:color w:val="000000"/>
              </w:rPr>
            </w:pPr>
            <w:r w:rsidRPr="00C57E6A">
              <w:rPr>
                <w:color w:val="000000"/>
              </w:rPr>
              <w:t xml:space="preserve"> $21.05 </w:t>
            </w:r>
          </w:p>
        </w:tc>
        <w:tc>
          <w:tcPr>
            <w:tcW w:w="1978" w:type="dxa"/>
            <w:tcBorders>
              <w:top w:val="nil"/>
              <w:left w:val="nil"/>
              <w:bottom w:val="nil"/>
              <w:right w:val="nil"/>
            </w:tcBorders>
            <w:shd w:val="clear" w:color="auto" w:fill="auto"/>
            <w:noWrap/>
            <w:vAlign w:val="bottom"/>
            <w:hideMark/>
          </w:tcPr>
          <w:p w14:paraId="143C536A" w14:textId="77777777" w:rsidR="00C57E6A" w:rsidRPr="00C57E6A" w:rsidRDefault="00C57E6A" w:rsidP="002D6A6C">
            <w:pPr>
              <w:jc w:val="center"/>
              <w:rPr>
                <w:color w:val="000000"/>
              </w:rPr>
            </w:pPr>
            <w:r w:rsidRPr="00C57E6A">
              <w:rPr>
                <w:color w:val="000000"/>
              </w:rPr>
              <w:t>39.52%</w:t>
            </w:r>
          </w:p>
        </w:tc>
      </w:tr>
      <w:tr w:rsidR="00C57E6A" w14:paraId="1E14C28F" w14:textId="77777777" w:rsidTr="002D6A6C">
        <w:trPr>
          <w:trHeight w:val="417"/>
        </w:trPr>
        <w:tc>
          <w:tcPr>
            <w:tcW w:w="2962" w:type="dxa"/>
            <w:tcBorders>
              <w:top w:val="nil"/>
              <w:left w:val="nil"/>
              <w:bottom w:val="nil"/>
              <w:right w:val="nil"/>
            </w:tcBorders>
            <w:shd w:val="clear" w:color="auto" w:fill="auto"/>
            <w:noWrap/>
            <w:vAlign w:val="bottom"/>
            <w:hideMark/>
          </w:tcPr>
          <w:p w14:paraId="0E596A13" w14:textId="77777777" w:rsidR="00C57E6A" w:rsidRPr="00C57E6A" w:rsidRDefault="00C57E6A">
            <w:pPr>
              <w:rPr>
                <w:color w:val="000000"/>
              </w:rPr>
            </w:pPr>
            <w:r w:rsidRPr="00C57E6A">
              <w:rPr>
                <w:color w:val="000000"/>
              </w:rPr>
              <w:t>Average Usage 61.1</w:t>
            </w:r>
          </w:p>
        </w:tc>
        <w:tc>
          <w:tcPr>
            <w:tcW w:w="1669" w:type="dxa"/>
            <w:tcBorders>
              <w:top w:val="nil"/>
              <w:left w:val="nil"/>
              <w:bottom w:val="nil"/>
              <w:right w:val="nil"/>
            </w:tcBorders>
            <w:shd w:val="clear" w:color="auto" w:fill="auto"/>
            <w:noWrap/>
            <w:vAlign w:val="bottom"/>
            <w:hideMark/>
          </w:tcPr>
          <w:p w14:paraId="1747052A" w14:textId="77777777" w:rsidR="00C57E6A" w:rsidRPr="00C57E6A" w:rsidRDefault="00C57E6A" w:rsidP="00C57E6A">
            <w:pPr>
              <w:rPr>
                <w:color w:val="000000"/>
              </w:rPr>
            </w:pPr>
            <w:r w:rsidRPr="00C57E6A">
              <w:rPr>
                <w:color w:val="000000"/>
              </w:rPr>
              <w:t xml:space="preserve"> </w:t>
            </w:r>
            <w:proofErr w:type="gramStart"/>
            <w:r w:rsidRPr="00C57E6A">
              <w:rPr>
                <w:color w:val="000000"/>
              </w:rPr>
              <w:t>$  79.61</w:t>
            </w:r>
            <w:proofErr w:type="gramEnd"/>
            <w:r w:rsidRPr="00C57E6A">
              <w:rPr>
                <w:color w:val="000000"/>
              </w:rPr>
              <w:t xml:space="preserve"> </w:t>
            </w:r>
          </w:p>
        </w:tc>
        <w:tc>
          <w:tcPr>
            <w:tcW w:w="1584" w:type="dxa"/>
            <w:tcBorders>
              <w:top w:val="nil"/>
              <w:left w:val="nil"/>
              <w:bottom w:val="nil"/>
              <w:right w:val="nil"/>
            </w:tcBorders>
            <w:shd w:val="clear" w:color="auto" w:fill="auto"/>
            <w:noWrap/>
            <w:vAlign w:val="bottom"/>
            <w:hideMark/>
          </w:tcPr>
          <w:p w14:paraId="1A9DE0D2" w14:textId="77777777" w:rsidR="00C57E6A" w:rsidRPr="00C57E6A" w:rsidRDefault="00C57E6A" w:rsidP="00C57E6A">
            <w:pPr>
              <w:rPr>
                <w:color w:val="000000"/>
              </w:rPr>
            </w:pPr>
            <w:r w:rsidRPr="00C57E6A">
              <w:rPr>
                <w:color w:val="000000"/>
              </w:rPr>
              <w:t xml:space="preserve"> $20.95 </w:t>
            </w:r>
          </w:p>
        </w:tc>
        <w:tc>
          <w:tcPr>
            <w:tcW w:w="1978" w:type="dxa"/>
            <w:tcBorders>
              <w:top w:val="nil"/>
              <w:left w:val="nil"/>
              <w:bottom w:val="nil"/>
              <w:right w:val="nil"/>
            </w:tcBorders>
            <w:shd w:val="clear" w:color="auto" w:fill="auto"/>
            <w:noWrap/>
            <w:vAlign w:val="bottom"/>
            <w:hideMark/>
          </w:tcPr>
          <w:p w14:paraId="35C6937C" w14:textId="77777777" w:rsidR="00C57E6A" w:rsidRPr="00C57E6A" w:rsidRDefault="00C57E6A" w:rsidP="002D6A6C">
            <w:pPr>
              <w:jc w:val="center"/>
              <w:rPr>
                <w:color w:val="000000"/>
              </w:rPr>
            </w:pPr>
            <w:r w:rsidRPr="00C57E6A">
              <w:rPr>
                <w:color w:val="000000"/>
              </w:rPr>
              <w:t>35.71%</w:t>
            </w:r>
          </w:p>
        </w:tc>
      </w:tr>
      <w:tr w:rsidR="00C57E6A" w14:paraId="0FF33E4C" w14:textId="77777777" w:rsidTr="002D6A6C">
        <w:trPr>
          <w:trHeight w:val="417"/>
        </w:trPr>
        <w:tc>
          <w:tcPr>
            <w:tcW w:w="2962" w:type="dxa"/>
            <w:tcBorders>
              <w:top w:val="nil"/>
              <w:left w:val="nil"/>
              <w:bottom w:val="nil"/>
              <w:right w:val="nil"/>
            </w:tcBorders>
            <w:shd w:val="clear" w:color="auto" w:fill="auto"/>
            <w:noWrap/>
            <w:vAlign w:val="bottom"/>
            <w:hideMark/>
          </w:tcPr>
          <w:p w14:paraId="1D789881" w14:textId="77777777" w:rsidR="00C57E6A" w:rsidRPr="00C57E6A" w:rsidRDefault="00C57E6A">
            <w:pPr>
              <w:jc w:val="right"/>
              <w:rPr>
                <w:color w:val="000000"/>
              </w:rPr>
            </w:pPr>
            <w:r w:rsidRPr="00C57E6A">
              <w:rPr>
                <w:color w:val="000000"/>
              </w:rPr>
              <w:t>100</w:t>
            </w:r>
          </w:p>
        </w:tc>
        <w:tc>
          <w:tcPr>
            <w:tcW w:w="1669" w:type="dxa"/>
            <w:tcBorders>
              <w:top w:val="nil"/>
              <w:left w:val="nil"/>
              <w:bottom w:val="nil"/>
              <w:right w:val="nil"/>
            </w:tcBorders>
            <w:shd w:val="clear" w:color="auto" w:fill="auto"/>
            <w:noWrap/>
            <w:vAlign w:val="bottom"/>
            <w:hideMark/>
          </w:tcPr>
          <w:p w14:paraId="367F5B50" w14:textId="77777777" w:rsidR="00C57E6A" w:rsidRPr="00C57E6A" w:rsidRDefault="00C57E6A" w:rsidP="00C57E6A">
            <w:pPr>
              <w:rPr>
                <w:color w:val="000000"/>
              </w:rPr>
            </w:pPr>
            <w:r w:rsidRPr="00C57E6A">
              <w:rPr>
                <w:color w:val="000000"/>
              </w:rPr>
              <w:t xml:space="preserve"> </w:t>
            </w:r>
            <w:proofErr w:type="gramStart"/>
            <w:r w:rsidRPr="00C57E6A">
              <w:rPr>
                <w:color w:val="000000"/>
              </w:rPr>
              <w:t>$  98.13</w:t>
            </w:r>
            <w:proofErr w:type="gramEnd"/>
            <w:r w:rsidRPr="00C57E6A">
              <w:rPr>
                <w:color w:val="000000"/>
              </w:rPr>
              <w:t xml:space="preserve"> </w:t>
            </w:r>
          </w:p>
        </w:tc>
        <w:tc>
          <w:tcPr>
            <w:tcW w:w="1584" w:type="dxa"/>
            <w:tcBorders>
              <w:top w:val="nil"/>
              <w:left w:val="nil"/>
              <w:bottom w:val="nil"/>
              <w:right w:val="nil"/>
            </w:tcBorders>
            <w:shd w:val="clear" w:color="auto" w:fill="auto"/>
            <w:noWrap/>
            <w:vAlign w:val="bottom"/>
            <w:hideMark/>
          </w:tcPr>
          <w:p w14:paraId="4EDEECB8" w14:textId="77777777" w:rsidR="00C57E6A" w:rsidRPr="00C57E6A" w:rsidRDefault="00C57E6A" w:rsidP="00C57E6A">
            <w:pPr>
              <w:rPr>
                <w:color w:val="000000"/>
              </w:rPr>
            </w:pPr>
            <w:r w:rsidRPr="00C57E6A">
              <w:rPr>
                <w:color w:val="000000"/>
              </w:rPr>
              <w:t xml:space="preserve"> $20.59 </w:t>
            </w:r>
          </w:p>
        </w:tc>
        <w:tc>
          <w:tcPr>
            <w:tcW w:w="1978" w:type="dxa"/>
            <w:tcBorders>
              <w:top w:val="nil"/>
              <w:left w:val="nil"/>
              <w:bottom w:val="nil"/>
              <w:right w:val="nil"/>
            </w:tcBorders>
            <w:shd w:val="clear" w:color="auto" w:fill="auto"/>
            <w:noWrap/>
            <w:vAlign w:val="bottom"/>
            <w:hideMark/>
          </w:tcPr>
          <w:p w14:paraId="592C34D2" w14:textId="77777777" w:rsidR="00C57E6A" w:rsidRPr="00C57E6A" w:rsidRDefault="00C57E6A" w:rsidP="002D6A6C">
            <w:pPr>
              <w:jc w:val="center"/>
              <w:rPr>
                <w:color w:val="000000"/>
              </w:rPr>
            </w:pPr>
            <w:r w:rsidRPr="00C57E6A">
              <w:rPr>
                <w:color w:val="000000"/>
              </w:rPr>
              <w:t>26.55%</w:t>
            </w:r>
          </w:p>
        </w:tc>
      </w:tr>
      <w:tr w:rsidR="00C57E6A" w14:paraId="3DF59692" w14:textId="77777777" w:rsidTr="002D6A6C">
        <w:trPr>
          <w:trHeight w:val="417"/>
        </w:trPr>
        <w:tc>
          <w:tcPr>
            <w:tcW w:w="2962" w:type="dxa"/>
            <w:tcBorders>
              <w:top w:val="nil"/>
              <w:left w:val="nil"/>
              <w:bottom w:val="nil"/>
              <w:right w:val="nil"/>
            </w:tcBorders>
            <w:shd w:val="clear" w:color="auto" w:fill="auto"/>
            <w:noWrap/>
            <w:vAlign w:val="bottom"/>
            <w:hideMark/>
          </w:tcPr>
          <w:p w14:paraId="01A9B391" w14:textId="77777777" w:rsidR="00C57E6A" w:rsidRPr="00C57E6A" w:rsidRDefault="00C57E6A">
            <w:pPr>
              <w:jc w:val="right"/>
              <w:rPr>
                <w:color w:val="000000"/>
              </w:rPr>
            </w:pPr>
            <w:r w:rsidRPr="00C57E6A">
              <w:rPr>
                <w:color w:val="000000"/>
              </w:rPr>
              <w:t>150</w:t>
            </w:r>
          </w:p>
        </w:tc>
        <w:tc>
          <w:tcPr>
            <w:tcW w:w="1669" w:type="dxa"/>
            <w:tcBorders>
              <w:top w:val="nil"/>
              <w:left w:val="nil"/>
              <w:bottom w:val="nil"/>
              <w:right w:val="nil"/>
            </w:tcBorders>
            <w:shd w:val="clear" w:color="auto" w:fill="auto"/>
            <w:noWrap/>
            <w:vAlign w:val="bottom"/>
            <w:hideMark/>
          </w:tcPr>
          <w:p w14:paraId="665A7FDD" w14:textId="77777777" w:rsidR="00C57E6A" w:rsidRPr="00C57E6A" w:rsidRDefault="00C57E6A" w:rsidP="00C57E6A">
            <w:pPr>
              <w:rPr>
                <w:color w:val="000000"/>
              </w:rPr>
            </w:pPr>
            <w:r w:rsidRPr="00C57E6A">
              <w:rPr>
                <w:color w:val="000000"/>
              </w:rPr>
              <w:t xml:space="preserve"> $121.94 </w:t>
            </w:r>
          </w:p>
        </w:tc>
        <w:tc>
          <w:tcPr>
            <w:tcW w:w="1584" w:type="dxa"/>
            <w:tcBorders>
              <w:top w:val="nil"/>
              <w:left w:val="nil"/>
              <w:bottom w:val="nil"/>
              <w:right w:val="nil"/>
            </w:tcBorders>
            <w:shd w:val="clear" w:color="auto" w:fill="auto"/>
            <w:noWrap/>
            <w:vAlign w:val="bottom"/>
            <w:hideMark/>
          </w:tcPr>
          <w:p w14:paraId="38E83859" w14:textId="77777777" w:rsidR="00C57E6A" w:rsidRPr="00C57E6A" w:rsidRDefault="00C57E6A" w:rsidP="00C57E6A">
            <w:pPr>
              <w:rPr>
                <w:color w:val="000000"/>
              </w:rPr>
            </w:pPr>
            <w:r w:rsidRPr="00C57E6A">
              <w:rPr>
                <w:color w:val="000000"/>
              </w:rPr>
              <w:t xml:space="preserve"> $20.13 </w:t>
            </w:r>
          </w:p>
        </w:tc>
        <w:tc>
          <w:tcPr>
            <w:tcW w:w="1978" w:type="dxa"/>
            <w:tcBorders>
              <w:top w:val="nil"/>
              <w:left w:val="nil"/>
              <w:bottom w:val="nil"/>
              <w:right w:val="nil"/>
            </w:tcBorders>
            <w:shd w:val="clear" w:color="auto" w:fill="auto"/>
            <w:noWrap/>
            <w:vAlign w:val="bottom"/>
            <w:hideMark/>
          </w:tcPr>
          <w:p w14:paraId="3FC68553" w14:textId="77777777" w:rsidR="00C57E6A" w:rsidRPr="00C57E6A" w:rsidRDefault="00C57E6A" w:rsidP="002D6A6C">
            <w:pPr>
              <w:jc w:val="center"/>
              <w:rPr>
                <w:color w:val="000000"/>
              </w:rPr>
            </w:pPr>
            <w:r w:rsidRPr="00C57E6A">
              <w:rPr>
                <w:color w:val="000000"/>
              </w:rPr>
              <w:t>19.77%</w:t>
            </w:r>
          </w:p>
        </w:tc>
      </w:tr>
    </w:tbl>
    <w:p w14:paraId="119E3B94" w14:textId="77777777" w:rsidR="00F47166" w:rsidRDefault="00FB5B21" w:rsidP="00093960">
      <w:pPr>
        <w:rPr>
          <w:rFonts w:asciiTheme="majorBidi" w:hAnsiTheme="majorBidi" w:cstheme="majorBidi"/>
          <w:bCs/>
          <w:iCs/>
        </w:rPr>
      </w:pPr>
      <w:r>
        <w:rPr>
          <w:rFonts w:asciiTheme="majorBidi" w:hAnsiTheme="majorBidi" w:cstheme="majorBidi"/>
          <w:bCs/>
          <w:iCs/>
        </w:rPr>
        <w:t>*Does not include tax credits.</w:t>
      </w:r>
      <w:r w:rsidR="00C57E6A">
        <w:rPr>
          <w:rFonts w:asciiTheme="majorBidi" w:hAnsiTheme="majorBidi" w:cstheme="majorBidi"/>
          <w:bCs/>
          <w:iCs/>
        </w:rPr>
        <w:br w:type="page"/>
      </w:r>
    </w:p>
    <w:p w14:paraId="7E605CC0" w14:textId="77777777" w:rsidR="004607F9" w:rsidRDefault="00093960" w:rsidP="00386D58">
      <w:pPr>
        <w:spacing w:line="480" w:lineRule="auto"/>
        <w:rPr>
          <w:rFonts w:asciiTheme="majorBidi" w:hAnsiTheme="majorBidi" w:cstheme="majorBidi"/>
          <w:bCs/>
          <w:iCs/>
        </w:rPr>
      </w:pPr>
      <w:r>
        <w:rPr>
          <w:noProof/>
        </w:rPr>
        <w:lastRenderedPageBreak/>
        <w:drawing>
          <wp:anchor distT="0" distB="0" distL="114300" distR="114300" simplePos="0" relativeHeight="251658240" behindDoc="1" locked="0" layoutInCell="1" allowOverlap="1" wp14:anchorId="4070D188" wp14:editId="43232912">
            <wp:simplePos x="0" y="0"/>
            <wp:positionH relativeFrom="column">
              <wp:posOffset>-676275</wp:posOffset>
            </wp:positionH>
            <wp:positionV relativeFrom="paragraph">
              <wp:posOffset>337185</wp:posOffset>
            </wp:positionV>
            <wp:extent cx="6953250" cy="5314950"/>
            <wp:effectExtent l="0" t="0" r="0" b="0"/>
            <wp:wrapTight wrapText="bothSides">
              <wp:wrapPolygon edited="0">
                <wp:start x="0" y="0"/>
                <wp:lineTo x="0" y="21523"/>
                <wp:lineTo x="21541" y="21523"/>
                <wp:lineTo x="21541"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8F0280">
        <w:rPr>
          <w:rFonts w:asciiTheme="majorBidi" w:hAnsiTheme="majorBidi" w:cstheme="majorBidi"/>
          <w:bCs/>
          <w:iCs/>
        </w:rPr>
        <w:t>Graph 1. Residential Bills</w:t>
      </w:r>
      <w:r w:rsidR="00FB5B21">
        <w:rPr>
          <w:rFonts w:asciiTheme="majorBidi" w:hAnsiTheme="majorBidi" w:cstheme="majorBidi"/>
          <w:bCs/>
          <w:iCs/>
        </w:rPr>
        <w:t>:</w:t>
      </w:r>
      <w:r w:rsidR="008F0280">
        <w:rPr>
          <w:rFonts w:asciiTheme="majorBidi" w:hAnsiTheme="majorBidi" w:cstheme="majorBidi"/>
          <w:bCs/>
          <w:iCs/>
        </w:rPr>
        <w:t xml:space="preserve"> Percentage Changes </w:t>
      </w:r>
      <w:proofErr w:type="gramStart"/>
      <w:r w:rsidR="008F0280">
        <w:rPr>
          <w:rFonts w:asciiTheme="majorBidi" w:hAnsiTheme="majorBidi" w:cstheme="majorBidi"/>
          <w:bCs/>
          <w:iCs/>
        </w:rPr>
        <w:t>From</w:t>
      </w:r>
      <w:proofErr w:type="gramEnd"/>
      <w:r w:rsidR="008F0280">
        <w:rPr>
          <w:rFonts w:asciiTheme="majorBidi" w:hAnsiTheme="majorBidi" w:cstheme="majorBidi"/>
          <w:bCs/>
          <w:iCs/>
        </w:rPr>
        <w:t xml:space="preserve"> Current Bills</w:t>
      </w:r>
    </w:p>
    <w:p w14:paraId="51D33699" w14:textId="77777777" w:rsidR="008F0280" w:rsidRDefault="008F0280" w:rsidP="00386D58">
      <w:pPr>
        <w:spacing w:line="480" w:lineRule="auto"/>
        <w:rPr>
          <w:rFonts w:asciiTheme="majorBidi" w:hAnsiTheme="majorBidi" w:cstheme="majorBidi"/>
          <w:bCs/>
          <w:iCs/>
        </w:rPr>
        <w:sectPr w:rsidR="008F0280" w:rsidSect="00B1755F">
          <w:pgSz w:w="12240" w:h="15840" w:code="1"/>
          <w:pgMar w:top="1440" w:right="1800" w:bottom="1440" w:left="1800" w:header="720" w:footer="576" w:gutter="0"/>
          <w:lnNumType w:countBy="1"/>
          <w:cols w:space="720"/>
          <w:titlePg/>
          <w:docGrid w:linePitch="360"/>
        </w:sectPr>
      </w:pPr>
    </w:p>
    <w:p w14:paraId="2EE2675F" w14:textId="7FCAB8BC" w:rsidR="00E5670F" w:rsidRDefault="00E5670F" w:rsidP="00E5670F">
      <w:pPr>
        <w:spacing w:line="480" w:lineRule="auto"/>
        <w:ind w:left="720"/>
        <w:rPr>
          <w:rFonts w:asciiTheme="majorBidi" w:hAnsiTheme="majorBidi" w:cstheme="majorBidi"/>
          <w:bCs/>
          <w:iCs/>
        </w:rPr>
      </w:pPr>
      <w:r w:rsidRPr="008D56A9">
        <w:rPr>
          <w:rFonts w:asciiTheme="majorBidi" w:hAnsiTheme="majorBidi" w:cstheme="majorBidi"/>
          <w:bCs/>
          <w:iCs/>
        </w:rPr>
        <w:lastRenderedPageBreak/>
        <w:t>As can be observed in VEDO’s proposed Application</w:t>
      </w:r>
      <w:r w:rsidR="007A49DA">
        <w:rPr>
          <w:rFonts w:asciiTheme="majorBidi" w:hAnsiTheme="majorBidi" w:cstheme="majorBidi"/>
          <w:bCs/>
          <w:iCs/>
        </w:rPr>
        <w:t xml:space="preserve"> as altered by the Settlement</w:t>
      </w:r>
      <w:r w:rsidRPr="008D56A9">
        <w:rPr>
          <w:rFonts w:asciiTheme="majorBidi" w:hAnsiTheme="majorBidi" w:cstheme="majorBidi"/>
          <w:bCs/>
          <w:iCs/>
        </w:rPr>
        <w:t>, residential low</w:t>
      </w:r>
      <w:r>
        <w:rPr>
          <w:rFonts w:asciiTheme="majorBidi" w:hAnsiTheme="majorBidi" w:cstheme="majorBidi"/>
          <w:bCs/>
          <w:iCs/>
        </w:rPr>
        <w:t>-</w:t>
      </w:r>
      <w:r w:rsidRPr="008D56A9">
        <w:rPr>
          <w:rFonts w:asciiTheme="majorBidi" w:hAnsiTheme="majorBidi" w:cstheme="majorBidi"/>
          <w:bCs/>
          <w:iCs/>
        </w:rPr>
        <w:t xml:space="preserve">use customers (50 </w:t>
      </w:r>
      <w:proofErr w:type="spellStart"/>
      <w:r w:rsidRPr="008D56A9">
        <w:rPr>
          <w:rFonts w:asciiTheme="majorBidi" w:hAnsiTheme="majorBidi" w:cstheme="majorBidi"/>
          <w:bCs/>
          <w:iCs/>
        </w:rPr>
        <w:t>Ccf</w:t>
      </w:r>
      <w:proofErr w:type="spellEnd"/>
      <w:r w:rsidRPr="008D56A9">
        <w:rPr>
          <w:rFonts w:asciiTheme="majorBidi" w:hAnsiTheme="majorBidi" w:cstheme="majorBidi"/>
          <w:bCs/>
          <w:iCs/>
        </w:rPr>
        <w:t xml:space="preserve"> or less) will experience dramatic bill increases ranging from </w:t>
      </w:r>
      <w:r w:rsidR="00035BB7">
        <w:rPr>
          <w:rFonts w:asciiTheme="majorBidi" w:hAnsiTheme="majorBidi" w:cstheme="majorBidi"/>
          <w:bCs/>
          <w:iCs/>
        </w:rPr>
        <w:t>19</w:t>
      </w:r>
      <w:r w:rsidR="00035BB7" w:rsidRPr="008D56A9">
        <w:rPr>
          <w:rFonts w:asciiTheme="majorBidi" w:hAnsiTheme="majorBidi" w:cstheme="majorBidi"/>
          <w:bCs/>
          <w:iCs/>
        </w:rPr>
        <w:t xml:space="preserve"> </w:t>
      </w:r>
      <w:r w:rsidRPr="008D56A9">
        <w:rPr>
          <w:rFonts w:asciiTheme="majorBidi" w:hAnsiTheme="majorBidi" w:cstheme="majorBidi"/>
          <w:bCs/>
          <w:iCs/>
        </w:rPr>
        <w:t xml:space="preserve">percent </w:t>
      </w:r>
      <w:r w:rsidR="00035BB7">
        <w:rPr>
          <w:rFonts w:asciiTheme="majorBidi" w:hAnsiTheme="majorBidi" w:cstheme="majorBidi"/>
          <w:bCs/>
          <w:iCs/>
        </w:rPr>
        <w:t>t</w:t>
      </w:r>
      <w:r w:rsidRPr="008D56A9">
        <w:rPr>
          <w:rFonts w:asciiTheme="majorBidi" w:hAnsiTheme="majorBidi" w:cstheme="majorBidi"/>
          <w:bCs/>
          <w:iCs/>
        </w:rPr>
        <w:t xml:space="preserve">o </w:t>
      </w:r>
      <w:r w:rsidR="00035BB7">
        <w:rPr>
          <w:rFonts w:asciiTheme="majorBidi" w:hAnsiTheme="majorBidi" w:cstheme="majorBidi"/>
          <w:bCs/>
          <w:iCs/>
        </w:rPr>
        <w:t>10</w:t>
      </w:r>
      <w:r w:rsidR="00035BB7" w:rsidRPr="008D56A9">
        <w:rPr>
          <w:rFonts w:asciiTheme="majorBidi" w:hAnsiTheme="majorBidi" w:cstheme="majorBidi"/>
          <w:bCs/>
          <w:iCs/>
        </w:rPr>
        <w:t xml:space="preserve"> </w:t>
      </w:r>
      <w:r w:rsidRPr="008D56A9">
        <w:rPr>
          <w:rFonts w:asciiTheme="majorBidi" w:hAnsiTheme="majorBidi" w:cstheme="majorBidi"/>
          <w:bCs/>
          <w:iCs/>
        </w:rPr>
        <w:t xml:space="preserve">percent while high use residential customers (100 to 150 </w:t>
      </w:r>
      <w:proofErr w:type="spellStart"/>
      <w:r w:rsidRPr="008D56A9">
        <w:rPr>
          <w:rFonts w:asciiTheme="majorBidi" w:hAnsiTheme="majorBidi" w:cstheme="majorBidi"/>
          <w:bCs/>
          <w:iCs/>
        </w:rPr>
        <w:t>Ccf</w:t>
      </w:r>
      <w:proofErr w:type="spellEnd"/>
      <w:r w:rsidRPr="008D56A9">
        <w:rPr>
          <w:rFonts w:asciiTheme="majorBidi" w:hAnsiTheme="majorBidi" w:cstheme="majorBidi"/>
          <w:bCs/>
          <w:iCs/>
        </w:rPr>
        <w:t xml:space="preserve">) experience lower increases in the </w:t>
      </w:r>
      <w:r w:rsidR="00C67CE6">
        <w:rPr>
          <w:rFonts w:asciiTheme="majorBidi" w:hAnsiTheme="majorBidi" w:cstheme="majorBidi"/>
          <w:bCs/>
          <w:iCs/>
        </w:rPr>
        <w:t>six</w:t>
      </w:r>
      <w:r w:rsidRPr="008D56A9">
        <w:rPr>
          <w:rFonts w:asciiTheme="majorBidi" w:hAnsiTheme="majorBidi" w:cstheme="majorBidi"/>
          <w:bCs/>
          <w:iCs/>
        </w:rPr>
        <w:t xml:space="preserve"> percent to </w:t>
      </w:r>
      <w:r w:rsidR="009E5F58">
        <w:rPr>
          <w:rFonts w:asciiTheme="majorBidi" w:hAnsiTheme="majorBidi" w:cstheme="majorBidi"/>
          <w:bCs/>
          <w:iCs/>
        </w:rPr>
        <w:t>four</w:t>
      </w:r>
      <w:r w:rsidRPr="008D56A9">
        <w:rPr>
          <w:rFonts w:asciiTheme="majorBidi" w:hAnsiTheme="majorBidi" w:cstheme="majorBidi"/>
          <w:bCs/>
          <w:iCs/>
        </w:rPr>
        <w:t xml:space="preserve"> percent range.   </w:t>
      </w:r>
    </w:p>
    <w:p w14:paraId="179BE4AC" w14:textId="77777777" w:rsidR="00093960" w:rsidRPr="008D56A9" w:rsidRDefault="00093960" w:rsidP="00E5670F">
      <w:pPr>
        <w:spacing w:line="480" w:lineRule="auto"/>
        <w:ind w:left="720"/>
        <w:rPr>
          <w:rFonts w:asciiTheme="majorBidi" w:hAnsiTheme="majorBidi" w:cstheme="majorBidi"/>
          <w:bCs/>
          <w:iCs/>
        </w:rPr>
      </w:pPr>
    </w:p>
    <w:p w14:paraId="52A065F0" w14:textId="5CFE6CF9" w:rsidR="00E5670F" w:rsidRDefault="00E5670F" w:rsidP="00E5670F">
      <w:pPr>
        <w:spacing w:line="480" w:lineRule="auto"/>
        <w:ind w:left="720"/>
        <w:rPr>
          <w:rFonts w:asciiTheme="majorBidi" w:hAnsiTheme="majorBidi" w:cstheme="majorBidi"/>
          <w:bCs/>
          <w:iCs/>
        </w:rPr>
      </w:pPr>
      <w:r w:rsidRPr="008D56A9">
        <w:rPr>
          <w:rFonts w:asciiTheme="majorBidi" w:hAnsiTheme="majorBidi" w:cstheme="majorBidi"/>
          <w:bCs/>
          <w:iCs/>
        </w:rPr>
        <w:t>OCC’s volumetric component recommendation reverses the dramatic bill increases for low usage customers (</w:t>
      </w:r>
      <w:r w:rsidRPr="0001721B">
        <w:rPr>
          <w:rFonts w:asciiTheme="majorBidi" w:hAnsiTheme="majorBidi" w:cstheme="majorBidi"/>
          <w:bCs/>
          <w:iCs/>
        </w:rPr>
        <w:t xml:space="preserve">34% </w:t>
      </w:r>
      <w:r w:rsidR="009E5F58" w:rsidRPr="007B19CB">
        <w:rPr>
          <w:rFonts w:asciiTheme="majorBidi" w:hAnsiTheme="majorBidi" w:cstheme="majorBidi"/>
          <w:bCs/>
          <w:iCs/>
        </w:rPr>
        <w:t xml:space="preserve">decrease </w:t>
      </w:r>
      <w:r w:rsidRPr="0001721B">
        <w:rPr>
          <w:rFonts w:asciiTheme="majorBidi" w:hAnsiTheme="majorBidi" w:cstheme="majorBidi"/>
          <w:bCs/>
          <w:iCs/>
        </w:rPr>
        <w:t xml:space="preserve">to </w:t>
      </w:r>
      <w:r w:rsidR="008F5762">
        <w:rPr>
          <w:rFonts w:asciiTheme="majorBidi" w:hAnsiTheme="majorBidi" w:cstheme="majorBidi"/>
          <w:bCs/>
          <w:iCs/>
        </w:rPr>
        <w:t>4%</w:t>
      </w:r>
      <w:r w:rsidR="009E5F58">
        <w:rPr>
          <w:rFonts w:asciiTheme="majorBidi" w:hAnsiTheme="majorBidi" w:cstheme="majorBidi"/>
          <w:bCs/>
          <w:iCs/>
        </w:rPr>
        <w:t xml:space="preserve"> increase</w:t>
      </w:r>
      <w:r w:rsidRPr="008D56A9">
        <w:rPr>
          <w:rFonts w:asciiTheme="majorBidi" w:hAnsiTheme="majorBidi" w:cstheme="majorBidi"/>
          <w:bCs/>
          <w:iCs/>
        </w:rPr>
        <w:t xml:space="preserve">), and for high usage customers, the increases range from </w:t>
      </w:r>
      <w:r w:rsidR="009E5F58">
        <w:rPr>
          <w:rFonts w:asciiTheme="majorBidi" w:hAnsiTheme="majorBidi" w:cstheme="majorBidi"/>
          <w:bCs/>
          <w:iCs/>
        </w:rPr>
        <w:t xml:space="preserve">eight </w:t>
      </w:r>
      <w:r w:rsidR="009E5F58" w:rsidRPr="007B19CB">
        <w:rPr>
          <w:rFonts w:asciiTheme="majorBidi" w:hAnsiTheme="majorBidi" w:cstheme="majorBidi"/>
          <w:bCs/>
          <w:iCs/>
        </w:rPr>
        <w:t>percent</w:t>
      </w:r>
      <w:r w:rsidRPr="0001721B">
        <w:rPr>
          <w:rFonts w:asciiTheme="majorBidi" w:hAnsiTheme="majorBidi" w:cstheme="majorBidi"/>
          <w:bCs/>
          <w:iCs/>
        </w:rPr>
        <w:t xml:space="preserve"> to </w:t>
      </w:r>
      <w:r w:rsidR="009E5F58" w:rsidRPr="007B19CB">
        <w:rPr>
          <w:rFonts w:asciiTheme="majorBidi" w:hAnsiTheme="majorBidi" w:cstheme="majorBidi"/>
          <w:bCs/>
          <w:iCs/>
        </w:rPr>
        <w:t>26</w:t>
      </w:r>
      <w:r w:rsidRPr="0001721B">
        <w:rPr>
          <w:rFonts w:asciiTheme="majorBidi" w:hAnsiTheme="majorBidi" w:cstheme="majorBidi"/>
          <w:bCs/>
          <w:iCs/>
        </w:rPr>
        <w:t>%.</w:t>
      </w:r>
      <w:r w:rsidR="00775B5D">
        <w:rPr>
          <w:rFonts w:asciiTheme="majorBidi" w:hAnsiTheme="majorBidi" w:cstheme="majorBidi"/>
          <w:bCs/>
          <w:iCs/>
        </w:rPr>
        <w:t xml:space="preserve">  </w:t>
      </w:r>
    </w:p>
    <w:p w14:paraId="6E737EA7" w14:textId="5D157F9D" w:rsidR="00775B5D" w:rsidRDefault="00775B5D" w:rsidP="00E5670F">
      <w:pPr>
        <w:spacing w:line="480" w:lineRule="auto"/>
        <w:ind w:left="720"/>
        <w:rPr>
          <w:rFonts w:asciiTheme="majorBidi" w:hAnsiTheme="majorBidi" w:cstheme="majorBidi"/>
          <w:bCs/>
          <w:iCs/>
        </w:rPr>
      </w:pPr>
      <w:r>
        <w:rPr>
          <w:rFonts w:asciiTheme="majorBidi" w:hAnsiTheme="majorBidi" w:cstheme="majorBidi"/>
          <w:bCs/>
          <w:iCs/>
        </w:rPr>
        <w:t xml:space="preserve">Moreover, potential bills in 2024, the last year of the settlement are alarming. </w:t>
      </w:r>
      <w:r w:rsidR="008F5762">
        <w:rPr>
          <w:rFonts w:asciiTheme="majorBidi" w:hAnsiTheme="majorBidi" w:cstheme="majorBidi"/>
          <w:bCs/>
          <w:iCs/>
        </w:rPr>
        <w:t>R</w:t>
      </w:r>
      <w:r w:rsidR="008F5762" w:rsidRPr="008D56A9">
        <w:rPr>
          <w:rFonts w:asciiTheme="majorBidi" w:hAnsiTheme="majorBidi" w:cstheme="majorBidi"/>
          <w:bCs/>
          <w:iCs/>
        </w:rPr>
        <w:t xml:space="preserve">esidential </w:t>
      </w:r>
      <w:r w:rsidRPr="008D56A9">
        <w:rPr>
          <w:rFonts w:asciiTheme="majorBidi" w:hAnsiTheme="majorBidi" w:cstheme="majorBidi"/>
          <w:bCs/>
          <w:iCs/>
        </w:rPr>
        <w:t>low</w:t>
      </w:r>
      <w:r>
        <w:rPr>
          <w:rFonts w:asciiTheme="majorBidi" w:hAnsiTheme="majorBidi" w:cstheme="majorBidi"/>
          <w:bCs/>
          <w:iCs/>
        </w:rPr>
        <w:t>-</w:t>
      </w:r>
      <w:r w:rsidRPr="008D56A9">
        <w:rPr>
          <w:rFonts w:asciiTheme="majorBidi" w:hAnsiTheme="majorBidi" w:cstheme="majorBidi"/>
          <w:bCs/>
          <w:iCs/>
        </w:rPr>
        <w:t xml:space="preserve">use customers (50 </w:t>
      </w:r>
      <w:proofErr w:type="spellStart"/>
      <w:r w:rsidRPr="008D56A9">
        <w:rPr>
          <w:rFonts w:asciiTheme="majorBidi" w:hAnsiTheme="majorBidi" w:cstheme="majorBidi"/>
          <w:bCs/>
          <w:iCs/>
        </w:rPr>
        <w:t>Ccf</w:t>
      </w:r>
      <w:proofErr w:type="spellEnd"/>
      <w:r w:rsidRPr="008D56A9">
        <w:rPr>
          <w:rFonts w:asciiTheme="majorBidi" w:hAnsiTheme="majorBidi" w:cstheme="majorBidi"/>
          <w:bCs/>
          <w:iCs/>
        </w:rPr>
        <w:t xml:space="preserve"> or less) </w:t>
      </w:r>
      <w:r>
        <w:rPr>
          <w:rFonts w:asciiTheme="majorBidi" w:hAnsiTheme="majorBidi" w:cstheme="majorBidi"/>
          <w:bCs/>
          <w:iCs/>
        </w:rPr>
        <w:t>could</w:t>
      </w:r>
      <w:r w:rsidRPr="008D56A9">
        <w:rPr>
          <w:rFonts w:asciiTheme="majorBidi" w:hAnsiTheme="majorBidi" w:cstheme="majorBidi"/>
          <w:bCs/>
          <w:iCs/>
        </w:rPr>
        <w:t xml:space="preserve"> experience dramatic bill increases ranging from </w:t>
      </w:r>
      <w:r>
        <w:rPr>
          <w:rFonts w:asciiTheme="majorBidi" w:hAnsiTheme="majorBidi" w:cstheme="majorBidi"/>
          <w:bCs/>
          <w:iCs/>
        </w:rPr>
        <w:t>40</w:t>
      </w:r>
      <w:r w:rsidRPr="008D56A9">
        <w:rPr>
          <w:rFonts w:asciiTheme="majorBidi" w:hAnsiTheme="majorBidi" w:cstheme="majorBidi"/>
          <w:bCs/>
          <w:iCs/>
        </w:rPr>
        <w:t xml:space="preserve"> percent </w:t>
      </w:r>
      <w:r>
        <w:rPr>
          <w:rFonts w:asciiTheme="majorBidi" w:hAnsiTheme="majorBidi" w:cstheme="majorBidi"/>
          <w:bCs/>
          <w:iCs/>
        </w:rPr>
        <w:t>t</w:t>
      </w:r>
      <w:r w:rsidRPr="008D56A9">
        <w:rPr>
          <w:rFonts w:asciiTheme="majorBidi" w:hAnsiTheme="majorBidi" w:cstheme="majorBidi"/>
          <w:bCs/>
          <w:iCs/>
        </w:rPr>
        <w:t xml:space="preserve">o </w:t>
      </w:r>
      <w:r>
        <w:rPr>
          <w:rFonts w:asciiTheme="majorBidi" w:hAnsiTheme="majorBidi" w:cstheme="majorBidi"/>
          <w:bCs/>
          <w:iCs/>
        </w:rPr>
        <w:t>74</w:t>
      </w:r>
      <w:r w:rsidRPr="008D56A9">
        <w:rPr>
          <w:rFonts w:asciiTheme="majorBidi" w:hAnsiTheme="majorBidi" w:cstheme="majorBidi"/>
          <w:bCs/>
          <w:iCs/>
        </w:rPr>
        <w:t xml:space="preserve"> percent while high use residential customers (100 to 150 </w:t>
      </w:r>
      <w:proofErr w:type="spellStart"/>
      <w:r w:rsidRPr="008D56A9">
        <w:rPr>
          <w:rFonts w:asciiTheme="majorBidi" w:hAnsiTheme="majorBidi" w:cstheme="majorBidi"/>
          <w:bCs/>
          <w:iCs/>
        </w:rPr>
        <w:t>Ccf</w:t>
      </w:r>
      <w:proofErr w:type="spellEnd"/>
      <w:r w:rsidRPr="008D56A9">
        <w:rPr>
          <w:rFonts w:asciiTheme="majorBidi" w:hAnsiTheme="majorBidi" w:cstheme="majorBidi"/>
          <w:bCs/>
          <w:iCs/>
        </w:rPr>
        <w:t xml:space="preserve">) </w:t>
      </w:r>
      <w:r>
        <w:rPr>
          <w:rFonts w:asciiTheme="majorBidi" w:hAnsiTheme="majorBidi" w:cstheme="majorBidi"/>
          <w:bCs/>
          <w:iCs/>
        </w:rPr>
        <w:t xml:space="preserve">may </w:t>
      </w:r>
      <w:r w:rsidRPr="008D56A9">
        <w:rPr>
          <w:rFonts w:asciiTheme="majorBidi" w:hAnsiTheme="majorBidi" w:cstheme="majorBidi"/>
          <w:bCs/>
          <w:iCs/>
        </w:rPr>
        <w:t xml:space="preserve">experience lower increases in the </w:t>
      </w:r>
      <w:r>
        <w:rPr>
          <w:rFonts w:asciiTheme="majorBidi" w:hAnsiTheme="majorBidi" w:cstheme="majorBidi"/>
          <w:bCs/>
          <w:iCs/>
        </w:rPr>
        <w:t>27%</w:t>
      </w:r>
      <w:r w:rsidRPr="008D56A9">
        <w:rPr>
          <w:rFonts w:asciiTheme="majorBidi" w:hAnsiTheme="majorBidi" w:cstheme="majorBidi"/>
          <w:bCs/>
          <w:iCs/>
        </w:rPr>
        <w:t xml:space="preserve"> to </w:t>
      </w:r>
      <w:r>
        <w:rPr>
          <w:rFonts w:asciiTheme="majorBidi" w:hAnsiTheme="majorBidi" w:cstheme="majorBidi"/>
          <w:bCs/>
          <w:iCs/>
        </w:rPr>
        <w:t>20%</w:t>
      </w:r>
      <w:r w:rsidRPr="008D56A9">
        <w:rPr>
          <w:rFonts w:asciiTheme="majorBidi" w:hAnsiTheme="majorBidi" w:cstheme="majorBidi"/>
          <w:bCs/>
          <w:iCs/>
        </w:rPr>
        <w:t xml:space="preserve"> range</w:t>
      </w:r>
      <w:r>
        <w:rPr>
          <w:rFonts w:asciiTheme="majorBidi" w:hAnsiTheme="majorBidi" w:cstheme="majorBidi"/>
          <w:bCs/>
          <w:iCs/>
        </w:rPr>
        <w:t xml:space="preserve"> (See Table 3).</w:t>
      </w:r>
    </w:p>
    <w:p w14:paraId="1CCD9675" w14:textId="77777777" w:rsidR="00A62B37" w:rsidRPr="008D56A9" w:rsidRDefault="00A62B37" w:rsidP="00E5670F">
      <w:pPr>
        <w:spacing w:line="480" w:lineRule="auto"/>
        <w:ind w:left="720"/>
        <w:rPr>
          <w:rFonts w:asciiTheme="majorBidi" w:hAnsiTheme="majorBidi" w:cstheme="majorBidi"/>
          <w:bCs/>
          <w:iCs/>
        </w:rPr>
      </w:pPr>
    </w:p>
    <w:p w14:paraId="5FCEBE08" w14:textId="77777777" w:rsidR="00E5670F" w:rsidRPr="008D56A9" w:rsidRDefault="00E5670F" w:rsidP="00E5670F">
      <w:pPr>
        <w:spacing w:line="480" w:lineRule="auto"/>
        <w:ind w:left="720"/>
        <w:rPr>
          <w:rFonts w:asciiTheme="majorBidi" w:hAnsiTheme="majorBidi" w:cstheme="majorBidi"/>
        </w:rPr>
      </w:pPr>
      <w:r w:rsidRPr="008D56A9">
        <w:rPr>
          <w:rFonts w:asciiTheme="majorBidi" w:hAnsiTheme="majorBidi" w:cstheme="majorBidi"/>
          <w:bCs/>
          <w:iCs/>
        </w:rPr>
        <w:t xml:space="preserve">Overall, </w:t>
      </w:r>
      <w:r w:rsidR="009E5F58">
        <w:rPr>
          <w:rFonts w:asciiTheme="majorBidi" w:hAnsiTheme="majorBidi" w:cstheme="majorBidi"/>
          <w:bCs/>
          <w:iCs/>
        </w:rPr>
        <w:t xml:space="preserve">under the Settlement, </w:t>
      </w:r>
      <w:r w:rsidRPr="008D56A9">
        <w:rPr>
          <w:rFonts w:asciiTheme="majorBidi" w:hAnsiTheme="majorBidi" w:cstheme="majorBidi"/>
          <w:bCs/>
          <w:iCs/>
        </w:rPr>
        <w:t>a</w:t>
      </w:r>
      <w:r w:rsidRPr="008D56A9">
        <w:rPr>
          <w:rFonts w:asciiTheme="majorBidi" w:hAnsiTheme="majorBidi" w:cstheme="majorBidi"/>
        </w:rPr>
        <w:t>ll low usage customers (less than average consumption</w:t>
      </w:r>
      <w:r w:rsidR="00BC0A36">
        <w:rPr>
          <w:rFonts w:asciiTheme="majorBidi" w:hAnsiTheme="majorBidi" w:cstheme="majorBidi"/>
        </w:rPr>
        <w:t>)</w:t>
      </w:r>
      <w:r w:rsidRPr="008D56A9">
        <w:rPr>
          <w:rFonts w:asciiTheme="majorBidi" w:hAnsiTheme="majorBidi" w:cstheme="majorBidi"/>
        </w:rPr>
        <w:t xml:space="preserve"> will bear a disproportionate increase in their natural gas bills even while they maintain their current usage patterns.  A </w:t>
      </w:r>
      <w:r>
        <w:rPr>
          <w:rFonts w:asciiTheme="majorBidi" w:hAnsiTheme="majorBidi" w:cstheme="majorBidi"/>
        </w:rPr>
        <w:t>Fixed Charge</w:t>
      </w:r>
      <w:r w:rsidRPr="008D56A9">
        <w:rPr>
          <w:rFonts w:asciiTheme="majorBidi" w:hAnsiTheme="majorBidi" w:cstheme="majorBidi"/>
        </w:rPr>
        <w:t xml:space="preserve"> rate design is regressive leading to even greater impact on low use, low income customers or low use elderly customers on fixed incomes.</w:t>
      </w:r>
    </w:p>
    <w:p w14:paraId="195D325E" w14:textId="0A84559A" w:rsidR="00E5670F" w:rsidRDefault="00E5670F" w:rsidP="00E5670F">
      <w:pPr>
        <w:spacing w:line="480" w:lineRule="auto"/>
        <w:ind w:left="720"/>
        <w:rPr>
          <w:rFonts w:asciiTheme="majorBidi" w:hAnsiTheme="majorBidi" w:cstheme="majorBidi"/>
        </w:rPr>
      </w:pPr>
      <w:r w:rsidRPr="008D56A9">
        <w:rPr>
          <w:rFonts w:asciiTheme="majorBidi" w:hAnsiTheme="majorBidi" w:cstheme="majorBidi"/>
        </w:rPr>
        <w:lastRenderedPageBreak/>
        <w:t xml:space="preserve">This is significant </w:t>
      </w:r>
      <w:r>
        <w:rPr>
          <w:rFonts w:asciiTheme="majorBidi" w:hAnsiTheme="majorBidi" w:cstheme="majorBidi"/>
        </w:rPr>
        <w:t>because</w:t>
      </w:r>
      <w:r w:rsidRPr="008D56A9">
        <w:rPr>
          <w:rFonts w:asciiTheme="majorBidi" w:hAnsiTheme="majorBidi" w:cstheme="majorBidi"/>
        </w:rPr>
        <w:t xml:space="preserve"> the city of Dayton</w:t>
      </w:r>
      <w:r>
        <w:rPr>
          <w:rFonts w:asciiTheme="majorBidi" w:hAnsiTheme="majorBidi" w:cstheme="majorBidi"/>
        </w:rPr>
        <w:t>,</w:t>
      </w:r>
      <w:r w:rsidRPr="008D56A9">
        <w:rPr>
          <w:rFonts w:asciiTheme="majorBidi" w:hAnsiTheme="majorBidi" w:cstheme="majorBidi"/>
        </w:rPr>
        <w:t xml:space="preserve"> where VEDO serves, has a</w:t>
      </w:r>
      <w:r>
        <w:rPr>
          <w:rFonts w:asciiTheme="majorBidi" w:hAnsiTheme="majorBidi" w:cstheme="majorBidi"/>
        </w:rPr>
        <w:t>n unfortunate</w:t>
      </w:r>
      <w:r w:rsidRPr="008D56A9">
        <w:rPr>
          <w:rFonts w:asciiTheme="majorBidi" w:hAnsiTheme="majorBidi" w:cstheme="majorBidi"/>
        </w:rPr>
        <w:t xml:space="preserve"> 34.5% poverty rate</w:t>
      </w:r>
      <w:r>
        <w:rPr>
          <w:rFonts w:asciiTheme="majorBidi" w:hAnsiTheme="majorBidi" w:cstheme="majorBidi"/>
        </w:rPr>
        <w:t xml:space="preserve"> for residents.</w:t>
      </w:r>
      <w:r>
        <w:rPr>
          <w:rStyle w:val="FootnoteReference"/>
          <w:rFonts w:asciiTheme="majorBidi" w:hAnsiTheme="majorBidi" w:cstheme="majorBidi"/>
        </w:rPr>
        <w:footnoteReference w:id="9"/>
      </w:r>
      <w:r w:rsidRPr="008D56A9">
        <w:rPr>
          <w:rFonts w:asciiTheme="majorBidi" w:hAnsiTheme="majorBidi" w:cstheme="majorBidi"/>
        </w:rPr>
        <w:t xml:space="preserve">  </w:t>
      </w:r>
      <w:r>
        <w:rPr>
          <w:rFonts w:asciiTheme="majorBidi" w:hAnsiTheme="majorBidi" w:cstheme="majorBidi"/>
        </w:rPr>
        <w:t>And Montgomery County unfortunately has an approximate 18% percent level of food insecurity for residents.</w:t>
      </w:r>
      <w:r>
        <w:rPr>
          <w:rStyle w:val="FootnoteReference"/>
          <w:rFonts w:asciiTheme="majorBidi" w:hAnsiTheme="majorBidi" w:cstheme="majorBidi"/>
        </w:rPr>
        <w:footnoteReference w:id="10"/>
      </w:r>
      <w:r w:rsidRPr="008D56A9">
        <w:rPr>
          <w:rFonts w:asciiTheme="majorBidi" w:hAnsiTheme="majorBidi" w:cstheme="majorBidi"/>
        </w:rPr>
        <w:t xml:space="preserve"> </w:t>
      </w:r>
    </w:p>
    <w:p w14:paraId="11D49A30" w14:textId="77777777" w:rsidR="00A62B37" w:rsidRPr="008D56A9" w:rsidRDefault="00A62B37" w:rsidP="00E5670F">
      <w:pPr>
        <w:spacing w:line="480" w:lineRule="auto"/>
        <w:ind w:left="720"/>
        <w:rPr>
          <w:rFonts w:asciiTheme="majorBidi" w:hAnsiTheme="majorBidi" w:cstheme="majorBidi"/>
        </w:rPr>
      </w:pPr>
    </w:p>
    <w:p w14:paraId="2762047C" w14:textId="3B0D1D01" w:rsidR="00E5670F" w:rsidRDefault="00E5670F" w:rsidP="00E5670F">
      <w:pPr>
        <w:spacing w:line="480" w:lineRule="auto"/>
        <w:ind w:left="720"/>
        <w:rPr>
          <w:rFonts w:asciiTheme="majorBidi" w:hAnsiTheme="majorBidi" w:cstheme="majorBidi"/>
        </w:rPr>
      </w:pPr>
      <w:r w:rsidRPr="008D56A9">
        <w:rPr>
          <w:rFonts w:asciiTheme="majorBidi" w:hAnsiTheme="majorBidi" w:cstheme="majorBidi"/>
        </w:rPr>
        <w:t>On average, low</w:t>
      </w:r>
      <w:r>
        <w:rPr>
          <w:rFonts w:asciiTheme="majorBidi" w:hAnsiTheme="majorBidi" w:cstheme="majorBidi"/>
        </w:rPr>
        <w:t>-</w:t>
      </w:r>
      <w:r w:rsidRPr="008D56A9">
        <w:rPr>
          <w:rFonts w:asciiTheme="majorBidi" w:hAnsiTheme="majorBidi" w:cstheme="majorBidi"/>
        </w:rPr>
        <w:t xml:space="preserve"> income</w:t>
      </w:r>
      <w:r>
        <w:rPr>
          <w:rFonts w:asciiTheme="majorBidi" w:hAnsiTheme="majorBidi" w:cstheme="majorBidi"/>
        </w:rPr>
        <w:t>,</w:t>
      </w:r>
      <w:r w:rsidRPr="008D56A9">
        <w:rPr>
          <w:rFonts w:asciiTheme="majorBidi" w:hAnsiTheme="majorBidi" w:cstheme="majorBidi"/>
        </w:rPr>
        <w:t xml:space="preserve"> multi-family households in VEDO’s service territory use 41.2 </w:t>
      </w:r>
      <w:proofErr w:type="spellStart"/>
      <w:r w:rsidRPr="008D56A9">
        <w:rPr>
          <w:rFonts w:asciiTheme="majorBidi" w:hAnsiTheme="majorBidi" w:cstheme="majorBidi"/>
        </w:rPr>
        <w:t>Ccf</w:t>
      </w:r>
      <w:proofErr w:type="spellEnd"/>
      <w:r w:rsidRPr="008D56A9">
        <w:rPr>
          <w:rFonts w:asciiTheme="majorBidi" w:hAnsiTheme="majorBidi" w:cstheme="majorBidi"/>
        </w:rPr>
        <w:t xml:space="preserve"> per month and there are approximately 30,101 households.</w:t>
      </w:r>
      <w:r>
        <w:rPr>
          <w:rStyle w:val="FootnoteReference"/>
          <w:rFonts w:asciiTheme="majorBidi" w:hAnsiTheme="majorBidi" w:cstheme="majorBidi"/>
        </w:rPr>
        <w:footnoteReference w:id="11"/>
      </w:r>
      <w:r w:rsidRPr="008D56A9">
        <w:rPr>
          <w:rFonts w:asciiTheme="majorBidi" w:hAnsiTheme="majorBidi" w:cstheme="majorBidi"/>
        </w:rPr>
        <w:t xml:space="preserve">  So on average, their distribution bill will increase close to </w:t>
      </w:r>
      <w:r w:rsidR="00253A66">
        <w:rPr>
          <w:rFonts w:asciiTheme="majorBidi" w:hAnsiTheme="majorBidi" w:cstheme="majorBidi"/>
        </w:rPr>
        <w:t>ten percent</w:t>
      </w:r>
      <w:r w:rsidRPr="008D56A9">
        <w:rPr>
          <w:rFonts w:asciiTheme="majorBidi" w:hAnsiTheme="majorBidi" w:cstheme="majorBidi"/>
        </w:rPr>
        <w:t xml:space="preserve"> </w:t>
      </w:r>
      <w:r w:rsidR="008E37D2">
        <w:rPr>
          <w:rFonts w:asciiTheme="majorBidi" w:hAnsiTheme="majorBidi" w:cstheme="majorBidi"/>
        </w:rPr>
        <w:t xml:space="preserve">in Settlement </w:t>
      </w:r>
      <w:r w:rsidR="00BE694B">
        <w:rPr>
          <w:rFonts w:asciiTheme="majorBidi" w:hAnsiTheme="majorBidi" w:cstheme="majorBidi"/>
        </w:rPr>
        <w:t xml:space="preserve">(without additional DRR + CEP charges) </w:t>
      </w:r>
      <w:r w:rsidRPr="008D56A9">
        <w:rPr>
          <w:rFonts w:asciiTheme="majorBidi" w:hAnsiTheme="majorBidi" w:cstheme="majorBidi"/>
        </w:rPr>
        <w:t xml:space="preserve">and over </w:t>
      </w:r>
      <w:r w:rsidR="00D92000" w:rsidRPr="007B19CB">
        <w:rPr>
          <w:rFonts w:asciiTheme="majorBidi" w:hAnsiTheme="majorBidi" w:cstheme="majorBidi"/>
        </w:rPr>
        <w:t>1</w:t>
      </w:r>
      <w:r w:rsidR="005B5D74">
        <w:rPr>
          <w:rFonts w:asciiTheme="majorBidi" w:hAnsiTheme="majorBidi" w:cstheme="majorBidi"/>
        </w:rPr>
        <w:t>7</w:t>
      </w:r>
      <w:r w:rsidR="00D92000">
        <w:rPr>
          <w:rFonts w:asciiTheme="majorBidi" w:hAnsiTheme="majorBidi" w:cstheme="majorBidi"/>
        </w:rPr>
        <w:t>%</w:t>
      </w:r>
      <w:r w:rsidRPr="008D56A9">
        <w:rPr>
          <w:rFonts w:asciiTheme="majorBidi" w:hAnsiTheme="majorBidi" w:cstheme="majorBidi"/>
        </w:rPr>
        <w:t xml:space="preserve"> </w:t>
      </w:r>
      <w:r w:rsidR="008E37D2">
        <w:rPr>
          <w:rFonts w:asciiTheme="majorBidi" w:hAnsiTheme="majorBidi" w:cstheme="majorBidi"/>
        </w:rPr>
        <w:t xml:space="preserve">in Settlement </w:t>
      </w:r>
      <w:r w:rsidR="00BE694B">
        <w:rPr>
          <w:rFonts w:asciiTheme="majorBidi" w:hAnsiTheme="majorBidi" w:cstheme="majorBidi"/>
        </w:rPr>
        <w:t xml:space="preserve">in </w:t>
      </w:r>
      <w:r w:rsidR="008E37D2">
        <w:rPr>
          <w:rFonts w:asciiTheme="majorBidi" w:hAnsiTheme="majorBidi" w:cstheme="majorBidi"/>
        </w:rPr>
        <w:t>2019</w:t>
      </w:r>
      <w:r w:rsidR="00BE694B">
        <w:rPr>
          <w:rFonts w:asciiTheme="majorBidi" w:hAnsiTheme="majorBidi" w:cstheme="majorBidi"/>
        </w:rPr>
        <w:t xml:space="preserve"> if the maximum DRR and CEP cap charges are realized.</w:t>
      </w:r>
      <w:r w:rsidRPr="008D56A9">
        <w:rPr>
          <w:rFonts w:asciiTheme="majorBidi" w:hAnsiTheme="majorBidi" w:cstheme="majorBidi"/>
        </w:rPr>
        <w:t xml:space="preserve">  </w:t>
      </w:r>
    </w:p>
    <w:p w14:paraId="011E8F33" w14:textId="77777777" w:rsidR="00A62B37" w:rsidRPr="008D56A9" w:rsidRDefault="00A62B37" w:rsidP="00E5670F">
      <w:pPr>
        <w:spacing w:line="480" w:lineRule="auto"/>
        <w:ind w:left="720"/>
        <w:rPr>
          <w:rFonts w:asciiTheme="majorBidi" w:hAnsiTheme="majorBidi" w:cstheme="majorBidi"/>
        </w:rPr>
      </w:pPr>
    </w:p>
    <w:p w14:paraId="13867681" w14:textId="77777777" w:rsidR="008E613B" w:rsidRDefault="00E5670F" w:rsidP="00E5670F">
      <w:pPr>
        <w:spacing w:line="480" w:lineRule="auto"/>
        <w:ind w:left="720"/>
        <w:rPr>
          <w:rFonts w:asciiTheme="majorBidi" w:hAnsiTheme="majorBidi" w:cstheme="majorBidi"/>
        </w:rPr>
        <w:sectPr w:rsidR="008E613B" w:rsidSect="00E5670F">
          <w:pgSz w:w="12240" w:h="15840" w:code="1"/>
          <w:pgMar w:top="1440" w:right="1800" w:bottom="1440" w:left="1800" w:header="720" w:footer="576" w:gutter="0"/>
          <w:lnNumType w:countBy="1"/>
          <w:cols w:space="720"/>
          <w:titlePg/>
          <w:docGrid w:linePitch="360"/>
        </w:sectPr>
      </w:pPr>
      <w:r w:rsidRPr="008D56A9">
        <w:rPr>
          <w:rFonts w:asciiTheme="majorBidi" w:hAnsiTheme="majorBidi" w:cstheme="majorBidi"/>
        </w:rPr>
        <w:t xml:space="preserve">Overall, a </w:t>
      </w:r>
      <w:r>
        <w:rPr>
          <w:rFonts w:asciiTheme="majorBidi" w:hAnsiTheme="majorBidi" w:cstheme="majorBidi"/>
        </w:rPr>
        <w:t>Fixed Charge</w:t>
      </w:r>
      <w:r w:rsidRPr="008D56A9">
        <w:rPr>
          <w:rFonts w:asciiTheme="majorBidi" w:hAnsiTheme="majorBidi" w:cstheme="majorBidi"/>
        </w:rPr>
        <w:t xml:space="preserve"> rate design has intra-class impacts, invariably shifting cost from high</w:t>
      </w:r>
      <w:r>
        <w:rPr>
          <w:rFonts w:asciiTheme="majorBidi" w:hAnsiTheme="majorBidi" w:cstheme="majorBidi"/>
        </w:rPr>
        <w:t>-</w:t>
      </w:r>
      <w:r w:rsidRPr="008D56A9">
        <w:rPr>
          <w:rFonts w:asciiTheme="majorBidi" w:hAnsiTheme="majorBidi" w:cstheme="majorBidi"/>
        </w:rPr>
        <w:t>usage, high</w:t>
      </w:r>
      <w:r>
        <w:rPr>
          <w:rFonts w:asciiTheme="majorBidi" w:hAnsiTheme="majorBidi" w:cstheme="majorBidi"/>
        </w:rPr>
        <w:t>-</w:t>
      </w:r>
      <w:r w:rsidRPr="008D56A9">
        <w:rPr>
          <w:rFonts w:asciiTheme="majorBidi" w:hAnsiTheme="majorBidi" w:cstheme="majorBidi"/>
        </w:rPr>
        <w:t>income customers to low usage or low income/fixed income customers.  Increasing natural gas bills presents an undue hardship for low usage, low income/fixed income customers and may lead to increasing PIPP arrearages</w:t>
      </w:r>
      <w:r>
        <w:rPr>
          <w:rFonts w:asciiTheme="majorBidi" w:hAnsiTheme="majorBidi" w:cstheme="majorBidi"/>
        </w:rPr>
        <w:t xml:space="preserve"> and costs</w:t>
      </w:r>
      <w:r w:rsidRPr="008D56A9">
        <w:rPr>
          <w:rFonts w:asciiTheme="majorBidi" w:hAnsiTheme="majorBidi" w:cstheme="majorBidi"/>
        </w:rPr>
        <w:t>.</w:t>
      </w:r>
    </w:p>
    <w:p w14:paraId="545E7B7F" w14:textId="402673B6" w:rsidR="00E5670F" w:rsidRPr="008D56A9" w:rsidRDefault="00E5670F" w:rsidP="00E5670F">
      <w:pPr>
        <w:pStyle w:val="Heading1"/>
        <w:rPr>
          <w:rFonts w:asciiTheme="majorBidi" w:hAnsiTheme="majorBidi" w:cstheme="majorBidi"/>
        </w:rPr>
      </w:pPr>
      <w:bookmarkStart w:id="20" w:name="_Toc536435626"/>
      <w:r w:rsidRPr="008D56A9">
        <w:rPr>
          <w:rFonts w:asciiTheme="majorBidi" w:hAnsiTheme="majorBidi" w:cstheme="majorBidi"/>
        </w:rPr>
        <w:lastRenderedPageBreak/>
        <w:t>V.</w:t>
      </w:r>
      <w:r w:rsidRPr="008D56A9">
        <w:rPr>
          <w:rFonts w:asciiTheme="majorBidi" w:hAnsiTheme="majorBidi" w:cstheme="majorBidi"/>
        </w:rPr>
        <w:tab/>
        <w:t xml:space="preserve">OTHER CONCERNS WITH A STRICT </w:t>
      </w:r>
      <w:r>
        <w:rPr>
          <w:rFonts w:asciiTheme="majorBidi" w:hAnsiTheme="majorBidi" w:cstheme="majorBidi"/>
        </w:rPr>
        <w:t>FIXED CHARGE</w:t>
      </w:r>
      <w:r w:rsidRPr="008D56A9">
        <w:rPr>
          <w:rFonts w:asciiTheme="majorBidi" w:hAnsiTheme="majorBidi" w:cstheme="majorBidi"/>
        </w:rPr>
        <w:t xml:space="preserve"> RATE DESIGN</w:t>
      </w:r>
      <w:bookmarkEnd w:id="20"/>
    </w:p>
    <w:p w14:paraId="47B49E17" w14:textId="77777777" w:rsidR="00E5670F" w:rsidRPr="008D56A9" w:rsidRDefault="00E5670F" w:rsidP="00E5670F">
      <w:pPr>
        <w:spacing w:line="480" w:lineRule="auto"/>
        <w:ind w:left="720"/>
        <w:rPr>
          <w:rFonts w:asciiTheme="majorBidi" w:hAnsiTheme="majorBidi" w:cstheme="majorBidi"/>
          <w:bCs/>
          <w:iCs/>
        </w:rPr>
      </w:pPr>
    </w:p>
    <w:p w14:paraId="7721A1DB" w14:textId="77777777" w:rsidR="00E5670F" w:rsidRPr="008D56A9" w:rsidRDefault="00E5670F" w:rsidP="00E5670F">
      <w:pPr>
        <w:spacing w:line="480" w:lineRule="auto"/>
        <w:ind w:left="720" w:hanging="720"/>
        <w:rPr>
          <w:rFonts w:asciiTheme="majorBidi" w:hAnsiTheme="majorBidi" w:cstheme="majorBidi"/>
          <w:b/>
          <w:bCs/>
          <w:i/>
          <w:iCs/>
        </w:rPr>
      </w:pPr>
      <w:r w:rsidRPr="008D56A9">
        <w:rPr>
          <w:rFonts w:asciiTheme="majorBidi" w:hAnsiTheme="majorBidi" w:cstheme="majorBidi"/>
          <w:b/>
          <w:bCs/>
          <w:i/>
          <w:iCs/>
        </w:rPr>
        <w:t>Q1</w:t>
      </w:r>
      <w:r w:rsidR="006D2EBE">
        <w:rPr>
          <w:rFonts w:asciiTheme="majorBidi" w:hAnsiTheme="majorBidi" w:cstheme="majorBidi"/>
          <w:b/>
          <w:bCs/>
          <w:i/>
          <w:iCs/>
        </w:rPr>
        <w:t>2</w:t>
      </w:r>
      <w:r w:rsidRPr="008D56A9">
        <w:rPr>
          <w:rFonts w:asciiTheme="majorBidi" w:hAnsiTheme="majorBidi" w:cstheme="majorBidi"/>
          <w:b/>
          <w:bCs/>
          <w:i/>
          <w:iCs/>
        </w:rPr>
        <w:t>.</w:t>
      </w:r>
      <w:r w:rsidRPr="008D56A9">
        <w:rPr>
          <w:rFonts w:asciiTheme="majorBidi" w:hAnsiTheme="majorBidi" w:cstheme="majorBidi"/>
          <w:b/>
          <w:bCs/>
          <w:i/>
          <w:iCs/>
        </w:rPr>
        <w:tab/>
        <w:t xml:space="preserve">WHAT OTHER PROBLEMS MAY A STRICT </w:t>
      </w:r>
      <w:r>
        <w:rPr>
          <w:rFonts w:asciiTheme="majorBidi" w:hAnsiTheme="majorBidi" w:cstheme="majorBidi"/>
          <w:b/>
          <w:bCs/>
          <w:i/>
          <w:iCs/>
        </w:rPr>
        <w:t>FIXED CHARGE</w:t>
      </w:r>
      <w:r w:rsidRPr="008D56A9">
        <w:rPr>
          <w:rFonts w:asciiTheme="majorBidi" w:hAnsiTheme="majorBidi" w:cstheme="majorBidi"/>
          <w:b/>
          <w:bCs/>
          <w:i/>
          <w:iCs/>
        </w:rPr>
        <w:t xml:space="preserve"> EXACERBATE?</w:t>
      </w:r>
    </w:p>
    <w:p w14:paraId="604B5607" w14:textId="77777777" w:rsidR="00E5670F" w:rsidRPr="008D56A9" w:rsidRDefault="00E5670F" w:rsidP="00E5670F">
      <w:pPr>
        <w:spacing w:line="480" w:lineRule="auto"/>
        <w:ind w:left="720" w:hanging="720"/>
        <w:rPr>
          <w:rFonts w:asciiTheme="majorBidi" w:hAnsiTheme="majorBidi" w:cstheme="majorBidi"/>
          <w:bCs/>
          <w:iCs/>
        </w:rPr>
      </w:pPr>
      <w:r w:rsidRPr="008D56A9">
        <w:rPr>
          <w:rFonts w:asciiTheme="majorBidi" w:hAnsiTheme="majorBidi" w:cstheme="majorBidi"/>
          <w:b/>
          <w:bCs/>
          <w:i/>
          <w:iCs/>
        </w:rPr>
        <w:t>A1</w:t>
      </w:r>
      <w:r w:rsidR="006D2EBE">
        <w:rPr>
          <w:rFonts w:asciiTheme="majorBidi" w:hAnsiTheme="majorBidi" w:cstheme="majorBidi"/>
          <w:b/>
          <w:bCs/>
          <w:i/>
          <w:iCs/>
        </w:rPr>
        <w:t>2</w:t>
      </w:r>
      <w:r w:rsidRPr="008D56A9">
        <w:rPr>
          <w:rFonts w:asciiTheme="majorBidi" w:hAnsiTheme="majorBidi" w:cstheme="majorBidi"/>
          <w:b/>
          <w:bCs/>
          <w:i/>
          <w:iCs/>
        </w:rPr>
        <w:t>.</w:t>
      </w:r>
      <w:r w:rsidRPr="008D56A9">
        <w:rPr>
          <w:rFonts w:asciiTheme="majorBidi" w:hAnsiTheme="majorBidi" w:cstheme="majorBidi"/>
          <w:b/>
          <w:bCs/>
          <w:i/>
          <w:iCs/>
        </w:rPr>
        <w:tab/>
      </w:r>
      <w:r w:rsidRPr="008D56A9">
        <w:rPr>
          <w:rFonts w:asciiTheme="majorBidi" w:hAnsiTheme="majorBidi" w:cstheme="majorBidi"/>
          <w:bCs/>
          <w:iCs/>
        </w:rPr>
        <w:t xml:space="preserve">While a strict </w:t>
      </w:r>
      <w:r>
        <w:rPr>
          <w:rFonts w:asciiTheme="majorBidi" w:hAnsiTheme="majorBidi" w:cstheme="majorBidi"/>
          <w:bCs/>
          <w:iCs/>
        </w:rPr>
        <w:t>Fixed Charge</w:t>
      </w:r>
      <w:r w:rsidRPr="008D56A9">
        <w:rPr>
          <w:rFonts w:asciiTheme="majorBidi" w:hAnsiTheme="majorBidi" w:cstheme="majorBidi"/>
          <w:bCs/>
          <w:iCs/>
        </w:rPr>
        <w:t xml:space="preserve"> rate design is easy to administer, it contains other elements that are problematic.</w:t>
      </w:r>
    </w:p>
    <w:p w14:paraId="453033F8" w14:textId="77777777" w:rsidR="00E5670F" w:rsidRPr="008D56A9" w:rsidRDefault="00E5670F" w:rsidP="00E5670F">
      <w:pPr>
        <w:pStyle w:val="ListParagraph"/>
        <w:numPr>
          <w:ilvl w:val="0"/>
          <w:numId w:val="42"/>
        </w:numPr>
        <w:spacing w:line="480" w:lineRule="auto"/>
        <w:ind w:left="2160" w:right="720" w:hanging="720"/>
        <w:rPr>
          <w:rFonts w:asciiTheme="majorBidi" w:hAnsiTheme="majorBidi" w:cstheme="majorBidi"/>
          <w:bCs/>
          <w:iCs/>
          <w:sz w:val="24"/>
          <w:szCs w:val="24"/>
        </w:rPr>
      </w:pPr>
      <w:r w:rsidRPr="008D56A9">
        <w:rPr>
          <w:rFonts w:asciiTheme="majorBidi" w:hAnsiTheme="majorBidi" w:cstheme="majorBidi"/>
          <w:b/>
          <w:bCs/>
          <w:iCs/>
          <w:sz w:val="24"/>
          <w:szCs w:val="24"/>
        </w:rPr>
        <w:t>A strict</w:t>
      </w:r>
      <w:r w:rsidRPr="008D56A9">
        <w:rPr>
          <w:rFonts w:asciiTheme="majorBidi" w:hAnsiTheme="majorBidi" w:cstheme="majorBidi"/>
          <w:bCs/>
          <w:iCs/>
          <w:sz w:val="24"/>
          <w:szCs w:val="24"/>
        </w:rPr>
        <w:t xml:space="preserve"> </w:t>
      </w:r>
      <w:r>
        <w:rPr>
          <w:rFonts w:asciiTheme="majorBidi" w:hAnsiTheme="majorBidi" w:cstheme="majorBidi"/>
          <w:b/>
          <w:sz w:val="24"/>
          <w:szCs w:val="24"/>
        </w:rPr>
        <w:t>Fixed Charge</w:t>
      </w:r>
      <w:r w:rsidRPr="008D56A9">
        <w:rPr>
          <w:rFonts w:asciiTheme="majorBidi" w:hAnsiTheme="majorBidi" w:cstheme="majorBidi"/>
          <w:b/>
          <w:sz w:val="24"/>
          <w:szCs w:val="24"/>
        </w:rPr>
        <w:t xml:space="preserve"> rate design penalizes those customers who have undertaken energy efficiency investments.  </w:t>
      </w:r>
      <w:r w:rsidRPr="008D56A9">
        <w:rPr>
          <w:rFonts w:asciiTheme="majorBidi" w:hAnsiTheme="majorBidi" w:cstheme="majorBidi"/>
          <w:sz w:val="24"/>
          <w:szCs w:val="24"/>
        </w:rPr>
        <w:t xml:space="preserve">This occurs because the higher fixed charge results in a lower per </w:t>
      </w:r>
      <w:proofErr w:type="spellStart"/>
      <w:r w:rsidRPr="008D56A9">
        <w:rPr>
          <w:rFonts w:asciiTheme="majorBidi" w:hAnsiTheme="majorBidi" w:cstheme="majorBidi"/>
          <w:sz w:val="24"/>
          <w:szCs w:val="24"/>
        </w:rPr>
        <w:t>Ccf</w:t>
      </w:r>
      <w:proofErr w:type="spellEnd"/>
      <w:r w:rsidRPr="008D56A9">
        <w:rPr>
          <w:rFonts w:asciiTheme="majorBidi" w:hAnsiTheme="majorBidi" w:cstheme="majorBidi"/>
          <w:sz w:val="24"/>
          <w:szCs w:val="24"/>
        </w:rPr>
        <w:t xml:space="preserve"> charge.  The lower volumetric charge encourages consumption and discourages customer-initiated conservation and, adversely affects the </w:t>
      </w:r>
      <w:r>
        <w:rPr>
          <w:rFonts w:asciiTheme="majorBidi" w:hAnsiTheme="majorBidi" w:cstheme="majorBidi"/>
          <w:sz w:val="24"/>
          <w:szCs w:val="24"/>
        </w:rPr>
        <w:t>Utility’s</w:t>
      </w:r>
      <w:r w:rsidRPr="008D56A9">
        <w:rPr>
          <w:rFonts w:asciiTheme="majorBidi" w:hAnsiTheme="majorBidi" w:cstheme="majorBidi"/>
          <w:sz w:val="24"/>
          <w:szCs w:val="24"/>
        </w:rPr>
        <w:t xml:space="preserve"> and its customers' energy efficiency efforts.  Customers who have invested in additional home insulation, purchased more efficient furnaces and water heaters as a rational response to increasing gas costs will see their investment returns diminished and payback periods increased as a result of a </w:t>
      </w:r>
      <w:r>
        <w:rPr>
          <w:rFonts w:asciiTheme="majorBidi" w:hAnsiTheme="majorBidi" w:cstheme="majorBidi"/>
          <w:sz w:val="24"/>
          <w:szCs w:val="24"/>
        </w:rPr>
        <w:t>Fixed Charge</w:t>
      </w:r>
      <w:r w:rsidRPr="008D56A9">
        <w:rPr>
          <w:rFonts w:asciiTheme="majorBidi" w:hAnsiTheme="majorBidi" w:cstheme="majorBidi"/>
          <w:sz w:val="24"/>
          <w:szCs w:val="24"/>
        </w:rPr>
        <w:t xml:space="preserve"> rate design.  </w:t>
      </w:r>
    </w:p>
    <w:p w14:paraId="65467A5F" w14:textId="77777777" w:rsidR="00E5670F" w:rsidRPr="008D56A9" w:rsidRDefault="00E5670F" w:rsidP="00E5670F">
      <w:pPr>
        <w:pStyle w:val="ListParagraph"/>
        <w:numPr>
          <w:ilvl w:val="0"/>
          <w:numId w:val="42"/>
        </w:numPr>
        <w:tabs>
          <w:tab w:val="left" w:pos="630"/>
        </w:tabs>
        <w:autoSpaceDE w:val="0"/>
        <w:autoSpaceDN w:val="0"/>
        <w:adjustRightInd w:val="0"/>
        <w:spacing w:line="480" w:lineRule="auto"/>
        <w:ind w:left="2160" w:right="720" w:hanging="720"/>
        <w:rPr>
          <w:rFonts w:asciiTheme="majorBidi" w:hAnsiTheme="majorBidi" w:cstheme="majorBidi"/>
          <w:bCs/>
          <w:iCs/>
          <w:sz w:val="24"/>
          <w:szCs w:val="24"/>
        </w:rPr>
      </w:pPr>
      <w:r w:rsidRPr="008D56A9">
        <w:rPr>
          <w:rFonts w:asciiTheme="majorBidi" w:hAnsiTheme="majorBidi" w:cstheme="majorBidi"/>
          <w:b/>
          <w:sz w:val="24"/>
          <w:szCs w:val="24"/>
        </w:rPr>
        <w:t xml:space="preserve">A strict </w:t>
      </w:r>
      <w:r>
        <w:rPr>
          <w:rFonts w:asciiTheme="majorBidi" w:hAnsiTheme="majorBidi" w:cstheme="majorBidi"/>
          <w:b/>
          <w:sz w:val="24"/>
          <w:szCs w:val="24"/>
        </w:rPr>
        <w:t>Fixed Charge</w:t>
      </w:r>
      <w:r w:rsidRPr="008D56A9">
        <w:rPr>
          <w:rFonts w:asciiTheme="majorBidi" w:hAnsiTheme="majorBidi" w:cstheme="majorBidi"/>
          <w:b/>
          <w:sz w:val="24"/>
          <w:szCs w:val="24"/>
        </w:rPr>
        <w:t xml:space="preserve"> rate design leads to less energy efficiency by lessening consumer incentives for self-initiated efficiency.</w:t>
      </w:r>
      <w:r w:rsidRPr="008D56A9">
        <w:rPr>
          <w:rFonts w:asciiTheme="majorBidi" w:hAnsiTheme="majorBidi" w:cstheme="majorBidi"/>
          <w:sz w:val="24"/>
          <w:szCs w:val="24"/>
        </w:rPr>
        <w:t xml:space="preserve">  A </w:t>
      </w:r>
      <w:r>
        <w:rPr>
          <w:rFonts w:asciiTheme="majorBidi" w:hAnsiTheme="majorBidi" w:cstheme="majorBidi"/>
          <w:sz w:val="24"/>
          <w:szCs w:val="24"/>
        </w:rPr>
        <w:t>Fixed Charge</w:t>
      </w:r>
      <w:r w:rsidRPr="008D56A9">
        <w:rPr>
          <w:rFonts w:asciiTheme="majorBidi" w:hAnsiTheme="majorBidi" w:cstheme="majorBidi"/>
          <w:sz w:val="24"/>
          <w:szCs w:val="24"/>
        </w:rPr>
        <w:t xml:space="preserve"> rate design lengthens </w:t>
      </w:r>
      <w:r w:rsidRPr="008D56A9">
        <w:rPr>
          <w:rFonts w:asciiTheme="majorBidi" w:hAnsiTheme="majorBidi" w:cstheme="majorBidi"/>
          <w:sz w:val="24"/>
          <w:szCs w:val="24"/>
        </w:rPr>
        <w:lastRenderedPageBreak/>
        <w:t>the payback period</w:t>
      </w:r>
      <w:r>
        <w:rPr>
          <w:rStyle w:val="FootnoteReference"/>
          <w:rFonts w:asciiTheme="majorBidi" w:hAnsiTheme="majorBidi" w:cstheme="majorBidi"/>
          <w:sz w:val="24"/>
          <w:szCs w:val="24"/>
        </w:rPr>
        <w:footnoteReference w:id="12"/>
      </w:r>
      <w:r w:rsidRPr="008D56A9">
        <w:rPr>
          <w:rFonts w:asciiTheme="majorBidi" w:hAnsiTheme="majorBidi" w:cstheme="majorBidi"/>
          <w:sz w:val="24"/>
          <w:szCs w:val="24"/>
        </w:rPr>
        <w:t xml:space="preserve"> of customers contemplating energy efficiency investments by eliminating the variable portion of the distribution rate.</w:t>
      </w:r>
    </w:p>
    <w:p w14:paraId="5BD18113" w14:textId="32B7B6D3" w:rsidR="00E5670F" w:rsidRDefault="00E5670F" w:rsidP="00E5670F">
      <w:pPr>
        <w:pStyle w:val="ListParagraph"/>
        <w:numPr>
          <w:ilvl w:val="0"/>
          <w:numId w:val="42"/>
        </w:numPr>
        <w:autoSpaceDE w:val="0"/>
        <w:autoSpaceDN w:val="0"/>
        <w:adjustRightInd w:val="0"/>
        <w:spacing w:after="0" w:line="480" w:lineRule="auto"/>
        <w:ind w:left="2160" w:right="720" w:hanging="720"/>
        <w:rPr>
          <w:rFonts w:asciiTheme="majorBidi" w:hAnsiTheme="majorBidi" w:cstheme="majorBidi"/>
          <w:sz w:val="24"/>
          <w:szCs w:val="24"/>
        </w:rPr>
      </w:pPr>
      <w:r w:rsidRPr="008D56A9">
        <w:rPr>
          <w:rFonts w:asciiTheme="majorBidi" w:hAnsiTheme="majorBidi" w:cstheme="majorBidi"/>
          <w:b/>
          <w:sz w:val="24"/>
          <w:szCs w:val="24"/>
        </w:rPr>
        <w:t xml:space="preserve">A strict </w:t>
      </w:r>
      <w:r>
        <w:rPr>
          <w:rFonts w:asciiTheme="majorBidi" w:hAnsiTheme="majorBidi" w:cstheme="majorBidi"/>
          <w:b/>
          <w:sz w:val="24"/>
          <w:szCs w:val="24"/>
        </w:rPr>
        <w:t>Fixed Charge</w:t>
      </w:r>
      <w:r w:rsidRPr="008D56A9">
        <w:rPr>
          <w:rFonts w:asciiTheme="majorBidi" w:hAnsiTheme="majorBidi" w:cstheme="majorBidi"/>
          <w:b/>
          <w:sz w:val="24"/>
          <w:szCs w:val="24"/>
        </w:rPr>
        <w:t xml:space="preserve"> </w:t>
      </w:r>
      <w:r>
        <w:rPr>
          <w:rFonts w:asciiTheme="majorBidi" w:hAnsiTheme="majorBidi" w:cstheme="majorBidi"/>
          <w:b/>
          <w:sz w:val="24"/>
          <w:szCs w:val="24"/>
        </w:rPr>
        <w:t>sends improper</w:t>
      </w:r>
      <w:r w:rsidRPr="008D56A9">
        <w:rPr>
          <w:rFonts w:asciiTheme="majorBidi" w:hAnsiTheme="majorBidi" w:cstheme="majorBidi"/>
          <w:b/>
          <w:sz w:val="24"/>
          <w:szCs w:val="24"/>
        </w:rPr>
        <w:t xml:space="preserve"> price signals, encouraging more natural gas consumption that may conflict with energy efficiency policy goals</w:t>
      </w:r>
      <w:r>
        <w:rPr>
          <w:rFonts w:asciiTheme="majorBidi" w:hAnsiTheme="majorBidi" w:cstheme="majorBidi"/>
          <w:b/>
          <w:sz w:val="24"/>
          <w:szCs w:val="24"/>
        </w:rPr>
        <w:t xml:space="preserve"> (Objection 15)</w:t>
      </w:r>
      <w:r w:rsidRPr="008D56A9">
        <w:rPr>
          <w:rFonts w:asciiTheme="majorBidi" w:hAnsiTheme="majorBidi" w:cstheme="majorBidi"/>
          <w:b/>
          <w:sz w:val="24"/>
          <w:szCs w:val="24"/>
        </w:rPr>
        <w:t>.</w:t>
      </w:r>
      <w:r w:rsidRPr="008D56A9">
        <w:rPr>
          <w:rFonts w:asciiTheme="majorBidi" w:hAnsiTheme="majorBidi" w:cstheme="majorBidi"/>
          <w:sz w:val="24"/>
          <w:szCs w:val="24"/>
        </w:rPr>
        <w:t xml:space="preserve">  For example, ORC 4905.70 states that “The public utilities commission shall initiate programs that will promote and encourage conservation of energy and a reduction in the growth rate of energy consumption, promote economic efficiencies, and take into account long-run incremental costs.”  A lower volumetric charge that encourages consumption may adversely affect the </w:t>
      </w:r>
      <w:r>
        <w:rPr>
          <w:rFonts w:asciiTheme="majorBidi" w:hAnsiTheme="majorBidi" w:cstheme="majorBidi"/>
          <w:sz w:val="24"/>
          <w:szCs w:val="24"/>
        </w:rPr>
        <w:t>Utility’s</w:t>
      </w:r>
      <w:r w:rsidRPr="008D56A9">
        <w:rPr>
          <w:rFonts w:asciiTheme="majorBidi" w:hAnsiTheme="majorBidi" w:cstheme="majorBidi"/>
          <w:sz w:val="24"/>
          <w:szCs w:val="24"/>
        </w:rPr>
        <w:t xml:space="preserve"> and its custo</w:t>
      </w:r>
      <w:r>
        <w:rPr>
          <w:rFonts w:asciiTheme="majorBidi" w:hAnsiTheme="majorBidi" w:cstheme="majorBidi"/>
          <w:sz w:val="24"/>
          <w:szCs w:val="24"/>
        </w:rPr>
        <w:t>mers' energy efficiency efforts.</w:t>
      </w:r>
      <w:r>
        <w:rPr>
          <w:rStyle w:val="FootnoteReference"/>
          <w:rFonts w:asciiTheme="majorBidi" w:hAnsiTheme="majorBidi" w:cstheme="majorBidi"/>
          <w:sz w:val="24"/>
          <w:szCs w:val="24"/>
        </w:rPr>
        <w:footnoteReference w:id="13"/>
      </w:r>
    </w:p>
    <w:p w14:paraId="0F51ABB1" w14:textId="77777777" w:rsidR="00E5670F" w:rsidRDefault="00E5670F" w:rsidP="00E5670F">
      <w:pPr>
        <w:autoSpaceDE w:val="0"/>
        <w:autoSpaceDN w:val="0"/>
        <w:adjustRightInd w:val="0"/>
        <w:spacing w:line="480" w:lineRule="auto"/>
        <w:ind w:right="720"/>
        <w:rPr>
          <w:rFonts w:asciiTheme="majorBidi" w:hAnsiTheme="majorBidi" w:cstheme="majorBidi"/>
        </w:rPr>
      </w:pPr>
    </w:p>
    <w:p w14:paraId="4B346D75" w14:textId="77777777" w:rsidR="00E5670F" w:rsidRPr="00D26BAF" w:rsidRDefault="00E5670F" w:rsidP="00E5670F">
      <w:pPr>
        <w:pStyle w:val="ListParagraph"/>
        <w:numPr>
          <w:ilvl w:val="0"/>
          <w:numId w:val="42"/>
        </w:numPr>
        <w:autoSpaceDE w:val="0"/>
        <w:autoSpaceDN w:val="0"/>
        <w:adjustRightInd w:val="0"/>
        <w:spacing w:line="480" w:lineRule="auto"/>
        <w:ind w:left="2160" w:right="720" w:hanging="720"/>
        <w:rPr>
          <w:rFonts w:asciiTheme="majorBidi" w:hAnsiTheme="majorBidi" w:cstheme="majorBidi"/>
          <w:b/>
          <w:sz w:val="24"/>
          <w:szCs w:val="24"/>
        </w:rPr>
      </w:pPr>
      <w:r w:rsidRPr="00D26BAF">
        <w:rPr>
          <w:rFonts w:asciiTheme="majorBidi" w:hAnsiTheme="majorBidi" w:cstheme="majorBidi"/>
          <w:b/>
          <w:sz w:val="24"/>
          <w:szCs w:val="24"/>
        </w:rPr>
        <w:t xml:space="preserve">A strict </w:t>
      </w:r>
      <w:r>
        <w:rPr>
          <w:rFonts w:asciiTheme="majorBidi" w:hAnsiTheme="majorBidi" w:cstheme="majorBidi"/>
          <w:b/>
          <w:sz w:val="24"/>
          <w:szCs w:val="24"/>
        </w:rPr>
        <w:t>Fixed Charge</w:t>
      </w:r>
      <w:r w:rsidRPr="00D26BAF">
        <w:rPr>
          <w:rFonts w:asciiTheme="majorBidi" w:hAnsiTheme="majorBidi" w:cstheme="majorBidi"/>
          <w:b/>
          <w:sz w:val="24"/>
          <w:szCs w:val="24"/>
        </w:rPr>
        <w:t xml:space="preserve"> rate design has a more extreme impact when compared to a revenue reconciling form of decoupling.  </w:t>
      </w:r>
      <w:r w:rsidRPr="00D26BAF">
        <w:rPr>
          <w:rFonts w:asciiTheme="majorBidi" w:hAnsiTheme="majorBidi" w:cstheme="majorBidi"/>
          <w:sz w:val="24"/>
          <w:szCs w:val="24"/>
        </w:rPr>
        <w:t xml:space="preserve">The Utility has not presented any evidence </w:t>
      </w:r>
      <w:r w:rsidRPr="00D26BAF">
        <w:rPr>
          <w:rFonts w:asciiTheme="majorBidi" w:hAnsiTheme="majorBidi" w:cstheme="majorBidi"/>
          <w:sz w:val="24"/>
          <w:szCs w:val="24"/>
        </w:rPr>
        <w:lastRenderedPageBreak/>
        <w:t>that the increase in its fixed charge will be well accepted by customers.  In fact, the large increase in the customer charge for all customers and the increased bills of low usage customers may be a recipe for customer complaints and protests.</w:t>
      </w:r>
      <w:r w:rsidRPr="00541103">
        <w:rPr>
          <w:rStyle w:val="FootnoteReference"/>
          <w:rFonts w:asciiTheme="majorBidi" w:hAnsiTheme="majorBidi" w:cstheme="majorBidi"/>
          <w:sz w:val="24"/>
          <w:szCs w:val="24"/>
        </w:rPr>
        <w:t xml:space="preserve"> </w:t>
      </w:r>
      <w:r w:rsidRPr="00D26BAF">
        <w:rPr>
          <w:rFonts w:asciiTheme="majorBidi" w:hAnsiTheme="majorBidi" w:cstheme="majorBidi"/>
          <w:sz w:val="24"/>
          <w:szCs w:val="24"/>
        </w:rPr>
        <w:t xml:space="preserve">  A sales reconciling form of decoupling without an increase to the customer charge is a less extreme approach because it represents a less dramatic shift in customer bills and its impact does not fall disproportionately on low usage low income and fixed income customers.</w:t>
      </w:r>
    </w:p>
    <w:p w14:paraId="3557F846" w14:textId="77777777" w:rsidR="00E5670F" w:rsidRPr="008D56A9" w:rsidRDefault="00E5670F" w:rsidP="00E5670F">
      <w:pPr>
        <w:pStyle w:val="ListParagraph"/>
        <w:numPr>
          <w:ilvl w:val="0"/>
          <w:numId w:val="42"/>
        </w:numPr>
        <w:autoSpaceDE w:val="0"/>
        <w:autoSpaceDN w:val="0"/>
        <w:adjustRightInd w:val="0"/>
        <w:spacing w:line="480" w:lineRule="auto"/>
        <w:ind w:left="2160" w:right="720" w:hanging="720"/>
        <w:rPr>
          <w:rFonts w:asciiTheme="majorBidi" w:hAnsiTheme="majorBidi" w:cstheme="majorBidi"/>
          <w:sz w:val="24"/>
          <w:szCs w:val="24"/>
        </w:rPr>
      </w:pPr>
      <w:r w:rsidRPr="008D56A9">
        <w:rPr>
          <w:rFonts w:asciiTheme="majorBidi" w:hAnsiTheme="majorBidi" w:cstheme="majorBidi"/>
          <w:b/>
          <w:sz w:val="24"/>
          <w:szCs w:val="24"/>
        </w:rPr>
        <w:t xml:space="preserve">A strict </w:t>
      </w:r>
      <w:r>
        <w:rPr>
          <w:rFonts w:asciiTheme="majorBidi" w:hAnsiTheme="majorBidi" w:cstheme="majorBidi"/>
          <w:b/>
          <w:sz w:val="24"/>
          <w:szCs w:val="24"/>
        </w:rPr>
        <w:t>Fixed Charge</w:t>
      </w:r>
      <w:r w:rsidRPr="008D56A9">
        <w:rPr>
          <w:rFonts w:asciiTheme="majorBidi" w:hAnsiTheme="majorBidi" w:cstheme="majorBidi"/>
          <w:b/>
          <w:sz w:val="24"/>
          <w:szCs w:val="24"/>
        </w:rPr>
        <w:t xml:space="preserve"> rate design violates the tenant of Gradualism</w:t>
      </w:r>
      <w:r>
        <w:rPr>
          <w:rFonts w:asciiTheme="majorBidi" w:hAnsiTheme="majorBidi" w:cstheme="majorBidi"/>
          <w:b/>
          <w:sz w:val="24"/>
          <w:szCs w:val="24"/>
        </w:rPr>
        <w:t xml:space="preserve"> (Objection 15).</w:t>
      </w:r>
      <w:r w:rsidRPr="008D56A9">
        <w:rPr>
          <w:rFonts w:asciiTheme="majorBidi" w:hAnsiTheme="majorBidi" w:cstheme="majorBidi"/>
          <w:b/>
          <w:sz w:val="24"/>
          <w:szCs w:val="24"/>
        </w:rPr>
        <w:t xml:space="preserve"> </w:t>
      </w:r>
      <w:r w:rsidR="00AB26FE" w:rsidRPr="00B25773">
        <w:rPr>
          <w:rFonts w:asciiTheme="majorBidi" w:hAnsiTheme="majorBidi" w:cstheme="majorBidi"/>
          <w:sz w:val="24"/>
          <w:szCs w:val="24"/>
        </w:rPr>
        <w:t>F</w:t>
      </w:r>
      <w:r w:rsidRPr="008D56A9">
        <w:rPr>
          <w:rFonts w:asciiTheme="majorBidi" w:hAnsiTheme="majorBidi" w:cstheme="majorBidi"/>
          <w:sz w:val="24"/>
          <w:szCs w:val="24"/>
        </w:rPr>
        <w:t xml:space="preserve">or low use customers as the numerical examples discussed above clearly demonstrate.   Without some regulatory relief, rate shock for low usage customers usually accompanies a </w:t>
      </w:r>
      <w:r>
        <w:rPr>
          <w:rFonts w:asciiTheme="majorBidi" w:hAnsiTheme="majorBidi" w:cstheme="majorBidi"/>
          <w:sz w:val="24"/>
          <w:szCs w:val="24"/>
        </w:rPr>
        <w:t>Fixed Charge</w:t>
      </w:r>
      <w:r w:rsidRPr="008D56A9">
        <w:rPr>
          <w:rFonts w:asciiTheme="majorBidi" w:hAnsiTheme="majorBidi" w:cstheme="majorBidi"/>
          <w:sz w:val="24"/>
          <w:szCs w:val="24"/>
        </w:rPr>
        <w:t xml:space="preserve"> rate design.</w:t>
      </w:r>
    </w:p>
    <w:p w14:paraId="0ADC55F2" w14:textId="77777777" w:rsidR="00E5670F" w:rsidRPr="008D56A9" w:rsidRDefault="00E5670F" w:rsidP="00E5670F">
      <w:pPr>
        <w:pStyle w:val="ListParagraph"/>
        <w:numPr>
          <w:ilvl w:val="0"/>
          <w:numId w:val="42"/>
        </w:numPr>
        <w:autoSpaceDE w:val="0"/>
        <w:autoSpaceDN w:val="0"/>
        <w:adjustRightInd w:val="0"/>
        <w:spacing w:line="480" w:lineRule="auto"/>
        <w:ind w:left="2160" w:right="720" w:hanging="720"/>
        <w:rPr>
          <w:rFonts w:asciiTheme="majorBidi" w:hAnsiTheme="majorBidi" w:cstheme="majorBidi"/>
          <w:sz w:val="24"/>
          <w:szCs w:val="24"/>
        </w:rPr>
      </w:pPr>
      <w:r w:rsidRPr="008D56A9">
        <w:rPr>
          <w:rFonts w:asciiTheme="majorBidi" w:hAnsiTheme="majorBidi" w:cstheme="majorBidi"/>
          <w:b/>
          <w:sz w:val="24"/>
          <w:szCs w:val="24"/>
        </w:rPr>
        <w:t xml:space="preserve">A strict </w:t>
      </w:r>
      <w:r>
        <w:rPr>
          <w:rFonts w:asciiTheme="majorBidi" w:hAnsiTheme="majorBidi" w:cstheme="majorBidi"/>
          <w:b/>
          <w:sz w:val="24"/>
          <w:szCs w:val="24"/>
        </w:rPr>
        <w:t>Fixed Charge</w:t>
      </w:r>
      <w:r w:rsidRPr="008D56A9">
        <w:rPr>
          <w:rFonts w:asciiTheme="majorBidi" w:hAnsiTheme="majorBidi" w:cstheme="majorBidi"/>
          <w:b/>
          <w:sz w:val="24"/>
          <w:szCs w:val="24"/>
        </w:rPr>
        <w:t xml:space="preserve"> rate design takes away some of the control</w:t>
      </w:r>
      <w:r w:rsidRPr="008D56A9">
        <w:rPr>
          <w:rFonts w:asciiTheme="majorBidi" w:hAnsiTheme="majorBidi" w:cstheme="majorBidi"/>
          <w:sz w:val="24"/>
          <w:szCs w:val="24"/>
        </w:rPr>
        <w:t xml:space="preserve"> </w:t>
      </w:r>
      <w:r w:rsidRPr="00D26BAF">
        <w:rPr>
          <w:rFonts w:asciiTheme="majorBidi" w:hAnsiTheme="majorBidi" w:cstheme="majorBidi"/>
          <w:b/>
          <w:sz w:val="24"/>
          <w:szCs w:val="24"/>
        </w:rPr>
        <w:t xml:space="preserve">customers </w:t>
      </w:r>
      <w:proofErr w:type="gramStart"/>
      <w:r w:rsidRPr="00D26BAF">
        <w:rPr>
          <w:rFonts w:asciiTheme="majorBidi" w:hAnsiTheme="majorBidi" w:cstheme="majorBidi"/>
          <w:b/>
          <w:sz w:val="24"/>
          <w:szCs w:val="24"/>
        </w:rPr>
        <w:t>have to</w:t>
      </w:r>
      <w:proofErr w:type="gramEnd"/>
      <w:r w:rsidRPr="00D26BAF">
        <w:rPr>
          <w:rFonts w:asciiTheme="majorBidi" w:hAnsiTheme="majorBidi" w:cstheme="majorBidi"/>
          <w:b/>
          <w:sz w:val="24"/>
          <w:szCs w:val="24"/>
        </w:rPr>
        <w:t xml:space="preserve"> manage their utility bills.</w:t>
      </w:r>
      <w:r w:rsidRPr="008D56A9">
        <w:rPr>
          <w:rFonts w:asciiTheme="majorBidi" w:hAnsiTheme="majorBidi" w:cstheme="majorBidi"/>
          <w:sz w:val="24"/>
          <w:szCs w:val="24"/>
        </w:rPr>
        <w:t xml:space="preserve"> With all the distribution costs charged on a fixed charge, financially stressed customers can only control the commodity portion of their bill.   This is important because of current lower commodity costs relative to the years the PUCO approved the </w:t>
      </w:r>
      <w:r>
        <w:rPr>
          <w:rFonts w:asciiTheme="majorBidi" w:hAnsiTheme="majorBidi" w:cstheme="majorBidi"/>
          <w:sz w:val="24"/>
          <w:szCs w:val="24"/>
        </w:rPr>
        <w:t>Fixed Charge</w:t>
      </w:r>
      <w:r w:rsidRPr="008D56A9">
        <w:rPr>
          <w:rFonts w:asciiTheme="majorBidi" w:hAnsiTheme="majorBidi" w:cstheme="majorBidi"/>
          <w:sz w:val="24"/>
          <w:szCs w:val="24"/>
        </w:rPr>
        <w:t xml:space="preserve"> rate design.  Fix</w:t>
      </w:r>
      <w:r>
        <w:rPr>
          <w:rFonts w:asciiTheme="majorBidi" w:hAnsiTheme="majorBidi" w:cstheme="majorBidi"/>
          <w:sz w:val="24"/>
          <w:szCs w:val="24"/>
        </w:rPr>
        <w:t>ed</w:t>
      </w:r>
      <w:r w:rsidRPr="008D56A9">
        <w:rPr>
          <w:rFonts w:asciiTheme="majorBidi" w:hAnsiTheme="majorBidi" w:cstheme="majorBidi"/>
          <w:sz w:val="24"/>
          <w:szCs w:val="24"/>
        </w:rPr>
        <w:t xml:space="preserve"> </w:t>
      </w:r>
      <w:r w:rsidRPr="008D56A9">
        <w:rPr>
          <w:rFonts w:asciiTheme="majorBidi" w:hAnsiTheme="majorBidi" w:cstheme="majorBidi"/>
          <w:sz w:val="24"/>
          <w:szCs w:val="24"/>
        </w:rPr>
        <w:lastRenderedPageBreak/>
        <w:t>charges now make up a larger relative portion of a customer’s bill.</w:t>
      </w:r>
    </w:p>
    <w:p w14:paraId="41D9E773" w14:textId="77777777" w:rsidR="00E5670F" w:rsidRPr="008D56A9" w:rsidRDefault="00E5670F" w:rsidP="00E5670F">
      <w:pPr>
        <w:pStyle w:val="ListParagraph"/>
        <w:numPr>
          <w:ilvl w:val="0"/>
          <w:numId w:val="42"/>
        </w:numPr>
        <w:autoSpaceDE w:val="0"/>
        <w:autoSpaceDN w:val="0"/>
        <w:adjustRightInd w:val="0"/>
        <w:spacing w:line="480" w:lineRule="auto"/>
        <w:ind w:left="2160" w:right="720" w:hanging="720"/>
        <w:rPr>
          <w:rFonts w:asciiTheme="majorBidi" w:hAnsiTheme="majorBidi" w:cstheme="majorBidi"/>
          <w:sz w:val="24"/>
          <w:szCs w:val="24"/>
        </w:rPr>
      </w:pPr>
      <w:r w:rsidRPr="008D56A9">
        <w:rPr>
          <w:rFonts w:asciiTheme="majorBidi" w:hAnsiTheme="majorBidi" w:cstheme="majorBidi"/>
          <w:b/>
          <w:bCs/>
          <w:iCs/>
          <w:sz w:val="24"/>
          <w:szCs w:val="24"/>
        </w:rPr>
        <w:t>A strict</w:t>
      </w:r>
      <w:r w:rsidRPr="008D56A9">
        <w:rPr>
          <w:rFonts w:asciiTheme="majorBidi" w:hAnsiTheme="majorBidi" w:cstheme="majorBidi"/>
          <w:bCs/>
          <w:iCs/>
          <w:sz w:val="24"/>
          <w:szCs w:val="24"/>
        </w:rPr>
        <w:t xml:space="preserve"> </w:t>
      </w:r>
      <w:r>
        <w:rPr>
          <w:rFonts w:asciiTheme="majorBidi" w:hAnsiTheme="majorBidi" w:cstheme="majorBidi"/>
          <w:b/>
          <w:sz w:val="24"/>
          <w:szCs w:val="24"/>
        </w:rPr>
        <w:t>Fixed Charge</w:t>
      </w:r>
      <w:r w:rsidRPr="008D56A9">
        <w:rPr>
          <w:rFonts w:asciiTheme="majorBidi" w:hAnsiTheme="majorBidi" w:cstheme="majorBidi"/>
          <w:b/>
          <w:sz w:val="24"/>
          <w:szCs w:val="24"/>
        </w:rPr>
        <w:t xml:space="preserve"> rate design may cause very low usage customers to drop </w:t>
      </w:r>
      <w:proofErr w:type="gramStart"/>
      <w:r w:rsidRPr="008D56A9">
        <w:rPr>
          <w:rFonts w:asciiTheme="majorBidi" w:hAnsiTheme="majorBidi" w:cstheme="majorBidi"/>
          <w:b/>
          <w:sz w:val="24"/>
          <w:szCs w:val="24"/>
        </w:rPr>
        <w:t>off of</w:t>
      </w:r>
      <w:proofErr w:type="gramEnd"/>
      <w:r w:rsidRPr="008D56A9">
        <w:rPr>
          <w:rFonts w:asciiTheme="majorBidi" w:hAnsiTheme="majorBidi" w:cstheme="majorBidi"/>
          <w:b/>
          <w:sz w:val="24"/>
          <w:szCs w:val="24"/>
        </w:rPr>
        <w:t xml:space="preserve"> the system.</w:t>
      </w:r>
      <w:r w:rsidRPr="008D56A9">
        <w:rPr>
          <w:rFonts w:asciiTheme="majorBidi" w:hAnsiTheme="majorBidi" w:cstheme="majorBidi"/>
          <w:sz w:val="24"/>
          <w:szCs w:val="24"/>
        </w:rPr>
        <w:t xml:space="preserve">  A </w:t>
      </w:r>
      <w:r>
        <w:rPr>
          <w:rFonts w:asciiTheme="majorBidi" w:hAnsiTheme="majorBidi" w:cstheme="majorBidi"/>
          <w:sz w:val="24"/>
          <w:szCs w:val="24"/>
        </w:rPr>
        <w:t>Fixed Charge</w:t>
      </w:r>
      <w:r w:rsidRPr="008D56A9">
        <w:rPr>
          <w:rFonts w:asciiTheme="majorBidi" w:hAnsiTheme="majorBidi" w:cstheme="majorBidi"/>
          <w:sz w:val="24"/>
          <w:szCs w:val="24"/>
        </w:rPr>
        <w:t xml:space="preserve"> rate design can result in very low volume users discontinuing their gas service.  For example, those customers who only use natural gas for secondary non-heating purposes such as fireplace logs, decorative lighting</w:t>
      </w:r>
      <w:r>
        <w:rPr>
          <w:rFonts w:asciiTheme="majorBidi" w:hAnsiTheme="majorBidi" w:cstheme="majorBidi"/>
          <w:sz w:val="24"/>
          <w:szCs w:val="24"/>
        </w:rPr>
        <w:t>,</w:t>
      </w:r>
      <w:r w:rsidRPr="008D56A9">
        <w:rPr>
          <w:rFonts w:asciiTheme="majorBidi" w:hAnsiTheme="majorBidi" w:cstheme="majorBidi"/>
          <w:sz w:val="24"/>
          <w:szCs w:val="24"/>
        </w:rPr>
        <w:t xml:space="preserve"> and outdoor grills may opt to switch to other energy sources. </w:t>
      </w:r>
    </w:p>
    <w:p w14:paraId="5F910C01" w14:textId="5DB1037B" w:rsidR="00E5670F" w:rsidRPr="00416B8A" w:rsidRDefault="00E5670F" w:rsidP="00E5670F">
      <w:pPr>
        <w:pStyle w:val="ListParagraph"/>
        <w:numPr>
          <w:ilvl w:val="0"/>
          <w:numId w:val="42"/>
        </w:numPr>
        <w:autoSpaceDE w:val="0"/>
        <w:autoSpaceDN w:val="0"/>
        <w:adjustRightInd w:val="0"/>
        <w:spacing w:line="480" w:lineRule="auto"/>
        <w:ind w:left="2160" w:right="720" w:hanging="720"/>
        <w:rPr>
          <w:rFonts w:asciiTheme="majorBidi" w:hAnsiTheme="majorBidi" w:cstheme="majorBidi"/>
          <w:sz w:val="24"/>
          <w:szCs w:val="24"/>
          <w:u w:val="single"/>
        </w:rPr>
      </w:pPr>
      <w:r w:rsidRPr="00416B8A">
        <w:rPr>
          <w:rFonts w:asciiTheme="majorBidi" w:hAnsiTheme="majorBidi" w:cstheme="majorBidi"/>
          <w:b/>
          <w:sz w:val="24"/>
          <w:szCs w:val="24"/>
        </w:rPr>
        <w:t xml:space="preserve">There is also currently a push by some in the environmental community for fuel switching from </w:t>
      </w:r>
      <w:proofErr w:type="gramStart"/>
      <w:r w:rsidRPr="00416B8A">
        <w:rPr>
          <w:rFonts w:asciiTheme="majorBidi" w:hAnsiTheme="majorBidi" w:cstheme="majorBidi"/>
          <w:b/>
          <w:sz w:val="24"/>
          <w:szCs w:val="24"/>
        </w:rPr>
        <w:t>all</w:t>
      </w:r>
      <w:r w:rsidR="008E613B">
        <w:rPr>
          <w:rFonts w:asciiTheme="majorBidi" w:hAnsiTheme="majorBidi" w:cstheme="majorBidi"/>
          <w:b/>
          <w:sz w:val="24"/>
          <w:szCs w:val="24"/>
        </w:rPr>
        <w:t xml:space="preserve"> </w:t>
      </w:r>
      <w:r w:rsidRPr="00416B8A">
        <w:rPr>
          <w:rFonts w:asciiTheme="majorBidi" w:hAnsiTheme="majorBidi" w:cstheme="majorBidi"/>
          <w:b/>
          <w:sz w:val="24"/>
          <w:szCs w:val="24"/>
        </w:rPr>
        <w:t>natural</w:t>
      </w:r>
      <w:proofErr w:type="gramEnd"/>
      <w:r w:rsidRPr="00416B8A">
        <w:rPr>
          <w:rFonts w:asciiTheme="majorBidi" w:hAnsiTheme="majorBidi" w:cstheme="majorBidi"/>
          <w:b/>
          <w:sz w:val="24"/>
          <w:szCs w:val="24"/>
        </w:rPr>
        <w:t xml:space="preserve"> gas end-uses to electric end-uses</w:t>
      </w:r>
      <w:r w:rsidRPr="00416B8A">
        <w:rPr>
          <w:rFonts w:asciiTheme="majorBidi" w:hAnsiTheme="majorBidi" w:cstheme="majorBidi"/>
          <w:sz w:val="24"/>
          <w:szCs w:val="24"/>
        </w:rPr>
        <w:t>.  Losing more natural gas customers would then necessitate a further reallocation of the fixed costs they would contribute to remaining customers in the form of higher fixed rates creating increased costs for remaining customers and potentially starting a vicious cycle of ever-increasing costs for potentially fewer customers.</w:t>
      </w:r>
    </w:p>
    <w:p w14:paraId="5A866B69" w14:textId="77777777" w:rsidR="00E5670F" w:rsidRPr="00416B8A" w:rsidRDefault="00E5670F" w:rsidP="00E5670F">
      <w:pPr>
        <w:pStyle w:val="ListParagraph"/>
        <w:numPr>
          <w:ilvl w:val="0"/>
          <w:numId w:val="42"/>
        </w:numPr>
        <w:autoSpaceDE w:val="0"/>
        <w:autoSpaceDN w:val="0"/>
        <w:adjustRightInd w:val="0"/>
        <w:spacing w:line="480" w:lineRule="auto"/>
        <w:ind w:left="2160" w:right="720" w:hanging="720"/>
        <w:rPr>
          <w:rFonts w:asciiTheme="majorBidi" w:hAnsiTheme="majorBidi" w:cstheme="majorBidi"/>
          <w:sz w:val="24"/>
          <w:szCs w:val="24"/>
          <w:u w:val="single"/>
        </w:rPr>
      </w:pPr>
      <w:r w:rsidRPr="00416B8A">
        <w:rPr>
          <w:rFonts w:asciiTheme="majorBidi" w:hAnsiTheme="majorBidi" w:cstheme="majorBidi"/>
          <w:b/>
          <w:bCs/>
          <w:iCs/>
          <w:sz w:val="24"/>
          <w:szCs w:val="24"/>
        </w:rPr>
        <w:t xml:space="preserve">A strict Fixed Charge rate design is an exercise of monopoly power. </w:t>
      </w:r>
      <w:r w:rsidRPr="00416B8A">
        <w:rPr>
          <w:rFonts w:asciiTheme="majorBidi" w:hAnsiTheme="majorBidi" w:cstheme="majorBidi"/>
          <w:bCs/>
          <w:iCs/>
          <w:sz w:val="24"/>
          <w:szCs w:val="24"/>
        </w:rPr>
        <w:t xml:space="preserve">The imposition of a customer fixed charge is not often seen in competitive markets. Even </w:t>
      </w:r>
      <w:r w:rsidRPr="00416B8A">
        <w:rPr>
          <w:rFonts w:asciiTheme="majorBidi" w:hAnsiTheme="majorBidi" w:cstheme="majorBidi"/>
          <w:bCs/>
          <w:iCs/>
          <w:sz w:val="24"/>
          <w:szCs w:val="24"/>
        </w:rPr>
        <w:lastRenderedPageBreak/>
        <w:t>competitive companies with large fixed costs recover their fixed and variable costs through volumetric pricing.   An important aim of regulation is to impart competitive market pricing discipline on natural monopolies.</w:t>
      </w:r>
    </w:p>
    <w:p w14:paraId="71D38E4E" w14:textId="273DF5F7" w:rsidR="00E5670F" w:rsidRDefault="00E5670F" w:rsidP="00E5670F">
      <w:pPr>
        <w:pStyle w:val="ListParagraph"/>
        <w:numPr>
          <w:ilvl w:val="0"/>
          <w:numId w:val="42"/>
        </w:numPr>
        <w:autoSpaceDE w:val="0"/>
        <w:autoSpaceDN w:val="0"/>
        <w:adjustRightInd w:val="0"/>
        <w:spacing w:line="480" w:lineRule="auto"/>
        <w:ind w:left="2160" w:right="720" w:hanging="720"/>
        <w:rPr>
          <w:rFonts w:asciiTheme="majorBidi" w:hAnsiTheme="majorBidi" w:cstheme="majorBidi"/>
          <w:sz w:val="24"/>
          <w:szCs w:val="24"/>
        </w:rPr>
      </w:pPr>
      <w:r w:rsidRPr="008D56A9">
        <w:rPr>
          <w:rFonts w:asciiTheme="majorBidi" w:hAnsiTheme="majorBidi" w:cstheme="majorBidi"/>
          <w:b/>
          <w:sz w:val="24"/>
          <w:szCs w:val="24"/>
        </w:rPr>
        <w:t xml:space="preserve">The strict </w:t>
      </w:r>
      <w:r>
        <w:rPr>
          <w:rFonts w:asciiTheme="majorBidi" w:hAnsiTheme="majorBidi" w:cstheme="majorBidi"/>
          <w:b/>
          <w:sz w:val="24"/>
          <w:szCs w:val="24"/>
        </w:rPr>
        <w:t>Fixed Charge</w:t>
      </w:r>
      <w:r w:rsidRPr="008D56A9">
        <w:rPr>
          <w:rFonts w:asciiTheme="majorBidi" w:hAnsiTheme="majorBidi" w:cstheme="majorBidi"/>
          <w:b/>
          <w:sz w:val="24"/>
          <w:szCs w:val="24"/>
        </w:rPr>
        <w:t xml:space="preserve"> rate design is not particularly fair</w:t>
      </w:r>
      <w:r w:rsidR="00F2018F">
        <w:rPr>
          <w:rFonts w:asciiTheme="majorBidi" w:hAnsiTheme="majorBidi" w:cstheme="majorBidi"/>
          <w:b/>
          <w:sz w:val="24"/>
          <w:szCs w:val="24"/>
        </w:rPr>
        <w:t xml:space="preserve">. </w:t>
      </w:r>
      <w:r w:rsidR="00F2018F">
        <w:rPr>
          <w:rFonts w:asciiTheme="majorBidi" w:hAnsiTheme="majorBidi" w:cstheme="majorBidi"/>
          <w:sz w:val="24"/>
          <w:szCs w:val="24"/>
        </w:rPr>
        <w:t>A</w:t>
      </w:r>
      <w:r w:rsidRPr="008D56A9">
        <w:rPr>
          <w:rFonts w:asciiTheme="majorBidi" w:hAnsiTheme="majorBidi" w:cstheme="majorBidi"/>
          <w:sz w:val="24"/>
          <w:szCs w:val="24"/>
        </w:rPr>
        <w:t>ll residential consumers contribute equally to VEDO’s distribution revenue regardless of the level of their usage.  Those who make a greater use of the distribution system should bear a proportionately greater share of its cost.</w:t>
      </w:r>
      <w:r>
        <w:rPr>
          <w:rStyle w:val="FootnoteReference"/>
          <w:rFonts w:asciiTheme="majorBidi" w:hAnsiTheme="majorBidi" w:cstheme="majorBidi"/>
          <w:sz w:val="24"/>
          <w:szCs w:val="24"/>
        </w:rPr>
        <w:footnoteReference w:id="14"/>
      </w:r>
    </w:p>
    <w:p w14:paraId="59D92625" w14:textId="77777777" w:rsidR="008E613B" w:rsidRDefault="00B25773" w:rsidP="00B25773">
      <w:pPr>
        <w:autoSpaceDE w:val="0"/>
        <w:autoSpaceDN w:val="0"/>
        <w:adjustRightInd w:val="0"/>
        <w:spacing w:line="480" w:lineRule="auto"/>
        <w:ind w:left="720" w:right="720"/>
        <w:rPr>
          <w:rFonts w:asciiTheme="majorBidi" w:hAnsiTheme="majorBidi" w:cstheme="majorBidi"/>
        </w:rPr>
        <w:sectPr w:rsidR="008E613B" w:rsidSect="00E5670F">
          <w:pgSz w:w="12240" w:h="15840" w:code="1"/>
          <w:pgMar w:top="1440" w:right="1800" w:bottom="1440" w:left="1800" w:header="720" w:footer="576" w:gutter="0"/>
          <w:lnNumType w:countBy="1"/>
          <w:cols w:space="720"/>
          <w:titlePg/>
          <w:docGrid w:linePitch="360"/>
        </w:sectPr>
      </w:pPr>
      <w:r>
        <w:rPr>
          <w:rFonts w:asciiTheme="majorBidi" w:hAnsiTheme="majorBidi" w:cstheme="majorBidi"/>
        </w:rPr>
        <w:t>The foregoing elements demonstrate that the Fixed Charge in the Settlement is not in the public interest and violates important regulatory principles.</w:t>
      </w:r>
    </w:p>
    <w:p w14:paraId="5C074D81" w14:textId="77777777" w:rsidR="00E5670F" w:rsidRPr="008D56A9" w:rsidRDefault="00E5670F" w:rsidP="00E5670F">
      <w:pPr>
        <w:pStyle w:val="Heading1"/>
        <w:rPr>
          <w:rFonts w:asciiTheme="majorBidi" w:hAnsiTheme="majorBidi" w:cstheme="majorBidi"/>
        </w:rPr>
      </w:pPr>
      <w:bookmarkStart w:id="21" w:name="_Toc536435627"/>
      <w:r w:rsidRPr="008D56A9">
        <w:rPr>
          <w:rFonts w:asciiTheme="majorBidi" w:hAnsiTheme="majorBidi" w:cstheme="majorBidi"/>
        </w:rPr>
        <w:lastRenderedPageBreak/>
        <w:t>V</w:t>
      </w:r>
      <w:r w:rsidR="007A49DA">
        <w:rPr>
          <w:rFonts w:asciiTheme="majorBidi" w:hAnsiTheme="majorBidi" w:cstheme="majorBidi"/>
        </w:rPr>
        <w:t>I</w:t>
      </w:r>
      <w:r w:rsidRPr="008D56A9">
        <w:rPr>
          <w:rFonts w:asciiTheme="majorBidi" w:hAnsiTheme="majorBidi" w:cstheme="majorBidi"/>
        </w:rPr>
        <w:t>.</w:t>
      </w:r>
      <w:r w:rsidRPr="008D56A9">
        <w:rPr>
          <w:rFonts w:asciiTheme="majorBidi" w:hAnsiTheme="majorBidi" w:cstheme="majorBidi"/>
        </w:rPr>
        <w:tab/>
        <w:t>REVENUE DECOUPLING</w:t>
      </w:r>
      <w:bookmarkEnd w:id="21"/>
    </w:p>
    <w:p w14:paraId="1F3541C8" w14:textId="77777777" w:rsidR="00E5670F" w:rsidRPr="008D56A9" w:rsidRDefault="00E5670F" w:rsidP="00E5670F">
      <w:pPr>
        <w:spacing w:line="480" w:lineRule="auto"/>
        <w:rPr>
          <w:rFonts w:asciiTheme="majorBidi" w:hAnsiTheme="majorBidi" w:cstheme="majorBidi"/>
          <w:b/>
        </w:rPr>
      </w:pPr>
    </w:p>
    <w:p w14:paraId="5929490E" w14:textId="77777777" w:rsidR="00E5670F" w:rsidRPr="008D56A9" w:rsidRDefault="00E5670F" w:rsidP="00E5670F">
      <w:pPr>
        <w:autoSpaceDE w:val="0"/>
        <w:autoSpaceDN w:val="0"/>
        <w:adjustRightInd w:val="0"/>
        <w:spacing w:line="480" w:lineRule="auto"/>
        <w:ind w:left="720" w:hanging="720"/>
        <w:rPr>
          <w:rFonts w:asciiTheme="majorBidi" w:hAnsiTheme="majorBidi" w:cstheme="majorBidi"/>
          <w:b/>
          <w:bCs/>
          <w:i/>
          <w:iCs/>
        </w:rPr>
      </w:pPr>
      <w:r w:rsidRPr="008D56A9">
        <w:rPr>
          <w:rFonts w:asciiTheme="majorBidi" w:hAnsiTheme="majorBidi" w:cstheme="majorBidi"/>
          <w:b/>
          <w:bCs/>
          <w:i/>
          <w:iCs/>
        </w:rPr>
        <w:t>Q1</w:t>
      </w:r>
      <w:r w:rsidR="006D2EBE">
        <w:rPr>
          <w:rFonts w:asciiTheme="majorBidi" w:hAnsiTheme="majorBidi" w:cstheme="majorBidi"/>
          <w:b/>
          <w:bCs/>
          <w:i/>
          <w:iCs/>
        </w:rPr>
        <w:t>3</w:t>
      </w:r>
      <w:r w:rsidRPr="008D56A9">
        <w:rPr>
          <w:rFonts w:asciiTheme="majorBidi" w:hAnsiTheme="majorBidi" w:cstheme="majorBidi"/>
          <w:b/>
          <w:bCs/>
          <w:i/>
          <w:iCs/>
        </w:rPr>
        <w:t>.</w:t>
      </w:r>
      <w:r w:rsidRPr="008D56A9">
        <w:rPr>
          <w:rFonts w:asciiTheme="majorBidi" w:hAnsiTheme="majorBidi" w:cstheme="majorBidi"/>
          <w:b/>
          <w:bCs/>
          <w:i/>
          <w:iCs/>
        </w:rPr>
        <w:tab/>
        <w:t>ARE YOU ALSO RECOMMENDING THAT VEDO IMPLEMENT A REVENUE DECOUPLING MECHANISM IF THE PUCO APPROVES A VOLUMETRIC COMPONENT TO THE RESIDENTIAL DISTRIBUTION RATE DESIGN</w:t>
      </w:r>
      <w:r>
        <w:rPr>
          <w:rFonts w:asciiTheme="majorBidi" w:hAnsiTheme="majorBidi" w:cstheme="majorBidi"/>
          <w:b/>
          <w:bCs/>
          <w:i/>
          <w:iCs/>
        </w:rPr>
        <w:t xml:space="preserve"> (Objection 16)</w:t>
      </w:r>
      <w:r w:rsidRPr="008D56A9">
        <w:rPr>
          <w:rFonts w:asciiTheme="majorBidi" w:hAnsiTheme="majorBidi" w:cstheme="majorBidi"/>
          <w:b/>
          <w:bCs/>
          <w:i/>
          <w:iCs/>
        </w:rPr>
        <w:t xml:space="preserve">? </w:t>
      </w:r>
    </w:p>
    <w:p w14:paraId="1FE48F28" w14:textId="77777777" w:rsidR="00E5670F" w:rsidRPr="008D56A9" w:rsidRDefault="00E5670F" w:rsidP="00E5670F">
      <w:pPr>
        <w:spacing w:line="480" w:lineRule="auto"/>
        <w:rPr>
          <w:rFonts w:asciiTheme="majorBidi" w:hAnsiTheme="majorBidi" w:cstheme="majorBidi"/>
        </w:rPr>
      </w:pPr>
      <w:r w:rsidRPr="008D56A9">
        <w:rPr>
          <w:rFonts w:asciiTheme="majorBidi" w:hAnsiTheme="majorBidi" w:cstheme="majorBidi"/>
          <w:b/>
          <w:bCs/>
          <w:i/>
          <w:iCs/>
        </w:rPr>
        <w:t>A1</w:t>
      </w:r>
      <w:r w:rsidR="006D2EBE">
        <w:rPr>
          <w:rFonts w:asciiTheme="majorBidi" w:hAnsiTheme="majorBidi" w:cstheme="majorBidi"/>
          <w:b/>
          <w:bCs/>
          <w:i/>
          <w:iCs/>
        </w:rPr>
        <w:t>3</w:t>
      </w:r>
      <w:r w:rsidRPr="008D56A9">
        <w:rPr>
          <w:rFonts w:asciiTheme="majorBidi" w:hAnsiTheme="majorBidi" w:cstheme="majorBidi"/>
          <w:b/>
          <w:bCs/>
          <w:i/>
          <w:iCs/>
        </w:rPr>
        <w:t>.</w:t>
      </w:r>
      <w:r w:rsidRPr="008D56A9">
        <w:rPr>
          <w:rFonts w:asciiTheme="majorBidi" w:hAnsiTheme="majorBidi" w:cstheme="majorBidi"/>
          <w:b/>
          <w:bCs/>
          <w:i/>
          <w:iCs/>
        </w:rPr>
        <w:tab/>
      </w:r>
      <w:r w:rsidRPr="008D56A9">
        <w:rPr>
          <w:rFonts w:asciiTheme="majorBidi" w:hAnsiTheme="majorBidi" w:cstheme="majorBidi"/>
          <w:bCs/>
          <w:iCs/>
        </w:rPr>
        <w:t>Yes.</w:t>
      </w:r>
    </w:p>
    <w:p w14:paraId="1E54A8AE" w14:textId="77777777" w:rsidR="00E5670F" w:rsidRPr="008D56A9" w:rsidRDefault="00E5670F" w:rsidP="00E5670F">
      <w:pPr>
        <w:spacing w:line="480" w:lineRule="auto"/>
        <w:rPr>
          <w:rFonts w:asciiTheme="majorBidi" w:hAnsiTheme="majorBidi" w:cstheme="majorBidi"/>
          <w:b/>
        </w:rPr>
      </w:pPr>
    </w:p>
    <w:p w14:paraId="30D7E910" w14:textId="77777777" w:rsidR="00E5670F" w:rsidRPr="008D56A9" w:rsidRDefault="00E5670F" w:rsidP="00E5670F">
      <w:pPr>
        <w:autoSpaceDE w:val="0"/>
        <w:autoSpaceDN w:val="0"/>
        <w:adjustRightInd w:val="0"/>
        <w:spacing w:line="480" w:lineRule="auto"/>
        <w:ind w:left="720" w:hanging="720"/>
        <w:rPr>
          <w:rFonts w:asciiTheme="majorBidi" w:hAnsiTheme="majorBidi" w:cstheme="majorBidi"/>
          <w:b/>
          <w:bCs/>
          <w:i/>
          <w:iCs/>
        </w:rPr>
      </w:pPr>
      <w:r w:rsidRPr="008D56A9">
        <w:rPr>
          <w:rFonts w:asciiTheme="majorBidi" w:hAnsiTheme="majorBidi" w:cstheme="majorBidi"/>
          <w:b/>
          <w:bCs/>
          <w:i/>
          <w:iCs/>
        </w:rPr>
        <w:t>Q1</w:t>
      </w:r>
      <w:r w:rsidR="006D2EBE">
        <w:rPr>
          <w:rFonts w:asciiTheme="majorBidi" w:hAnsiTheme="majorBidi" w:cstheme="majorBidi"/>
          <w:b/>
          <w:bCs/>
          <w:i/>
          <w:iCs/>
        </w:rPr>
        <w:t>4</w:t>
      </w:r>
      <w:r w:rsidRPr="008D56A9">
        <w:rPr>
          <w:rFonts w:asciiTheme="majorBidi" w:hAnsiTheme="majorBidi" w:cstheme="majorBidi"/>
          <w:b/>
          <w:bCs/>
          <w:i/>
          <w:iCs/>
        </w:rPr>
        <w:t>.</w:t>
      </w:r>
      <w:r w:rsidRPr="008D56A9">
        <w:rPr>
          <w:rFonts w:asciiTheme="majorBidi" w:hAnsiTheme="majorBidi" w:cstheme="majorBidi"/>
          <w:b/>
          <w:bCs/>
          <w:i/>
          <w:iCs/>
        </w:rPr>
        <w:tab/>
        <w:t xml:space="preserve">WHAT IS A REVENUE DECOUPLING MECHANISM? </w:t>
      </w:r>
    </w:p>
    <w:p w14:paraId="1FE2A426" w14:textId="77777777" w:rsidR="008E613B" w:rsidRDefault="00E5670F" w:rsidP="00E5670F">
      <w:pPr>
        <w:spacing w:line="480" w:lineRule="auto"/>
        <w:ind w:left="720" w:hanging="720"/>
        <w:rPr>
          <w:rFonts w:asciiTheme="majorBidi" w:hAnsiTheme="majorBidi" w:cstheme="majorBidi"/>
        </w:rPr>
        <w:sectPr w:rsidR="008E613B" w:rsidSect="00E5670F">
          <w:pgSz w:w="12240" w:h="15840" w:code="1"/>
          <w:pgMar w:top="1440" w:right="1800" w:bottom="1440" w:left="1800" w:header="720" w:footer="576" w:gutter="0"/>
          <w:lnNumType w:countBy="1"/>
          <w:cols w:space="720"/>
          <w:titlePg/>
          <w:docGrid w:linePitch="360"/>
        </w:sectPr>
      </w:pPr>
      <w:r w:rsidRPr="008D56A9">
        <w:rPr>
          <w:rFonts w:asciiTheme="majorBidi" w:hAnsiTheme="majorBidi" w:cstheme="majorBidi"/>
          <w:b/>
          <w:bCs/>
          <w:i/>
          <w:iCs/>
        </w:rPr>
        <w:t>A1</w:t>
      </w:r>
      <w:r w:rsidR="006D2EBE">
        <w:rPr>
          <w:rFonts w:asciiTheme="majorBidi" w:hAnsiTheme="majorBidi" w:cstheme="majorBidi"/>
          <w:b/>
          <w:bCs/>
          <w:i/>
          <w:iCs/>
        </w:rPr>
        <w:t>4</w:t>
      </w:r>
      <w:r w:rsidRPr="008D56A9">
        <w:rPr>
          <w:rFonts w:asciiTheme="majorBidi" w:hAnsiTheme="majorBidi" w:cstheme="majorBidi"/>
          <w:b/>
          <w:bCs/>
          <w:i/>
          <w:iCs/>
        </w:rPr>
        <w:t>.</w:t>
      </w:r>
      <w:r w:rsidRPr="008D56A9">
        <w:rPr>
          <w:rFonts w:asciiTheme="majorBidi" w:hAnsiTheme="majorBidi" w:cstheme="majorBidi"/>
          <w:b/>
          <w:bCs/>
          <w:i/>
          <w:iCs/>
        </w:rPr>
        <w:tab/>
      </w:r>
      <w:r w:rsidRPr="008D56A9">
        <w:rPr>
          <w:rFonts w:asciiTheme="majorBidi" w:hAnsiTheme="majorBidi" w:cstheme="majorBidi"/>
        </w:rPr>
        <w:t xml:space="preserve">Revenue decoupling is an approach to rate design that addresses the revenues that can be lost when customers use less utility service such as when they are participating in energy efficiency programs.   </w:t>
      </w:r>
      <w:r>
        <w:rPr>
          <w:rFonts w:asciiTheme="majorBidi" w:hAnsiTheme="majorBidi" w:cstheme="majorBidi"/>
        </w:rPr>
        <w:t xml:space="preserve">The symmetrical mechanism of a decoupling mechanism will reconcile VEDO’s revenue loss with a true-up annually and provide residential customers with a credit when VEDO’s authorized revenue requirement is exceeded.   </w:t>
      </w:r>
      <w:r w:rsidRPr="008D56A9">
        <w:rPr>
          <w:rFonts w:asciiTheme="majorBidi" w:hAnsiTheme="majorBidi" w:cstheme="majorBidi"/>
        </w:rPr>
        <w:t xml:space="preserve">Decoupling can be defined generally as separating utility revenues and profits from the volume of kWh sold.  Decoupling mechanically trues-up revenues via a per </w:t>
      </w:r>
      <w:proofErr w:type="spellStart"/>
      <w:r w:rsidRPr="008D56A9">
        <w:rPr>
          <w:rFonts w:asciiTheme="majorBidi" w:hAnsiTheme="majorBidi" w:cstheme="majorBidi"/>
        </w:rPr>
        <w:t>Ccf</w:t>
      </w:r>
      <w:proofErr w:type="spellEnd"/>
      <w:r w:rsidRPr="008D56A9">
        <w:rPr>
          <w:rFonts w:asciiTheme="majorBidi" w:hAnsiTheme="majorBidi" w:cstheme="majorBidi"/>
        </w:rPr>
        <w:t xml:space="preserve"> rider adjustment when actual sales are different than the test year levels approved in a utility's distribution rate case.</w:t>
      </w:r>
      <w:r>
        <w:rPr>
          <w:rStyle w:val="FootnoteReference"/>
          <w:rFonts w:asciiTheme="majorBidi" w:hAnsiTheme="majorBidi" w:cstheme="majorBidi"/>
        </w:rPr>
        <w:footnoteReference w:id="15"/>
      </w:r>
    </w:p>
    <w:p w14:paraId="07DC0C6A" w14:textId="77777777" w:rsidR="00E5670F" w:rsidRPr="008D56A9" w:rsidRDefault="00E5670F" w:rsidP="00E5670F">
      <w:pPr>
        <w:autoSpaceDE w:val="0"/>
        <w:autoSpaceDN w:val="0"/>
        <w:adjustRightInd w:val="0"/>
        <w:spacing w:line="480" w:lineRule="auto"/>
        <w:ind w:left="720" w:hanging="720"/>
        <w:rPr>
          <w:rFonts w:asciiTheme="majorBidi" w:hAnsiTheme="majorBidi" w:cstheme="majorBidi"/>
          <w:b/>
          <w:bCs/>
          <w:i/>
          <w:iCs/>
        </w:rPr>
      </w:pPr>
      <w:r w:rsidRPr="008D56A9">
        <w:rPr>
          <w:rFonts w:asciiTheme="majorBidi" w:hAnsiTheme="majorBidi" w:cstheme="majorBidi"/>
          <w:b/>
          <w:bCs/>
          <w:i/>
          <w:iCs/>
        </w:rPr>
        <w:lastRenderedPageBreak/>
        <w:t>Q1</w:t>
      </w:r>
      <w:r w:rsidR="006D2EBE">
        <w:rPr>
          <w:rFonts w:asciiTheme="majorBidi" w:hAnsiTheme="majorBidi" w:cstheme="majorBidi"/>
          <w:b/>
          <w:bCs/>
          <w:i/>
          <w:iCs/>
        </w:rPr>
        <w:t>5</w:t>
      </w:r>
      <w:r w:rsidRPr="008D56A9">
        <w:rPr>
          <w:rFonts w:asciiTheme="majorBidi" w:hAnsiTheme="majorBidi" w:cstheme="majorBidi"/>
          <w:b/>
          <w:bCs/>
          <w:i/>
          <w:iCs/>
        </w:rPr>
        <w:t>.</w:t>
      </w:r>
      <w:r w:rsidRPr="008D56A9">
        <w:rPr>
          <w:rFonts w:asciiTheme="majorBidi" w:hAnsiTheme="majorBidi" w:cstheme="majorBidi"/>
          <w:b/>
          <w:bCs/>
          <w:i/>
          <w:iCs/>
        </w:rPr>
        <w:tab/>
        <w:t>WHAT CONSUMER PROTECTIONS USUALLY ACCOMPANY REVENUE DECOUPLING MECHANISMS.?</w:t>
      </w:r>
    </w:p>
    <w:p w14:paraId="1FD4FE46" w14:textId="77777777" w:rsidR="00E5670F" w:rsidRPr="008D56A9" w:rsidRDefault="00E5670F" w:rsidP="00E5670F">
      <w:pPr>
        <w:autoSpaceDE w:val="0"/>
        <w:autoSpaceDN w:val="0"/>
        <w:adjustRightInd w:val="0"/>
        <w:spacing w:line="480" w:lineRule="auto"/>
        <w:ind w:left="720" w:hanging="720"/>
        <w:rPr>
          <w:rFonts w:asciiTheme="majorBidi" w:hAnsiTheme="majorBidi" w:cstheme="majorBidi"/>
          <w:bCs/>
          <w:iCs/>
        </w:rPr>
      </w:pPr>
      <w:r w:rsidRPr="008D56A9">
        <w:rPr>
          <w:rFonts w:asciiTheme="majorBidi" w:hAnsiTheme="majorBidi" w:cstheme="majorBidi"/>
          <w:b/>
          <w:bCs/>
          <w:i/>
          <w:iCs/>
        </w:rPr>
        <w:t>A1</w:t>
      </w:r>
      <w:r w:rsidR="006D2EBE">
        <w:rPr>
          <w:rFonts w:asciiTheme="majorBidi" w:hAnsiTheme="majorBidi" w:cstheme="majorBidi"/>
          <w:b/>
          <w:bCs/>
          <w:i/>
          <w:iCs/>
        </w:rPr>
        <w:t>5</w:t>
      </w:r>
      <w:r w:rsidRPr="008D56A9">
        <w:rPr>
          <w:rFonts w:asciiTheme="majorBidi" w:hAnsiTheme="majorBidi" w:cstheme="majorBidi"/>
          <w:b/>
          <w:bCs/>
          <w:i/>
          <w:iCs/>
        </w:rPr>
        <w:t>.</w:t>
      </w:r>
      <w:r w:rsidRPr="008D56A9">
        <w:rPr>
          <w:rFonts w:asciiTheme="majorBidi" w:hAnsiTheme="majorBidi" w:cstheme="majorBidi"/>
          <w:b/>
          <w:bCs/>
          <w:i/>
          <w:iCs/>
        </w:rPr>
        <w:tab/>
      </w:r>
      <w:r w:rsidRPr="008D56A9">
        <w:rPr>
          <w:rFonts w:asciiTheme="majorBidi" w:hAnsiTheme="majorBidi" w:cstheme="majorBidi"/>
          <w:bCs/>
          <w:iCs/>
        </w:rPr>
        <w:t>The consumer protections that have been adopted in Ohio are:</w:t>
      </w:r>
    </w:p>
    <w:p w14:paraId="492B8D02" w14:textId="77777777" w:rsidR="00E5670F" w:rsidRPr="008D56A9" w:rsidRDefault="00E5670F" w:rsidP="00E5670F">
      <w:pPr>
        <w:autoSpaceDE w:val="0"/>
        <w:autoSpaceDN w:val="0"/>
        <w:adjustRightInd w:val="0"/>
        <w:spacing w:line="480" w:lineRule="auto"/>
        <w:ind w:left="720" w:hanging="720"/>
        <w:rPr>
          <w:rFonts w:asciiTheme="majorBidi" w:hAnsiTheme="majorBidi" w:cstheme="majorBidi"/>
        </w:rPr>
      </w:pPr>
    </w:p>
    <w:p w14:paraId="26CD6DCE" w14:textId="77777777" w:rsidR="00E5670F" w:rsidRPr="008D56A9" w:rsidRDefault="00E5670F" w:rsidP="00E5670F">
      <w:pPr>
        <w:pStyle w:val="ListParagraph"/>
        <w:numPr>
          <w:ilvl w:val="0"/>
          <w:numId w:val="35"/>
        </w:numPr>
        <w:autoSpaceDE w:val="0"/>
        <w:autoSpaceDN w:val="0"/>
        <w:adjustRightInd w:val="0"/>
        <w:spacing w:line="480" w:lineRule="auto"/>
        <w:ind w:left="2160" w:right="720" w:hanging="720"/>
        <w:rPr>
          <w:rFonts w:asciiTheme="majorBidi" w:hAnsiTheme="majorBidi" w:cstheme="majorBidi"/>
        </w:rPr>
      </w:pPr>
      <w:r w:rsidRPr="008D56A9">
        <w:rPr>
          <w:rFonts w:asciiTheme="majorBidi" w:hAnsiTheme="majorBidi" w:cstheme="majorBidi"/>
          <w:sz w:val="24"/>
          <w:szCs w:val="24"/>
        </w:rPr>
        <w:t>The revenue decoupling mechanisms approved contain an annual cap to protect consumers</w:t>
      </w:r>
      <w:r>
        <w:rPr>
          <w:rFonts w:asciiTheme="majorBidi" w:hAnsiTheme="majorBidi" w:cstheme="majorBidi"/>
          <w:sz w:val="24"/>
          <w:szCs w:val="24"/>
        </w:rPr>
        <w:t xml:space="preserve"> (a</w:t>
      </w:r>
      <w:r w:rsidRPr="008D56A9">
        <w:rPr>
          <w:rFonts w:asciiTheme="majorBidi" w:hAnsiTheme="majorBidi" w:cstheme="majorBidi"/>
          <w:sz w:val="24"/>
          <w:szCs w:val="24"/>
        </w:rPr>
        <w:t xml:space="preserve"> three percent annual cap is the norm</w:t>
      </w:r>
      <w:r>
        <w:rPr>
          <w:rFonts w:asciiTheme="majorBidi" w:hAnsiTheme="majorBidi" w:cstheme="majorBidi"/>
          <w:sz w:val="24"/>
          <w:szCs w:val="24"/>
        </w:rPr>
        <w:t>);</w:t>
      </w:r>
      <w:r>
        <w:rPr>
          <w:rStyle w:val="FootnoteReference"/>
          <w:rFonts w:asciiTheme="majorBidi" w:hAnsiTheme="majorBidi" w:cstheme="majorBidi"/>
          <w:sz w:val="24"/>
          <w:szCs w:val="24"/>
        </w:rPr>
        <w:footnoteReference w:id="16"/>
      </w:r>
    </w:p>
    <w:p w14:paraId="100F6A00" w14:textId="77777777" w:rsidR="008E613B" w:rsidRDefault="00E5670F" w:rsidP="008E613B">
      <w:pPr>
        <w:pStyle w:val="ListParagraph"/>
        <w:numPr>
          <w:ilvl w:val="0"/>
          <w:numId w:val="35"/>
        </w:numPr>
        <w:autoSpaceDE w:val="0"/>
        <w:autoSpaceDN w:val="0"/>
        <w:adjustRightInd w:val="0"/>
        <w:spacing w:line="480" w:lineRule="auto"/>
        <w:ind w:left="2160" w:right="720" w:hanging="720"/>
        <w:rPr>
          <w:rFonts w:asciiTheme="majorBidi" w:hAnsiTheme="majorBidi" w:cstheme="majorBidi"/>
          <w:sz w:val="24"/>
          <w:szCs w:val="24"/>
        </w:rPr>
      </w:pPr>
      <w:r w:rsidRPr="008E613B">
        <w:rPr>
          <w:rFonts w:asciiTheme="majorBidi" w:hAnsiTheme="majorBidi" w:cstheme="majorBidi"/>
          <w:sz w:val="24"/>
          <w:szCs w:val="24"/>
        </w:rPr>
        <w:t>The revenue decoupling rider rate designs are based on easily understood per kWh (</w:t>
      </w:r>
      <w:proofErr w:type="spellStart"/>
      <w:r w:rsidRPr="008E613B">
        <w:rPr>
          <w:rFonts w:asciiTheme="majorBidi" w:hAnsiTheme="majorBidi" w:cstheme="majorBidi"/>
          <w:sz w:val="24"/>
          <w:szCs w:val="24"/>
        </w:rPr>
        <w:t>Ccf</w:t>
      </w:r>
      <w:proofErr w:type="spellEnd"/>
      <w:r w:rsidRPr="008E613B">
        <w:rPr>
          <w:rFonts w:asciiTheme="majorBidi" w:hAnsiTheme="majorBidi" w:cstheme="majorBidi"/>
          <w:sz w:val="24"/>
          <w:szCs w:val="24"/>
        </w:rPr>
        <w:t xml:space="preserve"> for LDCs) charge; and</w:t>
      </w:r>
    </w:p>
    <w:p w14:paraId="671439F2" w14:textId="6AF9E692" w:rsidR="00E5670F" w:rsidRPr="008E613B" w:rsidRDefault="00E5670F" w:rsidP="008E613B">
      <w:pPr>
        <w:pStyle w:val="ListParagraph"/>
        <w:numPr>
          <w:ilvl w:val="0"/>
          <w:numId w:val="35"/>
        </w:numPr>
        <w:autoSpaceDE w:val="0"/>
        <w:autoSpaceDN w:val="0"/>
        <w:adjustRightInd w:val="0"/>
        <w:spacing w:line="480" w:lineRule="auto"/>
        <w:ind w:left="2160" w:right="720" w:hanging="720"/>
        <w:rPr>
          <w:rFonts w:asciiTheme="majorBidi" w:hAnsiTheme="majorBidi" w:cstheme="majorBidi"/>
          <w:sz w:val="24"/>
          <w:szCs w:val="24"/>
        </w:rPr>
      </w:pPr>
      <w:r w:rsidRPr="008E613B">
        <w:rPr>
          <w:rFonts w:asciiTheme="majorBidi" w:hAnsiTheme="majorBidi" w:cstheme="majorBidi"/>
          <w:sz w:val="24"/>
          <w:szCs w:val="24"/>
        </w:rPr>
        <w:t>The interest on the annual revenue balances is at the long-term cost of debt (rather than the weighted average cost of capital [WACC]).</w:t>
      </w:r>
      <w:r>
        <w:rPr>
          <w:rStyle w:val="FootnoteReference"/>
          <w:rFonts w:asciiTheme="majorBidi" w:hAnsiTheme="majorBidi" w:cstheme="majorBidi"/>
          <w:sz w:val="24"/>
          <w:szCs w:val="24"/>
        </w:rPr>
        <w:footnoteReference w:id="17"/>
      </w:r>
      <w:bookmarkStart w:id="22" w:name="_Toc421705453"/>
    </w:p>
    <w:p w14:paraId="0DFFE7F6" w14:textId="58DF9222" w:rsidR="00093960" w:rsidRPr="00B25773" w:rsidRDefault="00B25773" w:rsidP="00B25773">
      <w:pPr>
        <w:autoSpaceDE w:val="0"/>
        <w:autoSpaceDN w:val="0"/>
        <w:adjustRightInd w:val="0"/>
        <w:spacing w:line="480" w:lineRule="auto"/>
        <w:ind w:left="720" w:right="720"/>
        <w:rPr>
          <w:rFonts w:asciiTheme="majorBidi" w:hAnsiTheme="majorBidi" w:cstheme="majorBidi"/>
        </w:rPr>
      </w:pPr>
      <w:r>
        <w:rPr>
          <w:rFonts w:asciiTheme="majorBidi" w:hAnsiTheme="majorBidi" w:cstheme="majorBidi"/>
        </w:rPr>
        <w:t>These consumer safeguards ensure that the public interest is protected</w:t>
      </w:r>
      <w:r w:rsidR="001D6716">
        <w:rPr>
          <w:rFonts w:asciiTheme="majorBidi" w:hAnsiTheme="majorBidi" w:cstheme="majorBidi"/>
        </w:rPr>
        <w:t xml:space="preserve"> and are consistent with important regulatory principles</w:t>
      </w:r>
      <w:r>
        <w:rPr>
          <w:rFonts w:asciiTheme="majorBidi" w:hAnsiTheme="majorBidi" w:cstheme="majorBidi"/>
        </w:rPr>
        <w:t xml:space="preserve">. </w:t>
      </w:r>
    </w:p>
    <w:p w14:paraId="2D728330" w14:textId="77777777" w:rsidR="00E5670F" w:rsidRPr="008D56A9" w:rsidRDefault="00E5670F" w:rsidP="00E5670F">
      <w:pPr>
        <w:pStyle w:val="Heading1"/>
        <w:rPr>
          <w:rFonts w:asciiTheme="majorBidi" w:hAnsiTheme="majorBidi" w:cstheme="majorBidi"/>
        </w:rPr>
      </w:pPr>
      <w:bookmarkStart w:id="23" w:name="_Toc517443772"/>
      <w:bookmarkStart w:id="24" w:name="_Toc536435628"/>
      <w:r w:rsidRPr="008D56A9">
        <w:rPr>
          <w:rFonts w:asciiTheme="majorBidi" w:hAnsiTheme="majorBidi" w:cstheme="majorBidi"/>
        </w:rPr>
        <w:lastRenderedPageBreak/>
        <w:t>VI</w:t>
      </w:r>
      <w:r w:rsidR="00AB26FE">
        <w:rPr>
          <w:rFonts w:asciiTheme="majorBidi" w:hAnsiTheme="majorBidi" w:cstheme="majorBidi"/>
        </w:rPr>
        <w:t>I</w:t>
      </w:r>
      <w:r w:rsidRPr="008D56A9">
        <w:rPr>
          <w:rFonts w:asciiTheme="majorBidi" w:hAnsiTheme="majorBidi" w:cstheme="majorBidi"/>
        </w:rPr>
        <w:t>.</w:t>
      </w:r>
      <w:r w:rsidRPr="008D56A9">
        <w:rPr>
          <w:rFonts w:asciiTheme="majorBidi" w:hAnsiTheme="majorBidi" w:cstheme="majorBidi"/>
        </w:rPr>
        <w:tab/>
      </w:r>
      <w:bookmarkStart w:id="25" w:name="_Toc247688905"/>
      <w:bookmarkStart w:id="26" w:name="_Toc258266228"/>
      <w:bookmarkStart w:id="27" w:name="_Toc258267106"/>
      <w:bookmarkStart w:id="28" w:name="_Toc325370178"/>
      <w:r w:rsidRPr="008D56A9">
        <w:rPr>
          <w:rFonts w:asciiTheme="majorBidi" w:hAnsiTheme="majorBidi" w:cstheme="majorBidi"/>
        </w:rPr>
        <w:t>CONCLUSION</w:t>
      </w:r>
      <w:bookmarkEnd w:id="22"/>
      <w:bookmarkEnd w:id="23"/>
      <w:bookmarkEnd w:id="24"/>
      <w:bookmarkEnd w:id="25"/>
      <w:bookmarkEnd w:id="26"/>
      <w:bookmarkEnd w:id="27"/>
      <w:bookmarkEnd w:id="28"/>
    </w:p>
    <w:p w14:paraId="1D1F9278" w14:textId="77777777" w:rsidR="00E5670F" w:rsidRPr="008D56A9" w:rsidRDefault="00E5670F" w:rsidP="00E5670F">
      <w:pPr>
        <w:pStyle w:val="ListParagraph"/>
        <w:ind w:left="0"/>
        <w:rPr>
          <w:rFonts w:asciiTheme="majorBidi" w:hAnsiTheme="majorBidi" w:cstheme="majorBidi"/>
          <w:sz w:val="24"/>
          <w:szCs w:val="24"/>
        </w:rPr>
      </w:pPr>
    </w:p>
    <w:p w14:paraId="5F42CAC0" w14:textId="77777777" w:rsidR="00E5670F" w:rsidRPr="008D56A9" w:rsidRDefault="00E5670F" w:rsidP="00E5670F">
      <w:pPr>
        <w:spacing w:line="480" w:lineRule="auto"/>
        <w:ind w:left="720" w:hanging="720"/>
        <w:rPr>
          <w:rFonts w:asciiTheme="majorBidi" w:hAnsiTheme="majorBidi" w:cstheme="majorBidi"/>
          <w:b/>
          <w:bCs/>
          <w:i/>
          <w:iCs/>
        </w:rPr>
      </w:pPr>
      <w:r w:rsidRPr="008D56A9">
        <w:rPr>
          <w:rFonts w:asciiTheme="majorBidi" w:hAnsiTheme="majorBidi" w:cstheme="majorBidi"/>
          <w:b/>
          <w:bCs/>
          <w:i/>
          <w:iCs/>
        </w:rPr>
        <w:t>Q1</w:t>
      </w:r>
      <w:r w:rsidR="006D2EBE">
        <w:rPr>
          <w:rFonts w:asciiTheme="majorBidi" w:hAnsiTheme="majorBidi" w:cstheme="majorBidi"/>
          <w:b/>
          <w:bCs/>
          <w:i/>
          <w:iCs/>
        </w:rPr>
        <w:t>6</w:t>
      </w:r>
      <w:r w:rsidRPr="008D56A9">
        <w:rPr>
          <w:rFonts w:asciiTheme="majorBidi" w:hAnsiTheme="majorBidi" w:cstheme="majorBidi"/>
          <w:b/>
          <w:bCs/>
          <w:i/>
          <w:iCs/>
        </w:rPr>
        <w:t>.</w:t>
      </w:r>
      <w:r w:rsidRPr="008D56A9">
        <w:rPr>
          <w:rFonts w:asciiTheme="majorBidi" w:hAnsiTheme="majorBidi" w:cstheme="majorBidi"/>
          <w:b/>
          <w:bCs/>
          <w:i/>
          <w:iCs/>
        </w:rPr>
        <w:tab/>
        <w:t>WHAT ARE YOUR RECOMMENDATIONS?</w:t>
      </w:r>
    </w:p>
    <w:p w14:paraId="20691AB1" w14:textId="235BFA04" w:rsidR="00E5670F" w:rsidRDefault="00E5670F" w:rsidP="00E5670F">
      <w:pPr>
        <w:spacing w:line="480" w:lineRule="auto"/>
        <w:ind w:left="720" w:hanging="720"/>
        <w:rPr>
          <w:rFonts w:asciiTheme="majorBidi" w:hAnsiTheme="majorBidi" w:cstheme="majorBidi"/>
        </w:rPr>
      </w:pPr>
      <w:r w:rsidRPr="008D56A9">
        <w:rPr>
          <w:rFonts w:asciiTheme="majorBidi" w:hAnsiTheme="majorBidi" w:cstheme="majorBidi"/>
          <w:b/>
          <w:bCs/>
          <w:i/>
          <w:iCs/>
        </w:rPr>
        <w:t>A1</w:t>
      </w:r>
      <w:r w:rsidR="006D2EBE">
        <w:rPr>
          <w:rFonts w:asciiTheme="majorBidi" w:hAnsiTheme="majorBidi" w:cstheme="majorBidi"/>
          <w:b/>
          <w:bCs/>
          <w:i/>
          <w:iCs/>
        </w:rPr>
        <w:t>6</w:t>
      </w:r>
      <w:r w:rsidRPr="008D56A9">
        <w:rPr>
          <w:rFonts w:asciiTheme="majorBidi" w:hAnsiTheme="majorBidi" w:cstheme="majorBidi"/>
          <w:b/>
          <w:bCs/>
          <w:i/>
          <w:iCs/>
        </w:rPr>
        <w:t>.</w:t>
      </w:r>
      <w:r w:rsidRPr="008D56A9">
        <w:rPr>
          <w:rFonts w:asciiTheme="majorBidi" w:hAnsiTheme="majorBidi" w:cstheme="majorBidi"/>
          <w:b/>
          <w:bCs/>
          <w:i/>
          <w:iCs/>
        </w:rPr>
        <w:tab/>
      </w:r>
      <w:r w:rsidR="00AF5217">
        <w:t xml:space="preserve">For all of the reasons described above, </w:t>
      </w:r>
      <w:r w:rsidR="00AF5217">
        <w:rPr>
          <w:bCs/>
          <w:iCs/>
        </w:rPr>
        <w:t>t</w:t>
      </w:r>
      <w:r w:rsidR="00AF5217" w:rsidRPr="00AE3D38">
        <w:rPr>
          <w:bCs/>
          <w:iCs/>
        </w:rPr>
        <w:t xml:space="preserve">he PUCO should </w:t>
      </w:r>
      <w:r w:rsidR="00AF5217">
        <w:rPr>
          <w:bCs/>
          <w:iCs/>
        </w:rPr>
        <w:t xml:space="preserve">not adopt the </w:t>
      </w:r>
      <w:r w:rsidR="00AF5217" w:rsidRPr="00AE3D38">
        <w:rPr>
          <w:bCs/>
          <w:iCs/>
        </w:rPr>
        <w:t>Settlement</w:t>
      </w:r>
      <w:r w:rsidR="00AF5217">
        <w:rPr>
          <w:bCs/>
          <w:iCs/>
        </w:rPr>
        <w:t>, as filed, because the</w:t>
      </w:r>
      <w:r w:rsidR="00AF5217" w:rsidRPr="00AE3D38">
        <w:rPr>
          <w:bCs/>
          <w:iCs/>
        </w:rPr>
        <w:t xml:space="preserve"> </w:t>
      </w:r>
      <w:r w:rsidR="00AF5217">
        <w:rPr>
          <w:bCs/>
          <w:iCs/>
        </w:rPr>
        <w:t xml:space="preserve">strict adherence to a </w:t>
      </w:r>
      <w:proofErr w:type="gramStart"/>
      <w:r w:rsidR="00AF5217">
        <w:rPr>
          <w:bCs/>
          <w:iCs/>
        </w:rPr>
        <w:t>Fixed Charge rate design</w:t>
      </w:r>
      <w:r w:rsidR="00AF5217" w:rsidRPr="00AE3D38">
        <w:rPr>
          <w:bCs/>
          <w:iCs/>
        </w:rPr>
        <w:t xml:space="preserve"> </w:t>
      </w:r>
      <w:r w:rsidR="00AF5217">
        <w:rPr>
          <w:bCs/>
          <w:iCs/>
        </w:rPr>
        <w:t>harms</w:t>
      </w:r>
      <w:r w:rsidR="008E613B">
        <w:rPr>
          <w:bCs/>
          <w:iCs/>
        </w:rPr>
        <w:t xml:space="preserve"> </w:t>
      </w:r>
      <w:r w:rsidR="00AF5217">
        <w:rPr>
          <w:bCs/>
          <w:iCs/>
        </w:rPr>
        <w:t>customers</w:t>
      </w:r>
      <w:proofErr w:type="gramEnd"/>
      <w:r w:rsidR="00AF5217">
        <w:rPr>
          <w:bCs/>
          <w:iCs/>
        </w:rPr>
        <w:t xml:space="preserve"> and </w:t>
      </w:r>
      <w:r w:rsidR="00AF5217" w:rsidRPr="00AE3D38">
        <w:rPr>
          <w:bCs/>
          <w:iCs/>
        </w:rPr>
        <w:t>is not in the public interest.</w:t>
      </w:r>
      <w:r w:rsidR="00AF5217">
        <w:rPr>
          <w:bCs/>
          <w:iCs/>
        </w:rPr>
        <w:t xml:space="preserve"> In addition, other OCC witnesses have shown that as a package the Settlement does not benefit customers. </w:t>
      </w:r>
    </w:p>
    <w:p w14:paraId="7B31C433" w14:textId="77777777" w:rsidR="00E5670F" w:rsidRDefault="00E5670F" w:rsidP="00E5670F">
      <w:pPr>
        <w:spacing w:line="480" w:lineRule="auto"/>
        <w:ind w:left="720"/>
        <w:rPr>
          <w:rFonts w:asciiTheme="majorBidi" w:hAnsiTheme="majorBidi" w:cstheme="majorBidi"/>
        </w:rPr>
      </w:pPr>
      <w:r>
        <w:rPr>
          <w:rFonts w:asciiTheme="majorBidi" w:hAnsiTheme="majorBidi" w:cstheme="majorBidi"/>
        </w:rPr>
        <w:t xml:space="preserve">As a secondary alternative, I recommend that the PUCO maintain the current Fixed </w:t>
      </w:r>
      <w:r w:rsidR="007D0E44">
        <w:rPr>
          <w:rFonts w:asciiTheme="majorBidi" w:hAnsiTheme="majorBidi" w:cstheme="majorBidi"/>
        </w:rPr>
        <w:t>Charge</w:t>
      </w:r>
      <w:r>
        <w:rPr>
          <w:rFonts w:asciiTheme="majorBidi" w:hAnsiTheme="majorBidi" w:cstheme="majorBidi"/>
        </w:rPr>
        <w:t xml:space="preserve"> residential charge of $18.37 </w:t>
      </w:r>
      <w:r w:rsidRPr="008D56A9">
        <w:rPr>
          <w:rFonts w:asciiTheme="majorBidi" w:hAnsiTheme="majorBidi" w:cstheme="majorBidi"/>
        </w:rPr>
        <w:t xml:space="preserve">and apply any </w:t>
      </w:r>
      <w:r>
        <w:rPr>
          <w:rFonts w:asciiTheme="majorBidi" w:hAnsiTheme="majorBidi" w:cstheme="majorBidi"/>
        </w:rPr>
        <w:t>PUCO</w:t>
      </w:r>
      <w:r w:rsidRPr="008D56A9">
        <w:rPr>
          <w:rFonts w:asciiTheme="majorBidi" w:hAnsiTheme="majorBidi" w:cstheme="majorBidi"/>
        </w:rPr>
        <w:t xml:space="preserve"> approved base rate increases </w:t>
      </w:r>
      <w:r>
        <w:rPr>
          <w:rFonts w:asciiTheme="majorBidi" w:hAnsiTheme="majorBidi" w:cstheme="majorBidi"/>
        </w:rPr>
        <w:t xml:space="preserve">and DRR </w:t>
      </w:r>
      <w:r w:rsidR="00AF5217">
        <w:rPr>
          <w:rFonts w:asciiTheme="majorBidi" w:hAnsiTheme="majorBidi" w:cstheme="majorBidi"/>
        </w:rPr>
        <w:t xml:space="preserve">and CEP </w:t>
      </w:r>
      <w:r w:rsidRPr="008D56A9">
        <w:rPr>
          <w:rFonts w:asciiTheme="majorBidi" w:hAnsiTheme="majorBidi" w:cstheme="majorBidi"/>
        </w:rPr>
        <w:t xml:space="preserve">to a volumetric rate component. </w:t>
      </w:r>
      <w:r>
        <w:rPr>
          <w:rFonts w:asciiTheme="majorBidi" w:hAnsiTheme="majorBidi" w:cstheme="majorBidi"/>
        </w:rPr>
        <w:t xml:space="preserve"> </w:t>
      </w:r>
      <w:r w:rsidRPr="008D56A9">
        <w:rPr>
          <w:rFonts w:asciiTheme="majorBidi" w:hAnsiTheme="majorBidi" w:cstheme="majorBidi"/>
        </w:rPr>
        <w:t xml:space="preserve"> </w:t>
      </w:r>
    </w:p>
    <w:p w14:paraId="3F40D8CE" w14:textId="77777777" w:rsidR="00E5670F" w:rsidRPr="008D56A9" w:rsidRDefault="00E5670F" w:rsidP="00E5670F">
      <w:pPr>
        <w:spacing w:line="480" w:lineRule="auto"/>
        <w:ind w:left="720"/>
        <w:rPr>
          <w:rFonts w:asciiTheme="majorBidi" w:hAnsiTheme="majorBidi" w:cstheme="majorBidi"/>
        </w:rPr>
      </w:pPr>
      <w:r w:rsidRPr="008D56A9">
        <w:rPr>
          <w:rFonts w:asciiTheme="majorBidi" w:hAnsiTheme="majorBidi" w:cstheme="majorBidi"/>
        </w:rPr>
        <w:t xml:space="preserve">In addition, the </w:t>
      </w:r>
      <w:r>
        <w:rPr>
          <w:rFonts w:asciiTheme="majorBidi" w:hAnsiTheme="majorBidi" w:cstheme="majorBidi"/>
        </w:rPr>
        <w:t>PUCO</w:t>
      </w:r>
      <w:r w:rsidRPr="008D56A9">
        <w:rPr>
          <w:rFonts w:asciiTheme="majorBidi" w:hAnsiTheme="majorBidi" w:cstheme="majorBidi"/>
        </w:rPr>
        <w:t xml:space="preserve"> should approve a volumetric revenue decoupling mechanism.</w:t>
      </w:r>
    </w:p>
    <w:p w14:paraId="35CA2F7A" w14:textId="77777777" w:rsidR="00E5670F" w:rsidRPr="008D56A9" w:rsidRDefault="00E5670F" w:rsidP="00E5670F">
      <w:pPr>
        <w:spacing w:line="480" w:lineRule="auto"/>
        <w:ind w:left="720" w:hanging="720"/>
        <w:rPr>
          <w:rFonts w:asciiTheme="majorBidi" w:hAnsiTheme="majorBidi" w:cstheme="majorBidi"/>
        </w:rPr>
      </w:pPr>
      <w:r w:rsidRPr="008D56A9">
        <w:rPr>
          <w:rFonts w:asciiTheme="majorBidi" w:hAnsiTheme="majorBidi" w:cstheme="majorBidi"/>
        </w:rPr>
        <w:tab/>
      </w:r>
    </w:p>
    <w:p w14:paraId="288C3097" w14:textId="77777777" w:rsidR="00E5670F" w:rsidRPr="008D56A9" w:rsidRDefault="00E5670F" w:rsidP="00E5670F">
      <w:pPr>
        <w:spacing w:line="480" w:lineRule="auto"/>
        <w:ind w:left="720" w:hanging="720"/>
        <w:rPr>
          <w:rFonts w:asciiTheme="majorBidi" w:hAnsiTheme="majorBidi" w:cstheme="majorBidi"/>
          <w:b/>
          <w:bCs/>
          <w:i/>
          <w:iCs/>
        </w:rPr>
      </w:pPr>
      <w:r w:rsidRPr="008D56A9">
        <w:rPr>
          <w:rFonts w:asciiTheme="majorBidi" w:hAnsiTheme="majorBidi" w:cstheme="majorBidi"/>
          <w:b/>
          <w:bCs/>
          <w:i/>
          <w:iCs/>
        </w:rPr>
        <w:t>Q1</w:t>
      </w:r>
      <w:r w:rsidR="008F3871">
        <w:rPr>
          <w:rFonts w:asciiTheme="majorBidi" w:hAnsiTheme="majorBidi" w:cstheme="majorBidi"/>
          <w:b/>
          <w:bCs/>
          <w:i/>
          <w:iCs/>
        </w:rPr>
        <w:t>7</w:t>
      </w:r>
      <w:r w:rsidRPr="008D56A9">
        <w:rPr>
          <w:rFonts w:asciiTheme="majorBidi" w:hAnsiTheme="majorBidi" w:cstheme="majorBidi"/>
          <w:b/>
          <w:bCs/>
          <w:i/>
          <w:iCs/>
        </w:rPr>
        <w:t>.</w:t>
      </w:r>
      <w:r w:rsidRPr="008D56A9">
        <w:rPr>
          <w:rFonts w:asciiTheme="majorBidi" w:hAnsiTheme="majorBidi" w:cstheme="majorBidi"/>
          <w:b/>
          <w:bCs/>
          <w:i/>
          <w:iCs/>
        </w:rPr>
        <w:tab/>
        <w:t>DOES THIS CONCLUDE YOUR TESTIMONY?</w:t>
      </w:r>
    </w:p>
    <w:p w14:paraId="2530DF75" w14:textId="77777777" w:rsidR="00E5670F" w:rsidRPr="008D56A9" w:rsidRDefault="00E5670F" w:rsidP="00E5670F">
      <w:pPr>
        <w:pStyle w:val="BodyTextIndent3"/>
        <w:spacing w:after="0" w:line="480" w:lineRule="auto"/>
        <w:ind w:left="720" w:hanging="720"/>
        <w:rPr>
          <w:rFonts w:asciiTheme="majorBidi" w:hAnsiTheme="majorBidi" w:cstheme="majorBidi"/>
          <w:sz w:val="24"/>
          <w:szCs w:val="24"/>
        </w:rPr>
      </w:pPr>
      <w:r w:rsidRPr="008D56A9">
        <w:rPr>
          <w:rFonts w:asciiTheme="majorBidi" w:hAnsiTheme="majorBidi" w:cstheme="majorBidi"/>
          <w:b/>
          <w:bCs/>
          <w:i/>
          <w:iCs/>
          <w:sz w:val="24"/>
          <w:szCs w:val="24"/>
        </w:rPr>
        <w:t>A1</w:t>
      </w:r>
      <w:r w:rsidR="008F3871">
        <w:rPr>
          <w:rFonts w:asciiTheme="majorBidi" w:hAnsiTheme="majorBidi" w:cstheme="majorBidi"/>
          <w:b/>
          <w:bCs/>
          <w:i/>
          <w:iCs/>
          <w:sz w:val="24"/>
          <w:szCs w:val="24"/>
        </w:rPr>
        <w:t>7</w:t>
      </w:r>
      <w:r w:rsidRPr="008D56A9">
        <w:rPr>
          <w:rFonts w:asciiTheme="majorBidi" w:hAnsiTheme="majorBidi" w:cstheme="majorBidi"/>
          <w:b/>
          <w:bCs/>
          <w:i/>
          <w:iCs/>
          <w:sz w:val="24"/>
          <w:szCs w:val="24"/>
        </w:rPr>
        <w:t>.</w:t>
      </w:r>
      <w:r w:rsidRPr="008D56A9">
        <w:rPr>
          <w:rFonts w:asciiTheme="majorBidi" w:hAnsiTheme="majorBidi" w:cstheme="majorBidi"/>
          <w:b/>
          <w:bCs/>
          <w:i/>
          <w:iCs/>
          <w:sz w:val="24"/>
          <w:szCs w:val="24"/>
        </w:rPr>
        <w:tab/>
      </w:r>
      <w:r w:rsidRPr="008D56A9">
        <w:rPr>
          <w:rFonts w:asciiTheme="majorBidi" w:hAnsiTheme="majorBidi" w:cstheme="majorBidi"/>
          <w:sz w:val="24"/>
          <w:szCs w:val="24"/>
        </w:rPr>
        <w:t xml:space="preserve">Yes.  However, I reserve the right to incorporate new information and/or discovery responses that may subsequently become available.  I also reserve the right to supplement my testimony in response to positions taken by </w:t>
      </w:r>
      <w:r>
        <w:rPr>
          <w:rFonts w:asciiTheme="majorBidi" w:hAnsiTheme="majorBidi" w:cstheme="majorBidi"/>
          <w:sz w:val="24"/>
          <w:szCs w:val="24"/>
        </w:rPr>
        <w:t xml:space="preserve">VEDO </w:t>
      </w:r>
      <w:r w:rsidRPr="008D56A9">
        <w:rPr>
          <w:rFonts w:asciiTheme="majorBidi" w:hAnsiTheme="majorBidi" w:cstheme="majorBidi"/>
          <w:sz w:val="24"/>
          <w:szCs w:val="24"/>
        </w:rPr>
        <w:t>or other parties.</w:t>
      </w:r>
    </w:p>
    <w:p w14:paraId="5EF953BC" w14:textId="77777777" w:rsidR="00E5670F" w:rsidRPr="008D56A9" w:rsidRDefault="00E5670F" w:rsidP="00E5670F">
      <w:pPr>
        <w:pStyle w:val="BodyTextIndent3"/>
        <w:spacing w:after="0" w:line="480" w:lineRule="auto"/>
        <w:ind w:left="720" w:hanging="720"/>
        <w:rPr>
          <w:rFonts w:asciiTheme="majorBidi" w:hAnsiTheme="majorBidi" w:cstheme="majorBidi"/>
          <w:sz w:val="24"/>
          <w:szCs w:val="24"/>
        </w:rPr>
        <w:sectPr w:rsidR="00E5670F" w:rsidRPr="008D56A9" w:rsidSect="00E5670F">
          <w:pgSz w:w="12240" w:h="15840" w:code="1"/>
          <w:pgMar w:top="1440" w:right="1800" w:bottom="1440" w:left="1800" w:header="720" w:footer="576" w:gutter="0"/>
          <w:lnNumType w:countBy="1"/>
          <w:cols w:space="720"/>
          <w:titlePg/>
          <w:docGrid w:linePitch="360"/>
        </w:sectPr>
      </w:pPr>
    </w:p>
    <w:p w14:paraId="1E0E3109" w14:textId="77777777" w:rsidR="00E5670F" w:rsidRPr="008D56A9" w:rsidRDefault="00E5670F" w:rsidP="00E5670F">
      <w:pPr>
        <w:suppressAutoHyphens/>
        <w:spacing w:line="480" w:lineRule="auto"/>
        <w:jc w:val="center"/>
        <w:rPr>
          <w:rFonts w:asciiTheme="majorBidi" w:hAnsiTheme="majorBidi" w:cstheme="majorBidi"/>
          <w:b/>
          <w:bCs/>
          <w:spacing w:val="-3"/>
          <w:u w:val="single"/>
        </w:rPr>
      </w:pPr>
      <w:r w:rsidRPr="008D56A9">
        <w:rPr>
          <w:rFonts w:asciiTheme="majorBidi" w:hAnsiTheme="majorBidi" w:cstheme="majorBidi"/>
          <w:b/>
          <w:bCs/>
          <w:spacing w:val="-3"/>
          <w:u w:val="single"/>
        </w:rPr>
        <w:lastRenderedPageBreak/>
        <w:t>CERTIFICATE OF SERVICE</w:t>
      </w:r>
    </w:p>
    <w:p w14:paraId="217BE2AA" w14:textId="2548B7E6" w:rsidR="00E5670F" w:rsidRPr="008D56A9" w:rsidRDefault="00E5670F" w:rsidP="00E5670F">
      <w:pPr>
        <w:suppressAutoHyphens/>
        <w:spacing w:line="480" w:lineRule="auto"/>
        <w:ind w:firstLine="720"/>
        <w:rPr>
          <w:rFonts w:asciiTheme="majorBidi" w:hAnsiTheme="majorBidi" w:cstheme="majorBidi"/>
          <w:spacing w:val="-3"/>
        </w:rPr>
      </w:pPr>
      <w:r w:rsidRPr="008D56A9">
        <w:rPr>
          <w:rFonts w:asciiTheme="majorBidi" w:hAnsiTheme="majorBidi" w:cstheme="majorBidi"/>
          <w:spacing w:val="-3"/>
        </w:rPr>
        <w:t xml:space="preserve">It is hereby certified that a true copy of the foregoing </w:t>
      </w:r>
      <w:r w:rsidR="00642C68">
        <w:rPr>
          <w:rFonts w:asciiTheme="majorBidi" w:hAnsiTheme="majorBidi" w:cstheme="majorBidi"/>
          <w:i/>
          <w:iCs/>
          <w:spacing w:val="-3"/>
        </w:rPr>
        <w:t>Supplemental</w:t>
      </w:r>
      <w:r w:rsidR="00C04B01">
        <w:rPr>
          <w:rFonts w:asciiTheme="majorBidi" w:hAnsiTheme="majorBidi" w:cstheme="majorBidi"/>
          <w:i/>
          <w:iCs/>
          <w:spacing w:val="-3"/>
        </w:rPr>
        <w:t xml:space="preserve"> Direct</w:t>
      </w:r>
      <w:r w:rsidR="00642C68">
        <w:rPr>
          <w:rFonts w:asciiTheme="majorBidi" w:hAnsiTheme="majorBidi" w:cstheme="majorBidi"/>
          <w:i/>
          <w:iCs/>
          <w:spacing w:val="-3"/>
        </w:rPr>
        <w:t xml:space="preserve"> </w:t>
      </w:r>
      <w:r w:rsidRPr="008D56A9">
        <w:rPr>
          <w:rFonts w:asciiTheme="majorBidi" w:hAnsiTheme="majorBidi" w:cstheme="majorBidi"/>
          <w:i/>
          <w:iCs/>
          <w:spacing w:val="-3"/>
        </w:rPr>
        <w:t xml:space="preserve">Testimony of Wilson Gonzalez on Behalf of the Office of the Ohio Consumers’ Counsel </w:t>
      </w:r>
      <w:r w:rsidRPr="008D56A9">
        <w:rPr>
          <w:rFonts w:asciiTheme="majorBidi" w:hAnsiTheme="majorBidi" w:cstheme="majorBidi"/>
          <w:spacing w:val="-3"/>
        </w:rPr>
        <w:t xml:space="preserve">has been served electronically this </w:t>
      </w:r>
      <w:r w:rsidR="00B1755F">
        <w:rPr>
          <w:rFonts w:asciiTheme="majorBidi" w:hAnsiTheme="majorBidi" w:cstheme="majorBidi"/>
          <w:spacing w:val="-3"/>
        </w:rPr>
        <w:t>28</w:t>
      </w:r>
      <w:r w:rsidR="00B1755F" w:rsidRPr="00B1755F">
        <w:rPr>
          <w:rFonts w:asciiTheme="majorBidi" w:hAnsiTheme="majorBidi" w:cstheme="majorBidi"/>
          <w:spacing w:val="-3"/>
          <w:vertAlign w:val="superscript"/>
        </w:rPr>
        <w:t>th</w:t>
      </w:r>
      <w:r w:rsidR="00B1755F">
        <w:rPr>
          <w:rFonts w:asciiTheme="majorBidi" w:hAnsiTheme="majorBidi" w:cstheme="majorBidi"/>
          <w:spacing w:val="-3"/>
        </w:rPr>
        <w:t xml:space="preserve"> </w:t>
      </w:r>
      <w:r w:rsidRPr="008D56A9">
        <w:rPr>
          <w:rFonts w:asciiTheme="majorBidi" w:hAnsiTheme="majorBidi" w:cstheme="majorBidi"/>
          <w:spacing w:val="-3"/>
        </w:rPr>
        <w:t>day of</w:t>
      </w:r>
      <w:r w:rsidR="00B1755F">
        <w:rPr>
          <w:rFonts w:asciiTheme="majorBidi" w:hAnsiTheme="majorBidi" w:cstheme="majorBidi"/>
          <w:spacing w:val="-3"/>
        </w:rPr>
        <w:t xml:space="preserve"> January 2019</w:t>
      </w:r>
      <w:r w:rsidRPr="008D56A9">
        <w:rPr>
          <w:rFonts w:asciiTheme="majorBidi" w:hAnsiTheme="majorBidi" w:cstheme="majorBidi"/>
          <w:spacing w:val="-3"/>
        </w:rPr>
        <w:t>.</w:t>
      </w:r>
    </w:p>
    <w:p w14:paraId="28B356AC" w14:textId="77777777" w:rsidR="00E5670F" w:rsidRPr="008D56A9" w:rsidRDefault="00E5670F" w:rsidP="00E5670F">
      <w:pPr>
        <w:tabs>
          <w:tab w:val="left" w:pos="4320"/>
          <w:tab w:val="left" w:pos="4860"/>
        </w:tabs>
        <w:rPr>
          <w:rFonts w:asciiTheme="majorBidi" w:hAnsiTheme="majorBidi" w:cstheme="majorBidi"/>
          <w:u w:val="single"/>
        </w:rPr>
      </w:pPr>
      <w:r w:rsidRPr="008D56A9">
        <w:rPr>
          <w:rFonts w:asciiTheme="majorBidi" w:hAnsiTheme="majorBidi" w:cstheme="majorBidi"/>
          <w:i/>
        </w:rPr>
        <w:tab/>
      </w:r>
      <w:r w:rsidRPr="008D56A9">
        <w:rPr>
          <w:rFonts w:asciiTheme="majorBidi" w:hAnsiTheme="majorBidi" w:cstheme="majorBidi"/>
          <w:i/>
          <w:u w:val="single"/>
        </w:rPr>
        <w:t>/s/ William J. Michael</w:t>
      </w:r>
      <w:r w:rsidRPr="008D56A9">
        <w:rPr>
          <w:rFonts w:asciiTheme="majorBidi" w:hAnsiTheme="majorBidi" w:cstheme="majorBidi"/>
          <w:u w:val="single"/>
        </w:rPr>
        <w:t>                      </w:t>
      </w:r>
    </w:p>
    <w:p w14:paraId="0310BFD5" w14:textId="71C3BF5A" w:rsidR="00E5670F" w:rsidRPr="008D56A9" w:rsidRDefault="00E5670F" w:rsidP="00C04B01">
      <w:pPr>
        <w:tabs>
          <w:tab w:val="left" w:pos="4320"/>
          <w:tab w:val="left" w:pos="4860"/>
          <w:tab w:val="right" w:pos="8640"/>
        </w:tabs>
        <w:rPr>
          <w:rFonts w:asciiTheme="majorBidi" w:hAnsiTheme="majorBidi" w:cstheme="majorBidi"/>
        </w:rPr>
      </w:pPr>
      <w:r w:rsidRPr="008D56A9">
        <w:rPr>
          <w:rFonts w:asciiTheme="majorBidi" w:hAnsiTheme="majorBidi" w:cstheme="majorBidi"/>
        </w:rPr>
        <w:tab/>
        <w:t>William J. Michael</w:t>
      </w:r>
      <w:r w:rsidR="00C04B01">
        <w:rPr>
          <w:rFonts w:asciiTheme="majorBidi" w:hAnsiTheme="majorBidi" w:cstheme="majorBidi"/>
        </w:rPr>
        <w:tab/>
      </w:r>
    </w:p>
    <w:p w14:paraId="349BFC76" w14:textId="77777777" w:rsidR="00E5670F" w:rsidRPr="008D56A9" w:rsidRDefault="00E5670F" w:rsidP="00E5670F">
      <w:pPr>
        <w:tabs>
          <w:tab w:val="left" w:pos="4320"/>
          <w:tab w:val="left" w:pos="4860"/>
        </w:tabs>
        <w:rPr>
          <w:rFonts w:asciiTheme="majorBidi" w:hAnsiTheme="majorBidi" w:cstheme="majorBidi"/>
        </w:rPr>
      </w:pPr>
      <w:r w:rsidRPr="008D56A9">
        <w:rPr>
          <w:rFonts w:asciiTheme="majorBidi" w:hAnsiTheme="majorBidi" w:cstheme="majorBidi"/>
        </w:rPr>
        <w:tab/>
        <w:t>Assistant Consumers’ Counsel</w:t>
      </w:r>
    </w:p>
    <w:p w14:paraId="5F31098B" w14:textId="77777777" w:rsidR="00E5670F" w:rsidRPr="008D56A9" w:rsidRDefault="00E5670F" w:rsidP="00E5670F">
      <w:pPr>
        <w:spacing w:line="480" w:lineRule="auto"/>
        <w:ind w:firstLine="720"/>
        <w:jc w:val="center"/>
        <w:rPr>
          <w:rFonts w:asciiTheme="majorBidi" w:hAnsiTheme="majorBidi" w:cstheme="majorBidi"/>
          <w:b/>
        </w:rPr>
      </w:pPr>
    </w:p>
    <w:p w14:paraId="7747FFB2" w14:textId="77777777" w:rsidR="00E5670F" w:rsidRPr="008D56A9" w:rsidRDefault="00E5670F" w:rsidP="00E5670F">
      <w:pPr>
        <w:spacing w:line="480" w:lineRule="auto"/>
        <w:ind w:firstLine="720"/>
        <w:jc w:val="center"/>
        <w:rPr>
          <w:rFonts w:asciiTheme="majorBidi" w:hAnsiTheme="majorBidi" w:cstheme="majorBidi"/>
          <w:b/>
        </w:rPr>
      </w:pPr>
      <w:r w:rsidRPr="008D56A9">
        <w:rPr>
          <w:rFonts w:asciiTheme="majorBidi" w:hAnsiTheme="majorBidi" w:cstheme="majorBidi"/>
          <w:b/>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099"/>
      </w:tblGrid>
      <w:tr w:rsidR="008B12E3" w14:paraId="039562C0" w14:textId="77777777" w:rsidTr="00253A66">
        <w:tc>
          <w:tcPr>
            <w:tcW w:w="4675" w:type="dxa"/>
          </w:tcPr>
          <w:p w14:paraId="20294694" w14:textId="77777777" w:rsidR="008B12E3" w:rsidRPr="00EB4DB6" w:rsidRDefault="008B12E3" w:rsidP="00253A66">
            <w:pPr>
              <w:autoSpaceDE w:val="0"/>
              <w:autoSpaceDN w:val="0"/>
              <w:adjustRightInd w:val="0"/>
            </w:pPr>
            <w:r w:rsidRPr="00EB4DB6">
              <w:t>werner.margard@ohioattorneygeneral.gov</w:t>
            </w:r>
          </w:p>
          <w:p w14:paraId="6A85596E" w14:textId="77777777" w:rsidR="008B12E3" w:rsidRPr="00EB4DB6" w:rsidRDefault="008B12E3" w:rsidP="00253A66">
            <w:pPr>
              <w:autoSpaceDE w:val="0"/>
              <w:autoSpaceDN w:val="0"/>
              <w:adjustRightInd w:val="0"/>
            </w:pPr>
            <w:r w:rsidRPr="00EB4DB6">
              <w:t>mjsettineri@vorys.com</w:t>
            </w:r>
          </w:p>
          <w:p w14:paraId="18C4BD9C" w14:textId="77777777" w:rsidR="008B12E3" w:rsidRPr="00EB4DB6" w:rsidRDefault="008B12E3" w:rsidP="00253A66">
            <w:pPr>
              <w:autoSpaceDE w:val="0"/>
              <w:autoSpaceDN w:val="0"/>
              <w:adjustRightInd w:val="0"/>
            </w:pPr>
            <w:r w:rsidRPr="00EB4DB6">
              <w:t xml:space="preserve">glpetrucci@vorys.com </w:t>
            </w:r>
          </w:p>
          <w:p w14:paraId="4EAACBAF" w14:textId="77777777" w:rsidR="008B12E3" w:rsidRPr="00EB4DB6" w:rsidRDefault="008B12E3" w:rsidP="00253A66">
            <w:pPr>
              <w:autoSpaceDE w:val="0"/>
              <w:autoSpaceDN w:val="0"/>
              <w:adjustRightInd w:val="0"/>
            </w:pPr>
            <w:r w:rsidRPr="00EB4DB6">
              <w:t>joliker@igsenergy.com</w:t>
            </w:r>
          </w:p>
          <w:p w14:paraId="0954D364" w14:textId="77777777" w:rsidR="008B12E3" w:rsidRPr="00EB4DB6" w:rsidRDefault="008B12E3" w:rsidP="00253A66">
            <w:pPr>
              <w:autoSpaceDE w:val="0"/>
              <w:autoSpaceDN w:val="0"/>
              <w:adjustRightInd w:val="0"/>
            </w:pPr>
            <w:r w:rsidRPr="00EB4DB6">
              <w:t>mnugent@igsenergy.com</w:t>
            </w:r>
          </w:p>
          <w:p w14:paraId="163E5C80" w14:textId="77777777" w:rsidR="008B12E3" w:rsidRPr="00EB4DB6" w:rsidRDefault="008B12E3" w:rsidP="00253A66">
            <w:pPr>
              <w:autoSpaceDE w:val="0"/>
              <w:autoSpaceDN w:val="0"/>
              <w:adjustRightInd w:val="0"/>
            </w:pPr>
            <w:r w:rsidRPr="00EB4DB6">
              <w:t>slesser@calfee.com</w:t>
            </w:r>
          </w:p>
          <w:p w14:paraId="716F64AD" w14:textId="77777777" w:rsidR="008B12E3" w:rsidRPr="00EB4DB6" w:rsidRDefault="008B12E3" w:rsidP="00253A66">
            <w:pPr>
              <w:autoSpaceDE w:val="0"/>
              <w:autoSpaceDN w:val="0"/>
              <w:adjustRightInd w:val="0"/>
            </w:pPr>
            <w:r w:rsidRPr="00EB4DB6">
              <w:t>mkeaney@calfee.com</w:t>
            </w:r>
          </w:p>
          <w:p w14:paraId="59763A4E" w14:textId="77777777" w:rsidR="008B12E3" w:rsidRPr="00EB4DB6" w:rsidRDefault="008B12E3" w:rsidP="00253A66">
            <w:pPr>
              <w:autoSpaceDE w:val="0"/>
              <w:autoSpaceDN w:val="0"/>
              <w:adjustRightInd w:val="0"/>
            </w:pPr>
            <w:r w:rsidRPr="00EB4DB6">
              <w:t>talexander@calfee.com</w:t>
            </w:r>
          </w:p>
          <w:p w14:paraId="27A7AD1C" w14:textId="77777777" w:rsidR="008B12E3" w:rsidRPr="00EB4DB6" w:rsidRDefault="008B12E3" w:rsidP="00253A66">
            <w:pPr>
              <w:autoSpaceDE w:val="0"/>
              <w:autoSpaceDN w:val="0"/>
              <w:adjustRightInd w:val="0"/>
            </w:pPr>
            <w:r w:rsidRPr="00EB4DB6">
              <w:t>tony</w:t>
            </w:r>
            <w:r w:rsidRPr="00EB4DB6">
              <w:softHyphen/>
              <w:t>_long@hna.honda.com</w:t>
            </w:r>
          </w:p>
          <w:p w14:paraId="66A8DECA" w14:textId="77777777" w:rsidR="008B12E3" w:rsidRPr="00EB4DB6" w:rsidRDefault="008B12E3" w:rsidP="00253A66">
            <w:pPr>
              <w:autoSpaceDE w:val="0"/>
              <w:autoSpaceDN w:val="0"/>
              <w:adjustRightInd w:val="0"/>
            </w:pPr>
            <w:r w:rsidRPr="00EB4DB6">
              <w:t>mfleisher@elpc.org</w:t>
            </w:r>
          </w:p>
          <w:p w14:paraId="7777E07E" w14:textId="77777777" w:rsidR="008B12E3" w:rsidRPr="00EB4DB6" w:rsidRDefault="008B12E3" w:rsidP="00253A66">
            <w:pPr>
              <w:autoSpaceDE w:val="0"/>
              <w:autoSpaceDN w:val="0"/>
              <w:adjustRightInd w:val="0"/>
            </w:pPr>
            <w:r w:rsidRPr="00EB4DB6">
              <w:t>cmooney@ohiopartners.org</w:t>
            </w:r>
          </w:p>
          <w:p w14:paraId="4CEC3E4E" w14:textId="77777777" w:rsidR="008B12E3" w:rsidRPr="00EB4DB6" w:rsidRDefault="008B12E3" w:rsidP="00253A66">
            <w:pPr>
              <w:autoSpaceDE w:val="0"/>
              <w:autoSpaceDN w:val="0"/>
              <w:adjustRightInd w:val="0"/>
            </w:pPr>
          </w:p>
          <w:p w14:paraId="1E1F0BFB" w14:textId="77777777" w:rsidR="008B12E3" w:rsidRPr="00EB4DB6" w:rsidRDefault="008B12E3" w:rsidP="00253A66">
            <w:pPr>
              <w:autoSpaceDE w:val="0"/>
              <w:autoSpaceDN w:val="0"/>
              <w:adjustRightInd w:val="0"/>
            </w:pPr>
            <w:r w:rsidRPr="00EB4DB6">
              <w:t>Attorney Examiner:</w:t>
            </w:r>
          </w:p>
          <w:p w14:paraId="281B6743" w14:textId="77777777" w:rsidR="008B12E3" w:rsidRPr="00EB4DB6" w:rsidRDefault="008B12E3" w:rsidP="00253A66">
            <w:pPr>
              <w:autoSpaceDE w:val="0"/>
              <w:autoSpaceDN w:val="0"/>
              <w:adjustRightInd w:val="0"/>
            </w:pPr>
            <w:r w:rsidRPr="00EB4DB6">
              <w:t>Gregory.price@puc.state.oh.us</w:t>
            </w:r>
          </w:p>
          <w:p w14:paraId="3E554F54" w14:textId="77777777" w:rsidR="008B12E3" w:rsidRPr="00EB4DB6" w:rsidRDefault="008B12E3" w:rsidP="00253A66">
            <w:pPr>
              <w:autoSpaceDE w:val="0"/>
              <w:autoSpaceDN w:val="0"/>
              <w:adjustRightInd w:val="0"/>
            </w:pPr>
            <w:r w:rsidRPr="00EB4DB6">
              <w:t xml:space="preserve">patricia.schabo@puc.state.oh.us </w:t>
            </w:r>
          </w:p>
          <w:p w14:paraId="69D1291F" w14:textId="77777777" w:rsidR="008B12E3" w:rsidRPr="00EB4DB6" w:rsidRDefault="008B12E3" w:rsidP="00253A66">
            <w:pPr>
              <w:autoSpaceDE w:val="0"/>
              <w:autoSpaceDN w:val="0"/>
              <w:adjustRightInd w:val="0"/>
            </w:pPr>
          </w:p>
          <w:p w14:paraId="182381C6" w14:textId="77777777" w:rsidR="008B12E3" w:rsidRPr="00EB4DB6" w:rsidRDefault="008B12E3" w:rsidP="00253A66"/>
        </w:tc>
        <w:tc>
          <w:tcPr>
            <w:tcW w:w="4675" w:type="dxa"/>
          </w:tcPr>
          <w:p w14:paraId="253657E8" w14:textId="77777777" w:rsidR="008B12E3" w:rsidRPr="00EB4DB6" w:rsidRDefault="008B12E3" w:rsidP="00253A66">
            <w:pPr>
              <w:autoSpaceDE w:val="0"/>
              <w:autoSpaceDN w:val="0"/>
              <w:adjustRightInd w:val="0"/>
            </w:pPr>
            <w:r w:rsidRPr="00EB4DB6">
              <w:t xml:space="preserve">campbell@whitt-sturtevant.com </w:t>
            </w:r>
          </w:p>
          <w:p w14:paraId="30D723FE" w14:textId="77777777" w:rsidR="008B12E3" w:rsidRPr="00EB4DB6" w:rsidRDefault="008B12E3" w:rsidP="00253A66">
            <w:pPr>
              <w:autoSpaceDE w:val="0"/>
              <w:autoSpaceDN w:val="0"/>
              <w:adjustRightInd w:val="0"/>
            </w:pPr>
            <w:r w:rsidRPr="00EB4DB6">
              <w:t xml:space="preserve">whitt@whitt-sturtevant.com </w:t>
            </w:r>
          </w:p>
          <w:p w14:paraId="488C9067" w14:textId="77777777" w:rsidR="008B12E3" w:rsidRPr="00EB4DB6" w:rsidRDefault="008B12E3" w:rsidP="00253A66">
            <w:pPr>
              <w:autoSpaceDE w:val="0"/>
              <w:autoSpaceDN w:val="0"/>
              <w:adjustRightInd w:val="0"/>
            </w:pPr>
            <w:r w:rsidRPr="00EB4DB6">
              <w:t xml:space="preserve">rust@whitt-sturtevant.com </w:t>
            </w:r>
          </w:p>
          <w:p w14:paraId="538CA40C" w14:textId="335183EB" w:rsidR="008B12E3" w:rsidRPr="00EB4DB6" w:rsidRDefault="008B12E3" w:rsidP="00253A66">
            <w:pPr>
              <w:autoSpaceDE w:val="0"/>
              <w:autoSpaceDN w:val="0"/>
              <w:adjustRightInd w:val="0"/>
            </w:pPr>
            <w:r w:rsidRPr="00EB4DB6">
              <w:t>kennedy@</w:t>
            </w:r>
            <w:r w:rsidR="004D6E9F">
              <w:t>wh</w:t>
            </w:r>
            <w:r w:rsidRPr="00EB4DB6">
              <w:t>itt-sturtevant.com</w:t>
            </w:r>
          </w:p>
          <w:p w14:paraId="557E3806" w14:textId="77777777" w:rsidR="008B12E3" w:rsidRPr="00EB4DB6" w:rsidRDefault="008B12E3" w:rsidP="00253A66">
            <w:pPr>
              <w:autoSpaceDE w:val="0"/>
              <w:autoSpaceDN w:val="0"/>
              <w:adjustRightInd w:val="0"/>
            </w:pPr>
            <w:r w:rsidRPr="00EB4DB6">
              <w:t xml:space="preserve">fdarr@mcneeslaw.com </w:t>
            </w:r>
          </w:p>
          <w:p w14:paraId="66382BF3" w14:textId="77777777" w:rsidR="008B12E3" w:rsidRPr="00EB4DB6" w:rsidRDefault="008B12E3" w:rsidP="00253A66">
            <w:pPr>
              <w:tabs>
                <w:tab w:val="left" w:pos="960"/>
              </w:tabs>
              <w:rPr>
                <w:rStyle w:val="Hyperlink"/>
                <w:iCs/>
                <w:szCs w:val="20"/>
              </w:rPr>
            </w:pPr>
            <w:r w:rsidRPr="00EB4DB6">
              <w:rPr>
                <w:iCs/>
                <w:szCs w:val="20"/>
              </w:rPr>
              <w:t>mpritchard@mcneeslaw.com</w:t>
            </w:r>
          </w:p>
          <w:p w14:paraId="13FAE717" w14:textId="77777777" w:rsidR="008B12E3" w:rsidRPr="00EB4DB6" w:rsidRDefault="008B12E3" w:rsidP="00253A66">
            <w:pPr>
              <w:autoSpaceDE w:val="0"/>
              <w:autoSpaceDN w:val="0"/>
              <w:adjustRightInd w:val="0"/>
            </w:pPr>
            <w:r w:rsidRPr="00EB4DB6">
              <w:t>jstephenson@vectren.com</w:t>
            </w:r>
          </w:p>
          <w:p w14:paraId="1B8020B8" w14:textId="77777777" w:rsidR="008B12E3" w:rsidRPr="00EB4DB6" w:rsidRDefault="008B12E3" w:rsidP="00253A66">
            <w:pPr>
              <w:tabs>
                <w:tab w:val="left" w:pos="960"/>
              </w:tabs>
              <w:rPr>
                <w:iCs/>
                <w:szCs w:val="20"/>
              </w:rPr>
            </w:pPr>
            <w:r w:rsidRPr="00EB4DB6">
              <w:rPr>
                <w:iCs/>
                <w:szCs w:val="20"/>
              </w:rPr>
              <w:t>Thomas.jernigan.3@us.af.mil</w:t>
            </w:r>
          </w:p>
          <w:p w14:paraId="1D73F1A3" w14:textId="77777777" w:rsidR="008B12E3" w:rsidRPr="00EB4DB6" w:rsidRDefault="008B12E3" w:rsidP="00253A66">
            <w:pPr>
              <w:tabs>
                <w:tab w:val="left" w:pos="960"/>
              </w:tabs>
              <w:rPr>
                <w:iCs/>
                <w:szCs w:val="20"/>
              </w:rPr>
            </w:pPr>
            <w:r w:rsidRPr="00EB4DB6">
              <w:rPr>
                <w:iCs/>
                <w:szCs w:val="20"/>
              </w:rPr>
              <w:t>Andrew.unsicker@us.af.mil</w:t>
            </w:r>
          </w:p>
          <w:p w14:paraId="0409B5F0" w14:textId="77777777" w:rsidR="008B12E3" w:rsidRPr="00EB4DB6" w:rsidRDefault="008B12E3" w:rsidP="00253A66">
            <w:pPr>
              <w:tabs>
                <w:tab w:val="left" w:pos="960"/>
              </w:tabs>
            </w:pPr>
          </w:p>
        </w:tc>
      </w:tr>
    </w:tbl>
    <w:p w14:paraId="14FA19D3" w14:textId="77777777" w:rsidR="00E5670F" w:rsidRPr="008D56A9" w:rsidRDefault="00E5670F" w:rsidP="00E5670F">
      <w:pPr>
        <w:rPr>
          <w:rFonts w:asciiTheme="majorBidi" w:hAnsiTheme="majorBidi" w:cstheme="majorBidi"/>
        </w:rPr>
      </w:pPr>
    </w:p>
    <w:p w14:paraId="59BD5E5C" w14:textId="77777777" w:rsidR="00E5670F" w:rsidRPr="008D56A9" w:rsidRDefault="00E5670F" w:rsidP="00E5670F">
      <w:pPr>
        <w:tabs>
          <w:tab w:val="left" w:pos="4860"/>
        </w:tabs>
        <w:suppressAutoHyphens/>
        <w:spacing w:line="480" w:lineRule="auto"/>
        <w:rPr>
          <w:rFonts w:asciiTheme="majorBidi" w:hAnsiTheme="majorBidi" w:cstheme="majorBidi"/>
          <w:b/>
          <w:bCs/>
          <w:u w:val="single"/>
        </w:rPr>
      </w:pPr>
    </w:p>
    <w:p w14:paraId="50D9DDCA" w14:textId="77777777" w:rsidR="00E5670F" w:rsidRPr="008D56A9" w:rsidRDefault="00E5670F">
      <w:pPr>
        <w:rPr>
          <w:rFonts w:asciiTheme="majorBidi" w:hAnsiTheme="majorBidi" w:cstheme="majorBidi"/>
          <w:b/>
          <w:bCs/>
          <w:u w:val="single"/>
        </w:rPr>
      </w:pPr>
    </w:p>
    <w:p w14:paraId="511E7D93" w14:textId="77777777" w:rsidR="00E5670F" w:rsidRPr="008D56A9" w:rsidRDefault="00E5670F">
      <w:pPr>
        <w:rPr>
          <w:rFonts w:asciiTheme="majorBidi" w:hAnsiTheme="majorBidi" w:cstheme="majorBidi"/>
          <w:b/>
          <w:bCs/>
          <w:u w:val="single"/>
        </w:rPr>
      </w:pPr>
    </w:p>
    <w:p w14:paraId="19C45F86" w14:textId="77777777" w:rsidR="00E5670F" w:rsidRPr="008D56A9" w:rsidRDefault="00E5670F" w:rsidP="00E5670F">
      <w:pPr>
        <w:autoSpaceDE w:val="0"/>
        <w:autoSpaceDN w:val="0"/>
        <w:adjustRightInd w:val="0"/>
        <w:spacing w:after="120"/>
        <w:rPr>
          <w:rFonts w:asciiTheme="majorBidi" w:hAnsiTheme="majorBidi" w:cstheme="majorBidi"/>
        </w:rPr>
      </w:pPr>
    </w:p>
    <w:p w14:paraId="1D915978" w14:textId="77777777" w:rsidR="00E5670F" w:rsidRPr="008D56A9" w:rsidRDefault="00E5670F">
      <w:pPr>
        <w:rPr>
          <w:rFonts w:asciiTheme="majorBidi" w:hAnsiTheme="majorBidi" w:cstheme="majorBidi"/>
          <w:b/>
          <w:bCs/>
          <w:u w:val="single"/>
        </w:rPr>
      </w:pPr>
    </w:p>
    <w:p w14:paraId="6C221680" w14:textId="77777777" w:rsidR="00E5670F" w:rsidRPr="008D56A9" w:rsidRDefault="00E5670F">
      <w:pPr>
        <w:rPr>
          <w:rFonts w:asciiTheme="majorBidi" w:hAnsiTheme="majorBidi" w:cstheme="majorBidi"/>
          <w:b/>
          <w:bCs/>
          <w:u w:val="single"/>
        </w:rPr>
      </w:pPr>
      <w:r w:rsidRPr="008D56A9">
        <w:rPr>
          <w:rFonts w:asciiTheme="majorBidi" w:hAnsiTheme="majorBidi" w:cstheme="majorBidi"/>
          <w:b/>
          <w:bCs/>
          <w:u w:val="single"/>
        </w:rPr>
        <w:br w:type="page"/>
      </w:r>
    </w:p>
    <w:p w14:paraId="72C61865" w14:textId="5206F0B6" w:rsidR="00E5670F" w:rsidRDefault="00E5670F" w:rsidP="00564C3D">
      <w:pPr>
        <w:autoSpaceDE w:val="0"/>
        <w:adjustRightInd w:val="0"/>
        <w:ind w:left="7200"/>
        <w:rPr>
          <w:rFonts w:asciiTheme="majorBidi" w:hAnsiTheme="majorBidi" w:cstheme="majorBidi"/>
        </w:rPr>
      </w:pPr>
      <w:r w:rsidRPr="008D56A9">
        <w:rPr>
          <w:rFonts w:asciiTheme="majorBidi" w:hAnsiTheme="majorBidi" w:cstheme="majorBidi"/>
        </w:rPr>
        <w:lastRenderedPageBreak/>
        <w:t>Exhibit WG-1</w:t>
      </w:r>
    </w:p>
    <w:p w14:paraId="6F4D53C6" w14:textId="657693CB" w:rsidR="00564C3D" w:rsidRDefault="00564C3D" w:rsidP="00564C3D">
      <w:pPr>
        <w:autoSpaceDE w:val="0"/>
        <w:adjustRightInd w:val="0"/>
        <w:ind w:left="7200"/>
        <w:rPr>
          <w:rFonts w:asciiTheme="majorBidi" w:hAnsiTheme="majorBidi" w:cstheme="majorBidi"/>
        </w:rPr>
      </w:pPr>
      <w:r>
        <w:rPr>
          <w:rFonts w:asciiTheme="majorBidi" w:hAnsiTheme="majorBidi" w:cstheme="majorBidi"/>
        </w:rPr>
        <w:t>Page 1 of 2</w:t>
      </w:r>
    </w:p>
    <w:p w14:paraId="1110BB80" w14:textId="77777777" w:rsidR="00564C3D" w:rsidRPr="008D56A9" w:rsidRDefault="00564C3D" w:rsidP="00564C3D">
      <w:pPr>
        <w:autoSpaceDE w:val="0"/>
        <w:adjustRightInd w:val="0"/>
        <w:ind w:left="7200"/>
        <w:rPr>
          <w:rFonts w:asciiTheme="majorBidi" w:hAnsiTheme="majorBidi" w:cstheme="majorBidi"/>
        </w:rPr>
      </w:pPr>
    </w:p>
    <w:p w14:paraId="34A2CA1C" w14:textId="77777777" w:rsidR="00E5670F" w:rsidRPr="008D56A9" w:rsidRDefault="00E5670F" w:rsidP="004E191E">
      <w:pPr>
        <w:autoSpaceDE w:val="0"/>
        <w:adjustRightInd w:val="0"/>
        <w:spacing w:after="120" w:line="480" w:lineRule="auto"/>
        <w:jc w:val="center"/>
        <w:rPr>
          <w:rFonts w:asciiTheme="majorBidi" w:hAnsiTheme="majorBidi" w:cstheme="majorBidi"/>
        </w:rPr>
      </w:pPr>
      <w:r w:rsidRPr="008D56A9">
        <w:rPr>
          <w:rFonts w:asciiTheme="majorBidi" w:hAnsiTheme="majorBidi" w:cstheme="majorBidi"/>
        </w:rPr>
        <w:t>Mr. Gonzalez has submitted testimony in the following cases before the Public Utility Commission of Ohio:</w:t>
      </w:r>
    </w:p>
    <w:p w14:paraId="643071E8"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Vectren Energy Delivery of Ohio, Case No. 04-571-GA-AIR</w:t>
      </w:r>
    </w:p>
    <w:p w14:paraId="318EB40A"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Dominion East Ohio, Case No. 05-474-GA-ATA</w:t>
      </w:r>
    </w:p>
    <w:p w14:paraId="4A9DA68B"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Dominion East Ohio, Case No. 07-829-GA-AIR</w:t>
      </w:r>
    </w:p>
    <w:p w14:paraId="1D0B0434"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Vectren Energy Delivery of Ohio, Case No. 05-1444-GA-UNC</w:t>
      </w:r>
    </w:p>
    <w:p w14:paraId="4AAD1356"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Columbus</w:t>
      </w:r>
      <w:r w:rsidRPr="008D56A9">
        <w:rPr>
          <w:rFonts w:asciiTheme="majorBidi" w:hAnsiTheme="majorBidi" w:cstheme="majorBidi"/>
          <w:i/>
        </w:rPr>
        <w:t xml:space="preserve"> </w:t>
      </w:r>
      <w:r w:rsidRPr="008D56A9">
        <w:rPr>
          <w:rFonts w:asciiTheme="majorBidi" w:hAnsiTheme="majorBidi" w:cstheme="majorBidi"/>
        </w:rPr>
        <w:t>Southern Company/Ohio Power Company, Case No. 06-222-EL-SLF</w:t>
      </w:r>
    </w:p>
    <w:p w14:paraId="6CCB98EA"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Duke</w:t>
      </w:r>
      <w:r w:rsidRPr="008D56A9">
        <w:rPr>
          <w:rFonts w:asciiTheme="majorBidi" w:hAnsiTheme="majorBidi" w:cstheme="majorBidi"/>
          <w:i/>
        </w:rPr>
        <w:t xml:space="preserve"> </w:t>
      </w:r>
      <w:r w:rsidRPr="008D56A9">
        <w:rPr>
          <w:rFonts w:asciiTheme="majorBidi" w:hAnsiTheme="majorBidi" w:cstheme="majorBidi"/>
        </w:rPr>
        <w:t>Energy of Ohio, Case No. 07-589-GA-AIR</w:t>
      </w:r>
    </w:p>
    <w:p w14:paraId="59B63E92"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FirstEnergy Companies, Case Nos. 07-551-EL-AIR, et al</w:t>
      </w:r>
    </w:p>
    <w:p w14:paraId="3F8B40BB"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Vectren Energy Delivery of Ohio, Case No. 07-1080-GA-AIR</w:t>
      </w:r>
    </w:p>
    <w:p w14:paraId="5C3F09AB"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FirstEnergy Companies, Case No. 08-935-EL-SSO</w:t>
      </w:r>
    </w:p>
    <w:p w14:paraId="7962C6C0"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FirstEnergy Companies, Case No. 08-936-EL-SSO</w:t>
      </w:r>
    </w:p>
    <w:p w14:paraId="5D6FA796"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Duke</w:t>
      </w:r>
      <w:r w:rsidRPr="008D56A9">
        <w:rPr>
          <w:rFonts w:asciiTheme="majorBidi" w:hAnsiTheme="majorBidi" w:cstheme="majorBidi"/>
          <w:i/>
        </w:rPr>
        <w:t xml:space="preserve"> </w:t>
      </w:r>
      <w:r w:rsidRPr="008D56A9">
        <w:rPr>
          <w:rFonts w:asciiTheme="majorBidi" w:hAnsiTheme="majorBidi" w:cstheme="majorBidi"/>
        </w:rPr>
        <w:t>Energy of Ohio, Case No. 08-920-EL-SSO</w:t>
      </w:r>
    </w:p>
    <w:p w14:paraId="1F7D1ECE"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AEP Ohio Case No. 08-917-EL-SSO</w:t>
      </w:r>
    </w:p>
    <w:p w14:paraId="1E137B3C"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Dayton Power and Light, Case No. 08-1094-EL-SSO</w:t>
      </w:r>
    </w:p>
    <w:p w14:paraId="6C6B81B0"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FirstEnergy Companies, Case No. 09-906-EL-SSO</w:t>
      </w:r>
    </w:p>
    <w:p w14:paraId="735B356B"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Duke Energy of Ohio, Case No. 10-1999-EL-POR</w:t>
      </w:r>
    </w:p>
    <w:p w14:paraId="0D1D4D13"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FirstEnergy Companies, Case No. 10-388-EL-SSO</w:t>
      </w:r>
    </w:p>
    <w:p w14:paraId="2072BBBB" w14:textId="77777777" w:rsidR="00564C3D" w:rsidRPr="00564C3D" w:rsidRDefault="00564C3D" w:rsidP="00564C3D">
      <w:pPr>
        <w:pStyle w:val="ListParagraph"/>
        <w:autoSpaceDE w:val="0"/>
        <w:adjustRightInd w:val="0"/>
        <w:spacing w:after="0" w:line="240" w:lineRule="auto"/>
        <w:jc w:val="right"/>
        <w:rPr>
          <w:rFonts w:asciiTheme="majorBidi" w:hAnsiTheme="majorBidi" w:cstheme="majorBidi"/>
          <w:sz w:val="24"/>
          <w:szCs w:val="24"/>
        </w:rPr>
      </w:pPr>
      <w:r w:rsidRPr="00564C3D">
        <w:rPr>
          <w:rFonts w:asciiTheme="majorBidi" w:hAnsiTheme="majorBidi" w:cstheme="majorBidi"/>
          <w:sz w:val="24"/>
          <w:szCs w:val="24"/>
        </w:rPr>
        <w:lastRenderedPageBreak/>
        <w:t>Exhibit WG-1</w:t>
      </w:r>
    </w:p>
    <w:p w14:paraId="6C98C04F" w14:textId="6A056809" w:rsidR="00564C3D" w:rsidRPr="00564C3D" w:rsidRDefault="00564C3D" w:rsidP="00564C3D">
      <w:pPr>
        <w:pStyle w:val="ListParagraph"/>
        <w:autoSpaceDE w:val="0"/>
        <w:adjustRightInd w:val="0"/>
        <w:spacing w:after="0" w:line="240" w:lineRule="auto"/>
        <w:jc w:val="right"/>
        <w:rPr>
          <w:rFonts w:asciiTheme="majorBidi" w:hAnsiTheme="majorBidi" w:cstheme="majorBidi"/>
          <w:sz w:val="24"/>
          <w:szCs w:val="24"/>
        </w:rPr>
      </w:pPr>
      <w:r w:rsidRPr="00564C3D">
        <w:rPr>
          <w:rFonts w:asciiTheme="majorBidi" w:hAnsiTheme="majorBidi" w:cstheme="majorBidi"/>
          <w:sz w:val="24"/>
          <w:szCs w:val="24"/>
        </w:rPr>
        <w:t>Page 2 of 2</w:t>
      </w:r>
    </w:p>
    <w:p w14:paraId="30038B86" w14:textId="77777777" w:rsidR="00564C3D" w:rsidRDefault="00564C3D" w:rsidP="00564C3D">
      <w:pPr>
        <w:autoSpaceDE w:val="0"/>
        <w:autoSpaceDN w:val="0"/>
        <w:adjustRightInd w:val="0"/>
        <w:spacing w:after="120" w:line="480" w:lineRule="auto"/>
        <w:ind w:left="720"/>
        <w:jc w:val="right"/>
        <w:rPr>
          <w:rFonts w:asciiTheme="majorBidi" w:hAnsiTheme="majorBidi" w:cstheme="majorBidi"/>
        </w:rPr>
      </w:pPr>
    </w:p>
    <w:p w14:paraId="3822877A" w14:textId="13FEC621"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FirstEnergy Companies, Case No. 10-1128-EL-CSS</w:t>
      </w:r>
    </w:p>
    <w:p w14:paraId="1FB4284B"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AEP Ohio Case No. 11-351-EL-AIR</w:t>
      </w:r>
    </w:p>
    <w:p w14:paraId="5D7A77F9"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FirstEnergy Companies, Case No. 11-5201-EL-RDR</w:t>
      </w:r>
    </w:p>
    <w:p w14:paraId="3E59642C"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FirstEnergy Companies, Case No. 12-1230-EL-SSO</w:t>
      </w:r>
    </w:p>
    <w:p w14:paraId="0664C83A"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FirstEnergy Companies, Case No. 12-2190-EL-POR</w:t>
      </w:r>
    </w:p>
    <w:p w14:paraId="6361FD2F"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Duke Energy Ohio Case No. 13-431-EL-POR</w:t>
      </w:r>
    </w:p>
    <w:p w14:paraId="413AE30B"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Duke Energy Ohio Case No. 13-753-EL-RDR</w:t>
      </w:r>
    </w:p>
    <w:p w14:paraId="0B24F737"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Dayton Power and Light Case No. 13-833-EL-POR, et al</w:t>
      </w:r>
    </w:p>
    <w:p w14:paraId="242CA0C5"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Duke Energy Ohio Case No. 14-1580-EL-RDR</w:t>
      </w:r>
    </w:p>
    <w:p w14:paraId="5F206A59" w14:textId="77777777" w:rsidR="00E5670F" w:rsidRPr="008D56A9" w:rsidRDefault="00E5670F" w:rsidP="00E5670F">
      <w:pPr>
        <w:numPr>
          <w:ilvl w:val="0"/>
          <w:numId w:val="37"/>
        </w:numPr>
        <w:autoSpaceDE w:val="0"/>
        <w:autoSpaceDN w:val="0"/>
        <w:adjustRightInd w:val="0"/>
        <w:spacing w:after="120" w:line="480" w:lineRule="auto"/>
        <w:rPr>
          <w:rFonts w:asciiTheme="majorBidi" w:hAnsiTheme="majorBidi" w:cstheme="majorBidi"/>
        </w:rPr>
      </w:pPr>
      <w:r w:rsidRPr="008D56A9">
        <w:rPr>
          <w:rFonts w:asciiTheme="majorBidi" w:hAnsiTheme="majorBidi" w:cstheme="majorBidi"/>
        </w:rPr>
        <w:t>Duke Energy Ohio Case No. 14-457-EL-RDR</w:t>
      </w:r>
    </w:p>
    <w:p w14:paraId="799CCECA" w14:textId="77777777" w:rsidR="00E5670F" w:rsidRPr="008D56A9" w:rsidRDefault="00E5670F" w:rsidP="00E5670F">
      <w:pPr>
        <w:numPr>
          <w:ilvl w:val="0"/>
          <w:numId w:val="37"/>
        </w:numPr>
        <w:autoSpaceDE w:val="0"/>
        <w:autoSpaceDN w:val="0"/>
        <w:adjustRightInd w:val="0"/>
        <w:spacing w:after="120"/>
        <w:rPr>
          <w:rFonts w:asciiTheme="majorBidi" w:hAnsiTheme="majorBidi" w:cstheme="majorBidi"/>
        </w:rPr>
      </w:pPr>
      <w:r w:rsidRPr="008D56A9">
        <w:rPr>
          <w:rFonts w:asciiTheme="majorBidi" w:hAnsiTheme="majorBidi" w:cstheme="majorBidi"/>
        </w:rPr>
        <w:t>AEP Ohio Case No. 13-1939-EL-RDR</w:t>
      </w:r>
    </w:p>
    <w:p w14:paraId="0FB62242" w14:textId="77777777" w:rsidR="00E5670F" w:rsidRPr="008D56A9" w:rsidRDefault="00E5670F" w:rsidP="00E5670F">
      <w:pPr>
        <w:autoSpaceDE w:val="0"/>
        <w:adjustRightInd w:val="0"/>
        <w:spacing w:after="120"/>
        <w:ind w:left="720"/>
        <w:rPr>
          <w:rFonts w:asciiTheme="majorBidi" w:hAnsiTheme="majorBidi" w:cstheme="majorBidi"/>
        </w:rPr>
      </w:pPr>
    </w:p>
    <w:p w14:paraId="594CEFA7" w14:textId="77777777" w:rsidR="00E5670F" w:rsidRPr="008D56A9" w:rsidRDefault="00E5670F" w:rsidP="00E5670F">
      <w:pPr>
        <w:numPr>
          <w:ilvl w:val="0"/>
          <w:numId w:val="37"/>
        </w:numPr>
        <w:autoSpaceDE w:val="0"/>
        <w:autoSpaceDN w:val="0"/>
        <w:adjustRightInd w:val="0"/>
        <w:spacing w:after="120"/>
        <w:rPr>
          <w:rFonts w:asciiTheme="majorBidi" w:hAnsiTheme="majorBidi" w:cstheme="majorBidi"/>
        </w:rPr>
      </w:pPr>
      <w:r w:rsidRPr="008D56A9">
        <w:rPr>
          <w:rFonts w:asciiTheme="majorBidi" w:hAnsiTheme="majorBidi" w:cstheme="majorBidi"/>
        </w:rPr>
        <w:t>Duke Energy Ohio 17-1263-EL-SSO</w:t>
      </w:r>
    </w:p>
    <w:p w14:paraId="7792C3EA" w14:textId="77777777" w:rsidR="00E5670F" w:rsidRPr="008D56A9" w:rsidRDefault="00E5670F" w:rsidP="00E5670F">
      <w:pPr>
        <w:spacing w:line="480" w:lineRule="auto"/>
        <w:rPr>
          <w:rFonts w:asciiTheme="majorBidi" w:hAnsiTheme="majorBidi" w:cstheme="majorBidi"/>
          <w:bCs/>
          <w:iCs/>
        </w:rPr>
      </w:pPr>
      <w:r w:rsidRPr="008D56A9">
        <w:rPr>
          <w:rFonts w:asciiTheme="majorBidi" w:hAnsiTheme="majorBidi" w:cstheme="majorBidi"/>
        </w:rPr>
        <w:t xml:space="preserve">  </w:t>
      </w:r>
    </w:p>
    <w:p w14:paraId="5472D793" w14:textId="77777777" w:rsidR="00E5670F" w:rsidRPr="008D56A9" w:rsidRDefault="00E5670F" w:rsidP="00E5670F">
      <w:pPr>
        <w:spacing w:after="240"/>
        <w:rPr>
          <w:rFonts w:asciiTheme="majorBidi" w:hAnsiTheme="majorBidi" w:cstheme="majorBidi"/>
          <w:b/>
          <w:bCs/>
          <w:u w:val="single"/>
        </w:rPr>
      </w:pPr>
    </w:p>
    <w:p w14:paraId="54C50E13" w14:textId="77777777" w:rsidR="00E5670F" w:rsidRPr="008D56A9" w:rsidRDefault="00E5670F" w:rsidP="00E5670F">
      <w:pPr>
        <w:spacing w:after="240"/>
        <w:rPr>
          <w:rFonts w:asciiTheme="majorBidi" w:hAnsiTheme="majorBidi" w:cstheme="majorBidi"/>
        </w:rPr>
      </w:pPr>
    </w:p>
    <w:p w14:paraId="26B9C96B" w14:textId="77777777" w:rsidR="00E5670F" w:rsidRPr="008D56A9" w:rsidRDefault="00E5670F" w:rsidP="00E5670F">
      <w:pPr>
        <w:spacing w:after="240"/>
        <w:rPr>
          <w:rFonts w:asciiTheme="majorBidi" w:hAnsiTheme="majorBidi" w:cstheme="majorBidi"/>
          <w:b/>
          <w:bCs/>
          <w:u w:val="single"/>
        </w:rPr>
      </w:pPr>
    </w:p>
    <w:sectPr w:rsidR="00E5670F" w:rsidRPr="008D56A9" w:rsidSect="00E5670F">
      <w:headerReference w:type="even" r:id="rId17"/>
      <w:headerReference w:type="default" r:id="rId18"/>
      <w:footerReference w:type="default" r:id="rId19"/>
      <w:headerReference w:type="first" r:id="rId20"/>
      <w:footerReference w:type="first" r:id="rId21"/>
      <w:pgSz w:w="12240" w:h="15840" w:code="1"/>
      <w:pgMar w:top="1440" w:right="1800" w:bottom="1440" w:left="180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00494" w14:textId="77777777" w:rsidR="0019322A" w:rsidRDefault="0019322A">
      <w:r>
        <w:separator/>
      </w:r>
    </w:p>
  </w:endnote>
  <w:endnote w:type="continuationSeparator" w:id="0">
    <w:p w14:paraId="14C51676" w14:textId="77777777" w:rsidR="0019322A" w:rsidRDefault="0019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1947" w14:textId="77777777" w:rsidR="008E613B" w:rsidRPr="002F2B41" w:rsidRDefault="008E613B">
    <w:pPr>
      <w:pStyle w:val="Footer"/>
      <w:jc w:val="center"/>
    </w:pPr>
    <w:r w:rsidRPr="002F2B41">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2590" w14:textId="77777777" w:rsidR="008E613B" w:rsidRPr="002F2B41" w:rsidRDefault="008E613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051956"/>
      <w:docPartObj>
        <w:docPartGallery w:val="Page Numbers (Bottom of Page)"/>
        <w:docPartUnique/>
      </w:docPartObj>
    </w:sdtPr>
    <w:sdtEndPr>
      <w:rPr>
        <w:noProof/>
      </w:rPr>
    </w:sdtEndPr>
    <w:sdtContent>
      <w:p w14:paraId="549E9D26" w14:textId="77777777" w:rsidR="008E613B" w:rsidRDefault="008E613B">
        <w:pPr>
          <w:pStyle w:val="Foote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67465"/>
      <w:docPartObj>
        <w:docPartGallery w:val="Page Numbers (Bottom of Page)"/>
        <w:docPartUnique/>
      </w:docPartObj>
    </w:sdtPr>
    <w:sdtEndPr>
      <w:rPr>
        <w:noProof/>
      </w:rPr>
    </w:sdtEndPr>
    <w:sdtContent>
      <w:p w14:paraId="1FBCC564" w14:textId="77777777" w:rsidR="008E613B" w:rsidRDefault="008E613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174329"/>
      <w:docPartObj>
        <w:docPartGallery w:val="Page Numbers (Bottom of Page)"/>
        <w:docPartUnique/>
      </w:docPartObj>
    </w:sdtPr>
    <w:sdtEndPr>
      <w:rPr>
        <w:noProof/>
      </w:rPr>
    </w:sdtEndPr>
    <w:sdtContent>
      <w:p w14:paraId="567A8F0D" w14:textId="77777777" w:rsidR="008E613B" w:rsidRDefault="008E613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6FCA" w14:textId="77777777" w:rsidR="008E613B" w:rsidRDefault="008E613B">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5F4E7" w14:textId="77777777" w:rsidR="008E613B" w:rsidRPr="009D2DE1" w:rsidRDefault="008E613B" w:rsidP="00E56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813F5" w14:textId="77777777" w:rsidR="0019322A" w:rsidRDefault="0019322A">
      <w:r>
        <w:separator/>
      </w:r>
    </w:p>
  </w:footnote>
  <w:footnote w:type="continuationSeparator" w:id="0">
    <w:p w14:paraId="4F001E69" w14:textId="77777777" w:rsidR="0019322A" w:rsidRDefault="0019322A">
      <w:r>
        <w:continuationSeparator/>
      </w:r>
    </w:p>
    <w:p w14:paraId="529B7BC2" w14:textId="77777777" w:rsidR="0019322A" w:rsidRDefault="0019322A"/>
  </w:footnote>
  <w:footnote w:type="continuationNotice" w:id="1">
    <w:p w14:paraId="1EA2B410" w14:textId="77777777" w:rsidR="0019322A" w:rsidRDefault="0019322A"/>
    <w:p w14:paraId="62E296E9" w14:textId="77777777" w:rsidR="0019322A" w:rsidRDefault="0019322A"/>
  </w:footnote>
  <w:footnote w:id="2">
    <w:p w14:paraId="17ED4798" w14:textId="77777777" w:rsidR="008E613B" w:rsidRPr="008D56A9" w:rsidRDefault="008E613B" w:rsidP="00A62B37">
      <w:pPr>
        <w:pStyle w:val="FootnoteText"/>
        <w:spacing w:after="120"/>
      </w:pPr>
      <w:r w:rsidRPr="008D56A9">
        <w:rPr>
          <w:rStyle w:val="FootnoteReference"/>
        </w:rPr>
        <w:footnoteRef/>
      </w:r>
      <w:r w:rsidRPr="008D56A9">
        <w:t xml:space="preserve"> For the purposes of this testimony a strict </w:t>
      </w:r>
      <w:r>
        <w:t>Fixed Charge</w:t>
      </w:r>
      <w:r w:rsidRPr="008D56A9">
        <w:t xml:space="preserve"> rate design is one that places all distribution cost into a fixed charge on a customer bill as opposed to a modified </w:t>
      </w:r>
      <w:r>
        <w:t>Fixed Charge</w:t>
      </w:r>
      <w:r w:rsidRPr="008D56A9">
        <w:t xml:space="preserve"> rate design that has a high fixed charge, but also contains a volumetric component on the bill.</w:t>
      </w:r>
    </w:p>
  </w:footnote>
  <w:footnote w:id="3">
    <w:p w14:paraId="04E04313" w14:textId="77777777" w:rsidR="008E613B" w:rsidRDefault="008E613B" w:rsidP="00A62B37">
      <w:pPr>
        <w:pStyle w:val="FootnoteText"/>
        <w:spacing w:after="120"/>
      </w:pPr>
      <w:r>
        <w:rPr>
          <w:rStyle w:val="FootnoteReference"/>
        </w:rPr>
        <w:footnoteRef/>
      </w:r>
      <w:r>
        <w:t xml:space="preserve"> Prior to the statewide move to a Fixed Charge rate design for natural gas companies (starting with Duke Energy Ohio Case No. 07-589-GA-AIR), residential customer charges to connect to the utility gas system ranged from $5.70 to $7.00. See table on page 9 of Gonzalez testimony in the above referenced case. </w:t>
      </w:r>
    </w:p>
  </w:footnote>
  <w:footnote w:id="4">
    <w:p w14:paraId="2A79F3DD" w14:textId="77777777" w:rsidR="008E613B" w:rsidRPr="00E528F1" w:rsidRDefault="008E613B" w:rsidP="00A62B37">
      <w:pPr>
        <w:pStyle w:val="FootnoteText"/>
        <w:spacing w:after="120"/>
      </w:pPr>
      <w:r>
        <w:rPr>
          <w:rStyle w:val="FootnoteReference"/>
        </w:rPr>
        <w:footnoteRef/>
      </w:r>
      <w:r>
        <w:t xml:space="preserve"> </w:t>
      </w:r>
      <w:r>
        <w:rPr>
          <w:i/>
        </w:rPr>
        <w:t xml:space="preserve">Consumers’ Counsel v. Pub Util. Comm’n. </w:t>
      </w:r>
      <w:r>
        <w:t>(1992) 64 Ohio St.3d 123, 126.</w:t>
      </w:r>
    </w:p>
  </w:footnote>
  <w:footnote w:id="5">
    <w:p w14:paraId="238D3576" w14:textId="77777777" w:rsidR="008E613B" w:rsidRPr="008D56A9" w:rsidRDefault="008E613B" w:rsidP="00A62B37">
      <w:pPr>
        <w:pStyle w:val="FootnoteText"/>
        <w:spacing w:after="120"/>
      </w:pPr>
      <w:r w:rsidRPr="008D56A9">
        <w:rPr>
          <w:rStyle w:val="FootnoteReference"/>
        </w:rPr>
        <w:footnoteRef/>
      </w:r>
      <w:r w:rsidRPr="008D56A9">
        <w:t xml:space="preserve"> Staff Report at 35.  </w:t>
      </w:r>
    </w:p>
  </w:footnote>
  <w:footnote w:id="6">
    <w:p w14:paraId="7B48B0FA" w14:textId="77777777" w:rsidR="008E613B" w:rsidRDefault="008E613B" w:rsidP="00A62B37">
      <w:pPr>
        <w:pStyle w:val="FootnoteText"/>
        <w:spacing w:after="120"/>
      </w:pPr>
      <w:r>
        <w:rPr>
          <w:rStyle w:val="FootnoteReference"/>
        </w:rPr>
        <w:footnoteRef/>
      </w:r>
      <w:r>
        <w:t xml:space="preserve"> Stipulation DRR Caps at page 7 and CEP Cap at page 9.</w:t>
      </w:r>
    </w:p>
  </w:footnote>
  <w:footnote w:id="7">
    <w:p w14:paraId="2EBA611B" w14:textId="77777777" w:rsidR="008E613B" w:rsidRDefault="008E613B" w:rsidP="00A62B37">
      <w:pPr>
        <w:pStyle w:val="FootnoteText"/>
        <w:spacing w:after="120"/>
      </w:pPr>
      <w:r>
        <w:rPr>
          <w:rStyle w:val="FootnoteReference"/>
        </w:rPr>
        <w:footnoteRef/>
      </w:r>
      <w:r>
        <w:t xml:space="preserve"> If the maximum cap charges are applied for the DRR and CEP.</w:t>
      </w:r>
    </w:p>
  </w:footnote>
  <w:footnote w:id="8">
    <w:p w14:paraId="3F2C0D12" w14:textId="77777777" w:rsidR="008E613B" w:rsidRDefault="008E613B" w:rsidP="00A62B37">
      <w:pPr>
        <w:pStyle w:val="FootnoteText"/>
        <w:spacing w:after="120"/>
      </w:pPr>
      <w:r>
        <w:rPr>
          <w:rStyle w:val="FootnoteReference"/>
        </w:rPr>
        <w:footnoteRef/>
      </w:r>
      <w:r>
        <w:t xml:space="preserve"> </w:t>
      </w:r>
      <w:r w:rsidRPr="008D56A9">
        <w:t xml:space="preserve">It is interesting to note that Maryland Senate Bill 1131 concerning </w:t>
      </w:r>
      <w:r>
        <w:t>Fixed Charge</w:t>
      </w:r>
      <w:r w:rsidRPr="008D56A9">
        <w:t xml:space="preserve"> rate designs for the state’s electric cooperatives contained a restriction that the fixed increase should be no more than 25 percent higher than the fixed charge in effect one year prior.  See Whited, Malone, and Vitolo, “Rate Design Impacts for Customers of Maryland’s Electric Cooperatives,” 12/30/16.</w:t>
      </w:r>
      <w:r>
        <w:t xml:space="preserve"> </w:t>
      </w:r>
    </w:p>
  </w:footnote>
  <w:footnote w:id="9">
    <w:p w14:paraId="2E135E72" w14:textId="77777777" w:rsidR="008E613B" w:rsidRDefault="008E613B" w:rsidP="00A62B37">
      <w:pPr>
        <w:pStyle w:val="FootnoteText"/>
        <w:spacing w:after="120"/>
      </w:pPr>
      <w:r>
        <w:rPr>
          <w:rStyle w:val="FootnoteReference"/>
        </w:rPr>
        <w:footnoteRef/>
      </w:r>
      <w:r>
        <w:t xml:space="preserve"> </w:t>
      </w:r>
      <w:hyperlink r:id="rId1" w:anchor="viewtop" w:history="1">
        <w:r w:rsidRPr="00FE1F8C">
          <w:rPr>
            <w:rStyle w:val="Hyperlink"/>
          </w:rPr>
          <w:t>https://www.census.gov/quickfacts/fact/table/daytoncityohio/IPE120217#viewtop</w:t>
        </w:r>
      </w:hyperlink>
      <w:r>
        <w:t xml:space="preserve"> </w:t>
      </w:r>
    </w:p>
  </w:footnote>
  <w:footnote w:id="10">
    <w:p w14:paraId="381B17F4" w14:textId="77777777" w:rsidR="008E613B" w:rsidRDefault="008E613B" w:rsidP="00A62B37">
      <w:pPr>
        <w:pStyle w:val="FootnoteText"/>
        <w:spacing w:after="120"/>
      </w:pPr>
      <w:r>
        <w:rPr>
          <w:rStyle w:val="FootnoteReference"/>
        </w:rPr>
        <w:footnoteRef/>
      </w:r>
      <w:r>
        <w:t xml:space="preserve"> </w:t>
      </w:r>
      <w:r w:rsidRPr="00FE1F8C">
        <w:t>https://map.feedingamerica.org/county/2016/overall/ohio/county/montgomery</w:t>
      </w:r>
    </w:p>
  </w:footnote>
  <w:footnote w:id="11">
    <w:p w14:paraId="0272ABA2" w14:textId="77777777" w:rsidR="008E613B" w:rsidRPr="008D56A9" w:rsidRDefault="008E613B" w:rsidP="00A62B37">
      <w:pPr>
        <w:pStyle w:val="FootnoteText"/>
        <w:spacing w:after="120"/>
      </w:pPr>
      <w:r w:rsidRPr="008D56A9">
        <w:rPr>
          <w:rStyle w:val="FootnoteReference"/>
        </w:rPr>
        <w:footnoteRef/>
      </w:r>
      <w:r w:rsidRPr="008D56A9">
        <w:t xml:space="preserve"> Rina Harris Testimony at 111-114.   On average, 84,609 low</w:t>
      </w:r>
      <w:r>
        <w:t>-</w:t>
      </w:r>
      <w:r w:rsidRPr="008D56A9">
        <w:t>income</w:t>
      </w:r>
      <w:r>
        <w:t>,</w:t>
      </w:r>
      <w:r w:rsidRPr="008D56A9">
        <w:t xml:space="preserve"> single</w:t>
      </w:r>
      <w:r>
        <w:t>-</w:t>
      </w:r>
      <w:r w:rsidRPr="008D56A9">
        <w:t xml:space="preserve">family homes using 59.7 Ccf per month would see distribution bill increases approaching 13% under VEDO’s proposal and over </w:t>
      </w:r>
      <w:r>
        <w:t>five percent</w:t>
      </w:r>
      <w:r w:rsidRPr="008D56A9">
        <w:t xml:space="preserve"> on Staff’s proposal.  One can also assume that low income homes that have gone through VEDO’s low income weatherization programs since 2005 (saving on average 22</w:t>
      </w:r>
      <w:r>
        <w:t>%</w:t>
      </w:r>
      <w:r w:rsidRPr="008D56A9">
        <w:t xml:space="preserve">) will see their dollar savings diminished if a strict </w:t>
      </w:r>
      <w:r>
        <w:t>Fixed Charge</w:t>
      </w:r>
      <w:r w:rsidRPr="008D56A9">
        <w:t xml:space="preserve"> is approved.  Rina Harris at 11.</w:t>
      </w:r>
    </w:p>
  </w:footnote>
  <w:footnote w:id="12">
    <w:p w14:paraId="042F1DFA" w14:textId="77777777" w:rsidR="008E613B" w:rsidRPr="00721E3A" w:rsidRDefault="008E613B" w:rsidP="00A62B37">
      <w:pPr>
        <w:pStyle w:val="FootnoteText"/>
        <w:spacing w:after="120"/>
        <w:rPr>
          <w:bCs/>
          <w:color w:val="000000"/>
        </w:rPr>
      </w:pPr>
      <w:r w:rsidRPr="008D56A9">
        <w:rPr>
          <w:rStyle w:val="FootnoteReference"/>
        </w:rPr>
        <w:footnoteRef/>
      </w:r>
      <w:r w:rsidRPr="008D56A9">
        <w:t xml:space="preserve"> A </w:t>
      </w:r>
      <w:r>
        <w:t>Fixed Charge</w:t>
      </w:r>
      <w:r w:rsidRPr="008D56A9">
        <w:t xml:space="preserve"> rate design reduces the Participant Test Benefit-Cost ratio as defined by the 2002 “</w:t>
      </w:r>
      <w:r w:rsidRPr="008D56A9">
        <w:rPr>
          <w:bCs/>
          <w:color w:val="000000"/>
        </w:rPr>
        <w:t xml:space="preserve">CALIFORNIA STANDARD PRACTICE MANUAL: ECONOMIC ANALYSIS OF DEMAND-SIDE PROGRAMS AND PROJECTS”.  </w:t>
      </w:r>
    </w:p>
  </w:footnote>
  <w:footnote w:id="13">
    <w:p w14:paraId="1E9DB52D" w14:textId="77777777" w:rsidR="008E613B" w:rsidRPr="008D56A9" w:rsidRDefault="008E613B" w:rsidP="00A62B37">
      <w:pPr>
        <w:pStyle w:val="FootnoteText"/>
        <w:spacing w:after="120"/>
      </w:pPr>
      <w:r w:rsidRPr="008D56A9">
        <w:rPr>
          <w:rStyle w:val="FootnoteReference"/>
        </w:rPr>
        <w:footnoteRef/>
      </w:r>
      <w:r w:rsidRPr="008D56A9">
        <w:t xml:space="preserve"> </w:t>
      </w:r>
      <w:r w:rsidRPr="008D56A9">
        <w:rPr>
          <w:bCs/>
          <w:color w:val="000000"/>
        </w:rPr>
        <w:t xml:space="preserve">As such, it requires utility sponsored energy efficiency programs to provide higher customer incentives to move customers to invest in energy efficient measures.  The existing residential energy efficiency rebates program participant test is marginally passing in the </w:t>
      </w:r>
      <w:r>
        <w:rPr>
          <w:bCs/>
          <w:color w:val="000000"/>
        </w:rPr>
        <w:t>Utility</w:t>
      </w:r>
      <w:r w:rsidRPr="008D56A9">
        <w:rPr>
          <w:bCs/>
          <w:color w:val="000000"/>
        </w:rPr>
        <w:t>’s filing. See page 86 in the Direct Testimony of Rina Harris.</w:t>
      </w:r>
    </w:p>
  </w:footnote>
  <w:footnote w:id="14">
    <w:p w14:paraId="233C300B" w14:textId="77777777" w:rsidR="008E613B" w:rsidRPr="00E33CD5" w:rsidRDefault="008E613B" w:rsidP="00A62B37">
      <w:pPr>
        <w:spacing w:after="120"/>
        <w:rPr>
          <w:sz w:val="20"/>
          <w:szCs w:val="20"/>
        </w:rPr>
      </w:pPr>
      <w:r w:rsidRPr="008D56A9">
        <w:rPr>
          <w:rStyle w:val="FootnoteReference"/>
          <w:sz w:val="20"/>
          <w:szCs w:val="20"/>
        </w:rPr>
        <w:footnoteRef/>
      </w:r>
      <w:r w:rsidRPr="008D56A9">
        <w:rPr>
          <w:sz w:val="20"/>
          <w:szCs w:val="20"/>
        </w:rPr>
        <w:t xml:space="preserve"> Generally, it would cost less to serve a residential customer who lives in a small apartment in an area with high customer density than it would to serve a customer who lives in a neighborhood with a larger home and large frontage in less densely populated areas.  Also, demand charges and customer charges are not the same thing, but an </w:t>
      </w:r>
      <w:r>
        <w:rPr>
          <w:sz w:val="20"/>
          <w:szCs w:val="20"/>
        </w:rPr>
        <w:t>Fixed Charge</w:t>
      </w:r>
      <w:r w:rsidRPr="008D56A9">
        <w:rPr>
          <w:sz w:val="20"/>
          <w:szCs w:val="20"/>
        </w:rPr>
        <w:t xml:space="preserve"> rate design forces high demand and low demand customers to pay the same even if their demand characteristics are different.    Even in a gas distribution system, fixed costs do vary partly as a function of individual customer demand. The </w:t>
      </w:r>
      <w:r>
        <w:rPr>
          <w:sz w:val="20"/>
          <w:szCs w:val="20"/>
        </w:rPr>
        <w:t>Fixed Charge</w:t>
      </w:r>
      <w:r w:rsidRPr="008D56A9">
        <w:rPr>
          <w:sz w:val="20"/>
          <w:szCs w:val="20"/>
        </w:rPr>
        <w:t xml:space="preserve"> rate used by Atlanta Gas Light, for example, estimates the fixed charge as a function of the maximum daily demand for gas imposed by each premise. American Gas Association, Natural Gas Rate Round-Up: Innovative Rate Designs for Fixed Cost Recovery, June 2006. </w:t>
      </w:r>
    </w:p>
  </w:footnote>
  <w:footnote w:id="15">
    <w:p w14:paraId="570BE322" w14:textId="77777777" w:rsidR="008E613B" w:rsidRPr="008D56A9" w:rsidRDefault="008E613B" w:rsidP="00A62B37">
      <w:pPr>
        <w:pStyle w:val="FootnoteText"/>
        <w:spacing w:after="120"/>
      </w:pPr>
      <w:r w:rsidRPr="008D56A9">
        <w:rPr>
          <w:rStyle w:val="FootnoteReference"/>
        </w:rPr>
        <w:footnoteRef/>
      </w:r>
      <w:r w:rsidRPr="008D56A9">
        <w:t xml:space="preserve"> See AEP-Ohio mechanism containing a sample example in Attachment WG-2.</w:t>
      </w:r>
    </w:p>
  </w:footnote>
  <w:footnote w:id="16">
    <w:p w14:paraId="7E157C55" w14:textId="77777777" w:rsidR="008E613B" w:rsidRPr="008D56A9" w:rsidRDefault="008E613B" w:rsidP="00A62B37">
      <w:pPr>
        <w:pStyle w:val="FootnoteText"/>
        <w:spacing w:after="120"/>
      </w:pPr>
      <w:r w:rsidRPr="008D56A9">
        <w:rPr>
          <w:rStyle w:val="FootnoteReference"/>
        </w:rPr>
        <w:footnoteRef/>
      </w:r>
      <w:r w:rsidRPr="008D56A9">
        <w:t xml:space="preserve"> The </w:t>
      </w:r>
      <w:r>
        <w:t>three percent</w:t>
      </w:r>
      <w:r w:rsidRPr="008D56A9">
        <w:t xml:space="preserve"> cap is the percentage caps that were approved in the PUCO Orders for AEP-Ohio and Duke Energy Ohio.   Opinion and Order in Case No. 11-351-EL-AIR filed on 12/14/11, page 7 and Finding and Order in Case No. 11-5905-EL-RDR filed on 5/30/12, page 4.</w:t>
      </w:r>
    </w:p>
  </w:footnote>
  <w:footnote w:id="17">
    <w:p w14:paraId="194FBD78" w14:textId="77777777" w:rsidR="008E613B" w:rsidRPr="008D56A9" w:rsidRDefault="008E613B" w:rsidP="00A62B37">
      <w:pPr>
        <w:pStyle w:val="FootnoteText"/>
        <w:spacing w:after="120"/>
      </w:pPr>
      <w:r w:rsidRPr="008D56A9">
        <w:rPr>
          <w:rStyle w:val="FootnoteReference"/>
        </w:rPr>
        <w:footnoteRef/>
      </w:r>
      <w:r w:rsidRPr="008D56A9">
        <w:t xml:space="preserve"> </w:t>
      </w:r>
      <w:r w:rsidRPr="008D56A9">
        <w:rPr>
          <w:bCs/>
          <w:iCs/>
        </w:rPr>
        <w:t xml:space="preserve">In </w:t>
      </w:r>
      <w:r>
        <w:rPr>
          <w:bCs/>
          <w:iCs/>
        </w:rPr>
        <w:t>its</w:t>
      </w:r>
      <w:r w:rsidRPr="008D56A9">
        <w:rPr>
          <w:bCs/>
          <w:iCs/>
        </w:rPr>
        <w:t xml:space="preserve"> Finding and Order in the Duke Energy Ohio Decoupling case the </w:t>
      </w:r>
      <w:r>
        <w:rPr>
          <w:bCs/>
          <w:iCs/>
        </w:rPr>
        <w:t>PUCO</w:t>
      </w:r>
      <w:r w:rsidRPr="008D56A9">
        <w:rPr>
          <w:bCs/>
          <w:iCs/>
        </w:rPr>
        <w:t xml:space="preserve"> approved the interest rate to be the long-term cost of debt.   </w:t>
      </w:r>
      <w:r w:rsidRPr="008D56A9">
        <w:t xml:space="preserve">Finding and Order in Case No. 11-5905-EL-RDR filed on 5/30/12, page 4.   OPAE for example, commented on the inappropriateness of interest and the WACC as the interest charged. “Nonetheless, OPAE recommends that no carrying charges be assessed during the pilot. The differences between the adjusted revenue requirement and actual recovery should not be of a scale to warrant carrying charges, particularly given that there is a working capital allowance already built into base rates which negates the impact of under-recovery. In addition, the lag time between the end of the year and the recovery or repayment is less than one year. Traditionally, carrying charges are not assessed in Ohio for when costs are recovered less than one year after they are incurred. Moreover, Duke’s approved WACC of 9.1% is excessive for the purposes of this pilot program. Should the </w:t>
      </w:r>
      <w:r>
        <w:t>[PUCO]</w:t>
      </w:r>
      <w:r w:rsidRPr="008D56A9">
        <w:t xml:space="preserve"> opt to provide for carrying charges, the long-term cost of debt would be adequate.” OPAE comments filed on 3/22/12, page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8171" w14:textId="77777777" w:rsidR="008E613B" w:rsidRDefault="008E6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E336" w14:textId="462E7306" w:rsidR="008E613B" w:rsidRDefault="00642C68" w:rsidP="00E5670F">
    <w:pPr>
      <w:pStyle w:val="Header"/>
      <w:jc w:val="center"/>
      <w:rPr>
        <w:i/>
      </w:rPr>
    </w:pPr>
    <w:r>
      <w:rPr>
        <w:i/>
      </w:rPr>
      <w:t>Supplemental</w:t>
    </w:r>
    <w:r w:rsidR="00C04B01">
      <w:rPr>
        <w:i/>
      </w:rPr>
      <w:t xml:space="preserve"> Direct</w:t>
    </w:r>
    <w:r w:rsidR="008E613B">
      <w:rPr>
        <w:i/>
      </w:rPr>
      <w:t xml:space="preserve"> Testimony of Wilson Gonzalez</w:t>
    </w:r>
  </w:p>
  <w:p w14:paraId="36376336" w14:textId="77777777" w:rsidR="008E613B" w:rsidRDefault="008E613B" w:rsidP="00E5670F">
    <w:pPr>
      <w:pStyle w:val="Header"/>
      <w:jc w:val="center"/>
      <w:rPr>
        <w:i/>
      </w:rPr>
    </w:pPr>
    <w:r>
      <w:rPr>
        <w:i/>
      </w:rPr>
      <w:t>On Behalf of the Office of the Ohio Consumers’ Counsel</w:t>
    </w:r>
  </w:p>
  <w:p w14:paraId="05E5EB3C" w14:textId="77777777" w:rsidR="008E613B" w:rsidRPr="00584FCE" w:rsidRDefault="008E613B" w:rsidP="00E5670F">
    <w:pPr>
      <w:pStyle w:val="Header"/>
      <w:jc w:val="center"/>
      <w:rPr>
        <w:i/>
      </w:rPr>
    </w:pPr>
    <w:r>
      <w:rPr>
        <w:i/>
      </w:rPr>
      <w:t>PUCO Case No. 18-0298-GA-AIR, et al.</w:t>
    </w:r>
  </w:p>
  <w:p w14:paraId="607DFD64" w14:textId="77777777" w:rsidR="008E613B" w:rsidRDefault="008E613B" w:rsidP="00E56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C0DC" w14:textId="28996389" w:rsidR="008E613B" w:rsidRDefault="00642C68" w:rsidP="00E5670F">
    <w:pPr>
      <w:pStyle w:val="Header"/>
      <w:jc w:val="center"/>
      <w:rPr>
        <w:i/>
      </w:rPr>
    </w:pPr>
    <w:r>
      <w:rPr>
        <w:i/>
      </w:rPr>
      <w:t>Supplemental</w:t>
    </w:r>
    <w:r w:rsidR="00C04B01">
      <w:rPr>
        <w:i/>
      </w:rPr>
      <w:t xml:space="preserve"> Direct</w:t>
    </w:r>
    <w:r>
      <w:rPr>
        <w:i/>
      </w:rPr>
      <w:t xml:space="preserve"> </w:t>
    </w:r>
    <w:r w:rsidR="008E613B">
      <w:rPr>
        <w:i/>
      </w:rPr>
      <w:t>Testimony of Wilson Gonzalez</w:t>
    </w:r>
  </w:p>
  <w:p w14:paraId="56EE9163" w14:textId="77777777" w:rsidR="008E613B" w:rsidRDefault="008E613B" w:rsidP="00E5670F">
    <w:pPr>
      <w:pStyle w:val="Header"/>
      <w:jc w:val="center"/>
      <w:rPr>
        <w:i/>
      </w:rPr>
    </w:pPr>
    <w:r>
      <w:rPr>
        <w:i/>
      </w:rPr>
      <w:t>On Behalf of the Office of the Ohio Consumers’ Counsel</w:t>
    </w:r>
  </w:p>
  <w:p w14:paraId="194C5829" w14:textId="77777777" w:rsidR="008E613B" w:rsidRPr="00584FCE" w:rsidRDefault="008E613B" w:rsidP="00E5670F">
    <w:pPr>
      <w:pStyle w:val="Header"/>
      <w:jc w:val="center"/>
      <w:rPr>
        <w:i/>
      </w:rPr>
    </w:pPr>
    <w:r>
      <w:rPr>
        <w:i/>
      </w:rPr>
      <w:t>PUCO Case No. 18-0298-GA-AIR et al.</w:t>
    </w:r>
  </w:p>
  <w:p w14:paraId="20DEE487" w14:textId="77777777" w:rsidR="008E613B" w:rsidRDefault="008E61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F384" w14:textId="77777777" w:rsidR="008E613B" w:rsidRDefault="008E61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7B13" w14:textId="77777777" w:rsidR="008E613B" w:rsidRDefault="008E61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7575" w14:textId="77777777" w:rsidR="008E613B" w:rsidRDefault="008E6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D4F"/>
    <w:multiLevelType w:val="hybridMultilevel"/>
    <w:tmpl w:val="BFEA1A72"/>
    <w:lvl w:ilvl="0" w:tplc="BE5665B2">
      <w:start w:val="1"/>
      <w:numFmt w:val="decimal"/>
      <w:lvlText w:val="%1."/>
      <w:lvlJc w:val="left"/>
      <w:pPr>
        <w:ind w:left="1800" w:hanging="360"/>
      </w:pPr>
    </w:lvl>
    <w:lvl w:ilvl="1" w:tplc="B9126F04">
      <w:start w:val="1"/>
      <w:numFmt w:val="lowerLetter"/>
      <w:lvlText w:val="%2."/>
      <w:lvlJc w:val="left"/>
      <w:pPr>
        <w:ind w:left="2520" w:hanging="360"/>
      </w:pPr>
    </w:lvl>
    <w:lvl w:ilvl="2" w:tplc="7B2012C8">
      <w:start w:val="1"/>
      <w:numFmt w:val="lowerRoman"/>
      <w:lvlText w:val="%3."/>
      <w:lvlJc w:val="right"/>
      <w:pPr>
        <w:ind w:left="3240" w:hanging="180"/>
      </w:pPr>
    </w:lvl>
    <w:lvl w:ilvl="3" w:tplc="E2CE8162">
      <w:start w:val="1"/>
      <w:numFmt w:val="decimal"/>
      <w:lvlText w:val="%4."/>
      <w:lvlJc w:val="left"/>
      <w:pPr>
        <w:ind w:left="3960" w:hanging="360"/>
      </w:pPr>
    </w:lvl>
    <w:lvl w:ilvl="4" w:tplc="0BB0C83C">
      <w:start w:val="1"/>
      <w:numFmt w:val="lowerLetter"/>
      <w:lvlText w:val="%5."/>
      <w:lvlJc w:val="left"/>
      <w:pPr>
        <w:ind w:left="4680" w:hanging="360"/>
      </w:pPr>
    </w:lvl>
    <w:lvl w:ilvl="5" w:tplc="4C20C54E">
      <w:start w:val="1"/>
      <w:numFmt w:val="lowerRoman"/>
      <w:lvlText w:val="%6."/>
      <w:lvlJc w:val="right"/>
      <w:pPr>
        <w:ind w:left="5400" w:hanging="180"/>
      </w:pPr>
    </w:lvl>
    <w:lvl w:ilvl="6" w:tplc="B4CA298C">
      <w:start w:val="1"/>
      <w:numFmt w:val="decimal"/>
      <w:lvlText w:val="%7."/>
      <w:lvlJc w:val="left"/>
      <w:pPr>
        <w:ind w:left="6120" w:hanging="360"/>
      </w:pPr>
    </w:lvl>
    <w:lvl w:ilvl="7" w:tplc="38E88D26">
      <w:start w:val="1"/>
      <w:numFmt w:val="lowerLetter"/>
      <w:lvlText w:val="%8."/>
      <w:lvlJc w:val="left"/>
      <w:pPr>
        <w:ind w:left="6840" w:hanging="360"/>
      </w:pPr>
    </w:lvl>
    <w:lvl w:ilvl="8" w:tplc="8D5CA0F4">
      <w:start w:val="1"/>
      <w:numFmt w:val="lowerRoman"/>
      <w:lvlText w:val="%9."/>
      <w:lvlJc w:val="right"/>
      <w:pPr>
        <w:ind w:left="7560" w:hanging="180"/>
      </w:pPr>
    </w:lvl>
  </w:abstractNum>
  <w:abstractNum w:abstractNumId="1" w15:restartNumberingAfterBreak="0">
    <w:nsid w:val="05623635"/>
    <w:multiLevelType w:val="hybridMultilevel"/>
    <w:tmpl w:val="1326E4A0"/>
    <w:lvl w:ilvl="0" w:tplc="DFE4D85A">
      <w:start w:val="1"/>
      <w:numFmt w:val="upperLetter"/>
      <w:lvlText w:val="%1."/>
      <w:lvlJc w:val="left"/>
      <w:pPr>
        <w:ind w:left="720" w:hanging="360"/>
      </w:pPr>
      <w:rPr>
        <w:rFonts w:hint="default"/>
      </w:rPr>
    </w:lvl>
    <w:lvl w:ilvl="1" w:tplc="8F28705A" w:tentative="1">
      <w:start w:val="1"/>
      <w:numFmt w:val="lowerLetter"/>
      <w:lvlText w:val="%2."/>
      <w:lvlJc w:val="left"/>
      <w:pPr>
        <w:ind w:left="1440" w:hanging="360"/>
      </w:pPr>
    </w:lvl>
    <w:lvl w:ilvl="2" w:tplc="C9B26CC2" w:tentative="1">
      <w:start w:val="1"/>
      <w:numFmt w:val="lowerRoman"/>
      <w:lvlText w:val="%3."/>
      <w:lvlJc w:val="right"/>
      <w:pPr>
        <w:ind w:left="2160" w:hanging="180"/>
      </w:pPr>
    </w:lvl>
    <w:lvl w:ilvl="3" w:tplc="DDB2B13A" w:tentative="1">
      <w:start w:val="1"/>
      <w:numFmt w:val="decimal"/>
      <w:lvlText w:val="%4."/>
      <w:lvlJc w:val="left"/>
      <w:pPr>
        <w:ind w:left="2880" w:hanging="360"/>
      </w:pPr>
    </w:lvl>
    <w:lvl w:ilvl="4" w:tplc="AB9C158A" w:tentative="1">
      <w:start w:val="1"/>
      <w:numFmt w:val="lowerLetter"/>
      <w:lvlText w:val="%5."/>
      <w:lvlJc w:val="left"/>
      <w:pPr>
        <w:ind w:left="3600" w:hanging="360"/>
      </w:pPr>
    </w:lvl>
    <w:lvl w:ilvl="5" w:tplc="A726F0D2" w:tentative="1">
      <w:start w:val="1"/>
      <w:numFmt w:val="lowerRoman"/>
      <w:lvlText w:val="%6."/>
      <w:lvlJc w:val="right"/>
      <w:pPr>
        <w:ind w:left="4320" w:hanging="180"/>
      </w:pPr>
    </w:lvl>
    <w:lvl w:ilvl="6" w:tplc="612666A0" w:tentative="1">
      <w:start w:val="1"/>
      <w:numFmt w:val="decimal"/>
      <w:lvlText w:val="%7."/>
      <w:lvlJc w:val="left"/>
      <w:pPr>
        <w:ind w:left="5040" w:hanging="360"/>
      </w:pPr>
    </w:lvl>
    <w:lvl w:ilvl="7" w:tplc="702CEAC2" w:tentative="1">
      <w:start w:val="1"/>
      <w:numFmt w:val="lowerLetter"/>
      <w:lvlText w:val="%8."/>
      <w:lvlJc w:val="left"/>
      <w:pPr>
        <w:ind w:left="5760" w:hanging="360"/>
      </w:pPr>
    </w:lvl>
    <w:lvl w:ilvl="8" w:tplc="BE0A158A" w:tentative="1">
      <w:start w:val="1"/>
      <w:numFmt w:val="lowerRoman"/>
      <w:lvlText w:val="%9."/>
      <w:lvlJc w:val="right"/>
      <w:pPr>
        <w:ind w:left="6480" w:hanging="180"/>
      </w:pPr>
    </w:lvl>
  </w:abstractNum>
  <w:abstractNum w:abstractNumId="2" w15:restartNumberingAfterBreak="0">
    <w:nsid w:val="07C4193A"/>
    <w:multiLevelType w:val="hybridMultilevel"/>
    <w:tmpl w:val="1C008E90"/>
    <w:lvl w:ilvl="0" w:tplc="B896D4E4">
      <w:start w:val="1"/>
      <w:numFmt w:val="decimal"/>
      <w:lvlText w:val="%1."/>
      <w:lvlJc w:val="left"/>
      <w:pPr>
        <w:ind w:left="720" w:hanging="360"/>
      </w:pPr>
    </w:lvl>
    <w:lvl w:ilvl="1" w:tplc="AED80E12" w:tentative="1">
      <w:start w:val="1"/>
      <w:numFmt w:val="lowerLetter"/>
      <w:lvlText w:val="%2."/>
      <w:lvlJc w:val="left"/>
      <w:pPr>
        <w:ind w:left="1440" w:hanging="360"/>
      </w:pPr>
    </w:lvl>
    <w:lvl w:ilvl="2" w:tplc="049AEE50" w:tentative="1">
      <w:start w:val="1"/>
      <w:numFmt w:val="lowerRoman"/>
      <w:lvlText w:val="%3."/>
      <w:lvlJc w:val="right"/>
      <w:pPr>
        <w:ind w:left="2160" w:hanging="180"/>
      </w:pPr>
    </w:lvl>
    <w:lvl w:ilvl="3" w:tplc="F364D8DC" w:tentative="1">
      <w:start w:val="1"/>
      <w:numFmt w:val="decimal"/>
      <w:lvlText w:val="%4."/>
      <w:lvlJc w:val="left"/>
      <w:pPr>
        <w:ind w:left="2880" w:hanging="360"/>
      </w:pPr>
    </w:lvl>
    <w:lvl w:ilvl="4" w:tplc="F2AA2842" w:tentative="1">
      <w:start w:val="1"/>
      <w:numFmt w:val="lowerLetter"/>
      <w:lvlText w:val="%5."/>
      <w:lvlJc w:val="left"/>
      <w:pPr>
        <w:ind w:left="3600" w:hanging="360"/>
      </w:pPr>
    </w:lvl>
    <w:lvl w:ilvl="5" w:tplc="E6CA711C" w:tentative="1">
      <w:start w:val="1"/>
      <w:numFmt w:val="lowerRoman"/>
      <w:lvlText w:val="%6."/>
      <w:lvlJc w:val="right"/>
      <w:pPr>
        <w:ind w:left="4320" w:hanging="180"/>
      </w:pPr>
    </w:lvl>
    <w:lvl w:ilvl="6" w:tplc="A75CF7F0" w:tentative="1">
      <w:start w:val="1"/>
      <w:numFmt w:val="decimal"/>
      <w:lvlText w:val="%7."/>
      <w:lvlJc w:val="left"/>
      <w:pPr>
        <w:ind w:left="5040" w:hanging="360"/>
      </w:pPr>
    </w:lvl>
    <w:lvl w:ilvl="7" w:tplc="6FB8466C" w:tentative="1">
      <w:start w:val="1"/>
      <w:numFmt w:val="lowerLetter"/>
      <w:lvlText w:val="%8."/>
      <w:lvlJc w:val="left"/>
      <w:pPr>
        <w:ind w:left="5760" w:hanging="360"/>
      </w:pPr>
    </w:lvl>
    <w:lvl w:ilvl="8" w:tplc="FBE42698" w:tentative="1">
      <w:start w:val="1"/>
      <w:numFmt w:val="lowerRoman"/>
      <w:lvlText w:val="%9."/>
      <w:lvlJc w:val="right"/>
      <w:pPr>
        <w:ind w:left="6480" w:hanging="180"/>
      </w:pPr>
    </w:lvl>
  </w:abstractNum>
  <w:abstractNum w:abstractNumId="3" w15:restartNumberingAfterBreak="0">
    <w:nsid w:val="0F2942D1"/>
    <w:multiLevelType w:val="hybridMultilevel"/>
    <w:tmpl w:val="3702D67A"/>
    <w:lvl w:ilvl="0" w:tplc="522CBC12">
      <w:start w:val="1"/>
      <w:numFmt w:val="bullet"/>
      <w:lvlText w:val=""/>
      <w:lvlJc w:val="left"/>
      <w:pPr>
        <w:ind w:left="1446" w:hanging="360"/>
      </w:pPr>
      <w:rPr>
        <w:rFonts w:ascii="Symbol" w:hAnsi="Symbol" w:hint="default"/>
      </w:rPr>
    </w:lvl>
    <w:lvl w:ilvl="1" w:tplc="AD7CEDC8" w:tentative="1">
      <w:start w:val="1"/>
      <w:numFmt w:val="bullet"/>
      <w:lvlText w:val="o"/>
      <w:lvlJc w:val="left"/>
      <w:pPr>
        <w:ind w:left="2166" w:hanging="360"/>
      </w:pPr>
      <w:rPr>
        <w:rFonts w:ascii="Courier New" w:hAnsi="Courier New" w:cs="Courier New" w:hint="default"/>
      </w:rPr>
    </w:lvl>
    <w:lvl w:ilvl="2" w:tplc="D86C5848" w:tentative="1">
      <w:start w:val="1"/>
      <w:numFmt w:val="bullet"/>
      <w:lvlText w:val=""/>
      <w:lvlJc w:val="left"/>
      <w:pPr>
        <w:ind w:left="2886" w:hanging="360"/>
      </w:pPr>
      <w:rPr>
        <w:rFonts w:ascii="Wingdings" w:hAnsi="Wingdings" w:hint="default"/>
      </w:rPr>
    </w:lvl>
    <w:lvl w:ilvl="3" w:tplc="426ECF10" w:tentative="1">
      <w:start w:val="1"/>
      <w:numFmt w:val="bullet"/>
      <w:lvlText w:val=""/>
      <w:lvlJc w:val="left"/>
      <w:pPr>
        <w:ind w:left="3606" w:hanging="360"/>
      </w:pPr>
      <w:rPr>
        <w:rFonts w:ascii="Symbol" w:hAnsi="Symbol" w:hint="default"/>
      </w:rPr>
    </w:lvl>
    <w:lvl w:ilvl="4" w:tplc="2CF64258" w:tentative="1">
      <w:start w:val="1"/>
      <w:numFmt w:val="bullet"/>
      <w:lvlText w:val="o"/>
      <w:lvlJc w:val="left"/>
      <w:pPr>
        <w:ind w:left="4326" w:hanging="360"/>
      </w:pPr>
      <w:rPr>
        <w:rFonts w:ascii="Courier New" w:hAnsi="Courier New" w:cs="Courier New" w:hint="default"/>
      </w:rPr>
    </w:lvl>
    <w:lvl w:ilvl="5" w:tplc="94C015DE" w:tentative="1">
      <w:start w:val="1"/>
      <w:numFmt w:val="bullet"/>
      <w:lvlText w:val=""/>
      <w:lvlJc w:val="left"/>
      <w:pPr>
        <w:ind w:left="5046" w:hanging="360"/>
      </w:pPr>
      <w:rPr>
        <w:rFonts w:ascii="Wingdings" w:hAnsi="Wingdings" w:hint="default"/>
      </w:rPr>
    </w:lvl>
    <w:lvl w:ilvl="6" w:tplc="5876363C" w:tentative="1">
      <w:start w:val="1"/>
      <w:numFmt w:val="bullet"/>
      <w:lvlText w:val=""/>
      <w:lvlJc w:val="left"/>
      <w:pPr>
        <w:ind w:left="5766" w:hanging="360"/>
      </w:pPr>
      <w:rPr>
        <w:rFonts w:ascii="Symbol" w:hAnsi="Symbol" w:hint="default"/>
      </w:rPr>
    </w:lvl>
    <w:lvl w:ilvl="7" w:tplc="29C0F706" w:tentative="1">
      <w:start w:val="1"/>
      <w:numFmt w:val="bullet"/>
      <w:lvlText w:val="o"/>
      <w:lvlJc w:val="left"/>
      <w:pPr>
        <w:ind w:left="6486" w:hanging="360"/>
      </w:pPr>
      <w:rPr>
        <w:rFonts w:ascii="Courier New" w:hAnsi="Courier New" w:cs="Courier New" w:hint="default"/>
      </w:rPr>
    </w:lvl>
    <w:lvl w:ilvl="8" w:tplc="3AC28A8C" w:tentative="1">
      <w:start w:val="1"/>
      <w:numFmt w:val="bullet"/>
      <w:lvlText w:val=""/>
      <w:lvlJc w:val="left"/>
      <w:pPr>
        <w:ind w:left="7206" w:hanging="360"/>
      </w:pPr>
      <w:rPr>
        <w:rFonts w:ascii="Wingdings" w:hAnsi="Wingdings" w:hint="default"/>
      </w:rPr>
    </w:lvl>
  </w:abstractNum>
  <w:abstractNum w:abstractNumId="4" w15:restartNumberingAfterBreak="0">
    <w:nsid w:val="104A25C1"/>
    <w:multiLevelType w:val="hybridMultilevel"/>
    <w:tmpl w:val="BA888D66"/>
    <w:lvl w:ilvl="0" w:tplc="25B28502">
      <w:start w:val="1"/>
      <w:numFmt w:val="decimal"/>
      <w:lvlText w:val="%1."/>
      <w:lvlJc w:val="left"/>
      <w:pPr>
        <w:ind w:left="1080" w:hanging="360"/>
      </w:pPr>
      <w:rPr>
        <w:rFonts w:ascii="Times New Roman" w:hAnsi="Times New Roman" w:cs="Times New Roman" w:hint="default"/>
        <w:sz w:val="24"/>
        <w:szCs w:val="24"/>
      </w:rPr>
    </w:lvl>
    <w:lvl w:ilvl="1" w:tplc="38B62C0E" w:tentative="1">
      <w:start w:val="1"/>
      <w:numFmt w:val="lowerLetter"/>
      <w:lvlText w:val="%2."/>
      <w:lvlJc w:val="left"/>
      <w:pPr>
        <w:ind w:left="1800" w:hanging="360"/>
      </w:pPr>
    </w:lvl>
    <w:lvl w:ilvl="2" w:tplc="5D2AB164" w:tentative="1">
      <w:start w:val="1"/>
      <w:numFmt w:val="lowerRoman"/>
      <w:lvlText w:val="%3."/>
      <w:lvlJc w:val="right"/>
      <w:pPr>
        <w:ind w:left="2520" w:hanging="180"/>
      </w:pPr>
    </w:lvl>
    <w:lvl w:ilvl="3" w:tplc="C4D80BB4" w:tentative="1">
      <w:start w:val="1"/>
      <w:numFmt w:val="decimal"/>
      <w:lvlText w:val="%4."/>
      <w:lvlJc w:val="left"/>
      <w:pPr>
        <w:ind w:left="3240" w:hanging="360"/>
      </w:pPr>
    </w:lvl>
    <w:lvl w:ilvl="4" w:tplc="558EBF10" w:tentative="1">
      <w:start w:val="1"/>
      <w:numFmt w:val="lowerLetter"/>
      <w:lvlText w:val="%5."/>
      <w:lvlJc w:val="left"/>
      <w:pPr>
        <w:ind w:left="3960" w:hanging="360"/>
      </w:pPr>
    </w:lvl>
    <w:lvl w:ilvl="5" w:tplc="52C826A2" w:tentative="1">
      <w:start w:val="1"/>
      <w:numFmt w:val="lowerRoman"/>
      <w:lvlText w:val="%6."/>
      <w:lvlJc w:val="right"/>
      <w:pPr>
        <w:ind w:left="4680" w:hanging="180"/>
      </w:pPr>
    </w:lvl>
    <w:lvl w:ilvl="6" w:tplc="6956A894" w:tentative="1">
      <w:start w:val="1"/>
      <w:numFmt w:val="decimal"/>
      <w:lvlText w:val="%7."/>
      <w:lvlJc w:val="left"/>
      <w:pPr>
        <w:ind w:left="5400" w:hanging="360"/>
      </w:pPr>
    </w:lvl>
    <w:lvl w:ilvl="7" w:tplc="B4EA0234" w:tentative="1">
      <w:start w:val="1"/>
      <w:numFmt w:val="lowerLetter"/>
      <w:lvlText w:val="%8."/>
      <w:lvlJc w:val="left"/>
      <w:pPr>
        <w:ind w:left="6120" w:hanging="360"/>
      </w:pPr>
    </w:lvl>
    <w:lvl w:ilvl="8" w:tplc="DF3A55B8" w:tentative="1">
      <w:start w:val="1"/>
      <w:numFmt w:val="lowerRoman"/>
      <w:lvlText w:val="%9."/>
      <w:lvlJc w:val="right"/>
      <w:pPr>
        <w:ind w:left="6840" w:hanging="180"/>
      </w:pPr>
    </w:lvl>
  </w:abstractNum>
  <w:abstractNum w:abstractNumId="5" w15:restartNumberingAfterBreak="0">
    <w:nsid w:val="11371580"/>
    <w:multiLevelType w:val="hybridMultilevel"/>
    <w:tmpl w:val="E1F0696C"/>
    <w:lvl w:ilvl="0" w:tplc="E24AEDD6">
      <w:start w:val="1"/>
      <w:numFmt w:val="decimal"/>
      <w:lvlText w:val="%1."/>
      <w:lvlJc w:val="left"/>
      <w:pPr>
        <w:ind w:left="1860" w:hanging="360"/>
      </w:pPr>
      <w:rPr>
        <w:rFonts w:hint="default"/>
      </w:rPr>
    </w:lvl>
    <w:lvl w:ilvl="1" w:tplc="E214965C" w:tentative="1">
      <w:start w:val="1"/>
      <w:numFmt w:val="lowerLetter"/>
      <w:lvlText w:val="%2."/>
      <w:lvlJc w:val="left"/>
      <w:pPr>
        <w:ind w:left="2580" w:hanging="360"/>
      </w:pPr>
    </w:lvl>
    <w:lvl w:ilvl="2" w:tplc="E5349E42" w:tentative="1">
      <w:start w:val="1"/>
      <w:numFmt w:val="lowerRoman"/>
      <w:lvlText w:val="%3."/>
      <w:lvlJc w:val="right"/>
      <w:pPr>
        <w:ind w:left="3300" w:hanging="180"/>
      </w:pPr>
    </w:lvl>
    <w:lvl w:ilvl="3" w:tplc="DF788152" w:tentative="1">
      <w:start w:val="1"/>
      <w:numFmt w:val="decimal"/>
      <w:lvlText w:val="%4."/>
      <w:lvlJc w:val="left"/>
      <w:pPr>
        <w:ind w:left="4020" w:hanging="360"/>
      </w:pPr>
    </w:lvl>
    <w:lvl w:ilvl="4" w:tplc="A88CAA06" w:tentative="1">
      <w:start w:val="1"/>
      <w:numFmt w:val="lowerLetter"/>
      <w:lvlText w:val="%5."/>
      <w:lvlJc w:val="left"/>
      <w:pPr>
        <w:ind w:left="4740" w:hanging="360"/>
      </w:pPr>
    </w:lvl>
    <w:lvl w:ilvl="5" w:tplc="1A2EB5F0" w:tentative="1">
      <w:start w:val="1"/>
      <w:numFmt w:val="lowerRoman"/>
      <w:lvlText w:val="%6."/>
      <w:lvlJc w:val="right"/>
      <w:pPr>
        <w:ind w:left="5460" w:hanging="180"/>
      </w:pPr>
    </w:lvl>
    <w:lvl w:ilvl="6" w:tplc="5FF24CEE" w:tentative="1">
      <w:start w:val="1"/>
      <w:numFmt w:val="decimal"/>
      <w:lvlText w:val="%7."/>
      <w:lvlJc w:val="left"/>
      <w:pPr>
        <w:ind w:left="6180" w:hanging="360"/>
      </w:pPr>
    </w:lvl>
    <w:lvl w:ilvl="7" w:tplc="B8CC0DAA" w:tentative="1">
      <w:start w:val="1"/>
      <w:numFmt w:val="lowerLetter"/>
      <w:lvlText w:val="%8."/>
      <w:lvlJc w:val="left"/>
      <w:pPr>
        <w:ind w:left="6900" w:hanging="360"/>
      </w:pPr>
    </w:lvl>
    <w:lvl w:ilvl="8" w:tplc="7A4077BE" w:tentative="1">
      <w:start w:val="1"/>
      <w:numFmt w:val="lowerRoman"/>
      <w:lvlText w:val="%9."/>
      <w:lvlJc w:val="right"/>
      <w:pPr>
        <w:ind w:left="7620" w:hanging="180"/>
      </w:pPr>
    </w:lvl>
  </w:abstractNum>
  <w:abstractNum w:abstractNumId="6" w15:restartNumberingAfterBreak="0">
    <w:nsid w:val="24382937"/>
    <w:multiLevelType w:val="hybridMultilevel"/>
    <w:tmpl w:val="98269138"/>
    <w:lvl w:ilvl="0" w:tplc="BD423FF6">
      <w:start w:val="1"/>
      <w:numFmt w:val="decimal"/>
      <w:lvlText w:val="%1."/>
      <w:lvlJc w:val="left"/>
      <w:pPr>
        <w:ind w:left="1080" w:hanging="360"/>
      </w:pPr>
      <w:rPr>
        <w:rFonts w:hint="default"/>
      </w:rPr>
    </w:lvl>
    <w:lvl w:ilvl="1" w:tplc="53F42EEE">
      <w:start w:val="1"/>
      <w:numFmt w:val="lowerLetter"/>
      <w:lvlText w:val="%2."/>
      <w:lvlJc w:val="left"/>
      <w:pPr>
        <w:ind w:left="1800" w:hanging="360"/>
      </w:pPr>
    </w:lvl>
    <w:lvl w:ilvl="2" w:tplc="B434CDCA">
      <w:start w:val="1"/>
      <w:numFmt w:val="lowerRoman"/>
      <w:lvlText w:val="%3."/>
      <w:lvlJc w:val="right"/>
      <w:pPr>
        <w:ind w:left="2520" w:hanging="180"/>
      </w:pPr>
    </w:lvl>
    <w:lvl w:ilvl="3" w:tplc="47448810">
      <w:start w:val="1"/>
      <w:numFmt w:val="decimal"/>
      <w:lvlText w:val="%4."/>
      <w:lvlJc w:val="left"/>
      <w:pPr>
        <w:ind w:left="3240" w:hanging="360"/>
      </w:pPr>
    </w:lvl>
    <w:lvl w:ilvl="4" w:tplc="52A033FC">
      <w:start w:val="1"/>
      <w:numFmt w:val="lowerLetter"/>
      <w:lvlText w:val="%5."/>
      <w:lvlJc w:val="left"/>
      <w:pPr>
        <w:ind w:left="3960" w:hanging="360"/>
      </w:pPr>
    </w:lvl>
    <w:lvl w:ilvl="5" w:tplc="B3544BA0">
      <w:start w:val="1"/>
      <w:numFmt w:val="lowerRoman"/>
      <w:lvlText w:val="%6."/>
      <w:lvlJc w:val="right"/>
      <w:pPr>
        <w:ind w:left="4680" w:hanging="180"/>
      </w:pPr>
    </w:lvl>
    <w:lvl w:ilvl="6" w:tplc="B2DAE78A">
      <w:start w:val="1"/>
      <w:numFmt w:val="decimal"/>
      <w:lvlText w:val="%7."/>
      <w:lvlJc w:val="left"/>
      <w:pPr>
        <w:ind w:left="5400" w:hanging="360"/>
      </w:pPr>
    </w:lvl>
    <w:lvl w:ilvl="7" w:tplc="47DAF500">
      <w:start w:val="1"/>
      <w:numFmt w:val="lowerLetter"/>
      <w:lvlText w:val="%8."/>
      <w:lvlJc w:val="left"/>
      <w:pPr>
        <w:ind w:left="6120" w:hanging="360"/>
      </w:pPr>
    </w:lvl>
    <w:lvl w:ilvl="8" w:tplc="9D96EEE6">
      <w:start w:val="1"/>
      <w:numFmt w:val="lowerRoman"/>
      <w:lvlText w:val="%9."/>
      <w:lvlJc w:val="right"/>
      <w:pPr>
        <w:ind w:left="6840" w:hanging="180"/>
      </w:pPr>
    </w:lvl>
  </w:abstractNum>
  <w:abstractNum w:abstractNumId="7" w15:restartNumberingAfterBreak="0">
    <w:nsid w:val="2B244F58"/>
    <w:multiLevelType w:val="hybridMultilevel"/>
    <w:tmpl w:val="2C88C830"/>
    <w:lvl w:ilvl="0" w:tplc="B2D07B4E">
      <w:start w:val="1"/>
      <w:numFmt w:val="decimal"/>
      <w:lvlText w:val="%1."/>
      <w:lvlJc w:val="right"/>
      <w:pPr>
        <w:ind w:left="1440" w:hanging="360"/>
      </w:pPr>
      <w:rPr>
        <w:rFonts w:hint="default"/>
      </w:rPr>
    </w:lvl>
    <w:lvl w:ilvl="1" w:tplc="036C9C38" w:tentative="1">
      <w:start w:val="1"/>
      <w:numFmt w:val="lowerLetter"/>
      <w:lvlText w:val="%2."/>
      <w:lvlJc w:val="left"/>
      <w:pPr>
        <w:ind w:left="2160" w:hanging="360"/>
      </w:pPr>
    </w:lvl>
    <w:lvl w:ilvl="2" w:tplc="7CCC28DA" w:tentative="1">
      <w:start w:val="1"/>
      <w:numFmt w:val="lowerRoman"/>
      <w:lvlText w:val="%3."/>
      <w:lvlJc w:val="right"/>
      <w:pPr>
        <w:ind w:left="2880" w:hanging="180"/>
      </w:pPr>
    </w:lvl>
    <w:lvl w:ilvl="3" w:tplc="76AAC7B0" w:tentative="1">
      <w:start w:val="1"/>
      <w:numFmt w:val="decimal"/>
      <w:lvlText w:val="%4."/>
      <w:lvlJc w:val="left"/>
      <w:pPr>
        <w:ind w:left="3600" w:hanging="360"/>
      </w:pPr>
    </w:lvl>
    <w:lvl w:ilvl="4" w:tplc="3808E490" w:tentative="1">
      <w:start w:val="1"/>
      <w:numFmt w:val="lowerLetter"/>
      <w:lvlText w:val="%5."/>
      <w:lvlJc w:val="left"/>
      <w:pPr>
        <w:ind w:left="4320" w:hanging="360"/>
      </w:pPr>
    </w:lvl>
    <w:lvl w:ilvl="5" w:tplc="198EA306" w:tentative="1">
      <w:start w:val="1"/>
      <w:numFmt w:val="lowerRoman"/>
      <w:lvlText w:val="%6."/>
      <w:lvlJc w:val="right"/>
      <w:pPr>
        <w:ind w:left="5040" w:hanging="180"/>
      </w:pPr>
    </w:lvl>
    <w:lvl w:ilvl="6" w:tplc="CE960F5C" w:tentative="1">
      <w:start w:val="1"/>
      <w:numFmt w:val="decimal"/>
      <w:lvlText w:val="%7."/>
      <w:lvlJc w:val="left"/>
      <w:pPr>
        <w:ind w:left="5760" w:hanging="360"/>
      </w:pPr>
    </w:lvl>
    <w:lvl w:ilvl="7" w:tplc="AE240A8A" w:tentative="1">
      <w:start w:val="1"/>
      <w:numFmt w:val="lowerLetter"/>
      <w:lvlText w:val="%8."/>
      <w:lvlJc w:val="left"/>
      <w:pPr>
        <w:ind w:left="6480" w:hanging="360"/>
      </w:pPr>
    </w:lvl>
    <w:lvl w:ilvl="8" w:tplc="B65A0C14" w:tentative="1">
      <w:start w:val="1"/>
      <w:numFmt w:val="lowerRoman"/>
      <w:lvlText w:val="%9."/>
      <w:lvlJc w:val="right"/>
      <w:pPr>
        <w:ind w:left="7200" w:hanging="180"/>
      </w:pPr>
    </w:lvl>
  </w:abstractNum>
  <w:abstractNum w:abstractNumId="8" w15:restartNumberingAfterBreak="0">
    <w:nsid w:val="2D5C7047"/>
    <w:multiLevelType w:val="hybridMultilevel"/>
    <w:tmpl w:val="F7D66290"/>
    <w:lvl w:ilvl="0" w:tplc="43CEC27A">
      <w:start w:val="1"/>
      <w:numFmt w:val="decimal"/>
      <w:lvlText w:val="%1."/>
      <w:lvlJc w:val="left"/>
      <w:pPr>
        <w:ind w:left="1080" w:hanging="360"/>
      </w:pPr>
      <w:rPr>
        <w:rFonts w:ascii="Times New Roman" w:hAnsi="Times New Roman" w:cs="Times New Roman" w:hint="default"/>
        <w:sz w:val="24"/>
        <w:szCs w:val="24"/>
      </w:rPr>
    </w:lvl>
    <w:lvl w:ilvl="1" w:tplc="591027AA" w:tentative="1">
      <w:start w:val="1"/>
      <w:numFmt w:val="lowerLetter"/>
      <w:lvlText w:val="%2."/>
      <w:lvlJc w:val="left"/>
      <w:pPr>
        <w:ind w:left="1800" w:hanging="360"/>
      </w:pPr>
    </w:lvl>
    <w:lvl w:ilvl="2" w:tplc="2CE0060A" w:tentative="1">
      <w:start w:val="1"/>
      <w:numFmt w:val="lowerRoman"/>
      <w:lvlText w:val="%3."/>
      <w:lvlJc w:val="right"/>
      <w:pPr>
        <w:ind w:left="2520" w:hanging="180"/>
      </w:pPr>
    </w:lvl>
    <w:lvl w:ilvl="3" w:tplc="130AD1F0" w:tentative="1">
      <w:start w:val="1"/>
      <w:numFmt w:val="decimal"/>
      <w:lvlText w:val="%4."/>
      <w:lvlJc w:val="left"/>
      <w:pPr>
        <w:ind w:left="3240" w:hanging="360"/>
      </w:pPr>
    </w:lvl>
    <w:lvl w:ilvl="4" w:tplc="7B48F1D0" w:tentative="1">
      <w:start w:val="1"/>
      <w:numFmt w:val="lowerLetter"/>
      <w:lvlText w:val="%5."/>
      <w:lvlJc w:val="left"/>
      <w:pPr>
        <w:ind w:left="3960" w:hanging="360"/>
      </w:pPr>
    </w:lvl>
    <w:lvl w:ilvl="5" w:tplc="6D303B08" w:tentative="1">
      <w:start w:val="1"/>
      <w:numFmt w:val="lowerRoman"/>
      <w:lvlText w:val="%6."/>
      <w:lvlJc w:val="right"/>
      <w:pPr>
        <w:ind w:left="4680" w:hanging="180"/>
      </w:pPr>
    </w:lvl>
    <w:lvl w:ilvl="6" w:tplc="325EA0B0" w:tentative="1">
      <w:start w:val="1"/>
      <w:numFmt w:val="decimal"/>
      <w:lvlText w:val="%7."/>
      <w:lvlJc w:val="left"/>
      <w:pPr>
        <w:ind w:left="5400" w:hanging="360"/>
      </w:pPr>
    </w:lvl>
    <w:lvl w:ilvl="7" w:tplc="FCB6880E" w:tentative="1">
      <w:start w:val="1"/>
      <w:numFmt w:val="lowerLetter"/>
      <w:lvlText w:val="%8."/>
      <w:lvlJc w:val="left"/>
      <w:pPr>
        <w:ind w:left="6120" w:hanging="360"/>
      </w:pPr>
    </w:lvl>
    <w:lvl w:ilvl="8" w:tplc="17BABBDA" w:tentative="1">
      <w:start w:val="1"/>
      <w:numFmt w:val="lowerRoman"/>
      <w:lvlText w:val="%9."/>
      <w:lvlJc w:val="right"/>
      <w:pPr>
        <w:ind w:left="6840" w:hanging="180"/>
      </w:pPr>
    </w:lvl>
  </w:abstractNum>
  <w:abstractNum w:abstractNumId="9" w15:restartNumberingAfterBreak="0">
    <w:nsid w:val="2F517F76"/>
    <w:multiLevelType w:val="hybridMultilevel"/>
    <w:tmpl w:val="3A2ADBA6"/>
    <w:lvl w:ilvl="0" w:tplc="C89A77B8">
      <w:start w:val="3"/>
      <w:numFmt w:val="upperRoman"/>
      <w:lvlText w:val="%1."/>
      <w:lvlJc w:val="left"/>
      <w:pPr>
        <w:tabs>
          <w:tab w:val="num" w:pos="1080"/>
        </w:tabs>
        <w:ind w:left="1080" w:hanging="720"/>
      </w:pPr>
      <w:rPr>
        <w:rFonts w:hint="default"/>
      </w:rPr>
    </w:lvl>
    <w:lvl w:ilvl="1" w:tplc="43824D9C">
      <w:start w:val="1"/>
      <w:numFmt w:val="lowerLetter"/>
      <w:lvlText w:val="%2."/>
      <w:lvlJc w:val="left"/>
      <w:pPr>
        <w:tabs>
          <w:tab w:val="num" w:pos="1440"/>
        </w:tabs>
        <w:ind w:left="1440" w:hanging="360"/>
      </w:pPr>
    </w:lvl>
    <w:lvl w:ilvl="2" w:tplc="B4B4D8F6">
      <w:start w:val="1"/>
      <w:numFmt w:val="lowerRoman"/>
      <w:lvlText w:val="%3."/>
      <w:lvlJc w:val="right"/>
      <w:pPr>
        <w:tabs>
          <w:tab w:val="num" w:pos="2160"/>
        </w:tabs>
        <w:ind w:left="2160" w:hanging="180"/>
      </w:pPr>
    </w:lvl>
    <w:lvl w:ilvl="3" w:tplc="E3524A38">
      <w:start w:val="1"/>
      <w:numFmt w:val="decimal"/>
      <w:lvlText w:val="%4."/>
      <w:lvlJc w:val="left"/>
      <w:pPr>
        <w:tabs>
          <w:tab w:val="num" w:pos="2880"/>
        </w:tabs>
        <w:ind w:left="2880" w:hanging="360"/>
      </w:pPr>
    </w:lvl>
    <w:lvl w:ilvl="4" w:tplc="A65463DE">
      <w:start w:val="1"/>
      <w:numFmt w:val="lowerLetter"/>
      <w:lvlText w:val="%5."/>
      <w:lvlJc w:val="left"/>
      <w:pPr>
        <w:tabs>
          <w:tab w:val="num" w:pos="3600"/>
        </w:tabs>
        <w:ind w:left="3600" w:hanging="360"/>
      </w:pPr>
    </w:lvl>
    <w:lvl w:ilvl="5" w:tplc="CA48DA40">
      <w:start w:val="1"/>
      <w:numFmt w:val="lowerRoman"/>
      <w:lvlText w:val="%6."/>
      <w:lvlJc w:val="right"/>
      <w:pPr>
        <w:tabs>
          <w:tab w:val="num" w:pos="4320"/>
        </w:tabs>
        <w:ind w:left="4320" w:hanging="180"/>
      </w:pPr>
    </w:lvl>
    <w:lvl w:ilvl="6" w:tplc="470C1F00">
      <w:start w:val="1"/>
      <w:numFmt w:val="decimal"/>
      <w:lvlText w:val="%7."/>
      <w:lvlJc w:val="left"/>
      <w:pPr>
        <w:tabs>
          <w:tab w:val="num" w:pos="5040"/>
        </w:tabs>
        <w:ind w:left="5040" w:hanging="360"/>
      </w:pPr>
    </w:lvl>
    <w:lvl w:ilvl="7" w:tplc="CB2CCAB8">
      <w:start w:val="1"/>
      <w:numFmt w:val="lowerLetter"/>
      <w:lvlText w:val="%8."/>
      <w:lvlJc w:val="left"/>
      <w:pPr>
        <w:tabs>
          <w:tab w:val="num" w:pos="5760"/>
        </w:tabs>
        <w:ind w:left="5760" w:hanging="360"/>
      </w:pPr>
    </w:lvl>
    <w:lvl w:ilvl="8" w:tplc="9F96EF3E">
      <w:start w:val="1"/>
      <w:numFmt w:val="lowerRoman"/>
      <w:lvlText w:val="%9."/>
      <w:lvlJc w:val="right"/>
      <w:pPr>
        <w:tabs>
          <w:tab w:val="num" w:pos="6480"/>
        </w:tabs>
        <w:ind w:left="6480" w:hanging="180"/>
      </w:pPr>
    </w:lvl>
  </w:abstractNum>
  <w:abstractNum w:abstractNumId="10" w15:restartNumberingAfterBreak="0">
    <w:nsid w:val="314F6297"/>
    <w:multiLevelType w:val="hybridMultilevel"/>
    <w:tmpl w:val="0888A096"/>
    <w:lvl w:ilvl="0" w:tplc="378EAEAA">
      <w:start w:val="1"/>
      <w:numFmt w:val="upperLetter"/>
      <w:lvlText w:val="%1."/>
      <w:lvlJc w:val="left"/>
      <w:pPr>
        <w:ind w:left="720" w:hanging="360"/>
      </w:pPr>
      <w:rPr>
        <w:rFonts w:hint="default"/>
        <w:sz w:val="24"/>
      </w:rPr>
    </w:lvl>
    <w:lvl w:ilvl="1" w:tplc="242040BA" w:tentative="1">
      <w:start w:val="1"/>
      <w:numFmt w:val="lowerLetter"/>
      <w:lvlText w:val="%2."/>
      <w:lvlJc w:val="left"/>
      <w:pPr>
        <w:ind w:left="1440" w:hanging="360"/>
      </w:pPr>
    </w:lvl>
    <w:lvl w:ilvl="2" w:tplc="6F965BF0" w:tentative="1">
      <w:start w:val="1"/>
      <w:numFmt w:val="lowerRoman"/>
      <w:lvlText w:val="%3."/>
      <w:lvlJc w:val="right"/>
      <w:pPr>
        <w:ind w:left="2160" w:hanging="180"/>
      </w:pPr>
    </w:lvl>
    <w:lvl w:ilvl="3" w:tplc="92844AA6" w:tentative="1">
      <w:start w:val="1"/>
      <w:numFmt w:val="decimal"/>
      <w:lvlText w:val="%4."/>
      <w:lvlJc w:val="left"/>
      <w:pPr>
        <w:ind w:left="2880" w:hanging="360"/>
      </w:pPr>
    </w:lvl>
    <w:lvl w:ilvl="4" w:tplc="2C88BE2C" w:tentative="1">
      <w:start w:val="1"/>
      <w:numFmt w:val="lowerLetter"/>
      <w:lvlText w:val="%5."/>
      <w:lvlJc w:val="left"/>
      <w:pPr>
        <w:ind w:left="3600" w:hanging="360"/>
      </w:pPr>
    </w:lvl>
    <w:lvl w:ilvl="5" w:tplc="1BFE423E" w:tentative="1">
      <w:start w:val="1"/>
      <w:numFmt w:val="lowerRoman"/>
      <w:lvlText w:val="%6."/>
      <w:lvlJc w:val="right"/>
      <w:pPr>
        <w:ind w:left="4320" w:hanging="180"/>
      </w:pPr>
    </w:lvl>
    <w:lvl w:ilvl="6" w:tplc="9AA8C84A" w:tentative="1">
      <w:start w:val="1"/>
      <w:numFmt w:val="decimal"/>
      <w:lvlText w:val="%7."/>
      <w:lvlJc w:val="left"/>
      <w:pPr>
        <w:ind w:left="5040" w:hanging="360"/>
      </w:pPr>
    </w:lvl>
    <w:lvl w:ilvl="7" w:tplc="46CE9DE2" w:tentative="1">
      <w:start w:val="1"/>
      <w:numFmt w:val="lowerLetter"/>
      <w:lvlText w:val="%8."/>
      <w:lvlJc w:val="left"/>
      <w:pPr>
        <w:ind w:left="5760" w:hanging="360"/>
      </w:pPr>
    </w:lvl>
    <w:lvl w:ilvl="8" w:tplc="6C6C0AA8" w:tentative="1">
      <w:start w:val="1"/>
      <w:numFmt w:val="lowerRoman"/>
      <w:lvlText w:val="%9."/>
      <w:lvlJc w:val="right"/>
      <w:pPr>
        <w:ind w:left="6480" w:hanging="180"/>
      </w:pPr>
    </w:lvl>
  </w:abstractNum>
  <w:abstractNum w:abstractNumId="11" w15:restartNumberingAfterBreak="0">
    <w:nsid w:val="32B450AC"/>
    <w:multiLevelType w:val="hybridMultilevel"/>
    <w:tmpl w:val="9E9C4598"/>
    <w:lvl w:ilvl="0" w:tplc="D20E23D0">
      <w:start w:val="1"/>
      <w:numFmt w:val="upperRoman"/>
      <w:lvlText w:val="%1."/>
      <w:lvlJc w:val="left"/>
      <w:pPr>
        <w:ind w:left="1080" w:hanging="720"/>
      </w:pPr>
      <w:rPr>
        <w:rFonts w:hint="default"/>
      </w:rPr>
    </w:lvl>
    <w:lvl w:ilvl="1" w:tplc="27928C4A">
      <w:start w:val="1"/>
      <w:numFmt w:val="lowerLetter"/>
      <w:lvlText w:val="%2."/>
      <w:lvlJc w:val="left"/>
      <w:pPr>
        <w:ind w:left="1440" w:hanging="360"/>
      </w:pPr>
    </w:lvl>
    <w:lvl w:ilvl="2" w:tplc="7EF6138E">
      <w:start w:val="1"/>
      <w:numFmt w:val="lowerRoman"/>
      <w:lvlText w:val="%3."/>
      <w:lvlJc w:val="right"/>
      <w:pPr>
        <w:ind w:left="2160" w:hanging="180"/>
      </w:pPr>
    </w:lvl>
    <w:lvl w:ilvl="3" w:tplc="A61898D0">
      <w:start w:val="1"/>
      <w:numFmt w:val="decimal"/>
      <w:lvlText w:val="%4."/>
      <w:lvlJc w:val="left"/>
      <w:pPr>
        <w:ind w:left="2880" w:hanging="360"/>
      </w:pPr>
    </w:lvl>
    <w:lvl w:ilvl="4" w:tplc="CCBCD9DC">
      <w:start w:val="1"/>
      <w:numFmt w:val="lowerLetter"/>
      <w:lvlText w:val="%5."/>
      <w:lvlJc w:val="left"/>
      <w:pPr>
        <w:ind w:left="3600" w:hanging="360"/>
      </w:pPr>
    </w:lvl>
    <w:lvl w:ilvl="5" w:tplc="6A82714A">
      <w:start w:val="1"/>
      <w:numFmt w:val="lowerRoman"/>
      <w:lvlText w:val="%6."/>
      <w:lvlJc w:val="right"/>
      <w:pPr>
        <w:ind w:left="4320" w:hanging="180"/>
      </w:pPr>
    </w:lvl>
    <w:lvl w:ilvl="6" w:tplc="AB4C253E">
      <w:start w:val="1"/>
      <w:numFmt w:val="decimal"/>
      <w:lvlText w:val="%7."/>
      <w:lvlJc w:val="left"/>
      <w:pPr>
        <w:ind w:left="5040" w:hanging="360"/>
      </w:pPr>
    </w:lvl>
    <w:lvl w:ilvl="7" w:tplc="48DC72AC">
      <w:start w:val="1"/>
      <w:numFmt w:val="lowerLetter"/>
      <w:lvlText w:val="%8."/>
      <w:lvlJc w:val="left"/>
      <w:pPr>
        <w:ind w:left="5760" w:hanging="360"/>
      </w:pPr>
    </w:lvl>
    <w:lvl w:ilvl="8" w:tplc="D06C429A">
      <w:start w:val="1"/>
      <w:numFmt w:val="lowerRoman"/>
      <w:lvlText w:val="%9."/>
      <w:lvlJc w:val="right"/>
      <w:pPr>
        <w:ind w:left="6480" w:hanging="180"/>
      </w:pPr>
    </w:lvl>
  </w:abstractNum>
  <w:abstractNum w:abstractNumId="12" w15:restartNumberingAfterBreak="0">
    <w:nsid w:val="339A4664"/>
    <w:multiLevelType w:val="hybridMultilevel"/>
    <w:tmpl w:val="C3C84A2A"/>
    <w:lvl w:ilvl="0" w:tplc="C09242B8">
      <w:start w:val="1"/>
      <w:numFmt w:val="decimal"/>
      <w:lvlText w:val="(%1)"/>
      <w:lvlJc w:val="left"/>
      <w:pPr>
        <w:ind w:left="720" w:hanging="360"/>
      </w:pPr>
    </w:lvl>
    <w:lvl w:ilvl="1" w:tplc="D9868B22">
      <w:start w:val="1"/>
      <w:numFmt w:val="lowerLetter"/>
      <w:lvlText w:val="%2."/>
      <w:lvlJc w:val="left"/>
      <w:pPr>
        <w:ind w:left="1440" w:hanging="360"/>
      </w:pPr>
    </w:lvl>
    <w:lvl w:ilvl="2" w:tplc="160E9FE6">
      <w:start w:val="1"/>
      <w:numFmt w:val="lowerRoman"/>
      <w:lvlText w:val="%3."/>
      <w:lvlJc w:val="right"/>
      <w:pPr>
        <w:ind w:left="2160" w:hanging="180"/>
      </w:pPr>
    </w:lvl>
    <w:lvl w:ilvl="3" w:tplc="E9AE804A">
      <w:start w:val="1"/>
      <w:numFmt w:val="decimal"/>
      <w:lvlText w:val="%4."/>
      <w:lvlJc w:val="left"/>
      <w:pPr>
        <w:ind w:left="2880" w:hanging="360"/>
      </w:pPr>
    </w:lvl>
    <w:lvl w:ilvl="4" w:tplc="27F0691C">
      <w:start w:val="1"/>
      <w:numFmt w:val="lowerLetter"/>
      <w:lvlText w:val="%5."/>
      <w:lvlJc w:val="left"/>
      <w:pPr>
        <w:ind w:left="3600" w:hanging="360"/>
      </w:pPr>
    </w:lvl>
    <w:lvl w:ilvl="5" w:tplc="E918C88A">
      <w:start w:val="1"/>
      <w:numFmt w:val="lowerRoman"/>
      <w:lvlText w:val="%6."/>
      <w:lvlJc w:val="right"/>
      <w:pPr>
        <w:ind w:left="4320" w:hanging="180"/>
      </w:pPr>
    </w:lvl>
    <w:lvl w:ilvl="6" w:tplc="CC38F80C">
      <w:start w:val="1"/>
      <w:numFmt w:val="decimal"/>
      <w:lvlText w:val="%7."/>
      <w:lvlJc w:val="left"/>
      <w:pPr>
        <w:ind w:left="5040" w:hanging="360"/>
      </w:pPr>
    </w:lvl>
    <w:lvl w:ilvl="7" w:tplc="9F96EB4C">
      <w:start w:val="1"/>
      <w:numFmt w:val="lowerLetter"/>
      <w:lvlText w:val="%8."/>
      <w:lvlJc w:val="left"/>
      <w:pPr>
        <w:ind w:left="5760" w:hanging="360"/>
      </w:pPr>
    </w:lvl>
    <w:lvl w:ilvl="8" w:tplc="558C3E02">
      <w:start w:val="1"/>
      <w:numFmt w:val="lowerRoman"/>
      <w:lvlText w:val="%9."/>
      <w:lvlJc w:val="right"/>
      <w:pPr>
        <w:ind w:left="6480" w:hanging="180"/>
      </w:pPr>
    </w:lvl>
  </w:abstractNum>
  <w:abstractNum w:abstractNumId="13" w15:restartNumberingAfterBreak="0">
    <w:nsid w:val="347A5811"/>
    <w:multiLevelType w:val="multilevel"/>
    <w:tmpl w:val="03C84B1A"/>
    <w:lvl w:ilvl="0">
      <w:start w:val="1"/>
      <w:numFmt w:val="decimal"/>
      <w:lvlText w:val="%1."/>
      <w:lvlJc w:val="left"/>
      <w:pPr>
        <w:ind w:left="180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4E27AA8"/>
    <w:multiLevelType w:val="hybridMultilevel"/>
    <w:tmpl w:val="85F0BA98"/>
    <w:lvl w:ilvl="0" w:tplc="C4240F8A">
      <w:start w:val="1"/>
      <w:numFmt w:val="upperLetter"/>
      <w:lvlText w:val="%1."/>
      <w:lvlJc w:val="left"/>
      <w:pPr>
        <w:ind w:left="1080" w:hanging="360"/>
      </w:pPr>
      <w:rPr>
        <w:rFonts w:hint="default"/>
      </w:rPr>
    </w:lvl>
    <w:lvl w:ilvl="1" w:tplc="7F00903E">
      <w:start w:val="1"/>
      <w:numFmt w:val="lowerLetter"/>
      <w:lvlText w:val="%2."/>
      <w:lvlJc w:val="left"/>
      <w:pPr>
        <w:ind w:left="1800" w:hanging="360"/>
      </w:pPr>
    </w:lvl>
    <w:lvl w:ilvl="2" w:tplc="3E6C16E8">
      <w:start w:val="1"/>
      <w:numFmt w:val="lowerRoman"/>
      <w:lvlText w:val="%3."/>
      <w:lvlJc w:val="right"/>
      <w:pPr>
        <w:ind w:left="2520" w:hanging="180"/>
      </w:pPr>
    </w:lvl>
    <w:lvl w:ilvl="3" w:tplc="27E86BCC">
      <w:start w:val="1"/>
      <w:numFmt w:val="decimal"/>
      <w:lvlText w:val="%4."/>
      <w:lvlJc w:val="left"/>
      <w:pPr>
        <w:ind w:left="3240" w:hanging="360"/>
      </w:pPr>
    </w:lvl>
    <w:lvl w:ilvl="4" w:tplc="DAF0B018">
      <w:start w:val="1"/>
      <w:numFmt w:val="lowerLetter"/>
      <w:lvlText w:val="%5."/>
      <w:lvlJc w:val="left"/>
      <w:pPr>
        <w:ind w:left="3960" w:hanging="360"/>
      </w:pPr>
    </w:lvl>
    <w:lvl w:ilvl="5" w:tplc="39F4AB94">
      <w:start w:val="1"/>
      <w:numFmt w:val="lowerRoman"/>
      <w:lvlText w:val="%6."/>
      <w:lvlJc w:val="right"/>
      <w:pPr>
        <w:ind w:left="4680" w:hanging="180"/>
      </w:pPr>
    </w:lvl>
    <w:lvl w:ilvl="6" w:tplc="EC4E301A">
      <w:start w:val="1"/>
      <w:numFmt w:val="decimal"/>
      <w:lvlText w:val="%7."/>
      <w:lvlJc w:val="left"/>
      <w:pPr>
        <w:ind w:left="5400" w:hanging="360"/>
      </w:pPr>
    </w:lvl>
    <w:lvl w:ilvl="7" w:tplc="A9B6348C">
      <w:start w:val="1"/>
      <w:numFmt w:val="lowerLetter"/>
      <w:lvlText w:val="%8."/>
      <w:lvlJc w:val="left"/>
      <w:pPr>
        <w:ind w:left="6120" w:hanging="360"/>
      </w:pPr>
    </w:lvl>
    <w:lvl w:ilvl="8" w:tplc="3536CBCE">
      <w:start w:val="1"/>
      <w:numFmt w:val="lowerRoman"/>
      <w:lvlText w:val="%9."/>
      <w:lvlJc w:val="right"/>
      <w:pPr>
        <w:ind w:left="6840" w:hanging="180"/>
      </w:pPr>
    </w:lvl>
  </w:abstractNum>
  <w:abstractNum w:abstractNumId="15" w15:restartNumberingAfterBreak="0">
    <w:nsid w:val="383457A8"/>
    <w:multiLevelType w:val="hybridMultilevel"/>
    <w:tmpl w:val="954CF42E"/>
    <w:lvl w:ilvl="0" w:tplc="32D22CDC">
      <w:start w:val="1"/>
      <w:numFmt w:val="upperLetter"/>
      <w:lvlText w:val="%1."/>
      <w:lvlJc w:val="left"/>
      <w:pPr>
        <w:tabs>
          <w:tab w:val="num" w:pos="720"/>
        </w:tabs>
        <w:ind w:left="720" w:hanging="360"/>
      </w:pPr>
      <w:rPr>
        <w:rFonts w:ascii="Times New Roman" w:eastAsia="Times New Roman" w:hAnsi="Times New Roman"/>
        <w:b/>
        <w:bCs/>
        <w:i/>
        <w:iCs/>
      </w:rPr>
    </w:lvl>
    <w:lvl w:ilvl="1" w:tplc="6756EF86">
      <w:start w:val="1"/>
      <w:numFmt w:val="lowerLetter"/>
      <w:lvlText w:val="%2."/>
      <w:lvlJc w:val="left"/>
      <w:pPr>
        <w:tabs>
          <w:tab w:val="num" w:pos="1440"/>
        </w:tabs>
        <w:ind w:left="1440" w:hanging="360"/>
      </w:pPr>
    </w:lvl>
    <w:lvl w:ilvl="2" w:tplc="849E10A2">
      <w:start w:val="1"/>
      <w:numFmt w:val="lowerRoman"/>
      <w:lvlText w:val="%3."/>
      <w:lvlJc w:val="right"/>
      <w:pPr>
        <w:tabs>
          <w:tab w:val="num" w:pos="2160"/>
        </w:tabs>
        <w:ind w:left="2160" w:hanging="180"/>
      </w:pPr>
    </w:lvl>
    <w:lvl w:ilvl="3" w:tplc="7742C4E0">
      <w:start w:val="1"/>
      <w:numFmt w:val="decimal"/>
      <w:lvlText w:val="%4."/>
      <w:lvlJc w:val="left"/>
      <w:pPr>
        <w:tabs>
          <w:tab w:val="num" w:pos="2880"/>
        </w:tabs>
        <w:ind w:left="2880" w:hanging="360"/>
      </w:pPr>
    </w:lvl>
    <w:lvl w:ilvl="4" w:tplc="6B588688">
      <w:start w:val="1"/>
      <w:numFmt w:val="lowerLetter"/>
      <w:lvlText w:val="%5."/>
      <w:lvlJc w:val="left"/>
      <w:pPr>
        <w:tabs>
          <w:tab w:val="num" w:pos="3600"/>
        </w:tabs>
        <w:ind w:left="3600" w:hanging="360"/>
      </w:pPr>
    </w:lvl>
    <w:lvl w:ilvl="5" w:tplc="9152900C">
      <w:start w:val="1"/>
      <w:numFmt w:val="lowerRoman"/>
      <w:lvlText w:val="%6."/>
      <w:lvlJc w:val="right"/>
      <w:pPr>
        <w:tabs>
          <w:tab w:val="num" w:pos="4320"/>
        </w:tabs>
        <w:ind w:left="4320" w:hanging="180"/>
      </w:pPr>
    </w:lvl>
    <w:lvl w:ilvl="6" w:tplc="C198695C">
      <w:start w:val="1"/>
      <w:numFmt w:val="decimal"/>
      <w:lvlText w:val="%7."/>
      <w:lvlJc w:val="left"/>
      <w:pPr>
        <w:tabs>
          <w:tab w:val="num" w:pos="5040"/>
        </w:tabs>
        <w:ind w:left="5040" w:hanging="360"/>
      </w:pPr>
    </w:lvl>
    <w:lvl w:ilvl="7" w:tplc="453C9042">
      <w:start w:val="1"/>
      <w:numFmt w:val="lowerLetter"/>
      <w:lvlText w:val="%8."/>
      <w:lvlJc w:val="left"/>
      <w:pPr>
        <w:tabs>
          <w:tab w:val="num" w:pos="5760"/>
        </w:tabs>
        <w:ind w:left="5760" w:hanging="360"/>
      </w:pPr>
    </w:lvl>
    <w:lvl w:ilvl="8" w:tplc="A776DF12">
      <w:start w:val="1"/>
      <w:numFmt w:val="lowerRoman"/>
      <w:lvlText w:val="%9."/>
      <w:lvlJc w:val="right"/>
      <w:pPr>
        <w:tabs>
          <w:tab w:val="num" w:pos="6480"/>
        </w:tabs>
        <w:ind w:left="6480" w:hanging="180"/>
      </w:pPr>
    </w:lvl>
  </w:abstractNum>
  <w:abstractNum w:abstractNumId="16" w15:restartNumberingAfterBreak="0">
    <w:nsid w:val="3E6C68EE"/>
    <w:multiLevelType w:val="hybridMultilevel"/>
    <w:tmpl w:val="6FC2C47E"/>
    <w:lvl w:ilvl="0" w:tplc="F44CBC88">
      <w:start w:val="1"/>
      <w:numFmt w:val="decimal"/>
      <w:lvlText w:val="%1."/>
      <w:lvlJc w:val="left"/>
      <w:pPr>
        <w:ind w:left="1080" w:hanging="360"/>
      </w:pPr>
      <w:rPr>
        <w:rFonts w:hint="default"/>
        <w:b/>
      </w:rPr>
    </w:lvl>
    <w:lvl w:ilvl="1" w:tplc="6652BB08" w:tentative="1">
      <w:start w:val="1"/>
      <w:numFmt w:val="lowerLetter"/>
      <w:lvlText w:val="%2."/>
      <w:lvlJc w:val="left"/>
      <w:pPr>
        <w:ind w:left="1800" w:hanging="360"/>
      </w:pPr>
    </w:lvl>
    <w:lvl w:ilvl="2" w:tplc="A7283858" w:tentative="1">
      <w:start w:val="1"/>
      <w:numFmt w:val="lowerRoman"/>
      <w:lvlText w:val="%3."/>
      <w:lvlJc w:val="right"/>
      <w:pPr>
        <w:ind w:left="2520" w:hanging="180"/>
      </w:pPr>
    </w:lvl>
    <w:lvl w:ilvl="3" w:tplc="FC1A1424" w:tentative="1">
      <w:start w:val="1"/>
      <w:numFmt w:val="decimal"/>
      <w:lvlText w:val="%4."/>
      <w:lvlJc w:val="left"/>
      <w:pPr>
        <w:ind w:left="3240" w:hanging="360"/>
      </w:pPr>
    </w:lvl>
    <w:lvl w:ilvl="4" w:tplc="1A08076E" w:tentative="1">
      <w:start w:val="1"/>
      <w:numFmt w:val="lowerLetter"/>
      <w:lvlText w:val="%5."/>
      <w:lvlJc w:val="left"/>
      <w:pPr>
        <w:ind w:left="3960" w:hanging="360"/>
      </w:pPr>
    </w:lvl>
    <w:lvl w:ilvl="5" w:tplc="5EE04AE6" w:tentative="1">
      <w:start w:val="1"/>
      <w:numFmt w:val="lowerRoman"/>
      <w:lvlText w:val="%6."/>
      <w:lvlJc w:val="right"/>
      <w:pPr>
        <w:ind w:left="4680" w:hanging="180"/>
      </w:pPr>
    </w:lvl>
    <w:lvl w:ilvl="6" w:tplc="D4F69BEE" w:tentative="1">
      <w:start w:val="1"/>
      <w:numFmt w:val="decimal"/>
      <w:lvlText w:val="%7."/>
      <w:lvlJc w:val="left"/>
      <w:pPr>
        <w:ind w:left="5400" w:hanging="360"/>
      </w:pPr>
    </w:lvl>
    <w:lvl w:ilvl="7" w:tplc="A8A8DF36" w:tentative="1">
      <w:start w:val="1"/>
      <w:numFmt w:val="lowerLetter"/>
      <w:lvlText w:val="%8."/>
      <w:lvlJc w:val="left"/>
      <w:pPr>
        <w:ind w:left="6120" w:hanging="360"/>
      </w:pPr>
    </w:lvl>
    <w:lvl w:ilvl="8" w:tplc="A31E6296" w:tentative="1">
      <w:start w:val="1"/>
      <w:numFmt w:val="lowerRoman"/>
      <w:lvlText w:val="%9."/>
      <w:lvlJc w:val="right"/>
      <w:pPr>
        <w:ind w:left="6840" w:hanging="180"/>
      </w:pPr>
    </w:lvl>
  </w:abstractNum>
  <w:abstractNum w:abstractNumId="17" w15:restartNumberingAfterBreak="0">
    <w:nsid w:val="410F1487"/>
    <w:multiLevelType w:val="hybridMultilevel"/>
    <w:tmpl w:val="45BC8E02"/>
    <w:lvl w:ilvl="0" w:tplc="748A7502">
      <w:start w:val="1"/>
      <w:numFmt w:val="decimal"/>
      <w:lvlText w:val="%1."/>
      <w:lvlJc w:val="left"/>
      <w:pPr>
        <w:ind w:left="5040" w:hanging="360"/>
      </w:pPr>
    </w:lvl>
    <w:lvl w:ilvl="1" w:tplc="46CA28AC" w:tentative="1">
      <w:start w:val="1"/>
      <w:numFmt w:val="lowerLetter"/>
      <w:lvlText w:val="%2."/>
      <w:lvlJc w:val="left"/>
      <w:pPr>
        <w:ind w:left="5760" w:hanging="360"/>
      </w:pPr>
    </w:lvl>
    <w:lvl w:ilvl="2" w:tplc="D5F0FC30" w:tentative="1">
      <w:start w:val="1"/>
      <w:numFmt w:val="lowerRoman"/>
      <w:lvlText w:val="%3."/>
      <w:lvlJc w:val="right"/>
      <w:pPr>
        <w:ind w:left="6480" w:hanging="180"/>
      </w:pPr>
    </w:lvl>
    <w:lvl w:ilvl="3" w:tplc="64CC54EC" w:tentative="1">
      <w:start w:val="1"/>
      <w:numFmt w:val="decimal"/>
      <w:lvlText w:val="%4."/>
      <w:lvlJc w:val="left"/>
      <w:pPr>
        <w:ind w:left="7200" w:hanging="360"/>
      </w:pPr>
    </w:lvl>
    <w:lvl w:ilvl="4" w:tplc="3168AEF2" w:tentative="1">
      <w:start w:val="1"/>
      <w:numFmt w:val="lowerLetter"/>
      <w:lvlText w:val="%5."/>
      <w:lvlJc w:val="left"/>
      <w:pPr>
        <w:ind w:left="7920" w:hanging="360"/>
      </w:pPr>
    </w:lvl>
    <w:lvl w:ilvl="5" w:tplc="EE105F1C" w:tentative="1">
      <w:start w:val="1"/>
      <w:numFmt w:val="lowerRoman"/>
      <w:lvlText w:val="%6."/>
      <w:lvlJc w:val="right"/>
      <w:pPr>
        <w:ind w:left="8640" w:hanging="180"/>
      </w:pPr>
    </w:lvl>
    <w:lvl w:ilvl="6" w:tplc="1CDEDB82" w:tentative="1">
      <w:start w:val="1"/>
      <w:numFmt w:val="decimal"/>
      <w:lvlText w:val="%7."/>
      <w:lvlJc w:val="left"/>
      <w:pPr>
        <w:ind w:left="9360" w:hanging="360"/>
      </w:pPr>
    </w:lvl>
    <w:lvl w:ilvl="7" w:tplc="91782CA6" w:tentative="1">
      <w:start w:val="1"/>
      <w:numFmt w:val="lowerLetter"/>
      <w:lvlText w:val="%8."/>
      <w:lvlJc w:val="left"/>
      <w:pPr>
        <w:ind w:left="10080" w:hanging="360"/>
      </w:pPr>
    </w:lvl>
    <w:lvl w:ilvl="8" w:tplc="45F8BBBA" w:tentative="1">
      <w:start w:val="1"/>
      <w:numFmt w:val="lowerRoman"/>
      <w:lvlText w:val="%9."/>
      <w:lvlJc w:val="right"/>
      <w:pPr>
        <w:ind w:left="10800" w:hanging="180"/>
      </w:pPr>
    </w:lvl>
  </w:abstractNum>
  <w:abstractNum w:abstractNumId="18" w15:restartNumberingAfterBreak="0">
    <w:nsid w:val="43FC628F"/>
    <w:multiLevelType w:val="hybridMultilevel"/>
    <w:tmpl w:val="5420E932"/>
    <w:lvl w:ilvl="0" w:tplc="D52C9668">
      <w:start w:val="1"/>
      <w:numFmt w:val="decimal"/>
      <w:lvlText w:val="%1."/>
      <w:lvlJc w:val="left"/>
      <w:pPr>
        <w:tabs>
          <w:tab w:val="num" w:pos="720"/>
        </w:tabs>
        <w:ind w:left="720" w:hanging="360"/>
      </w:pPr>
      <w:rPr>
        <w:rFonts w:hint="default"/>
        <w:b/>
      </w:rPr>
    </w:lvl>
    <w:lvl w:ilvl="1" w:tplc="AF967FF6" w:tentative="1">
      <w:start w:val="1"/>
      <w:numFmt w:val="lowerLetter"/>
      <w:lvlText w:val="%2."/>
      <w:lvlJc w:val="left"/>
      <w:pPr>
        <w:tabs>
          <w:tab w:val="num" w:pos="1440"/>
        </w:tabs>
        <w:ind w:left="1440" w:hanging="360"/>
      </w:pPr>
    </w:lvl>
    <w:lvl w:ilvl="2" w:tplc="663EF03A" w:tentative="1">
      <w:start w:val="1"/>
      <w:numFmt w:val="lowerRoman"/>
      <w:lvlText w:val="%3."/>
      <w:lvlJc w:val="right"/>
      <w:pPr>
        <w:tabs>
          <w:tab w:val="num" w:pos="2160"/>
        </w:tabs>
        <w:ind w:left="2160" w:hanging="180"/>
      </w:pPr>
    </w:lvl>
    <w:lvl w:ilvl="3" w:tplc="6A165B68" w:tentative="1">
      <w:start w:val="1"/>
      <w:numFmt w:val="decimal"/>
      <w:lvlText w:val="%4."/>
      <w:lvlJc w:val="left"/>
      <w:pPr>
        <w:tabs>
          <w:tab w:val="num" w:pos="2880"/>
        </w:tabs>
        <w:ind w:left="2880" w:hanging="360"/>
      </w:pPr>
    </w:lvl>
    <w:lvl w:ilvl="4" w:tplc="03F427CA" w:tentative="1">
      <w:start w:val="1"/>
      <w:numFmt w:val="lowerLetter"/>
      <w:lvlText w:val="%5."/>
      <w:lvlJc w:val="left"/>
      <w:pPr>
        <w:tabs>
          <w:tab w:val="num" w:pos="3600"/>
        </w:tabs>
        <w:ind w:left="3600" w:hanging="360"/>
      </w:pPr>
    </w:lvl>
    <w:lvl w:ilvl="5" w:tplc="F452A0CC" w:tentative="1">
      <w:start w:val="1"/>
      <w:numFmt w:val="lowerRoman"/>
      <w:lvlText w:val="%6."/>
      <w:lvlJc w:val="right"/>
      <w:pPr>
        <w:tabs>
          <w:tab w:val="num" w:pos="4320"/>
        </w:tabs>
        <w:ind w:left="4320" w:hanging="180"/>
      </w:pPr>
    </w:lvl>
    <w:lvl w:ilvl="6" w:tplc="4278519E" w:tentative="1">
      <w:start w:val="1"/>
      <w:numFmt w:val="decimal"/>
      <w:lvlText w:val="%7."/>
      <w:lvlJc w:val="left"/>
      <w:pPr>
        <w:tabs>
          <w:tab w:val="num" w:pos="5040"/>
        </w:tabs>
        <w:ind w:left="5040" w:hanging="360"/>
      </w:pPr>
    </w:lvl>
    <w:lvl w:ilvl="7" w:tplc="7D72DA86" w:tentative="1">
      <w:start w:val="1"/>
      <w:numFmt w:val="lowerLetter"/>
      <w:lvlText w:val="%8."/>
      <w:lvlJc w:val="left"/>
      <w:pPr>
        <w:tabs>
          <w:tab w:val="num" w:pos="5760"/>
        </w:tabs>
        <w:ind w:left="5760" w:hanging="360"/>
      </w:pPr>
    </w:lvl>
    <w:lvl w:ilvl="8" w:tplc="D1AE9EB4" w:tentative="1">
      <w:start w:val="1"/>
      <w:numFmt w:val="lowerRoman"/>
      <w:lvlText w:val="%9."/>
      <w:lvlJc w:val="right"/>
      <w:pPr>
        <w:tabs>
          <w:tab w:val="num" w:pos="6480"/>
        </w:tabs>
        <w:ind w:left="6480" w:hanging="180"/>
      </w:pPr>
    </w:lvl>
  </w:abstractNum>
  <w:abstractNum w:abstractNumId="19" w15:restartNumberingAfterBreak="0">
    <w:nsid w:val="448E42E8"/>
    <w:multiLevelType w:val="hybridMultilevel"/>
    <w:tmpl w:val="77767874"/>
    <w:lvl w:ilvl="0" w:tplc="A54A8040">
      <w:start w:val="1"/>
      <w:numFmt w:val="decimal"/>
      <w:lvlText w:val="%1."/>
      <w:lvlJc w:val="right"/>
      <w:pPr>
        <w:ind w:left="720" w:hanging="360"/>
      </w:pPr>
      <w:rPr>
        <w:rFonts w:hint="default"/>
      </w:rPr>
    </w:lvl>
    <w:lvl w:ilvl="1" w:tplc="B72C9CB4" w:tentative="1">
      <w:start w:val="1"/>
      <w:numFmt w:val="lowerLetter"/>
      <w:lvlText w:val="%2."/>
      <w:lvlJc w:val="left"/>
      <w:pPr>
        <w:ind w:left="1440" w:hanging="360"/>
      </w:pPr>
    </w:lvl>
    <w:lvl w:ilvl="2" w:tplc="4E94159E" w:tentative="1">
      <w:start w:val="1"/>
      <w:numFmt w:val="lowerRoman"/>
      <w:lvlText w:val="%3."/>
      <w:lvlJc w:val="right"/>
      <w:pPr>
        <w:ind w:left="2160" w:hanging="180"/>
      </w:pPr>
    </w:lvl>
    <w:lvl w:ilvl="3" w:tplc="D40A0544" w:tentative="1">
      <w:start w:val="1"/>
      <w:numFmt w:val="decimal"/>
      <w:lvlText w:val="%4."/>
      <w:lvlJc w:val="left"/>
      <w:pPr>
        <w:ind w:left="2880" w:hanging="360"/>
      </w:pPr>
    </w:lvl>
    <w:lvl w:ilvl="4" w:tplc="58D2EF10" w:tentative="1">
      <w:start w:val="1"/>
      <w:numFmt w:val="lowerLetter"/>
      <w:lvlText w:val="%5."/>
      <w:lvlJc w:val="left"/>
      <w:pPr>
        <w:ind w:left="3600" w:hanging="360"/>
      </w:pPr>
    </w:lvl>
    <w:lvl w:ilvl="5" w:tplc="E592C0F6" w:tentative="1">
      <w:start w:val="1"/>
      <w:numFmt w:val="lowerRoman"/>
      <w:lvlText w:val="%6."/>
      <w:lvlJc w:val="right"/>
      <w:pPr>
        <w:ind w:left="4320" w:hanging="180"/>
      </w:pPr>
    </w:lvl>
    <w:lvl w:ilvl="6" w:tplc="44E0CB98" w:tentative="1">
      <w:start w:val="1"/>
      <w:numFmt w:val="decimal"/>
      <w:lvlText w:val="%7."/>
      <w:lvlJc w:val="left"/>
      <w:pPr>
        <w:ind w:left="5040" w:hanging="360"/>
      </w:pPr>
    </w:lvl>
    <w:lvl w:ilvl="7" w:tplc="1D2CA20A" w:tentative="1">
      <w:start w:val="1"/>
      <w:numFmt w:val="lowerLetter"/>
      <w:lvlText w:val="%8."/>
      <w:lvlJc w:val="left"/>
      <w:pPr>
        <w:ind w:left="5760" w:hanging="360"/>
      </w:pPr>
    </w:lvl>
    <w:lvl w:ilvl="8" w:tplc="03CAA024" w:tentative="1">
      <w:start w:val="1"/>
      <w:numFmt w:val="lowerRoman"/>
      <w:lvlText w:val="%9."/>
      <w:lvlJc w:val="right"/>
      <w:pPr>
        <w:ind w:left="6480" w:hanging="180"/>
      </w:pPr>
    </w:lvl>
  </w:abstractNum>
  <w:abstractNum w:abstractNumId="20" w15:restartNumberingAfterBreak="0">
    <w:nsid w:val="475A0FC1"/>
    <w:multiLevelType w:val="hybridMultilevel"/>
    <w:tmpl w:val="E47E6062"/>
    <w:lvl w:ilvl="0" w:tplc="E83CEB04">
      <w:start w:val="1"/>
      <w:numFmt w:val="decimal"/>
      <w:lvlText w:val="%1."/>
      <w:lvlJc w:val="right"/>
      <w:pPr>
        <w:ind w:left="720" w:hanging="360"/>
      </w:pPr>
      <w:rPr>
        <w:rFonts w:hint="default"/>
      </w:rPr>
    </w:lvl>
    <w:lvl w:ilvl="1" w:tplc="8BEC5A4A" w:tentative="1">
      <w:start w:val="1"/>
      <w:numFmt w:val="lowerLetter"/>
      <w:lvlText w:val="%2."/>
      <w:lvlJc w:val="left"/>
      <w:pPr>
        <w:ind w:left="1440" w:hanging="360"/>
      </w:pPr>
    </w:lvl>
    <w:lvl w:ilvl="2" w:tplc="1C94A294" w:tentative="1">
      <w:start w:val="1"/>
      <w:numFmt w:val="lowerRoman"/>
      <w:lvlText w:val="%3."/>
      <w:lvlJc w:val="right"/>
      <w:pPr>
        <w:ind w:left="2160" w:hanging="180"/>
      </w:pPr>
    </w:lvl>
    <w:lvl w:ilvl="3" w:tplc="8A52F8E4" w:tentative="1">
      <w:start w:val="1"/>
      <w:numFmt w:val="decimal"/>
      <w:lvlText w:val="%4."/>
      <w:lvlJc w:val="left"/>
      <w:pPr>
        <w:ind w:left="2880" w:hanging="360"/>
      </w:pPr>
    </w:lvl>
    <w:lvl w:ilvl="4" w:tplc="FA9CEFEC" w:tentative="1">
      <w:start w:val="1"/>
      <w:numFmt w:val="lowerLetter"/>
      <w:lvlText w:val="%5."/>
      <w:lvlJc w:val="left"/>
      <w:pPr>
        <w:ind w:left="3600" w:hanging="360"/>
      </w:pPr>
    </w:lvl>
    <w:lvl w:ilvl="5" w:tplc="BF28EE92" w:tentative="1">
      <w:start w:val="1"/>
      <w:numFmt w:val="lowerRoman"/>
      <w:lvlText w:val="%6."/>
      <w:lvlJc w:val="right"/>
      <w:pPr>
        <w:ind w:left="4320" w:hanging="180"/>
      </w:pPr>
    </w:lvl>
    <w:lvl w:ilvl="6" w:tplc="EF5C2158" w:tentative="1">
      <w:start w:val="1"/>
      <w:numFmt w:val="decimal"/>
      <w:lvlText w:val="%7."/>
      <w:lvlJc w:val="left"/>
      <w:pPr>
        <w:ind w:left="5040" w:hanging="360"/>
      </w:pPr>
    </w:lvl>
    <w:lvl w:ilvl="7" w:tplc="9CBA0E56" w:tentative="1">
      <w:start w:val="1"/>
      <w:numFmt w:val="lowerLetter"/>
      <w:lvlText w:val="%8."/>
      <w:lvlJc w:val="left"/>
      <w:pPr>
        <w:ind w:left="5760" w:hanging="360"/>
      </w:pPr>
    </w:lvl>
    <w:lvl w:ilvl="8" w:tplc="6C2ADE28" w:tentative="1">
      <w:start w:val="1"/>
      <w:numFmt w:val="lowerRoman"/>
      <w:lvlText w:val="%9."/>
      <w:lvlJc w:val="right"/>
      <w:pPr>
        <w:ind w:left="6480" w:hanging="180"/>
      </w:pPr>
    </w:lvl>
  </w:abstractNum>
  <w:abstractNum w:abstractNumId="21" w15:restartNumberingAfterBreak="0">
    <w:nsid w:val="490E5C5D"/>
    <w:multiLevelType w:val="hybridMultilevel"/>
    <w:tmpl w:val="0FC0AFB6"/>
    <w:lvl w:ilvl="0" w:tplc="1B3AF820">
      <w:start w:val="1"/>
      <w:numFmt w:val="lowerLetter"/>
      <w:lvlText w:val="%1."/>
      <w:lvlJc w:val="left"/>
      <w:pPr>
        <w:ind w:left="1080" w:hanging="360"/>
      </w:pPr>
      <w:rPr>
        <w:rFonts w:hint="default"/>
        <w:b w:val="0"/>
        <w:bCs w:val="0"/>
        <w:i w:val="0"/>
        <w:iCs w:val="0"/>
      </w:rPr>
    </w:lvl>
    <w:lvl w:ilvl="1" w:tplc="9504629E">
      <w:start w:val="1"/>
      <w:numFmt w:val="lowerLetter"/>
      <w:lvlText w:val="%2."/>
      <w:lvlJc w:val="left"/>
      <w:pPr>
        <w:ind w:left="1800" w:hanging="360"/>
      </w:pPr>
    </w:lvl>
    <w:lvl w:ilvl="2" w:tplc="DC9CDE30">
      <w:start w:val="1"/>
      <w:numFmt w:val="lowerRoman"/>
      <w:lvlText w:val="%3."/>
      <w:lvlJc w:val="right"/>
      <w:pPr>
        <w:ind w:left="2520" w:hanging="180"/>
      </w:pPr>
    </w:lvl>
    <w:lvl w:ilvl="3" w:tplc="66DEC0F0">
      <w:start w:val="1"/>
      <w:numFmt w:val="decimal"/>
      <w:lvlText w:val="%4."/>
      <w:lvlJc w:val="left"/>
      <w:pPr>
        <w:ind w:left="3240" w:hanging="360"/>
      </w:pPr>
    </w:lvl>
    <w:lvl w:ilvl="4" w:tplc="2C180B64">
      <w:start w:val="1"/>
      <w:numFmt w:val="lowerLetter"/>
      <w:lvlText w:val="%5."/>
      <w:lvlJc w:val="left"/>
      <w:pPr>
        <w:ind w:left="3960" w:hanging="360"/>
      </w:pPr>
    </w:lvl>
    <w:lvl w:ilvl="5" w:tplc="587880A2">
      <w:start w:val="1"/>
      <w:numFmt w:val="lowerRoman"/>
      <w:lvlText w:val="%6."/>
      <w:lvlJc w:val="right"/>
      <w:pPr>
        <w:ind w:left="4680" w:hanging="180"/>
      </w:pPr>
    </w:lvl>
    <w:lvl w:ilvl="6" w:tplc="5B94C7E2">
      <w:start w:val="1"/>
      <w:numFmt w:val="decimal"/>
      <w:lvlText w:val="%7."/>
      <w:lvlJc w:val="left"/>
      <w:pPr>
        <w:ind w:left="5400" w:hanging="360"/>
      </w:pPr>
    </w:lvl>
    <w:lvl w:ilvl="7" w:tplc="D7A67452">
      <w:start w:val="1"/>
      <w:numFmt w:val="lowerLetter"/>
      <w:lvlText w:val="%8."/>
      <w:lvlJc w:val="left"/>
      <w:pPr>
        <w:ind w:left="6120" w:hanging="360"/>
      </w:pPr>
    </w:lvl>
    <w:lvl w:ilvl="8" w:tplc="089A4136">
      <w:start w:val="1"/>
      <w:numFmt w:val="lowerRoman"/>
      <w:lvlText w:val="%9."/>
      <w:lvlJc w:val="right"/>
      <w:pPr>
        <w:ind w:left="6840" w:hanging="180"/>
      </w:pPr>
    </w:lvl>
  </w:abstractNum>
  <w:abstractNum w:abstractNumId="22" w15:restartNumberingAfterBreak="0">
    <w:nsid w:val="4ACA612C"/>
    <w:multiLevelType w:val="hybridMultilevel"/>
    <w:tmpl w:val="15A60936"/>
    <w:lvl w:ilvl="0" w:tplc="315E2EA2">
      <w:start w:val="1"/>
      <w:numFmt w:val="decimal"/>
      <w:lvlText w:val="(%1)"/>
      <w:lvlJc w:val="left"/>
      <w:pPr>
        <w:ind w:left="1080" w:hanging="360"/>
      </w:pPr>
      <w:rPr>
        <w:rFonts w:hint="default"/>
      </w:rPr>
    </w:lvl>
    <w:lvl w:ilvl="1" w:tplc="8B362906">
      <w:start w:val="1"/>
      <w:numFmt w:val="lowerLetter"/>
      <w:lvlText w:val="%2."/>
      <w:lvlJc w:val="left"/>
      <w:pPr>
        <w:ind w:left="1800" w:hanging="360"/>
      </w:pPr>
    </w:lvl>
    <w:lvl w:ilvl="2" w:tplc="384E9400">
      <w:start w:val="1"/>
      <w:numFmt w:val="lowerRoman"/>
      <w:lvlText w:val="%3."/>
      <w:lvlJc w:val="right"/>
      <w:pPr>
        <w:ind w:left="2520" w:hanging="180"/>
      </w:pPr>
    </w:lvl>
    <w:lvl w:ilvl="3" w:tplc="470C12FA">
      <w:start w:val="1"/>
      <w:numFmt w:val="decimal"/>
      <w:lvlText w:val="%4."/>
      <w:lvlJc w:val="left"/>
      <w:pPr>
        <w:ind w:left="3240" w:hanging="360"/>
      </w:pPr>
    </w:lvl>
    <w:lvl w:ilvl="4" w:tplc="816C87CE">
      <w:start w:val="1"/>
      <w:numFmt w:val="lowerLetter"/>
      <w:lvlText w:val="%5."/>
      <w:lvlJc w:val="left"/>
      <w:pPr>
        <w:ind w:left="3960" w:hanging="360"/>
      </w:pPr>
    </w:lvl>
    <w:lvl w:ilvl="5" w:tplc="697C3F64">
      <w:start w:val="1"/>
      <w:numFmt w:val="lowerRoman"/>
      <w:lvlText w:val="%6."/>
      <w:lvlJc w:val="right"/>
      <w:pPr>
        <w:ind w:left="4680" w:hanging="180"/>
      </w:pPr>
    </w:lvl>
    <w:lvl w:ilvl="6" w:tplc="66C40DC2">
      <w:start w:val="1"/>
      <w:numFmt w:val="decimal"/>
      <w:lvlText w:val="%7."/>
      <w:lvlJc w:val="left"/>
      <w:pPr>
        <w:ind w:left="5400" w:hanging="360"/>
      </w:pPr>
    </w:lvl>
    <w:lvl w:ilvl="7" w:tplc="1ECCE17A">
      <w:start w:val="1"/>
      <w:numFmt w:val="lowerLetter"/>
      <w:lvlText w:val="%8."/>
      <w:lvlJc w:val="left"/>
      <w:pPr>
        <w:ind w:left="6120" w:hanging="360"/>
      </w:pPr>
    </w:lvl>
    <w:lvl w:ilvl="8" w:tplc="AD8085BC">
      <w:start w:val="1"/>
      <w:numFmt w:val="lowerRoman"/>
      <w:lvlText w:val="%9."/>
      <w:lvlJc w:val="right"/>
      <w:pPr>
        <w:ind w:left="6840" w:hanging="180"/>
      </w:pPr>
    </w:lvl>
  </w:abstractNum>
  <w:abstractNum w:abstractNumId="23" w15:restartNumberingAfterBreak="0">
    <w:nsid w:val="4F1E0049"/>
    <w:multiLevelType w:val="hybridMultilevel"/>
    <w:tmpl w:val="653C4B2E"/>
    <w:lvl w:ilvl="0" w:tplc="1572F600">
      <w:start w:val="1"/>
      <w:numFmt w:val="decimal"/>
      <w:lvlText w:val="%1."/>
      <w:lvlJc w:val="left"/>
      <w:pPr>
        <w:ind w:left="720" w:hanging="360"/>
      </w:pPr>
      <w:rPr>
        <w:rFonts w:hint="default"/>
      </w:rPr>
    </w:lvl>
    <w:lvl w:ilvl="1" w:tplc="26EA5E22">
      <w:start w:val="1"/>
      <w:numFmt w:val="lowerLetter"/>
      <w:lvlText w:val="%2."/>
      <w:lvlJc w:val="left"/>
      <w:pPr>
        <w:ind w:left="1440" w:hanging="360"/>
      </w:pPr>
    </w:lvl>
    <w:lvl w:ilvl="2" w:tplc="A978F9CE">
      <w:start w:val="1"/>
      <w:numFmt w:val="lowerRoman"/>
      <w:lvlText w:val="%3."/>
      <w:lvlJc w:val="right"/>
      <w:pPr>
        <w:ind w:left="2160" w:hanging="180"/>
      </w:pPr>
    </w:lvl>
    <w:lvl w:ilvl="3" w:tplc="E278A382">
      <w:start w:val="1"/>
      <w:numFmt w:val="decimal"/>
      <w:lvlText w:val="%4."/>
      <w:lvlJc w:val="left"/>
      <w:pPr>
        <w:ind w:left="2880" w:hanging="360"/>
      </w:pPr>
    </w:lvl>
    <w:lvl w:ilvl="4" w:tplc="24702B9C">
      <w:start w:val="1"/>
      <w:numFmt w:val="lowerLetter"/>
      <w:lvlText w:val="%5."/>
      <w:lvlJc w:val="left"/>
      <w:pPr>
        <w:ind w:left="3600" w:hanging="360"/>
      </w:pPr>
    </w:lvl>
    <w:lvl w:ilvl="5" w:tplc="8238105C">
      <w:start w:val="1"/>
      <w:numFmt w:val="lowerRoman"/>
      <w:lvlText w:val="%6."/>
      <w:lvlJc w:val="right"/>
      <w:pPr>
        <w:ind w:left="4320" w:hanging="180"/>
      </w:pPr>
    </w:lvl>
    <w:lvl w:ilvl="6" w:tplc="14A2E93A">
      <w:start w:val="1"/>
      <w:numFmt w:val="decimal"/>
      <w:lvlText w:val="%7."/>
      <w:lvlJc w:val="left"/>
      <w:pPr>
        <w:ind w:left="5040" w:hanging="360"/>
      </w:pPr>
    </w:lvl>
    <w:lvl w:ilvl="7" w:tplc="166EF2F0">
      <w:start w:val="1"/>
      <w:numFmt w:val="lowerLetter"/>
      <w:lvlText w:val="%8."/>
      <w:lvlJc w:val="left"/>
      <w:pPr>
        <w:ind w:left="5760" w:hanging="360"/>
      </w:pPr>
    </w:lvl>
    <w:lvl w:ilvl="8" w:tplc="710408A0">
      <w:start w:val="1"/>
      <w:numFmt w:val="lowerRoman"/>
      <w:lvlText w:val="%9."/>
      <w:lvlJc w:val="right"/>
      <w:pPr>
        <w:ind w:left="6480" w:hanging="180"/>
      </w:pPr>
    </w:lvl>
  </w:abstractNum>
  <w:abstractNum w:abstractNumId="24" w15:restartNumberingAfterBreak="0">
    <w:nsid w:val="4F4431A0"/>
    <w:multiLevelType w:val="hybridMultilevel"/>
    <w:tmpl w:val="1CD80088"/>
    <w:lvl w:ilvl="0" w:tplc="AF12C392">
      <w:start w:val="1"/>
      <w:numFmt w:val="decimal"/>
      <w:lvlText w:val="%1."/>
      <w:lvlJc w:val="right"/>
      <w:pPr>
        <w:ind w:left="1440" w:hanging="360"/>
      </w:pPr>
      <w:rPr>
        <w:rFonts w:hint="default"/>
        <w:b w:val="0"/>
        <w:bCs/>
      </w:rPr>
    </w:lvl>
    <w:lvl w:ilvl="1" w:tplc="50E26974" w:tentative="1">
      <w:start w:val="1"/>
      <w:numFmt w:val="lowerLetter"/>
      <w:lvlText w:val="%2."/>
      <w:lvlJc w:val="left"/>
      <w:pPr>
        <w:ind w:left="2160" w:hanging="360"/>
      </w:pPr>
    </w:lvl>
    <w:lvl w:ilvl="2" w:tplc="E95C361E" w:tentative="1">
      <w:start w:val="1"/>
      <w:numFmt w:val="lowerRoman"/>
      <w:lvlText w:val="%3."/>
      <w:lvlJc w:val="right"/>
      <w:pPr>
        <w:ind w:left="2880" w:hanging="180"/>
      </w:pPr>
    </w:lvl>
    <w:lvl w:ilvl="3" w:tplc="8DD811E6" w:tentative="1">
      <w:start w:val="1"/>
      <w:numFmt w:val="decimal"/>
      <w:lvlText w:val="%4."/>
      <w:lvlJc w:val="left"/>
      <w:pPr>
        <w:ind w:left="3600" w:hanging="360"/>
      </w:pPr>
    </w:lvl>
    <w:lvl w:ilvl="4" w:tplc="0AEA03C0" w:tentative="1">
      <w:start w:val="1"/>
      <w:numFmt w:val="lowerLetter"/>
      <w:lvlText w:val="%5."/>
      <w:lvlJc w:val="left"/>
      <w:pPr>
        <w:ind w:left="4320" w:hanging="360"/>
      </w:pPr>
    </w:lvl>
    <w:lvl w:ilvl="5" w:tplc="15F4B64C" w:tentative="1">
      <w:start w:val="1"/>
      <w:numFmt w:val="lowerRoman"/>
      <w:lvlText w:val="%6."/>
      <w:lvlJc w:val="right"/>
      <w:pPr>
        <w:ind w:left="5040" w:hanging="180"/>
      </w:pPr>
    </w:lvl>
    <w:lvl w:ilvl="6" w:tplc="FAE0F44A" w:tentative="1">
      <w:start w:val="1"/>
      <w:numFmt w:val="decimal"/>
      <w:lvlText w:val="%7."/>
      <w:lvlJc w:val="left"/>
      <w:pPr>
        <w:ind w:left="5760" w:hanging="360"/>
      </w:pPr>
    </w:lvl>
    <w:lvl w:ilvl="7" w:tplc="6082AED8" w:tentative="1">
      <w:start w:val="1"/>
      <w:numFmt w:val="lowerLetter"/>
      <w:lvlText w:val="%8."/>
      <w:lvlJc w:val="left"/>
      <w:pPr>
        <w:ind w:left="6480" w:hanging="360"/>
      </w:pPr>
    </w:lvl>
    <w:lvl w:ilvl="8" w:tplc="20301140" w:tentative="1">
      <w:start w:val="1"/>
      <w:numFmt w:val="lowerRoman"/>
      <w:lvlText w:val="%9."/>
      <w:lvlJc w:val="right"/>
      <w:pPr>
        <w:ind w:left="7200" w:hanging="180"/>
      </w:pPr>
    </w:lvl>
  </w:abstractNum>
  <w:abstractNum w:abstractNumId="25" w15:restartNumberingAfterBreak="0">
    <w:nsid w:val="4F9F4ECE"/>
    <w:multiLevelType w:val="hybridMultilevel"/>
    <w:tmpl w:val="C8308B66"/>
    <w:lvl w:ilvl="0" w:tplc="3BCA2798">
      <w:start w:val="1"/>
      <w:numFmt w:val="decimal"/>
      <w:lvlText w:val="%1."/>
      <w:lvlJc w:val="left"/>
      <w:pPr>
        <w:ind w:left="1800" w:hanging="360"/>
      </w:pPr>
      <w:rPr>
        <w:b w:val="0"/>
        <w:bCs w:val="0"/>
        <w:i w:val="0"/>
        <w:iCs w:val="0"/>
      </w:rPr>
    </w:lvl>
    <w:lvl w:ilvl="1" w:tplc="8DEC0E7C" w:tentative="1">
      <w:start w:val="1"/>
      <w:numFmt w:val="lowerLetter"/>
      <w:lvlText w:val="%2."/>
      <w:lvlJc w:val="left"/>
      <w:pPr>
        <w:ind w:left="2160" w:hanging="360"/>
      </w:pPr>
    </w:lvl>
    <w:lvl w:ilvl="2" w:tplc="075EE7B2" w:tentative="1">
      <w:start w:val="1"/>
      <w:numFmt w:val="lowerRoman"/>
      <w:lvlText w:val="%3."/>
      <w:lvlJc w:val="right"/>
      <w:pPr>
        <w:ind w:left="2880" w:hanging="180"/>
      </w:pPr>
    </w:lvl>
    <w:lvl w:ilvl="3" w:tplc="3166914E" w:tentative="1">
      <w:start w:val="1"/>
      <w:numFmt w:val="decimal"/>
      <w:lvlText w:val="%4."/>
      <w:lvlJc w:val="left"/>
      <w:pPr>
        <w:ind w:left="3600" w:hanging="360"/>
      </w:pPr>
    </w:lvl>
    <w:lvl w:ilvl="4" w:tplc="D1E2480C" w:tentative="1">
      <w:start w:val="1"/>
      <w:numFmt w:val="lowerLetter"/>
      <w:lvlText w:val="%5."/>
      <w:lvlJc w:val="left"/>
      <w:pPr>
        <w:ind w:left="4320" w:hanging="360"/>
      </w:pPr>
    </w:lvl>
    <w:lvl w:ilvl="5" w:tplc="8B641984" w:tentative="1">
      <w:start w:val="1"/>
      <w:numFmt w:val="lowerRoman"/>
      <w:lvlText w:val="%6."/>
      <w:lvlJc w:val="right"/>
      <w:pPr>
        <w:ind w:left="5040" w:hanging="180"/>
      </w:pPr>
    </w:lvl>
    <w:lvl w:ilvl="6" w:tplc="4A7AA7CC" w:tentative="1">
      <w:start w:val="1"/>
      <w:numFmt w:val="decimal"/>
      <w:lvlText w:val="%7."/>
      <w:lvlJc w:val="left"/>
      <w:pPr>
        <w:ind w:left="5760" w:hanging="360"/>
      </w:pPr>
    </w:lvl>
    <w:lvl w:ilvl="7" w:tplc="E0408AB0" w:tentative="1">
      <w:start w:val="1"/>
      <w:numFmt w:val="lowerLetter"/>
      <w:lvlText w:val="%8."/>
      <w:lvlJc w:val="left"/>
      <w:pPr>
        <w:ind w:left="6480" w:hanging="360"/>
      </w:pPr>
    </w:lvl>
    <w:lvl w:ilvl="8" w:tplc="11EAA414" w:tentative="1">
      <w:start w:val="1"/>
      <w:numFmt w:val="lowerRoman"/>
      <w:lvlText w:val="%9."/>
      <w:lvlJc w:val="right"/>
      <w:pPr>
        <w:ind w:left="7200" w:hanging="180"/>
      </w:pPr>
    </w:lvl>
  </w:abstractNum>
  <w:abstractNum w:abstractNumId="26" w15:restartNumberingAfterBreak="0">
    <w:nsid w:val="51381C58"/>
    <w:multiLevelType w:val="hybridMultilevel"/>
    <w:tmpl w:val="FCCCA6B2"/>
    <w:lvl w:ilvl="0" w:tplc="B4DE4606">
      <w:start w:val="1"/>
      <w:numFmt w:val="decimal"/>
      <w:lvlText w:val="%1."/>
      <w:lvlJc w:val="left"/>
      <w:pPr>
        <w:ind w:left="1080" w:hanging="360"/>
      </w:pPr>
      <w:rPr>
        <w:rFonts w:ascii="Times New Roman" w:hAnsi="Times New Roman" w:cs="Times New Roman" w:hint="default"/>
        <w:sz w:val="24"/>
        <w:szCs w:val="24"/>
      </w:rPr>
    </w:lvl>
    <w:lvl w:ilvl="1" w:tplc="B17A124E">
      <w:start w:val="1"/>
      <w:numFmt w:val="lowerLetter"/>
      <w:lvlText w:val="%2."/>
      <w:lvlJc w:val="left"/>
      <w:pPr>
        <w:ind w:left="1800" w:hanging="360"/>
      </w:pPr>
    </w:lvl>
    <w:lvl w:ilvl="2" w:tplc="B94C133E" w:tentative="1">
      <w:start w:val="1"/>
      <w:numFmt w:val="lowerRoman"/>
      <w:lvlText w:val="%3."/>
      <w:lvlJc w:val="right"/>
      <w:pPr>
        <w:ind w:left="2520" w:hanging="180"/>
      </w:pPr>
    </w:lvl>
    <w:lvl w:ilvl="3" w:tplc="894A6280" w:tentative="1">
      <w:start w:val="1"/>
      <w:numFmt w:val="decimal"/>
      <w:lvlText w:val="%4."/>
      <w:lvlJc w:val="left"/>
      <w:pPr>
        <w:ind w:left="3240" w:hanging="360"/>
      </w:pPr>
    </w:lvl>
    <w:lvl w:ilvl="4" w:tplc="5D8E7FC4" w:tentative="1">
      <w:start w:val="1"/>
      <w:numFmt w:val="lowerLetter"/>
      <w:lvlText w:val="%5."/>
      <w:lvlJc w:val="left"/>
      <w:pPr>
        <w:ind w:left="3960" w:hanging="360"/>
      </w:pPr>
    </w:lvl>
    <w:lvl w:ilvl="5" w:tplc="0B4A8576" w:tentative="1">
      <w:start w:val="1"/>
      <w:numFmt w:val="lowerRoman"/>
      <w:lvlText w:val="%6."/>
      <w:lvlJc w:val="right"/>
      <w:pPr>
        <w:ind w:left="4680" w:hanging="180"/>
      </w:pPr>
    </w:lvl>
    <w:lvl w:ilvl="6" w:tplc="8656F02E" w:tentative="1">
      <w:start w:val="1"/>
      <w:numFmt w:val="decimal"/>
      <w:lvlText w:val="%7."/>
      <w:lvlJc w:val="left"/>
      <w:pPr>
        <w:ind w:left="5400" w:hanging="360"/>
      </w:pPr>
    </w:lvl>
    <w:lvl w:ilvl="7" w:tplc="B4B4E634" w:tentative="1">
      <w:start w:val="1"/>
      <w:numFmt w:val="lowerLetter"/>
      <w:lvlText w:val="%8."/>
      <w:lvlJc w:val="left"/>
      <w:pPr>
        <w:ind w:left="6120" w:hanging="360"/>
      </w:pPr>
    </w:lvl>
    <w:lvl w:ilvl="8" w:tplc="F778581A" w:tentative="1">
      <w:start w:val="1"/>
      <w:numFmt w:val="lowerRoman"/>
      <w:lvlText w:val="%9."/>
      <w:lvlJc w:val="right"/>
      <w:pPr>
        <w:ind w:left="6840" w:hanging="180"/>
      </w:pPr>
    </w:lvl>
  </w:abstractNum>
  <w:abstractNum w:abstractNumId="27" w15:restartNumberingAfterBreak="0">
    <w:nsid w:val="51735EF9"/>
    <w:multiLevelType w:val="hybridMultilevel"/>
    <w:tmpl w:val="7F2A0188"/>
    <w:lvl w:ilvl="0" w:tplc="470E5F46">
      <w:start w:val="3"/>
      <w:numFmt w:val="upperRoman"/>
      <w:lvlText w:val="%1."/>
      <w:lvlJc w:val="left"/>
      <w:pPr>
        <w:tabs>
          <w:tab w:val="num" w:pos="1080"/>
        </w:tabs>
        <w:ind w:left="1080" w:hanging="720"/>
      </w:pPr>
      <w:rPr>
        <w:rFonts w:hint="default"/>
      </w:rPr>
    </w:lvl>
    <w:lvl w:ilvl="1" w:tplc="7F9E4906">
      <w:start w:val="1"/>
      <w:numFmt w:val="lowerLetter"/>
      <w:lvlText w:val="%2."/>
      <w:lvlJc w:val="left"/>
      <w:pPr>
        <w:tabs>
          <w:tab w:val="num" w:pos="1440"/>
        </w:tabs>
        <w:ind w:left="1440" w:hanging="360"/>
      </w:pPr>
    </w:lvl>
    <w:lvl w:ilvl="2" w:tplc="C246ABC2">
      <w:start w:val="1"/>
      <w:numFmt w:val="lowerRoman"/>
      <w:lvlText w:val="%3."/>
      <w:lvlJc w:val="right"/>
      <w:pPr>
        <w:tabs>
          <w:tab w:val="num" w:pos="2160"/>
        </w:tabs>
        <w:ind w:left="2160" w:hanging="180"/>
      </w:pPr>
    </w:lvl>
    <w:lvl w:ilvl="3" w:tplc="E5C6725C">
      <w:start w:val="1"/>
      <w:numFmt w:val="decimal"/>
      <w:lvlText w:val="%4."/>
      <w:lvlJc w:val="left"/>
      <w:pPr>
        <w:tabs>
          <w:tab w:val="num" w:pos="2880"/>
        </w:tabs>
        <w:ind w:left="2880" w:hanging="360"/>
      </w:pPr>
    </w:lvl>
    <w:lvl w:ilvl="4" w:tplc="B3A0A874">
      <w:start w:val="1"/>
      <w:numFmt w:val="lowerLetter"/>
      <w:lvlText w:val="%5."/>
      <w:lvlJc w:val="left"/>
      <w:pPr>
        <w:tabs>
          <w:tab w:val="num" w:pos="3600"/>
        </w:tabs>
        <w:ind w:left="3600" w:hanging="360"/>
      </w:pPr>
    </w:lvl>
    <w:lvl w:ilvl="5" w:tplc="00260CC0">
      <w:start w:val="1"/>
      <w:numFmt w:val="lowerRoman"/>
      <w:lvlText w:val="%6."/>
      <w:lvlJc w:val="right"/>
      <w:pPr>
        <w:tabs>
          <w:tab w:val="num" w:pos="4320"/>
        </w:tabs>
        <w:ind w:left="4320" w:hanging="180"/>
      </w:pPr>
    </w:lvl>
    <w:lvl w:ilvl="6" w:tplc="7B90AA8E">
      <w:start w:val="1"/>
      <w:numFmt w:val="decimal"/>
      <w:lvlText w:val="%7."/>
      <w:lvlJc w:val="left"/>
      <w:pPr>
        <w:tabs>
          <w:tab w:val="num" w:pos="5040"/>
        </w:tabs>
        <w:ind w:left="5040" w:hanging="360"/>
      </w:pPr>
    </w:lvl>
    <w:lvl w:ilvl="7" w:tplc="7BFE48F2">
      <w:start w:val="1"/>
      <w:numFmt w:val="lowerLetter"/>
      <w:lvlText w:val="%8."/>
      <w:lvlJc w:val="left"/>
      <w:pPr>
        <w:tabs>
          <w:tab w:val="num" w:pos="5760"/>
        </w:tabs>
        <w:ind w:left="5760" w:hanging="360"/>
      </w:pPr>
    </w:lvl>
    <w:lvl w:ilvl="8" w:tplc="D3E0E306">
      <w:start w:val="1"/>
      <w:numFmt w:val="lowerRoman"/>
      <w:lvlText w:val="%9."/>
      <w:lvlJc w:val="right"/>
      <w:pPr>
        <w:tabs>
          <w:tab w:val="num" w:pos="6480"/>
        </w:tabs>
        <w:ind w:left="6480" w:hanging="180"/>
      </w:pPr>
    </w:lvl>
  </w:abstractNum>
  <w:abstractNum w:abstractNumId="28" w15:restartNumberingAfterBreak="0">
    <w:nsid w:val="51F317C3"/>
    <w:multiLevelType w:val="hybridMultilevel"/>
    <w:tmpl w:val="4052F2AC"/>
    <w:lvl w:ilvl="0" w:tplc="677A4834">
      <w:start w:val="1"/>
      <w:numFmt w:val="upperLetter"/>
      <w:pStyle w:val="Heading2"/>
      <w:lvlText w:val="%1."/>
      <w:lvlJc w:val="left"/>
      <w:pPr>
        <w:ind w:left="1080" w:hanging="360"/>
      </w:pPr>
      <w:rPr>
        <w:rFonts w:hint="default"/>
      </w:rPr>
    </w:lvl>
    <w:lvl w:ilvl="1" w:tplc="4008F172">
      <w:start w:val="1"/>
      <w:numFmt w:val="lowerLetter"/>
      <w:lvlText w:val="%2."/>
      <w:lvlJc w:val="left"/>
      <w:pPr>
        <w:tabs>
          <w:tab w:val="num" w:pos="1800"/>
        </w:tabs>
        <w:ind w:left="1800" w:hanging="360"/>
      </w:pPr>
    </w:lvl>
    <w:lvl w:ilvl="2" w:tplc="608AEA8A">
      <w:start w:val="1"/>
      <w:numFmt w:val="lowerRoman"/>
      <w:lvlText w:val="%3."/>
      <w:lvlJc w:val="right"/>
      <w:pPr>
        <w:tabs>
          <w:tab w:val="num" w:pos="2520"/>
        </w:tabs>
        <w:ind w:left="2520" w:hanging="180"/>
      </w:pPr>
    </w:lvl>
    <w:lvl w:ilvl="3" w:tplc="2EE2EAB0">
      <w:start w:val="1"/>
      <w:numFmt w:val="decimal"/>
      <w:lvlText w:val="%4."/>
      <w:lvlJc w:val="left"/>
      <w:pPr>
        <w:tabs>
          <w:tab w:val="num" w:pos="3240"/>
        </w:tabs>
        <w:ind w:left="3240" w:hanging="360"/>
      </w:pPr>
    </w:lvl>
    <w:lvl w:ilvl="4" w:tplc="0952CE8E">
      <w:start w:val="1"/>
      <w:numFmt w:val="lowerLetter"/>
      <w:lvlText w:val="%5."/>
      <w:lvlJc w:val="left"/>
      <w:pPr>
        <w:tabs>
          <w:tab w:val="num" w:pos="3960"/>
        </w:tabs>
        <w:ind w:left="3960" w:hanging="360"/>
      </w:pPr>
    </w:lvl>
    <w:lvl w:ilvl="5" w:tplc="940028E4">
      <w:start w:val="1"/>
      <w:numFmt w:val="lowerRoman"/>
      <w:lvlText w:val="%6."/>
      <w:lvlJc w:val="right"/>
      <w:pPr>
        <w:tabs>
          <w:tab w:val="num" w:pos="4680"/>
        </w:tabs>
        <w:ind w:left="4680" w:hanging="180"/>
      </w:pPr>
    </w:lvl>
    <w:lvl w:ilvl="6" w:tplc="FF503F84">
      <w:start w:val="1"/>
      <w:numFmt w:val="decimal"/>
      <w:lvlText w:val="%7."/>
      <w:lvlJc w:val="left"/>
      <w:pPr>
        <w:tabs>
          <w:tab w:val="num" w:pos="5400"/>
        </w:tabs>
        <w:ind w:left="5400" w:hanging="360"/>
      </w:pPr>
    </w:lvl>
    <w:lvl w:ilvl="7" w:tplc="389C1C8C">
      <w:start w:val="1"/>
      <w:numFmt w:val="lowerLetter"/>
      <w:lvlText w:val="%8."/>
      <w:lvlJc w:val="left"/>
      <w:pPr>
        <w:tabs>
          <w:tab w:val="num" w:pos="6120"/>
        </w:tabs>
        <w:ind w:left="6120" w:hanging="360"/>
      </w:pPr>
    </w:lvl>
    <w:lvl w:ilvl="8" w:tplc="9E72E400">
      <w:start w:val="1"/>
      <w:numFmt w:val="lowerRoman"/>
      <w:lvlText w:val="%9."/>
      <w:lvlJc w:val="right"/>
      <w:pPr>
        <w:tabs>
          <w:tab w:val="num" w:pos="6840"/>
        </w:tabs>
        <w:ind w:left="6840" w:hanging="180"/>
      </w:pPr>
    </w:lvl>
  </w:abstractNum>
  <w:abstractNum w:abstractNumId="29" w15:restartNumberingAfterBreak="0">
    <w:nsid w:val="58FC14A2"/>
    <w:multiLevelType w:val="hybridMultilevel"/>
    <w:tmpl w:val="B9044FBA"/>
    <w:lvl w:ilvl="0" w:tplc="04FA4796">
      <w:start w:val="1"/>
      <w:numFmt w:val="decimal"/>
      <w:lvlText w:val="%1."/>
      <w:lvlJc w:val="left"/>
      <w:pPr>
        <w:ind w:left="1080" w:hanging="360"/>
      </w:pPr>
      <w:rPr>
        <w:rFonts w:hint="default"/>
      </w:rPr>
    </w:lvl>
    <w:lvl w:ilvl="1" w:tplc="9EEC4F8C" w:tentative="1">
      <w:start w:val="1"/>
      <w:numFmt w:val="lowerLetter"/>
      <w:lvlText w:val="%2."/>
      <w:lvlJc w:val="left"/>
      <w:pPr>
        <w:ind w:left="1800" w:hanging="360"/>
      </w:pPr>
    </w:lvl>
    <w:lvl w:ilvl="2" w:tplc="199236AC" w:tentative="1">
      <w:start w:val="1"/>
      <w:numFmt w:val="lowerRoman"/>
      <w:lvlText w:val="%3."/>
      <w:lvlJc w:val="right"/>
      <w:pPr>
        <w:ind w:left="2520" w:hanging="180"/>
      </w:pPr>
    </w:lvl>
    <w:lvl w:ilvl="3" w:tplc="B52248E8" w:tentative="1">
      <w:start w:val="1"/>
      <w:numFmt w:val="decimal"/>
      <w:lvlText w:val="%4."/>
      <w:lvlJc w:val="left"/>
      <w:pPr>
        <w:ind w:left="3240" w:hanging="360"/>
      </w:pPr>
    </w:lvl>
    <w:lvl w:ilvl="4" w:tplc="6686B78C" w:tentative="1">
      <w:start w:val="1"/>
      <w:numFmt w:val="lowerLetter"/>
      <w:lvlText w:val="%5."/>
      <w:lvlJc w:val="left"/>
      <w:pPr>
        <w:ind w:left="3960" w:hanging="360"/>
      </w:pPr>
    </w:lvl>
    <w:lvl w:ilvl="5" w:tplc="26B2CFBA" w:tentative="1">
      <w:start w:val="1"/>
      <w:numFmt w:val="lowerRoman"/>
      <w:lvlText w:val="%6."/>
      <w:lvlJc w:val="right"/>
      <w:pPr>
        <w:ind w:left="4680" w:hanging="180"/>
      </w:pPr>
    </w:lvl>
    <w:lvl w:ilvl="6" w:tplc="BE08E06A" w:tentative="1">
      <w:start w:val="1"/>
      <w:numFmt w:val="decimal"/>
      <w:lvlText w:val="%7."/>
      <w:lvlJc w:val="left"/>
      <w:pPr>
        <w:ind w:left="5400" w:hanging="360"/>
      </w:pPr>
    </w:lvl>
    <w:lvl w:ilvl="7" w:tplc="BE6CAE06" w:tentative="1">
      <w:start w:val="1"/>
      <w:numFmt w:val="lowerLetter"/>
      <w:lvlText w:val="%8."/>
      <w:lvlJc w:val="left"/>
      <w:pPr>
        <w:ind w:left="6120" w:hanging="360"/>
      </w:pPr>
    </w:lvl>
    <w:lvl w:ilvl="8" w:tplc="A81A9D3A" w:tentative="1">
      <w:start w:val="1"/>
      <w:numFmt w:val="lowerRoman"/>
      <w:lvlText w:val="%9."/>
      <w:lvlJc w:val="right"/>
      <w:pPr>
        <w:ind w:left="6840" w:hanging="180"/>
      </w:pPr>
    </w:lvl>
  </w:abstractNum>
  <w:abstractNum w:abstractNumId="30" w15:restartNumberingAfterBreak="0">
    <w:nsid w:val="5CFF7548"/>
    <w:multiLevelType w:val="hybridMultilevel"/>
    <w:tmpl w:val="3A54F3B4"/>
    <w:lvl w:ilvl="0" w:tplc="4648BC2A">
      <w:start w:val="1"/>
      <w:numFmt w:val="decimal"/>
      <w:lvlText w:val="(%1)"/>
      <w:lvlJc w:val="left"/>
      <w:pPr>
        <w:ind w:left="1440" w:hanging="360"/>
      </w:pPr>
      <w:rPr>
        <w:rFonts w:hint="default"/>
      </w:rPr>
    </w:lvl>
    <w:lvl w:ilvl="1" w:tplc="50740B18">
      <w:start w:val="1"/>
      <w:numFmt w:val="lowerLetter"/>
      <w:lvlText w:val="%2."/>
      <w:lvlJc w:val="left"/>
      <w:pPr>
        <w:ind w:left="2160" w:hanging="360"/>
      </w:pPr>
    </w:lvl>
    <w:lvl w:ilvl="2" w:tplc="D2A0EC38">
      <w:start w:val="1"/>
      <w:numFmt w:val="lowerRoman"/>
      <w:lvlText w:val="%3."/>
      <w:lvlJc w:val="right"/>
      <w:pPr>
        <w:ind w:left="2880" w:hanging="180"/>
      </w:pPr>
    </w:lvl>
    <w:lvl w:ilvl="3" w:tplc="B1744A58">
      <w:start w:val="1"/>
      <w:numFmt w:val="decimal"/>
      <w:lvlText w:val="%4."/>
      <w:lvlJc w:val="left"/>
      <w:pPr>
        <w:ind w:left="3600" w:hanging="360"/>
      </w:pPr>
    </w:lvl>
    <w:lvl w:ilvl="4" w:tplc="75A49608">
      <w:start w:val="1"/>
      <w:numFmt w:val="lowerLetter"/>
      <w:lvlText w:val="%5."/>
      <w:lvlJc w:val="left"/>
      <w:pPr>
        <w:ind w:left="4320" w:hanging="360"/>
      </w:pPr>
    </w:lvl>
    <w:lvl w:ilvl="5" w:tplc="4BAA0B88">
      <w:start w:val="1"/>
      <w:numFmt w:val="lowerRoman"/>
      <w:lvlText w:val="%6."/>
      <w:lvlJc w:val="right"/>
      <w:pPr>
        <w:ind w:left="5040" w:hanging="180"/>
      </w:pPr>
    </w:lvl>
    <w:lvl w:ilvl="6" w:tplc="9FA62674">
      <w:start w:val="1"/>
      <w:numFmt w:val="decimal"/>
      <w:lvlText w:val="%7."/>
      <w:lvlJc w:val="left"/>
      <w:pPr>
        <w:ind w:left="5760" w:hanging="360"/>
      </w:pPr>
    </w:lvl>
    <w:lvl w:ilvl="7" w:tplc="B9DCE6A8">
      <w:start w:val="1"/>
      <w:numFmt w:val="lowerLetter"/>
      <w:lvlText w:val="%8."/>
      <w:lvlJc w:val="left"/>
      <w:pPr>
        <w:ind w:left="6480" w:hanging="360"/>
      </w:pPr>
    </w:lvl>
    <w:lvl w:ilvl="8" w:tplc="7374A338">
      <w:start w:val="1"/>
      <w:numFmt w:val="lowerRoman"/>
      <w:lvlText w:val="%9."/>
      <w:lvlJc w:val="right"/>
      <w:pPr>
        <w:ind w:left="7200" w:hanging="180"/>
      </w:pPr>
    </w:lvl>
  </w:abstractNum>
  <w:abstractNum w:abstractNumId="31" w15:restartNumberingAfterBreak="0">
    <w:nsid w:val="60252852"/>
    <w:multiLevelType w:val="hybridMultilevel"/>
    <w:tmpl w:val="C61221B4"/>
    <w:lvl w:ilvl="0" w:tplc="F572D21C">
      <w:start w:val="1"/>
      <w:numFmt w:val="decimal"/>
      <w:lvlText w:val="%1."/>
      <w:lvlJc w:val="left"/>
      <w:pPr>
        <w:ind w:left="1080" w:hanging="360"/>
      </w:pPr>
      <w:rPr>
        <w:rFonts w:ascii="Times New Roman Bold" w:hAnsi="Times New Roman Bold" w:cs="Times New Roman Bold" w:hint="default"/>
        <w:b w:val="0"/>
        <w:bCs w:val="0"/>
        <w:i w:val="0"/>
        <w:iCs w:val="0"/>
      </w:rPr>
    </w:lvl>
    <w:lvl w:ilvl="1" w:tplc="171E3C16">
      <w:start w:val="1"/>
      <w:numFmt w:val="lowerLetter"/>
      <w:lvlText w:val="%2."/>
      <w:lvlJc w:val="left"/>
      <w:pPr>
        <w:ind w:left="1800" w:hanging="360"/>
      </w:pPr>
    </w:lvl>
    <w:lvl w:ilvl="2" w:tplc="8598BD60">
      <w:start w:val="1"/>
      <w:numFmt w:val="lowerRoman"/>
      <w:lvlText w:val="%3."/>
      <w:lvlJc w:val="right"/>
      <w:pPr>
        <w:ind w:left="2520" w:hanging="180"/>
      </w:pPr>
    </w:lvl>
    <w:lvl w:ilvl="3" w:tplc="C0145F0E">
      <w:start w:val="1"/>
      <w:numFmt w:val="decimal"/>
      <w:lvlText w:val="%4."/>
      <w:lvlJc w:val="left"/>
      <w:pPr>
        <w:ind w:left="3240" w:hanging="360"/>
      </w:pPr>
    </w:lvl>
    <w:lvl w:ilvl="4" w:tplc="078017CA">
      <w:start w:val="1"/>
      <w:numFmt w:val="lowerLetter"/>
      <w:lvlText w:val="%5."/>
      <w:lvlJc w:val="left"/>
      <w:pPr>
        <w:ind w:left="3960" w:hanging="360"/>
      </w:pPr>
    </w:lvl>
    <w:lvl w:ilvl="5" w:tplc="247C02B0">
      <w:start w:val="1"/>
      <w:numFmt w:val="lowerRoman"/>
      <w:lvlText w:val="%6."/>
      <w:lvlJc w:val="right"/>
      <w:pPr>
        <w:ind w:left="4680" w:hanging="180"/>
      </w:pPr>
    </w:lvl>
    <w:lvl w:ilvl="6" w:tplc="87BEEE72">
      <w:start w:val="1"/>
      <w:numFmt w:val="decimal"/>
      <w:lvlText w:val="%7."/>
      <w:lvlJc w:val="left"/>
      <w:pPr>
        <w:ind w:left="5400" w:hanging="360"/>
      </w:pPr>
    </w:lvl>
    <w:lvl w:ilvl="7" w:tplc="1514F5FC">
      <w:start w:val="1"/>
      <w:numFmt w:val="lowerLetter"/>
      <w:lvlText w:val="%8."/>
      <w:lvlJc w:val="left"/>
      <w:pPr>
        <w:ind w:left="6120" w:hanging="360"/>
      </w:pPr>
    </w:lvl>
    <w:lvl w:ilvl="8" w:tplc="5CE41D76">
      <w:start w:val="1"/>
      <w:numFmt w:val="lowerRoman"/>
      <w:lvlText w:val="%9."/>
      <w:lvlJc w:val="right"/>
      <w:pPr>
        <w:ind w:left="6840" w:hanging="180"/>
      </w:pPr>
    </w:lvl>
  </w:abstractNum>
  <w:abstractNum w:abstractNumId="32" w15:restartNumberingAfterBreak="0">
    <w:nsid w:val="60BC66AB"/>
    <w:multiLevelType w:val="hybridMultilevel"/>
    <w:tmpl w:val="0016BC66"/>
    <w:lvl w:ilvl="0" w:tplc="FC1C4A88">
      <w:start w:val="1"/>
      <w:numFmt w:val="decimal"/>
      <w:lvlText w:val="%1."/>
      <w:lvlJc w:val="right"/>
      <w:pPr>
        <w:ind w:left="720" w:hanging="360"/>
      </w:pPr>
      <w:rPr>
        <w:rFonts w:hint="default"/>
      </w:rPr>
    </w:lvl>
    <w:lvl w:ilvl="1" w:tplc="C03EA4F0" w:tentative="1">
      <w:start w:val="1"/>
      <w:numFmt w:val="lowerLetter"/>
      <w:lvlText w:val="%2."/>
      <w:lvlJc w:val="left"/>
      <w:pPr>
        <w:ind w:left="1440" w:hanging="360"/>
      </w:pPr>
    </w:lvl>
    <w:lvl w:ilvl="2" w:tplc="F692FC1A" w:tentative="1">
      <w:start w:val="1"/>
      <w:numFmt w:val="lowerRoman"/>
      <w:lvlText w:val="%3."/>
      <w:lvlJc w:val="right"/>
      <w:pPr>
        <w:ind w:left="2160" w:hanging="180"/>
      </w:pPr>
    </w:lvl>
    <w:lvl w:ilvl="3" w:tplc="1D989A82" w:tentative="1">
      <w:start w:val="1"/>
      <w:numFmt w:val="decimal"/>
      <w:lvlText w:val="%4."/>
      <w:lvlJc w:val="left"/>
      <w:pPr>
        <w:ind w:left="2880" w:hanging="360"/>
      </w:pPr>
    </w:lvl>
    <w:lvl w:ilvl="4" w:tplc="0C686380" w:tentative="1">
      <w:start w:val="1"/>
      <w:numFmt w:val="lowerLetter"/>
      <w:lvlText w:val="%5."/>
      <w:lvlJc w:val="left"/>
      <w:pPr>
        <w:ind w:left="3600" w:hanging="360"/>
      </w:pPr>
    </w:lvl>
    <w:lvl w:ilvl="5" w:tplc="95E05A24" w:tentative="1">
      <w:start w:val="1"/>
      <w:numFmt w:val="lowerRoman"/>
      <w:lvlText w:val="%6."/>
      <w:lvlJc w:val="right"/>
      <w:pPr>
        <w:ind w:left="4320" w:hanging="180"/>
      </w:pPr>
    </w:lvl>
    <w:lvl w:ilvl="6" w:tplc="855211A4" w:tentative="1">
      <w:start w:val="1"/>
      <w:numFmt w:val="decimal"/>
      <w:lvlText w:val="%7."/>
      <w:lvlJc w:val="left"/>
      <w:pPr>
        <w:ind w:left="5040" w:hanging="360"/>
      </w:pPr>
    </w:lvl>
    <w:lvl w:ilvl="7" w:tplc="326E2670" w:tentative="1">
      <w:start w:val="1"/>
      <w:numFmt w:val="lowerLetter"/>
      <w:lvlText w:val="%8."/>
      <w:lvlJc w:val="left"/>
      <w:pPr>
        <w:ind w:left="5760" w:hanging="360"/>
      </w:pPr>
    </w:lvl>
    <w:lvl w:ilvl="8" w:tplc="1208F920" w:tentative="1">
      <w:start w:val="1"/>
      <w:numFmt w:val="lowerRoman"/>
      <w:lvlText w:val="%9."/>
      <w:lvlJc w:val="right"/>
      <w:pPr>
        <w:ind w:left="6480" w:hanging="180"/>
      </w:pPr>
    </w:lvl>
  </w:abstractNum>
  <w:abstractNum w:abstractNumId="33" w15:restartNumberingAfterBreak="0">
    <w:nsid w:val="62FE6C7E"/>
    <w:multiLevelType w:val="hybridMultilevel"/>
    <w:tmpl w:val="99A82D48"/>
    <w:lvl w:ilvl="0" w:tplc="7E82A790">
      <w:start w:val="1"/>
      <w:numFmt w:val="decimal"/>
      <w:lvlText w:val="%1."/>
      <w:lvlJc w:val="left"/>
      <w:pPr>
        <w:ind w:left="1800" w:hanging="360"/>
      </w:pPr>
      <w:rPr>
        <w:rFonts w:ascii="Times New Roman" w:hAnsi="Times New Roman" w:cs="Times New Roman" w:hint="default"/>
        <w:sz w:val="24"/>
        <w:szCs w:val="24"/>
      </w:rPr>
    </w:lvl>
    <w:lvl w:ilvl="1" w:tplc="A98E2754" w:tentative="1">
      <w:start w:val="1"/>
      <w:numFmt w:val="lowerLetter"/>
      <w:lvlText w:val="%2."/>
      <w:lvlJc w:val="left"/>
      <w:pPr>
        <w:ind w:left="2520" w:hanging="360"/>
      </w:pPr>
    </w:lvl>
    <w:lvl w:ilvl="2" w:tplc="4FEA22E6" w:tentative="1">
      <w:start w:val="1"/>
      <w:numFmt w:val="lowerRoman"/>
      <w:lvlText w:val="%3."/>
      <w:lvlJc w:val="right"/>
      <w:pPr>
        <w:ind w:left="3240" w:hanging="180"/>
      </w:pPr>
    </w:lvl>
    <w:lvl w:ilvl="3" w:tplc="37504A7C" w:tentative="1">
      <w:start w:val="1"/>
      <w:numFmt w:val="decimal"/>
      <w:lvlText w:val="%4."/>
      <w:lvlJc w:val="left"/>
      <w:pPr>
        <w:ind w:left="3960" w:hanging="360"/>
      </w:pPr>
    </w:lvl>
    <w:lvl w:ilvl="4" w:tplc="0F4AF38A" w:tentative="1">
      <w:start w:val="1"/>
      <w:numFmt w:val="lowerLetter"/>
      <w:lvlText w:val="%5."/>
      <w:lvlJc w:val="left"/>
      <w:pPr>
        <w:ind w:left="4680" w:hanging="360"/>
      </w:pPr>
    </w:lvl>
    <w:lvl w:ilvl="5" w:tplc="8188A0E2" w:tentative="1">
      <w:start w:val="1"/>
      <w:numFmt w:val="lowerRoman"/>
      <w:lvlText w:val="%6."/>
      <w:lvlJc w:val="right"/>
      <w:pPr>
        <w:ind w:left="5400" w:hanging="180"/>
      </w:pPr>
    </w:lvl>
    <w:lvl w:ilvl="6" w:tplc="65B447BE" w:tentative="1">
      <w:start w:val="1"/>
      <w:numFmt w:val="decimal"/>
      <w:lvlText w:val="%7."/>
      <w:lvlJc w:val="left"/>
      <w:pPr>
        <w:ind w:left="6120" w:hanging="360"/>
      </w:pPr>
    </w:lvl>
    <w:lvl w:ilvl="7" w:tplc="A128100C" w:tentative="1">
      <w:start w:val="1"/>
      <w:numFmt w:val="lowerLetter"/>
      <w:lvlText w:val="%8."/>
      <w:lvlJc w:val="left"/>
      <w:pPr>
        <w:ind w:left="6840" w:hanging="360"/>
      </w:pPr>
    </w:lvl>
    <w:lvl w:ilvl="8" w:tplc="E8CECCB0" w:tentative="1">
      <w:start w:val="1"/>
      <w:numFmt w:val="lowerRoman"/>
      <w:lvlText w:val="%9."/>
      <w:lvlJc w:val="right"/>
      <w:pPr>
        <w:ind w:left="7560" w:hanging="180"/>
      </w:pPr>
    </w:lvl>
  </w:abstractNum>
  <w:abstractNum w:abstractNumId="34" w15:restartNumberingAfterBreak="0">
    <w:nsid w:val="699D6CAE"/>
    <w:multiLevelType w:val="hybridMultilevel"/>
    <w:tmpl w:val="5BB49BEC"/>
    <w:lvl w:ilvl="0" w:tplc="2292AAB4">
      <w:start w:val="1"/>
      <w:numFmt w:val="decimal"/>
      <w:lvlText w:val="%1."/>
      <w:lvlJc w:val="left"/>
      <w:pPr>
        <w:ind w:left="1800" w:hanging="360"/>
      </w:pPr>
      <w:rPr>
        <w:rFonts w:hint="default"/>
        <w:b w:val="0"/>
      </w:rPr>
    </w:lvl>
    <w:lvl w:ilvl="1" w:tplc="4F3AE68E" w:tentative="1">
      <w:start w:val="1"/>
      <w:numFmt w:val="lowerLetter"/>
      <w:lvlText w:val="%2."/>
      <w:lvlJc w:val="left"/>
      <w:pPr>
        <w:ind w:left="1440" w:hanging="360"/>
      </w:pPr>
    </w:lvl>
    <w:lvl w:ilvl="2" w:tplc="641E514A" w:tentative="1">
      <w:start w:val="1"/>
      <w:numFmt w:val="lowerRoman"/>
      <w:lvlText w:val="%3."/>
      <w:lvlJc w:val="right"/>
      <w:pPr>
        <w:ind w:left="2160" w:hanging="180"/>
      </w:pPr>
    </w:lvl>
    <w:lvl w:ilvl="3" w:tplc="028E5234" w:tentative="1">
      <w:start w:val="1"/>
      <w:numFmt w:val="decimal"/>
      <w:lvlText w:val="%4."/>
      <w:lvlJc w:val="left"/>
      <w:pPr>
        <w:ind w:left="2880" w:hanging="360"/>
      </w:pPr>
    </w:lvl>
    <w:lvl w:ilvl="4" w:tplc="0DCCC106" w:tentative="1">
      <w:start w:val="1"/>
      <w:numFmt w:val="lowerLetter"/>
      <w:lvlText w:val="%5."/>
      <w:lvlJc w:val="left"/>
      <w:pPr>
        <w:ind w:left="3600" w:hanging="360"/>
      </w:pPr>
    </w:lvl>
    <w:lvl w:ilvl="5" w:tplc="B4E4FBC4" w:tentative="1">
      <w:start w:val="1"/>
      <w:numFmt w:val="lowerRoman"/>
      <w:lvlText w:val="%6."/>
      <w:lvlJc w:val="right"/>
      <w:pPr>
        <w:ind w:left="4320" w:hanging="180"/>
      </w:pPr>
    </w:lvl>
    <w:lvl w:ilvl="6" w:tplc="53AEC6B8" w:tentative="1">
      <w:start w:val="1"/>
      <w:numFmt w:val="decimal"/>
      <w:lvlText w:val="%7."/>
      <w:lvlJc w:val="left"/>
      <w:pPr>
        <w:ind w:left="5040" w:hanging="360"/>
      </w:pPr>
    </w:lvl>
    <w:lvl w:ilvl="7" w:tplc="1CD22BEE" w:tentative="1">
      <w:start w:val="1"/>
      <w:numFmt w:val="lowerLetter"/>
      <w:lvlText w:val="%8."/>
      <w:lvlJc w:val="left"/>
      <w:pPr>
        <w:ind w:left="5760" w:hanging="360"/>
      </w:pPr>
    </w:lvl>
    <w:lvl w:ilvl="8" w:tplc="B35098F2" w:tentative="1">
      <w:start w:val="1"/>
      <w:numFmt w:val="lowerRoman"/>
      <w:lvlText w:val="%9."/>
      <w:lvlJc w:val="right"/>
      <w:pPr>
        <w:ind w:left="6480" w:hanging="180"/>
      </w:pPr>
    </w:lvl>
  </w:abstractNum>
  <w:abstractNum w:abstractNumId="35" w15:restartNumberingAfterBreak="0">
    <w:nsid w:val="6C681BC1"/>
    <w:multiLevelType w:val="hybridMultilevel"/>
    <w:tmpl w:val="E416B262"/>
    <w:lvl w:ilvl="0" w:tplc="E4B0FAA4">
      <w:start w:val="1"/>
      <w:numFmt w:val="decimal"/>
      <w:lvlText w:val="%1."/>
      <w:lvlJc w:val="right"/>
      <w:pPr>
        <w:ind w:left="720" w:hanging="360"/>
      </w:pPr>
      <w:rPr>
        <w:rFonts w:hint="default"/>
      </w:rPr>
    </w:lvl>
    <w:lvl w:ilvl="1" w:tplc="0FC0AC96" w:tentative="1">
      <w:start w:val="1"/>
      <w:numFmt w:val="lowerLetter"/>
      <w:lvlText w:val="%2."/>
      <w:lvlJc w:val="left"/>
      <w:pPr>
        <w:ind w:left="1440" w:hanging="360"/>
      </w:pPr>
    </w:lvl>
    <w:lvl w:ilvl="2" w:tplc="6EB8E9EC" w:tentative="1">
      <w:start w:val="1"/>
      <w:numFmt w:val="lowerRoman"/>
      <w:lvlText w:val="%3."/>
      <w:lvlJc w:val="right"/>
      <w:pPr>
        <w:ind w:left="2160" w:hanging="180"/>
      </w:pPr>
    </w:lvl>
    <w:lvl w:ilvl="3" w:tplc="BAFE23EA" w:tentative="1">
      <w:start w:val="1"/>
      <w:numFmt w:val="decimal"/>
      <w:lvlText w:val="%4."/>
      <w:lvlJc w:val="left"/>
      <w:pPr>
        <w:ind w:left="2880" w:hanging="360"/>
      </w:pPr>
    </w:lvl>
    <w:lvl w:ilvl="4" w:tplc="21229282" w:tentative="1">
      <w:start w:val="1"/>
      <w:numFmt w:val="lowerLetter"/>
      <w:lvlText w:val="%5."/>
      <w:lvlJc w:val="left"/>
      <w:pPr>
        <w:ind w:left="3600" w:hanging="360"/>
      </w:pPr>
    </w:lvl>
    <w:lvl w:ilvl="5" w:tplc="F50A4782" w:tentative="1">
      <w:start w:val="1"/>
      <w:numFmt w:val="lowerRoman"/>
      <w:lvlText w:val="%6."/>
      <w:lvlJc w:val="right"/>
      <w:pPr>
        <w:ind w:left="4320" w:hanging="180"/>
      </w:pPr>
    </w:lvl>
    <w:lvl w:ilvl="6" w:tplc="A6CC8866" w:tentative="1">
      <w:start w:val="1"/>
      <w:numFmt w:val="decimal"/>
      <w:lvlText w:val="%7."/>
      <w:lvlJc w:val="left"/>
      <w:pPr>
        <w:ind w:left="5040" w:hanging="360"/>
      </w:pPr>
    </w:lvl>
    <w:lvl w:ilvl="7" w:tplc="49A0E52E" w:tentative="1">
      <w:start w:val="1"/>
      <w:numFmt w:val="lowerLetter"/>
      <w:lvlText w:val="%8."/>
      <w:lvlJc w:val="left"/>
      <w:pPr>
        <w:ind w:left="5760" w:hanging="360"/>
      </w:pPr>
    </w:lvl>
    <w:lvl w:ilvl="8" w:tplc="C5B89A18" w:tentative="1">
      <w:start w:val="1"/>
      <w:numFmt w:val="lowerRoman"/>
      <w:lvlText w:val="%9."/>
      <w:lvlJc w:val="right"/>
      <w:pPr>
        <w:ind w:left="6480" w:hanging="180"/>
      </w:pPr>
    </w:lvl>
  </w:abstractNum>
  <w:abstractNum w:abstractNumId="36" w15:restartNumberingAfterBreak="0">
    <w:nsid w:val="71046F35"/>
    <w:multiLevelType w:val="multilevel"/>
    <w:tmpl w:val="03C84B1A"/>
    <w:lvl w:ilvl="0">
      <w:start w:val="1"/>
      <w:numFmt w:val="decimal"/>
      <w:lvlText w:val="%1."/>
      <w:lvlJc w:val="left"/>
      <w:pPr>
        <w:ind w:left="180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11211F2"/>
    <w:multiLevelType w:val="hybridMultilevel"/>
    <w:tmpl w:val="AFF00F60"/>
    <w:lvl w:ilvl="0" w:tplc="B18A72EA">
      <w:start w:val="1"/>
      <w:numFmt w:val="decimal"/>
      <w:lvlText w:val="%1."/>
      <w:lvlJc w:val="left"/>
      <w:pPr>
        <w:ind w:left="1800" w:hanging="360"/>
      </w:pPr>
      <w:rPr>
        <w:rFonts w:hint="default"/>
        <w:b w:val="0"/>
      </w:rPr>
    </w:lvl>
    <w:lvl w:ilvl="1" w:tplc="FCD05E38">
      <w:start w:val="1"/>
      <w:numFmt w:val="lowerLetter"/>
      <w:lvlText w:val="%2."/>
      <w:lvlJc w:val="left"/>
      <w:pPr>
        <w:ind w:left="1800" w:hanging="360"/>
      </w:pPr>
    </w:lvl>
    <w:lvl w:ilvl="2" w:tplc="FEACB964">
      <w:start w:val="1"/>
      <w:numFmt w:val="lowerRoman"/>
      <w:lvlText w:val="%3."/>
      <w:lvlJc w:val="right"/>
      <w:pPr>
        <w:ind w:left="2520" w:hanging="180"/>
      </w:pPr>
    </w:lvl>
    <w:lvl w:ilvl="3" w:tplc="E50CA2CA">
      <w:start w:val="1"/>
      <w:numFmt w:val="decimal"/>
      <w:lvlText w:val="%4."/>
      <w:lvlJc w:val="left"/>
      <w:pPr>
        <w:ind w:left="3240" w:hanging="360"/>
      </w:pPr>
    </w:lvl>
    <w:lvl w:ilvl="4" w:tplc="9522D8C2">
      <w:start w:val="1"/>
      <w:numFmt w:val="lowerLetter"/>
      <w:lvlText w:val="%5."/>
      <w:lvlJc w:val="left"/>
      <w:pPr>
        <w:ind w:left="3960" w:hanging="360"/>
      </w:pPr>
    </w:lvl>
    <w:lvl w:ilvl="5" w:tplc="2514F5DA">
      <w:start w:val="1"/>
      <w:numFmt w:val="lowerRoman"/>
      <w:lvlText w:val="%6."/>
      <w:lvlJc w:val="right"/>
      <w:pPr>
        <w:ind w:left="4680" w:hanging="180"/>
      </w:pPr>
    </w:lvl>
    <w:lvl w:ilvl="6" w:tplc="3852F6AC">
      <w:start w:val="1"/>
      <w:numFmt w:val="decimal"/>
      <w:lvlText w:val="%7."/>
      <w:lvlJc w:val="left"/>
      <w:pPr>
        <w:ind w:left="5400" w:hanging="360"/>
      </w:pPr>
    </w:lvl>
    <w:lvl w:ilvl="7" w:tplc="D62A9872">
      <w:start w:val="1"/>
      <w:numFmt w:val="lowerLetter"/>
      <w:lvlText w:val="%8."/>
      <w:lvlJc w:val="left"/>
      <w:pPr>
        <w:ind w:left="6120" w:hanging="360"/>
      </w:pPr>
    </w:lvl>
    <w:lvl w:ilvl="8" w:tplc="DECA9742">
      <w:start w:val="1"/>
      <w:numFmt w:val="lowerRoman"/>
      <w:lvlText w:val="%9."/>
      <w:lvlJc w:val="right"/>
      <w:pPr>
        <w:ind w:left="6840" w:hanging="180"/>
      </w:pPr>
    </w:lvl>
  </w:abstractNum>
  <w:abstractNum w:abstractNumId="38" w15:restartNumberingAfterBreak="0">
    <w:nsid w:val="71D13A18"/>
    <w:multiLevelType w:val="hybridMultilevel"/>
    <w:tmpl w:val="1D967C44"/>
    <w:lvl w:ilvl="0" w:tplc="2F7C042A">
      <w:start w:val="1"/>
      <w:numFmt w:val="lowerLetter"/>
      <w:lvlText w:val="%1."/>
      <w:lvlJc w:val="left"/>
      <w:pPr>
        <w:ind w:left="1080" w:hanging="360"/>
      </w:pPr>
      <w:rPr>
        <w:rFonts w:hint="default"/>
        <w:b w:val="0"/>
        <w:bCs w:val="0"/>
        <w:i w:val="0"/>
        <w:iCs w:val="0"/>
      </w:rPr>
    </w:lvl>
    <w:lvl w:ilvl="1" w:tplc="00AE85EA">
      <w:start w:val="1"/>
      <w:numFmt w:val="lowerLetter"/>
      <w:lvlText w:val="%2."/>
      <w:lvlJc w:val="left"/>
      <w:pPr>
        <w:ind w:left="1800" w:hanging="360"/>
      </w:pPr>
    </w:lvl>
    <w:lvl w:ilvl="2" w:tplc="C0F28F6C">
      <w:start w:val="1"/>
      <w:numFmt w:val="lowerRoman"/>
      <w:lvlText w:val="%3."/>
      <w:lvlJc w:val="right"/>
      <w:pPr>
        <w:ind w:left="2520" w:hanging="180"/>
      </w:pPr>
    </w:lvl>
    <w:lvl w:ilvl="3" w:tplc="BE069E84">
      <w:start w:val="1"/>
      <w:numFmt w:val="decimal"/>
      <w:lvlText w:val="%4."/>
      <w:lvlJc w:val="left"/>
      <w:pPr>
        <w:ind w:left="3240" w:hanging="360"/>
      </w:pPr>
    </w:lvl>
    <w:lvl w:ilvl="4" w:tplc="C4F21044">
      <w:start w:val="1"/>
      <w:numFmt w:val="lowerLetter"/>
      <w:lvlText w:val="%5."/>
      <w:lvlJc w:val="left"/>
      <w:pPr>
        <w:ind w:left="3960" w:hanging="360"/>
      </w:pPr>
    </w:lvl>
    <w:lvl w:ilvl="5" w:tplc="5252A9EA">
      <w:start w:val="1"/>
      <w:numFmt w:val="lowerRoman"/>
      <w:lvlText w:val="%6."/>
      <w:lvlJc w:val="right"/>
      <w:pPr>
        <w:ind w:left="4680" w:hanging="180"/>
      </w:pPr>
    </w:lvl>
    <w:lvl w:ilvl="6" w:tplc="F89AECCA">
      <w:start w:val="1"/>
      <w:numFmt w:val="decimal"/>
      <w:lvlText w:val="%7."/>
      <w:lvlJc w:val="left"/>
      <w:pPr>
        <w:ind w:left="5400" w:hanging="360"/>
      </w:pPr>
    </w:lvl>
    <w:lvl w:ilvl="7" w:tplc="AC360F9E">
      <w:start w:val="1"/>
      <w:numFmt w:val="lowerLetter"/>
      <w:lvlText w:val="%8."/>
      <w:lvlJc w:val="left"/>
      <w:pPr>
        <w:ind w:left="6120" w:hanging="360"/>
      </w:pPr>
    </w:lvl>
    <w:lvl w:ilvl="8" w:tplc="9EF8131A">
      <w:start w:val="1"/>
      <w:numFmt w:val="lowerRoman"/>
      <w:lvlText w:val="%9."/>
      <w:lvlJc w:val="right"/>
      <w:pPr>
        <w:ind w:left="6840" w:hanging="180"/>
      </w:pPr>
    </w:lvl>
  </w:abstractNum>
  <w:abstractNum w:abstractNumId="39" w15:restartNumberingAfterBreak="0">
    <w:nsid w:val="736A737E"/>
    <w:multiLevelType w:val="hybridMultilevel"/>
    <w:tmpl w:val="B972FE2C"/>
    <w:lvl w:ilvl="0" w:tplc="C508379E">
      <w:start w:val="1"/>
      <w:numFmt w:val="decimal"/>
      <w:lvlText w:val="%1."/>
      <w:lvlJc w:val="left"/>
      <w:pPr>
        <w:ind w:left="1140" w:hanging="360"/>
      </w:pPr>
      <w:rPr>
        <w:rFonts w:ascii="Times New Roman" w:hAnsi="Times New Roman" w:cs="Times New Roman" w:hint="default"/>
        <w:color w:val="auto"/>
        <w:sz w:val="24"/>
        <w:szCs w:val="24"/>
      </w:rPr>
    </w:lvl>
    <w:lvl w:ilvl="1" w:tplc="0B60A3CE" w:tentative="1">
      <w:start w:val="1"/>
      <w:numFmt w:val="lowerLetter"/>
      <w:lvlText w:val="%2."/>
      <w:lvlJc w:val="left"/>
      <w:pPr>
        <w:ind w:left="1860" w:hanging="360"/>
      </w:pPr>
    </w:lvl>
    <w:lvl w:ilvl="2" w:tplc="C7080F0E" w:tentative="1">
      <w:start w:val="1"/>
      <w:numFmt w:val="lowerRoman"/>
      <w:lvlText w:val="%3."/>
      <w:lvlJc w:val="right"/>
      <w:pPr>
        <w:ind w:left="2580" w:hanging="180"/>
      </w:pPr>
    </w:lvl>
    <w:lvl w:ilvl="3" w:tplc="07CEC9EC" w:tentative="1">
      <w:start w:val="1"/>
      <w:numFmt w:val="decimal"/>
      <w:lvlText w:val="%4."/>
      <w:lvlJc w:val="left"/>
      <w:pPr>
        <w:ind w:left="3300" w:hanging="360"/>
      </w:pPr>
    </w:lvl>
    <w:lvl w:ilvl="4" w:tplc="F4D2A288" w:tentative="1">
      <w:start w:val="1"/>
      <w:numFmt w:val="lowerLetter"/>
      <w:lvlText w:val="%5."/>
      <w:lvlJc w:val="left"/>
      <w:pPr>
        <w:ind w:left="4020" w:hanging="360"/>
      </w:pPr>
    </w:lvl>
    <w:lvl w:ilvl="5" w:tplc="E9A626D8" w:tentative="1">
      <w:start w:val="1"/>
      <w:numFmt w:val="lowerRoman"/>
      <w:lvlText w:val="%6."/>
      <w:lvlJc w:val="right"/>
      <w:pPr>
        <w:ind w:left="4740" w:hanging="180"/>
      </w:pPr>
    </w:lvl>
    <w:lvl w:ilvl="6" w:tplc="B630BCB6" w:tentative="1">
      <w:start w:val="1"/>
      <w:numFmt w:val="decimal"/>
      <w:lvlText w:val="%7."/>
      <w:lvlJc w:val="left"/>
      <w:pPr>
        <w:ind w:left="5460" w:hanging="360"/>
      </w:pPr>
    </w:lvl>
    <w:lvl w:ilvl="7" w:tplc="184C74CE" w:tentative="1">
      <w:start w:val="1"/>
      <w:numFmt w:val="lowerLetter"/>
      <w:lvlText w:val="%8."/>
      <w:lvlJc w:val="left"/>
      <w:pPr>
        <w:ind w:left="6180" w:hanging="360"/>
      </w:pPr>
    </w:lvl>
    <w:lvl w:ilvl="8" w:tplc="8EF6ED1A" w:tentative="1">
      <w:start w:val="1"/>
      <w:numFmt w:val="lowerRoman"/>
      <w:lvlText w:val="%9."/>
      <w:lvlJc w:val="right"/>
      <w:pPr>
        <w:ind w:left="6900" w:hanging="180"/>
      </w:pPr>
    </w:lvl>
  </w:abstractNum>
  <w:abstractNum w:abstractNumId="40" w15:restartNumberingAfterBreak="0">
    <w:nsid w:val="7987122E"/>
    <w:multiLevelType w:val="hybridMultilevel"/>
    <w:tmpl w:val="1CB6E542"/>
    <w:lvl w:ilvl="0" w:tplc="90BE48A4">
      <w:start w:val="1"/>
      <w:numFmt w:val="upperRoman"/>
      <w:lvlText w:val="%1."/>
      <w:lvlJc w:val="left"/>
      <w:pPr>
        <w:ind w:left="1080" w:hanging="720"/>
      </w:pPr>
      <w:rPr>
        <w:rFonts w:hint="default"/>
      </w:rPr>
    </w:lvl>
    <w:lvl w:ilvl="1" w:tplc="1E2CDA22">
      <w:start w:val="1"/>
      <w:numFmt w:val="lowerLetter"/>
      <w:lvlText w:val="%2."/>
      <w:lvlJc w:val="left"/>
      <w:pPr>
        <w:ind w:left="1440" w:hanging="360"/>
      </w:pPr>
    </w:lvl>
    <w:lvl w:ilvl="2" w:tplc="E724CF7C">
      <w:start w:val="1"/>
      <w:numFmt w:val="lowerRoman"/>
      <w:lvlText w:val="%3."/>
      <w:lvlJc w:val="right"/>
      <w:pPr>
        <w:ind w:left="2160" w:hanging="180"/>
      </w:pPr>
    </w:lvl>
    <w:lvl w:ilvl="3" w:tplc="663222CE">
      <w:start w:val="1"/>
      <w:numFmt w:val="decimal"/>
      <w:lvlText w:val="%4."/>
      <w:lvlJc w:val="left"/>
      <w:pPr>
        <w:ind w:left="2880" w:hanging="360"/>
      </w:pPr>
    </w:lvl>
    <w:lvl w:ilvl="4" w:tplc="C60A22A4">
      <w:start w:val="1"/>
      <w:numFmt w:val="lowerLetter"/>
      <w:lvlText w:val="%5."/>
      <w:lvlJc w:val="left"/>
      <w:pPr>
        <w:ind w:left="3600" w:hanging="360"/>
      </w:pPr>
    </w:lvl>
    <w:lvl w:ilvl="5" w:tplc="67AA5F2E">
      <w:start w:val="1"/>
      <w:numFmt w:val="lowerRoman"/>
      <w:lvlText w:val="%6."/>
      <w:lvlJc w:val="right"/>
      <w:pPr>
        <w:ind w:left="4320" w:hanging="180"/>
      </w:pPr>
    </w:lvl>
    <w:lvl w:ilvl="6" w:tplc="C1743086">
      <w:start w:val="1"/>
      <w:numFmt w:val="decimal"/>
      <w:lvlText w:val="%7."/>
      <w:lvlJc w:val="left"/>
      <w:pPr>
        <w:ind w:left="5040" w:hanging="360"/>
      </w:pPr>
    </w:lvl>
    <w:lvl w:ilvl="7" w:tplc="E8B89710">
      <w:start w:val="1"/>
      <w:numFmt w:val="lowerLetter"/>
      <w:lvlText w:val="%8."/>
      <w:lvlJc w:val="left"/>
      <w:pPr>
        <w:ind w:left="5760" w:hanging="360"/>
      </w:pPr>
    </w:lvl>
    <w:lvl w:ilvl="8" w:tplc="D64A78BC">
      <w:start w:val="1"/>
      <w:numFmt w:val="lowerRoman"/>
      <w:lvlText w:val="%9."/>
      <w:lvlJc w:val="right"/>
      <w:pPr>
        <w:ind w:left="6480" w:hanging="180"/>
      </w:pPr>
    </w:lvl>
  </w:abstractNum>
  <w:num w:numId="1">
    <w:abstractNumId w:val="9"/>
  </w:num>
  <w:num w:numId="2">
    <w:abstractNumId w:val="11"/>
  </w:num>
  <w:num w:numId="3">
    <w:abstractNumId w:val="0"/>
  </w:num>
  <w:num w:numId="4">
    <w:abstractNumId w:val="28"/>
  </w:num>
  <w:num w:numId="5">
    <w:abstractNumId w:val="28"/>
    <w:lvlOverride w:ilvl="0">
      <w:startOverride w:val="1"/>
    </w:lvlOverride>
  </w:num>
  <w:num w:numId="6">
    <w:abstractNumId w:val="15"/>
  </w:num>
  <w:num w:numId="7">
    <w:abstractNumId w:val="30"/>
  </w:num>
  <w:num w:numId="8">
    <w:abstractNumId w:val="22"/>
  </w:num>
  <w:num w:numId="9">
    <w:abstractNumId w:val="37"/>
  </w:num>
  <w:num w:numId="10">
    <w:abstractNumId w:val="27"/>
  </w:num>
  <w:num w:numId="11">
    <w:abstractNumId w:val="21"/>
  </w:num>
  <w:num w:numId="12">
    <w:abstractNumId w:val="31"/>
  </w:num>
  <w:num w:numId="13">
    <w:abstractNumId w:val="14"/>
  </w:num>
  <w:num w:numId="14">
    <w:abstractNumId w:val="38"/>
  </w:num>
  <w:num w:numId="15">
    <w:abstractNumId w:val="23"/>
  </w:num>
  <w:num w:numId="16">
    <w:abstractNumId w:val="40"/>
  </w:num>
  <w:num w:numId="17">
    <w:abstractNumId w:val="10"/>
  </w:num>
  <w:num w:numId="18">
    <w:abstractNumId w:val="6"/>
  </w:num>
  <w:num w:numId="19">
    <w:abstractNumId w:val="36"/>
  </w:num>
  <w:num w:numId="20">
    <w:abstractNumId w:val="13"/>
  </w:num>
  <w:num w:numId="21">
    <w:abstractNumId w:val="34"/>
  </w:num>
  <w:num w:numId="22">
    <w:abstractNumId w:val="17"/>
  </w:num>
  <w:num w:numId="23">
    <w:abstractNumId w:val="1"/>
  </w:num>
  <w:num w:numId="24">
    <w:abstractNumId w:val="3"/>
  </w:num>
  <w:num w:numId="25">
    <w:abstractNumId w:val="29"/>
  </w:num>
  <w:num w:numId="26">
    <w:abstractNumId w:val="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5"/>
  </w:num>
  <w:num w:numId="30">
    <w:abstractNumId w:val="33"/>
  </w:num>
  <w:num w:numId="31">
    <w:abstractNumId w:val="39"/>
  </w:num>
  <w:num w:numId="32">
    <w:abstractNumId w:val="4"/>
  </w:num>
  <w:num w:numId="33">
    <w:abstractNumId w:val="18"/>
  </w:num>
  <w:num w:numId="34">
    <w:abstractNumId w:val="19"/>
  </w:num>
  <w:num w:numId="35">
    <w:abstractNumId w:val="26"/>
  </w:num>
  <w:num w:numId="36">
    <w:abstractNumId w:val="2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6"/>
  </w:num>
  <w:num w:numId="40">
    <w:abstractNumId w:val="35"/>
  </w:num>
  <w:num w:numId="41">
    <w:abstractNumId w:val="32"/>
  </w:num>
  <w:num w:numId="42">
    <w:abstractNumId w:val="2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E3"/>
    <w:rsid w:val="0001721B"/>
    <w:rsid w:val="00035BB7"/>
    <w:rsid w:val="000533A8"/>
    <w:rsid w:val="00093960"/>
    <w:rsid w:val="00095466"/>
    <w:rsid w:val="000A4B02"/>
    <w:rsid w:val="000B21F9"/>
    <w:rsid w:val="000E43D0"/>
    <w:rsid w:val="00112DF7"/>
    <w:rsid w:val="0019322A"/>
    <w:rsid w:val="00195858"/>
    <w:rsid w:val="001D2397"/>
    <w:rsid w:val="001D6716"/>
    <w:rsid w:val="00207DC7"/>
    <w:rsid w:val="00253A66"/>
    <w:rsid w:val="00266DA9"/>
    <w:rsid w:val="002A28F9"/>
    <w:rsid w:val="002A3529"/>
    <w:rsid w:val="002B27E9"/>
    <w:rsid w:val="002B6A03"/>
    <w:rsid w:val="002C4404"/>
    <w:rsid w:val="002D6A6C"/>
    <w:rsid w:val="00323B30"/>
    <w:rsid w:val="003344BB"/>
    <w:rsid w:val="0033744F"/>
    <w:rsid w:val="00360AC3"/>
    <w:rsid w:val="0038000B"/>
    <w:rsid w:val="00386D58"/>
    <w:rsid w:val="00442391"/>
    <w:rsid w:val="00444CC4"/>
    <w:rsid w:val="004607F9"/>
    <w:rsid w:val="0047607A"/>
    <w:rsid w:val="00495FA3"/>
    <w:rsid w:val="004A0BED"/>
    <w:rsid w:val="004D6E9F"/>
    <w:rsid w:val="004E191E"/>
    <w:rsid w:val="004E269B"/>
    <w:rsid w:val="00535B59"/>
    <w:rsid w:val="00547259"/>
    <w:rsid w:val="00564C3D"/>
    <w:rsid w:val="005813C5"/>
    <w:rsid w:val="005B5D74"/>
    <w:rsid w:val="005C44F8"/>
    <w:rsid w:val="00604FC1"/>
    <w:rsid w:val="00615961"/>
    <w:rsid w:val="00642C68"/>
    <w:rsid w:val="0068009F"/>
    <w:rsid w:val="006A4162"/>
    <w:rsid w:val="006B6829"/>
    <w:rsid w:val="006C2840"/>
    <w:rsid w:val="006D2EBE"/>
    <w:rsid w:val="006E0052"/>
    <w:rsid w:val="00736304"/>
    <w:rsid w:val="007643CD"/>
    <w:rsid w:val="00775B5D"/>
    <w:rsid w:val="00786A1C"/>
    <w:rsid w:val="007A1F11"/>
    <w:rsid w:val="007A49DA"/>
    <w:rsid w:val="007B0874"/>
    <w:rsid w:val="007B19CB"/>
    <w:rsid w:val="007B374E"/>
    <w:rsid w:val="007D0E44"/>
    <w:rsid w:val="007E09C5"/>
    <w:rsid w:val="00815C55"/>
    <w:rsid w:val="00823290"/>
    <w:rsid w:val="008442BF"/>
    <w:rsid w:val="0084726C"/>
    <w:rsid w:val="008B12E3"/>
    <w:rsid w:val="008C2654"/>
    <w:rsid w:val="008C30AF"/>
    <w:rsid w:val="008D4EE3"/>
    <w:rsid w:val="008E37D2"/>
    <w:rsid w:val="008E613B"/>
    <w:rsid w:val="008F0280"/>
    <w:rsid w:val="008F3871"/>
    <w:rsid w:val="008F5762"/>
    <w:rsid w:val="00916D6E"/>
    <w:rsid w:val="00943A67"/>
    <w:rsid w:val="00950774"/>
    <w:rsid w:val="00970F35"/>
    <w:rsid w:val="00993B90"/>
    <w:rsid w:val="009A6632"/>
    <w:rsid w:val="009B2D2C"/>
    <w:rsid w:val="009E5F58"/>
    <w:rsid w:val="00A12A5C"/>
    <w:rsid w:val="00A62B37"/>
    <w:rsid w:val="00AB26FE"/>
    <w:rsid w:val="00AE0431"/>
    <w:rsid w:val="00AF5217"/>
    <w:rsid w:val="00B07A2E"/>
    <w:rsid w:val="00B1755F"/>
    <w:rsid w:val="00B25773"/>
    <w:rsid w:val="00B43845"/>
    <w:rsid w:val="00B65436"/>
    <w:rsid w:val="00BB7A09"/>
    <w:rsid w:val="00BC0A36"/>
    <w:rsid w:val="00BD79CA"/>
    <w:rsid w:val="00BE694B"/>
    <w:rsid w:val="00C04B01"/>
    <w:rsid w:val="00C17EAC"/>
    <w:rsid w:val="00C57E6A"/>
    <w:rsid w:val="00C67CE6"/>
    <w:rsid w:val="00CE1412"/>
    <w:rsid w:val="00CF1616"/>
    <w:rsid w:val="00D31239"/>
    <w:rsid w:val="00D45755"/>
    <w:rsid w:val="00D77DC7"/>
    <w:rsid w:val="00D92000"/>
    <w:rsid w:val="00D95D11"/>
    <w:rsid w:val="00DE1D24"/>
    <w:rsid w:val="00DF293E"/>
    <w:rsid w:val="00E10A08"/>
    <w:rsid w:val="00E16772"/>
    <w:rsid w:val="00E24E2C"/>
    <w:rsid w:val="00E2736A"/>
    <w:rsid w:val="00E43486"/>
    <w:rsid w:val="00E5670F"/>
    <w:rsid w:val="00E66A31"/>
    <w:rsid w:val="00EA0CF8"/>
    <w:rsid w:val="00EC7071"/>
    <w:rsid w:val="00F17CFF"/>
    <w:rsid w:val="00F2018F"/>
    <w:rsid w:val="00F220A0"/>
    <w:rsid w:val="00F35DB3"/>
    <w:rsid w:val="00F466E6"/>
    <w:rsid w:val="00F47166"/>
    <w:rsid w:val="00FA28F8"/>
    <w:rsid w:val="00FB5B2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6805B"/>
  <w15:docId w15:val="{B7F217EF-9F59-4E8A-B845-90CB9594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9" w:qFormat="1"/>
    <w:lsdException w:name="heading 5" w:locked="1" w:semiHidden="1" w:uiPriority="9" w:qFormat="1"/>
    <w:lsdException w:name="heading 6" w:locked="1" w:semiHidden="1" w:uiPriority="9" w:unhideWhenUsed="1" w:qFormat="1"/>
    <w:lsdException w:name="heading 7" w:locked="1" w:semiHidden="1" w:uiPriority="9" w:qFormat="1"/>
    <w:lsdException w:name="heading 8" w:locked="1" w:semiHidden="1" w:uiPriority="9" w:qFormat="1"/>
    <w:lsdException w:name="heading 9" w:locked="1" w:semiHidden="1" w:uiPriority="9" w:qFormat="1"/>
    <w:lsdException w:name="index 1" w:locked="1" w:semiHidden="1"/>
    <w:lsdException w:name="index 2" w:locked="1" w:semiHidden="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lsdException w:name="List Bullet 3" w:locked="1" w:semiHidden="1" w:unhideWhenUsed="1"/>
    <w:lsdException w:name="List Bullet 4" w:locked="1" w:semiHidden="1" w:unhideWhenUsed="1"/>
    <w:lsdException w:name="List Bullet 5" w:locked="1" w:semiHidden="1"/>
    <w:lsdException w:name="List Number 2" w:locked="1" w:semiHidden="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lsdException w:name="Body Text 3" w:locked="1" w:semiHidden="1"/>
    <w:lsdException w:name="Body Text Indent 2" w:locked="1" w:semiHidden="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D50217"/>
    <w:rPr>
      <w:sz w:val="24"/>
      <w:szCs w:val="24"/>
    </w:rPr>
  </w:style>
  <w:style w:type="paragraph" w:styleId="Heading1">
    <w:name w:val="heading 1"/>
    <w:basedOn w:val="Quote"/>
    <w:next w:val="Normal"/>
    <w:link w:val="Heading1Char"/>
    <w:autoRedefine/>
    <w:uiPriority w:val="99"/>
    <w:qFormat/>
    <w:rsid w:val="00DB6275"/>
    <w:pPr>
      <w:spacing w:before="0" w:after="0" w:line="480" w:lineRule="auto"/>
      <w:ind w:left="720" w:right="0" w:hanging="720"/>
      <w:jc w:val="left"/>
      <w:outlineLvl w:val="0"/>
    </w:pPr>
    <w:rPr>
      <w:b/>
      <w:i w:val="0"/>
    </w:rPr>
  </w:style>
  <w:style w:type="paragraph" w:styleId="Heading2">
    <w:name w:val="heading 2"/>
    <w:basedOn w:val="Normal"/>
    <w:next w:val="Normal"/>
    <w:link w:val="Heading2Char"/>
    <w:autoRedefine/>
    <w:uiPriority w:val="99"/>
    <w:semiHidden/>
    <w:qFormat/>
    <w:rsid w:val="00781A4F"/>
    <w:pPr>
      <w:keepNext/>
      <w:numPr>
        <w:numId w:val="4"/>
      </w:numPr>
      <w:spacing w:line="480" w:lineRule="auto"/>
      <w:ind w:left="1440" w:hanging="720"/>
      <w:outlineLvl w:val="1"/>
    </w:pPr>
    <w:rPr>
      <w:rFonts w:ascii="Times New Roman Bold" w:hAnsi="Times New Roman Bold" w:cs="Times New Roman Bold"/>
      <w:b/>
      <w:bCs/>
    </w:rPr>
  </w:style>
  <w:style w:type="paragraph" w:styleId="Heading3">
    <w:name w:val="heading 3"/>
    <w:basedOn w:val="Normal"/>
    <w:link w:val="Heading3Char"/>
    <w:autoRedefine/>
    <w:uiPriority w:val="99"/>
    <w:semiHidden/>
    <w:qFormat/>
    <w:rsid w:val="00BC39C4"/>
    <w:pPr>
      <w:spacing w:after="240"/>
      <w:ind w:left="2160" w:hanging="72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6275"/>
    <w:rPr>
      <w:b/>
      <w:iCs/>
      <w:color w:val="404040" w:themeColor="text1" w:themeTint="BF"/>
      <w:sz w:val="24"/>
      <w:szCs w:val="24"/>
    </w:rPr>
  </w:style>
  <w:style w:type="character" w:customStyle="1" w:styleId="Heading2Char">
    <w:name w:val="Heading 2 Char"/>
    <w:basedOn w:val="DefaultParagraphFont"/>
    <w:link w:val="Heading2"/>
    <w:uiPriority w:val="99"/>
    <w:semiHidden/>
    <w:locked/>
    <w:rsid w:val="001F6E12"/>
    <w:rPr>
      <w:rFonts w:ascii="Times New Roman Bold" w:hAnsi="Times New Roman Bold" w:cs="Times New Roman Bold"/>
      <w:b/>
      <w:bCs/>
      <w:sz w:val="24"/>
      <w:szCs w:val="24"/>
    </w:rPr>
  </w:style>
  <w:style w:type="character" w:customStyle="1" w:styleId="Heading3Char">
    <w:name w:val="Heading 3 Char"/>
    <w:basedOn w:val="DefaultParagraphFont"/>
    <w:link w:val="Heading3"/>
    <w:uiPriority w:val="99"/>
    <w:semiHidden/>
    <w:locked/>
    <w:rsid w:val="001F6E12"/>
    <w:rPr>
      <w:rFonts w:ascii="Cambria" w:hAnsi="Cambria" w:cs="Cambria"/>
      <w:b/>
      <w:bCs/>
      <w:sz w:val="26"/>
      <w:szCs w:val="26"/>
    </w:rPr>
  </w:style>
  <w:style w:type="paragraph" w:styleId="Footer">
    <w:name w:val="footer"/>
    <w:basedOn w:val="Normal"/>
    <w:link w:val="FooterChar"/>
    <w:uiPriority w:val="99"/>
    <w:rsid w:val="00BC39C4"/>
    <w:pPr>
      <w:tabs>
        <w:tab w:val="center" w:pos="4320"/>
        <w:tab w:val="right" w:pos="8640"/>
      </w:tabs>
    </w:pPr>
  </w:style>
  <w:style w:type="character" w:customStyle="1" w:styleId="FooterChar">
    <w:name w:val="Footer Char"/>
    <w:basedOn w:val="DefaultParagraphFont"/>
    <w:link w:val="Footer"/>
    <w:uiPriority w:val="99"/>
    <w:locked/>
    <w:rsid w:val="001F6E12"/>
    <w:rPr>
      <w:sz w:val="24"/>
      <w:szCs w:val="24"/>
    </w:rPr>
  </w:style>
  <w:style w:type="character" w:styleId="PageNumber">
    <w:name w:val="page number"/>
    <w:basedOn w:val="DefaultParagraphFont"/>
    <w:uiPriority w:val="99"/>
    <w:semiHidden/>
    <w:rsid w:val="00BC39C4"/>
  </w:style>
  <w:style w:type="paragraph" w:styleId="BodyText">
    <w:name w:val="Body Text"/>
    <w:basedOn w:val="Normal"/>
    <w:link w:val="BodyTextChar"/>
    <w:uiPriority w:val="99"/>
    <w:semiHidden/>
    <w:rsid w:val="00BC39C4"/>
    <w:pPr>
      <w:spacing w:after="120"/>
    </w:pPr>
    <w:rPr>
      <w:sz w:val="20"/>
      <w:szCs w:val="20"/>
    </w:rPr>
  </w:style>
  <w:style w:type="character" w:customStyle="1" w:styleId="BodyTextChar">
    <w:name w:val="Body Text Char"/>
    <w:basedOn w:val="DefaultParagraphFont"/>
    <w:link w:val="BodyText"/>
    <w:uiPriority w:val="99"/>
    <w:semiHidden/>
    <w:locked/>
    <w:rsid w:val="001F6E12"/>
    <w:rPr>
      <w:sz w:val="20"/>
      <w:szCs w:val="20"/>
    </w:rPr>
  </w:style>
  <w:style w:type="paragraph" w:styleId="FootnoteText">
    <w:name w:val="footnote text"/>
    <w:aliases w:val="ALTS FOOTNOTE,Footnote Text Char,Footnote Text Char Char,Footnote Text Char Char Char Char,Footnote Text Char1,Footnote Text Char1 Char Char1,Footnote Text Char1 Char Char1 Char Char Char,Footnote Text Char2 Char Char Char Char1,fn"/>
    <w:basedOn w:val="Normal"/>
    <w:link w:val="FootnoteTextChar3"/>
    <w:semiHidden/>
    <w:rsid w:val="00BC39C4"/>
    <w:rPr>
      <w:sz w:val="20"/>
      <w:szCs w:val="20"/>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basedOn w:val="DefaultParagraphFont"/>
    <w:rsid w:val="00A22D7C"/>
    <w:rPr>
      <w:sz w:val="20"/>
      <w:szCs w:val="20"/>
    </w:rPr>
  </w:style>
  <w:style w:type="character" w:customStyle="1" w:styleId="FootnoteTextChar22">
    <w:name w:val="Footnote Text Char22"/>
    <w:aliases w:val="Footnote Text Char Char Char Char Char3,Footnote Text Char Char Char4,Footnote Text Char1 Char Char1 Char Char Char Char3,Footnote Text Char1 Char Char1 Char3,Footnote Text Char1 Char4,Footnote Text Char2 Char Char Char Char1 Char3"/>
    <w:uiPriority w:val="99"/>
    <w:semiHidden/>
    <w:rsid w:val="00060323"/>
    <w:rPr>
      <w:sz w:val="20"/>
      <w:szCs w:val="20"/>
    </w:rPr>
  </w:style>
  <w:style w:type="character" w:customStyle="1" w:styleId="FootnoteTextChar21">
    <w:name w:val="Footnote Text Char21"/>
    <w:aliases w:val="Footnote Text Char Char Char Char Char2,Footnote Text Char Char Char3,Footnote Text Char1 Char Char1 Char Char Char Char2,Footnote Text Char1 Char Char1 Char2,Footnote Text Char1 Char3,Footnote Text Char2 Char Char Char Char1 Char2"/>
    <w:uiPriority w:val="99"/>
    <w:semiHidden/>
    <w:locked/>
    <w:rsid w:val="00126109"/>
    <w:rPr>
      <w:sz w:val="20"/>
      <w:szCs w:val="20"/>
    </w:rPr>
  </w:style>
  <w:style w:type="character" w:styleId="FootnoteReference">
    <w:name w:val="footnote reference"/>
    <w:aliases w:val="fr,o"/>
    <w:basedOn w:val="DefaultParagraphFont"/>
    <w:semiHidden/>
    <w:rsid w:val="00BC39C4"/>
    <w:rPr>
      <w:vertAlign w:val="superscript"/>
    </w:rPr>
  </w:style>
  <w:style w:type="paragraph" w:styleId="BalloonText">
    <w:name w:val="Balloon Text"/>
    <w:basedOn w:val="Normal"/>
    <w:link w:val="BalloonTextChar"/>
    <w:uiPriority w:val="99"/>
    <w:semiHidden/>
    <w:rsid w:val="00FF1142"/>
  </w:style>
  <w:style w:type="character" w:customStyle="1" w:styleId="BalloonTextChar">
    <w:name w:val="Balloon Text Char"/>
    <w:basedOn w:val="DefaultParagraphFont"/>
    <w:link w:val="BalloonText"/>
    <w:uiPriority w:val="99"/>
    <w:semiHidden/>
    <w:locked/>
    <w:rsid w:val="001F6E12"/>
    <w:rPr>
      <w:sz w:val="24"/>
      <w:szCs w:val="24"/>
    </w:rPr>
  </w:style>
  <w:style w:type="character" w:styleId="CommentReference">
    <w:name w:val="annotation reference"/>
    <w:basedOn w:val="DefaultParagraphFont"/>
    <w:semiHidden/>
    <w:rsid w:val="00BC39C4"/>
    <w:rPr>
      <w:sz w:val="16"/>
      <w:szCs w:val="16"/>
    </w:rPr>
  </w:style>
  <w:style w:type="paragraph" w:styleId="CommentText">
    <w:name w:val="annotation text"/>
    <w:basedOn w:val="Normal"/>
    <w:link w:val="CommentTextChar"/>
    <w:semiHidden/>
    <w:rsid w:val="00FF1142"/>
    <w:rPr>
      <w:sz w:val="144"/>
      <w:szCs w:val="144"/>
    </w:rPr>
  </w:style>
  <w:style w:type="character" w:customStyle="1" w:styleId="CommentTextChar">
    <w:name w:val="Comment Text Char"/>
    <w:basedOn w:val="DefaultParagraphFont"/>
    <w:link w:val="CommentText"/>
    <w:locked/>
    <w:rsid w:val="001F6E12"/>
    <w:rPr>
      <w:sz w:val="144"/>
      <w:szCs w:val="144"/>
    </w:rPr>
  </w:style>
  <w:style w:type="paragraph" w:styleId="CommentSubject">
    <w:name w:val="annotation subject"/>
    <w:basedOn w:val="CommentText"/>
    <w:next w:val="CommentText"/>
    <w:link w:val="CommentSubjectChar"/>
    <w:uiPriority w:val="99"/>
    <w:semiHidden/>
    <w:rsid w:val="00BC39C4"/>
    <w:rPr>
      <w:b/>
      <w:bCs/>
    </w:rPr>
  </w:style>
  <w:style w:type="character" w:customStyle="1" w:styleId="CommentSubjectChar">
    <w:name w:val="Comment Subject Char"/>
    <w:basedOn w:val="CommentTextChar"/>
    <w:link w:val="CommentSubject"/>
    <w:uiPriority w:val="99"/>
    <w:semiHidden/>
    <w:locked/>
    <w:rsid w:val="001F6E12"/>
    <w:rPr>
      <w:b/>
      <w:bCs/>
      <w:sz w:val="144"/>
      <w:szCs w:val="144"/>
    </w:rPr>
  </w:style>
  <w:style w:type="table" w:styleId="TableGrid">
    <w:name w:val="Table Grid"/>
    <w:basedOn w:val="TableNormal"/>
    <w:uiPriority w:val="39"/>
    <w:rsid w:val="00BC39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tyle">
    <w:name w:val="Answer Style"/>
    <w:basedOn w:val="Normal"/>
    <w:next w:val="Normal"/>
    <w:uiPriority w:val="99"/>
    <w:semiHidden/>
    <w:rsid w:val="00BC39C4"/>
    <w:pPr>
      <w:spacing w:line="480" w:lineRule="auto"/>
      <w:ind w:left="720" w:hanging="720"/>
    </w:pPr>
  </w:style>
  <w:style w:type="character" w:customStyle="1" w:styleId="FootnoteTextChar3">
    <w:name w:val="Footnote Text Char3"/>
    <w:aliases w:val="ALTS FOOTNOTE Char,Footnote Text Char Char1,Footnote Text Char Char Char1,Footnote Text Char Char Char Char Char1,Footnote Text Char1 Char1,Footnote Text Char1 Char Char1 Char1,Footnote Text Char1 Char Char1 Char Char Char Char1"/>
    <w:link w:val="FootnoteText"/>
    <w:semiHidden/>
    <w:locked/>
    <w:rsid w:val="001F6E12"/>
    <w:rPr>
      <w:sz w:val="20"/>
      <w:szCs w:val="20"/>
    </w:rPr>
  </w:style>
  <w:style w:type="character" w:styleId="Hyperlink">
    <w:name w:val="Hyperlink"/>
    <w:basedOn w:val="DefaultParagraphFont"/>
    <w:uiPriority w:val="99"/>
    <w:rsid w:val="00BC39C4"/>
    <w:rPr>
      <w:color w:val="0000FF"/>
      <w:u w:val="single"/>
    </w:rPr>
  </w:style>
  <w:style w:type="paragraph" w:styleId="Header">
    <w:name w:val="header"/>
    <w:basedOn w:val="Normal"/>
    <w:link w:val="HeaderChar"/>
    <w:uiPriority w:val="99"/>
    <w:rsid w:val="00BC39C4"/>
    <w:pPr>
      <w:tabs>
        <w:tab w:val="center" w:pos="4320"/>
        <w:tab w:val="right" w:pos="8640"/>
      </w:tabs>
    </w:pPr>
  </w:style>
  <w:style w:type="character" w:customStyle="1" w:styleId="HeaderChar">
    <w:name w:val="Header Char"/>
    <w:basedOn w:val="DefaultParagraphFont"/>
    <w:link w:val="Header"/>
    <w:uiPriority w:val="99"/>
    <w:locked/>
    <w:rsid w:val="001F6E12"/>
    <w:rPr>
      <w:sz w:val="24"/>
      <w:szCs w:val="24"/>
    </w:rPr>
  </w:style>
  <w:style w:type="paragraph" w:styleId="EndnoteText">
    <w:name w:val="endnote text"/>
    <w:basedOn w:val="Normal"/>
    <w:link w:val="EndnoteTextChar"/>
    <w:uiPriority w:val="99"/>
    <w:semiHidden/>
    <w:rsid w:val="00BC39C4"/>
    <w:pPr>
      <w:widowControl w:val="0"/>
    </w:pPr>
    <w:rPr>
      <w:sz w:val="20"/>
      <w:szCs w:val="20"/>
    </w:rPr>
  </w:style>
  <w:style w:type="character" w:customStyle="1" w:styleId="EndnoteTextChar">
    <w:name w:val="Endnote Text Char"/>
    <w:basedOn w:val="DefaultParagraphFont"/>
    <w:link w:val="EndnoteText"/>
    <w:uiPriority w:val="99"/>
    <w:semiHidden/>
    <w:locked/>
    <w:rsid w:val="001F6E12"/>
    <w:rPr>
      <w:sz w:val="20"/>
      <w:szCs w:val="20"/>
    </w:rPr>
  </w:style>
  <w:style w:type="paragraph" w:styleId="HTMLPreformatted">
    <w:name w:val="HTML Preformatted"/>
    <w:aliases w:val=" Char,Char"/>
    <w:basedOn w:val="Normal"/>
    <w:link w:val="HTMLPreformattedChar"/>
    <w:rsid w:val="00BC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basedOn w:val="DefaultParagraphFont"/>
    <w:link w:val="HTMLPreformatted"/>
    <w:locked/>
    <w:rsid w:val="001F6E12"/>
    <w:rPr>
      <w:rFonts w:ascii="Courier New" w:hAnsi="Courier New" w:cs="Courier New"/>
      <w:sz w:val="20"/>
      <w:szCs w:val="20"/>
    </w:rPr>
  </w:style>
  <w:style w:type="character" w:styleId="LineNumber">
    <w:name w:val="line number"/>
    <w:basedOn w:val="DefaultParagraphFont"/>
    <w:uiPriority w:val="99"/>
    <w:semiHidden/>
    <w:rsid w:val="00BC39C4"/>
  </w:style>
  <w:style w:type="paragraph" w:customStyle="1" w:styleId="ANSWER">
    <w:name w:val="ANSWER"/>
    <w:basedOn w:val="Normal"/>
    <w:uiPriority w:val="99"/>
    <w:semiHidden/>
    <w:rsid w:val="00BC39C4"/>
    <w:pPr>
      <w:overflowPunct w:val="0"/>
      <w:autoSpaceDE w:val="0"/>
      <w:autoSpaceDN w:val="0"/>
      <w:adjustRightInd w:val="0"/>
      <w:spacing w:line="480" w:lineRule="auto"/>
      <w:ind w:left="1008" w:hanging="720"/>
      <w:textAlignment w:val="baseline"/>
    </w:pPr>
  </w:style>
  <w:style w:type="paragraph" w:styleId="BodyTextIndent3">
    <w:name w:val="Body Text Indent 3"/>
    <w:basedOn w:val="Normal"/>
    <w:link w:val="BodyTextIndent3Char"/>
    <w:uiPriority w:val="99"/>
    <w:semiHidden/>
    <w:rsid w:val="00BC39C4"/>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uiPriority w:val="99"/>
    <w:semiHidden/>
    <w:locked/>
    <w:rsid w:val="001F6E12"/>
    <w:rPr>
      <w:sz w:val="16"/>
      <w:szCs w:val="16"/>
    </w:rPr>
  </w:style>
  <w:style w:type="paragraph" w:styleId="Caption">
    <w:name w:val="caption"/>
    <w:basedOn w:val="Normal"/>
    <w:next w:val="Normal"/>
    <w:uiPriority w:val="99"/>
    <w:semiHidden/>
    <w:qFormat/>
    <w:rsid w:val="00BC39C4"/>
    <w:rPr>
      <w:b/>
      <w:bCs/>
      <w:sz w:val="20"/>
      <w:szCs w:val="20"/>
    </w:rPr>
  </w:style>
  <w:style w:type="paragraph" w:styleId="Title">
    <w:name w:val="Title"/>
    <w:basedOn w:val="Normal"/>
    <w:link w:val="TitleChar"/>
    <w:uiPriority w:val="99"/>
    <w:semiHidden/>
    <w:qFormat/>
    <w:rsid w:val="00BC39C4"/>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semiHidden/>
    <w:locked/>
    <w:rsid w:val="001F6E12"/>
    <w:rPr>
      <w:rFonts w:ascii="Cambria" w:hAnsi="Cambria" w:cs="Cambria"/>
      <w:b/>
      <w:bCs/>
      <w:kern w:val="28"/>
      <w:sz w:val="32"/>
      <w:szCs w:val="32"/>
    </w:rPr>
  </w:style>
  <w:style w:type="paragraph" w:styleId="PlainText">
    <w:name w:val="Plain Text"/>
    <w:basedOn w:val="Normal"/>
    <w:link w:val="PlainTextChar"/>
    <w:uiPriority w:val="99"/>
    <w:semiHidden/>
    <w:rsid w:val="00BC39C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F6E12"/>
    <w:rPr>
      <w:rFonts w:ascii="Courier New" w:hAnsi="Courier New" w:cs="Courier New"/>
      <w:sz w:val="20"/>
      <w:szCs w:val="20"/>
    </w:rPr>
  </w:style>
  <w:style w:type="paragraph" w:styleId="TOC1">
    <w:name w:val="toc 1"/>
    <w:basedOn w:val="Normal"/>
    <w:next w:val="Normal"/>
    <w:autoRedefine/>
    <w:uiPriority w:val="39"/>
    <w:rsid w:val="00D50217"/>
    <w:pPr>
      <w:tabs>
        <w:tab w:val="decimal" w:leader="dot" w:pos="8640"/>
      </w:tabs>
      <w:spacing w:after="240"/>
      <w:ind w:left="720" w:hanging="720"/>
      <w:outlineLvl w:val="0"/>
    </w:pPr>
    <w:rPr>
      <w:caps/>
    </w:rPr>
  </w:style>
  <w:style w:type="paragraph" w:styleId="List2">
    <w:name w:val="List 2"/>
    <w:basedOn w:val="Normal"/>
    <w:uiPriority w:val="99"/>
    <w:semiHidden/>
    <w:rsid w:val="00BC39C4"/>
    <w:pPr>
      <w:ind w:left="720" w:hanging="360"/>
    </w:pPr>
  </w:style>
  <w:style w:type="character" w:customStyle="1" w:styleId="zzmpTrailerItem">
    <w:name w:val="zzmpTrailerItem"/>
    <w:uiPriority w:val="99"/>
    <w:semiHidden/>
    <w:rsid w:val="00BC39C4"/>
    <w:rPr>
      <w:rFonts w:ascii="Times New Roman" w:hAnsi="Times New Roman" w:cs="Times New Roman"/>
      <w:noProof/>
      <w:color w:val="auto"/>
      <w:spacing w:val="0"/>
      <w:position w:val="0"/>
      <w:sz w:val="16"/>
      <w:szCs w:val="16"/>
      <w:u w:val="none"/>
      <w:effect w:val="none"/>
      <w:vertAlign w:val="baseline"/>
    </w:rPr>
  </w:style>
  <w:style w:type="paragraph" w:styleId="TOC2">
    <w:name w:val="toc 2"/>
    <w:basedOn w:val="Normal"/>
    <w:next w:val="Normal"/>
    <w:autoRedefine/>
    <w:uiPriority w:val="39"/>
    <w:semiHidden/>
    <w:rsid w:val="00FD704D"/>
    <w:pPr>
      <w:spacing w:line="480" w:lineRule="auto"/>
      <w:ind w:left="1440" w:hanging="720"/>
    </w:pPr>
  </w:style>
  <w:style w:type="paragraph" w:customStyle="1" w:styleId="DefaultParagraphFontParaCharCharCharCharCharCharChar">
    <w:name w:val="Default Paragraph Font Para Char Char Char Char Char Char Char"/>
    <w:basedOn w:val="Normal"/>
    <w:uiPriority w:val="99"/>
    <w:semiHidden/>
    <w:rsid w:val="00BC39C4"/>
    <w:pPr>
      <w:widowControl w:val="0"/>
      <w:spacing w:line="280" w:lineRule="atLeast"/>
    </w:pPr>
    <w:rPr>
      <w:rFonts w:eastAsia="MS Mincho"/>
      <w:sz w:val="22"/>
      <w:szCs w:val="22"/>
      <w:lang w:val="en-GB" w:eastAsia="en-GB"/>
    </w:rPr>
  </w:style>
  <w:style w:type="paragraph" w:styleId="TOCHeading">
    <w:name w:val="TOC Heading"/>
    <w:basedOn w:val="Heading1"/>
    <w:next w:val="Normal"/>
    <w:uiPriority w:val="99"/>
    <w:semiHidden/>
    <w:qFormat/>
    <w:rsid w:val="00BC39C4"/>
    <w:pPr>
      <w:keepLines/>
      <w:spacing w:before="480" w:line="276" w:lineRule="auto"/>
      <w:ind w:left="0" w:firstLine="0"/>
      <w:outlineLvl w:val="9"/>
    </w:pPr>
    <w:rPr>
      <w:rFonts w:ascii="Cambria" w:hAnsi="Cambria" w:cs="Cambria"/>
      <w:caps/>
      <w:color w:val="365F91"/>
      <w:sz w:val="28"/>
      <w:szCs w:val="28"/>
    </w:rPr>
  </w:style>
  <w:style w:type="character" w:customStyle="1" w:styleId="st">
    <w:name w:val="st"/>
    <w:uiPriority w:val="99"/>
    <w:semiHidden/>
    <w:rsid w:val="00117D80"/>
  </w:style>
  <w:style w:type="character" w:customStyle="1" w:styleId="caps">
    <w:name w:val="caps"/>
    <w:uiPriority w:val="99"/>
    <w:semiHidden/>
    <w:rsid w:val="00F72E67"/>
  </w:style>
  <w:style w:type="character" w:customStyle="1" w:styleId="FootnoteTextChar1Char2">
    <w:name w:val="Footnote Text Char1 Char2"/>
    <w:aliases w:val="Footnote Text Char Char Char2,Footnote Text Char Char4 Char Char1,Footnote Text Char Char4 Char1 Char Char Char1,Footnote Text Char2 Char,Footnote Text Char4 Char Char1,Footnote Text Char4 Char1 Char Char Char1,fn Char1"/>
    <w:uiPriority w:val="99"/>
    <w:semiHidden/>
    <w:locked/>
    <w:rsid w:val="00A42B8D"/>
    <w:rPr>
      <w:rFonts w:eastAsia="Times New Roman"/>
      <w:lang w:val="en-US" w:eastAsia="en-US"/>
    </w:rPr>
  </w:style>
  <w:style w:type="paragraph" w:customStyle="1" w:styleId="indexheadin">
    <w:name w:val="index headin"/>
    <w:uiPriority w:val="99"/>
    <w:semiHidden/>
    <w:rsid w:val="00A42B8D"/>
    <w:pPr>
      <w:widowControl w:val="0"/>
      <w:tabs>
        <w:tab w:val="left" w:pos="-720"/>
      </w:tabs>
      <w:suppressAutoHyphens/>
    </w:pPr>
    <w:rPr>
      <w:rFonts w:ascii="Courier New" w:hAnsi="Courier New" w:cs="Courier New"/>
      <w:b/>
      <w:bCs/>
      <w:sz w:val="24"/>
      <w:szCs w:val="24"/>
    </w:rPr>
  </w:style>
  <w:style w:type="paragraph" w:styleId="ListParagraph">
    <w:name w:val="List Paragraph"/>
    <w:basedOn w:val="Normal"/>
    <w:uiPriority w:val="34"/>
    <w:qFormat/>
    <w:rsid w:val="001C3807"/>
    <w:pPr>
      <w:spacing w:after="200" w:line="276" w:lineRule="auto"/>
      <w:ind w:left="720"/>
    </w:pPr>
    <w:rPr>
      <w:rFonts w:ascii="Calibri" w:hAnsi="Calibri" w:cs="Calibri"/>
      <w:sz w:val="22"/>
      <w:szCs w:val="22"/>
    </w:rPr>
  </w:style>
  <w:style w:type="paragraph" w:styleId="IntenseQuote">
    <w:name w:val="Intense Quote"/>
    <w:basedOn w:val="Normal"/>
    <w:next w:val="Normal"/>
    <w:link w:val="IntenseQuoteChar"/>
    <w:uiPriority w:val="99"/>
    <w:semiHidden/>
    <w:qFormat/>
    <w:rsid w:val="00FF114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sid w:val="001F6E12"/>
    <w:rPr>
      <w:b/>
      <w:bCs/>
      <w:i/>
      <w:iCs/>
      <w:color w:val="4F81BD"/>
      <w:sz w:val="24"/>
      <w:szCs w:val="24"/>
    </w:rPr>
  </w:style>
  <w:style w:type="character" w:styleId="Emphasis">
    <w:name w:val="Emphasis"/>
    <w:basedOn w:val="DefaultParagraphFont"/>
    <w:uiPriority w:val="99"/>
    <w:semiHidden/>
    <w:qFormat/>
    <w:locked/>
    <w:rsid w:val="00FF1142"/>
    <w:rPr>
      <w:i/>
      <w:iCs/>
    </w:rPr>
  </w:style>
  <w:style w:type="paragraph" w:styleId="Revision">
    <w:name w:val="Revision"/>
    <w:hidden/>
    <w:uiPriority w:val="99"/>
    <w:semiHidden/>
    <w:rsid w:val="00196361"/>
    <w:rPr>
      <w:sz w:val="24"/>
      <w:szCs w:val="24"/>
    </w:rPr>
  </w:style>
  <w:style w:type="character" w:styleId="FollowedHyperlink">
    <w:name w:val="FollowedHyperlink"/>
    <w:basedOn w:val="DefaultParagraphFont"/>
    <w:uiPriority w:val="99"/>
    <w:semiHidden/>
    <w:locked/>
    <w:rsid w:val="002839B8"/>
    <w:rPr>
      <w:color w:val="800080" w:themeColor="followedHyperlink"/>
      <w:u w:val="single"/>
    </w:rPr>
  </w:style>
  <w:style w:type="character" w:styleId="HTMLAcronym">
    <w:name w:val="HTML Acronym"/>
    <w:basedOn w:val="DefaultParagraphFont"/>
    <w:uiPriority w:val="99"/>
    <w:semiHidden/>
    <w:locked/>
    <w:rsid w:val="009925A2"/>
  </w:style>
  <w:style w:type="paragraph" w:styleId="NoSpacing">
    <w:name w:val="No Spacing"/>
    <w:uiPriority w:val="1"/>
    <w:semiHidden/>
    <w:qFormat/>
    <w:rsid w:val="00EA7975"/>
    <w:rPr>
      <w:rFonts w:asciiTheme="minorHAnsi" w:eastAsiaTheme="minorHAnsi" w:hAnsiTheme="minorHAnsi" w:cstheme="minorBidi"/>
    </w:rPr>
  </w:style>
  <w:style w:type="paragraph" w:customStyle="1" w:styleId="AnswerText">
    <w:name w:val="Answer Text"/>
    <w:basedOn w:val="Normal"/>
    <w:next w:val="Normal"/>
    <w:autoRedefine/>
    <w:semiHidden/>
    <w:rsid w:val="00A84D4F"/>
    <w:pPr>
      <w:spacing w:line="480" w:lineRule="auto"/>
      <w:ind w:left="720"/>
    </w:pPr>
  </w:style>
  <w:style w:type="paragraph" w:styleId="Quote">
    <w:name w:val="Quote"/>
    <w:basedOn w:val="Normal"/>
    <w:next w:val="Normal"/>
    <w:link w:val="QuoteChar"/>
    <w:uiPriority w:val="29"/>
    <w:semiHidden/>
    <w:rsid w:val="00505EF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F6E12"/>
    <w:rPr>
      <w:i/>
      <w:iCs/>
      <w:color w:val="404040" w:themeColor="text1" w:themeTint="BF"/>
      <w:sz w:val="24"/>
      <w:szCs w:val="24"/>
    </w:rPr>
  </w:style>
  <w:style w:type="table" w:customStyle="1" w:styleId="TableGrid1">
    <w:name w:val="Table Grid1"/>
    <w:basedOn w:val="TableNormal"/>
    <w:next w:val="TableGrid"/>
    <w:uiPriority w:val="59"/>
    <w:rsid w:val="00AD585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214945">
      <w:bodyDiv w:val="1"/>
      <w:marLeft w:val="0"/>
      <w:marRight w:val="0"/>
      <w:marTop w:val="0"/>
      <w:marBottom w:val="0"/>
      <w:divBdr>
        <w:top w:val="none" w:sz="0" w:space="0" w:color="auto"/>
        <w:left w:val="none" w:sz="0" w:space="0" w:color="auto"/>
        <w:bottom w:val="none" w:sz="0" w:space="0" w:color="auto"/>
        <w:right w:val="none" w:sz="0" w:space="0" w:color="auto"/>
      </w:divBdr>
    </w:div>
    <w:div w:id="1229262785">
      <w:bodyDiv w:val="1"/>
      <w:marLeft w:val="0"/>
      <w:marRight w:val="0"/>
      <w:marTop w:val="0"/>
      <w:marBottom w:val="0"/>
      <w:divBdr>
        <w:top w:val="none" w:sz="0" w:space="0" w:color="auto"/>
        <w:left w:val="none" w:sz="0" w:space="0" w:color="auto"/>
        <w:bottom w:val="none" w:sz="0" w:space="0" w:color="auto"/>
        <w:right w:val="none" w:sz="0" w:space="0" w:color="auto"/>
      </w:divBdr>
    </w:div>
    <w:div w:id="1319918079">
      <w:bodyDiv w:val="1"/>
      <w:marLeft w:val="0"/>
      <w:marRight w:val="0"/>
      <w:marTop w:val="0"/>
      <w:marBottom w:val="0"/>
      <w:divBdr>
        <w:top w:val="none" w:sz="0" w:space="0" w:color="auto"/>
        <w:left w:val="none" w:sz="0" w:space="0" w:color="auto"/>
        <w:bottom w:val="none" w:sz="0" w:space="0" w:color="auto"/>
        <w:right w:val="none" w:sz="0" w:space="0" w:color="auto"/>
      </w:divBdr>
    </w:div>
    <w:div w:id="1564102175">
      <w:bodyDiv w:val="1"/>
      <w:marLeft w:val="0"/>
      <w:marRight w:val="0"/>
      <w:marTop w:val="0"/>
      <w:marBottom w:val="0"/>
      <w:divBdr>
        <w:top w:val="none" w:sz="0" w:space="0" w:color="auto"/>
        <w:left w:val="none" w:sz="0" w:space="0" w:color="auto"/>
        <w:bottom w:val="none" w:sz="0" w:space="0" w:color="auto"/>
        <w:right w:val="none" w:sz="0" w:space="0" w:color="auto"/>
      </w:divBdr>
    </w:div>
    <w:div w:id="1801460922">
      <w:bodyDiv w:val="1"/>
      <w:marLeft w:val="0"/>
      <w:marRight w:val="0"/>
      <w:marTop w:val="0"/>
      <w:marBottom w:val="0"/>
      <w:divBdr>
        <w:top w:val="none" w:sz="0" w:space="0" w:color="auto"/>
        <w:left w:val="none" w:sz="0" w:space="0" w:color="auto"/>
        <w:bottom w:val="none" w:sz="0" w:space="0" w:color="auto"/>
        <w:right w:val="none" w:sz="0" w:space="0" w:color="auto"/>
      </w:divBdr>
    </w:div>
    <w:div w:id="20604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quickfacts/fact/table/daytoncityohio/IPE12021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lson%20Gonzalez\AppData\Local\Temp\Version%202%20Vectren%20Settlement%20Bil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115737245173118E-2"/>
          <c:y val="1.9360859462459665E-2"/>
          <c:w val="0.70747736669902561"/>
          <c:h val="0.94694136351235669"/>
        </c:manualLayout>
      </c:layout>
      <c:lineChart>
        <c:grouping val="standard"/>
        <c:varyColors val="0"/>
        <c:ser>
          <c:idx val="0"/>
          <c:order val="0"/>
          <c:tx>
            <c:v>Settlement</c:v>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Sheet1!$A$10:$A$15</c:f>
              <c:strCache>
                <c:ptCount val="6"/>
                <c:pt idx="0">
                  <c:v>0</c:v>
                </c:pt>
                <c:pt idx="1">
                  <c:v>25</c:v>
                </c:pt>
                <c:pt idx="2">
                  <c:v>50</c:v>
                </c:pt>
                <c:pt idx="3">
                  <c:v>Average Usage 61.1</c:v>
                </c:pt>
                <c:pt idx="4">
                  <c:v>100</c:v>
                </c:pt>
                <c:pt idx="5">
                  <c:v>150</c:v>
                </c:pt>
              </c:strCache>
            </c:strRef>
          </c:cat>
          <c:val>
            <c:numRef>
              <c:f>Sheet1!$F$10:$F$15</c:f>
              <c:numCache>
                <c:formatCode>0.00%</c:formatCode>
                <c:ptCount val="6"/>
                <c:pt idx="0">
                  <c:v>0.18965517241379309</c:v>
                </c:pt>
                <c:pt idx="1">
                  <c:v>0.12813031850230963</c:v>
                </c:pt>
                <c:pt idx="2">
                  <c:v>9.4612352168199715E-2</c:v>
                </c:pt>
                <c:pt idx="3">
                  <c:v>8.4043641322877727E-2</c:v>
                </c:pt>
                <c:pt idx="4">
                  <c:v>5.9066288367294273E-2</c:v>
                </c:pt>
                <c:pt idx="5">
                  <c:v>4.0467537569983343E-2</c:v>
                </c:pt>
              </c:numCache>
            </c:numRef>
          </c:val>
          <c:smooth val="0"/>
          <c:extLst>
            <c:ext xmlns:c16="http://schemas.microsoft.com/office/drawing/2014/chart" uri="{C3380CC4-5D6E-409C-BE32-E72D297353CC}">
              <c16:uniqueId val="{00000000-80A1-4B85-94CA-B3A76A5EB626}"/>
            </c:ext>
          </c:extLst>
        </c:ser>
        <c:ser>
          <c:idx val="1"/>
          <c:order val="1"/>
          <c:tx>
            <c:v>OCC Volumetric</c:v>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Sheet1!$A$10:$A$15</c:f>
              <c:strCache>
                <c:ptCount val="6"/>
                <c:pt idx="0">
                  <c:v>0</c:v>
                </c:pt>
                <c:pt idx="1">
                  <c:v>25</c:v>
                </c:pt>
                <c:pt idx="2">
                  <c:v>50</c:v>
                </c:pt>
                <c:pt idx="3">
                  <c:v>Average Usage 61.1</c:v>
                </c:pt>
                <c:pt idx="4">
                  <c:v>100</c:v>
                </c:pt>
                <c:pt idx="5">
                  <c:v>150</c:v>
                </c:pt>
              </c:strCache>
            </c:strRef>
          </c:cat>
          <c:val>
            <c:numRef>
              <c:f>Sheet1!$J$10:$J$15</c:f>
              <c:numCache>
                <c:formatCode>0.00%</c:formatCode>
                <c:ptCount val="6"/>
                <c:pt idx="0">
                  <c:v>-0.33482758620689657</c:v>
                </c:pt>
                <c:pt idx="1">
                  <c:v>-9.0201799173352804E-2</c:v>
                </c:pt>
                <c:pt idx="2">
                  <c:v>4.280082598085215E-2</c:v>
                </c:pt>
                <c:pt idx="3">
                  <c:v>8.4214115240368315E-2</c:v>
                </c:pt>
                <c:pt idx="4">
                  <c:v>0.18403404694351297</c:v>
                </c:pt>
                <c:pt idx="5">
                  <c:v>0.25793144091935949</c:v>
                </c:pt>
              </c:numCache>
            </c:numRef>
          </c:val>
          <c:smooth val="0"/>
          <c:extLst>
            <c:ext xmlns:c16="http://schemas.microsoft.com/office/drawing/2014/chart" uri="{C3380CC4-5D6E-409C-BE32-E72D297353CC}">
              <c16:uniqueId val="{00000001-80A1-4B85-94CA-B3A76A5EB626}"/>
            </c:ext>
          </c:extLst>
        </c:ser>
        <c:dLbls>
          <c:showLegendKey val="0"/>
          <c:showVal val="0"/>
          <c:showCatName val="0"/>
          <c:showSerName val="0"/>
          <c:showPercent val="0"/>
          <c:showBubbleSize val="0"/>
        </c:dLbls>
        <c:marker val="1"/>
        <c:smooth val="0"/>
        <c:axId val="221077888"/>
        <c:axId val="221079424"/>
      </c:lineChart>
      <c:catAx>
        <c:axId val="221077888"/>
        <c:scaling>
          <c:orientation val="minMax"/>
        </c:scaling>
        <c:delete val="0"/>
        <c:axPos val="b"/>
        <c:numFmt formatCode="General" sourceLinked="0"/>
        <c:majorTickMark val="out"/>
        <c:minorTickMark val="none"/>
        <c:tickLblPos val="nextTo"/>
        <c:crossAx val="221079424"/>
        <c:crosses val="autoZero"/>
        <c:auto val="1"/>
        <c:lblAlgn val="ctr"/>
        <c:lblOffset val="100"/>
        <c:noMultiLvlLbl val="0"/>
      </c:catAx>
      <c:valAx>
        <c:axId val="221079424"/>
        <c:scaling>
          <c:orientation val="minMax"/>
        </c:scaling>
        <c:delete val="0"/>
        <c:axPos val="l"/>
        <c:majorGridlines/>
        <c:numFmt formatCode="0.00%" sourceLinked="1"/>
        <c:majorTickMark val="out"/>
        <c:minorTickMark val="none"/>
        <c:tickLblPos val="nextTo"/>
        <c:crossAx val="221077888"/>
        <c:crosses val="autoZero"/>
        <c:crossBetween val="between"/>
      </c:valAx>
    </c:plotArea>
    <c:legend>
      <c:legendPos val="r"/>
      <c:layout>
        <c:manualLayout>
          <c:xMode val="edge"/>
          <c:yMode val="edge"/>
          <c:x val="0.72286858663215048"/>
          <c:y val="0.34862905577663006"/>
          <c:w val="0.19140574551468736"/>
          <c:h val="0.2001776700989299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A811-7537-469D-8125-ABB0EF11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3889</Words>
  <Characters>21549</Characters>
  <Application>Microsoft Office Word</Application>
  <DocSecurity>0</DocSecurity>
  <PresentationFormat>15|.DOCX</PresentationFormat>
  <Lines>828</Lines>
  <Paragraphs>403</Paragraphs>
  <ScaleCrop>false</ScaleCrop>
  <HeadingPairs>
    <vt:vector size="2" baseType="variant">
      <vt:variant>
        <vt:lpstr>Title</vt:lpstr>
      </vt:variant>
      <vt:variant>
        <vt:i4>1</vt:i4>
      </vt:variant>
    </vt:vector>
  </HeadingPairs>
  <TitlesOfParts>
    <vt:vector size="1" baseType="lpstr">
      <vt:lpstr>Gonzalez.docx</vt:lpstr>
    </vt:vector>
  </TitlesOfParts>
  <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Gonzalez.docx</dc:title>
  <dc:subject>00063829-1 /font=6</dc:subject>
  <dc:creator>Jamie Williams</dc:creator>
  <cp:lastModifiedBy>Jamie Williams</cp:lastModifiedBy>
  <cp:revision>2</cp:revision>
  <cp:lastPrinted>2019-01-28T18:40:00Z</cp:lastPrinted>
  <dcterms:created xsi:type="dcterms:W3CDTF">2019-01-28T20:04:00Z</dcterms:created>
  <dcterms:modified xsi:type="dcterms:W3CDTF">2019-01-28T20:04:00Z</dcterms:modified>
</cp:coreProperties>
</file>