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pPr>
        <w:spacing w:after="0"/>
        <w:jc w:val="center"/>
        <w:rPr>
          <w:rFonts w:cs="Times New Roman"/>
          <w:b/>
          <w:szCs w:val="24"/>
        </w:rPr>
      </w:pPr>
      <w:r>
        <w:rPr>
          <w:rFonts w:cs="Times New Roman"/>
          <w:b/>
          <w:szCs w:val="24"/>
        </w:rPr>
        <w:t>BEFORE</w:t>
      </w:r>
    </w:p>
    <w:p>
      <w:pPr>
        <w:spacing w:after="0"/>
        <w:jc w:val="center"/>
        <w:rPr>
          <w:rFonts w:cs="Times New Roman"/>
          <w:b/>
          <w:szCs w:val="24"/>
        </w:rPr>
      </w:pPr>
      <w:r>
        <w:rPr>
          <w:rFonts w:cs="Times New Roman"/>
          <w:b/>
          <w:szCs w:val="24"/>
        </w:rPr>
        <w:t>THE PUBLIC UTILITIES COMMISSION OF OHIO</w:t>
      </w:r>
    </w:p>
    <w:p>
      <w:pPr>
        <w:spacing w:after="0"/>
        <w:jc w:val="center"/>
        <w:rPr>
          <w:rFonts w:cs="Times New Roman"/>
          <w:b/>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In the Matter of the Review of the Political and Charitable Spending by Ohio Edison Company, The Cleveland Electric Illuminating Company, and the Toledo Edison Company.</w:t>
            </w:r>
          </w:p>
        </w:tc>
        <w:tc>
          <w:tcPr>
            <w:tcW w:w="360" w:type="dxa"/>
            <w:shd w:val="clear" w:color="auto" w:fill="auto"/>
          </w:tcPr>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tc>
        <w:tc>
          <w:tcPr>
            <w:tcW w:w="4400" w:type="dxa"/>
            <w:shd w:val="clear" w:color="auto" w:fill="auto"/>
          </w:tcPr>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Case No. 20-1502-EL-UNC</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pPr>
        <w:pBdr>
          <w:bottom w:val="single" w:sz="12" w:space="1" w:color="auto"/>
        </w:pBdr>
        <w:spacing w:after="0" w:line="240" w:lineRule="auto"/>
        <w:rPr>
          <w:rFonts w:cs="Times New Roman"/>
          <w:szCs w:val="24"/>
        </w:rPr>
      </w:pP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i/>
          <w:sz w:val="24"/>
          <w:szCs w:val="24"/>
        </w:rPr>
      </w:pPr>
    </w:p>
    <w:p>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REPLY TO FIRSTENERGY’S OPPOSITION TO OCC’S MOTION FOR AN </w:t>
      </w:r>
      <w:r>
        <w:rPr>
          <w:rFonts w:ascii="Times New Roman" w:hAnsi="Times New Roman" w:cs="Times New Roman"/>
          <w:b/>
          <w:bCs/>
          <w:i/>
          <w:iCs/>
          <w:sz w:val="24"/>
          <w:szCs w:val="24"/>
        </w:rPr>
        <w:t>IN</w:t>
      </w:r>
      <w:r>
        <w:rPr>
          <w:rFonts w:ascii="Times New Roman" w:hAnsi="Times New Roman" w:cs="Times New Roman"/>
          <w:b/>
          <w:bCs/>
          <w:sz w:val="24"/>
          <w:szCs w:val="24"/>
        </w:rPr>
        <w:t xml:space="preserve"> </w:t>
      </w:r>
      <w:r>
        <w:rPr>
          <w:rFonts w:ascii="Times New Roman" w:hAnsi="Times New Roman" w:cs="Times New Roman"/>
          <w:b/>
          <w:bCs/>
          <w:i/>
          <w:iCs/>
          <w:sz w:val="24"/>
          <w:szCs w:val="24"/>
        </w:rPr>
        <w:t>CAMERA</w:t>
      </w:r>
      <w:r>
        <w:rPr>
          <w:rFonts w:ascii="Times New Roman" w:hAnsi="Times New Roman" w:cs="Times New Roman"/>
          <w:b/>
          <w:bCs/>
          <w:sz w:val="24"/>
          <w:szCs w:val="24"/>
        </w:rPr>
        <w:t xml:space="preserve"> HEARING TO RESOLVE FIRSTENERGY’S CLAIM OF AN ALLEGED PRIVILEGE AGAINST RESPONDING TO OCC’S DISCOVERY</w:t>
      </w:r>
    </w:p>
    <w:p>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BY </w:t>
      </w:r>
    </w:p>
    <w:p>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pPr>
        <w:pStyle w:val="BodyTextIndent3"/>
        <w:widowControl w:val="0"/>
        <w:spacing w:after="0" w:line="240" w:lineRule="auto"/>
        <w:ind w:left="0"/>
        <w:rPr>
          <w:rFonts w:cs="Times New Roman"/>
          <w:sz w:val="24"/>
          <w:szCs w:val="24"/>
        </w:rPr>
      </w:pPr>
      <w:r>
        <w:rPr>
          <w:rFonts w:cs="Times New Roman"/>
          <w:sz w:val="24"/>
          <w:szCs w:val="24"/>
        </w:rPr>
        <w:t xml:space="preserve"> </w:t>
      </w:r>
      <w:r>
        <w:rPr>
          <w:rFonts w:cs="Times New Roman"/>
          <w:sz w:val="24"/>
          <w:szCs w:val="24"/>
        </w:rPr>
        <w:tab/>
      </w:r>
    </w:p>
    <w:p>
      <w:pPr>
        <w:spacing w:after="0" w:line="480" w:lineRule="auto"/>
        <w:ind w:firstLine="720"/>
        <w:rPr>
          <w:rFonts w:cs="Times New Roman"/>
          <w:szCs w:val="24"/>
        </w:rPr>
      </w:pPr>
      <w:r>
        <w:rPr>
          <w:rFonts w:cs="Times New Roman"/>
          <w:szCs w:val="24"/>
        </w:rPr>
        <w:t xml:space="preserve">On June 29, 2021, OCC filed a Motion to Compel the FirstEnergy Utilities to answer OCC’s Fifth and Seventh Sets of Discovery. OCC requested the PUCO to conduct an </w:t>
      </w:r>
      <w:r>
        <w:rPr>
          <w:rFonts w:cs="Times New Roman"/>
          <w:i/>
          <w:iCs/>
          <w:szCs w:val="24"/>
        </w:rPr>
        <w:t>in camera</w:t>
      </w:r>
      <w:r>
        <w:rPr>
          <w:rFonts w:cs="Times New Roman"/>
          <w:szCs w:val="24"/>
        </w:rPr>
        <w:t xml:space="preserve"> review of documents for which the FirstEnergy Utilities are claiming a legal privilege against disclosure to OCC. The </w:t>
      </w:r>
      <w:r>
        <w:rPr>
          <w:rFonts w:cs="Times New Roman"/>
          <w:i/>
          <w:iCs/>
          <w:szCs w:val="24"/>
        </w:rPr>
        <w:t>in camera</w:t>
      </w:r>
      <w:r>
        <w:rPr>
          <w:rFonts w:cs="Times New Roman"/>
          <w:szCs w:val="24"/>
        </w:rPr>
        <w:t xml:space="preserve"> review is needed to determine if FirstEnergy Utilities’ claim of privilege is really true. In their July 14, 2021 response, the FirstEnergy Utilities opposed OCC’s request for an </w:t>
      </w:r>
      <w:r>
        <w:rPr>
          <w:rFonts w:cs="Times New Roman"/>
          <w:i/>
          <w:iCs/>
          <w:szCs w:val="24"/>
        </w:rPr>
        <w:t>in camera</w:t>
      </w:r>
      <w:r>
        <w:rPr>
          <w:rFonts w:cs="Times New Roman"/>
          <w:szCs w:val="24"/>
        </w:rPr>
        <w:t xml:space="preserve"> review. For justice to consumers and needed transparency, the Public Utilities Commission of Ohio (“PUCO”) should grant the OCC’s Motion.  </w:t>
      </w:r>
    </w:p>
    <w:p>
      <w:pPr>
        <w:spacing w:after="0" w:line="480" w:lineRule="auto"/>
        <w:ind w:firstLine="720"/>
        <w:rPr>
          <w:rFonts w:cs="Times New Roman"/>
          <w:szCs w:val="24"/>
        </w:rPr>
      </w:pPr>
      <w:r>
        <w:rPr>
          <w:rFonts w:cs="Times New Roman"/>
          <w:szCs w:val="24"/>
        </w:rPr>
        <w:t xml:space="preserve">The FirstEnergy Utilities argue that an </w:t>
      </w:r>
      <w:r>
        <w:rPr>
          <w:rFonts w:cs="Times New Roman"/>
          <w:i/>
          <w:iCs/>
          <w:szCs w:val="24"/>
        </w:rPr>
        <w:t xml:space="preserve">in camera </w:t>
      </w:r>
      <w:r>
        <w:rPr>
          <w:rFonts w:cs="Times New Roman"/>
          <w:szCs w:val="24"/>
        </w:rPr>
        <w:t xml:space="preserve">review is premature and should not occur until after the PUCO has ruled on the validity of the companies’ discovery objections.  The PUCO should reject this argument because it would unreasonably delay the PUCO’s investigation into the FirstEnergy Utilities’ political and charitable spending.  </w:t>
      </w:r>
    </w:p>
    <w:p>
      <w:pPr>
        <w:spacing w:after="0" w:line="480" w:lineRule="auto"/>
        <w:ind w:firstLine="720"/>
        <w:rPr>
          <w:rFonts w:cs="Times New Roman"/>
          <w:szCs w:val="24"/>
        </w:rPr>
      </w:pPr>
      <w:r>
        <w:rPr>
          <w:rFonts w:cs="Times New Roman"/>
          <w:szCs w:val="24"/>
        </w:rPr>
        <w:t xml:space="preserve">FirstEnergy’s argument is without merit and is inconsistent with PUCO practice.  Conducting an </w:t>
      </w:r>
      <w:r>
        <w:rPr>
          <w:rFonts w:cs="Times New Roman"/>
          <w:i/>
          <w:iCs/>
          <w:szCs w:val="24"/>
        </w:rPr>
        <w:t>in camera</w:t>
      </w:r>
      <w:r>
        <w:rPr>
          <w:rFonts w:cs="Times New Roman"/>
          <w:szCs w:val="24"/>
        </w:rPr>
        <w:t xml:space="preserve"> review will assist the PUCO in resolving this discovery dispute that OCC has raised in its Motion to Compel.  The </w:t>
      </w:r>
      <w:r>
        <w:rPr>
          <w:rFonts w:cs="Times New Roman"/>
          <w:i/>
          <w:iCs/>
          <w:szCs w:val="24"/>
        </w:rPr>
        <w:t>in camera</w:t>
      </w:r>
      <w:r>
        <w:rPr>
          <w:rFonts w:cs="Times New Roman"/>
          <w:szCs w:val="24"/>
        </w:rPr>
        <w:t xml:space="preserve"> review of the documents described in </w:t>
      </w:r>
      <w:r>
        <w:rPr>
          <w:rFonts w:cs="Times New Roman"/>
          <w:szCs w:val="24"/>
        </w:rPr>
        <w:t xml:space="preserve">the privilege log should go forward. And the PUCO should finally put a lid on the FirstEnergy Utilities’ tactics of delay. </w:t>
      </w:r>
    </w:p>
    <w:p>
      <w:pPr>
        <w:spacing w:after="0" w:line="480" w:lineRule="auto"/>
        <w:ind w:firstLine="720"/>
        <w:rPr>
          <w:rFonts w:cs="Times New Roman"/>
          <w:szCs w:val="24"/>
        </w:rPr>
      </w:pPr>
      <w:r>
        <w:rPr>
          <w:rFonts w:cs="Times New Roman"/>
          <w:szCs w:val="24"/>
        </w:rPr>
        <w:t xml:space="preserve">The FirstEnergy Utilities’ approach defeats the very purpose for an </w:t>
      </w:r>
      <w:r>
        <w:rPr>
          <w:rFonts w:cs="Times New Roman"/>
          <w:i/>
          <w:iCs/>
          <w:szCs w:val="24"/>
        </w:rPr>
        <w:t xml:space="preserve">in camera </w:t>
      </w:r>
      <w:r>
        <w:rPr>
          <w:rFonts w:cs="Times New Roman"/>
          <w:szCs w:val="24"/>
        </w:rPr>
        <w:t xml:space="preserve">review – that is, to give the Attorney Examiner an opportunity to review the actual documents to determine whether the privilege claim is valid.  The Ohio Supreme Court has held that if a party asserts the attorney-client privilege regarding the contents of a file sought to be discovered, the trial court before ordering disclosure of the contents “shall” determine by </w:t>
      </w:r>
      <w:r>
        <w:rPr>
          <w:rFonts w:cs="Times New Roman"/>
          <w:i/>
          <w:iCs/>
          <w:szCs w:val="24"/>
        </w:rPr>
        <w:t>in camera</w:t>
      </w:r>
      <w:r>
        <w:rPr>
          <w:rFonts w:cs="Times New Roman"/>
          <w:szCs w:val="24"/>
        </w:rPr>
        <w:t xml:space="preserve"> inspection which portions of the file, if any, are so privileged.</w:t>
      </w:r>
      <w:r>
        <w:rPr>
          <w:rStyle w:val="FootnoteReference"/>
          <w:rFonts w:cs="Times New Roman"/>
          <w:szCs w:val="24"/>
        </w:rPr>
        <w:footnoteReference w:id="2"/>
      </w:r>
      <w:r>
        <w:rPr>
          <w:rFonts w:cs="Times New Roman"/>
          <w:szCs w:val="24"/>
        </w:rPr>
        <w:t xml:space="preserve"> </w:t>
      </w:r>
    </w:p>
    <w:p>
      <w:pPr>
        <w:spacing w:after="0" w:line="480" w:lineRule="auto"/>
        <w:ind w:firstLine="720"/>
        <w:rPr>
          <w:rFonts w:cs="Times New Roman"/>
          <w:sz w:val="20"/>
          <w:szCs w:val="20"/>
        </w:rPr>
      </w:pPr>
      <w:r>
        <w:rPr>
          <w:rFonts w:cs="Times New Roman"/>
          <w:szCs w:val="24"/>
        </w:rPr>
        <w:t xml:space="preserve">The PUCO’s practice, following the Ohio Supreme Court’s decision, is to conduct an </w:t>
      </w:r>
      <w:r>
        <w:rPr>
          <w:rFonts w:cs="Times New Roman"/>
          <w:i/>
          <w:iCs/>
          <w:szCs w:val="24"/>
        </w:rPr>
        <w:t xml:space="preserve">in camera </w:t>
      </w:r>
      <w:r>
        <w:rPr>
          <w:rFonts w:cs="Times New Roman"/>
          <w:szCs w:val="24"/>
        </w:rPr>
        <w:t xml:space="preserve">review of </w:t>
      </w:r>
      <w:r>
        <w:rPr>
          <w:rFonts w:cs="Times New Roman"/>
          <w:i/>
          <w:iCs/>
          <w:szCs w:val="24"/>
        </w:rPr>
        <w:t>all documents</w:t>
      </w:r>
      <w:r>
        <w:rPr>
          <w:rFonts w:cs="Times New Roman"/>
          <w:szCs w:val="24"/>
        </w:rPr>
        <w:t xml:space="preserve"> claimed to be privileged. That enables the PUCO to determine, in response to a party’s motion to compel and the assertion of privilege, if the privilege claim is valid.</w:t>
      </w:r>
      <w:r>
        <w:rPr>
          <w:rStyle w:val="FootnoteReference"/>
          <w:rFonts w:cs="Times New Roman"/>
          <w:szCs w:val="24"/>
        </w:rPr>
        <w:footnoteReference w:id="3"/>
      </w:r>
      <w:r>
        <w:rPr>
          <w:rFonts w:cs="Times New Roman"/>
          <w:szCs w:val="24"/>
        </w:rPr>
        <w:t xml:space="preserve">  The PUCO has used this approach on many occasions,</w:t>
      </w:r>
      <w:r>
        <w:rPr>
          <w:rStyle w:val="FootnoteReference"/>
          <w:rFonts w:cs="Times New Roman"/>
          <w:szCs w:val="24"/>
        </w:rPr>
        <w:footnoteReference w:id="4"/>
      </w:r>
      <w:r>
        <w:rPr>
          <w:rFonts w:cs="Times New Roman"/>
          <w:szCs w:val="24"/>
        </w:rPr>
        <w:t xml:space="preserve"> including to allow the approach for FirstEnergy against OCC. </w:t>
      </w:r>
      <w:r>
        <w:rPr>
          <w:rStyle w:val="FootnoteReference"/>
          <w:rFonts w:cs="Times New Roman"/>
          <w:szCs w:val="24"/>
        </w:rPr>
        <w:footnoteReference w:id="5"/>
      </w:r>
    </w:p>
    <w:p>
      <w:pPr>
        <w:spacing w:after="0" w:line="480" w:lineRule="auto"/>
        <w:ind w:firstLine="720"/>
        <w:rPr>
          <w:rFonts w:cs="Times New Roman"/>
          <w:szCs w:val="24"/>
        </w:rPr>
      </w:pPr>
      <w:r>
        <w:rPr>
          <w:rFonts w:cs="Times New Roman"/>
          <w:szCs w:val="24"/>
        </w:rPr>
        <w:t xml:space="preserve">The PUCO has described privilege logs and </w:t>
      </w:r>
      <w:r>
        <w:rPr>
          <w:rFonts w:cs="Times New Roman"/>
          <w:i/>
          <w:iCs/>
          <w:szCs w:val="24"/>
        </w:rPr>
        <w:t>in camera</w:t>
      </w:r>
      <w:r>
        <w:rPr>
          <w:rFonts w:cs="Times New Roman"/>
          <w:szCs w:val="24"/>
        </w:rPr>
        <w:t xml:space="preserve"> reviews as assisting it in the discovery process and being consistent with the Federal Rules of Civil Procedure.</w:t>
      </w:r>
      <w:r>
        <w:rPr>
          <w:rStyle w:val="FootnoteReference"/>
          <w:rFonts w:cs="Times New Roman"/>
          <w:szCs w:val="24"/>
        </w:rPr>
        <w:footnoteReference w:id="6"/>
      </w:r>
      <w:r>
        <w:rPr>
          <w:rFonts w:cs="Times New Roman"/>
          <w:szCs w:val="24"/>
        </w:rPr>
        <w:t xml:space="preserve">  This is the </w:t>
      </w:r>
      <w:r>
        <w:rPr>
          <w:rFonts w:cs="Times New Roman"/>
          <w:szCs w:val="24"/>
        </w:rPr>
        <w:t xml:space="preserve">only way the PUCO can judge the validity of a party’s privilege claims.  An </w:t>
      </w:r>
      <w:r>
        <w:rPr>
          <w:rFonts w:cs="Times New Roman"/>
          <w:i/>
          <w:iCs/>
          <w:szCs w:val="24"/>
        </w:rPr>
        <w:t>in camera</w:t>
      </w:r>
      <w:r>
        <w:rPr>
          <w:rFonts w:cs="Times New Roman"/>
          <w:szCs w:val="24"/>
        </w:rPr>
        <w:t xml:space="preserve"> hearing will allow both OCC and the FirstEnergy Utilities to present their respective views on the documents responsive to OCC’s discovery, but that the FirstEnergy Utilities seek to withhold from OCC.  </w:t>
      </w:r>
    </w:p>
    <w:p>
      <w:pPr>
        <w:spacing w:after="0" w:line="480" w:lineRule="auto"/>
        <w:ind w:firstLine="720"/>
        <w:rPr>
          <w:rFonts w:cs="Times New Roman"/>
          <w:szCs w:val="24"/>
        </w:rPr>
      </w:pPr>
      <w:r>
        <w:rPr>
          <w:rFonts w:cs="Times New Roman"/>
          <w:szCs w:val="24"/>
        </w:rPr>
        <w:t>Under the FirstEnergy Utilities’ laborious proposal for delay, the PUCO would hold a prehearing conference to rule on discovery objections. Then the FirstEnergy Utilities would take additional time to file a privilege log. Then the PUCO would schedule another prehearing conference. And then the FirstEnergy Utilities would take additional time to produce the documents arising from the second prehearing conference.  The FirstEnergy Utilities’ proposal is nonsensical other than in a motivation for more delay. It is inconsistent with the PUCO’s normal procedure.</w:t>
      </w:r>
      <w:r>
        <w:rPr>
          <w:rStyle w:val="FootnoteReference"/>
          <w:rFonts w:cs="Times New Roman"/>
          <w:szCs w:val="24"/>
        </w:rPr>
        <w:footnoteReference w:id="7"/>
      </w:r>
    </w:p>
    <w:p>
      <w:pPr>
        <w:spacing w:after="0" w:line="480" w:lineRule="auto"/>
        <w:ind w:firstLine="720"/>
        <w:rPr>
          <w:rFonts w:cs="Times New Roman"/>
          <w:szCs w:val="24"/>
        </w:rPr>
      </w:pPr>
      <w:r>
        <w:rPr>
          <w:rFonts w:cs="Times New Roman"/>
          <w:szCs w:val="24"/>
        </w:rPr>
        <w:t xml:space="preserve">The PUCO’s normal procedure is to require the parties to file a privilege log prior to the prehearing conference where the PUCO rules on the discovery responses.   Under this normal approach, the PUCO rules on the discovery objections and the privilege claims in a single prehearing conference.  This approach is fair and efficient.  It is not burdensome to the FirstEnergy Utilities because they already identified that some documents may be privileged when they reviewed documents to prepare their discovery objections.  </w:t>
      </w:r>
    </w:p>
    <w:p>
      <w:pPr>
        <w:spacing w:after="0" w:line="480" w:lineRule="auto"/>
        <w:ind w:firstLine="720"/>
        <w:rPr>
          <w:rFonts w:cs="Times New Roman"/>
          <w:szCs w:val="24"/>
        </w:rPr>
      </w:pPr>
      <w:r>
        <w:rPr>
          <w:rFonts w:cs="Times New Roman"/>
          <w:szCs w:val="24"/>
        </w:rPr>
        <w:t xml:space="preserve">Based on the foregoing, the PUCO should grant OCC’s Motion for an </w:t>
      </w:r>
      <w:r>
        <w:rPr>
          <w:rFonts w:cs="Times New Roman"/>
          <w:i/>
          <w:iCs/>
          <w:szCs w:val="24"/>
        </w:rPr>
        <w:t xml:space="preserve">in camera </w:t>
      </w:r>
      <w:r>
        <w:rPr>
          <w:rFonts w:cs="Times New Roman"/>
          <w:szCs w:val="24"/>
        </w:rPr>
        <w:t xml:space="preserve">hearing. To preserve OCC’s discovery rights under R.C. 4903.082 and Ohio rules, the PUCO should resolve the FirstEnergy Utilities’ privilege claims using the ordinary PUCO process proposed by OCC.  </w:t>
      </w:r>
    </w:p>
    <w:p>
      <w:pPr>
        <w:spacing w:after="0" w:line="480" w:lineRule="auto"/>
        <w:ind w:firstLine="720"/>
        <w:rPr>
          <w:rFonts w:cs="Times New Roman"/>
          <w:szCs w:val="24"/>
        </w:rPr>
      </w:pPr>
    </w:p>
    <w:p>
      <w:pPr>
        <w:widowControl w:val="0"/>
        <w:spacing w:after="0" w:line="240" w:lineRule="auto"/>
        <w:ind w:left="3600" w:firstLine="720"/>
        <w:rPr>
          <w:rFonts w:cs="Times New Roman"/>
          <w:szCs w:val="24"/>
        </w:rPr>
      </w:pPr>
    </w:p>
    <w:p>
      <w:pPr>
        <w:widowControl w:val="0"/>
        <w:spacing w:after="0" w:line="240" w:lineRule="auto"/>
        <w:ind w:left="3600" w:firstLine="720"/>
        <w:rPr>
          <w:rFonts w:cs="Times New Roman"/>
          <w:szCs w:val="24"/>
        </w:rPr>
      </w:pPr>
      <w:r>
        <w:rPr>
          <w:rFonts w:cs="Times New Roman"/>
          <w:szCs w:val="24"/>
        </w:rPr>
        <w:t>Respectfully submitted,</w:t>
      </w:r>
    </w:p>
    <w:p>
      <w:pPr>
        <w:widowControl w:val="0"/>
        <w:spacing w:after="0" w:line="240" w:lineRule="auto"/>
        <w:ind w:left="3600" w:right="-672" w:firstLine="720"/>
        <w:rPr>
          <w:rFonts w:cs="Times New Roman"/>
          <w:szCs w:val="24"/>
        </w:rPr>
      </w:pPr>
    </w:p>
    <w:p>
      <w:pPr>
        <w:spacing w:after="0" w:line="240" w:lineRule="auto"/>
        <w:ind w:left="3600" w:firstLine="720"/>
        <w:rPr>
          <w:rFonts w:cs="Times New Roman"/>
          <w:szCs w:val="24"/>
        </w:rPr>
      </w:pPr>
      <w:r>
        <w:rPr>
          <w:rFonts w:cs="Times New Roman"/>
          <w:szCs w:val="24"/>
        </w:rPr>
        <w:t>Bruce Weston (0016973)</w:t>
      </w:r>
    </w:p>
    <w:p>
      <w:pPr>
        <w:spacing w:after="0" w:line="240" w:lineRule="auto"/>
        <w:ind w:firstLine="4320"/>
        <w:rPr>
          <w:rFonts w:cs="Times New Roman"/>
          <w:szCs w:val="24"/>
        </w:rPr>
      </w:pPr>
      <w:r>
        <w:rPr>
          <w:rFonts w:cs="Times New Roman"/>
          <w:szCs w:val="24"/>
        </w:rPr>
        <w:t>Ohio Consumers’ Counsel</w:t>
      </w:r>
    </w:p>
    <w:p>
      <w:pPr>
        <w:spacing w:after="0" w:line="240" w:lineRule="auto"/>
        <w:ind w:firstLine="4320"/>
        <w:rPr>
          <w:rFonts w:cs="Times New Roman"/>
          <w:szCs w:val="24"/>
        </w:rPr>
      </w:pPr>
      <w:r>
        <w:rPr>
          <w:rFonts w:cs="Times New Roman"/>
          <w:szCs w:val="24"/>
        </w:rPr>
        <w:t xml:space="preserve">  </w:t>
      </w:r>
    </w:p>
    <w:p>
      <w:pPr>
        <w:suppressLineNumbers/>
        <w:spacing w:after="0" w:line="240" w:lineRule="auto"/>
        <w:ind w:left="4320"/>
        <w:rPr>
          <w:rFonts w:cs="Times New Roman"/>
          <w:szCs w:val="24"/>
        </w:rPr>
      </w:pPr>
      <w:r>
        <w:rPr>
          <w:rFonts w:cs="Times New Roman"/>
          <w:i/>
          <w:iCs/>
          <w:szCs w:val="24"/>
          <w:u w:val="single"/>
        </w:rPr>
        <w:t>/s/ Maureen R. Willis</w:t>
      </w:r>
    </w:p>
    <w:p>
      <w:pPr>
        <w:suppressLineNumbers/>
        <w:spacing w:after="0" w:line="240" w:lineRule="auto"/>
        <w:ind w:left="4320"/>
        <w:rPr>
          <w:rFonts w:cs="Times New Roman"/>
          <w:szCs w:val="24"/>
        </w:rPr>
      </w:pPr>
      <w:r>
        <w:rPr>
          <w:rFonts w:cs="Times New Roman"/>
          <w:szCs w:val="24"/>
        </w:rPr>
        <w:t>Maureen R. Willis, Senior Counsel</w:t>
      </w:r>
    </w:p>
    <w:p>
      <w:pPr>
        <w:suppressLineNumbers/>
        <w:spacing w:after="0" w:line="240" w:lineRule="auto"/>
        <w:ind w:left="4320"/>
        <w:rPr>
          <w:rFonts w:cs="Times New Roman"/>
          <w:szCs w:val="24"/>
        </w:rPr>
      </w:pPr>
      <w:r>
        <w:rPr>
          <w:rFonts w:cs="Times New Roman"/>
          <w:szCs w:val="24"/>
        </w:rPr>
        <w:t xml:space="preserve">Counsel of Record (# 0020847)                      </w:t>
      </w:r>
    </w:p>
    <w:p>
      <w:pPr>
        <w:suppressLineNumbers/>
        <w:spacing w:after="0" w:line="240" w:lineRule="auto"/>
        <w:ind w:left="4320"/>
        <w:rPr>
          <w:rFonts w:cs="Times New Roman"/>
          <w:szCs w:val="24"/>
        </w:rPr>
      </w:pPr>
      <w:r>
        <w:rPr>
          <w:rFonts w:cs="Times New Roman"/>
          <w:szCs w:val="24"/>
        </w:rPr>
        <w:t>John Finnigan (#0018689)</w:t>
      </w:r>
      <w:r>
        <w:rPr>
          <w:rFonts w:cs="Times New Roman"/>
          <w:szCs w:val="24"/>
        </w:rPr>
        <w:tab/>
      </w:r>
    </w:p>
    <w:p>
      <w:pPr>
        <w:suppressLineNumbers/>
        <w:spacing w:after="0" w:line="240" w:lineRule="auto"/>
        <w:ind w:left="4320"/>
        <w:rPr>
          <w:rFonts w:cs="Times New Roman"/>
          <w:szCs w:val="24"/>
        </w:rPr>
      </w:pPr>
      <w:r>
        <w:rPr>
          <w:rFonts w:cs="Times New Roman"/>
          <w:szCs w:val="24"/>
        </w:rPr>
        <w:t>Assistant Consumers’ Counsel</w:t>
      </w:r>
    </w:p>
    <w:p>
      <w:pPr>
        <w:suppressLineNumbers/>
        <w:spacing w:after="0" w:line="240" w:lineRule="auto"/>
        <w:ind w:left="4320"/>
        <w:rPr>
          <w:rFonts w:cs="Times New Roman"/>
          <w:szCs w:val="24"/>
        </w:rPr>
      </w:pPr>
      <w:r>
        <w:rPr>
          <w:rFonts w:cs="Times New Roman"/>
          <w:szCs w:val="24"/>
        </w:rPr>
        <w:tab/>
      </w:r>
    </w:p>
    <w:p>
      <w:pPr>
        <w:suppressLineNumbers/>
        <w:spacing w:after="0" w:line="240" w:lineRule="auto"/>
        <w:ind w:left="4320"/>
        <w:rPr>
          <w:rFonts w:cs="Times New Roman"/>
          <w:b/>
          <w:bCs/>
          <w:szCs w:val="24"/>
        </w:rPr>
      </w:pPr>
      <w:r>
        <w:rPr>
          <w:rFonts w:cs="Times New Roman"/>
          <w:b/>
          <w:bCs/>
          <w:szCs w:val="24"/>
        </w:rPr>
        <w:t>Office of the Ohio Consumers’ Counsel</w:t>
      </w:r>
    </w:p>
    <w:p>
      <w:pPr>
        <w:suppressLineNumbers/>
        <w:spacing w:after="0" w:line="240" w:lineRule="auto"/>
        <w:ind w:left="4320"/>
        <w:rPr>
          <w:rFonts w:cs="Times New Roman"/>
          <w:bCs/>
          <w:szCs w:val="24"/>
        </w:rPr>
      </w:pPr>
      <w:r>
        <w:rPr>
          <w:rFonts w:cs="Times New Roman"/>
          <w:bCs/>
          <w:szCs w:val="24"/>
        </w:rPr>
        <w:t>65 East State Street, 7</w:t>
      </w:r>
      <w:r>
        <w:rPr>
          <w:rFonts w:cs="Times New Roman"/>
          <w:bCs/>
          <w:szCs w:val="24"/>
          <w:vertAlign w:val="superscript"/>
        </w:rPr>
        <w:t>th</w:t>
      </w:r>
      <w:r>
        <w:rPr>
          <w:rFonts w:cs="Times New Roman"/>
          <w:bCs/>
          <w:szCs w:val="24"/>
        </w:rPr>
        <w:t xml:space="preserve"> Floor</w:t>
      </w:r>
    </w:p>
    <w:p>
      <w:pPr>
        <w:suppressLineNumbers/>
        <w:spacing w:after="0" w:line="240" w:lineRule="auto"/>
        <w:ind w:left="4320"/>
        <w:rPr>
          <w:rFonts w:cs="Times New Roman"/>
          <w:bCs/>
          <w:szCs w:val="24"/>
        </w:rPr>
      </w:pPr>
      <w:r>
        <w:rPr>
          <w:rFonts w:cs="Times New Roman"/>
          <w:bCs/>
          <w:szCs w:val="24"/>
        </w:rPr>
        <w:t>Columbus, Ohio 43215</w:t>
      </w:r>
    </w:p>
    <w:p>
      <w:pPr>
        <w:suppressLineNumbers/>
        <w:spacing w:after="0" w:line="240" w:lineRule="auto"/>
        <w:ind w:left="4320"/>
        <w:rPr>
          <w:rFonts w:cs="Times New Roman"/>
          <w:szCs w:val="24"/>
        </w:rPr>
      </w:pPr>
      <w:r>
        <w:rPr>
          <w:rFonts w:cs="Times New Roman"/>
          <w:szCs w:val="24"/>
        </w:rPr>
        <w:t>Telephone [Willis]: (614) 466-9567</w:t>
      </w:r>
    </w:p>
    <w:p>
      <w:pPr>
        <w:suppressLineNumbers/>
        <w:spacing w:after="0" w:line="240" w:lineRule="auto"/>
        <w:ind w:left="4320"/>
        <w:rPr>
          <w:rFonts w:cs="Times New Roman"/>
          <w:szCs w:val="24"/>
        </w:rPr>
      </w:pPr>
      <w:r>
        <w:rPr>
          <w:rFonts w:cs="Times New Roman"/>
          <w:szCs w:val="24"/>
        </w:rPr>
        <w:t>Telephone [Finnigan]: (614) 466-9585</w:t>
      </w:r>
    </w:p>
    <w:p>
      <w:pPr>
        <w:suppressLineNumbers/>
        <w:spacing w:after="0" w:line="240" w:lineRule="auto"/>
        <w:ind w:left="4320"/>
        <w:rPr>
          <w:rFonts w:cs="Times New Roman"/>
          <w:szCs w:val="24"/>
        </w:rPr>
      </w:pPr>
      <w:r>
        <w:fldChar w:fldCharType="begin"/>
      </w:r>
      <w:r>
        <w:instrText xml:space="preserve"> HYPERLINK "mailto:Maureen.willis@occ.ohio.gov" </w:instrText>
      </w:r>
      <w:r>
        <w:fldChar w:fldCharType="separate"/>
      </w:r>
      <w:r>
        <w:rPr>
          <w:rStyle w:val="Hyperlink"/>
          <w:rFonts w:cs="Times New Roman"/>
          <w:color w:val="auto"/>
          <w:szCs w:val="24"/>
        </w:rPr>
        <w:t>Maureen.willis@occ.ohio.gov</w:t>
      </w:r>
      <w:r>
        <w:fldChar w:fldCharType="end"/>
      </w:r>
    </w:p>
    <w:p>
      <w:pPr>
        <w:suppressLineNumbers/>
        <w:spacing w:after="0" w:line="240" w:lineRule="auto"/>
        <w:ind w:left="4320"/>
        <w:rPr>
          <w:rFonts w:cs="Times New Roman"/>
          <w:szCs w:val="24"/>
        </w:rPr>
      </w:pPr>
      <w:r>
        <w:fldChar w:fldCharType="begin"/>
      </w:r>
      <w:r>
        <w:instrText xml:space="preserve"> HYPERLINK "mailto:John.finnigan@occ.ohio.gov" </w:instrText>
      </w:r>
      <w:r>
        <w:fldChar w:fldCharType="separate"/>
      </w:r>
      <w:r>
        <w:rPr>
          <w:rStyle w:val="Hyperlink"/>
          <w:rFonts w:cs="Times New Roman"/>
          <w:color w:val="auto"/>
          <w:szCs w:val="24"/>
        </w:rPr>
        <w:t>John.finnigan@occ.ohio.gov</w:t>
      </w:r>
      <w:r>
        <w:fldChar w:fldCharType="end"/>
      </w:r>
    </w:p>
    <w:p>
      <w:pPr>
        <w:suppressLineNumbers/>
        <w:spacing w:after="0" w:line="240" w:lineRule="auto"/>
        <w:ind w:left="4320"/>
        <w:rPr>
          <w:rFonts w:cs="Times New Roman"/>
          <w:szCs w:val="24"/>
        </w:rPr>
      </w:pPr>
      <w:r>
        <w:rPr>
          <w:rFonts w:cs="Times New Roman"/>
          <w:szCs w:val="24"/>
        </w:rPr>
        <w:t>(Willing to accept service by e-mail)</w:t>
      </w:r>
    </w:p>
    <w:p>
      <w:pPr>
        <w:suppressLineNumbers/>
        <w:spacing w:after="0" w:line="240" w:lineRule="auto"/>
        <w:ind w:left="4320"/>
        <w:rPr>
          <w:rFonts w:cs="Times New Roman"/>
          <w:szCs w:val="24"/>
        </w:rPr>
      </w:pPr>
    </w:p>
    <w:p>
      <w:pPr>
        <w:suppressLineNumbers/>
        <w:ind w:left="810"/>
        <w:jc w:val="center"/>
        <w:rPr>
          <w:rFonts w:cs="Times New Roman"/>
          <w:b/>
          <w:szCs w:val="24"/>
        </w:rPr>
      </w:pPr>
    </w:p>
    <w:p>
      <w:pPr>
        <w:spacing w:after="0" w:line="240" w:lineRule="auto"/>
        <w:ind w:firstLine="4320"/>
        <w:rPr>
          <w:rFonts w:cs="Times New Roman"/>
          <w:szCs w:val="24"/>
        </w:rPr>
      </w:pPr>
    </w:p>
    <w:p>
      <w:pPr>
        <w:spacing w:after="0" w:line="240" w:lineRule="auto"/>
        <w:ind w:firstLine="4320"/>
        <w:rPr>
          <w:rFonts w:cs="Times New Roman"/>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docGrid w:linePitch="360"/>
        </w:sectPr>
      </w:pPr>
    </w:p>
    <w:p>
      <w:pPr>
        <w:spacing w:after="0" w:line="480" w:lineRule="auto"/>
        <w:ind w:firstLine="720"/>
        <w:jc w:val="center"/>
        <w:rPr>
          <w:rFonts w:eastAsiaTheme="minorEastAsia" w:cs="Times New Roman"/>
          <w:b/>
          <w:szCs w:val="24"/>
          <w:u w:val="single"/>
        </w:rPr>
      </w:pPr>
      <w:r>
        <w:rPr>
          <w:rFonts w:eastAsiaTheme="minorEastAsia" w:cs="Times New Roman"/>
          <w:b/>
          <w:szCs w:val="24"/>
          <w:u w:val="single"/>
        </w:rPr>
        <w:t>CERTIFICATE OF SERVICE</w:t>
      </w:r>
    </w:p>
    <w:p>
      <w:pPr>
        <w:spacing w:after="0" w:line="480" w:lineRule="auto"/>
        <w:ind w:firstLine="720"/>
        <w:rPr>
          <w:rFonts w:eastAsiaTheme="minorEastAsia" w:cs="Times New Roman"/>
          <w:szCs w:val="24"/>
        </w:rPr>
      </w:pPr>
      <w:r>
        <w:rPr>
          <w:rFonts w:eastAsiaTheme="minorEastAsia" w:cs="Times New Roman"/>
          <w:szCs w:val="24"/>
        </w:rPr>
        <w:t>I hereby certify that a copy of this Motion to Compel Fifth and Seventh Sets was served on the persons stated below via electronic transmission, this 21</w:t>
      </w:r>
      <w:r>
        <w:rPr>
          <w:rFonts w:eastAsiaTheme="minorEastAsia" w:cs="Times New Roman"/>
          <w:szCs w:val="24"/>
          <w:vertAlign w:val="superscript"/>
        </w:rPr>
        <w:t>st</w:t>
      </w:r>
      <w:r>
        <w:rPr>
          <w:rFonts w:eastAsiaTheme="minorEastAsia" w:cs="Times New Roman"/>
          <w:szCs w:val="24"/>
        </w:rPr>
        <w:t xml:space="preserve"> day of July 2021.</w:t>
      </w:r>
    </w:p>
    <w:p>
      <w:pPr>
        <w:spacing w:after="0" w:line="480" w:lineRule="auto"/>
        <w:ind w:firstLine="720"/>
        <w:rPr>
          <w:rFonts w:eastAsiaTheme="minorEastAsia" w:cs="Times New Roman"/>
          <w:szCs w:val="24"/>
        </w:rPr>
      </w:pPr>
    </w:p>
    <w:p>
      <w:pPr>
        <w:spacing w:after="0" w:line="240" w:lineRule="auto"/>
        <w:rPr>
          <w:rFonts w:cs="Times New Roman"/>
          <w:i/>
          <w:szCs w:val="24"/>
          <w:u w:val="single"/>
        </w:rPr>
      </w:pP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u w:val="single"/>
        </w:rPr>
        <w:t>/s/ Maureen R. Willis</w:t>
      </w:r>
    </w:p>
    <w:p>
      <w:pPr>
        <w:spacing w:after="0"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Maureen R. Willis</w:t>
      </w:r>
    </w:p>
    <w:p>
      <w:pPr>
        <w:spacing w:after="0"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Senior Regulatory Counsel</w:t>
      </w:r>
    </w:p>
    <w:p>
      <w:pPr>
        <w:spacing w:after="0" w:line="240" w:lineRule="auto"/>
        <w:rPr>
          <w:rFonts w:cs="Times New Roman"/>
          <w:b/>
          <w:szCs w:val="24"/>
          <w:u w:val="single"/>
        </w:rPr>
      </w:pPr>
      <w:r>
        <w:rPr>
          <w:rFonts w:cs="Times New Roman"/>
          <w:szCs w:val="24"/>
        </w:rPr>
        <w:tab/>
      </w:r>
    </w:p>
    <w:p>
      <w:pPr>
        <w:suppressLineNumbers/>
        <w:ind w:left="810"/>
        <w:rPr>
          <w:rFonts w:cs="Times New Roman"/>
          <w:szCs w:val="24"/>
          <w:u w:val="single"/>
        </w:rPr>
      </w:pPr>
    </w:p>
    <w:p>
      <w:pPr>
        <w:suppressLineNumbers/>
        <w:rPr>
          <w:rFonts w:cs="Times New Roman"/>
          <w:szCs w:val="24"/>
        </w:rPr>
      </w:pPr>
      <w:r>
        <w:rPr>
          <w:rFonts w:cs="Times New Roman"/>
          <w:szCs w:val="24"/>
        </w:rPr>
        <w:t>The PUCO’s e-filing system will electronically serve notice of the filing of this document on the following parties:</w:t>
      </w:r>
    </w:p>
    <w:p>
      <w:pPr>
        <w:pStyle w:val="CommentText"/>
        <w:suppressLineNumbers/>
        <w:ind w:left="810"/>
        <w:jc w:val="center"/>
        <w:rPr>
          <w:b/>
          <w:u w:val="single"/>
        </w:rPr>
      </w:pPr>
      <w:r>
        <w:rPr>
          <w:b/>
          <w:u w:val="single"/>
        </w:rPr>
        <w:t>SERVICE LIST</w:t>
      </w:r>
    </w:p>
    <w:p>
      <w:pPr>
        <w:pStyle w:val="CommentText"/>
        <w:suppressLineNumbers/>
        <w:ind w:left="810"/>
        <w:jc w:val="center"/>
        <w:rPr>
          <w:b/>
          <w:u w:val="single"/>
        </w:rPr>
      </w:pPr>
    </w:p>
    <w:tbl>
      <w:tblPr>
        <w:tblW w:w="0" w:type="auto"/>
        <w:tblInd w:w="0" w:type="dxa"/>
        <w:tblCellMar>
          <w:top w:w="0" w:type="dxa"/>
          <w:left w:w="108" w:type="dxa"/>
          <w:bottom w:w="0" w:type="dxa"/>
          <w:right w:w="108" w:type="dxa"/>
        </w:tblCellMar>
        <w:tblLook w:val="04A0"/>
      </w:tblPr>
      <w:tblGrid>
        <w:gridCol w:w="4428"/>
        <w:gridCol w:w="4428"/>
      </w:tblGrid>
      <w:tr>
        <w:tblPrEx>
          <w:tblW w:w="0" w:type="auto"/>
          <w:tblInd w:w="0" w:type="dxa"/>
          <w:tblCellMar>
            <w:top w:w="0" w:type="dxa"/>
            <w:left w:w="108" w:type="dxa"/>
            <w:bottom w:w="0" w:type="dxa"/>
            <w:right w:w="108" w:type="dxa"/>
          </w:tblCellMar>
          <w:tblLook w:val="04A0"/>
        </w:tblPrEx>
        <w:tc>
          <w:tcPr>
            <w:tcW w:w="4428" w:type="dxa"/>
            <w:shd w:val="clear" w:color="auto" w:fill="auto"/>
          </w:tcPr>
          <w:p>
            <w:pPr>
              <w:pStyle w:val="BodyText"/>
              <w:suppressLineNumbers/>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"mailto:werner.margard@ohioattorneygeneral.gov" </w:instrText>
            </w:r>
            <w:r>
              <w:fldChar w:fldCharType="separate"/>
            </w:r>
            <w:r>
              <w:rPr>
                <w:rStyle w:val="Hyperlink"/>
                <w:rFonts w:ascii="Times New Roman" w:eastAsia="Times New Roman" w:hAnsi="Times New Roman" w:cs="Times New Roman"/>
                <w:color w:val="0000FF"/>
                <w:sz w:val="24"/>
                <w:szCs w:val="24"/>
                <w:u w:val="single"/>
                <w:lang w:val="en-US" w:eastAsia="en-US" w:bidi="ar-SA"/>
              </w:rPr>
              <w:t>werner.margard@ohioattorneygeneral.gov</w:t>
            </w:r>
            <w:r>
              <w:fldChar w:fldCharType="end"/>
            </w:r>
          </w:p>
          <w:p>
            <w:pPr>
              <w:pStyle w:val="BodyText"/>
              <w:suppressLineNumbers/>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"mailto:ccox@elpc.org" </w:instrText>
            </w:r>
            <w:r>
              <w:fldChar w:fldCharType="separate"/>
            </w:r>
            <w:r>
              <w:rPr>
                <w:rStyle w:val="Hyperlink"/>
                <w:rFonts w:ascii="Times New Roman" w:eastAsia="Times New Roman" w:hAnsi="Times New Roman" w:cs="Times New Roman"/>
                <w:color w:val="0000FF"/>
                <w:sz w:val="24"/>
                <w:szCs w:val="24"/>
                <w:u w:val="single"/>
                <w:lang w:val="en-US" w:eastAsia="en-US" w:bidi="ar-SA"/>
              </w:rPr>
              <w:t>ccox@elpc.org</w:t>
            </w:r>
            <w:r>
              <w:fldChar w:fldCharType="end"/>
            </w:r>
          </w:p>
          <w:p>
            <w:pPr>
              <w:pStyle w:val="BodyText"/>
              <w:suppressLineNumbers/>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"mailto:rlazer@elpc.org" </w:instrText>
            </w:r>
            <w:r>
              <w:fldChar w:fldCharType="separate"/>
            </w:r>
            <w:r>
              <w:rPr>
                <w:rStyle w:val="Hyperlink"/>
                <w:rFonts w:ascii="Times New Roman" w:eastAsia="Times New Roman" w:hAnsi="Times New Roman" w:cs="Times New Roman"/>
                <w:color w:val="0000FF"/>
                <w:sz w:val="24"/>
                <w:szCs w:val="24"/>
                <w:u w:val="single"/>
                <w:lang w:val="en-US" w:eastAsia="en-US" w:bidi="ar-SA"/>
              </w:rPr>
              <w:t>rlazer@elpc.org</w:t>
            </w:r>
            <w:r>
              <w:fldChar w:fldCharType="end"/>
            </w:r>
          </w:p>
          <w:p>
            <w:pPr>
              <w:pStyle w:val="BodyText"/>
              <w:suppressLineNumbers/>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"mailto:rkelter@elpc.org" </w:instrText>
            </w:r>
            <w:r>
              <w:fldChar w:fldCharType="separate"/>
            </w:r>
            <w:r>
              <w:rPr>
                <w:rStyle w:val="Hyperlink"/>
                <w:rFonts w:ascii="Times New Roman" w:eastAsia="Times New Roman" w:hAnsi="Times New Roman" w:cs="Times New Roman"/>
                <w:color w:val="0000FF"/>
                <w:sz w:val="24"/>
                <w:szCs w:val="24"/>
                <w:u w:val="single"/>
                <w:lang w:val="en-US" w:eastAsia="en-US" w:bidi="ar-SA"/>
              </w:rPr>
              <w:t>rkelter@elpc.org</w:t>
            </w:r>
            <w:r>
              <w:fldChar w:fldCharType="end"/>
            </w:r>
          </w:p>
          <w:p>
            <w:pPr>
              <w:pStyle w:val="BodyText"/>
              <w:suppressLineNumbers/>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"mailto:trhayslaw@gmail.com" </w:instrText>
            </w:r>
            <w:r>
              <w:fldChar w:fldCharType="separate"/>
            </w:r>
            <w:r>
              <w:rPr>
                <w:rStyle w:val="Hyperlink"/>
                <w:rFonts w:ascii="Times New Roman" w:eastAsia="Calibri" w:hAnsi="Times New Roman" w:cs="Times New Roman"/>
                <w:color w:val="0000FF"/>
                <w:sz w:val="24"/>
                <w:szCs w:val="24"/>
                <w:u w:val="single"/>
                <w:lang w:val="en-US" w:eastAsia="en-US" w:bidi="ar-SA"/>
              </w:rPr>
              <w:t>trhayslaw@gmail.com</w:t>
            </w:r>
            <w:r>
              <w:fldChar w:fldCharType="end"/>
            </w:r>
          </w:p>
          <w:p>
            <w:pPr>
              <w:pStyle w:val="BodyText"/>
              <w:suppressLineNumbers/>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"mailto:leslie.kovacik@toledo.oh.gov" </w:instrText>
            </w:r>
            <w:r>
              <w:fldChar w:fldCharType="separate"/>
            </w:r>
            <w:r>
              <w:rPr>
                <w:rStyle w:val="Hyperlink"/>
                <w:rFonts w:ascii="Times New Roman" w:eastAsia="Calibri" w:hAnsi="Times New Roman" w:cs="Times New Roman"/>
                <w:color w:val="0000FF"/>
                <w:sz w:val="24"/>
                <w:szCs w:val="24"/>
                <w:u w:val="single"/>
                <w:lang w:val="en-US" w:eastAsia="en-US" w:bidi="ar-SA"/>
              </w:rPr>
              <w:t>leslie.kovacik@toledo.oh.gov</w:t>
            </w:r>
            <w:r>
              <w:fldChar w:fldCharType="end"/>
            </w:r>
          </w:p>
          <w:p>
            <w:pPr>
              <w:autoSpaceDE w:val="0"/>
              <w:autoSpaceDN w:val="0"/>
              <w:adjustRightInd w:val="0"/>
              <w:spacing w:after="0" w:line="240" w:lineRule="auto"/>
              <w:rPr>
                <w:rStyle w:val="DefaultParagraphFont"/>
                <w:rFonts w:ascii="Times New Roman" w:eastAsia="Calibri" w:hAnsi="Times New Roman" w:cs="Times New Roman"/>
                <w:color w:val="0563C2"/>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"mailto:bojko@carpenterlipps.com" </w:instrText>
            </w:r>
            <w:r>
              <w:fldChar w:fldCharType="separate"/>
            </w:r>
            <w:r>
              <w:rPr>
                <w:rStyle w:val="Hyperlink"/>
                <w:rFonts w:ascii="Times New Roman" w:eastAsia="Calibri" w:hAnsi="Times New Roman" w:cs="Times New Roman"/>
                <w:color w:val="0000FF"/>
                <w:sz w:val="24"/>
                <w:szCs w:val="24"/>
                <w:u w:val="single"/>
                <w:lang w:val="en-US" w:eastAsia="en-US" w:bidi="ar-SA"/>
              </w:rPr>
              <w:t>bojko@carpenterlipps.com</w:t>
            </w:r>
            <w:r>
              <w:fldChar w:fldCharType="end"/>
            </w:r>
          </w:p>
          <w:p>
            <w:pPr>
              <w:autoSpaceDE w:val="0"/>
              <w:autoSpaceDN w:val="0"/>
              <w:adjustRightInd w:val="0"/>
              <w:spacing w:after="0" w:line="240" w:lineRule="auto"/>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"mailto:bethany.allen@igs.com" </w:instrText>
            </w:r>
            <w:r>
              <w:fldChar w:fldCharType="separate"/>
            </w:r>
            <w:r>
              <w:rPr>
                <w:rStyle w:val="Hyperlink"/>
                <w:rFonts w:ascii="Times New Roman" w:eastAsia="Calibri" w:hAnsi="Times New Roman" w:cs="Times New Roman"/>
                <w:color w:val="0000FF"/>
                <w:sz w:val="24"/>
                <w:szCs w:val="24"/>
                <w:u w:val="single"/>
                <w:lang w:val="en-US" w:eastAsia="en-US" w:bidi="ar-SA"/>
              </w:rPr>
              <w:t>bethany.allen@igs.com</w:t>
            </w:r>
            <w:r>
              <w:fldChar w:fldCharType="end"/>
            </w:r>
          </w:p>
          <w:p>
            <w:pPr>
              <w:autoSpaceDE w:val="0"/>
              <w:autoSpaceDN w:val="0"/>
              <w:adjustRightInd w:val="0"/>
              <w:spacing w:after="0" w:line="240" w:lineRule="auto"/>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"mailto:evan.betterton@igs.com" </w:instrText>
            </w:r>
            <w:r>
              <w:fldChar w:fldCharType="separate"/>
            </w:r>
            <w:r>
              <w:rPr>
                <w:rStyle w:val="Hyperlink"/>
                <w:rFonts w:ascii="Times New Roman" w:eastAsia="Calibri" w:hAnsi="Times New Roman" w:cs="Times New Roman"/>
                <w:color w:val="0000FF"/>
                <w:sz w:val="24"/>
                <w:szCs w:val="24"/>
                <w:u w:val="single"/>
                <w:lang w:val="en-US" w:eastAsia="en-US" w:bidi="ar-SA"/>
              </w:rPr>
              <w:t>evan.betterton@igs.com</w:t>
            </w:r>
            <w:r>
              <w:fldChar w:fldCharType="end"/>
            </w:r>
          </w:p>
          <w:p>
            <w:pPr>
              <w:autoSpaceDE w:val="0"/>
              <w:autoSpaceDN w:val="0"/>
              <w:adjustRightInd w:val="0"/>
              <w:spacing w:after="0" w:line="240" w:lineRule="auto"/>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"mailto:joe.oliker@igs.com" </w:instrText>
            </w:r>
            <w:r>
              <w:fldChar w:fldCharType="separate"/>
            </w:r>
            <w:r>
              <w:rPr>
                <w:rStyle w:val="Hyperlink"/>
                <w:rFonts w:ascii="Times New Roman" w:eastAsia="Calibri" w:hAnsi="Times New Roman" w:cs="Times New Roman"/>
                <w:color w:val="0000FF"/>
                <w:sz w:val="24"/>
                <w:szCs w:val="24"/>
                <w:u w:val="single"/>
                <w:lang w:val="en-US" w:eastAsia="en-US" w:bidi="ar-SA"/>
              </w:rPr>
              <w:t>joe.oliker@igs.com</w:t>
            </w:r>
            <w:r>
              <w:fldChar w:fldCharType="end"/>
            </w:r>
          </w:p>
          <w:p>
            <w:pPr>
              <w:autoSpaceDE w:val="0"/>
              <w:autoSpaceDN w:val="0"/>
              <w:adjustRightInd w:val="0"/>
              <w:spacing w:after="0" w:line="240" w:lineRule="auto"/>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"mailto:michael.nugent@igs.com" </w:instrText>
            </w:r>
            <w:r>
              <w:fldChar w:fldCharType="separate"/>
            </w:r>
            <w:r>
              <w:rPr>
                <w:rStyle w:val="Hyperlink"/>
                <w:rFonts w:ascii="Times New Roman" w:eastAsia="Calibri" w:hAnsi="Times New Roman" w:cs="Times New Roman"/>
                <w:color w:val="0000FF"/>
                <w:sz w:val="24"/>
                <w:szCs w:val="24"/>
                <w:u w:val="single"/>
                <w:lang w:val="en-US" w:eastAsia="en-US" w:bidi="ar-SA"/>
              </w:rPr>
              <w:t>michael.nugent@igs.com</w:t>
            </w:r>
            <w:r>
              <w:fldChar w:fldCharType="end"/>
            </w:r>
          </w:p>
          <w:p>
            <w:pPr>
              <w:autoSpaceDE w:val="0"/>
              <w:autoSpaceDN w:val="0"/>
              <w:adjustRightInd w:val="0"/>
              <w:spacing w:after="0" w:line="240" w:lineRule="auto"/>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"mailto:mkurtz@BKLlawfirm.com" </w:instrText>
            </w:r>
            <w:r>
              <w:fldChar w:fldCharType="separate"/>
            </w:r>
            <w:r>
              <w:rPr>
                <w:rStyle w:val="Hyperlink"/>
                <w:rFonts w:ascii="Times New Roman" w:eastAsia="Calibri" w:hAnsi="Times New Roman" w:cs="Times New Roman"/>
                <w:color w:val="0000FF"/>
                <w:sz w:val="24"/>
                <w:szCs w:val="24"/>
                <w:u w:val="single"/>
                <w:lang w:val="en-US" w:eastAsia="en-US" w:bidi="ar-SA"/>
              </w:rPr>
              <w:t>mkurtz@BKLlawfirm.com</w:t>
            </w:r>
            <w:r>
              <w:fldChar w:fldCharType="end"/>
            </w:r>
          </w:p>
          <w:p>
            <w:pPr>
              <w:autoSpaceDE w:val="0"/>
              <w:autoSpaceDN w:val="0"/>
              <w:adjustRightInd w:val="0"/>
              <w:spacing w:after="0" w:line="240" w:lineRule="auto"/>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"mailto:kboehm@BKLlawfirm.com" </w:instrText>
            </w:r>
            <w:r>
              <w:fldChar w:fldCharType="separate"/>
            </w:r>
            <w:r>
              <w:rPr>
                <w:rStyle w:val="Hyperlink"/>
                <w:rFonts w:ascii="Times New Roman" w:eastAsia="Calibri" w:hAnsi="Times New Roman" w:cs="Times New Roman"/>
                <w:color w:val="0000FF"/>
                <w:sz w:val="24"/>
                <w:szCs w:val="24"/>
                <w:u w:val="single"/>
                <w:lang w:val="en-US" w:eastAsia="en-US" w:bidi="ar-SA"/>
              </w:rPr>
              <w:t>kboehm@BKLlawfirm.com</w:t>
            </w:r>
            <w:r>
              <w:fldChar w:fldCharType="end"/>
            </w:r>
          </w:p>
          <w:p>
            <w:pPr>
              <w:autoSpaceDE w:val="0"/>
              <w:autoSpaceDN w:val="0"/>
              <w:adjustRightInd w:val="0"/>
              <w:spacing w:after="0" w:line="240" w:lineRule="auto"/>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"mailto:jkylercohn@BKLlawfirm.com" </w:instrText>
            </w:r>
            <w:r>
              <w:fldChar w:fldCharType="separate"/>
            </w:r>
            <w:r>
              <w:rPr>
                <w:rStyle w:val="Hyperlink"/>
                <w:rFonts w:ascii="Times New Roman" w:eastAsia="Calibri" w:hAnsi="Times New Roman" w:cs="Times New Roman"/>
                <w:color w:val="0000FF"/>
                <w:sz w:val="24"/>
                <w:szCs w:val="24"/>
                <w:u w:val="single"/>
                <w:lang w:val="en-US" w:eastAsia="en-US" w:bidi="ar-SA"/>
              </w:rPr>
              <w:t>jkylercohn@BKLlawfirm.com</w:t>
            </w:r>
            <w:r>
              <w:fldChar w:fldCharType="end"/>
            </w:r>
          </w:p>
          <w:p>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p>
          <w:p>
            <w:pPr>
              <w:autoSpaceDE w:val="0"/>
              <w:autoSpaceDN w:val="0"/>
              <w:adjustRightInd w:val="0"/>
              <w:spacing w:after="0" w:line="240" w:lineRule="auto"/>
              <w:rPr>
                <w:rStyle w:val="Hyperlink"/>
                <w:rFonts w:ascii="Times New Roman" w:eastAsia="Calibri" w:hAnsi="Times New Roman" w:cs="Times New Roman"/>
                <w:color w:val="0000FF"/>
                <w:sz w:val="24"/>
                <w:szCs w:val="24"/>
                <w:u w:val="single"/>
                <w:lang w:val="en-US" w:eastAsia="en-US" w:bidi="ar-SA"/>
              </w:rPr>
            </w:pPr>
          </w:p>
          <w:p>
            <w:pPr>
              <w:pStyle w:val="BodyText"/>
              <w:suppressLineNumbers/>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Attorney Examiner:</w:t>
            </w:r>
          </w:p>
          <w:p>
            <w:pPr>
              <w:pStyle w:val="BodyText"/>
              <w:suppressLineNumbers/>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"mailto:Gregory.price@puco.ohio.gov" </w:instrText>
            </w:r>
            <w:r>
              <w:fldChar w:fldCharType="separate"/>
            </w:r>
            <w:r>
              <w:rPr>
                <w:rStyle w:val="Hyperlink"/>
                <w:rFonts w:ascii="Times New Roman" w:eastAsia="Times New Roman" w:hAnsi="Times New Roman" w:cs="Times New Roman"/>
                <w:color w:val="0000FF"/>
                <w:sz w:val="24"/>
                <w:szCs w:val="24"/>
                <w:u w:val="single"/>
                <w:lang w:val="en-US" w:eastAsia="en-US" w:bidi="ar-SA"/>
              </w:rPr>
              <w:t>Gregory.price@puco.ohio.gov</w:t>
            </w:r>
            <w:r>
              <w:fldChar w:fldCharType="end"/>
            </w:r>
          </w:p>
          <w:p>
            <w:pPr>
              <w:pStyle w:val="BodyText"/>
              <w:suppressLineNumbers/>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"mailto:Megan.addison@puco.ohio.gov" </w:instrText>
            </w:r>
            <w:r>
              <w:fldChar w:fldCharType="separate"/>
            </w:r>
            <w:r>
              <w:rPr>
                <w:rStyle w:val="Hyperlink"/>
                <w:rFonts w:ascii="Times New Roman" w:eastAsia="Times New Roman" w:hAnsi="Times New Roman" w:cs="Times New Roman"/>
                <w:color w:val="0000FF"/>
                <w:sz w:val="24"/>
                <w:szCs w:val="24"/>
                <w:u w:val="single"/>
                <w:lang w:val="en-US" w:eastAsia="en-US" w:bidi="ar-SA"/>
              </w:rPr>
              <w:t>Megan.addison@puco.ohio.gov</w:t>
            </w:r>
            <w:r>
              <w:fldChar w:fldCharType="end"/>
            </w:r>
          </w:p>
          <w:p>
            <w:pPr>
              <w:autoSpaceDE w:val="0"/>
              <w:autoSpaceDN w:val="0"/>
              <w:adjustRightInd w:val="0"/>
              <w:spacing w:after="0" w:line="240" w:lineRule="auto"/>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"mailto:Jacky.stjohn@puco.ohio.gov" </w:instrText>
            </w:r>
            <w:r>
              <w:fldChar w:fldCharType="separate"/>
            </w:r>
            <w:r>
              <w:rPr>
                <w:rStyle w:val="Hyperlink"/>
                <w:rFonts w:ascii="Times New Roman" w:hAnsi="Times New Roman" w:eastAsiaTheme="minorHAnsi" w:cs="Times New Roman"/>
                <w:color w:val="0000FF"/>
                <w:sz w:val="24"/>
                <w:szCs w:val="24"/>
                <w:u w:val="single"/>
                <w:lang w:val="en-US" w:eastAsia="en-US" w:bidi="ar-SA"/>
              </w:rPr>
              <w:t>Jacqueline.st.john@puco.ohio.gov</w:t>
            </w:r>
            <w:r>
              <w:fldChar w:fldCharType="end"/>
            </w:r>
          </w:p>
          <w:p>
            <w:pPr>
              <w:pStyle w:val="BodyText"/>
              <w:suppressLineNumbers/>
              <w:spacing w:after="0" w:line="240" w:lineRule="auto"/>
              <w:rPr>
                <w:rStyle w:val="DefaultParagraphFont"/>
                <w:rFonts w:ascii="Times New Roman" w:eastAsia="Times New Roman" w:hAnsi="Times New Roman" w:cs="Times New Roman"/>
                <w:sz w:val="24"/>
                <w:szCs w:val="24"/>
                <w:lang w:val="en-US" w:eastAsia="en-US" w:bidi="ar-SA"/>
              </w:rPr>
            </w:pPr>
          </w:p>
        </w:tc>
        <w:tc>
          <w:tcPr>
            <w:tcW w:w="4428" w:type="dxa"/>
            <w:shd w:val="clear" w:color="auto" w:fill="auto"/>
          </w:tcPr>
          <w:p>
            <w:pPr>
              <w:autoSpaceDE w:val="0"/>
              <w:autoSpaceDN w:val="0"/>
              <w:adjustRightInd w:val="0"/>
              <w:spacing w:after="0" w:line="240" w:lineRule="auto"/>
              <w:ind w:left="816"/>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"mailto:bknipe@firstenergycorp.com" </w:instrText>
            </w:r>
            <w:r>
              <w:fldChar w:fldCharType="separate"/>
            </w:r>
            <w:r>
              <w:rPr>
                <w:rStyle w:val="Hyperlink"/>
                <w:rFonts w:ascii="Times New Roman" w:eastAsia="Calibri" w:hAnsi="Times New Roman" w:cs="Times New Roman"/>
                <w:color w:val="0000FF"/>
                <w:sz w:val="24"/>
                <w:szCs w:val="24"/>
                <w:u w:val="single"/>
                <w:lang w:val="en-US" w:eastAsia="en-US" w:bidi="ar-SA"/>
              </w:rPr>
              <w:t>bknipe@firstenergycorp.com</w:t>
            </w:r>
            <w:r>
              <w:fldChar w:fldCharType="end"/>
            </w:r>
          </w:p>
          <w:p>
            <w:pPr>
              <w:autoSpaceDE w:val="0"/>
              <w:autoSpaceDN w:val="0"/>
              <w:adjustRightInd w:val="0"/>
              <w:spacing w:after="0" w:line="240" w:lineRule="auto"/>
              <w:ind w:left="816"/>
              <w:rPr>
                <w:rStyle w:val="DefaultParagraphFont"/>
                <w:rFonts w:ascii="Times New Roman" w:eastAsia="Calibri" w:hAnsi="Times New Roman"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"mailto:mrgladman@jonesday.com" </w:instrText>
            </w:r>
            <w:r>
              <w:fldChar w:fldCharType="separate"/>
            </w:r>
            <w:r>
              <w:rPr>
                <w:rStyle w:val="Hyperlink"/>
                <w:rFonts w:ascii="Times New Roman" w:eastAsia="Calibri" w:hAnsi="Times New Roman" w:cs="Times New Roman"/>
                <w:color w:val="0000FF"/>
                <w:sz w:val="24"/>
                <w:szCs w:val="24"/>
                <w:u w:val="single"/>
                <w:lang w:val="en-US" w:eastAsia="en-US" w:bidi="ar-SA"/>
              </w:rPr>
              <w:t>mrgladman@jonesday.com</w:t>
            </w:r>
            <w:r>
              <w:fldChar w:fldCharType="end"/>
            </w:r>
          </w:p>
          <w:p>
            <w:pPr>
              <w:autoSpaceDE w:val="0"/>
              <w:autoSpaceDN w:val="0"/>
              <w:adjustRightInd w:val="0"/>
              <w:spacing w:after="0" w:line="240" w:lineRule="auto"/>
              <w:ind w:left="816"/>
              <w:rPr>
                <w:rStyle w:val="DefaultParagraphFont"/>
                <w:rFonts w:ascii="Times New Roman" w:eastAsia="Calibri" w:hAnsi="Times New Roman"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"mailto:mdengler@jonesday.com" </w:instrText>
            </w:r>
            <w:r>
              <w:fldChar w:fldCharType="separate"/>
            </w:r>
            <w:r>
              <w:rPr>
                <w:rStyle w:val="Hyperlink"/>
                <w:rFonts w:ascii="Times New Roman" w:eastAsia="Calibri" w:hAnsi="Times New Roman" w:cs="Times New Roman"/>
                <w:color w:val="0000FF"/>
                <w:sz w:val="24"/>
                <w:szCs w:val="24"/>
                <w:u w:val="single"/>
                <w:lang w:val="en-US" w:eastAsia="en-US" w:bidi="ar-SA"/>
              </w:rPr>
              <w:t>mdengler@jonesday.com</w:t>
            </w:r>
            <w:r>
              <w:fldChar w:fldCharType="end"/>
            </w:r>
          </w:p>
          <w:p>
            <w:pPr>
              <w:autoSpaceDE w:val="0"/>
              <w:autoSpaceDN w:val="0"/>
              <w:adjustRightInd w:val="0"/>
              <w:spacing w:after="0" w:line="240" w:lineRule="auto"/>
              <w:ind w:left="816"/>
              <w:rPr>
                <w:rStyle w:val="DefaultParagraphFont"/>
                <w:rFonts w:ascii="Times New Roman" w:eastAsia="Calibri" w:hAnsi="Times New Roman"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"mailto:radoringo@jonesday.com" </w:instrText>
            </w:r>
            <w:r>
              <w:fldChar w:fldCharType="separate"/>
            </w:r>
            <w:r>
              <w:rPr>
                <w:rStyle w:val="Hyperlink"/>
                <w:rFonts w:ascii="Times New Roman" w:eastAsia="Calibri" w:hAnsi="Times New Roman" w:cs="Times New Roman"/>
                <w:color w:val="0000FF"/>
                <w:sz w:val="24"/>
                <w:szCs w:val="24"/>
                <w:u w:val="single"/>
                <w:lang w:val="en-US" w:eastAsia="en-US" w:bidi="ar-SA"/>
              </w:rPr>
              <w:t>radoringo@jonesday.com</w:t>
            </w:r>
            <w:r>
              <w:fldChar w:fldCharType="end"/>
            </w:r>
          </w:p>
          <w:p>
            <w:pPr>
              <w:autoSpaceDE w:val="0"/>
              <w:autoSpaceDN w:val="0"/>
              <w:adjustRightInd w:val="0"/>
              <w:spacing w:after="0" w:line="240" w:lineRule="auto"/>
              <w:ind w:left="816"/>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"mailto:dborchers@bricker.com" </w:instrText>
            </w:r>
            <w:r>
              <w:fldChar w:fldCharType="separate"/>
            </w:r>
            <w:r>
              <w:rPr>
                <w:rStyle w:val="Hyperlink"/>
                <w:rFonts w:ascii="Times New Roman" w:eastAsia="Calibri" w:hAnsi="Times New Roman" w:cs="Times New Roman"/>
                <w:color w:val="0000FF"/>
                <w:sz w:val="24"/>
                <w:szCs w:val="24"/>
                <w:u w:val="single"/>
                <w:lang w:val="en-US" w:eastAsia="en-US" w:bidi="ar-SA"/>
              </w:rPr>
              <w:t>dborchers@bricker.com</w:t>
            </w:r>
            <w:r>
              <w:fldChar w:fldCharType="end"/>
            </w:r>
          </w:p>
          <w:p>
            <w:pPr>
              <w:autoSpaceDE w:val="0"/>
              <w:autoSpaceDN w:val="0"/>
              <w:adjustRightInd w:val="0"/>
              <w:spacing w:after="0" w:line="240" w:lineRule="auto"/>
              <w:ind w:left="816"/>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"mailto:dparram@bricker.com" </w:instrText>
            </w:r>
            <w:r>
              <w:fldChar w:fldCharType="separate"/>
            </w:r>
            <w:r>
              <w:rPr>
                <w:rStyle w:val="Hyperlink"/>
                <w:rFonts w:ascii="Times New Roman" w:eastAsia="Calibri" w:hAnsi="Times New Roman" w:cs="Times New Roman"/>
                <w:color w:val="0000FF"/>
                <w:sz w:val="24"/>
                <w:szCs w:val="24"/>
                <w:u w:val="single"/>
                <w:lang w:val="en-US" w:eastAsia="en-US" w:bidi="ar-SA"/>
              </w:rPr>
              <w:t>dparram@bricker.com</w:t>
            </w:r>
            <w:r>
              <w:fldChar w:fldCharType="end"/>
            </w:r>
          </w:p>
          <w:p>
            <w:pPr>
              <w:autoSpaceDE w:val="0"/>
              <w:autoSpaceDN w:val="0"/>
              <w:adjustRightInd w:val="0"/>
              <w:spacing w:after="0" w:line="240" w:lineRule="auto"/>
              <w:ind w:left="816"/>
              <w:rPr>
                <w:rStyle w:val="DefaultParagraphFont"/>
                <w:rFonts w:ascii="Times New Roman" w:eastAsia="Calibri" w:hAnsi="Times New Roman" w:cs="Times New Roman"/>
                <w:color w:val="3C79D9"/>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"mailto:mleppla@theOEC.org" </w:instrText>
            </w:r>
            <w:r>
              <w:fldChar w:fldCharType="separate"/>
            </w:r>
            <w:r>
              <w:rPr>
                <w:rStyle w:val="Hyperlink"/>
                <w:rFonts w:ascii="Times New Roman" w:eastAsia="Calibri" w:hAnsi="Times New Roman" w:cs="Times New Roman"/>
                <w:color w:val="0000FF"/>
                <w:sz w:val="24"/>
                <w:szCs w:val="24"/>
                <w:u w:val="single"/>
                <w:lang w:val="en-US" w:eastAsia="en-US" w:bidi="ar-SA"/>
              </w:rPr>
              <w:t>mleppla@theOEC.org</w:t>
            </w:r>
            <w:r>
              <w:fldChar w:fldCharType="end"/>
            </w:r>
          </w:p>
          <w:p>
            <w:pPr>
              <w:autoSpaceDE w:val="0"/>
              <w:autoSpaceDN w:val="0"/>
              <w:adjustRightInd w:val="0"/>
              <w:spacing w:after="0" w:line="240" w:lineRule="auto"/>
              <w:ind w:left="816"/>
              <w:rPr>
                <w:rStyle w:val="DefaultParagraphFont"/>
                <w:rFonts w:ascii="Times New Roman" w:eastAsia="Calibri" w:hAnsi="Times New Roman" w:cs="Times New Roman"/>
                <w:color w:val="1155CD"/>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"mailto:tdougherty@theOEC.org" </w:instrText>
            </w:r>
            <w:r>
              <w:fldChar w:fldCharType="separate"/>
            </w:r>
            <w:r>
              <w:rPr>
                <w:rStyle w:val="Hyperlink"/>
                <w:rFonts w:ascii="Times New Roman" w:eastAsia="Calibri" w:hAnsi="Times New Roman" w:cs="Times New Roman"/>
                <w:color w:val="0000FF"/>
                <w:sz w:val="24"/>
                <w:szCs w:val="24"/>
                <w:u w:val="single"/>
                <w:lang w:val="en-US" w:eastAsia="en-US" w:bidi="ar-SA"/>
              </w:rPr>
              <w:t>tdougherty@theOEC.org</w:t>
            </w:r>
            <w:r>
              <w:fldChar w:fldCharType="end"/>
            </w:r>
          </w:p>
          <w:p>
            <w:pPr>
              <w:pStyle w:val="BodyText"/>
              <w:suppressLineNumbers/>
              <w:spacing w:after="0" w:line="240" w:lineRule="auto"/>
              <w:ind w:left="816"/>
              <w:rPr>
                <w:rStyle w:val="DefaultParagraphFont"/>
                <w:rFonts w:ascii="Times New Roman" w:eastAsia="Calibri" w:hAnsi="Times New Roman" w:cs="Times New Roman"/>
                <w:color w:val="1155CD"/>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"mailto:ctavenor@theOEC.org" </w:instrText>
            </w:r>
            <w:r>
              <w:fldChar w:fldCharType="separate"/>
            </w:r>
            <w:r>
              <w:rPr>
                <w:rStyle w:val="Hyperlink"/>
                <w:rFonts w:ascii="Times New Roman" w:eastAsia="Calibri" w:hAnsi="Times New Roman" w:cs="Times New Roman"/>
                <w:color w:val="0000FF"/>
                <w:sz w:val="24"/>
                <w:szCs w:val="24"/>
                <w:u w:val="single"/>
                <w:lang w:val="en-US" w:eastAsia="en-US" w:bidi="ar-SA"/>
              </w:rPr>
              <w:t>ctavenor@theOEC.org</w:t>
            </w:r>
            <w:r>
              <w:fldChar w:fldCharType="end"/>
            </w:r>
          </w:p>
          <w:p>
            <w:pPr>
              <w:pStyle w:val="BodyText"/>
              <w:suppressLineNumbers/>
              <w:spacing w:after="0" w:line="240" w:lineRule="auto"/>
              <w:ind w:left="816"/>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"mailto:rdove@keglerbrown.com" </w:instrText>
            </w:r>
            <w:r>
              <w:fldChar w:fldCharType="separate"/>
            </w:r>
            <w:r>
              <w:rPr>
                <w:rStyle w:val="Hyperlink"/>
                <w:rFonts w:ascii="Times New Roman" w:eastAsia="Calibri" w:hAnsi="Times New Roman" w:cs="Times New Roman"/>
                <w:color w:val="0000FF"/>
                <w:sz w:val="24"/>
                <w:szCs w:val="24"/>
                <w:u w:val="single"/>
                <w:lang w:val="en-US" w:eastAsia="en-US" w:bidi="ar-SA"/>
              </w:rPr>
              <w:t>rdove@keglerbrown.com</w:t>
            </w:r>
            <w:r>
              <w:fldChar w:fldCharType="end"/>
            </w:r>
          </w:p>
          <w:p>
            <w:pPr>
              <w:autoSpaceDE w:val="0"/>
              <w:autoSpaceDN w:val="0"/>
              <w:adjustRightInd w:val="0"/>
              <w:spacing w:after="0" w:line="240" w:lineRule="auto"/>
              <w:ind w:left="816"/>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"mailto:mpritchard@mcneeslaw.com" </w:instrText>
            </w:r>
            <w:r>
              <w:fldChar w:fldCharType="separate"/>
            </w:r>
            <w:r>
              <w:rPr>
                <w:rStyle w:val="Hyperlink"/>
                <w:rFonts w:ascii="Times New Roman" w:hAnsi="Times New Roman" w:eastAsiaTheme="minorHAnsi" w:cs="Times New Roman"/>
                <w:color w:val="0000FF"/>
                <w:sz w:val="24"/>
                <w:szCs w:val="24"/>
                <w:u w:val="single"/>
                <w:lang w:val="en-US" w:eastAsia="en-US" w:bidi="ar-SA"/>
              </w:rPr>
              <w:t>mpritchard@mcneeslaw.com</w:t>
            </w:r>
            <w:r>
              <w:fldChar w:fldCharType="end"/>
            </w:r>
          </w:p>
          <w:p>
            <w:pPr>
              <w:autoSpaceDE w:val="0"/>
              <w:autoSpaceDN w:val="0"/>
              <w:adjustRightInd w:val="0"/>
              <w:spacing w:after="0" w:line="240" w:lineRule="auto"/>
              <w:ind w:left="816"/>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"mailto:rglover@mcneeslaw.com" </w:instrText>
            </w:r>
            <w:r>
              <w:fldChar w:fldCharType="separate"/>
            </w:r>
            <w:r>
              <w:rPr>
                <w:rStyle w:val="Hyperlink"/>
                <w:rFonts w:ascii="Times New Roman" w:hAnsi="Times New Roman" w:eastAsiaTheme="minorHAnsi" w:cs="Times New Roman"/>
                <w:color w:val="0000FF"/>
                <w:sz w:val="24"/>
                <w:szCs w:val="24"/>
                <w:u w:val="single"/>
                <w:lang w:val="en-US" w:eastAsia="en-US" w:bidi="ar-SA"/>
              </w:rPr>
              <w:t>rglover@mcneeslaw.com</w:t>
            </w:r>
            <w:r>
              <w:fldChar w:fldCharType="end"/>
            </w:r>
          </w:p>
          <w:p>
            <w:pPr>
              <w:autoSpaceDE w:val="0"/>
              <w:autoSpaceDN w:val="0"/>
              <w:adjustRightInd w:val="0"/>
              <w:spacing w:after="0" w:line="240" w:lineRule="auto"/>
              <w:ind w:left="834"/>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"mailto:mfleisher@dickinsonwright.com" </w:instrText>
            </w:r>
            <w:r>
              <w:fldChar w:fldCharType="separate"/>
            </w:r>
            <w:r>
              <w:rPr>
                <w:rStyle w:val="Hyperlink"/>
                <w:rFonts w:ascii="Times New Roman" w:hAnsi="Times New Roman" w:eastAsiaTheme="minorHAnsi" w:cs="Times New Roman"/>
                <w:color w:val="0000FF"/>
                <w:sz w:val="24"/>
                <w:szCs w:val="24"/>
                <w:u w:val="single"/>
                <w:lang w:val="en-US" w:eastAsia="en-US" w:bidi="ar-SA"/>
              </w:rPr>
              <w:t>mfleisher@dickinsonwright.com</w:t>
            </w:r>
            <w:r>
              <w:fldChar w:fldCharType="end"/>
            </w:r>
          </w:p>
          <w:p>
            <w:pPr>
              <w:autoSpaceDE w:val="0"/>
              <w:autoSpaceDN w:val="0"/>
              <w:adjustRightInd w:val="0"/>
              <w:spacing w:after="0" w:line="240" w:lineRule="auto"/>
              <w:ind w:left="816"/>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"mailto:mwise@mcdonaldhopkins.com" </w:instrText>
            </w:r>
            <w:r>
              <w:fldChar w:fldCharType="separate"/>
            </w:r>
            <w:r>
              <w:rPr>
                <w:rStyle w:val="Hyperlink"/>
                <w:rFonts w:ascii="Times New Roman" w:hAnsi="Times New Roman" w:eastAsiaTheme="minorHAnsi" w:cs="Times New Roman"/>
                <w:color w:val="0000FF"/>
                <w:sz w:val="24"/>
                <w:szCs w:val="24"/>
                <w:u w:val="single"/>
                <w:lang w:val="en-US" w:eastAsia="en-US" w:bidi="ar-SA"/>
              </w:rPr>
              <w:t>mwise@mcdonaldhopkins.com</w:t>
            </w:r>
            <w:r>
              <w:fldChar w:fldCharType="end"/>
            </w:r>
          </w:p>
          <w:p>
            <w:pPr>
              <w:pStyle w:val="BodyText"/>
              <w:suppressLineNumbers/>
              <w:spacing w:after="0" w:line="240" w:lineRule="auto"/>
              <w:ind w:left="1332"/>
              <w:rPr>
                <w:rStyle w:val="DefaultParagraphFont"/>
                <w:rFonts w:ascii="Times New Roman" w:eastAsia="Calibri" w:hAnsi="Times New Roman" w:cs="Times New Roman"/>
                <w:color w:val="1155CD"/>
                <w:sz w:val="24"/>
                <w:szCs w:val="24"/>
                <w:lang w:val="en-US" w:eastAsia="en-US" w:bidi="ar-SA"/>
              </w:rPr>
            </w:pPr>
          </w:p>
          <w:p>
            <w:pPr>
              <w:pStyle w:val="BodyText"/>
              <w:suppressLineNumbers/>
              <w:spacing w:after="0" w:line="240" w:lineRule="auto"/>
              <w:rPr>
                <w:rStyle w:val="DefaultParagraphFont"/>
                <w:rFonts w:ascii="Times New Roman" w:eastAsia="Times New Roman" w:hAnsi="Times New Roman" w:cs="Times New Roman"/>
                <w:b/>
                <w:bCs/>
                <w:sz w:val="24"/>
                <w:szCs w:val="24"/>
                <w:lang w:val="en-US" w:eastAsia="en-US" w:bidi="ar-SA"/>
              </w:rPr>
            </w:pPr>
          </w:p>
        </w:tc>
      </w:tr>
    </w:tbl>
    <w:p>
      <w:pPr>
        <w:pStyle w:val="CommentText"/>
        <w:suppressLineNumbers/>
        <w:ind w:left="810"/>
        <w:jc w:val="center"/>
      </w:pPr>
    </w:p>
    <w:sectPr>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2348057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31397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spacing w:after="0" w:line="240" w:lineRule="auto"/>
        <w:rPr>
          <w:rFonts w:cs="Times New Roman"/>
          <w:szCs w:val="24"/>
        </w:rPr>
      </w:pPr>
      <w:r>
        <w:rPr>
          <w:rStyle w:val="FootnoteReference"/>
        </w:rPr>
        <w:footnoteRef/>
      </w:r>
      <w:r>
        <w:t xml:space="preserve"> </w:t>
      </w:r>
      <w:r>
        <w:rPr>
          <w:rFonts w:cs="Times New Roman"/>
          <w:i/>
          <w:iCs/>
          <w:sz w:val="20"/>
          <w:szCs w:val="20"/>
        </w:rPr>
        <w:t>Peyko v. Frederick</w:t>
      </w:r>
      <w:r>
        <w:rPr>
          <w:rFonts w:cs="Times New Roman"/>
          <w:sz w:val="20"/>
          <w:szCs w:val="20"/>
        </w:rPr>
        <w:t>, (1986), 25 Ohio St.3d 164, 167.</w:t>
      </w:r>
      <w:r>
        <w:rPr>
          <w:rFonts w:cs="Times New Roman"/>
          <w:szCs w:val="24"/>
        </w:rPr>
        <w:t xml:space="preserve">  </w:t>
      </w:r>
    </w:p>
    <w:p>
      <w:pPr>
        <w:pStyle w:val="FootnoteText"/>
      </w:pPr>
    </w:p>
  </w:footnote>
  <w:footnote w:id="3">
    <w:p>
      <w:pPr>
        <w:spacing w:after="0" w:line="240" w:lineRule="auto"/>
        <w:rPr>
          <w:rFonts w:cs="Times New Roman"/>
          <w:sz w:val="20"/>
          <w:szCs w:val="20"/>
        </w:rPr>
      </w:pPr>
      <w:r>
        <w:rPr>
          <w:rStyle w:val="FootnoteReference"/>
        </w:rPr>
        <w:footnoteRef/>
      </w:r>
      <w:r>
        <w:t xml:space="preserve"> </w:t>
      </w:r>
      <w:r>
        <w:rPr>
          <w:rFonts w:cs="Times New Roman"/>
          <w:i/>
          <w:iCs/>
          <w:sz w:val="20"/>
          <w:szCs w:val="20"/>
        </w:rPr>
        <w:t>See, e.g. In the Matter of the 2015 Review of the Delivery Capital Recovery Rider contained in the Tariffs of Ohio Edison Co. et al.,</w:t>
      </w:r>
      <w:r>
        <w:rPr>
          <w:rFonts w:cs="Times New Roman"/>
          <w:sz w:val="20"/>
          <w:szCs w:val="20"/>
        </w:rPr>
        <w:t xml:space="preserve"> Case No. 15- 1739-EL-RDR, Entry (Dec. 19, 2016).</w:t>
      </w:r>
    </w:p>
    <w:p>
      <w:pPr>
        <w:pStyle w:val="FootnoteText"/>
      </w:pPr>
    </w:p>
  </w:footnote>
  <w:footnote w:id="4">
    <w:p>
      <w:pPr>
        <w:spacing w:after="0" w:line="240" w:lineRule="auto"/>
        <w:rPr>
          <w:rFonts w:cs="Times New Roman"/>
          <w:sz w:val="20"/>
          <w:szCs w:val="20"/>
        </w:rPr>
      </w:pPr>
      <w:r>
        <w:rPr>
          <w:rStyle w:val="FootnoteReference"/>
        </w:rPr>
        <w:footnoteRef/>
      </w:r>
      <w:r>
        <w:t xml:space="preserve"> </w:t>
      </w:r>
      <w:r>
        <w:rPr>
          <w:rFonts w:cs="Times New Roman"/>
          <w:i/>
          <w:iCs/>
          <w:sz w:val="20"/>
          <w:szCs w:val="20"/>
        </w:rPr>
        <w:t>See, e.g.,</w:t>
      </w:r>
      <w:r>
        <w:rPr>
          <w:rFonts w:cs="Times New Roman"/>
          <w:sz w:val="20"/>
          <w:szCs w:val="20"/>
        </w:rPr>
        <w:t xml:space="preserve"> </w:t>
      </w:r>
      <w:r>
        <w:rPr>
          <w:rFonts w:cs="Times New Roman"/>
          <w:i/>
          <w:iCs/>
          <w:sz w:val="20"/>
          <w:szCs w:val="20"/>
        </w:rPr>
        <w:t>Citizens Against Clear Cutting, et al., v Duke Energy Ohio, Inc</w:t>
      </w:r>
      <w:r>
        <w:rPr>
          <w:rFonts w:cs="Times New Roman"/>
          <w:sz w:val="20"/>
          <w:szCs w:val="20"/>
        </w:rPr>
        <w:t xml:space="preserve">., Case No. 17-2344-EL-CSS, Entry ¶18 (Aug. 24, 2018); </w:t>
      </w:r>
      <w:r>
        <w:rPr>
          <w:rFonts w:cs="Times New Roman"/>
          <w:i/>
          <w:iCs/>
          <w:sz w:val="20"/>
          <w:szCs w:val="20"/>
        </w:rPr>
        <w:t>In the Matter of the Joint Application of the Timken Company and the Ohio Power Company for Approval of a Unique Arrangement for the Timken Company’s Canton, Ohio Facilities,</w:t>
      </w:r>
      <w:r>
        <w:rPr>
          <w:rFonts w:cs="Times New Roman"/>
          <w:sz w:val="20"/>
          <w:szCs w:val="20"/>
        </w:rPr>
        <w:t xml:space="preserve"> Case No. 10-366-EL-AEC, Entry (Mar. 22, 2011);</w:t>
      </w:r>
      <w:r>
        <w:rPr>
          <w:rFonts w:cs="Times New Roman"/>
          <w:i/>
          <w:iCs/>
          <w:sz w:val="20"/>
          <w:szCs w:val="20"/>
        </w:rPr>
        <w:t xml:space="preserve"> In the Matter of Application of Duke Energy Ohio for Authority to Establish a Standard Service Offer</w:t>
      </w:r>
      <w:r>
        <w:rPr>
          <w:rFonts w:cs="Times New Roman"/>
          <w:sz w:val="20"/>
          <w:szCs w:val="20"/>
        </w:rPr>
        <w:t xml:space="preserve">, Case No. 14-941-EL-SSO, Entry (Oct. 21, 2014); </w:t>
      </w:r>
      <w:r>
        <w:rPr>
          <w:rFonts w:cs="Times New Roman"/>
          <w:i/>
          <w:iCs/>
          <w:sz w:val="20"/>
          <w:szCs w:val="20"/>
        </w:rPr>
        <w:t>In the Matter of the Complaint of Cameron Creek Apartments v. Columbia Gas of Ohio, Inc</w:t>
      </w:r>
      <w:r>
        <w:rPr>
          <w:rFonts w:cs="Times New Roman"/>
          <w:sz w:val="20"/>
          <w:szCs w:val="20"/>
        </w:rPr>
        <w:t xml:space="preserve">., Case No. 08-1091-GA-CSS, Entry (June 8, 2009).  </w:t>
      </w:r>
    </w:p>
    <w:p>
      <w:pPr>
        <w:pStyle w:val="FootnoteText"/>
      </w:pPr>
    </w:p>
  </w:footnote>
  <w:footnote w:id="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 the Matter of the Application of Ohio Edison Company, The Cleveland Electric Illuminating Company and the Toledo Edison Company for Approval of a New Rider and Revision of an Existing Rider</w:t>
      </w:r>
      <w:r>
        <w:rPr>
          <w:rFonts w:ascii="Times New Roman" w:hAnsi="Times New Roman" w:cs="Times New Roman"/>
        </w:rPr>
        <w:t xml:space="preserve">, Case No. 10-176-EL-RDR, Entry (Jan. 3, 2011); Pre-hearing Conference held, transcript filed Jan. 21, 2011.   </w:t>
      </w:r>
    </w:p>
    <w:p>
      <w:pPr>
        <w:pStyle w:val="FootnoteText"/>
        <w:rPr>
          <w:rFonts w:ascii="Times New Roman" w:hAnsi="Times New Roman" w:cs="Times New Roman"/>
        </w:rPr>
      </w:pPr>
    </w:p>
  </w:footnote>
  <w:footnote w:id="6">
    <w:p>
      <w:pPr>
        <w:pStyle w:val="FootnoteText"/>
        <w:rPr>
          <w:rFonts w:ascii="Times New Roman" w:hAnsi="Times New Roman" w:cs="Times New Roman"/>
          <w:szCs w:val="24"/>
        </w:rPr>
      </w:pPr>
      <w:r>
        <w:rPr>
          <w:rStyle w:val="FootnoteReference"/>
        </w:rPr>
        <w:footnoteRef/>
      </w:r>
      <w:r>
        <w:t xml:space="preserve"> </w:t>
      </w:r>
      <w:r>
        <w:rPr>
          <w:rFonts w:ascii="Times New Roman" w:hAnsi="Times New Roman" w:cs="Times New Roman"/>
          <w:i/>
          <w:iCs/>
        </w:rPr>
        <w:t>See, e.g.,</w:t>
      </w:r>
      <w:r>
        <w:rPr>
          <w:rFonts w:ascii="Times New Roman" w:hAnsi="Times New Roman" w:cs="Times New Roman"/>
        </w:rPr>
        <w:t xml:space="preserve"> </w:t>
      </w:r>
      <w:r>
        <w:rPr>
          <w:rFonts w:ascii="Times New Roman" w:hAnsi="Times New Roman" w:cs="Times New Roman"/>
          <w:i/>
          <w:iCs/>
        </w:rPr>
        <w:t>In the Matter of the Complaints of S.G. Goods, et al. v. The Cleveland Electric Illuminating Company, et al.</w:t>
      </w:r>
      <w:r>
        <w:rPr>
          <w:rFonts w:ascii="Times New Roman" w:hAnsi="Times New Roman" w:cs="Times New Roman"/>
        </w:rPr>
        <w:t>, Case No. 04-28-EL-CSS, Entry at 10 (Apr. 30, 2007).</w:t>
      </w:r>
      <w:r>
        <w:rPr>
          <w:rFonts w:ascii="Times New Roman" w:hAnsi="Times New Roman" w:cs="Times New Roman"/>
          <w:szCs w:val="24"/>
        </w:rPr>
        <w:t xml:space="preserve">  </w:t>
      </w:r>
    </w:p>
    <w:p>
      <w:pPr>
        <w:pStyle w:val="FootnoteText"/>
        <w:rPr>
          <w:rFonts w:ascii="Times New Roman" w:hAnsi="Times New Roman" w:cs="Times New Roman"/>
        </w:rPr>
      </w:pPr>
    </w:p>
  </w:footnote>
  <w:footnote w:id="7">
    <w:p>
      <w:pPr>
        <w:pStyle w:val="FootnoteText"/>
        <w:rPr>
          <w:rFonts w:ascii="Times New Roman" w:hAnsi="Times New Roman" w:cs="Times New Roman"/>
          <w:i/>
          <w:iCs/>
        </w:rPr>
      </w:pPr>
      <w:r>
        <w:rPr>
          <w:rStyle w:val="FootnoteReference"/>
        </w:rPr>
        <w:footnoteRef/>
      </w:r>
      <w:r>
        <w:t xml:space="preserve"> </w:t>
      </w:r>
      <w:r>
        <w:rPr>
          <w:rFonts w:ascii="Times New Roman" w:hAnsi="Times New Roman" w:cs="Times New Roman"/>
          <w:i/>
          <w:iCs/>
        </w:rPr>
        <w:t xml:space="preserve">See </w:t>
      </w:r>
      <w:r>
        <w:rPr>
          <w:rFonts w:ascii="Times New Roman" w:hAnsi="Times New Roman" w:cs="Times New Roman"/>
        </w:rPr>
        <w:t xml:space="preserve">footnote 3, </w:t>
      </w:r>
      <w:r>
        <w:rPr>
          <w:rFonts w:ascii="Times New Roman" w:hAnsi="Times New Roman" w:cs="Times New Roman"/>
          <w:i/>
          <w:iCs/>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B117EFD"/>
    <w:multiLevelType w:val="hybridMultilevel"/>
    <w:tmpl w:val="F9D88C9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3D5B1EBD"/>
    <w:multiLevelType w:val="hybridMultilevel"/>
    <w:tmpl w:val="E4529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55893D15"/>
    <w:multiLevelType w:val="hybridMultilevel"/>
    <w:tmpl w:val="6C00BE8E"/>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asciiTheme="minorHAnsi" w:eastAsiaTheme="minorHAnsi" w:hAnsiTheme="minorHAnsi" w:cstheme="minorBid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EC4471E"/>
    <w:multiLevelType w:val="hybridMultilevel"/>
    <w:tmpl w:val="86AE24DC"/>
    <w:lvl w:ilvl="0">
      <w:start w:val="1"/>
      <w:numFmt w:val="upperRoman"/>
      <w:lvlText w:val="%1."/>
      <w:lvlJc w:val="left"/>
      <w:pPr>
        <w:ind w:left="360" w:hanging="360"/>
      </w:pPr>
      <w:rPr>
        <w:rFonts w:hint="default"/>
      </w:rPr>
    </w:lvl>
    <w:lvl w:ilvl="1">
      <w:start w:val="1"/>
      <w:numFmt w:val="upperLetter"/>
      <w:pStyle w:val="Heading2"/>
      <w:lvlText w:val="%2."/>
      <w:lvlJc w:val="left"/>
      <w:pPr>
        <w:ind w:left="1440" w:hanging="360"/>
      </w:pPr>
    </w:lvl>
    <w:lvl w:ilvl="2">
      <w:start w:val="1"/>
      <w:numFmt w:val="decimal"/>
      <w:lvlText w:val="%3."/>
      <w:lvlJc w:val="left"/>
      <w:pPr>
        <w:ind w:left="2160" w:hanging="180"/>
      </w:pPr>
      <w:rPr>
        <w:rFonts w:hint="default"/>
      </w:rPr>
    </w:lvl>
    <w:lvl w:ilvl="3">
      <w:start w:val="1"/>
      <w:numFmt w:val="decimal"/>
      <w:lvlText w:val="%4."/>
      <w:lvlJc w:val="left"/>
      <w:pPr>
        <w:ind w:left="2070" w:hanging="360"/>
      </w:pPr>
      <w:rPr>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9"/>
  </w:num>
  <w:num w:numId="7">
    <w:abstractNumId w:val="3"/>
  </w:num>
  <w:num w:numId="8">
    <w:abstractNumId w:val="8"/>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autoRedefine/>
    <w:uiPriority w:val="9"/>
    <w:qFormat/>
    <w:pPr>
      <w:keepNext/>
      <w:spacing w:after="0" w:line="480" w:lineRule="auto"/>
      <w:outlineLvl w:val="0"/>
    </w:pPr>
    <w:rPr>
      <w:rFonts w:ascii="Times New Roman Bold" w:hAnsi="Times New Roman Bold" w:eastAsiaTheme="majorEastAsia" w:cstheme="majorBidi"/>
      <w:bCs/>
      <w:sz w:val="20"/>
      <w:szCs w:val="20"/>
    </w:rPr>
  </w:style>
  <w:style w:type="paragraph" w:styleId="Heading2">
    <w:name w:val="heading 2"/>
    <w:basedOn w:val="Normal"/>
    <w:next w:val="Normal"/>
    <w:link w:val="Heading2Char"/>
    <w:autoRedefine/>
    <w:uiPriority w:val="9"/>
    <w:unhideWhenUsed/>
    <w:qFormat/>
    <w:pPr>
      <w:numPr>
        <w:ilvl w:val="1"/>
        <w:numId w:val="8"/>
      </w:numPr>
      <w:spacing w:after="0" w:line="240" w:lineRule="auto"/>
      <w:ind w:hanging="720"/>
      <w:outlineLvl w:val="1"/>
    </w:pPr>
    <w:rPr>
      <w:rFonts w:ascii="Times New Roman Bold" w:hAnsi="Times New Roman Bold" w:eastAsiaTheme="majorEastAsia" w:cs="Times New Roman"/>
      <w:b/>
      <w:bCs/>
      <w:szCs w:val="24"/>
    </w:rPr>
  </w:style>
  <w:style w:type="paragraph" w:styleId="Heading3">
    <w:name w:val="heading 3"/>
    <w:basedOn w:val="Normal"/>
    <w:next w:val="Normal"/>
    <w:link w:val="Heading3Char"/>
    <w:autoRedefine/>
    <w:uiPriority w:val="9"/>
    <w:unhideWhenUsed/>
    <w:qFormat/>
    <w:pPr>
      <w:keepNext/>
      <w:tabs>
        <w:tab w:val="left" w:pos="720"/>
        <w:tab w:val="left" w:pos="1440"/>
      </w:tabs>
      <w:spacing w:after="240" w:line="240" w:lineRule="auto"/>
      <w:ind w:left="2160" w:right="72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Bold" w:hAnsi="Times New Roman Bold" w:eastAsiaTheme="majorEastAsia" w:cstheme="majorBidi"/>
      <w:b/>
      <w:bCs/>
      <w:sz w:val="24"/>
      <w:szCs w:val="20"/>
    </w:rPr>
  </w:style>
  <w:style w:type="character" w:styleId="Hyperlink">
    <w:name w:val="Hyperlink"/>
    <w:basedOn w:val="DefaultParagraphFont"/>
    <w:uiPriority w:val="99"/>
    <w:unhideWhenUsed/>
    <w:rPr>
      <w:color w:val="0000FF"/>
      <w:u w:val="single"/>
    </w:rPr>
  </w:style>
  <w:style w:type="paragraph" w:styleId="HTMLPreformatted">
    <w:name w:val="HTML Preformatted"/>
    <w:aliases w:val=" Char,Char"/>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pPr>
      <w:spacing w:after="0" w:line="240" w:lineRule="auto"/>
    </w:pPr>
    <w:rPr>
      <w:rFonts w:asciiTheme="minorHAnsi" w:hAnsiTheme="minorHAnsi"/>
      <w:sz w:val="20"/>
      <w:szCs w:val="20"/>
    </w:rPr>
  </w:style>
  <w:style w:type="character" w:customStyle="1" w:styleId="FootnoteTextChar">
    <w:name w:val="Footnote Text Char"/>
    <w:aliases w:val="Footnote Text Char Char Char Char Char1,Footnote Text Char Char Char1 Char1,Footnote Text Char Char Char2,Footnote Text Char Char1 Char1,Footnote Text Char1 Char Char Char1,Footnote Text Char1 Char1 Char1,Footnote Text Char2 Char1"/>
    <w:basedOn w:val="DefaultParagraphFont"/>
    <w:link w:val="FootnoteText"/>
    <w:uiPriority w:val="99"/>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rPr>
      <w:vertAlign w:val="superscript"/>
    </w:rPr>
  </w:style>
  <w:style w:type="paragraph" w:styleId="ListParagraph">
    <w:name w:val="List Paragraph"/>
    <w:basedOn w:val="Normal"/>
    <w:uiPriority w:val="34"/>
    <w:qFormat/>
    <w:pPr>
      <w:ind w:left="720"/>
      <w:contextualSpacing/>
    </w:pPr>
    <w:rPr>
      <w:rFonts w:asciiTheme="minorHAnsi" w:hAnsiTheme="minorHAnsi"/>
      <w:sz w:val="22"/>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Heading1Char">
    <w:name w:val="Heading 1 Char"/>
    <w:basedOn w:val="DefaultParagraphFont"/>
    <w:link w:val="Heading1"/>
    <w:uiPriority w:val="9"/>
    <w:rPr>
      <w:rFonts w:ascii="Times New Roman Bold" w:hAnsi="Times New Roman Bold" w:eastAsiaTheme="majorEastAsia" w:cstheme="majorBidi"/>
      <w:bCs/>
      <w:sz w:val="20"/>
      <w:szCs w:val="20"/>
    </w:rPr>
  </w:style>
  <w:style w:type="character" w:customStyle="1" w:styleId="Heading2Char">
    <w:name w:val="Heading 2 Char"/>
    <w:basedOn w:val="DefaultParagraphFont"/>
    <w:link w:val="Heading2"/>
    <w:uiPriority w:val="9"/>
    <w:rPr>
      <w:rFonts w:ascii="Times New Roman Bold" w:hAnsi="Times New Roman Bold" w:eastAsiaTheme="majorEastAsia" w:cs="Times New Roman"/>
      <w:b/>
      <w:b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CommentText">
    <w:name w:val="annotation text"/>
    <w:basedOn w:val="Normal"/>
    <w:link w:val="CommentTextChar"/>
    <w:uiPriority w:val="99"/>
    <w:pPr>
      <w:spacing w:after="0" w:line="240" w:lineRule="auto"/>
    </w:pPr>
    <w:rPr>
      <w:rFonts w:eastAsia="Times New Roman" w:cs="Times New Roman"/>
      <w:szCs w:val="24"/>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4"/>
    </w:rPr>
  </w:style>
  <w:style w:type="paragraph" w:styleId="TOC1">
    <w:name w:val="toc 1"/>
    <w:basedOn w:val="Normal"/>
    <w:next w:val="Normal"/>
    <w:autoRedefine/>
    <w:uiPriority w:val="39"/>
    <w:unhideWhenUsed/>
    <w:pPr>
      <w:tabs>
        <w:tab w:val="decimal" w:leader="dot" w:pos="9360"/>
      </w:tabs>
      <w:spacing w:after="240" w:line="240" w:lineRule="auto"/>
      <w:ind w:left="720" w:hanging="720"/>
      <w:outlineLvl w:val="0"/>
    </w:pPr>
    <w:rPr>
      <w:caps/>
    </w:rPr>
  </w:style>
  <w:style w:type="paragraph" w:styleId="TOC2">
    <w:name w:val="toc 2"/>
    <w:basedOn w:val="Normal"/>
    <w:next w:val="Normal"/>
    <w:autoRedefine/>
    <w:uiPriority w:val="39"/>
    <w:unhideWhenUsed/>
    <w:pPr>
      <w:tabs>
        <w:tab w:val="decimal" w:leader="dot" w:pos="9360"/>
      </w:tabs>
      <w:spacing w:after="240" w:line="240" w:lineRule="auto"/>
      <w:ind w:left="1440" w:hanging="720"/>
      <w:outlineLvl w:val="1"/>
    </w:pPr>
  </w:style>
  <w:style w:type="paragraph" w:styleId="TOC3">
    <w:name w:val="toc 3"/>
    <w:basedOn w:val="Normal"/>
    <w:next w:val="Normal"/>
    <w:autoRedefine/>
    <w:uiPriority w:val="39"/>
    <w:unhideWhenUsed/>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character" w:customStyle="1" w:styleId="ssit">
    <w:name w:val="ss_it"/>
    <w:basedOn w:val="DefaultParagraphFont"/>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Pr>
      <w:rFonts w:ascii="Times New Roman" w:hAnsi="Times New Roman" w:eastAsiaTheme="majorEastAsia" w:cstheme="majorBidi"/>
      <w:sz w:val="24"/>
    </w:rPr>
  </w:style>
  <w:style w:type="paragraph" w:styleId="TOC4">
    <w:name w:val="toc 4"/>
    <w:basedOn w:val="Normal"/>
    <w:next w:val="Normal"/>
    <w:autoRedefine/>
    <w:uiPriority w:val="39"/>
    <w:unhideWhenUsed/>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pPr>
      <w:tabs>
        <w:tab w:val="decimal" w:leader="dot" w:pos="720"/>
        <w:tab w:val="decimal" w:pos="1440"/>
        <w:tab w:val="decimal" w:leader="dot" w:pos="8640"/>
      </w:tabs>
      <w:spacing w:after="240" w:line="240" w:lineRule="auto"/>
      <w:ind w:left="3600" w:hanging="720"/>
    </w:p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
    <w:uiPriority w:val="99"/>
    <w:locked/>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rPr>
      <w:rFonts w:ascii="Times New Roman" w:hAnsi="Times New Roman"/>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rPr>
  </w:style>
  <w:style w:type="character" w:customStyle="1" w:styleId="UnresolvedMention2">
    <w:name w:val="Unresolved Mention2"/>
    <w:basedOn w:val="DefaultParagraphFont"/>
    <w:uiPriority w:val="99"/>
    <w:rPr>
      <w:color w:val="605E5C"/>
      <w:shd w:val="clear" w:color="auto" w:fill="E1DFDD"/>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style>
  <w:style w:type="character" w:customStyle="1" w:styleId="enumxml">
    <w:name w:val="enumxml"/>
    <w:basedOn w:val="DefaultParagraphFont"/>
  </w:style>
  <w:style w:type="character" w:customStyle="1" w:styleId="et03">
    <w:name w:val="et03"/>
    <w:basedOn w:val="DefaultParagraphFont"/>
  </w:style>
  <w:style w:type="character" w:customStyle="1" w:styleId="markedcontent">
    <w:name w:val="marked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2021-07-21T14:23:59Z</dcterms:created>
  <dcterms:modified xsi:type="dcterms:W3CDTF">2021-07-21T14:23:59Z</dcterms:modified>
</cp:coreProperties>
</file>