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86DAF" w14:textId="77777777" w:rsidR="0039236E" w:rsidRPr="0088309A" w:rsidRDefault="0039236E" w:rsidP="0039236E">
      <w:pPr>
        <w:pStyle w:val="Title"/>
        <w:widowControl w:val="0"/>
        <w:rPr>
          <w:rFonts w:ascii="Arial" w:hAnsi="Arial" w:cs="Arial"/>
          <w:szCs w:val="24"/>
        </w:rPr>
      </w:pPr>
      <w:r w:rsidRPr="0088309A">
        <w:rPr>
          <w:rFonts w:ascii="Arial" w:hAnsi="Arial" w:cs="Arial"/>
          <w:szCs w:val="24"/>
        </w:rPr>
        <w:t>BEFORE</w:t>
      </w:r>
    </w:p>
    <w:p w14:paraId="5324C07E" w14:textId="77777777" w:rsidR="0039236E" w:rsidRPr="0088309A" w:rsidRDefault="0039236E" w:rsidP="0039236E">
      <w:pPr>
        <w:widowControl w:val="0"/>
        <w:jc w:val="center"/>
        <w:rPr>
          <w:rFonts w:ascii="Arial" w:hAnsi="Arial" w:cs="Arial"/>
          <w:b/>
          <w:sz w:val="24"/>
          <w:szCs w:val="24"/>
        </w:rPr>
      </w:pPr>
      <w:r w:rsidRPr="0088309A">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39236E" w:rsidRPr="0088309A" w14:paraId="18E39A70" w14:textId="77777777" w:rsidTr="00D85479">
        <w:trPr>
          <w:trHeight w:val="1359"/>
          <w:jc w:val="center"/>
        </w:trPr>
        <w:tc>
          <w:tcPr>
            <w:tcW w:w="4739" w:type="dxa"/>
          </w:tcPr>
          <w:p w14:paraId="43F98D98" w14:textId="4D531222" w:rsidR="0039236E" w:rsidRPr="0088309A" w:rsidRDefault="0039236E" w:rsidP="0098032B">
            <w:pPr>
              <w:widowControl w:val="0"/>
              <w:spacing w:after="0" w:line="240" w:lineRule="auto"/>
              <w:rPr>
                <w:rFonts w:ascii="Arial" w:hAnsi="Arial" w:cs="Arial"/>
                <w:sz w:val="24"/>
                <w:szCs w:val="24"/>
              </w:rPr>
            </w:pPr>
            <w:r>
              <w:rPr>
                <w:rFonts w:ascii="Arial" w:hAnsi="Arial" w:cs="Arial"/>
                <w:sz w:val="24"/>
                <w:szCs w:val="24"/>
              </w:rPr>
              <w:t xml:space="preserve">In the Matter of the Application of Ohio Power Company to Initiate Phase 2 of Its </w:t>
            </w:r>
            <w:proofErr w:type="spellStart"/>
            <w:r w:rsidR="0098032B">
              <w:rPr>
                <w:rFonts w:ascii="Arial" w:hAnsi="Arial" w:cs="Arial"/>
                <w:sz w:val="24"/>
                <w:szCs w:val="24"/>
              </w:rPr>
              <w:t>gridSMART</w:t>
            </w:r>
            <w:proofErr w:type="spellEnd"/>
            <w:r w:rsidR="0098032B">
              <w:rPr>
                <w:rFonts w:ascii="Arial" w:hAnsi="Arial" w:cs="Arial"/>
                <w:sz w:val="24"/>
                <w:szCs w:val="24"/>
              </w:rPr>
              <w:t xml:space="preserve"> Project and to Establish the </w:t>
            </w:r>
            <w:proofErr w:type="spellStart"/>
            <w:r w:rsidR="0098032B">
              <w:rPr>
                <w:rFonts w:ascii="Arial" w:hAnsi="Arial" w:cs="Arial"/>
                <w:sz w:val="24"/>
                <w:szCs w:val="24"/>
              </w:rPr>
              <w:t>gridSMART</w:t>
            </w:r>
            <w:proofErr w:type="spellEnd"/>
            <w:r>
              <w:rPr>
                <w:rFonts w:ascii="Arial" w:hAnsi="Arial" w:cs="Arial"/>
                <w:sz w:val="24"/>
                <w:szCs w:val="24"/>
              </w:rPr>
              <w:t xml:space="preserve"> Phase 2 R</w:t>
            </w:r>
            <w:r w:rsidRPr="0088309A">
              <w:rPr>
                <w:rFonts w:ascii="Arial" w:hAnsi="Arial" w:cs="Arial"/>
                <w:sz w:val="24"/>
                <w:szCs w:val="24"/>
              </w:rPr>
              <w:t>ider.</w:t>
            </w:r>
          </w:p>
        </w:tc>
        <w:tc>
          <w:tcPr>
            <w:tcW w:w="630" w:type="dxa"/>
          </w:tcPr>
          <w:p w14:paraId="57B9E8AB"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121FC9E8"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68917E54"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30A84D6F"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43AF6AE6"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tc>
        <w:tc>
          <w:tcPr>
            <w:tcW w:w="3928" w:type="dxa"/>
          </w:tcPr>
          <w:p w14:paraId="3BA4CFA6" w14:textId="77777777" w:rsidR="0039236E" w:rsidRPr="0088309A" w:rsidRDefault="0039236E" w:rsidP="00D85479">
            <w:pPr>
              <w:widowControl w:val="0"/>
              <w:spacing w:after="0" w:line="240" w:lineRule="auto"/>
              <w:rPr>
                <w:rFonts w:ascii="Arial" w:hAnsi="Arial" w:cs="Arial"/>
                <w:sz w:val="24"/>
                <w:szCs w:val="24"/>
              </w:rPr>
            </w:pPr>
          </w:p>
          <w:p w14:paraId="3CBEE1D4" w14:textId="77777777" w:rsidR="0039236E" w:rsidRPr="0088309A" w:rsidRDefault="0039236E" w:rsidP="00D85479">
            <w:pPr>
              <w:widowControl w:val="0"/>
              <w:spacing w:after="0" w:line="240" w:lineRule="auto"/>
              <w:rPr>
                <w:rFonts w:ascii="Arial" w:hAnsi="Arial" w:cs="Arial"/>
                <w:sz w:val="24"/>
                <w:szCs w:val="24"/>
              </w:rPr>
            </w:pPr>
            <w:r w:rsidRPr="0088309A">
              <w:rPr>
                <w:rFonts w:ascii="Arial" w:hAnsi="Arial" w:cs="Arial"/>
                <w:sz w:val="24"/>
                <w:szCs w:val="24"/>
              </w:rPr>
              <w:t>Case No. 13-1939-EL-RDR</w:t>
            </w:r>
          </w:p>
          <w:p w14:paraId="01EA69A5" w14:textId="77777777" w:rsidR="0039236E" w:rsidRPr="0088309A" w:rsidRDefault="0039236E" w:rsidP="00D85479">
            <w:pPr>
              <w:widowControl w:val="0"/>
              <w:spacing w:after="0" w:line="240" w:lineRule="auto"/>
              <w:rPr>
                <w:rFonts w:ascii="Arial" w:hAnsi="Arial" w:cs="Arial"/>
                <w:sz w:val="24"/>
                <w:szCs w:val="24"/>
              </w:rPr>
            </w:pPr>
          </w:p>
        </w:tc>
      </w:tr>
    </w:tbl>
    <w:p w14:paraId="6EA876B4" w14:textId="77777777" w:rsidR="0039236E" w:rsidRPr="0088309A" w:rsidRDefault="0039236E" w:rsidP="0039236E">
      <w:pPr>
        <w:widowControl w:val="0"/>
        <w:pBdr>
          <w:bottom w:val="single" w:sz="12" w:space="0" w:color="auto"/>
        </w:pBdr>
        <w:spacing w:after="0" w:line="240" w:lineRule="auto"/>
        <w:rPr>
          <w:rFonts w:ascii="Arial" w:hAnsi="Arial" w:cs="Arial"/>
          <w:sz w:val="24"/>
          <w:szCs w:val="24"/>
        </w:rPr>
      </w:pPr>
    </w:p>
    <w:p w14:paraId="4FDEDB30" w14:textId="77777777" w:rsidR="0039236E" w:rsidRPr="0088309A" w:rsidRDefault="0039236E" w:rsidP="0039236E">
      <w:pPr>
        <w:widowControl w:val="0"/>
        <w:spacing w:after="0" w:line="240" w:lineRule="auto"/>
        <w:jc w:val="center"/>
        <w:rPr>
          <w:rFonts w:ascii="Arial" w:hAnsi="Arial" w:cs="Arial"/>
          <w:b/>
          <w:bCs/>
          <w:sz w:val="24"/>
          <w:szCs w:val="24"/>
        </w:rPr>
      </w:pPr>
    </w:p>
    <w:p w14:paraId="338BADC2" w14:textId="6FC65056" w:rsidR="0039236E" w:rsidRDefault="0039236E" w:rsidP="0039236E">
      <w:pPr>
        <w:widowControl w:val="0"/>
        <w:pBdr>
          <w:bottom w:val="single" w:sz="12" w:space="1" w:color="auto"/>
        </w:pBdr>
        <w:tabs>
          <w:tab w:val="left" w:pos="6461"/>
        </w:tabs>
        <w:spacing w:after="0" w:line="240" w:lineRule="auto"/>
        <w:jc w:val="center"/>
        <w:rPr>
          <w:rFonts w:ascii="Arial" w:hAnsi="Arial" w:cs="Arial"/>
          <w:b/>
          <w:sz w:val="24"/>
          <w:szCs w:val="24"/>
        </w:rPr>
      </w:pPr>
      <w:r>
        <w:rPr>
          <w:rFonts w:ascii="Arial" w:hAnsi="Arial" w:cs="Arial"/>
          <w:b/>
          <w:sz w:val="24"/>
          <w:szCs w:val="24"/>
        </w:rPr>
        <w:t>REPLY</w:t>
      </w:r>
      <w:r w:rsidRPr="0088309A">
        <w:rPr>
          <w:rFonts w:ascii="Arial" w:hAnsi="Arial" w:cs="Arial"/>
          <w:b/>
          <w:sz w:val="24"/>
          <w:szCs w:val="24"/>
        </w:rPr>
        <w:t xml:space="preserve"> BRIEF OF INTERSTATE GAS SUPPLY, INC.</w:t>
      </w:r>
    </w:p>
    <w:p w14:paraId="1095C5D8" w14:textId="77777777" w:rsidR="0039236E" w:rsidRPr="0088309A" w:rsidRDefault="0039236E" w:rsidP="0039236E">
      <w:pPr>
        <w:widowControl w:val="0"/>
        <w:pBdr>
          <w:bottom w:val="single" w:sz="12" w:space="1" w:color="auto"/>
        </w:pBdr>
        <w:tabs>
          <w:tab w:val="left" w:pos="6461"/>
        </w:tabs>
        <w:spacing w:after="0" w:line="240" w:lineRule="auto"/>
        <w:jc w:val="center"/>
        <w:rPr>
          <w:rFonts w:ascii="Arial" w:hAnsi="Arial" w:cs="Arial"/>
          <w:b/>
          <w:sz w:val="24"/>
          <w:szCs w:val="24"/>
        </w:rPr>
      </w:pPr>
    </w:p>
    <w:p w14:paraId="5CD3A531" w14:textId="77777777" w:rsidR="0039236E" w:rsidRPr="0088309A" w:rsidRDefault="0039236E" w:rsidP="0039236E">
      <w:pPr>
        <w:tabs>
          <w:tab w:val="left" w:pos="360"/>
        </w:tabs>
        <w:spacing w:after="0" w:line="240" w:lineRule="auto"/>
        <w:ind w:left="360" w:hanging="360"/>
        <w:jc w:val="both"/>
        <w:rPr>
          <w:rFonts w:ascii="Arial" w:hAnsi="Arial" w:cs="Arial"/>
          <w:sz w:val="24"/>
          <w:szCs w:val="24"/>
        </w:rPr>
      </w:pPr>
    </w:p>
    <w:p w14:paraId="3E752BB5" w14:textId="77777777" w:rsidR="0039236E" w:rsidRPr="0088309A" w:rsidRDefault="0039236E" w:rsidP="0039236E">
      <w:pPr>
        <w:autoSpaceDE w:val="0"/>
        <w:autoSpaceDN w:val="0"/>
        <w:adjustRightInd w:val="0"/>
        <w:spacing w:after="120" w:line="480" w:lineRule="auto"/>
        <w:ind w:firstLine="720"/>
        <w:jc w:val="both"/>
        <w:rPr>
          <w:rFonts w:ascii="Arial" w:hAnsi="Arial" w:cs="Arial"/>
          <w:sz w:val="24"/>
          <w:szCs w:val="24"/>
        </w:rPr>
      </w:pPr>
    </w:p>
    <w:p w14:paraId="301A8F9A" w14:textId="77777777" w:rsidR="0039236E" w:rsidRPr="0088309A" w:rsidRDefault="0039236E" w:rsidP="0039236E">
      <w:pPr>
        <w:autoSpaceDE w:val="0"/>
        <w:autoSpaceDN w:val="0"/>
        <w:adjustRightInd w:val="0"/>
        <w:spacing w:after="120" w:line="480" w:lineRule="auto"/>
        <w:ind w:firstLine="720"/>
        <w:jc w:val="both"/>
        <w:rPr>
          <w:rFonts w:ascii="Arial" w:hAnsi="Arial" w:cs="Arial"/>
          <w:sz w:val="24"/>
          <w:szCs w:val="24"/>
        </w:rPr>
      </w:pPr>
    </w:p>
    <w:p w14:paraId="0603E06A" w14:textId="77777777" w:rsidR="0039236E" w:rsidRPr="0088309A" w:rsidRDefault="0039236E" w:rsidP="0039236E">
      <w:pPr>
        <w:autoSpaceDE w:val="0"/>
        <w:autoSpaceDN w:val="0"/>
        <w:adjustRightInd w:val="0"/>
        <w:spacing w:after="120" w:line="480" w:lineRule="auto"/>
        <w:ind w:firstLine="720"/>
        <w:jc w:val="both"/>
        <w:rPr>
          <w:rFonts w:ascii="Arial" w:hAnsi="Arial" w:cs="Arial"/>
          <w:sz w:val="24"/>
          <w:szCs w:val="24"/>
        </w:rPr>
      </w:pPr>
    </w:p>
    <w:p w14:paraId="5DC4F156" w14:textId="77777777" w:rsidR="0039236E" w:rsidRPr="0088309A" w:rsidRDefault="0039236E" w:rsidP="0039236E">
      <w:pPr>
        <w:autoSpaceDE w:val="0"/>
        <w:autoSpaceDN w:val="0"/>
        <w:adjustRightInd w:val="0"/>
        <w:spacing w:after="120" w:line="480" w:lineRule="auto"/>
        <w:ind w:firstLine="720"/>
        <w:jc w:val="both"/>
        <w:rPr>
          <w:rFonts w:ascii="Arial" w:hAnsi="Arial" w:cs="Arial"/>
          <w:sz w:val="24"/>
          <w:szCs w:val="24"/>
        </w:rPr>
      </w:pPr>
    </w:p>
    <w:p w14:paraId="676B5E3C" w14:textId="77777777" w:rsidR="0039236E" w:rsidRPr="0088309A" w:rsidRDefault="0039236E" w:rsidP="0039236E">
      <w:pPr>
        <w:spacing w:after="0" w:line="240" w:lineRule="auto"/>
        <w:ind w:left="5040"/>
        <w:rPr>
          <w:rFonts w:ascii="Arial" w:eastAsia="Calibri" w:hAnsi="Arial" w:cs="Arial"/>
          <w:sz w:val="24"/>
          <w:szCs w:val="24"/>
          <w:u w:val="single"/>
        </w:rPr>
      </w:pPr>
    </w:p>
    <w:p w14:paraId="1D0B1684" w14:textId="77777777" w:rsidR="0039236E" w:rsidRPr="0088309A" w:rsidRDefault="0039236E" w:rsidP="0039236E">
      <w:pPr>
        <w:spacing w:after="0" w:line="240" w:lineRule="auto"/>
        <w:ind w:left="5040"/>
        <w:rPr>
          <w:rFonts w:ascii="Arial" w:hAnsi="Arial" w:cs="Arial"/>
          <w:sz w:val="24"/>
          <w:szCs w:val="24"/>
        </w:rPr>
      </w:pPr>
    </w:p>
    <w:p w14:paraId="4D6B7CF3" w14:textId="77777777" w:rsidR="0039236E" w:rsidRPr="0088309A" w:rsidRDefault="0039236E" w:rsidP="0039236E">
      <w:pPr>
        <w:spacing w:after="0" w:line="240" w:lineRule="auto"/>
        <w:ind w:left="5040"/>
        <w:rPr>
          <w:rFonts w:ascii="Arial" w:hAnsi="Arial" w:cs="Arial"/>
          <w:sz w:val="24"/>
          <w:szCs w:val="24"/>
        </w:rPr>
      </w:pPr>
    </w:p>
    <w:p w14:paraId="2FA55C8E" w14:textId="77777777" w:rsidR="0039236E" w:rsidRPr="0088309A" w:rsidRDefault="0039236E" w:rsidP="0039236E">
      <w:pPr>
        <w:spacing w:after="0" w:line="240" w:lineRule="auto"/>
        <w:ind w:left="5040"/>
        <w:rPr>
          <w:rFonts w:ascii="Arial" w:hAnsi="Arial" w:cs="Arial"/>
          <w:sz w:val="24"/>
          <w:szCs w:val="24"/>
        </w:rPr>
      </w:pPr>
    </w:p>
    <w:p w14:paraId="75DC8B19" w14:textId="77777777" w:rsidR="0039236E" w:rsidRDefault="0039236E" w:rsidP="0039236E">
      <w:pPr>
        <w:spacing w:after="0" w:line="240" w:lineRule="auto"/>
        <w:ind w:left="5040"/>
        <w:rPr>
          <w:rFonts w:ascii="Arial" w:hAnsi="Arial" w:cs="Arial"/>
          <w:sz w:val="24"/>
          <w:szCs w:val="24"/>
        </w:rPr>
      </w:pPr>
    </w:p>
    <w:p w14:paraId="61E0F5EA" w14:textId="77777777" w:rsidR="0039236E" w:rsidRDefault="0039236E" w:rsidP="0039236E">
      <w:pPr>
        <w:spacing w:after="0" w:line="240" w:lineRule="auto"/>
        <w:ind w:left="5040"/>
        <w:rPr>
          <w:rFonts w:ascii="Arial" w:hAnsi="Arial" w:cs="Arial"/>
          <w:sz w:val="24"/>
          <w:szCs w:val="24"/>
        </w:rPr>
      </w:pPr>
    </w:p>
    <w:p w14:paraId="0E46F85D" w14:textId="77777777" w:rsidR="0039236E" w:rsidRDefault="0039236E" w:rsidP="0039236E">
      <w:pPr>
        <w:spacing w:after="0" w:line="240" w:lineRule="auto"/>
        <w:ind w:left="5040"/>
        <w:rPr>
          <w:rFonts w:ascii="Arial" w:hAnsi="Arial" w:cs="Arial"/>
          <w:sz w:val="24"/>
          <w:szCs w:val="24"/>
        </w:rPr>
      </w:pPr>
    </w:p>
    <w:p w14:paraId="0B7902FF" w14:textId="77777777" w:rsidR="0039236E" w:rsidRPr="0088309A" w:rsidRDefault="0039236E" w:rsidP="0039236E">
      <w:pPr>
        <w:spacing w:after="0" w:line="240" w:lineRule="auto"/>
        <w:ind w:left="5040"/>
        <w:rPr>
          <w:rFonts w:ascii="Arial" w:hAnsi="Arial" w:cs="Arial"/>
          <w:sz w:val="24"/>
          <w:szCs w:val="24"/>
        </w:rPr>
      </w:pPr>
    </w:p>
    <w:p w14:paraId="28D14448" w14:textId="77777777" w:rsidR="0039236E" w:rsidRDefault="0039236E" w:rsidP="0039236E">
      <w:pPr>
        <w:spacing w:after="0" w:line="240" w:lineRule="auto"/>
        <w:ind w:left="5040"/>
        <w:rPr>
          <w:rFonts w:ascii="Arial" w:hAnsi="Arial" w:cs="Arial"/>
          <w:sz w:val="24"/>
          <w:szCs w:val="24"/>
        </w:rPr>
      </w:pPr>
      <w:r>
        <w:rPr>
          <w:rFonts w:ascii="Arial" w:hAnsi="Arial" w:cs="Arial"/>
          <w:sz w:val="24"/>
          <w:szCs w:val="24"/>
        </w:rPr>
        <w:t>Matthew White (0082859)</w:t>
      </w:r>
    </w:p>
    <w:p w14:paraId="7F353DEB" w14:textId="77777777" w:rsidR="0039236E" w:rsidRDefault="0039236E" w:rsidP="0039236E">
      <w:pPr>
        <w:spacing w:after="0" w:line="240" w:lineRule="auto"/>
        <w:ind w:left="5040"/>
        <w:rPr>
          <w:rFonts w:ascii="Arial" w:hAnsi="Arial" w:cs="Arial"/>
          <w:sz w:val="24"/>
          <w:szCs w:val="24"/>
        </w:rPr>
      </w:pPr>
      <w:r>
        <w:rPr>
          <w:rFonts w:ascii="Arial" w:hAnsi="Arial" w:cs="Arial"/>
          <w:sz w:val="24"/>
          <w:szCs w:val="24"/>
        </w:rPr>
        <w:t>Counsel of Record</w:t>
      </w:r>
    </w:p>
    <w:p w14:paraId="38955051" w14:textId="77777777" w:rsidR="0039236E" w:rsidRPr="0088309A" w:rsidRDefault="0039236E" w:rsidP="0039236E">
      <w:pPr>
        <w:spacing w:after="0" w:line="240" w:lineRule="auto"/>
        <w:ind w:left="5040"/>
        <w:rPr>
          <w:rFonts w:ascii="Arial" w:hAnsi="Arial" w:cs="Arial"/>
          <w:sz w:val="24"/>
          <w:szCs w:val="24"/>
        </w:rPr>
      </w:pPr>
      <w:r>
        <w:rPr>
          <w:rFonts w:ascii="Arial" w:hAnsi="Arial" w:cs="Arial"/>
          <w:sz w:val="24"/>
          <w:szCs w:val="24"/>
        </w:rPr>
        <w:t>Email: mswhite@igsenergy.com</w:t>
      </w:r>
    </w:p>
    <w:p w14:paraId="5336F549"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Counsel of Record</w:t>
      </w:r>
    </w:p>
    <w:p w14:paraId="7E6CE4C1"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IGS Energy</w:t>
      </w:r>
    </w:p>
    <w:p w14:paraId="3290CE41"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6100 Emerald Parkway</w:t>
      </w:r>
    </w:p>
    <w:p w14:paraId="78455D1D"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Dublin, Ohio 43016</w:t>
      </w:r>
    </w:p>
    <w:p w14:paraId="18122902"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Telephone:</w:t>
      </w:r>
      <w:r w:rsidRPr="0088309A">
        <w:rPr>
          <w:rFonts w:ascii="Arial" w:hAnsi="Arial" w:cs="Arial"/>
          <w:sz w:val="24"/>
          <w:szCs w:val="24"/>
        </w:rPr>
        <w:tab/>
        <w:t>(614) 659-5000</w:t>
      </w:r>
    </w:p>
    <w:p w14:paraId="0BBBF4CA"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Facsimile:</w:t>
      </w:r>
      <w:r w:rsidRPr="0088309A">
        <w:rPr>
          <w:rFonts w:ascii="Arial" w:hAnsi="Arial" w:cs="Arial"/>
          <w:sz w:val="24"/>
          <w:szCs w:val="24"/>
        </w:rPr>
        <w:tab/>
        <w:t>(614) 659-5073</w:t>
      </w:r>
    </w:p>
    <w:p w14:paraId="44AAB2AA" w14:textId="77777777" w:rsidR="0039236E" w:rsidRPr="0088309A" w:rsidRDefault="0039236E" w:rsidP="0039236E">
      <w:pPr>
        <w:spacing w:after="0" w:line="240" w:lineRule="auto"/>
        <w:ind w:left="5040"/>
        <w:rPr>
          <w:rFonts w:ascii="Arial" w:hAnsi="Arial" w:cs="Arial"/>
          <w:sz w:val="24"/>
          <w:szCs w:val="24"/>
        </w:rPr>
      </w:pPr>
    </w:p>
    <w:p w14:paraId="6394EFF5" w14:textId="77777777" w:rsidR="0039236E" w:rsidRPr="0088309A" w:rsidRDefault="0039236E" w:rsidP="0039236E">
      <w:pPr>
        <w:spacing w:after="0" w:line="240" w:lineRule="auto"/>
        <w:ind w:left="5040"/>
        <w:rPr>
          <w:rFonts w:ascii="Arial" w:hAnsi="Arial" w:cs="Arial"/>
          <w:b/>
          <w:i/>
          <w:sz w:val="24"/>
          <w:szCs w:val="24"/>
        </w:rPr>
      </w:pPr>
      <w:r w:rsidRPr="0088309A">
        <w:rPr>
          <w:rFonts w:ascii="Arial" w:hAnsi="Arial" w:cs="Arial"/>
          <w:b/>
          <w:i/>
          <w:sz w:val="24"/>
          <w:szCs w:val="24"/>
        </w:rPr>
        <w:t>Attorney for IGS Energy</w:t>
      </w:r>
    </w:p>
    <w:p w14:paraId="63C67FCA" w14:textId="77777777" w:rsidR="0039236E" w:rsidRPr="0088309A" w:rsidRDefault="0039236E" w:rsidP="0039236E">
      <w:pPr>
        <w:spacing w:after="0" w:line="240" w:lineRule="auto"/>
        <w:ind w:left="5040"/>
        <w:rPr>
          <w:rFonts w:ascii="Arial" w:hAnsi="Arial" w:cs="Arial"/>
          <w:b/>
          <w:i/>
          <w:sz w:val="24"/>
          <w:szCs w:val="24"/>
        </w:rPr>
      </w:pPr>
    </w:p>
    <w:p w14:paraId="512156E7" w14:textId="77777777" w:rsidR="0039236E" w:rsidRPr="0088309A" w:rsidRDefault="0039236E" w:rsidP="0039236E">
      <w:pPr>
        <w:spacing w:after="0" w:line="240" w:lineRule="auto"/>
        <w:rPr>
          <w:rFonts w:ascii="Arial" w:hAnsi="Arial" w:cs="Arial"/>
          <w:b/>
          <w:sz w:val="24"/>
          <w:szCs w:val="24"/>
        </w:rPr>
      </w:pPr>
    </w:p>
    <w:p w14:paraId="070FB2B0" w14:textId="77777777" w:rsidR="0039236E" w:rsidRPr="0088309A" w:rsidRDefault="0039236E" w:rsidP="0039236E">
      <w:pPr>
        <w:spacing w:after="0" w:line="240" w:lineRule="auto"/>
        <w:rPr>
          <w:rFonts w:ascii="Arial" w:hAnsi="Arial" w:cs="Arial"/>
          <w:b/>
          <w:sz w:val="24"/>
          <w:szCs w:val="24"/>
        </w:rPr>
      </w:pPr>
    </w:p>
    <w:p w14:paraId="0046CA74" w14:textId="77777777" w:rsidR="0039236E" w:rsidRPr="0088309A" w:rsidRDefault="0039236E" w:rsidP="0039236E">
      <w:pPr>
        <w:spacing w:after="0" w:line="240" w:lineRule="auto"/>
        <w:rPr>
          <w:rFonts w:ascii="Arial" w:hAnsi="Arial" w:cs="Arial"/>
          <w:b/>
          <w:sz w:val="24"/>
          <w:szCs w:val="24"/>
        </w:rPr>
      </w:pPr>
    </w:p>
    <w:p w14:paraId="40A92043" w14:textId="4B6B4E46" w:rsidR="0039236E" w:rsidRPr="0039236E" w:rsidRDefault="0039236E" w:rsidP="0039236E">
      <w:pPr>
        <w:spacing w:after="0" w:line="240" w:lineRule="auto"/>
        <w:rPr>
          <w:rFonts w:ascii="Arial" w:hAnsi="Arial" w:cs="Arial"/>
          <w:b/>
          <w:sz w:val="24"/>
          <w:szCs w:val="24"/>
        </w:rPr>
      </w:pPr>
      <w:r w:rsidRPr="0088309A">
        <w:rPr>
          <w:rFonts w:ascii="Arial" w:hAnsi="Arial" w:cs="Arial"/>
          <w:b/>
          <w:sz w:val="24"/>
          <w:szCs w:val="24"/>
        </w:rPr>
        <w:t xml:space="preserve">September </w:t>
      </w:r>
      <w:r>
        <w:rPr>
          <w:rFonts w:ascii="Arial" w:hAnsi="Arial" w:cs="Arial"/>
          <w:b/>
          <w:sz w:val="24"/>
          <w:szCs w:val="24"/>
        </w:rPr>
        <w:t>16, 2016</w:t>
      </w:r>
    </w:p>
    <w:p w14:paraId="590E5CB3" w14:textId="77777777" w:rsidR="0039236E" w:rsidRPr="0088309A" w:rsidRDefault="0039236E" w:rsidP="0039236E">
      <w:pPr>
        <w:pStyle w:val="Title"/>
        <w:widowControl w:val="0"/>
        <w:rPr>
          <w:rFonts w:ascii="Arial" w:hAnsi="Arial" w:cs="Arial"/>
          <w:szCs w:val="24"/>
        </w:rPr>
      </w:pPr>
      <w:r w:rsidRPr="0088309A">
        <w:rPr>
          <w:rFonts w:ascii="Arial" w:hAnsi="Arial" w:cs="Arial"/>
          <w:szCs w:val="24"/>
        </w:rPr>
        <w:lastRenderedPageBreak/>
        <w:t>BEFORE</w:t>
      </w:r>
    </w:p>
    <w:p w14:paraId="17072B00" w14:textId="77777777" w:rsidR="0039236E" w:rsidRPr="0088309A" w:rsidRDefault="0039236E" w:rsidP="0039236E">
      <w:pPr>
        <w:widowControl w:val="0"/>
        <w:jc w:val="center"/>
        <w:rPr>
          <w:rFonts w:ascii="Arial" w:hAnsi="Arial" w:cs="Arial"/>
          <w:b/>
          <w:sz w:val="24"/>
          <w:szCs w:val="24"/>
        </w:rPr>
      </w:pPr>
      <w:r w:rsidRPr="0088309A">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39236E" w:rsidRPr="0088309A" w14:paraId="0F815B61" w14:textId="77777777" w:rsidTr="00D85479">
        <w:trPr>
          <w:trHeight w:val="1359"/>
          <w:jc w:val="center"/>
        </w:trPr>
        <w:tc>
          <w:tcPr>
            <w:tcW w:w="4739" w:type="dxa"/>
          </w:tcPr>
          <w:p w14:paraId="09096F07" w14:textId="77777777" w:rsidR="0039236E" w:rsidRPr="0088309A" w:rsidRDefault="0039236E" w:rsidP="00D85479">
            <w:pPr>
              <w:widowControl w:val="0"/>
              <w:spacing w:after="0" w:line="240" w:lineRule="auto"/>
              <w:rPr>
                <w:rFonts w:ascii="Arial" w:hAnsi="Arial" w:cs="Arial"/>
                <w:sz w:val="24"/>
                <w:szCs w:val="24"/>
              </w:rPr>
            </w:pPr>
            <w:r w:rsidRPr="0088309A">
              <w:rPr>
                <w:rFonts w:ascii="Arial" w:hAnsi="Arial" w:cs="Arial"/>
                <w:sz w:val="24"/>
                <w:szCs w:val="24"/>
              </w:rPr>
              <w:t>In the Matter of the Application of Ohio Power Company to I</w:t>
            </w:r>
            <w:r>
              <w:rPr>
                <w:rFonts w:ascii="Arial" w:hAnsi="Arial" w:cs="Arial"/>
                <w:sz w:val="24"/>
                <w:szCs w:val="24"/>
              </w:rPr>
              <w:t xml:space="preserve">nitiate Phase 2 of Its </w:t>
            </w:r>
            <w:proofErr w:type="spellStart"/>
            <w:r>
              <w:rPr>
                <w:rFonts w:ascii="Arial" w:hAnsi="Arial" w:cs="Arial"/>
                <w:sz w:val="24"/>
                <w:szCs w:val="24"/>
              </w:rPr>
              <w:t>gridSMART</w:t>
            </w:r>
            <w:proofErr w:type="spellEnd"/>
            <w:r w:rsidRPr="0088309A">
              <w:rPr>
                <w:rFonts w:ascii="Arial" w:hAnsi="Arial" w:cs="Arial"/>
                <w:sz w:val="24"/>
                <w:szCs w:val="24"/>
              </w:rPr>
              <w:t xml:space="preserve"> Projec</w:t>
            </w:r>
            <w:r>
              <w:rPr>
                <w:rFonts w:ascii="Arial" w:hAnsi="Arial" w:cs="Arial"/>
                <w:sz w:val="24"/>
                <w:szCs w:val="24"/>
              </w:rPr>
              <w:t xml:space="preserve">t and to Establish the </w:t>
            </w:r>
            <w:proofErr w:type="spellStart"/>
            <w:r>
              <w:rPr>
                <w:rFonts w:ascii="Arial" w:hAnsi="Arial" w:cs="Arial"/>
                <w:sz w:val="24"/>
                <w:szCs w:val="24"/>
              </w:rPr>
              <w:t>gridSMART</w:t>
            </w:r>
            <w:proofErr w:type="spellEnd"/>
            <w:r w:rsidRPr="0088309A">
              <w:rPr>
                <w:rFonts w:ascii="Arial" w:hAnsi="Arial" w:cs="Arial"/>
                <w:sz w:val="24"/>
                <w:szCs w:val="24"/>
              </w:rPr>
              <w:t xml:space="preserve"> Phase 2 Rider.</w:t>
            </w:r>
          </w:p>
        </w:tc>
        <w:tc>
          <w:tcPr>
            <w:tcW w:w="630" w:type="dxa"/>
          </w:tcPr>
          <w:p w14:paraId="49F512B8"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59DBF901"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66EC853C"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1AC041E4"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p w14:paraId="5CAC7B4D" w14:textId="77777777" w:rsidR="0039236E" w:rsidRPr="0088309A" w:rsidRDefault="0039236E" w:rsidP="00D85479">
            <w:pPr>
              <w:widowControl w:val="0"/>
              <w:spacing w:after="0" w:line="240" w:lineRule="auto"/>
              <w:jc w:val="center"/>
              <w:rPr>
                <w:rFonts w:ascii="Arial" w:hAnsi="Arial" w:cs="Arial"/>
                <w:sz w:val="24"/>
                <w:szCs w:val="24"/>
              </w:rPr>
            </w:pPr>
            <w:r w:rsidRPr="0088309A">
              <w:rPr>
                <w:rFonts w:ascii="Arial" w:hAnsi="Arial" w:cs="Arial"/>
                <w:sz w:val="24"/>
                <w:szCs w:val="24"/>
              </w:rPr>
              <w:t>)</w:t>
            </w:r>
          </w:p>
        </w:tc>
        <w:tc>
          <w:tcPr>
            <w:tcW w:w="3928" w:type="dxa"/>
          </w:tcPr>
          <w:p w14:paraId="60033102" w14:textId="77777777" w:rsidR="0039236E" w:rsidRPr="0088309A" w:rsidRDefault="0039236E" w:rsidP="00D85479">
            <w:pPr>
              <w:widowControl w:val="0"/>
              <w:spacing w:after="0" w:line="240" w:lineRule="auto"/>
              <w:rPr>
                <w:rFonts w:ascii="Arial" w:hAnsi="Arial" w:cs="Arial"/>
                <w:sz w:val="24"/>
                <w:szCs w:val="24"/>
              </w:rPr>
            </w:pPr>
          </w:p>
          <w:p w14:paraId="757BF31D" w14:textId="77777777" w:rsidR="0039236E" w:rsidRPr="0088309A" w:rsidRDefault="0039236E" w:rsidP="00D85479">
            <w:pPr>
              <w:widowControl w:val="0"/>
              <w:spacing w:after="0" w:line="240" w:lineRule="auto"/>
              <w:rPr>
                <w:rFonts w:ascii="Arial" w:hAnsi="Arial" w:cs="Arial"/>
                <w:sz w:val="24"/>
                <w:szCs w:val="24"/>
              </w:rPr>
            </w:pPr>
            <w:r w:rsidRPr="0088309A">
              <w:rPr>
                <w:rFonts w:ascii="Arial" w:hAnsi="Arial" w:cs="Arial"/>
                <w:sz w:val="24"/>
                <w:szCs w:val="24"/>
              </w:rPr>
              <w:t>Case No. 13-1939-EL-RDR</w:t>
            </w:r>
          </w:p>
          <w:p w14:paraId="2F2A9420" w14:textId="77777777" w:rsidR="0039236E" w:rsidRPr="0088309A" w:rsidRDefault="0039236E" w:rsidP="00D85479">
            <w:pPr>
              <w:widowControl w:val="0"/>
              <w:spacing w:after="0" w:line="240" w:lineRule="auto"/>
              <w:rPr>
                <w:rFonts w:ascii="Arial" w:hAnsi="Arial" w:cs="Arial"/>
                <w:sz w:val="24"/>
                <w:szCs w:val="24"/>
              </w:rPr>
            </w:pPr>
          </w:p>
        </w:tc>
      </w:tr>
    </w:tbl>
    <w:p w14:paraId="709B6437" w14:textId="77777777" w:rsidR="0039236E" w:rsidRPr="0088309A" w:rsidRDefault="0039236E" w:rsidP="0039236E">
      <w:pPr>
        <w:widowControl w:val="0"/>
        <w:pBdr>
          <w:bottom w:val="single" w:sz="12" w:space="0" w:color="auto"/>
        </w:pBdr>
        <w:spacing w:after="0" w:line="240" w:lineRule="auto"/>
        <w:rPr>
          <w:rFonts w:ascii="Arial" w:hAnsi="Arial" w:cs="Arial"/>
          <w:sz w:val="24"/>
          <w:szCs w:val="24"/>
        </w:rPr>
      </w:pPr>
    </w:p>
    <w:p w14:paraId="146072DE" w14:textId="77777777" w:rsidR="0039236E" w:rsidRPr="0088309A" w:rsidRDefault="0039236E" w:rsidP="0039236E">
      <w:pPr>
        <w:widowControl w:val="0"/>
        <w:spacing w:after="0" w:line="240" w:lineRule="auto"/>
        <w:jc w:val="center"/>
        <w:rPr>
          <w:rFonts w:ascii="Arial" w:hAnsi="Arial" w:cs="Arial"/>
          <w:b/>
          <w:bCs/>
          <w:sz w:val="24"/>
          <w:szCs w:val="24"/>
        </w:rPr>
      </w:pPr>
    </w:p>
    <w:p w14:paraId="53235CE1" w14:textId="14AEC277" w:rsidR="0039236E" w:rsidRDefault="0098032B" w:rsidP="0039236E">
      <w:pPr>
        <w:widowControl w:val="0"/>
        <w:pBdr>
          <w:bottom w:val="single" w:sz="12" w:space="1" w:color="auto"/>
        </w:pBdr>
        <w:tabs>
          <w:tab w:val="left" w:pos="6461"/>
        </w:tabs>
        <w:spacing w:after="0" w:line="240" w:lineRule="auto"/>
        <w:jc w:val="center"/>
        <w:rPr>
          <w:rFonts w:ascii="Arial" w:hAnsi="Arial" w:cs="Arial"/>
          <w:b/>
          <w:sz w:val="24"/>
          <w:szCs w:val="24"/>
        </w:rPr>
      </w:pPr>
      <w:r>
        <w:rPr>
          <w:rFonts w:ascii="Arial" w:hAnsi="Arial" w:cs="Arial"/>
          <w:b/>
          <w:sz w:val="24"/>
          <w:szCs w:val="24"/>
        </w:rPr>
        <w:t>REPLY</w:t>
      </w:r>
      <w:r w:rsidR="0039236E" w:rsidRPr="0088309A">
        <w:rPr>
          <w:rFonts w:ascii="Arial" w:hAnsi="Arial" w:cs="Arial"/>
          <w:b/>
          <w:sz w:val="24"/>
          <w:szCs w:val="24"/>
        </w:rPr>
        <w:t xml:space="preserve"> BRIEF OF INTERSTATE GAS SUPPLY, INC.</w:t>
      </w:r>
    </w:p>
    <w:p w14:paraId="0EAF005A" w14:textId="77777777" w:rsidR="0039236E" w:rsidRPr="0088309A" w:rsidRDefault="0039236E" w:rsidP="0039236E">
      <w:pPr>
        <w:widowControl w:val="0"/>
        <w:pBdr>
          <w:bottom w:val="single" w:sz="12" w:space="1" w:color="auto"/>
        </w:pBdr>
        <w:tabs>
          <w:tab w:val="left" w:pos="6461"/>
        </w:tabs>
        <w:spacing w:after="0" w:line="240" w:lineRule="auto"/>
        <w:jc w:val="center"/>
        <w:rPr>
          <w:rFonts w:ascii="Arial" w:hAnsi="Arial" w:cs="Arial"/>
          <w:b/>
          <w:sz w:val="24"/>
          <w:szCs w:val="24"/>
        </w:rPr>
      </w:pPr>
    </w:p>
    <w:p w14:paraId="6AAD43A6" w14:textId="77777777" w:rsidR="0039236E" w:rsidRPr="0088309A" w:rsidRDefault="0039236E" w:rsidP="0039236E">
      <w:pPr>
        <w:tabs>
          <w:tab w:val="left" w:pos="360"/>
        </w:tabs>
        <w:spacing w:after="0" w:line="240" w:lineRule="auto"/>
        <w:ind w:left="360" w:hanging="360"/>
        <w:jc w:val="both"/>
        <w:rPr>
          <w:rFonts w:ascii="Arial" w:hAnsi="Arial" w:cs="Arial"/>
          <w:sz w:val="24"/>
          <w:szCs w:val="24"/>
        </w:rPr>
      </w:pPr>
    </w:p>
    <w:p w14:paraId="14093809" w14:textId="77777777" w:rsidR="0039236E" w:rsidRPr="0088309A" w:rsidRDefault="0039236E" w:rsidP="0039236E">
      <w:pPr>
        <w:spacing w:line="480" w:lineRule="auto"/>
        <w:jc w:val="both"/>
        <w:rPr>
          <w:rFonts w:ascii="Arial" w:hAnsi="Arial" w:cs="Arial"/>
          <w:sz w:val="24"/>
          <w:szCs w:val="24"/>
        </w:rPr>
      </w:pPr>
    </w:p>
    <w:p w14:paraId="15129A2D" w14:textId="10315985" w:rsidR="000178F3" w:rsidRPr="0039236E" w:rsidRDefault="0039236E" w:rsidP="0039236E">
      <w:pPr>
        <w:pStyle w:val="ListParagraph"/>
        <w:numPr>
          <w:ilvl w:val="0"/>
          <w:numId w:val="2"/>
        </w:numPr>
        <w:spacing w:line="360" w:lineRule="auto"/>
        <w:rPr>
          <w:b/>
        </w:rPr>
      </w:pPr>
      <w:r w:rsidRPr="0039236E">
        <w:rPr>
          <w:rFonts w:ascii="Arial" w:hAnsi="Arial" w:cs="Arial"/>
          <w:b/>
          <w:sz w:val="24"/>
          <w:szCs w:val="24"/>
        </w:rPr>
        <w:t>INTRODUCTION</w:t>
      </w:r>
    </w:p>
    <w:p w14:paraId="6C8E121F" w14:textId="19BAFA1E" w:rsidR="00C16E9F" w:rsidRPr="0039236E" w:rsidRDefault="00CA5A86" w:rsidP="0039236E">
      <w:pPr>
        <w:spacing w:line="480" w:lineRule="auto"/>
        <w:ind w:firstLine="360"/>
        <w:jc w:val="both"/>
        <w:rPr>
          <w:rFonts w:ascii="Arial" w:hAnsi="Arial" w:cs="Arial"/>
          <w:sz w:val="24"/>
          <w:szCs w:val="24"/>
        </w:rPr>
      </w:pPr>
      <w:r w:rsidRPr="0039236E">
        <w:rPr>
          <w:rFonts w:ascii="Arial" w:hAnsi="Arial" w:cs="Arial"/>
          <w:sz w:val="24"/>
          <w:szCs w:val="24"/>
        </w:rPr>
        <w:t>This Reply Brief focus</w:t>
      </w:r>
      <w:r w:rsidR="0021535C">
        <w:rPr>
          <w:rFonts w:ascii="Arial" w:hAnsi="Arial" w:cs="Arial"/>
          <w:sz w:val="24"/>
          <w:szCs w:val="24"/>
        </w:rPr>
        <w:t>es</w:t>
      </w:r>
      <w:r w:rsidRPr="0039236E">
        <w:rPr>
          <w:rFonts w:ascii="Arial" w:hAnsi="Arial" w:cs="Arial"/>
          <w:sz w:val="24"/>
          <w:szCs w:val="24"/>
        </w:rPr>
        <w:t xml:space="preserve"> on various concerns addressed in the</w:t>
      </w:r>
      <w:r w:rsidR="0098032B">
        <w:rPr>
          <w:rFonts w:ascii="Arial" w:hAnsi="Arial" w:cs="Arial"/>
          <w:sz w:val="24"/>
          <w:szCs w:val="24"/>
        </w:rPr>
        <w:t xml:space="preserve"> post-hearing</w:t>
      </w:r>
      <w:r w:rsidR="00D24A0E" w:rsidRPr="0039236E">
        <w:rPr>
          <w:rFonts w:ascii="Arial" w:hAnsi="Arial" w:cs="Arial"/>
          <w:sz w:val="24"/>
          <w:szCs w:val="24"/>
        </w:rPr>
        <w:t xml:space="preserve"> Brief</w:t>
      </w:r>
      <w:r w:rsidR="00455EDC" w:rsidRPr="0039236E">
        <w:rPr>
          <w:rFonts w:ascii="Arial" w:hAnsi="Arial" w:cs="Arial"/>
          <w:sz w:val="24"/>
          <w:szCs w:val="24"/>
        </w:rPr>
        <w:t>s</w:t>
      </w:r>
      <w:r w:rsidR="00D24A0E" w:rsidRPr="0039236E">
        <w:rPr>
          <w:rFonts w:ascii="Arial" w:hAnsi="Arial" w:cs="Arial"/>
          <w:sz w:val="24"/>
          <w:szCs w:val="24"/>
        </w:rPr>
        <w:t xml:space="preserve"> filed by the </w:t>
      </w:r>
      <w:r w:rsidR="00495A2B">
        <w:rPr>
          <w:rFonts w:ascii="Arial" w:hAnsi="Arial" w:cs="Arial"/>
          <w:sz w:val="24"/>
          <w:szCs w:val="24"/>
        </w:rPr>
        <w:t xml:space="preserve">Office of the </w:t>
      </w:r>
      <w:r w:rsidR="00D24A0E" w:rsidRPr="0039236E">
        <w:rPr>
          <w:rFonts w:ascii="Arial" w:hAnsi="Arial" w:cs="Arial"/>
          <w:sz w:val="24"/>
          <w:szCs w:val="24"/>
        </w:rPr>
        <w:t>Ohio Consumers Counsel (“OCC”) and the Ohio Partners for Affordable Energy (“OPAE”)</w:t>
      </w:r>
      <w:r w:rsidRPr="0039236E">
        <w:rPr>
          <w:rFonts w:ascii="Arial" w:hAnsi="Arial" w:cs="Arial"/>
          <w:sz w:val="24"/>
          <w:szCs w:val="24"/>
        </w:rPr>
        <w:t xml:space="preserve">. </w:t>
      </w:r>
      <w:r w:rsidR="0021535C">
        <w:rPr>
          <w:rFonts w:ascii="Arial" w:hAnsi="Arial" w:cs="Arial"/>
          <w:sz w:val="24"/>
          <w:szCs w:val="24"/>
        </w:rPr>
        <w:t>Specifically</w:t>
      </w:r>
      <w:r w:rsidRPr="0039236E">
        <w:rPr>
          <w:rFonts w:ascii="Arial" w:hAnsi="Arial" w:cs="Arial"/>
          <w:sz w:val="24"/>
          <w:szCs w:val="24"/>
        </w:rPr>
        <w:t xml:space="preserve"> this </w:t>
      </w:r>
      <w:r w:rsidR="00455EDC" w:rsidRPr="0039236E">
        <w:rPr>
          <w:rFonts w:ascii="Arial" w:hAnsi="Arial" w:cs="Arial"/>
          <w:sz w:val="24"/>
          <w:szCs w:val="24"/>
        </w:rPr>
        <w:t xml:space="preserve">Reply </w:t>
      </w:r>
      <w:r w:rsidRPr="0039236E">
        <w:rPr>
          <w:rFonts w:ascii="Arial" w:hAnsi="Arial" w:cs="Arial"/>
          <w:sz w:val="24"/>
          <w:szCs w:val="24"/>
        </w:rPr>
        <w:t>Brief address</w:t>
      </w:r>
      <w:r w:rsidR="0021535C">
        <w:rPr>
          <w:rFonts w:ascii="Arial" w:hAnsi="Arial" w:cs="Arial"/>
          <w:sz w:val="24"/>
          <w:szCs w:val="24"/>
        </w:rPr>
        <w:t>es</w:t>
      </w:r>
      <w:r w:rsidRPr="0039236E">
        <w:rPr>
          <w:rFonts w:ascii="Arial" w:hAnsi="Arial" w:cs="Arial"/>
          <w:sz w:val="24"/>
          <w:szCs w:val="24"/>
        </w:rPr>
        <w:t xml:space="preserve"> </w:t>
      </w:r>
      <w:r w:rsidR="00455EDC" w:rsidRPr="0039236E">
        <w:rPr>
          <w:rFonts w:ascii="Arial" w:hAnsi="Arial" w:cs="Arial"/>
          <w:sz w:val="24"/>
          <w:szCs w:val="24"/>
        </w:rPr>
        <w:t>the benefits of expanding Time of Use (“TOU”) programs, the allocation of costs associated with TOU programs, and OPAE’s requested implementation of shadow billing for TOU programs.</w:t>
      </w:r>
    </w:p>
    <w:p w14:paraId="5F607FD4" w14:textId="3D392E55" w:rsidR="000178F3" w:rsidRPr="0039236E" w:rsidRDefault="000178F3" w:rsidP="0039236E">
      <w:pPr>
        <w:spacing w:line="480" w:lineRule="auto"/>
        <w:ind w:firstLine="360"/>
        <w:jc w:val="both"/>
        <w:rPr>
          <w:rFonts w:ascii="Arial" w:hAnsi="Arial" w:cs="Arial"/>
          <w:sz w:val="24"/>
          <w:szCs w:val="24"/>
        </w:rPr>
      </w:pPr>
      <w:r w:rsidRPr="0039236E">
        <w:rPr>
          <w:rFonts w:ascii="Arial" w:hAnsi="Arial" w:cs="Arial"/>
          <w:sz w:val="24"/>
          <w:szCs w:val="24"/>
        </w:rPr>
        <w:t>Contrary to the arguments made in opposition</w:t>
      </w:r>
      <w:r w:rsidR="0021535C">
        <w:rPr>
          <w:rFonts w:ascii="Arial" w:hAnsi="Arial" w:cs="Arial"/>
          <w:sz w:val="24"/>
          <w:szCs w:val="24"/>
        </w:rPr>
        <w:t>,</w:t>
      </w:r>
      <w:r w:rsidRPr="0039236E">
        <w:rPr>
          <w:rFonts w:ascii="Arial" w:hAnsi="Arial" w:cs="Arial"/>
          <w:sz w:val="24"/>
          <w:szCs w:val="24"/>
        </w:rPr>
        <w:t xml:space="preserve"> TOU programs provided by </w:t>
      </w:r>
      <w:r w:rsidR="00495A2B">
        <w:rPr>
          <w:rFonts w:ascii="Arial" w:hAnsi="Arial" w:cs="Arial"/>
          <w:sz w:val="24"/>
          <w:szCs w:val="24"/>
        </w:rPr>
        <w:t>c</w:t>
      </w:r>
      <w:r w:rsidRPr="0039236E">
        <w:rPr>
          <w:rFonts w:ascii="Arial" w:hAnsi="Arial" w:cs="Arial"/>
          <w:sz w:val="24"/>
          <w:szCs w:val="24"/>
        </w:rPr>
        <w:t xml:space="preserve">ompetitive </w:t>
      </w:r>
      <w:r w:rsidR="00495A2B">
        <w:rPr>
          <w:rFonts w:ascii="Arial" w:hAnsi="Arial" w:cs="Arial"/>
          <w:sz w:val="24"/>
          <w:szCs w:val="24"/>
        </w:rPr>
        <w:t>r</w:t>
      </w:r>
      <w:r w:rsidRPr="0039236E">
        <w:rPr>
          <w:rFonts w:ascii="Arial" w:hAnsi="Arial" w:cs="Arial"/>
          <w:sz w:val="24"/>
          <w:szCs w:val="24"/>
        </w:rPr>
        <w:t xml:space="preserve">etail </w:t>
      </w:r>
      <w:r w:rsidR="00495A2B">
        <w:rPr>
          <w:rFonts w:ascii="Arial" w:hAnsi="Arial" w:cs="Arial"/>
          <w:sz w:val="24"/>
          <w:szCs w:val="24"/>
        </w:rPr>
        <w:t>e</w:t>
      </w:r>
      <w:r w:rsidRPr="0039236E">
        <w:rPr>
          <w:rFonts w:ascii="Arial" w:hAnsi="Arial" w:cs="Arial"/>
          <w:sz w:val="24"/>
          <w:szCs w:val="24"/>
        </w:rPr>
        <w:t xml:space="preserve">lectric </w:t>
      </w:r>
      <w:proofErr w:type="gramStart"/>
      <w:r w:rsidR="00495A2B">
        <w:rPr>
          <w:rFonts w:ascii="Arial" w:hAnsi="Arial" w:cs="Arial"/>
          <w:sz w:val="24"/>
          <w:szCs w:val="24"/>
        </w:rPr>
        <w:t xml:space="preserve">service </w:t>
      </w:r>
      <w:r w:rsidRPr="0039236E">
        <w:rPr>
          <w:rFonts w:ascii="Arial" w:hAnsi="Arial" w:cs="Arial"/>
          <w:sz w:val="24"/>
          <w:szCs w:val="24"/>
        </w:rPr>
        <w:t xml:space="preserve"> (</w:t>
      </w:r>
      <w:proofErr w:type="gramEnd"/>
      <w:r w:rsidRPr="0039236E">
        <w:rPr>
          <w:rFonts w:ascii="Arial" w:hAnsi="Arial" w:cs="Arial"/>
          <w:sz w:val="24"/>
          <w:szCs w:val="24"/>
        </w:rPr>
        <w:t>“CRES”)</w:t>
      </w:r>
      <w:r w:rsidR="00495A2B">
        <w:rPr>
          <w:rFonts w:ascii="Arial" w:hAnsi="Arial" w:cs="Arial"/>
          <w:sz w:val="24"/>
          <w:szCs w:val="24"/>
        </w:rPr>
        <w:t xml:space="preserve"> providers</w:t>
      </w:r>
      <w:r w:rsidRPr="0039236E">
        <w:rPr>
          <w:rFonts w:ascii="Arial" w:hAnsi="Arial" w:cs="Arial"/>
          <w:sz w:val="24"/>
          <w:szCs w:val="24"/>
        </w:rPr>
        <w:t>, as proposed in the Stipulation, have the ability to provide benefits to every</w:t>
      </w:r>
      <w:r w:rsidR="00495A2B">
        <w:rPr>
          <w:rFonts w:ascii="Arial" w:hAnsi="Arial" w:cs="Arial"/>
          <w:sz w:val="24"/>
          <w:szCs w:val="24"/>
        </w:rPr>
        <w:t xml:space="preserve"> Ohio Power Company (“</w:t>
      </w:r>
      <w:r w:rsidRPr="0039236E">
        <w:rPr>
          <w:rFonts w:ascii="Arial" w:hAnsi="Arial" w:cs="Arial"/>
          <w:sz w:val="24"/>
          <w:szCs w:val="24"/>
        </w:rPr>
        <w:t>AEP</w:t>
      </w:r>
      <w:r w:rsidR="00495A2B">
        <w:rPr>
          <w:rFonts w:ascii="Arial" w:hAnsi="Arial" w:cs="Arial"/>
          <w:sz w:val="24"/>
          <w:szCs w:val="24"/>
        </w:rPr>
        <w:t>”)</w:t>
      </w:r>
      <w:r w:rsidRPr="0039236E">
        <w:rPr>
          <w:rFonts w:ascii="Arial" w:hAnsi="Arial" w:cs="Arial"/>
          <w:sz w:val="24"/>
          <w:szCs w:val="24"/>
        </w:rPr>
        <w:t xml:space="preserve"> customer on varying levels. Accordingly, the Commission should reject the arguments submitted by OCC and OPAE.</w:t>
      </w:r>
    </w:p>
    <w:p w14:paraId="02C7F663" w14:textId="4C18B31C" w:rsidR="000178F3" w:rsidRPr="0039236E" w:rsidRDefault="0039236E" w:rsidP="0039236E">
      <w:pPr>
        <w:pStyle w:val="ListParagraph"/>
        <w:numPr>
          <w:ilvl w:val="0"/>
          <w:numId w:val="2"/>
        </w:numPr>
        <w:spacing w:line="360" w:lineRule="auto"/>
        <w:rPr>
          <w:rFonts w:ascii="Arial" w:hAnsi="Arial" w:cs="Arial"/>
          <w:b/>
          <w:sz w:val="24"/>
          <w:szCs w:val="24"/>
        </w:rPr>
      </w:pPr>
      <w:r>
        <w:rPr>
          <w:rFonts w:ascii="Arial" w:hAnsi="Arial" w:cs="Arial"/>
          <w:b/>
          <w:sz w:val="24"/>
          <w:szCs w:val="24"/>
        </w:rPr>
        <w:t>ARGUMENT</w:t>
      </w:r>
      <w:r w:rsidR="000178F3" w:rsidRPr="0039236E">
        <w:rPr>
          <w:rFonts w:ascii="Arial" w:hAnsi="Arial" w:cs="Arial"/>
          <w:b/>
          <w:sz w:val="24"/>
          <w:szCs w:val="24"/>
        </w:rPr>
        <w:t xml:space="preserve">: </w:t>
      </w:r>
    </w:p>
    <w:p w14:paraId="21D914BF" w14:textId="3272654B" w:rsidR="00720C52" w:rsidRPr="0039236E" w:rsidRDefault="00720C52" w:rsidP="0039236E">
      <w:pPr>
        <w:pStyle w:val="ListParagraph"/>
        <w:numPr>
          <w:ilvl w:val="0"/>
          <w:numId w:val="3"/>
        </w:numPr>
        <w:spacing w:line="480" w:lineRule="auto"/>
        <w:jc w:val="both"/>
        <w:rPr>
          <w:rFonts w:ascii="Arial" w:hAnsi="Arial" w:cs="Arial"/>
          <w:b/>
          <w:sz w:val="24"/>
          <w:szCs w:val="24"/>
        </w:rPr>
      </w:pPr>
      <w:r w:rsidRPr="0039236E">
        <w:rPr>
          <w:rFonts w:ascii="Arial" w:hAnsi="Arial" w:cs="Arial"/>
          <w:b/>
          <w:sz w:val="24"/>
          <w:szCs w:val="24"/>
        </w:rPr>
        <w:t xml:space="preserve">The Benefits of Time of Use Programs </w:t>
      </w:r>
    </w:p>
    <w:p w14:paraId="1FFDA4E0" w14:textId="34DC09B8" w:rsidR="00720C52" w:rsidRPr="0039236E" w:rsidRDefault="00192812" w:rsidP="0039236E">
      <w:pPr>
        <w:spacing w:line="480" w:lineRule="auto"/>
        <w:ind w:firstLine="360"/>
        <w:jc w:val="both"/>
        <w:rPr>
          <w:rFonts w:ascii="Arial" w:hAnsi="Arial" w:cs="Arial"/>
          <w:sz w:val="24"/>
          <w:szCs w:val="24"/>
        </w:rPr>
      </w:pPr>
      <w:r w:rsidRPr="0039236E">
        <w:rPr>
          <w:rFonts w:ascii="Arial" w:hAnsi="Arial" w:cs="Arial"/>
          <w:sz w:val="24"/>
          <w:szCs w:val="24"/>
        </w:rPr>
        <w:t xml:space="preserve">Both OCC and OPAE </w:t>
      </w:r>
      <w:r w:rsidR="00D177B2" w:rsidRPr="0039236E">
        <w:rPr>
          <w:rFonts w:ascii="Arial" w:hAnsi="Arial" w:cs="Arial"/>
          <w:sz w:val="24"/>
          <w:szCs w:val="24"/>
        </w:rPr>
        <w:t>challenge</w:t>
      </w:r>
      <w:r w:rsidRPr="0039236E">
        <w:rPr>
          <w:rFonts w:ascii="Arial" w:hAnsi="Arial" w:cs="Arial"/>
          <w:sz w:val="24"/>
          <w:szCs w:val="24"/>
        </w:rPr>
        <w:t xml:space="preserve"> the potential benefits of TOU rates being made available to a much larger swath of AEP</w:t>
      </w:r>
      <w:r w:rsidR="00607450" w:rsidRPr="0039236E">
        <w:rPr>
          <w:rFonts w:ascii="Arial" w:hAnsi="Arial" w:cs="Arial"/>
          <w:sz w:val="24"/>
          <w:szCs w:val="24"/>
        </w:rPr>
        <w:t xml:space="preserve"> customers as part of the proposed Stipulation. </w:t>
      </w:r>
      <w:r w:rsidR="00E17A1E" w:rsidRPr="0039236E">
        <w:rPr>
          <w:rFonts w:ascii="Arial" w:hAnsi="Arial" w:cs="Arial"/>
          <w:sz w:val="24"/>
          <w:szCs w:val="24"/>
        </w:rPr>
        <w:t xml:space="preserve">OCC’s </w:t>
      </w:r>
      <w:r w:rsidR="00152183" w:rsidRPr="0039236E">
        <w:rPr>
          <w:rFonts w:ascii="Arial" w:hAnsi="Arial" w:cs="Arial"/>
          <w:sz w:val="24"/>
          <w:szCs w:val="24"/>
        </w:rPr>
        <w:t xml:space="preserve">post-hearing brief states that </w:t>
      </w:r>
      <w:r w:rsidR="002618C9" w:rsidRPr="0039236E">
        <w:rPr>
          <w:rFonts w:ascii="Arial" w:hAnsi="Arial" w:cs="Arial"/>
          <w:sz w:val="24"/>
          <w:szCs w:val="24"/>
        </w:rPr>
        <w:t xml:space="preserve">the costs of the web portal, as proposed in the </w:t>
      </w:r>
      <w:r w:rsidR="002618C9" w:rsidRPr="0039236E">
        <w:rPr>
          <w:rFonts w:ascii="Arial" w:hAnsi="Arial" w:cs="Arial"/>
          <w:sz w:val="24"/>
          <w:szCs w:val="24"/>
        </w:rPr>
        <w:lastRenderedPageBreak/>
        <w:t>Stipulation</w:t>
      </w:r>
      <w:r w:rsidR="00237289" w:rsidRPr="0039236E">
        <w:rPr>
          <w:rFonts w:ascii="Arial" w:hAnsi="Arial" w:cs="Arial"/>
          <w:sz w:val="24"/>
          <w:szCs w:val="24"/>
        </w:rPr>
        <w:t xml:space="preserve"> to provide</w:t>
      </w:r>
      <w:r w:rsidR="00495A2B">
        <w:rPr>
          <w:rFonts w:ascii="Arial" w:hAnsi="Arial" w:cs="Arial"/>
          <w:sz w:val="24"/>
          <w:szCs w:val="24"/>
        </w:rPr>
        <w:t xml:space="preserve"> interval data to</w:t>
      </w:r>
      <w:r w:rsidR="00237289" w:rsidRPr="0039236E">
        <w:rPr>
          <w:rFonts w:ascii="Arial" w:hAnsi="Arial" w:cs="Arial"/>
          <w:sz w:val="24"/>
          <w:szCs w:val="24"/>
        </w:rPr>
        <w:t xml:space="preserve"> CRES</w:t>
      </w:r>
      <w:r w:rsidR="00495A2B">
        <w:rPr>
          <w:rFonts w:ascii="Arial" w:hAnsi="Arial" w:cs="Arial"/>
          <w:sz w:val="24"/>
          <w:szCs w:val="24"/>
        </w:rPr>
        <w:t xml:space="preserve"> providers</w:t>
      </w:r>
      <w:r w:rsidR="002618C9" w:rsidRPr="0039236E">
        <w:rPr>
          <w:rFonts w:ascii="Arial" w:hAnsi="Arial" w:cs="Arial"/>
          <w:sz w:val="24"/>
          <w:szCs w:val="24"/>
        </w:rPr>
        <w:t xml:space="preserve">, will be “borne by residential customers – even those who are not </w:t>
      </w:r>
      <w:r w:rsidR="009B0EC5" w:rsidRPr="0039236E">
        <w:rPr>
          <w:rFonts w:ascii="Arial" w:hAnsi="Arial" w:cs="Arial"/>
          <w:sz w:val="24"/>
          <w:szCs w:val="24"/>
        </w:rPr>
        <w:t xml:space="preserve">[sic] </w:t>
      </w:r>
      <w:r w:rsidR="00DB0751" w:rsidRPr="0039236E">
        <w:rPr>
          <w:rFonts w:ascii="Arial" w:hAnsi="Arial" w:cs="Arial"/>
          <w:sz w:val="24"/>
          <w:szCs w:val="24"/>
        </w:rPr>
        <w:t>on a TOU rate or cannot even participate in a TOU program.”</w:t>
      </w:r>
      <w:r w:rsidR="00DB0751" w:rsidRPr="0039236E">
        <w:rPr>
          <w:rFonts w:ascii="Arial" w:hAnsi="Arial" w:cs="Arial"/>
          <w:sz w:val="24"/>
          <w:szCs w:val="24"/>
          <w:vertAlign w:val="superscript"/>
        </w:rPr>
        <w:footnoteReference w:id="1"/>
      </w:r>
      <w:r w:rsidR="00DB0751" w:rsidRPr="0039236E">
        <w:rPr>
          <w:rFonts w:ascii="Arial" w:hAnsi="Arial" w:cs="Arial"/>
          <w:sz w:val="24"/>
          <w:szCs w:val="24"/>
        </w:rPr>
        <w:t xml:space="preserve"> OPAE echoes a similar sentim</w:t>
      </w:r>
      <w:r w:rsidR="00237289" w:rsidRPr="0039236E">
        <w:rPr>
          <w:rFonts w:ascii="Arial" w:hAnsi="Arial" w:cs="Arial"/>
          <w:sz w:val="24"/>
          <w:szCs w:val="24"/>
        </w:rPr>
        <w:t>ent in their post-hearing brief</w:t>
      </w:r>
      <w:r w:rsidR="00D177B2" w:rsidRPr="0039236E">
        <w:rPr>
          <w:rFonts w:ascii="Arial" w:hAnsi="Arial" w:cs="Arial"/>
          <w:sz w:val="24"/>
          <w:szCs w:val="24"/>
        </w:rPr>
        <w:t xml:space="preserve"> stating,</w:t>
      </w:r>
      <w:r w:rsidR="00DB0751" w:rsidRPr="0039236E">
        <w:rPr>
          <w:rFonts w:ascii="Arial" w:hAnsi="Arial" w:cs="Arial"/>
          <w:sz w:val="24"/>
          <w:szCs w:val="24"/>
        </w:rPr>
        <w:t xml:space="preserve"> “the costs will be collected from all customers regardless of whether they participate in a TOU program or not.”</w:t>
      </w:r>
      <w:r w:rsidR="00DB0751" w:rsidRPr="0039236E">
        <w:rPr>
          <w:rFonts w:ascii="Arial" w:hAnsi="Arial" w:cs="Arial"/>
          <w:sz w:val="24"/>
          <w:szCs w:val="24"/>
          <w:vertAlign w:val="superscript"/>
        </w:rPr>
        <w:footnoteReference w:id="2"/>
      </w:r>
      <w:r w:rsidR="00DB0751" w:rsidRPr="0039236E">
        <w:rPr>
          <w:rFonts w:ascii="Arial" w:hAnsi="Arial" w:cs="Arial"/>
          <w:sz w:val="24"/>
          <w:szCs w:val="24"/>
        </w:rPr>
        <w:t xml:space="preserve"> </w:t>
      </w:r>
      <w:r w:rsidR="001A748C" w:rsidRPr="0039236E">
        <w:rPr>
          <w:rFonts w:ascii="Arial" w:hAnsi="Arial" w:cs="Arial"/>
          <w:sz w:val="24"/>
          <w:szCs w:val="24"/>
        </w:rPr>
        <w:t xml:space="preserve">Both the OCC and OPAE miss the mark when judging the overall impact of TOU programs. </w:t>
      </w:r>
    </w:p>
    <w:p w14:paraId="6B9F2D76" w14:textId="21A166E0" w:rsidR="0021535C" w:rsidRDefault="001A748C" w:rsidP="0039236E">
      <w:pPr>
        <w:spacing w:line="480" w:lineRule="auto"/>
        <w:ind w:firstLine="360"/>
        <w:jc w:val="both"/>
        <w:rPr>
          <w:rFonts w:ascii="Arial" w:hAnsi="Arial" w:cs="Arial"/>
          <w:sz w:val="24"/>
          <w:szCs w:val="24"/>
        </w:rPr>
      </w:pPr>
      <w:r w:rsidRPr="0039236E">
        <w:rPr>
          <w:rFonts w:ascii="Arial" w:hAnsi="Arial" w:cs="Arial"/>
          <w:sz w:val="24"/>
          <w:szCs w:val="24"/>
        </w:rPr>
        <w:t>TOU programs are designed to promote</w:t>
      </w:r>
      <w:r w:rsidR="00D177B2" w:rsidRPr="0039236E">
        <w:rPr>
          <w:rFonts w:ascii="Arial" w:hAnsi="Arial" w:cs="Arial"/>
          <w:sz w:val="24"/>
          <w:szCs w:val="24"/>
        </w:rPr>
        <w:t xml:space="preserve"> and incentivize</w:t>
      </w:r>
      <w:r w:rsidRPr="0039236E">
        <w:rPr>
          <w:rFonts w:ascii="Arial" w:hAnsi="Arial" w:cs="Arial"/>
          <w:sz w:val="24"/>
          <w:szCs w:val="24"/>
        </w:rPr>
        <w:t xml:space="preserve"> customer behavioral shifts</w:t>
      </w:r>
      <w:r w:rsidR="00237289" w:rsidRPr="0039236E">
        <w:rPr>
          <w:rFonts w:ascii="Arial" w:hAnsi="Arial" w:cs="Arial"/>
          <w:sz w:val="24"/>
          <w:szCs w:val="24"/>
        </w:rPr>
        <w:t xml:space="preserve"> that will impact both the customer participating in the program and also the grid as a whole by reducing demand at peak moments. T</w:t>
      </w:r>
      <w:r w:rsidRPr="0039236E">
        <w:rPr>
          <w:rFonts w:ascii="Arial" w:hAnsi="Arial" w:cs="Arial"/>
          <w:sz w:val="24"/>
          <w:szCs w:val="24"/>
        </w:rPr>
        <w:t>he correct incentive structure</w:t>
      </w:r>
      <w:r w:rsidR="00237289" w:rsidRPr="0039236E">
        <w:rPr>
          <w:rFonts w:ascii="Arial" w:hAnsi="Arial" w:cs="Arial"/>
          <w:sz w:val="24"/>
          <w:szCs w:val="24"/>
        </w:rPr>
        <w:t xml:space="preserve"> will provide customers the ability</w:t>
      </w:r>
      <w:r w:rsidRPr="0039236E">
        <w:rPr>
          <w:rFonts w:ascii="Arial" w:hAnsi="Arial" w:cs="Arial"/>
          <w:sz w:val="24"/>
          <w:szCs w:val="24"/>
        </w:rPr>
        <w:t xml:space="preserve"> </w:t>
      </w:r>
      <w:r w:rsidR="000C51AA">
        <w:rPr>
          <w:rFonts w:ascii="Arial" w:hAnsi="Arial" w:cs="Arial"/>
          <w:sz w:val="24"/>
          <w:szCs w:val="24"/>
        </w:rPr>
        <w:t xml:space="preserve">to </w:t>
      </w:r>
      <w:r w:rsidR="00D177B2" w:rsidRPr="0039236E">
        <w:rPr>
          <w:rFonts w:ascii="Arial" w:hAnsi="Arial" w:cs="Arial"/>
          <w:sz w:val="24"/>
          <w:szCs w:val="24"/>
        </w:rPr>
        <w:t>benefit</w:t>
      </w:r>
      <w:r w:rsidRPr="0039236E">
        <w:rPr>
          <w:rFonts w:ascii="Arial" w:hAnsi="Arial" w:cs="Arial"/>
          <w:sz w:val="24"/>
          <w:szCs w:val="24"/>
        </w:rPr>
        <w:t xml:space="preserve"> from these new behaviors</w:t>
      </w:r>
      <w:r w:rsidR="005B4217" w:rsidRPr="0039236E">
        <w:rPr>
          <w:rFonts w:ascii="Arial" w:hAnsi="Arial" w:cs="Arial"/>
          <w:sz w:val="24"/>
          <w:szCs w:val="24"/>
        </w:rPr>
        <w:t xml:space="preserve"> while customers not directly participating</w:t>
      </w:r>
      <w:r w:rsidR="00237289" w:rsidRPr="0039236E">
        <w:rPr>
          <w:rFonts w:ascii="Arial" w:hAnsi="Arial" w:cs="Arial"/>
          <w:sz w:val="24"/>
          <w:szCs w:val="24"/>
        </w:rPr>
        <w:t xml:space="preserve"> receive the benefit of less congestion on the grid </w:t>
      </w:r>
      <w:r w:rsidR="00787A57" w:rsidRPr="0039236E">
        <w:rPr>
          <w:rFonts w:ascii="Arial" w:hAnsi="Arial" w:cs="Arial"/>
          <w:sz w:val="24"/>
          <w:szCs w:val="24"/>
        </w:rPr>
        <w:t>during peak ti</w:t>
      </w:r>
      <w:r w:rsidR="005B4217" w:rsidRPr="0039236E">
        <w:rPr>
          <w:rFonts w:ascii="Arial" w:hAnsi="Arial" w:cs="Arial"/>
          <w:sz w:val="24"/>
          <w:szCs w:val="24"/>
        </w:rPr>
        <w:t>m</w:t>
      </w:r>
      <w:r w:rsidR="00787A57" w:rsidRPr="0039236E">
        <w:rPr>
          <w:rFonts w:ascii="Arial" w:hAnsi="Arial" w:cs="Arial"/>
          <w:sz w:val="24"/>
          <w:szCs w:val="24"/>
        </w:rPr>
        <w:t>e</w:t>
      </w:r>
      <w:r w:rsidR="005B4217" w:rsidRPr="0039236E">
        <w:rPr>
          <w:rFonts w:ascii="Arial" w:hAnsi="Arial" w:cs="Arial"/>
          <w:sz w:val="24"/>
          <w:szCs w:val="24"/>
        </w:rPr>
        <w:t>s</w:t>
      </w:r>
      <w:r w:rsidR="00D177B2" w:rsidRPr="0039236E">
        <w:rPr>
          <w:rFonts w:ascii="Arial" w:hAnsi="Arial" w:cs="Arial"/>
          <w:sz w:val="24"/>
          <w:szCs w:val="24"/>
        </w:rPr>
        <w:t xml:space="preserve"> and, consequently,  lower wholesale prices</w:t>
      </w:r>
      <w:r w:rsidRPr="0039236E">
        <w:rPr>
          <w:rFonts w:ascii="Arial" w:hAnsi="Arial" w:cs="Arial"/>
          <w:sz w:val="24"/>
          <w:szCs w:val="24"/>
        </w:rPr>
        <w:t xml:space="preserve">. AEP witness </w:t>
      </w:r>
      <w:proofErr w:type="spellStart"/>
      <w:r w:rsidRPr="0039236E">
        <w:rPr>
          <w:rFonts w:ascii="Arial" w:hAnsi="Arial" w:cs="Arial"/>
          <w:sz w:val="24"/>
          <w:szCs w:val="24"/>
        </w:rPr>
        <w:t>Os</w:t>
      </w:r>
      <w:r w:rsidR="004076F4" w:rsidRPr="0039236E">
        <w:rPr>
          <w:rFonts w:ascii="Arial" w:hAnsi="Arial" w:cs="Arial"/>
          <w:sz w:val="24"/>
          <w:szCs w:val="24"/>
        </w:rPr>
        <w:t>terholt</w:t>
      </w:r>
      <w:proofErr w:type="spellEnd"/>
      <w:r w:rsidR="004076F4" w:rsidRPr="0039236E">
        <w:rPr>
          <w:rFonts w:ascii="Arial" w:hAnsi="Arial" w:cs="Arial"/>
          <w:sz w:val="24"/>
          <w:szCs w:val="24"/>
        </w:rPr>
        <w:t xml:space="preserve"> described the portal as “an important tool for CRES providers in identifying </w:t>
      </w:r>
      <w:r w:rsidR="00787A57" w:rsidRPr="0039236E">
        <w:rPr>
          <w:rFonts w:ascii="Arial" w:hAnsi="Arial" w:cs="Arial"/>
          <w:sz w:val="24"/>
          <w:szCs w:val="24"/>
        </w:rPr>
        <w:t>which customers are the best candidate for TOU rates.”</w:t>
      </w:r>
      <w:r w:rsidR="00787A57" w:rsidRPr="0039236E">
        <w:rPr>
          <w:rFonts w:ascii="Arial" w:hAnsi="Arial" w:cs="Arial"/>
          <w:sz w:val="24"/>
          <w:szCs w:val="24"/>
          <w:vertAlign w:val="superscript"/>
        </w:rPr>
        <w:footnoteReference w:id="3"/>
      </w:r>
      <w:r w:rsidR="004076F4" w:rsidRPr="0039236E">
        <w:rPr>
          <w:rFonts w:ascii="Arial" w:hAnsi="Arial" w:cs="Arial"/>
          <w:sz w:val="24"/>
          <w:szCs w:val="24"/>
        </w:rPr>
        <w:t xml:space="preserve"> </w:t>
      </w:r>
    </w:p>
    <w:p w14:paraId="434B1B5E" w14:textId="70DE9D84" w:rsidR="002421D7" w:rsidRPr="0039236E" w:rsidRDefault="00A822C1" w:rsidP="00495A2B">
      <w:pPr>
        <w:spacing w:line="480" w:lineRule="auto"/>
        <w:ind w:firstLine="360"/>
        <w:jc w:val="both"/>
        <w:rPr>
          <w:rFonts w:ascii="Arial" w:hAnsi="Arial" w:cs="Arial"/>
          <w:sz w:val="24"/>
          <w:szCs w:val="24"/>
        </w:rPr>
      </w:pPr>
      <w:r w:rsidRPr="0039236E">
        <w:rPr>
          <w:rFonts w:ascii="Arial" w:hAnsi="Arial" w:cs="Arial"/>
          <w:sz w:val="24"/>
          <w:szCs w:val="24"/>
        </w:rPr>
        <w:t>TOU program are functioning correctly when certain</w:t>
      </w:r>
      <w:r w:rsidR="000E7BE5" w:rsidRPr="0039236E">
        <w:rPr>
          <w:rFonts w:ascii="Arial" w:hAnsi="Arial" w:cs="Arial"/>
          <w:sz w:val="24"/>
          <w:szCs w:val="24"/>
        </w:rPr>
        <w:t xml:space="preserve"> customer</w:t>
      </w:r>
      <w:r w:rsidRPr="0039236E">
        <w:rPr>
          <w:rFonts w:ascii="Arial" w:hAnsi="Arial" w:cs="Arial"/>
          <w:sz w:val="24"/>
          <w:szCs w:val="24"/>
        </w:rPr>
        <w:t>s are</w:t>
      </w:r>
      <w:r w:rsidR="000E7BE5" w:rsidRPr="0039236E">
        <w:rPr>
          <w:rFonts w:ascii="Arial" w:hAnsi="Arial" w:cs="Arial"/>
          <w:sz w:val="24"/>
          <w:szCs w:val="24"/>
        </w:rPr>
        <w:t xml:space="preserve"> properly engaged and incentivized</w:t>
      </w:r>
      <w:r w:rsidRPr="0039236E">
        <w:rPr>
          <w:rFonts w:ascii="Arial" w:hAnsi="Arial" w:cs="Arial"/>
          <w:sz w:val="24"/>
          <w:szCs w:val="24"/>
        </w:rPr>
        <w:t xml:space="preserve"> to alter their usage patterns at peak time and other customers benefit from</w:t>
      </w:r>
      <w:r w:rsidR="00CC48CB" w:rsidRPr="0039236E">
        <w:rPr>
          <w:rFonts w:ascii="Arial" w:hAnsi="Arial" w:cs="Arial"/>
          <w:sz w:val="24"/>
          <w:szCs w:val="24"/>
        </w:rPr>
        <w:t xml:space="preserve"> system-wide</w:t>
      </w:r>
      <w:r w:rsidRPr="0039236E">
        <w:rPr>
          <w:rFonts w:ascii="Arial" w:hAnsi="Arial" w:cs="Arial"/>
          <w:sz w:val="24"/>
          <w:szCs w:val="24"/>
        </w:rPr>
        <w:t xml:space="preserve"> decreased demand.</w:t>
      </w:r>
      <w:r w:rsidR="00CC48CB" w:rsidRPr="0039236E">
        <w:rPr>
          <w:rFonts w:ascii="Arial" w:hAnsi="Arial" w:cs="Arial"/>
          <w:sz w:val="24"/>
          <w:szCs w:val="24"/>
        </w:rPr>
        <w:t xml:space="preserve"> </w:t>
      </w:r>
      <w:r w:rsidR="0021535C">
        <w:rPr>
          <w:rFonts w:ascii="Arial" w:hAnsi="Arial" w:cs="Arial"/>
          <w:sz w:val="24"/>
          <w:szCs w:val="24"/>
        </w:rPr>
        <w:t xml:space="preserve">In order to do this properly, and receive the most system benefit, there needs to be a system that makes TOU </w:t>
      </w:r>
      <w:r w:rsidR="0098032B">
        <w:rPr>
          <w:rFonts w:ascii="Arial" w:hAnsi="Arial" w:cs="Arial"/>
          <w:sz w:val="24"/>
          <w:szCs w:val="24"/>
        </w:rPr>
        <w:t>programs</w:t>
      </w:r>
      <w:r w:rsidR="0021535C">
        <w:rPr>
          <w:rFonts w:ascii="Arial" w:hAnsi="Arial" w:cs="Arial"/>
          <w:sz w:val="24"/>
          <w:szCs w:val="24"/>
        </w:rPr>
        <w:t xml:space="preserve"> available to all customers, even if some customers may not avail themselves of such an option.  For </w:t>
      </w:r>
      <w:r w:rsidR="0021535C">
        <w:rPr>
          <w:rFonts w:ascii="Arial" w:hAnsi="Arial" w:cs="Arial"/>
          <w:sz w:val="24"/>
          <w:szCs w:val="24"/>
        </w:rPr>
        <w:lastRenderedPageBreak/>
        <w:t xml:space="preserve">these reasons, developing a portal to all CRES providers to provide TOU </w:t>
      </w:r>
      <w:r w:rsidR="00495A2B">
        <w:rPr>
          <w:rFonts w:ascii="Arial" w:hAnsi="Arial" w:cs="Arial"/>
          <w:sz w:val="24"/>
          <w:szCs w:val="24"/>
        </w:rPr>
        <w:t>program</w:t>
      </w:r>
      <w:r w:rsidR="0098032B">
        <w:rPr>
          <w:rFonts w:ascii="Arial" w:hAnsi="Arial" w:cs="Arial"/>
          <w:sz w:val="24"/>
          <w:szCs w:val="24"/>
        </w:rPr>
        <w:t>s</w:t>
      </w:r>
      <w:r w:rsidR="0021535C">
        <w:rPr>
          <w:rFonts w:ascii="Arial" w:hAnsi="Arial" w:cs="Arial"/>
          <w:sz w:val="24"/>
          <w:szCs w:val="24"/>
        </w:rPr>
        <w:t xml:space="preserve"> to customers, bring great benefits to all customers, contrary to OCC</w:t>
      </w:r>
      <w:r w:rsidR="00495A2B">
        <w:rPr>
          <w:rFonts w:ascii="Arial" w:hAnsi="Arial" w:cs="Arial"/>
          <w:sz w:val="24"/>
          <w:szCs w:val="24"/>
        </w:rPr>
        <w:t>’s</w:t>
      </w:r>
      <w:r w:rsidR="0021535C">
        <w:rPr>
          <w:rFonts w:ascii="Arial" w:hAnsi="Arial" w:cs="Arial"/>
          <w:sz w:val="24"/>
          <w:szCs w:val="24"/>
        </w:rPr>
        <w:t xml:space="preserve"> and OPAE</w:t>
      </w:r>
      <w:r w:rsidR="00495A2B">
        <w:rPr>
          <w:rFonts w:ascii="Arial" w:hAnsi="Arial" w:cs="Arial"/>
          <w:sz w:val="24"/>
          <w:szCs w:val="24"/>
        </w:rPr>
        <w:t>’s</w:t>
      </w:r>
      <w:r w:rsidR="0021535C">
        <w:rPr>
          <w:rFonts w:ascii="Arial" w:hAnsi="Arial" w:cs="Arial"/>
          <w:sz w:val="24"/>
          <w:szCs w:val="24"/>
        </w:rPr>
        <w:t xml:space="preserve"> claims.</w:t>
      </w:r>
    </w:p>
    <w:p w14:paraId="19A382F3" w14:textId="771E0839" w:rsidR="00720C52" w:rsidRPr="0039236E" w:rsidRDefault="00720C52" w:rsidP="0039236E">
      <w:pPr>
        <w:pStyle w:val="ListParagraph"/>
        <w:numPr>
          <w:ilvl w:val="0"/>
          <w:numId w:val="3"/>
        </w:numPr>
        <w:spacing w:line="480" w:lineRule="auto"/>
        <w:jc w:val="both"/>
        <w:rPr>
          <w:rFonts w:ascii="Arial" w:hAnsi="Arial" w:cs="Arial"/>
          <w:b/>
          <w:sz w:val="24"/>
          <w:szCs w:val="24"/>
        </w:rPr>
      </w:pPr>
      <w:r w:rsidRPr="0039236E">
        <w:rPr>
          <w:rFonts w:ascii="Arial" w:hAnsi="Arial" w:cs="Arial"/>
          <w:b/>
          <w:sz w:val="24"/>
          <w:szCs w:val="24"/>
        </w:rPr>
        <w:t xml:space="preserve"> Appropriate Allocation of Costs</w:t>
      </w:r>
    </w:p>
    <w:p w14:paraId="30E36BD6" w14:textId="0AA35372" w:rsidR="00720C52" w:rsidRPr="0039236E" w:rsidRDefault="00720C52" w:rsidP="0039236E">
      <w:pPr>
        <w:spacing w:line="480" w:lineRule="auto"/>
        <w:ind w:firstLine="360"/>
        <w:jc w:val="both"/>
        <w:rPr>
          <w:rFonts w:ascii="Arial" w:hAnsi="Arial" w:cs="Arial"/>
          <w:sz w:val="24"/>
          <w:szCs w:val="24"/>
        </w:rPr>
      </w:pPr>
      <w:r w:rsidRPr="0039236E">
        <w:rPr>
          <w:rFonts w:ascii="Arial" w:hAnsi="Arial" w:cs="Arial"/>
          <w:sz w:val="24"/>
          <w:szCs w:val="24"/>
        </w:rPr>
        <w:t xml:space="preserve">OPEA </w:t>
      </w:r>
      <w:r w:rsidR="00D177B2" w:rsidRPr="0039236E">
        <w:rPr>
          <w:rFonts w:ascii="Arial" w:hAnsi="Arial" w:cs="Arial"/>
          <w:sz w:val="24"/>
          <w:szCs w:val="24"/>
        </w:rPr>
        <w:t>challenges the stipulation’s proposal to allocate the costs of the web portal, stating</w:t>
      </w:r>
      <w:r w:rsidRPr="0039236E">
        <w:rPr>
          <w:rFonts w:ascii="Arial" w:hAnsi="Arial" w:cs="Arial"/>
          <w:sz w:val="24"/>
          <w:szCs w:val="24"/>
        </w:rPr>
        <w:t xml:space="preserve"> </w:t>
      </w:r>
      <w:r w:rsidR="00763F2C">
        <w:rPr>
          <w:rFonts w:ascii="Arial" w:hAnsi="Arial" w:cs="Arial"/>
          <w:sz w:val="24"/>
          <w:szCs w:val="24"/>
        </w:rPr>
        <w:t>tha</w:t>
      </w:r>
      <w:r w:rsidR="00CC48CB" w:rsidRPr="0039236E">
        <w:rPr>
          <w:rFonts w:ascii="Arial" w:hAnsi="Arial" w:cs="Arial"/>
          <w:sz w:val="24"/>
          <w:szCs w:val="24"/>
        </w:rPr>
        <w:t xml:space="preserve">t </w:t>
      </w:r>
      <w:r w:rsidRPr="0039236E">
        <w:rPr>
          <w:rFonts w:ascii="Arial" w:hAnsi="Arial" w:cs="Arial"/>
          <w:sz w:val="24"/>
          <w:szCs w:val="24"/>
        </w:rPr>
        <w:t>“</w:t>
      </w:r>
      <w:r w:rsidR="00763F2C" w:rsidRPr="00763F2C">
        <w:rPr>
          <w:rFonts w:ascii="Arial" w:hAnsi="Arial" w:cs="Arial"/>
          <w:sz w:val="24"/>
          <w:szCs w:val="24"/>
        </w:rPr>
        <w:t>the Stipulation should be modified to require that CRES providers, the beneficiaries of the stipulated provisions for TOU rates, pay for the web portal and other infrastructure investments required to implement TOU rates</w:t>
      </w:r>
      <w:r w:rsidR="00763F2C">
        <w:t>.</w:t>
      </w:r>
      <w:r w:rsidRPr="0039236E">
        <w:rPr>
          <w:rFonts w:ascii="Arial" w:hAnsi="Arial" w:cs="Arial"/>
          <w:sz w:val="24"/>
          <w:szCs w:val="24"/>
        </w:rPr>
        <w:t>”</w:t>
      </w:r>
      <w:r w:rsidRPr="0039236E">
        <w:rPr>
          <w:rFonts w:ascii="Arial" w:hAnsi="Arial" w:cs="Arial"/>
          <w:sz w:val="24"/>
          <w:szCs w:val="24"/>
          <w:vertAlign w:val="superscript"/>
        </w:rPr>
        <w:footnoteReference w:id="4"/>
      </w:r>
      <w:r w:rsidRPr="0039236E">
        <w:rPr>
          <w:rFonts w:ascii="Arial" w:hAnsi="Arial" w:cs="Arial"/>
          <w:sz w:val="24"/>
          <w:szCs w:val="24"/>
        </w:rPr>
        <w:t xml:space="preserve"> OCC mirrors OPEA’s argument in their post hearing brief as well.</w:t>
      </w:r>
      <w:r w:rsidRPr="0039236E">
        <w:rPr>
          <w:rFonts w:ascii="Arial" w:hAnsi="Arial" w:cs="Arial"/>
          <w:sz w:val="24"/>
          <w:szCs w:val="24"/>
          <w:vertAlign w:val="superscript"/>
        </w:rPr>
        <w:footnoteReference w:id="5"/>
      </w:r>
      <w:r w:rsidRPr="0039236E">
        <w:rPr>
          <w:rFonts w:ascii="Arial" w:hAnsi="Arial" w:cs="Arial"/>
          <w:sz w:val="24"/>
          <w:szCs w:val="24"/>
          <w:vertAlign w:val="superscript"/>
        </w:rPr>
        <w:t xml:space="preserve"> </w:t>
      </w:r>
      <w:r w:rsidRPr="0039236E">
        <w:rPr>
          <w:rFonts w:ascii="Arial" w:hAnsi="Arial" w:cs="Arial"/>
          <w:sz w:val="24"/>
          <w:szCs w:val="24"/>
        </w:rPr>
        <w:t>The logi</w:t>
      </w:r>
      <w:r w:rsidR="00495A2B">
        <w:rPr>
          <w:rFonts w:ascii="Arial" w:hAnsi="Arial" w:cs="Arial"/>
          <w:sz w:val="24"/>
          <w:szCs w:val="24"/>
        </w:rPr>
        <w:t xml:space="preserve">c of this </w:t>
      </w:r>
      <w:r w:rsidRPr="0039236E">
        <w:rPr>
          <w:rFonts w:ascii="Arial" w:hAnsi="Arial" w:cs="Arial"/>
          <w:sz w:val="24"/>
          <w:szCs w:val="24"/>
        </w:rPr>
        <w:t>argument is flawed on two fronts.</w:t>
      </w:r>
    </w:p>
    <w:p w14:paraId="1FACB621" w14:textId="6CBA3B98" w:rsidR="00D34CBF" w:rsidRPr="0039236E" w:rsidRDefault="00D177B2" w:rsidP="0039236E">
      <w:pPr>
        <w:spacing w:line="480" w:lineRule="auto"/>
        <w:ind w:firstLine="360"/>
        <w:jc w:val="both"/>
        <w:rPr>
          <w:rFonts w:ascii="Arial" w:hAnsi="Arial" w:cs="Arial"/>
          <w:sz w:val="24"/>
          <w:szCs w:val="24"/>
        </w:rPr>
      </w:pPr>
      <w:r w:rsidRPr="0039236E">
        <w:rPr>
          <w:rFonts w:ascii="Arial" w:hAnsi="Arial" w:cs="Arial"/>
          <w:sz w:val="24"/>
          <w:szCs w:val="24"/>
        </w:rPr>
        <w:t>Initially, the web portal is a part of AEP’s billing system that CRES providers cannot control or develop through their own means.  Until the Commission declares otherwise, billing is a non-competitive distribution service under Ohio law.</w:t>
      </w:r>
      <w:r w:rsidR="00495A2B">
        <w:rPr>
          <w:rStyle w:val="FootnoteReference"/>
          <w:rFonts w:ascii="Arial" w:hAnsi="Arial" w:cs="Arial"/>
          <w:sz w:val="24"/>
          <w:szCs w:val="24"/>
        </w:rPr>
        <w:footnoteReference w:id="6"/>
      </w:r>
      <w:r w:rsidRPr="0039236E">
        <w:rPr>
          <w:rFonts w:ascii="Arial" w:hAnsi="Arial" w:cs="Arial"/>
          <w:sz w:val="24"/>
          <w:szCs w:val="24"/>
        </w:rPr>
        <w:t xml:space="preserve">  Distribution-related costs are born by all distribution customers.  Moreover, t</w:t>
      </w:r>
      <w:r w:rsidR="00D34CBF" w:rsidRPr="0039236E">
        <w:rPr>
          <w:rFonts w:ascii="Arial" w:hAnsi="Arial" w:cs="Arial"/>
          <w:sz w:val="24"/>
          <w:szCs w:val="24"/>
        </w:rPr>
        <w:t xml:space="preserve">he costs associated with developing </w:t>
      </w:r>
      <w:r w:rsidR="00CA253A" w:rsidRPr="0039236E">
        <w:rPr>
          <w:rFonts w:ascii="Arial" w:hAnsi="Arial" w:cs="Arial"/>
          <w:sz w:val="24"/>
          <w:szCs w:val="24"/>
        </w:rPr>
        <w:t>the CRES web portal should be allocated across all customers, as all customers have the ability to benefit either directly or indirectly from the expansion of TOU programs. Direct Energy witness Ringenbach outlined only a few of the many potential programs or rates that can be developed using the web portal data.</w:t>
      </w:r>
      <w:r w:rsidR="00CA253A" w:rsidRPr="0039236E">
        <w:rPr>
          <w:rFonts w:ascii="Arial" w:hAnsi="Arial" w:cs="Arial"/>
          <w:sz w:val="24"/>
          <w:szCs w:val="24"/>
          <w:vertAlign w:val="superscript"/>
        </w:rPr>
        <w:footnoteReference w:id="7"/>
      </w:r>
      <w:r w:rsidR="00CA253A" w:rsidRPr="0039236E">
        <w:rPr>
          <w:rFonts w:ascii="Arial" w:hAnsi="Arial" w:cs="Arial"/>
          <w:sz w:val="24"/>
          <w:szCs w:val="24"/>
        </w:rPr>
        <w:t xml:space="preserve">  </w:t>
      </w:r>
    </w:p>
    <w:p w14:paraId="1A2D4D63" w14:textId="64C6CC21" w:rsidR="002421D7" w:rsidRPr="0039236E" w:rsidRDefault="00CA253A">
      <w:pPr>
        <w:spacing w:line="480" w:lineRule="auto"/>
        <w:ind w:firstLine="360"/>
        <w:jc w:val="both"/>
        <w:rPr>
          <w:rFonts w:ascii="Arial" w:hAnsi="Arial" w:cs="Arial"/>
          <w:sz w:val="24"/>
          <w:szCs w:val="24"/>
        </w:rPr>
      </w:pPr>
      <w:r w:rsidRPr="0039236E">
        <w:rPr>
          <w:rFonts w:ascii="Arial" w:hAnsi="Arial" w:cs="Arial"/>
          <w:sz w:val="24"/>
          <w:szCs w:val="24"/>
        </w:rPr>
        <w:t>Furthermore all customers, including shopping customers who have been unable to access the benefits of AEP’s pilot TOU programs, have paid for the</w:t>
      </w:r>
      <w:r w:rsidR="00CA2660" w:rsidRPr="0039236E">
        <w:rPr>
          <w:rFonts w:ascii="Arial" w:hAnsi="Arial" w:cs="Arial"/>
          <w:sz w:val="24"/>
          <w:szCs w:val="24"/>
        </w:rPr>
        <w:t xml:space="preserve"> development of</w:t>
      </w:r>
      <w:r w:rsidR="00B94B13" w:rsidRPr="0039236E">
        <w:rPr>
          <w:rFonts w:ascii="Arial" w:hAnsi="Arial" w:cs="Arial"/>
          <w:sz w:val="24"/>
          <w:szCs w:val="24"/>
        </w:rPr>
        <w:t xml:space="preserve"> AEP’s </w:t>
      </w:r>
      <w:r w:rsidR="00B94B13" w:rsidRPr="0039236E">
        <w:rPr>
          <w:rFonts w:ascii="Arial" w:hAnsi="Arial" w:cs="Arial"/>
          <w:sz w:val="24"/>
          <w:szCs w:val="24"/>
        </w:rPr>
        <w:lastRenderedPageBreak/>
        <w:t>existing TOU programs</w:t>
      </w:r>
      <w:r w:rsidR="00CA2660" w:rsidRPr="0039236E">
        <w:rPr>
          <w:rFonts w:ascii="Arial" w:hAnsi="Arial" w:cs="Arial"/>
          <w:sz w:val="24"/>
          <w:szCs w:val="24"/>
        </w:rPr>
        <w:t xml:space="preserve"> through </w:t>
      </w:r>
      <w:proofErr w:type="spellStart"/>
      <w:r w:rsidR="00CA2660" w:rsidRPr="0039236E">
        <w:rPr>
          <w:rFonts w:ascii="Arial" w:hAnsi="Arial" w:cs="Arial"/>
          <w:sz w:val="24"/>
          <w:szCs w:val="24"/>
        </w:rPr>
        <w:t>gridSMART</w:t>
      </w:r>
      <w:proofErr w:type="spellEnd"/>
      <w:r w:rsidR="00CA2660" w:rsidRPr="0039236E">
        <w:rPr>
          <w:rFonts w:ascii="Arial" w:hAnsi="Arial" w:cs="Arial"/>
          <w:sz w:val="24"/>
          <w:szCs w:val="24"/>
        </w:rPr>
        <w:t xml:space="preserve"> Phase 1.</w:t>
      </w:r>
      <w:r w:rsidR="00CA2660" w:rsidRPr="0039236E">
        <w:rPr>
          <w:rFonts w:ascii="Arial" w:hAnsi="Arial" w:cs="Arial"/>
          <w:sz w:val="24"/>
          <w:szCs w:val="24"/>
          <w:vertAlign w:val="superscript"/>
        </w:rPr>
        <w:footnoteReference w:id="8"/>
      </w:r>
      <w:r w:rsidR="00CA2660" w:rsidRPr="0039236E">
        <w:rPr>
          <w:rFonts w:ascii="Arial" w:hAnsi="Arial" w:cs="Arial"/>
          <w:sz w:val="24"/>
          <w:szCs w:val="24"/>
          <w:vertAlign w:val="superscript"/>
        </w:rPr>
        <w:t xml:space="preserve"> </w:t>
      </w:r>
      <w:r w:rsidR="00B94B13" w:rsidRPr="0039236E">
        <w:rPr>
          <w:rFonts w:ascii="Arial" w:hAnsi="Arial" w:cs="Arial"/>
          <w:sz w:val="24"/>
          <w:szCs w:val="24"/>
        </w:rPr>
        <w:t xml:space="preserve">It defies logic to require shopping customers to pay for pilot programs only available to default service customers and to then require shopping customers to pay for the web portal needed for their own TOU programs. Such a paradigm would be unduly discriminatory and unreasonable.  </w:t>
      </w:r>
    </w:p>
    <w:p w14:paraId="3B23B0B6" w14:textId="4A9D9C9D" w:rsidR="003B3875" w:rsidRPr="0039236E" w:rsidRDefault="003B3875" w:rsidP="0039236E">
      <w:pPr>
        <w:pStyle w:val="ListParagraph"/>
        <w:numPr>
          <w:ilvl w:val="0"/>
          <w:numId w:val="3"/>
        </w:numPr>
        <w:spacing w:line="480" w:lineRule="auto"/>
        <w:jc w:val="both"/>
        <w:rPr>
          <w:rFonts w:ascii="Arial" w:hAnsi="Arial" w:cs="Arial"/>
          <w:b/>
          <w:sz w:val="24"/>
          <w:szCs w:val="24"/>
        </w:rPr>
      </w:pPr>
      <w:r w:rsidRPr="0039236E">
        <w:rPr>
          <w:rFonts w:ascii="Arial" w:hAnsi="Arial" w:cs="Arial"/>
          <w:b/>
          <w:sz w:val="24"/>
          <w:szCs w:val="24"/>
        </w:rPr>
        <w:t xml:space="preserve"> Shadow Billing is not applicable to TOU programs</w:t>
      </w:r>
    </w:p>
    <w:p w14:paraId="633F1127" w14:textId="4F73D6DF" w:rsidR="00B94B13" w:rsidRPr="0039236E" w:rsidRDefault="003B3875" w:rsidP="0039236E">
      <w:pPr>
        <w:spacing w:line="480" w:lineRule="auto"/>
        <w:ind w:firstLine="360"/>
        <w:jc w:val="both"/>
        <w:rPr>
          <w:rFonts w:ascii="Arial" w:hAnsi="Arial" w:cs="Arial"/>
          <w:sz w:val="24"/>
          <w:szCs w:val="24"/>
        </w:rPr>
      </w:pPr>
      <w:r w:rsidRPr="0039236E">
        <w:rPr>
          <w:rFonts w:ascii="Arial" w:hAnsi="Arial" w:cs="Arial"/>
          <w:sz w:val="24"/>
          <w:szCs w:val="24"/>
        </w:rPr>
        <w:t>OPEA asserts that AEP should be required to perform shadow billing on the TOU programs offered with their service territory to determine “if customers on TOU rates are actually saving money, especially with respect to the CRES TOU programs.”</w:t>
      </w:r>
      <w:r w:rsidRPr="0039236E">
        <w:rPr>
          <w:rFonts w:ascii="Arial" w:hAnsi="Arial" w:cs="Arial"/>
          <w:sz w:val="24"/>
          <w:szCs w:val="24"/>
          <w:vertAlign w:val="superscript"/>
        </w:rPr>
        <w:footnoteReference w:id="9"/>
      </w:r>
      <w:r w:rsidRPr="0039236E">
        <w:rPr>
          <w:rFonts w:ascii="Arial" w:hAnsi="Arial" w:cs="Arial"/>
          <w:sz w:val="24"/>
          <w:szCs w:val="24"/>
        </w:rPr>
        <w:t xml:space="preserve"> </w:t>
      </w:r>
      <w:r w:rsidR="00B94B13" w:rsidRPr="0039236E">
        <w:rPr>
          <w:rFonts w:ascii="Arial" w:hAnsi="Arial" w:cs="Arial"/>
          <w:sz w:val="24"/>
          <w:szCs w:val="24"/>
        </w:rPr>
        <w:t>OPAE’s proposal is as unreasonable as it is underdeveloped and misguided.</w:t>
      </w:r>
      <w:r w:rsidRPr="0039236E">
        <w:rPr>
          <w:rFonts w:ascii="Arial" w:hAnsi="Arial" w:cs="Arial"/>
          <w:sz w:val="24"/>
          <w:szCs w:val="24"/>
        </w:rPr>
        <w:t xml:space="preserve"> </w:t>
      </w:r>
    </w:p>
    <w:p w14:paraId="6CA4231B" w14:textId="77777777" w:rsidR="0021535C" w:rsidRDefault="00B94B13" w:rsidP="0039236E">
      <w:pPr>
        <w:spacing w:line="480" w:lineRule="auto"/>
        <w:ind w:firstLine="360"/>
        <w:jc w:val="both"/>
        <w:rPr>
          <w:rFonts w:ascii="Arial" w:hAnsi="Arial" w:cs="Arial"/>
          <w:sz w:val="24"/>
          <w:szCs w:val="24"/>
        </w:rPr>
      </w:pPr>
      <w:r w:rsidRPr="0039236E">
        <w:rPr>
          <w:rFonts w:ascii="Arial" w:hAnsi="Arial" w:cs="Arial"/>
          <w:sz w:val="24"/>
          <w:szCs w:val="24"/>
        </w:rPr>
        <w:t xml:space="preserve">Initially, </w:t>
      </w:r>
      <w:r w:rsidR="000D0FB9" w:rsidRPr="0039236E">
        <w:rPr>
          <w:rFonts w:ascii="Arial" w:hAnsi="Arial" w:cs="Arial"/>
          <w:sz w:val="24"/>
          <w:szCs w:val="24"/>
        </w:rPr>
        <w:t xml:space="preserve">OPAE does not specify what rate they suggest to compare the TOU programs. Comparing TOU rates against the default service rate is the same as comparing </w:t>
      </w:r>
      <w:r w:rsidRPr="0039236E">
        <w:rPr>
          <w:rFonts w:ascii="Arial" w:hAnsi="Arial" w:cs="Arial"/>
          <w:sz w:val="24"/>
          <w:szCs w:val="24"/>
        </w:rPr>
        <w:t>fish tacos to apples</w:t>
      </w:r>
      <w:r w:rsidR="000D0FB9" w:rsidRPr="0039236E">
        <w:rPr>
          <w:rFonts w:ascii="Arial" w:hAnsi="Arial" w:cs="Arial"/>
          <w:sz w:val="24"/>
          <w:szCs w:val="24"/>
        </w:rPr>
        <w:t xml:space="preserve">. Because of the ability of CRES providers to tailor TOU programs that fit specific customer needs, the way in which customers are compensated can vary widely. Any comparison of TOU rates to any other rate is not reasonable because of the level of engagement a customer has in impacting their usage and overall cost. </w:t>
      </w:r>
    </w:p>
    <w:p w14:paraId="5E6023FB" w14:textId="58C35144" w:rsidR="002421D7" w:rsidRPr="0039236E" w:rsidRDefault="00B94B13" w:rsidP="00B3783A">
      <w:pPr>
        <w:spacing w:line="480" w:lineRule="auto"/>
        <w:ind w:firstLine="360"/>
        <w:jc w:val="both"/>
        <w:rPr>
          <w:rFonts w:ascii="Arial" w:hAnsi="Arial" w:cs="Arial"/>
          <w:sz w:val="24"/>
          <w:szCs w:val="24"/>
        </w:rPr>
      </w:pPr>
      <w:r w:rsidRPr="0039236E">
        <w:rPr>
          <w:rFonts w:ascii="Arial" w:hAnsi="Arial" w:cs="Arial"/>
          <w:sz w:val="24"/>
          <w:szCs w:val="24"/>
        </w:rPr>
        <w:t>Ultimately, TOU programs are designed to promote behavioral change among customers.  The behavioral change will dictate the bill the customer receives.  Comparing the amount the customer pays, however, to some other unrelated product would be unjust and unreasonable and likely lead to customer confusion. Therefore the C</w:t>
      </w:r>
      <w:r w:rsidR="00B3783A">
        <w:rPr>
          <w:rFonts w:ascii="Arial" w:hAnsi="Arial" w:cs="Arial"/>
          <w:sz w:val="24"/>
          <w:szCs w:val="24"/>
        </w:rPr>
        <w:t xml:space="preserve">ommission should reject OPAE’s </w:t>
      </w:r>
      <w:r w:rsidRPr="0039236E">
        <w:rPr>
          <w:rFonts w:ascii="Arial" w:hAnsi="Arial" w:cs="Arial"/>
          <w:sz w:val="24"/>
          <w:szCs w:val="24"/>
        </w:rPr>
        <w:t>propo</w:t>
      </w:r>
      <w:r w:rsidR="00B3783A">
        <w:rPr>
          <w:rFonts w:ascii="Arial" w:hAnsi="Arial" w:cs="Arial"/>
          <w:sz w:val="24"/>
          <w:szCs w:val="24"/>
        </w:rPr>
        <w:t>sal to implement shadow billing.</w:t>
      </w:r>
    </w:p>
    <w:p w14:paraId="6293F6A1" w14:textId="32957E55" w:rsidR="00A822C1" w:rsidRPr="00763F2C" w:rsidRDefault="0039236E" w:rsidP="00763F2C">
      <w:pPr>
        <w:pStyle w:val="ListParagraph"/>
        <w:numPr>
          <w:ilvl w:val="0"/>
          <w:numId w:val="2"/>
        </w:numPr>
        <w:spacing w:line="480" w:lineRule="auto"/>
        <w:jc w:val="both"/>
        <w:rPr>
          <w:rFonts w:ascii="Arial" w:hAnsi="Arial" w:cs="Arial"/>
          <w:b/>
          <w:sz w:val="24"/>
          <w:szCs w:val="24"/>
        </w:rPr>
      </w:pPr>
      <w:r w:rsidRPr="00763F2C">
        <w:rPr>
          <w:rFonts w:ascii="Arial" w:hAnsi="Arial" w:cs="Arial"/>
          <w:b/>
          <w:sz w:val="24"/>
          <w:szCs w:val="24"/>
        </w:rPr>
        <w:lastRenderedPageBreak/>
        <w:t>CONCLUSION</w:t>
      </w:r>
      <w:r w:rsidR="000178F3" w:rsidRPr="00763F2C">
        <w:rPr>
          <w:rFonts w:ascii="Arial" w:hAnsi="Arial" w:cs="Arial"/>
          <w:b/>
          <w:sz w:val="24"/>
          <w:szCs w:val="24"/>
        </w:rPr>
        <w:t xml:space="preserve">: </w:t>
      </w:r>
    </w:p>
    <w:p w14:paraId="18718E37" w14:textId="37CAAA07" w:rsidR="0096332B" w:rsidRDefault="000178F3" w:rsidP="00251BD4">
      <w:pPr>
        <w:spacing w:line="480" w:lineRule="auto"/>
        <w:jc w:val="both"/>
        <w:rPr>
          <w:rFonts w:ascii="Arial" w:hAnsi="Arial" w:cs="Arial"/>
          <w:sz w:val="24"/>
          <w:szCs w:val="24"/>
        </w:rPr>
      </w:pPr>
      <w:r w:rsidRPr="0039236E">
        <w:rPr>
          <w:rFonts w:ascii="Arial" w:hAnsi="Arial" w:cs="Arial"/>
          <w:sz w:val="24"/>
          <w:szCs w:val="24"/>
        </w:rPr>
        <w:tab/>
        <w:t>TOU programs offered by a broad market have the ability to provide benefits to customers across all customer classes and all income levels.</w:t>
      </w:r>
      <w:r w:rsidR="00C47323" w:rsidRPr="0039236E">
        <w:rPr>
          <w:rFonts w:ascii="Arial" w:hAnsi="Arial" w:cs="Arial"/>
          <w:sz w:val="24"/>
          <w:szCs w:val="24"/>
        </w:rPr>
        <w:t xml:space="preserve"> Infrastructure costs associated with the offering of TOU programs should be collected across the entire customer base, as each customer has the ability to receive value.</w:t>
      </w:r>
      <w:r w:rsidRPr="0039236E">
        <w:rPr>
          <w:rFonts w:ascii="Arial" w:hAnsi="Arial" w:cs="Arial"/>
          <w:sz w:val="24"/>
          <w:szCs w:val="24"/>
        </w:rPr>
        <w:t xml:space="preserve"> </w:t>
      </w:r>
      <w:r w:rsidR="0021535C">
        <w:rPr>
          <w:rFonts w:ascii="Arial" w:hAnsi="Arial" w:cs="Arial"/>
          <w:sz w:val="24"/>
          <w:szCs w:val="24"/>
        </w:rPr>
        <w:t xml:space="preserve">Further, </w:t>
      </w:r>
      <w:r w:rsidR="0096332B">
        <w:rPr>
          <w:rFonts w:ascii="Arial" w:hAnsi="Arial" w:cs="Arial"/>
          <w:sz w:val="24"/>
          <w:szCs w:val="24"/>
        </w:rPr>
        <w:t>s</w:t>
      </w:r>
      <w:r w:rsidRPr="0039236E">
        <w:rPr>
          <w:rFonts w:ascii="Arial" w:hAnsi="Arial" w:cs="Arial"/>
          <w:sz w:val="24"/>
          <w:szCs w:val="24"/>
        </w:rPr>
        <w:t xml:space="preserve">hadow billing is not applicable to a rate structure that is completely dependent on customer engagement, as a difference in final cost is simply reflective of specific customer engagement and shifts in energy pricing. Accordingly the </w:t>
      </w:r>
      <w:r w:rsidR="00C47323" w:rsidRPr="0039236E">
        <w:rPr>
          <w:rFonts w:ascii="Arial" w:hAnsi="Arial" w:cs="Arial"/>
          <w:sz w:val="24"/>
          <w:szCs w:val="24"/>
        </w:rPr>
        <w:t>Commission</w:t>
      </w:r>
      <w:r w:rsidRPr="0039236E">
        <w:rPr>
          <w:rFonts w:ascii="Arial" w:hAnsi="Arial" w:cs="Arial"/>
          <w:sz w:val="24"/>
          <w:szCs w:val="24"/>
        </w:rPr>
        <w:t xml:space="preserve"> </w:t>
      </w:r>
      <w:r w:rsidR="00C47323" w:rsidRPr="0039236E">
        <w:rPr>
          <w:rFonts w:ascii="Arial" w:hAnsi="Arial" w:cs="Arial"/>
          <w:sz w:val="24"/>
          <w:szCs w:val="24"/>
        </w:rPr>
        <w:t>should</w:t>
      </w:r>
      <w:r w:rsidRPr="0039236E">
        <w:rPr>
          <w:rFonts w:ascii="Arial" w:hAnsi="Arial" w:cs="Arial"/>
          <w:sz w:val="24"/>
          <w:szCs w:val="24"/>
        </w:rPr>
        <w:t xml:space="preserve"> reject the arguments made by OCC and OPAE that challenge the implementation of TOU programs by CRES providers. </w:t>
      </w:r>
    </w:p>
    <w:p w14:paraId="21F4F94A" w14:textId="77777777" w:rsidR="0039236E" w:rsidRDefault="0039236E" w:rsidP="0039236E">
      <w:pPr>
        <w:spacing w:line="480" w:lineRule="auto"/>
        <w:ind w:left="4320" w:firstLine="720"/>
        <w:jc w:val="both"/>
        <w:rPr>
          <w:rFonts w:ascii="Arial" w:hAnsi="Arial" w:cs="Arial"/>
          <w:sz w:val="24"/>
          <w:szCs w:val="24"/>
        </w:rPr>
      </w:pPr>
      <w:r>
        <w:rPr>
          <w:rFonts w:ascii="Arial" w:hAnsi="Arial" w:cs="Arial"/>
          <w:sz w:val="24"/>
          <w:szCs w:val="24"/>
        </w:rPr>
        <w:t>Respectfully Submitted,</w:t>
      </w:r>
    </w:p>
    <w:p w14:paraId="4E0C5AE5" w14:textId="77777777" w:rsidR="0039236E" w:rsidRDefault="0039236E" w:rsidP="0039236E">
      <w:pPr>
        <w:spacing w:after="0" w:line="240" w:lineRule="auto"/>
        <w:ind w:left="4770"/>
        <w:rPr>
          <w:rFonts w:ascii="Arial" w:hAnsi="Arial" w:cs="Arial"/>
          <w:sz w:val="24"/>
          <w:szCs w:val="24"/>
        </w:rPr>
      </w:pPr>
      <w:r>
        <w:rPr>
          <w:rFonts w:ascii="Arial" w:hAnsi="Arial" w:cs="Arial"/>
          <w:sz w:val="24"/>
          <w:szCs w:val="24"/>
        </w:rPr>
        <w:tab/>
      </w:r>
    </w:p>
    <w:p w14:paraId="4B07DE91" w14:textId="77777777" w:rsidR="0039236E" w:rsidRPr="00265630" w:rsidRDefault="0039236E" w:rsidP="0039236E">
      <w:pPr>
        <w:spacing w:after="0" w:line="240" w:lineRule="auto"/>
        <w:ind w:left="4770"/>
        <w:rPr>
          <w:rFonts w:ascii="Arial" w:hAnsi="Arial" w:cs="Arial"/>
          <w:b/>
          <w:i/>
          <w:sz w:val="24"/>
          <w:szCs w:val="24"/>
          <w:u w:val="single"/>
        </w:rPr>
      </w:pPr>
      <w:r>
        <w:rPr>
          <w:rFonts w:ascii="Arial" w:hAnsi="Arial" w:cs="Arial"/>
          <w:sz w:val="24"/>
          <w:szCs w:val="24"/>
        </w:rPr>
        <w:tab/>
      </w:r>
      <w:r>
        <w:rPr>
          <w:rFonts w:ascii="Arial" w:hAnsi="Arial" w:cs="Arial"/>
          <w:b/>
          <w:i/>
          <w:sz w:val="24"/>
          <w:szCs w:val="24"/>
          <w:u w:val="single"/>
        </w:rPr>
        <w:t>/s/ Matthew White</w:t>
      </w:r>
    </w:p>
    <w:p w14:paraId="07F23AE5" w14:textId="77777777" w:rsidR="0039236E" w:rsidRDefault="0039236E" w:rsidP="0039236E">
      <w:pPr>
        <w:spacing w:after="0" w:line="240" w:lineRule="auto"/>
        <w:ind w:left="4770" w:firstLine="270"/>
        <w:rPr>
          <w:rFonts w:ascii="Arial" w:hAnsi="Arial" w:cs="Arial"/>
          <w:sz w:val="24"/>
          <w:szCs w:val="24"/>
        </w:rPr>
      </w:pPr>
      <w:r>
        <w:rPr>
          <w:rFonts w:ascii="Arial" w:hAnsi="Arial" w:cs="Arial"/>
          <w:sz w:val="24"/>
          <w:szCs w:val="24"/>
        </w:rPr>
        <w:t>Matthew White (0082859)</w:t>
      </w:r>
    </w:p>
    <w:p w14:paraId="72CA0AFA" w14:textId="77777777" w:rsidR="0039236E" w:rsidRDefault="0039236E" w:rsidP="0039236E">
      <w:pPr>
        <w:spacing w:after="0" w:line="240" w:lineRule="auto"/>
        <w:ind w:left="5040"/>
        <w:rPr>
          <w:rFonts w:ascii="Arial" w:hAnsi="Arial" w:cs="Arial"/>
          <w:sz w:val="24"/>
          <w:szCs w:val="24"/>
        </w:rPr>
      </w:pPr>
      <w:r>
        <w:rPr>
          <w:rFonts w:ascii="Arial" w:hAnsi="Arial" w:cs="Arial"/>
          <w:sz w:val="24"/>
          <w:szCs w:val="24"/>
        </w:rPr>
        <w:t>Counsel of Record</w:t>
      </w:r>
    </w:p>
    <w:p w14:paraId="4C1403F8" w14:textId="77777777" w:rsidR="0039236E" w:rsidRPr="0088309A" w:rsidRDefault="0039236E" w:rsidP="0039236E">
      <w:pPr>
        <w:spacing w:after="0" w:line="240" w:lineRule="auto"/>
        <w:ind w:left="5040"/>
        <w:rPr>
          <w:rFonts w:ascii="Arial" w:hAnsi="Arial" w:cs="Arial"/>
          <w:sz w:val="24"/>
          <w:szCs w:val="24"/>
        </w:rPr>
      </w:pPr>
      <w:r>
        <w:rPr>
          <w:rFonts w:ascii="Arial" w:hAnsi="Arial" w:cs="Arial"/>
          <w:sz w:val="24"/>
          <w:szCs w:val="24"/>
        </w:rPr>
        <w:t>Email: mswhite@igsenergy.com</w:t>
      </w:r>
    </w:p>
    <w:p w14:paraId="36E91158"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Counsel of Record</w:t>
      </w:r>
    </w:p>
    <w:p w14:paraId="264B250D"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IGS Energy</w:t>
      </w:r>
    </w:p>
    <w:p w14:paraId="2BD93386"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6100 Emerald Parkway</w:t>
      </w:r>
    </w:p>
    <w:p w14:paraId="469A6050"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Dublin, Ohio 43016</w:t>
      </w:r>
    </w:p>
    <w:p w14:paraId="2B6DC597"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Telephone:</w:t>
      </w:r>
      <w:r w:rsidRPr="0088309A">
        <w:rPr>
          <w:rFonts w:ascii="Arial" w:hAnsi="Arial" w:cs="Arial"/>
          <w:sz w:val="24"/>
          <w:szCs w:val="24"/>
        </w:rPr>
        <w:tab/>
        <w:t>(614) 659-5000</w:t>
      </w:r>
    </w:p>
    <w:p w14:paraId="2D41F43E" w14:textId="77777777" w:rsidR="0039236E" w:rsidRPr="0088309A" w:rsidRDefault="0039236E" w:rsidP="0039236E">
      <w:pPr>
        <w:spacing w:after="0" w:line="240" w:lineRule="auto"/>
        <w:ind w:left="5040"/>
        <w:rPr>
          <w:rFonts w:ascii="Arial" w:hAnsi="Arial" w:cs="Arial"/>
          <w:sz w:val="24"/>
          <w:szCs w:val="24"/>
        </w:rPr>
      </w:pPr>
      <w:r w:rsidRPr="0088309A">
        <w:rPr>
          <w:rFonts w:ascii="Arial" w:hAnsi="Arial" w:cs="Arial"/>
          <w:sz w:val="24"/>
          <w:szCs w:val="24"/>
        </w:rPr>
        <w:t>Facsimile:</w:t>
      </w:r>
      <w:r w:rsidRPr="0088309A">
        <w:rPr>
          <w:rFonts w:ascii="Arial" w:hAnsi="Arial" w:cs="Arial"/>
          <w:sz w:val="24"/>
          <w:szCs w:val="24"/>
        </w:rPr>
        <w:tab/>
        <w:t>(614) 659-5073</w:t>
      </w:r>
    </w:p>
    <w:p w14:paraId="5643C5D0" w14:textId="77777777" w:rsidR="0039236E" w:rsidRPr="0088309A" w:rsidRDefault="0039236E" w:rsidP="0039236E">
      <w:pPr>
        <w:spacing w:after="0" w:line="240" w:lineRule="auto"/>
        <w:ind w:left="5040"/>
        <w:rPr>
          <w:rFonts w:ascii="Arial" w:hAnsi="Arial" w:cs="Arial"/>
          <w:sz w:val="24"/>
          <w:szCs w:val="24"/>
        </w:rPr>
      </w:pPr>
    </w:p>
    <w:p w14:paraId="26C2BC8D" w14:textId="77777777" w:rsidR="002421D7" w:rsidRDefault="0039236E" w:rsidP="002421D7">
      <w:pPr>
        <w:spacing w:after="0" w:line="240" w:lineRule="auto"/>
        <w:ind w:left="5040"/>
        <w:rPr>
          <w:rFonts w:ascii="Arial" w:hAnsi="Arial" w:cs="Arial"/>
          <w:b/>
          <w:i/>
          <w:sz w:val="24"/>
          <w:szCs w:val="24"/>
        </w:rPr>
      </w:pPr>
      <w:r w:rsidRPr="0088309A">
        <w:rPr>
          <w:rFonts w:ascii="Arial" w:hAnsi="Arial" w:cs="Arial"/>
          <w:b/>
          <w:i/>
          <w:sz w:val="24"/>
          <w:szCs w:val="24"/>
        </w:rPr>
        <w:t>Attorney for IGS Energy</w:t>
      </w:r>
    </w:p>
    <w:p w14:paraId="2951439B" w14:textId="77777777" w:rsidR="002421D7" w:rsidRDefault="002421D7" w:rsidP="002421D7">
      <w:pPr>
        <w:spacing w:after="0" w:line="240" w:lineRule="auto"/>
        <w:ind w:left="5040"/>
        <w:rPr>
          <w:rFonts w:ascii="Arial" w:hAnsi="Arial" w:cs="Arial"/>
          <w:b/>
          <w:i/>
          <w:sz w:val="24"/>
          <w:szCs w:val="24"/>
        </w:rPr>
      </w:pPr>
    </w:p>
    <w:p w14:paraId="5A5DDE98" w14:textId="77777777" w:rsidR="0021535C" w:rsidRDefault="0021535C" w:rsidP="002421D7">
      <w:pPr>
        <w:spacing w:after="0" w:line="240" w:lineRule="auto"/>
        <w:jc w:val="center"/>
        <w:rPr>
          <w:rFonts w:ascii="Arial" w:eastAsia="Arial" w:hAnsi="Arial" w:cs="Arial"/>
          <w:b/>
          <w:sz w:val="24"/>
          <w:szCs w:val="24"/>
          <w:u w:val="single"/>
        </w:rPr>
      </w:pPr>
    </w:p>
    <w:p w14:paraId="58118A33" w14:textId="77777777" w:rsidR="00B3783A" w:rsidRDefault="00B3783A" w:rsidP="002421D7">
      <w:pPr>
        <w:spacing w:after="0" w:line="240" w:lineRule="auto"/>
        <w:jc w:val="center"/>
        <w:rPr>
          <w:rFonts w:ascii="Arial" w:eastAsia="Arial" w:hAnsi="Arial" w:cs="Arial"/>
          <w:b/>
          <w:sz w:val="24"/>
          <w:szCs w:val="24"/>
          <w:u w:val="single"/>
        </w:rPr>
      </w:pPr>
    </w:p>
    <w:p w14:paraId="33EFA0F8" w14:textId="77777777" w:rsidR="00B3783A" w:rsidRDefault="00B3783A" w:rsidP="002421D7">
      <w:pPr>
        <w:spacing w:after="0" w:line="240" w:lineRule="auto"/>
        <w:jc w:val="center"/>
        <w:rPr>
          <w:rFonts w:ascii="Arial" w:eastAsia="Arial" w:hAnsi="Arial" w:cs="Arial"/>
          <w:b/>
          <w:sz w:val="24"/>
          <w:szCs w:val="24"/>
          <w:u w:val="single"/>
        </w:rPr>
      </w:pPr>
    </w:p>
    <w:p w14:paraId="0AFF06CA" w14:textId="77777777" w:rsidR="00B3783A" w:rsidRDefault="00B3783A" w:rsidP="002421D7">
      <w:pPr>
        <w:spacing w:after="0" w:line="240" w:lineRule="auto"/>
        <w:jc w:val="center"/>
        <w:rPr>
          <w:rFonts w:ascii="Arial" w:eastAsia="Arial" w:hAnsi="Arial" w:cs="Arial"/>
          <w:b/>
          <w:sz w:val="24"/>
          <w:szCs w:val="24"/>
          <w:u w:val="single"/>
        </w:rPr>
      </w:pPr>
    </w:p>
    <w:p w14:paraId="74B42BCD" w14:textId="77777777" w:rsidR="00B3783A" w:rsidRDefault="00B3783A" w:rsidP="002421D7">
      <w:pPr>
        <w:spacing w:after="0" w:line="240" w:lineRule="auto"/>
        <w:jc w:val="center"/>
        <w:rPr>
          <w:rFonts w:ascii="Arial" w:eastAsia="Arial" w:hAnsi="Arial" w:cs="Arial"/>
          <w:b/>
          <w:sz w:val="24"/>
          <w:szCs w:val="24"/>
          <w:u w:val="single"/>
        </w:rPr>
      </w:pPr>
    </w:p>
    <w:p w14:paraId="3F014F0F" w14:textId="77777777" w:rsidR="00B3783A" w:rsidRDefault="00B3783A" w:rsidP="002421D7">
      <w:pPr>
        <w:spacing w:after="0" w:line="240" w:lineRule="auto"/>
        <w:jc w:val="center"/>
        <w:rPr>
          <w:rFonts w:ascii="Arial" w:eastAsia="Arial" w:hAnsi="Arial" w:cs="Arial"/>
          <w:b/>
          <w:sz w:val="24"/>
          <w:szCs w:val="24"/>
          <w:u w:val="single"/>
        </w:rPr>
      </w:pPr>
    </w:p>
    <w:p w14:paraId="3042C865" w14:textId="77777777" w:rsidR="00B3783A" w:rsidRDefault="00B3783A" w:rsidP="002421D7">
      <w:pPr>
        <w:spacing w:after="0" w:line="240" w:lineRule="auto"/>
        <w:jc w:val="center"/>
        <w:rPr>
          <w:rFonts w:ascii="Arial" w:eastAsia="Arial" w:hAnsi="Arial" w:cs="Arial"/>
          <w:b/>
          <w:sz w:val="24"/>
          <w:szCs w:val="24"/>
          <w:u w:val="single"/>
        </w:rPr>
      </w:pPr>
    </w:p>
    <w:p w14:paraId="0D0E8B48" w14:textId="77777777" w:rsidR="00B3783A" w:rsidRDefault="00B3783A" w:rsidP="002421D7">
      <w:pPr>
        <w:spacing w:after="0" w:line="240" w:lineRule="auto"/>
        <w:jc w:val="center"/>
        <w:rPr>
          <w:rFonts w:ascii="Arial" w:eastAsia="Arial" w:hAnsi="Arial" w:cs="Arial"/>
          <w:b/>
          <w:sz w:val="24"/>
          <w:szCs w:val="24"/>
          <w:u w:val="single"/>
        </w:rPr>
      </w:pPr>
    </w:p>
    <w:p w14:paraId="020212AA" w14:textId="77777777" w:rsidR="00B3783A" w:rsidRDefault="00B3783A" w:rsidP="002421D7">
      <w:pPr>
        <w:spacing w:after="0" w:line="240" w:lineRule="auto"/>
        <w:jc w:val="center"/>
        <w:rPr>
          <w:rFonts w:ascii="Arial" w:eastAsia="Arial" w:hAnsi="Arial" w:cs="Arial"/>
          <w:b/>
          <w:sz w:val="24"/>
          <w:szCs w:val="24"/>
          <w:u w:val="single"/>
        </w:rPr>
      </w:pPr>
    </w:p>
    <w:p w14:paraId="1D0DB919" w14:textId="17C83754" w:rsidR="0039236E" w:rsidRPr="002421D7" w:rsidRDefault="0039236E" w:rsidP="002421D7">
      <w:pPr>
        <w:spacing w:after="0" w:line="240" w:lineRule="auto"/>
        <w:jc w:val="center"/>
        <w:rPr>
          <w:rFonts w:ascii="Arial" w:hAnsi="Arial" w:cs="Arial"/>
          <w:b/>
          <w:i/>
          <w:sz w:val="24"/>
          <w:szCs w:val="24"/>
        </w:rPr>
      </w:pPr>
      <w:r w:rsidRPr="009D71F6">
        <w:rPr>
          <w:rFonts w:ascii="Arial" w:eastAsia="Arial" w:hAnsi="Arial" w:cs="Arial"/>
          <w:b/>
          <w:sz w:val="24"/>
          <w:szCs w:val="24"/>
          <w:u w:val="single"/>
        </w:rPr>
        <w:lastRenderedPageBreak/>
        <w:t>CERTIFICATE OF SERVICE</w:t>
      </w:r>
    </w:p>
    <w:p w14:paraId="3282B5CC" w14:textId="77777777" w:rsidR="0039236E" w:rsidRPr="00F3286A" w:rsidRDefault="0039236E" w:rsidP="0039236E">
      <w:pPr>
        <w:spacing w:after="0" w:line="240" w:lineRule="auto"/>
        <w:jc w:val="center"/>
        <w:rPr>
          <w:rFonts w:ascii="Arial" w:eastAsia="Arial" w:hAnsi="Arial" w:cs="Arial"/>
          <w:b/>
          <w:sz w:val="24"/>
          <w:szCs w:val="24"/>
          <w:u w:val="single"/>
        </w:rPr>
      </w:pPr>
    </w:p>
    <w:p w14:paraId="5B85120C" w14:textId="35BAFF4D" w:rsidR="0039236E" w:rsidRPr="00F3286A" w:rsidRDefault="0039236E" w:rsidP="0039236E">
      <w:pPr>
        <w:spacing w:after="0" w:line="240" w:lineRule="auto"/>
        <w:jc w:val="both"/>
        <w:rPr>
          <w:rFonts w:ascii="Arial" w:eastAsia="Calibri" w:hAnsi="Arial" w:cs="Arial"/>
          <w:sz w:val="24"/>
          <w:szCs w:val="24"/>
        </w:rPr>
      </w:pPr>
      <w:r w:rsidRPr="00F3286A">
        <w:rPr>
          <w:rFonts w:ascii="Arial" w:eastAsia="Arial" w:hAnsi="Arial" w:cs="Arial"/>
          <w:sz w:val="24"/>
          <w:szCs w:val="24"/>
        </w:rPr>
        <w:tab/>
      </w:r>
      <w:r w:rsidRPr="00F3286A">
        <w:rPr>
          <w:rFonts w:ascii="Arial" w:eastAsia="Calibri" w:hAnsi="Arial" w:cs="Arial"/>
          <w:sz w:val="24"/>
          <w:szCs w:val="24"/>
        </w:rPr>
        <w:t xml:space="preserve">The undersigned hereby certifies that a copy of </w:t>
      </w:r>
      <w:r w:rsidRPr="00F3286A">
        <w:rPr>
          <w:rFonts w:ascii="Arial" w:eastAsia="Calibri" w:hAnsi="Arial" w:cs="Arial"/>
          <w:i/>
          <w:sz w:val="24"/>
          <w:szCs w:val="24"/>
        </w:rPr>
        <w:t xml:space="preserve">Interstate Gas Supply, Inc.’s Initial </w:t>
      </w:r>
      <w:r>
        <w:rPr>
          <w:rFonts w:ascii="Arial" w:eastAsia="Calibri" w:hAnsi="Arial" w:cs="Arial"/>
          <w:i/>
          <w:sz w:val="24"/>
          <w:szCs w:val="24"/>
        </w:rPr>
        <w:t>Brief</w:t>
      </w:r>
      <w:r w:rsidRPr="00F3286A">
        <w:rPr>
          <w:rFonts w:ascii="Arial" w:eastAsia="Calibri" w:hAnsi="Arial" w:cs="Arial"/>
          <w:i/>
          <w:sz w:val="24"/>
          <w:szCs w:val="24"/>
        </w:rPr>
        <w:t xml:space="preserve"> </w:t>
      </w:r>
      <w:r>
        <w:rPr>
          <w:rFonts w:ascii="Arial" w:eastAsia="Calibri" w:hAnsi="Arial" w:cs="Arial"/>
          <w:sz w:val="24"/>
          <w:szCs w:val="24"/>
        </w:rPr>
        <w:t>was served this 16th</w:t>
      </w:r>
      <w:r w:rsidRPr="00F3286A">
        <w:rPr>
          <w:rFonts w:ascii="Arial" w:eastAsia="Calibri" w:hAnsi="Arial" w:cs="Arial"/>
          <w:sz w:val="24"/>
          <w:szCs w:val="24"/>
        </w:rPr>
        <w:t xml:space="preserve"> day of September 2016 via electronic mail upon the following:</w:t>
      </w:r>
    </w:p>
    <w:p w14:paraId="1B124661" w14:textId="77777777" w:rsidR="0039236E" w:rsidRPr="00F3286A" w:rsidRDefault="0039236E" w:rsidP="0039236E">
      <w:pPr>
        <w:spacing w:after="0" w:line="240" w:lineRule="auto"/>
        <w:jc w:val="both"/>
        <w:rPr>
          <w:rFonts w:ascii="Arial" w:eastAsia="Arial" w:hAnsi="Arial" w:cs="Arial"/>
          <w:sz w:val="24"/>
          <w:szCs w:val="24"/>
        </w:rPr>
      </w:pPr>
    </w:p>
    <w:p w14:paraId="2722BFEC" w14:textId="77777777" w:rsidR="0039236E" w:rsidRPr="00F3286A" w:rsidRDefault="0039236E" w:rsidP="0039236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10"/>
        <w:gridCol w:w="4740"/>
      </w:tblGrid>
      <w:tr w:rsidR="0039236E" w:rsidRPr="00F3286A" w14:paraId="6785FFF1" w14:textId="77777777" w:rsidTr="00D85479">
        <w:trPr>
          <w:trHeight w:val="2357"/>
        </w:trPr>
        <w:tc>
          <w:tcPr>
            <w:tcW w:w="4610" w:type="dxa"/>
          </w:tcPr>
          <w:p w14:paraId="7B297B8D"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campbell@whitt-sturtevant.com cmooney@ohiopartners.org dborchers@bricker.com </w:t>
            </w:r>
          </w:p>
          <w:p w14:paraId="0175C09F" w14:textId="77777777" w:rsidR="0039236E" w:rsidRPr="00F3286A" w:rsidRDefault="0039236E" w:rsidP="00D85479">
            <w:pPr>
              <w:rPr>
                <w:rFonts w:ascii="Arial" w:hAnsi="Arial" w:cs="Arial"/>
                <w:sz w:val="24"/>
                <w:szCs w:val="24"/>
              </w:rPr>
            </w:pPr>
            <w:r w:rsidRPr="00F3286A">
              <w:rPr>
                <w:rFonts w:ascii="Arial" w:hAnsi="Arial" w:cs="Arial"/>
                <w:sz w:val="24"/>
                <w:szCs w:val="24"/>
              </w:rPr>
              <w:t>dclark1@aep.com</w:t>
            </w:r>
          </w:p>
          <w:p w14:paraId="1D6B328F"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glpetrucci@vorys.com haydenm@firstenergycorp.com jennifer.lause@directenergy.com jfinnigan@edf.org joseph.clark@directenergy.com </w:t>
            </w:r>
          </w:p>
          <w:p w14:paraId="347F6487"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kfield@elpc.org </w:t>
            </w:r>
          </w:p>
          <w:p w14:paraId="16406673" w14:textId="77777777" w:rsidR="0039236E" w:rsidRPr="00F3286A" w:rsidRDefault="0039236E" w:rsidP="00D85479">
            <w:pPr>
              <w:rPr>
                <w:rFonts w:ascii="Arial" w:hAnsi="Arial" w:cs="Arial"/>
                <w:sz w:val="24"/>
                <w:szCs w:val="24"/>
              </w:rPr>
            </w:pPr>
            <w:r w:rsidRPr="00F3286A">
              <w:rPr>
                <w:rFonts w:ascii="Arial" w:hAnsi="Arial" w:cs="Arial"/>
                <w:sz w:val="24"/>
                <w:szCs w:val="24"/>
              </w:rPr>
              <w:t>Bojko@carpenterlipps.com</w:t>
            </w:r>
          </w:p>
          <w:p w14:paraId="3FA70BFA" w14:textId="77777777" w:rsidR="0039236E" w:rsidRPr="00F3286A" w:rsidRDefault="0039236E" w:rsidP="00D85479">
            <w:pPr>
              <w:rPr>
                <w:rFonts w:ascii="Arial" w:hAnsi="Arial" w:cs="Arial"/>
                <w:sz w:val="24"/>
                <w:szCs w:val="24"/>
              </w:rPr>
            </w:pPr>
            <w:r w:rsidRPr="00F3286A">
              <w:rPr>
                <w:rFonts w:ascii="Arial" w:hAnsi="Arial" w:cs="Arial"/>
                <w:sz w:val="24"/>
                <w:szCs w:val="24"/>
              </w:rPr>
              <w:t>mfleisher@elpc.org</w:t>
            </w:r>
          </w:p>
          <w:p w14:paraId="06834EE0" w14:textId="77777777" w:rsidR="0039236E" w:rsidRPr="00F3286A" w:rsidRDefault="0039236E" w:rsidP="00D85479">
            <w:pPr>
              <w:rPr>
                <w:rFonts w:ascii="Arial" w:hAnsi="Arial" w:cs="Arial"/>
                <w:sz w:val="24"/>
                <w:szCs w:val="24"/>
              </w:rPr>
            </w:pPr>
            <w:r w:rsidRPr="00F3286A">
              <w:rPr>
                <w:rFonts w:ascii="Arial" w:hAnsi="Arial" w:cs="Arial"/>
                <w:sz w:val="24"/>
                <w:szCs w:val="24"/>
              </w:rPr>
              <w:t>yalami@aep.com</w:t>
            </w:r>
          </w:p>
        </w:tc>
        <w:tc>
          <w:tcPr>
            <w:tcW w:w="4740" w:type="dxa"/>
          </w:tcPr>
          <w:p w14:paraId="7675A975"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mpritchard@mwncmh.com msmckenzie@aep.com </w:t>
            </w:r>
          </w:p>
          <w:p w14:paraId="1AF2F5A7"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mjsettineri@vorys.com </w:t>
            </w:r>
          </w:p>
          <w:p w14:paraId="75C6BCCA"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MWarnock@bricker.com </w:t>
            </w:r>
          </w:p>
          <w:p w14:paraId="64458944"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ricks@ohanet.org </w:t>
            </w:r>
          </w:p>
          <w:p w14:paraId="5AAFE785"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scasto@firstenergycorp.com </w:t>
            </w:r>
          </w:p>
          <w:p w14:paraId="2951AFC9"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stnourse@aep.com </w:t>
            </w:r>
          </w:p>
          <w:p w14:paraId="3DD17D06" w14:textId="77777777" w:rsidR="0039236E" w:rsidRPr="00F3286A" w:rsidRDefault="0039236E" w:rsidP="00D85479">
            <w:pPr>
              <w:rPr>
                <w:rFonts w:ascii="Arial" w:hAnsi="Arial" w:cs="Arial"/>
                <w:sz w:val="24"/>
                <w:szCs w:val="24"/>
              </w:rPr>
            </w:pPr>
            <w:r w:rsidRPr="00F3286A">
              <w:rPr>
                <w:rFonts w:ascii="Arial" w:hAnsi="Arial" w:cs="Arial"/>
                <w:sz w:val="24"/>
                <w:szCs w:val="24"/>
              </w:rPr>
              <w:t>tdougherty@theoec.org</w:t>
            </w:r>
          </w:p>
          <w:p w14:paraId="28B62234" w14:textId="77777777" w:rsidR="0039236E" w:rsidRPr="00F3286A" w:rsidRDefault="0039236E" w:rsidP="00D85479">
            <w:pPr>
              <w:rPr>
                <w:rFonts w:ascii="Arial" w:hAnsi="Arial" w:cs="Arial"/>
                <w:sz w:val="24"/>
                <w:szCs w:val="24"/>
              </w:rPr>
            </w:pPr>
            <w:r w:rsidRPr="00F3286A">
              <w:rPr>
                <w:rFonts w:ascii="Arial" w:hAnsi="Arial" w:cs="Arial"/>
                <w:sz w:val="24"/>
                <w:szCs w:val="24"/>
              </w:rPr>
              <w:t xml:space="preserve">terry.etter@occ.ohio.gov </w:t>
            </w:r>
          </w:p>
          <w:p w14:paraId="49D6CEC0" w14:textId="77777777" w:rsidR="0039236E" w:rsidRPr="00F3286A" w:rsidRDefault="0039236E" w:rsidP="00D85479">
            <w:pPr>
              <w:rPr>
                <w:rFonts w:ascii="Arial" w:hAnsi="Arial" w:cs="Arial"/>
                <w:sz w:val="24"/>
                <w:szCs w:val="24"/>
              </w:rPr>
            </w:pPr>
            <w:bookmarkStart w:id="0" w:name="_GoBack"/>
            <w:bookmarkEnd w:id="0"/>
            <w:r w:rsidRPr="00F3286A">
              <w:rPr>
                <w:rFonts w:ascii="Arial" w:hAnsi="Arial" w:cs="Arial"/>
                <w:sz w:val="24"/>
                <w:szCs w:val="24"/>
              </w:rPr>
              <w:t>whitt@whitt-sturtevant.com werner.margard@ohioattorneygeneral.gov</w:t>
            </w:r>
          </w:p>
          <w:p w14:paraId="50C66E65" w14:textId="77777777" w:rsidR="0039236E" w:rsidRPr="00F3286A" w:rsidRDefault="0039236E" w:rsidP="00D85479">
            <w:pPr>
              <w:rPr>
                <w:rFonts w:ascii="Arial" w:hAnsi="Arial" w:cs="Arial"/>
                <w:sz w:val="24"/>
                <w:szCs w:val="24"/>
              </w:rPr>
            </w:pPr>
            <w:r w:rsidRPr="00F3286A">
              <w:rPr>
                <w:rFonts w:ascii="Arial" w:hAnsi="Arial" w:cs="Arial"/>
                <w:sz w:val="24"/>
                <w:szCs w:val="24"/>
              </w:rPr>
              <w:t>Richard.bulgrin@puc.state.oh.us</w:t>
            </w:r>
          </w:p>
        </w:tc>
      </w:tr>
    </w:tbl>
    <w:p w14:paraId="1AB8A5EE" w14:textId="77777777" w:rsidR="0039236E" w:rsidRPr="00F3286A" w:rsidRDefault="0039236E" w:rsidP="0039236E">
      <w:pPr>
        <w:spacing w:after="0" w:line="240" w:lineRule="auto"/>
        <w:ind w:left="5040" w:firstLine="720"/>
        <w:rPr>
          <w:rFonts w:ascii="Arial" w:eastAsia="Arial" w:hAnsi="Arial" w:cs="Arial"/>
          <w:b/>
          <w:i/>
          <w:sz w:val="24"/>
          <w:szCs w:val="24"/>
          <w:u w:val="single"/>
        </w:rPr>
      </w:pPr>
    </w:p>
    <w:p w14:paraId="38C26C16" w14:textId="77777777" w:rsidR="0039236E" w:rsidRPr="00F3286A" w:rsidRDefault="0039236E" w:rsidP="0039236E">
      <w:pPr>
        <w:spacing w:after="0" w:line="240" w:lineRule="auto"/>
        <w:ind w:left="5040" w:firstLine="720"/>
        <w:rPr>
          <w:rFonts w:ascii="Arial" w:eastAsia="Calibri" w:hAnsi="Arial" w:cs="Arial"/>
          <w:sz w:val="24"/>
          <w:szCs w:val="24"/>
        </w:rPr>
      </w:pPr>
      <w:r w:rsidRPr="00F3286A">
        <w:rPr>
          <w:rFonts w:ascii="Arial" w:hAnsi="Arial" w:cs="Arial"/>
          <w:i/>
          <w:sz w:val="24"/>
          <w:szCs w:val="24"/>
          <w:u w:val="single"/>
        </w:rPr>
        <w:t>/s/ Matthew White</w:t>
      </w:r>
      <w:r w:rsidRPr="00F3286A">
        <w:rPr>
          <w:rFonts w:ascii="Arial" w:eastAsia="Arial" w:hAnsi="Arial" w:cs="Arial"/>
          <w:i/>
          <w:sz w:val="24"/>
          <w:szCs w:val="24"/>
        </w:rPr>
        <w:t xml:space="preserve"> _______</w:t>
      </w:r>
    </w:p>
    <w:p w14:paraId="15B94C8E" w14:textId="77777777" w:rsidR="0039236E" w:rsidRPr="00F3286A" w:rsidRDefault="0039236E" w:rsidP="0039236E">
      <w:pPr>
        <w:spacing w:after="0" w:line="240" w:lineRule="auto"/>
        <w:ind w:left="5040" w:firstLine="720"/>
        <w:rPr>
          <w:rFonts w:ascii="Arial" w:hAnsi="Arial" w:cs="Arial"/>
          <w:sz w:val="24"/>
          <w:szCs w:val="24"/>
        </w:rPr>
      </w:pPr>
      <w:r w:rsidRPr="00F3286A">
        <w:rPr>
          <w:rFonts w:ascii="Arial" w:hAnsi="Arial" w:cs="Arial"/>
          <w:sz w:val="24"/>
          <w:szCs w:val="24"/>
        </w:rPr>
        <w:t>Matthew White</w:t>
      </w:r>
    </w:p>
    <w:p w14:paraId="08AE2D55" w14:textId="77777777" w:rsidR="0039236E" w:rsidRPr="0039236E" w:rsidRDefault="0039236E" w:rsidP="0039236E">
      <w:pPr>
        <w:spacing w:line="480" w:lineRule="auto"/>
        <w:ind w:firstLine="360"/>
        <w:jc w:val="both"/>
        <w:rPr>
          <w:rFonts w:ascii="Arial" w:hAnsi="Arial" w:cs="Arial"/>
          <w:sz w:val="24"/>
          <w:szCs w:val="24"/>
        </w:rPr>
      </w:pPr>
    </w:p>
    <w:sectPr w:rsidR="0039236E" w:rsidRPr="003923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8EF3" w14:textId="77777777" w:rsidR="0083181D" w:rsidRDefault="0083181D" w:rsidP="00DB0751">
      <w:pPr>
        <w:spacing w:after="0" w:line="240" w:lineRule="auto"/>
      </w:pPr>
      <w:r>
        <w:separator/>
      </w:r>
    </w:p>
  </w:endnote>
  <w:endnote w:type="continuationSeparator" w:id="0">
    <w:p w14:paraId="4F197D74" w14:textId="77777777" w:rsidR="0083181D" w:rsidRDefault="0083181D" w:rsidP="00DB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79B19" w14:textId="77777777" w:rsidR="0083181D" w:rsidRDefault="0083181D" w:rsidP="00DB0751">
      <w:pPr>
        <w:spacing w:after="0" w:line="240" w:lineRule="auto"/>
      </w:pPr>
      <w:r>
        <w:separator/>
      </w:r>
    </w:p>
  </w:footnote>
  <w:footnote w:type="continuationSeparator" w:id="0">
    <w:p w14:paraId="6252BD1F" w14:textId="77777777" w:rsidR="0083181D" w:rsidRDefault="0083181D" w:rsidP="00DB0751">
      <w:pPr>
        <w:spacing w:after="0" w:line="240" w:lineRule="auto"/>
      </w:pPr>
      <w:r>
        <w:continuationSeparator/>
      </w:r>
    </w:p>
  </w:footnote>
  <w:footnote w:id="1">
    <w:p w14:paraId="0555CF56" w14:textId="77777777" w:rsidR="00DB0751" w:rsidRPr="00BF4601" w:rsidRDefault="00DB0751"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w:t>
      </w:r>
      <w:r w:rsidR="00720C52" w:rsidRPr="00BF4601">
        <w:rPr>
          <w:rFonts w:ascii="Arial" w:hAnsi="Arial" w:cs="Arial"/>
        </w:rPr>
        <w:t>OCC Post-Hearing Brief at</w:t>
      </w:r>
      <w:r w:rsidRPr="00BF4601">
        <w:rPr>
          <w:rFonts w:ascii="Arial" w:hAnsi="Arial" w:cs="Arial"/>
        </w:rPr>
        <w:t xml:space="preserve"> 27</w:t>
      </w:r>
    </w:p>
  </w:footnote>
  <w:footnote w:id="2">
    <w:p w14:paraId="47FFBBB5" w14:textId="77777777" w:rsidR="00DB0751" w:rsidRPr="00BF4601" w:rsidRDefault="00DB0751" w:rsidP="00BF4601">
      <w:pPr>
        <w:pStyle w:val="FootnoteText"/>
        <w:jc w:val="both"/>
        <w:rPr>
          <w:rFonts w:ascii="Arial" w:hAnsi="Arial" w:cs="Arial"/>
        </w:rPr>
      </w:pPr>
      <w:r w:rsidRPr="00BF4601">
        <w:rPr>
          <w:rStyle w:val="FootnoteReference"/>
          <w:rFonts w:ascii="Arial" w:hAnsi="Arial" w:cs="Arial"/>
        </w:rPr>
        <w:footnoteRef/>
      </w:r>
      <w:r w:rsidR="00720C52" w:rsidRPr="00BF4601">
        <w:rPr>
          <w:rFonts w:ascii="Arial" w:hAnsi="Arial" w:cs="Arial"/>
        </w:rPr>
        <w:t xml:space="preserve"> OPAE Post-Hearing Brief at</w:t>
      </w:r>
      <w:r w:rsidRPr="00BF4601">
        <w:rPr>
          <w:rFonts w:ascii="Arial" w:hAnsi="Arial" w:cs="Arial"/>
        </w:rPr>
        <w:t xml:space="preserve"> 11</w:t>
      </w:r>
    </w:p>
  </w:footnote>
  <w:footnote w:id="3">
    <w:p w14:paraId="38D0E1B3" w14:textId="77777777" w:rsidR="00787A57" w:rsidRPr="00BF4601" w:rsidRDefault="00787A57"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AEP Ohio Ex. 1 (</w:t>
      </w:r>
      <w:proofErr w:type="spellStart"/>
      <w:r w:rsidRPr="00BF4601">
        <w:rPr>
          <w:rFonts w:ascii="Arial" w:hAnsi="Arial" w:cs="Arial"/>
        </w:rPr>
        <w:t>Osterholt</w:t>
      </w:r>
      <w:proofErr w:type="spellEnd"/>
      <w:r w:rsidRPr="00BF4601">
        <w:rPr>
          <w:rFonts w:ascii="Arial" w:hAnsi="Arial" w:cs="Arial"/>
        </w:rPr>
        <w:t xml:space="preserve"> Direct Testimony) at 22. </w:t>
      </w:r>
    </w:p>
  </w:footnote>
  <w:footnote w:id="4">
    <w:p w14:paraId="406F6CCA" w14:textId="5A664489" w:rsidR="00720C52" w:rsidRPr="00BF4601" w:rsidRDefault="00720C52"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OPAE Post Hearing Brief at 12</w:t>
      </w:r>
      <w:r w:rsidR="002421D7" w:rsidRPr="00BF4601">
        <w:rPr>
          <w:rFonts w:ascii="Arial" w:hAnsi="Arial" w:cs="Arial"/>
        </w:rPr>
        <w:t>.</w:t>
      </w:r>
    </w:p>
  </w:footnote>
  <w:footnote w:id="5">
    <w:p w14:paraId="0DAD5648" w14:textId="77777777" w:rsidR="00720C52" w:rsidRPr="00BF4601" w:rsidRDefault="00720C52"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OCC Post-Hearing Brief at 27.</w:t>
      </w:r>
    </w:p>
  </w:footnote>
  <w:footnote w:id="6">
    <w:p w14:paraId="3F8D18F9" w14:textId="616A01CB" w:rsidR="00495A2B" w:rsidRPr="00BF4601" w:rsidRDefault="00495A2B"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w:t>
      </w:r>
      <w:r w:rsidRPr="00BF4601">
        <w:rPr>
          <w:rFonts w:ascii="Arial" w:hAnsi="Arial" w:cs="Arial"/>
          <w:i/>
        </w:rPr>
        <w:t xml:space="preserve">See </w:t>
      </w:r>
      <w:r w:rsidRPr="00BF4601">
        <w:rPr>
          <w:rFonts w:ascii="Arial" w:hAnsi="Arial" w:cs="Arial"/>
        </w:rPr>
        <w:t xml:space="preserve">R.C. 4928.04; R.C. 4928.01(B). </w:t>
      </w:r>
    </w:p>
  </w:footnote>
  <w:footnote w:id="7">
    <w:p w14:paraId="4DD3B3EA" w14:textId="3C6C19FA" w:rsidR="00CA253A" w:rsidRPr="00BF4601" w:rsidRDefault="00CA253A"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w:t>
      </w:r>
      <w:r w:rsidR="002421D7" w:rsidRPr="00BF4601">
        <w:rPr>
          <w:rFonts w:ascii="Arial" w:hAnsi="Arial" w:cs="Arial"/>
        </w:rPr>
        <w:t xml:space="preserve">Direct Energy Ex 1 at 3. </w:t>
      </w:r>
    </w:p>
  </w:footnote>
  <w:footnote w:id="8">
    <w:p w14:paraId="4DA9F4D8" w14:textId="2D44B755" w:rsidR="00CA2660" w:rsidRPr="00BF4601" w:rsidRDefault="00CA2660"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w:t>
      </w:r>
      <w:r w:rsidR="002421D7" w:rsidRPr="00BF4601">
        <w:rPr>
          <w:rFonts w:ascii="Arial" w:hAnsi="Arial" w:cs="Arial"/>
        </w:rPr>
        <w:t xml:space="preserve">Direct Energy Ex. 1 at 4. </w:t>
      </w:r>
    </w:p>
  </w:footnote>
  <w:footnote w:id="9">
    <w:p w14:paraId="0C22DE56" w14:textId="77777777" w:rsidR="003B3875" w:rsidRPr="00BF4601" w:rsidRDefault="003B3875" w:rsidP="00BF4601">
      <w:pPr>
        <w:pStyle w:val="FootnoteText"/>
        <w:jc w:val="both"/>
        <w:rPr>
          <w:rFonts w:ascii="Arial" w:hAnsi="Arial" w:cs="Arial"/>
        </w:rPr>
      </w:pPr>
      <w:r w:rsidRPr="00BF4601">
        <w:rPr>
          <w:rStyle w:val="FootnoteReference"/>
          <w:rFonts w:ascii="Arial" w:hAnsi="Arial" w:cs="Arial"/>
        </w:rPr>
        <w:footnoteRef/>
      </w:r>
      <w:r w:rsidRPr="00BF4601">
        <w:rPr>
          <w:rFonts w:ascii="Arial" w:hAnsi="Arial" w:cs="Arial"/>
        </w:rPr>
        <w:t xml:space="preserve"> OPAE post-hearing brief at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359E6"/>
    <w:multiLevelType w:val="hybridMultilevel"/>
    <w:tmpl w:val="DD4A1A86"/>
    <w:lvl w:ilvl="0" w:tplc="D35CFA7E">
      <w:start w:val="1"/>
      <w:numFmt w:val="upperRoman"/>
      <w:lvlText w:val="%1."/>
      <w:lvlJc w:val="left"/>
      <w:pPr>
        <w:ind w:left="1080" w:hanging="72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66C02"/>
    <w:multiLevelType w:val="hybridMultilevel"/>
    <w:tmpl w:val="B8424F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ED773F"/>
    <w:multiLevelType w:val="hybridMultilevel"/>
    <w:tmpl w:val="1F10F472"/>
    <w:lvl w:ilvl="0" w:tplc="937096EA">
      <w:start w:val="1"/>
      <w:numFmt w:val="upperRoman"/>
      <w:lvlText w:val="%1."/>
      <w:lvlJc w:val="left"/>
      <w:pPr>
        <w:ind w:left="1440" w:hanging="72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4C"/>
    <w:rsid w:val="000178F3"/>
    <w:rsid w:val="000C51AA"/>
    <w:rsid w:val="000D0FB9"/>
    <w:rsid w:val="000E7BE5"/>
    <w:rsid w:val="00152183"/>
    <w:rsid w:val="00192812"/>
    <w:rsid w:val="001A748C"/>
    <w:rsid w:val="0021535C"/>
    <w:rsid w:val="00237289"/>
    <w:rsid w:val="002421D7"/>
    <w:rsid w:val="00251BD4"/>
    <w:rsid w:val="002618C9"/>
    <w:rsid w:val="0039236E"/>
    <w:rsid w:val="003B3875"/>
    <w:rsid w:val="003F58C9"/>
    <w:rsid w:val="004076F4"/>
    <w:rsid w:val="00455EDC"/>
    <w:rsid w:val="00495A2B"/>
    <w:rsid w:val="004C0E18"/>
    <w:rsid w:val="005619DE"/>
    <w:rsid w:val="005B4217"/>
    <w:rsid w:val="005D464C"/>
    <w:rsid w:val="00607450"/>
    <w:rsid w:val="00720C52"/>
    <w:rsid w:val="00763F2C"/>
    <w:rsid w:val="00787A57"/>
    <w:rsid w:val="007F7400"/>
    <w:rsid w:val="0083181D"/>
    <w:rsid w:val="0096332B"/>
    <w:rsid w:val="0098032B"/>
    <w:rsid w:val="009B0EC5"/>
    <w:rsid w:val="00A822C1"/>
    <w:rsid w:val="00B3783A"/>
    <w:rsid w:val="00B94B13"/>
    <w:rsid w:val="00BF4601"/>
    <w:rsid w:val="00C16E9F"/>
    <w:rsid w:val="00C47323"/>
    <w:rsid w:val="00C71298"/>
    <w:rsid w:val="00C84F66"/>
    <w:rsid w:val="00CA253A"/>
    <w:rsid w:val="00CA2660"/>
    <w:rsid w:val="00CA5A86"/>
    <w:rsid w:val="00CC48CB"/>
    <w:rsid w:val="00CF7756"/>
    <w:rsid w:val="00D177B2"/>
    <w:rsid w:val="00D24A0E"/>
    <w:rsid w:val="00D34CBF"/>
    <w:rsid w:val="00DB0751"/>
    <w:rsid w:val="00E1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FCE8"/>
  <w15:chartTrackingRefBased/>
  <w15:docId w15:val="{E3CABEE2-9B0E-42A2-874A-EC3A336B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46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64C"/>
    <w:rPr>
      <w:rFonts w:ascii="Times New Roman" w:eastAsia="Times New Roman" w:hAnsi="Times New Roman" w:cs="Times New Roman"/>
      <w:b/>
      <w:bCs/>
      <w:sz w:val="27"/>
      <w:szCs w:val="27"/>
    </w:rPr>
  </w:style>
  <w:style w:type="paragraph" w:styleId="NormalWeb">
    <w:name w:val="Normal (Web)"/>
    <w:basedOn w:val="Normal"/>
    <w:uiPriority w:val="99"/>
    <w:unhideWhenUsed/>
    <w:rsid w:val="005D464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B0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751"/>
    <w:rPr>
      <w:sz w:val="20"/>
      <w:szCs w:val="20"/>
    </w:rPr>
  </w:style>
  <w:style w:type="character" w:styleId="FootnoteReference">
    <w:name w:val="footnote reference"/>
    <w:basedOn w:val="DefaultParagraphFont"/>
    <w:uiPriority w:val="99"/>
    <w:semiHidden/>
    <w:unhideWhenUsed/>
    <w:rsid w:val="00DB0751"/>
    <w:rPr>
      <w:vertAlign w:val="superscript"/>
    </w:rPr>
  </w:style>
  <w:style w:type="character" w:styleId="CommentReference">
    <w:name w:val="annotation reference"/>
    <w:basedOn w:val="DefaultParagraphFont"/>
    <w:uiPriority w:val="99"/>
    <w:semiHidden/>
    <w:unhideWhenUsed/>
    <w:rsid w:val="00D177B2"/>
    <w:rPr>
      <w:sz w:val="16"/>
      <w:szCs w:val="16"/>
    </w:rPr>
  </w:style>
  <w:style w:type="paragraph" w:styleId="CommentText">
    <w:name w:val="annotation text"/>
    <w:basedOn w:val="Normal"/>
    <w:link w:val="CommentTextChar"/>
    <w:uiPriority w:val="99"/>
    <w:semiHidden/>
    <w:unhideWhenUsed/>
    <w:rsid w:val="00D177B2"/>
    <w:pPr>
      <w:spacing w:line="240" w:lineRule="auto"/>
    </w:pPr>
    <w:rPr>
      <w:sz w:val="20"/>
      <w:szCs w:val="20"/>
    </w:rPr>
  </w:style>
  <w:style w:type="character" w:customStyle="1" w:styleId="CommentTextChar">
    <w:name w:val="Comment Text Char"/>
    <w:basedOn w:val="DefaultParagraphFont"/>
    <w:link w:val="CommentText"/>
    <w:uiPriority w:val="99"/>
    <w:semiHidden/>
    <w:rsid w:val="00D177B2"/>
    <w:rPr>
      <w:sz w:val="20"/>
      <w:szCs w:val="20"/>
    </w:rPr>
  </w:style>
  <w:style w:type="paragraph" w:styleId="CommentSubject">
    <w:name w:val="annotation subject"/>
    <w:basedOn w:val="CommentText"/>
    <w:next w:val="CommentText"/>
    <w:link w:val="CommentSubjectChar"/>
    <w:uiPriority w:val="99"/>
    <w:semiHidden/>
    <w:unhideWhenUsed/>
    <w:rsid w:val="00D177B2"/>
    <w:rPr>
      <w:b/>
      <w:bCs/>
    </w:rPr>
  </w:style>
  <w:style w:type="character" w:customStyle="1" w:styleId="CommentSubjectChar">
    <w:name w:val="Comment Subject Char"/>
    <w:basedOn w:val="CommentTextChar"/>
    <w:link w:val="CommentSubject"/>
    <w:uiPriority w:val="99"/>
    <w:semiHidden/>
    <w:rsid w:val="00D177B2"/>
    <w:rPr>
      <w:b/>
      <w:bCs/>
      <w:sz w:val="20"/>
      <w:szCs w:val="20"/>
    </w:rPr>
  </w:style>
  <w:style w:type="paragraph" w:styleId="BalloonText">
    <w:name w:val="Balloon Text"/>
    <w:basedOn w:val="Normal"/>
    <w:link w:val="BalloonTextChar"/>
    <w:uiPriority w:val="99"/>
    <w:semiHidden/>
    <w:unhideWhenUsed/>
    <w:rsid w:val="00D1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7B2"/>
    <w:rPr>
      <w:rFonts w:ascii="Segoe UI" w:hAnsi="Segoe UI" w:cs="Segoe UI"/>
      <w:sz w:val="18"/>
      <w:szCs w:val="18"/>
    </w:rPr>
  </w:style>
  <w:style w:type="paragraph" w:styleId="Title">
    <w:name w:val="Title"/>
    <w:basedOn w:val="Normal"/>
    <w:link w:val="TitleChar"/>
    <w:qFormat/>
    <w:rsid w:val="0039236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9236E"/>
    <w:rPr>
      <w:rFonts w:ascii="Times New Roman" w:eastAsia="Times New Roman" w:hAnsi="Times New Roman" w:cs="Times New Roman"/>
      <w:b/>
      <w:sz w:val="24"/>
      <w:szCs w:val="20"/>
    </w:rPr>
  </w:style>
  <w:style w:type="paragraph" w:styleId="ListParagraph">
    <w:name w:val="List Paragraph"/>
    <w:basedOn w:val="Normal"/>
    <w:uiPriority w:val="34"/>
    <w:qFormat/>
    <w:rsid w:val="0039236E"/>
    <w:pPr>
      <w:ind w:left="720"/>
      <w:contextualSpacing/>
    </w:pPr>
  </w:style>
  <w:style w:type="table" w:styleId="TableGrid">
    <w:name w:val="Table Grid"/>
    <w:basedOn w:val="TableNormal"/>
    <w:uiPriority w:val="59"/>
    <w:rsid w:val="0039236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9585">
      <w:bodyDiv w:val="1"/>
      <w:marLeft w:val="0"/>
      <w:marRight w:val="0"/>
      <w:marTop w:val="0"/>
      <w:marBottom w:val="0"/>
      <w:divBdr>
        <w:top w:val="none" w:sz="0" w:space="0" w:color="auto"/>
        <w:left w:val="none" w:sz="0" w:space="0" w:color="auto"/>
        <w:bottom w:val="none" w:sz="0" w:space="0" w:color="auto"/>
        <w:right w:val="none" w:sz="0" w:space="0" w:color="auto"/>
      </w:divBdr>
    </w:div>
    <w:div w:id="18655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9EA3-E9D7-461C-9330-09DCF5E5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IGS Energy</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Betterton</dc:creator>
  <cp:keywords/>
  <dc:description/>
  <cp:lastModifiedBy>Helen Sweeney</cp:lastModifiedBy>
  <cp:revision>2</cp:revision>
  <cp:lastPrinted>2016-09-16T18:51:00Z</cp:lastPrinted>
  <dcterms:created xsi:type="dcterms:W3CDTF">2016-09-16T18:52:00Z</dcterms:created>
  <dcterms:modified xsi:type="dcterms:W3CDTF">2016-09-16T18:52:00Z</dcterms:modified>
</cp:coreProperties>
</file>