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DC" w:rsidRDefault="00FE44DC">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FE44DC" w:rsidRDefault="00FE44DC">
      <w:pPr>
        <w:pStyle w:val="HTMLPreformatted"/>
        <w:jc w:val="center"/>
        <w:rPr>
          <w:rFonts w:ascii="Times New Roman" w:hAnsi="Times New Roman"/>
          <w:sz w:val="24"/>
        </w:rPr>
      </w:pPr>
      <w:r>
        <w:rPr>
          <w:rFonts w:ascii="Times New Roman" w:hAnsi="Times New Roman"/>
          <w:b/>
          <w:bCs/>
          <w:sz w:val="24"/>
        </w:rPr>
        <w:t xml:space="preserve">THE PUBLIC UTILITIES COMMISSION OF </w:t>
      </w:r>
      <w:smartTag w:uri="urn:schemas-microsoft-com:office:smarttags" w:element="State">
        <w:smartTag w:uri="urn:schemas-microsoft-com:office:smarttags" w:element="place">
          <w:r>
            <w:rPr>
              <w:rFonts w:ascii="Times New Roman" w:hAnsi="Times New Roman"/>
              <w:b/>
              <w:bCs/>
              <w:sz w:val="24"/>
            </w:rPr>
            <w:t>OHIO</w:t>
          </w:r>
        </w:smartTag>
      </w:smartTag>
    </w:p>
    <w:p w:rsidR="00FE44DC" w:rsidRDefault="00FE44DC">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FE44DC">
        <w:trPr>
          <w:trHeight w:val="807"/>
        </w:trPr>
        <w:tc>
          <w:tcPr>
            <w:tcW w:w="4332" w:type="dxa"/>
          </w:tcPr>
          <w:p w:rsidR="00FE44DC" w:rsidRDefault="00FE44DC">
            <w:pPr>
              <w:pStyle w:val="HTMLPreformatted"/>
              <w:rPr>
                <w:rFonts w:ascii="Times New Roman" w:hAnsi="Times New Roman"/>
                <w:sz w:val="24"/>
                <w:szCs w:val="24"/>
              </w:rPr>
            </w:pPr>
            <w:r>
              <w:rPr>
                <w:rFonts w:ascii="Times New Roman" w:hAnsi="Times New Roman" w:cs="Times New Roman"/>
                <w:sz w:val="24"/>
                <w:szCs w:val="24"/>
              </w:rPr>
              <w:t xml:space="preserve">In the Matter of the Application of Ohio Power Company to Establish a Competitive Bidding Process for Procurement of Energy to Support its Standard Service Offer. </w:t>
            </w:r>
          </w:p>
        </w:tc>
        <w:tc>
          <w:tcPr>
            <w:tcW w:w="360" w:type="dxa"/>
          </w:tcPr>
          <w:p w:rsidR="00FE44DC" w:rsidRDefault="00FE44DC">
            <w:pPr>
              <w:pStyle w:val="HTMLPreformatted"/>
              <w:rPr>
                <w:rFonts w:ascii="Times New Roman" w:hAnsi="Times New Roman"/>
                <w:sz w:val="24"/>
              </w:rPr>
            </w:pPr>
            <w:r>
              <w:rPr>
                <w:rFonts w:ascii="Times New Roman" w:hAnsi="Times New Roman"/>
                <w:sz w:val="24"/>
              </w:rPr>
              <w:t>)</w:t>
            </w:r>
          </w:p>
          <w:p w:rsidR="00FE44DC" w:rsidRDefault="00FE44DC">
            <w:pPr>
              <w:pStyle w:val="HTMLPreformatted"/>
              <w:rPr>
                <w:rFonts w:ascii="Times New Roman" w:hAnsi="Times New Roman"/>
                <w:sz w:val="24"/>
              </w:rPr>
            </w:pPr>
            <w:r>
              <w:rPr>
                <w:rFonts w:ascii="Times New Roman" w:hAnsi="Times New Roman"/>
                <w:sz w:val="24"/>
              </w:rPr>
              <w:t>)</w:t>
            </w:r>
          </w:p>
          <w:p w:rsidR="00FE44DC" w:rsidRDefault="00FE44DC">
            <w:pPr>
              <w:pStyle w:val="HTMLPreformatted"/>
              <w:rPr>
                <w:rFonts w:ascii="Times New Roman" w:hAnsi="Times New Roman"/>
                <w:sz w:val="24"/>
              </w:rPr>
            </w:pPr>
            <w:r>
              <w:rPr>
                <w:rFonts w:ascii="Times New Roman" w:hAnsi="Times New Roman"/>
                <w:sz w:val="24"/>
              </w:rPr>
              <w:t>)</w:t>
            </w:r>
          </w:p>
          <w:p w:rsidR="00FE44DC" w:rsidRDefault="00FE44DC">
            <w:pPr>
              <w:pStyle w:val="HTMLPreformatted"/>
              <w:rPr>
                <w:rFonts w:ascii="Times New Roman" w:hAnsi="Times New Roman"/>
                <w:sz w:val="24"/>
              </w:rPr>
            </w:pPr>
            <w:r>
              <w:rPr>
                <w:rFonts w:ascii="Times New Roman" w:hAnsi="Times New Roman"/>
                <w:sz w:val="24"/>
              </w:rPr>
              <w:t>)</w:t>
            </w:r>
          </w:p>
          <w:p w:rsidR="00FE44DC" w:rsidRDefault="00FE44DC">
            <w:pPr>
              <w:pStyle w:val="HTMLPreformatted"/>
              <w:rPr>
                <w:rFonts w:ascii="Times New Roman" w:hAnsi="Times New Roman"/>
                <w:sz w:val="24"/>
              </w:rPr>
            </w:pPr>
            <w:r>
              <w:rPr>
                <w:rFonts w:ascii="Times New Roman" w:hAnsi="Times New Roman"/>
                <w:sz w:val="24"/>
              </w:rPr>
              <w:t>)</w:t>
            </w:r>
          </w:p>
        </w:tc>
        <w:tc>
          <w:tcPr>
            <w:tcW w:w="4400" w:type="dxa"/>
          </w:tcPr>
          <w:p w:rsidR="00FE44DC" w:rsidRDefault="00FE44DC">
            <w:pPr>
              <w:pStyle w:val="HTMLPreformatted"/>
              <w:rPr>
                <w:rFonts w:ascii="Times New Roman" w:hAnsi="Times New Roman"/>
                <w:sz w:val="24"/>
              </w:rPr>
            </w:pPr>
          </w:p>
          <w:p w:rsidR="00FE44DC" w:rsidRDefault="00FE44DC">
            <w:pPr>
              <w:pStyle w:val="HTMLPreformatted"/>
              <w:rPr>
                <w:rFonts w:ascii="Times New Roman" w:hAnsi="Times New Roman"/>
                <w:sz w:val="24"/>
              </w:rPr>
            </w:pPr>
            <w:r>
              <w:rPr>
                <w:rFonts w:ascii="Times New Roman" w:hAnsi="Times New Roman"/>
                <w:sz w:val="24"/>
              </w:rPr>
              <w:t>Case No. 12-3254-EL-UNC</w:t>
            </w:r>
          </w:p>
          <w:p w:rsidR="00FE44DC" w:rsidRDefault="00FE44DC">
            <w:pPr>
              <w:pStyle w:val="HTMLPreformatted"/>
              <w:rPr>
                <w:rFonts w:ascii="Times New Roman" w:hAnsi="Times New Roman"/>
                <w:sz w:val="24"/>
              </w:rPr>
            </w:pPr>
          </w:p>
          <w:p w:rsidR="00FE44DC" w:rsidRDefault="00FE44DC">
            <w:pPr>
              <w:pStyle w:val="HTMLPreformatted"/>
              <w:rPr>
                <w:rFonts w:ascii="Times New Roman" w:hAnsi="Times New Roman"/>
                <w:sz w:val="24"/>
              </w:rPr>
            </w:pPr>
          </w:p>
        </w:tc>
      </w:tr>
    </w:tbl>
    <w:p w:rsidR="00FE44DC" w:rsidRDefault="00FE44DC">
      <w:pPr>
        <w:pStyle w:val="HTMLPreformatted"/>
        <w:rPr>
          <w:rFonts w:ascii="Times New Roman" w:hAnsi="Times New Roman"/>
          <w:sz w:val="24"/>
        </w:rPr>
      </w:pPr>
    </w:p>
    <w:p w:rsidR="00FE44DC" w:rsidRDefault="00FE44DC">
      <w:pPr>
        <w:pStyle w:val="HTMLPreformatted"/>
        <w:pBdr>
          <w:top w:val="single" w:sz="12" w:space="1" w:color="auto"/>
        </w:pBdr>
        <w:rPr>
          <w:rFonts w:ascii="Times New Roman" w:hAnsi="Times New Roman"/>
          <w:sz w:val="24"/>
        </w:rPr>
      </w:pPr>
    </w:p>
    <w:p w:rsidR="00FE44DC" w:rsidRDefault="00FE44DC">
      <w:pPr>
        <w:jc w:val="center"/>
        <w:rPr>
          <w:b/>
          <w:bCs/>
        </w:rPr>
      </w:pPr>
      <w:r>
        <w:rPr>
          <w:b/>
          <w:bCs/>
        </w:rPr>
        <w:t>COMMENTS</w:t>
      </w:r>
    </w:p>
    <w:p w:rsidR="00FE44DC" w:rsidRDefault="00FE44DC">
      <w:pPr>
        <w:jc w:val="center"/>
        <w:rPr>
          <w:b/>
          <w:bCs/>
        </w:rPr>
      </w:pPr>
      <w:r>
        <w:rPr>
          <w:b/>
          <w:bCs/>
        </w:rPr>
        <w:t>BY</w:t>
      </w:r>
    </w:p>
    <w:p w:rsidR="00FE44DC" w:rsidRDefault="00FE44DC">
      <w:pPr>
        <w:jc w:val="center"/>
        <w:rPr>
          <w:b/>
          <w:bCs/>
        </w:rPr>
      </w:pPr>
      <w:r>
        <w:rPr>
          <w:b/>
          <w:bCs/>
        </w:rPr>
        <w:t xml:space="preserve">THE OFFICE OF THE </w:t>
      </w:r>
      <w:smartTag w:uri="urn:schemas-microsoft-com:office:smarttags" w:element="State">
        <w:smartTag w:uri="urn:schemas-microsoft-com:office:smarttags" w:element="place">
          <w:r>
            <w:rPr>
              <w:b/>
              <w:bCs/>
            </w:rPr>
            <w:t>OHIO</w:t>
          </w:r>
        </w:smartTag>
      </w:smartTag>
      <w:r>
        <w:rPr>
          <w:b/>
          <w:bCs/>
        </w:rPr>
        <w:t xml:space="preserve"> CONSUMERS’ COUNSEL</w:t>
      </w:r>
    </w:p>
    <w:p w:rsidR="00FE44DC" w:rsidRDefault="00FE44DC">
      <w:pPr>
        <w:pBdr>
          <w:bottom w:val="single" w:sz="12" w:space="1" w:color="auto"/>
        </w:pBdr>
        <w:tabs>
          <w:tab w:val="left" w:pos="4320"/>
        </w:tabs>
      </w:pPr>
    </w:p>
    <w:p w:rsidR="00FE44DC" w:rsidRDefault="00FE44DC">
      <w:pPr>
        <w:tabs>
          <w:tab w:val="left" w:pos="4320"/>
        </w:tabs>
      </w:pPr>
    </w:p>
    <w:p w:rsidR="00FE44DC" w:rsidRDefault="00FE44DC">
      <w:pPr>
        <w:pStyle w:val="Heading1"/>
      </w:pPr>
      <w:r>
        <w:t>I.</w:t>
      </w:r>
      <w:r>
        <w:tab/>
        <w:t>INTRODUCTION</w:t>
      </w:r>
    </w:p>
    <w:p w:rsidR="00FE44DC" w:rsidRDefault="00FE44DC">
      <w:pPr>
        <w:spacing w:line="480" w:lineRule="auto"/>
      </w:pPr>
      <w:r>
        <w:tab/>
        <w:t>An upcoming auction for AEP Ohio will provide its standard-offer customers a slight benefit from the current low market prices for energy, when a mere 10% of the energy AEP Ohio needs to sell to customers will be procured.  This auction was arranged in the decision</w:t>
      </w:r>
      <w:r>
        <w:rPr>
          <w:rStyle w:val="FootnoteReference"/>
        </w:rPr>
        <w:footnoteReference w:id="1"/>
      </w:r>
      <w:r>
        <w:t xml:space="preserve"> of the Public Utilities Commission of Ohio (“Commission” or “PUCO”) regarding the electric security plan that AEP Ohio proposed, a plan that will otherwise cost consumers dearly in non-market charges.</w:t>
      </w:r>
      <w:r>
        <w:rPr>
          <w:rStyle w:val="FootnoteReference"/>
        </w:rPr>
        <w:footnoteReference w:id="2"/>
      </w:r>
      <w:r>
        <w:t xml:space="preserve">  This auction is the first of three auctions that AEP Ohio will hold over the next two years.  OCC hereby comments on the proposed structure of the auction, for ensuring a fair outcome for consumers.  </w:t>
      </w:r>
    </w:p>
    <w:p w:rsidR="00894F11" w:rsidRDefault="00FE44DC">
      <w:pPr>
        <w:spacing w:line="480" w:lineRule="auto"/>
        <w:ind w:firstLine="720"/>
        <w:sectPr w:rsidR="00894F11" w:rsidSect="00E9570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r>
        <w:t xml:space="preserve">These auctions will provide an increasing amount of energy to serve standard-offer customers.  The residential customers of this Utility make up approximately 40% of the standard-offer customers.  Making sure the competitive bid process is correctly </w:t>
      </w:r>
    </w:p>
    <w:p w:rsidR="00FE44DC" w:rsidRDefault="00FE44DC" w:rsidP="00894F11">
      <w:pPr>
        <w:spacing w:line="480" w:lineRule="auto"/>
      </w:pPr>
      <w:r>
        <w:lastRenderedPageBreak/>
        <w:t xml:space="preserve">structured is important because it will affect standard-offer rates paid by these residential customers. </w:t>
      </w:r>
    </w:p>
    <w:p w:rsidR="00FE44DC" w:rsidRDefault="00FE44DC">
      <w:pPr>
        <w:spacing w:line="480" w:lineRule="auto"/>
        <w:ind w:firstLine="720"/>
      </w:pPr>
      <w:r>
        <w:t xml:space="preserve">The competitive bid process should be structured in a way to encourage robust bidding for the auction, thereby increasing the likelihood of obtaining reasonably priced electric service for customers, a policy of the State under R.C. 4928.02(A).  OCC’s comments are geared toward encouraging robust bidding for the auction, and yet protecting customers from being saddled with costs that conflict with the goals of ensuring reasonably priced electric service.   </w:t>
      </w:r>
    </w:p>
    <w:p w:rsidR="00FE44DC" w:rsidRDefault="00FE44DC"/>
    <w:p w:rsidR="00FE44DC" w:rsidRDefault="00FE44DC">
      <w:pPr>
        <w:pStyle w:val="Heading1"/>
      </w:pPr>
      <w:r>
        <w:t>II.</w:t>
      </w:r>
      <w:r>
        <w:tab/>
        <w:t>COMMENTS</w:t>
      </w:r>
    </w:p>
    <w:p w:rsidR="00FE44DC" w:rsidRDefault="00FE44DC">
      <w:pPr>
        <w:pStyle w:val="Heading2"/>
      </w:pPr>
      <w:r>
        <w:t xml:space="preserve">A.  </w:t>
      </w:r>
      <w:r w:rsidR="00894F11">
        <w:tab/>
      </w:r>
      <w:r>
        <w:t>Cost Recovery</w:t>
      </w:r>
    </w:p>
    <w:p w:rsidR="00FE44DC" w:rsidRDefault="00FE44DC">
      <w:pPr>
        <w:spacing w:line="480" w:lineRule="auto"/>
        <w:ind w:firstLine="720"/>
      </w:pPr>
      <w:r>
        <w:t xml:space="preserve">In the Supplement to </w:t>
      </w:r>
      <w:r w:rsidR="0012585B">
        <w:t xml:space="preserve">its </w:t>
      </w:r>
      <w:r>
        <w:t>Application (p. 2), AEP Ohio proposes to collect from standard service offer (“standard-offer”) customers  “prudently incurred costs of conducting the energy auctions,” including “costs of default and contingency plans associated with the energy supply contracts</w:t>
      </w:r>
      <w:r w:rsidR="0012585B">
        <w:t>”</w:t>
      </w:r>
      <w:r>
        <w:t xml:space="preserve"> and “balancing charges incurred in administering the energy supply contracts.” </w:t>
      </w:r>
      <w:r w:rsidR="0012585B">
        <w:t xml:space="preserve"> </w:t>
      </w:r>
      <w:r>
        <w:t>The Commission should direct AEP Ohio to identify (and justify): (1) what types of costs would be included in these two cost categories; (2) how such costs would arise in the course of administering the energy auctions; and (3) the basis for charging such costs to standard-offer customers, rather than to competitive bid process (“CBP”) suppliers.</w:t>
      </w:r>
    </w:p>
    <w:p w:rsidR="00FE44DC" w:rsidRDefault="00FE44DC">
      <w:pPr>
        <w:spacing w:line="480" w:lineRule="auto"/>
        <w:ind w:firstLine="720"/>
      </w:pPr>
      <w:r>
        <w:t xml:space="preserve">OCC objects, in particular, to AEP Ohio’s proposal to collect “balancing charges” from standard-offer customers.  “Balancing charges,” as used in wholesale power markets, typically refers to charges for any deviations between day-ahead scheduled load and actual real-time load, priced at the real-time locational marginal price (“LMP”).  It is </w:t>
      </w:r>
      <w:r>
        <w:lastRenderedPageBreak/>
        <w:t xml:space="preserve">not reasonable or appropriate for standard-offer customers to bear the cost risk associated with such load deviations. </w:t>
      </w:r>
      <w:r w:rsidR="0012585B">
        <w:t xml:space="preserve"> </w:t>
      </w:r>
      <w:r>
        <w:t>Instead, as is typical for contracts with standard-offer suppliers in other jurisdictions, the Master Energy Supply Agreement should require the supplier to bear all costs associated with real-time balancing.</w:t>
      </w:r>
    </w:p>
    <w:p w:rsidR="00FE44DC" w:rsidRDefault="00FE44DC" w:rsidP="00894F11">
      <w:pPr>
        <w:pStyle w:val="Heading2"/>
        <w:spacing w:after="0" w:line="480" w:lineRule="auto"/>
      </w:pPr>
      <w:r>
        <w:t xml:space="preserve">B.  </w:t>
      </w:r>
      <w:r w:rsidR="00894F11">
        <w:tab/>
      </w:r>
      <w:r>
        <w:t>Term Structure and Auction Timing</w:t>
      </w:r>
      <w:r>
        <w:rPr>
          <w:rStyle w:val="FootnoteReference"/>
        </w:rPr>
        <w:footnoteReference w:id="3"/>
      </w:r>
    </w:p>
    <w:p w:rsidR="00FE44DC" w:rsidRDefault="00FE44DC" w:rsidP="006D3984">
      <w:pPr>
        <w:spacing w:line="480" w:lineRule="auto"/>
        <w:ind w:firstLine="720"/>
      </w:pPr>
      <w:r>
        <w:t>OCC recommends the following changes to the proposal regarding product terms and auction timing:</w:t>
      </w:r>
    </w:p>
    <w:p w:rsidR="00FE44DC" w:rsidRDefault="00FE44DC" w:rsidP="00894F11">
      <w:pPr>
        <w:pStyle w:val="List"/>
        <w:numPr>
          <w:ilvl w:val="0"/>
          <w:numId w:val="2"/>
        </w:numPr>
        <w:spacing w:after="160" w:line="340" w:lineRule="exact"/>
        <w:ind w:left="2160" w:right="720" w:hanging="720"/>
        <w:rPr>
          <w:sz w:val="24"/>
          <w:szCs w:val="24"/>
        </w:rPr>
      </w:pPr>
      <w:r>
        <w:rPr>
          <w:sz w:val="24"/>
          <w:szCs w:val="24"/>
        </w:rPr>
        <w:t>For the first auction in June of 2013, solicit ten tranches of a 10-month product with a delivery period from August of 2013 through May of 2014, rather than the proposed 22-month product with a delivery period from August of 2013 through May of 2015.</w:t>
      </w:r>
    </w:p>
    <w:p w:rsidR="00FE44DC" w:rsidRDefault="00FE44DC" w:rsidP="00894F11">
      <w:pPr>
        <w:pStyle w:val="List"/>
        <w:numPr>
          <w:ilvl w:val="0"/>
          <w:numId w:val="2"/>
        </w:numPr>
        <w:spacing w:after="160" w:line="340" w:lineRule="exact"/>
        <w:ind w:left="2160" w:right="720" w:hanging="720"/>
        <w:rPr>
          <w:sz w:val="24"/>
          <w:szCs w:val="24"/>
        </w:rPr>
      </w:pPr>
      <w:r>
        <w:rPr>
          <w:sz w:val="24"/>
          <w:szCs w:val="24"/>
        </w:rPr>
        <w:t>Conduct three auctions to solicit 60 tranches of a 12-month product with a delivery period from June of 2014 through May of 2015, instead of two auctions for 50 tranches as proposed by AEP Ohio.</w:t>
      </w:r>
    </w:p>
    <w:p w:rsidR="00FE44DC" w:rsidRDefault="00FE44DC">
      <w:r>
        <w:t>The term structure and auction timing under this modified structure would be as follows:</w:t>
      </w:r>
    </w:p>
    <w:p w:rsidR="00FE44DC" w:rsidRDefault="00FE44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8"/>
        <w:gridCol w:w="1980"/>
        <w:gridCol w:w="1260"/>
        <w:gridCol w:w="1800"/>
        <w:gridCol w:w="873"/>
        <w:gridCol w:w="927"/>
      </w:tblGrid>
      <w:tr w:rsidR="00FE44DC">
        <w:tc>
          <w:tcPr>
            <w:tcW w:w="1818" w:type="dxa"/>
            <w:vAlign w:val="bottom"/>
          </w:tcPr>
          <w:p w:rsidR="00FE44DC" w:rsidRDefault="00FE44DC">
            <w:pPr>
              <w:rPr>
                <w:b/>
              </w:rPr>
            </w:pPr>
            <w:r>
              <w:rPr>
                <w:b/>
              </w:rPr>
              <w:t>Product Type</w:t>
            </w:r>
          </w:p>
        </w:tc>
        <w:tc>
          <w:tcPr>
            <w:tcW w:w="1980" w:type="dxa"/>
            <w:vAlign w:val="bottom"/>
          </w:tcPr>
          <w:p w:rsidR="00FE44DC" w:rsidRDefault="00FE44DC">
            <w:pPr>
              <w:rPr>
                <w:b/>
              </w:rPr>
            </w:pPr>
            <w:r>
              <w:rPr>
                <w:b/>
              </w:rPr>
              <w:t>Auction Timing</w:t>
            </w:r>
          </w:p>
        </w:tc>
        <w:tc>
          <w:tcPr>
            <w:tcW w:w="1260" w:type="dxa"/>
            <w:vAlign w:val="bottom"/>
          </w:tcPr>
          <w:p w:rsidR="00FE44DC" w:rsidRDefault="00FE44DC">
            <w:pPr>
              <w:rPr>
                <w:b/>
              </w:rPr>
            </w:pPr>
            <w:r>
              <w:rPr>
                <w:b/>
              </w:rPr>
              <w:t>Tranches</w:t>
            </w:r>
          </w:p>
        </w:tc>
        <w:tc>
          <w:tcPr>
            <w:tcW w:w="1800" w:type="dxa"/>
            <w:vAlign w:val="bottom"/>
          </w:tcPr>
          <w:p w:rsidR="00FE44DC" w:rsidRDefault="00FE44DC">
            <w:pPr>
              <w:rPr>
                <w:b/>
              </w:rPr>
            </w:pPr>
            <w:r>
              <w:rPr>
                <w:b/>
              </w:rPr>
              <w:t>8/2013-5/2014</w:t>
            </w:r>
          </w:p>
        </w:tc>
        <w:tc>
          <w:tcPr>
            <w:tcW w:w="1800" w:type="dxa"/>
            <w:gridSpan w:val="2"/>
            <w:vAlign w:val="bottom"/>
          </w:tcPr>
          <w:p w:rsidR="00FE44DC" w:rsidRDefault="00FE44DC">
            <w:pPr>
              <w:rPr>
                <w:b/>
              </w:rPr>
            </w:pPr>
            <w:r>
              <w:rPr>
                <w:b/>
              </w:rPr>
              <w:t>6/2014-5/2015</w:t>
            </w:r>
          </w:p>
        </w:tc>
      </w:tr>
      <w:tr w:rsidR="00FE44DC">
        <w:tc>
          <w:tcPr>
            <w:tcW w:w="1818" w:type="dxa"/>
          </w:tcPr>
          <w:p w:rsidR="00FE44DC" w:rsidRDefault="00FE44DC">
            <w:r>
              <w:t>10-Month</w:t>
            </w:r>
          </w:p>
        </w:tc>
        <w:tc>
          <w:tcPr>
            <w:tcW w:w="1980" w:type="dxa"/>
          </w:tcPr>
          <w:p w:rsidR="00FE44DC" w:rsidRDefault="00FE44DC">
            <w:r>
              <w:t>June 2013</w:t>
            </w:r>
          </w:p>
        </w:tc>
        <w:tc>
          <w:tcPr>
            <w:tcW w:w="1260" w:type="dxa"/>
          </w:tcPr>
          <w:p w:rsidR="00FE44DC" w:rsidRDefault="00FE44DC">
            <w:pPr>
              <w:jc w:val="center"/>
            </w:pPr>
            <w:r>
              <w:t>10</w:t>
            </w:r>
          </w:p>
        </w:tc>
        <w:tc>
          <w:tcPr>
            <w:tcW w:w="1800" w:type="dxa"/>
            <w:shd w:val="clear" w:color="auto" w:fill="00B050"/>
          </w:tcPr>
          <w:p w:rsidR="00FE44DC" w:rsidRDefault="00FE44DC"/>
        </w:tc>
        <w:tc>
          <w:tcPr>
            <w:tcW w:w="1800" w:type="dxa"/>
            <w:gridSpan w:val="2"/>
          </w:tcPr>
          <w:p w:rsidR="00FE44DC" w:rsidRDefault="00FE44DC"/>
        </w:tc>
      </w:tr>
      <w:tr w:rsidR="00FE44DC">
        <w:tc>
          <w:tcPr>
            <w:tcW w:w="1818" w:type="dxa"/>
          </w:tcPr>
          <w:p w:rsidR="00FE44DC" w:rsidRDefault="00FE44DC">
            <w:r>
              <w:t>12-Month</w:t>
            </w:r>
          </w:p>
        </w:tc>
        <w:tc>
          <w:tcPr>
            <w:tcW w:w="1980" w:type="dxa"/>
          </w:tcPr>
          <w:p w:rsidR="00FE44DC" w:rsidRDefault="00FE44DC">
            <w:r>
              <w:t>November 2013</w:t>
            </w:r>
          </w:p>
        </w:tc>
        <w:tc>
          <w:tcPr>
            <w:tcW w:w="1260" w:type="dxa"/>
          </w:tcPr>
          <w:p w:rsidR="00FE44DC" w:rsidRDefault="00FE44DC">
            <w:pPr>
              <w:jc w:val="center"/>
            </w:pPr>
            <w:r>
              <w:t>20</w:t>
            </w:r>
          </w:p>
        </w:tc>
        <w:tc>
          <w:tcPr>
            <w:tcW w:w="1800" w:type="dxa"/>
          </w:tcPr>
          <w:p w:rsidR="00FE44DC" w:rsidRDefault="00FE44DC"/>
        </w:tc>
        <w:tc>
          <w:tcPr>
            <w:tcW w:w="1800" w:type="dxa"/>
            <w:gridSpan w:val="2"/>
            <w:shd w:val="clear" w:color="auto" w:fill="FF0000"/>
          </w:tcPr>
          <w:p w:rsidR="00FE44DC" w:rsidRDefault="00FE44DC"/>
        </w:tc>
      </w:tr>
      <w:tr w:rsidR="00FE44DC">
        <w:tc>
          <w:tcPr>
            <w:tcW w:w="1818" w:type="dxa"/>
          </w:tcPr>
          <w:p w:rsidR="00FE44DC" w:rsidRDefault="00FE44DC">
            <w:r>
              <w:t>12-Month</w:t>
            </w:r>
          </w:p>
        </w:tc>
        <w:tc>
          <w:tcPr>
            <w:tcW w:w="1980" w:type="dxa"/>
          </w:tcPr>
          <w:p w:rsidR="00FE44DC" w:rsidRDefault="00FE44DC">
            <w:r>
              <w:t>January 2014</w:t>
            </w:r>
          </w:p>
        </w:tc>
        <w:tc>
          <w:tcPr>
            <w:tcW w:w="1260" w:type="dxa"/>
          </w:tcPr>
          <w:p w:rsidR="00FE44DC" w:rsidRDefault="00FE44DC">
            <w:pPr>
              <w:jc w:val="center"/>
            </w:pPr>
            <w:r>
              <w:t>20</w:t>
            </w:r>
          </w:p>
        </w:tc>
        <w:tc>
          <w:tcPr>
            <w:tcW w:w="1800" w:type="dxa"/>
          </w:tcPr>
          <w:p w:rsidR="00FE44DC" w:rsidRDefault="00FE44DC"/>
        </w:tc>
        <w:tc>
          <w:tcPr>
            <w:tcW w:w="1800" w:type="dxa"/>
            <w:gridSpan w:val="2"/>
            <w:shd w:val="clear" w:color="auto" w:fill="FF0000"/>
          </w:tcPr>
          <w:p w:rsidR="00FE44DC" w:rsidRDefault="00FE44DC"/>
        </w:tc>
      </w:tr>
      <w:tr w:rsidR="00FE44DC">
        <w:tc>
          <w:tcPr>
            <w:tcW w:w="1818" w:type="dxa"/>
          </w:tcPr>
          <w:p w:rsidR="00FE44DC" w:rsidRDefault="00FE44DC">
            <w:r>
              <w:t>12-Month</w:t>
            </w:r>
          </w:p>
        </w:tc>
        <w:tc>
          <w:tcPr>
            <w:tcW w:w="1980" w:type="dxa"/>
          </w:tcPr>
          <w:p w:rsidR="00FE44DC" w:rsidRDefault="00FE44DC">
            <w:r>
              <w:t>March 2014</w:t>
            </w:r>
          </w:p>
        </w:tc>
        <w:tc>
          <w:tcPr>
            <w:tcW w:w="1260" w:type="dxa"/>
          </w:tcPr>
          <w:p w:rsidR="00FE44DC" w:rsidRDefault="00FE44DC">
            <w:pPr>
              <w:jc w:val="center"/>
            </w:pPr>
            <w:r>
              <w:t>20</w:t>
            </w:r>
          </w:p>
        </w:tc>
        <w:tc>
          <w:tcPr>
            <w:tcW w:w="1800" w:type="dxa"/>
          </w:tcPr>
          <w:p w:rsidR="00FE44DC" w:rsidRDefault="00FE44DC"/>
        </w:tc>
        <w:tc>
          <w:tcPr>
            <w:tcW w:w="1800" w:type="dxa"/>
            <w:gridSpan w:val="2"/>
            <w:shd w:val="clear" w:color="auto" w:fill="FF0000"/>
          </w:tcPr>
          <w:p w:rsidR="00FE44DC" w:rsidRDefault="00FE44DC"/>
        </w:tc>
      </w:tr>
      <w:tr w:rsidR="00FE44DC">
        <w:tc>
          <w:tcPr>
            <w:tcW w:w="1818" w:type="dxa"/>
          </w:tcPr>
          <w:p w:rsidR="00FE44DC" w:rsidRDefault="00FE44DC">
            <w:r>
              <w:t>5-Month</w:t>
            </w:r>
          </w:p>
        </w:tc>
        <w:tc>
          <w:tcPr>
            <w:tcW w:w="1980" w:type="dxa"/>
          </w:tcPr>
          <w:p w:rsidR="00FE44DC" w:rsidRDefault="00FE44DC">
            <w:r>
              <w:t>June 2014</w:t>
            </w:r>
          </w:p>
        </w:tc>
        <w:tc>
          <w:tcPr>
            <w:tcW w:w="1260" w:type="dxa"/>
          </w:tcPr>
          <w:p w:rsidR="00FE44DC" w:rsidRDefault="00FE44DC">
            <w:pPr>
              <w:jc w:val="center"/>
            </w:pPr>
            <w:r>
              <w:t>40</w:t>
            </w:r>
          </w:p>
        </w:tc>
        <w:tc>
          <w:tcPr>
            <w:tcW w:w="1800" w:type="dxa"/>
          </w:tcPr>
          <w:p w:rsidR="00FE44DC" w:rsidRDefault="00FE44DC"/>
        </w:tc>
        <w:tc>
          <w:tcPr>
            <w:tcW w:w="873" w:type="dxa"/>
          </w:tcPr>
          <w:p w:rsidR="00FE44DC" w:rsidRDefault="00FE44DC"/>
        </w:tc>
        <w:tc>
          <w:tcPr>
            <w:tcW w:w="927" w:type="dxa"/>
            <w:shd w:val="clear" w:color="auto" w:fill="0070C0"/>
          </w:tcPr>
          <w:p w:rsidR="00FE44DC" w:rsidRDefault="00FE44DC"/>
        </w:tc>
      </w:tr>
    </w:tbl>
    <w:p w:rsidR="00FE44DC" w:rsidRDefault="00FE44DC"/>
    <w:p w:rsidR="00FE44DC" w:rsidRDefault="00FE44DC">
      <w:pPr>
        <w:spacing w:line="480" w:lineRule="auto"/>
        <w:ind w:firstLine="720"/>
      </w:pPr>
      <w:r>
        <w:t xml:space="preserve">This modified structure offers a couple of advantages. </w:t>
      </w:r>
      <w:r w:rsidR="0012585B">
        <w:t xml:space="preserve"> </w:t>
      </w:r>
      <w:r>
        <w:t xml:space="preserve">First, this modified structure unbundles the 22-month product (8/2013-5/2015) proposed by AEP Ohio into a 10-month portion (8/2013-5/2014) and a 12-month portion (6/2014-5/2015). </w:t>
      </w:r>
      <w:r w:rsidR="0012585B">
        <w:t xml:space="preserve"> </w:t>
      </w:r>
      <w:r>
        <w:t xml:space="preserve">By procuring the 12-month portion at a later date, the modified structure reduces the time </w:t>
      </w:r>
      <w:r>
        <w:lastRenderedPageBreak/>
        <w:t xml:space="preserve">between procurement and start of delivery for that 6/2014-5/2015 portion of the 22-month product proposed by AEP Ohio. </w:t>
      </w:r>
      <w:r w:rsidR="0012585B">
        <w:t xml:space="preserve"> </w:t>
      </w:r>
      <w:r>
        <w:t>Reducing the time between procurement and delivery for this 12-month portion should reduce load and price uncertainty, and thus reduce risk premiums assessed by bidders when they bid on this portion as a separate 12-month product.  In other words, OCC’s proposed approach should save money for consumers.</w:t>
      </w:r>
    </w:p>
    <w:p w:rsidR="00FE44DC" w:rsidRDefault="00FE44DC">
      <w:pPr>
        <w:spacing w:line="480" w:lineRule="auto"/>
        <w:ind w:firstLine="720"/>
      </w:pPr>
      <w:r>
        <w:t xml:space="preserve">Second, with only ten tranches on offer in the June 2013 auction, bidding may not be robust enough to support competitive pricing for a 22-month product, especially given the delivery risk for the longer-term product noted above. </w:t>
      </w:r>
      <w:r w:rsidR="0012585B">
        <w:t xml:space="preserve"> </w:t>
      </w:r>
      <w:r>
        <w:t>Shortening the term of the product to ten months may increase bidder interest and promote competitive pricing, or at least limit the damage to consumers from inefficient pricing.</w:t>
      </w:r>
    </w:p>
    <w:p w:rsidR="00FE44DC" w:rsidRDefault="00FE44DC" w:rsidP="00894F11">
      <w:pPr>
        <w:pStyle w:val="Heading2"/>
        <w:spacing w:after="0" w:line="480" w:lineRule="auto"/>
      </w:pPr>
      <w:r>
        <w:t xml:space="preserve">C. </w:t>
      </w:r>
      <w:r w:rsidR="00894F11">
        <w:tab/>
      </w:r>
      <w:r>
        <w:t>Auction Process</w:t>
      </w:r>
      <w:r>
        <w:rPr>
          <w:rStyle w:val="FootnoteReference"/>
        </w:rPr>
        <w:footnoteReference w:id="4"/>
      </w:r>
    </w:p>
    <w:p w:rsidR="00FE44DC" w:rsidRDefault="00FE44DC" w:rsidP="00894F11">
      <w:pPr>
        <w:spacing w:line="480" w:lineRule="auto"/>
        <w:ind w:firstLine="720"/>
      </w:pPr>
      <w:r>
        <w:t xml:space="preserve">AEP Ohio proposes that the PUCO be permitted to reject the results of an auction only in the event that: (1) the Auction Manager determined that auction rules were not followed; (2) the auction was under-subscribed; (3) there were fewer than four bidders; or (4) one bidder won more than 80% of the available tranches. </w:t>
      </w:r>
    </w:p>
    <w:p w:rsidR="00FE44DC" w:rsidRDefault="00FE44DC">
      <w:pPr>
        <w:spacing w:line="480" w:lineRule="auto"/>
        <w:ind w:firstLine="720"/>
      </w:pPr>
      <w:r>
        <w:t xml:space="preserve">OCC recommends that the Commission be given greater discretion to reject winning price offers that are not competitive or reasonably consistent with current market pricing for energy and will result in standard-offer customers paying more than they otherwise would have paid under AEP Ohio’s fuel  adjustment clause rates.  Doing so would be consistent with the provisions of the Code that are geared toward ensuring reasonably priced electric service to customers in the state.   </w:t>
      </w:r>
    </w:p>
    <w:p w:rsidR="00FE44DC" w:rsidRDefault="00FE44DC">
      <w:pPr>
        <w:pStyle w:val="Heading1"/>
      </w:pPr>
      <w:r>
        <w:t>III.</w:t>
      </w:r>
      <w:r>
        <w:tab/>
        <w:t>CONCLUSION</w:t>
      </w:r>
    </w:p>
    <w:p w:rsidR="00FE44DC" w:rsidRDefault="00FE44DC">
      <w:pPr>
        <w:spacing w:line="480" w:lineRule="auto"/>
      </w:pPr>
      <w:r>
        <w:tab/>
        <w:t xml:space="preserve">OCC appreciates the opportunity to submit comments to assist the Commission in its review of AEP Ohio’s competitive bid process.  OCC’s comments present modifications to the bid process proposed by AEP Ohio.  These changes would increase the likelihood that residential customers will be able to fully benefit from AEP Ohio’s transition to competitively bid standard-offer rates.  </w:t>
      </w:r>
    </w:p>
    <w:p w:rsidR="00FE44DC" w:rsidRDefault="00FE44DC">
      <w:pPr>
        <w:widowControl w:val="0"/>
        <w:spacing w:line="480" w:lineRule="atLeast"/>
        <w:ind w:left="3600" w:right="-672" w:firstLine="720"/>
        <w:rPr>
          <w:szCs w:val="24"/>
        </w:rPr>
      </w:pPr>
      <w:r>
        <w:rPr>
          <w:szCs w:val="24"/>
        </w:rPr>
        <w:t>Respectfully submitted,</w:t>
      </w:r>
    </w:p>
    <w:p w:rsidR="00FE44DC" w:rsidRDefault="00FE44DC">
      <w:pPr>
        <w:tabs>
          <w:tab w:val="left" w:pos="4320"/>
        </w:tabs>
        <w:spacing w:before="240"/>
        <w:rPr>
          <w:szCs w:val="24"/>
        </w:rPr>
      </w:pPr>
      <w:r>
        <w:rPr>
          <w:szCs w:val="24"/>
        </w:rPr>
        <w:tab/>
        <w:t>BRUCE J. WESTON</w:t>
      </w:r>
    </w:p>
    <w:p w:rsidR="00FE44DC" w:rsidRDefault="00FE44DC">
      <w:pPr>
        <w:tabs>
          <w:tab w:val="left" w:pos="4320"/>
        </w:tabs>
        <w:rPr>
          <w:szCs w:val="24"/>
        </w:rPr>
      </w:pPr>
      <w:r>
        <w:rPr>
          <w:szCs w:val="24"/>
        </w:rPr>
        <w:tab/>
      </w:r>
      <w:smartTag w:uri="urn:schemas-microsoft-com:office:smarttags" w:element="State">
        <w:smartTag w:uri="urn:schemas-microsoft-com:office:smarttags" w:element="place">
          <w:r>
            <w:rPr>
              <w:szCs w:val="24"/>
            </w:rPr>
            <w:t>OHIO</w:t>
          </w:r>
        </w:smartTag>
      </w:smartTag>
      <w:r>
        <w:rPr>
          <w:szCs w:val="24"/>
        </w:rPr>
        <w:t xml:space="preserve"> CONSUMERS’ COUNSEL</w:t>
      </w:r>
    </w:p>
    <w:p w:rsidR="00FE44DC" w:rsidRDefault="00FE44DC">
      <w:pPr>
        <w:tabs>
          <w:tab w:val="left" w:pos="4320"/>
        </w:tabs>
        <w:rPr>
          <w:szCs w:val="24"/>
        </w:rPr>
      </w:pPr>
      <w:r>
        <w:rPr>
          <w:szCs w:val="24"/>
        </w:rPr>
        <w:tab/>
      </w:r>
    </w:p>
    <w:p w:rsidR="00FE44DC" w:rsidRDefault="00FE44DC">
      <w:pPr>
        <w:tabs>
          <w:tab w:val="left" w:pos="4320"/>
        </w:tabs>
        <w:rPr>
          <w:i/>
          <w:szCs w:val="24"/>
          <w:u w:val="single"/>
        </w:rPr>
      </w:pPr>
      <w:r>
        <w:rPr>
          <w:szCs w:val="24"/>
        </w:rPr>
        <w:tab/>
      </w:r>
      <w:r>
        <w:rPr>
          <w:i/>
          <w:szCs w:val="24"/>
          <w:u w:val="single"/>
        </w:rPr>
        <w:t>/s/ Maureen R. Grady</w:t>
      </w:r>
      <w:r>
        <w:rPr>
          <w:i/>
          <w:szCs w:val="24"/>
          <w:u w:val="single"/>
        </w:rPr>
        <w:tab/>
      </w:r>
      <w:r>
        <w:rPr>
          <w:i/>
          <w:szCs w:val="24"/>
          <w:u w:val="single"/>
        </w:rPr>
        <w:tab/>
      </w:r>
      <w:r>
        <w:rPr>
          <w:i/>
          <w:szCs w:val="24"/>
          <w:u w:val="single"/>
        </w:rPr>
        <w:tab/>
      </w:r>
      <w:r>
        <w:rPr>
          <w:i/>
          <w:szCs w:val="24"/>
          <w:u w:val="single"/>
        </w:rPr>
        <w:tab/>
      </w:r>
    </w:p>
    <w:p w:rsidR="00FE44DC" w:rsidRDefault="00FE44DC">
      <w:pPr>
        <w:tabs>
          <w:tab w:val="left" w:pos="4320"/>
        </w:tabs>
        <w:rPr>
          <w:szCs w:val="24"/>
        </w:rPr>
      </w:pPr>
      <w:r>
        <w:rPr>
          <w:szCs w:val="24"/>
        </w:rPr>
        <w:tab/>
        <w:t>Maureen R. Grady, Counsel of Record</w:t>
      </w:r>
    </w:p>
    <w:p w:rsidR="00FE44DC" w:rsidRDefault="00FE44DC">
      <w:pPr>
        <w:tabs>
          <w:tab w:val="left" w:pos="4320"/>
        </w:tabs>
        <w:rPr>
          <w:szCs w:val="24"/>
        </w:rPr>
      </w:pPr>
      <w:r>
        <w:rPr>
          <w:szCs w:val="24"/>
        </w:rPr>
        <w:tab/>
        <w:t>Assistant Consumers’ Counsel</w:t>
      </w:r>
    </w:p>
    <w:p w:rsidR="00FE44DC" w:rsidRDefault="00FE44DC">
      <w:pPr>
        <w:keepNext/>
        <w:ind w:left="3240" w:right="-648" w:firstLine="720"/>
        <w:outlineLvl w:val="0"/>
        <w:rPr>
          <w:b/>
          <w:szCs w:val="24"/>
        </w:rPr>
      </w:pPr>
      <w:r>
        <w:rPr>
          <w:b/>
          <w:szCs w:val="24"/>
        </w:rPr>
        <w:tab/>
      </w:r>
    </w:p>
    <w:p w:rsidR="00FE44DC" w:rsidRDefault="00FE44DC">
      <w:pPr>
        <w:keepNext/>
        <w:ind w:left="3240" w:right="-648" w:firstLine="720"/>
        <w:outlineLvl w:val="0"/>
        <w:rPr>
          <w:b/>
          <w:szCs w:val="24"/>
        </w:rPr>
      </w:pPr>
      <w:r>
        <w:rPr>
          <w:b/>
          <w:szCs w:val="24"/>
        </w:rPr>
        <w:tab/>
        <w:t xml:space="preserve">Office of the </w:t>
      </w:r>
      <w:smartTag w:uri="urn:schemas-microsoft-com:office:smarttags" w:element="State">
        <w:smartTag w:uri="urn:schemas-microsoft-com:office:smarttags" w:element="place">
          <w:r>
            <w:rPr>
              <w:b/>
              <w:szCs w:val="24"/>
            </w:rPr>
            <w:t>Ohio</w:t>
          </w:r>
        </w:smartTag>
      </w:smartTag>
      <w:r>
        <w:rPr>
          <w:b/>
          <w:szCs w:val="24"/>
        </w:rPr>
        <w:t xml:space="preserve"> Consumers’ Counsel</w:t>
      </w:r>
    </w:p>
    <w:p w:rsidR="00FE44DC" w:rsidRDefault="00FE44DC">
      <w:pPr>
        <w:keepNext/>
        <w:ind w:left="3240" w:right="-648" w:firstLine="720"/>
        <w:outlineLvl w:val="0"/>
        <w:rPr>
          <w:szCs w:val="24"/>
        </w:rPr>
      </w:pPr>
      <w:r>
        <w:rPr>
          <w:szCs w:val="24"/>
        </w:rPr>
        <w:tab/>
      </w:r>
      <w:smartTag w:uri="urn:schemas-microsoft-com:office:smarttags" w:element="address">
        <w:smartTag w:uri="urn:schemas-microsoft-com:office:smarttags" w:element="Street">
          <w:r>
            <w:rPr>
              <w:szCs w:val="24"/>
            </w:rPr>
            <w:t>10 West Broad Street, Suite 1800</w:t>
          </w:r>
        </w:smartTag>
      </w:smartTag>
    </w:p>
    <w:p w:rsidR="00FE44DC" w:rsidRDefault="00FE44DC">
      <w:pPr>
        <w:keepNext/>
        <w:ind w:left="3240" w:right="-648" w:firstLine="720"/>
        <w:outlineLvl w:val="0"/>
        <w:rPr>
          <w:szCs w:val="24"/>
        </w:rPr>
      </w:pPr>
      <w:r>
        <w:rPr>
          <w:szCs w:val="24"/>
        </w:rPr>
        <w:tab/>
      </w:r>
      <w:smartTag w:uri="urn:schemas-microsoft-com:office:smarttags" w:element="City">
        <w:smartTag w:uri="urn:schemas-microsoft-com:office:smarttags" w:element="place">
          <w:smartTag w:uri="urn:schemas-microsoft-com:office:smarttags" w:element="City">
            <w:r>
              <w:rPr>
                <w:szCs w:val="24"/>
              </w:rPr>
              <w:t>Columbus</w:t>
            </w:r>
          </w:smartTag>
          <w:r>
            <w:rPr>
              <w:szCs w:val="24"/>
            </w:rPr>
            <w:t xml:space="preserve">, </w:t>
          </w:r>
          <w:smartTag w:uri="urn:schemas-microsoft-com:office:smarttags" w:element="PostalCode">
            <w:smartTag w:uri="urn:schemas-microsoft-com:office:smarttags" w:element="State">
              <w:r>
                <w:rPr>
                  <w:szCs w:val="24"/>
                </w:rPr>
                <w:t>Ohio</w:t>
              </w:r>
            </w:smartTag>
          </w:smartTag>
          <w:r>
            <w:rPr>
              <w:szCs w:val="24"/>
            </w:rPr>
            <w:t xml:space="preserve"> </w:t>
          </w:r>
          <w:smartTag w:uri="urn:schemas-microsoft-com:office:smarttags" w:element="PostalCode">
            <w:r>
              <w:rPr>
                <w:szCs w:val="24"/>
              </w:rPr>
              <w:t>43215-3485</w:t>
            </w:r>
          </w:smartTag>
        </w:smartTag>
      </w:smartTag>
    </w:p>
    <w:p w:rsidR="00FE44DC" w:rsidRDefault="00FE44DC">
      <w:pPr>
        <w:autoSpaceDE w:val="0"/>
        <w:autoSpaceDN w:val="0"/>
        <w:adjustRightInd w:val="0"/>
        <w:ind w:left="3600" w:firstLine="720"/>
        <w:rPr>
          <w:szCs w:val="24"/>
        </w:rPr>
      </w:pPr>
      <w:r>
        <w:rPr>
          <w:szCs w:val="24"/>
        </w:rPr>
        <w:t>Telephone:  (Grady) (614) 466-9567</w:t>
      </w:r>
    </w:p>
    <w:p w:rsidR="00FE44DC" w:rsidRDefault="00FE44DC">
      <w:r>
        <w:rPr>
          <w:szCs w:val="24"/>
        </w:rPr>
        <w:tab/>
      </w:r>
      <w:r>
        <w:rPr>
          <w:szCs w:val="24"/>
        </w:rPr>
        <w:tab/>
      </w:r>
      <w:r>
        <w:rPr>
          <w:szCs w:val="24"/>
        </w:rPr>
        <w:tab/>
      </w:r>
      <w:r>
        <w:rPr>
          <w:szCs w:val="24"/>
        </w:rPr>
        <w:tab/>
      </w:r>
      <w:r>
        <w:rPr>
          <w:szCs w:val="24"/>
        </w:rPr>
        <w:tab/>
      </w:r>
      <w:r>
        <w:rPr>
          <w:szCs w:val="24"/>
        </w:rPr>
        <w:tab/>
      </w:r>
      <w:hyperlink r:id="rId14" w:history="1">
        <w:r>
          <w:rPr>
            <w:color w:val="0000FF"/>
            <w:szCs w:val="24"/>
            <w:u w:val="single"/>
          </w:rPr>
          <w:t>grady@occ.state.oh.us</w:t>
        </w:r>
      </w:hyperlink>
    </w:p>
    <w:p w:rsidR="00FE44DC" w:rsidRDefault="00FE44DC" w:rsidP="00894F11">
      <w:pPr>
        <w:jc w:val="center"/>
        <w:rPr>
          <w:b/>
          <w:bCs/>
          <w:u w:val="single"/>
        </w:rPr>
      </w:pPr>
      <w:r>
        <w:br w:type="page"/>
      </w:r>
      <w:r>
        <w:rPr>
          <w:b/>
          <w:bCs/>
          <w:u w:val="single"/>
        </w:rPr>
        <w:t>CERTIFICATE OF SERVICE</w:t>
      </w:r>
    </w:p>
    <w:p w:rsidR="00FE44DC" w:rsidRDefault="00FE44DC">
      <w:pPr>
        <w:spacing w:line="480" w:lineRule="atLeast"/>
      </w:pPr>
      <w:r>
        <w:tab/>
        <w:t>I hereby certify that a copy of the Comments by the Office of the Ohio Consumers’ Counsel was served on the persons stated below via electronic service this 4</w:t>
      </w:r>
      <w:r>
        <w:rPr>
          <w:vertAlign w:val="superscript"/>
        </w:rPr>
        <w:t>th</w:t>
      </w:r>
      <w:r>
        <w:t xml:space="preserve"> day of March 2013.</w:t>
      </w:r>
    </w:p>
    <w:p w:rsidR="00FE44DC" w:rsidRDefault="00FE44DC">
      <w:pPr>
        <w:spacing w:line="480" w:lineRule="atLeast"/>
      </w:pPr>
    </w:p>
    <w:p w:rsidR="00FE44DC" w:rsidRDefault="00FE44DC">
      <w:pPr>
        <w:tabs>
          <w:tab w:val="left" w:pos="4320"/>
        </w:tabs>
        <w:rPr>
          <w:i/>
          <w:u w:val="single"/>
        </w:rPr>
      </w:pPr>
      <w:r>
        <w:tab/>
      </w:r>
      <w:r>
        <w:rPr>
          <w:i/>
          <w:u w:val="single"/>
        </w:rPr>
        <w:t>/s/ Maureen R. Grady</w:t>
      </w:r>
      <w:r>
        <w:rPr>
          <w:i/>
          <w:u w:val="single"/>
        </w:rPr>
        <w:tab/>
      </w:r>
      <w:r>
        <w:rPr>
          <w:i/>
          <w:u w:val="single"/>
        </w:rPr>
        <w:tab/>
      </w:r>
      <w:r>
        <w:rPr>
          <w:i/>
          <w:u w:val="single"/>
        </w:rPr>
        <w:tab/>
      </w:r>
    </w:p>
    <w:p w:rsidR="00FE44DC" w:rsidRDefault="00FE44DC">
      <w:pPr>
        <w:tabs>
          <w:tab w:val="left" w:pos="4320"/>
        </w:tabs>
      </w:pPr>
      <w:r>
        <w:tab/>
        <w:t>Maureen R. Grady</w:t>
      </w:r>
    </w:p>
    <w:p w:rsidR="00FE44DC" w:rsidRDefault="00FE44DC">
      <w:pPr>
        <w:tabs>
          <w:tab w:val="left" w:pos="4320"/>
        </w:tabs>
      </w:pPr>
      <w:r>
        <w:tab/>
        <w:t>Assistant Consumers’ Counsel</w:t>
      </w:r>
    </w:p>
    <w:p w:rsidR="00FE44DC" w:rsidRDefault="00FE44DC">
      <w:pPr>
        <w:pStyle w:val="CommentSubject"/>
      </w:pPr>
    </w:p>
    <w:p w:rsidR="00FE44DC" w:rsidRDefault="00FE44DC">
      <w:pPr>
        <w:pStyle w:val="CommentText"/>
        <w:jc w:val="center"/>
        <w:rPr>
          <w:b/>
          <w:u w:val="single"/>
        </w:rPr>
      </w:pPr>
      <w:r>
        <w:rPr>
          <w:b/>
          <w:u w:val="single"/>
        </w:rPr>
        <w:t>SERVICE LIST</w:t>
      </w:r>
    </w:p>
    <w:p w:rsidR="00FE44DC" w:rsidRDefault="00FE44DC">
      <w:pPr>
        <w:pStyle w:val="BodyText"/>
        <w:rPr>
          <w:b/>
          <w:bCs/>
        </w:rPr>
      </w:pPr>
    </w:p>
    <w:tbl>
      <w:tblPr>
        <w:tblW w:w="0" w:type="auto"/>
        <w:tblLook w:val="01E0" w:firstRow="1" w:lastRow="1" w:firstColumn="1" w:lastColumn="1" w:noHBand="0" w:noVBand="0"/>
      </w:tblPr>
      <w:tblGrid>
        <w:gridCol w:w="4428"/>
        <w:gridCol w:w="4428"/>
      </w:tblGrid>
      <w:tr w:rsidR="00FE44DC">
        <w:tc>
          <w:tcPr>
            <w:tcW w:w="4428" w:type="dxa"/>
          </w:tcPr>
          <w:p w:rsidR="00FE44DC" w:rsidRDefault="00EC46FF">
            <w:pPr>
              <w:autoSpaceDE w:val="0"/>
              <w:autoSpaceDN w:val="0"/>
              <w:adjustRightInd w:val="0"/>
              <w:rPr>
                <w:bCs/>
              </w:rPr>
            </w:pPr>
            <w:hyperlink r:id="rId15" w:history="1">
              <w:r w:rsidR="00FE44DC">
                <w:rPr>
                  <w:rStyle w:val="Hyperlink"/>
                  <w:bCs/>
                </w:rPr>
                <w:t>William.wright@puc.state.oh.us</w:t>
              </w:r>
            </w:hyperlink>
          </w:p>
          <w:p w:rsidR="00FE44DC" w:rsidRDefault="00EC46FF">
            <w:pPr>
              <w:autoSpaceDE w:val="0"/>
              <w:autoSpaceDN w:val="0"/>
              <w:adjustRightInd w:val="0"/>
              <w:rPr>
                <w:bCs/>
              </w:rPr>
            </w:pPr>
            <w:hyperlink r:id="rId16" w:history="1">
              <w:r w:rsidR="00894F11" w:rsidRPr="00A03C10">
                <w:rPr>
                  <w:rStyle w:val="Hyperlink"/>
                  <w:bCs/>
                </w:rPr>
                <w:t>stnourse@aep.com</w:t>
              </w:r>
            </w:hyperlink>
          </w:p>
          <w:p w:rsidR="00FE44DC" w:rsidRDefault="00EC46FF">
            <w:pPr>
              <w:autoSpaceDE w:val="0"/>
              <w:autoSpaceDN w:val="0"/>
              <w:adjustRightInd w:val="0"/>
              <w:rPr>
                <w:szCs w:val="24"/>
              </w:rPr>
            </w:pPr>
            <w:hyperlink r:id="rId17" w:history="1">
              <w:r w:rsidR="00FE44DC">
                <w:rPr>
                  <w:rStyle w:val="Hyperlink"/>
                  <w:szCs w:val="24"/>
                </w:rPr>
                <w:t>mhpetricoff@vorys.com</w:t>
              </w:r>
            </w:hyperlink>
          </w:p>
          <w:p w:rsidR="00FE44DC" w:rsidRDefault="00EC46FF">
            <w:pPr>
              <w:rPr>
                <w:szCs w:val="24"/>
              </w:rPr>
            </w:pPr>
            <w:hyperlink r:id="rId18" w:history="1">
              <w:r w:rsidR="00FE44DC">
                <w:rPr>
                  <w:rStyle w:val="Hyperlink"/>
                  <w:szCs w:val="24"/>
                </w:rPr>
                <w:t>smhoward@vorys.com</w:t>
              </w:r>
            </w:hyperlink>
          </w:p>
          <w:p w:rsidR="00FE44DC" w:rsidRDefault="00EC46FF">
            <w:pPr>
              <w:autoSpaceDE w:val="0"/>
              <w:autoSpaceDN w:val="0"/>
              <w:adjustRightInd w:val="0"/>
              <w:rPr>
                <w:szCs w:val="24"/>
              </w:rPr>
            </w:pPr>
            <w:hyperlink r:id="rId19" w:history="1">
              <w:r w:rsidR="00FE44DC">
                <w:rPr>
                  <w:rStyle w:val="Hyperlink"/>
                  <w:szCs w:val="24"/>
                </w:rPr>
                <w:t>sam@mwncmh.com</w:t>
              </w:r>
            </w:hyperlink>
          </w:p>
          <w:p w:rsidR="00FE44DC" w:rsidRDefault="00EC46FF">
            <w:pPr>
              <w:autoSpaceDE w:val="0"/>
              <w:autoSpaceDN w:val="0"/>
              <w:adjustRightInd w:val="0"/>
              <w:rPr>
                <w:szCs w:val="24"/>
              </w:rPr>
            </w:pPr>
            <w:hyperlink r:id="rId20" w:history="1">
              <w:r w:rsidR="00FE44DC">
                <w:rPr>
                  <w:rStyle w:val="Hyperlink"/>
                  <w:szCs w:val="24"/>
                </w:rPr>
                <w:t>fdarr@mwncmh.com</w:t>
              </w:r>
            </w:hyperlink>
          </w:p>
          <w:p w:rsidR="00FE44DC" w:rsidRDefault="00EC46FF">
            <w:pPr>
              <w:autoSpaceDE w:val="0"/>
              <w:autoSpaceDN w:val="0"/>
              <w:adjustRightInd w:val="0"/>
              <w:rPr>
                <w:szCs w:val="24"/>
              </w:rPr>
            </w:pPr>
            <w:hyperlink r:id="rId21" w:history="1">
              <w:r w:rsidR="00FE44DC">
                <w:rPr>
                  <w:rStyle w:val="Hyperlink"/>
                  <w:szCs w:val="24"/>
                </w:rPr>
                <w:t>joliker@mwncmh.com</w:t>
              </w:r>
            </w:hyperlink>
          </w:p>
          <w:p w:rsidR="00FE44DC" w:rsidRDefault="00EC46FF">
            <w:pPr>
              <w:autoSpaceDE w:val="0"/>
              <w:autoSpaceDN w:val="0"/>
              <w:adjustRightInd w:val="0"/>
              <w:rPr>
                <w:bCs/>
              </w:rPr>
            </w:pPr>
            <w:hyperlink r:id="rId22" w:history="1">
              <w:r w:rsidR="00FE44DC">
                <w:rPr>
                  <w:rStyle w:val="Hyperlink"/>
                  <w:szCs w:val="24"/>
                </w:rPr>
                <w:t>mpritchard@mwncmh.com</w:t>
              </w:r>
            </w:hyperlink>
          </w:p>
        </w:tc>
        <w:tc>
          <w:tcPr>
            <w:tcW w:w="4428" w:type="dxa"/>
          </w:tcPr>
          <w:p w:rsidR="00FE44DC" w:rsidRDefault="00EC46FF">
            <w:pPr>
              <w:pStyle w:val="BodyText"/>
              <w:spacing w:line="240" w:lineRule="auto"/>
              <w:ind w:firstLine="0"/>
              <w:jc w:val="both"/>
              <w:rPr>
                <w:szCs w:val="24"/>
              </w:rPr>
            </w:pPr>
            <w:hyperlink r:id="rId23" w:history="1">
              <w:r w:rsidR="00FE44DC">
                <w:rPr>
                  <w:rStyle w:val="Hyperlink"/>
                  <w:szCs w:val="24"/>
                </w:rPr>
                <w:t>haydenm@firstenergycorp.com</w:t>
              </w:r>
            </w:hyperlink>
          </w:p>
          <w:p w:rsidR="00FE44DC" w:rsidRDefault="00EC46FF">
            <w:pPr>
              <w:autoSpaceDE w:val="0"/>
              <w:autoSpaceDN w:val="0"/>
              <w:adjustRightInd w:val="0"/>
              <w:rPr>
                <w:szCs w:val="24"/>
              </w:rPr>
            </w:pPr>
            <w:hyperlink r:id="rId24" w:history="1">
              <w:r w:rsidR="00FE44DC">
                <w:rPr>
                  <w:rStyle w:val="Hyperlink"/>
                  <w:szCs w:val="24"/>
                </w:rPr>
                <w:t>jlang@calfee.com</w:t>
              </w:r>
            </w:hyperlink>
          </w:p>
          <w:p w:rsidR="00FE44DC" w:rsidRDefault="00EC46FF">
            <w:pPr>
              <w:autoSpaceDE w:val="0"/>
              <w:autoSpaceDN w:val="0"/>
              <w:adjustRightInd w:val="0"/>
              <w:rPr>
                <w:szCs w:val="24"/>
              </w:rPr>
            </w:pPr>
            <w:hyperlink r:id="rId25" w:history="1">
              <w:r w:rsidR="00FE44DC">
                <w:rPr>
                  <w:rStyle w:val="Hyperlink"/>
                  <w:szCs w:val="24"/>
                </w:rPr>
                <w:t>lmcbride@calfee.com</w:t>
              </w:r>
            </w:hyperlink>
          </w:p>
          <w:p w:rsidR="00FE44DC" w:rsidRDefault="00EC46FF">
            <w:pPr>
              <w:rPr>
                <w:szCs w:val="24"/>
              </w:rPr>
            </w:pPr>
            <w:hyperlink r:id="rId26" w:history="1">
              <w:r w:rsidR="00FE44DC">
                <w:rPr>
                  <w:rStyle w:val="Hyperlink"/>
                  <w:szCs w:val="24"/>
                </w:rPr>
                <w:t>talexander@calfee.com</w:t>
              </w:r>
            </w:hyperlink>
          </w:p>
          <w:p w:rsidR="00FE44DC" w:rsidRDefault="00EC46FF">
            <w:pPr>
              <w:autoSpaceDE w:val="0"/>
              <w:autoSpaceDN w:val="0"/>
              <w:adjustRightInd w:val="0"/>
              <w:rPr>
                <w:szCs w:val="24"/>
              </w:rPr>
            </w:pPr>
            <w:hyperlink r:id="rId27" w:history="1">
              <w:r w:rsidR="00FE44DC">
                <w:rPr>
                  <w:rStyle w:val="Hyperlink"/>
                  <w:szCs w:val="24"/>
                </w:rPr>
                <w:t>dboehm@BKLlawfirm.com</w:t>
              </w:r>
            </w:hyperlink>
          </w:p>
          <w:p w:rsidR="00FE44DC" w:rsidRDefault="00EC46FF">
            <w:pPr>
              <w:autoSpaceDE w:val="0"/>
              <w:autoSpaceDN w:val="0"/>
              <w:adjustRightInd w:val="0"/>
              <w:rPr>
                <w:szCs w:val="24"/>
              </w:rPr>
            </w:pPr>
            <w:hyperlink r:id="rId28" w:history="1">
              <w:r w:rsidR="00FE44DC">
                <w:rPr>
                  <w:rStyle w:val="Hyperlink"/>
                  <w:szCs w:val="24"/>
                </w:rPr>
                <w:t>mkurtz@BKLlawfirm.com</w:t>
              </w:r>
            </w:hyperlink>
          </w:p>
          <w:p w:rsidR="00FE44DC" w:rsidRDefault="00EC46FF">
            <w:pPr>
              <w:autoSpaceDE w:val="0"/>
              <w:autoSpaceDN w:val="0"/>
              <w:adjustRightInd w:val="0"/>
              <w:rPr>
                <w:szCs w:val="24"/>
              </w:rPr>
            </w:pPr>
            <w:hyperlink r:id="rId29" w:history="1">
              <w:r w:rsidR="00FE44DC">
                <w:rPr>
                  <w:rStyle w:val="Hyperlink"/>
                  <w:szCs w:val="24"/>
                </w:rPr>
                <w:t>jky1er@BKLlawfirm.com</w:t>
              </w:r>
            </w:hyperlink>
          </w:p>
          <w:p w:rsidR="00FE44DC" w:rsidRDefault="00FE44DC">
            <w:pPr>
              <w:pStyle w:val="BodyText"/>
              <w:rPr>
                <w:bCs/>
              </w:rPr>
            </w:pPr>
          </w:p>
        </w:tc>
      </w:tr>
    </w:tbl>
    <w:p w:rsidR="00FE44DC" w:rsidRDefault="00EC46FF">
      <w:hyperlink r:id="rId30" w:history="1">
        <w:r w:rsidR="00FE44DC">
          <w:rPr>
            <w:rStyle w:val="Hyperlink"/>
          </w:rPr>
          <w:t>Sarah.parrot@puc.state.oh.us</w:t>
        </w:r>
      </w:hyperlink>
    </w:p>
    <w:p w:rsidR="00FE44DC" w:rsidRDefault="00EC46FF">
      <w:hyperlink r:id="rId31" w:history="1">
        <w:r w:rsidR="00FE44DC">
          <w:rPr>
            <w:rStyle w:val="Hyperlink"/>
          </w:rPr>
          <w:t>Jonathan.tauber@puc.state.oh.us</w:t>
        </w:r>
      </w:hyperlink>
    </w:p>
    <w:p w:rsidR="00FE44DC" w:rsidRDefault="00FE44DC"/>
    <w:sectPr w:rsidR="00FE44DC" w:rsidSect="00E95705">
      <w:headerReference w:type="default" r:id="rId32"/>
      <w:footerReference w:type="default" r:id="rId3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ED3" w:rsidRDefault="005F0ED3">
      <w:r>
        <w:separator/>
      </w:r>
    </w:p>
  </w:endnote>
  <w:endnote w:type="continuationSeparator" w:id="0">
    <w:p w:rsidR="005F0ED3" w:rsidRDefault="005F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Lucida Grande">
    <w:altName w:val="Arial"/>
    <w:charset w:val="00"/>
    <w:family w:val="auto"/>
    <w:pitch w:val="variable"/>
    <w:sig w:usb0="E1001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E3" w:rsidRDefault="006272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E3" w:rsidRDefault="006272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E3" w:rsidRDefault="006272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11" w:rsidRDefault="00894F11">
    <w:pPr>
      <w:pStyle w:val="Footer"/>
      <w:jc w:val="center"/>
    </w:pPr>
    <w:r>
      <w:fldChar w:fldCharType="begin"/>
    </w:r>
    <w:r>
      <w:instrText xml:space="preserve"> PAGE   \* MERGEFORMAT </w:instrText>
    </w:r>
    <w:r>
      <w:fldChar w:fldCharType="separate"/>
    </w:r>
    <w:r w:rsidR="00EC46FF">
      <w:rPr>
        <w:noProof/>
      </w:rPr>
      <w:t>2</w:t>
    </w:r>
    <w:r>
      <w:rPr>
        <w:noProof/>
      </w:rPr>
      <w:fldChar w:fldCharType="end"/>
    </w:r>
  </w:p>
  <w:p w:rsidR="00894F11" w:rsidRDefault="00894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ED3" w:rsidRDefault="005F0ED3">
      <w:r>
        <w:separator/>
      </w:r>
    </w:p>
  </w:footnote>
  <w:footnote w:type="continuationSeparator" w:id="0">
    <w:p w:rsidR="005F0ED3" w:rsidRDefault="005F0ED3">
      <w:r>
        <w:continuationSeparator/>
      </w:r>
    </w:p>
  </w:footnote>
  <w:footnote w:id="1">
    <w:p w:rsidR="00FE44DC" w:rsidRDefault="00FE44DC">
      <w:pPr>
        <w:pStyle w:val="FootnoteText"/>
      </w:pPr>
      <w:r>
        <w:rPr>
          <w:rStyle w:val="FootnoteReference"/>
        </w:rPr>
        <w:footnoteRef/>
      </w:r>
      <w:r>
        <w:t xml:space="preserve"> </w:t>
      </w:r>
      <w:r>
        <w:rPr>
          <w:i/>
        </w:rPr>
        <w:t xml:space="preserve">In the Matter of the Application of Columbus Southern Power Company and Ohio Power Company for Authority to establish a Standard Service Offer Pursuant to Section 4928.143, Revised Code, in the Form of an Electric Security Plan, </w:t>
      </w:r>
      <w:r>
        <w:t xml:space="preserve"> Case No. 11-346-EL-SSO, Opinion and Order (Aug. 8, 2012)</w:t>
      </w:r>
      <w:r w:rsidR="00894F11">
        <w:t>.</w:t>
      </w:r>
    </w:p>
  </w:footnote>
  <w:footnote w:id="2">
    <w:p w:rsidR="00FE44DC" w:rsidRDefault="00FE44DC">
      <w:pPr>
        <w:pStyle w:val="FootnoteText"/>
      </w:pPr>
      <w:r>
        <w:rPr>
          <w:rStyle w:val="FootnoteReference"/>
        </w:rPr>
        <w:footnoteRef/>
      </w:r>
      <w:r>
        <w:t xml:space="preserve"> And AEP’s plan appears to have prompted requests for substantial non-market charges by Duke Energy and Dayton Power &amp; Light.  See </w:t>
      </w:r>
      <w:r>
        <w:rPr>
          <w:i/>
        </w:rPr>
        <w:t xml:space="preserve">In the Matter of The Application of the </w:t>
      </w:r>
      <w:smartTag w:uri="urn:schemas-microsoft-com:office:smarttags" w:element="City">
        <w:smartTag w:uri="urn:schemas-microsoft-com:office:smarttags" w:element="place">
          <w:r>
            <w:rPr>
              <w:i/>
            </w:rPr>
            <w:t>Dayton</w:t>
          </w:r>
        </w:smartTag>
      </w:smartTag>
      <w:r>
        <w:rPr>
          <w:i/>
        </w:rPr>
        <w:t xml:space="preserve"> Power and Light Company for Approval of its Market Rate Offer</w:t>
      </w:r>
      <w:r>
        <w:t xml:space="preserve">, Case No. 12-426-EL-SSO; </w:t>
      </w:r>
      <w:r>
        <w:rPr>
          <w:i/>
        </w:rPr>
        <w:t>In the Matter of the Application of Duke Energy Ohio, Inc. for the Establishment of a Charge Pursu</w:t>
      </w:r>
      <w:r w:rsidR="00894F11">
        <w:rPr>
          <w:i/>
        </w:rPr>
        <w:t>a</w:t>
      </w:r>
      <w:r>
        <w:rPr>
          <w:i/>
        </w:rPr>
        <w:t>nt to Revised Code Section 4909.18,</w:t>
      </w:r>
      <w:r>
        <w:t xml:space="preserve"> Case No. 12-2400-EL-UNC. </w:t>
      </w:r>
    </w:p>
  </w:footnote>
  <w:footnote w:id="3">
    <w:p w:rsidR="00FE44DC" w:rsidRDefault="00FE44DC">
      <w:pPr>
        <w:pStyle w:val="FootnoteText"/>
      </w:pPr>
      <w:r>
        <w:rPr>
          <w:rStyle w:val="FootnoteReference"/>
        </w:rPr>
        <w:footnoteRef/>
      </w:r>
      <w:r>
        <w:t xml:space="preserve"> These comments are slightly modified from the version provided during the stakeholder process to reflect differences in the timing of the first auction between AEP Ohio’s proposal during the stakeholder process and the final proposal in the CBP application.</w:t>
      </w:r>
    </w:p>
  </w:footnote>
  <w:footnote w:id="4">
    <w:p w:rsidR="00FE44DC" w:rsidRDefault="00FE44DC">
      <w:pPr>
        <w:pStyle w:val="FootnoteText"/>
      </w:pPr>
      <w:r>
        <w:rPr>
          <w:rStyle w:val="FootnoteReference"/>
        </w:rPr>
        <w:footnoteRef/>
      </w:r>
      <w:r>
        <w:t xml:space="preserve"> These comments were also provided during the stakeholder process.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E3" w:rsidRDefault="006272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E3" w:rsidRDefault="006272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E3" w:rsidRDefault="006272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11" w:rsidRDefault="00894F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E152D"/>
    <w:multiLevelType w:val="hybridMultilevel"/>
    <w:tmpl w:val="BAFE3060"/>
    <w:lvl w:ilvl="0" w:tplc="D3CCE7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BBD7D44"/>
    <w:multiLevelType w:val="singleLevel"/>
    <w:tmpl w:val="5B842948"/>
    <w:lvl w:ilvl="0">
      <w:start w:val="1"/>
      <w:numFmt w:val="bullet"/>
      <w:lvlText w:val=""/>
      <w:lvlJc w:val="left"/>
      <w:pPr>
        <w:ind w:left="547" w:hanging="547"/>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4DC"/>
    <w:rsid w:val="0012585B"/>
    <w:rsid w:val="003C50F4"/>
    <w:rsid w:val="00430E00"/>
    <w:rsid w:val="005F0ED3"/>
    <w:rsid w:val="006272E3"/>
    <w:rsid w:val="006D3984"/>
    <w:rsid w:val="00894F11"/>
    <w:rsid w:val="008D713C"/>
    <w:rsid w:val="00910454"/>
    <w:rsid w:val="00E95705"/>
    <w:rsid w:val="00EC46FF"/>
    <w:rsid w:val="00EE7676"/>
    <w:rsid w:val="00F25E39"/>
    <w:rsid w:val="00FE44DC"/>
    <w:rsid w:val="00FE7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rPr>
  </w:style>
  <w:style w:type="paragraph" w:styleId="Heading1">
    <w:name w:val="heading 1"/>
    <w:basedOn w:val="Normal"/>
    <w:next w:val="Normal"/>
    <w:link w:val="Heading1Char"/>
    <w:uiPriority w:val="99"/>
    <w:qFormat/>
    <w:pPr>
      <w:keepNext/>
      <w:spacing w:after="240"/>
      <w:ind w:left="720" w:hanging="720"/>
      <w:outlineLvl w:val="0"/>
    </w:pPr>
    <w:rPr>
      <w:rFonts w:cs="Arial"/>
      <w:b/>
      <w:bCs/>
      <w:caps/>
      <w:kern w:val="32"/>
      <w:szCs w:val="32"/>
    </w:rPr>
  </w:style>
  <w:style w:type="paragraph" w:styleId="Heading2">
    <w:name w:val="heading 2"/>
    <w:basedOn w:val="Normal"/>
    <w:next w:val="Normal"/>
    <w:link w:val="Heading2Char"/>
    <w:uiPriority w:val="99"/>
    <w:qFormat/>
    <w:pPr>
      <w:keepNext/>
      <w:tabs>
        <w:tab w:val="left" w:pos="0"/>
        <w:tab w:val="left" w:pos="720"/>
      </w:tabs>
      <w:spacing w:after="240"/>
      <w:ind w:left="1440" w:hanging="720"/>
      <w:outlineLvl w:val="1"/>
    </w:pPr>
    <w:rPr>
      <w:b/>
      <w:bCs/>
      <w:szCs w:val="24"/>
    </w:rPr>
  </w:style>
  <w:style w:type="paragraph" w:styleId="Heading3">
    <w:name w:val="heading 3"/>
    <w:basedOn w:val="Normal"/>
    <w:next w:val="Normal"/>
    <w:link w:val="Heading3Char"/>
    <w:uiPriority w:val="99"/>
    <w:qFormat/>
    <w:pPr>
      <w:keepNext/>
      <w:tabs>
        <w:tab w:val="left" w:pos="0"/>
        <w:tab w:val="left" w:pos="720"/>
      </w:tabs>
      <w:spacing w:line="480" w:lineRule="auto"/>
      <w:outlineLvl w:val="2"/>
    </w:pPr>
    <w:rPr>
      <w:szCs w:val="24"/>
    </w:rPr>
  </w:style>
  <w:style w:type="paragraph" w:styleId="Heading4">
    <w:name w:val="heading 4"/>
    <w:basedOn w:val="Normal"/>
    <w:next w:val="Normal"/>
    <w:link w:val="Heading4Char"/>
    <w:autoRedefine/>
    <w:uiPriority w:val="99"/>
    <w:qFormat/>
    <w:pPr>
      <w:keepNext/>
      <w:spacing w:after="240"/>
      <w:ind w:left="2880" w:hanging="720"/>
      <w:outlineLvl w:val="3"/>
    </w:pPr>
    <w:rPr>
      <w:b/>
      <w:bCs/>
      <w:szCs w:val="28"/>
    </w:rPr>
  </w:style>
  <w:style w:type="paragraph" w:styleId="Heading5">
    <w:name w:val="heading 5"/>
    <w:basedOn w:val="Normal"/>
    <w:next w:val="Normal"/>
    <w:link w:val="Heading5Char"/>
    <w:autoRedefine/>
    <w:uiPriority w:val="99"/>
    <w:qFormat/>
    <w:pPr>
      <w:spacing w:after="240"/>
      <w:ind w:left="3600" w:hanging="72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eastAsia="Times New Roman" w:cs="Arial"/>
      <w:b/>
      <w:bCs/>
      <w:caps/>
      <w:kern w:val="32"/>
      <w:sz w:val="32"/>
      <w:szCs w:val="32"/>
    </w:rPr>
  </w:style>
  <w:style w:type="character" w:customStyle="1" w:styleId="Heading2Char">
    <w:name w:val="Heading 2 Char"/>
    <w:link w:val="Heading2"/>
    <w:uiPriority w:val="99"/>
    <w:locked/>
    <w:rPr>
      <w:rFonts w:eastAsia="Times New Roman" w:cs="Times New Roman"/>
      <w:b/>
      <w:bCs/>
      <w:sz w:val="24"/>
      <w:szCs w:val="24"/>
    </w:rPr>
  </w:style>
  <w:style w:type="character" w:customStyle="1" w:styleId="Heading3Char">
    <w:name w:val="Heading 3 Char"/>
    <w:link w:val="Heading3"/>
    <w:uiPriority w:val="99"/>
    <w:locked/>
    <w:rPr>
      <w:rFonts w:eastAsia="Times New Roman" w:cs="Times New Roman"/>
      <w:sz w:val="24"/>
      <w:szCs w:val="24"/>
    </w:rPr>
  </w:style>
  <w:style w:type="character" w:customStyle="1" w:styleId="Heading4Char">
    <w:name w:val="Heading 4 Char"/>
    <w:link w:val="Heading4"/>
    <w:uiPriority w:val="99"/>
    <w:semiHidden/>
    <w:locked/>
    <w:rPr>
      <w:rFonts w:eastAsia="Times New Roman" w:cs="Times New Roman"/>
      <w:b/>
      <w:bCs/>
      <w:sz w:val="28"/>
      <w:szCs w:val="28"/>
    </w:rPr>
  </w:style>
  <w:style w:type="character" w:customStyle="1" w:styleId="Heading5Char">
    <w:name w:val="Heading 5 Char"/>
    <w:link w:val="Heading5"/>
    <w:uiPriority w:val="99"/>
    <w:semiHidden/>
    <w:locked/>
    <w:rPr>
      <w:rFonts w:eastAsia="Times New Roman" w:cs="Times New Roman"/>
      <w:b/>
      <w:bCs/>
      <w:iCs/>
      <w:sz w:val="26"/>
      <w:szCs w:val="26"/>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link w:val="BalloonText"/>
    <w:uiPriority w:val="99"/>
    <w:semiHidden/>
    <w:locked/>
    <w:rPr>
      <w:rFonts w:ascii="Lucida Grande" w:hAnsi="Lucida Grande" w:cs="Times New Roman"/>
      <w:sz w:val="18"/>
      <w:szCs w:val="18"/>
    </w:rPr>
  </w:style>
  <w:style w:type="paragraph" w:styleId="TOC2">
    <w:name w:val="toc 2"/>
    <w:basedOn w:val="Normal"/>
    <w:next w:val="Normal"/>
    <w:autoRedefine/>
    <w:uiPriority w:val="99"/>
    <w:pPr>
      <w:tabs>
        <w:tab w:val="left" w:pos="720"/>
        <w:tab w:val="decimal" w:leader="dot" w:pos="8640"/>
      </w:tabs>
      <w:spacing w:after="240"/>
      <w:ind w:left="1440" w:hanging="720"/>
    </w:pPr>
    <w:rPr>
      <w:szCs w:val="24"/>
    </w:rPr>
  </w:style>
  <w:style w:type="paragraph" w:styleId="TOC1">
    <w:name w:val="toc 1"/>
    <w:basedOn w:val="Normal"/>
    <w:next w:val="Normal"/>
    <w:autoRedefine/>
    <w:uiPriority w:val="99"/>
    <w:pPr>
      <w:tabs>
        <w:tab w:val="left" w:pos="720"/>
        <w:tab w:val="decimal" w:leader="dot" w:pos="8640"/>
      </w:tabs>
      <w:spacing w:after="240"/>
      <w:ind w:left="720" w:hanging="720"/>
    </w:pPr>
    <w:rPr>
      <w:caps/>
      <w:szCs w:val="24"/>
    </w:rPr>
  </w:style>
  <w:style w:type="paragraph" w:customStyle="1" w:styleId="Quote1">
    <w:name w:val="Quote1"/>
    <w:basedOn w:val="Normal"/>
    <w:autoRedefine/>
    <w:uiPriority w:val="99"/>
    <w:pPr>
      <w:spacing w:after="240"/>
      <w:ind w:left="720" w:right="720"/>
    </w:pPr>
    <w:rPr>
      <w:bCs/>
    </w:rPr>
  </w:style>
  <w:style w:type="paragraph" w:customStyle="1" w:styleId="WW-BodyTextIndent3">
    <w:name w:val="WW-Body Text Indent 3"/>
    <w:basedOn w:val="Normal"/>
    <w:uiPriority w:val="99"/>
    <w:pPr>
      <w:suppressAutoHyphens/>
      <w:spacing w:line="480" w:lineRule="atLeast"/>
      <w:ind w:firstLine="720"/>
    </w:pPr>
    <w:rPr>
      <w:lang w:eastAsia="ar-SA"/>
    </w:rPr>
  </w:style>
  <w:style w:type="character" w:customStyle="1" w:styleId="caps">
    <w:name w:val="caps"/>
    <w:uiPriority w:val="99"/>
    <w:rPr>
      <w:rFonts w:cs="Times New Roman"/>
    </w:rPr>
  </w:style>
  <w:style w:type="paragraph" w:customStyle="1" w:styleId="ShortReturnAddress">
    <w:name w:val="Short Return Address"/>
    <w:basedOn w:val="Normal"/>
    <w:uiPriority w:val="99"/>
  </w:style>
  <w:style w:type="character" w:customStyle="1" w:styleId="FootnoteTextChar">
    <w:name w:val="Footnote Text Char"/>
    <w:uiPriority w:val="99"/>
    <w:locked/>
    <w:rPr>
      <w:lang w:val="en-US" w:eastAsia="en-US"/>
    </w:rPr>
  </w:style>
  <w:style w:type="character" w:customStyle="1" w:styleId="CharChar10">
    <w:name w:val="Char Char10"/>
    <w:uiPriority w:val="99"/>
    <w:semiHidden/>
    <w:locked/>
    <w:rPr>
      <w:lang w:val="en-US" w:eastAsia="en-US"/>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Footnote Text Char2 Char1"/>
    <w:uiPriority w:val="99"/>
    <w:semiHidden/>
    <w:locked/>
    <w:rPr>
      <w:lang w:val="en-US" w:eastAsia="en-US"/>
    </w:rPr>
  </w:style>
  <w:style w:type="paragraph" w:customStyle="1" w:styleId="CompanyName">
    <w:name w:val="Company Name"/>
    <w:basedOn w:val="Normal"/>
    <w:uiPriority w:val="99"/>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character" w:customStyle="1" w:styleId="term">
    <w:name w:val="term"/>
    <w:uiPriority w:val="99"/>
    <w:rPr>
      <w:rFonts w:cs="Times New Roman"/>
    </w:rPr>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
    <w:basedOn w:val="Normal"/>
    <w:link w:val="FootnoteTextChar3"/>
    <w:autoRedefine/>
    <w:uiPriority w:val="99"/>
    <w:pPr>
      <w:spacing w:after="120"/>
    </w:pPr>
    <w:rPr>
      <w:sz w:val="20"/>
    </w:rPr>
  </w:style>
  <w:style w:type="character" w:customStyle="1" w:styleId="FootnoteTextChar1">
    <w:name w:val="Footnote Text Char1"/>
    <w:aliases w:val="Footnote Text Char2 Char,Footnote Text Char1 Char1 Char,Footnote Text Char Char Char1 Char,Footnote Text Char Char1 Char,Footnote Text Char1 Char Char Char,Footnote Text Char Char Char Char Char"/>
    <w:uiPriority w:val="99"/>
    <w:semiHidden/>
    <w:locked/>
    <w:rPr>
      <w:rFonts w:cs="Times New Roman"/>
    </w:rPr>
  </w:style>
  <w:style w:type="character" w:customStyle="1" w:styleId="FootnoteTextChar3">
    <w:name w:val="Footnote Text Char3"/>
    <w:aliases w:val="Footnote Text Char2 Char2,Footnote Text Char1 Char1 Char1,Footnote Text Char Char Char1 Char1,Footnote Text Char Char1 Char1,Footnote Text Char1 Char Char Char1,Footnote Text Char Char Char Char Char1"/>
    <w:link w:val="FootnoteText"/>
    <w:uiPriority w:val="99"/>
    <w:locked/>
    <w:rPr>
      <w:rFonts w:eastAsia="Times New Roman"/>
    </w:rPr>
  </w:style>
  <w:style w:type="paragraph" w:styleId="CommentText">
    <w:name w:val="annotation text"/>
    <w:basedOn w:val="Normal"/>
    <w:link w:val="CommentTextChar"/>
    <w:uiPriority w:val="99"/>
    <w:semiHidden/>
    <w:rPr>
      <w:szCs w:val="24"/>
    </w:rPr>
  </w:style>
  <w:style w:type="character" w:customStyle="1" w:styleId="CommentTextChar">
    <w:name w:val="Comment Text Char"/>
    <w:link w:val="CommentText"/>
    <w:uiPriority w:val="99"/>
    <w:semiHidden/>
    <w:locked/>
    <w:rPr>
      <w:rFonts w:eastAsia="Times New Roman" w:cs="Times New Roman"/>
      <w:sz w:val="24"/>
      <w:szCs w:val="24"/>
    </w:rPr>
  </w:style>
  <w:style w:type="paragraph" w:styleId="Header">
    <w:name w:val="header"/>
    <w:basedOn w:val="Normal"/>
    <w:link w:val="HeaderChar"/>
    <w:uiPriority w:val="99"/>
    <w:pPr>
      <w:tabs>
        <w:tab w:val="center" w:pos="4320"/>
        <w:tab w:val="right" w:pos="8640"/>
      </w:tabs>
    </w:pPr>
    <w:rPr>
      <w:szCs w:val="24"/>
    </w:rPr>
  </w:style>
  <w:style w:type="character" w:customStyle="1" w:styleId="HeaderChar">
    <w:name w:val="Header Char"/>
    <w:link w:val="Header"/>
    <w:uiPriority w:val="99"/>
    <w:locked/>
    <w:rPr>
      <w:rFonts w:eastAsia="Times New Roman" w:cs="Times New Roman"/>
      <w:sz w:val="24"/>
      <w:szCs w:val="24"/>
    </w:rPr>
  </w:style>
  <w:style w:type="paragraph" w:styleId="Footer">
    <w:name w:val="footer"/>
    <w:basedOn w:val="Normal"/>
    <w:link w:val="FooterChar"/>
    <w:uiPriority w:val="99"/>
    <w:pPr>
      <w:tabs>
        <w:tab w:val="center" w:pos="4320"/>
        <w:tab w:val="right" w:pos="8640"/>
      </w:tabs>
    </w:pPr>
    <w:rPr>
      <w:szCs w:val="24"/>
    </w:rPr>
  </w:style>
  <w:style w:type="character" w:customStyle="1" w:styleId="FooterChar">
    <w:name w:val="Footer Char"/>
    <w:link w:val="Footer"/>
    <w:uiPriority w:val="99"/>
    <w:locked/>
    <w:rPr>
      <w:rFonts w:eastAsia="Times New Roman" w:cs="Times New Roman"/>
      <w:sz w:val="24"/>
    </w:rPr>
  </w:style>
  <w:style w:type="character" w:styleId="FootnoteReference">
    <w:name w:val="footnote reference"/>
    <w:aliases w:val="o,fr,Style 3,Style 13,Appel note de bas de p,Style 12,(NECG) Footnote Reference,Style 124"/>
    <w:uiPriority w:val="99"/>
    <w:semiHidden/>
    <w:rPr>
      <w:rFonts w:cs="Times New Roman"/>
      <w:vertAlign w:val="superscript"/>
    </w:rPr>
  </w:style>
  <w:style w:type="character" w:styleId="CommentReference">
    <w:name w:val="annotation reference"/>
    <w:uiPriority w:val="99"/>
    <w:semiHidden/>
    <w:rPr>
      <w:rFonts w:cs="Times New Roman"/>
      <w:sz w:val="18"/>
    </w:rPr>
  </w:style>
  <w:style w:type="character" w:styleId="PageNumber">
    <w:name w:val="page number"/>
    <w:uiPriority w:val="99"/>
    <w:rPr>
      <w:rFonts w:cs="Times New Roman"/>
    </w:rPr>
  </w:style>
  <w:style w:type="paragraph" w:styleId="Title">
    <w:name w:val="Title"/>
    <w:basedOn w:val="Normal"/>
    <w:link w:val="TitleChar"/>
    <w:uiPriority w:val="99"/>
    <w:qFormat/>
    <w:pPr>
      <w:jc w:val="center"/>
    </w:pPr>
    <w:rPr>
      <w:b/>
    </w:rPr>
  </w:style>
  <w:style w:type="character" w:customStyle="1" w:styleId="TitleChar">
    <w:name w:val="Title Char"/>
    <w:link w:val="Title"/>
    <w:uiPriority w:val="99"/>
    <w:locked/>
    <w:rPr>
      <w:rFonts w:eastAsia="Times New Roman" w:cs="Times New Roman"/>
      <w:b/>
      <w:sz w:val="24"/>
    </w:rPr>
  </w:style>
  <w:style w:type="paragraph" w:styleId="BodyText">
    <w:name w:val="Body Text"/>
    <w:basedOn w:val="Normal"/>
    <w:link w:val="BodyTextChar"/>
    <w:uiPriority w:val="99"/>
    <w:pPr>
      <w:tabs>
        <w:tab w:val="left" w:pos="0"/>
        <w:tab w:val="left" w:pos="720"/>
      </w:tabs>
      <w:spacing w:line="480" w:lineRule="auto"/>
      <w:ind w:firstLine="720"/>
    </w:pPr>
  </w:style>
  <w:style w:type="character" w:customStyle="1" w:styleId="BodyTextChar">
    <w:name w:val="Body Text Char"/>
    <w:link w:val="BodyText"/>
    <w:uiPriority w:val="99"/>
    <w:locked/>
    <w:rPr>
      <w:rFonts w:eastAsia="Times New Roman" w:cs="Times New Roman"/>
      <w:sz w:val="24"/>
    </w:rPr>
  </w:style>
  <w:style w:type="paragraph" w:styleId="BodyTextIndent">
    <w:name w:val="Body Text Indent"/>
    <w:basedOn w:val="Normal"/>
    <w:link w:val="BodyTextIndentChar"/>
    <w:uiPriority w:val="99"/>
    <w:pPr>
      <w:spacing w:line="480" w:lineRule="auto"/>
      <w:ind w:firstLine="720"/>
    </w:pPr>
    <w:rPr>
      <w:szCs w:val="24"/>
    </w:rPr>
  </w:style>
  <w:style w:type="character" w:customStyle="1" w:styleId="BodyTextIndentChar">
    <w:name w:val="Body Text Indent Char"/>
    <w:link w:val="BodyTextIndent"/>
    <w:uiPriority w:val="99"/>
    <w:locked/>
    <w:rPr>
      <w:rFonts w:eastAsia="Times New Roman" w:cs="Times New Roman"/>
      <w:sz w:val="24"/>
      <w:szCs w:val="24"/>
    </w:rPr>
  </w:style>
  <w:style w:type="paragraph" w:styleId="BodyText2">
    <w:name w:val="Body Text 2"/>
    <w:basedOn w:val="Normal"/>
    <w:link w:val="BodyText2Char"/>
    <w:uiPriority w:val="99"/>
    <w:pPr>
      <w:spacing w:after="120" w:line="480" w:lineRule="auto"/>
    </w:pPr>
    <w:rPr>
      <w:szCs w:val="24"/>
    </w:rPr>
  </w:style>
  <w:style w:type="character" w:customStyle="1" w:styleId="BodyText2Char">
    <w:name w:val="Body Text 2 Char"/>
    <w:link w:val="BodyText2"/>
    <w:uiPriority w:val="99"/>
    <w:locked/>
    <w:rPr>
      <w:rFonts w:eastAsia="Times New Roman" w:cs="Times New Roman"/>
      <w:sz w:val="24"/>
      <w:szCs w:val="24"/>
    </w:rPr>
  </w:style>
  <w:style w:type="paragraph" w:styleId="BodyTextIndent2">
    <w:name w:val="Body Text Indent 2"/>
    <w:basedOn w:val="Normal"/>
    <w:link w:val="BodyTextIndent2Char"/>
    <w:uiPriority w:val="99"/>
    <w:pPr>
      <w:widowControl w:val="0"/>
      <w:autoSpaceDE w:val="0"/>
      <w:autoSpaceDN w:val="0"/>
      <w:adjustRightInd w:val="0"/>
      <w:spacing w:after="120" w:line="480" w:lineRule="auto"/>
      <w:ind w:left="360"/>
    </w:pPr>
    <w:rPr>
      <w:rFonts w:ascii="Courier New" w:hAnsi="Courier New"/>
      <w:sz w:val="20"/>
    </w:rPr>
  </w:style>
  <w:style w:type="character" w:customStyle="1" w:styleId="BodyTextIndent2Char">
    <w:name w:val="Body Text Indent 2 Char"/>
    <w:link w:val="BodyTextIndent2"/>
    <w:uiPriority w:val="99"/>
    <w:locked/>
    <w:rPr>
      <w:rFonts w:ascii="Courier New" w:hAnsi="Courier New" w:cs="Times New Roman"/>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link w:val="BodyTextIndent3"/>
    <w:uiPriority w:val="99"/>
    <w:locked/>
    <w:rPr>
      <w:rFonts w:eastAsia="Times New Roman" w:cs="Times New Roman"/>
      <w:sz w:val="16"/>
      <w:szCs w:val="16"/>
    </w:rPr>
  </w:style>
  <w:style w:type="character" w:styleId="Hyperlink">
    <w:name w:val="Hyperlink"/>
    <w:uiPriority w:val="99"/>
    <w:rPr>
      <w:rFonts w:cs="Times New Roman"/>
      <w:color w:val="0000FF"/>
      <w:u w:val="single"/>
    </w:rPr>
  </w:style>
  <w:style w:type="character" w:styleId="Strong">
    <w:name w:val="Strong"/>
    <w:uiPriority w:val="99"/>
    <w:qFormat/>
    <w:rPr>
      <w:rFonts w:cs="Times New Roman"/>
      <w:b/>
    </w:rPr>
  </w:style>
  <w:style w:type="paragraph" w:styleId="NormalWeb">
    <w:name w:val="Normal (Web)"/>
    <w:basedOn w:val="Normal"/>
    <w:uiPriority w:val="99"/>
    <w:pPr>
      <w:spacing w:before="100" w:beforeAutospacing="1" w:after="100" w:afterAutospacing="1"/>
    </w:pPr>
    <w:rPr>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PreformattedChar">
    <w:name w:val="HTML Preformatted Char"/>
    <w:link w:val="HTMLPreformatted"/>
    <w:uiPriority w:val="99"/>
    <w:locked/>
    <w:rPr>
      <w:rFonts w:ascii="Courier New" w:hAnsi="Courier New" w:cs="Courier New"/>
    </w:rPr>
  </w:style>
  <w:style w:type="paragraph" w:styleId="CommentSubject">
    <w:name w:val="annotation subject"/>
    <w:basedOn w:val="CommentText"/>
    <w:next w:val="CommentText"/>
    <w:link w:val="CommentSubjectChar"/>
    <w:uiPriority w:val="99"/>
    <w:semiHidden/>
  </w:style>
  <w:style w:type="character" w:customStyle="1" w:styleId="CommentSubjectChar">
    <w:name w:val="Comment Subject Char"/>
    <w:link w:val="CommentSubject"/>
    <w:uiPriority w:val="99"/>
    <w:semiHidden/>
    <w:locked/>
    <w:rPr>
      <w:rFonts w:eastAsia="Times New Roman" w:cs="Times New Roman"/>
      <w:sz w:val="24"/>
      <w:szCs w:val="24"/>
    </w:rPr>
  </w:style>
  <w:style w:type="table" w:styleId="TableGrid">
    <w:name w:val="Table Grid"/>
    <w:basedOn w:val="TableNormal"/>
    <w:uiPriority w:val="9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 w:type="paragraph" w:styleId="List">
    <w:name w:val="List"/>
    <w:basedOn w:val="Normal"/>
    <w:uiPriority w:val="99"/>
    <w:pPr>
      <w:spacing w:after="140" w:line="320" w:lineRule="atLeast"/>
      <w:ind w:left="540" w:hanging="540"/>
    </w:pPr>
    <w:rPr>
      <w:rFonts w:eastAsia="Calibr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smhoward@vorys.com" TargetMode="External"/><Relationship Id="rId26" Type="http://schemas.openxmlformats.org/officeDocument/2006/relationships/hyperlink" Target="mailto:talexander@calfee.com" TargetMode="External"/><Relationship Id="rId3" Type="http://schemas.microsoft.com/office/2007/relationships/stylesWithEffects" Target="stylesWithEffects.xml"/><Relationship Id="rId21" Type="http://schemas.openxmlformats.org/officeDocument/2006/relationships/hyperlink" Target="mailto:joliker@mwncmh.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mhpetricoff@vorys.com" TargetMode="External"/><Relationship Id="rId25" Type="http://schemas.openxmlformats.org/officeDocument/2006/relationships/hyperlink" Target="mailto:lmcbride@calfee.com" TargetMode="Externa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stnourse@aep.com" TargetMode="External"/><Relationship Id="rId20" Type="http://schemas.openxmlformats.org/officeDocument/2006/relationships/hyperlink" Target="mailto:fdarr@mwncmh.com" TargetMode="External"/><Relationship Id="rId29" Type="http://schemas.openxmlformats.org/officeDocument/2006/relationships/hyperlink" Target="mailto:jky1er@BKLlawfirm.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jlang@calfee.com"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William.wright@puc.state.oh.us" TargetMode="External"/><Relationship Id="rId23" Type="http://schemas.openxmlformats.org/officeDocument/2006/relationships/hyperlink" Target="mailto:haydenm@firstenergycorp.com" TargetMode="External"/><Relationship Id="rId28" Type="http://schemas.openxmlformats.org/officeDocument/2006/relationships/hyperlink" Target="mailto:mkurtz@BKLlawfirm.com" TargetMode="External"/><Relationship Id="rId10" Type="http://schemas.openxmlformats.org/officeDocument/2006/relationships/footer" Target="footer1.xml"/><Relationship Id="rId19" Type="http://schemas.openxmlformats.org/officeDocument/2006/relationships/hyperlink" Target="mailto:sam@mwncmh.com" TargetMode="External"/><Relationship Id="rId31" Type="http://schemas.openxmlformats.org/officeDocument/2006/relationships/hyperlink" Target="mailto:Jonathan.tauber@puc.state.oh.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grady@occ.state.oh.us" TargetMode="External"/><Relationship Id="rId22" Type="http://schemas.openxmlformats.org/officeDocument/2006/relationships/hyperlink" Target="mailto:mpritchard@mwncmh.com" TargetMode="External"/><Relationship Id="rId27" Type="http://schemas.openxmlformats.org/officeDocument/2006/relationships/hyperlink" Target="mailto:dboehm@BKLlawfirm.com" TargetMode="External"/><Relationship Id="rId30" Type="http://schemas.openxmlformats.org/officeDocument/2006/relationships/hyperlink" Target="mailto:Sarah.parrot@puc.state.oh.u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6294</Characters>
  <Application>Microsoft Office Word</Application>
  <DocSecurity>0</DocSecurity>
  <Lines>186</Lines>
  <Paragraphs>87</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7374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2013-03-04T15:27:00Z</cp:lastPrinted>
  <dcterms:created xsi:type="dcterms:W3CDTF">2013-03-04T16:32:00Z</dcterms:created>
  <dcterms:modified xsi:type="dcterms:W3CDTF">2013-03-04T16:32:00Z</dcterms:modified>
  <cp:category> </cp:category>
  <cp:contentStatus> </cp:contentStatus>
</cp:coreProperties>
</file>