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4B08F2" w:rsidP="00DC517F" w14:paraId="2E187335" w14:textId="520ED860">
      <w:pPr>
        <w:pStyle w:val="HTMLPreformatted"/>
        <w:jc w:val="center"/>
        <w:rPr>
          <w:rFonts w:ascii="Times New Roman" w:hAnsi="Times New Roman" w:cs="Times New Roman"/>
          <w:b/>
          <w:bCs/>
          <w:sz w:val="24"/>
          <w:szCs w:val="24"/>
        </w:rPr>
      </w:pPr>
      <w:r w:rsidRPr="004B08F2">
        <w:rPr>
          <w:rFonts w:ascii="Times New Roman" w:hAnsi="Times New Roman" w:cs="Times New Roman"/>
          <w:b/>
          <w:bCs/>
          <w:sz w:val="24"/>
          <w:szCs w:val="24"/>
        </w:rPr>
        <w:t>BEFORE</w:t>
      </w:r>
    </w:p>
    <w:p w:rsidR="00A5637F" w:rsidRPr="004B08F2" w14:paraId="46FC91B4" w14:textId="77777777">
      <w:pPr>
        <w:pStyle w:val="HTMLPreformatted"/>
        <w:jc w:val="center"/>
        <w:rPr>
          <w:rFonts w:ascii="Times New Roman" w:hAnsi="Times New Roman" w:cs="Times New Roman"/>
          <w:b/>
          <w:sz w:val="24"/>
          <w:szCs w:val="24"/>
        </w:rPr>
      </w:pPr>
      <w:r w:rsidRPr="004B08F2">
        <w:rPr>
          <w:rFonts w:ascii="Times New Roman" w:hAnsi="Times New Roman" w:cs="Times New Roman"/>
          <w:b/>
          <w:bCs/>
          <w:sz w:val="24"/>
          <w:szCs w:val="24"/>
        </w:rPr>
        <w:t>THE PUBLIC UTILITIES COMMISSION OF OHIO</w:t>
      </w:r>
    </w:p>
    <w:p w:rsidR="00A5637F" w:rsidRPr="004B08F2" w:rsidP="00DB6639" w14:paraId="626E78F6"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DB6639">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C7D60" w:rsidRPr="004B08F2" w:rsidP="00006249" w14:paraId="432355A6" w14:textId="7B142FE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In the Matter of the Application for Establishment of a Reasonable Arrangement between Ohio Edison Company and Chestnut Commerce Center LLC.</w:t>
            </w:r>
          </w:p>
        </w:tc>
        <w:tc>
          <w:tcPr>
            <w:tcW w:w="630" w:type="dxa"/>
            <w:shd w:val="clear" w:color="auto" w:fill="auto"/>
          </w:tcPr>
          <w:p w:rsidR="007807CF" w:rsidRPr="004B08F2" w:rsidP="007807CF" w14:paraId="6BF326B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w:t>
            </w:r>
          </w:p>
          <w:p w:rsidR="007807CF" w:rsidRPr="004B08F2" w:rsidP="007807CF" w14:paraId="6A21E6F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w:t>
            </w:r>
          </w:p>
          <w:p w:rsidR="007807CF" w:rsidRPr="004B08F2" w:rsidP="007807CF" w14:paraId="31A5941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w:t>
            </w:r>
          </w:p>
          <w:p w:rsidR="007807CF" w:rsidRPr="004B08F2" w:rsidP="007807CF" w14:paraId="382E85A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w:t>
            </w:r>
          </w:p>
          <w:p w:rsidR="000B6A5B" w:rsidRPr="004B08F2" w:rsidP="007807CF" w14:paraId="1C112113" w14:textId="6BCA2EF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4B08F2"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70E39" w:rsidRPr="004B08F2" w:rsidP="003F6E1A" w14:paraId="5E939C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4B08F2" w:rsidP="003F6E1A" w14:paraId="1097AF07" w14:textId="263BC8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4B08F2">
              <w:rPr>
                <w:rFonts w:ascii="Times New Roman" w:eastAsia="Courier New" w:hAnsi="Times New Roman" w:cs="Times New Roman"/>
                <w:sz w:val="24"/>
                <w:szCs w:val="24"/>
                <w:lang w:val="en-US" w:eastAsia="en-US" w:bidi="ar-SA"/>
              </w:rPr>
              <w:t xml:space="preserve">Case No. </w:t>
            </w:r>
            <w:r w:rsidRPr="004B08F2" w:rsidR="007807CF">
              <w:rPr>
                <w:rFonts w:ascii="Times New Roman" w:eastAsia="Courier New" w:hAnsi="Times New Roman" w:cs="Times New Roman"/>
                <w:sz w:val="24"/>
                <w:szCs w:val="24"/>
                <w:lang w:val="en-US" w:eastAsia="en-US" w:bidi="ar-SA"/>
              </w:rPr>
              <w:t>24-388-EL-AEC</w:t>
            </w:r>
          </w:p>
          <w:p w:rsidR="002C7D60" w:rsidRPr="004B08F2" w:rsidP="00006249" w14:paraId="100B1F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4B08F2" w:rsidP="00DB6639" w14:paraId="15412A71" w14:textId="77777777">
      <w:pPr>
        <w:pStyle w:val="InsideAddress"/>
        <w:pBdr>
          <w:bottom w:val="single" w:sz="12" w:space="1" w:color="auto"/>
        </w:pBdr>
        <w:rPr>
          <w:rFonts w:ascii="Times New Roman" w:hAnsi="Times New Roman"/>
          <w:szCs w:val="24"/>
        </w:rPr>
      </w:pPr>
    </w:p>
    <w:p w:rsidR="00A5637F" w:rsidRPr="004B08F2" w:rsidP="00DB6639" w14:paraId="0005FD1B" w14:textId="77777777">
      <w:pPr>
        <w:pStyle w:val="InsideAddress"/>
        <w:rPr>
          <w:rFonts w:ascii="Times New Roman" w:hAnsi="Times New Roman"/>
          <w:szCs w:val="24"/>
        </w:rPr>
      </w:pPr>
    </w:p>
    <w:p w:rsidR="00326305" w:rsidRPr="004B08F2" w:rsidP="00326305" w14:paraId="28F08518" w14:textId="77777777">
      <w:pPr>
        <w:jc w:val="center"/>
        <w:rPr>
          <w:b/>
          <w:bCs/>
        </w:rPr>
      </w:pPr>
      <w:r w:rsidRPr="004B08F2">
        <w:rPr>
          <w:b/>
          <w:bCs/>
        </w:rPr>
        <w:t>COMMENTS FOR CONSUMER PROTECTION</w:t>
      </w:r>
    </w:p>
    <w:p w:rsidR="00326305" w:rsidRPr="004B08F2" w:rsidP="00326305" w14:paraId="2E2EB194" w14:textId="77777777">
      <w:pPr>
        <w:jc w:val="center"/>
        <w:rPr>
          <w:b/>
          <w:bCs/>
        </w:rPr>
      </w:pPr>
      <w:r w:rsidRPr="004B08F2">
        <w:rPr>
          <w:b/>
          <w:bCs/>
        </w:rPr>
        <w:t>BY</w:t>
      </w:r>
    </w:p>
    <w:p w:rsidR="00A5637F" w:rsidRPr="004B08F2" w:rsidP="00326305" w14:paraId="0095FDA1" w14:textId="226FD714">
      <w:pPr>
        <w:pStyle w:val="Footer"/>
        <w:pBdr>
          <w:bottom w:val="single" w:sz="12" w:space="1" w:color="auto"/>
        </w:pBdr>
        <w:tabs>
          <w:tab w:val="clear" w:pos="4320"/>
          <w:tab w:val="clear" w:pos="8640"/>
        </w:tabs>
        <w:spacing w:line="240" w:lineRule="auto"/>
        <w:jc w:val="center"/>
        <w:rPr>
          <w:b/>
          <w:bCs/>
        </w:rPr>
      </w:pPr>
      <w:r w:rsidRPr="004B08F2">
        <w:rPr>
          <w:b/>
          <w:bCs/>
        </w:rPr>
        <w:t>OFFICE OF THE OHIO CONSUMERS</w:t>
      </w:r>
      <w:r w:rsidR="004B08F2">
        <w:rPr>
          <w:b/>
          <w:bCs/>
        </w:rPr>
        <w:t>’</w:t>
      </w:r>
      <w:r w:rsidRPr="004B08F2">
        <w:rPr>
          <w:b/>
          <w:bCs/>
        </w:rPr>
        <w:t xml:space="preserve"> COUNSEL</w:t>
      </w:r>
    </w:p>
    <w:p w:rsidR="00326305" w:rsidRPr="004B08F2" w:rsidP="00326305" w14:paraId="5AD36F41" w14:textId="77777777">
      <w:pPr>
        <w:pStyle w:val="Footer"/>
        <w:pBdr>
          <w:bottom w:val="single" w:sz="12" w:space="1" w:color="auto"/>
        </w:pBdr>
        <w:tabs>
          <w:tab w:val="clear" w:pos="4320"/>
          <w:tab w:val="clear" w:pos="8640"/>
        </w:tabs>
        <w:spacing w:line="240" w:lineRule="auto"/>
        <w:jc w:val="center"/>
        <w:rPr>
          <w:b/>
        </w:rPr>
      </w:pPr>
    </w:p>
    <w:p w:rsidR="00326305" w:rsidRPr="004B08F2" w:rsidP="00042957" w14:paraId="35CBF69A" w14:textId="73C7BEF4">
      <w:pPr>
        <w:pStyle w:val="BodyTextIndent3"/>
        <w:widowControl w:val="0"/>
        <w:spacing w:line="240" w:lineRule="auto"/>
        <w:ind w:firstLine="0"/>
        <w:rPr>
          <w:b/>
          <w:bCs/>
          <w:szCs w:val="24"/>
        </w:rPr>
      </w:pPr>
    </w:p>
    <w:p w:rsidR="00326305" w:rsidRPr="004B08F2" w:rsidP="00433AB8" w14:paraId="5254776D" w14:textId="2D792E9E">
      <w:pPr>
        <w:pStyle w:val="Heading1"/>
      </w:pPr>
      <w:r w:rsidRPr="004B08F2">
        <w:t>I.</w:t>
      </w:r>
      <w:r w:rsidRPr="004B08F2">
        <w:tab/>
        <w:t>INTRODUCTION</w:t>
      </w:r>
    </w:p>
    <w:p w:rsidR="002E1AAC" w:rsidRPr="004B08F2" w:rsidP="00326305" w14:paraId="423F1656" w14:textId="72F311C0">
      <w:pPr>
        <w:pStyle w:val="BodyTextIndent3"/>
        <w:widowControl w:val="0"/>
        <w:spacing w:line="480" w:lineRule="auto"/>
        <w:rPr>
          <w:szCs w:val="24"/>
        </w:rPr>
      </w:pPr>
      <w:r w:rsidRPr="004B08F2">
        <w:rPr>
          <w:szCs w:val="24"/>
        </w:rPr>
        <w:t>Chestnut Commerce Center, LLC (</w:t>
      </w:r>
      <w:r w:rsidR="004B08F2">
        <w:rPr>
          <w:szCs w:val="24"/>
        </w:rPr>
        <w:t>“</w:t>
      </w:r>
      <w:r w:rsidRPr="004B08F2">
        <w:rPr>
          <w:szCs w:val="24"/>
        </w:rPr>
        <w:t>Chestnut</w:t>
      </w:r>
      <w:r w:rsidR="004B08F2">
        <w:rPr>
          <w:szCs w:val="24"/>
        </w:rPr>
        <w:t>”</w:t>
      </w:r>
      <w:r w:rsidRPr="004B08F2">
        <w:rPr>
          <w:szCs w:val="24"/>
        </w:rPr>
        <w:t xml:space="preserve">) </w:t>
      </w:r>
      <w:r w:rsidRPr="004B08F2" w:rsidR="005501BC">
        <w:rPr>
          <w:szCs w:val="24"/>
        </w:rPr>
        <w:t>is seeking PUCO approval of a r</w:t>
      </w:r>
      <w:r w:rsidRPr="004B08F2" w:rsidR="00FF6D07">
        <w:rPr>
          <w:szCs w:val="24"/>
        </w:rPr>
        <w:t xml:space="preserve">easonable </w:t>
      </w:r>
      <w:r w:rsidRPr="004B08F2" w:rsidR="005501BC">
        <w:rPr>
          <w:szCs w:val="24"/>
        </w:rPr>
        <w:t>a</w:t>
      </w:r>
      <w:r w:rsidRPr="004B08F2" w:rsidR="00FF6D07">
        <w:rPr>
          <w:szCs w:val="24"/>
        </w:rPr>
        <w:t>rrangement</w:t>
      </w:r>
      <w:r>
        <w:rPr>
          <w:rStyle w:val="FootnoteReference"/>
          <w:szCs w:val="24"/>
        </w:rPr>
        <w:footnoteReference w:id="3"/>
      </w:r>
      <w:r w:rsidRPr="004B08F2" w:rsidR="00795686">
        <w:rPr>
          <w:szCs w:val="24"/>
        </w:rPr>
        <w:t xml:space="preserve"> to, among other things, facilitate</w:t>
      </w:r>
      <w:r w:rsidRPr="004B08F2" w:rsidR="00EC23A1">
        <w:rPr>
          <w:szCs w:val="24"/>
        </w:rPr>
        <w:t xml:space="preserve"> a data processing</w:t>
      </w:r>
      <w:r w:rsidRPr="004B08F2" w:rsidR="00795686">
        <w:rPr>
          <w:szCs w:val="24"/>
        </w:rPr>
        <w:t xml:space="preserve"> </w:t>
      </w:r>
      <w:r w:rsidRPr="004B08F2" w:rsidR="00EC23A1">
        <w:rPr>
          <w:szCs w:val="24"/>
        </w:rPr>
        <w:t xml:space="preserve">center for </w:t>
      </w:r>
      <w:r w:rsidRPr="004B08F2" w:rsidR="00795686">
        <w:rPr>
          <w:szCs w:val="24"/>
        </w:rPr>
        <w:t>cryptocurrency mining operations.</w:t>
      </w:r>
      <w:r w:rsidRPr="004B08F2" w:rsidR="0005426B">
        <w:rPr>
          <w:szCs w:val="24"/>
        </w:rPr>
        <w:t xml:space="preserve"> </w:t>
      </w:r>
      <w:r w:rsidRPr="004B08F2">
        <w:rPr>
          <w:szCs w:val="24"/>
        </w:rPr>
        <w:t>Chestnut</w:t>
      </w:r>
      <w:r w:rsidRPr="004B08F2" w:rsidR="0005426B">
        <w:rPr>
          <w:szCs w:val="24"/>
        </w:rPr>
        <w:t xml:space="preserve"> seeks </w:t>
      </w:r>
      <w:bookmarkStart w:id="0" w:name="_Hlk159502725"/>
      <w:r w:rsidRPr="004B08F2" w:rsidR="00EC23A1">
        <w:rPr>
          <w:szCs w:val="24"/>
        </w:rPr>
        <w:t xml:space="preserve">the reasonable arrangement so it can </w:t>
      </w:r>
      <w:r w:rsidRPr="004B08F2" w:rsidR="0005426B">
        <w:rPr>
          <w:szCs w:val="24"/>
        </w:rPr>
        <w:t>participate in FirstEnergy</w:t>
      </w:r>
      <w:r w:rsidR="004B08F2">
        <w:rPr>
          <w:szCs w:val="24"/>
        </w:rPr>
        <w:t>’</w:t>
      </w:r>
      <w:r w:rsidRPr="004B08F2" w:rsidR="0005426B">
        <w:rPr>
          <w:szCs w:val="24"/>
        </w:rPr>
        <w:t>s</w:t>
      </w:r>
      <w:r>
        <w:rPr>
          <w:szCs w:val="24"/>
          <w:vertAlign w:val="superscript"/>
        </w:rPr>
        <w:footnoteReference w:id="4"/>
      </w:r>
      <w:r w:rsidRPr="004B08F2" w:rsidR="00183C86">
        <w:rPr>
          <w:szCs w:val="24"/>
        </w:rPr>
        <w:t xml:space="preserve"> </w:t>
      </w:r>
      <w:r w:rsidRPr="004B08F2" w:rsidR="005501BC">
        <w:rPr>
          <w:szCs w:val="24"/>
        </w:rPr>
        <w:t xml:space="preserve">transmission </w:t>
      </w:r>
      <w:r w:rsidRPr="004B08F2" w:rsidR="0005426B">
        <w:rPr>
          <w:szCs w:val="24"/>
        </w:rPr>
        <w:t>opt-out pilot program (</w:t>
      </w:r>
      <w:bookmarkStart w:id="1" w:name="_Hlk159834874"/>
      <w:r w:rsidR="004B08F2">
        <w:rPr>
          <w:szCs w:val="24"/>
        </w:rPr>
        <w:t>“</w:t>
      </w:r>
      <w:r w:rsidRPr="004B08F2" w:rsidR="000B360F">
        <w:rPr>
          <w:szCs w:val="24"/>
        </w:rPr>
        <w:t xml:space="preserve">Rider </w:t>
      </w:r>
      <w:r w:rsidRPr="004B08F2" w:rsidR="0099619D">
        <w:rPr>
          <w:szCs w:val="24"/>
        </w:rPr>
        <w:t xml:space="preserve">NMB </w:t>
      </w:r>
      <w:r w:rsidRPr="004B08F2" w:rsidR="00613FD7">
        <w:rPr>
          <w:szCs w:val="24"/>
        </w:rPr>
        <w:t>opt-out p</w:t>
      </w:r>
      <w:r w:rsidRPr="004B08F2" w:rsidR="000B360F">
        <w:rPr>
          <w:szCs w:val="24"/>
        </w:rPr>
        <w:t>ilot</w:t>
      </w:r>
      <w:r w:rsidRPr="004B08F2" w:rsidR="006E3424">
        <w:rPr>
          <w:szCs w:val="24"/>
        </w:rPr>
        <w:t xml:space="preserve"> </w:t>
      </w:r>
      <w:r w:rsidRPr="004B08F2" w:rsidR="00613FD7">
        <w:rPr>
          <w:szCs w:val="24"/>
        </w:rPr>
        <w:t>p</w:t>
      </w:r>
      <w:r w:rsidRPr="004B08F2" w:rsidR="0005426B">
        <w:rPr>
          <w:szCs w:val="24"/>
        </w:rPr>
        <w:t>rogram</w:t>
      </w:r>
      <w:bookmarkEnd w:id="1"/>
      <w:r w:rsidR="004B08F2">
        <w:rPr>
          <w:szCs w:val="24"/>
        </w:rPr>
        <w:t>”</w:t>
      </w:r>
      <w:r w:rsidRPr="004B08F2" w:rsidR="0005426B">
        <w:rPr>
          <w:szCs w:val="24"/>
        </w:rPr>
        <w:t>)</w:t>
      </w:r>
      <w:bookmarkEnd w:id="0"/>
      <w:r w:rsidRPr="004B08F2" w:rsidR="005501BC">
        <w:rPr>
          <w:szCs w:val="24"/>
        </w:rPr>
        <w:t xml:space="preserve">. </w:t>
      </w:r>
      <w:r w:rsidRPr="004B08F2" w:rsidR="00EC23A1">
        <w:rPr>
          <w:szCs w:val="24"/>
        </w:rPr>
        <w:t xml:space="preserve">The PUCO </w:t>
      </w:r>
      <w:r w:rsidRPr="004B08F2" w:rsidR="00046B6F">
        <w:rPr>
          <w:szCs w:val="24"/>
        </w:rPr>
        <w:t>just</w:t>
      </w:r>
      <w:r w:rsidRPr="004B08F2" w:rsidR="00EC23A1">
        <w:rPr>
          <w:szCs w:val="24"/>
        </w:rPr>
        <w:t xml:space="preserve"> rejected a similar proposal for a reasonable arrangement by another </w:t>
      </w:r>
      <w:r w:rsidR="004B08F2">
        <w:rPr>
          <w:szCs w:val="24"/>
        </w:rPr>
        <w:t>“</w:t>
      </w:r>
      <w:r w:rsidRPr="004B08F2" w:rsidR="00EC23A1">
        <w:rPr>
          <w:szCs w:val="24"/>
        </w:rPr>
        <w:t>energy-intensive</w:t>
      </w:r>
      <w:r w:rsidR="004B08F2">
        <w:rPr>
          <w:szCs w:val="24"/>
        </w:rPr>
        <w:t>”</w:t>
      </w:r>
      <w:r w:rsidRPr="004B08F2" w:rsidR="00EC23A1">
        <w:rPr>
          <w:szCs w:val="24"/>
        </w:rPr>
        <w:t xml:space="preserve"> cryptocurrency mining operation</w:t>
      </w:r>
      <w:r w:rsidRPr="004B08F2" w:rsidR="00046B6F">
        <w:rPr>
          <w:szCs w:val="24"/>
        </w:rPr>
        <w:t>.</w:t>
      </w:r>
      <w:r>
        <w:rPr>
          <w:rStyle w:val="FootnoteReference"/>
          <w:szCs w:val="24"/>
        </w:rPr>
        <w:footnoteReference w:id="5"/>
      </w:r>
      <w:r w:rsidRPr="004B08F2" w:rsidR="00EC23A1">
        <w:rPr>
          <w:szCs w:val="24"/>
        </w:rPr>
        <w:t xml:space="preserve"> </w:t>
      </w:r>
      <w:r w:rsidRPr="004B08F2" w:rsidR="00046B6F">
        <w:rPr>
          <w:szCs w:val="24"/>
        </w:rPr>
        <w:t xml:space="preserve">The PUCO should reject </w:t>
      </w:r>
      <w:r w:rsidRPr="004B08F2" w:rsidR="00EC23A1">
        <w:rPr>
          <w:szCs w:val="24"/>
        </w:rPr>
        <w:t>Chestnut</w:t>
      </w:r>
      <w:r w:rsidR="004B08F2">
        <w:rPr>
          <w:szCs w:val="24"/>
        </w:rPr>
        <w:t>’</w:t>
      </w:r>
      <w:r w:rsidRPr="004B08F2" w:rsidR="00EC23A1">
        <w:rPr>
          <w:szCs w:val="24"/>
        </w:rPr>
        <w:t>s proposal as well</w:t>
      </w:r>
      <w:r w:rsidRPr="004B08F2" w:rsidR="00046B6F">
        <w:rPr>
          <w:szCs w:val="24"/>
        </w:rPr>
        <w:t>.</w:t>
      </w:r>
      <w:r w:rsidRPr="004B08F2" w:rsidR="00EC23A1">
        <w:rPr>
          <w:szCs w:val="24"/>
        </w:rPr>
        <w:t xml:space="preserve"> </w:t>
      </w:r>
    </w:p>
    <w:p w:rsidR="00E92BE3" w:rsidRPr="004B08F2" w:rsidP="000B4C42" w14:paraId="67C7EA46" w14:textId="660F41CB">
      <w:pPr>
        <w:widowControl w:val="0"/>
        <w:autoSpaceDE w:val="0"/>
        <w:autoSpaceDN w:val="0"/>
        <w:spacing w:line="480" w:lineRule="auto"/>
        <w:ind w:right="96" w:firstLine="720"/>
      </w:pPr>
      <w:r w:rsidRPr="004B08F2">
        <w:t>FirstEnergy</w:t>
      </w:r>
      <w:r w:rsidR="004B08F2">
        <w:t>’</w:t>
      </w:r>
      <w:r w:rsidRPr="004B08F2">
        <w:t>s</w:t>
      </w:r>
      <w:r w:rsidRPr="004B08F2">
        <w:t xml:space="preserve"> Rider NMB opt-out pilot program allows some non-residential consumers to avoid paying transmission charges under Rider NMB. </w:t>
      </w:r>
      <w:r w:rsidRPr="004B08F2">
        <w:t>However, r</w:t>
      </w:r>
      <w:r w:rsidRPr="004B08F2" w:rsidR="00EC23A1">
        <w:t>esidential utility consumers cannot participate in the Rider NMB opt-out pilot program</w:t>
      </w:r>
      <w:r w:rsidRPr="004B08F2">
        <w:t xml:space="preserve">. Residential consumers </w:t>
      </w:r>
      <w:r w:rsidRPr="004B08F2" w:rsidR="00EC23A1">
        <w:t xml:space="preserve">must pay the transmission charges assessed to them under Rider </w:t>
      </w:r>
      <w:r w:rsidRPr="004B08F2" w:rsidR="00EC23A1">
        <w:t xml:space="preserve">NMB. </w:t>
      </w:r>
      <w:r w:rsidRPr="004B08F2">
        <w:t xml:space="preserve">And </w:t>
      </w:r>
      <w:r w:rsidRPr="004B08F2">
        <w:t>residential utility consumers must pay more. A recent audit shows that FirstEnergy</w:t>
      </w:r>
      <w:r w:rsidR="004B08F2">
        <w:t>’</w:t>
      </w:r>
      <w:r w:rsidRPr="004B08F2">
        <w:t xml:space="preserve">s Rider NMB opt-out pilot program shifts </w:t>
      </w:r>
      <w:r w:rsidRPr="004B08F2">
        <w:rPr>
          <w:i/>
        </w:rPr>
        <w:t xml:space="preserve">over a million dollars </w:t>
      </w:r>
      <w:r w:rsidRPr="004B08F2">
        <w:t xml:space="preserve">per year to residential consumers who have </w:t>
      </w:r>
      <w:r w:rsidRPr="004B08F2">
        <w:rPr>
          <w:i/>
        </w:rPr>
        <w:t xml:space="preserve">no choice </w:t>
      </w:r>
      <w:r w:rsidRPr="004B08F2">
        <w:t>but to pay Rider NMB rates.</w:t>
      </w:r>
      <w:r>
        <w:rPr>
          <w:rStyle w:val="FootnoteReference"/>
        </w:rPr>
        <w:footnoteReference w:id="6"/>
      </w:r>
    </w:p>
    <w:p w:rsidR="002E1AAC" w:rsidRPr="004B08F2" w:rsidP="00326305" w14:paraId="7D01CE0A" w14:textId="4EB6709F">
      <w:pPr>
        <w:pStyle w:val="BodyTextIndent3"/>
        <w:widowControl w:val="0"/>
        <w:spacing w:line="480" w:lineRule="auto"/>
        <w:rPr>
          <w:szCs w:val="24"/>
        </w:rPr>
      </w:pPr>
      <w:r w:rsidRPr="004B08F2">
        <w:rPr>
          <w:szCs w:val="24"/>
        </w:rPr>
        <w:t>Now</w:t>
      </w:r>
      <w:r w:rsidRPr="004B08F2" w:rsidR="00BC171B">
        <w:rPr>
          <w:szCs w:val="24"/>
        </w:rPr>
        <w:t xml:space="preserve"> is not the time to expand the pilot program given </w:t>
      </w:r>
      <w:r w:rsidRPr="004B08F2" w:rsidR="00DA27A8">
        <w:rPr>
          <w:szCs w:val="24"/>
        </w:rPr>
        <w:t>the unfolding</w:t>
      </w:r>
      <w:r w:rsidRPr="004B08F2" w:rsidR="00C43CEA">
        <w:rPr>
          <w:szCs w:val="24"/>
        </w:rPr>
        <w:t xml:space="preserve"> </w:t>
      </w:r>
      <w:r w:rsidRPr="004B08F2" w:rsidR="00BC171B">
        <w:rPr>
          <w:szCs w:val="24"/>
        </w:rPr>
        <w:t>events in the H.B. 6 scandal. T</w:t>
      </w:r>
      <w:r w:rsidRPr="004B08F2" w:rsidR="00C717BD">
        <w:rPr>
          <w:szCs w:val="24"/>
        </w:rPr>
        <w:t xml:space="preserve">he </w:t>
      </w:r>
      <w:r w:rsidRPr="004B08F2">
        <w:rPr>
          <w:szCs w:val="24"/>
        </w:rPr>
        <w:t xml:space="preserve">PUCO should consider </w:t>
      </w:r>
      <w:r w:rsidRPr="004B08F2" w:rsidR="00D20EF4">
        <w:rPr>
          <w:szCs w:val="24"/>
        </w:rPr>
        <w:t xml:space="preserve">the ramifications </w:t>
      </w:r>
      <w:r w:rsidRPr="004B08F2">
        <w:rPr>
          <w:szCs w:val="24"/>
        </w:rPr>
        <w:t xml:space="preserve">of allowing </w:t>
      </w:r>
      <w:r w:rsidRPr="004B08F2" w:rsidR="005E31CE">
        <w:rPr>
          <w:szCs w:val="24"/>
        </w:rPr>
        <w:t>Chestnut</w:t>
      </w:r>
      <w:r w:rsidRPr="004B08F2">
        <w:rPr>
          <w:szCs w:val="24"/>
        </w:rPr>
        <w:t xml:space="preserve"> to take advantage of a program </w:t>
      </w:r>
      <w:r w:rsidRPr="004B08F2" w:rsidR="004E4E74">
        <w:rPr>
          <w:szCs w:val="24"/>
        </w:rPr>
        <w:t xml:space="preserve">allegedly </w:t>
      </w:r>
      <w:r w:rsidRPr="004B08F2">
        <w:rPr>
          <w:szCs w:val="24"/>
        </w:rPr>
        <w:t>borne out of a</w:t>
      </w:r>
      <w:r w:rsidRPr="004B08F2" w:rsidR="004E4E74">
        <w:rPr>
          <w:szCs w:val="24"/>
        </w:rPr>
        <w:t>n undisclosed</w:t>
      </w:r>
      <w:r w:rsidRPr="004B08F2">
        <w:rPr>
          <w:szCs w:val="24"/>
        </w:rPr>
        <w:t xml:space="preserve"> side deal with the former PUCO </w:t>
      </w:r>
      <w:r w:rsidRPr="004B08F2" w:rsidR="00D6199D">
        <w:rPr>
          <w:szCs w:val="24"/>
        </w:rPr>
        <w:t>C</w:t>
      </w:r>
      <w:r w:rsidRPr="004B08F2">
        <w:rPr>
          <w:szCs w:val="24"/>
        </w:rPr>
        <w:t>hair, a program which may prov</w:t>
      </w:r>
      <w:r w:rsidRPr="004B08F2" w:rsidR="00BC171B">
        <w:rPr>
          <w:szCs w:val="24"/>
        </w:rPr>
        <w:t xml:space="preserve">e </w:t>
      </w:r>
      <w:r w:rsidRPr="004B08F2">
        <w:rPr>
          <w:szCs w:val="24"/>
        </w:rPr>
        <w:t>to be void or voidable.</w:t>
      </w:r>
      <w:r w:rsidRPr="004B08F2" w:rsidR="00C400C9">
        <w:rPr>
          <w:szCs w:val="24"/>
        </w:rPr>
        <w:t xml:space="preserve"> </w:t>
      </w:r>
      <w:r w:rsidRPr="004B08F2" w:rsidR="005564DA">
        <w:rPr>
          <w:szCs w:val="24"/>
        </w:rPr>
        <w:t>And</w:t>
      </w:r>
      <w:r w:rsidRPr="004B08F2" w:rsidR="00C400C9">
        <w:rPr>
          <w:szCs w:val="24"/>
        </w:rPr>
        <w:t xml:space="preserve"> </w:t>
      </w:r>
      <w:r w:rsidRPr="004B08F2" w:rsidR="00E51480">
        <w:rPr>
          <w:szCs w:val="24"/>
        </w:rPr>
        <w:t xml:space="preserve">the PUCO should also seriously consider the </w:t>
      </w:r>
      <w:r w:rsidRPr="004B08F2" w:rsidR="00B206BC">
        <w:rPr>
          <w:szCs w:val="24"/>
        </w:rPr>
        <w:t xml:space="preserve">grossly </w:t>
      </w:r>
      <w:r w:rsidRPr="004B08F2" w:rsidR="00C400C9">
        <w:rPr>
          <w:szCs w:val="24"/>
        </w:rPr>
        <w:t xml:space="preserve">disproportionate material grid load </w:t>
      </w:r>
      <w:r w:rsidRPr="004B08F2" w:rsidR="0068768C">
        <w:rPr>
          <w:szCs w:val="24"/>
        </w:rPr>
        <w:t>generated by Chestnut</w:t>
      </w:r>
      <w:r>
        <w:rPr>
          <w:rStyle w:val="FootnoteReference"/>
          <w:szCs w:val="24"/>
        </w:rPr>
        <w:footnoteReference w:id="7"/>
      </w:r>
      <w:r w:rsidRPr="004B08F2" w:rsidR="0068768C">
        <w:rPr>
          <w:szCs w:val="24"/>
        </w:rPr>
        <w:t xml:space="preserve"> </w:t>
      </w:r>
      <w:r w:rsidRPr="004B08F2" w:rsidR="00C400C9">
        <w:rPr>
          <w:szCs w:val="24"/>
        </w:rPr>
        <w:t xml:space="preserve">versus </w:t>
      </w:r>
      <w:r w:rsidRPr="004B08F2" w:rsidR="005E31CE">
        <w:rPr>
          <w:szCs w:val="24"/>
        </w:rPr>
        <w:t xml:space="preserve">the </w:t>
      </w:r>
      <w:r w:rsidRPr="004B08F2" w:rsidR="00B206BC">
        <w:rPr>
          <w:szCs w:val="24"/>
        </w:rPr>
        <w:t xml:space="preserve">economic benefit </w:t>
      </w:r>
      <w:r w:rsidRPr="004B08F2">
        <w:rPr>
          <w:szCs w:val="24"/>
        </w:rPr>
        <w:t>(</w:t>
      </w:r>
      <w:r w:rsidRPr="004B08F2" w:rsidR="00B206BC">
        <w:rPr>
          <w:szCs w:val="24"/>
        </w:rPr>
        <w:t>35 existing jobs</w:t>
      </w:r>
      <w:r w:rsidRPr="004B08F2">
        <w:rPr>
          <w:szCs w:val="24"/>
        </w:rPr>
        <w:t>)</w:t>
      </w:r>
      <w:r>
        <w:rPr>
          <w:rStyle w:val="FootnoteReference"/>
          <w:szCs w:val="24"/>
        </w:rPr>
        <w:footnoteReference w:id="8"/>
      </w:r>
      <w:r w:rsidRPr="004B08F2">
        <w:rPr>
          <w:szCs w:val="24"/>
        </w:rPr>
        <w:t xml:space="preserve"> and potential future transmission billing options </w:t>
      </w:r>
      <w:r w:rsidRPr="004B08F2" w:rsidR="00046B6F">
        <w:rPr>
          <w:szCs w:val="24"/>
        </w:rPr>
        <w:t xml:space="preserve">available </w:t>
      </w:r>
      <w:r w:rsidRPr="004B08F2">
        <w:rPr>
          <w:szCs w:val="24"/>
        </w:rPr>
        <w:t>to Chestnut</w:t>
      </w:r>
      <w:r w:rsidRPr="004B08F2" w:rsidR="0068768C">
        <w:rPr>
          <w:szCs w:val="24"/>
        </w:rPr>
        <w:t>.</w:t>
      </w:r>
      <w:r>
        <w:rPr>
          <w:rStyle w:val="FootnoteReference"/>
          <w:szCs w:val="24"/>
        </w:rPr>
        <w:footnoteReference w:id="9"/>
      </w:r>
      <w:r w:rsidRPr="004B08F2" w:rsidR="009B30CF">
        <w:rPr>
          <w:szCs w:val="24"/>
        </w:rPr>
        <w:t xml:space="preserve"> </w:t>
      </w:r>
      <w:r w:rsidRPr="004B08F2" w:rsidR="009C48BE">
        <w:rPr>
          <w:szCs w:val="24"/>
        </w:rPr>
        <w:t>Chestnut</w:t>
      </w:r>
      <w:r w:rsidR="004B08F2">
        <w:rPr>
          <w:szCs w:val="24"/>
        </w:rPr>
        <w:t>’</w:t>
      </w:r>
      <w:r w:rsidRPr="004B08F2" w:rsidR="009C48BE">
        <w:rPr>
          <w:szCs w:val="24"/>
        </w:rPr>
        <w:t>s application</w:t>
      </w:r>
      <w:r w:rsidRPr="004B08F2" w:rsidR="00046B6F">
        <w:rPr>
          <w:szCs w:val="24"/>
        </w:rPr>
        <w:t xml:space="preserve"> should be denied</w:t>
      </w:r>
      <w:r w:rsidRPr="004B08F2" w:rsidR="009C48BE">
        <w:rPr>
          <w:szCs w:val="24"/>
        </w:rPr>
        <w:t>.</w:t>
      </w:r>
    </w:p>
    <w:p w:rsidR="00433AB8" w:rsidRPr="004B08F2" w:rsidP="00433AB8" w14:paraId="2C8C0B99" w14:textId="77777777">
      <w:pPr>
        <w:widowControl w:val="0"/>
        <w:ind w:right="-312" w:firstLine="720"/>
      </w:pPr>
    </w:p>
    <w:p w:rsidR="00E266B5" w:rsidRPr="004B08F2" w:rsidP="003B1192" w14:paraId="72A2160D" w14:textId="5FC9A68F">
      <w:pPr>
        <w:pStyle w:val="Heading1"/>
      </w:pPr>
      <w:r w:rsidRPr="004B08F2">
        <w:t>II.</w:t>
      </w:r>
      <w:r w:rsidRPr="004B08F2">
        <w:tab/>
      </w:r>
      <w:r w:rsidRPr="004B08F2" w:rsidR="006A4B4A">
        <w:t xml:space="preserve">RIDER NMB </w:t>
      </w:r>
      <w:r w:rsidRPr="004B08F2" w:rsidR="00581406">
        <w:t xml:space="preserve">OPT-OUT </w:t>
      </w:r>
      <w:r w:rsidRPr="004B08F2" w:rsidR="006A4B4A">
        <w:t>PILOT PROGRAM BACKGROUND</w:t>
      </w:r>
    </w:p>
    <w:p w:rsidR="004E38A5" w:rsidRPr="004B08F2" w:rsidP="004E38A5" w14:paraId="129E3554" w14:textId="64271536">
      <w:pPr>
        <w:spacing w:line="480" w:lineRule="auto"/>
        <w:ind w:firstLine="720"/>
      </w:pPr>
      <w:bookmarkStart w:id="2" w:name="_Hlk159946640"/>
      <w:r w:rsidRPr="004B08F2">
        <w:t xml:space="preserve">The </w:t>
      </w:r>
      <w:r w:rsidRPr="004B08F2" w:rsidR="009C48BE">
        <w:t>R</w:t>
      </w:r>
      <w:r w:rsidRPr="004B08F2" w:rsidR="002E1AAC">
        <w:t>ider</w:t>
      </w:r>
      <w:r w:rsidRPr="004B08F2" w:rsidR="009C48BE">
        <w:t xml:space="preserve"> NMB</w:t>
      </w:r>
      <w:r w:rsidRPr="004B08F2" w:rsidR="002E1AAC">
        <w:t xml:space="preserve"> opt-out program came from FirstEnergy</w:t>
      </w:r>
      <w:r w:rsidR="004B08F2">
        <w:t>’</w:t>
      </w:r>
      <w:r w:rsidRPr="004B08F2" w:rsidR="002E1AAC">
        <w:t>s 2016 electric security plan</w:t>
      </w:r>
      <w:r w:rsidRPr="004B08F2">
        <w:t xml:space="preserve">. It was a benefit </w:t>
      </w:r>
      <w:r w:rsidRPr="004B08F2" w:rsidR="001B49E3">
        <w:t xml:space="preserve">for industrial consumers that was </w:t>
      </w:r>
      <w:r w:rsidRPr="004B08F2">
        <w:t>written into a non-unanimous settlement of FirstEnergy</w:t>
      </w:r>
      <w:r w:rsidR="004B08F2">
        <w:t>’</w:t>
      </w:r>
      <w:r w:rsidRPr="004B08F2">
        <w:t>s fourth electric security plan.</w:t>
      </w:r>
      <w:r>
        <w:rPr>
          <w:rStyle w:val="FootnoteReference"/>
        </w:rPr>
        <w:footnoteReference w:id="10"/>
      </w:r>
      <w:r w:rsidRPr="004B08F2">
        <w:t xml:space="preserve"> Under the Rider NMB opt-out pilot program, certain </w:t>
      </w:r>
      <w:r w:rsidRPr="004B08F2" w:rsidR="004E4E74">
        <w:t xml:space="preserve">industrial </w:t>
      </w:r>
      <w:r w:rsidRPr="004B08F2">
        <w:t xml:space="preserve">consumers </w:t>
      </w:r>
      <w:r w:rsidRPr="004B08F2" w:rsidR="00D20EF4">
        <w:t>did</w:t>
      </w:r>
      <w:r w:rsidRPr="004B08F2" w:rsidR="00E46411">
        <w:t xml:space="preserve"> not</w:t>
      </w:r>
      <w:r w:rsidRPr="004B08F2" w:rsidR="00D20EF4">
        <w:t xml:space="preserve"> </w:t>
      </w:r>
      <w:r w:rsidRPr="004B08F2" w:rsidR="001B49E3">
        <w:t xml:space="preserve">have to </w:t>
      </w:r>
      <w:r w:rsidRPr="004B08F2" w:rsidR="00D20EF4">
        <w:t>pay for transmission charges under</w:t>
      </w:r>
      <w:r w:rsidRPr="004B08F2">
        <w:t xml:space="preserve"> Rider NMB and instead </w:t>
      </w:r>
      <w:r w:rsidRPr="004B08F2" w:rsidR="001B49E3">
        <w:t xml:space="preserve">could obtain </w:t>
      </w:r>
      <w:r w:rsidRPr="004B08F2">
        <w:t>transmission service on their own.</w:t>
      </w:r>
      <w:r>
        <w:rPr>
          <w:rStyle w:val="FootnoteReference"/>
        </w:rPr>
        <w:footnoteReference w:id="11"/>
      </w:r>
    </w:p>
    <w:p w:rsidR="004E38A5" w:rsidRPr="004B08F2" w:rsidP="004E38A5" w14:paraId="5A7085AC" w14:textId="5BC907A8">
      <w:pPr>
        <w:spacing w:line="480" w:lineRule="auto"/>
        <w:ind w:firstLine="720"/>
      </w:pPr>
      <w:r w:rsidRPr="004B08F2">
        <w:t xml:space="preserve">At the time, the PUCO described the Rider NMB opt-out pilot program as providing an </w:t>
      </w:r>
      <w:r w:rsidR="004B08F2">
        <w:t>“</w:t>
      </w:r>
      <w:r w:rsidRPr="004B08F2">
        <w:t xml:space="preserve">opportunity to determine if industrial customers can obtain substantial savings by obtaining certain transmission services outside of Rider NMB </w:t>
      </w:r>
      <w:r w:rsidRPr="004B08F2">
        <w:rPr>
          <w:i/>
          <w:iCs/>
        </w:rPr>
        <w:t>without imposing significant costs on other customers</w:t>
      </w:r>
      <w:r w:rsidRPr="004B08F2">
        <w:t>.</w:t>
      </w:r>
      <w:r w:rsidR="004B08F2">
        <w:t>”</w:t>
      </w:r>
      <w:r>
        <w:rPr>
          <w:vertAlign w:val="superscript"/>
        </w:rPr>
        <w:footnoteReference w:id="12"/>
      </w:r>
      <w:r w:rsidRPr="004B08F2">
        <w:t xml:space="preserve"> Because the Rider NMB opt-out pilot program was supposed to be a </w:t>
      </w:r>
      <w:r w:rsidRPr="004B08F2">
        <w:rPr>
          <w:i/>
          <w:iCs/>
        </w:rPr>
        <w:t>pilot program</w:t>
      </w:r>
      <w:r w:rsidRPr="004B08F2">
        <w:t xml:space="preserve">, it was intended to be studied and used as a learning experience for regulatory policymaking. Accordingly, the PUCO directed FirstEnergy and the PUCO Staff </w:t>
      </w:r>
      <w:r w:rsidR="004B08F2">
        <w:t>“</w:t>
      </w:r>
      <w:r w:rsidRPr="004B08F2">
        <w:t xml:space="preserve">to continuously review the actual results of the Rider </w:t>
      </w:r>
      <w:r w:rsidRPr="004B08F2" w:rsidR="004E4E74">
        <w:t xml:space="preserve">NMB </w:t>
      </w:r>
      <w:r w:rsidRPr="004B08F2">
        <w:t>pilot program and periodically report their findings to the Commission.</w:t>
      </w:r>
      <w:r w:rsidR="004B08F2">
        <w:t>”</w:t>
      </w:r>
      <w:r>
        <w:rPr>
          <w:vertAlign w:val="superscript"/>
        </w:rPr>
        <w:footnoteReference w:id="13"/>
      </w:r>
      <w:r w:rsidRPr="004B08F2">
        <w:t xml:space="preserve"> </w:t>
      </w:r>
    </w:p>
    <w:p w:rsidR="00A26ACF" w:rsidRPr="004B08F2" w:rsidP="0023194A" w14:paraId="10E4BF23" w14:textId="3A73D91E">
      <w:pPr>
        <w:pStyle w:val="Footer"/>
        <w:tabs>
          <w:tab w:val="clear" w:pos="0"/>
          <w:tab w:val="clear" w:pos="720"/>
          <w:tab w:val="left" w:pos="4320"/>
        </w:tabs>
        <w:ind w:firstLine="720"/>
      </w:pPr>
      <w:r w:rsidRPr="004B08F2">
        <w:rPr>
          <w:rFonts w:eastAsia="Calibri"/>
        </w:rPr>
        <w:t xml:space="preserve">After a nearly </w:t>
      </w:r>
      <w:r w:rsidRPr="004B08F2" w:rsidR="002878AD">
        <w:rPr>
          <w:rFonts w:eastAsia="Calibri"/>
        </w:rPr>
        <w:t>seven-year</w:t>
      </w:r>
      <w:r w:rsidRPr="004B08F2">
        <w:rPr>
          <w:rFonts w:eastAsia="Calibri"/>
        </w:rPr>
        <w:t xml:space="preserve"> delay, the PUCO appointed Exeter Associates, Inc. to conduct an independent audit of the Rider NMB opt-out pilot program.</w:t>
      </w:r>
      <w:r>
        <w:rPr>
          <w:rFonts w:eastAsia="Calibri"/>
          <w:vertAlign w:val="superscript"/>
        </w:rPr>
        <w:footnoteReference w:id="14"/>
      </w:r>
      <w:r w:rsidRPr="004B08F2">
        <w:rPr>
          <w:rFonts w:eastAsia="Calibri"/>
        </w:rPr>
        <w:t xml:space="preserve"> Exeter noted that the Rider NMB opt-out pilot program unfairly shift</w:t>
      </w:r>
      <w:r w:rsidRPr="004B08F2" w:rsidR="00D02E6D">
        <w:rPr>
          <w:rFonts w:eastAsia="Calibri"/>
        </w:rPr>
        <w:t>ed</w:t>
      </w:r>
      <w:r w:rsidRPr="004B08F2">
        <w:rPr>
          <w:rFonts w:eastAsia="Calibri"/>
        </w:rPr>
        <w:t xml:space="preserve"> more than $1 million a year in transmission costs to residential consumers</w:t>
      </w:r>
      <w:r w:rsidRPr="004B08F2" w:rsidR="006774E0">
        <w:rPr>
          <w:rFonts w:eastAsia="Calibri"/>
        </w:rPr>
        <w:t xml:space="preserve">. Over the </w:t>
      </w:r>
      <w:r w:rsidRPr="004B08F2" w:rsidR="00F30132">
        <w:rPr>
          <w:rFonts w:eastAsia="Calibri"/>
        </w:rPr>
        <w:t>six-year</w:t>
      </w:r>
      <w:r w:rsidRPr="004B08F2" w:rsidR="006774E0">
        <w:rPr>
          <w:rFonts w:eastAsia="Calibri"/>
        </w:rPr>
        <w:t xml:space="preserve"> period under review, Ex</w:t>
      </w:r>
      <w:r w:rsidRPr="004B08F2" w:rsidR="00B206BC">
        <w:rPr>
          <w:rFonts w:eastAsia="Calibri"/>
        </w:rPr>
        <w:t>e</w:t>
      </w:r>
      <w:r w:rsidRPr="004B08F2" w:rsidR="006774E0">
        <w:rPr>
          <w:rFonts w:eastAsia="Calibri"/>
        </w:rPr>
        <w:t>ter found</w:t>
      </w:r>
      <w:r w:rsidRPr="004B08F2" w:rsidR="00183C86">
        <w:rPr>
          <w:rFonts w:eastAsia="Calibri"/>
        </w:rPr>
        <w:t xml:space="preserve"> </w:t>
      </w:r>
      <w:r w:rsidRPr="004B08F2">
        <w:t>$7.8 million</w:t>
      </w:r>
      <w:r w:rsidRPr="004B08F2" w:rsidR="006774E0">
        <w:t xml:space="preserve"> of costs were </w:t>
      </w:r>
      <w:r w:rsidRPr="004B08F2" w:rsidR="009C48BE">
        <w:t xml:space="preserve">unfairly </w:t>
      </w:r>
      <w:r w:rsidRPr="004B08F2" w:rsidR="006774E0">
        <w:t>shifted from the pilot program participants</w:t>
      </w:r>
      <w:r w:rsidRPr="004B08F2" w:rsidR="00183C86">
        <w:t xml:space="preserve"> </w:t>
      </w:r>
      <w:r w:rsidRPr="004B08F2">
        <w:t xml:space="preserve">to </w:t>
      </w:r>
      <w:r w:rsidRPr="004B08F2" w:rsidR="006774E0">
        <w:t>the other non-participating consumers paying Rider NMB.</w:t>
      </w:r>
      <w:r>
        <w:rPr>
          <w:rStyle w:val="FootnoteReference"/>
        </w:rPr>
        <w:footnoteReference w:id="15"/>
      </w:r>
      <w:r w:rsidR="004B08F2">
        <w:rPr>
          <w:rFonts w:eastAsia="Calibri"/>
        </w:rPr>
        <w:t xml:space="preserve"> </w:t>
      </w:r>
      <w:r w:rsidRPr="004B08F2" w:rsidR="00A81EF1">
        <w:rPr>
          <w:rFonts w:eastAsia="Calibri"/>
        </w:rPr>
        <w:t>As a result, Exeter recommended ending Rider NMB for all consumers.</w:t>
      </w:r>
      <w:r>
        <w:rPr>
          <w:rStyle w:val="FootnoteReference"/>
          <w:rFonts w:eastAsia="Calibri"/>
        </w:rPr>
        <w:footnoteReference w:id="16"/>
      </w:r>
    </w:p>
    <w:p w:rsidR="00FC5EEF" w:rsidRPr="004B08F2" w:rsidP="00275056" w14:paraId="4BE626BE" w14:textId="39061DC4">
      <w:pPr>
        <w:pStyle w:val="BodyTextIndent3"/>
        <w:widowControl w:val="0"/>
        <w:spacing w:line="480" w:lineRule="auto"/>
        <w:rPr>
          <w:szCs w:val="24"/>
        </w:rPr>
      </w:pPr>
      <w:r w:rsidRPr="004B08F2">
        <w:rPr>
          <w:szCs w:val="24"/>
        </w:rPr>
        <w:t xml:space="preserve">Curiously, the FirstEnergy pilot program </w:t>
      </w:r>
      <w:r w:rsidRPr="004B08F2" w:rsidR="009972C7">
        <w:rPr>
          <w:szCs w:val="24"/>
        </w:rPr>
        <w:t>was</w:t>
      </w:r>
      <w:r w:rsidRPr="004B08F2">
        <w:rPr>
          <w:szCs w:val="24"/>
        </w:rPr>
        <w:t xml:space="preserve"> singled out in the state</w:t>
      </w:r>
      <w:r w:rsidR="004B08F2">
        <w:rPr>
          <w:szCs w:val="24"/>
        </w:rPr>
        <w:t>’</w:t>
      </w:r>
      <w:r w:rsidRPr="004B08F2">
        <w:rPr>
          <w:szCs w:val="24"/>
        </w:rPr>
        <w:t xml:space="preserve">s indictment of former PUCO </w:t>
      </w:r>
      <w:r w:rsidRPr="004B08F2" w:rsidR="00D6199D">
        <w:rPr>
          <w:szCs w:val="24"/>
        </w:rPr>
        <w:t>C</w:t>
      </w:r>
      <w:r w:rsidRPr="004B08F2">
        <w:rPr>
          <w:szCs w:val="24"/>
        </w:rPr>
        <w:t>hair Randazzo</w:t>
      </w:r>
      <w:r w:rsidRPr="004B08F2" w:rsidR="000D5AB4">
        <w:rPr>
          <w:szCs w:val="24"/>
        </w:rPr>
        <w:t xml:space="preserve"> </w:t>
      </w:r>
      <w:r w:rsidRPr="004B08F2">
        <w:rPr>
          <w:szCs w:val="24"/>
        </w:rPr>
        <w:t xml:space="preserve">as </w:t>
      </w:r>
      <w:r w:rsidRPr="004B08F2" w:rsidR="006A4527">
        <w:rPr>
          <w:szCs w:val="24"/>
        </w:rPr>
        <w:t xml:space="preserve">part of </w:t>
      </w:r>
      <w:r w:rsidRPr="004B08F2" w:rsidR="000D5AB4">
        <w:rPr>
          <w:szCs w:val="24"/>
        </w:rPr>
        <w:t>an</w:t>
      </w:r>
      <w:r w:rsidRPr="004B08F2" w:rsidR="006A4527">
        <w:rPr>
          <w:szCs w:val="24"/>
        </w:rPr>
        <w:t xml:space="preserve"> alleged </w:t>
      </w:r>
      <w:r w:rsidRPr="004B08F2">
        <w:rPr>
          <w:szCs w:val="24"/>
        </w:rPr>
        <w:t xml:space="preserve">undisclosed side agreement between FirstEnergy and the former PUCO </w:t>
      </w:r>
      <w:r w:rsidRPr="004B08F2" w:rsidR="00D6199D">
        <w:rPr>
          <w:szCs w:val="24"/>
        </w:rPr>
        <w:t>C</w:t>
      </w:r>
      <w:r w:rsidRPr="004B08F2">
        <w:rPr>
          <w:szCs w:val="24"/>
        </w:rPr>
        <w:t>hair.</w:t>
      </w:r>
      <w:r>
        <w:rPr>
          <w:rStyle w:val="FootnoteReference"/>
          <w:szCs w:val="24"/>
        </w:rPr>
        <w:footnoteReference w:id="17"/>
      </w:r>
      <w:r w:rsidRPr="004B08F2">
        <w:rPr>
          <w:szCs w:val="24"/>
        </w:rPr>
        <w:t xml:space="preserve"> </w:t>
      </w:r>
      <w:r w:rsidRPr="004B08F2" w:rsidR="009C48BE">
        <w:rPr>
          <w:szCs w:val="24"/>
        </w:rPr>
        <w:t xml:space="preserve">FirstEnergy also recently </w:t>
      </w:r>
      <w:r w:rsidRPr="004B08F2" w:rsidR="007476B9">
        <w:rPr>
          <w:szCs w:val="24"/>
        </w:rPr>
        <w:t>disclosed</w:t>
      </w:r>
      <w:r w:rsidRPr="004B08F2" w:rsidR="009C48BE">
        <w:rPr>
          <w:szCs w:val="24"/>
        </w:rPr>
        <w:t xml:space="preserve"> that it is under investigation on state criminal charges.</w:t>
      </w:r>
      <w:r>
        <w:rPr>
          <w:rStyle w:val="FootnoteReference"/>
          <w:szCs w:val="24"/>
        </w:rPr>
        <w:footnoteReference w:id="18"/>
      </w:r>
      <w:r w:rsidRPr="004B08F2" w:rsidR="009B30CF">
        <w:rPr>
          <w:szCs w:val="24"/>
        </w:rPr>
        <w:t xml:space="preserve"> </w:t>
      </w:r>
      <w:r w:rsidRPr="004B08F2">
        <w:rPr>
          <w:szCs w:val="24"/>
        </w:rPr>
        <w:t>The PUCO investigation into th</w:t>
      </w:r>
      <w:r w:rsidRPr="004B08F2" w:rsidR="009C48BE">
        <w:rPr>
          <w:szCs w:val="24"/>
        </w:rPr>
        <w:t>e</w:t>
      </w:r>
      <w:r w:rsidRPr="004B08F2">
        <w:rPr>
          <w:szCs w:val="24"/>
        </w:rPr>
        <w:t xml:space="preserve"> side agreement has recently resumed.</w:t>
      </w:r>
      <w:r>
        <w:rPr>
          <w:rStyle w:val="FootnoteReference"/>
          <w:szCs w:val="24"/>
        </w:rPr>
        <w:footnoteReference w:id="19"/>
      </w:r>
      <w:r w:rsidRPr="004B08F2" w:rsidR="00183C86">
        <w:rPr>
          <w:szCs w:val="24"/>
        </w:rPr>
        <w:t xml:space="preserve"> </w:t>
      </w:r>
    </w:p>
    <w:p w:rsidR="00275056" w:rsidRPr="004B08F2" w:rsidP="00275056" w14:paraId="2A0973BC" w14:textId="643121AF">
      <w:pPr>
        <w:pStyle w:val="BodyTextIndent3"/>
        <w:widowControl w:val="0"/>
        <w:spacing w:line="480" w:lineRule="auto"/>
        <w:rPr>
          <w:szCs w:val="24"/>
        </w:rPr>
      </w:pPr>
      <w:r w:rsidRPr="004B08F2">
        <w:rPr>
          <w:szCs w:val="24"/>
        </w:rPr>
        <w:t>But th</w:t>
      </w:r>
      <w:r w:rsidRPr="004B08F2" w:rsidR="000D5AB4">
        <w:rPr>
          <w:szCs w:val="24"/>
        </w:rPr>
        <w:t>e</w:t>
      </w:r>
      <w:r w:rsidRPr="004B08F2">
        <w:rPr>
          <w:szCs w:val="24"/>
        </w:rPr>
        <w:t xml:space="preserve"> </w:t>
      </w:r>
      <w:r w:rsidRPr="004B08F2" w:rsidR="009972C7">
        <w:rPr>
          <w:szCs w:val="24"/>
        </w:rPr>
        <w:t>reasonable</w:t>
      </w:r>
      <w:r w:rsidRPr="004B08F2">
        <w:rPr>
          <w:szCs w:val="24"/>
        </w:rPr>
        <w:t xml:space="preserve"> arrangement sought by </w:t>
      </w:r>
      <w:r w:rsidRPr="004B08F2" w:rsidR="000D5AB4">
        <w:rPr>
          <w:szCs w:val="24"/>
        </w:rPr>
        <w:t>Chestnut</w:t>
      </w:r>
      <w:r w:rsidRPr="004B08F2">
        <w:rPr>
          <w:szCs w:val="24"/>
        </w:rPr>
        <w:t xml:space="preserve"> would capitalize on the pilot program, which at this point, given the audit and the state indictment, </w:t>
      </w:r>
      <w:r w:rsidRPr="004B08F2" w:rsidR="00743CA6">
        <w:rPr>
          <w:szCs w:val="24"/>
        </w:rPr>
        <w:t xml:space="preserve">and ongoing state criminal investigation, </w:t>
      </w:r>
      <w:r w:rsidRPr="004B08F2">
        <w:rPr>
          <w:szCs w:val="24"/>
        </w:rPr>
        <w:t>seems wron</w:t>
      </w:r>
      <w:r w:rsidRPr="004B08F2" w:rsidR="002878AD">
        <w:rPr>
          <w:szCs w:val="24"/>
        </w:rPr>
        <w:t xml:space="preserve">g. </w:t>
      </w:r>
      <w:r w:rsidRPr="004B08F2">
        <w:rPr>
          <w:szCs w:val="24"/>
        </w:rPr>
        <w:t>The indictment of the former PUCO Chair on both state and federal charges</w:t>
      </w:r>
      <w:r>
        <w:rPr>
          <w:szCs w:val="24"/>
          <w:vertAlign w:val="superscript"/>
        </w:rPr>
        <w:footnoteReference w:id="20"/>
      </w:r>
      <w:r w:rsidRPr="004B08F2">
        <w:rPr>
          <w:szCs w:val="24"/>
        </w:rPr>
        <w:t xml:space="preserve"> and the alleged </w:t>
      </w:r>
      <w:r w:rsidRPr="004B08F2" w:rsidR="00D02E6D">
        <w:rPr>
          <w:szCs w:val="24"/>
        </w:rPr>
        <w:t xml:space="preserve">undisclosed </w:t>
      </w:r>
      <w:r w:rsidRPr="004B08F2">
        <w:rPr>
          <w:szCs w:val="24"/>
        </w:rPr>
        <w:t xml:space="preserve">side deal between FirstEnergy and the former PUCO Chair </w:t>
      </w:r>
      <w:r w:rsidRPr="004B08F2" w:rsidR="00743CA6">
        <w:rPr>
          <w:szCs w:val="24"/>
        </w:rPr>
        <w:t xml:space="preserve">and the ongoing state criminal investigation of FirstEnergy </w:t>
      </w:r>
      <w:r w:rsidRPr="004B08F2">
        <w:rPr>
          <w:szCs w:val="24"/>
        </w:rPr>
        <w:t xml:space="preserve">squarely calls into question whether the opt-out </w:t>
      </w:r>
      <w:r w:rsidRPr="004B08F2" w:rsidR="00D02E6D">
        <w:rPr>
          <w:szCs w:val="24"/>
        </w:rPr>
        <w:t xml:space="preserve">pilot program </w:t>
      </w:r>
      <w:r w:rsidRPr="004B08F2">
        <w:rPr>
          <w:szCs w:val="24"/>
        </w:rPr>
        <w:t>should continue.</w:t>
      </w:r>
    </w:p>
    <w:p w:rsidR="007476B9" w:rsidRPr="004B08F2" w:rsidP="007476B9" w14:paraId="6E293FE6" w14:textId="77777777">
      <w:pPr>
        <w:pStyle w:val="BodyTextIndent3"/>
        <w:widowControl w:val="0"/>
        <w:spacing w:line="240" w:lineRule="auto"/>
        <w:rPr>
          <w:szCs w:val="24"/>
        </w:rPr>
      </w:pPr>
    </w:p>
    <w:p w:rsidR="005667EB" w:rsidRPr="004B08F2" w:rsidP="005667EB" w14:paraId="7ADF5407" w14:textId="2A8C8C1C">
      <w:pPr>
        <w:pStyle w:val="Heading1"/>
      </w:pPr>
      <w:r w:rsidRPr="004B08F2">
        <w:t>III.</w:t>
      </w:r>
      <w:r w:rsidRPr="004B08F2">
        <w:tab/>
        <w:t>CHESTNUT</w:t>
      </w:r>
      <w:r w:rsidR="004B08F2">
        <w:t>’</w:t>
      </w:r>
      <w:r w:rsidRPr="004B08F2">
        <w:t>S REASONABLE ARRANGMENT APPLICATION</w:t>
      </w:r>
    </w:p>
    <w:p w:rsidR="005E31CE" w:rsidRPr="004B08F2" w:rsidP="00B94137" w14:paraId="6FCB0C32" w14:textId="5E1DCFFF">
      <w:pPr>
        <w:widowControl w:val="0"/>
        <w:autoSpaceDE w:val="0"/>
        <w:autoSpaceDN w:val="0"/>
        <w:spacing w:line="480" w:lineRule="auto"/>
        <w:ind w:firstLine="720"/>
      </w:pPr>
      <w:r w:rsidRPr="004B08F2">
        <w:t xml:space="preserve">Located in northeastern Ohio, </w:t>
      </w:r>
      <w:r w:rsidRPr="004B08F2" w:rsidR="009767E5">
        <w:t xml:space="preserve">Chestnut leases </w:t>
      </w:r>
      <w:r w:rsidRPr="004B08F2" w:rsidR="00046B6F">
        <w:t xml:space="preserve">180,000 square feet of </w:t>
      </w:r>
      <w:r w:rsidRPr="004B08F2" w:rsidR="009767E5">
        <w:t xml:space="preserve">space to </w:t>
      </w:r>
      <w:r w:rsidRPr="004B08F2">
        <w:t xml:space="preserve">six tenants </w:t>
      </w:r>
      <w:r w:rsidRPr="004B08F2" w:rsidR="00046B6F">
        <w:t>that employ</w:t>
      </w:r>
      <w:r w:rsidRPr="004B08F2" w:rsidR="005C2D97">
        <w:t xml:space="preserve"> a total of only </w:t>
      </w:r>
      <w:r w:rsidRPr="004B08F2">
        <w:t>35 people</w:t>
      </w:r>
      <w:r w:rsidRPr="004B08F2" w:rsidR="005C2D97">
        <w:t>. The tenants use the space for, among other things,</w:t>
      </w:r>
      <w:r w:rsidR="004B08F2">
        <w:t xml:space="preserve"> </w:t>
      </w:r>
      <w:r w:rsidRPr="004B08F2">
        <w:t>storage facilities</w:t>
      </w:r>
      <w:r w:rsidRPr="004B08F2" w:rsidR="005C2D97">
        <w:t>,</w:t>
      </w:r>
      <w:r w:rsidR="007A1D62">
        <w:t xml:space="preserve"> </w:t>
      </w:r>
      <w:r w:rsidRPr="004B08F2">
        <w:t>data processing</w:t>
      </w:r>
      <w:r w:rsidRPr="004B08F2" w:rsidR="005C2D97">
        <w:t>,</w:t>
      </w:r>
      <w:r w:rsidRPr="004B08F2">
        <w:t xml:space="preserve"> and mining cryptocurrencies such as Bitcoin.</w:t>
      </w:r>
      <w:r>
        <w:rPr>
          <w:rStyle w:val="FootnoteReference"/>
        </w:rPr>
        <w:footnoteReference w:id="21"/>
      </w:r>
      <w:r w:rsidRPr="004B08F2">
        <w:t xml:space="preserve"> Chestnut</w:t>
      </w:r>
      <w:r w:rsidR="004B08F2">
        <w:t>’</w:t>
      </w:r>
      <w:r w:rsidRPr="004B08F2" w:rsidR="005C2D97">
        <w:t>s energy devouring tenants</w:t>
      </w:r>
      <w:r w:rsidR="004B08F2">
        <w:t xml:space="preserve"> </w:t>
      </w:r>
      <w:r w:rsidRPr="004B08F2" w:rsidR="005C2D97">
        <w:t xml:space="preserve">have </w:t>
      </w:r>
      <w:r w:rsidRPr="004B08F2">
        <w:t>consumed more than 700,000 kWh in each of the past three months, primarily to support</w:t>
      </w:r>
      <w:r w:rsidR="004B08F2">
        <w:t xml:space="preserve"> </w:t>
      </w:r>
      <w:r w:rsidRPr="004B08F2" w:rsidR="00107DAB">
        <w:t xml:space="preserve">data processing and </w:t>
      </w:r>
      <w:r w:rsidRPr="004B08F2">
        <w:t>cryptocurrency mining operations.</w:t>
      </w:r>
      <w:r>
        <w:rPr>
          <w:rStyle w:val="FootnoteReference"/>
        </w:rPr>
        <w:footnoteReference w:id="22"/>
      </w:r>
      <w:r w:rsidRPr="004B08F2" w:rsidR="009F3BFB">
        <w:t xml:space="preserve"> Chestnut currently operates at over 2,000 kVA of demand and has plans to increase demand at its facility to support additional cryptocurrency mining operations.</w:t>
      </w:r>
      <w:r>
        <w:rPr>
          <w:rStyle w:val="FootnoteReference"/>
        </w:rPr>
        <w:footnoteReference w:id="23"/>
      </w:r>
      <w:r w:rsidRPr="004B08F2">
        <w:t xml:space="preserve"> Chestnut </w:t>
      </w:r>
      <w:r w:rsidRPr="004B08F2" w:rsidR="00107DAB">
        <w:t xml:space="preserve">claims </w:t>
      </w:r>
      <w:r w:rsidRPr="004B08F2">
        <w:t>that there will be no delta revenues to be paid by other customers if the PUCO approves its application.</w:t>
      </w:r>
      <w:r>
        <w:rPr>
          <w:rStyle w:val="FootnoteReference"/>
        </w:rPr>
        <w:footnoteReference w:id="24"/>
      </w:r>
    </w:p>
    <w:p w:rsidR="000A0F92" w:rsidRPr="004B08F2" w:rsidP="005D07CA" w14:paraId="257AF76D" w14:textId="3C53323F">
      <w:pPr>
        <w:widowControl w:val="0"/>
        <w:autoSpaceDE w:val="0"/>
        <w:autoSpaceDN w:val="0"/>
        <w:spacing w:line="480" w:lineRule="auto"/>
        <w:ind w:firstLine="720"/>
      </w:pPr>
      <w:r w:rsidRPr="004B08F2">
        <w:t xml:space="preserve">Chestnut explains that </w:t>
      </w:r>
      <w:r w:rsidRPr="004B08F2">
        <w:t xml:space="preserve">Cryptocurrency mining is the process by which new digital </w:t>
      </w:r>
      <w:r w:rsidR="004B08F2">
        <w:t>“</w:t>
      </w:r>
      <w:r w:rsidRPr="004B08F2">
        <w:t>coins,</w:t>
      </w:r>
      <w:r w:rsidR="004B08F2">
        <w:t>”</w:t>
      </w:r>
      <w:r w:rsidRPr="004B08F2">
        <w:t xml:space="preserve"> such as Bitcoin, are entered into circulation.</w:t>
      </w:r>
      <w:r>
        <w:rPr>
          <w:rStyle w:val="FootnoteReference"/>
        </w:rPr>
        <w:footnoteReference w:id="25"/>
      </w:r>
      <w:r w:rsidRPr="004B08F2">
        <w:t xml:space="preserve"> Mining is also the process by which ownership of existing coins is recorded, and the process by which transactions are validated.</w:t>
      </w:r>
      <w:r>
        <w:rPr>
          <w:rStyle w:val="FootnoteReference"/>
        </w:rPr>
        <w:footnoteReference w:id="26"/>
      </w:r>
      <w:r w:rsidRPr="004B08F2">
        <w:t xml:space="preserve"> Cryptocurrency mining is performed using numerous and very sophisticated computers that solve extremely complex computational math problems requiring significant energy usage.</w:t>
      </w:r>
      <w:r>
        <w:rPr>
          <w:rStyle w:val="FootnoteReference"/>
        </w:rPr>
        <w:footnoteReference w:id="27"/>
      </w:r>
    </w:p>
    <w:p w:rsidR="00C74258" w:rsidRPr="004B08F2" w:rsidP="00C74258" w14:paraId="0732644F" w14:textId="77777777">
      <w:pPr>
        <w:widowControl w:val="0"/>
        <w:autoSpaceDE w:val="0"/>
        <w:autoSpaceDN w:val="0"/>
        <w:ind w:firstLine="811"/>
      </w:pPr>
    </w:p>
    <w:p w:rsidR="009909C9" w:rsidRPr="004B08F2" w:rsidP="005D6BCC" w14:paraId="5F8F2A87" w14:textId="5FF8AA77">
      <w:pPr>
        <w:pStyle w:val="Heading1"/>
        <w:rPr>
          <w:rFonts w:eastAsia="Calibri"/>
        </w:rPr>
      </w:pPr>
      <w:r w:rsidRPr="004B08F2">
        <w:rPr>
          <w:rFonts w:eastAsia="Calibri"/>
        </w:rPr>
        <w:t>IV.</w:t>
      </w:r>
      <w:r w:rsidRPr="004B08F2">
        <w:rPr>
          <w:rFonts w:eastAsia="Calibri"/>
        </w:rPr>
        <w:tab/>
      </w:r>
      <w:r w:rsidRPr="004B08F2" w:rsidR="006A4B4A">
        <w:rPr>
          <w:rFonts w:eastAsia="Calibri"/>
        </w:rPr>
        <w:t>RECOM</w:t>
      </w:r>
      <w:r w:rsidRPr="004B08F2" w:rsidR="00C34020">
        <w:rPr>
          <w:rFonts w:eastAsia="Calibri"/>
        </w:rPr>
        <w:t>M</w:t>
      </w:r>
      <w:r w:rsidRPr="004B08F2" w:rsidR="006A4B4A">
        <w:rPr>
          <w:rFonts w:eastAsia="Calibri"/>
        </w:rPr>
        <w:t>ENDATIO</w:t>
      </w:r>
      <w:r w:rsidRPr="004B08F2">
        <w:rPr>
          <w:rFonts w:eastAsia="Calibri"/>
        </w:rPr>
        <w:t>N</w:t>
      </w:r>
    </w:p>
    <w:p w:rsidR="007831A1" w:rsidRPr="004B08F2" w:rsidP="00D239CA" w14:paraId="16D0B0F0" w14:textId="69AE3765">
      <w:pPr>
        <w:spacing w:line="480" w:lineRule="auto"/>
        <w:ind w:firstLine="720"/>
      </w:pPr>
      <w:r w:rsidRPr="004B08F2">
        <w:t xml:space="preserve">The PUCO should deny </w:t>
      </w:r>
      <w:r w:rsidRPr="004B08F2" w:rsidR="00563B9F">
        <w:t>Chestnut</w:t>
      </w:r>
      <w:r w:rsidR="004B08F2">
        <w:t>’</w:t>
      </w:r>
      <w:r w:rsidRPr="004B08F2" w:rsidR="00563B9F">
        <w:t>s</w:t>
      </w:r>
      <w:r w:rsidRPr="004B08F2">
        <w:t xml:space="preserve"> Reasonable Arrangement Application</w:t>
      </w:r>
      <w:r w:rsidRPr="004B08F2" w:rsidR="00F46517">
        <w:t xml:space="preserve">. </w:t>
      </w:r>
      <w:r w:rsidRPr="004B08F2" w:rsidR="005E31CE">
        <w:t>While there may be no delta revenues to be paid by other customers</w:t>
      </w:r>
      <w:r w:rsidRPr="004B08F2" w:rsidR="00F46517">
        <w:t xml:space="preserve">, </w:t>
      </w:r>
      <w:r w:rsidRPr="004B08F2" w:rsidR="005E31CE">
        <w:t>approval of Chestnut</w:t>
      </w:r>
      <w:r w:rsidR="004B08F2">
        <w:t>’</w:t>
      </w:r>
      <w:r w:rsidRPr="004B08F2" w:rsidR="005E31CE">
        <w:t xml:space="preserve">s </w:t>
      </w:r>
      <w:r w:rsidRPr="004B08F2" w:rsidR="00F46517">
        <w:t xml:space="preserve">application </w:t>
      </w:r>
      <w:r w:rsidRPr="004B08F2">
        <w:t xml:space="preserve">will result in </w:t>
      </w:r>
      <w:r w:rsidRPr="004B08F2" w:rsidR="00F46517">
        <w:t>more transmission</w:t>
      </w:r>
      <w:r w:rsidRPr="004B08F2">
        <w:t xml:space="preserve"> charges being unfairly shifted to FirstEnergy residential consumers. </w:t>
      </w:r>
      <w:r w:rsidRPr="004B08F2" w:rsidR="002878AD">
        <w:t>And given th</w:t>
      </w:r>
      <w:r w:rsidRPr="004B08F2" w:rsidR="00F46517">
        <w:t xml:space="preserve">e </w:t>
      </w:r>
      <w:r w:rsidRPr="004B08F2" w:rsidR="00F27FB8">
        <w:t>state</w:t>
      </w:r>
      <w:r w:rsidR="004B08F2">
        <w:t>’</w:t>
      </w:r>
      <w:r w:rsidRPr="004B08F2" w:rsidR="00F27FB8">
        <w:t xml:space="preserve">s </w:t>
      </w:r>
      <w:r w:rsidRPr="004B08F2" w:rsidR="00F46517">
        <w:t xml:space="preserve">recent revelation that the </w:t>
      </w:r>
      <w:r w:rsidRPr="004B08F2" w:rsidR="002878AD">
        <w:t xml:space="preserve">pilot program </w:t>
      </w:r>
      <w:r w:rsidRPr="004B08F2" w:rsidR="00F46517">
        <w:t>w</w:t>
      </w:r>
      <w:r w:rsidRPr="004B08F2" w:rsidR="002878AD">
        <w:t>as</w:t>
      </w:r>
      <w:r w:rsidRPr="004B08F2" w:rsidR="006A4527">
        <w:t xml:space="preserve"> allegedly</w:t>
      </w:r>
      <w:r w:rsidRPr="004B08F2" w:rsidR="002878AD">
        <w:t xml:space="preserve"> part of the side dealing between FirstEnergy and </w:t>
      </w:r>
      <w:r w:rsidRPr="004B08F2">
        <w:t xml:space="preserve">former Chair Randazzo, it would seem wrong to allow </w:t>
      </w:r>
      <w:r w:rsidRPr="004B08F2" w:rsidR="00743CA6">
        <w:t>Chestnut</w:t>
      </w:r>
      <w:r w:rsidRPr="004B08F2">
        <w:t xml:space="preserve"> to take advantage of </w:t>
      </w:r>
      <w:r w:rsidRPr="004B08F2" w:rsidR="007360C9">
        <w:t>a</w:t>
      </w:r>
      <w:r w:rsidRPr="004B08F2">
        <w:t xml:space="preserve"> program </w:t>
      </w:r>
      <w:r w:rsidRPr="004B08F2" w:rsidR="007360C9">
        <w:t>that</w:t>
      </w:r>
      <w:r w:rsidRPr="004B08F2">
        <w:t xml:space="preserve"> may </w:t>
      </w:r>
      <w:r w:rsidRPr="004B08F2" w:rsidR="008B6C77">
        <w:t xml:space="preserve">prove to </w:t>
      </w:r>
      <w:r w:rsidRPr="004B08F2" w:rsidR="002210CE">
        <w:t xml:space="preserve">be </w:t>
      </w:r>
      <w:r w:rsidRPr="004B08F2" w:rsidR="007360C9">
        <w:t>void or</w:t>
      </w:r>
      <w:r w:rsidRPr="004B08F2">
        <w:t xml:space="preserve"> voidable.</w:t>
      </w:r>
    </w:p>
    <w:p w:rsidR="005E31CE" w:rsidRPr="004B08F2" w:rsidP="00D239CA" w14:paraId="75A1074F" w14:textId="4D03FFD1">
      <w:pPr>
        <w:widowControl w:val="0"/>
        <w:autoSpaceDE w:val="0"/>
        <w:autoSpaceDN w:val="0"/>
        <w:spacing w:line="480" w:lineRule="auto"/>
        <w:ind w:firstLine="720"/>
      </w:pPr>
      <w:r w:rsidRPr="004B08F2">
        <w:t xml:space="preserve">In another recent reasonable arrangement case involving a cryptocurrency mining business, </w:t>
      </w:r>
      <w:r w:rsidRPr="004B08F2" w:rsidR="005E6FD3">
        <w:t xml:space="preserve">the </w:t>
      </w:r>
      <w:r w:rsidRPr="004B08F2">
        <w:t xml:space="preserve">PUCO </w:t>
      </w:r>
      <w:r w:rsidRPr="004B08F2" w:rsidR="0080622C">
        <w:t xml:space="preserve">rejected the proposed </w:t>
      </w:r>
      <w:r w:rsidRPr="004B08F2">
        <w:t xml:space="preserve">reasonable arrangement </w:t>
      </w:r>
      <w:r w:rsidRPr="004B08F2" w:rsidR="008B6C77">
        <w:t>for the following reasons</w:t>
      </w:r>
      <w:r w:rsidRPr="004B08F2">
        <w:t>:</w:t>
      </w:r>
    </w:p>
    <w:p w:rsidR="00D777C9" w:rsidRPr="004B08F2" w:rsidP="00D777C9" w14:paraId="5B8D41FE" w14:textId="333059FB">
      <w:pPr>
        <w:widowControl w:val="0"/>
        <w:autoSpaceDE w:val="0"/>
        <w:autoSpaceDN w:val="0"/>
        <w:ind w:left="1440" w:right="1440"/>
      </w:pPr>
      <w:r w:rsidRPr="004B08F2">
        <w:t>The Commission finds that Glorious Sky did not meet its burden to demonstrate that its application for a reasonable arrangement satisfies all requirements of Ohio Adm.Code 4901:1-38-05. Specifically, Glorious Sky did not demonstrate that the proposed arrangement would be in the public interest, as required by Ohio Adm.Code 4901:1-38-05(B)(1). The Commission emphasizes that Glorious Sky</w:t>
      </w:r>
      <w:r w:rsidR="004B08F2">
        <w:t>’</w:t>
      </w:r>
      <w:r w:rsidRPr="004B08F2">
        <w:t>s operations would create a significant incremental load increase to the grid and NMB Pilot of up to 18 MW. The Commission does not find there to be sufficient substantial contribution to economic development or other public interest benefits in Glorious Sky</w:t>
      </w:r>
      <w:r w:rsidR="004B08F2">
        <w:t>’</w:t>
      </w:r>
      <w:r w:rsidRPr="004B08F2">
        <w:t>s proposal to warrant approval</w:t>
      </w:r>
      <w:r w:rsidRPr="004B08F2">
        <w:t>.</w:t>
      </w:r>
      <w:r>
        <w:rPr>
          <w:rStyle w:val="FootnoteReference"/>
        </w:rPr>
        <w:footnoteReference w:id="28"/>
      </w:r>
    </w:p>
    <w:p w:rsidR="00D777C9" w:rsidRPr="004B08F2" w:rsidP="00D777C9" w14:paraId="552990B4" w14:textId="77777777">
      <w:pPr>
        <w:widowControl w:val="0"/>
        <w:autoSpaceDE w:val="0"/>
        <w:autoSpaceDN w:val="0"/>
        <w:ind w:left="1440" w:right="1440"/>
      </w:pPr>
      <w:r w:rsidRPr="004B08F2">
        <w:t xml:space="preserve"> </w:t>
      </w:r>
    </w:p>
    <w:p w:rsidR="00D41907" w:rsidRPr="004B08F2" w:rsidP="002878AD" w14:paraId="77524F47" w14:textId="0670E2A1">
      <w:pPr>
        <w:spacing w:line="480" w:lineRule="auto"/>
        <w:ind w:firstLine="720"/>
      </w:pPr>
      <w:r w:rsidRPr="004B08F2">
        <w:t>The PUCO also recently rejected a reasonable arrangement between Viking Data Center LLC (</w:t>
      </w:r>
      <w:r w:rsidR="004B08F2">
        <w:t>“</w:t>
      </w:r>
      <w:r w:rsidRPr="004B08F2">
        <w:t>Viking</w:t>
      </w:r>
      <w:r w:rsidR="004B08F2">
        <w:t>”</w:t>
      </w:r>
      <w:r w:rsidRPr="004B08F2">
        <w:t>) and FirstEnergy.</w:t>
      </w:r>
      <w:r>
        <w:rPr>
          <w:rStyle w:val="FootnoteReference"/>
        </w:rPr>
        <w:footnoteReference w:id="29"/>
      </w:r>
      <w:r w:rsidR="004B08F2">
        <w:t xml:space="preserve"> </w:t>
      </w:r>
      <w:r w:rsidRPr="004B08F2">
        <w:t>Viking operates a data center which provides blockchain service – the same technology used for cryptocurrency mining.</w:t>
      </w:r>
      <w:r>
        <w:rPr>
          <w:rStyle w:val="FootnoteReference"/>
        </w:rPr>
        <w:footnoteReference w:id="30"/>
      </w:r>
      <w:r w:rsidR="004B08F2">
        <w:t xml:space="preserve"> </w:t>
      </w:r>
      <w:r w:rsidRPr="004B08F2">
        <w:t>Blockchain service providers and cryptocurrency miners are similar in that both use prodigious amounts of electricity but neither one produces many high quality, well-paying jobs.</w:t>
      </w:r>
      <w:r w:rsidR="004B08F2">
        <w:t xml:space="preserve"> </w:t>
      </w:r>
    </w:p>
    <w:p w:rsidR="00FF0BEF" w:rsidRPr="004B08F2" w:rsidP="002878AD" w14:paraId="0852E696" w14:textId="699D0540">
      <w:pPr>
        <w:spacing w:line="480" w:lineRule="auto"/>
        <w:ind w:firstLine="720"/>
      </w:pPr>
      <w:r w:rsidRPr="004B08F2">
        <w:t xml:space="preserve">The PUCO should </w:t>
      </w:r>
      <w:r w:rsidRPr="004B08F2" w:rsidR="00107DAB">
        <w:t>follow its decision</w:t>
      </w:r>
      <w:r w:rsidRPr="004B08F2" w:rsidR="00630ADB">
        <w:t>s</w:t>
      </w:r>
      <w:r w:rsidRPr="004B08F2" w:rsidR="00107DAB">
        <w:t xml:space="preserve"> </w:t>
      </w:r>
      <w:r w:rsidRPr="004B08F2" w:rsidR="009F29A7">
        <w:t xml:space="preserve">in </w:t>
      </w:r>
      <w:r w:rsidRPr="004B08F2" w:rsidR="009F29A7">
        <w:rPr>
          <w:i/>
          <w:iCs/>
        </w:rPr>
        <w:t>Glorious Sky</w:t>
      </w:r>
      <w:r w:rsidRPr="004B08F2">
        <w:t xml:space="preserve"> </w:t>
      </w:r>
      <w:r w:rsidRPr="004B08F2" w:rsidR="009F29A7">
        <w:t xml:space="preserve">and </w:t>
      </w:r>
      <w:r w:rsidRPr="004B08F2" w:rsidR="00630ADB">
        <w:rPr>
          <w:i/>
          <w:iCs/>
        </w:rPr>
        <w:t xml:space="preserve">Viking </w:t>
      </w:r>
      <w:r w:rsidRPr="004B08F2" w:rsidR="00630ADB">
        <w:t xml:space="preserve">by </w:t>
      </w:r>
      <w:r w:rsidRPr="004B08F2">
        <w:t>deny</w:t>
      </w:r>
      <w:r w:rsidRPr="004B08F2" w:rsidR="00630ADB">
        <w:t>ing</w:t>
      </w:r>
      <w:r w:rsidRPr="004B08F2">
        <w:t xml:space="preserve"> Chestnut</w:t>
      </w:r>
      <w:r w:rsidR="004B08F2">
        <w:t>’</w:t>
      </w:r>
      <w:r w:rsidRPr="004B08F2">
        <w:t>s application</w:t>
      </w:r>
      <w:r w:rsidRPr="004B08F2" w:rsidR="00107DAB">
        <w:t>. Chestnut</w:t>
      </w:r>
      <w:r w:rsidR="004B08F2">
        <w:t>’</w:t>
      </w:r>
      <w:r w:rsidRPr="004B08F2" w:rsidR="00107DAB">
        <w:t>s</w:t>
      </w:r>
      <w:r w:rsidRPr="004B08F2" w:rsidR="009F3BFB">
        <w:t xml:space="preserve"> electricity usage is </w:t>
      </w:r>
      <w:r w:rsidRPr="004B08F2" w:rsidR="009F29A7">
        <w:t>also</w:t>
      </w:r>
      <w:r w:rsidRPr="004B08F2" w:rsidR="009F3BFB">
        <w:t xml:space="preserve"> disproportionate to any economic benefit justifying a special rate arrangement</w:t>
      </w:r>
      <w:r w:rsidRPr="004B08F2" w:rsidR="009251D8">
        <w:t xml:space="preserve">. Chestnut also may have the opportunity </w:t>
      </w:r>
      <w:r w:rsidRPr="004B08F2" w:rsidR="009B4E67">
        <w:t>to take</w:t>
      </w:r>
      <w:r w:rsidRPr="004B08F2" w:rsidR="009251D8">
        <w:t xml:space="preserve"> advantage of </w:t>
      </w:r>
      <w:r w:rsidRPr="004B08F2" w:rsidR="008B6C77">
        <w:t>other billing options that would make a reasonable arrangement unnecessary.</w:t>
      </w:r>
    </w:p>
    <w:p w:rsidR="00E01219" w:rsidP="007831A1" w14:paraId="1D54F41F" w14:textId="3CBBF809">
      <w:pPr>
        <w:spacing w:line="480" w:lineRule="auto"/>
        <w:ind w:firstLine="720"/>
      </w:pPr>
      <w:r w:rsidRPr="004B08F2">
        <w:t xml:space="preserve">At the </w:t>
      </w:r>
      <w:r w:rsidRPr="004B08F2" w:rsidR="00EA7FF5">
        <w:t xml:space="preserve">very </w:t>
      </w:r>
      <w:r w:rsidRPr="004B08F2">
        <w:t xml:space="preserve">least, the PUCO should not rule on </w:t>
      </w:r>
      <w:r w:rsidRPr="004B08F2" w:rsidR="007360C9">
        <w:t>Chestnut</w:t>
      </w:r>
      <w:r w:rsidR="004B08F2">
        <w:t>’</w:t>
      </w:r>
      <w:r w:rsidRPr="004B08F2">
        <w:t xml:space="preserve">s </w:t>
      </w:r>
      <w:r w:rsidRPr="004B08F2" w:rsidR="00EA7FF5">
        <w:t>a</w:t>
      </w:r>
      <w:r w:rsidRPr="004B08F2">
        <w:t xml:space="preserve">pplication until a final order has been issued in </w:t>
      </w:r>
      <w:r w:rsidRPr="004B08F2" w:rsidR="007831A1">
        <w:t>related case</w:t>
      </w:r>
      <w:r w:rsidRPr="004B08F2" w:rsidR="00F46517">
        <w:t>s</w:t>
      </w:r>
      <w:r w:rsidRPr="004B08F2" w:rsidR="00107DAB">
        <w:t xml:space="preserve"> (</w:t>
      </w:r>
      <w:r w:rsidRPr="004B08F2" w:rsidR="00F46517">
        <w:t>Case No</w:t>
      </w:r>
      <w:r w:rsidR="00C6211B">
        <w:t>s</w:t>
      </w:r>
      <w:r w:rsidRPr="004B08F2" w:rsidR="00F46517">
        <w:t>. 23-301-EL-SSO</w:t>
      </w:r>
      <w:r w:rsidRPr="004B08F2" w:rsidR="00EA7FF5">
        <w:t xml:space="preserve">, 22-391-EL-RDR </w:t>
      </w:r>
      <w:r w:rsidRPr="004B08F2" w:rsidR="00F46517">
        <w:t>and 20-1629-El-RDR</w:t>
      </w:r>
      <w:r w:rsidRPr="004B08F2" w:rsidR="00107DAB">
        <w:t>)</w:t>
      </w:r>
      <w:r w:rsidRPr="004B08F2" w:rsidR="00F46517">
        <w:t>.</w:t>
      </w:r>
      <w:r w:rsidRPr="004B08F2" w:rsidR="003E6B81">
        <w:t xml:space="preserve"> </w:t>
      </w:r>
      <w:r w:rsidRPr="004B08F2" w:rsidR="00F46517">
        <w:t xml:space="preserve">In </w:t>
      </w:r>
      <w:r w:rsidRPr="004B08F2" w:rsidR="007831A1">
        <w:t>Case No. 23-301-EL-SSO</w:t>
      </w:r>
      <w:r w:rsidRPr="004B08F2" w:rsidR="00F46517">
        <w:t xml:space="preserve">, the PUCO will be ruling on </w:t>
      </w:r>
      <w:r w:rsidRPr="004B08F2" w:rsidR="007831A1">
        <w:t>whether Rider NMB and the Rider NMB opt-out pilot program will continue</w:t>
      </w:r>
      <w:r w:rsidRPr="004B08F2" w:rsidR="00726967">
        <w:t xml:space="preserve"> and whether </w:t>
      </w:r>
      <w:r w:rsidRPr="004B08F2" w:rsidR="003D7376">
        <w:t xml:space="preserve">other </w:t>
      </w:r>
      <w:r w:rsidRPr="004B08F2" w:rsidR="00726967">
        <w:t xml:space="preserve">transmission billing options </w:t>
      </w:r>
      <w:r w:rsidRPr="004B08F2" w:rsidR="003D7376">
        <w:t>will be established rendering Chestnut</w:t>
      </w:r>
      <w:r w:rsidR="004B08F2">
        <w:t>’</w:t>
      </w:r>
      <w:r w:rsidRPr="004B08F2" w:rsidR="003D7376">
        <w:t>s</w:t>
      </w:r>
      <w:r w:rsidRPr="004B08F2" w:rsidR="00726967">
        <w:t xml:space="preserve"> reasonable arrangement unnecessary</w:t>
      </w:r>
      <w:r w:rsidRPr="004B08F2" w:rsidR="007831A1">
        <w:t>.</w:t>
      </w:r>
      <w:r w:rsidRPr="004B08F2" w:rsidR="005501BC">
        <w:t xml:space="preserve"> </w:t>
      </w:r>
      <w:r w:rsidRPr="004B08F2" w:rsidR="00EA7FF5">
        <w:t xml:space="preserve">In Case No. 22-391-EL-RDR, the PUCO is examining </w:t>
      </w:r>
      <w:r w:rsidRPr="004B08F2" w:rsidR="003E614D">
        <w:t>Exeter</w:t>
      </w:r>
      <w:r w:rsidR="004B08F2">
        <w:t>’</w:t>
      </w:r>
      <w:r w:rsidRPr="004B08F2" w:rsidR="003E614D">
        <w:t>s</w:t>
      </w:r>
      <w:r w:rsidRPr="004B08F2" w:rsidR="00EA7FF5">
        <w:t xml:space="preserve"> audit </w:t>
      </w:r>
      <w:r w:rsidRPr="004B08F2" w:rsidR="003E614D">
        <w:t>finding on</w:t>
      </w:r>
      <w:r w:rsidRPr="004B08F2" w:rsidR="00EA7FF5">
        <w:t xml:space="preserve"> the pilot program.</w:t>
      </w:r>
      <w:r w:rsidRPr="004B08F2" w:rsidR="003E6B81">
        <w:t xml:space="preserve"> </w:t>
      </w:r>
      <w:r w:rsidRPr="004B08F2" w:rsidR="005501BC">
        <w:t xml:space="preserve">In Case No. 20-1629-EL-RDR, the PUCO will be ruling on whether FirstEnergy violated Ohio law through its undisclosed side dealing with the former PUCO </w:t>
      </w:r>
      <w:r w:rsidRPr="004B08F2" w:rsidR="00D6199D">
        <w:t>C</w:t>
      </w:r>
      <w:r w:rsidRPr="004B08F2" w:rsidR="005501BC">
        <w:t>hair</w:t>
      </w:r>
      <w:r w:rsidRPr="004B08F2" w:rsidR="00726967">
        <w:t xml:space="preserve"> which, among other things, </w:t>
      </w:r>
      <w:r w:rsidRPr="004B08F2" w:rsidR="00196C3E">
        <w:t xml:space="preserve">may have </w:t>
      </w:r>
      <w:r w:rsidRPr="004B08F2" w:rsidR="00726967">
        <w:t>facilitated the establishment of Rider NMB.</w:t>
      </w:r>
    </w:p>
    <w:p w:rsidR="00207A3E" w:rsidRPr="004B08F2" w:rsidP="00207A3E" w14:paraId="41224CC5" w14:textId="77777777">
      <w:pPr>
        <w:ind w:firstLine="720"/>
      </w:pPr>
    </w:p>
    <w:bookmarkEnd w:id="2"/>
    <w:p w:rsidR="0083574B" w:rsidRPr="004B08F2" w:rsidP="00C36199" w14:paraId="53380C17" w14:textId="1C7C751B">
      <w:pPr>
        <w:pStyle w:val="Heading1"/>
      </w:pPr>
      <w:r w:rsidRPr="004B08F2">
        <w:t>V.</w:t>
      </w:r>
      <w:r w:rsidRPr="004B08F2">
        <w:tab/>
      </w:r>
      <w:r w:rsidRPr="004B08F2" w:rsidR="006A4B4A">
        <w:t>CONCLUSION</w:t>
      </w:r>
    </w:p>
    <w:p w:rsidR="001B49E3" w:rsidRPr="004B08F2" w:rsidP="00612C31" w14:paraId="10D986C4" w14:textId="4E37342E">
      <w:pPr>
        <w:pStyle w:val="BodyTextIndent3"/>
        <w:widowControl w:val="0"/>
        <w:spacing w:line="480" w:lineRule="auto"/>
        <w:rPr>
          <w:szCs w:val="24"/>
        </w:rPr>
      </w:pPr>
      <w:r w:rsidRPr="004B08F2">
        <w:rPr>
          <w:szCs w:val="24"/>
        </w:rPr>
        <w:t>The PUCO should protect consumers from unjust and unreasonable charges that result from cost-shifting in FirstEnergy</w:t>
      </w:r>
      <w:r w:rsidR="004B08F2">
        <w:rPr>
          <w:szCs w:val="24"/>
        </w:rPr>
        <w:t>’</w:t>
      </w:r>
      <w:r w:rsidRPr="004B08F2">
        <w:rPr>
          <w:szCs w:val="24"/>
        </w:rPr>
        <w:t xml:space="preserve">s Rider NMB </w:t>
      </w:r>
      <w:r w:rsidRPr="004B08F2" w:rsidR="000C2601">
        <w:rPr>
          <w:szCs w:val="24"/>
        </w:rPr>
        <w:t>opt-out p</w:t>
      </w:r>
      <w:r w:rsidRPr="004B08F2">
        <w:rPr>
          <w:szCs w:val="24"/>
        </w:rPr>
        <w:t xml:space="preserve">ilot </w:t>
      </w:r>
      <w:r w:rsidRPr="004B08F2" w:rsidR="000C2601">
        <w:rPr>
          <w:szCs w:val="24"/>
        </w:rPr>
        <w:t>p</w:t>
      </w:r>
      <w:r w:rsidRPr="004B08F2">
        <w:rPr>
          <w:szCs w:val="24"/>
        </w:rPr>
        <w:t xml:space="preserve">rogram. </w:t>
      </w:r>
      <w:r w:rsidRPr="004B08F2" w:rsidR="007360C9">
        <w:rPr>
          <w:szCs w:val="24"/>
        </w:rPr>
        <w:t>Chestnut</w:t>
      </w:r>
      <w:r w:rsidR="004B08F2">
        <w:rPr>
          <w:szCs w:val="24"/>
        </w:rPr>
        <w:t>’</w:t>
      </w:r>
      <w:r w:rsidRPr="004B08F2" w:rsidR="002116B9">
        <w:rPr>
          <w:szCs w:val="24"/>
        </w:rPr>
        <w:t xml:space="preserve">s </w:t>
      </w:r>
      <w:r w:rsidRPr="004B08F2" w:rsidR="001E49BC">
        <w:rPr>
          <w:szCs w:val="24"/>
        </w:rPr>
        <w:t>r</w:t>
      </w:r>
      <w:r w:rsidRPr="004B08F2" w:rsidR="002116B9">
        <w:rPr>
          <w:szCs w:val="24"/>
        </w:rPr>
        <w:t xml:space="preserve">easonable </w:t>
      </w:r>
      <w:r w:rsidRPr="004B08F2" w:rsidR="001E49BC">
        <w:rPr>
          <w:szCs w:val="24"/>
        </w:rPr>
        <w:t>a</w:t>
      </w:r>
      <w:r w:rsidRPr="004B08F2" w:rsidR="002116B9">
        <w:rPr>
          <w:szCs w:val="24"/>
        </w:rPr>
        <w:t xml:space="preserve">rrangement </w:t>
      </w:r>
      <w:r w:rsidRPr="004B08F2" w:rsidR="00F27FB8">
        <w:rPr>
          <w:szCs w:val="24"/>
        </w:rPr>
        <w:t>will</w:t>
      </w:r>
      <w:r w:rsidRPr="004B08F2" w:rsidR="00EA7FF5">
        <w:rPr>
          <w:szCs w:val="24"/>
        </w:rPr>
        <w:t xml:space="preserve"> only </w:t>
      </w:r>
      <w:r w:rsidRPr="004B08F2" w:rsidR="00F27FB8">
        <w:rPr>
          <w:szCs w:val="24"/>
        </w:rPr>
        <w:t xml:space="preserve">add to the </w:t>
      </w:r>
      <w:r w:rsidRPr="004B08F2" w:rsidR="00743CA6">
        <w:rPr>
          <w:szCs w:val="24"/>
        </w:rPr>
        <w:t xml:space="preserve">unfair </w:t>
      </w:r>
      <w:r w:rsidRPr="004B08F2" w:rsidR="00F27FB8">
        <w:rPr>
          <w:szCs w:val="24"/>
        </w:rPr>
        <w:t>cost</w:t>
      </w:r>
      <w:r w:rsidRPr="004B08F2" w:rsidR="00196C3E">
        <w:rPr>
          <w:szCs w:val="24"/>
        </w:rPr>
        <w:t>-</w:t>
      </w:r>
      <w:r w:rsidRPr="004B08F2" w:rsidR="00F27FB8">
        <w:rPr>
          <w:szCs w:val="24"/>
        </w:rPr>
        <w:t>shifting already</w:t>
      </w:r>
      <w:r w:rsidRPr="004B08F2" w:rsidR="00EA7FF5">
        <w:rPr>
          <w:szCs w:val="24"/>
        </w:rPr>
        <w:t xml:space="preserve"> </w:t>
      </w:r>
      <w:r w:rsidRPr="004B08F2" w:rsidR="00F27FB8">
        <w:rPr>
          <w:szCs w:val="24"/>
        </w:rPr>
        <w:t>occurring</w:t>
      </w:r>
      <w:r w:rsidRPr="004B08F2" w:rsidR="00EA7FF5">
        <w:rPr>
          <w:szCs w:val="24"/>
        </w:rPr>
        <w:t xml:space="preserve"> under the pilot. </w:t>
      </w:r>
      <w:r w:rsidRPr="004B08F2" w:rsidR="00196C3E">
        <w:rPr>
          <w:szCs w:val="24"/>
        </w:rPr>
        <w:t>Also, the PUCO should not approve a reasonable arrangement such as Chestnut</w:t>
      </w:r>
      <w:r w:rsidR="004B08F2">
        <w:rPr>
          <w:szCs w:val="24"/>
        </w:rPr>
        <w:t>’</w:t>
      </w:r>
      <w:r w:rsidRPr="004B08F2" w:rsidR="00196C3E">
        <w:rPr>
          <w:szCs w:val="24"/>
        </w:rPr>
        <w:t xml:space="preserve">s where </w:t>
      </w:r>
      <w:r w:rsidRPr="004B08F2" w:rsidR="005564DA">
        <w:rPr>
          <w:szCs w:val="24"/>
        </w:rPr>
        <w:t xml:space="preserve">its </w:t>
      </w:r>
      <w:r w:rsidRPr="004B08F2" w:rsidR="00196C3E">
        <w:rPr>
          <w:szCs w:val="24"/>
        </w:rPr>
        <w:t>electricity usage is disproportionate to any economic benefit</w:t>
      </w:r>
      <w:r w:rsidRPr="004B08F2" w:rsidR="005564DA">
        <w:rPr>
          <w:szCs w:val="24"/>
        </w:rPr>
        <w:t>.</w:t>
      </w:r>
      <w:r w:rsidRPr="004B08F2" w:rsidR="00196C3E">
        <w:rPr>
          <w:szCs w:val="24"/>
        </w:rPr>
        <w:t xml:space="preserve"> </w:t>
      </w:r>
      <w:r w:rsidRPr="004B08F2" w:rsidR="005564DA">
        <w:rPr>
          <w:szCs w:val="24"/>
        </w:rPr>
        <w:t>Chestnut</w:t>
      </w:r>
      <w:r w:rsidR="004B08F2">
        <w:rPr>
          <w:szCs w:val="24"/>
        </w:rPr>
        <w:t>’</w:t>
      </w:r>
      <w:r w:rsidRPr="004B08F2" w:rsidR="005564DA">
        <w:rPr>
          <w:szCs w:val="24"/>
        </w:rPr>
        <w:t>s</w:t>
      </w:r>
      <w:r w:rsidRPr="004B08F2" w:rsidR="00EA7FF5">
        <w:rPr>
          <w:szCs w:val="24"/>
        </w:rPr>
        <w:t xml:space="preserve"> </w:t>
      </w:r>
      <w:r w:rsidRPr="004B08F2">
        <w:rPr>
          <w:szCs w:val="24"/>
        </w:rPr>
        <w:t>reasonable arrangement should be rejected as unjust and unreasonable.</w:t>
      </w:r>
    </w:p>
    <w:p w:rsidR="003D0FFE" w:rsidRPr="004B08F2" w:rsidP="001B49E3" w14:paraId="6C2139C4" w14:textId="553DF867">
      <w:pPr>
        <w:pStyle w:val="BodyTextIndent3"/>
        <w:widowControl w:val="0"/>
        <w:spacing w:line="480" w:lineRule="auto"/>
        <w:rPr>
          <w:rFonts w:eastAsia="Courier New"/>
          <w:szCs w:val="24"/>
        </w:rPr>
      </w:pPr>
      <w:r w:rsidRPr="004B08F2">
        <w:rPr>
          <w:szCs w:val="24"/>
        </w:rPr>
        <w:t xml:space="preserve">If the PUCO </w:t>
      </w:r>
      <w:r w:rsidRPr="004B08F2" w:rsidR="003E614D">
        <w:rPr>
          <w:szCs w:val="24"/>
        </w:rPr>
        <w:t>declines</w:t>
      </w:r>
      <w:r w:rsidRPr="004B08F2">
        <w:rPr>
          <w:szCs w:val="24"/>
        </w:rPr>
        <w:t xml:space="preserve"> to </w:t>
      </w:r>
      <w:r w:rsidRPr="004B08F2" w:rsidR="003E614D">
        <w:rPr>
          <w:szCs w:val="24"/>
        </w:rPr>
        <w:t xml:space="preserve">outright reject </w:t>
      </w:r>
      <w:r w:rsidRPr="004B08F2" w:rsidR="007360C9">
        <w:rPr>
          <w:szCs w:val="24"/>
        </w:rPr>
        <w:t>Chestnut</w:t>
      </w:r>
      <w:r w:rsidR="004B08F2">
        <w:rPr>
          <w:szCs w:val="24"/>
        </w:rPr>
        <w:t>’</w:t>
      </w:r>
      <w:r w:rsidRPr="004B08F2" w:rsidR="003E614D">
        <w:rPr>
          <w:szCs w:val="24"/>
        </w:rPr>
        <w:t>s application</w:t>
      </w:r>
      <w:r w:rsidRPr="004B08F2">
        <w:rPr>
          <w:szCs w:val="24"/>
        </w:rPr>
        <w:t xml:space="preserve">, it should at a minimum hold </w:t>
      </w:r>
      <w:r w:rsidRPr="004B08F2" w:rsidR="003E614D">
        <w:rPr>
          <w:szCs w:val="24"/>
        </w:rPr>
        <w:t xml:space="preserve">it </w:t>
      </w:r>
      <w:r w:rsidRPr="004B08F2" w:rsidR="002116B9">
        <w:rPr>
          <w:szCs w:val="24"/>
        </w:rPr>
        <w:t xml:space="preserve">in abeyance until </w:t>
      </w:r>
      <w:r w:rsidRPr="004B08F2">
        <w:rPr>
          <w:szCs w:val="24"/>
        </w:rPr>
        <w:t>after it issues final orders in related cases: Case No</w:t>
      </w:r>
      <w:r w:rsidRPr="004B08F2" w:rsidR="00743CA6">
        <w:rPr>
          <w:szCs w:val="24"/>
        </w:rPr>
        <w:t>s</w:t>
      </w:r>
      <w:r w:rsidRPr="004B08F2">
        <w:rPr>
          <w:szCs w:val="24"/>
        </w:rPr>
        <w:t>. 23-301-EL-SSO, 22-391-EL-RDR and 20-1629-EL-RDR.</w:t>
      </w:r>
    </w:p>
    <w:p w:rsidR="000F79AA" w:rsidRPr="004B08F2" w:rsidP="000F79AA" w14:paraId="110E5936" w14:textId="77777777">
      <w:pPr>
        <w:ind w:left="3600" w:firstLine="720"/>
        <w:rPr>
          <w:rFonts w:eastAsia="Courier New"/>
        </w:rPr>
      </w:pPr>
      <w:r w:rsidRPr="004B08F2">
        <w:rPr>
          <w:rFonts w:eastAsia="Courier New"/>
        </w:rPr>
        <w:t>Respectfully submitted,</w:t>
      </w:r>
    </w:p>
    <w:p w:rsidR="000F79AA" w:rsidRPr="004B08F2" w:rsidP="000F79AA" w14:paraId="6E812A81"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0F79AA" w:rsidRPr="004B08F2" w:rsidP="000F79AA" w14:paraId="6C48986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B08F2">
        <w:rPr>
          <w:rFonts w:eastAsia="Courier New"/>
        </w:rPr>
        <w:t>Maureen R. Willis (0020847)</w:t>
      </w:r>
    </w:p>
    <w:p w:rsidR="000F79AA" w:rsidRPr="004B08F2" w:rsidP="000F79AA" w14:paraId="380BF698" w14:textId="601AAE4E">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4B08F2">
        <w:t>Ohio Consumers</w:t>
      </w:r>
      <w:r w:rsidR="004B08F2">
        <w:t>’</w:t>
      </w:r>
      <w:r w:rsidRPr="004B08F2">
        <w:t xml:space="preserve"> Counsel</w:t>
      </w:r>
    </w:p>
    <w:p w:rsidR="000F79AA" w:rsidRPr="004B08F2" w:rsidP="000F79AA" w14:paraId="3E000833" w14:textId="77777777">
      <w:pPr>
        <w:tabs>
          <w:tab w:val="left" w:pos="4320"/>
        </w:tabs>
        <w:ind w:left="4320"/>
      </w:pPr>
    </w:p>
    <w:p w:rsidR="000F79AA" w:rsidRPr="004B08F2" w:rsidP="000F79AA" w14:paraId="22476458" w14:textId="77777777">
      <w:pPr>
        <w:tabs>
          <w:tab w:val="left" w:pos="4320"/>
        </w:tabs>
        <w:ind w:left="4320"/>
        <w:rPr>
          <w:i/>
          <w:iCs/>
          <w:u w:val="single"/>
        </w:rPr>
      </w:pPr>
      <w:r w:rsidRPr="004B08F2">
        <w:rPr>
          <w:i/>
          <w:iCs/>
          <w:u w:val="single"/>
        </w:rPr>
        <w:t>/s/ John Finnigan</w:t>
      </w:r>
    </w:p>
    <w:p w:rsidR="000F79AA" w:rsidRPr="004B08F2" w:rsidP="000F79AA" w14:paraId="27E15950" w14:textId="77777777">
      <w:pPr>
        <w:tabs>
          <w:tab w:val="left" w:pos="4320"/>
        </w:tabs>
        <w:ind w:left="4320"/>
      </w:pPr>
      <w:r w:rsidRPr="004B08F2">
        <w:t>John Finnigan (0018689)</w:t>
      </w:r>
    </w:p>
    <w:p w:rsidR="000F79AA" w:rsidRPr="004B08F2" w:rsidP="000F79AA" w14:paraId="0B2C27A2" w14:textId="77777777">
      <w:pPr>
        <w:tabs>
          <w:tab w:val="left" w:pos="4320"/>
        </w:tabs>
        <w:ind w:left="4320"/>
      </w:pPr>
      <w:r w:rsidRPr="004B08F2">
        <w:t>Counsel of Record</w:t>
      </w:r>
    </w:p>
    <w:p w:rsidR="000F79AA" w:rsidRPr="004B08F2" w:rsidP="000F79AA" w14:paraId="37F935F6" w14:textId="77777777">
      <w:pPr>
        <w:tabs>
          <w:tab w:val="left" w:pos="4320"/>
        </w:tabs>
        <w:ind w:left="4320"/>
      </w:pPr>
      <w:r w:rsidRPr="004B08F2">
        <w:t>John R. Varanese (0044176)</w:t>
      </w:r>
    </w:p>
    <w:p w:rsidR="000F79AA" w:rsidRPr="004B08F2" w:rsidP="000F79AA" w14:paraId="6E97FC79" w14:textId="157FBADF">
      <w:pPr>
        <w:tabs>
          <w:tab w:val="left" w:pos="4320"/>
        </w:tabs>
        <w:ind w:left="4320"/>
      </w:pPr>
      <w:r w:rsidRPr="004B08F2">
        <w:t>Assistant Consumers</w:t>
      </w:r>
      <w:r w:rsidR="004B08F2">
        <w:t>’</w:t>
      </w:r>
      <w:r w:rsidRPr="004B08F2">
        <w:t xml:space="preserve"> Counsel</w:t>
      </w:r>
    </w:p>
    <w:p w:rsidR="000F79AA" w:rsidRPr="004B08F2" w:rsidP="000F79AA" w14:paraId="57BDB38E" w14:textId="77777777">
      <w:pPr>
        <w:tabs>
          <w:tab w:val="left" w:pos="4320"/>
        </w:tabs>
        <w:ind w:left="4320"/>
        <w:rPr>
          <w:highlight w:val="cyan"/>
        </w:rPr>
      </w:pPr>
    </w:p>
    <w:p w:rsidR="000F79AA" w:rsidRPr="004B08F2" w:rsidP="000F79AA" w14:paraId="239E2355" w14:textId="4603C7B0">
      <w:pPr>
        <w:keepNext/>
        <w:ind w:left="4320" w:right="-648"/>
        <w:outlineLvl w:val="0"/>
        <w:rPr>
          <w:b/>
        </w:rPr>
      </w:pPr>
      <w:r w:rsidRPr="004B08F2">
        <w:rPr>
          <w:b/>
        </w:rPr>
        <w:t>Office of the Ohio Consumers</w:t>
      </w:r>
      <w:r w:rsidR="004B08F2">
        <w:rPr>
          <w:b/>
        </w:rPr>
        <w:t>’</w:t>
      </w:r>
      <w:r w:rsidRPr="004B08F2">
        <w:rPr>
          <w:b/>
        </w:rPr>
        <w:t xml:space="preserve"> Counsel</w:t>
      </w:r>
    </w:p>
    <w:p w:rsidR="000F79AA" w:rsidRPr="004B08F2" w:rsidP="000F79AA" w14:paraId="04BE3811" w14:textId="77777777">
      <w:pPr>
        <w:keepNext/>
        <w:ind w:left="4320" w:right="-648"/>
        <w:outlineLvl w:val="0"/>
      </w:pPr>
      <w:r w:rsidRPr="004B08F2">
        <w:t>65 East State Street, Suite 700</w:t>
      </w:r>
    </w:p>
    <w:p w:rsidR="000F79AA" w:rsidRPr="004B08F2" w:rsidP="000F79AA" w14:paraId="1079A2E5" w14:textId="77777777">
      <w:pPr>
        <w:keepNext/>
        <w:ind w:left="4320" w:right="-648"/>
        <w:outlineLvl w:val="0"/>
      </w:pPr>
      <w:r w:rsidRPr="004B08F2">
        <w:t>Columbus, Ohio 43215</w:t>
      </w:r>
    </w:p>
    <w:p w:rsidR="000F79AA" w:rsidRPr="004B08F2" w:rsidP="000F79AA" w14:paraId="256ADFF1" w14:textId="77777777">
      <w:pPr>
        <w:autoSpaceDE w:val="0"/>
        <w:autoSpaceDN w:val="0"/>
        <w:adjustRightInd w:val="0"/>
        <w:ind w:left="3600" w:firstLine="720"/>
      </w:pPr>
      <w:r w:rsidRPr="004B08F2">
        <w:t>Telephone [Finnigan]: (614) 466-9585</w:t>
      </w:r>
    </w:p>
    <w:p w:rsidR="000F79AA" w:rsidRPr="004B08F2" w:rsidP="000F79AA" w14:paraId="101DF599" w14:textId="77777777">
      <w:pPr>
        <w:ind w:left="4320"/>
      </w:pPr>
      <w:r w:rsidRPr="004B08F2">
        <w:t>Telephone [Varanese]: (614) 387-2965</w:t>
      </w:r>
    </w:p>
    <w:p w:rsidR="000F79AA" w:rsidRPr="004B08F2" w:rsidP="000F79AA" w14:paraId="6863A846" w14:textId="77777777">
      <w:pPr>
        <w:ind w:left="4320"/>
        <w:rPr>
          <w:rStyle w:val="Hyperlink"/>
        </w:rPr>
      </w:pPr>
      <w:hyperlink r:id="rId6" w:history="1">
        <w:r w:rsidRPr="004B08F2">
          <w:rPr>
            <w:rStyle w:val="Hyperlink"/>
          </w:rPr>
          <w:t>john.finnigan@occ.ohio.gov</w:t>
        </w:r>
      </w:hyperlink>
    </w:p>
    <w:p w:rsidR="000F79AA" w:rsidRPr="004B08F2" w:rsidP="000F79AA" w14:paraId="523B8063" w14:textId="77777777">
      <w:pPr>
        <w:ind w:left="4320"/>
      </w:pPr>
      <w:r w:rsidRPr="004B08F2">
        <w:rPr>
          <w:rStyle w:val="Hyperlink"/>
        </w:rPr>
        <w:t>john.varanese@occ.ohio.gov</w:t>
      </w:r>
    </w:p>
    <w:p w:rsidR="000F79AA" w:rsidRPr="004B08F2" w:rsidP="000F79AA" w14:paraId="4FB93293" w14:textId="77777777">
      <w:pPr>
        <w:ind w:left="4320"/>
      </w:pPr>
      <w:r w:rsidRPr="004B08F2">
        <w:t>(willing to accept service by e-mail)</w:t>
      </w:r>
    </w:p>
    <w:p w:rsidR="002A683D" w:rsidRPr="004B08F2" w:rsidP="002A683D" w14:paraId="61C69158" w14:textId="25E9898B"/>
    <w:p w:rsidR="00983F12" w:rsidRPr="004B08F2" w14:paraId="45BFE1A7" w14:textId="34F9FA07">
      <w:pPr>
        <w:rPr>
          <w:b/>
          <w:u w:val="single"/>
        </w:rPr>
      </w:pPr>
      <w:r w:rsidRPr="004B08F2">
        <w:br w:type="page"/>
      </w:r>
    </w:p>
    <w:p w:rsidR="00A5637F" w:rsidRPr="004B08F2" w:rsidP="00DB6639" w14:paraId="610DF17B" w14:textId="7C6B91A8">
      <w:pPr>
        <w:pStyle w:val="ANSWER"/>
        <w:ind w:left="720"/>
        <w:jc w:val="center"/>
        <w:rPr>
          <w:b/>
          <w:szCs w:val="24"/>
          <w:u w:val="single"/>
        </w:rPr>
      </w:pPr>
      <w:r w:rsidRPr="004B08F2">
        <w:rPr>
          <w:b/>
          <w:szCs w:val="24"/>
          <w:u w:val="single"/>
        </w:rPr>
        <w:t>CERTIFICATE OF SERVICE</w:t>
      </w:r>
    </w:p>
    <w:p w:rsidR="00A044B5" w:rsidRPr="004B08F2" w:rsidP="005904DA" w14:paraId="0F322DE7" w14:textId="7EE9393A">
      <w:pPr>
        <w:spacing w:line="480" w:lineRule="auto"/>
      </w:pPr>
      <w:r w:rsidRPr="004B08F2">
        <w:tab/>
        <w:t xml:space="preserve">I hereby certify that a copy of the foregoing </w:t>
      </w:r>
      <w:r w:rsidRPr="004B08F2" w:rsidR="00520F69">
        <w:t>Comments for Consumer Protection</w:t>
      </w:r>
      <w:r w:rsidRPr="004B08F2" w:rsidR="00114B63">
        <w:t xml:space="preserve"> </w:t>
      </w:r>
      <w:r w:rsidRPr="004B08F2" w:rsidR="008D0A5D">
        <w:t xml:space="preserve">was served on the persons stated below </w:t>
      </w:r>
      <w:r w:rsidRPr="004B08F2" w:rsidR="008D0A5D">
        <w:rPr>
          <w:iCs/>
        </w:rPr>
        <w:t>via</w:t>
      </w:r>
      <w:r w:rsidRPr="004B08F2" w:rsidR="008D0A5D">
        <w:t xml:space="preserve"> electronic transmission, this </w:t>
      </w:r>
      <w:r w:rsidRPr="004B08F2" w:rsidR="0049685B">
        <w:t>6</w:t>
      </w:r>
      <w:r w:rsidRPr="004B08F2" w:rsidR="0049685B">
        <w:rPr>
          <w:vertAlign w:val="superscript"/>
        </w:rPr>
        <w:t>th</w:t>
      </w:r>
      <w:r w:rsidRPr="004B08F2" w:rsidR="0049685B">
        <w:t xml:space="preserve"> </w:t>
      </w:r>
      <w:r w:rsidRPr="004B08F2">
        <w:t xml:space="preserve">day of </w:t>
      </w:r>
      <w:r w:rsidRPr="004B08F2" w:rsidR="0049685B">
        <w:t>May</w:t>
      </w:r>
      <w:r w:rsidRPr="004B08F2">
        <w:t xml:space="preserve"> 20</w:t>
      </w:r>
      <w:r w:rsidRPr="004B08F2" w:rsidR="002A683D">
        <w:t>24</w:t>
      </w:r>
      <w:r w:rsidRPr="004B08F2">
        <w:t>.</w:t>
      </w:r>
    </w:p>
    <w:p w:rsidR="00A044B5" w:rsidRPr="004B08F2" w14:paraId="13179D0F" w14:textId="1836FE79">
      <w:pPr>
        <w:tabs>
          <w:tab w:val="left" w:pos="4320"/>
        </w:tabs>
        <w:rPr>
          <w:i/>
          <w:iCs/>
          <w:u w:val="single"/>
        </w:rPr>
      </w:pPr>
      <w:r w:rsidRPr="004B08F2">
        <w:tab/>
      </w:r>
      <w:r w:rsidRPr="004B08F2" w:rsidR="0082139C">
        <w:rPr>
          <w:i/>
          <w:iCs/>
          <w:u w:val="single"/>
        </w:rPr>
        <w:t xml:space="preserve">/s/ </w:t>
      </w:r>
      <w:r w:rsidRPr="004B08F2" w:rsidR="00875C3A">
        <w:rPr>
          <w:i/>
          <w:iCs/>
          <w:u w:val="single"/>
        </w:rPr>
        <w:t>John Finnigan</w:t>
      </w:r>
    </w:p>
    <w:p w:rsidR="00A044B5" w:rsidRPr="004B08F2" w14:paraId="0BF10D63" w14:textId="5ED18DCF">
      <w:pPr>
        <w:tabs>
          <w:tab w:val="left" w:pos="4320"/>
        </w:tabs>
      </w:pPr>
      <w:r w:rsidRPr="004B08F2">
        <w:tab/>
      </w:r>
      <w:r w:rsidRPr="004B08F2" w:rsidR="00875C3A">
        <w:t>John Finnigan</w:t>
      </w:r>
    </w:p>
    <w:p w:rsidR="00CF2964" w:rsidRPr="004B08F2" w:rsidP="00CF2964" w14:paraId="664D6775" w14:textId="0597A56B">
      <w:pPr>
        <w:tabs>
          <w:tab w:val="left" w:pos="4320"/>
        </w:tabs>
      </w:pPr>
      <w:r w:rsidRPr="004B08F2">
        <w:tab/>
        <w:t>Assistant Consumers</w:t>
      </w:r>
      <w:r w:rsidR="004B08F2">
        <w:t>’</w:t>
      </w:r>
      <w:r w:rsidRPr="004B08F2">
        <w:t xml:space="preserve"> Counsel</w:t>
      </w:r>
    </w:p>
    <w:p w:rsidR="002C7D60" w:rsidRPr="004B08F2" w:rsidP="00DB6639" w14:paraId="268A0765" w14:textId="4286E9D1">
      <w:pPr>
        <w:tabs>
          <w:tab w:val="left" w:pos="4320"/>
        </w:tabs>
      </w:pPr>
    </w:p>
    <w:p w:rsidR="002C7D60" w:rsidRPr="004B08F2" w:rsidP="002C7D60" w14:paraId="184A87AF" w14:textId="2D3FB667">
      <w:pPr>
        <w:pStyle w:val="CommentText"/>
      </w:pPr>
      <w:r w:rsidRPr="004B08F2">
        <w:t>The PUCO</w:t>
      </w:r>
      <w:r w:rsidR="004B08F2">
        <w:t>’</w:t>
      </w:r>
      <w:r w:rsidRPr="004B08F2">
        <w:t>s e-filing system will electronically serve notice of the filing of this document on the following parties:</w:t>
      </w:r>
    </w:p>
    <w:p w:rsidR="002C7D60" w:rsidRPr="004B08F2" w:rsidP="00DB6639" w14:paraId="7E43FDD1" w14:textId="77777777">
      <w:pPr>
        <w:tabs>
          <w:tab w:val="left" w:pos="4320"/>
        </w:tabs>
      </w:pPr>
    </w:p>
    <w:p w:rsidR="002C7D60" w:rsidRPr="004B08F2" w:rsidP="002C7D60" w14:paraId="116D3271" w14:textId="77777777">
      <w:pPr>
        <w:pStyle w:val="CommentText"/>
        <w:jc w:val="center"/>
        <w:rPr>
          <w:b/>
          <w:u w:val="single"/>
        </w:rPr>
      </w:pPr>
      <w:r w:rsidRPr="004B08F2">
        <w:rPr>
          <w:b/>
          <w:u w:val="single"/>
        </w:rPr>
        <w:t>SERVICE LIST</w:t>
      </w:r>
    </w:p>
    <w:p w:rsidR="00B65BFA" w:rsidRPr="004B08F2" w:rsidP="002C7D60" w14:paraId="157FDDB9" w14:textId="77777777">
      <w:pPr>
        <w:pStyle w:val="CommentText"/>
        <w:jc w:val="center"/>
        <w:rPr>
          <w:b/>
          <w:u w:val="single"/>
        </w:rPr>
      </w:pPr>
    </w:p>
    <w:tbl>
      <w:tblPr>
        <w:tblW w:w="8640" w:type="dxa"/>
        <w:tblInd w:w="0" w:type="dxa"/>
        <w:tblCellMar>
          <w:top w:w="0" w:type="dxa"/>
          <w:left w:w="108" w:type="dxa"/>
          <w:bottom w:w="0" w:type="dxa"/>
          <w:right w:w="108" w:type="dxa"/>
        </w:tblCellMar>
        <w:tblLook w:val="04A0"/>
      </w:tblPr>
      <w:tblGrid>
        <w:gridCol w:w="4320"/>
        <w:gridCol w:w="4320"/>
      </w:tblGrid>
      <w:tr w14:paraId="6FAC167E" w14:textId="77777777" w:rsidTr="0063646F">
        <w:tblPrEx>
          <w:tblW w:w="8640" w:type="dxa"/>
          <w:tblInd w:w="0" w:type="dxa"/>
          <w:tblCellMar>
            <w:top w:w="0" w:type="dxa"/>
            <w:left w:w="108" w:type="dxa"/>
            <w:bottom w:w="0" w:type="dxa"/>
            <w:right w:w="108" w:type="dxa"/>
          </w:tblCellMar>
          <w:tblLook w:val="04A0"/>
        </w:tblPrEx>
        <w:tc>
          <w:tcPr>
            <w:tcW w:w="4320" w:type="dxa"/>
            <w:shd w:val="clear" w:color="auto" w:fill="auto"/>
          </w:tcPr>
          <w:p w:rsidR="00E67F30" w:rsidRPr="004B08F2" w:rsidP="0063646F" w14:paraId="5D5516B5" w14:textId="77777777">
            <w:pPr>
              <w:rPr>
                <w:bCs/>
                <w:sz w:val="24"/>
                <w:szCs w:val="24"/>
                <w:lang w:val="en-US" w:eastAsia="en-US" w:bidi="ar-SA"/>
              </w:rPr>
            </w:pPr>
            <w:hyperlink r:id="rId7" w:history="1">
              <w:r w:rsidRPr="004B08F2">
                <w:rPr>
                  <w:rStyle w:val="Hyperlink"/>
                  <w:bCs/>
                  <w:color w:val="0000FF"/>
                  <w:sz w:val="24"/>
                  <w:szCs w:val="24"/>
                  <w:u w:val="single"/>
                  <w:lang w:val="en-US" w:eastAsia="en-US" w:bidi="ar-SA"/>
                </w:rPr>
                <w:t>john.jones@ohioago.gov</w:t>
              </w:r>
            </w:hyperlink>
          </w:p>
          <w:p w:rsidR="00E67F30" w:rsidRPr="004B08F2" w:rsidP="0063646F" w14:paraId="2454FFD6" w14:textId="77777777">
            <w:pPr>
              <w:rPr>
                <w:bCs/>
                <w:sz w:val="24"/>
                <w:szCs w:val="24"/>
                <w:lang w:val="en-US" w:eastAsia="en-US" w:bidi="ar-SA"/>
              </w:rPr>
            </w:pPr>
          </w:p>
          <w:p w:rsidR="00E67F30" w:rsidRPr="004B08F2" w:rsidP="0063646F" w14:paraId="6BE785AA" w14:textId="77777777">
            <w:pPr>
              <w:rPr>
                <w:bCs/>
                <w:sz w:val="24"/>
                <w:szCs w:val="24"/>
                <w:lang w:val="en-US" w:eastAsia="en-US" w:bidi="ar-SA"/>
              </w:rPr>
            </w:pPr>
            <w:r w:rsidRPr="004B08F2">
              <w:rPr>
                <w:bCs/>
                <w:sz w:val="24"/>
                <w:szCs w:val="24"/>
                <w:lang w:val="en-US" w:eastAsia="en-US" w:bidi="ar-SA"/>
              </w:rPr>
              <w:t>Attorney Examiner:</w:t>
            </w:r>
          </w:p>
          <w:p w:rsidR="00E67F30" w:rsidRPr="004B08F2" w:rsidP="0063646F" w14:paraId="2BFFAB31" w14:textId="77777777">
            <w:pPr>
              <w:rPr>
                <w:bCs/>
                <w:sz w:val="24"/>
                <w:szCs w:val="24"/>
                <w:lang w:val="en-US" w:eastAsia="en-US" w:bidi="ar-SA"/>
              </w:rPr>
            </w:pPr>
            <w:hyperlink r:id="rId8" w:history="1">
              <w:r w:rsidRPr="004B08F2">
                <w:rPr>
                  <w:rStyle w:val="Hyperlink"/>
                  <w:bCs/>
                  <w:color w:val="0000FF"/>
                  <w:sz w:val="24"/>
                  <w:szCs w:val="24"/>
                  <w:u w:val="single"/>
                  <w:lang w:val="en-US" w:eastAsia="en-US" w:bidi="ar-SA"/>
                </w:rPr>
                <w:t>jason.tonn@puco.ohio.gov</w:t>
              </w:r>
            </w:hyperlink>
          </w:p>
          <w:p w:rsidR="00E67F30" w:rsidRPr="004B08F2" w:rsidP="0063646F" w14:paraId="0A5747F4" w14:textId="77777777">
            <w:pPr>
              <w:rPr>
                <w:bCs/>
                <w:sz w:val="24"/>
                <w:szCs w:val="24"/>
                <w:lang w:val="en-US" w:eastAsia="en-US" w:bidi="ar-SA"/>
              </w:rPr>
            </w:pPr>
          </w:p>
        </w:tc>
        <w:tc>
          <w:tcPr>
            <w:tcW w:w="4320" w:type="dxa"/>
            <w:shd w:val="clear" w:color="auto" w:fill="auto"/>
          </w:tcPr>
          <w:p w:rsidR="00E67F30" w:rsidRPr="004B08F2" w:rsidP="0063646F" w14:paraId="51700440" w14:textId="77777777">
            <w:pPr>
              <w:ind w:left="521"/>
              <w:rPr>
                <w:bCs/>
                <w:sz w:val="24"/>
                <w:szCs w:val="24"/>
                <w:lang w:val="en-US" w:eastAsia="en-US" w:bidi="ar-SA"/>
              </w:rPr>
            </w:pPr>
            <w:hyperlink r:id="rId9" w:history="1">
              <w:r w:rsidRPr="004B08F2">
                <w:rPr>
                  <w:rStyle w:val="Hyperlink"/>
                  <w:bCs/>
                  <w:color w:val="0000FF"/>
                  <w:sz w:val="24"/>
                  <w:szCs w:val="24"/>
                  <w:u w:val="single"/>
                  <w:lang w:val="en-US" w:eastAsia="en-US" w:bidi="ar-SA"/>
                </w:rPr>
                <w:t>dproano@bakerlaw.com</w:t>
              </w:r>
            </w:hyperlink>
          </w:p>
          <w:p w:rsidR="00E67F30" w:rsidRPr="004B08F2" w:rsidP="0063646F" w14:paraId="515FF652" w14:textId="77777777">
            <w:pPr>
              <w:ind w:left="521"/>
              <w:rPr>
                <w:bCs/>
                <w:sz w:val="24"/>
                <w:szCs w:val="24"/>
                <w:lang w:val="en-US" w:eastAsia="en-US" w:bidi="ar-SA"/>
              </w:rPr>
            </w:pPr>
            <w:hyperlink r:id="rId10" w:history="1">
              <w:r w:rsidRPr="004B08F2">
                <w:rPr>
                  <w:rStyle w:val="Hyperlink"/>
                  <w:bCs/>
                  <w:color w:val="0000FF"/>
                  <w:sz w:val="24"/>
                  <w:szCs w:val="24"/>
                  <w:u w:val="single"/>
                  <w:lang w:val="en-US" w:eastAsia="en-US" w:bidi="ar-SA"/>
                </w:rPr>
                <w:t>bknipe@firstenergycorp.com</w:t>
              </w:r>
            </w:hyperlink>
          </w:p>
          <w:p w:rsidR="00E67F30" w:rsidRPr="004B08F2" w:rsidP="0063646F" w14:paraId="69799748" w14:textId="77777777">
            <w:pPr>
              <w:ind w:left="521"/>
              <w:rPr>
                <w:bCs/>
                <w:sz w:val="24"/>
                <w:szCs w:val="24"/>
                <w:lang w:val="en-US" w:eastAsia="en-US" w:bidi="ar-SA"/>
              </w:rPr>
            </w:pPr>
            <w:hyperlink r:id="rId11" w:history="1">
              <w:r w:rsidRPr="004B08F2">
                <w:rPr>
                  <w:rStyle w:val="Hyperlink"/>
                  <w:bCs/>
                  <w:color w:val="0000FF"/>
                  <w:sz w:val="24"/>
                  <w:szCs w:val="24"/>
                  <w:u w:val="single"/>
                  <w:lang w:val="en-US" w:eastAsia="en-US" w:bidi="ar-SA"/>
                </w:rPr>
                <w:t>cwatchorn@firstenergycorp.com</w:t>
              </w:r>
            </w:hyperlink>
          </w:p>
          <w:p w:rsidR="00E67F30" w:rsidRPr="004B08F2" w:rsidP="0063646F" w14:paraId="78AD89C8" w14:textId="77777777">
            <w:pPr>
              <w:ind w:left="521"/>
              <w:rPr>
                <w:bCs/>
                <w:sz w:val="24"/>
                <w:szCs w:val="24"/>
                <w:lang w:val="en-US" w:eastAsia="en-US" w:bidi="ar-SA"/>
              </w:rPr>
            </w:pPr>
          </w:p>
          <w:p w:rsidR="00E67F30" w:rsidRPr="004B08F2" w:rsidP="0063646F" w14:paraId="348BBBB0" w14:textId="77777777">
            <w:pPr>
              <w:rPr>
                <w:bCs/>
                <w:sz w:val="24"/>
                <w:szCs w:val="24"/>
                <w:lang w:val="en-US" w:eastAsia="en-US" w:bidi="ar-SA"/>
              </w:rPr>
            </w:pPr>
          </w:p>
        </w:tc>
      </w:tr>
    </w:tbl>
    <w:p w:rsidR="00E67F30" w:rsidRPr="004B08F2" w:rsidP="00E67F30" w14:paraId="37E7CB85" w14:textId="77777777">
      <w:pPr>
        <w:tabs>
          <w:tab w:val="left" w:pos="4320"/>
        </w:tabs>
      </w:pPr>
    </w:p>
    <w:p w:rsidR="00A5637F" w:rsidRPr="004B08F2" w:rsidP="00DB6639" w14:paraId="00A354A7" w14:textId="77777777">
      <w:pPr>
        <w:tabs>
          <w:tab w:val="left" w:pos="4320"/>
        </w:tabs>
      </w:pPr>
    </w:p>
    <w:sectPr w:rsidSect="00BE604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61" w14:paraId="4F176B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1581F"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F12" w:rsidP="0021581F" w14:paraId="12F85826" w14:textId="0484E9CF">
    <w:pPr>
      <w:pStyle w:val="Foote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6047" w14:paraId="4669E7BD" w14:textId="77777777">
      <w:r>
        <w:separator/>
      </w:r>
    </w:p>
  </w:footnote>
  <w:footnote w:type="continuationSeparator" w:id="1">
    <w:p w:rsidR="00BE6047" w14:paraId="666E2542" w14:textId="77777777">
      <w:r>
        <w:continuationSeparator/>
      </w:r>
    </w:p>
  </w:footnote>
  <w:footnote w:type="continuationNotice" w:id="2">
    <w:p w:rsidR="00BE6047" w14:paraId="2D654149" w14:textId="77777777"/>
  </w:footnote>
  <w:footnote w:id="3">
    <w:p w:rsidR="00902327" w:rsidP="00220B7E" w14:paraId="650B6B80" w14:textId="6467F633">
      <w:pPr>
        <w:pStyle w:val="FootnoteText"/>
        <w:spacing w:before="0" w:after="120"/>
      </w:pPr>
      <w:r>
        <w:rPr>
          <w:rStyle w:val="FootnoteReference"/>
        </w:rPr>
        <w:footnoteRef/>
      </w:r>
      <w:r>
        <w:t xml:space="preserve"> </w:t>
      </w:r>
      <w:r w:rsidRPr="004F64AC">
        <w:rPr>
          <w:i/>
          <w:iCs/>
        </w:rPr>
        <w:t>See</w:t>
      </w:r>
      <w:r>
        <w:rPr>
          <w:i/>
          <w:iCs/>
        </w:rPr>
        <w:t xml:space="preserve"> </w:t>
      </w:r>
      <w:r>
        <w:t>R.C. 4905.31 and O.A.C. 4901-38-05</w:t>
      </w:r>
      <w:r w:rsidR="00405E15">
        <w:t>.</w:t>
      </w:r>
    </w:p>
  </w:footnote>
  <w:footnote w:id="4">
    <w:p w:rsidR="0083574B" w:rsidP="00220B7E" w14:paraId="30F58873" w14:textId="3E27200B">
      <w:pPr>
        <w:pStyle w:val="FootnoteText"/>
        <w:spacing w:before="0" w:after="120"/>
      </w:pPr>
      <w:r>
        <w:rPr>
          <w:rStyle w:val="FootnoteReference"/>
        </w:rPr>
        <w:footnoteRef/>
      </w:r>
      <w:r>
        <w:t xml:space="preserve"> </w:t>
      </w:r>
      <w:r w:rsidR="004B08F2">
        <w:t>“</w:t>
      </w:r>
      <w:r>
        <w:t>FirstEnergy</w:t>
      </w:r>
      <w:r w:rsidR="004B08F2">
        <w:t>”</w:t>
      </w:r>
      <w:r>
        <w:t xml:space="preserve"> collectively refers to Ohio Edison Company, </w:t>
      </w:r>
      <w:r w:rsidR="005D17DB">
        <w:t>T</w:t>
      </w:r>
      <w:r>
        <w:t xml:space="preserve">he Cleveland Electric Illuminating </w:t>
      </w:r>
      <w:r w:rsidR="00260E95">
        <w:t>Company</w:t>
      </w:r>
      <w:r>
        <w:t xml:space="preserve"> and </w:t>
      </w:r>
      <w:r w:rsidR="005D17DB">
        <w:t>T</w:t>
      </w:r>
      <w:r>
        <w:t>he Toledo Edison Company.</w:t>
      </w:r>
    </w:p>
  </w:footnote>
  <w:footnote w:id="5">
    <w:p w:rsidR="00046B6F" w:rsidP="00220B7E" w14:paraId="77707175" w14:textId="75FCC9B1">
      <w:pPr>
        <w:pStyle w:val="FootnoteText"/>
        <w:spacing w:before="0" w:after="120"/>
      </w:pPr>
      <w:r>
        <w:rPr>
          <w:rStyle w:val="FootnoteReference"/>
        </w:rPr>
        <w:footnoteRef/>
      </w:r>
      <w:r>
        <w:t xml:space="preserve"> </w:t>
      </w:r>
      <w:r w:rsidRPr="000507D0" w:rsidR="003A3748">
        <w:rPr>
          <w:i/>
          <w:iCs/>
        </w:rPr>
        <w:t>In the Matter of the Application for Establishment of a Reasonable Arrangement for Glorious Sky LLC</w:t>
      </w:r>
      <w:r w:rsidR="003A3748">
        <w:t>, Case No. 24-143-EL-AEC, Finding and Order (May 1, 2024).</w:t>
      </w:r>
    </w:p>
  </w:footnote>
  <w:footnote w:id="6">
    <w:p w:rsidR="00E92BE3" w:rsidP="00220B7E" w14:paraId="7B737B0F" w14:textId="1EF0BAE5">
      <w:pPr>
        <w:pStyle w:val="FootnoteText"/>
        <w:spacing w:before="0" w:after="120"/>
      </w:pPr>
      <w:r>
        <w:rPr>
          <w:rStyle w:val="FootnoteReference"/>
        </w:rPr>
        <w:footnoteRef/>
      </w:r>
      <w:r>
        <w:t xml:space="preserve"> </w:t>
      </w:r>
      <w:r w:rsidRPr="00B04C84">
        <w:rPr>
          <w:i/>
          <w:iCs/>
        </w:rPr>
        <w:t>See</w:t>
      </w:r>
      <w:r w:rsidRPr="002C0078">
        <w:t xml:space="preserve"> </w:t>
      </w:r>
      <w:r w:rsidRPr="002C0078">
        <w:rPr>
          <w:i/>
          <w:iCs/>
        </w:rPr>
        <w:t>In the Matter of the Review of the Non-Market-Based Services Rider Pilot Program Established by Ohio Edison Company, The Cleveland Electric Illuminating Company and The Toledo Edison Company</w:t>
      </w:r>
      <w:r w:rsidRPr="002C0078">
        <w:t>, Case No. 22-391-EL-RDR, Exeter Associates, Inc., Review of the Non-Market Based Services Riders Established by Ohio Edison Company, The Cleveland Electric Illuminating Company and The Toledo Edison Company (July 17, 2023) (</w:t>
      </w:r>
      <w:r w:rsidR="004B08F2">
        <w:t>“</w:t>
      </w:r>
      <w:r w:rsidRPr="002C0078">
        <w:t>Audit Report</w:t>
      </w:r>
      <w:r w:rsidR="004B08F2">
        <w:t>”</w:t>
      </w:r>
      <w:r w:rsidRPr="002C0078">
        <w:t>) at 20.</w:t>
      </w:r>
    </w:p>
  </w:footnote>
  <w:footnote w:id="7">
    <w:p w:rsidR="00B206BC" w:rsidP="00220B7E" w14:paraId="05D23F5F" w14:textId="39806FAE">
      <w:pPr>
        <w:pStyle w:val="FootnoteText"/>
        <w:spacing w:before="0" w:after="120"/>
      </w:pPr>
      <w:r>
        <w:rPr>
          <w:rStyle w:val="FootnoteReference"/>
        </w:rPr>
        <w:footnoteRef/>
      </w:r>
      <w:r>
        <w:t xml:space="preserve"> Application at 2.</w:t>
      </w:r>
    </w:p>
  </w:footnote>
  <w:footnote w:id="8">
    <w:p w:rsidR="00B206BC" w:rsidP="00220B7E" w14:paraId="74A0F095" w14:textId="25AFA422">
      <w:pPr>
        <w:pStyle w:val="FootnoteText"/>
        <w:spacing w:before="0" w:after="120"/>
      </w:pPr>
      <w:r>
        <w:rPr>
          <w:rStyle w:val="FootnoteReference"/>
        </w:rPr>
        <w:footnoteRef/>
      </w:r>
      <w:r>
        <w:t xml:space="preserve"> </w:t>
      </w:r>
      <w:r w:rsidRPr="005E31CE" w:rsidR="005E31CE">
        <w:rPr>
          <w:i/>
          <w:iCs/>
        </w:rPr>
        <w:t>Id.</w:t>
      </w:r>
    </w:p>
  </w:footnote>
  <w:footnote w:id="9">
    <w:p w:rsidR="005E31CE" w:rsidP="00220B7E" w14:paraId="692C6810" w14:textId="183B9997">
      <w:pPr>
        <w:pStyle w:val="FootnoteText"/>
        <w:spacing w:before="0" w:after="120"/>
      </w:pPr>
      <w:r>
        <w:rPr>
          <w:rStyle w:val="FootnoteReference"/>
        </w:rPr>
        <w:footnoteRef/>
      </w:r>
      <w:r>
        <w:t xml:space="preserve"> </w:t>
      </w:r>
      <w:r w:rsidRPr="00FF04DA">
        <w:rPr>
          <w:i/>
          <w:iCs/>
        </w:rPr>
        <w:t>See</w:t>
      </w:r>
      <w:r>
        <w:t xml:space="preserve"> </w:t>
      </w:r>
      <w:r w:rsidRPr="000507D0">
        <w:rPr>
          <w:i/>
          <w:iCs/>
        </w:rPr>
        <w:t>In the Matter of the Application for Establishment of a Reasonable Arrangement for Glorious Sky LLC</w:t>
      </w:r>
      <w:r>
        <w:t>, Case No. 24-143-EL-AEC, Staff Review and Recommendation (April 17, 2024).</w:t>
      </w:r>
    </w:p>
  </w:footnote>
  <w:footnote w:id="10">
    <w:p w:rsidR="004E38A5" w:rsidP="00220B7E" w14:paraId="02C9D612" w14:textId="5724EBAF">
      <w:pPr>
        <w:pStyle w:val="FootnoteText"/>
        <w:spacing w:before="0" w:after="120"/>
      </w:pPr>
      <w:r>
        <w:rPr>
          <w:rStyle w:val="FootnoteReference"/>
        </w:rPr>
        <w:footnoteRef/>
      </w:r>
      <w:r>
        <w:t xml:space="preserve"> </w:t>
      </w:r>
      <w:r>
        <w:rPr>
          <w:i/>
          <w:iCs/>
        </w:rPr>
        <w:t xml:space="preserve">In re Application of [FirstEnergy] for Authority to Provide for a Standard Service Offer Pursuant to R.C. 4928.143 in the Form of an Elec. Sec. </w:t>
      </w:r>
      <w:r w:rsidRPr="00126533">
        <w:rPr>
          <w:i/>
          <w:iCs/>
        </w:rPr>
        <w:t>Plan</w:t>
      </w:r>
      <w:r>
        <w:t xml:space="preserve">, </w:t>
      </w:r>
      <w:r w:rsidRPr="00126533">
        <w:t>Case</w:t>
      </w:r>
      <w:r>
        <w:t xml:space="preserve"> No. 14-1297-EL-SSO, </w:t>
      </w:r>
      <w:r w:rsidRPr="00D31882">
        <w:t>Opinion &amp; Order</w:t>
      </w:r>
      <w:r w:rsidRPr="00D31882" w:rsidR="00A24837">
        <w:t xml:space="preserve"> at 18</w:t>
      </w:r>
      <w:r w:rsidRPr="00D31882">
        <w:t xml:space="preserve"> (Mar</w:t>
      </w:r>
      <w:r w:rsidR="002B1E7F">
        <w:t>ch</w:t>
      </w:r>
      <w:r w:rsidRPr="00D31882">
        <w:t xml:space="preserve"> 31,</w:t>
      </w:r>
      <w:r>
        <w:t xml:space="preserve"> 2016).</w:t>
      </w:r>
    </w:p>
  </w:footnote>
  <w:footnote w:id="11">
    <w:p w:rsidR="004E38A5" w:rsidRPr="00126533" w:rsidP="00220B7E" w14:paraId="1426242B" w14:textId="7CDFD6F6">
      <w:pPr>
        <w:pStyle w:val="FootnoteText"/>
        <w:spacing w:before="0" w:after="120"/>
      </w:pPr>
      <w:r>
        <w:rPr>
          <w:rStyle w:val="FootnoteReference"/>
        </w:rPr>
        <w:footnoteRef/>
      </w:r>
      <w:r>
        <w:t xml:space="preserve"> </w:t>
      </w:r>
      <w:r>
        <w:rPr>
          <w:i/>
          <w:iCs/>
        </w:rPr>
        <w:t>Id.</w:t>
      </w:r>
      <w:r>
        <w:t xml:space="preserve"> at 18-19 (the purpose of NMB opt-out pilot program is </w:t>
      </w:r>
      <w:r w:rsidR="004B08F2">
        <w:t>“</w:t>
      </w:r>
      <w:r>
        <w:t>to explore whether certain customers could benefit from opting out of the Companies</w:t>
      </w:r>
      <w:r w:rsidR="004B08F2">
        <w:t>’</w:t>
      </w:r>
      <w:r>
        <w:t xml:space="preserve"> Rider NMB and obtaining all transmission and ancillary services through the Open Access Transmission Tariff and other PJM governing documents</w:t>
      </w:r>
      <w:r w:rsidR="000F6C9E">
        <w:t xml:space="preserve"> . . .</w:t>
      </w:r>
      <w:r>
        <w:t xml:space="preserve"> or whether the administrative burden to the Companies, and the cost and risk to the customer, would render this option impractical</w:t>
      </w:r>
      <w:r w:rsidR="004B08F2">
        <w:t>”</w:t>
      </w:r>
      <w:r>
        <w:t>).</w:t>
      </w:r>
    </w:p>
  </w:footnote>
  <w:footnote w:id="12">
    <w:p w:rsidR="004E38A5" w:rsidRPr="007E2F6C" w:rsidP="00220B7E" w14:paraId="16463EDF" w14:textId="77777777">
      <w:pPr>
        <w:pStyle w:val="FootnoteText"/>
        <w:spacing w:before="0" w:after="120"/>
      </w:pPr>
      <w:r>
        <w:rPr>
          <w:rStyle w:val="FootnoteReference"/>
        </w:rPr>
        <w:footnoteRef/>
      </w:r>
      <w:r>
        <w:t xml:space="preserve"> </w:t>
      </w:r>
      <w:r>
        <w:rPr>
          <w:i/>
          <w:iCs/>
        </w:rPr>
        <w:t>Id.</w:t>
      </w:r>
      <w:r>
        <w:t xml:space="preserve"> at 94 (emphasis added).</w:t>
      </w:r>
    </w:p>
  </w:footnote>
  <w:footnote w:id="13">
    <w:p w:rsidR="004E38A5" w:rsidP="00220B7E" w14:paraId="1FE6B2CD" w14:textId="383298FF">
      <w:pPr>
        <w:pStyle w:val="FootnoteText"/>
        <w:spacing w:before="0" w:after="120"/>
      </w:pPr>
      <w:r>
        <w:rPr>
          <w:rStyle w:val="FootnoteReference"/>
        </w:rPr>
        <w:footnoteRef/>
      </w:r>
      <w:r>
        <w:t xml:space="preserve"> </w:t>
      </w:r>
      <w:r>
        <w:rPr>
          <w:i/>
          <w:iCs/>
        </w:rPr>
        <w:t xml:space="preserve">In re Application of [FirstEnergy] for Authority to Provide for a Standard Service Offer Pursuant to R.C. 4928.143 in the Form of an Elec. Sec. </w:t>
      </w:r>
      <w:r w:rsidRPr="00126533">
        <w:rPr>
          <w:i/>
          <w:iCs/>
        </w:rPr>
        <w:t>Plan</w:t>
      </w:r>
      <w:r>
        <w:t xml:space="preserve">, </w:t>
      </w:r>
      <w:r w:rsidRPr="00126533">
        <w:t>Case</w:t>
      </w:r>
      <w:r>
        <w:t xml:space="preserve"> No. 14-1297-EL-SSO, Fifth Entry on Rehearing ¶ 310 (Oct</w:t>
      </w:r>
      <w:r w:rsidR="00D6199D">
        <w:t>.</w:t>
      </w:r>
      <w:r>
        <w:t xml:space="preserve"> 12, 2016).</w:t>
      </w:r>
    </w:p>
  </w:footnote>
  <w:footnote w:id="14">
    <w:p w:rsidR="00A26ACF" w:rsidRPr="009A3671" w:rsidP="00220B7E" w14:paraId="76630CFB" w14:textId="0178BC43">
      <w:pPr>
        <w:pStyle w:val="FootnoteText"/>
        <w:spacing w:before="0" w:after="120"/>
      </w:pPr>
      <w:r w:rsidRPr="009A3671">
        <w:rPr>
          <w:rStyle w:val="FootnoteReference"/>
        </w:rPr>
        <w:footnoteRef/>
      </w:r>
      <w:r w:rsidRPr="009A3671">
        <w:t xml:space="preserve"> </w:t>
      </w:r>
      <w:bookmarkStart w:id="3" w:name="_Hlk159995238"/>
      <w:r w:rsidRPr="009A3671">
        <w:rPr>
          <w:i/>
          <w:iCs/>
        </w:rPr>
        <w:t>In the Matter of the Review of the Non</w:t>
      </w:r>
      <w:r>
        <w:rPr>
          <w:i/>
          <w:iCs/>
        </w:rPr>
        <w:t>-</w:t>
      </w:r>
      <w:r w:rsidRPr="009A3671">
        <w:rPr>
          <w:i/>
          <w:iCs/>
        </w:rPr>
        <w:t xml:space="preserve">Market-Based Services Rider Pilot Program Established by Ohio Edison Company, </w:t>
      </w:r>
      <w:r>
        <w:rPr>
          <w:i/>
          <w:iCs/>
        </w:rPr>
        <w:t>T</w:t>
      </w:r>
      <w:r w:rsidRPr="009A3671">
        <w:rPr>
          <w:i/>
          <w:iCs/>
        </w:rPr>
        <w:t xml:space="preserve">he Cleveland Electric Illuminating Company and </w:t>
      </w:r>
      <w:r>
        <w:rPr>
          <w:i/>
          <w:iCs/>
        </w:rPr>
        <w:t>T</w:t>
      </w:r>
      <w:r w:rsidRPr="009A3671">
        <w:rPr>
          <w:i/>
          <w:iCs/>
        </w:rPr>
        <w:t xml:space="preserve">he Toledo Edison Company, </w:t>
      </w:r>
      <w:r w:rsidRPr="009A3671">
        <w:t>Case No. 22-391-EL-RDR, Entry (Apr</w:t>
      </w:r>
      <w:r w:rsidR="00516A77">
        <w:t>il</w:t>
      </w:r>
      <w:r w:rsidRPr="009A3671">
        <w:t xml:space="preserve"> 20, 2022). </w:t>
      </w:r>
      <w:bookmarkEnd w:id="3"/>
    </w:p>
  </w:footnote>
  <w:footnote w:id="15">
    <w:p w:rsidR="00A26ACF" w:rsidP="00220B7E" w14:paraId="7CE611F1" w14:textId="37117314">
      <w:pPr>
        <w:pStyle w:val="FootnoteText"/>
        <w:spacing w:before="0" w:after="120"/>
      </w:pPr>
      <w:r w:rsidRPr="00D31882">
        <w:rPr>
          <w:rStyle w:val="FootnoteReference"/>
        </w:rPr>
        <w:footnoteRef/>
      </w:r>
      <w:r w:rsidRPr="00D31882">
        <w:t xml:space="preserve"> </w:t>
      </w:r>
      <w:r w:rsidR="00A81EF1">
        <w:t xml:space="preserve">Audit Report </w:t>
      </w:r>
      <w:r w:rsidR="00D6199D">
        <w:t>at 20</w:t>
      </w:r>
      <w:r w:rsidR="00E72B7B">
        <w:t>.</w:t>
      </w:r>
    </w:p>
  </w:footnote>
  <w:footnote w:id="16">
    <w:p w:rsidR="00A81EF1" w:rsidRPr="00A81EF1" w:rsidP="00220B7E" w14:paraId="0DACB30C" w14:textId="55EA5A3B">
      <w:pPr>
        <w:pStyle w:val="FootnoteText"/>
        <w:spacing w:before="0" w:after="120"/>
      </w:pPr>
      <w:r>
        <w:rPr>
          <w:rStyle w:val="FootnoteReference"/>
        </w:rPr>
        <w:footnoteRef/>
      </w:r>
      <w:r>
        <w:t xml:space="preserve"> </w:t>
      </w:r>
      <w:r>
        <w:rPr>
          <w:i/>
          <w:iCs/>
        </w:rPr>
        <w:t xml:space="preserve">Id. </w:t>
      </w:r>
      <w:r>
        <w:t>at 50.</w:t>
      </w:r>
    </w:p>
  </w:footnote>
  <w:footnote w:id="17">
    <w:p w:rsidR="00A26ACF" w:rsidP="00220B7E" w14:paraId="7F6BEB8E" w14:textId="6C4E9588">
      <w:pPr>
        <w:pStyle w:val="FootnoteText"/>
        <w:spacing w:before="0" w:after="120"/>
      </w:pPr>
      <w:r>
        <w:rPr>
          <w:rStyle w:val="FootnoteReference"/>
        </w:rPr>
        <w:footnoteRef/>
      </w:r>
      <w:r>
        <w:t xml:space="preserve"> </w:t>
      </w:r>
      <w:r w:rsidR="00D02E6D">
        <w:t xml:space="preserve">State Indictment for Engaging in a Pattern of Corrupt Activity with specification at 5 </w:t>
      </w:r>
      <w:r w:rsidR="004B08F2">
        <w:t>“</w:t>
      </w:r>
      <w:r w:rsidR="00AF609B">
        <w:t xml:space="preserve">Although FirstEnergy did file a stipulated agreement with the PUCO in ESP-IV describing a settlement between IEU-Ohio and FirstEnergy for favorable rate terms as part of a </w:t>
      </w:r>
      <w:r w:rsidR="004B08F2">
        <w:t>“</w:t>
      </w:r>
      <w:r w:rsidR="00AF609B">
        <w:t>pilot project,</w:t>
      </w:r>
      <w:r w:rsidR="004B08F2">
        <w:t>”</w:t>
      </w:r>
      <w:r w:rsidR="00AF609B">
        <w:t xml:space="preserve"> the stipulation made no mention of the cash payments for IEU-Ohio that Randazzo negotiated with FirstEnergy</w:t>
      </w:r>
      <w:r w:rsidR="004B08F2">
        <w:t>”</w:t>
      </w:r>
      <w:r w:rsidR="00D02E6D">
        <w:t xml:space="preserve"> (</w:t>
      </w:r>
      <w:r w:rsidR="006B74D5">
        <w:t>Feb. 12, 2024)</w:t>
      </w:r>
      <w:r w:rsidR="00C925FF">
        <w:t>.</w:t>
      </w:r>
    </w:p>
  </w:footnote>
  <w:footnote w:id="18">
    <w:p w:rsidR="001B6761" w:rsidRPr="001B6761" w:rsidP="00220B7E" w14:paraId="26BC1321" w14:textId="619D154C">
      <w:pPr>
        <w:pStyle w:val="FootnoteText"/>
        <w:spacing w:before="0" w:after="120"/>
      </w:pPr>
      <w:r>
        <w:rPr>
          <w:rStyle w:val="FootnoteReference"/>
        </w:rPr>
        <w:footnoteRef/>
      </w:r>
      <w:r>
        <w:t xml:space="preserve"> E. Howland, </w:t>
      </w:r>
      <w:r>
        <w:rPr>
          <w:i/>
          <w:iCs/>
        </w:rPr>
        <w:t xml:space="preserve">FirstEnergy may </w:t>
      </w:r>
      <w:r w:rsidR="004B08F2">
        <w:rPr>
          <w:i/>
          <w:iCs/>
        </w:rPr>
        <w:t>‘</w:t>
      </w:r>
      <w:r>
        <w:rPr>
          <w:i/>
          <w:iCs/>
        </w:rPr>
        <w:t>put a little money on the table</w:t>
      </w:r>
      <w:r w:rsidR="004B08F2">
        <w:rPr>
          <w:i/>
          <w:iCs/>
        </w:rPr>
        <w:t>’</w:t>
      </w:r>
      <w:r>
        <w:rPr>
          <w:i/>
          <w:iCs/>
        </w:rPr>
        <w:t xml:space="preserve"> to help end HB 6 bribery litigation: CEO</w:t>
      </w:r>
      <w:r>
        <w:t>, Utility Dive (April 29, 2024).</w:t>
      </w:r>
    </w:p>
  </w:footnote>
  <w:footnote w:id="19">
    <w:p w:rsidR="00A26ACF" w:rsidP="00220B7E" w14:paraId="6A38AAE8" w14:textId="1C164010">
      <w:pPr>
        <w:pStyle w:val="FootnoteText"/>
        <w:spacing w:before="0" w:after="120"/>
      </w:pPr>
      <w:r>
        <w:rPr>
          <w:rStyle w:val="FootnoteReference"/>
        </w:rPr>
        <w:footnoteRef/>
      </w:r>
      <w:r>
        <w:t xml:space="preserve"> </w:t>
      </w:r>
      <w:r w:rsidRPr="00D31882" w:rsidR="006774E0">
        <w:rPr>
          <w:i/>
          <w:iCs/>
        </w:rPr>
        <w:t xml:space="preserve">In the Matter of </w:t>
      </w:r>
      <w:r w:rsidRPr="00D31882" w:rsidR="00F30132">
        <w:rPr>
          <w:i/>
          <w:iCs/>
        </w:rPr>
        <w:t>In the Matter of the 2020 Review of the Delivery Capital Recovery Rider of Ohio Edison Company, The Cleveland Electric Illuminating Company and The Toledo Edison Company</w:t>
      </w:r>
      <w:r w:rsidR="006774E0">
        <w:t xml:space="preserve">, Case No. 20-1629-EL-RDR, Entry (Feb. 26, 2024). </w:t>
      </w:r>
    </w:p>
  </w:footnote>
  <w:footnote w:id="20">
    <w:p w:rsidR="002E1AAC" w:rsidP="00220B7E" w14:paraId="6B8113BE" w14:textId="5709AE55">
      <w:pPr>
        <w:pStyle w:val="FootnoteText"/>
        <w:spacing w:before="0" w:after="120"/>
      </w:pPr>
      <w:r>
        <w:rPr>
          <w:rStyle w:val="FootnoteReference"/>
        </w:rPr>
        <w:footnoteRef/>
      </w:r>
      <w:r>
        <w:t xml:space="preserve"> U.S. Attorney</w:t>
      </w:r>
      <w:r w:rsidR="004B08F2">
        <w:t>’</w:t>
      </w:r>
      <w:r>
        <w:t xml:space="preserve">s Office, Southern District of Ohio (Dec. 4, 2023), </w:t>
      </w:r>
      <w:hyperlink r:id="rId1" w:history="1">
        <w:r w:rsidRPr="008C1C20">
          <w:rPr>
            <w:rStyle w:val="Hyperlink"/>
          </w:rPr>
          <w:t>https://www.justice.gov/usao-sdoh/pr/grand-jury-indicts-former-state-public-utilities-chairman-federal-bribery-embezzlement</w:t>
        </w:r>
      </w:hyperlink>
      <w:r>
        <w:t xml:space="preserve">; Attorney General of the State of Ohio (Feb. 12, 2024), </w:t>
      </w:r>
      <w:hyperlink r:id="rId2" w:history="1">
        <w:r w:rsidRPr="008C1C20">
          <w:rPr>
            <w:rStyle w:val="Hyperlink"/>
          </w:rPr>
          <w:t>https://www.ohioattorneygeneral.gov/Media/News-Releases/February-2024/Former-PUCO-Chairman-Former-FirstEnergy-Executives</w:t>
        </w:r>
      </w:hyperlink>
      <w:r>
        <w:t>.</w:t>
      </w:r>
    </w:p>
  </w:footnote>
  <w:footnote w:id="21">
    <w:p w:rsidR="00FB2611" w:rsidP="00220B7E" w14:paraId="3E96E437" w14:textId="753A78F1">
      <w:pPr>
        <w:pStyle w:val="FootnoteText"/>
        <w:spacing w:before="0" w:after="120"/>
      </w:pPr>
      <w:r>
        <w:rPr>
          <w:rStyle w:val="FootnoteReference"/>
        </w:rPr>
        <w:footnoteRef/>
      </w:r>
      <w:r>
        <w:t xml:space="preserve"> </w:t>
      </w:r>
      <w:bookmarkStart w:id="4" w:name="_Hlk165308141"/>
      <w:r>
        <w:t>Application at 2.</w:t>
      </w:r>
      <w:bookmarkEnd w:id="4"/>
    </w:p>
  </w:footnote>
  <w:footnote w:id="22">
    <w:p w:rsidR="00FB2611" w:rsidP="00220B7E" w14:paraId="58556F4C" w14:textId="6A3B23DC">
      <w:pPr>
        <w:pStyle w:val="FootnoteText"/>
        <w:spacing w:before="0" w:after="120"/>
      </w:pPr>
      <w:r>
        <w:rPr>
          <w:rStyle w:val="FootnoteReference"/>
        </w:rPr>
        <w:footnoteRef/>
      </w:r>
      <w:r>
        <w:t xml:space="preserve"> </w:t>
      </w:r>
      <w:bookmarkStart w:id="5" w:name="_Hlk165301062"/>
      <w:r w:rsidRPr="00FB2611">
        <w:rPr>
          <w:i/>
          <w:iCs/>
        </w:rPr>
        <w:t>Id.</w:t>
      </w:r>
      <w:bookmarkEnd w:id="5"/>
    </w:p>
  </w:footnote>
  <w:footnote w:id="23">
    <w:p w:rsidR="009F3BFB" w:rsidP="00220B7E" w14:paraId="36A7581F" w14:textId="1B5E7610">
      <w:pPr>
        <w:pStyle w:val="FootnoteText"/>
        <w:spacing w:before="0" w:after="120"/>
      </w:pPr>
      <w:r>
        <w:rPr>
          <w:rStyle w:val="FootnoteReference"/>
        </w:rPr>
        <w:footnoteRef/>
      </w:r>
      <w:r>
        <w:t xml:space="preserve"> </w:t>
      </w:r>
      <w:r w:rsidRPr="009F3BFB">
        <w:rPr>
          <w:i/>
          <w:iCs/>
        </w:rPr>
        <w:t>Id.</w:t>
      </w:r>
      <w:r>
        <w:t xml:space="preserve"> at 3.</w:t>
      </w:r>
    </w:p>
  </w:footnote>
  <w:footnote w:id="24">
    <w:p w:rsidR="005E31CE" w:rsidP="00220B7E" w14:paraId="1E105F54" w14:textId="77777777">
      <w:pPr>
        <w:pStyle w:val="FootnoteText"/>
        <w:spacing w:before="0" w:after="120"/>
      </w:pPr>
      <w:r>
        <w:rPr>
          <w:rStyle w:val="FootnoteReference"/>
        </w:rPr>
        <w:footnoteRef/>
      </w:r>
      <w:r>
        <w:t xml:space="preserve"> </w:t>
      </w:r>
      <w:r w:rsidRPr="003D7376">
        <w:rPr>
          <w:i/>
          <w:iCs/>
        </w:rPr>
        <w:t>Id.</w:t>
      </w:r>
      <w:r>
        <w:t xml:space="preserve"> at 1.</w:t>
      </w:r>
    </w:p>
  </w:footnote>
  <w:footnote w:id="25">
    <w:p w:rsidR="000A0F92" w:rsidP="00220B7E" w14:paraId="74304C6C" w14:textId="5E27B0AA">
      <w:pPr>
        <w:pStyle w:val="FootnoteText"/>
        <w:spacing w:before="0" w:after="120"/>
      </w:pPr>
      <w:r>
        <w:rPr>
          <w:rStyle w:val="FootnoteReference"/>
        </w:rPr>
        <w:footnoteRef/>
      </w:r>
      <w:r>
        <w:t xml:space="preserve"> </w:t>
      </w:r>
      <w:bookmarkStart w:id="6" w:name="_Hlk165301308"/>
      <w:r w:rsidRPr="00FB2611">
        <w:rPr>
          <w:i/>
          <w:iCs/>
        </w:rPr>
        <w:t>Id.</w:t>
      </w:r>
      <w:r w:rsidR="009F3BFB">
        <w:rPr>
          <w:i/>
          <w:iCs/>
        </w:rPr>
        <w:t xml:space="preserve"> </w:t>
      </w:r>
      <w:r w:rsidRPr="009F3BFB" w:rsidR="009F3BFB">
        <w:t>at 2</w:t>
      </w:r>
      <w:r w:rsidR="009F3BFB">
        <w:rPr>
          <w:i/>
          <w:iCs/>
        </w:rPr>
        <w:t>.</w:t>
      </w:r>
    </w:p>
    <w:bookmarkEnd w:id="6"/>
  </w:footnote>
  <w:footnote w:id="26">
    <w:p w:rsidR="000A0F92" w:rsidP="00220B7E" w14:paraId="3A65135E" w14:textId="5E88F428">
      <w:pPr>
        <w:pStyle w:val="FootnoteText"/>
        <w:spacing w:before="0" w:after="120"/>
      </w:pPr>
      <w:r>
        <w:rPr>
          <w:rStyle w:val="FootnoteReference"/>
        </w:rPr>
        <w:footnoteRef/>
      </w:r>
      <w:r>
        <w:t xml:space="preserve"> </w:t>
      </w:r>
      <w:r w:rsidRPr="00FB2611">
        <w:rPr>
          <w:i/>
          <w:iCs/>
        </w:rPr>
        <w:t>Id.</w:t>
      </w:r>
    </w:p>
  </w:footnote>
  <w:footnote w:id="27">
    <w:p w:rsidR="000A0F92" w:rsidP="00220B7E" w14:paraId="2884F5AE" w14:textId="094AD011">
      <w:pPr>
        <w:pStyle w:val="FootnoteText"/>
        <w:spacing w:before="0" w:after="120"/>
      </w:pPr>
      <w:r>
        <w:rPr>
          <w:rStyle w:val="FootnoteReference"/>
        </w:rPr>
        <w:footnoteRef/>
      </w:r>
      <w:r>
        <w:t xml:space="preserve"> </w:t>
      </w:r>
      <w:r w:rsidRPr="000A0F92">
        <w:rPr>
          <w:i/>
          <w:iCs/>
        </w:rPr>
        <w:t>Id.</w:t>
      </w:r>
    </w:p>
  </w:footnote>
  <w:footnote w:id="28">
    <w:p w:rsidR="00D777C9" w:rsidP="00220B7E" w14:paraId="36A124A7" w14:textId="62B4CBDD">
      <w:pPr>
        <w:pStyle w:val="FootnoteText"/>
        <w:spacing w:before="0" w:after="120"/>
      </w:pPr>
      <w:r>
        <w:rPr>
          <w:rStyle w:val="FootnoteReference"/>
        </w:rPr>
        <w:footnoteRef/>
      </w:r>
      <w:r>
        <w:t xml:space="preserve"> </w:t>
      </w:r>
      <w:r w:rsidRPr="00217A01">
        <w:rPr>
          <w:i/>
          <w:iCs/>
        </w:rPr>
        <w:t>In the Matter of the Application for Establishment of a Reasonable Arrangement for Glorious Sky LLC</w:t>
      </w:r>
      <w:r>
        <w:t>, Case No. 24-143-EL-AEC,</w:t>
      </w:r>
      <w:r w:rsidR="0080622C">
        <w:t xml:space="preserve"> Finding and Order at ¶ 11</w:t>
      </w:r>
      <w:r>
        <w:t xml:space="preserve"> (</w:t>
      </w:r>
      <w:r w:rsidR="0080622C">
        <w:t>May</w:t>
      </w:r>
      <w:r>
        <w:t xml:space="preserve"> 1, 2024).</w:t>
      </w:r>
    </w:p>
  </w:footnote>
  <w:footnote w:id="29">
    <w:p w:rsidR="00D41907" w:rsidRPr="00D41907" w:rsidP="00220B7E" w14:paraId="21A63DD9" w14:textId="78C87B81">
      <w:pPr>
        <w:pStyle w:val="FootnoteText"/>
        <w:spacing w:before="0" w:after="120"/>
      </w:pPr>
      <w:r>
        <w:rPr>
          <w:rStyle w:val="FootnoteReference"/>
        </w:rPr>
        <w:footnoteRef/>
      </w:r>
      <w:r>
        <w:t xml:space="preserve"> </w:t>
      </w:r>
      <w:r w:rsidRPr="00970E39">
        <w:rPr>
          <w:i/>
          <w:iCs/>
        </w:rPr>
        <w:t>In the Matter of the Application for Establishment of a Unique Arrangement between Viking Data Center LLC and Ohio Edison Company</w:t>
      </w:r>
      <w:r>
        <w:rPr>
          <w:i/>
          <w:iCs/>
        </w:rPr>
        <w:t xml:space="preserve">, </w:t>
      </w:r>
      <w:r w:rsidRPr="00970E39">
        <w:t>Case No. 24-146-EL-AEC</w:t>
      </w:r>
      <w:r>
        <w:t>, Finding and Order (May 1, 2024).</w:t>
      </w:r>
    </w:p>
  </w:footnote>
  <w:footnote w:id="30">
    <w:p w:rsidR="00D41907" w:rsidRPr="00970E39" w:rsidP="00220B7E" w14:paraId="1E11929B" w14:textId="062B96B1">
      <w:pPr>
        <w:pStyle w:val="FootnoteText"/>
        <w:spacing w:before="0" w:after="120"/>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61" w14:paraId="4C4A7E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61" w14:paraId="61B52E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661" w14:paraId="37D30C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37433D4"/>
    <w:multiLevelType w:val="hybridMultilevel"/>
    <w:tmpl w:val="5046077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2D5872"/>
    <w:multiLevelType w:val="hybridMultilevel"/>
    <w:tmpl w:val="A3DCB93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8A04D3"/>
    <w:multiLevelType w:val="hybridMultilevel"/>
    <w:tmpl w:val="5C9667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B325CE"/>
    <w:multiLevelType w:val="hybridMultilevel"/>
    <w:tmpl w:val="AA4CA2C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A47628"/>
    <w:multiLevelType w:val="hybridMultilevel"/>
    <w:tmpl w:val="32B828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D75E9D"/>
    <w:multiLevelType w:val="hybridMultilevel"/>
    <w:tmpl w:val="FD74F002"/>
    <w:lvl w:ilvl="0">
      <w:start w:val="1"/>
      <w:numFmt w:val="upperRoman"/>
      <w:lvlText w:val="%1."/>
      <w:lvlJc w:val="left"/>
      <w:pPr>
        <w:ind w:left="216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3773C66"/>
    <w:multiLevelType w:val="hybridMultilevel"/>
    <w:tmpl w:val="5DB8EDF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2524AF"/>
    <w:multiLevelType w:val="hybridMultilevel"/>
    <w:tmpl w:val="4FE6844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3"/>
  </w:num>
  <w:num w:numId="5">
    <w:abstractNumId w:val="18"/>
  </w:num>
  <w:num w:numId="6">
    <w:abstractNumId w:val="17"/>
  </w:num>
  <w:num w:numId="7">
    <w:abstractNumId w:val="4"/>
  </w:num>
  <w:num w:numId="8">
    <w:abstractNumId w:val="9"/>
  </w:num>
  <w:num w:numId="9">
    <w:abstractNumId w:val="7"/>
  </w:num>
  <w:num w:numId="10">
    <w:abstractNumId w:val="28"/>
  </w:num>
  <w:num w:numId="11">
    <w:abstractNumId w:val="0"/>
  </w:num>
  <w:num w:numId="12">
    <w:abstractNumId w:val="25"/>
  </w:num>
  <w:num w:numId="13">
    <w:abstractNumId w:val="32"/>
  </w:num>
  <w:num w:numId="14">
    <w:abstractNumId w:val="12"/>
  </w:num>
  <w:num w:numId="15">
    <w:abstractNumId w:val="29"/>
  </w:num>
  <w:num w:numId="16">
    <w:abstractNumId w:val="31"/>
  </w:num>
  <w:num w:numId="17">
    <w:abstractNumId w:val="10"/>
  </w:num>
  <w:num w:numId="18">
    <w:abstractNumId w:val="15"/>
  </w:num>
  <w:num w:numId="19">
    <w:abstractNumId w:val="26"/>
  </w:num>
  <w:num w:numId="20">
    <w:abstractNumId w:val="5"/>
  </w:num>
  <w:num w:numId="21">
    <w:abstractNumId w:val="23"/>
  </w:num>
  <w:num w:numId="22">
    <w:abstractNumId w:val="21"/>
  </w:num>
  <w:num w:numId="23">
    <w:abstractNumId w:val="27"/>
  </w:num>
  <w:num w:numId="24">
    <w:abstractNumId w:val="24"/>
  </w:num>
  <w:num w:numId="25">
    <w:abstractNumId w:val="2"/>
  </w:num>
  <w:num w:numId="26">
    <w:abstractNumId w:val="30"/>
  </w:num>
  <w:num w:numId="27">
    <w:abstractNumId w:val="16"/>
  </w:num>
  <w:num w:numId="28">
    <w:abstractNumId w:val="22"/>
  </w:num>
  <w:num w:numId="29">
    <w:abstractNumId w:val="6"/>
  </w:num>
  <w:num w:numId="30">
    <w:abstractNumId w:val="33"/>
  </w:num>
  <w:num w:numId="31">
    <w:abstractNumId w:val="14"/>
  </w:num>
  <w:num w:numId="32">
    <w:abstractNumId w:val="13"/>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1F37"/>
    <w:rsid w:val="0000380B"/>
    <w:rsid w:val="00006249"/>
    <w:rsid w:val="000132B1"/>
    <w:rsid w:val="000178BB"/>
    <w:rsid w:val="000277A9"/>
    <w:rsid w:val="000330D3"/>
    <w:rsid w:val="00034982"/>
    <w:rsid w:val="0004290A"/>
    <w:rsid w:val="00042957"/>
    <w:rsid w:val="00042E91"/>
    <w:rsid w:val="000457B7"/>
    <w:rsid w:val="00046B6F"/>
    <w:rsid w:val="000507D0"/>
    <w:rsid w:val="0005101E"/>
    <w:rsid w:val="000511D6"/>
    <w:rsid w:val="0005426B"/>
    <w:rsid w:val="00054998"/>
    <w:rsid w:val="00065B6C"/>
    <w:rsid w:val="00065FC8"/>
    <w:rsid w:val="00067A34"/>
    <w:rsid w:val="00067DA8"/>
    <w:rsid w:val="00082870"/>
    <w:rsid w:val="00087A0A"/>
    <w:rsid w:val="00087A9D"/>
    <w:rsid w:val="00090C9A"/>
    <w:rsid w:val="00094959"/>
    <w:rsid w:val="000977BB"/>
    <w:rsid w:val="000A0F92"/>
    <w:rsid w:val="000A1059"/>
    <w:rsid w:val="000A35C6"/>
    <w:rsid w:val="000B360F"/>
    <w:rsid w:val="000B4C42"/>
    <w:rsid w:val="000B5FDD"/>
    <w:rsid w:val="000B6A5B"/>
    <w:rsid w:val="000C20F7"/>
    <w:rsid w:val="000C2601"/>
    <w:rsid w:val="000C4282"/>
    <w:rsid w:val="000D15A6"/>
    <w:rsid w:val="000D168F"/>
    <w:rsid w:val="000D2743"/>
    <w:rsid w:val="000D587F"/>
    <w:rsid w:val="000D5AB4"/>
    <w:rsid w:val="000E0D5C"/>
    <w:rsid w:val="000E1935"/>
    <w:rsid w:val="000E5784"/>
    <w:rsid w:val="000F0A9C"/>
    <w:rsid w:val="000F6C9E"/>
    <w:rsid w:val="000F79AA"/>
    <w:rsid w:val="001075A8"/>
    <w:rsid w:val="00107DAB"/>
    <w:rsid w:val="001107BE"/>
    <w:rsid w:val="0011134C"/>
    <w:rsid w:val="00112E29"/>
    <w:rsid w:val="00114B63"/>
    <w:rsid w:val="0012231D"/>
    <w:rsid w:val="00124589"/>
    <w:rsid w:val="00126533"/>
    <w:rsid w:val="00130D32"/>
    <w:rsid w:val="00133319"/>
    <w:rsid w:val="00136CD8"/>
    <w:rsid w:val="00136E3A"/>
    <w:rsid w:val="001426CC"/>
    <w:rsid w:val="00142EBC"/>
    <w:rsid w:val="00151D3D"/>
    <w:rsid w:val="00165484"/>
    <w:rsid w:val="001731BB"/>
    <w:rsid w:val="00173C46"/>
    <w:rsid w:val="00180197"/>
    <w:rsid w:val="00180B87"/>
    <w:rsid w:val="00183C86"/>
    <w:rsid w:val="001850AE"/>
    <w:rsid w:val="0019554F"/>
    <w:rsid w:val="00196C3E"/>
    <w:rsid w:val="001B49E3"/>
    <w:rsid w:val="001B4F98"/>
    <w:rsid w:val="001B6761"/>
    <w:rsid w:val="001C0912"/>
    <w:rsid w:val="001C641E"/>
    <w:rsid w:val="001D0897"/>
    <w:rsid w:val="001D36B8"/>
    <w:rsid w:val="001D5CDA"/>
    <w:rsid w:val="001D65D9"/>
    <w:rsid w:val="001D6BA8"/>
    <w:rsid w:val="001E3F7F"/>
    <w:rsid w:val="001E49BC"/>
    <w:rsid w:val="001E6240"/>
    <w:rsid w:val="001F46B8"/>
    <w:rsid w:val="001F5079"/>
    <w:rsid w:val="001F5C86"/>
    <w:rsid w:val="00207A3E"/>
    <w:rsid w:val="002116B9"/>
    <w:rsid w:val="0021581F"/>
    <w:rsid w:val="00217A01"/>
    <w:rsid w:val="0022072D"/>
    <w:rsid w:val="00220B7E"/>
    <w:rsid w:val="002210CE"/>
    <w:rsid w:val="0023194A"/>
    <w:rsid w:val="00236255"/>
    <w:rsid w:val="00240F08"/>
    <w:rsid w:val="002423F2"/>
    <w:rsid w:val="0024284C"/>
    <w:rsid w:val="002452A3"/>
    <w:rsid w:val="00245932"/>
    <w:rsid w:val="00251300"/>
    <w:rsid w:val="00254476"/>
    <w:rsid w:val="00255A79"/>
    <w:rsid w:val="00255DE0"/>
    <w:rsid w:val="00260E95"/>
    <w:rsid w:val="00261F9C"/>
    <w:rsid w:val="00266573"/>
    <w:rsid w:val="00267127"/>
    <w:rsid w:val="00267D2F"/>
    <w:rsid w:val="00270856"/>
    <w:rsid w:val="0027171F"/>
    <w:rsid w:val="00273CEA"/>
    <w:rsid w:val="0027466D"/>
    <w:rsid w:val="00275056"/>
    <w:rsid w:val="00282DD0"/>
    <w:rsid w:val="0028384C"/>
    <w:rsid w:val="002878AD"/>
    <w:rsid w:val="00292131"/>
    <w:rsid w:val="00292B26"/>
    <w:rsid w:val="002A1F57"/>
    <w:rsid w:val="002A4912"/>
    <w:rsid w:val="002A683D"/>
    <w:rsid w:val="002B1E7F"/>
    <w:rsid w:val="002B5C20"/>
    <w:rsid w:val="002C0078"/>
    <w:rsid w:val="002C20F3"/>
    <w:rsid w:val="002C2B1A"/>
    <w:rsid w:val="002C48DC"/>
    <w:rsid w:val="002C74C2"/>
    <w:rsid w:val="002C7612"/>
    <w:rsid w:val="002C7D60"/>
    <w:rsid w:val="002D1902"/>
    <w:rsid w:val="002D29C3"/>
    <w:rsid w:val="002D3482"/>
    <w:rsid w:val="002D7ADF"/>
    <w:rsid w:val="002E1565"/>
    <w:rsid w:val="002E1AAC"/>
    <w:rsid w:val="002E21B0"/>
    <w:rsid w:val="002E61B7"/>
    <w:rsid w:val="002F205E"/>
    <w:rsid w:val="003026A8"/>
    <w:rsid w:val="00302790"/>
    <w:rsid w:val="00306B3A"/>
    <w:rsid w:val="00311285"/>
    <w:rsid w:val="0031242C"/>
    <w:rsid w:val="00315C60"/>
    <w:rsid w:val="00320F5D"/>
    <w:rsid w:val="003258C2"/>
    <w:rsid w:val="00326305"/>
    <w:rsid w:val="00326581"/>
    <w:rsid w:val="0033165F"/>
    <w:rsid w:val="003418A8"/>
    <w:rsid w:val="00343FD2"/>
    <w:rsid w:val="003558EF"/>
    <w:rsid w:val="00356B3F"/>
    <w:rsid w:val="00356C21"/>
    <w:rsid w:val="00372776"/>
    <w:rsid w:val="00372F70"/>
    <w:rsid w:val="0037614B"/>
    <w:rsid w:val="003775FA"/>
    <w:rsid w:val="003801D3"/>
    <w:rsid w:val="0038311C"/>
    <w:rsid w:val="0038419D"/>
    <w:rsid w:val="003864B5"/>
    <w:rsid w:val="00387C2C"/>
    <w:rsid w:val="00392196"/>
    <w:rsid w:val="003943B4"/>
    <w:rsid w:val="00396F41"/>
    <w:rsid w:val="00397C34"/>
    <w:rsid w:val="003A2BCE"/>
    <w:rsid w:val="003A3748"/>
    <w:rsid w:val="003B1192"/>
    <w:rsid w:val="003B2653"/>
    <w:rsid w:val="003B3BA0"/>
    <w:rsid w:val="003B5A65"/>
    <w:rsid w:val="003B7BFA"/>
    <w:rsid w:val="003B7CA8"/>
    <w:rsid w:val="003C1DCE"/>
    <w:rsid w:val="003C240A"/>
    <w:rsid w:val="003D0FFE"/>
    <w:rsid w:val="003D1A04"/>
    <w:rsid w:val="003D23A5"/>
    <w:rsid w:val="003D4F9A"/>
    <w:rsid w:val="003D7376"/>
    <w:rsid w:val="003D7A0C"/>
    <w:rsid w:val="003E01B6"/>
    <w:rsid w:val="003E41D6"/>
    <w:rsid w:val="003E614D"/>
    <w:rsid w:val="003E6509"/>
    <w:rsid w:val="003E6B81"/>
    <w:rsid w:val="003E6D05"/>
    <w:rsid w:val="003E7261"/>
    <w:rsid w:val="003F0FBF"/>
    <w:rsid w:val="003F2CB3"/>
    <w:rsid w:val="003F52E7"/>
    <w:rsid w:val="003F6E1A"/>
    <w:rsid w:val="004015F8"/>
    <w:rsid w:val="00405E15"/>
    <w:rsid w:val="00407FF9"/>
    <w:rsid w:val="00410C53"/>
    <w:rsid w:val="00415A83"/>
    <w:rsid w:val="004256EA"/>
    <w:rsid w:val="004306B9"/>
    <w:rsid w:val="00433AB8"/>
    <w:rsid w:val="00437A5C"/>
    <w:rsid w:val="004417B3"/>
    <w:rsid w:val="004569A0"/>
    <w:rsid w:val="004611B5"/>
    <w:rsid w:val="004624E3"/>
    <w:rsid w:val="00465278"/>
    <w:rsid w:val="0047251D"/>
    <w:rsid w:val="00476981"/>
    <w:rsid w:val="00492D19"/>
    <w:rsid w:val="00493B5B"/>
    <w:rsid w:val="0049685B"/>
    <w:rsid w:val="00496E1F"/>
    <w:rsid w:val="00497B9F"/>
    <w:rsid w:val="004A330E"/>
    <w:rsid w:val="004A3C94"/>
    <w:rsid w:val="004A7AF2"/>
    <w:rsid w:val="004B08F2"/>
    <w:rsid w:val="004B7158"/>
    <w:rsid w:val="004C3F8D"/>
    <w:rsid w:val="004C5420"/>
    <w:rsid w:val="004C5A66"/>
    <w:rsid w:val="004D14D4"/>
    <w:rsid w:val="004D2087"/>
    <w:rsid w:val="004D2153"/>
    <w:rsid w:val="004E38A5"/>
    <w:rsid w:val="004E40A2"/>
    <w:rsid w:val="004E4E74"/>
    <w:rsid w:val="004E78F9"/>
    <w:rsid w:val="004F20DA"/>
    <w:rsid w:val="004F2E70"/>
    <w:rsid w:val="004F64AC"/>
    <w:rsid w:val="00500D73"/>
    <w:rsid w:val="00502946"/>
    <w:rsid w:val="00502B03"/>
    <w:rsid w:val="00503587"/>
    <w:rsid w:val="00504C2E"/>
    <w:rsid w:val="005075C1"/>
    <w:rsid w:val="00512B71"/>
    <w:rsid w:val="0051353B"/>
    <w:rsid w:val="0051520D"/>
    <w:rsid w:val="00516A77"/>
    <w:rsid w:val="00520F69"/>
    <w:rsid w:val="005229C3"/>
    <w:rsid w:val="005234CD"/>
    <w:rsid w:val="00526491"/>
    <w:rsid w:val="00526A48"/>
    <w:rsid w:val="005270F0"/>
    <w:rsid w:val="00527999"/>
    <w:rsid w:val="00534756"/>
    <w:rsid w:val="00546956"/>
    <w:rsid w:val="005501BC"/>
    <w:rsid w:val="0055107B"/>
    <w:rsid w:val="0055143F"/>
    <w:rsid w:val="0055320C"/>
    <w:rsid w:val="00553BE7"/>
    <w:rsid w:val="00555315"/>
    <w:rsid w:val="005564DA"/>
    <w:rsid w:val="00557F89"/>
    <w:rsid w:val="00561894"/>
    <w:rsid w:val="00563B9F"/>
    <w:rsid w:val="005667EB"/>
    <w:rsid w:val="005745B2"/>
    <w:rsid w:val="00576439"/>
    <w:rsid w:val="00580E1B"/>
    <w:rsid w:val="00581406"/>
    <w:rsid w:val="00587EAA"/>
    <w:rsid w:val="005904DA"/>
    <w:rsid w:val="0059543B"/>
    <w:rsid w:val="005959CA"/>
    <w:rsid w:val="005A4B3A"/>
    <w:rsid w:val="005A6744"/>
    <w:rsid w:val="005A6D15"/>
    <w:rsid w:val="005B209C"/>
    <w:rsid w:val="005B4866"/>
    <w:rsid w:val="005B4B0A"/>
    <w:rsid w:val="005C26A7"/>
    <w:rsid w:val="005C2D97"/>
    <w:rsid w:val="005C33FF"/>
    <w:rsid w:val="005C55CB"/>
    <w:rsid w:val="005C7338"/>
    <w:rsid w:val="005D07CA"/>
    <w:rsid w:val="005D08D2"/>
    <w:rsid w:val="005D17DB"/>
    <w:rsid w:val="005D6BCC"/>
    <w:rsid w:val="005D6C48"/>
    <w:rsid w:val="005E31CE"/>
    <w:rsid w:val="005E6DAD"/>
    <w:rsid w:val="005E6FD3"/>
    <w:rsid w:val="005F0661"/>
    <w:rsid w:val="005F1D3B"/>
    <w:rsid w:val="005F2013"/>
    <w:rsid w:val="005F7781"/>
    <w:rsid w:val="005F7956"/>
    <w:rsid w:val="00600468"/>
    <w:rsid w:val="00601A67"/>
    <w:rsid w:val="00604F8E"/>
    <w:rsid w:val="00607FDD"/>
    <w:rsid w:val="00612C31"/>
    <w:rsid w:val="00613FD7"/>
    <w:rsid w:val="00620083"/>
    <w:rsid w:val="0062108F"/>
    <w:rsid w:val="0062402D"/>
    <w:rsid w:val="00624184"/>
    <w:rsid w:val="006273E2"/>
    <w:rsid w:val="0063027F"/>
    <w:rsid w:val="00630ADB"/>
    <w:rsid w:val="00631CC7"/>
    <w:rsid w:val="00633A6B"/>
    <w:rsid w:val="0063646F"/>
    <w:rsid w:val="00637ED7"/>
    <w:rsid w:val="00641070"/>
    <w:rsid w:val="00641BAF"/>
    <w:rsid w:val="0064211D"/>
    <w:rsid w:val="0064262C"/>
    <w:rsid w:val="00644835"/>
    <w:rsid w:val="00650CFA"/>
    <w:rsid w:val="0065217E"/>
    <w:rsid w:val="00652CC3"/>
    <w:rsid w:val="00656317"/>
    <w:rsid w:val="00661265"/>
    <w:rsid w:val="0066433D"/>
    <w:rsid w:val="00665EE2"/>
    <w:rsid w:val="00667426"/>
    <w:rsid w:val="00673F15"/>
    <w:rsid w:val="006755BB"/>
    <w:rsid w:val="00675869"/>
    <w:rsid w:val="006774E0"/>
    <w:rsid w:val="0068768C"/>
    <w:rsid w:val="00692036"/>
    <w:rsid w:val="0069241E"/>
    <w:rsid w:val="00696784"/>
    <w:rsid w:val="006A4527"/>
    <w:rsid w:val="006A4B4A"/>
    <w:rsid w:val="006B3D4D"/>
    <w:rsid w:val="006B74D5"/>
    <w:rsid w:val="006B7E57"/>
    <w:rsid w:val="006C138B"/>
    <w:rsid w:val="006C2421"/>
    <w:rsid w:val="006C522E"/>
    <w:rsid w:val="006C5841"/>
    <w:rsid w:val="006C5A50"/>
    <w:rsid w:val="006C7092"/>
    <w:rsid w:val="006D277E"/>
    <w:rsid w:val="006D2F15"/>
    <w:rsid w:val="006D3DDA"/>
    <w:rsid w:val="006D513B"/>
    <w:rsid w:val="006E1293"/>
    <w:rsid w:val="006E3424"/>
    <w:rsid w:val="006E3A5C"/>
    <w:rsid w:val="006E3B64"/>
    <w:rsid w:val="006E6967"/>
    <w:rsid w:val="006E7561"/>
    <w:rsid w:val="006F1E50"/>
    <w:rsid w:val="006F4169"/>
    <w:rsid w:val="006F6268"/>
    <w:rsid w:val="006F6C88"/>
    <w:rsid w:val="00705DD2"/>
    <w:rsid w:val="0070690B"/>
    <w:rsid w:val="00711444"/>
    <w:rsid w:val="007134F2"/>
    <w:rsid w:val="00714F95"/>
    <w:rsid w:val="00726967"/>
    <w:rsid w:val="0072721B"/>
    <w:rsid w:val="00730C0C"/>
    <w:rsid w:val="007360C9"/>
    <w:rsid w:val="00743CA6"/>
    <w:rsid w:val="007476B9"/>
    <w:rsid w:val="00760606"/>
    <w:rsid w:val="00760DE9"/>
    <w:rsid w:val="00764DB5"/>
    <w:rsid w:val="0076652C"/>
    <w:rsid w:val="007738DA"/>
    <w:rsid w:val="00774AA2"/>
    <w:rsid w:val="00774DCF"/>
    <w:rsid w:val="00777555"/>
    <w:rsid w:val="007807CF"/>
    <w:rsid w:val="007831A1"/>
    <w:rsid w:val="00783CE2"/>
    <w:rsid w:val="00784859"/>
    <w:rsid w:val="00784D8A"/>
    <w:rsid w:val="0078718F"/>
    <w:rsid w:val="0079194C"/>
    <w:rsid w:val="00795686"/>
    <w:rsid w:val="00797E3D"/>
    <w:rsid w:val="007A1D62"/>
    <w:rsid w:val="007A1EF3"/>
    <w:rsid w:val="007A43A7"/>
    <w:rsid w:val="007A46AB"/>
    <w:rsid w:val="007A7E0E"/>
    <w:rsid w:val="007B08F1"/>
    <w:rsid w:val="007B6430"/>
    <w:rsid w:val="007C0FE8"/>
    <w:rsid w:val="007C5DF4"/>
    <w:rsid w:val="007C69C7"/>
    <w:rsid w:val="007D076D"/>
    <w:rsid w:val="007D4005"/>
    <w:rsid w:val="007E000E"/>
    <w:rsid w:val="007E0B3F"/>
    <w:rsid w:val="007E2F6C"/>
    <w:rsid w:val="007E3609"/>
    <w:rsid w:val="007E7C15"/>
    <w:rsid w:val="007F18AC"/>
    <w:rsid w:val="007F1E9B"/>
    <w:rsid w:val="007F5EC3"/>
    <w:rsid w:val="00802838"/>
    <w:rsid w:val="0080622C"/>
    <w:rsid w:val="00806351"/>
    <w:rsid w:val="00806B12"/>
    <w:rsid w:val="008128BC"/>
    <w:rsid w:val="00814E05"/>
    <w:rsid w:val="0082139C"/>
    <w:rsid w:val="00827211"/>
    <w:rsid w:val="00830862"/>
    <w:rsid w:val="00830D69"/>
    <w:rsid w:val="008313F3"/>
    <w:rsid w:val="008318BD"/>
    <w:rsid w:val="00831F24"/>
    <w:rsid w:val="0083441F"/>
    <w:rsid w:val="0083451C"/>
    <w:rsid w:val="0083574B"/>
    <w:rsid w:val="0083578A"/>
    <w:rsid w:val="00837736"/>
    <w:rsid w:val="00837FCB"/>
    <w:rsid w:val="0084217B"/>
    <w:rsid w:val="00842DB1"/>
    <w:rsid w:val="00843D9A"/>
    <w:rsid w:val="00844294"/>
    <w:rsid w:val="00845290"/>
    <w:rsid w:val="00845A5D"/>
    <w:rsid w:val="008471F8"/>
    <w:rsid w:val="0085194E"/>
    <w:rsid w:val="00852654"/>
    <w:rsid w:val="00857EE9"/>
    <w:rsid w:val="00865E16"/>
    <w:rsid w:val="008663A9"/>
    <w:rsid w:val="00875C3A"/>
    <w:rsid w:val="00883415"/>
    <w:rsid w:val="00884D71"/>
    <w:rsid w:val="00891076"/>
    <w:rsid w:val="00891DF4"/>
    <w:rsid w:val="008936C2"/>
    <w:rsid w:val="008A1894"/>
    <w:rsid w:val="008A4329"/>
    <w:rsid w:val="008A7BF2"/>
    <w:rsid w:val="008B0351"/>
    <w:rsid w:val="008B07A9"/>
    <w:rsid w:val="008B0AF5"/>
    <w:rsid w:val="008B0AFF"/>
    <w:rsid w:val="008B1798"/>
    <w:rsid w:val="008B1879"/>
    <w:rsid w:val="008B1FAA"/>
    <w:rsid w:val="008B41E0"/>
    <w:rsid w:val="008B571A"/>
    <w:rsid w:val="008B5EEF"/>
    <w:rsid w:val="008B6C77"/>
    <w:rsid w:val="008C0AB6"/>
    <w:rsid w:val="008C1C20"/>
    <w:rsid w:val="008C3DAE"/>
    <w:rsid w:val="008C469F"/>
    <w:rsid w:val="008D0A5D"/>
    <w:rsid w:val="008D33C8"/>
    <w:rsid w:val="008D3A4F"/>
    <w:rsid w:val="008D6E50"/>
    <w:rsid w:val="008E5CF6"/>
    <w:rsid w:val="008F2320"/>
    <w:rsid w:val="008F2AC7"/>
    <w:rsid w:val="008F2C24"/>
    <w:rsid w:val="008F4272"/>
    <w:rsid w:val="008F7419"/>
    <w:rsid w:val="00900C74"/>
    <w:rsid w:val="00901CFB"/>
    <w:rsid w:val="00902327"/>
    <w:rsid w:val="009033A6"/>
    <w:rsid w:val="009119FC"/>
    <w:rsid w:val="009159C2"/>
    <w:rsid w:val="00921EA3"/>
    <w:rsid w:val="009251D8"/>
    <w:rsid w:val="00925488"/>
    <w:rsid w:val="00926A30"/>
    <w:rsid w:val="00931325"/>
    <w:rsid w:val="00933D87"/>
    <w:rsid w:val="00934A3F"/>
    <w:rsid w:val="00936A26"/>
    <w:rsid w:val="00943AF2"/>
    <w:rsid w:val="009512E6"/>
    <w:rsid w:val="00956600"/>
    <w:rsid w:val="00961D96"/>
    <w:rsid w:val="00970E39"/>
    <w:rsid w:val="0097182F"/>
    <w:rsid w:val="00971D8D"/>
    <w:rsid w:val="009767E5"/>
    <w:rsid w:val="00982990"/>
    <w:rsid w:val="00983654"/>
    <w:rsid w:val="00983F12"/>
    <w:rsid w:val="009909C9"/>
    <w:rsid w:val="0099127C"/>
    <w:rsid w:val="00992355"/>
    <w:rsid w:val="00992E47"/>
    <w:rsid w:val="009960E1"/>
    <w:rsid w:val="0099619D"/>
    <w:rsid w:val="009972C7"/>
    <w:rsid w:val="009A27BA"/>
    <w:rsid w:val="009A3671"/>
    <w:rsid w:val="009A775D"/>
    <w:rsid w:val="009B14CB"/>
    <w:rsid w:val="009B246C"/>
    <w:rsid w:val="009B26D8"/>
    <w:rsid w:val="009B30CF"/>
    <w:rsid w:val="009B4E67"/>
    <w:rsid w:val="009B6D8B"/>
    <w:rsid w:val="009B79D5"/>
    <w:rsid w:val="009B7B08"/>
    <w:rsid w:val="009C1601"/>
    <w:rsid w:val="009C308B"/>
    <w:rsid w:val="009C3234"/>
    <w:rsid w:val="009C3DA4"/>
    <w:rsid w:val="009C40B1"/>
    <w:rsid w:val="009C48BE"/>
    <w:rsid w:val="009D31FF"/>
    <w:rsid w:val="009D468C"/>
    <w:rsid w:val="009E706C"/>
    <w:rsid w:val="009E714C"/>
    <w:rsid w:val="009F067A"/>
    <w:rsid w:val="009F144B"/>
    <w:rsid w:val="009F29A7"/>
    <w:rsid w:val="009F38E3"/>
    <w:rsid w:val="009F3BFB"/>
    <w:rsid w:val="009F553E"/>
    <w:rsid w:val="00A0149D"/>
    <w:rsid w:val="00A044B5"/>
    <w:rsid w:val="00A06735"/>
    <w:rsid w:val="00A06A31"/>
    <w:rsid w:val="00A0729B"/>
    <w:rsid w:val="00A1195A"/>
    <w:rsid w:val="00A12ADC"/>
    <w:rsid w:val="00A13D5B"/>
    <w:rsid w:val="00A14281"/>
    <w:rsid w:val="00A24837"/>
    <w:rsid w:val="00A26ACF"/>
    <w:rsid w:val="00A30E6D"/>
    <w:rsid w:val="00A33708"/>
    <w:rsid w:val="00A367E7"/>
    <w:rsid w:val="00A410DE"/>
    <w:rsid w:val="00A46DBC"/>
    <w:rsid w:val="00A47A8F"/>
    <w:rsid w:val="00A47CD2"/>
    <w:rsid w:val="00A501F7"/>
    <w:rsid w:val="00A51347"/>
    <w:rsid w:val="00A518C3"/>
    <w:rsid w:val="00A5231A"/>
    <w:rsid w:val="00A5514C"/>
    <w:rsid w:val="00A555B5"/>
    <w:rsid w:val="00A5637F"/>
    <w:rsid w:val="00A62965"/>
    <w:rsid w:val="00A62C82"/>
    <w:rsid w:val="00A72885"/>
    <w:rsid w:val="00A738DB"/>
    <w:rsid w:val="00A75326"/>
    <w:rsid w:val="00A81EF1"/>
    <w:rsid w:val="00A858A6"/>
    <w:rsid w:val="00A874D3"/>
    <w:rsid w:val="00A90656"/>
    <w:rsid w:val="00A92D24"/>
    <w:rsid w:val="00AA7682"/>
    <w:rsid w:val="00AB2048"/>
    <w:rsid w:val="00AB2798"/>
    <w:rsid w:val="00AB5851"/>
    <w:rsid w:val="00AB76EC"/>
    <w:rsid w:val="00AC05F4"/>
    <w:rsid w:val="00AC0C27"/>
    <w:rsid w:val="00AC102B"/>
    <w:rsid w:val="00AC29E2"/>
    <w:rsid w:val="00AC3BE3"/>
    <w:rsid w:val="00AC3D83"/>
    <w:rsid w:val="00AD135E"/>
    <w:rsid w:val="00AE0747"/>
    <w:rsid w:val="00AE1CB4"/>
    <w:rsid w:val="00AE2BF5"/>
    <w:rsid w:val="00AE437E"/>
    <w:rsid w:val="00AE6EC9"/>
    <w:rsid w:val="00AF609B"/>
    <w:rsid w:val="00B00930"/>
    <w:rsid w:val="00B00F18"/>
    <w:rsid w:val="00B02598"/>
    <w:rsid w:val="00B04C84"/>
    <w:rsid w:val="00B05DE2"/>
    <w:rsid w:val="00B1108C"/>
    <w:rsid w:val="00B178E3"/>
    <w:rsid w:val="00B206BC"/>
    <w:rsid w:val="00B25E3E"/>
    <w:rsid w:val="00B30DE7"/>
    <w:rsid w:val="00B41BAE"/>
    <w:rsid w:val="00B446B3"/>
    <w:rsid w:val="00B5044A"/>
    <w:rsid w:val="00B52582"/>
    <w:rsid w:val="00B560F2"/>
    <w:rsid w:val="00B56EF6"/>
    <w:rsid w:val="00B64BA9"/>
    <w:rsid w:val="00B65BFA"/>
    <w:rsid w:val="00B6657E"/>
    <w:rsid w:val="00B732CE"/>
    <w:rsid w:val="00B7380A"/>
    <w:rsid w:val="00B73958"/>
    <w:rsid w:val="00B742C1"/>
    <w:rsid w:val="00B7434D"/>
    <w:rsid w:val="00B75F55"/>
    <w:rsid w:val="00B773D6"/>
    <w:rsid w:val="00B77B93"/>
    <w:rsid w:val="00B9127F"/>
    <w:rsid w:val="00B92E17"/>
    <w:rsid w:val="00B94137"/>
    <w:rsid w:val="00B947FB"/>
    <w:rsid w:val="00B96A88"/>
    <w:rsid w:val="00BA335C"/>
    <w:rsid w:val="00BA5213"/>
    <w:rsid w:val="00BB208D"/>
    <w:rsid w:val="00BB2B9B"/>
    <w:rsid w:val="00BB4C86"/>
    <w:rsid w:val="00BB77DD"/>
    <w:rsid w:val="00BC08B2"/>
    <w:rsid w:val="00BC0B1E"/>
    <w:rsid w:val="00BC171B"/>
    <w:rsid w:val="00BC7A39"/>
    <w:rsid w:val="00BC7AB9"/>
    <w:rsid w:val="00BD31D3"/>
    <w:rsid w:val="00BD41FA"/>
    <w:rsid w:val="00BD6C32"/>
    <w:rsid w:val="00BE06F7"/>
    <w:rsid w:val="00BE209C"/>
    <w:rsid w:val="00BE36AC"/>
    <w:rsid w:val="00BE6047"/>
    <w:rsid w:val="00BF0449"/>
    <w:rsid w:val="00BF0CAA"/>
    <w:rsid w:val="00BF3E7F"/>
    <w:rsid w:val="00BF7AA5"/>
    <w:rsid w:val="00C14D59"/>
    <w:rsid w:val="00C2175E"/>
    <w:rsid w:val="00C233E1"/>
    <w:rsid w:val="00C3282B"/>
    <w:rsid w:val="00C34020"/>
    <w:rsid w:val="00C36199"/>
    <w:rsid w:val="00C371CD"/>
    <w:rsid w:val="00C377D2"/>
    <w:rsid w:val="00C37973"/>
    <w:rsid w:val="00C400C9"/>
    <w:rsid w:val="00C4142F"/>
    <w:rsid w:val="00C417A5"/>
    <w:rsid w:val="00C43CEA"/>
    <w:rsid w:val="00C4744B"/>
    <w:rsid w:val="00C52461"/>
    <w:rsid w:val="00C55795"/>
    <w:rsid w:val="00C55EFB"/>
    <w:rsid w:val="00C56BDD"/>
    <w:rsid w:val="00C61E6F"/>
    <w:rsid w:val="00C6211B"/>
    <w:rsid w:val="00C6286A"/>
    <w:rsid w:val="00C702F2"/>
    <w:rsid w:val="00C717BD"/>
    <w:rsid w:val="00C7183B"/>
    <w:rsid w:val="00C74258"/>
    <w:rsid w:val="00C755DF"/>
    <w:rsid w:val="00C80F09"/>
    <w:rsid w:val="00C8529A"/>
    <w:rsid w:val="00C85D4D"/>
    <w:rsid w:val="00C864EE"/>
    <w:rsid w:val="00C90305"/>
    <w:rsid w:val="00C910AC"/>
    <w:rsid w:val="00C925FF"/>
    <w:rsid w:val="00CA11C1"/>
    <w:rsid w:val="00CA16E1"/>
    <w:rsid w:val="00CA3F81"/>
    <w:rsid w:val="00CA7560"/>
    <w:rsid w:val="00CB48FC"/>
    <w:rsid w:val="00CB5C31"/>
    <w:rsid w:val="00CB7047"/>
    <w:rsid w:val="00CD40A1"/>
    <w:rsid w:val="00CD758B"/>
    <w:rsid w:val="00CE04EA"/>
    <w:rsid w:val="00CE0DF0"/>
    <w:rsid w:val="00CE0EBD"/>
    <w:rsid w:val="00CE2C72"/>
    <w:rsid w:val="00CE3699"/>
    <w:rsid w:val="00CE38C7"/>
    <w:rsid w:val="00CE460E"/>
    <w:rsid w:val="00CF2632"/>
    <w:rsid w:val="00CF2964"/>
    <w:rsid w:val="00CF4480"/>
    <w:rsid w:val="00D0222B"/>
    <w:rsid w:val="00D02E6D"/>
    <w:rsid w:val="00D037AC"/>
    <w:rsid w:val="00D1405D"/>
    <w:rsid w:val="00D14189"/>
    <w:rsid w:val="00D14B97"/>
    <w:rsid w:val="00D20EF4"/>
    <w:rsid w:val="00D239CA"/>
    <w:rsid w:val="00D23A6B"/>
    <w:rsid w:val="00D264A9"/>
    <w:rsid w:val="00D31882"/>
    <w:rsid w:val="00D412F3"/>
    <w:rsid w:val="00D417AA"/>
    <w:rsid w:val="00D41907"/>
    <w:rsid w:val="00D42952"/>
    <w:rsid w:val="00D55177"/>
    <w:rsid w:val="00D57504"/>
    <w:rsid w:val="00D57EBD"/>
    <w:rsid w:val="00D6199D"/>
    <w:rsid w:val="00D71790"/>
    <w:rsid w:val="00D71D52"/>
    <w:rsid w:val="00D73160"/>
    <w:rsid w:val="00D731DA"/>
    <w:rsid w:val="00D74838"/>
    <w:rsid w:val="00D74BAB"/>
    <w:rsid w:val="00D761A4"/>
    <w:rsid w:val="00D77696"/>
    <w:rsid w:val="00D777C9"/>
    <w:rsid w:val="00D867B4"/>
    <w:rsid w:val="00D9324F"/>
    <w:rsid w:val="00D93D5B"/>
    <w:rsid w:val="00D96E09"/>
    <w:rsid w:val="00DA27A8"/>
    <w:rsid w:val="00DA4371"/>
    <w:rsid w:val="00DA489A"/>
    <w:rsid w:val="00DA6AE4"/>
    <w:rsid w:val="00DB454E"/>
    <w:rsid w:val="00DB6639"/>
    <w:rsid w:val="00DC0EAD"/>
    <w:rsid w:val="00DC1DB7"/>
    <w:rsid w:val="00DC517F"/>
    <w:rsid w:val="00DC5989"/>
    <w:rsid w:val="00DD4CB0"/>
    <w:rsid w:val="00DD6A7F"/>
    <w:rsid w:val="00DD72A3"/>
    <w:rsid w:val="00DE2B27"/>
    <w:rsid w:val="00DE3849"/>
    <w:rsid w:val="00DE3BDA"/>
    <w:rsid w:val="00DF2D72"/>
    <w:rsid w:val="00E01219"/>
    <w:rsid w:val="00E03228"/>
    <w:rsid w:val="00E149D7"/>
    <w:rsid w:val="00E2102F"/>
    <w:rsid w:val="00E236BD"/>
    <w:rsid w:val="00E239C1"/>
    <w:rsid w:val="00E266B5"/>
    <w:rsid w:val="00E33698"/>
    <w:rsid w:val="00E336D8"/>
    <w:rsid w:val="00E372F2"/>
    <w:rsid w:val="00E444D2"/>
    <w:rsid w:val="00E4538D"/>
    <w:rsid w:val="00E46411"/>
    <w:rsid w:val="00E47615"/>
    <w:rsid w:val="00E50AD8"/>
    <w:rsid w:val="00E511B4"/>
    <w:rsid w:val="00E51480"/>
    <w:rsid w:val="00E52DAD"/>
    <w:rsid w:val="00E544F5"/>
    <w:rsid w:val="00E571C5"/>
    <w:rsid w:val="00E668F3"/>
    <w:rsid w:val="00E67F30"/>
    <w:rsid w:val="00E71EB8"/>
    <w:rsid w:val="00E72B7B"/>
    <w:rsid w:val="00E7573B"/>
    <w:rsid w:val="00E75D2C"/>
    <w:rsid w:val="00E80601"/>
    <w:rsid w:val="00E80AB7"/>
    <w:rsid w:val="00E80E38"/>
    <w:rsid w:val="00E91E1E"/>
    <w:rsid w:val="00E92BE3"/>
    <w:rsid w:val="00E93A2E"/>
    <w:rsid w:val="00E94038"/>
    <w:rsid w:val="00EA1729"/>
    <w:rsid w:val="00EA1CB9"/>
    <w:rsid w:val="00EA3436"/>
    <w:rsid w:val="00EA467D"/>
    <w:rsid w:val="00EA7F2D"/>
    <w:rsid w:val="00EA7FF5"/>
    <w:rsid w:val="00EB29B1"/>
    <w:rsid w:val="00EC23A1"/>
    <w:rsid w:val="00EC368A"/>
    <w:rsid w:val="00EC4963"/>
    <w:rsid w:val="00ED4464"/>
    <w:rsid w:val="00ED4A50"/>
    <w:rsid w:val="00ED606A"/>
    <w:rsid w:val="00EE0768"/>
    <w:rsid w:val="00EE3AE8"/>
    <w:rsid w:val="00EE794F"/>
    <w:rsid w:val="00EF0215"/>
    <w:rsid w:val="00EF3AD6"/>
    <w:rsid w:val="00EF561E"/>
    <w:rsid w:val="00F017A2"/>
    <w:rsid w:val="00F02C6C"/>
    <w:rsid w:val="00F036E7"/>
    <w:rsid w:val="00F0404C"/>
    <w:rsid w:val="00F0417E"/>
    <w:rsid w:val="00F04FC3"/>
    <w:rsid w:val="00F111CB"/>
    <w:rsid w:val="00F13381"/>
    <w:rsid w:val="00F1341B"/>
    <w:rsid w:val="00F1450F"/>
    <w:rsid w:val="00F16812"/>
    <w:rsid w:val="00F21D4C"/>
    <w:rsid w:val="00F24D02"/>
    <w:rsid w:val="00F27FB8"/>
    <w:rsid w:val="00F30132"/>
    <w:rsid w:val="00F348AA"/>
    <w:rsid w:val="00F352E2"/>
    <w:rsid w:val="00F46148"/>
    <w:rsid w:val="00F46517"/>
    <w:rsid w:val="00F523BB"/>
    <w:rsid w:val="00F52BC5"/>
    <w:rsid w:val="00F53E1D"/>
    <w:rsid w:val="00F56D26"/>
    <w:rsid w:val="00F620D7"/>
    <w:rsid w:val="00F661B9"/>
    <w:rsid w:val="00F83B55"/>
    <w:rsid w:val="00F83F48"/>
    <w:rsid w:val="00F8420C"/>
    <w:rsid w:val="00F90BB8"/>
    <w:rsid w:val="00F92877"/>
    <w:rsid w:val="00F95917"/>
    <w:rsid w:val="00FA0B06"/>
    <w:rsid w:val="00FA5B9C"/>
    <w:rsid w:val="00FB2611"/>
    <w:rsid w:val="00FB5C69"/>
    <w:rsid w:val="00FB6778"/>
    <w:rsid w:val="00FB6EF3"/>
    <w:rsid w:val="00FC1A7D"/>
    <w:rsid w:val="00FC5EEF"/>
    <w:rsid w:val="00FD12B3"/>
    <w:rsid w:val="00FD67B2"/>
    <w:rsid w:val="00FE05A8"/>
    <w:rsid w:val="00FF04DA"/>
    <w:rsid w:val="00FF0BEF"/>
    <w:rsid w:val="00FF2ACA"/>
    <w:rsid w:val="00FF3E10"/>
    <w:rsid w:val="00FF6D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A53385B3-F718-4B66-ADE5-4AF35EF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DA"/>
    <w:rPr>
      <w:sz w:val="24"/>
      <w:szCs w:val="24"/>
    </w:rPr>
  </w:style>
  <w:style w:type="paragraph" w:styleId="Heading1">
    <w:name w:val="heading 1"/>
    <w:basedOn w:val="Normal"/>
    <w:next w:val="Normal"/>
    <w:qFormat/>
    <w:rsid w:val="00433AB8"/>
    <w:pPr>
      <w:keepNext/>
      <w:spacing w:after="240"/>
      <w:ind w:left="720" w:hanging="72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link w:val="PlainTextChar"/>
    <w:uiPriority w:val="99"/>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5">
    <w:name w:val="Unresolved Mention5"/>
    <w:basedOn w:val="DefaultParagraphFont"/>
    <w:rsid w:val="00587EAA"/>
    <w:rPr>
      <w:color w:val="605E5C"/>
      <w:shd w:val="clear" w:color="auto" w:fill="E1DFDD"/>
    </w:rPr>
  </w:style>
  <w:style w:type="character" w:customStyle="1" w:styleId="PlainTextChar">
    <w:name w:val="Plain Text Char"/>
    <w:basedOn w:val="DefaultParagraphFont"/>
    <w:link w:val="PlainText"/>
    <w:uiPriority w:val="99"/>
    <w:rsid w:val="008B07A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knipe@firstenergycorp.com" TargetMode="External" /><Relationship Id="rId11" Type="http://schemas.openxmlformats.org/officeDocument/2006/relationships/hyperlink" Target="mailto:cwatchorn@firstenergycorp.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john.jones@ohioago.gov" TargetMode="External" /><Relationship Id="rId8" Type="http://schemas.openxmlformats.org/officeDocument/2006/relationships/hyperlink" Target="mailto:jason.tonn@puco.ohio.gov" TargetMode="External" /><Relationship Id="rId9" Type="http://schemas.openxmlformats.org/officeDocument/2006/relationships/hyperlink" Target="mailto:dproano@bakerlaw.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usao-sdoh/pr/grand-jury-indicts-former-state-public-utilities-chairman-federal-bribery-embezzlement" TargetMode="External" /><Relationship Id="rId2" Type="http://schemas.openxmlformats.org/officeDocument/2006/relationships/hyperlink" Target="https://www.ohioattorneygeneral.gov/Media/News-Releases/February-2024/Former-PUCO-Chairman-Former-FirstEnergy-Executiv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2024-05-05T21:09:40Z</dcterms:created>
  <dcterms:modified xsi:type="dcterms:W3CDTF">2024-05-05T21:09:40Z</dcterms:modified>
</cp:coreProperties>
</file>