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21C" w:rsidRDefault="006D2076">
      <w:pPr>
        <w:tabs>
          <w:tab w:val="center" w:pos="4680"/>
        </w:tabs>
        <w:overflowPunct w:val="0"/>
        <w:autoSpaceDE w:val="0"/>
        <w:autoSpaceDN w:val="0"/>
        <w:adjustRightInd w:val="0"/>
        <w:jc w:val="center"/>
        <w:textAlignment w:val="baseline"/>
        <w:rPr>
          <w:rFonts w:cs="Arial"/>
          <w:b/>
          <w:bCs/>
          <w:smallCaps/>
          <w:szCs w:val="24"/>
        </w:rPr>
      </w:pPr>
      <w:r>
        <w:rPr>
          <w:rFonts w:cs="Arial"/>
          <w:b/>
          <w:bCs/>
          <w:smallCaps/>
          <w:szCs w:val="24"/>
        </w:rPr>
        <w:t>Before</w:t>
      </w:r>
    </w:p>
    <w:p w:rsidR="00A6021C" w:rsidRDefault="006D2076">
      <w:pPr>
        <w:tabs>
          <w:tab w:val="center" w:pos="4680"/>
        </w:tabs>
        <w:jc w:val="center"/>
        <w:rPr>
          <w:b/>
          <w:bCs/>
          <w:smallCaps/>
          <w:szCs w:val="24"/>
        </w:rPr>
      </w:pPr>
      <w:r>
        <w:rPr>
          <w:rFonts w:cs="Arial"/>
          <w:b/>
          <w:bCs/>
          <w:smallCaps/>
          <w:szCs w:val="24"/>
        </w:rPr>
        <w:t>The Public Utilities Commission Of Ohio</w:t>
      </w:r>
    </w:p>
    <w:p w:rsidR="00A6021C" w:rsidRDefault="00A6021C">
      <w:pPr>
        <w:tabs>
          <w:tab w:val="left" w:pos="-1440"/>
          <w:tab w:val="left" w:pos="-720"/>
          <w:tab w:val="left" w:pos="90"/>
          <w:tab w:val="left" w:pos="720"/>
          <w:tab w:val="left" w:pos="4320"/>
          <w:tab w:val="left" w:pos="5400"/>
        </w:tabs>
        <w:jc w:val="both"/>
        <w:rPr>
          <w:szCs w:val="24"/>
        </w:rPr>
      </w:pPr>
    </w:p>
    <w:p w:rsidR="00A6021C" w:rsidRDefault="006D2076">
      <w:pPr>
        <w:tabs>
          <w:tab w:val="left" w:pos="-1440"/>
          <w:tab w:val="left" w:pos="-720"/>
          <w:tab w:val="left" w:pos="90"/>
          <w:tab w:val="left" w:pos="720"/>
          <w:tab w:val="left" w:pos="4320"/>
          <w:tab w:val="left" w:pos="5400"/>
        </w:tabs>
        <w:jc w:val="both"/>
        <w:rPr>
          <w:szCs w:val="24"/>
        </w:rPr>
      </w:pPr>
      <w:r>
        <w:rPr>
          <w:szCs w:val="24"/>
        </w:rPr>
        <w:t>In the Matter of the Annual Verification</w:t>
      </w:r>
      <w:r>
        <w:rPr>
          <w:szCs w:val="24"/>
        </w:rPr>
        <w:tab/>
        <w:t>)</w:t>
      </w:r>
    </w:p>
    <w:p w:rsidR="00A6021C" w:rsidRDefault="006D2076">
      <w:pPr>
        <w:tabs>
          <w:tab w:val="left" w:pos="-1440"/>
          <w:tab w:val="left" w:pos="-720"/>
          <w:tab w:val="left" w:pos="90"/>
          <w:tab w:val="left" w:pos="720"/>
          <w:tab w:val="left" w:pos="4320"/>
          <w:tab w:val="left" w:pos="5400"/>
        </w:tabs>
        <w:jc w:val="both"/>
        <w:rPr>
          <w:szCs w:val="24"/>
        </w:rPr>
      </w:pPr>
      <w:r>
        <w:rPr>
          <w:szCs w:val="24"/>
        </w:rPr>
        <w:t>of the Energy Efficiency and Peak</w:t>
      </w:r>
      <w:r>
        <w:rPr>
          <w:szCs w:val="24"/>
        </w:rPr>
        <w:tab/>
        <w:t>)</w:t>
      </w:r>
    </w:p>
    <w:p w:rsidR="00A6021C" w:rsidRDefault="006D2076">
      <w:pPr>
        <w:tabs>
          <w:tab w:val="left" w:pos="-1440"/>
          <w:tab w:val="left" w:pos="-720"/>
          <w:tab w:val="left" w:pos="90"/>
          <w:tab w:val="left" w:pos="720"/>
          <w:tab w:val="left" w:pos="4320"/>
          <w:tab w:val="left" w:pos="5040"/>
          <w:tab w:val="left" w:pos="5400"/>
        </w:tabs>
        <w:jc w:val="both"/>
        <w:rPr>
          <w:szCs w:val="24"/>
        </w:rPr>
      </w:pPr>
      <w:r>
        <w:rPr>
          <w:szCs w:val="24"/>
        </w:rPr>
        <w:t xml:space="preserve">Demand Reductions Achieved by the </w:t>
      </w:r>
      <w:r>
        <w:rPr>
          <w:szCs w:val="24"/>
        </w:rPr>
        <w:tab/>
        <w:t>)</w:t>
      </w:r>
      <w:r>
        <w:rPr>
          <w:szCs w:val="24"/>
        </w:rPr>
        <w:tab/>
        <w:t>Case No. 12-665-EL-UNC</w:t>
      </w:r>
    </w:p>
    <w:p w:rsidR="00A6021C" w:rsidRDefault="006D2076">
      <w:pPr>
        <w:tabs>
          <w:tab w:val="left" w:pos="-1440"/>
          <w:tab w:val="left" w:pos="-720"/>
          <w:tab w:val="left" w:pos="90"/>
          <w:tab w:val="left" w:pos="720"/>
          <w:tab w:val="left" w:pos="4320"/>
          <w:tab w:val="left" w:pos="5040"/>
          <w:tab w:val="left" w:pos="5400"/>
        </w:tabs>
        <w:jc w:val="both"/>
        <w:rPr>
          <w:szCs w:val="24"/>
        </w:rPr>
      </w:pPr>
      <w:r>
        <w:rPr>
          <w:szCs w:val="24"/>
        </w:rPr>
        <w:t>Electric Distribution Utilities Pursuant</w:t>
      </w:r>
      <w:r>
        <w:rPr>
          <w:szCs w:val="24"/>
        </w:rPr>
        <w:tab/>
        <w:t>)</w:t>
      </w:r>
    </w:p>
    <w:p w:rsidR="00A6021C" w:rsidRDefault="006D2076">
      <w:pPr>
        <w:tabs>
          <w:tab w:val="left" w:pos="-1440"/>
          <w:tab w:val="left" w:pos="-720"/>
          <w:tab w:val="left" w:pos="90"/>
          <w:tab w:val="left" w:pos="720"/>
          <w:tab w:val="left" w:pos="4320"/>
          <w:tab w:val="left" w:pos="5040"/>
          <w:tab w:val="left" w:pos="5400"/>
        </w:tabs>
        <w:jc w:val="both"/>
        <w:rPr>
          <w:szCs w:val="24"/>
        </w:rPr>
      </w:pPr>
      <w:r>
        <w:rPr>
          <w:szCs w:val="24"/>
        </w:rPr>
        <w:t>to Section 4928.66, Revised Code</w:t>
      </w:r>
      <w:r>
        <w:rPr>
          <w:szCs w:val="24"/>
        </w:rPr>
        <w:tab/>
        <w:t>)</w:t>
      </w:r>
    </w:p>
    <w:p w:rsidR="00A6021C" w:rsidRDefault="00A6021C">
      <w:pPr>
        <w:tabs>
          <w:tab w:val="left" w:pos="-1440"/>
          <w:tab w:val="left" w:pos="-720"/>
          <w:tab w:val="left" w:pos="90"/>
          <w:tab w:val="left" w:pos="720"/>
          <w:tab w:val="left" w:pos="4680"/>
          <w:tab w:val="left" w:pos="5400"/>
        </w:tabs>
        <w:jc w:val="both"/>
        <w:rPr>
          <w:szCs w:val="24"/>
        </w:rPr>
      </w:pPr>
    </w:p>
    <w:p w:rsidR="00A6021C" w:rsidRDefault="00A6021C">
      <w:pPr>
        <w:tabs>
          <w:tab w:val="left" w:pos="-1440"/>
          <w:tab w:val="left" w:pos="-720"/>
          <w:tab w:val="left" w:pos="90"/>
          <w:tab w:val="left" w:pos="720"/>
          <w:tab w:val="left" w:pos="4680"/>
          <w:tab w:val="left" w:pos="5400"/>
        </w:tabs>
        <w:jc w:val="both"/>
        <w:rPr>
          <w:b/>
          <w:szCs w:val="24"/>
        </w:rPr>
      </w:pPr>
    </w:p>
    <w:p w:rsidR="00A6021C" w:rsidRDefault="00A6021C">
      <w:pPr>
        <w:pBdr>
          <w:top w:val="single" w:sz="12" w:space="1" w:color="auto"/>
        </w:pBdr>
        <w:tabs>
          <w:tab w:val="left" w:pos="-1440"/>
          <w:tab w:val="left" w:pos="-720"/>
          <w:tab w:val="left" w:pos="90"/>
          <w:tab w:val="left" w:pos="720"/>
          <w:tab w:val="left" w:pos="4680"/>
          <w:tab w:val="left" w:pos="5400"/>
        </w:tabs>
        <w:jc w:val="both"/>
        <w:rPr>
          <w:b/>
          <w:szCs w:val="24"/>
        </w:rPr>
      </w:pPr>
    </w:p>
    <w:p w:rsidR="00A6021C" w:rsidRDefault="006D2076">
      <w:pPr>
        <w:jc w:val="center"/>
        <w:rPr>
          <w:b/>
        </w:rPr>
      </w:pPr>
      <w:r>
        <w:rPr>
          <w:b/>
        </w:rPr>
        <w:t>COMMENTS OF INDUSTRIAL ENERGY USERS-OHIO</w:t>
      </w:r>
    </w:p>
    <w:p w:rsidR="00A6021C" w:rsidRDefault="00A6021C">
      <w:pPr>
        <w:tabs>
          <w:tab w:val="left" w:pos="-1440"/>
          <w:tab w:val="left" w:pos="-720"/>
          <w:tab w:val="left" w:pos="90"/>
          <w:tab w:val="left" w:pos="720"/>
          <w:tab w:val="left" w:pos="4680"/>
          <w:tab w:val="left" w:pos="5400"/>
        </w:tabs>
        <w:jc w:val="both"/>
        <w:rPr>
          <w:b/>
          <w:szCs w:val="24"/>
        </w:rPr>
      </w:pPr>
    </w:p>
    <w:p w:rsidR="00A6021C" w:rsidRDefault="00A6021C">
      <w:pPr>
        <w:pBdr>
          <w:top w:val="single" w:sz="12" w:space="1" w:color="auto"/>
        </w:pBdr>
        <w:tabs>
          <w:tab w:val="left" w:pos="-1440"/>
          <w:tab w:val="left" w:pos="-720"/>
          <w:tab w:val="left" w:pos="90"/>
          <w:tab w:val="left" w:pos="720"/>
          <w:tab w:val="left" w:pos="4680"/>
          <w:tab w:val="left" w:pos="5400"/>
        </w:tabs>
        <w:jc w:val="both"/>
        <w:rPr>
          <w:b/>
          <w:szCs w:val="24"/>
        </w:rPr>
      </w:pPr>
    </w:p>
    <w:p w:rsidR="00A6021C" w:rsidRDefault="00A6021C">
      <w:pPr>
        <w:pBdr>
          <w:top w:val="single" w:sz="12" w:space="1" w:color="auto"/>
        </w:pBdr>
        <w:tabs>
          <w:tab w:val="left" w:pos="-1440"/>
          <w:tab w:val="left" w:pos="-720"/>
          <w:tab w:val="left" w:pos="90"/>
          <w:tab w:val="left" w:pos="720"/>
          <w:tab w:val="left" w:pos="4680"/>
          <w:tab w:val="left" w:pos="5400"/>
        </w:tabs>
        <w:jc w:val="both"/>
        <w:rPr>
          <w:b/>
          <w:szCs w:val="24"/>
        </w:rPr>
      </w:pPr>
    </w:p>
    <w:p w:rsidR="00A6021C" w:rsidRDefault="00A6021C">
      <w:pPr>
        <w:pBdr>
          <w:top w:val="single" w:sz="12" w:space="1" w:color="auto"/>
        </w:pBdr>
        <w:tabs>
          <w:tab w:val="left" w:pos="-1440"/>
          <w:tab w:val="left" w:pos="-720"/>
          <w:tab w:val="left" w:pos="90"/>
          <w:tab w:val="left" w:pos="720"/>
          <w:tab w:val="left" w:pos="4680"/>
          <w:tab w:val="left" w:pos="5400"/>
        </w:tabs>
        <w:jc w:val="both"/>
        <w:rPr>
          <w:b/>
          <w:szCs w:val="24"/>
        </w:rPr>
      </w:pPr>
    </w:p>
    <w:p w:rsidR="00A6021C" w:rsidRDefault="00A6021C">
      <w:pPr>
        <w:tabs>
          <w:tab w:val="center" w:pos="4680"/>
        </w:tabs>
        <w:overflowPunct w:val="0"/>
        <w:autoSpaceDE w:val="0"/>
        <w:autoSpaceDN w:val="0"/>
        <w:adjustRightInd w:val="0"/>
        <w:jc w:val="center"/>
        <w:textAlignment w:val="baseline"/>
        <w:rPr>
          <w:rFonts w:cs="Arial"/>
          <w:b/>
          <w:bCs/>
          <w:smallCaps/>
          <w:szCs w:val="24"/>
        </w:rPr>
      </w:pPr>
    </w:p>
    <w:p w:rsidR="00A6021C" w:rsidRDefault="00A6021C">
      <w:pPr>
        <w:tabs>
          <w:tab w:val="center" w:pos="4680"/>
        </w:tabs>
        <w:overflowPunct w:val="0"/>
        <w:autoSpaceDE w:val="0"/>
        <w:autoSpaceDN w:val="0"/>
        <w:adjustRightInd w:val="0"/>
        <w:jc w:val="center"/>
        <w:textAlignment w:val="baseline"/>
        <w:rPr>
          <w:rFonts w:cs="Arial"/>
          <w:b/>
          <w:bCs/>
          <w:smallCaps/>
          <w:szCs w:val="24"/>
        </w:rPr>
      </w:pPr>
    </w:p>
    <w:p w:rsidR="00A6021C" w:rsidRDefault="00A6021C">
      <w:pPr>
        <w:tabs>
          <w:tab w:val="center" w:pos="4680"/>
        </w:tabs>
        <w:overflowPunct w:val="0"/>
        <w:autoSpaceDE w:val="0"/>
        <w:autoSpaceDN w:val="0"/>
        <w:adjustRightInd w:val="0"/>
        <w:jc w:val="center"/>
        <w:textAlignment w:val="baseline"/>
        <w:rPr>
          <w:rFonts w:cs="Arial"/>
          <w:b/>
          <w:bCs/>
          <w:smallCaps/>
          <w:szCs w:val="24"/>
        </w:rPr>
      </w:pPr>
    </w:p>
    <w:p w:rsidR="00A6021C" w:rsidRDefault="00A6021C">
      <w:pPr>
        <w:tabs>
          <w:tab w:val="center" w:pos="4680"/>
        </w:tabs>
        <w:overflowPunct w:val="0"/>
        <w:autoSpaceDE w:val="0"/>
        <w:autoSpaceDN w:val="0"/>
        <w:adjustRightInd w:val="0"/>
        <w:jc w:val="center"/>
        <w:textAlignment w:val="baseline"/>
        <w:rPr>
          <w:rFonts w:cs="Arial"/>
          <w:b/>
          <w:bCs/>
          <w:smallCaps/>
          <w:szCs w:val="24"/>
        </w:rPr>
      </w:pPr>
    </w:p>
    <w:p w:rsidR="00A6021C" w:rsidRDefault="00A6021C">
      <w:pPr>
        <w:tabs>
          <w:tab w:val="center" w:pos="4680"/>
        </w:tabs>
        <w:overflowPunct w:val="0"/>
        <w:autoSpaceDE w:val="0"/>
        <w:autoSpaceDN w:val="0"/>
        <w:adjustRightInd w:val="0"/>
        <w:jc w:val="center"/>
        <w:textAlignment w:val="baseline"/>
        <w:rPr>
          <w:rFonts w:cs="Arial"/>
          <w:b/>
          <w:bCs/>
          <w:smallCaps/>
          <w:szCs w:val="24"/>
        </w:rPr>
      </w:pPr>
    </w:p>
    <w:p w:rsidR="00A6021C" w:rsidRDefault="00A6021C">
      <w:pPr>
        <w:tabs>
          <w:tab w:val="center" w:pos="4680"/>
        </w:tabs>
        <w:overflowPunct w:val="0"/>
        <w:autoSpaceDE w:val="0"/>
        <w:autoSpaceDN w:val="0"/>
        <w:adjustRightInd w:val="0"/>
        <w:jc w:val="center"/>
        <w:textAlignment w:val="baseline"/>
        <w:rPr>
          <w:rFonts w:cs="Arial"/>
          <w:b/>
          <w:bCs/>
          <w:smallCaps/>
          <w:szCs w:val="24"/>
        </w:rPr>
      </w:pPr>
    </w:p>
    <w:p w:rsidR="00A6021C" w:rsidRDefault="00A6021C">
      <w:pPr>
        <w:tabs>
          <w:tab w:val="center" w:pos="4680"/>
        </w:tabs>
        <w:overflowPunct w:val="0"/>
        <w:autoSpaceDE w:val="0"/>
        <w:autoSpaceDN w:val="0"/>
        <w:adjustRightInd w:val="0"/>
        <w:jc w:val="center"/>
        <w:textAlignment w:val="baseline"/>
        <w:rPr>
          <w:rFonts w:cs="Arial"/>
          <w:b/>
          <w:bCs/>
          <w:smallCaps/>
          <w:szCs w:val="24"/>
        </w:rPr>
      </w:pPr>
    </w:p>
    <w:p w:rsidR="00A6021C" w:rsidRDefault="00A6021C">
      <w:pPr>
        <w:jc w:val="both"/>
        <w:rPr>
          <w:szCs w:val="24"/>
        </w:rPr>
      </w:pPr>
    </w:p>
    <w:p w:rsidR="00A6021C" w:rsidRDefault="00A6021C">
      <w:pPr>
        <w:jc w:val="both"/>
        <w:rPr>
          <w:szCs w:val="24"/>
        </w:rPr>
      </w:pPr>
    </w:p>
    <w:p w:rsidR="00A6021C" w:rsidRDefault="00A6021C">
      <w:pPr>
        <w:jc w:val="both"/>
        <w:rPr>
          <w:szCs w:val="24"/>
        </w:rPr>
      </w:pPr>
    </w:p>
    <w:p w:rsidR="00A6021C" w:rsidRDefault="00A6021C">
      <w:pPr>
        <w:jc w:val="both"/>
        <w:rPr>
          <w:szCs w:val="24"/>
        </w:rPr>
      </w:pPr>
    </w:p>
    <w:p w:rsidR="00A6021C" w:rsidRDefault="00A6021C">
      <w:pPr>
        <w:jc w:val="both"/>
        <w:rPr>
          <w:szCs w:val="24"/>
        </w:rPr>
      </w:pPr>
    </w:p>
    <w:p w:rsidR="00A6021C" w:rsidRDefault="00A6021C">
      <w:pPr>
        <w:jc w:val="both"/>
        <w:rPr>
          <w:szCs w:val="24"/>
        </w:rPr>
      </w:pPr>
    </w:p>
    <w:p w:rsidR="00A6021C" w:rsidRDefault="006D2076">
      <w:pPr>
        <w:ind w:left="4320"/>
        <w:jc w:val="both"/>
        <w:rPr>
          <w:rFonts w:cs="Arial"/>
          <w:szCs w:val="24"/>
        </w:rPr>
      </w:pPr>
      <w:r>
        <w:rPr>
          <w:rFonts w:cs="Arial"/>
          <w:szCs w:val="24"/>
        </w:rPr>
        <w:t>Samuel C. Randazzo (Counsel of Record)</w:t>
      </w:r>
    </w:p>
    <w:p w:rsidR="00A6021C" w:rsidRDefault="006D2076">
      <w:pPr>
        <w:ind w:left="4320"/>
        <w:jc w:val="both"/>
        <w:rPr>
          <w:rFonts w:cs="Arial"/>
          <w:szCs w:val="24"/>
        </w:rPr>
      </w:pPr>
      <w:r>
        <w:rPr>
          <w:rFonts w:cs="Arial"/>
          <w:szCs w:val="24"/>
        </w:rPr>
        <w:t>Frank P. Darr</w:t>
      </w:r>
    </w:p>
    <w:p w:rsidR="00A6021C" w:rsidRDefault="006D2076">
      <w:pPr>
        <w:ind w:left="4320"/>
        <w:jc w:val="both"/>
        <w:rPr>
          <w:rFonts w:cs="Arial"/>
          <w:szCs w:val="24"/>
        </w:rPr>
      </w:pPr>
      <w:r>
        <w:rPr>
          <w:rFonts w:cs="Arial"/>
          <w:szCs w:val="24"/>
        </w:rPr>
        <w:t>Joseph E. Oliker</w:t>
      </w:r>
    </w:p>
    <w:p w:rsidR="00A6021C" w:rsidRDefault="006D2076">
      <w:pPr>
        <w:ind w:left="4320"/>
        <w:jc w:val="both"/>
        <w:rPr>
          <w:rFonts w:cs="Arial"/>
          <w:szCs w:val="24"/>
        </w:rPr>
      </w:pPr>
      <w:r>
        <w:rPr>
          <w:rFonts w:cs="Arial"/>
          <w:szCs w:val="24"/>
        </w:rPr>
        <w:t>Matthew R. Pritchard</w:t>
      </w:r>
    </w:p>
    <w:p w:rsidR="00A6021C" w:rsidRDefault="006D2076">
      <w:pPr>
        <w:ind w:left="4320"/>
        <w:jc w:val="both"/>
        <w:rPr>
          <w:rFonts w:cs="Arial"/>
          <w:smallCaps/>
          <w:szCs w:val="24"/>
        </w:rPr>
      </w:pPr>
      <w:r>
        <w:rPr>
          <w:rFonts w:cs="Arial"/>
          <w:smallCaps/>
          <w:szCs w:val="24"/>
        </w:rPr>
        <w:t>McNees Wallace &amp; Nurick</w:t>
      </w:r>
    </w:p>
    <w:p w:rsidR="00A6021C" w:rsidRDefault="006D2076">
      <w:pPr>
        <w:ind w:left="4320"/>
        <w:jc w:val="both"/>
        <w:rPr>
          <w:rFonts w:cs="Arial"/>
          <w:szCs w:val="24"/>
        </w:rPr>
      </w:pPr>
      <w:smartTag w:uri="urn:schemas-microsoft-com:office:smarttags" w:element="State">
        <w:smartTag w:uri="urn:schemas-microsoft-com:office:smarttags" w:element="State">
          <w:r>
            <w:rPr>
              <w:rFonts w:cs="Arial"/>
              <w:szCs w:val="24"/>
            </w:rPr>
            <w:t>Fifth</w:t>
          </w:r>
        </w:smartTag>
        <w:r>
          <w:rPr>
            <w:rFonts w:cs="Arial"/>
            <w:szCs w:val="24"/>
          </w:rPr>
          <w:t xml:space="preserve"> </w:t>
        </w:r>
        <w:smartTag w:uri="urn:schemas-microsoft-com:office:smarttags" w:element="State">
          <w:r>
            <w:rPr>
              <w:rFonts w:cs="Arial"/>
              <w:szCs w:val="24"/>
            </w:rPr>
            <w:t>Third</w:t>
          </w:r>
        </w:smartTag>
        <w:r>
          <w:rPr>
            <w:rFonts w:cs="Arial"/>
            <w:szCs w:val="24"/>
          </w:rPr>
          <w:t xml:space="preserve"> </w:t>
        </w:r>
        <w:smartTag w:uri="urn:schemas-microsoft-com:office:smarttags" w:element="State">
          <w:r>
            <w:rPr>
              <w:rFonts w:cs="Arial"/>
              <w:szCs w:val="24"/>
            </w:rPr>
            <w:t>Center</w:t>
          </w:r>
        </w:smartTag>
      </w:smartTag>
    </w:p>
    <w:p w:rsidR="00A6021C" w:rsidRDefault="006D2076">
      <w:pPr>
        <w:ind w:left="4320"/>
        <w:jc w:val="both"/>
        <w:rPr>
          <w:rFonts w:cs="Arial"/>
          <w:szCs w:val="24"/>
        </w:rPr>
      </w:pPr>
      <w:smartTag w:uri="urn:schemas-microsoft-com:office:smarttags" w:element="State">
        <w:r>
          <w:rPr>
            <w:rFonts w:cs="Arial"/>
            <w:szCs w:val="24"/>
          </w:rPr>
          <w:t>21 East State Street, Suite 1700</w:t>
        </w:r>
      </w:smartTag>
    </w:p>
    <w:p w:rsidR="00A6021C" w:rsidRDefault="006D2076">
      <w:pPr>
        <w:ind w:left="4320"/>
        <w:jc w:val="both"/>
        <w:rPr>
          <w:rFonts w:cs="Arial"/>
          <w:szCs w:val="24"/>
        </w:rPr>
      </w:pPr>
      <w:smartTag w:uri="urn:schemas-microsoft-com:office:smarttags" w:element="State">
        <w:smartTag w:uri="urn:schemas-microsoft-com:office:smarttags" w:element="State">
          <w:r>
            <w:rPr>
              <w:rFonts w:cs="Arial"/>
              <w:szCs w:val="24"/>
            </w:rPr>
            <w:t>Columbus</w:t>
          </w:r>
        </w:smartTag>
        <w:r>
          <w:rPr>
            <w:rFonts w:cs="Arial"/>
            <w:szCs w:val="24"/>
          </w:rPr>
          <w:t xml:space="preserve">, </w:t>
        </w:r>
        <w:smartTag w:uri="urn:schemas-microsoft-com:office:smarttags" w:element="State">
          <w:r>
            <w:rPr>
              <w:rFonts w:cs="Arial"/>
              <w:szCs w:val="24"/>
            </w:rPr>
            <w:t>OH</w:t>
          </w:r>
        </w:smartTag>
        <w:r>
          <w:rPr>
            <w:rFonts w:cs="Arial"/>
            <w:szCs w:val="24"/>
          </w:rPr>
          <w:t xml:space="preserve">  </w:t>
        </w:r>
        <w:smartTag w:uri="urn:schemas-microsoft-com:office:smarttags" w:element="State">
          <w:r>
            <w:rPr>
              <w:rFonts w:cs="Arial"/>
              <w:szCs w:val="24"/>
            </w:rPr>
            <w:t>43215</w:t>
          </w:r>
        </w:smartTag>
      </w:smartTag>
    </w:p>
    <w:p w:rsidR="00A6021C" w:rsidRDefault="006D2076">
      <w:pPr>
        <w:autoSpaceDE w:val="0"/>
        <w:autoSpaceDN w:val="0"/>
        <w:adjustRightInd w:val="0"/>
        <w:ind w:left="3600" w:firstLine="720"/>
        <w:rPr>
          <w:rFonts w:cs="Arial"/>
          <w:szCs w:val="24"/>
        </w:rPr>
      </w:pPr>
      <w:r>
        <w:rPr>
          <w:rFonts w:cs="Arial"/>
          <w:szCs w:val="24"/>
        </w:rPr>
        <w:t>Telephone: 614-469-8000</w:t>
      </w:r>
    </w:p>
    <w:p w:rsidR="00A6021C" w:rsidRDefault="006D2076">
      <w:pPr>
        <w:autoSpaceDE w:val="0"/>
        <w:autoSpaceDN w:val="0"/>
        <w:adjustRightInd w:val="0"/>
        <w:ind w:left="3600" w:firstLine="720"/>
        <w:rPr>
          <w:rFonts w:cs="Arial"/>
          <w:bCs/>
          <w:smallCaps/>
          <w:szCs w:val="24"/>
        </w:rPr>
      </w:pPr>
      <w:r>
        <w:rPr>
          <w:rFonts w:cs="Arial"/>
          <w:szCs w:val="24"/>
        </w:rPr>
        <w:t xml:space="preserve">Telecopier: </w:t>
      </w:r>
      <w:r>
        <w:rPr>
          <w:rFonts w:cs="Arial"/>
          <w:bCs/>
          <w:smallCaps/>
          <w:szCs w:val="24"/>
        </w:rPr>
        <w:t>614-469-4653</w:t>
      </w:r>
    </w:p>
    <w:p w:rsidR="00A6021C" w:rsidRDefault="006D2076">
      <w:pPr>
        <w:ind w:left="4320"/>
        <w:jc w:val="both"/>
        <w:rPr>
          <w:szCs w:val="24"/>
        </w:rPr>
      </w:pPr>
      <w:r>
        <w:rPr>
          <w:rFonts w:cs="Arial"/>
          <w:szCs w:val="24"/>
        </w:rPr>
        <w:t>sam@mwncmh.com</w:t>
      </w:r>
    </w:p>
    <w:p w:rsidR="00A6021C" w:rsidRDefault="006D2076">
      <w:pPr>
        <w:ind w:left="4320"/>
        <w:jc w:val="both"/>
        <w:rPr>
          <w:rFonts w:cs="Arial"/>
          <w:szCs w:val="24"/>
        </w:rPr>
      </w:pPr>
      <w:r>
        <w:rPr>
          <w:rFonts w:cs="Arial"/>
          <w:szCs w:val="24"/>
        </w:rPr>
        <w:t>fdarr@mwncmh.com</w:t>
      </w:r>
    </w:p>
    <w:p w:rsidR="00A6021C" w:rsidRDefault="006D2076">
      <w:pPr>
        <w:ind w:left="4320"/>
        <w:jc w:val="both"/>
        <w:rPr>
          <w:rFonts w:cs="Arial"/>
          <w:szCs w:val="24"/>
        </w:rPr>
      </w:pPr>
      <w:r>
        <w:rPr>
          <w:rFonts w:cs="Arial"/>
          <w:szCs w:val="24"/>
        </w:rPr>
        <w:t>joliker@mwncmh.com</w:t>
      </w:r>
    </w:p>
    <w:p w:rsidR="00A6021C" w:rsidRDefault="006D2076">
      <w:pPr>
        <w:ind w:left="4320"/>
        <w:jc w:val="both"/>
        <w:rPr>
          <w:rFonts w:cs="Arial"/>
          <w:szCs w:val="24"/>
        </w:rPr>
      </w:pPr>
      <w:r>
        <w:rPr>
          <w:rFonts w:cs="Arial"/>
          <w:szCs w:val="24"/>
        </w:rPr>
        <w:t>mpritchard@mwncmh.com</w:t>
      </w:r>
      <w:r>
        <w:rPr>
          <w:rFonts w:cs="Arial"/>
          <w:szCs w:val="24"/>
        </w:rPr>
        <w:tab/>
      </w:r>
      <w:r>
        <w:rPr>
          <w:rFonts w:cs="Arial"/>
          <w:szCs w:val="24"/>
        </w:rPr>
        <w:tab/>
      </w:r>
    </w:p>
    <w:p w:rsidR="00A6021C" w:rsidRDefault="00A6021C">
      <w:pPr>
        <w:jc w:val="both"/>
        <w:rPr>
          <w:szCs w:val="24"/>
        </w:rPr>
      </w:pPr>
    </w:p>
    <w:p w:rsidR="00A6021C" w:rsidRDefault="006D2076">
      <w:pPr>
        <w:rPr>
          <w:b/>
          <w:smallCaps/>
          <w:szCs w:val="24"/>
        </w:rPr>
      </w:pPr>
      <w:r>
        <w:rPr>
          <w:b/>
          <w:szCs w:val="24"/>
        </w:rPr>
        <w:t>November 2, 2012</w:t>
      </w:r>
      <w:r>
        <w:rPr>
          <w:b/>
          <w:szCs w:val="24"/>
        </w:rPr>
        <w:tab/>
      </w:r>
      <w:r>
        <w:rPr>
          <w:szCs w:val="24"/>
        </w:rPr>
        <w:tab/>
      </w:r>
      <w:r>
        <w:rPr>
          <w:szCs w:val="24"/>
        </w:rPr>
        <w:tab/>
      </w:r>
      <w:r>
        <w:rPr>
          <w:b/>
          <w:smallCaps/>
          <w:szCs w:val="24"/>
        </w:rPr>
        <w:t>On Behalf of Industrial Energy Users-Ohio</w:t>
      </w:r>
    </w:p>
    <w:p w:rsidR="00A6021C" w:rsidRDefault="00A6021C">
      <w:pPr>
        <w:rPr>
          <w:b/>
          <w:smallCaps/>
          <w:szCs w:val="24"/>
        </w:rPr>
      </w:pPr>
    </w:p>
    <w:p w:rsidR="00A6021C" w:rsidRDefault="00A6021C">
      <w:pPr>
        <w:rPr>
          <w:szCs w:val="24"/>
        </w:rPr>
        <w:sectPr w:rsidR="00A6021C" w:rsidSect="007E6B9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A6021C" w:rsidRDefault="006D2076">
      <w:pPr>
        <w:tabs>
          <w:tab w:val="center" w:pos="4680"/>
        </w:tabs>
        <w:overflowPunct w:val="0"/>
        <w:autoSpaceDE w:val="0"/>
        <w:autoSpaceDN w:val="0"/>
        <w:adjustRightInd w:val="0"/>
        <w:jc w:val="center"/>
        <w:textAlignment w:val="baseline"/>
        <w:rPr>
          <w:rFonts w:cs="Arial"/>
          <w:b/>
          <w:bCs/>
          <w:smallCaps/>
          <w:szCs w:val="24"/>
        </w:rPr>
      </w:pPr>
      <w:r>
        <w:rPr>
          <w:rFonts w:cs="Arial"/>
          <w:b/>
          <w:bCs/>
          <w:smallCaps/>
          <w:szCs w:val="24"/>
        </w:rPr>
        <w:lastRenderedPageBreak/>
        <w:t>Before</w:t>
      </w:r>
    </w:p>
    <w:p w:rsidR="00A6021C" w:rsidRDefault="006D2076">
      <w:pPr>
        <w:tabs>
          <w:tab w:val="center" w:pos="4680"/>
        </w:tabs>
        <w:jc w:val="center"/>
        <w:rPr>
          <w:b/>
          <w:bCs/>
          <w:smallCaps/>
          <w:szCs w:val="24"/>
        </w:rPr>
      </w:pPr>
      <w:r>
        <w:rPr>
          <w:rFonts w:cs="Arial"/>
          <w:b/>
          <w:bCs/>
          <w:smallCaps/>
          <w:szCs w:val="24"/>
        </w:rPr>
        <w:t>The Public Utilities Commission Of Ohio</w:t>
      </w:r>
    </w:p>
    <w:p w:rsidR="00A6021C" w:rsidRDefault="00A6021C">
      <w:pPr>
        <w:autoSpaceDE w:val="0"/>
        <w:autoSpaceDN w:val="0"/>
        <w:adjustRightInd w:val="0"/>
        <w:jc w:val="center"/>
        <w:rPr>
          <w:szCs w:val="24"/>
        </w:rPr>
      </w:pPr>
    </w:p>
    <w:p w:rsidR="00A6021C" w:rsidRDefault="006D2076">
      <w:pPr>
        <w:tabs>
          <w:tab w:val="left" w:pos="-1440"/>
          <w:tab w:val="left" w:pos="-720"/>
          <w:tab w:val="left" w:pos="90"/>
          <w:tab w:val="left" w:pos="720"/>
          <w:tab w:val="left" w:pos="4320"/>
          <w:tab w:val="left" w:pos="5400"/>
        </w:tabs>
        <w:jc w:val="both"/>
        <w:rPr>
          <w:szCs w:val="24"/>
        </w:rPr>
      </w:pPr>
      <w:r>
        <w:rPr>
          <w:szCs w:val="24"/>
        </w:rPr>
        <w:t>In the Matter of the Annual Verification</w:t>
      </w:r>
      <w:r>
        <w:rPr>
          <w:szCs w:val="24"/>
        </w:rPr>
        <w:tab/>
        <w:t>)</w:t>
      </w:r>
    </w:p>
    <w:p w:rsidR="00A6021C" w:rsidRDefault="006D2076">
      <w:pPr>
        <w:tabs>
          <w:tab w:val="left" w:pos="-1440"/>
          <w:tab w:val="left" w:pos="-720"/>
          <w:tab w:val="left" w:pos="90"/>
          <w:tab w:val="left" w:pos="720"/>
          <w:tab w:val="left" w:pos="4320"/>
          <w:tab w:val="left" w:pos="5400"/>
        </w:tabs>
        <w:jc w:val="both"/>
        <w:rPr>
          <w:szCs w:val="24"/>
        </w:rPr>
      </w:pPr>
      <w:r>
        <w:rPr>
          <w:szCs w:val="24"/>
        </w:rPr>
        <w:t>of the Energy Efficiency and Peak</w:t>
      </w:r>
      <w:r>
        <w:rPr>
          <w:szCs w:val="24"/>
        </w:rPr>
        <w:tab/>
        <w:t>)</w:t>
      </w:r>
    </w:p>
    <w:p w:rsidR="00A6021C" w:rsidRDefault="006D2076">
      <w:pPr>
        <w:tabs>
          <w:tab w:val="left" w:pos="-1440"/>
          <w:tab w:val="left" w:pos="-720"/>
          <w:tab w:val="left" w:pos="90"/>
          <w:tab w:val="left" w:pos="720"/>
          <w:tab w:val="left" w:pos="4320"/>
          <w:tab w:val="left" w:pos="5040"/>
          <w:tab w:val="left" w:pos="5400"/>
        </w:tabs>
        <w:jc w:val="both"/>
        <w:rPr>
          <w:szCs w:val="24"/>
        </w:rPr>
      </w:pPr>
      <w:r>
        <w:rPr>
          <w:szCs w:val="24"/>
        </w:rPr>
        <w:t xml:space="preserve">Demand Reductions Achieved by the </w:t>
      </w:r>
      <w:r>
        <w:rPr>
          <w:szCs w:val="24"/>
        </w:rPr>
        <w:tab/>
        <w:t>)</w:t>
      </w:r>
      <w:r>
        <w:rPr>
          <w:szCs w:val="24"/>
        </w:rPr>
        <w:tab/>
        <w:t>Case No. 12-665-EL-UNC</w:t>
      </w:r>
    </w:p>
    <w:p w:rsidR="00A6021C" w:rsidRDefault="006D2076">
      <w:pPr>
        <w:tabs>
          <w:tab w:val="left" w:pos="-1440"/>
          <w:tab w:val="left" w:pos="-720"/>
          <w:tab w:val="left" w:pos="90"/>
          <w:tab w:val="left" w:pos="720"/>
          <w:tab w:val="left" w:pos="4320"/>
          <w:tab w:val="left" w:pos="5040"/>
          <w:tab w:val="left" w:pos="5400"/>
        </w:tabs>
        <w:jc w:val="both"/>
        <w:rPr>
          <w:szCs w:val="24"/>
        </w:rPr>
      </w:pPr>
      <w:r>
        <w:rPr>
          <w:szCs w:val="24"/>
        </w:rPr>
        <w:t>Electric Distribution Utilities Pursuant</w:t>
      </w:r>
      <w:r>
        <w:rPr>
          <w:szCs w:val="24"/>
        </w:rPr>
        <w:tab/>
        <w:t>)</w:t>
      </w:r>
    </w:p>
    <w:p w:rsidR="00A6021C" w:rsidRDefault="006D2076">
      <w:pPr>
        <w:tabs>
          <w:tab w:val="left" w:pos="-1440"/>
          <w:tab w:val="left" w:pos="-720"/>
          <w:tab w:val="left" w:pos="90"/>
          <w:tab w:val="left" w:pos="720"/>
          <w:tab w:val="left" w:pos="4320"/>
          <w:tab w:val="left" w:pos="5040"/>
          <w:tab w:val="left" w:pos="5400"/>
        </w:tabs>
        <w:jc w:val="both"/>
        <w:rPr>
          <w:szCs w:val="24"/>
        </w:rPr>
      </w:pPr>
      <w:r>
        <w:rPr>
          <w:szCs w:val="24"/>
        </w:rPr>
        <w:t>to Section 4928.66, Revised Code</w:t>
      </w:r>
      <w:r>
        <w:rPr>
          <w:szCs w:val="24"/>
        </w:rPr>
        <w:tab/>
        <w:t>)</w:t>
      </w:r>
    </w:p>
    <w:p w:rsidR="00A6021C" w:rsidRDefault="00A6021C">
      <w:pPr>
        <w:tabs>
          <w:tab w:val="left" w:pos="-1440"/>
          <w:tab w:val="left" w:pos="-720"/>
          <w:tab w:val="left" w:pos="90"/>
          <w:tab w:val="left" w:pos="720"/>
          <w:tab w:val="left" w:pos="4680"/>
          <w:tab w:val="left" w:pos="5400"/>
        </w:tabs>
        <w:jc w:val="both"/>
        <w:rPr>
          <w:szCs w:val="24"/>
        </w:rPr>
      </w:pPr>
    </w:p>
    <w:p w:rsidR="00A6021C" w:rsidRDefault="00A6021C">
      <w:pPr>
        <w:tabs>
          <w:tab w:val="left" w:pos="-1440"/>
          <w:tab w:val="left" w:pos="-720"/>
          <w:tab w:val="left" w:pos="90"/>
          <w:tab w:val="left" w:pos="720"/>
          <w:tab w:val="left" w:pos="4680"/>
          <w:tab w:val="left" w:pos="5400"/>
        </w:tabs>
        <w:jc w:val="both"/>
        <w:rPr>
          <w:b/>
          <w:szCs w:val="24"/>
        </w:rPr>
      </w:pPr>
    </w:p>
    <w:p w:rsidR="00A6021C" w:rsidRDefault="00A6021C">
      <w:pPr>
        <w:pBdr>
          <w:top w:val="single" w:sz="12" w:space="1" w:color="auto"/>
        </w:pBdr>
        <w:tabs>
          <w:tab w:val="left" w:pos="-1440"/>
          <w:tab w:val="left" w:pos="-720"/>
          <w:tab w:val="left" w:pos="90"/>
          <w:tab w:val="left" w:pos="720"/>
          <w:tab w:val="left" w:pos="4680"/>
          <w:tab w:val="left" w:pos="5400"/>
        </w:tabs>
        <w:jc w:val="both"/>
        <w:rPr>
          <w:b/>
          <w:szCs w:val="24"/>
        </w:rPr>
      </w:pPr>
    </w:p>
    <w:p w:rsidR="00A6021C" w:rsidRDefault="006D2076">
      <w:pPr>
        <w:jc w:val="center"/>
        <w:rPr>
          <w:b/>
        </w:rPr>
      </w:pPr>
      <w:r>
        <w:rPr>
          <w:b/>
        </w:rPr>
        <w:t>COMMENTS OF INDUSTRIAL ENERGY USERS-OHIO</w:t>
      </w:r>
    </w:p>
    <w:p w:rsidR="00A6021C" w:rsidRDefault="00A6021C">
      <w:pPr>
        <w:tabs>
          <w:tab w:val="left" w:pos="-1440"/>
          <w:tab w:val="left" w:pos="-720"/>
          <w:tab w:val="left" w:pos="90"/>
          <w:tab w:val="left" w:pos="720"/>
          <w:tab w:val="left" w:pos="4680"/>
          <w:tab w:val="left" w:pos="5400"/>
        </w:tabs>
        <w:jc w:val="both"/>
        <w:rPr>
          <w:b/>
          <w:szCs w:val="24"/>
        </w:rPr>
      </w:pPr>
    </w:p>
    <w:p w:rsidR="00A6021C" w:rsidRDefault="00A6021C">
      <w:pPr>
        <w:pBdr>
          <w:top w:val="single" w:sz="12" w:space="1" w:color="auto"/>
        </w:pBdr>
        <w:tabs>
          <w:tab w:val="left" w:pos="-1440"/>
          <w:tab w:val="left" w:pos="-720"/>
          <w:tab w:val="left" w:pos="90"/>
          <w:tab w:val="left" w:pos="720"/>
          <w:tab w:val="left" w:pos="4680"/>
          <w:tab w:val="left" w:pos="5400"/>
        </w:tabs>
        <w:jc w:val="both"/>
        <w:rPr>
          <w:b/>
          <w:szCs w:val="24"/>
        </w:rPr>
      </w:pPr>
    </w:p>
    <w:p w:rsidR="00A6021C" w:rsidRDefault="00A6021C"/>
    <w:p w:rsidR="00A6021C" w:rsidRDefault="006D2076">
      <w:pPr>
        <w:pStyle w:val="Heading1"/>
      </w:pPr>
      <w:r>
        <w:t>Introduction</w:t>
      </w:r>
    </w:p>
    <w:p w:rsidR="00A6021C" w:rsidRDefault="006D2076">
      <w:pPr>
        <w:spacing w:line="480" w:lineRule="auto"/>
        <w:jc w:val="both"/>
      </w:pPr>
      <w:r>
        <w:tab/>
        <w:t>On January 27, 2010, the Public Utilities Commission of Ohio (“Commission”) directed the Commission Staff (“Staff”) to issue a request for proposal to obtain a qualified engineering consultant to serve as the statewide Independent Program Evaluator (“Evaluator”).</w:t>
      </w:r>
      <w:r w:rsidR="00605389">
        <w:rPr>
          <w:rStyle w:val="FootnoteReference"/>
        </w:rPr>
        <w:footnoteReference w:id="1"/>
      </w:r>
      <w:r>
        <w:t xml:space="preserve">  The Evaluator’s scope of work included “(a) evaluating and validating the electric energy savings and peak demand reductions resulting from each approved electric utility program and mercantile customer activity; (b) determining program and portfolio cost-effectiveness; and (c) conducting some program process evaluations of energy efficiency programs.”</w:t>
      </w:r>
      <w:r>
        <w:rPr>
          <w:rStyle w:val="FootnoteReference"/>
        </w:rPr>
        <w:footnoteReference w:id="2"/>
      </w:r>
      <w:r>
        <w:t xml:space="preserve">  By subsequent entries, the Commission approved Evergreen Economics (“Evergreen”) to conduct the evaluation.</w:t>
      </w:r>
      <w:r>
        <w:rPr>
          <w:rStyle w:val="FootnoteReference"/>
        </w:rPr>
        <w:footnoteReference w:id="3"/>
      </w:r>
      <w:r>
        <w:t xml:space="preserve">  On August 29, 2012, the Staff filed Evergreen’s “Report of the Ohio Independent Evaluator” </w:t>
      </w:r>
      <w:r>
        <w:lastRenderedPageBreak/>
        <w:t>(“Report”) for 2009 and 2010.  On October 3, 2012, the Commission established a comment period and invited comments and reply comments.</w:t>
      </w:r>
      <w:r w:rsidR="003A71D7">
        <w:rPr>
          <w:rStyle w:val="FootnoteReference"/>
        </w:rPr>
        <w:footnoteReference w:id="4"/>
      </w:r>
    </w:p>
    <w:p w:rsidR="00894E2C" w:rsidRDefault="006D2076">
      <w:pPr>
        <w:spacing w:line="480" w:lineRule="auto"/>
        <w:jc w:val="both"/>
      </w:pPr>
      <w:r>
        <w:tab/>
        <w:t xml:space="preserve">In the Report, Evergreen advances two recommendations that the Commission should reject.  First, Evergreen urges that the baseline for one mercantile customer-sited </w:t>
      </w:r>
      <w:r w:rsidR="003A71D7">
        <w:t>project</w:t>
      </w:r>
      <w:r w:rsidR="00EF4B2E">
        <w:t xml:space="preserve"> </w:t>
      </w:r>
      <w:r>
        <w:t>be changed, reducing the energy savings claimed by AEP-Ohio by 74%</w:t>
      </w:r>
      <w:r w:rsidR="00A83CB1">
        <w:t xml:space="preserve"> for that mercantile customer</w:t>
      </w:r>
      <w:r>
        <w:t>.</w:t>
      </w:r>
      <w:r>
        <w:rPr>
          <w:rStyle w:val="FootnoteReference"/>
        </w:rPr>
        <w:footnoteReference w:id="5"/>
      </w:r>
      <w:r>
        <w:t xml:space="preserve">  Second, it recommends that the Evaluator’s role be expanded to “involve helping utilities and PUCO staff review the application savings calculations as they are being submitted for approval for those projects where there may be disagreement on determining the appropriate baseline.”</w:t>
      </w:r>
      <w:r>
        <w:rPr>
          <w:rStyle w:val="FootnoteReference"/>
        </w:rPr>
        <w:footnoteReference w:id="6"/>
      </w:r>
      <w:r>
        <w:t xml:space="preserve">  </w:t>
      </w:r>
    </w:p>
    <w:p w:rsidR="00A6021C" w:rsidRDefault="00894E2C" w:rsidP="00894E2C">
      <w:pPr>
        <w:spacing w:line="480" w:lineRule="auto"/>
        <w:ind w:firstLine="720"/>
        <w:jc w:val="both"/>
      </w:pPr>
      <w:r>
        <w:t>Evergreen’s recommendations highlight the continuing misapplication of the requirements contained in Sections 4928.64 and 4928.66, Revised Code.  As the Commission is well aware, it has the authority and is required to measure compliance with the State’s energy efficiency requirements by including the effects of all mercantile customer-sited capabilities.</w:t>
      </w:r>
      <w:r>
        <w:rPr>
          <w:rStyle w:val="FootnoteReference"/>
        </w:rPr>
        <w:footnoteReference w:id="7"/>
      </w:r>
      <w:r w:rsidR="00C956B3">
        <w:t xml:space="preserve">  </w:t>
      </w:r>
      <w:r w:rsidR="006D2076">
        <w:t xml:space="preserve">Because the two recommendations addressing mercantile </w:t>
      </w:r>
      <w:r w:rsidR="006D2076">
        <w:lastRenderedPageBreak/>
        <w:t xml:space="preserve">customer-sited </w:t>
      </w:r>
      <w:r w:rsidR="00A83CB1">
        <w:t>capabilities</w:t>
      </w:r>
      <w:r w:rsidR="006D2076">
        <w:t xml:space="preserve"> are based on an unlawful and unreasonable application of Section 4928.66, Revised Code, the Commission should reject them.</w:t>
      </w:r>
    </w:p>
    <w:p w:rsidR="00A6021C" w:rsidRDefault="006D2076">
      <w:pPr>
        <w:pStyle w:val="Heading1"/>
      </w:pPr>
      <w:r>
        <w:t>DISCUSSION</w:t>
      </w:r>
    </w:p>
    <w:p w:rsidR="00A6021C" w:rsidRDefault="00EF4B2E">
      <w:pPr>
        <w:pStyle w:val="Heading2"/>
      </w:pPr>
      <w:r>
        <w:t xml:space="preserve">Evergreen’s recommendation to reduce the energy savings associated with </w:t>
      </w:r>
      <w:r w:rsidR="00450CBE">
        <w:t xml:space="preserve">the energy efficiency improvements of an </w:t>
      </w:r>
      <w:r>
        <w:t>AEP-Ohio mercantile customer by 74% is unlawful and unreasonable because the calculation of mercantile customer energy efficiency improvements should be based on the as-found method.</w:t>
      </w:r>
    </w:p>
    <w:p w:rsidR="00A6021C" w:rsidRDefault="006D2076">
      <w:pPr>
        <w:spacing w:line="480" w:lineRule="auto"/>
        <w:ind w:firstLine="720"/>
        <w:jc w:val="both"/>
      </w:pPr>
      <w:r>
        <w:t xml:space="preserve">Evergreen recommends that the </w:t>
      </w:r>
      <w:r w:rsidR="00450CBE">
        <w:t>energy efficiency improvements of an</w:t>
      </w:r>
      <w:r w:rsidR="00A83CB1">
        <w:t xml:space="preserve"> AEP</w:t>
      </w:r>
      <w:r w:rsidR="00450CBE">
        <w:t>-Ohio mercantile customer</w:t>
      </w:r>
      <w:r>
        <w:t xml:space="preserve"> be recalculated </w:t>
      </w:r>
      <w:r w:rsidR="004A0558">
        <w:t xml:space="preserve">and reduced by applying </w:t>
      </w:r>
      <w:r>
        <w:t xml:space="preserve">a hypothetical </w:t>
      </w:r>
      <w:r w:rsidR="004A0558">
        <w:t>measure</w:t>
      </w:r>
      <w:r w:rsidR="00A13B59">
        <w:t xml:space="preserve"> of the baseline for the calculation</w:t>
      </w:r>
      <w:r>
        <w:t>.</w:t>
      </w:r>
      <w:r>
        <w:rPr>
          <w:vertAlign w:val="superscript"/>
        </w:rPr>
        <w:footnoteReference w:id="8"/>
      </w:r>
      <w:r>
        <w:t xml:space="preserve">  At issue is the appropriate starting point for measuring the energy efficiency </w:t>
      </w:r>
      <w:r w:rsidR="00450CBE">
        <w:t xml:space="preserve">improvement </w:t>
      </w:r>
      <w:r w:rsidR="004A0558">
        <w:t>that is eligible to be counted for compliance purposes</w:t>
      </w:r>
      <w:r>
        <w:t>.  According to Evergreen, “the replacement baseline should be used (i.e., savings should be calculated compared to standard efficiency new equipment) while the AEP Ohio evaluation team believes that this should be considered as a retrofit project, where savings are calculated relative to the usage of equipment previously in place.”</w:t>
      </w:r>
      <w:r>
        <w:rPr>
          <w:vertAlign w:val="superscript"/>
        </w:rPr>
        <w:footnoteReference w:id="9"/>
      </w:r>
      <w:r>
        <w:t xml:space="preserve">  In rejecting AEP-Ohio’s characterization of the </w:t>
      </w:r>
      <w:r w:rsidR="00A83CB1">
        <w:t>mercantile customer commitment of its energy efficiency capability</w:t>
      </w:r>
      <w:r>
        <w:t>, Evergreen</w:t>
      </w:r>
      <w:r w:rsidR="004A0558">
        <w:t>’s</w:t>
      </w:r>
      <w:r>
        <w:t xml:space="preserve"> </w:t>
      </w:r>
      <w:r w:rsidR="004A0558">
        <w:t xml:space="preserve">recommendation relies </w:t>
      </w:r>
      <w:r>
        <w:t xml:space="preserve">on the </w:t>
      </w:r>
      <w:r w:rsidR="004A0558">
        <w:t xml:space="preserve">draft </w:t>
      </w:r>
      <w:r>
        <w:t>Technical Reference Manual (“TRM”)</w:t>
      </w:r>
      <w:r w:rsidR="004A0558">
        <w:t>, even though the draft TRM remains the subject of a Commission order granting rehearing of the measurement of mercantile customer-sited energy efficiency capabilities</w:t>
      </w:r>
      <w:r>
        <w:t>.</w:t>
      </w:r>
      <w:r>
        <w:rPr>
          <w:vertAlign w:val="superscript"/>
        </w:rPr>
        <w:footnoteReference w:id="10"/>
      </w:r>
      <w:r>
        <w:t xml:space="preserve">  The recommendation should be rejected because its </w:t>
      </w:r>
      <w:r>
        <w:lastRenderedPageBreak/>
        <w:t xml:space="preserve">acceptance would result in an unambiguous violation of Section 4928.66, Revised Code.  </w:t>
      </w:r>
    </w:p>
    <w:p w:rsidR="00A6021C" w:rsidRDefault="006D2076">
      <w:pPr>
        <w:spacing w:line="480" w:lineRule="auto"/>
        <w:ind w:firstLine="720"/>
        <w:jc w:val="both"/>
      </w:pPr>
      <w:r>
        <w:t xml:space="preserve">Compliance with Section 4928.66, Revised Code, in any given year, is measured against a baseline that is computed as the average of the three prior years (subject to such baseline adjustments as the Commission may make under the law).  Section 4928.64, Revised Code, defines the mercantile resources that are eligible to count towards compliance as those which meet the substantive resource definitions (“advanced” and “renewable”).  Section 4928.64(A)(1), Revised Code, defines “alternative energy resource” as an “advanced energy resource” or “renewable energy resource” (defined in Section 4928.01, Revised Code) or </w:t>
      </w:r>
      <w:r w:rsidRPr="003A71D7">
        <w:rPr>
          <w:bCs/>
          <w:i/>
        </w:rPr>
        <w:t>mercantile customer-sited advanced energy resource or renewable energy resource</w:t>
      </w:r>
      <w:r>
        <w:t xml:space="preserve"> (new or existing) that the mercantile customer commits for integration </w:t>
      </w:r>
      <w:r w:rsidR="004A0558">
        <w:t>to</w:t>
      </w:r>
      <w:r>
        <w:t xml:space="preserve"> the electric distribution utility’s (“EDU”) </w:t>
      </w:r>
      <w:r w:rsidR="004A0558">
        <w:t>compliance with energy efficiency, peak demand response and reduction requirements</w:t>
      </w:r>
      <w:r>
        <w:t xml:space="preserve"> as provided </w:t>
      </w:r>
      <w:r>
        <w:rPr>
          <w:bCs/>
        </w:rPr>
        <w:t>under Section 4928.66 (A)(2)(c), Revised Code</w:t>
      </w:r>
      <w:r>
        <w:t>.  The</w:t>
      </w:r>
      <w:r>
        <w:rPr>
          <w:bCs/>
        </w:rPr>
        <w:t xml:space="preserve"> definition of an “advanced energy resource”</w:t>
      </w:r>
      <w:r>
        <w:rPr>
          <w:b/>
          <w:bCs/>
        </w:rPr>
        <w:t xml:space="preserve"> </w:t>
      </w:r>
      <w:r>
        <w:t>(Section 4928.01(A)(34), Revised Code)</w:t>
      </w:r>
      <w:r>
        <w:rPr>
          <w:b/>
          <w:bCs/>
        </w:rPr>
        <w:t xml:space="preserve"> </w:t>
      </w:r>
      <w:r>
        <w:rPr>
          <w:bCs/>
        </w:rPr>
        <w:t>includes demand side-management and any energy efficiency improvement</w:t>
      </w:r>
      <w:r>
        <w:t xml:space="preserve">.  In addition, “advanced energy project” is defined in Section 4928.01(A)(25), Revised Code.  It means </w:t>
      </w:r>
      <w:r>
        <w:rPr>
          <w:bCs/>
        </w:rPr>
        <w:t>any</w:t>
      </w:r>
      <w:r>
        <w:t xml:space="preserve"> technologies, products, activities, management practices, or strategies that facilitate the generation or use of electricity, and that reduce or support the reduction of energy consumption or support the production of clean, renewable energy for industrial, distribution, commercial, institutional, governmental, research, not-for-profit or residential energy users.  </w:t>
      </w:r>
    </w:p>
    <w:p w:rsidR="00A6021C" w:rsidRDefault="006D2076">
      <w:pPr>
        <w:spacing w:line="480" w:lineRule="auto"/>
        <w:ind w:firstLine="720"/>
        <w:jc w:val="both"/>
      </w:pPr>
      <w:r>
        <w:rPr>
          <w:bCs/>
        </w:rPr>
        <w:t>Section 4928.66(A)(2)(c), Revised Code</w:t>
      </w:r>
      <w:r>
        <w:t xml:space="preserve">, directs the Commission to count such resources against the compliance requirement when the mercantile customer commits </w:t>
      </w:r>
      <w:r>
        <w:lastRenderedPageBreak/>
        <w:t xml:space="preserve">the eligible resource for integration into the EDU’s demand response, energy efficiency, or peak demand reduction programs.  Section 4928.66, Revised Code, directs the Commission to measure </w:t>
      </w:r>
      <w:r w:rsidRPr="00857205">
        <w:rPr>
          <w:bCs/>
          <w:i/>
        </w:rPr>
        <w:t>compliance</w:t>
      </w:r>
      <w:r>
        <w:t xml:space="preserve"> with divisions (A)(1)(a) and (b) by including the </w:t>
      </w:r>
      <w:r>
        <w:rPr>
          <w:bCs/>
        </w:rPr>
        <w:t>effects</w:t>
      </w:r>
      <w:r>
        <w:t xml:space="preserve"> of all demand response </w:t>
      </w:r>
      <w:r w:rsidR="004A0558">
        <w:t>capabilities</w:t>
      </w:r>
      <w:r>
        <w:t xml:space="preserve"> </w:t>
      </w:r>
      <w:r w:rsidR="004A0558">
        <w:t>of</w:t>
      </w:r>
      <w:r>
        <w:t xml:space="preserve"> mercantile customers of the subject EDU and all such mercantile customer-sited energy efficiency and peak demand reduction </w:t>
      </w:r>
      <w:r w:rsidR="004A0558">
        <w:t>capabilities</w:t>
      </w:r>
      <w:r>
        <w:t xml:space="preserve"> adjusted upward by appropriate loss factors.  Section 4928.66(A)(2)(d), Revised Code, states that the Commission is to apply this compliance language to facilitate efforts by a mercantile customer or group of mercantile customers to offer customer-sited demand response and energy efficiency or peak demand reduction </w:t>
      </w:r>
      <w:r>
        <w:rPr>
          <w:bCs/>
        </w:rPr>
        <w:t>capabilities</w:t>
      </w:r>
      <w:r>
        <w:t xml:space="preserve"> to the EDU as part of a Section 4905.31, Revised Code, reasonable arrangement.  When an EDU develops and implements, as part of its Section 4928.66, Revised Code</w:t>
      </w:r>
      <w:r w:rsidR="00790A1C">
        <w:t>,</w:t>
      </w:r>
      <w:r>
        <w:t xml:space="preserve"> or Section 4928.64, Revised Code, compliance effort, programs that are designed to harvest the new and existing customer-sited capabilities of mercantile customers, the Commission must include (in the compliance count) the </w:t>
      </w:r>
      <w:r w:rsidRPr="00857205">
        <w:rPr>
          <w:bCs/>
          <w:i/>
        </w:rPr>
        <w:t>effects</w:t>
      </w:r>
      <w:r>
        <w:t xml:space="preserve"> of </w:t>
      </w:r>
      <w:r w:rsidRPr="00857205">
        <w:rPr>
          <w:i/>
        </w:rPr>
        <w:t>any</w:t>
      </w:r>
      <w:r w:rsidRPr="00ED3872">
        <w:t xml:space="preserve"> </w:t>
      </w:r>
      <w:r>
        <w:t xml:space="preserve">and </w:t>
      </w:r>
      <w:r w:rsidRPr="00857205">
        <w:rPr>
          <w:bCs/>
          <w:i/>
        </w:rPr>
        <w:t>all</w:t>
      </w:r>
      <w:r w:rsidRPr="00ED3872">
        <w:t xml:space="preserve"> </w:t>
      </w:r>
      <w:r>
        <w:t xml:space="preserve">demand response </w:t>
      </w:r>
      <w:r w:rsidR="004A0558">
        <w:t>capabilities</w:t>
      </w:r>
      <w:r>
        <w:t xml:space="preserve"> for mercantile customers of the subject EDU and </w:t>
      </w:r>
      <w:r w:rsidRPr="00450CBE">
        <w:rPr>
          <w:i/>
        </w:rPr>
        <w:t>all</w:t>
      </w:r>
      <w:r>
        <w:t xml:space="preserve"> such mercantile customer-sited energy efficiency and peak demand reduction </w:t>
      </w:r>
      <w:r w:rsidR="00354BDC">
        <w:t>capabilities</w:t>
      </w:r>
      <w:r>
        <w:t xml:space="preserve"> adjusted upwards by appropriate loss factors.  </w:t>
      </w:r>
    </w:p>
    <w:p w:rsidR="00A6021C" w:rsidRDefault="006D2076">
      <w:pPr>
        <w:spacing w:line="480" w:lineRule="auto"/>
        <w:ind w:firstLine="720"/>
        <w:jc w:val="both"/>
      </w:pPr>
      <w:r>
        <w:t xml:space="preserve">Section 4928.66(A)(2)(c), Revised Code, states that the Commission may exempt a mercantile customer from any Section 4928.66(A)(1)(a) and (b), Revised Code, compliance cost recovery mechanism when the mercantile customer commits its demand response or other new or existing customer-sited </w:t>
      </w:r>
      <w:r w:rsidRPr="00857205">
        <w:rPr>
          <w:bCs/>
        </w:rPr>
        <w:t>capabilities</w:t>
      </w:r>
      <w:r>
        <w:t xml:space="preserve"> for integration into the EDU’s demand response, energy efficiency or peak demand reduction programs if the Commission determines that the exemption will reasonably encourage such customers to commit those </w:t>
      </w:r>
      <w:r w:rsidRPr="00857205">
        <w:rPr>
          <w:bCs/>
        </w:rPr>
        <w:t>capabilities</w:t>
      </w:r>
      <w:r>
        <w:t xml:space="preserve">.  If the mercantile customer makes such </w:t>
      </w:r>
      <w:r>
        <w:lastRenderedPageBreak/>
        <w:t xml:space="preserve">new or existing capabilities available to the EDU pursuant to Section 4928.66(A)(2)(c), Revised Code, the EDU’s compliance baseline shall be adjusted to exclude the effects of all </w:t>
      </w:r>
      <w:r>
        <w:rPr>
          <w:bCs/>
        </w:rPr>
        <w:t>such</w:t>
      </w:r>
      <w:r>
        <w:t xml:space="preserve"> demand response, energy efficiency or peak demand reduction </w:t>
      </w:r>
      <w:r w:rsidR="00EF4B2E">
        <w:t>capabilities</w:t>
      </w:r>
      <w:r>
        <w:t xml:space="preserve"> that may have existed during the period used to establish the baseline.  </w:t>
      </w:r>
    </w:p>
    <w:p w:rsidR="00A6021C" w:rsidRDefault="006D2076">
      <w:pPr>
        <w:spacing w:line="480" w:lineRule="auto"/>
        <w:ind w:firstLine="720"/>
        <w:jc w:val="both"/>
      </w:pPr>
      <w:r>
        <w:t xml:space="preserve">Section 4928.66(A)(2)(c), Revised Code, thus, requires that compliance with energy efficiency </w:t>
      </w:r>
      <w:r w:rsidR="00354BDC">
        <w:t>requirements</w:t>
      </w:r>
      <w:r>
        <w:t xml:space="preserve"> of the EDU shall be measured by including all mercantile customer-sited energy efficiency </w:t>
      </w:r>
      <w:r w:rsidR="00354BDC">
        <w:t>capabilities using</w:t>
      </w:r>
      <w:r>
        <w:t xml:space="preserve"> what has become known as the “as-found” method.  Under the as-found method, the baseline for energy savings is the efficiency rating of the existing equipment at the time of replacement.</w:t>
      </w:r>
      <w:r>
        <w:rPr>
          <w:rStyle w:val="FootnoteReference"/>
        </w:rPr>
        <w:footnoteReference w:id="11"/>
      </w:r>
      <w:r>
        <w:t xml:space="preserve">  </w:t>
      </w:r>
    </w:p>
    <w:p w:rsidR="00A6021C" w:rsidRDefault="006D2076">
      <w:pPr>
        <w:spacing w:line="480" w:lineRule="auto"/>
        <w:jc w:val="both"/>
      </w:pPr>
      <w:r>
        <w:tab/>
        <w:t>Evergreen’s recomm</w:t>
      </w:r>
      <w:r w:rsidR="00A13B59">
        <w:t>endation to reduce an AEP-Ohio</w:t>
      </w:r>
      <w:bookmarkStart w:id="0" w:name="_GoBack"/>
      <w:bookmarkEnd w:id="0"/>
      <w:r>
        <w:t xml:space="preserve"> mercantile customer’s energy efficiency improvement by 74% </w:t>
      </w:r>
      <w:r w:rsidR="00354BDC">
        <w:t>through the substitution of a hypothetical measurement method for</w:t>
      </w:r>
      <w:r>
        <w:t xml:space="preserve"> the as-found method, therefore, is unlawful and </w:t>
      </w:r>
      <w:r w:rsidR="003970FD">
        <w:t>suggests</w:t>
      </w:r>
      <w:r>
        <w:t xml:space="preserve"> Evergreen’s bias regarding Ohio law.</w:t>
      </w:r>
      <w:r>
        <w:rPr>
          <w:rStyle w:val="FootnoteReference"/>
        </w:rPr>
        <w:footnoteReference w:id="12"/>
      </w:r>
      <w:r>
        <w:t xml:space="preserve">  </w:t>
      </w:r>
      <w:r w:rsidR="00354BDC">
        <w:t>The practical consequence of Evergreen’s recommendation is to increase the performance required to achieve compliance</w:t>
      </w:r>
      <w:r w:rsidR="003970FD">
        <w:t>,</w:t>
      </w:r>
      <w:r w:rsidR="00354BDC">
        <w:t xml:space="preserve"> and the cost for that compliance will be passed </w:t>
      </w:r>
      <w:r w:rsidR="00790A1C">
        <w:t xml:space="preserve">on </w:t>
      </w:r>
      <w:r w:rsidR="00354BDC">
        <w:t xml:space="preserve">to customers.  </w:t>
      </w:r>
      <w:r>
        <w:t xml:space="preserve">As discussed above, Section 4928.66, Revised Code, permits the EDU to treat for compliance purposes all efficiency improvements that have been committed by mercantile customers.  The Revised Code does not permit the Commission to discount the energy efficiency improvement “compared to standard efficiency new equipment,” as Evergreen recommends.  </w:t>
      </w:r>
    </w:p>
    <w:p w:rsidR="00A83CB1" w:rsidRPr="00A83CB1" w:rsidRDefault="00DE0C98" w:rsidP="00A83CB1">
      <w:pPr>
        <w:spacing w:line="480" w:lineRule="auto"/>
        <w:jc w:val="both"/>
      </w:pPr>
      <w:r>
        <w:lastRenderedPageBreak/>
        <w:tab/>
      </w:r>
      <w:r w:rsidR="00A83CB1" w:rsidRPr="00A83CB1">
        <w:t>Furthermore, Evergreen’s recommendation produces a non-symmetrical compliance obligation because Evergreen’s recommendation does not reduce the actual (as-found) three year average of kilowatt hour sales of the EDU</w:t>
      </w:r>
      <w:r w:rsidR="00A83CB1">
        <w:rPr>
          <w:rStyle w:val="FootnoteReference"/>
        </w:rPr>
        <w:footnoteReference w:id="13"/>
      </w:r>
      <w:r w:rsidR="00A83CB1" w:rsidRPr="00A83CB1">
        <w:rPr>
          <w:vertAlign w:val="superscript"/>
        </w:rPr>
        <w:t xml:space="preserve"> </w:t>
      </w:r>
      <w:r w:rsidR="00A83CB1" w:rsidRPr="00A83CB1">
        <w:t> to reflect the hypothetical compliance measurement yardstick that E</w:t>
      </w:r>
      <w:r w:rsidR="00A83CB1">
        <w:t xml:space="preserve">vergreen proposes to introduce </w:t>
      </w:r>
      <w:r w:rsidR="00A83CB1" w:rsidRPr="00A83CB1">
        <w:t>for purposes of measuring the energy efficiency savings associated with a mercantile customer’s installation of new equipment.  In other words, Evergreen is proposing that the Commission use a hypothetical numerator that reduces the amount of compliance while maintaining an “as</w:t>
      </w:r>
      <w:r w:rsidR="00790A1C">
        <w:t>-</w:t>
      </w:r>
      <w:r w:rsidR="00A83CB1" w:rsidRPr="00A83CB1">
        <w:t>found” denominator.  This non-symmetrical introduction of a hypothetical compliance measurement yardstick (one that reduces the amount of compliance that would be recognized by the “as</w:t>
      </w:r>
      <w:r w:rsidR="00790A1C">
        <w:t>-</w:t>
      </w:r>
      <w:r w:rsidR="00A83CB1" w:rsidRPr="00A83CB1">
        <w:t xml:space="preserve">found” means of measuring compliance) will also force an effective rate of compliance that is above the nominal percentage specified in Section 4928.66, Revised Code, and thereby increase the cost of compliance that is passed on to customers.  Even if it was lawful and reasonable to introduce a hypothetical compliance measurement yardstick (and it is not), Evergreen’s proposed non-symmetrical application of the hypothetical compliance measurement yardstick is unreasonable because it raises the effective rate of compliance and makes compliance much more expensive (a consequence of importance to customers since they pick up the compliance tab).   </w:t>
      </w:r>
    </w:p>
    <w:p w:rsidR="00A6021C" w:rsidRDefault="006D2076">
      <w:pPr>
        <w:spacing w:line="480" w:lineRule="auto"/>
        <w:ind w:firstLine="720"/>
        <w:jc w:val="both"/>
      </w:pPr>
      <w:r>
        <w:t xml:space="preserve">In addition to be being unlawful, Evergreen’s recommendation to reduce a mercantile customer-sited energy efficiency improvement unreasonably relies on the TRM.  The TRM remains a draft, as noted by Evergreen.  </w:t>
      </w:r>
      <w:r w:rsidR="003970FD">
        <w:t>The</w:t>
      </w:r>
      <w:r>
        <w:t xml:space="preserve"> Commission has granted rehearing to address whether the TRM’s use of </w:t>
      </w:r>
      <w:r w:rsidR="00A83CB1">
        <w:t>measurements</w:t>
      </w:r>
      <w:r>
        <w:t xml:space="preserve"> other than the as-found </w:t>
      </w:r>
      <w:r>
        <w:lastRenderedPageBreak/>
        <w:t>method for calculating energy effi</w:t>
      </w:r>
      <w:r w:rsidR="00A83CB1">
        <w:t xml:space="preserve">ciency </w:t>
      </w:r>
      <w:r w:rsidR="003970FD">
        <w:t xml:space="preserve">improvements </w:t>
      </w:r>
      <w:r w:rsidR="00A83CB1">
        <w:t>is lawful and reasonable,</w:t>
      </w:r>
      <w:r>
        <w:rPr>
          <w:rStyle w:val="FootnoteReference"/>
        </w:rPr>
        <w:footnoteReference w:id="14"/>
      </w:r>
      <w:r w:rsidR="00A83CB1">
        <w:t xml:space="preserve"> but</w:t>
      </w:r>
      <w:r>
        <w:t xml:space="preserve"> has not yet issued a final decision on the lawfulness or reasonableness of the provisions of the TRM on which Evergreen relies to support its recommendation.  Further, the Commission subsequently approved the use of the as-found method for energy efficiency calculations in applications submitted under the terms of the </w:t>
      </w:r>
      <w:r w:rsidRPr="00972FC8">
        <w:rPr>
          <w:i/>
        </w:rPr>
        <w:t>Pilot Program</w:t>
      </w:r>
      <w:r>
        <w:t>.</w:t>
      </w:r>
      <w:r>
        <w:rPr>
          <w:rStyle w:val="FootnoteReference"/>
        </w:rPr>
        <w:footnoteReference w:id="15"/>
      </w:r>
      <w:r>
        <w:t xml:space="preserve">  In the process of approving the as-found method, the Commission determined that the authorization of the use of the as-found method was within its statutory authority.  More recently, the Commission has approved the continuation of the use of the as-found method when it extended the </w:t>
      </w:r>
      <w:r w:rsidRPr="00972FC8">
        <w:rPr>
          <w:i/>
        </w:rPr>
        <w:t>Pilot Program</w:t>
      </w:r>
      <w:r>
        <w:t xml:space="preserve"> </w:t>
      </w:r>
      <w:r w:rsidR="00354BDC">
        <w:t>through March 2013</w:t>
      </w:r>
      <w:r>
        <w:t>.</w:t>
      </w:r>
      <w:r>
        <w:rPr>
          <w:rStyle w:val="FootnoteReference"/>
        </w:rPr>
        <w:footnoteReference w:id="16"/>
      </w:r>
      <w:r>
        <w:t xml:space="preserve">  </w:t>
      </w:r>
    </w:p>
    <w:p w:rsidR="00A6021C" w:rsidRDefault="006D2076">
      <w:pPr>
        <w:spacing w:line="480" w:lineRule="auto"/>
        <w:ind w:firstLine="720"/>
        <w:jc w:val="both"/>
      </w:pPr>
      <w:r>
        <w:t xml:space="preserve">Despite the fact that the Commission has granted rehearing so that it could address the lawfulness and reasonableness of the retrofit/replacement distinction contained in the TRM and approved the as-found method for the calculation of energy efficiency improvements for </w:t>
      </w:r>
      <w:r w:rsidRPr="00354BDC">
        <w:rPr>
          <w:i/>
        </w:rPr>
        <w:t>Pilot Program</w:t>
      </w:r>
      <w:r>
        <w:t xml:space="preserve"> applications, Evergreen relies on the draft TRM’s treatment of retrofit/replacement distinction to support its recommendation to </w:t>
      </w:r>
      <w:r w:rsidR="00354BDC">
        <w:t xml:space="preserve">use a hypothetical compliance measurement method and </w:t>
      </w:r>
      <w:r>
        <w:t xml:space="preserve">reduce the energy efficiency </w:t>
      </w:r>
      <w:r w:rsidR="003970FD">
        <w:t xml:space="preserve">improvements </w:t>
      </w:r>
      <w:r>
        <w:t>attributed to a mercantile customer’s equipment replacement.  Such reliance at this point is plainly unreasonable as well as unlawful.</w:t>
      </w:r>
    </w:p>
    <w:p w:rsidR="00A6021C" w:rsidRDefault="003970FD">
      <w:pPr>
        <w:spacing w:line="480" w:lineRule="auto"/>
        <w:ind w:firstLine="720"/>
        <w:jc w:val="both"/>
      </w:pPr>
      <w:r>
        <w:lastRenderedPageBreak/>
        <w:t>Finally</w:t>
      </w:r>
      <w:r w:rsidR="006D2076">
        <w:t>, Evergreen’s recommendation will lead to administrative gridlock.  Changes in the energy efficiency of a mercantile customer based on historic usage are readily measureable and verifiable.  In contrast, Evergreen’s reliance on the TRM will lead to endless debate over hypothetical “standard efficiency new equipment.”</w:t>
      </w:r>
      <w:r w:rsidR="006D2076">
        <w:rPr>
          <w:rStyle w:val="FootnoteReference"/>
        </w:rPr>
        <w:footnoteReference w:id="17"/>
      </w:r>
      <w:r w:rsidR="006D2076">
        <w:t xml:space="preserve">  Applications will be subject to challenge, Commission resources measured in both Staff time and hearing time will be taxed, and the </w:t>
      </w:r>
      <w:r w:rsidR="00354BDC">
        <w:t xml:space="preserve">already significant </w:t>
      </w:r>
      <w:r w:rsidR="006D2076">
        <w:t xml:space="preserve">cost of compliance will increase.  All of this will occur despite the fact that </w:t>
      </w:r>
      <w:r w:rsidR="00354BDC">
        <w:t>Evergreen’s</w:t>
      </w:r>
      <w:r w:rsidR="006D2076">
        <w:t xml:space="preserve"> recommendation is inconsistent with the requirements contained in Section 4928.66, Revised Code.  </w:t>
      </w:r>
    </w:p>
    <w:p w:rsidR="00A6021C" w:rsidRDefault="006D2076">
      <w:pPr>
        <w:pStyle w:val="Heading2"/>
      </w:pPr>
      <w:r>
        <w:t xml:space="preserve">Evergreen’s recommendation to expand the role of the Evaluator to help resolve disputes over the appropriate baseline is unreasonable. </w:t>
      </w:r>
    </w:p>
    <w:p w:rsidR="00A6021C" w:rsidRDefault="006D2076">
      <w:pPr>
        <w:spacing w:line="480" w:lineRule="auto"/>
        <w:ind w:firstLine="720"/>
        <w:jc w:val="both"/>
      </w:pPr>
      <w:r>
        <w:t>Evergreen also offers the following recommendation:</w:t>
      </w:r>
    </w:p>
    <w:p w:rsidR="00A6021C" w:rsidRDefault="006D2076">
      <w:pPr>
        <w:ind w:left="720" w:right="720"/>
        <w:jc w:val="both"/>
      </w:pPr>
      <w:r>
        <w:t>In anticipation of future differences in interpretation for these types of projects [i.e., mercantile customer improvements in the energy efficiency of their operations], we propose that part of the Independent Evaluator role involve helping utilities and PUCO staff review the application savings calculations as they are being submitted for approval for those projects where there may be disagreement on determining the appropriate baseline.  This would include mercantile customers and could also be extended to other large custom projects.</w:t>
      </w:r>
      <w:r w:rsidR="00857205">
        <w:rPr>
          <w:rStyle w:val="FootnoteReference"/>
        </w:rPr>
        <w:footnoteReference w:id="18"/>
      </w:r>
    </w:p>
    <w:p w:rsidR="00A6021C" w:rsidRDefault="00A6021C">
      <w:pPr>
        <w:ind w:left="720" w:right="720"/>
        <w:jc w:val="both"/>
      </w:pPr>
    </w:p>
    <w:p w:rsidR="00A6021C" w:rsidRDefault="006D2076">
      <w:pPr>
        <w:spacing w:line="480" w:lineRule="auto"/>
        <w:jc w:val="both"/>
      </w:pPr>
      <w:r>
        <w:tab/>
        <w:t xml:space="preserve">Evergreen has proposed an unnecessary expansion of the role </w:t>
      </w:r>
      <w:r w:rsidR="00354BDC">
        <w:t xml:space="preserve">(and probably the cost) </w:t>
      </w:r>
      <w:r>
        <w:t>of the Evaluator.  Because the statutorily required baseline is the energy usage of the mercantile customer based on its usage pri</w:t>
      </w:r>
      <w:r w:rsidR="00354BDC">
        <w:t>or to the implementation of the</w:t>
      </w:r>
      <w:r w:rsidR="00DE0C98">
        <w:t xml:space="preserve"> energy efficiency improvements</w:t>
      </w:r>
      <w:r>
        <w:t xml:space="preserve">, there is no need for a third party such as the Evaluator to mediate </w:t>
      </w:r>
      <w:r w:rsidR="00E56551">
        <w:t>which standard applies.</w:t>
      </w:r>
      <w:r>
        <w:t xml:space="preserve">  </w:t>
      </w:r>
    </w:p>
    <w:p w:rsidR="00E56551" w:rsidRDefault="00E56551">
      <w:pPr>
        <w:spacing w:line="480" w:lineRule="auto"/>
        <w:jc w:val="both"/>
      </w:pPr>
    </w:p>
    <w:p w:rsidR="00A6021C" w:rsidRDefault="006D2076">
      <w:pPr>
        <w:pStyle w:val="Heading1"/>
      </w:pPr>
      <w:r>
        <w:lastRenderedPageBreak/>
        <w:t>Conclusion</w:t>
      </w:r>
    </w:p>
    <w:p w:rsidR="00A6021C" w:rsidRDefault="006D2076" w:rsidP="00790A1C">
      <w:pPr>
        <w:spacing w:line="480" w:lineRule="auto"/>
        <w:jc w:val="both"/>
      </w:pPr>
      <w:r>
        <w:tab/>
        <w:t xml:space="preserve">For the reasons discussed above, the Commission should reject Evergreen’s recommendation to recalculate AEP-Ohio mercantile customer energy efficiency savings and its recommendation for an expansion of the Evaluator’s role to assist in resolving differences regarding baseline determinations for energy efficiency projects.  Both recommendations are based </w:t>
      </w:r>
      <w:r w:rsidR="00790A1C">
        <w:t>on an inaccurate interpretation</w:t>
      </w:r>
      <w:r>
        <w:t xml:space="preserve"> of Ohio law.</w:t>
      </w:r>
    </w:p>
    <w:p w:rsidR="006C1301" w:rsidRDefault="006D2076">
      <w:pPr>
        <w:tabs>
          <w:tab w:val="left" w:pos="4320"/>
          <w:tab w:val="right" w:pos="8640"/>
        </w:tabs>
        <w:jc w:val="both"/>
        <w:rPr>
          <w:rFonts w:cs="Arial"/>
          <w:szCs w:val="24"/>
        </w:rPr>
      </w:pPr>
      <w:r>
        <w:rPr>
          <w:rFonts w:cs="Arial"/>
          <w:szCs w:val="24"/>
        </w:rPr>
        <w:tab/>
      </w:r>
    </w:p>
    <w:p w:rsidR="00A6021C" w:rsidRDefault="006C1301">
      <w:pPr>
        <w:tabs>
          <w:tab w:val="left" w:pos="4320"/>
          <w:tab w:val="right" w:pos="8640"/>
        </w:tabs>
        <w:jc w:val="both"/>
        <w:rPr>
          <w:rFonts w:cs="Arial"/>
          <w:szCs w:val="24"/>
        </w:rPr>
      </w:pPr>
      <w:r>
        <w:rPr>
          <w:rFonts w:cs="Arial"/>
          <w:szCs w:val="24"/>
        </w:rPr>
        <w:tab/>
      </w:r>
      <w:r w:rsidR="006D2076">
        <w:rPr>
          <w:rFonts w:cs="Arial"/>
          <w:szCs w:val="24"/>
        </w:rPr>
        <w:t>Respectfully submitted,</w:t>
      </w:r>
    </w:p>
    <w:p w:rsidR="00A6021C" w:rsidRDefault="00A6021C">
      <w:pPr>
        <w:tabs>
          <w:tab w:val="left" w:pos="4320"/>
          <w:tab w:val="right" w:pos="8640"/>
        </w:tabs>
        <w:jc w:val="both"/>
        <w:rPr>
          <w:rFonts w:cs="Arial"/>
          <w:szCs w:val="24"/>
        </w:rPr>
      </w:pPr>
    </w:p>
    <w:p w:rsidR="00ED3872" w:rsidRDefault="00ED3872">
      <w:pPr>
        <w:tabs>
          <w:tab w:val="left" w:pos="4320"/>
          <w:tab w:val="right" w:pos="8640"/>
        </w:tabs>
        <w:jc w:val="both"/>
        <w:rPr>
          <w:rFonts w:cs="Arial"/>
          <w:szCs w:val="24"/>
        </w:rPr>
      </w:pPr>
    </w:p>
    <w:p w:rsidR="00A6021C" w:rsidRPr="00857205" w:rsidRDefault="006D2076">
      <w:pPr>
        <w:tabs>
          <w:tab w:val="left" w:pos="4320"/>
          <w:tab w:val="right" w:pos="8640"/>
        </w:tabs>
        <w:jc w:val="both"/>
        <w:rPr>
          <w:rFonts w:cs="Arial"/>
          <w:szCs w:val="24"/>
          <w:u w:val="single"/>
        </w:rPr>
      </w:pPr>
      <w:r>
        <w:rPr>
          <w:rFonts w:cs="Arial"/>
          <w:szCs w:val="24"/>
        </w:rPr>
        <w:tab/>
      </w:r>
      <w:r w:rsidR="00857205" w:rsidRPr="00857205">
        <w:rPr>
          <w:rFonts w:cs="Arial"/>
          <w:szCs w:val="24"/>
          <w:u w:val="single"/>
        </w:rPr>
        <w:t>/s/ Frank P. Darr</w:t>
      </w:r>
      <w:r w:rsidR="00E56551">
        <w:rPr>
          <w:rFonts w:cs="Arial"/>
          <w:szCs w:val="24"/>
          <w:u w:val="single"/>
        </w:rPr>
        <w:t>____________________</w:t>
      </w:r>
    </w:p>
    <w:p w:rsidR="00A6021C" w:rsidRDefault="006D2076">
      <w:pPr>
        <w:tabs>
          <w:tab w:val="left" w:pos="4320"/>
          <w:tab w:val="right" w:pos="8640"/>
        </w:tabs>
        <w:jc w:val="both"/>
        <w:rPr>
          <w:rFonts w:cs="Arial"/>
          <w:szCs w:val="24"/>
        </w:rPr>
      </w:pPr>
      <w:r>
        <w:rPr>
          <w:rFonts w:cs="Arial"/>
          <w:szCs w:val="24"/>
        </w:rPr>
        <w:tab/>
        <w:t>Samuel C. Randazzo (Counsel of Record)</w:t>
      </w:r>
    </w:p>
    <w:p w:rsidR="00A6021C" w:rsidRDefault="006D2076">
      <w:pPr>
        <w:widowControl w:val="0"/>
        <w:tabs>
          <w:tab w:val="left" w:pos="4320"/>
        </w:tabs>
        <w:jc w:val="both"/>
        <w:rPr>
          <w:rFonts w:cs="Arial"/>
          <w:bCs/>
        </w:rPr>
      </w:pPr>
      <w:r>
        <w:rPr>
          <w:rFonts w:cs="Arial"/>
          <w:bCs/>
        </w:rPr>
        <w:tab/>
        <w:t>Frank P. Darr</w:t>
      </w:r>
    </w:p>
    <w:p w:rsidR="00A6021C" w:rsidRDefault="006D2076">
      <w:pPr>
        <w:widowControl w:val="0"/>
        <w:tabs>
          <w:tab w:val="left" w:pos="4320"/>
        </w:tabs>
        <w:jc w:val="both"/>
        <w:rPr>
          <w:rFonts w:cs="Arial"/>
          <w:bCs/>
        </w:rPr>
      </w:pPr>
      <w:r>
        <w:rPr>
          <w:rFonts w:cs="Arial"/>
          <w:bCs/>
        </w:rPr>
        <w:tab/>
        <w:t>Joseph E. Oliker</w:t>
      </w:r>
    </w:p>
    <w:p w:rsidR="00A6021C" w:rsidRDefault="006D2076">
      <w:pPr>
        <w:widowControl w:val="0"/>
        <w:tabs>
          <w:tab w:val="left" w:pos="4320"/>
        </w:tabs>
        <w:jc w:val="both"/>
        <w:rPr>
          <w:rFonts w:cs="Arial"/>
          <w:bCs/>
        </w:rPr>
      </w:pPr>
      <w:r>
        <w:rPr>
          <w:rFonts w:cs="Arial"/>
          <w:bCs/>
        </w:rPr>
        <w:tab/>
        <w:t>Matthew R. Pritchard</w:t>
      </w:r>
    </w:p>
    <w:p w:rsidR="00A6021C" w:rsidRDefault="006D2076">
      <w:pPr>
        <w:widowControl w:val="0"/>
        <w:tabs>
          <w:tab w:val="left" w:pos="4320"/>
        </w:tabs>
        <w:jc w:val="both"/>
        <w:rPr>
          <w:rFonts w:cs="Arial"/>
          <w:bCs/>
          <w:smallCaps/>
          <w:szCs w:val="24"/>
        </w:rPr>
      </w:pPr>
      <w:r>
        <w:rPr>
          <w:rFonts w:cs="Arial"/>
          <w:bCs/>
        </w:rPr>
        <w:tab/>
      </w:r>
      <w:r>
        <w:rPr>
          <w:rFonts w:cs="Arial"/>
          <w:bCs/>
          <w:smallCaps/>
          <w:szCs w:val="24"/>
        </w:rPr>
        <w:t>McNees Wallace &amp; Nurick LLC</w:t>
      </w:r>
    </w:p>
    <w:p w:rsidR="00A6021C" w:rsidRDefault="006D2076">
      <w:pPr>
        <w:widowControl w:val="0"/>
        <w:tabs>
          <w:tab w:val="left" w:pos="4320"/>
        </w:tabs>
        <w:jc w:val="both"/>
        <w:rPr>
          <w:rFonts w:cs="Arial"/>
          <w:bCs/>
        </w:rPr>
      </w:pPr>
      <w:r>
        <w:rPr>
          <w:rFonts w:cs="Arial"/>
          <w:bCs/>
        </w:rPr>
        <w:tab/>
        <w:t>21 East State Street, 17</w:t>
      </w:r>
      <w:r>
        <w:rPr>
          <w:rFonts w:cs="Arial"/>
          <w:bCs/>
          <w:vertAlign w:val="superscript"/>
        </w:rPr>
        <w:t>TH</w:t>
      </w:r>
      <w:r>
        <w:rPr>
          <w:rFonts w:cs="Arial"/>
          <w:bCs/>
        </w:rPr>
        <w:t xml:space="preserve"> Floor</w:t>
      </w:r>
    </w:p>
    <w:p w:rsidR="00A6021C" w:rsidRDefault="006D2076">
      <w:pPr>
        <w:tabs>
          <w:tab w:val="left" w:pos="4320"/>
        </w:tabs>
        <w:jc w:val="both"/>
        <w:rPr>
          <w:rFonts w:cs="Arial"/>
          <w:szCs w:val="24"/>
        </w:rPr>
      </w:pPr>
      <w:r>
        <w:rPr>
          <w:rFonts w:cs="Arial"/>
          <w:szCs w:val="24"/>
        </w:rPr>
        <w:tab/>
        <w:t>Columbus, OH  43215</w:t>
      </w:r>
    </w:p>
    <w:p w:rsidR="00A6021C" w:rsidRDefault="006D2076">
      <w:pPr>
        <w:tabs>
          <w:tab w:val="left" w:pos="4320"/>
        </w:tabs>
        <w:jc w:val="both"/>
        <w:rPr>
          <w:rFonts w:cs="Arial"/>
          <w:szCs w:val="24"/>
        </w:rPr>
      </w:pPr>
      <w:r>
        <w:rPr>
          <w:rFonts w:cs="Arial"/>
          <w:szCs w:val="24"/>
        </w:rPr>
        <w:tab/>
        <w:t>Telephone:  (614) 469-8000</w:t>
      </w:r>
    </w:p>
    <w:p w:rsidR="00A6021C" w:rsidRDefault="006D2076">
      <w:pPr>
        <w:tabs>
          <w:tab w:val="left" w:pos="4320"/>
        </w:tabs>
        <w:jc w:val="both"/>
        <w:rPr>
          <w:rFonts w:cs="Arial"/>
          <w:szCs w:val="24"/>
        </w:rPr>
      </w:pPr>
      <w:r>
        <w:rPr>
          <w:rFonts w:cs="Arial"/>
          <w:szCs w:val="24"/>
        </w:rPr>
        <w:tab/>
        <w:t>Telecopier:  (614) 469-4653</w:t>
      </w:r>
    </w:p>
    <w:p w:rsidR="00A6021C" w:rsidRDefault="006D2076">
      <w:pPr>
        <w:jc w:val="both"/>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sam@mwncmh.com</w:t>
      </w:r>
    </w:p>
    <w:p w:rsidR="00A6021C" w:rsidRDefault="006D2076">
      <w:pPr>
        <w:jc w:val="both"/>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fdarr@mwncmh.com</w:t>
      </w:r>
    </w:p>
    <w:p w:rsidR="00A6021C" w:rsidRDefault="006D2076">
      <w:pPr>
        <w:jc w:val="both"/>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joliker@mwncmh.com</w:t>
      </w:r>
    </w:p>
    <w:p w:rsidR="00A6021C" w:rsidRDefault="006D2076">
      <w:pPr>
        <w:jc w:val="both"/>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mpritchard@mwncmh.com</w:t>
      </w:r>
    </w:p>
    <w:p w:rsidR="00A6021C" w:rsidRDefault="00A6021C">
      <w:pPr>
        <w:jc w:val="both"/>
        <w:rPr>
          <w:rFonts w:cs="Arial"/>
          <w:szCs w:val="24"/>
        </w:rPr>
      </w:pPr>
    </w:p>
    <w:p w:rsidR="00A6021C" w:rsidRDefault="006D2076">
      <w:pPr>
        <w:tabs>
          <w:tab w:val="left" w:pos="4320"/>
          <w:tab w:val="right" w:pos="9240"/>
        </w:tabs>
        <w:rPr>
          <w:rFonts w:cs="Arial"/>
          <w:b/>
          <w:szCs w:val="24"/>
        </w:rPr>
      </w:pPr>
      <w:r>
        <w:rPr>
          <w:rFonts w:cs="Arial"/>
          <w:szCs w:val="24"/>
        </w:rPr>
        <w:tab/>
      </w:r>
      <w:r>
        <w:rPr>
          <w:rFonts w:cs="Arial"/>
          <w:b/>
          <w:bCs/>
          <w:szCs w:val="24"/>
        </w:rPr>
        <w:t>Attorneys for</w:t>
      </w:r>
      <w:r>
        <w:rPr>
          <w:rFonts w:cs="Arial"/>
          <w:szCs w:val="24"/>
        </w:rPr>
        <w:t xml:space="preserve"> </w:t>
      </w:r>
      <w:r>
        <w:rPr>
          <w:rFonts w:cs="Arial"/>
          <w:b/>
          <w:szCs w:val="24"/>
        </w:rPr>
        <w:t>Industrial Energy Users-Ohio</w:t>
      </w:r>
    </w:p>
    <w:p w:rsidR="00A6021C" w:rsidRDefault="00A6021C">
      <w:pPr>
        <w:jc w:val="center"/>
        <w:rPr>
          <w:rFonts w:ascii="Arial Bold" w:hAnsi="Arial Bold" w:cs="Arial"/>
          <w:sz w:val="22"/>
          <w:szCs w:val="22"/>
        </w:rPr>
        <w:sectPr w:rsidR="00A6021C">
          <w:pgSz w:w="12240" w:h="15840" w:code="1"/>
          <w:pgMar w:top="1440" w:right="1440" w:bottom="1141" w:left="1440" w:header="720" w:footer="720" w:gutter="0"/>
          <w:pgNumType w:start="1"/>
          <w:cols w:space="720"/>
          <w:titlePg/>
          <w:docGrid w:linePitch="326"/>
        </w:sectPr>
      </w:pPr>
    </w:p>
    <w:p w:rsidR="00A6021C" w:rsidRDefault="006D2076">
      <w:pPr>
        <w:spacing w:line="480" w:lineRule="auto"/>
        <w:jc w:val="center"/>
        <w:rPr>
          <w:b/>
          <w:u w:val="single"/>
        </w:rPr>
      </w:pPr>
      <w:r>
        <w:rPr>
          <w:b/>
          <w:u w:val="single"/>
        </w:rPr>
        <w:lastRenderedPageBreak/>
        <w:t>CERTIFICATE OF SERVICE</w:t>
      </w:r>
    </w:p>
    <w:p w:rsidR="00A6021C" w:rsidRDefault="006D2076">
      <w:pPr>
        <w:spacing w:line="480" w:lineRule="auto"/>
        <w:jc w:val="both"/>
      </w:pPr>
      <w:r>
        <w:tab/>
        <w:t xml:space="preserve">I hereby certify that a copy of the foregoing </w:t>
      </w:r>
      <w:r>
        <w:rPr>
          <w:i/>
        </w:rPr>
        <w:t>Comments of Industrial Energy Users-Ohio</w:t>
      </w:r>
      <w:r>
        <w:t xml:space="preserve"> was served upon the following parties of record this 2</w:t>
      </w:r>
      <w:r w:rsidRPr="00972FC8">
        <w:rPr>
          <w:vertAlign w:val="superscript"/>
        </w:rPr>
        <w:t>nd</w:t>
      </w:r>
      <w:r>
        <w:t xml:space="preserve"> day of November 2012, </w:t>
      </w:r>
      <w:r>
        <w:rPr>
          <w:i/>
        </w:rPr>
        <w:t xml:space="preserve">via </w:t>
      </w:r>
      <w:r>
        <w:t>hand-delivery, electronic transmission, or first class mail, U.S. postage prepaid.</w:t>
      </w:r>
    </w:p>
    <w:p w:rsidR="00A6021C" w:rsidRPr="00857205" w:rsidRDefault="00857205" w:rsidP="00857205">
      <w:pPr>
        <w:ind w:left="5040" w:firstLine="720"/>
        <w:rPr>
          <w:u w:val="single"/>
        </w:rPr>
      </w:pPr>
      <w:r w:rsidRPr="00857205">
        <w:rPr>
          <w:u w:val="single"/>
        </w:rPr>
        <w:t>/s/ Frank P. Darr</w:t>
      </w:r>
      <w:r w:rsidR="00E56551">
        <w:rPr>
          <w:u w:val="single"/>
        </w:rPr>
        <w:t>_____________</w:t>
      </w:r>
    </w:p>
    <w:p w:rsidR="00A6021C" w:rsidRDefault="006D2076">
      <w:pPr>
        <w:spacing w:line="480" w:lineRule="auto"/>
        <w:jc w:val="both"/>
      </w:pPr>
      <w:r>
        <w:tab/>
      </w:r>
      <w:r>
        <w:tab/>
      </w:r>
      <w:r>
        <w:tab/>
      </w:r>
      <w:r>
        <w:tab/>
      </w:r>
      <w:r>
        <w:tab/>
      </w:r>
      <w:r>
        <w:tab/>
      </w:r>
      <w:r>
        <w:tab/>
      </w:r>
      <w:r>
        <w:tab/>
        <w:t>Frank P. Darr</w:t>
      </w:r>
    </w:p>
    <w:p w:rsidR="00A6021C" w:rsidRDefault="00A6021C">
      <w:pPr>
        <w:spacing w:line="480" w:lineRule="auto"/>
        <w:jc w:val="both"/>
        <w:sectPr w:rsidR="00A6021C">
          <w:footerReference w:type="default" r:id="rId15"/>
          <w:footerReference w:type="first" r:id="rId16"/>
          <w:pgSz w:w="12240" w:h="15840" w:code="1"/>
          <w:pgMar w:top="1440" w:right="1440" w:bottom="1440" w:left="1440" w:header="720" w:footer="720" w:gutter="0"/>
          <w:cols w:space="720"/>
          <w:titlePg/>
          <w:docGrid w:linePitch="360"/>
        </w:sectPr>
      </w:pPr>
    </w:p>
    <w:p w:rsidR="00370A03" w:rsidRDefault="00370A03" w:rsidP="00370A03">
      <w:pPr>
        <w:rPr>
          <w:rFonts w:cs="Arial"/>
          <w:sz w:val="20"/>
        </w:rPr>
      </w:pPr>
      <w:r>
        <w:rPr>
          <w:rFonts w:cs="Arial"/>
          <w:sz w:val="20"/>
        </w:rPr>
        <w:lastRenderedPageBreak/>
        <w:t xml:space="preserve">David A. Kutik </w:t>
      </w:r>
    </w:p>
    <w:p w:rsidR="00370A03" w:rsidRDefault="00370A03" w:rsidP="00370A03">
      <w:pPr>
        <w:autoSpaceDE w:val="0"/>
        <w:autoSpaceDN w:val="0"/>
        <w:adjustRightInd w:val="0"/>
        <w:rPr>
          <w:rFonts w:cs="Arial"/>
          <w:sz w:val="20"/>
        </w:rPr>
      </w:pPr>
      <w:r>
        <w:rPr>
          <w:rFonts w:cs="Arial"/>
          <w:sz w:val="20"/>
        </w:rPr>
        <w:t>Jones Day</w:t>
      </w:r>
    </w:p>
    <w:p w:rsidR="00370A03" w:rsidRDefault="00370A03" w:rsidP="00370A03">
      <w:pPr>
        <w:autoSpaceDE w:val="0"/>
        <w:autoSpaceDN w:val="0"/>
        <w:adjustRightInd w:val="0"/>
        <w:rPr>
          <w:rFonts w:cs="Arial"/>
          <w:sz w:val="20"/>
        </w:rPr>
      </w:pPr>
      <w:r>
        <w:rPr>
          <w:rFonts w:cs="Arial"/>
          <w:sz w:val="20"/>
        </w:rPr>
        <w:t>North Point, 901 Lakeside Avenue</w:t>
      </w:r>
    </w:p>
    <w:p w:rsidR="00370A03" w:rsidRDefault="00370A03" w:rsidP="00370A03">
      <w:pPr>
        <w:rPr>
          <w:rFonts w:cs="Arial"/>
          <w:sz w:val="20"/>
        </w:rPr>
      </w:pPr>
      <w:r>
        <w:rPr>
          <w:rFonts w:cs="Arial"/>
          <w:sz w:val="20"/>
        </w:rPr>
        <w:t>Cleveland, Ohio 44114</w:t>
      </w:r>
    </w:p>
    <w:p w:rsidR="00370A03" w:rsidRDefault="00370A03" w:rsidP="00370A03">
      <w:pPr>
        <w:rPr>
          <w:rFonts w:cs="Arial"/>
          <w:sz w:val="20"/>
        </w:rPr>
      </w:pPr>
    </w:p>
    <w:p w:rsidR="00370A03" w:rsidRDefault="00370A03" w:rsidP="00370A03">
      <w:pPr>
        <w:rPr>
          <w:rFonts w:cs="Arial"/>
          <w:sz w:val="20"/>
        </w:rPr>
      </w:pPr>
      <w:r>
        <w:rPr>
          <w:rFonts w:cs="Arial"/>
          <w:sz w:val="20"/>
        </w:rPr>
        <w:t>Grant W. Garber</w:t>
      </w:r>
    </w:p>
    <w:p w:rsidR="00370A03" w:rsidRDefault="00370A03" w:rsidP="00370A03">
      <w:pPr>
        <w:rPr>
          <w:rFonts w:cs="Arial"/>
          <w:sz w:val="20"/>
        </w:rPr>
      </w:pPr>
      <w:r>
        <w:rPr>
          <w:rFonts w:cs="Arial"/>
          <w:sz w:val="20"/>
        </w:rPr>
        <w:t>Jones Day</w:t>
      </w:r>
    </w:p>
    <w:p w:rsidR="00370A03" w:rsidRDefault="00370A03" w:rsidP="00370A03">
      <w:pPr>
        <w:rPr>
          <w:rFonts w:cs="Arial"/>
          <w:sz w:val="20"/>
        </w:rPr>
      </w:pPr>
      <w:r>
        <w:rPr>
          <w:rFonts w:cs="Arial"/>
          <w:sz w:val="20"/>
        </w:rPr>
        <w:t>P.O. Box 165017</w:t>
      </w:r>
    </w:p>
    <w:p w:rsidR="00370A03" w:rsidRDefault="00370A03" w:rsidP="00370A03">
      <w:pPr>
        <w:rPr>
          <w:rFonts w:cs="Arial"/>
          <w:sz w:val="20"/>
        </w:rPr>
      </w:pPr>
      <w:r>
        <w:rPr>
          <w:rFonts w:cs="Arial"/>
          <w:sz w:val="20"/>
        </w:rPr>
        <w:t>Columbus, Ohio 43216</w:t>
      </w:r>
    </w:p>
    <w:p w:rsidR="00370A03" w:rsidRDefault="00370A03" w:rsidP="00370A03">
      <w:pPr>
        <w:rPr>
          <w:rFonts w:cs="Arial"/>
          <w:sz w:val="20"/>
        </w:rPr>
      </w:pPr>
    </w:p>
    <w:p w:rsidR="00370A03" w:rsidRDefault="00370A03" w:rsidP="00370A03">
      <w:pPr>
        <w:rPr>
          <w:rFonts w:cs="Arial"/>
          <w:b/>
          <w:smallCaps/>
          <w:sz w:val="20"/>
        </w:rPr>
      </w:pPr>
      <w:r>
        <w:rPr>
          <w:rFonts w:cs="Arial"/>
          <w:b/>
          <w:smallCaps/>
          <w:sz w:val="20"/>
        </w:rPr>
        <w:t xml:space="preserve">On Behalf of The East Ohio Gas </w:t>
      </w:r>
    </w:p>
    <w:p w:rsidR="00370A03" w:rsidRDefault="00370A03" w:rsidP="00370A03">
      <w:pPr>
        <w:rPr>
          <w:rFonts w:cs="Arial"/>
          <w:b/>
          <w:smallCaps/>
          <w:sz w:val="20"/>
        </w:rPr>
      </w:pPr>
      <w:r>
        <w:rPr>
          <w:rFonts w:cs="Arial"/>
          <w:b/>
          <w:smallCaps/>
          <w:sz w:val="20"/>
        </w:rPr>
        <w:t>Company d/b/a Dominion East Ohio</w:t>
      </w:r>
    </w:p>
    <w:p w:rsidR="00370A03" w:rsidRDefault="00370A03" w:rsidP="00370A03">
      <w:pPr>
        <w:rPr>
          <w:rFonts w:cs="Arial"/>
          <w:b/>
          <w:smallCaps/>
          <w:sz w:val="20"/>
        </w:rPr>
      </w:pPr>
    </w:p>
    <w:p w:rsidR="00370A03" w:rsidRDefault="00370A03" w:rsidP="00370A03">
      <w:pPr>
        <w:rPr>
          <w:rFonts w:cs="Arial"/>
          <w:sz w:val="20"/>
        </w:rPr>
      </w:pPr>
      <w:r>
        <w:rPr>
          <w:rFonts w:cs="Arial"/>
          <w:sz w:val="20"/>
        </w:rPr>
        <w:t>Eric Gallon</w:t>
      </w:r>
    </w:p>
    <w:p w:rsidR="00370A03" w:rsidRDefault="00370A03" w:rsidP="00370A03">
      <w:pPr>
        <w:rPr>
          <w:rFonts w:cs="Arial"/>
          <w:sz w:val="20"/>
        </w:rPr>
      </w:pPr>
      <w:r>
        <w:rPr>
          <w:rFonts w:cs="Arial"/>
          <w:sz w:val="20"/>
        </w:rPr>
        <w:t>Porter Wright Morris &amp; Arthur LLP</w:t>
      </w:r>
    </w:p>
    <w:p w:rsidR="00370A03" w:rsidRDefault="00370A03" w:rsidP="00370A03">
      <w:pPr>
        <w:rPr>
          <w:rFonts w:cs="Arial"/>
          <w:sz w:val="20"/>
        </w:rPr>
      </w:pPr>
      <w:r>
        <w:rPr>
          <w:rFonts w:cs="Arial"/>
          <w:sz w:val="20"/>
        </w:rPr>
        <w:t>Huntington Center</w:t>
      </w:r>
    </w:p>
    <w:p w:rsidR="00370A03" w:rsidRDefault="00370A03" w:rsidP="00370A03">
      <w:pPr>
        <w:rPr>
          <w:rFonts w:cs="Arial"/>
          <w:sz w:val="20"/>
        </w:rPr>
      </w:pPr>
      <w:r>
        <w:rPr>
          <w:rFonts w:cs="Arial"/>
          <w:sz w:val="20"/>
        </w:rPr>
        <w:t>41 South High Street</w:t>
      </w:r>
    </w:p>
    <w:p w:rsidR="00370A03" w:rsidRDefault="00370A03" w:rsidP="00370A03">
      <w:pPr>
        <w:rPr>
          <w:rFonts w:cs="Arial"/>
          <w:sz w:val="20"/>
        </w:rPr>
      </w:pPr>
    </w:p>
    <w:p w:rsidR="00370A03" w:rsidRDefault="00370A03" w:rsidP="00370A03">
      <w:pPr>
        <w:rPr>
          <w:rFonts w:cs="Arial"/>
          <w:sz w:val="20"/>
        </w:rPr>
      </w:pPr>
      <w:r>
        <w:rPr>
          <w:rFonts w:cs="Arial"/>
          <w:sz w:val="20"/>
        </w:rPr>
        <w:t>Stephen Seiple</w:t>
      </w:r>
    </w:p>
    <w:p w:rsidR="00370A03" w:rsidRDefault="00370A03" w:rsidP="00370A03">
      <w:pPr>
        <w:rPr>
          <w:rFonts w:cs="Arial"/>
          <w:sz w:val="20"/>
        </w:rPr>
      </w:pPr>
      <w:r>
        <w:rPr>
          <w:rFonts w:cs="Arial"/>
          <w:sz w:val="20"/>
        </w:rPr>
        <w:t>Columbia Gas of Ohio, Inc.</w:t>
      </w:r>
    </w:p>
    <w:p w:rsidR="00370A03" w:rsidRDefault="00370A03" w:rsidP="00370A03">
      <w:pPr>
        <w:rPr>
          <w:rFonts w:cs="Arial"/>
          <w:sz w:val="20"/>
        </w:rPr>
      </w:pPr>
      <w:r>
        <w:rPr>
          <w:rFonts w:cs="Arial"/>
          <w:sz w:val="20"/>
        </w:rPr>
        <w:t>200 Civic Center Drive</w:t>
      </w:r>
    </w:p>
    <w:p w:rsidR="00370A03" w:rsidRDefault="00370A03" w:rsidP="00370A03">
      <w:pPr>
        <w:rPr>
          <w:rFonts w:cs="Arial"/>
          <w:sz w:val="20"/>
        </w:rPr>
      </w:pPr>
      <w:r>
        <w:rPr>
          <w:rFonts w:cs="Arial"/>
          <w:sz w:val="20"/>
        </w:rPr>
        <w:t>P.O. Box 117</w:t>
      </w:r>
    </w:p>
    <w:p w:rsidR="00370A03" w:rsidRDefault="00370A03" w:rsidP="00370A03">
      <w:pPr>
        <w:rPr>
          <w:rFonts w:cs="Arial"/>
          <w:sz w:val="20"/>
        </w:rPr>
      </w:pPr>
      <w:r>
        <w:rPr>
          <w:rFonts w:cs="Arial"/>
          <w:sz w:val="20"/>
        </w:rPr>
        <w:t>Columbus, Ohio  43215</w:t>
      </w:r>
    </w:p>
    <w:p w:rsidR="00370A03" w:rsidRDefault="00370A03" w:rsidP="00370A03">
      <w:pPr>
        <w:rPr>
          <w:rFonts w:cs="Arial"/>
          <w:sz w:val="20"/>
        </w:rPr>
      </w:pPr>
    </w:p>
    <w:p w:rsidR="00370A03" w:rsidRDefault="00370A03" w:rsidP="00370A03">
      <w:pPr>
        <w:rPr>
          <w:rFonts w:cs="Arial"/>
          <w:b/>
          <w:smallCaps/>
          <w:sz w:val="20"/>
        </w:rPr>
      </w:pPr>
      <w:r>
        <w:rPr>
          <w:rFonts w:cs="Arial"/>
          <w:b/>
          <w:smallCaps/>
          <w:sz w:val="20"/>
        </w:rPr>
        <w:t>On Behalf Columbia Gas of Ohio, Inc.</w:t>
      </w:r>
    </w:p>
    <w:p w:rsidR="00370A03" w:rsidRDefault="00370A03" w:rsidP="00370A03">
      <w:pPr>
        <w:rPr>
          <w:rFonts w:cs="Arial"/>
          <w:sz w:val="20"/>
        </w:rPr>
      </w:pPr>
    </w:p>
    <w:p w:rsidR="00370A03" w:rsidRDefault="00370A03" w:rsidP="00370A03">
      <w:pPr>
        <w:rPr>
          <w:rFonts w:cs="Arial"/>
          <w:sz w:val="20"/>
        </w:rPr>
      </w:pPr>
      <w:r>
        <w:rPr>
          <w:rFonts w:cs="Arial"/>
          <w:sz w:val="20"/>
        </w:rPr>
        <w:t>Steven Nourse</w:t>
      </w:r>
    </w:p>
    <w:p w:rsidR="00370A03" w:rsidRDefault="00370A03" w:rsidP="00370A03">
      <w:pPr>
        <w:rPr>
          <w:rFonts w:cs="Arial"/>
          <w:sz w:val="20"/>
        </w:rPr>
      </w:pPr>
      <w:r>
        <w:rPr>
          <w:rFonts w:cs="Arial"/>
          <w:sz w:val="20"/>
        </w:rPr>
        <w:t>Matthew J. Satterwhite</w:t>
      </w:r>
    </w:p>
    <w:p w:rsidR="00370A03" w:rsidRDefault="00370A03" w:rsidP="00370A03">
      <w:pPr>
        <w:rPr>
          <w:rFonts w:cs="Arial"/>
          <w:sz w:val="20"/>
        </w:rPr>
      </w:pPr>
      <w:r>
        <w:rPr>
          <w:rFonts w:cs="Arial"/>
          <w:sz w:val="20"/>
        </w:rPr>
        <w:t>Anne M. Vogel</w:t>
      </w:r>
    </w:p>
    <w:p w:rsidR="00370A03" w:rsidRDefault="00370A03" w:rsidP="00370A03">
      <w:pPr>
        <w:rPr>
          <w:rFonts w:cs="Arial"/>
          <w:sz w:val="20"/>
        </w:rPr>
      </w:pPr>
      <w:r>
        <w:rPr>
          <w:rFonts w:cs="Arial"/>
          <w:sz w:val="20"/>
        </w:rPr>
        <w:t>American Electric Power Service Corp.</w:t>
      </w:r>
    </w:p>
    <w:p w:rsidR="00370A03" w:rsidRDefault="00370A03" w:rsidP="00370A03">
      <w:pPr>
        <w:rPr>
          <w:rFonts w:cs="Arial"/>
          <w:sz w:val="20"/>
        </w:rPr>
      </w:pPr>
      <w:r>
        <w:rPr>
          <w:rFonts w:cs="Arial"/>
          <w:sz w:val="20"/>
        </w:rPr>
        <w:t>1 Riverside Plaza – 29</w:t>
      </w:r>
      <w:r>
        <w:rPr>
          <w:rFonts w:cs="Arial"/>
          <w:sz w:val="20"/>
          <w:vertAlign w:val="superscript"/>
        </w:rPr>
        <w:t>th</w:t>
      </w:r>
      <w:r>
        <w:rPr>
          <w:rFonts w:cs="Arial"/>
          <w:sz w:val="20"/>
        </w:rPr>
        <w:t xml:space="preserve"> Floor</w:t>
      </w:r>
    </w:p>
    <w:p w:rsidR="00370A03" w:rsidRDefault="00370A03" w:rsidP="00370A03">
      <w:pPr>
        <w:rPr>
          <w:rFonts w:cs="Arial"/>
          <w:sz w:val="20"/>
        </w:rPr>
      </w:pPr>
      <w:r>
        <w:rPr>
          <w:rFonts w:cs="Arial"/>
          <w:sz w:val="20"/>
        </w:rPr>
        <w:t>Columbus, Ohio 43215</w:t>
      </w:r>
    </w:p>
    <w:p w:rsidR="00370A03" w:rsidRDefault="00370A03" w:rsidP="00370A03">
      <w:pPr>
        <w:rPr>
          <w:rFonts w:cs="Arial"/>
          <w:sz w:val="20"/>
        </w:rPr>
      </w:pPr>
    </w:p>
    <w:p w:rsidR="00370A03" w:rsidRDefault="00370A03" w:rsidP="00370A03">
      <w:pPr>
        <w:rPr>
          <w:rFonts w:cs="Arial"/>
          <w:b/>
          <w:smallCaps/>
          <w:sz w:val="20"/>
        </w:rPr>
      </w:pPr>
      <w:r>
        <w:rPr>
          <w:rFonts w:cs="Arial"/>
          <w:b/>
          <w:smallCaps/>
          <w:sz w:val="20"/>
        </w:rPr>
        <w:t>On Behalf of Columbus Southern Power and Ohio Power Company</w:t>
      </w:r>
    </w:p>
    <w:p w:rsidR="00370A03" w:rsidRDefault="00370A03" w:rsidP="00370A03">
      <w:pPr>
        <w:rPr>
          <w:rFonts w:cs="Arial"/>
          <w:sz w:val="20"/>
        </w:rPr>
      </w:pPr>
    </w:p>
    <w:p w:rsidR="00370A03" w:rsidRDefault="00370A03" w:rsidP="00370A03">
      <w:pPr>
        <w:rPr>
          <w:rFonts w:cs="Arial"/>
          <w:sz w:val="20"/>
        </w:rPr>
      </w:pPr>
      <w:r>
        <w:rPr>
          <w:rFonts w:cs="Arial"/>
          <w:sz w:val="20"/>
        </w:rPr>
        <w:br w:type="column"/>
      </w:r>
      <w:r>
        <w:rPr>
          <w:rFonts w:cs="Arial"/>
          <w:sz w:val="20"/>
        </w:rPr>
        <w:lastRenderedPageBreak/>
        <w:t>Mark A. Whitt</w:t>
      </w:r>
    </w:p>
    <w:p w:rsidR="00370A03" w:rsidRDefault="00370A03" w:rsidP="00370A03">
      <w:pPr>
        <w:rPr>
          <w:rFonts w:cs="Arial"/>
          <w:sz w:val="20"/>
        </w:rPr>
      </w:pPr>
      <w:r>
        <w:rPr>
          <w:rFonts w:cs="Arial"/>
          <w:sz w:val="20"/>
        </w:rPr>
        <w:t>Whitt Sturtevant LLP</w:t>
      </w:r>
    </w:p>
    <w:p w:rsidR="00370A03" w:rsidRDefault="00370A03" w:rsidP="00370A03">
      <w:pPr>
        <w:rPr>
          <w:rFonts w:cs="Arial"/>
          <w:sz w:val="20"/>
        </w:rPr>
      </w:pPr>
      <w:r>
        <w:rPr>
          <w:rFonts w:cs="Arial"/>
          <w:sz w:val="20"/>
        </w:rPr>
        <w:t>PNC Plaza, 20</w:t>
      </w:r>
      <w:r w:rsidRPr="00A15086">
        <w:rPr>
          <w:rFonts w:cs="Arial"/>
          <w:sz w:val="20"/>
          <w:vertAlign w:val="superscript"/>
        </w:rPr>
        <w:t>th</w:t>
      </w:r>
      <w:r>
        <w:rPr>
          <w:rFonts w:cs="Arial"/>
          <w:sz w:val="20"/>
        </w:rPr>
        <w:t xml:space="preserve"> Floor</w:t>
      </w:r>
    </w:p>
    <w:p w:rsidR="00370A03" w:rsidRDefault="00370A03" w:rsidP="00370A03">
      <w:pPr>
        <w:rPr>
          <w:rFonts w:cs="Arial"/>
          <w:sz w:val="20"/>
        </w:rPr>
      </w:pPr>
      <w:r>
        <w:rPr>
          <w:rFonts w:cs="Arial"/>
          <w:sz w:val="20"/>
        </w:rPr>
        <w:t>155 East Broad Street</w:t>
      </w:r>
    </w:p>
    <w:p w:rsidR="00370A03" w:rsidRDefault="00370A03" w:rsidP="00370A03">
      <w:pPr>
        <w:rPr>
          <w:rFonts w:cs="Arial"/>
          <w:sz w:val="20"/>
        </w:rPr>
      </w:pPr>
      <w:r>
        <w:rPr>
          <w:rFonts w:cs="Arial"/>
          <w:sz w:val="20"/>
        </w:rPr>
        <w:t>Columbus, Ohio  43215</w:t>
      </w:r>
    </w:p>
    <w:p w:rsidR="00370A03" w:rsidRDefault="00370A03" w:rsidP="00370A03">
      <w:pPr>
        <w:rPr>
          <w:rFonts w:cs="Arial"/>
          <w:sz w:val="20"/>
        </w:rPr>
      </w:pPr>
      <w:r>
        <w:rPr>
          <w:rFonts w:cs="Arial"/>
          <w:sz w:val="20"/>
        </w:rPr>
        <w:t>whit@whitt-sturtevant.com</w:t>
      </w:r>
    </w:p>
    <w:p w:rsidR="00370A03" w:rsidRDefault="00370A03" w:rsidP="00370A03">
      <w:pPr>
        <w:rPr>
          <w:rFonts w:cs="Arial"/>
          <w:sz w:val="20"/>
        </w:rPr>
      </w:pPr>
    </w:p>
    <w:p w:rsidR="00370A03" w:rsidRDefault="00370A03" w:rsidP="00370A03">
      <w:pPr>
        <w:rPr>
          <w:rFonts w:cs="Arial"/>
          <w:b/>
          <w:smallCaps/>
          <w:sz w:val="20"/>
        </w:rPr>
      </w:pPr>
      <w:r>
        <w:rPr>
          <w:rFonts w:cs="Arial"/>
          <w:b/>
          <w:smallCaps/>
          <w:sz w:val="20"/>
        </w:rPr>
        <w:t>On Behalf of Vectren Energy Delivery of Ohio, Inc.</w:t>
      </w:r>
    </w:p>
    <w:p w:rsidR="00370A03" w:rsidRDefault="00370A03" w:rsidP="00370A03">
      <w:pPr>
        <w:rPr>
          <w:rFonts w:cs="Arial"/>
          <w:sz w:val="20"/>
        </w:rPr>
      </w:pPr>
    </w:p>
    <w:p w:rsidR="00370A03" w:rsidRDefault="00370A03" w:rsidP="00370A03">
      <w:pPr>
        <w:rPr>
          <w:rFonts w:cs="Arial"/>
          <w:sz w:val="20"/>
        </w:rPr>
      </w:pPr>
      <w:r>
        <w:rPr>
          <w:rFonts w:cs="Arial"/>
          <w:sz w:val="20"/>
        </w:rPr>
        <w:t>Amy Spiller</w:t>
      </w:r>
    </w:p>
    <w:p w:rsidR="00370A03" w:rsidRDefault="00370A03" w:rsidP="00370A03">
      <w:pPr>
        <w:rPr>
          <w:rFonts w:cs="Arial"/>
          <w:sz w:val="20"/>
        </w:rPr>
      </w:pPr>
      <w:r>
        <w:rPr>
          <w:rFonts w:cs="Arial"/>
          <w:sz w:val="20"/>
        </w:rPr>
        <w:t>Elizabeth H. Watts</w:t>
      </w:r>
    </w:p>
    <w:p w:rsidR="00370A03" w:rsidRDefault="00370A03" w:rsidP="00370A03">
      <w:pPr>
        <w:rPr>
          <w:rFonts w:cs="Arial"/>
          <w:sz w:val="20"/>
        </w:rPr>
      </w:pPr>
      <w:r>
        <w:rPr>
          <w:rFonts w:cs="Arial"/>
          <w:sz w:val="20"/>
        </w:rPr>
        <w:t>Duke Energy Business Services, Inc.</w:t>
      </w:r>
    </w:p>
    <w:p w:rsidR="00370A03" w:rsidRDefault="00370A03" w:rsidP="00370A03">
      <w:pPr>
        <w:rPr>
          <w:rFonts w:cs="Arial"/>
          <w:sz w:val="20"/>
        </w:rPr>
      </w:pPr>
      <w:r>
        <w:rPr>
          <w:rFonts w:cs="Arial"/>
          <w:sz w:val="20"/>
        </w:rPr>
        <w:t>139 Fourth Street</w:t>
      </w:r>
    </w:p>
    <w:p w:rsidR="00370A03" w:rsidRDefault="00370A03" w:rsidP="00370A03">
      <w:pPr>
        <w:rPr>
          <w:rFonts w:cs="Arial"/>
          <w:sz w:val="20"/>
        </w:rPr>
      </w:pPr>
      <w:r>
        <w:rPr>
          <w:rFonts w:cs="Arial"/>
          <w:sz w:val="20"/>
        </w:rPr>
        <w:t>25 Atrium II</w:t>
      </w:r>
    </w:p>
    <w:p w:rsidR="00370A03" w:rsidRDefault="00370A03" w:rsidP="00370A03">
      <w:pPr>
        <w:rPr>
          <w:rFonts w:cs="Arial"/>
          <w:sz w:val="20"/>
        </w:rPr>
      </w:pPr>
      <w:r>
        <w:rPr>
          <w:rFonts w:cs="Arial"/>
          <w:sz w:val="20"/>
        </w:rPr>
        <w:t>Cincinnati, OH  45202</w:t>
      </w:r>
    </w:p>
    <w:p w:rsidR="00370A03" w:rsidRDefault="00370A03" w:rsidP="00370A03">
      <w:pPr>
        <w:rPr>
          <w:rFonts w:cs="Arial"/>
          <w:sz w:val="20"/>
        </w:rPr>
      </w:pPr>
    </w:p>
    <w:p w:rsidR="00370A03" w:rsidRDefault="00370A03" w:rsidP="00370A03">
      <w:pPr>
        <w:rPr>
          <w:rFonts w:cs="Arial"/>
          <w:b/>
          <w:smallCaps/>
          <w:sz w:val="20"/>
        </w:rPr>
      </w:pPr>
      <w:r>
        <w:rPr>
          <w:rFonts w:cs="Arial"/>
          <w:b/>
          <w:smallCaps/>
          <w:sz w:val="20"/>
        </w:rPr>
        <w:t>On Behalf of Duke Energy Ohio, Inc.</w:t>
      </w:r>
    </w:p>
    <w:p w:rsidR="00370A03" w:rsidRDefault="00370A03" w:rsidP="00370A03">
      <w:pPr>
        <w:rPr>
          <w:rFonts w:cs="Arial"/>
          <w:sz w:val="20"/>
        </w:rPr>
      </w:pPr>
    </w:p>
    <w:p w:rsidR="00370A03" w:rsidRDefault="00370A03" w:rsidP="00370A03">
      <w:pPr>
        <w:rPr>
          <w:rFonts w:cs="Arial"/>
          <w:sz w:val="20"/>
        </w:rPr>
      </w:pPr>
      <w:r>
        <w:rPr>
          <w:rFonts w:cs="Arial"/>
          <w:sz w:val="20"/>
        </w:rPr>
        <w:t xml:space="preserve">Candice M. Jones </w:t>
      </w:r>
    </w:p>
    <w:p w:rsidR="00370A03" w:rsidRDefault="00370A03" w:rsidP="00370A03">
      <w:pPr>
        <w:rPr>
          <w:rFonts w:cs="Arial"/>
          <w:sz w:val="20"/>
        </w:rPr>
      </w:pPr>
      <w:r>
        <w:rPr>
          <w:rFonts w:cs="Arial"/>
          <w:sz w:val="20"/>
        </w:rPr>
        <w:t>Janet K. Stoneking</w:t>
      </w:r>
    </w:p>
    <w:p w:rsidR="00370A03" w:rsidRDefault="00370A03" w:rsidP="00370A03">
      <w:pPr>
        <w:rPr>
          <w:rFonts w:cs="Arial"/>
          <w:sz w:val="20"/>
        </w:rPr>
      </w:pPr>
      <w:r>
        <w:rPr>
          <w:rFonts w:cs="Arial"/>
          <w:sz w:val="20"/>
        </w:rPr>
        <w:t>Ohio Department of Development</w:t>
      </w:r>
    </w:p>
    <w:p w:rsidR="00370A03" w:rsidRDefault="00370A03" w:rsidP="00370A03">
      <w:pPr>
        <w:rPr>
          <w:rFonts w:cs="Arial"/>
          <w:sz w:val="20"/>
        </w:rPr>
      </w:pPr>
      <w:r>
        <w:rPr>
          <w:rFonts w:cs="Arial"/>
          <w:sz w:val="20"/>
        </w:rPr>
        <w:t>77 S. High Street</w:t>
      </w:r>
    </w:p>
    <w:p w:rsidR="00370A03" w:rsidRDefault="00370A03" w:rsidP="00370A03">
      <w:pPr>
        <w:rPr>
          <w:rFonts w:cs="Arial"/>
          <w:sz w:val="20"/>
        </w:rPr>
      </w:pPr>
      <w:r>
        <w:rPr>
          <w:rFonts w:cs="Arial"/>
          <w:sz w:val="20"/>
        </w:rPr>
        <w:t>P.O. Box 1001</w:t>
      </w:r>
    </w:p>
    <w:p w:rsidR="00370A03" w:rsidRDefault="00370A03" w:rsidP="00370A03">
      <w:pPr>
        <w:rPr>
          <w:rFonts w:cs="Arial"/>
          <w:sz w:val="20"/>
        </w:rPr>
      </w:pPr>
      <w:r>
        <w:rPr>
          <w:rFonts w:cs="Arial"/>
          <w:sz w:val="20"/>
        </w:rPr>
        <w:t>Columbus, Ohio  43216</w:t>
      </w:r>
    </w:p>
    <w:p w:rsidR="00370A03" w:rsidRDefault="00370A03" w:rsidP="00370A03">
      <w:pPr>
        <w:rPr>
          <w:rFonts w:cs="Arial"/>
          <w:sz w:val="20"/>
        </w:rPr>
      </w:pPr>
    </w:p>
    <w:p w:rsidR="00370A03" w:rsidRDefault="00370A03" w:rsidP="00370A03">
      <w:pPr>
        <w:rPr>
          <w:rFonts w:cs="Arial"/>
          <w:b/>
          <w:smallCaps/>
          <w:sz w:val="20"/>
        </w:rPr>
      </w:pPr>
      <w:r>
        <w:rPr>
          <w:rFonts w:cs="Arial"/>
          <w:b/>
          <w:smallCaps/>
          <w:sz w:val="20"/>
        </w:rPr>
        <w:t>On Behalf of the Ohio Department of Development</w:t>
      </w:r>
    </w:p>
    <w:p w:rsidR="00370A03" w:rsidRDefault="00370A03" w:rsidP="00370A03">
      <w:pPr>
        <w:rPr>
          <w:rFonts w:cs="Arial"/>
          <w:b/>
          <w:smallCaps/>
          <w:sz w:val="20"/>
        </w:rPr>
      </w:pPr>
    </w:p>
    <w:p w:rsidR="00370A03" w:rsidRDefault="00370A03" w:rsidP="00370A03">
      <w:pPr>
        <w:rPr>
          <w:rFonts w:cs="Arial"/>
          <w:sz w:val="20"/>
        </w:rPr>
      </w:pPr>
      <w:r>
        <w:rPr>
          <w:rFonts w:cs="Arial"/>
          <w:sz w:val="20"/>
        </w:rPr>
        <w:t>Thomas J. O’Brien</w:t>
      </w:r>
    </w:p>
    <w:p w:rsidR="00370A03" w:rsidRDefault="00370A03" w:rsidP="00370A03">
      <w:pPr>
        <w:rPr>
          <w:rFonts w:cs="Arial"/>
          <w:sz w:val="20"/>
        </w:rPr>
      </w:pPr>
      <w:r>
        <w:rPr>
          <w:rFonts w:cs="Arial"/>
          <w:sz w:val="20"/>
        </w:rPr>
        <w:t>Bricker &amp; Eckler LLP</w:t>
      </w:r>
    </w:p>
    <w:p w:rsidR="00370A03" w:rsidRDefault="00370A03" w:rsidP="00370A03">
      <w:pPr>
        <w:rPr>
          <w:rFonts w:cs="Arial"/>
          <w:sz w:val="20"/>
        </w:rPr>
      </w:pPr>
      <w:r>
        <w:rPr>
          <w:rFonts w:cs="Arial"/>
          <w:sz w:val="20"/>
        </w:rPr>
        <w:t>100 South Third Street</w:t>
      </w:r>
    </w:p>
    <w:p w:rsidR="00370A03" w:rsidRDefault="00370A03" w:rsidP="00370A03">
      <w:pPr>
        <w:rPr>
          <w:rFonts w:cs="Arial"/>
          <w:sz w:val="20"/>
        </w:rPr>
      </w:pPr>
      <w:r>
        <w:rPr>
          <w:rFonts w:cs="Arial"/>
          <w:sz w:val="20"/>
        </w:rPr>
        <w:t>Columbus, Ohio 43215</w:t>
      </w:r>
    </w:p>
    <w:p w:rsidR="00370A03" w:rsidRDefault="00370A03" w:rsidP="00370A03">
      <w:pPr>
        <w:rPr>
          <w:rFonts w:cs="Arial"/>
          <w:sz w:val="20"/>
        </w:rPr>
      </w:pPr>
    </w:p>
    <w:p w:rsidR="00370A03" w:rsidRDefault="00370A03" w:rsidP="00370A03">
      <w:pPr>
        <w:rPr>
          <w:rFonts w:cs="Arial"/>
          <w:b/>
          <w:smallCaps/>
          <w:sz w:val="20"/>
        </w:rPr>
        <w:sectPr w:rsidR="00370A03">
          <w:type w:val="continuous"/>
          <w:pgSz w:w="12240" w:h="15840"/>
          <w:pgMar w:top="1440" w:right="1440" w:bottom="1440" w:left="1440" w:header="720" w:footer="720" w:gutter="0"/>
          <w:cols w:num="2" w:space="720"/>
          <w:docGrid w:linePitch="360"/>
        </w:sectPr>
      </w:pPr>
      <w:r>
        <w:rPr>
          <w:rFonts w:cs="Arial"/>
          <w:b/>
          <w:smallCaps/>
          <w:sz w:val="20"/>
        </w:rPr>
        <w:t>On Behalf of the Ohio Manufacturers Association and Ohio Hospital Association</w:t>
      </w:r>
    </w:p>
    <w:p w:rsidR="00370A03" w:rsidRDefault="00370A03" w:rsidP="00370A03">
      <w:pPr>
        <w:rPr>
          <w:rFonts w:cs="Arial"/>
          <w:sz w:val="20"/>
        </w:rPr>
      </w:pPr>
      <w:r>
        <w:rPr>
          <w:rFonts w:cs="Arial"/>
          <w:sz w:val="20"/>
        </w:rPr>
        <w:lastRenderedPageBreak/>
        <w:t>Randall V. Griffin</w:t>
      </w:r>
    </w:p>
    <w:p w:rsidR="00370A03" w:rsidRDefault="00370A03" w:rsidP="00370A03">
      <w:pPr>
        <w:rPr>
          <w:rFonts w:cs="Arial"/>
          <w:sz w:val="20"/>
        </w:rPr>
      </w:pPr>
      <w:r>
        <w:rPr>
          <w:rFonts w:cs="Arial"/>
          <w:sz w:val="20"/>
        </w:rPr>
        <w:t>Judi L. Sobecki</w:t>
      </w:r>
    </w:p>
    <w:p w:rsidR="00370A03" w:rsidRDefault="00370A03" w:rsidP="00370A03">
      <w:pPr>
        <w:autoSpaceDE w:val="0"/>
        <w:autoSpaceDN w:val="0"/>
        <w:adjustRightInd w:val="0"/>
        <w:rPr>
          <w:rFonts w:cs="Arial"/>
          <w:sz w:val="20"/>
        </w:rPr>
      </w:pPr>
      <w:r>
        <w:rPr>
          <w:rFonts w:cs="Arial"/>
          <w:sz w:val="20"/>
        </w:rPr>
        <w:t>The Dayton Power and Light Company</w:t>
      </w:r>
    </w:p>
    <w:p w:rsidR="00370A03" w:rsidRDefault="00370A03" w:rsidP="00370A03">
      <w:pPr>
        <w:autoSpaceDE w:val="0"/>
        <w:autoSpaceDN w:val="0"/>
        <w:adjustRightInd w:val="0"/>
        <w:rPr>
          <w:rFonts w:cs="Arial"/>
          <w:sz w:val="20"/>
        </w:rPr>
      </w:pPr>
      <w:r>
        <w:rPr>
          <w:rFonts w:cs="Arial"/>
          <w:sz w:val="20"/>
        </w:rPr>
        <w:t>1065 Woodman Drive</w:t>
      </w:r>
    </w:p>
    <w:p w:rsidR="00370A03" w:rsidRDefault="00370A03" w:rsidP="00370A03">
      <w:pPr>
        <w:rPr>
          <w:rFonts w:cs="Arial"/>
          <w:sz w:val="20"/>
        </w:rPr>
      </w:pPr>
      <w:r>
        <w:rPr>
          <w:rFonts w:cs="Arial"/>
          <w:sz w:val="20"/>
        </w:rPr>
        <w:t>Dayton, OH 45432</w:t>
      </w:r>
    </w:p>
    <w:p w:rsidR="00370A03" w:rsidRDefault="00370A03" w:rsidP="00370A03">
      <w:pPr>
        <w:rPr>
          <w:rFonts w:cs="Arial"/>
          <w:sz w:val="20"/>
        </w:rPr>
      </w:pPr>
    </w:p>
    <w:p w:rsidR="00370A03" w:rsidRDefault="00370A03" w:rsidP="00370A03">
      <w:pPr>
        <w:rPr>
          <w:rFonts w:cs="Arial"/>
          <w:b/>
          <w:smallCaps/>
          <w:sz w:val="20"/>
        </w:rPr>
      </w:pPr>
      <w:r>
        <w:rPr>
          <w:rFonts w:cs="Arial"/>
          <w:b/>
          <w:smallCaps/>
          <w:sz w:val="20"/>
        </w:rPr>
        <w:t>On Behalf of The Dayton Power and Light Company</w:t>
      </w:r>
    </w:p>
    <w:p w:rsidR="00370A03" w:rsidRDefault="00370A03" w:rsidP="00370A03">
      <w:pPr>
        <w:rPr>
          <w:rFonts w:cs="Arial"/>
          <w:sz w:val="20"/>
        </w:rPr>
      </w:pPr>
    </w:p>
    <w:p w:rsidR="00370A03" w:rsidRDefault="00370A03" w:rsidP="00370A03">
      <w:pPr>
        <w:autoSpaceDE w:val="0"/>
        <w:autoSpaceDN w:val="0"/>
        <w:adjustRightInd w:val="0"/>
        <w:rPr>
          <w:rFonts w:cs="Arial"/>
          <w:sz w:val="20"/>
        </w:rPr>
      </w:pPr>
      <w:r>
        <w:rPr>
          <w:rFonts w:cs="Arial"/>
          <w:sz w:val="20"/>
        </w:rPr>
        <w:t>Nolan Moser</w:t>
      </w:r>
    </w:p>
    <w:p w:rsidR="00370A03" w:rsidRDefault="00370A03" w:rsidP="00370A03">
      <w:pPr>
        <w:autoSpaceDE w:val="0"/>
        <w:autoSpaceDN w:val="0"/>
        <w:adjustRightInd w:val="0"/>
        <w:rPr>
          <w:rFonts w:cs="Arial"/>
          <w:sz w:val="20"/>
        </w:rPr>
      </w:pPr>
      <w:r>
        <w:rPr>
          <w:rFonts w:cs="Arial"/>
          <w:sz w:val="20"/>
        </w:rPr>
        <w:t>Trent A. Dougherty</w:t>
      </w:r>
    </w:p>
    <w:p w:rsidR="00370A03" w:rsidRDefault="00370A03" w:rsidP="00370A03">
      <w:pPr>
        <w:autoSpaceDE w:val="0"/>
        <w:autoSpaceDN w:val="0"/>
        <w:adjustRightInd w:val="0"/>
        <w:rPr>
          <w:rFonts w:cs="Arial"/>
          <w:sz w:val="20"/>
        </w:rPr>
      </w:pPr>
      <w:r>
        <w:rPr>
          <w:rFonts w:cs="Arial"/>
          <w:sz w:val="20"/>
        </w:rPr>
        <w:t>Director of Legal Affairs</w:t>
      </w:r>
    </w:p>
    <w:p w:rsidR="00370A03" w:rsidRDefault="00370A03" w:rsidP="00370A03">
      <w:pPr>
        <w:autoSpaceDE w:val="0"/>
        <w:autoSpaceDN w:val="0"/>
        <w:adjustRightInd w:val="0"/>
        <w:rPr>
          <w:rFonts w:cs="Arial"/>
          <w:sz w:val="20"/>
        </w:rPr>
      </w:pPr>
      <w:r>
        <w:rPr>
          <w:rFonts w:cs="Arial"/>
          <w:sz w:val="20"/>
        </w:rPr>
        <w:t>The Ohio Environmental Council</w:t>
      </w:r>
    </w:p>
    <w:p w:rsidR="00370A03" w:rsidRDefault="00370A03" w:rsidP="00370A03">
      <w:pPr>
        <w:autoSpaceDE w:val="0"/>
        <w:autoSpaceDN w:val="0"/>
        <w:adjustRightInd w:val="0"/>
        <w:rPr>
          <w:rFonts w:cs="Arial"/>
          <w:sz w:val="20"/>
        </w:rPr>
      </w:pPr>
      <w:r>
        <w:rPr>
          <w:rFonts w:cs="Arial"/>
          <w:sz w:val="20"/>
        </w:rPr>
        <w:t>1207 Grandview Avenue, Suite 201</w:t>
      </w:r>
    </w:p>
    <w:p w:rsidR="00370A03" w:rsidRDefault="00370A03" w:rsidP="00370A03">
      <w:pPr>
        <w:autoSpaceDE w:val="0"/>
        <w:autoSpaceDN w:val="0"/>
        <w:adjustRightInd w:val="0"/>
        <w:rPr>
          <w:rFonts w:cs="Arial"/>
          <w:sz w:val="20"/>
        </w:rPr>
      </w:pPr>
      <w:r>
        <w:rPr>
          <w:rFonts w:cs="Arial"/>
          <w:sz w:val="20"/>
        </w:rPr>
        <w:t>Columbus, Ohio 43212-3449</w:t>
      </w:r>
    </w:p>
    <w:p w:rsidR="00370A03" w:rsidRDefault="00370A03" w:rsidP="00370A03">
      <w:pPr>
        <w:autoSpaceDE w:val="0"/>
        <w:autoSpaceDN w:val="0"/>
        <w:adjustRightInd w:val="0"/>
        <w:rPr>
          <w:rFonts w:cs="Arial"/>
          <w:sz w:val="20"/>
        </w:rPr>
      </w:pPr>
    </w:p>
    <w:p w:rsidR="00370A03" w:rsidRDefault="00370A03" w:rsidP="00370A03">
      <w:pPr>
        <w:autoSpaceDE w:val="0"/>
        <w:autoSpaceDN w:val="0"/>
        <w:adjustRightInd w:val="0"/>
        <w:rPr>
          <w:rFonts w:cs="Arial"/>
          <w:b/>
          <w:smallCaps/>
          <w:sz w:val="20"/>
        </w:rPr>
      </w:pPr>
      <w:r>
        <w:rPr>
          <w:rFonts w:cs="Arial"/>
          <w:b/>
          <w:smallCaps/>
          <w:sz w:val="20"/>
        </w:rPr>
        <w:t>On Behalf of the Ohio Environmental Council</w:t>
      </w:r>
    </w:p>
    <w:p w:rsidR="00370A03" w:rsidRDefault="00370A03" w:rsidP="00370A03">
      <w:pPr>
        <w:autoSpaceDE w:val="0"/>
        <w:autoSpaceDN w:val="0"/>
        <w:adjustRightInd w:val="0"/>
        <w:rPr>
          <w:rFonts w:cs="Arial"/>
          <w:sz w:val="20"/>
        </w:rPr>
      </w:pPr>
    </w:p>
    <w:p w:rsidR="00370A03" w:rsidRDefault="00370A03" w:rsidP="00370A03">
      <w:pPr>
        <w:autoSpaceDE w:val="0"/>
        <w:autoSpaceDN w:val="0"/>
        <w:adjustRightInd w:val="0"/>
        <w:rPr>
          <w:rFonts w:cs="Arial"/>
          <w:sz w:val="20"/>
        </w:rPr>
      </w:pPr>
      <w:r>
        <w:rPr>
          <w:rFonts w:cs="Arial"/>
          <w:sz w:val="20"/>
        </w:rPr>
        <w:t>Bruce J. Weston</w:t>
      </w:r>
    </w:p>
    <w:p w:rsidR="00370A03" w:rsidRDefault="00370A03" w:rsidP="00370A03">
      <w:pPr>
        <w:autoSpaceDE w:val="0"/>
        <w:autoSpaceDN w:val="0"/>
        <w:adjustRightInd w:val="0"/>
        <w:rPr>
          <w:rFonts w:cs="Arial"/>
          <w:sz w:val="20"/>
        </w:rPr>
      </w:pPr>
      <w:r>
        <w:rPr>
          <w:rFonts w:cs="Arial"/>
          <w:sz w:val="20"/>
        </w:rPr>
        <w:t>Ohio Consumers’ Counsel</w:t>
      </w:r>
    </w:p>
    <w:p w:rsidR="00370A03" w:rsidRDefault="00370A03" w:rsidP="00370A03">
      <w:pPr>
        <w:autoSpaceDE w:val="0"/>
        <w:autoSpaceDN w:val="0"/>
        <w:adjustRightInd w:val="0"/>
        <w:rPr>
          <w:rFonts w:cs="Arial"/>
          <w:sz w:val="20"/>
        </w:rPr>
      </w:pPr>
      <w:r>
        <w:rPr>
          <w:rFonts w:cs="Arial"/>
          <w:sz w:val="20"/>
        </w:rPr>
        <w:t>Joseph P. Serio</w:t>
      </w:r>
    </w:p>
    <w:p w:rsidR="00AD0854" w:rsidRDefault="00AD0854" w:rsidP="00370A03">
      <w:pPr>
        <w:autoSpaceDE w:val="0"/>
        <w:autoSpaceDN w:val="0"/>
        <w:adjustRightInd w:val="0"/>
        <w:rPr>
          <w:rFonts w:cs="Arial"/>
          <w:sz w:val="20"/>
        </w:rPr>
      </w:pPr>
      <w:r>
        <w:rPr>
          <w:rFonts w:cs="Arial"/>
          <w:sz w:val="20"/>
        </w:rPr>
        <w:t>Terry L. Etter</w:t>
      </w:r>
    </w:p>
    <w:p w:rsidR="00370A03" w:rsidRDefault="00370A03" w:rsidP="00370A03">
      <w:pPr>
        <w:autoSpaceDE w:val="0"/>
        <w:autoSpaceDN w:val="0"/>
        <w:adjustRightInd w:val="0"/>
        <w:rPr>
          <w:rFonts w:cs="Arial"/>
          <w:sz w:val="20"/>
        </w:rPr>
      </w:pPr>
      <w:r>
        <w:rPr>
          <w:rFonts w:cs="Arial"/>
          <w:sz w:val="20"/>
        </w:rPr>
        <w:t>Assistant Consumers’ Counsel</w:t>
      </w:r>
    </w:p>
    <w:p w:rsidR="00370A03" w:rsidRDefault="00370A03" w:rsidP="00370A03">
      <w:pPr>
        <w:autoSpaceDE w:val="0"/>
        <w:autoSpaceDN w:val="0"/>
        <w:adjustRightInd w:val="0"/>
        <w:rPr>
          <w:rFonts w:cs="Arial"/>
          <w:sz w:val="20"/>
        </w:rPr>
      </w:pPr>
      <w:r>
        <w:rPr>
          <w:rFonts w:cs="Arial"/>
          <w:sz w:val="20"/>
        </w:rPr>
        <w:t>Office of the Ohio Consumers' Counsel</w:t>
      </w:r>
    </w:p>
    <w:p w:rsidR="00370A03" w:rsidRDefault="00370A03" w:rsidP="00370A03">
      <w:pPr>
        <w:autoSpaceDE w:val="0"/>
        <w:autoSpaceDN w:val="0"/>
        <w:adjustRightInd w:val="0"/>
        <w:rPr>
          <w:rFonts w:cs="Arial"/>
          <w:sz w:val="20"/>
        </w:rPr>
      </w:pPr>
      <w:r>
        <w:rPr>
          <w:rFonts w:cs="Arial"/>
          <w:sz w:val="20"/>
        </w:rPr>
        <w:t>10 West Broad Street, Suite 1800</w:t>
      </w:r>
    </w:p>
    <w:p w:rsidR="00370A03" w:rsidRDefault="00370A03" w:rsidP="00370A03">
      <w:pPr>
        <w:autoSpaceDE w:val="0"/>
        <w:autoSpaceDN w:val="0"/>
        <w:adjustRightInd w:val="0"/>
        <w:rPr>
          <w:rFonts w:cs="Arial"/>
          <w:sz w:val="20"/>
        </w:rPr>
      </w:pPr>
      <w:r>
        <w:rPr>
          <w:rFonts w:cs="Arial"/>
          <w:sz w:val="20"/>
        </w:rPr>
        <w:t>Columbus, Ohio 43215-3485</w:t>
      </w:r>
    </w:p>
    <w:p w:rsidR="00370A03" w:rsidRDefault="00370A03" w:rsidP="00370A03">
      <w:pPr>
        <w:autoSpaceDE w:val="0"/>
        <w:autoSpaceDN w:val="0"/>
        <w:adjustRightInd w:val="0"/>
        <w:rPr>
          <w:rFonts w:cs="Arial"/>
          <w:sz w:val="20"/>
        </w:rPr>
      </w:pPr>
      <w:r>
        <w:rPr>
          <w:rFonts w:cs="Arial"/>
          <w:sz w:val="20"/>
        </w:rPr>
        <w:t>serio@occ.state.oh.us</w:t>
      </w:r>
    </w:p>
    <w:p w:rsidR="00AD0854" w:rsidRDefault="00AD0854" w:rsidP="00370A03">
      <w:pPr>
        <w:autoSpaceDE w:val="0"/>
        <w:autoSpaceDN w:val="0"/>
        <w:adjustRightInd w:val="0"/>
        <w:rPr>
          <w:rFonts w:cs="Arial"/>
          <w:sz w:val="20"/>
        </w:rPr>
      </w:pPr>
      <w:r>
        <w:rPr>
          <w:rFonts w:cs="Arial"/>
          <w:sz w:val="20"/>
        </w:rPr>
        <w:t>etter@occ.state.oh.us</w:t>
      </w:r>
    </w:p>
    <w:p w:rsidR="00370A03" w:rsidRDefault="00370A03" w:rsidP="00370A03">
      <w:pPr>
        <w:autoSpaceDE w:val="0"/>
        <w:autoSpaceDN w:val="0"/>
        <w:adjustRightInd w:val="0"/>
        <w:rPr>
          <w:rFonts w:cs="Arial"/>
          <w:sz w:val="20"/>
        </w:rPr>
      </w:pPr>
    </w:p>
    <w:p w:rsidR="00370A03" w:rsidRDefault="00370A03" w:rsidP="00370A03">
      <w:pPr>
        <w:autoSpaceDE w:val="0"/>
        <w:autoSpaceDN w:val="0"/>
        <w:adjustRightInd w:val="0"/>
        <w:rPr>
          <w:rFonts w:cs="Arial"/>
          <w:b/>
          <w:smallCaps/>
          <w:sz w:val="20"/>
        </w:rPr>
      </w:pPr>
      <w:r>
        <w:rPr>
          <w:rFonts w:cs="Arial"/>
          <w:b/>
          <w:smallCaps/>
          <w:sz w:val="20"/>
        </w:rPr>
        <w:t>On Behalf of The Office of the Ohio Consumers’ Counsel</w:t>
      </w:r>
    </w:p>
    <w:p w:rsidR="00370A03" w:rsidRDefault="00370A03" w:rsidP="00370A03">
      <w:pPr>
        <w:autoSpaceDE w:val="0"/>
        <w:autoSpaceDN w:val="0"/>
        <w:adjustRightInd w:val="0"/>
        <w:rPr>
          <w:rFonts w:cs="Arial"/>
          <w:b/>
          <w:smallCaps/>
          <w:sz w:val="20"/>
        </w:rPr>
      </w:pPr>
    </w:p>
    <w:p w:rsidR="00370A03" w:rsidRDefault="00370A03" w:rsidP="00370A03">
      <w:pPr>
        <w:rPr>
          <w:rFonts w:cs="Arial"/>
          <w:sz w:val="20"/>
        </w:rPr>
      </w:pPr>
      <w:r>
        <w:rPr>
          <w:rFonts w:cs="Arial"/>
          <w:sz w:val="20"/>
        </w:rPr>
        <w:t>David Rinebolt</w:t>
      </w:r>
    </w:p>
    <w:p w:rsidR="00370A03" w:rsidRDefault="00370A03" w:rsidP="00370A03">
      <w:pPr>
        <w:autoSpaceDE w:val="0"/>
        <w:autoSpaceDN w:val="0"/>
        <w:adjustRightInd w:val="0"/>
        <w:rPr>
          <w:rFonts w:cs="Arial"/>
          <w:sz w:val="20"/>
        </w:rPr>
      </w:pPr>
      <w:r>
        <w:rPr>
          <w:rFonts w:cs="Arial"/>
          <w:sz w:val="20"/>
        </w:rPr>
        <w:t>Ohio Partners for Affordable Energy</w:t>
      </w:r>
    </w:p>
    <w:p w:rsidR="00370A03" w:rsidRDefault="00370A03" w:rsidP="00370A03">
      <w:pPr>
        <w:autoSpaceDE w:val="0"/>
        <w:autoSpaceDN w:val="0"/>
        <w:adjustRightInd w:val="0"/>
        <w:rPr>
          <w:rFonts w:cs="Arial"/>
          <w:sz w:val="20"/>
        </w:rPr>
      </w:pPr>
      <w:r>
        <w:rPr>
          <w:rFonts w:cs="Arial"/>
          <w:sz w:val="20"/>
        </w:rPr>
        <w:t>P.O. Box 1793</w:t>
      </w:r>
    </w:p>
    <w:p w:rsidR="00370A03" w:rsidRDefault="00370A03" w:rsidP="00370A03">
      <w:pPr>
        <w:rPr>
          <w:rFonts w:cs="Arial"/>
          <w:sz w:val="20"/>
        </w:rPr>
      </w:pPr>
      <w:r>
        <w:rPr>
          <w:rFonts w:cs="Arial"/>
          <w:sz w:val="20"/>
        </w:rPr>
        <w:t>Findlay, OH  45840-1793</w:t>
      </w:r>
    </w:p>
    <w:p w:rsidR="00370A03" w:rsidRDefault="00370A03" w:rsidP="00370A03">
      <w:pPr>
        <w:rPr>
          <w:rFonts w:cs="Arial"/>
          <w:sz w:val="20"/>
        </w:rPr>
      </w:pPr>
    </w:p>
    <w:p w:rsidR="00370A03" w:rsidRDefault="00370A03" w:rsidP="00370A03">
      <w:pPr>
        <w:rPr>
          <w:rFonts w:cs="Arial"/>
          <w:b/>
          <w:smallCaps/>
          <w:sz w:val="20"/>
        </w:rPr>
      </w:pPr>
      <w:r>
        <w:rPr>
          <w:rFonts w:cs="Arial"/>
          <w:b/>
          <w:smallCaps/>
          <w:sz w:val="20"/>
        </w:rPr>
        <w:t>On Behalf of Ohio Partners for Affordable Energy</w:t>
      </w:r>
    </w:p>
    <w:p w:rsidR="00370A03" w:rsidRDefault="00370A03" w:rsidP="00370A03">
      <w:pPr>
        <w:autoSpaceDE w:val="0"/>
        <w:autoSpaceDN w:val="0"/>
        <w:adjustRightInd w:val="0"/>
        <w:rPr>
          <w:rFonts w:cs="Arial"/>
          <w:smallCaps/>
          <w:sz w:val="20"/>
        </w:rPr>
      </w:pPr>
    </w:p>
    <w:p w:rsidR="00370A03" w:rsidRDefault="00370A03" w:rsidP="00370A03">
      <w:pPr>
        <w:rPr>
          <w:rFonts w:cs="Arial"/>
          <w:sz w:val="20"/>
        </w:rPr>
      </w:pPr>
      <w:r>
        <w:rPr>
          <w:rFonts w:cs="Arial"/>
          <w:sz w:val="20"/>
        </w:rPr>
        <w:t>Mary W. Christensen</w:t>
      </w:r>
    </w:p>
    <w:p w:rsidR="00370A03" w:rsidRDefault="00370A03" w:rsidP="00370A03">
      <w:pPr>
        <w:rPr>
          <w:rFonts w:cs="Arial"/>
          <w:sz w:val="20"/>
        </w:rPr>
      </w:pPr>
      <w:r>
        <w:rPr>
          <w:rFonts w:cs="Arial"/>
          <w:sz w:val="20"/>
        </w:rPr>
        <w:t>Christensen Christensen &amp; Owens LLP</w:t>
      </w:r>
    </w:p>
    <w:p w:rsidR="00370A03" w:rsidRDefault="00370A03" w:rsidP="00370A03">
      <w:pPr>
        <w:rPr>
          <w:rFonts w:cs="Arial"/>
          <w:sz w:val="20"/>
        </w:rPr>
      </w:pPr>
      <w:r>
        <w:rPr>
          <w:rFonts w:cs="Arial"/>
          <w:sz w:val="20"/>
        </w:rPr>
        <w:t>100 East Campus View Blvd., Suite 360</w:t>
      </w:r>
    </w:p>
    <w:p w:rsidR="00370A03" w:rsidRDefault="00370A03" w:rsidP="00370A03">
      <w:pPr>
        <w:rPr>
          <w:rFonts w:cs="Arial"/>
          <w:sz w:val="20"/>
        </w:rPr>
      </w:pPr>
      <w:r>
        <w:rPr>
          <w:rFonts w:cs="Arial"/>
          <w:sz w:val="20"/>
        </w:rPr>
        <w:t>Columbus, OH 43235</w:t>
      </w:r>
    </w:p>
    <w:p w:rsidR="00370A03" w:rsidRDefault="00370A03" w:rsidP="00370A03">
      <w:pPr>
        <w:rPr>
          <w:rFonts w:cs="Arial"/>
          <w:sz w:val="20"/>
        </w:rPr>
      </w:pPr>
    </w:p>
    <w:p w:rsidR="00370A03" w:rsidRDefault="00370A03" w:rsidP="00370A03">
      <w:pPr>
        <w:rPr>
          <w:rFonts w:cs="Arial"/>
          <w:b/>
          <w:smallCaps/>
          <w:sz w:val="20"/>
        </w:rPr>
      </w:pPr>
      <w:r>
        <w:rPr>
          <w:rFonts w:cs="Arial"/>
          <w:b/>
          <w:smallCaps/>
          <w:sz w:val="20"/>
        </w:rPr>
        <w:t>On Behalf of People Working Cooperatively, Inc.</w:t>
      </w:r>
    </w:p>
    <w:p w:rsidR="00370A03" w:rsidRDefault="00370A03" w:rsidP="00370A03">
      <w:pPr>
        <w:autoSpaceDE w:val="0"/>
        <w:autoSpaceDN w:val="0"/>
        <w:adjustRightInd w:val="0"/>
        <w:rPr>
          <w:rFonts w:cs="Arial"/>
          <w:sz w:val="20"/>
        </w:rPr>
      </w:pPr>
    </w:p>
    <w:p w:rsidR="00370A03" w:rsidRDefault="00370A03" w:rsidP="00370A03">
      <w:pPr>
        <w:autoSpaceDE w:val="0"/>
        <w:autoSpaceDN w:val="0"/>
        <w:adjustRightInd w:val="0"/>
        <w:rPr>
          <w:rFonts w:cs="Arial"/>
          <w:sz w:val="20"/>
        </w:rPr>
      </w:pPr>
      <w:r>
        <w:rPr>
          <w:rFonts w:cs="Arial"/>
          <w:sz w:val="20"/>
        </w:rPr>
        <w:br w:type="column"/>
      </w:r>
      <w:r>
        <w:rPr>
          <w:rFonts w:cs="Arial"/>
          <w:sz w:val="20"/>
        </w:rPr>
        <w:lastRenderedPageBreak/>
        <w:t>Kathy J. Kolich</w:t>
      </w:r>
    </w:p>
    <w:p w:rsidR="00370A03" w:rsidRDefault="00370A03" w:rsidP="00370A03">
      <w:pPr>
        <w:autoSpaceDE w:val="0"/>
        <w:autoSpaceDN w:val="0"/>
        <w:adjustRightInd w:val="0"/>
        <w:rPr>
          <w:rFonts w:cs="Arial"/>
          <w:sz w:val="20"/>
        </w:rPr>
      </w:pPr>
      <w:r>
        <w:rPr>
          <w:rFonts w:cs="Arial"/>
          <w:sz w:val="20"/>
        </w:rPr>
        <w:t>Carrie M. Dunn</w:t>
      </w:r>
    </w:p>
    <w:p w:rsidR="00370A03" w:rsidRDefault="00370A03" w:rsidP="00370A03">
      <w:pPr>
        <w:autoSpaceDE w:val="0"/>
        <w:autoSpaceDN w:val="0"/>
        <w:adjustRightInd w:val="0"/>
        <w:rPr>
          <w:rFonts w:cs="Arial"/>
          <w:sz w:val="20"/>
        </w:rPr>
      </w:pPr>
      <w:r>
        <w:rPr>
          <w:rFonts w:cs="Arial"/>
          <w:sz w:val="20"/>
        </w:rPr>
        <w:t>FirstEnergy Service Company</w:t>
      </w:r>
    </w:p>
    <w:p w:rsidR="00370A03" w:rsidRDefault="00370A03" w:rsidP="00370A03">
      <w:pPr>
        <w:autoSpaceDE w:val="0"/>
        <w:autoSpaceDN w:val="0"/>
        <w:adjustRightInd w:val="0"/>
        <w:rPr>
          <w:rFonts w:cs="Arial"/>
          <w:sz w:val="20"/>
        </w:rPr>
      </w:pPr>
      <w:r>
        <w:rPr>
          <w:rFonts w:cs="Arial"/>
          <w:sz w:val="20"/>
        </w:rPr>
        <w:t>76 S. Main Street</w:t>
      </w:r>
    </w:p>
    <w:p w:rsidR="00370A03" w:rsidRDefault="00370A03" w:rsidP="00370A03">
      <w:pPr>
        <w:autoSpaceDE w:val="0"/>
        <w:autoSpaceDN w:val="0"/>
        <w:adjustRightInd w:val="0"/>
        <w:rPr>
          <w:rFonts w:cs="Arial"/>
          <w:sz w:val="20"/>
        </w:rPr>
      </w:pPr>
      <w:r>
        <w:rPr>
          <w:rFonts w:cs="Arial"/>
          <w:sz w:val="20"/>
        </w:rPr>
        <w:t>Akron, Ohio  44308</w:t>
      </w:r>
    </w:p>
    <w:p w:rsidR="00370A03" w:rsidRDefault="00370A03" w:rsidP="00370A03">
      <w:pPr>
        <w:autoSpaceDE w:val="0"/>
        <w:autoSpaceDN w:val="0"/>
        <w:adjustRightInd w:val="0"/>
        <w:rPr>
          <w:rFonts w:cs="Arial"/>
          <w:sz w:val="20"/>
        </w:rPr>
      </w:pPr>
    </w:p>
    <w:p w:rsidR="00370A03" w:rsidRDefault="00370A03" w:rsidP="00370A03">
      <w:pPr>
        <w:autoSpaceDE w:val="0"/>
        <w:autoSpaceDN w:val="0"/>
        <w:adjustRightInd w:val="0"/>
        <w:rPr>
          <w:rFonts w:cs="Arial"/>
          <w:b/>
          <w:smallCaps/>
          <w:sz w:val="20"/>
        </w:rPr>
      </w:pPr>
      <w:r>
        <w:rPr>
          <w:rFonts w:cs="Arial"/>
          <w:b/>
          <w:smallCaps/>
          <w:sz w:val="20"/>
        </w:rPr>
        <w:t>On Behalf of Ohio Edison Company, The Cleveland Electric Illuminating Company and the Toledo Edison Company</w:t>
      </w:r>
    </w:p>
    <w:p w:rsidR="00370A03" w:rsidRDefault="00370A03" w:rsidP="00370A03">
      <w:pPr>
        <w:autoSpaceDE w:val="0"/>
        <w:autoSpaceDN w:val="0"/>
        <w:adjustRightInd w:val="0"/>
        <w:rPr>
          <w:rFonts w:cs="Arial"/>
          <w:b/>
          <w:smallCaps/>
          <w:sz w:val="20"/>
        </w:rPr>
      </w:pPr>
    </w:p>
    <w:p w:rsidR="00370A03" w:rsidRDefault="00370A03" w:rsidP="00370A03">
      <w:pPr>
        <w:rPr>
          <w:rFonts w:cs="Arial"/>
          <w:sz w:val="20"/>
        </w:rPr>
      </w:pPr>
      <w:r>
        <w:rPr>
          <w:rFonts w:cs="Arial"/>
          <w:sz w:val="20"/>
        </w:rPr>
        <w:t>Henry W. Eckhart</w:t>
      </w:r>
    </w:p>
    <w:p w:rsidR="00370A03" w:rsidRDefault="00370A03" w:rsidP="00370A03">
      <w:pPr>
        <w:rPr>
          <w:rFonts w:cs="Arial"/>
          <w:sz w:val="20"/>
        </w:rPr>
      </w:pPr>
      <w:r>
        <w:rPr>
          <w:rFonts w:cs="Arial"/>
          <w:sz w:val="20"/>
        </w:rPr>
        <w:t>1200 Chambers Road, #106</w:t>
      </w:r>
    </w:p>
    <w:p w:rsidR="00370A03" w:rsidRDefault="00370A03" w:rsidP="00370A03">
      <w:pPr>
        <w:rPr>
          <w:rFonts w:cs="Arial"/>
          <w:sz w:val="20"/>
        </w:rPr>
      </w:pPr>
      <w:r>
        <w:rPr>
          <w:rFonts w:cs="Arial"/>
          <w:sz w:val="20"/>
        </w:rPr>
        <w:t>Columbus, OH  43212</w:t>
      </w:r>
    </w:p>
    <w:p w:rsidR="00370A03" w:rsidRDefault="00370A03" w:rsidP="00370A03">
      <w:pPr>
        <w:rPr>
          <w:rFonts w:cs="Arial"/>
          <w:sz w:val="20"/>
        </w:rPr>
      </w:pPr>
      <w:r>
        <w:rPr>
          <w:rFonts w:cs="Arial"/>
          <w:sz w:val="20"/>
        </w:rPr>
        <w:t>henryeckhart@aol.com</w:t>
      </w:r>
    </w:p>
    <w:p w:rsidR="00370A03" w:rsidRDefault="00370A03" w:rsidP="00370A03">
      <w:pPr>
        <w:rPr>
          <w:rFonts w:cs="Arial"/>
          <w:sz w:val="20"/>
        </w:rPr>
      </w:pPr>
    </w:p>
    <w:p w:rsidR="00370A03" w:rsidRDefault="00370A03" w:rsidP="00370A03">
      <w:pPr>
        <w:rPr>
          <w:rFonts w:cs="Arial"/>
          <w:b/>
          <w:smallCaps/>
          <w:sz w:val="20"/>
        </w:rPr>
      </w:pPr>
      <w:r w:rsidRPr="001F3E8F">
        <w:rPr>
          <w:rFonts w:cs="Arial"/>
          <w:b/>
          <w:smallCaps/>
          <w:sz w:val="20"/>
        </w:rPr>
        <w:t>On Behalf of the Natural Resources Defense Council and the Sierra Club</w:t>
      </w:r>
    </w:p>
    <w:p w:rsidR="00370A03" w:rsidRDefault="00370A03" w:rsidP="00370A03">
      <w:pPr>
        <w:autoSpaceDE w:val="0"/>
        <w:autoSpaceDN w:val="0"/>
        <w:adjustRightInd w:val="0"/>
        <w:rPr>
          <w:rFonts w:cs="Arial"/>
          <w:smallCaps/>
          <w:sz w:val="20"/>
        </w:rPr>
      </w:pPr>
    </w:p>
    <w:p w:rsidR="00370A03" w:rsidRDefault="00370A03" w:rsidP="00370A03">
      <w:pPr>
        <w:rPr>
          <w:rFonts w:cs="Arial"/>
          <w:sz w:val="20"/>
        </w:rPr>
      </w:pPr>
      <w:r>
        <w:rPr>
          <w:rFonts w:cs="Arial"/>
          <w:sz w:val="20"/>
        </w:rPr>
        <w:t>Theodore Robinson</w:t>
      </w:r>
    </w:p>
    <w:p w:rsidR="00370A03" w:rsidRDefault="00370A03" w:rsidP="00370A03">
      <w:pPr>
        <w:autoSpaceDE w:val="0"/>
        <w:autoSpaceDN w:val="0"/>
        <w:adjustRightInd w:val="0"/>
        <w:rPr>
          <w:rFonts w:cs="Arial"/>
          <w:sz w:val="20"/>
        </w:rPr>
      </w:pPr>
      <w:r>
        <w:rPr>
          <w:rFonts w:cs="Arial"/>
          <w:sz w:val="20"/>
        </w:rPr>
        <w:t>Citizen Power</w:t>
      </w:r>
    </w:p>
    <w:p w:rsidR="00370A03" w:rsidRDefault="00370A03" w:rsidP="00370A03">
      <w:pPr>
        <w:autoSpaceDE w:val="0"/>
        <w:autoSpaceDN w:val="0"/>
        <w:adjustRightInd w:val="0"/>
        <w:rPr>
          <w:rFonts w:cs="Arial"/>
          <w:sz w:val="20"/>
        </w:rPr>
      </w:pPr>
      <w:r>
        <w:rPr>
          <w:rFonts w:cs="Arial"/>
          <w:sz w:val="20"/>
        </w:rPr>
        <w:t>2121 Murray Avenue</w:t>
      </w:r>
    </w:p>
    <w:p w:rsidR="00370A03" w:rsidRDefault="00370A03" w:rsidP="00370A03">
      <w:pPr>
        <w:rPr>
          <w:rFonts w:cs="Arial"/>
          <w:sz w:val="20"/>
        </w:rPr>
      </w:pPr>
      <w:r>
        <w:rPr>
          <w:rFonts w:cs="Arial"/>
          <w:sz w:val="20"/>
        </w:rPr>
        <w:t>Pittsburgh, PA  15217</w:t>
      </w:r>
    </w:p>
    <w:p w:rsidR="00370A03" w:rsidRDefault="00370A03" w:rsidP="00370A03">
      <w:pPr>
        <w:rPr>
          <w:rFonts w:cs="Arial"/>
          <w:sz w:val="20"/>
        </w:rPr>
      </w:pPr>
    </w:p>
    <w:p w:rsidR="00370A03" w:rsidRDefault="00370A03" w:rsidP="00370A03">
      <w:pPr>
        <w:rPr>
          <w:rFonts w:cs="Arial"/>
          <w:b/>
          <w:smallCaps/>
          <w:sz w:val="20"/>
        </w:rPr>
      </w:pPr>
      <w:r>
        <w:rPr>
          <w:rFonts w:cs="Arial"/>
          <w:b/>
          <w:smallCaps/>
          <w:sz w:val="20"/>
        </w:rPr>
        <w:t>On Behalf of Citizen Power</w:t>
      </w:r>
    </w:p>
    <w:p w:rsidR="00370A03" w:rsidRDefault="00370A03" w:rsidP="00370A03">
      <w:pPr>
        <w:autoSpaceDE w:val="0"/>
        <w:autoSpaceDN w:val="0"/>
        <w:adjustRightInd w:val="0"/>
        <w:rPr>
          <w:rFonts w:cs="Arial"/>
          <w:smallCaps/>
          <w:sz w:val="20"/>
        </w:rPr>
      </w:pPr>
    </w:p>
    <w:p w:rsidR="00370A03" w:rsidRDefault="00370A03" w:rsidP="00370A03">
      <w:pPr>
        <w:rPr>
          <w:rFonts w:cs="Arial"/>
          <w:sz w:val="20"/>
        </w:rPr>
      </w:pPr>
      <w:r>
        <w:rPr>
          <w:rFonts w:cs="Arial"/>
          <w:sz w:val="20"/>
        </w:rPr>
        <w:t>Amy Goldberg</w:t>
      </w:r>
    </w:p>
    <w:p w:rsidR="00370A03" w:rsidRDefault="00370A03" w:rsidP="00370A03">
      <w:pPr>
        <w:autoSpaceDE w:val="0"/>
        <w:autoSpaceDN w:val="0"/>
        <w:adjustRightInd w:val="0"/>
        <w:rPr>
          <w:rFonts w:cs="Arial"/>
          <w:sz w:val="20"/>
        </w:rPr>
      </w:pPr>
      <w:r>
        <w:rPr>
          <w:rFonts w:cs="Arial"/>
          <w:sz w:val="20"/>
        </w:rPr>
        <w:t>Environment Ohio</w:t>
      </w:r>
    </w:p>
    <w:p w:rsidR="00370A03" w:rsidRDefault="00370A03" w:rsidP="00370A03">
      <w:pPr>
        <w:autoSpaceDE w:val="0"/>
        <w:autoSpaceDN w:val="0"/>
        <w:adjustRightInd w:val="0"/>
        <w:rPr>
          <w:rFonts w:cs="Arial"/>
          <w:sz w:val="20"/>
        </w:rPr>
      </w:pPr>
      <w:r>
        <w:rPr>
          <w:rFonts w:cs="Arial"/>
          <w:sz w:val="20"/>
        </w:rPr>
        <w:t>203 East Broad Street, Suite 3</w:t>
      </w:r>
    </w:p>
    <w:p w:rsidR="00370A03" w:rsidRDefault="00370A03" w:rsidP="00370A03">
      <w:pPr>
        <w:rPr>
          <w:rFonts w:cs="Arial"/>
          <w:sz w:val="20"/>
        </w:rPr>
      </w:pPr>
      <w:r>
        <w:rPr>
          <w:rFonts w:cs="Arial"/>
          <w:sz w:val="20"/>
        </w:rPr>
        <w:t>Columbus, OH  43215</w:t>
      </w:r>
    </w:p>
    <w:p w:rsidR="00370A03" w:rsidRDefault="00370A03" w:rsidP="00370A03">
      <w:pPr>
        <w:rPr>
          <w:rFonts w:cs="Arial"/>
          <w:sz w:val="20"/>
        </w:rPr>
      </w:pPr>
    </w:p>
    <w:p w:rsidR="00370A03" w:rsidRDefault="00370A03" w:rsidP="00370A03">
      <w:pPr>
        <w:rPr>
          <w:rFonts w:cs="Arial"/>
          <w:b/>
          <w:smallCaps/>
          <w:sz w:val="20"/>
        </w:rPr>
      </w:pPr>
      <w:r>
        <w:rPr>
          <w:rFonts w:cs="Arial"/>
          <w:b/>
          <w:smallCaps/>
          <w:sz w:val="20"/>
        </w:rPr>
        <w:t>On Behalf of Environment Ohio</w:t>
      </w:r>
    </w:p>
    <w:p w:rsidR="00370A03" w:rsidRDefault="00370A03" w:rsidP="00370A03">
      <w:pPr>
        <w:autoSpaceDE w:val="0"/>
        <w:autoSpaceDN w:val="0"/>
        <w:adjustRightInd w:val="0"/>
        <w:rPr>
          <w:rFonts w:cs="Arial"/>
          <w:smallCaps/>
          <w:sz w:val="20"/>
        </w:rPr>
      </w:pPr>
    </w:p>
    <w:p w:rsidR="00370A03" w:rsidRDefault="00370A03" w:rsidP="00370A03">
      <w:pPr>
        <w:pStyle w:val="BodyText"/>
        <w:spacing w:after="0"/>
        <w:rPr>
          <w:rFonts w:ascii="Arial" w:hAnsi="Arial" w:cs="Arial"/>
          <w:sz w:val="20"/>
          <w:szCs w:val="20"/>
        </w:rPr>
      </w:pPr>
      <w:r>
        <w:rPr>
          <w:rFonts w:ascii="Arial" w:hAnsi="Arial" w:cs="Arial"/>
          <w:sz w:val="20"/>
          <w:szCs w:val="20"/>
        </w:rPr>
        <w:t>Robert Kelter</w:t>
      </w:r>
    </w:p>
    <w:p w:rsidR="00370A03" w:rsidRDefault="00370A03" w:rsidP="00370A03">
      <w:pPr>
        <w:pStyle w:val="BodyText"/>
        <w:spacing w:after="0"/>
        <w:rPr>
          <w:rFonts w:ascii="Arial" w:hAnsi="Arial" w:cs="Arial"/>
          <w:sz w:val="20"/>
          <w:szCs w:val="20"/>
        </w:rPr>
      </w:pPr>
      <w:r>
        <w:rPr>
          <w:rFonts w:ascii="Arial" w:hAnsi="Arial" w:cs="Arial"/>
          <w:sz w:val="20"/>
          <w:szCs w:val="20"/>
        </w:rPr>
        <w:t>Environmental Law &amp; Policy Center</w:t>
      </w:r>
    </w:p>
    <w:p w:rsidR="00370A03" w:rsidRDefault="00370A03" w:rsidP="00370A03">
      <w:pPr>
        <w:pStyle w:val="BodyText"/>
        <w:spacing w:after="0"/>
        <w:rPr>
          <w:rFonts w:ascii="Arial" w:hAnsi="Arial" w:cs="Arial"/>
          <w:sz w:val="20"/>
          <w:szCs w:val="20"/>
        </w:rPr>
      </w:pPr>
      <w:r>
        <w:rPr>
          <w:rFonts w:ascii="Arial" w:hAnsi="Arial" w:cs="Arial"/>
          <w:sz w:val="20"/>
          <w:szCs w:val="20"/>
        </w:rPr>
        <w:t>35 East Wacker Drive, Suite 1600</w:t>
      </w:r>
    </w:p>
    <w:p w:rsidR="00370A03" w:rsidRDefault="00370A03" w:rsidP="00370A03">
      <w:pPr>
        <w:pStyle w:val="BodyText"/>
        <w:spacing w:after="0"/>
        <w:rPr>
          <w:rFonts w:ascii="Arial" w:hAnsi="Arial" w:cs="Arial"/>
          <w:sz w:val="20"/>
          <w:szCs w:val="20"/>
        </w:rPr>
      </w:pPr>
      <w:r>
        <w:rPr>
          <w:rFonts w:ascii="Arial" w:hAnsi="Arial" w:cs="Arial"/>
          <w:sz w:val="20"/>
          <w:szCs w:val="20"/>
        </w:rPr>
        <w:t>Chicago, IL  60601</w:t>
      </w:r>
    </w:p>
    <w:p w:rsidR="00370A03" w:rsidRDefault="00370A03" w:rsidP="00370A03">
      <w:pPr>
        <w:pStyle w:val="BodyText"/>
        <w:spacing w:after="0"/>
        <w:rPr>
          <w:rFonts w:ascii="Arial" w:hAnsi="Arial" w:cs="Arial"/>
          <w:sz w:val="20"/>
          <w:szCs w:val="20"/>
        </w:rPr>
      </w:pPr>
    </w:p>
    <w:p w:rsidR="00370A03" w:rsidRDefault="00370A03" w:rsidP="00370A03">
      <w:pPr>
        <w:pStyle w:val="BodyText"/>
        <w:spacing w:after="0"/>
        <w:rPr>
          <w:rFonts w:ascii="Arial" w:hAnsi="Arial" w:cs="Arial"/>
          <w:b/>
          <w:smallCaps/>
          <w:sz w:val="20"/>
          <w:szCs w:val="20"/>
        </w:rPr>
      </w:pPr>
      <w:r>
        <w:rPr>
          <w:rFonts w:ascii="Arial" w:hAnsi="Arial" w:cs="Arial"/>
          <w:b/>
          <w:smallCaps/>
          <w:sz w:val="20"/>
          <w:szCs w:val="20"/>
        </w:rPr>
        <w:t>On Behalf of Environmental Law &amp; Policy Center (“ELPC”)</w:t>
      </w:r>
    </w:p>
    <w:p w:rsidR="00370A03" w:rsidRDefault="00370A03" w:rsidP="00370A03">
      <w:pPr>
        <w:rPr>
          <w:rFonts w:cs="Arial"/>
          <w:sz w:val="20"/>
        </w:rPr>
      </w:pPr>
    </w:p>
    <w:p w:rsidR="00370A03" w:rsidRDefault="00370A03" w:rsidP="00370A03">
      <w:pPr>
        <w:autoSpaceDE w:val="0"/>
        <w:autoSpaceDN w:val="0"/>
        <w:adjustRightInd w:val="0"/>
        <w:rPr>
          <w:rFonts w:eastAsia="Calibri" w:cs="Arial"/>
          <w:sz w:val="20"/>
        </w:rPr>
      </w:pPr>
      <w:r>
        <w:rPr>
          <w:rFonts w:eastAsia="Calibri" w:cs="Arial"/>
          <w:sz w:val="20"/>
        </w:rPr>
        <w:t>Rebecca Hussey</w:t>
      </w:r>
    </w:p>
    <w:p w:rsidR="00370A03" w:rsidRDefault="00370A03" w:rsidP="00370A03">
      <w:pPr>
        <w:autoSpaceDE w:val="0"/>
        <w:autoSpaceDN w:val="0"/>
        <w:adjustRightInd w:val="0"/>
        <w:rPr>
          <w:rFonts w:eastAsia="Calibri" w:cs="Arial"/>
          <w:sz w:val="20"/>
        </w:rPr>
      </w:pPr>
      <w:r>
        <w:rPr>
          <w:rFonts w:eastAsia="Calibri" w:cs="Arial"/>
          <w:sz w:val="20"/>
        </w:rPr>
        <w:t>Thomas McNamee</w:t>
      </w:r>
    </w:p>
    <w:p w:rsidR="00370A03" w:rsidRDefault="00370A03" w:rsidP="00370A03">
      <w:pPr>
        <w:autoSpaceDE w:val="0"/>
        <w:autoSpaceDN w:val="0"/>
        <w:adjustRightInd w:val="0"/>
        <w:rPr>
          <w:rFonts w:eastAsia="Calibri" w:cs="Arial"/>
          <w:sz w:val="20"/>
        </w:rPr>
      </w:pPr>
      <w:r>
        <w:rPr>
          <w:rFonts w:eastAsia="Calibri" w:cs="Arial"/>
          <w:sz w:val="20"/>
        </w:rPr>
        <w:t>Assistant Attorneys General</w:t>
      </w:r>
    </w:p>
    <w:p w:rsidR="00370A03" w:rsidRDefault="00370A03" w:rsidP="00370A03">
      <w:pPr>
        <w:autoSpaceDE w:val="0"/>
        <w:autoSpaceDN w:val="0"/>
        <w:adjustRightInd w:val="0"/>
        <w:rPr>
          <w:rFonts w:eastAsia="Calibri" w:cs="Arial"/>
          <w:sz w:val="20"/>
        </w:rPr>
      </w:pPr>
      <w:r>
        <w:rPr>
          <w:rFonts w:eastAsia="Calibri" w:cs="Arial"/>
          <w:sz w:val="20"/>
        </w:rPr>
        <w:t>Public Utilities Section</w:t>
      </w:r>
    </w:p>
    <w:p w:rsidR="00370A03" w:rsidRDefault="00370A03" w:rsidP="00370A03">
      <w:pPr>
        <w:autoSpaceDE w:val="0"/>
        <w:autoSpaceDN w:val="0"/>
        <w:adjustRightInd w:val="0"/>
        <w:rPr>
          <w:rFonts w:eastAsia="Calibri" w:cs="Arial"/>
          <w:sz w:val="20"/>
        </w:rPr>
      </w:pPr>
      <w:r>
        <w:rPr>
          <w:rFonts w:eastAsia="Calibri" w:cs="Arial"/>
          <w:sz w:val="20"/>
        </w:rPr>
        <w:t>180 East Broad Street, 6th Floor</w:t>
      </w:r>
    </w:p>
    <w:p w:rsidR="00370A03" w:rsidRDefault="00370A03" w:rsidP="00370A03">
      <w:pPr>
        <w:autoSpaceDE w:val="0"/>
        <w:autoSpaceDN w:val="0"/>
        <w:adjustRightInd w:val="0"/>
        <w:rPr>
          <w:rFonts w:eastAsia="Calibri" w:cs="Arial"/>
          <w:sz w:val="20"/>
        </w:rPr>
      </w:pPr>
      <w:r>
        <w:rPr>
          <w:rFonts w:eastAsia="Calibri" w:cs="Arial"/>
          <w:sz w:val="20"/>
        </w:rPr>
        <w:t>Columbus, OH  43215</w:t>
      </w:r>
    </w:p>
    <w:p w:rsidR="00370A03" w:rsidRDefault="00370A03" w:rsidP="00370A03">
      <w:pPr>
        <w:rPr>
          <w:rFonts w:cs="Arial"/>
          <w:sz w:val="20"/>
        </w:rPr>
      </w:pPr>
    </w:p>
    <w:p w:rsidR="00370A03" w:rsidRDefault="00370A03" w:rsidP="00370A03">
      <w:pPr>
        <w:rPr>
          <w:rFonts w:cs="Arial"/>
          <w:b/>
          <w:smallCaps/>
          <w:sz w:val="20"/>
        </w:rPr>
      </w:pPr>
      <w:r>
        <w:rPr>
          <w:rFonts w:cs="Arial"/>
          <w:b/>
          <w:smallCaps/>
          <w:sz w:val="20"/>
        </w:rPr>
        <w:t>On Behalf of the Public Utilities Commission of Ohio</w:t>
      </w:r>
    </w:p>
    <w:p w:rsidR="00AD0854" w:rsidRDefault="00AD0854" w:rsidP="00370A03">
      <w:pPr>
        <w:rPr>
          <w:rFonts w:cs="Arial"/>
          <w:b/>
          <w:smallCaps/>
          <w:sz w:val="20"/>
        </w:rPr>
        <w:sectPr w:rsidR="00AD0854">
          <w:pgSz w:w="12240" w:h="15840"/>
          <w:pgMar w:top="1440" w:right="1440" w:bottom="1440" w:left="1440" w:header="720" w:footer="720" w:gutter="0"/>
          <w:cols w:num="2" w:space="720"/>
          <w:docGrid w:linePitch="360"/>
        </w:sectPr>
      </w:pPr>
    </w:p>
    <w:p w:rsidR="00370A03" w:rsidRDefault="00193247" w:rsidP="00370A03">
      <w:pPr>
        <w:rPr>
          <w:rFonts w:cs="Arial"/>
          <w:sz w:val="20"/>
        </w:rPr>
      </w:pPr>
      <w:r>
        <w:rPr>
          <w:rFonts w:cs="Arial"/>
          <w:sz w:val="20"/>
        </w:rPr>
        <w:lastRenderedPageBreak/>
        <w:t>Michael L. Kurtz</w:t>
      </w:r>
    </w:p>
    <w:p w:rsidR="00193247" w:rsidRDefault="00193247" w:rsidP="00370A03">
      <w:pPr>
        <w:rPr>
          <w:rFonts w:cs="Arial"/>
          <w:sz w:val="20"/>
        </w:rPr>
      </w:pPr>
      <w:r>
        <w:rPr>
          <w:rFonts w:cs="Arial"/>
          <w:sz w:val="20"/>
        </w:rPr>
        <w:t>Jody M. Kyler</w:t>
      </w:r>
    </w:p>
    <w:p w:rsidR="00193247" w:rsidRDefault="00193247" w:rsidP="00370A03">
      <w:pPr>
        <w:rPr>
          <w:rFonts w:cs="Arial"/>
          <w:sz w:val="20"/>
        </w:rPr>
      </w:pPr>
      <w:r>
        <w:rPr>
          <w:rFonts w:cs="Arial"/>
          <w:sz w:val="20"/>
        </w:rPr>
        <w:t>Boehm, Kurtz &amp; Lowry</w:t>
      </w:r>
    </w:p>
    <w:p w:rsidR="00193247" w:rsidRDefault="00193247" w:rsidP="00370A03">
      <w:pPr>
        <w:rPr>
          <w:rFonts w:cs="Arial"/>
          <w:sz w:val="20"/>
        </w:rPr>
      </w:pPr>
      <w:r>
        <w:rPr>
          <w:rFonts w:cs="Arial"/>
          <w:sz w:val="20"/>
        </w:rPr>
        <w:t>36 East Seventh Street, Suite 1510</w:t>
      </w:r>
    </w:p>
    <w:p w:rsidR="00193247" w:rsidRDefault="00193247" w:rsidP="00370A03">
      <w:pPr>
        <w:rPr>
          <w:rFonts w:cs="Arial"/>
          <w:sz w:val="20"/>
        </w:rPr>
      </w:pPr>
      <w:r>
        <w:rPr>
          <w:rFonts w:cs="Arial"/>
          <w:sz w:val="20"/>
        </w:rPr>
        <w:t>Cincinnati, OH  45202</w:t>
      </w:r>
    </w:p>
    <w:p w:rsidR="00193247" w:rsidRDefault="00193247" w:rsidP="00370A03">
      <w:pPr>
        <w:rPr>
          <w:rFonts w:cs="Arial"/>
          <w:sz w:val="20"/>
        </w:rPr>
      </w:pPr>
      <w:r>
        <w:rPr>
          <w:rFonts w:cs="Arial"/>
          <w:sz w:val="20"/>
        </w:rPr>
        <w:t>mkurtz@BKLlawfirm.com</w:t>
      </w:r>
    </w:p>
    <w:p w:rsidR="00193247" w:rsidRDefault="00193247" w:rsidP="00370A03">
      <w:pPr>
        <w:rPr>
          <w:rFonts w:cs="Arial"/>
          <w:sz w:val="20"/>
        </w:rPr>
      </w:pPr>
      <w:r>
        <w:rPr>
          <w:rFonts w:cs="Arial"/>
          <w:sz w:val="20"/>
        </w:rPr>
        <w:t>jkyler@BKLlawfirm.com</w:t>
      </w:r>
    </w:p>
    <w:p w:rsidR="00193247" w:rsidRDefault="00193247" w:rsidP="00370A03">
      <w:pPr>
        <w:rPr>
          <w:rFonts w:cs="Arial"/>
          <w:sz w:val="20"/>
        </w:rPr>
      </w:pPr>
    </w:p>
    <w:p w:rsidR="00193247" w:rsidRPr="00193247" w:rsidRDefault="00193247" w:rsidP="00370A03">
      <w:pPr>
        <w:rPr>
          <w:rFonts w:ascii="Arial Bold" w:hAnsi="Arial Bold" w:cs="Arial"/>
          <w:b/>
          <w:smallCaps/>
          <w:sz w:val="20"/>
        </w:rPr>
      </w:pPr>
      <w:r w:rsidRPr="00193247">
        <w:rPr>
          <w:rFonts w:ascii="Arial Bold" w:hAnsi="Arial Bold" w:cs="Arial"/>
          <w:b/>
          <w:smallCaps/>
          <w:sz w:val="20"/>
        </w:rPr>
        <w:t>On Behalf of The Ohio Energy Group</w:t>
      </w:r>
    </w:p>
    <w:p w:rsidR="00193247" w:rsidRDefault="00193247" w:rsidP="00370A03">
      <w:pPr>
        <w:rPr>
          <w:rFonts w:cs="Arial"/>
          <w:sz w:val="20"/>
        </w:rPr>
      </w:pPr>
    </w:p>
    <w:p w:rsidR="00370A03" w:rsidRDefault="00370A03" w:rsidP="00370A03">
      <w:pPr>
        <w:rPr>
          <w:rFonts w:cs="Arial"/>
          <w:sz w:val="20"/>
        </w:rPr>
      </w:pPr>
      <w:r>
        <w:rPr>
          <w:rFonts w:cs="Arial"/>
          <w:sz w:val="20"/>
        </w:rPr>
        <w:t>Jeff Jones</w:t>
      </w:r>
    </w:p>
    <w:p w:rsidR="00370A03" w:rsidRDefault="00370A03" w:rsidP="00370A03">
      <w:pPr>
        <w:rPr>
          <w:rFonts w:cs="Arial"/>
          <w:sz w:val="20"/>
        </w:rPr>
      </w:pPr>
      <w:r>
        <w:rPr>
          <w:rFonts w:cs="Arial"/>
          <w:sz w:val="20"/>
        </w:rPr>
        <w:t>Sarah Parrot</w:t>
      </w:r>
    </w:p>
    <w:p w:rsidR="00370A03" w:rsidRDefault="00370A03" w:rsidP="00370A03">
      <w:pPr>
        <w:rPr>
          <w:rFonts w:cs="Arial"/>
          <w:sz w:val="20"/>
        </w:rPr>
      </w:pPr>
      <w:r>
        <w:rPr>
          <w:rFonts w:cs="Arial"/>
          <w:sz w:val="20"/>
        </w:rPr>
        <w:t>Attorney Examiner</w:t>
      </w:r>
    </w:p>
    <w:p w:rsidR="00370A03" w:rsidRDefault="00370A03" w:rsidP="00370A03">
      <w:pPr>
        <w:rPr>
          <w:rFonts w:cs="Arial"/>
          <w:sz w:val="20"/>
        </w:rPr>
      </w:pPr>
      <w:r>
        <w:rPr>
          <w:rFonts w:cs="Arial"/>
          <w:sz w:val="20"/>
        </w:rPr>
        <w:t>Public Utilities Commission of Ohio</w:t>
      </w:r>
    </w:p>
    <w:p w:rsidR="00370A03" w:rsidRDefault="00370A03" w:rsidP="00370A03">
      <w:pPr>
        <w:rPr>
          <w:rFonts w:cs="Arial"/>
          <w:sz w:val="20"/>
        </w:rPr>
      </w:pPr>
      <w:r>
        <w:rPr>
          <w:rFonts w:cs="Arial"/>
          <w:sz w:val="20"/>
        </w:rPr>
        <w:t>180 East Broad Street, 12</w:t>
      </w:r>
      <w:r>
        <w:rPr>
          <w:rFonts w:cs="Arial"/>
          <w:sz w:val="20"/>
          <w:vertAlign w:val="superscript"/>
        </w:rPr>
        <w:t>th</w:t>
      </w:r>
      <w:r>
        <w:rPr>
          <w:rFonts w:cs="Arial"/>
          <w:sz w:val="20"/>
        </w:rPr>
        <w:t xml:space="preserve"> Floor</w:t>
      </w:r>
    </w:p>
    <w:p w:rsidR="00370A03" w:rsidRDefault="00370A03" w:rsidP="00370A03">
      <w:pPr>
        <w:rPr>
          <w:rFonts w:cs="Arial"/>
          <w:sz w:val="20"/>
        </w:rPr>
      </w:pPr>
      <w:r>
        <w:rPr>
          <w:rFonts w:cs="Arial"/>
          <w:sz w:val="20"/>
        </w:rPr>
        <w:t>Columbus, OH  43215</w:t>
      </w:r>
    </w:p>
    <w:p w:rsidR="00370A03" w:rsidRDefault="00370A03" w:rsidP="00370A03">
      <w:pPr>
        <w:rPr>
          <w:rFonts w:cs="Arial"/>
          <w:sz w:val="20"/>
        </w:rPr>
      </w:pPr>
    </w:p>
    <w:p w:rsidR="00370A03" w:rsidRDefault="00370A03" w:rsidP="00370A03">
      <w:pPr>
        <w:rPr>
          <w:rFonts w:cs="Arial"/>
          <w:sz w:val="20"/>
        </w:rPr>
      </w:pPr>
      <w:r>
        <w:rPr>
          <w:rFonts w:cs="Arial"/>
          <w:sz w:val="20"/>
        </w:rPr>
        <w:t>Steve Grover</w:t>
      </w:r>
    </w:p>
    <w:p w:rsidR="00370A03" w:rsidRDefault="00370A03" w:rsidP="00370A03">
      <w:pPr>
        <w:rPr>
          <w:rFonts w:cs="Arial"/>
          <w:sz w:val="20"/>
        </w:rPr>
      </w:pPr>
      <w:r>
        <w:rPr>
          <w:rFonts w:cs="Arial"/>
          <w:sz w:val="20"/>
        </w:rPr>
        <w:t>Ted Helvoigt</w:t>
      </w:r>
    </w:p>
    <w:p w:rsidR="00370A03" w:rsidRDefault="00370A03" w:rsidP="00370A03">
      <w:pPr>
        <w:rPr>
          <w:rFonts w:cs="Arial"/>
          <w:sz w:val="20"/>
        </w:rPr>
      </w:pPr>
      <w:r>
        <w:rPr>
          <w:rFonts w:cs="Arial"/>
          <w:sz w:val="20"/>
        </w:rPr>
        <w:t>Evergreen Economics, Inc.</w:t>
      </w:r>
    </w:p>
    <w:p w:rsidR="00370A03" w:rsidRDefault="00370A03" w:rsidP="00370A03">
      <w:pPr>
        <w:rPr>
          <w:rFonts w:cs="Arial"/>
          <w:sz w:val="20"/>
        </w:rPr>
      </w:pPr>
      <w:r>
        <w:rPr>
          <w:rFonts w:cs="Arial"/>
          <w:sz w:val="20"/>
        </w:rPr>
        <w:t>2525 NE Mason Street</w:t>
      </w:r>
    </w:p>
    <w:p w:rsidR="00370A03" w:rsidRDefault="00370A03" w:rsidP="00370A03">
      <w:pPr>
        <w:rPr>
          <w:rFonts w:cs="Arial"/>
          <w:sz w:val="20"/>
        </w:rPr>
      </w:pPr>
      <w:r>
        <w:rPr>
          <w:rFonts w:cs="Arial"/>
          <w:sz w:val="20"/>
        </w:rPr>
        <w:t>Portland, OR  97211</w:t>
      </w:r>
    </w:p>
    <w:p w:rsidR="00370A03" w:rsidRDefault="00370A03" w:rsidP="00370A03">
      <w:pPr>
        <w:rPr>
          <w:rFonts w:cs="Arial"/>
          <w:sz w:val="20"/>
        </w:rPr>
      </w:pPr>
      <w:r>
        <w:rPr>
          <w:rFonts w:cs="Arial"/>
          <w:sz w:val="20"/>
        </w:rPr>
        <w:t>grover@evergreenecon.com</w:t>
      </w:r>
    </w:p>
    <w:p w:rsidR="00A6021C" w:rsidRDefault="00A6021C" w:rsidP="00370A03">
      <w:pPr>
        <w:rPr>
          <w:rFonts w:cs="Arial"/>
          <w:szCs w:val="24"/>
        </w:rPr>
      </w:pPr>
    </w:p>
    <w:sectPr w:rsidR="00A6021C">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0FD" w:rsidRDefault="003970FD">
      <w:r>
        <w:separator/>
      </w:r>
    </w:p>
  </w:endnote>
  <w:endnote w:type="continuationSeparator" w:id="0">
    <w:p w:rsidR="003970FD" w:rsidRDefault="0039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59" w:rsidRDefault="00A13B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FD" w:rsidRDefault="00A13B59" w:rsidP="007E6B92">
    <w:pPr>
      <w:pStyle w:val="Footer"/>
    </w:pPr>
    <w:r w:rsidRPr="00A13B59">
      <w:rPr>
        <w:noProof/>
        <w:sz w:val="16"/>
      </w:rPr>
      <w:t>{C38942:4 }</w:t>
    </w:r>
    <w:sdt>
      <w:sdtPr>
        <w:id w:val="794413633"/>
        <w:docPartObj>
          <w:docPartGallery w:val="Page Numbers (Bottom of Page)"/>
          <w:docPartUnique/>
        </w:docPartObj>
      </w:sdtPr>
      <w:sdtEndPr>
        <w:rPr>
          <w:noProof/>
        </w:rPr>
      </w:sdtEndPr>
      <w:sdtContent>
        <w:r w:rsidR="003970FD">
          <w:tab/>
        </w:r>
        <w:r w:rsidR="003970FD">
          <w:fldChar w:fldCharType="begin"/>
        </w:r>
        <w:r w:rsidR="003970FD">
          <w:instrText xml:space="preserve"> PAGE   \* MERGEFORMAT </w:instrText>
        </w:r>
        <w:r w:rsidR="003970FD">
          <w:fldChar w:fldCharType="separate"/>
        </w:r>
        <w:r>
          <w:rPr>
            <w:noProof/>
          </w:rPr>
          <w:t>5</w:t>
        </w:r>
        <w:r w:rsidR="003970FD">
          <w:rPr>
            <w:noProof/>
          </w:rPr>
          <w:fldChar w:fldCharType="end"/>
        </w:r>
      </w:sdtContent>
    </w:sdt>
  </w:p>
  <w:p w:rsidR="003970FD" w:rsidRDefault="003970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FD" w:rsidRPr="007E6B92" w:rsidRDefault="00A13B59">
    <w:pPr>
      <w:pStyle w:val="Footer"/>
    </w:pPr>
    <w:r w:rsidRPr="00A13B59">
      <w:rPr>
        <w:noProof/>
        <w:sz w:val="16"/>
      </w:rPr>
      <w:t>{C38942:4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FD" w:rsidRDefault="00A13B59">
    <w:pPr>
      <w:pStyle w:val="Footer"/>
    </w:pPr>
    <w:r w:rsidRPr="00A13B59">
      <w:rPr>
        <w:noProof/>
        <w:sz w:val="16"/>
      </w:rPr>
      <w:t>{C38942:4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FD" w:rsidRDefault="00A13B59">
    <w:pPr>
      <w:pStyle w:val="Footer"/>
    </w:pPr>
    <w:r w:rsidRPr="00A13B59">
      <w:rPr>
        <w:noProof/>
        <w:sz w:val="16"/>
      </w:rPr>
      <w:t>{C38942:4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0FD" w:rsidRDefault="003970FD">
      <w:pPr>
        <w:rPr>
          <w:noProof/>
        </w:rPr>
      </w:pPr>
      <w:r>
        <w:rPr>
          <w:noProof/>
        </w:rPr>
        <w:separator/>
      </w:r>
    </w:p>
  </w:footnote>
  <w:footnote w:type="continuationSeparator" w:id="0">
    <w:p w:rsidR="003970FD" w:rsidRDefault="003970FD">
      <w:r>
        <w:continuationSeparator/>
      </w:r>
    </w:p>
  </w:footnote>
  <w:footnote w:id="1">
    <w:p w:rsidR="003970FD" w:rsidRDefault="003970FD">
      <w:pPr>
        <w:pStyle w:val="FootnoteText"/>
      </w:pPr>
      <w:r>
        <w:rPr>
          <w:rStyle w:val="FootnoteReference"/>
        </w:rPr>
        <w:footnoteRef/>
      </w:r>
      <w:r>
        <w:t xml:space="preserve"> </w:t>
      </w:r>
      <w:r w:rsidRPr="00605389">
        <w:rPr>
          <w:i/>
        </w:rPr>
        <w:t>In the Matter of Protocols for the Measurement and Verification of Energy Efficiency and Peak Demand Reduction Measures</w:t>
      </w:r>
      <w:r>
        <w:t>, Case No. 09-512-GE-UNC, Entry at 3 (Jan. 27, 2010) (“</w:t>
      </w:r>
      <w:r w:rsidRPr="00605389">
        <w:rPr>
          <w:i/>
        </w:rPr>
        <w:t>TRM Case</w:t>
      </w:r>
      <w:r>
        <w:t>”).</w:t>
      </w:r>
    </w:p>
  </w:footnote>
  <w:footnote w:id="2">
    <w:p w:rsidR="003970FD" w:rsidRDefault="003970FD" w:rsidP="00972FC8">
      <w:pPr>
        <w:pStyle w:val="FootnoteText"/>
        <w:jc w:val="both"/>
      </w:pPr>
      <w:r>
        <w:rPr>
          <w:rStyle w:val="FootnoteReference"/>
        </w:rPr>
        <w:footnoteRef/>
      </w:r>
      <w:r>
        <w:t xml:space="preserve"> Entry at 1 (Oct. 3, 2012).</w:t>
      </w:r>
    </w:p>
  </w:footnote>
  <w:footnote w:id="3">
    <w:p w:rsidR="003970FD" w:rsidRDefault="003970FD" w:rsidP="00972FC8">
      <w:pPr>
        <w:pStyle w:val="FootnoteText"/>
        <w:jc w:val="both"/>
      </w:pPr>
      <w:r>
        <w:rPr>
          <w:rStyle w:val="FootnoteReference"/>
        </w:rPr>
        <w:footnoteRef/>
      </w:r>
      <w:r>
        <w:t xml:space="preserve"> </w:t>
      </w:r>
      <w:r>
        <w:rPr>
          <w:i/>
        </w:rPr>
        <w:t>Id</w:t>
      </w:r>
      <w:r>
        <w:t>. at 2.</w:t>
      </w:r>
    </w:p>
  </w:footnote>
  <w:footnote w:id="4">
    <w:p w:rsidR="003970FD" w:rsidRDefault="003970FD">
      <w:pPr>
        <w:pStyle w:val="FootnoteText"/>
      </w:pPr>
      <w:r>
        <w:rPr>
          <w:rStyle w:val="FootnoteReference"/>
        </w:rPr>
        <w:footnoteRef/>
      </w:r>
      <w:r>
        <w:t xml:space="preserve"> </w:t>
      </w:r>
      <w:r w:rsidRPr="003A71D7">
        <w:rPr>
          <w:i/>
        </w:rPr>
        <w:t>Id</w:t>
      </w:r>
      <w:r>
        <w:t>.</w:t>
      </w:r>
    </w:p>
  </w:footnote>
  <w:footnote w:id="5">
    <w:p w:rsidR="003970FD" w:rsidRDefault="003970FD" w:rsidP="00972FC8">
      <w:pPr>
        <w:pStyle w:val="FootnoteText"/>
        <w:jc w:val="both"/>
      </w:pPr>
      <w:r>
        <w:rPr>
          <w:rStyle w:val="FootnoteReference"/>
        </w:rPr>
        <w:footnoteRef/>
      </w:r>
      <w:r>
        <w:t xml:space="preserve"> Report at 9 and 24.</w:t>
      </w:r>
    </w:p>
  </w:footnote>
  <w:footnote w:id="6">
    <w:p w:rsidR="003970FD" w:rsidRDefault="003970FD" w:rsidP="00972FC8">
      <w:pPr>
        <w:pStyle w:val="FootnoteText"/>
        <w:jc w:val="both"/>
      </w:pPr>
      <w:r>
        <w:rPr>
          <w:rStyle w:val="FootnoteReference"/>
        </w:rPr>
        <w:footnoteRef/>
      </w:r>
      <w:r>
        <w:t xml:space="preserve"> </w:t>
      </w:r>
      <w:r>
        <w:rPr>
          <w:i/>
        </w:rPr>
        <w:t>Id</w:t>
      </w:r>
      <w:r>
        <w:t>. at 9.</w:t>
      </w:r>
    </w:p>
  </w:footnote>
  <w:footnote w:id="7">
    <w:p w:rsidR="003970FD" w:rsidRDefault="003970FD" w:rsidP="00C956B3">
      <w:pPr>
        <w:pStyle w:val="FootnoteText"/>
        <w:jc w:val="both"/>
      </w:pPr>
      <w:r>
        <w:rPr>
          <w:rStyle w:val="FootnoteReference"/>
        </w:rPr>
        <w:footnoteRef/>
      </w:r>
      <w:r>
        <w:t xml:space="preserve"> In addition to these Comments, IEU-Ohio has repeatedly filed pleadings demonstrating that the Commission must follow the plainly written language of Amended Substitute Senate Bill 221 (“SB 221”) and count all of the energy efficiency and peak demand reduction measures of Ohio’s mercantile customers towards the EDUs’ compliance requirements contained in Section 4928.66, Revised Code.  </w:t>
      </w:r>
      <w:r>
        <w:rPr>
          <w:i/>
        </w:rPr>
        <w:t>See, e.g.,</w:t>
      </w:r>
      <w:r>
        <w:t xml:space="preserve"> </w:t>
      </w:r>
      <w:r w:rsidRPr="00894E2C">
        <w:rPr>
          <w:i/>
        </w:rPr>
        <w:t>In the Matter of the Application for Approval of a Pilot Program Regarding Mercantile Applications for Special Arrangements with Electric Utilities and Exemptions from Energy Efficiency and Peak Demand Reduction Riders</w:t>
      </w:r>
      <w:r>
        <w:t>, Case No. 10-834-EL-POR, Industrial Energy Users-Ohio’s Memorandum Contra the Application for Rehearing of the Ohio Environmental Council (Oct. 25, 2012) (“</w:t>
      </w:r>
      <w:r w:rsidRPr="00C956B3">
        <w:rPr>
          <w:i/>
        </w:rPr>
        <w:t>Pilot Program</w:t>
      </w:r>
      <w:r>
        <w:t xml:space="preserve">”); </w:t>
      </w:r>
      <w:r>
        <w:rPr>
          <w:rFonts w:cs="Arial"/>
          <w:i/>
        </w:rPr>
        <w:t>In the Matter of the Adoption of Rules for Alternative and Renewable Energy Technologies and  Resources, and Emission Control Reporting Requirements, and Amendment of Chapters 4901:5-1, 4901:5-3, 4901:5-5, and 4901:5-7 of the Ohio Administrative Code, Pursuant to Chapter 4928, Revised Code, to Implement Senate Bill No. 221</w:t>
      </w:r>
      <w:r>
        <w:rPr>
          <w:rFonts w:cs="Arial"/>
        </w:rPr>
        <w:t>, Case No. 08-888-EL-ORD, Industrial Energy Users-Ohio’s Application for Rehearing and Memorandum in Support at 14-16 (May 15, 2009) (“</w:t>
      </w:r>
      <w:r w:rsidRPr="00894E2C">
        <w:rPr>
          <w:rFonts w:cs="Arial"/>
          <w:i/>
        </w:rPr>
        <w:t>Green Rules Proceeding</w:t>
      </w:r>
      <w:r>
        <w:rPr>
          <w:rFonts w:cs="Arial"/>
        </w:rPr>
        <w:t xml:space="preserve">”).  </w:t>
      </w:r>
      <w:r>
        <w:t xml:space="preserve">The Commission has granted rehearing for further consideration.  </w:t>
      </w:r>
      <w:r>
        <w:rPr>
          <w:i/>
        </w:rPr>
        <w:t>Green Rules Proceeding</w:t>
      </w:r>
      <w:r>
        <w:rPr>
          <w:rFonts w:cs="Arial"/>
        </w:rPr>
        <w:t xml:space="preserve">, Entry on Rehearing at 2 (Dec. 9, 2009).  Similarly, </w:t>
      </w:r>
      <w:r w:rsidRPr="00894E2C">
        <w:rPr>
          <w:rFonts w:cs="Arial"/>
          <w:i/>
        </w:rPr>
        <w:t>see, also</w:t>
      </w:r>
      <w:r>
        <w:rPr>
          <w:rFonts w:cs="Arial"/>
        </w:rPr>
        <w:t xml:space="preserve">, </w:t>
      </w:r>
      <w:r>
        <w:rPr>
          <w:rFonts w:cs="Arial"/>
          <w:i/>
        </w:rPr>
        <w:t>TRM Case</w:t>
      </w:r>
      <w:r>
        <w:rPr>
          <w:rFonts w:cs="Arial"/>
        </w:rPr>
        <w:t>, Entry on Rehearing at 3 (July 29, 2010).</w:t>
      </w:r>
    </w:p>
  </w:footnote>
  <w:footnote w:id="8">
    <w:p w:rsidR="003970FD" w:rsidRDefault="003970FD" w:rsidP="00972FC8">
      <w:pPr>
        <w:pStyle w:val="FootnoteText"/>
        <w:jc w:val="both"/>
      </w:pPr>
      <w:r>
        <w:rPr>
          <w:rStyle w:val="FootnoteReference"/>
        </w:rPr>
        <w:footnoteRef/>
      </w:r>
      <w:r>
        <w:t xml:space="preserve"> </w:t>
      </w:r>
      <w:r w:rsidRPr="00857205">
        <w:t>Report</w:t>
      </w:r>
      <w:r>
        <w:t xml:space="preserve"> at 23.</w:t>
      </w:r>
    </w:p>
  </w:footnote>
  <w:footnote w:id="9">
    <w:p w:rsidR="003970FD" w:rsidRDefault="003970FD" w:rsidP="00972FC8">
      <w:pPr>
        <w:pStyle w:val="FootnoteText"/>
        <w:jc w:val="both"/>
      </w:pPr>
      <w:r>
        <w:rPr>
          <w:rStyle w:val="FootnoteReference"/>
        </w:rPr>
        <w:footnoteRef/>
      </w:r>
      <w:r>
        <w:t xml:space="preserve"> </w:t>
      </w:r>
      <w:r>
        <w:rPr>
          <w:i/>
        </w:rPr>
        <w:t>Id</w:t>
      </w:r>
      <w:r>
        <w:t>.</w:t>
      </w:r>
    </w:p>
  </w:footnote>
  <w:footnote w:id="10">
    <w:p w:rsidR="003970FD" w:rsidRDefault="003970FD" w:rsidP="00972FC8">
      <w:pPr>
        <w:pStyle w:val="FootnoteText"/>
        <w:jc w:val="both"/>
      </w:pPr>
      <w:r>
        <w:rPr>
          <w:rStyle w:val="FootnoteReference"/>
        </w:rPr>
        <w:footnoteRef/>
      </w:r>
      <w:r>
        <w:t xml:space="preserve"> </w:t>
      </w:r>
      <w:r>
        <w:rPr>
          <w:i/>
        </w:rPr>
        <w:t>Id</w:t>
      </w:r>
      <w:r>
        <w:t xml:space="preserve">. at 8-9.  The audit report is silent on why Evergreen believes the specific mercantile customer project involved equipment replacement rather than equipment retrofit.  In other words, Evergreen provides no support in the audit report for the implicit conclusion that the existing equipment has reached the end of its useful life.  </w:t>
      </w:r>
    </w:p>
  </w:footnote>
  <w:footnote w:id="11">
    <w:p w:rsidR="003970FD" w:rsidRDefault="003970FD" w:rsidP="00972FC8">
      <w:pPr>
        <w:pStyle w:val="FootnoteText"/>
        <w:jc w:val="both"/>
      </w:pPr>
      <w:r>
        <w:rPr>
          <w:rStyle w:val="FootnoteReference"/>
        </w:rPr>
        <w:footnoteRef/>
      </w:r>
      <w:r>
        <w:t xml:space="preserve"> </w:t>
      </w:r>
      <w:r>
        <w:rPr>
          <w:i/>
        </w:rPr>
        <w:t>Pilot Program</w:t>
      </w:r>
      <w:r>
        <w:t>, Entry at 4 (Sept. 15, 2010).</w:t>
      </w:r>
    </w:p>
  </w:footnote>
  <w:footnote w:id="12">
    <w:p w:rsidR="003970FD" w:rsidRDefault="003970FD" w:rsidP="00972FC8">
      <w:pPr>
        <w:pStyle w:val="FootnoteText"/>
        <w:jc w:val="both"/>
      </w:pPr>
      <w:r>
        <w:rPr>
          <w:rStyle w:val="FootnoteReference"/>
        </w:rPr>
        <w:footnoteRef/>
      </w:r>
      <w:r>
        <w:t xml:space="preserve"> Evergreen’s bias regarding Ohio law also is demonstrated on page 9-10 of the Report which states “[w]hile we understand that this is the law in the State of Ohio and was being correctly followed by the utilities, we would be remiss as independent evaluators if we did not note that claiming savings for actions taken before a program is offered is inconsistent with standard industry practice.”  </w:t>
      </w:r>
    </w:p>
  </w:footnote>
  <w:footnote w:id="13">
    <w:p w:rsidR="003970FD" w:rsidRDefault="003970FD">
      <w:pPr>
        <w:pStyle w:val="FootnoteText"/>
      </w:pPr>
      <w:r>
        <w:rPr>
          <w:rStyle w:val="FootnoteReference"/>
        </w:rPr>
        <w:footnoteRef/>
      </w:r>
      <w:r>
        <w:t xml:space="preserve"> Section 4928.66(A)(2)(a), Revised Code.</w:t>
      </w:r>
    </w:p>
  </w:footnote>
  <w:footnote w:id="14">
    <w:p w:rsidR="003970FD" w:rsidRDefault="003970FD" w:rsidP="00972FC8">
      <w:pPr>
        <w:pStyle w:val="FootnoteText"/>
        <w:jc w:val="both"/>
      </w:pPr>
      <w:r>
        <w:rPr>
          <w:rStyle w:val="FootnoteReference"/>
        </w:rPr>
        <w:footnoteRef/>
      </w:r>
      <w:r>
        <w:t xml:space="preserve"> </w:t>
      </w:r>
      <w:r>
        <w:rPr>
          <w:i/>
        </w:rPr>
        <w:t>TRM Case</w:t>
      </w:r>
      <w:r>
        <w:t xml:space="preserve">, Entry on Rehearing at 3 (July 29, 2010).  See </w:t>
      </w:r>
      <w:r w:rsidRPr="00790A1C">
        <w:rPr>
          <w:i/>
        </w:rPr>
        <w:t>Id</w:t>
      </w:r>
      <w:r>
        <w:t>., Application for Rehearing and Memorandum in Support of Industrial Energy Users-Ohio at 12-17 (July 2, 2010).</w:t>
      </w:r>
    </w:p>
  </w:footnote>
  <w:footnote w:id="15">
    <w:p w:rsidR="003970FD" w:rsidRDefault="003970FD" w:rsidP="00972FC8">
      <w:pPr>
        <w:pStyle w:val="FootnoteText"/>
        <w:jc w:val="both"/>
      </w:pPr>
      <w:r>
        <w:rPr>
          <w:rStyle w:val="FootnoteReference"/>
        </w:rPr>
        <w:footnoteRef/>
      </w:r>
      <w:r>
        <w:t xml:space="preserve"> </w:t>
      </w:r>
      <w:r>
        <w:rPr>
          <w:i/>
        </w:rPr>
        <w:t>Pilot Program</w:t>
      </w:r>
      <w:r>
        <w:t>, Entry at 3-4 (Sept. 15, 2010).</w:t>
      </w:r>
    </w:p>
  </w:footnote>
  <w:footnote w:id="16">
    <w:p w:rsidR="003970FD" w:rsidRDefault="003970FD" w:rsidP="00972FC8">
      <w:pPr>
        <w:pStyle w:val="FootnoteText"/>
        <w:jc w:val="both"/>
      </w:pPr>
      <w:r>
        <w:rPr>
          <w:rStyle w:val="FootnoteReference"/>
        </w:rPr>
        <w:footnoteRef/>
      </w:r>
      <w:r>
        <w:t xml:space="preserve"> </w:t>
      </w:r>
      <w:r w:rsidRPr="00972FC8">
        <w:rPr>
          <w:i/>
        </w:rPr>
        <w:t>Id</w:t>
      </w:r>
      <w:r>
        <w:t xml:space="preserve">., Finding and Order at 2 (Sept. 5, 2012).  The Commission also has rejected an application for rehearing by Ohio Environmental Council seeking to revise the Pilot Program to remove the as-found method.  </w:t>
      </w:r>
      <w:r w:rsidRPr="003970FD">
        <w:rPr>
          <w:i/>
        </w:rPr>
        <w:t>Id</w:t>
      </w:r>
      <w:r>
        <w:t>., Entry on Rehearing (Oct. 31, 2012).</w:t>
      </w:r>
    </w:p>
  </w:footnote>
  <w:footnote w:id="17">
    <w:p w:rsidR="003970FD" w:rsidRDefault="003970FD" w:rsidP="00972FC8">
      <w:pPr>
        <w:pStyle w:val="FootnoteText"/>
        <w:jc w:val="both"/>
      </w:pPr>
      <w:r>
        <w:rPr>
          <w:rStyle w:val="FootnoteReference"/>
        </w:rPr>
        <w:footnoteRef/>
      </w:r>
      <w:r>
        <w:t xml:space="preserve"> Injection of the wrong standard leads Evergreen to propose a new and unnecessary role for the Evaluator to mediate disputes over the appropriate baseline.  As discussed below, adopting the appropriate baseline eliminates that unnecessary addition to the Evaluator’s duties.</w:t>
      </w:r>
    </w:p>
  </w:footnote>
  <w:footnote w:id="18">
    <w:p w:rsidR="003970FD" w:rsidRDefault="003970FD">
      <w:pPr>
        <w:pStyle w:val="FootnoteText"/>
      </w:pPr>
      <w:r>
        <w:rPr>
          <w:rStyle w:val="FootnoteReference"/>
        </w:rPr>
        <w:footnoteRef/>
      </w:r>
      <w:r>
        <w:t xml:space="preserve"> Report at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59" w:rsidRDefault="00A13B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59" w:rsidRDefault="00A13B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59" w:rsidRDefault="00A13B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88F6E0C2"/>
    <w:lvl w:ilvl="0">
      <w:start w:val="1"/>
      <w:numFmt w:val="bullet"/>
      <w:lvlText w:val=""/>
      <w:lvlJc w:val="left"/>
      <w:pPr>
        <w:tabs>
          <w:tab w:val="num" w:pos="360"/>
        </w:tabs>
        <w:ind w:left="360" w:hanging="360"/>
      </w:pPr>
      <w:rPr>
        <w:rFonts w:ascii="Symbol" w:hAnsi="Symbol" w:hint="default"/>
      </w:rPr>
    </w:lvl>
  </w:abstractNum>
  <w:abstractNum w:abstractNumId="2">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9409CD"/>
    <w:multiLevelType w:val="multilevel"/>
    <w:tmpl w:val="6DCCB95A"/>
    <w:name w:val="Ind. Energy Users Group"/>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2160"/>
        </w:tabs>
        <w:ind w:left="2160" w:hanging="720"/>
      </w:pPr>
      <w:rPr>
        <w:b/>
        <w:i w:val="0"/>
        <w:caps w:val="0"/>
        <w:color w:val="010000"/>
        <w:u w:val="none"/>
      </w:rPr>
    </w:lvl>
    <w:lvl w:ilvl="3">
      <w:start w:val="1"/>
      <w:numFmt w:val="lowerLetter"/>
      <w:pStyle w:val="Heading4"/>
      <w:lvlText w:val="%4."/>
      <w:lvlJc w:val="left"/>
      <w:pPr>
        <w:tabs>
          <w:tab w:val="num" w:pos="2880"/>
        </w:tabs>
        <w:ind w:left="2880" w:hanging="720"/>
      </w:pPr>
      <w:rPr>
        <w:b/>
        <w:i/>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num w:numId="1">
    <w:abstractNumId w:val="3"/>
  </w:num>
  <w:num w:numId="2">
    <w:abstractNumId w:val="3"/>
  </w:num>
  <w:num w:numId="3">
    <w:abstractNumId w:val="3"/>
  </w:num>
  <w:num w:numId="4">
    <w:abstractNumId w:val="3"/>
  </w:num>
  <w:num w:numId="5">
    <w:abstractNumId w:val="1"/>
  </w:num>
  <w:num w:numId="6">
    <w:abstractNumId w:val="2"/>
  </w:num>
  <w:num w:numId="7">
    <w:abstractNumId w:val="0"/>
  </w:num>
  <w:num w:numId="8">
    <w:abstractNumId w:val="0"/>
  </w:num>
  <w:num w:numId="9">
    <w:abstractNumId w:val="3"/>
  </w:num>
  <w:num w:numId="10">
    <w:abstractNumId w:val="3"/>
  </w:num>
  <w:num w:numId="11">
    <w:abstractNumId w:val="3"/>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Ind. Energy Users Group"/>
    <w:docVar w:name="LastSchemeUniqueID" w:val="1"/>
    <w:docVar w:name="Option0True" w:val="False"/>
    <w:docVar w:name="Option1True" w:val="False"/>
    <w:docVar w:name="Option2True" w:val="False"/>
  </w:docVars>
  <w:rsids>
    <w:rsidRoot w:val="00A6021C"/>
    <w:rsid w:val="00193247"/>
    <w:rsid w:val="00336C8D"/>
    <w:rsid w:val="00354BDC"/>
    <w:rsid w:val="00370A03"/>
    <w:rsid w:val="003970FD"/>
    <w:rsid w:val="003A71D7"/>
    <w:rsid w:val="00450CBE"/>
    <w:rsid w:val="004834F1"/>
    <w:rsid w:val="004A0558"/>
    <w:rsid w:val="00605389"/>
    <w:rsid w:val="006C1301"/>
    <w:rsid w:val="006D2076"/>
    <w:rsid w:val="00790A1C"/>
    <w:rsid w:val="007C72A0"/>
    <w:rsid w:val="007E6B92"/>
    <w:rsid w:val="00857205"/>
    <w:rsid w:val="0088474E"/>
    <w:rsid w:val="00894E2C"/>
    <w:rsid w:val="00960EA9"/>
    <w:rsid w:val="00972FC8"/>
    <w:rsid w:val="00A13B59"/>
    <w:rsid w:val="00A6021C"/>
    <w:rsid w:val="00A83CB1"/>
    <w:rsid w:val="00AD0854"/>
    <w:rsid w:val="00AE47FA"/>
    <w:rsid w:val="00C12E81"/>
    <w:rsid w:val="00C956B3"/>
    <w:rsid w:val="00DE0C98"/>
    <w:rsid w:val="00DE0E8B"/>
    <w:rsid w:val="00E56551"/>
    <w:rsid w:val="00ED3872"/>
    <w:rsid w:val="00EF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1"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7812D8"/>
    <w:rPr>
      <w:rFonts w:ascii="Arial" w:hAnsi="Arial"/>
      <w:sz w:val="24"/>
    </w:rPr>
  </w:style>
  <w:style w:type="paragraph" w:styleId="Heading1">
    <w:name w:val="heading 1"/>
    <w:basedOn w:val="Normal"/>
    <w:next w:val="Normal"/>
    <w:link w:val="Heading1Char"/>
    <w:uiPriority w:val="9"/>
    <w:qFormat/>
    <w:rsid w:val="00B63323"/>
    <w:pPr>
      <w:numPr>
        <w:numId w:val="12"/>
      </w:numPr>
      <w:tabs>
        <w:tab w:val="clear" w:pos="720"/>
      </w:tabs>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B63323"/>
    <w:pPr>
      <w:numPr>
        <w:ilvl w:val="1"/>
        <w:numId w:val="12"/>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qFormat/>
    <w:rsid w:val="00B63323"/>
    <w:pPr>
      <w:numPr>
        <w:ilvl w:val="2"/>
        <w:numId w:val="12"/>
      </w:numPr>
      <w:spacing w:after="240"/>
      <w:jc w:val="both"/>
      <w:outlineLvl w:val="2"/>
    </w:pPr>
    <w:rPr>
      <w:rFonts w:eastAsiaTheme="majorEastAsia" w:cs="Arial"/>
      <w:b/>
      <w:bCs/>
    </w:rPr>
  </w:style>
  <w:style w:type="paragraph" w:styleId="Heading4">
    <w:name w:val="heading 4"/>
    <w:basedOn w:val="Normal"/>
    <w:next w:val="Normal"/>
    <w:link w:val="Heading4Char"/>
    <w:uiPriority w:val="9"/>
    <w:unhideWhenUsed/>
    <w:qFormat/>
    <w:rsid w:val="00B63323"/>
    <w:pPr>
      <w:numPr>
        <w:ilvl w:val="3"/>
        <w:numId w:val="12"/>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rsid w:val="00B63323"/>
    <w:pPr>
      <w:numPr>
        <w:ilvl w:val="4"/>
        <w:numId w:val="12"/>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B63323"/>
    <w:pPr>
      <w:numPr>
        <w:ilvl w:val="5"/>
        <w:numId w:val="12"/>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B63323"/>
    <w:pPr>
      <w:numPr>
        <w:ilvl w:val="6"/>
        <w:numId w:val="12"/>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B63323"/>
    <w:pPr>
      <w:numPr>
        <w:ilvl w:val="7"/>
        <w:numId w:val="12"/>
      </w:numPr>
      <w:spacing w:after="240"/>
      <w:jc w:val="both"/>
      <w:outlineLvl w:val="7"/>
    </w:pPr>
    <w:rPr>
      <w:rFonts w:asciiTheme="majorHAnsi" w:eastAsiaTheme="majorEastAsia" w:hAnsiTheme="majorHAnsi" w:cs="Arial"/>
      <w:color w:val="404040" w:themeColor="text1" w:themeTint="BF"/>
    </w:rPr>
  </w:style>
  <w:style w:type="paragraph" w:styleId="Heading9">
    <w:name w:val="heading 9"/>
    <w:basedOn w:val="Normal"/>
    <w:next w:val="Normal"/>
    <w:link w:val="Heading9Char"/>
    <w:uiPriority w:val="9"/>
    <w:semiHidden/>
    <w:unhideWhenUsed/>
    <w:rsid w:val="00B63323"/>
    <w:pPr>
      <w:numPr>
        <w:ilvl w:val="8"/>
        <w:numId w:val="12"/>
      </w:numPr>
      <w:spacing w:after="240"/>
      <w:jc w:val="both"/>
      <w:outlineLvl w:val="8"/>
    </w:pPr>
    <w:rPr>
      <w:rFonts w:asciiTheme="majorHAnsi" w:eastAsiaTheme="majorEastAsia" w:hAnsiTheme="majorHAnsi" w:cs="Arial"/>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Indent1">
    <w:name w:val="Double Indent 1"/>
    <w:aliases w:val="DblInd1"/>
    <w:basedOn w:val="Normal"/>
    <w:uiPriority w:val="2"/>
    <w:qFormat/>
    <w:rsid w:val="007812D8"/>
    <w:pPr>
      <w:spacing w:after="240"/>
      <w:ind w:left="1440" w:right="1440"/>
    </w:pPr>
  </w:style>
  <w:style w:type="paragraph" w:customStyle="1" w:styleId="LeftIndent">
    <w:name w:val="Left Indent"/>
    <w:aliases w:val="LeftInd"/>
    <w:basedOn w:val="Normal"/>
    <w:uiPriority w:val="11"/>
    <w:qFormat/>
    <w:rsid w:val="007812D8"/>
    <w:pPr>
      <w:spacing w:after="240"/>
      <w:ind w:left="720"/>
    </w:pPr>
  </w:style>
  <w:style w:type="paragraph" w:customStyle="1" w:styleId="FirstLineIndent">
    <w:name w:val="First Line Indent"/>
    <w:aliases w:val="FirstInd"/>
    <w:basedOn w:val="Normal"/>
    <w:uiPriority w:val="1"/>
    <w:qFormat/>
    <w:rsid w:val="007812D8"/>
    <w:pPr>
      <w:spacing w:after="240"/>
      <w:ind w:firstLine="720"/>
    </w:pPr>
  </w:style>
  <w:style w:type="paragraph" w:customStyle="1" w:styleId="NoIndent">
    <w:name w:val="No Indent"/>
    <w:aliases w:val="NoInd"/>
    <w:basedOn w:val="Normal"/>
    <w:qFormat/>
    <w:rsid w:val="007812D8"/>
    <w:pPr>
      <w:spacing w:after="240"/>
    </w:pPr>
  </w:style>
  <w:style w:type="paragraph" w:customStyle="1" w:styleId="DoubleIndent5">
    <w:name w:val="Double Indent .5"/>
    <w:aliases w:val="DblInd5"/>
    <w:basedOn w:val="Normal"/>
    <w:uiPriority w:val="2"/>
    <w:qFormat/>
    <w:rsid w:val="007812D8"/>
    <w:pPr>
      <w:spacing w:after="240"/>
      <w:ind w:left="720" w:right="720"/>
    </w:pPr>
    <w:rPr>
      <w:iCs/>
    </w:rPr>
  </w:style>
  <w:style w:type="character" w:customStyle="1" w:styleId="Heading1Char">
    <w:name w:val="Heading 1 Char"/>
    <w:basedOn w:val="DefaultParagraphFont"/>
    <w:link w:val="Heading1"/>
    <w:uiPriority w:val="9"/>
    <w:rsid w:val="00B63323"/>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B63323"/>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B63323"/>
    <w:rPr>
      <w:rFonts w:ascii="Arial" w:eastAsiaTheme="majorEastAsia" w:hAnsi="Arial" w:cs="Arial"/>
      <w:b/>
      <w:bCs/>
      <w:sz w:val="24"/>
    </w:rPr>
  </w:style>
  <w:style w:type="character" w:customStyle="1" w:styleId="Heading4Char">
    <w:name w:val="Heading 4 Char"/>
    <w:basedOn w:val="DefaultParagraphFont"/>
    <w:link w:val="Heading4"/>
    <w:uiPriority w:val="9"/>
    <w:rsid w:val="00B63323"/>
    <w:rPr>
      <w:rFonts w:ascii="Arial" w:eastAsiaTheme="majorEastAsia" w:hAnsi="Arial" w:cs="Arial"/>
      <w:b/>
      <w:bCs/>
      <w:i/>
      <w:iCs/>
      <w:sz w:val="24"/>
    </w:rPr>
  </w:style>
  <w:style w:type="paragraph" w:styleId="FootnoteText">
    <w:name w:val="footnote text"/>
    <w:basedOn w:val="Normal"/>
    <w:link w:val="FootnoteTextChar"/>
    <w:uiPriority w:val="11"/>
    <w:qFormat/>
    <w:rsid w:val="007812D8"/>
    <w:pPr>
      <w:spacing w:after="240"/>
    </w:pPr>
    <w:rPr>
      <w:sz w:val="20"/>
    </w:rPr>
  </w:style>
  <w:style w:type="character" w:customStyle="1" w:styleId="FootnoteTextChar">
    <w:name w:val="Footnote Text Char"/>
    <w:basedOn w:val="DefaultParagraphFont"/>
    <w:link w:val="FootnoteText"/>
    <w:uiPriority w:val="11"/>
    <w:rsid w:val="007812D8"/>
    <w:rPr>
      <w:rFonts w:ascii="Arial" w:hAnsi="Arial"/>
    </w:rPr>
  </w:style>
  <w:style w:type="paragraph" w:styleId="Caption">
    <w:name w:val="caption"/>
    <w:basedOn w:val="Normal"/>
    <w:next w:val="Normal"/>
    <w:uiPriority w:val="35"/>
    <w:semiHidden/>
    <w:unhideWhenUsed/>
    <w:qFormat/>
    <w:rsid w:val="007812D8"/>
    <w:pPr>
      <w:spacing w:after="200"/>
    </w:pPr>
    <w:rPr>
      <w:b/>
      <w:bCs/>
      <w:color w:val="4F81BD" w:themeColor="accent1"/>
      <w:sz w:val="18"/>
      <w:szCs w:val="18"/>
    </w:rPr>
  </w:style>
  <w:style w:type="paragraph" w:styleId="ListBullet">
    <w:name w:val="List Bullet"/>
    <w:basedOn w:val="Normal"/>
    <w:uiPriority w:val="99"/>
    <w:qFormat/>
    <w:rsid w:val="007812D8"/>
    <w:pPr>
      <w:numPr>
        <w:numId w:val="13"/>
      </w:numPr>
      <w:spacing w:after="240"/>
      <w:contextualSpacing/>
    </w:pPr>
  </w:style>
  <w:style w:type="paragraph" w:styleId="ListNumber">
    <w:name w:val="List Number"/>
    <w:basedOn w:val="Normal"/>
    <w:uiPriority w:val="99"/>
    <w:qFormat/>
    <w:rsid w:val="007812D8"/>
    <w:pPr>
      <w:numPr>
        <w:numId w:val="14"/>
      </w:numPr>
      <w:spacing w:after="240"/>
      <w:contextualSpacing/>
    </w:pPr>
  </w:style>
  <w:style w:type="paragraph" w:styleId="Title">
    <w:name w:val="Title"/>
    <w:basedOn w:val="Normal"/>
    <w:link w:val="TitleChar"/>
    <w:uiPriority w:val="3"/>
    <w:qFormat/>
    <w:rsid w:val="007812D8"/>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sid w:val="007812D8"/>
    <w:rPr>
      <w:rFonts w:ascii="Arial" w:eastAsiaTheme="majorEastAsia" w:hAnsi="Arial" w:cstheme="majorBidi"/>
      <w:sz w:val="23"/>
      <w:szCs w:val="52"/>
    </w:rPr>
  </w:style>
  <w:style w:type="paragraph" w:styleId="Signature">
    <w:name w:val="Signature"/>
    <w:basedOn w:val="Normal"/>
    <w:link w:val="SignatureChar"/>
    <w:uiPriority w:val="3"/>
    <w:qFormat/>
    <w:rsid w:val="007812D8"/>
    <w:pPr>
      <w:spacing w:after="240"/>
      <w:ind w:left="4320"/>
      <w:contextualSpacing/>
    </w:pPr>
    <w:rPr>
      <w:sz w:val="23"/>
    </w:rPr>
  </w:style>
  <w:style w:type="character" w:customStyle="1" w:styleId="SignatureChar">
    <w:name w:val="Signature Char"/>
    <w:basedOn w:val="DefaultParagraphFont"/>
    <w:link w:val="Signature"/>
    <w:uiPriority w:val="3"/>
    <w:rsid w:val="007812D8"/>
    <w:rPr>
      <w:rFonts w:ascii="Arial" w:hAnsi="Arial"/>
      <w:sz w:val="23"/>
    </w:rPr>
  </w:style>
  <w:style w:type="paragraph" w:styleId="TOCHeading">
    <w:name w:val="TOC Heading"/>
    <w:basedOn w:val="Heading1"/>
    <w:next w:val="Normal"/>
    <w:uiPriority w:val="39"/>
    <w:semiHidden/>
    <w:unhideWhenUsed/>
    <w:qFormat/>
    <w:rsid w:val="007812D8"/>
    <w:pPr>
      <w:numPr>
        <w:numId w:val="0"/>
      </w:numPr>
      <w:spacing w:before="480"/>
      <w:outlineLvl w:val="9"/>
    </w:pPr>
    <w:rPr>
      <w:rFonts w:asciiTheme="majorHAnsi" w:hAnsiTheme="majorHAnsi"/>
      <w:b w:val="0"/>
      <w:color w:val="365F91" w:themeColor="accent1" w:themeShade="BF"/>
      <w:sz w:val="28"/>
    </w:rPr>
  </w:style>
  <w:style w:type="character" w:styleId="FootnoteReference">
    <w:name w:val="footnote reference"/>
    <w:basedOn w:val="DefaultParagraphFont"/>
    <w:uiPriority w:val="99"/>
    <w:semiHidden/>
    <w:unhideWhenUsed/>
    <w:rsid w:val="008A332B"/>
    <w:rPr>
      <w:vertAlign w:val="superscript"/>
    </w:rPr>
  </w:style>
  <w:style w:type="paragraph" w:styleId="Header">
    <w:name w:val="header"/>
    <w:basedOn w:val="Normal"/>
    <w:link w:val="HeaderChar"/>
    <w:uiPriority w:val="99"/>
    <w:unhideWhenUsed/>
    <w:rsid w:val="0059153E"/>
    <w:pPr>
      <w:tabs>
        <w:tab w:val="center" w:pos="4680"/>
        <w:tab w:val="right" w:pos="9360"/>
      </w:tabs>
    </w:pPr>
  </w:style>
  <w:style w:type="character" w:customStyle="1" w:styleId="HeaderChar">
    <w:name w:val="Header Char"/>
    <w:basedOn w:val="DefaultParagraphFont"/>
    <w:link w:val="Header"/>
    <w:uiPriority w:val="99"/>
    <w:rsid w:val="0059153E"/>
    <w:rPr>
      <w:rFonts w:ascii="Arial" w:hAnsi="Arial"/>
      <w:sz w:val="24"/>
    </w:rPr>
  </w:style>
  <w:style w:type="paragraph" w:styleId="Footer">
    <w:name w:val="footer"/>
    <w:basedOn w:val="Normal"/>
    <w:link w:val="FooterChar"/>
    <w:uiPriority w:val="99"/>
    <w:unhideWhenUsed/>
    <w:rsid w:val="0059153E"/>
    <w:pPr>
      <w:tabs>
        <w:tab w:val="center" w:pos="4680"/>
        <w:tab w:val="right" w:pos="9360"/>
      </w:tabs>
    </w:pPr>
  </w:style>
  <w:style w:type="character" w:customStyle="1" w:styleId="FooterChar">
    <w:name w:val="Footer Char"/>
    <w:basedOn w:val="DefaultParagraphFont"/>
    <w:link w:val="Footer"/>
    <w:uiPriority w:val="99"/>
    <w:rsid w:val="0059153E"/>
    <w:rPr>
      <w:rFonts w:ascii="Arial" w:hAnsi="Arial"/>
      <w:sz w:val="24"/>
    </w:rPr>
  </w:style>
  <w:style w:type="character" w:customStyle="1" w:styleId="Heading5Char">
    <w:name w:val="Heading 5 Char"/>
    <w:basedOn w:val="DefaultParagraphFont"/>
    <w:link w:val="Heading5"/>
    <w:uiPriority w:val="9"/>
    <w:semiHidden/>
    <w:rsid w:val="00B63323"/>
    <w:rPr>
      <w:rFonts w:asciiTheme="majorHAnsi" w:eastAsiaTheme="majorEastAsia" w:hAnsiTheme="majorHAnsi" w:cs="Arial"/>
      <w:color w:val="243F60" w:themeColor="accent1" w:themeShade="7F"/>
      <w:sz w:val="24"/>
    </w:rPr>
  </w:style>
  <w:style w:type="character" w:customStyle="1" w:styleId="Heading6Char">
    <w:name w:val="Heading 6 Char"/>
    <w:basedOn w:val="DefaultParagraphFont"/>
    <w:link w:val="Heading6"/>
    <w:uiPriority w:val="9"/>
    <w:semiHidden/>
    <w:rsid w:val="00B63323"/>
    <w:rPr>
      <w:rFonts w:asciiTheme="majorHAnsi" w:eastAsiaTheme="majorEastAsia" w:hAnsiTheme="majorHAnsi" w:cs="Arial"/>
      <w:iCs/>
      <w:color w:val="243F60" w:themeColor="accent1" w:themeShade="7F"/>
      <w:sz w:val="24"/>
    </w:rPr>
  </w:style>
  <w:style w:type="character" w:customStyle="1" w:styleId="Heading7Char">
    <w:name w:val="Heading 7 Char"/>
    <w:basedOn w:val="DefaultParagraphFont"/>
    <w:link w:val="Heading7"/>
    <w:uiPriority w:val="9"/>
    <w:semiHidden/>
    <w:rsid w:val="00B63323"/>
    <w:rPr>
      <w:rFonts w:asciiTheme="majorHAnsi" w:eastAsiaTheme="majorEastAsia" w:hAnsiTheme="majorHAnsi" w:cs="Arial"/>
      <w:iCs/>
      <w:color w:val="404040" w:themeColor="text1" w:themeTint="BF"/>
      <w:sz w:val="24"/>
    </w:rPr>
  </w:style>
  <w:style w:type="character" w:customStyle="1" w:styleId="Heading8Char">
    <w:name w:val="Heading 8 Char"/>
    <w:basedOn w:val="DefaultParagraphFont"/>
    <w:link w:val="Heading8"/>
    <w:uiPriority w:val="9"/>
    <w:semiHidden/>
    <w:rsid w:val="00B63323"/>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B63323"/>
    <w:rPr>
      <w:rFonts w:asciiTheme="majorHAnsi" w:eastAsiaTheme="majorEastAsia" w:hAnsiTheme="majorHAnsi" w:cs="Arial"/>
      <w:iCs/>
      <w:color w:val="404040" w:themeColor="text1" w:themeTint="BF"/>
      <w:sz w:val="24"/>
    </w:rPr>
  </w:style>
  <w:style w:type="character" w:styleId="Hyperlink">
    <w:name w:val="Hyperlink"/>
    <w:basedOn w:val="DefaultParagraphFont"/>
    <w:uiPriority w:val="99"/>
    <w:unhideWhenUsed/>
    <w:rsid w:val="002445AD"/>
    <w:rPr>
      <w:color w:val="0000FF" w:themeColor="hyperlink"/>
      <w:u w:val="single"/>
    </w:rPr>
  </w:style>
  <w:style w:type="paragraph" w:styleId="BalloonText">
    <w:name w:val="Balloon Text"/>
    <w:basedOn w:val="Normal"/>
    <w:link w:val="BalloonTextChar"/>
    <w:uiPriority w:val="99"/>
    <w:semiHidden/>
    <w:unhideWhenUsed/>
    <w:rsid w:val="00B67131"/>
    <w:rPr>
      <w:rFonts w:ascii="Tahoma" w:hAnsi="Tahoma" w:cs="Tahoma"/>
      <w:sz w:val="16"/>
      <w:szCs w:val="16"/>
    </w:rPr>
  </w:style>
  <w:style w:type="character" w:customStyle="1" w:styleId="BalloonTextChar">
    <w:name w:val="Balloon Text Char"/>
    <w:basedOn w:val="DefaultParagraphFont"/>
    <w:link w:val="BalloonText"/>
    <w:uiPriority w:val="99"/>
    <w:semiHidden/>
    <w:rsid w:val="00B67131"/>
    <w:rPr>
      <w:rFonts w:ascii="Tahoma" w:hAnsi="Tahoma" w:cs="Tahoma"/>
      <w:sz w:val="16"/>
      <w:szCs w:val="16"/>
    </w:rPr>
  </w:style>
  <w:style w:type="paragraph" w:styleId="BodyText">
    <w:name w:val="Body Text"/>
    <w:basedOn w:val="Normal"/>
    <w:link w:val="BodyTextChar"/>
    <w:uiPriority w:val="99"/>
    <w:rsid w:val="00EC23EC"/>
    <w:pPr>
      <w:spacing w:after="120"/>
    </w:pPr>
    <w:rPr>
      <w:rFonts w:ascii="Times New Roman" w:hAnsi="Times New Roman"/>
      <w:szCs w:val="24"/>
    </w:rPr>
  </w:style>
  <w:style w:type="character" w:customStyle="1" w:styleId="BodyTextChar">
    <w:name w:val="Body Text Char"/>
    <w:basedOn w:val="DefaultParagraphFont"/>
    <w:link w:val="BodyText"/>
    <w:uiPriority w:val="99"/>
    <w:rsid w:val="00EC23EC"/>
    <w:rPr>
      <w:sz w:val="24"/>
      <w:szCs w:val="24"/>
    </w:rPr>
  </w:style>
  <w:style w:type="character" w:styleId="CommentReference">
    <w:name w:val="annotation reference"/>
    <w:basedOn w:val="DefaultParagraphFont"/>
    <w:uiPriority w:val="99"/>
    <w:semiHidden/>
    <w:unhideWhenUsed/>
    <w:rsid w:val="00991A58"/>
    <w:rPr>
      <w:sz w:val="16"/>
      <w:szCs w:val="16"/>
    </w:rPr>
  </w:style>
  <w:style w:type="paragraph" w:styleId="CommentText">
    <w:name w:val="annotation text"/>
    <w:basedOn w:val="Normal"/>
    <w:link w:val="CommentTextChar"/>
    <w:uiPriority w:val="99"/>
    <w:semiHidden/>
    <w:unhideWhenUsed/>
    <w:rsid w:val="00991A58"/>
    <w:rPr>
      <w:sz w:val="20"/>
    </w:rPr>
  </w:style>
  <w:style w:type="character" w:customStyle="1" w:styleId="CommentTextChar">
    <w:name w:val="Comment Text Char"/>
    <w:basedOn w:val="DefaultParagraphFont"/>
    <w:link w:val="CommentText"/>
    <w:uiPriority w:val="99"/>
    <w:semiHidden/>
    <w:rsid w:val="00991A58"/>
    <w:rPr>
      <w:rFonts w:ascii="Arial" w:hAnsi="Arial"/>
    </w:rPr>
  </w:style>
  <w:style w:type="paragraph" w:styleId="CommentSubject">
    <w:name w:val="annotation subject"/>
    <w:basedOn w:val="CommentText"/>
    <w:next w:val="CommentText"/>
    <w:link w:val="CommentSubjectChar"/>
    <w:uiPriority w:val="99"/>
    <w:semiHidden/>
    <w:unhideWhenUsed/>
    <w:rsid w:val="00991A58"/>
    <w:rPr>
      <w:b/>
      <w:bCs/>
    </w:rPr>
  </w:style>
  <w:style w:type="character" w:customStyle="1" w:styleId="CommentSubjectChar">
    <w:name w:val="Comment Subject Char"/>
    <w:basedOn w:val="CommentTextChar"/>
    <w:link w:val="CommentSubject"/>
    <w:uiPriority w:val="99"/>
    <w:semiHidden/>
    <w:rsid w:val="00991A58"/>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1"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7812D8"/>
    <w:rPr>
      <w:rFonts w:ascii="Arial" w:hAnsi="Arial"/>
      <w:sz w:val="24"/>
    </w:rPr>
  </w:style>
  <w:style w:type="paragraph" w:styleId="Heading1">
    <w:name w:val="heading 1"/>
    <w:basedOn w:val="Normal"/>
    <w:next w:val="Normal"/>
    <w:link w:val="Heading1Char"/>
    <w:uiPriority w:val="9"/>
    <w:qFormat/>
    <w:rsid w:val="00B63323"/>
    <w:pPr>
      <w:numPr>
        <w:numId w:val="12"/>
      </w:numPr>
      <w:tabs>
        <w:tab w:val="clear" w:pos="720"/>
      </w:tabs>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B63323"/>
    <w:pPr>
      <w:numPr>
        <w:ilvl w:val="1"/>
        <w:numId w:val="12"/>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qFormat/>
    <w:rsid w:val="00B63323"/>
    <w:pPr>
      <w:numPr>
        <w:ilvl w:val="2"/>
        <w:numId w:val="12"/>
      </w:numPr>
      <w:spacing w:after="240"/>
      <w:jc w:val="both"/>
      <w:outlineLvl w:val="2"/>
    </w:pPr>
    <w:rPr>
      <w:rFonts w:eastAsiaTheme="majorEastAsia" w:cs="Arial"/>
      <w:b/>
      <w:bCs/>
    </w:rPr>
  </w:style>
  <w:style w:type="paragraph" w:styleId="Heading4">
    <w:name w:val="heading 4"/>
    <w:basedOn w:val="Normal"/>
    <w:next w:val="Normal"/>
    <w:link w:val="Heading4Char"/>
    <w:uiPriority w:val="9"/>
    <w:unhideWhenUsed/>
    <w:qFormat/>
    <w:rsid w:val="00B63323"/>
    <w:pPr>
      <w:numPr>
        <w:ilvl w:val="3"/>
        <w:numId w:val="12"/>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rsid w:val="00B63323"/>
    <w:pPr>
      <w:numPr>
        <w:ilvl w:val="4"/>
        <w:numId w:val="12"/>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B63323"/>
    <w:pPr>
      <w:numPr>
        <w:ilvl w:val="5"/>
        <w:numId w:val="12"/>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B63323"/>
    <w:pPr>
      <w:numPr>
        <w:ilvl w:val="6"/>
        <w:numId w:val="12"/>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B63323"/>
    <w:pPr>
      <w:numPr>
        <w:ilvl w:val="7"/>
        <w:numId w:val="12"/>
      </w:numPr>
      <w:spacing w:after="240"/>
      <w:jc w:val="both"/>
      <w:outlineLvl w:val="7"/>
    </w:pPr>
    <w:rPr>
      <w:rFonts w:asciiTheme="majorHAnsi" w:eastAsiaTheme="majorEastAsia" w:hAnsiTheme="majorHAnsi" w:cs="Arial"/>
      <w:color w:val="404040" w:themeColor="text1" w:themeTint="BF"/>
    </w:rPr>
  </w:style>
  <w:style w:type="paragraph" w:styleId="Heading9">
    <w:name w:val="heading 9"/>
    <w:basedOn w:val="Normal"/>
    <w:next w:val="Normal"/>
    <w:link w:val="Heading9Char"/>
    <w:uiPriority w:val="9"/>
    <w:semiHidden/>
    <w:unhideWhenUsed/>
    <w:rsid w:val="00B63323"/>
    <w:pPr>
      <w:numPr>
        <w:ilvl w:val="8"/>
        <w:numId w:val="12"/>
      </w:numPr>
      <w:spacing w:after="240"/>
      <w:jc w:val="both"/>
      <w:outlineLvl w:val="8"/>
    </w:pPr>
    <w:rPr>
      <w:rFonts w:asciiTheme="majorHAnsi" w:eastAsiaTheme="majorEastAsia" w:hAnsiTheme="majorHAnsi" w:cs="Arial"/>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Indent1">
    <w:name w:val="Double Indent 1"/>
    <w:aliases w:val="DblInd1"/>
    <w:basedOn w:val="Normal"/>
    <w:uiPriority w:val="2"/>
    <w:qFormat/>
    <w:rsid w:val="007812D8"/>
    <w:pPr>
      <w:spacing w:after="240"/>
      <w:ind w:left="1440" w:right="1440"/>
    </w:pPr>
  </w:style>
  <w:style w:type="paragraph" w:customStyle="1" w:styleId="LeftIndent">
    <w:name w:val="Left Indent"/>
    <w:aliases w:val="LeftInd"/>
    <w:basedOn w:val="Normal"/>
    <w:uiPriority w:val="11"/>
    <w:qFormat/>
    <w:rsid w:val="007812D8"/>
    <w:pPr>
      <w:spacing w:after="240"/>
      <w:ind w:left="720"/>
    </w:pPr>
  </w:style>
  <w:style w:type="paragraph" w:customStyle="1" w:styleId="FirstLineIndent">
    <w:name w:val="First Line Indent"/>
    <w:aliases w:val="FirstInd"/>
    <w:basedOn w:val="Normal"/>
    <w:uiPriority w:val="1"/>
    <w:qFormat/>
    <w:rsid w:val="007812D8"/>
    <w:pPr>
      <w:spacing w:after="240"/>
      <w:ind w:firstLine="720"/>
    </w:pPr>
  </w:style>
  <w:style w:type="paragraph" w:customStyle="1" w:styleId="NoIndent">
    <w:name w:val="No Indent"/>
    <w:aliases w:val="NoInd"/>
    <w:basedOn w:val="Normal"/>
    <w:qFormat/>
    <w:rsid w:val="007812D8"/>
    <w:pPr>
      <w:spacing w:after="240"/>
    </w:pPr>
  </w:style>
  <w:style w:type="paragraph" w:customStyle="1" w:styleId="DoubleIndent5">
    <w:name w:val="Double Indent .5"/>
    <w:aliases w:val="DblInd5"/>
    <w:basedOn w:val="Normal"/>
    <w:uiPriority w:val="2"/>
    <w:qFormat/>
    <w:rsid w:val="007812D8"/>
    <w:pPr>
      <w:spacing w:after="240"/>
      <w:ind w:left="720" w:right="720"/>
    </w:pPr>
    <w:rPr>
      <w:iCs/>
    </w:rPr>
  </w:style>
  <w:style w:type="character" w:customStyle="1" w:styleId="Heading1Char">
    <w:name w:val="Heading 1 Char"/>
    <w:basedOn w:val="DefaultParagraphFont"/>
    <w:link w:val="Heading1"/>
    <w:uiPriority w:val="9"/>
    <w:rsid w:val="00B63323"/>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B63323"/>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B63323"/>
    <w:rPr>
      <w:rFonts w:ascii="Arial" w:eastAsiaTheme="majorEastAsia" w:hAnsi="Arial" w:cs="Arial"/>
      <w:b/>
      <w:bCs/>
      <w:sz w:val="24"/>
    </w:rPr>
  </w:style>
  <w:style w:type="character" w:customStyle="1" w:styleId="Heading4Char">
    <w:name w:val="Heading 4 Char"/>
    <w:basedOn w:val="DefaultParagraphFont"/>
    <w:link w:val="Heading4"/>
    <w:uiPriority w:val="9"/>
    <w:rsid w:val="00B63323"/>
    <w:rPr>
      <w:rFonts w:ascii="Arial" w:eastAsiaTheme="majorEastAsia" w:hAnsi="Arial" w:cs="Arial"/>
      <w:b/>
      <w:bCs/>
      <w:i/>
      <w:iCs/>
      <w:sz w:val="24"/>
    </w:rPr>
  </w:style>
  <w:style w:type="paragraph" w:styleId="FootnoteText">
    <w:name w:val="footnote text"/>
    <w:basedOn w:val="Normal"/>
    <w:link w:val="FootnoteTextChar"/>
    <w:uiPriority w:val="11"/>
    <w:qFormat/>
    <w:rsid w:val="007812D8"/>
    <w:pPr>
      <w:spacing w:after="240"/>
    </w:pPr>
    <w:rPr>
      <w:sz w:val="20"/>
    </w:rPr>
  </w:style>
  <w:style w:type="character" w:customStyle="1" w:styleId="FootnoteTextChar">
    <w:name w:val="Footnote Text Char"/>
    <w:basedOn w:val="DefaultParagraphFont"/>
    <w:link w:val="FootnoteText"/>
    <w:uiPriority w:val="11"/>
    <w:rsid w:val="007812D8"/>
    <w:rPr>
      <w:rFonts w:ascii="Arial" w:hAnsi="Arial"/>
    </w:rPr>
  </w:style>
  <w:style w:type="paragraph" w:styleId="Caption">
    <w:name w:val="caption"/>
    <w:basedOn w:val="Normal"/>
    <w:next w:val="Normal"/>
    <w:uiPriority w:val="35"/>
    <w:semiHidden/>
    <w:unhideWhenUsed/>
    <w:qFormat/>
    <w:rsid w:val="007812D8"/>
    <w:pPr>
      <w:spacing w:after="200"/>
    </w:pPr>
    <w:rPr>
      <w:b/>
      <w:bCs/>
      <w:color w:val="4F81BD" w:themeColor="accent1"/>
      <w:sz w:val="18"/>
      <w:szCs w:val="18"/>
    </w:rPr>
  </w:style>
  <w:style w:type="paragraph" w:styleId="ListBullet">
    <w:name w:val="List Bullet"/>
    <w:basedOn w:val="Normal"/>
    <w:uiPriority w:val="99"/>
    <w:qFormat/>
    <w:rsid w:val="007812D8"/>
    <w:pPr>
      <w:numPr>
        <w:numId w:val="13"/>
      </w:numPr>
      <w:spacing w:after="240"/>
      <w:contextualSpacing/>
    </w:pPr>
  </w:style>
  <w:style w:type="paragraph" w:styleId="ListNumber">
    <w:name w:val="List Number"/>
    <w:basedOn w:val="Normal"/>
    <w:uiPriority w:val="99"/>
    <w:qFormat/>
    <w:rsid w:val="007812D8"/>
    <w:pPr>
      <w:numPr>
        <w:numId w:val="14"/>
      </w:numPr>
      <w:spacing w:after="240"/>
      <w:contextualSpacing/>
    </w:pPr>
  </w:style>
  <w:style w:type="paragraph" w:styleId="Title">
    <w:name w:val="Title"/>
    <w:basedOn w:val="Normal"/>
    <w:link w:val="TitleChar"/>
    <w:uiPriority w:val="3"/>
    <w:qFormat/>
    <w:rsid w:val="007812D8"/>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sid w:val="007812D8"/>
    <w:rPr>
      <w:rFonts w:ascii="Arial" w:eastAsiaTheme="majorEastAsia" w:hAnsi="Arial" w:cstheme="majorBidi"/>
      <w:sz w:val="23"/>
      <w:szCs w:val="52"/>
    </w:rPr>
  </w:style>
  <w:style w:type="paragraph" w:styleId="Signature">
    <w:name w:val="Signature"/>
    <w:basedOn w:val="Normal"/>
    <w:link w:val="SignatureChar"/>
    <w:uiPriority w:val="3"/>
    <w:qFormat/>
    <w:rsid w:val="007812D8"/>
    <w:pPr>
      <w:spacing w:after="240"/>
      <w:ind w:left="4320"/>
      <w:contextualSpacing/>
    </w:pPr>
    <w:rPr>
      <w:sz w:val="23"/>
    </w:rPr>
  </w:style>
  <w:style w:type="character" w:customStyle="1" w:styleId="SignatureChar">
    <w:name w:val="Signature Char"/>
    <w:basedOn w:val="DefaultParagraphFont"/>
    <w:link w:val="Signature"/>
    <w:uiPriority w:val="3"/>
    <w:rsid w:val="007812D8"/>
    <w:rPr>
      <w:rFonts w:ascii="Arial" w:hAnsi="Arial"/>
      <w:sz w:val="23"/>
    </w:rPr>
  </w:style>
  <w:style w:type="paragraph" w:styleId="TOCHeading">
    <w:name w:val="TOC Heading"/>
    <w:basedOn w:val="Heading1"/>
    <w:next w:val="Normal"/>
    <w:uiPriority w:val="39"/>
    <w:semiHidden/>
    <w:unhideWhenUsed/>
    <w:qFormat/>
    <w:rsid w:val="007812D8"/>
    <w:pPr>
      <w:numPr>
        <w:numId w:val="0"/>
      </w:numPr>
      <w:spacing w:before="480"/>
      <w:outlineLvl w:val="9"/>
    </w:pPr>
    <w:rPr>
      <w:rFonts w:asciiTheme="majorHAnsi" w:hAnsiTheme="majorHAnsi"/>
      <w:b w:val="0"/>
      <w:color w:val="365F91" w:themeColor="accent1" w:themeShade="BF"/>
      <w:sz w:val="28"/>
    </w:rPr>
  </w:style>
  <w:style w:type="character" w:styleId="FootnoteReference">
    <w:name w:val="footnote reference"/>
    <w:basedOn w:val="DefaultParagraphFont"/>
    <w:uiPriority w:val="99"/>
    <w:semiHidden/>
    <w:unhideWhenUsed/>
    <w:rsid w:val="008A332B"/>
    <w:rPr>
      <w:vertAlign w:val="superscript"/>
    </w:rPr>
  </w:style>
  <w:style w:type="paragraph" w:styleId="Header">
    <w:name w:val="header"/>
    <w:basedOn w:val="Normal"/>
    <w:link w:val="HeaderChar"/>
    <w:uiPriority w:val="99"/>
    <w:unhideWhenUsed/>
    <w:rsid w:val="0059153E"/>
    <w:pPr>
      <w:tabs>
        <w:tab w:val="center" w:pos="4680"/>
        <w:tab w:val="right" w:pos="9360"/>
      </w:tabs>
    </w:pPr>
  </w:style>
  <w:style w:type="character" w:customStyle="1" w:styleId="HeaderChar">
    <w:name w:val="Header Char"/>
    <w:basedOn w:val="DefaultParagraphFont"/>
    <w:link w:val="Header"/>
    <w:uiPriority w:val="99"/>
    <w:rsid w:val="0059153E"/>
    <w:rPr>
      <w:rFonts w:ascii="Arial" w:hAnsi="Arial"/>
      <w:sz w:val="24"/>
    </w:rPr>
  </w:style>
  <w:style w:type="paragraph" w:styleId="Footer">
    <w:name w:val="footer"/>
    <w:basedOn w:val="Normal"/>
    <w:link w:val="FooterChar"/>
    <w:uiPriority w:val="99"/>
    <w:unhideWhenUsed/>
    <w:rsid w:val="0059153E"/>
    <w:pPr>
      <w:tabs>
        <w:tab w:val="center" w:pos="4680"/>
        <w:tab w:val="right" w:pos="9360"/>
      </w:tabs>
    </w:pPr>
  </w:style>
  <w:style w:type="character" w:customStyle="1" w:styleId="FooterChar">
    <w:name w:val="Footer Char"/>
    <w:basedOn w:val="DefaultParagraphFont"/>
    <w:link w:val="Footer"/>
    <w:uiPriority w:val="99"/>
    <w:rsid w:val="0059153E"/>
    <w:rPr>
      <w:rFonts w:ascii="Arial" w:hAnsi="Arial"/>
      <w:sz w:val="24"/>
    </w:rPr>
  </w:style>
  <w:style w:type="character" w:customStyle="1" w:styleId="Heading5Char">
    <w:name w:val="Heading 5 Char"/>
    <w:basedOn w:val="DefaultParagraphFont"/>
    <w:link w:val="Heading5"/>
    <w:uiPriority w:val="9"/>
    <w:semiHidden/>
    <w:rsid w:val="00B63323"/>
    <w:rPr>
      <w:rFonts w:asciiTheme="majorHAnsi" w:eastAsiaTheme="majorEastAsia" w:hAnsiTheme="majorHAnsi" w:cs="Arial"/>
      <w:color w:val="243F60" w:themeColor="accent1" w:themeShade="7F"/>
      <w:sz w:val="24"/>
    </w:rPr>
  </w:style>
  <w:style w:type="character" w:customStyle="1" w:styleId="Heading6Char">
    <w:name w:val="Heading 6 Char"/>
    <w:basedOn w:val="DefaultParagraphFont"/>
    <w:link w:val="Heading6"/>
    <w:uiPriority w:val="9"/>
    <w:semiHidden/>
    <w:rsid w:val="00B63323"/>
    <w:rPr>
      <w:rFonts w:asciiTheme="majorHAnsi" w:eastAsiaTheme="majorEastAsia" w:hAnsiTheme="majorHAnsi" w:cs="Arial"/>
      <w:iCs/>
      <w:color w:val="243F60" w:themeColor="accent1" w:themeShade="7F"/>
      <w:sz w:val="24"/>
    </w:rPr>
  </w:style>
  <w:style w:type="character" w:customStyle="1" w:styleId="Heading7Char">
    <w:name w:val="Heading 7 Char"/>
    <w:basedOn w:val="DefaultParagraphFont"/>
    <w:link w:val="Heading7"/>
    <w:uiPriority w:val="9"/>
    <w:semiHidden/>
    <w:rsid w:val="00B63323"/>
    <w:rPr>
      <w:rFonts w:asciiTheme="majorHAnsi" w:eastAsiaTheme="majorEastAsia" w:hAnsiTheme="majorHAnsi" w:cs="Arial"/>
      <w:iCs/>
      <w:color w:val="404040" w:themeColor="text1" w:themeTint="BF"/>
      <w:sz w:val="24"/>
    </w:rPr>
  </w:style>
  <w:style w:type="character" w:customStyle="1" w:styleId="Heading8Char">
    <w:name w:val="Heading 8 Char"/>
    <w:basedOn w:val="DefaultParagraphFont"/>
    <w:link w:val="Heading8"/>
    <w:uiPriority w:val="9"/>
    <w:semiHidden/>
    <w:rsid w:val="00B63323"/>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B63323"/>
    <w:rPr>
      <w:rFonts w:asciiTheme="majorHAnsi" w:eastAsiaTheme="majorEastAsia" w:hAnsiTheme="majorHAnsi" w:cs="Arial"/>
      <w:iCs/>
      <w:color w:val="404040" w:themeColor="text1" w:themeTint="BF"/>
      <w:sz w:val="24"/>
    </w:rPr>
  </w:style>
  <w:style w:type="character" w:styleId="Hyperlink">
    <w:name w:val="Hyperlink"/>
    <w:basedOn w:val="DefaultParagraphFont"/>
    <w:uiPriority w:val="99"/>
    <w:unhideWhenUsed/>
    <w:rsid w:val="002445AD"/>
    <w:rPr>
      <w:color w:val="0000FF" w:themeColor="hyperlink"/>
      <w:u w:val="single"/>
    </w:rPr>
  </w:style>
  <w:style w:type="paragraph" w:styleId="BalloonText">
    <w:name w:val="Balloon Text"/>
    <w:basedOn w:val="Normal"/>
    <w:link w:val="BalloonTextChar"/>
    <w:uiPriority w:val="99"/>
    <w:semiHidden/>
    <w:unhideWhenUsed/>
    <w:rsid w:val="00B67131"/>
    <w:rPr>
      <w:rFonts w:ascii="Tahoma" w:hAnsi="Tahoma" w:cs="Tahoma"/>
      <w:sz w:val="16"/>
      <w:szCs w:val="16"/>
    </w:rPr>
  </w:style>
  <w:style w:type="character" w:customStyle="1" w:styleId="BalloonTextChar">
    <w:name w:val="Balloon Text Char"/>
    <w:basedOn w:val="DefaultParagraphFont"/>
    <w:link w:val="BalloonText"/>
    <w:uiPriority w:val="99"/>
    <w:semiHidden/>
    <w:rsid w:val="00B67131"/>
    <w:rPr>
      <w:rFonts w:ascii="Tahoma" w:hAnsi="Tahoma" w:cs="Tahoma"/>
      <w:sz w:val="16"/>
      <w:szCs w:val="16"/>
    </w:rPr>
  </w:style>
  <w:style w:type="paragraph" w:styleId="BodyText">
    <w:name w:val="Body Text"/>
    <w:basedOn w:val="Normal"/>
    <w:link w:val="BodyTextChar"/>
    <w:uiPriority w:val="99"/>
    <w:rsid w:val="00EC23EC"/>
    <w:pPr>
      <w:spacing w:after="120"/>
    </w:pPr>
    <w:rPr>
      <w:rFonts w:ascii="Times New Roman" w:hAnsi="Times New Roman"/>
      <w:szCs w:val="24"/>
    </w:rPr>
  </w:style>
  <w:style w:type="character" w:customStyle="1" w:styleId="BodyTextChar">
    <w:name w:val="Body Text Char"/>
    <w:basedOn w:val="DefaultParagraphFont"/>
    <w:link w:val="BodyText"/>
    <w:uiPriority w:val="99"/>
    <w:rsid w:val="00EC23EC"/>
    <w:rPr>
      <w:sz w:val="24"/>
      <w:szCs w:val="24"/>
    </w:rPr>
  </w:style>
  <w:style w:type="character" w:styleId="CommentReference">
    <w:name w:val="annotation reference"/>
    <w:basedOn w:val="DefaultParagraphFont"/>
    <w:uiPriority w:val="99"/>
    <w:semiHidden/>
    <w:unhideWhenUsed/>
    <w:rsid w:val="00991A58"/>
    <w:rPr>
      <w:sz w:val="16"/>
      <w:szCs w:val="16"/>
    </w:rPr>
  </w:style>
  <w:style w:type="paragraph" w:styleId="CommentText">
    <w:name w:val="annotation text"/>
    <w:basedOn w:val="Normal"/>
    <w:link w:val="CommentTextChar"/>
    <w:uiPriority w:val="99"/>
    <w:semiHidden/>
    <w:unhideWhenUsed/>
    <w:rsid w:val="00991A58"/>
    <w:rPr>
      <w:sz w:val="20"/>
    </w:rPr>
  </w:style>
  <w:style w:type="character" w:customStyle="1" w:styleId="CommentTextChar">
    <w:name w:val="Comment Text Char"/>
    <w:basedOn w:val="DefaultParagraphFont"/>
    <w:link w:val="CommentText"/>
    <w:uiPriority w:val="99"/>
    <w:semiHidden/>
    <w:rsid w:val="00991A58"/>
    <w:rPr>
      <w:rFonts w:ascii="Arial" w:hAnsi="Arial"/>
    </w:rPr>
  </w:style>
  <w:style w:type="paragraph" w:styleId="CommentSubject">
    <w:name w:val="annotation subject"/>
    <w:basedOn w:val="CommentText"/>
    <w:next w:val="CommentText"/>
    <w:link w:val="CommentSubjectChar"/>
    <w:uiPriority w:val="99"/>
    <w:semiHidden/>
    <w:unhideWhenUsed/>
    <w:rsid w:val="00991A58"/>
    <w:rPr>
      <w:b/>
      <w:bCs/>
    </w:rPr>
  </w:style>
  <w:style w:type="character" w:customStyle="1" w:styleId="CommentSubjectChar">
    <w:name w:val="Comment Subject Char"/>
    <w:basedOn w:val="CommentTextChar"/>
    <w:link w:val="CommentSubject"/>
    <w:uiPriority w:val="99"/>
    <w:semiHidden/>
    <w:rsid w:val="00991A5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87832">
      <w:bodyDiv w:val="1"/>
      <w:marLeft w:val="0"/>
      <w:marRight w:val="0"/>
      <w:marTop w:val="0"/>
      <w:marBottom w:val="0"/>
      <w:divBdr>
        <w:top w:val="none" w:sz="0" w:space="0" w:color="auto"/>
        <w:left w:val="none" w:sz="0" w:space="0" w:color="auto"/>
        <w:bottom w:val="none" w:sz="0" w:space="0" w:color="auto"/>
        <w:right w:val="none" w:sz="0" w:space="0" w:color="auto"/>
      </w:divBdr>
    </w:div>
    <w:div w:id="168292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9084E-F6EB-4750-AA62-42C25580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14</Pages>
  <Words>2766</Words>
  <Characters>16617</Characters>
  <Application>Microsoft Office Word</Application>
  <DocSecurity>0</DocSecurity>
  <PresentationFormat/>
  <Lines>474</Lines>
  <Paragraphs>213</Paragraphs>
  <ScaleCrop>false</ScaleCrop>
  <HeadingPairs>
    <vt:vector size="2" baseType="variant">
      <vt:variant>
        <vt:lpstr>Title</vt:lpstr>
      </vt:variant>
      <vt:variant>
        <vt:i4>1</vt:i4>
      </vt:variant>
    </vt:vector>
  </HeadingPairs>
  <TitlesOfParts>
    <vt:vector size="1" baseType="lpstr">
      <vt:lpstr>12-665; initial comments on evergreen report (C38942-4).DOCX</vt:lpstr>
    </vt:vector>
  </TitlesOfParts>
  <Company/>
  <LinksUpToDate>false</LinksUpToDate>
  <CharactersWithSpaces>19311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12-665; initial comments on evergreen report (C38942-4).DOCX</dc:title>
  <dc:subject>C38942:4 /font=8</dc:subject>
  <dc:creator>Frank Darr</dc:creator>
  <cp:keywords/>
  <dc:description/>
  <cp:lastModifiedBy>Frank Darr</cp:lastModifiedBy>
  <cp:revision>34</cp:revision>
  <cp:lastPrinted>2012-11-01T21:12:00Z</cp:lastPrinted>
  <dcterms:created xsi:type="dcterms:W3CDTF">2012-10-18T17:20:00Z</dcterms:created>
  <dcterms:modified xsi:type="dcterms:W3CDTF">2012-11-02T15:06:00Z</dcterms:modified>
</cp:coreProperties>
</file>