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F6" w:rsidRPr="00713CF6" w:rsidRDefault="00713CF6" w:rsidP="00713CF6">
      <w:pPr>
        <w:jc w:val="center"/>
        <w:rPr>
          <w:rFonts w:eastAsia="Times New Roman" w:cs="Arial"/>
          <w:b/>
          <w:smallCaps/>
          <w:sz w:val="28"/>
        </w:rPr>
      </w:pPr>
      <w:bookmarkStart w:id="0" w:name="OLE_LINK1"/>
      <w:bookmarkStart w:id="1" w:name="OLE_LINK2"/>
      <w:r w:rsidRPr="00713CF6">
        <w:rPr>
          <w:rFonts w:eastAsia="Times New Roman" w:cs="Arial"/>
          <w:b/>
          <w:smallCaps/>
          <w:sz w:val="28"/>
        </w:rPr>
        <w:t>Before</w:t>
      </w:r>
    </w:p>
    <w:p w:rsidR="00713CF6" w:rsidRPr="00713CF6" w:rsidRDefault="00713CF6" w:rsidP="00713CF6">
      <w:pPr>
        <w:spacing w:after="120"/>
        <w:jc w:val="center"/>
        <w:rPr>
          <w:rFonts w:eastAsia="Times New Roman" w:cs="Arial"/>
          <w:b/>
          <w:smallCaps/>
          <w:sz w:val="28"/>
        </w:rPr>
      </w:pPr>
      <w:r w:rsidRPr="00713CF6">
        <w:rPr>
          <w:rFonts w:eastAsia="Times New Roman" w:cs="Arial"/>
          <w:b/>
          <w:smallCaps/>
          <w:sz w:val="28"/>
        </w:rPr>
        <w:t>The Public Utilities Commission of Ohio</w:t>
      </w:r>
    </w:p>
    <w:p w:rsidR="00713CF6" w:rsidRPr="00713CF6" w:rsidRDefault="00713CF6" w:rsidP="00713CF6">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2202DE" w:rsidRPr="002202DE" w:rsidTr="002202DE">
        <w:trPr>
          <w:jc w:val="center"/>
        </w:trPr>
        <w:tc>
          <w:tcPr>
            <w:tcW w:w="3990" w:type="dxa"/>
          </w:tcPr>
          <w:p w:rsidR="002202DE" w:rsidRPr="002202DE" w:rsidRDefault="002202DE" w:rsidP="002202DE">
            <w:pPr>
              <w:jc w:val="left"/>
              <w:rPr>
                <w:rFonts w:eastAsia="Times New Roman" w:cs="Arial"/>
              </w:rPr>
            </w:pPr>
            <w:r w:rsidRPr="002202DE">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2202DE" w:rsidRPr="002202DE" w:rsidRDefault="002202DE" w:rsidP="002202DE">
            <w:pPr>
              <w:jc w:val="left"/>
              <w:rPr>
                <w:rFonts w:eastAsia="Times New Roman" w:cs="Arial"/>
              </w:rPr>
            </w:pPr>
          </w:p>
        </w:tc>
        <w:tc>
          <w:tcPr>
            <w:tcW w:w="360" w:type="dxa"/>
          </w:tcPr>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tc>
        <w:tc>
          <w:tcPr>
            <w:tcW w:w="3990" w:type="dxa"/>
          </w:tcPr>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Case No. 14-841-EL-SSO</w:t>
            </w:r>
          </w:p>
        </w:tc>
      </w:tr>
      <w:tr w:rsidR="002202DE" w:rsidRPr="002202DE" w:rsidTr="002202DE">
        <w:trPr>
          <w:jc w:val="center"/>
        </w:trPr>
        <w:tc>
          <w:tcPr>
            <w:tcW w:w="3990" w:type="dxa"/>
          </w:tcPr>
          <w:p w:rsidR="002202DE" w:rsidRPr="002202DE" w:rsidRDefault="002202DE" w:rsidP="002202DE">
            <w:pPr>
              <w:jc w:val="left"/>
              <w:rPr>
                <w:rFonts w:eastAsia="Times New Roman" w:cs="Arial"/>
              </w:rPr>
            </w:pPr>
            <w:r w:rsidRPr="002202DE">
              <w:rPr>
                <w:rFonts w:eastAsia="Times New Roman" w:cs="Arial"/>
              </w:rPr>
              <w:t>In the Matter of the Application of Duke Energy Ohio for Authority to Amend its Certified Supplier Tariff, P.U.C.O. No. 20.</w:t>
            </w:r>
          </w:p>
        </w:tc>
        <w:tc>
          <w:tcPr>
            <w:tcW w:w="360" w:type="dxa"/>
          </w:tcPr>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tc>
        <w:tc>
          <w:tcPr>
            <w:tcW w:w="3990" w:type="dxa"/>
          </w:tcPr>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Case No. 14-842-EL-ATA</w:t>
            </w:r>
          </w:p>
        </w:tc>
      </w:tr>
    </w:tbl>
    <w:p w:rsidR="00713CF6" w:rsidRPr="00713CF6" w:rsidRDefault="00713CF6" w:rsidP="00713CF6">
      <w:pPr>
        <w:tabs>
          <w:tab w:val="left" w:pos="5040"/>
        </w:tabs>
        <w:rPr>
          <w:rFonts w:eastAsia="Times New Roman" w:cs="Arial"/>
        </w:rPr>
      </w:pPr>
    </w:p>
    <w:p w:rsidR="00713CF6" w:rsidRPr="00713CF6" w:rsidRDefault="00713CF6" w:rsidP="00713CF6">
      <w:pPr>
        <w:rPr>
          <w:rFonts w:eastAsia="Calibri" w:cs="Arial"/>
          <w:b/>
        </w:rPr>
      </w:pPr>
      <w:r w:rsidRPr="00713CF6">
        <w:rPr>
          <w:rFonts w:eastAsia="Calibri" w:cs="Arial"/>
          <w:b/>
        </w:rPr>
        <w:t>______________________________________________________________________</w:t>
      </w:r>
    </w:p>
    <w:p w:rsidR="00713CF6" w:rsidRDefault="00713CF6" w:rsidP="00713CF6">
      <w:pPr>
        <w:jc w:val="center"/>
        <w:rPr>
          <w:rFonts w:eastAsia="Calibri" w:cs="Arial"/>
          <w:b/>
        </w:rPr>
      </w:pPr>
    </w:p>
    <w:p w:rsidR="00713CF6" w:rsidRPr="00713CF6" w:rsidRDefault="00713CF6" w:rsidP="00713CF6">
      <w:pPr>
        <w:jc w:val="center"/>
        <w:rPr>
          <w:rFonts w:ascii="Arial Bold" w:eastAsia="Calibri" w:hAnsi="Arial Bold" w:cs="Arial"/>
          <w:b/>
          <w:caps/>
        </w:rPr>
      </w:pPr>
      <w:r w:rsidRPr="00713CF6">
        <w:rPr>
          <w:rFonts w:ascii="Arial Bold" w:eastAsia="Calibri" w:hAnsi="Arial Bold" w:cs="Arial"/>
          <w:b/>
          <w:caps/>
        </w:rPr>
        <w:t xml:space="preserve">Memorandum of Industrial Energy Users-Ohio in Opposition to the </w:t>
      </w:r>
      <w:r w:rsidR="00A41CF7">
        <w:rPr>
          <w:rFonts w:ascii="Arial Bold" w:eastAsia="Calibri" w:hAnsi="Arial Bold" w:cs="Arial"/>
          <w:b/>
          <w:caps/>
        </w:rPr>
        <w:t xml:space="preserve">application for </w:t>
      </w:r>
      <w:r w:rsidRPr="00713CF6">
        <w:rPr>
          <w:rFonts w:ascii="Arial Bold" w:eastAsia="Calibri" w:hAnsi="Arial Bold" w:cs="Arial"/>
          <w:b/>
          <w:caps/>
        </w:rPr>
        <w:t>Rehearing of Duke Energy Ohio, Inc.</w:t>
      </w:r>
    </w:p>
    <w:bookmarkEnd w:id="0"/>
    <w:bookmarkEnd w:id="1"/>
    <w:p w:rsidR="00713CF6" w:rsidRPr="00713CF6" w:rsidRDefault="00713CF6" w:rsidP="00713CF6">
      <w:pPr>
        <w:rPr>
          <w:rFonts w:eastAsia="Calibri" w:cs="Arial"/>
          <w:b/>
        </w:rPr>
      </w:pPr>
      <w:r w:rsidRPr="00713CF6">
        <w:rPr>
          <w:rFonts w:eastAsia="Calibri" w:cs="Arial"/>
          <w:b/>
        </w:rPr>
        <w:t>______________________________________________________________________</w:t>
      </w: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widowControl w:val="0"/>
        <w:ind w:left="4320"/>
        <w:rPr>
          <w:rFonts w:eastAsia="Calibri" w:cs="Arial"/>
          <w:bCs/>
        </w:rPr>
      </w:pPr>
      <w:r w:rsidRPr="00713CF6">
        <w:rPr>
          <w:rFonts w:eastAsia="Calibri" w:cs="Arial"/>
          <w:bCs/>
        </w:rPr>
        <w:t>Frank P. Darr (Counsel of Record)</w:t>
      </w:r>
    </w:p>
    <w:p w:rsidR="00713CF6" w:rsidRPr="00713CF6" w:rsidRDefault="00713CF6" w:rsidP="00713CF6">
      <w:pPr>
        <w:widowControl w:val="0"/>
        <w:ind w:left="4320"/>
        <w:rPr>
          <w:rFonts w:eastAsia="Calibri" w:cs="Arial"/>
          <w:bCs/>
        </w:rPr>
      </w:pPr>
      <w:r w:rsidRPr="00713CF6">
        <w:rPr>
          <w:rFonts w:eastAsia="Calibri" w:cs="Arial"/>
          <w:bCs/>
        </w:rPr>
        <w:t>(Reg. No. 0025469)</w:t>
      </w:r>
    </w:p>
    <w:p w:rsidR="00713CF6" w:rsidRPr="00713CF6" w:rsidRDefault="00713CF6" w:rsidP="00713CF6">
      <w:pPr>
        <w:widowControl w:val="0"/>
        <w:ind w:left="4320"/>
        <w:rPr>
          <w:rFonts w:eastAsia="Calibri" w:cs="Arial"/>
          <w:b/>
          <w:bCs/>
        </w:rPr>
      </w:pPr>
      <w:r w:rsidRPr="00713CF6">
        <w:rPr>
          <w:rFonts w:eastAsia="Calibri" w:cs="Arial"/>
          <w:bCs/>
        </w:rPr>
        <w:t>Matthew R. Pritchard (Reg. No. 0088070)</w:t>
      </w:r>
    </w:p>
    <w:p w:rsidR="00713CF6" w:rsidRPr="00713CF6" w:rsidRDefault="00713CF6" w:rsidP="00713CF6">
      <w:pPr>
        <w:widowControl w:val="0"/>
        <w:ind w:left="4320"/>
        <w:rPr>
          <w:rFonts w:eastAsia="Calibri" w:cs="Arial"/>
          <w:b/>
          <w:bCs/>
          <w:smallCaps/>
        </w:rPr>
      </w:pPr>
      <w:r w:rsidRPr="00713CF6">
        <w:rPr>
          <w:rFonts w:eastAsia="Calibri" w:cs="Arial"/>
          <w:bCs/>
          <w:smallCaps/>
        </w:rPr>
        <w:t>McNees Wallace &amp; Nurick LLC</w:t>
      </w:r>
    </w:p>
    <w:p w:rsidR="00713CF6" w:rsidRPr="00713CF6" w:rsidRDefault="00713CF6" w:rsidP="00713CF6">
      <w:pPr>
        <w:widowControl w:val="0"/>
        <w:ind w:left="4320"/>
        <w:rPr>
          <w:rFonts w:eastAsia="Calibri" w:cs="Arial"/>
          <w:b/>
          <w:bCs/>
        </w:rPr>
      </w:pPr>
      <w:r w:rsidRPr="00713CF6">
        <w:rPr>
          <w:rFonts w:eastAsia="Calibri" w:cs="Arial"/>
          <w:bCs/>
        </w:rPr>
        <w:t>21 East State Street, 17</w:t>
      </w:r>
      <w:r w:rsidRPr="00713CF6">
        <w:rPr>
          <w:rFonts w:eastAsia="Calibri" w:cs="Arial"/>
          <w:bCs/>
          <w:vertAlign w:val="superscript"/>
        </w:rPr>
        <w:t>TH</w:t>
      </w:r>
      <w:r w:rsidRPr="00713CF6">
        <w:rPr>
          <w:rFonts w:eastAsia="Calibri" w:cs="Arial"/>
          <w:bCs/>
        </w:rPr>
        <w:t xml:space="preserve"> Floor</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rPr>
      </w:pPr>
      <w:r w:rsidRPr="00713CF6">
        <w:rPr>
          <w:rFonts w:eastAsia="Calibri" w:cs="Arial"/>
        </w:rPr>
        <w:t>Columbus, OH  43215</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rPr>
      </w:pPr>
      <w:r w:rsidRPr="00713CF6">
        <w:rPr>
          <w:rFonts w:eastAsia="Calibri" w:cs="Arial"/>
        </w:rPr>
        <w:t>Telephone:  (614) 469-8000</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color w:val="000000"/>
        </w:rPr>
        <w:t>Telecopier:  (614) 469-4653</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rPr>
        <w:t>fdarr@mwncmh.com</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color w:val="000000"/>
        </w:rPr>
        <w:t>(willing to accept service by e-mail)</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13CF6">
        <w:rPr>
          <w:rFonts w:eastAsia="Calibri" w:cs="Arial"/>
          <w:color w:val="000000"/>
        </w:rPr>
        <w:t>mpritchard@mwncmh.com</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color w:val="000000"/>
        </w:rPr>
        <w:t>(willing to accept service by e-mail)</w:t>
      </w:r>
    </w:p>
    <w:p w:rsidR="00713CF6" w:rsidRPr="00713CF6" w:rsidRDefault="00713CF6" w:rsidP="00713CF6">
      <w:pPr>
        <w:tabs>
          <w:tab w:val="left" w:pos="-1440"/>
          <w:tab w:val="left" w:pos="-720"/>
          <w:tab w:val="left" w:pos="5040"/>
          <w:tab w:val="center" w:pos="7200"/>
        </w:tabs>
        <w:overflowPunct w:val="0"/>
        <w:autoSpaceDE w:val="0"/>
        <w:autoSpaceDN w:val="0"/>
        <w:adjustRightInd w:val="0"/>
        <w:spacing w:after="120"/>
        <w:ind w:left="4320"/>
        <w:rPr>
          <w:rFonts w:eastAsia="Calibri" w:cs="Arial"/>
          <w:b/>
          <w:smallCaps/>
        </w:rPr>
      </w:pPr>
    </w:p>
    <w:p w:rsidR="00713CF6" w:rsidRPr="00713CF6" w:rsidRDefault="00713CF6" w:rsidP="00713CF6">
      <w:pPr>
        <w:spacing w:after="120"/>
        <w:ind w:left="4320" w:hanging="4320"/>
        <w:rPr>
          <w:rFonts w:eastAsia="Calibri" w:cs="Arial"/>
          <w:b/>
        </w:rPr>
      </w:pPr>
      <w:r w:rsidRPr="00713CF6">
        <w:rPr>
          <w:rFonts w:eastAsia="Calibri" w:cs="Arial"/>
          <w:b/>
        </w:rPr>
        <w:t xml:space="preserve">May </w:t>
      </w:r>
      <w:r w:rsidR="004438D2">
        <w:rPr>
          <w:rFonts w:eastAsia="Calibri" w:cs="Arial"/>
          <w:b/>
        </w:rPr>
        <w:t>14</w:t>
      </w:r>
      <w:r w:rsidRPr="00713CF6">
        <w:rPr>
          <w:rFonts w:eastAsia="Calibri" w:cs="Arial"/>
          <w:b/>
        </w:rPr>
        <w:t>, 2015</w:t>
      </w:r>
      <w:r w:rsidRPr="00713CF6">
        <w:rPr>
          <w:rFonts w:eastAsia="Calibri" w:cs="Arial"/>
          <w:b/>
        </w:rPr>
        <w:tab/>
        <w:t>Attorneys for Industrial Energy Users-Ohio</w:t>
      </w:r>
    </w:p>
    <w:p w:rsidR="00713CF6" w:rsidRDefault="00713CF6" w:rsidP="00713CF6">
      <w:pPr>
        <w:spacing w:after="120"/>
        <w:ind w:left="4320" w:hanging="4320"/>
        <w:rPr>
          <w:rFonts w:eastAsia="Calibri" w:cs="Arial"/>
          <w:b/>
        </w:rPr>
      </w:pPr>
    </w:p>
    <w:p w:rsidR="0082037F" w:rsidRPr="00713CF6" w:rsidRDefault="0082037F" w:rsidP="00713CF6">
      <w:pPr>
        <w:spacing w:after="120"/>
        <w:ind w:left="4320" w:hanging="4320"/>
        <w:rPr>
          <w:rFonts w:eastAsia="Calibri" w:cs="Arial"/>
          <w:b/>
        </w:rPr>
        <w:sectPr w:rsidR="0082037F" w:rsidRPr="00713CF6" w:rsidSect="00713CF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fmt="lowerRoman" w:start="1"/>
          <w:cols w:space="720"/>
          <w:docGrid w:linePitch="326"/>
        </w:sectPr>
      </w:pPr>
    </w:p>
    <w:p w:rsidR="0082037F" w:rsidRPr="00BF4828" w:rsidRDefault="0082037F" w:rsidP="0082037F">
      <w:pPr>
        <w:pStyle w:val="TOCHeading"/>
        <w:rPr>
          <w:color w:val="auto"/>
          <w:sz w:val="28"/>
          <w:szCs w:val="28"/>
        </w:rPr>
      </w:pPr>
      <w:bookmarkStart w:id="2" w:name="TOCHeading"/>
      <w:r w:rsidRPr="00BF4828">
        <w:rPr>
          <w:color w:val="auto"/>
          <w:sz w:val="28"/>
          <w:szCs w:val="28"/>
        </w:rPr>
        <w:lastRenderedPageBreak/>
        <w:t>TABLE OF CONTENTS</w:t>
      </w:r>
    </w:p>
    <w:p w:rsidR="0082037F" w:rsidRDefault="0082037F" w:rsidP="0082037F">
      <w:pPr>
        <w:pStyle w:val="TOCPage"/>
      </w:pPr>
      <w:bookmarkStart w:id="3" w:name="TOCPage"/>
      <w:bookmarkEnd w:id="2"/>
      <w:r>
        <w:t>Page</w:t>
      </w:r>
    </w:p>
    <w:bookmarkEnd w:id="3"/>
    <w:p w:rsidR="005B2245" w:rsidRDefault="005B2245" w:rsidP="005B2245">
      <w:pPr>
        <w:pStyle w:val="TOC1"/>
        <w:tabs>
          <w:tab w:val="clear" w:pos="9350"/>
          <w:tab w:val="right" w:leader="dot" w:pos="9360"/>
        </w:tabs>
        <w:ind w:right="720"/>
        <w:rPr>
          <w:rFonts w:asciiTheme="minorHAnsi" w:eastAsiaTheme="minorEastAsia" w:hAnsiTheme="minorHAnsi"/>
          <w:noProof/>
          <w:sz w:val="22"/>
          <w:szCs w:val="22"/>
        </w:rPr>
      </w:pPr>
      <w:r>
        <w:fldChar w:fldCharType="begin"/>
      </w:r>
      <w:r>
        <w:instrText xml:space="preserve"> TOC \o 1-3 \u \h \z </w:instrText>
      </w:r>
      <w:r>
        <w:fldChar w:fldCharType="separate"/>
      </w:r>
      <w:bookmarkStart w:id="4" w:name="TOCLocation"/>
      <w:r w:rsidRPr="003669A2">
        <w:rPr>
          <w:rStyle w:val="Hyperlink"/>
          <w:noProof/>
        </w:rPr>
        <w:fldChar w:fldCharType="begin"/>
      </w:r>
      <w:r w:rsidRPr="003669A2">
        <w:rPr>
          <w:rStyle w:val="Hyperlink"/>
          <w:noProof/>
        </w:rPr>
        <w:instrText xml:space="preserve"> </w:instrText>
      </w:r>
      <w:r>
        <w:rPr>
          <w:noProof/>
        </w:rPr>
        <w:instrText>HYPERLINK \l "_Toc419360150"</w:instrText>
      </w:r>
      <w:r w:rsidRPr="003669A2">
        <w:rPr>
          <w:rStyle w:val="Hyperlink"/>
          <w:noProof/>
        </w:rPr>
        <w:instrText xml:space="preserve"> </w:instrText>
      </w:r>
      <w:r w:rsidRPr="003669A2">
        <w:rPr>
          <w:rStyle w:val="Hyperlink"/>
          <w:noProof/>
        </w:rPr>
      </w:r>
      <w:r w:rsidRPr="003669A2">
        <w:rPr>
          <w:rStyle w:val="Hyperlink"/>
          <w:noProof/>
        </w:rPr>
        <w:fldChar w:fldCharType="separate"/>
      </w:r>
      <w:r w:rsidRPr="003669A2">
        <w:rPr>
          <w:rStyle w:val="Hyperlink"/>
          <w:rFonts w:eastAsia="Calibri"/>
          <w:noProof/>
        </w:rPr>
        <w:t>I.</w:t>
      </w:r>
      <w:r>
        <w:rPr>
          <w:rFonts w:asciiTheme="minorHAnsi" w:eastAsiaTheme="minorEastAsia" w:hAnsiTheme="minorHAnsi"/>
          <w:noProof/>
          <w:sz w:val="22"/>
          <w:szCs w:val="22"/>
        </w:rPr>
        <w:tab/>
      </w:r>
      <w:r w:rsidRPr="005B2245">
        <w:rPr>
          <w:rStyle w:val="Hyperlink"/>
          <w:rFonts w:eastAsia="Calibri"/>
          <w:caps/>
          <w:noProof/>
        </w:rPr>
        <w:t>Introduction</w:t>
      </w:r>
      <w:r>
        <w:rPr>
          <w:noProof/>
          <w:webHidden/>
        </w:rPr>
        <w:tab/>
      </w:r>
      <w:r>
        <w:rPr>
          <w:noProof/>
          <w:webHidden/>
        </w:rPr>
        <w:fldChar w:fldCharType="begin"/>
      </w:r>
      <w:r>
        <w:rPr>
          <w:noProof/>
          <w:webHidden/>
        </w:rPr>
        <w:instrText xml:space="preserve"> PAGEREF _Toc419360150 \h </w:instrText>
      </w:r>
      <w:r>
        <w:rPr>
          <w:noProof/>
          <w:webHidden/>
        </w:rPr>
      </w:r>
      <w:r>
        <w:rPr>
          <w:noProof/>
          <w:webHidden/>
        </w:rPr>
        <w:fldChar w:fldCharType="separate"/>
      </w:r>
      <w:r>
        <w:rPr>
          <w:noProof/>
          <w:webHidden/>
        </w:rPr>
        <w:t>1</w:t>
      </w:r>
      <w:r>
        <w:rPr>
          <w:noProof/>
          <w:webHidden/>
        </w:rPr>
        <w:fldChar w:fldCharType="end"/>
      </w:r>
      <w:r w:rsidRPr="003669A2">
        <w:rPr>
          <w:rStyle w:val="Hyperlink"/>
          <w:noProof/>
        </w:rPr>
        <w:fldChar w:fldCharType="end"/>
      </w:r>
    </w:p>
    <w:p w:rsidR="005B2245" w:rsidRDefault="005B2245" w:rsidP="005B2245">
      <w:pPr>
        <w:pStyle w:val="TOC1"/>
        <w:tabs>
          <w:tab w:val="clear" w:pos="9350"/>
          <w:tab w:val="right" w:leader="dot" w:pos="9360"/>
        </w:tabs>
        <w:ind w:right="720"/>
        <w:rPr>
          <w:rFonts w:asciiTheme="minorHAnsi" w:eastAsiaTheme="minorEastAsia" w:hAnsiTheme="minorHAnsi"/>
          <w:noProof/>
          <w:sz w:val="22"/>
          <w:szCs w:val="22"/>
        </w:rPr>
      </w:pPr>
      <w:hyperlink w:anchor="_Toc419360151" w:history="1">
        <w:r w:rsidRPr="003669A2">
          <w:rPr>
            <w:rStyle w:val="Hyperlink"/>
            <w:noProof/>
          </w:rPr>
          <w:t>II.</w:t>
        </w:r>
        <w:r>
          <w:rPr>
            <w:rFonts w:asciiTheme="minorHAnsi" w:eastAsiaTheme="minorEastAsia" w:hAnsiTheme="minorHAnsi"/>
            <w:noProof/>
            <w:sz w:val="22"/>
            <w:szCs w:val="22"/>
          </w:rPr>
          <w:tab/>
        </w:r>
        <w:r w:rsidRPr="005B2245">
          <w:rPr>
            <w:rStyle w:val="Hyperlink"/>
            <w:caps/>
            <w:noProof/>
          </w:rPr>
          <w:t>Duke fails to state grounds for rehearing of the Commission’s refusal to authorize recovery of the above-market generation-related wholesale costs of OVEC</w:t>
        </w:r>
        <w:r>
          <w:rPr>
            <w:noProof/>
            <w:webHidden/>
          </w:rPr>
          <w:tab/>
        </w:r>
        <w:r>
          <w:rPr>
            <w:noProof/>
            <w:webHidden/>
          </w:rPr>
          <w:fldChar w:fldCharType="begin"/>
        </w:r>
        <w:r>
          <w:rPr>
            <w:noProof/>
            <w:webHidden/>
          </w:rPr>
          <w:instrText xml:space="preserve"> PAGEREF _Toc419360151 \h </w:instrText>
        </w:r>
        <w:r>
          <w:rPr>
            <w:noProof/>
            <w:webHidden/>
          </w:rPr>
        </w:r>
        <w:r>
          <w:rPr>
            <w:noProof/>
            <w:webHidden/>
          </w:rPr>
          <w:fldChar w:fldCharType="separate"/>
        </w:r>
        <w:r>
          <w:rPr>
            <w:noProof/>
            <w:webHidden/>
          </w:rPr>
          <w:t>2</w:t>
        </w:r>
        <w:r>
          <w:rPr>
            <w:noProof/>
            <w:webHidden/>
          </w:rPr>
          <w:fldChar w:fldCharType="end"/>
        </w:r>
      </w:hyperlink>
    </w:p>
    <w:p w:rsidR="005B2245" w:rsidRDefault="005B2245" w:rsidP="005B2245">
      <w:pPr>
        <w:pStyle w:val="TOC2"/>
        <w:tabs>
          <w:tab w:val="clear" w:pos="9350"/>
          <w:tab w:val="right" w:leader="dot" w:pos="9360"/>
        </w:tabs>
        <w:rPr>
          <w:rFonts w:asciiTheme="minorHAnsi" w:eastAsiaTheme="minorEastAsia" w:hAnsiTheme="minorHAnsi"/>
          <w:noProof/>
          <w:sz w:val="22"/>
          <w:szCs w:val="22"/>
        </w:rPr>
      </w:pPr>
      <w:hyperlink w:anchor="_Toc419360152" w:history="1">
        <w:r w:rsidRPr="003669A2">
          <w:rPr>
            <w:rStyle w:val="Hyperlink"/>
            <w:noProof/>
          </w:rPr>
          <w:t>A.</w:t>
        </w:r>
        <w:r>
          <w:rPr>
            <w:rFonts w:asciiTheme="minorHAnsi" w:eastAsiaTheme="minorEastAsia" w:hAnsiTheme="minorHAnsi"/>
            <w:noProof/>
            <w:sz w:val="22"/>
            <w:szCs w:val="22"/>
          </w:rPr>
          <w:tab/>
        </w:r>
        <w:r w:rsidRPr="003669A2">
          <w:rPr>
            <w:rStyle w:val="Hyperlink"/>
            <w:noProof/>
          </w:rPr>
          <w:t>The PSR cannot be lawfully authorized</w:t>
        </w:r>
        <w:r>
          <w:rPr>
            <w:noProof/>
            <w:webHidden/>
          </w:rPr>
          <w:tab/>
        </w:r>
        <w:r>
          <w:rPr>
            <w:noProof/>
            <w:webHidden/>
          </w:rPr>
          <w:fldChar w:fldCharType="begin"/>
        </w:r>
        <w:r>
          <w:rPr>
            <w:noProof/>
            <w:webHidden/>
          </w:rPr>
          <w:instrText xml:space="preserve"> PAGEREF _Toc419360152 \h </w:instrText>
        </w:r>
        <w:r>
          <w:rPr>
            <w:noProof/>
            <w:webHidden/>
          </w:rPr>
        </w:r>
        <w:r>
          <w:rPr>
            <w:noProof/>
            <w:webHidden/>
          </w:rPr>
          <w:fldChar w:fldCharType="separate"/>
        </w:r>
        <w:r>
          <w:rPr>
            <w:noProof/>
            <w:webHidden/>
          </w:rPr>
          <w:t>2</w:t>
        </w:r>
        <w:r>
          <w:rPr>
            <w:noProof/>
            <w:webHidden/>
          </w:rPr>
          <w:fldChar w:fldCharType="end"/>
        </w:r>
      </w:hyperlink>
    </w:p>
    <w:p w:rsidR="005B2245" w:rsidRDefault="005B2245" w:rsidP="005B2245">
      <w:pPr>
        <w:pStyle w:val="TOC2"/>
        <w:tabs>
          <w:tab w:val="clear" w:pos="9350"/>
          <w:tab w:val="right" w:leader="dot" w:pos="9360"/>
        </w:tabs>
        <w:rPr>
          <w:rFonts w:asciiTheme="minorHAnsi" w:eastAsiaTheme="minorEastAsia" w:hAnsiTheme="minorHAnsi"/>
          <w:noProof/>
          <w:sz w:val="22"/>
          <w:szCs w:val="22"/>
        </w:rPr>
      </w:pPr>
      <w:hyperlink w:anchor="_Toc419360153" w:history="1">
        <w:r w:rsidRPr="003669A2">
          <w:rPr>
            <w:rStyle w:val="Hyperlink"/>
            <w:noProof/>
          </w:rPr>
          <w:t>B.</w:t>
        </w:r>
        <w:r>
          <w:rPr>
            <w:rFonts w:asciiTheme="minorHAnsi" w:eastAsiaTheme="minorEastAsia" w:hAnsiTheme="minorHAnsi"/>
            <w:noProof/>
            <w:sz w:val="22"/>
            <w:szCs w:val="22"/>
          </w:rPr>
          <w:tab/>
        </w:r>
        <w:r w:rsidRPr="003669A2">
          <w:rPr>
            <w:rStyle w:val="Hyperlink"/>
            <w:noProof/>
          </w:rPr>
          <w:t>Duke’s attempt to relitigate the Commission’s findings do not provide grounds for rehearing</w:t>
        </w:r>
        <w:r>
          <w:rPr>
            <w:noProof/>
            <w:webHidden/>
          </w:rPr>
          <w:tab/>
        </w:r>
        <w:r>
          <w:rPr>
            <w:noProof/>
            <w:webHidden/>
          </w:rPr>
          <w:fldChar w:fldCharType="begin"/>
        </w:r>
        <w:r>
          <w:rPr>
            <w:noProof/>
            <w:webHidden/>
          </w:rPr>
          <w:instrText xml:space="preserve"> PAGEREF _Toc419360153 \h </w:instrText>
        </w:r>
        <w:r>
          <w:rPr>
            <w:noProof/>
            <w:webHidden/>
          </w:rPr>
        </w:r>
        <w:r>
          <w:rPr>
            <w:noProof/>
            <w:webHidden/>
          </w:rPr>
          <w:fldChar w:fldCharType="separate"/>
        </w:r>
        <w:r>
          <w:rPr>
            <w:noProof/>
            <w:webHidden/>
          </w:rPr>
          <w:t>4</w:t>
        </w:r>
        <w:r>
          <w:rPr>
            <w:noProof/>
            <w:webHidden/>
          </w:rPr>
          <w:fldChar w:fldCharType="end"/>
        </w:r>
      </w:hyperlink>
    </w:p>
    <w:p w:rsidR="005B2245" w:rsidRDefault="005B2245" w:rsidP="005B2245">
      <w:pPr>
        <w:pStyle w:val="TOC3"/>
        <w:tabs>
          <w:tab w:val="clear" w:pos="9350"/>
          <w:tab w:val="left" w:pos="2160"/>
          <w:tab w:val="right" w:leader="dot" w:pos="9360"/>
        </w:tabs>
        <w:rPr>
          <w:rFonts w:asciiTheme="minorHAnsi" w:eastAsiaTheme="minorEastAsia" w:hAnsiTheme="minorHAnsi"/>
          <w:noProof/>
          <w:sz w:val="22"/>
          <w:szCs w:val="22"/>
        </w:rPr>
      </w:pPr>
      <w:hyperlink w:anchor="_Toc419360154" w:history="1">
        <w:r w:rsidRPr="003669A2">
          <w:rPr>
            <w:rStyle w:val="Hyperlink"/>
            <w:noProof/>
          </w:rPr>
          <w:t>1.</w:t>
        </w:r>
        <w:r>
          <w:rPr>
            <w:rFonts w:asciiTheme="minorHAnsi" w:eastAsiaTheme="minorEastAsia" w:hAnsiTheme="minorHAnsi"/>
            <w:noProof/>
            <w:sz w:val="22"/>
            <w:szCs w:val="22"/>
          </w:rPr>
          <w:tab/>
        </w:r>
        <w:r w:rsidRPr="003669A2">
          <w:rPr>
            <w:rStyle w:val="Hyperlink"/>
            <w:noProof/>
          </w:rPr>
          <w:t>The Commission correctly determined the PSR could not be authorized under R.C. 4928.143(B)(2)(d) based on the record in this case</w:t>
        </w:r>
        <w:r>
          <w:rPr>
            <w:noProof/>
            <w:webHidden/>
          </w:rPr>
          <w:tab/>
        </w:r>
        <w:r>
          <w:rPr>
            <w:noProof/>
            <w:webHidden/>
          </w:rPr>
          <w:fldChar w:fldCharType="begin"/>
        </w:r>
        <w:r>
          <w:rPr>
            <w:noProof/>
            <w:webHidden/>
          </w:rPr>
          <w:instrText xml:space="preserve"> PAGEREF _Toc419360154 \h </w:instrText>
        </w:r>
        <w:r>
          <w:rPr>
            <w:noProof/>
            <w:webHidden/>
          </w:rPr>
        </w:r>
        <w:r>
          <w:rPr>
            <w:noProof/>
            <w:webHidden/>
          </w:rPr>
          <w:fldChar w:fldCharType="separate"/>
        </w:r>
        <w:r>
          <w:rPr>
            <w:noProof/>
            <w:webHidden/>
          </w:rPr>
          <w:t>5</w:t>
        </w:r>
        <w:r>
          <w:rPr>
            <w:noProof/>
            <w:webHidden/>
          </w:rPr>
          <w:fldChar w:fldCharType="end"/>
        </w:r>
      </w:hyperlink>
    </w:p>
    <w:p w:rsidR="005B2245" w:rsidRDefault="005B2245" w:rsidP="005B2245">
      <w:pPr>
        <w:pStyle w:val="TOC3"/>
        <w:tabs>
          <w:tab w:val="clear" w:pos="9350"/>
          <w:tab w:val="left" w:pos="2160"/>
          <w:tab w:val="right" w:leader="dot" w:pos="9360"/>
        </w:tabs>
        <w:rPr>
          <w:rFonts w:asciiTheme="minorHAnsi" w:eastAsiaTheme="minorEastAsia" w:hAnsiTheme="minorHAnsi"/>
          <w:noProof/>
          <w:sz w:val="22"/>
          <w:szCs w:val="22"/>
        </w:rPr>
      </w:pPr>
      <w:hyperlink w:anchor="_Toc419360155" w:history="1">
        <w:r w:rsidRPr="003669A2">
          <w:rPr>
            <w:rStyle w:val="Hyperlink"/>
            <w:noProof/>
          </w:rPr>
          <w:t>2.</w:t>
        </w:r>
        <w:r>
          <w:rPr>
            <w:rFonts w:asciiTheme="minorHAnsi" w:eastAsiaTheme="minorEastAsia" w:hAnsiTheme="minorHAnsi"/>
            <w:noProof/>
            <w:sz w:val="22"/>
            <w:szCs w:val="22"/>
          </w:rPr>
          <w:tab/>
        </w:r>
        <w:r w:rsidRPr="003669A2">
          <w:rPr>
            <w:rStyle w:val="Hyperlink"/>
            <w:noProof/>
          </w:rPr>
          <w:t>Duke mischaracterizes the PSR as a “hedge” customers may exercise to reduce retail price changes</w:t>
        </w:r>
        <w:r>
          <w:rPr>
            <w:noProof/>
            <w:webHidden/>
          </w:rPr>
          <w:tab/>
        </w:r>
        <w:r>
          <w:rPr>
            <w:noProof/>
            <w:webHidden/>
          </w:rPr>
          <w:fldChar w:fldCharType="begin"/>
        </w:r>
        <w:r>
          <w:rPr>
            <w:noProof/>
            <w:webHidden/>
          </w:rPr>
          <w:instrText xml:space="preserve"> PAGEREF _Toc419360155 \h </w:instrText>
        </w:r>
        <w:r>
          <w:rPr>
            <w:noProof/>
            <w:webHidden/>
          </w:rPr>
        </w:r>
        <w:r>
          <w:rPr>
            <w:noProof/>
            <w:webHidden/>
          </w:rPr>
          <w:fldChar w:fldCharType="separate"/>
        </w:r>
        <w:r>
          <w:rPr>
            <w:noProof/>
            <w:webHidden/>
          </w:rPr>
          <w:t>7</w:t>
        </w:r>
        <w:r>
          <w:rPr>
            <w:noProof/>
            <w:webHidden/>
          </w:rPr>
          <w:fldChar w:fldCharType="end"/>
        </w:r>
      </w:hyperlink>
    </w:p>
    <w:p w:rsidR="005B2245" w:rsidRDefault="005B2245" w:rsidP="005B2245">
      <w:pPr>
        <w:pStyle w:val="TOC1"/>
        <w:tabs>
          <w:tab w:val="clear" w:pos="9350"/>
          <w:tab w:val="right" w:leader="dot" w:pos="9360"/>
        </w:tabs>
        <w:ind w:right="720"/>
        <w:rPr>
          <w:rFonts w:asciiTheme="minorHAnsi" w:eastAsiaTheme="minorEastAsia" w:hAnsiTheme="minorHAnsi"/>
          <w:noProof/>
          <w:sz w:val="22"/>
          <w:szCs w:val="22"/>
        </w:rPr>
      </w:pPr>
      <w:hyperlink w:anchor="_Toc419360156" w:history="1">
        <w:r w:rsidRPr="003669A2">
          <w:rPr>
            <w:rStyle w:val="Hyperlink"/>
            <w:noProof/>
          </w:rPr>
          <w:t>III.</w:t>
        </w:r>
        <w:r>
          <w:rPr>
            <w:rFonts w:asciiTheme="minorHAnsi" w:eastAsiaTheme="minorEastAsia" w:hAnsiTheme="minorHAnsi"/>
            <w:noProof/>
            <w:sz w:val="22"/>
            <w:szCs w:val="22"/>
          </w:rPr>
          <w:tab/>
        </w:r>
        <w:r w:rsidRPr="005B2245">
          <w:rPr>
            <w:rStyle w:val="Hyperlink"/>
            <w:caps/>
            <w:noProof/>
          </w:rPr>
          <w:t>Conclusion</w:t>
        </w:r>
        <w:r>
          <w:rPr>
            <w:noProof/>
            <w:webHidden/>
          </w:rPr>
          <w:tab/>
        </w:r>
        <w:r>
          <w:rPr>
            <w:noProof/>
            <w:webHidden/>
          </w:rPr>
          <w:fldChar w:fldCharType="begin"/>
        </w:r>
        <w:r>
          <w:rPr>
            <w:noProof/>
            <w:webHidden/>
          </w:rPr>
          <w:instrText xml:space="preserve"> PAGEREF _Toc419360156 \h </w:instrText>
        </w:r>
        <w:r>
          <w:rPr>
            <w:noProof/>
            <w:webHidden/>
          </w:rPr>
        </w:r>
        <w:r>
          <w:rPr>
            <w:noProof/>
            <w:webHidden/>
          </w:rPr>
          <w:fldChar w:fldCharType="separate"/>
        </w:r>
        <w:r>
          <w:rPr>
            <w:noProof/>
            <w:webHidden/>
          </w:rPr>
          <w:t>10</w:t>
        </w:r>
        <w:r>
          <w:rPr>
            <w:noProof/>
            <w:webHidden/>
          </w:rPr>
          <w:fldChar w:fldCharType="end"/>
        </w:r>
      </w:hyperlink>
    </w:p>
    <w:bookmarkEnd w:id="4"/>
    <w:p w:rsidR="005B2245" w:rsidRDefault="005B2245" w:rsidP="005B2245">
      <w:r>
        <w:fldChar w:fldCharType="end"/>
      </w:r>
    </w:p>
    <w:p w:rsidR="005B2245" w:rsidRDefault="005B2245" w:rsidP="005B2245"/>
    <w:p w:rsidR="0082037F" w:rsidRDefault="0082037F" w:rsidP="0082037F">
      <w:pPr>
        <w:tabs>
          <w:tab w:val="right" w:leader="dot" w:pos="9360"/>
        </w:tabs>
        <w:ind w:right="720"/>
        <w:sectPr w:rsidR="0082037F" w:rsidSect="0082037F">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NumType w:fmt="lowerRoman" w:start="1"/>
          <w:cols w:space="720"/>
          <w:titlePg/>
          <w:docGrid w:linePitch="360"/>
        </w:sectPr>
      </w:pPr>
      <w:bookmarkStart w:id="5" w:name="_GoBack"/>
      <w:bookmarkEnd w:id="5"/>
    </w:p>
    <w:p w:rsidR="00713CF6" w:rsidRPr="00713CF6" w:rsidRDefault="00713CF6" w:rsidP="00BF4828">
      <w:pPr>
        <w:jc w:val="center"/>
        <w:rPr>
          <w:rFonts w:eastAsia="Times New Roman" w:cs="Arial"/>
          <w:b/>
          <w:smallCaps/>
          <w:sz w:val="28"/>
        </w:rPr>
      </w:pPr>
      <w:r w:rsidRPr="00713CF6">
        <w:rPr>
          <w:rFonts w:eastAsia="Times New Roman" w:cs="Arial"/>
          <w:b/>
          <w:smallCaps/>
          <w:sz w:val="28"/>
        </w:rPr>
        <w:lastRenderedPageBreak/>
        <w:t>Before</w:t>
      </w:r>
    </w:p>
    <w:p w:rsidR="00713CF6" w:rsidRPr="00713CF6" w:rsidRDefault="00713CF6" w:rsidP="00713CF6">
      <w:pPr>
        <w:spacing w:after="120"/>
        <w:jc w:val="center"/>
        <w:rPr>
          <w:rFonts w:eastAsia="Times New Roman" w:cs="Arial"/>
          <w:b/>
          <w:smallCaps/>
          <w:sz w:val="28"/>
        </w:rPr>
      </w:pPr>
      <w:r w:rsidRPr="00713CF6">
        <w:rPr>
          <w:rFonts w:eastAsia="Times New Roman" w:cs="Arial"/>
          <w:b/>
          <w:smallCaps/>
          <w:sz w:val="28"/>
        </w:rPr>
        <w:t>The Public Utilities Commission of Ohio</w:t>
      </w:r>
    </w:p>
    <w:p w:rsidR="00713CF6" w:rsidRPr="00713CF6" w:rsidRDefault="00713CF6" w:rsidP="00713CF6">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9438BD" w:rsidRPr="009438BD" w:rsidTr="00CA2AA8">
        <w:trPr>
          <w:jc w:val="center"/>
        </w:trPr>
        <w:tc>
          <w:tcPr>
            <w:tcW w:w="3990" w:type="dxa"/>
          </w:tcPr>
          <w:p w:rsidR="009438BD" w:rsidRPr="009438BD" w:rsidRDefault="009438BD" w:rsidP="009438BD">
            <w:pPr>
              <w:jc w:val="left"/>
              <w:rPr>
                <w:rFonts w:eastAsia="Times New Roman" w:cs="Arial"/>
              </w:rPr>
            </w:pPr>
            <w:r w:rsidRPr="009438BD">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9438BD" w:rsidRPr="009438BD" w:rsidRDefault="009438BD" w:rsidP="009438BD">
            <w:pPr>
              <w:jc w:val="left"/>
              <w:rPr>
                <w:rFonts w:eastAsia="Times New Roman" w:cs="Arial"/>
              </w:rPr>
            </w:pPr>
          </w:p>
        </w:tc>
        <w:tc>
          <w:tcPr>
            <w:tcW w:w="360" w:type="dxa"/>
          </w:tcPr>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tc>
        <w:tc>
          <w:tcPr>
            <w:tcW w:w="3990" w:type="dxa"/>
          </w:tcPr>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Case No. 14-841-EL-SSO</w:t>
            </w:r>
          </w:p>
        </w:tc>
      </w:tr>
      <w:tr w:rsidR="009438BD" w:rsidRPr="009438BD" w:rsidTr="00CA2AA8">
        <w:trPr>
          <w:jc w:val="center"/>
        </w:trPr>
        <w:tc>
          <w:tcPr>
            <w:tcW w:w="3990" w:type="dxa"/>
          </w:tcPr>
          <w:p w:rsidR="009438BD" w:rsidRPr="009438BD" w:rsidRDefault="009438BD" w:rsidP="009438BD">
            <w:pPr>
              <w:jc w:val="left"/>
              <w:rPr>
                <w:rFonts w:eastAsia="Times New Roman" w:cs="Arial"/>
              </w:rPr>
            </w:pPr>
            <w:r w:rsidRPr="009438BD">
              <w:rPr>
                <w:rFonts w:eastAsia="Times New Roman" w:cs="Arial"/>
              </w:rPr>
              <w:t>In the Matter of the Application of Duke Energy Ohio for Authority to Amend its Certified Supplier Tariff, P.U.C.O. No. 20.</w:t>
            </w:r>
          </w:p>
        </w:tc>
        <w:tc>
          <w:tcPr>
            <w:tcW w:w="360" w:type="dxa"/>
          </w:tcPr>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tc>
        <w:tc>
          <w:tcPr>
            <w:tcW w:w="3990" w:type="dxa"/>
          </w:tcPr>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Case No. 14-842-EL-ATA</w:t>
            </w:r>
          </w:p>
        </w:tc>
      </w:tr>
    </w:tbl>
    <w:p w:rsidR="00713CF6" w:rsidRPr="00713CF6" w:rsidRDefault="00713CF6" w:rsidP="00713CF6">
      <w:pPr>
        <w:tabs>
          <w:tab w:val="left" w:pos="5040"/>
        </w:tabs>
        <w:rPr>
          <w:rFonts w:eastAsia="Times New Roman" w:cs="Arial"/>
        </w:rPr>
      </w:pPr>
    </w:p>
    <w:p w:rsidR="00713CF6" w:rsidRPr="00713CF6" w:rsidRDefault="00713CF6" w:rsidP="00713CF6">
      <w:pPr>
        <w:tabs>
          <w:tab w:val="left" w:pos="5040"/>
        </w:tabs>
        <w:rPr>
          <w:rFonts w:eastAsia="Times New Roman" w:cs="Arial"/>
          <w:b/>
        </w:rPr>
      </w:pPr>
      <w:r w:rsidRPr="00713CF6">
        <w:rPr>
          <w:rFonts w:eastAsia="Times New Roman" w:cs="Arial"/>
          <w:b/>
        </w:rPr>
        <w:t>______________________________________________________________________</w:t>
      </w:r>
    </w:p>
    <w:p w:rsidR="00713CF6" w:rsidRPr="00713CF6" w:rsidRDefault="00713CF6" w:rsidP="00713CF6">
      <w:pPr>
        <w:tabs>
          <w:tab w:val="left" w:pos="5040"/>
        </w:tabs>
        <w:rPr>
          <w:rFonts w:eastAsia="Times New Roman" w:cs="Arial"/>
          <w:b/>
        </w:rPr>
      </w:pPr>
    </w:p>
    <w:p w:rsidR="00713CF6" w:rsidRPr="00105921" w:rsidRDefault="00713CF6" w:rsidP="00713CF6">
      <w:pPr>
        <w:jc w:val="center"/>
        <w:rPr>
          <w:rFonts w:eastAsia="Calibri" w:cs="Arial"/>
          <w:b/>
          <w:caps/>
        </w:rPr>
      </w:pPr>
      <w:r w:rsidRPr="00105921">
        <w:rPr>
          <w:rFonts w:eastAsia="Calibri" w:cs="Arial"/>
          <w:b/>
          <w:caps/>
        </w:rPr>
        <w:t xml:space="preserve">Memorandum of Industrial Energy Users-Ohio in Opposition to the </w:t>
      </w:r>
      <w:r w:rsidR="00A41CF7" w:rsidRPr="00105921">
        <w:rPr>
          <w:rFonts w:eastAsia="Calibri" w:cs="Arial"/>
          <w:b/>
          <w:caps/>
        </w:rPr>
        <w:t xml:space="preserve">Application for </w:t>
      </w:r>
      <w:r w:rsidRPr="00105921">
        <w:rPr>
          <w:rFonts w:eastAsia="Calibri" w:cs="Arial"/>
          <w:b/>
          <w:caps/>
        </w:rPr>
        <w:t>Rehearing of Duke Energy Ohio, Inc.</w:t>
      </w:r>
    </w:p>
    <w:p w:rsidR="00713CF6" w:rsidRPr="00713CF6" w:rsidRDefault="00713CF6" w:rsidP="00713CF6">
      <w:pPr>
        <w:jc w:val="center"/>
        <w:rPr>
          <w:rFonts w:eastAsia="Calibri" w:cs="Arial"/>
          <w:b/>
          <w:caps/>
        </w:rPr>
      </w:pPr>
      <w:r w:rsidRPr="00713CF6">
        <w:rPr>
          <w:rFonts w:eastAsia="Calibri" w:cs="Arial"/>
          <w:b/>
          <w:caps/>
        </w:rPr>
        <w:t>______________________________________________________________________</w:t>
      </w:r>
    </w:p>
    <w:p w:rsidR="00713CF6" w:rsidRDefault="00713CF6" w:rsidP="00105921">
      <w:pPr>
        <w:spacing w:after="240"/>
        <w:rPr>
          <w:rFonts w:eastAsia="Calibri" w:cs="Arial"/>
          <w:b/>
          <w:bCs/>
          <w:caps/>
          <w:szCs w:val="28"/>
          <w:u w:val="single"/>
        </w:rPr>
      </w:pPr>
    </w:p>
    <w:p w:rsidR="00585921" w:rsidRDefault="00585921" w:rsidP="00297B27">
      <w:pPr>
        <w:pStyle w:val="Heading1"/>
        <w:rPr>
          <w:rFonts w:eastAsia="Calibri"/>
        </w:rPr>
      </w:pPr>
      <w:bookmarkStart w:id="6" w:name="_Toc419102901"/>
      <w:bookmarkStart w:id="7" w:name="_Toc419289610"/>
      <w:bookmarkStart w:id="8" w:name="_Toc419358122"/>
      <w:bookmarkStart w:id="9" w:name="_Toc419360150"/>
      <w:r>
        <w:rPr>
          <w:rFonts w:eastAsia="Calibri"/>
        </w:rPr>
        <w:t>Introduction</w:t>
      </w:r>
      <w:bookmarkEnd w:id="6"/>
      <w:bookmarkEnd w:id="7"/>
      <w:bookmarkEnd w:id="8"/>
      <w:bookmarkEnd w:id="9"/>
    </w:p>
    <w:p w:rsidR="006C612F" w:rsidRDefault="006C612F" w:rsidP="00BF4828">
      <w:pPr>
        <w:spacing w:line="480" w:lineRule="auto"/>
        <w:ind w:firstLine="720"/>
      </w:pPr>
      <w:r>
        <w:t>In its application for an Electric Security Plan (“ESP”), Duke Energy Ohio, Inc. (“Duke”) sought authorization of the Power Stabilization Rider (“PSR”) that would assure that Duke recovers the difference between the costs it is contractually required to pay Ohio Valley Electric Corporation (“OVEC”) under a federally-approved wholesale contract and proceeds from the liquidation of the wholesale capacity and energy Duke may receive under that contract through June 30, 2040.</w:t>
      </w:r>
      <w:r>
        <w:rPr>
          <w:rStyle w:val="FootnoteReference"/>
        </w:rPr>
        <w:footnoteReference w:id="1"/>
      </w:r>
      <w:r>
        <w:t xml:space="preserve">  In the Opinion and Order modifying and approving the application for an ESP issued on April 2, 2015 (“ESP Order”), </w:t>
      </w:r>
      <w:r w:rsidRPr="00B917ED">
        <w:rPr>
          <w:rFonts w:eastAsia="Calibri" w:cs="Times New Roman"/>
        </w:rPr>
        <w:t xml:space="preserve">the Public Utilities Commission of Ohio (“Commission”) </w:t>
      </w:r>
      <w:r>
        <w:t xml:space="preserve">concluded that the PSR could be authorized under R.C. 4928.143(B)(2)(d), but refused to allow Duke to bill and </w:t>
      </w:r>
      <w:r>
        <w:lastRenderedPageBreak/>
        <w:t>collect its above-market costs associated with OVEC because Duke failed to demonstrate that the rider would provide “rate stability” or that the “proposal would provide customers with sufficient benefit from the rider’s financial hedging mechanism or any other benefit that is commensurate with the rider’s potential cost.”</w:t>
      </w:r>
      <w:r>
        <w:rPr>
          <w:rStyle w:val="FootnoteReference"/>
        </w:rPr>
        <w:footnoteReference w:id="2"/>
      </w:r>
      <w:r>
        <w:t xml:space="preserve">  </w:t>
      </w:r>
    </w:p>
    <w:p w:rsidR="00B917ED" w:rsidRPr="00B917ED" w:rsidRDefault="006C612F" w:rsidP="00105921">
      <w:pPr>
        <w:spacing w:after="120" w:line="480" w:lineRule="auto"/>
        <w:ind w:firstLine="720"/>
        <w:rPr>
          <w:rFonts w:eastAsia="Calibri" w:cs="Times New Roman"/>
        </w:rPr>
      </w:pPr>
      <w:r>
        <w:t>D</w:t>
      </w:r>
      <w:r w:rsidR="00B917ED">
        <w:rPr>
          <w:rFonts w:eastAsia="Calibri" w:cs="Times New Roman"/>
        </w:rPr>
        <w:t>uke</w:t>
      </w:r>
      <w:r w:rsidR="00B917ED" w:rsidRPr="00B917ED">
        <w:rPr>
          <w:rFonts w:eastAsia="Calibri" w:cs="Times New Roman"/>
        </w:rPr>
        <w:t xml:space="preserve"> filed an application for rehearing of the ESP Order on </w:t>
      </w:r>
      <w:r w:rsidR="00B917ED">
        <w:rPr>
          <w:rFonts w:eastAsia="Calibri" w:cs="Times New Roman"/>
        </w:rPr>
        <w:t>May 4</w:t>
      </w:r>
      <w:r w:rsidR="00B917ED" w:rsidRPr="00B917ED">
        <w:rPr>
          <w:rFonts w:eastAsia="Calibri" w:cs="Times New Roman"/>
        </w:rPr>
        <w:t>, 2015.</w:t>
      </w:r>
      <w:r w:rsidR="00B917ED" w:rsidRPr="00B917ED">
        <w:rPr>
          <w:rFonts w:eastAsia="Calibri" w:cs="Times New Roman"/>
          <w:vertAlign w:val="superscript"/>
        </w:rPr>
        <w:footnoteReference w:id="3"/>
      </w:r>
      <w:r w:rsidR="00B917ED" w:rsidRPr="00B917ED">
        <w:rPr>
          <w:rFonts w:eastAsia="Calibri" w:cs="Times New Roman"/>
        </w:rPr>
        <w:t xml:space="preserve">  In </w:t>
      </w:r>
      <w:r>
        <w:rPr>
          <w:rFonts w:eastAsia="Calibri" w:cs="Times New Roman"/>
        </w:rPr>
        <w:t>its</w:t>
      </w:r>
      <w:r w:rsidR="004052DE">
        <w:rPr>
          <w:rFonts w:eastAsia="Calibri" w:cs="Times New Roman"/>
        </w:rPr>
        <w:t xml:space="preserve"> first two assignments of error</w:t>
      </w:r>
      <w:r w:rsidR="00B917ED" w:rsidRPr="00B917ED">
        <w:rPr>
          <w:rFonts w:eastAsia="Calibri" w:cs="Times New Roman"/>
        </w:rPr>
        <w:t xml:space="preserve">, </w:t>
      </w:r>
      <w:r w:rsidR="00B917ED">
        <w:rPr>
          <w:rFonts w:eastAsia="Calibri" w:cs="Times New Roman"/>
        </w:rPr>
        <w:t>Duke</w:t>
      </w:r>
      <w:r w:rsidR="00B13711">
        <w:rPr>
          <w:rFonts w:eastAsia="Calibri" w:cs="Times New Roman"/>
        </w:rPr>
        <w:t xml:space="preserve"> requested</w:t>
      </w:r>
      <w:r w:rsidR="00B917ED" w:rsidRPr="00B917ED">
        <w:rPr>
          <w:rFonts w:eastAsia="Calibri" w:cs="Times New Roman"/>
        </w:rPr>
        <w:t xml:space="preserve"> that the Commissio</w:t>
      </w:r>
      <w:r w:rsidR="00B917ED">
        <w:rPr>
          <w:rFonts w:eastAsia="Calibri" w:cs="Times New Roman"/>
        </w:rPr>
        <w:t xml:space="preserve">n reverse its order denying </w:t>
      </w:r>
      <w:r>
        <w:rPr>
          <w:rFonts w:eastAsia="Calibri" w:cs="Times New Roman"/>
        </w:rPr>
        <w:t xml:space="preserve">recovery of the above-market costs of OVEC. </w:t>
      </w:r>
      <w:r w:rsidR="00B917ED" w:rsidRPr="00B917ED">
        <w:rPr>
          <w:rFonts w:eastAsia="Calibri" w:cs="Times New Roman"/>
        </w:rPr>
        <w:t xml:space="preserve"> </w:t>
      </w:r>
      <w:r>
        <w:t>The Commission should deny these two assignments of error because Duke incorrectly assumes that the PSR was lawfully authorized and Duke seeks to relitigate factual claims the Commission has resolved correctly</w:t>
      </w:r>
      <w:r w:rsidR="00B917ED" w:rsidRPr="00B917ED">
        <w:rPr>
          <w:rFonts w:eastAsia="Calibri" w:cs="Times New Roman"/>
        </w:rPr>
        <w:t>.</w:t>
      </w:r>
      <w:r w:rsidR="00B917ED" w:rsidRPr="00B917ED">
        <w:rPr>
          <w:rFonts w:eastAsia="Calibri" w:cs="Times New Roman"/>
          <w:vertAlign w:val="superscript"/>
        </w:rPr>
        <w:footnoteReference w:id="4"/>
      </w:r>
    </w:p>
    <w:p w:rsidR="006C612F" w:rsidRDefault="00830E8A" w:rsidP="006C612F">
      <w:pPr>
        <w:pStyle w:val="Heading1"/>
      </w:pPr>
      <w:bookmarkStart w:id="10" w:name="_Toc419358123"/>
      <w:bookmarkStart w:id="11" w:name="_Toc419360151"/>
      <w:r>
        <w:t>Duke fails to state grounds for rehearing of the Commission’s refusal to authorize recovery of the above-market generation-related wholesale costs of OVEC</w:t>
      </w:r>
      <w:bookmarkEnd w:id="10"/>
      <w:bookmarkEnd w:id="11"/>
    </w:p>
    <w:p w:rsidR="00010F8F" w:rsidRDefault="001F5BE4" w:rsidP="00297B27">
      <w:pPr>
        <w:pStyle w:val="Heading2"/>
      </w:pPr>
      <w:bookmarkStart w:id="12" w:name="_Toc419102903"/>
      <w:bookmarkStart w:id="13" w:name="_Toc419289612"/>
      <w:bookmarkStart w:id="14" w:name="_Toc419358124"/>
      <w:bookmarkStart w:id="15" w:name="_Toc419360152"/>
      <w:r>
        <w:t>The</w:t>
      </w:r>
      <w:r w:rsidR="00005F04">
        <w:t xml:space="preserve"> PSR cannot be </w:t>
      </w:r>
      <w:r w:rsidR="004438D2">
        <w:t xml:space="preserve">lawfully </w:t>
      </w:r>
      <w:r w:rsidR="00005F04">
        <w:t>authorized</w:t>
      </w:r>
      <w:bookmarkEnd w:id="12"/>
      <w:bookmarkEnd w:id="13"/>
      <w:bookmarkEnd w:id="14"/>
      <w:bookmarkEnd w:id="15"/>
      <w:r w:rsidR="00005F04">
        <w:t xml:space="preserve"> </w:t>
      </w:r>
    </w:p>
    <w:p w:rsidR="002C7755" w:rsidRDefault="002C7755" w:rsidP="002C7755">
      <w:pPr>
        <w:spacing w:line="480" w:lineRule="auto"/>
        <w:ind w:firstLine="720"/>
      </w:pPr>
      <w:r>
        <w:t>As many parties demonstrated in their applications for rehearing, the Commission erred when it concluded that the Commission could lawfully authorize a rider such as the PSR under R.C. 4928.143(B)(2)(d).</w:t>
      </w:r>
      <w:r>
        <w:rPr>
          <w:rStyle w:val="FootnoteReference"/>
        </w:rPr>
        <w:footnoteReference w:id="5"/>
      </w:r>
      <w:r>
        <w:t xml:space="preserve">  </w:t>
      </w:r>
      <w:r w:rsidR="004438D2">
        <w:t xml:space="preserve">Duke </w:t>
      </w:r>
      <w:r w:rsidR="00AE4EFB">
        <w:t xml:space="preserve">nonetheless </w:t>
      </w:r>
      <w:r>
        <w:t xml:space="preserve">assumes that the Commission acted lawfully when it made that finding that it could authorize the PSR </w:t>
      </w:r>
      <w:r>
        <w:lastRenderedPageBreak/>
        <w:t>as a placeholder rider and bases its first two assignments of error on the Commission’s erroneous finding</w:t>
      </w:r>
      <w:r w:rsidR="004438D2">
        <w:t>.</w:t>
      </w:r>
      <w:r>
        <w:rPr>
          <w:rStyle w:val="FootnoteReference"/>
        </w:rPr>
        <w:footnoteReference w:id="6"/>
      </w:r>
      <w:r w:rsidR="004438D2">
        <w:t xml:space="preserve">  </w:t>
      </w:r>
      <w:r>
        <w:t xml:space="preserve">Because that assumption is incorrect, the Commission should reject </w:t>
      </w:r>
      <w:r w:rsidR="00BB7EB3">
        <w:t>Duke’s</w:t>
      </w:r>
      <w:r>
        <w:t xml:space="preserve"> first two assignments of error.</w:t>
      </w:r>
    </w:p>
    <w:p w:rsidR="002779A5" w:rsidRDefault="005B3757" w:rsidP="006C612F">
      <w:pPr>
        <w:spacing w:line="480" w:lineRule="auto"/>
        <w:ind w:firstLine="720"/>
      </w:pPr>
      <w:r>
        <w:t>Under Ohio law, t</w:t>
      </w:r>
      <w:r w:rsidR="00BF0518">
        <w:t xml:space="preserve">he Commission’s </w:t>
      </w:r>
      <w:r w:rsidR="004438D2">
        <w:t>authority</w:t>
      </w:r>
      <w:r w:rsidR="0034222B">
        <w:t xml:space="preserve"> to regulate electric services </w:t>
      </w:r>
      <w:r w:rsidR="00BF0518">
        <w:t>is limited to the regulation of retail electric service</w:t>
      </w:r>
      <w:r w:rsidR="007C4E00">
        <w:t xml:space="preserve"> of public utilities.</w:t>
      </w:r>
      <w:r w:rsidR="007C4E00">
        <w:rPr>
          <w:rStyle w:val="FootnoteReference"/>
        </w:rPr>
        <w:footnoteReference w:id="7"/>
      </w:r>
      <w:r w:rsidR="007C4E00">
        <w:t xml:space="preserve">  Retail electric service consists of retail service functions of transmission, distribution, and generation-related services,</w:t>
      </w:r>
      <w:r w:rsidR="007C4E00">
        <w:rPr>
          <w:rStyle w:val="FootnoteReference"/>
        </w:rPr>
        <w:footnoteReference w:id="8"/>
      </w:r>
      <w:r w:rsidR="007C4E00">
        <w:t xml:space="preserve"> </w:t>
      </w:r>
      <w:r w:rsidR="006C612F">
        <w:t xml:space="preserve">and </w:t>
      </w:r>
      <w:r w:rsidR="000B7C51">
        <w:t>the scope of the Commission’s authority</w:t>
      </w:r>
      <w:r w:rsidR="002C7755">
        <w:t xml:space="preserve"> to regulate retail electric service</w:t>
      </w:r>
      <w:r w:rsidR="000B7C51">
        <w:t xml:space="preserve"> </w:t>
      </w:r>
      <w:r w:rsidR="006C612F">
        <w:t>varies by service function</w:t>
      </w:r>
      <w:r w:rsidR="00BF0518">
        <w:t>.</w:t>
      </w:r>
      <w:r w:rsidR="00BF0518">
        <w:rPr>
          <w:rStyle w:val="FootnoteReference"/>
        </w:rPr>
        <w:footnoteReference w:id="9"/>
      </w:r>
      <w:r w:rsidR="002779A5">
        <w:t xml:space="preserve">  </w:t>
      </w:r>
      <w:r w:rsidR="0034222B">
        <w:t>Although distribution service remains under the Commission’s traditional regulatory authority,</w:t>
      </w:r>
      <w:r w:rsidR="007D3909">
        <w:rPr>
          <w:rStyle w:val="FootnoteReference"/>
        </w:rPr>
        <w:footnoteReference w:id="10"/>
      </w:r>
      <w:r w:rsidR="0034222B">
        <w:t xml:space="preserve"> </w:t>
      </w:r>
      <w:r w:rsidR="006C612F">
        <w:t>Commission authority over generation</w:t>
      </w:r>
      <w:r w:rsidR="007C4E00">
        <w:t xml:space="preserve"> </w:t>
      </w:r>
      <w:r w:rsidR="006C612F">
        <w:t xml:space="preserve">service is restricted because </w:t>
      </w:r>
      <w:r w:rsidR="0034222B">
        <w:t>r</w:t>
      </w:r>
      <w:r w:rsidR="00362216">
        <w:t>etail electric generation service has been declared competitive.</w:t>
      </w:r>
      <w:r w:rsidR="00362216">
        <w:rPr>
          <w:rStyle w:val="FootnoteReference"/>
        </w:rPr>
        <w:footnoteReference w:id="11"/>
      </w:r>
      <w:r w:rsidR="00362216">
        <w:t xml:space="preserve">  </w:t>
      </w:r>
      <w:r w:rsidR="006C612F">
        <w:t>Under R.C. 4928.05(A)(1),</w:t>
      </w:r>
      <w:r w:rsidR="00362216">
        <w:t xml:space="preserve"> </w:t>
      </w:r>
      <w:r w:rsidR="0034222B">
        <w:t xml:space="preserve">the Commission has no authority to set prices for </w:t>
      </w:r>
      <w:r w:rsidR="00BB7EB3">
        <w:t>competitive</w:t>
      </w:r>
      <w:r w:rsidR="0034222B">
        <w:t xml:space="preserve"> services except as provided by R.C. 4928.141 to 4928.144 to establish the standard service offer</w:t>
      </w:r>
      <w:r w:rsidR="007D3909">
        <w:t>.</w:t>
      </w:r>
      <w:r w:rsidR="0034222B">
        <w:t xml:space="preserve"> </w:t>
      </w:r>
      <w:r w:rsidR="007D3909">
        <w:t xml:space="preserve"> N</w:t>
      </w:r>
      <w:r w:rsidR="0034222B">
        <w:t>o provision of R.C. 4928.141 to R.C. 4928.144 carves out an exception permitting the Commission to establish as a term of the standard service offer the collection of above-market generation-related wholesale costs or a nonbypassable placeholder rider to do the same.</w:t>
      </w:r>
      <w:r w:rsidR="007D3909">
        <w:rPr>
          <w:rStyle w:val="FootnoteReference"/>
        </w:rPr>
        <w:footnoteReference w:id="12"/>
      </w:r>
      <w:r w:rsidR="0034222B">
        <w:t xml:space="preserve">  Further, as to competitive services, </w:t>
      </w:r>
      <w:r w:rsidR="00362216">
        <w:t>the electric distributi</w:t>
      </w:r>
      <w:r w:rsidR="0034222B">
        <w:t>on company is “fully on its own.</w:t>
      </w:r>
      <w:r w:rsidR="00362216">
        <w:t>”</w:t>
      </w:r>
      <w:r w:rsidR="00362216">
        <w:rPr>
          <w:rStyle w:val="FootnoteReference"/>
        </w:rPr>
        <w:footnoteReference w:id="13"/>
      </w:r>
      <w:r w:rsidR="00362216">
        <w:t xml:space="preserve">  Anticompetitive subsidies are </w:t>
      </w:r>
      <w:r w:rsidR="00362216">
        <w:lastRenderedPageBreak/>
        <w:t>prohibited, and the electric distribution company may not recover generation-related costs</w:t>
      </w:r>
      <w:r w:rsidR="000017BD">
        <w:t xml:space="preserve"> </w:t>
      </w:r>
      <w:r>
        <w:t xml:space="preserve">through distribution or transmission rates </w:t>
      </w:r>
      <w:r w:rsidR="000017BD">
        <w:t>or generation</w:t>
      </w:r>
      <w:r w:rsidR="00B84C40">
        <w:t>-</w:t>
      </w:r>
      <w:r w:rsidR="000017BD">
        <w:t>related transition revenue or its equivalent</w:t>
      </w:r>
      <w:r w:rsidR="00362216">
        <w:t>.</w:t>
      </w:r>
      <w:r w:rsidR="00362216">
        <w:rPr>
          <w:rStyle w:val="FootnoteReference"/>
        </w:rPr>
        <w:footnoteReference w:id="14"/>
      </w:r>
      <w:r w:rsidR="00362216">
        <w:t xml:space="preserve">  </w:t>
      </w:r>
      <w:r w:rsidR="002C7755">
        <w:t>Moreover</w:t>
      </w:r>
      <w:r w:rsidR="00362216">
        <w:t xml:space="preserve">, the Commission is field preempted by the Federal Power Act from increasing Duke’s compensation </w:t>
      </w:r>
      <w:r>
        <w:t>for wholesale generation-related services</w:t>
      </w:r>
      <w:r w:rsidR="00362216">
        <w:t>.</w:t>
      </w:r>
      <w:r w:rsidR="007D3909">
        <w:rPr>
          <w:rStyle w:val="FootnoteReference"/>
        </w:rPr>
        <w:footnoteReference w:id="15"/>
      </w:r>
      <w:r w:rsidR="00362216">
        <w:t xml:space="preserve">  </w:t>
      </w:r>
      <w:r w:rsidR="000B7C51">
        <w:t>Thus, authorization of the PSR to permit Duke to recover above-market generation-related wholesale costs would</w:t>
      </w:r>
      <w:r>
        <w:t xml:space="preserve"> </w:t>
      </w:r>
      <w:r w:rsidR="000B7C51">
        <w:t>violate</w:t>
      </w:r>
      <w:r>
        <w:t xml:space="preserve"> Ohio and federal law.</w:t>
      </w:r>
      <w:r w:rsidR="006C612F" w:rsidRPr="00005F04">
        <w:rPr>
          <w:vertAlign w:val="superscript"/>
        </w:rPr>
        <w:footnoteReference w:id="16"/>
      </w:r>
      <w:r>
        <w:t xml:space="preserve">  </w:t>
      </w:r>
    </w:p>
    <w:p w:rsidR="00005F04" w:rsidRPr="00005F04" w:rsidRDefault="002779A5" w:rsidP="00297B27">
      <w:pPr>
        <w:spacing w:line="480" w:lineRule="auto"/>
        <w:ind w:firstLine="720"/>
      </w:pPr>
      <w:r>
        <w:t xml:space="preserve">Although Ohio and federal law do not permit the Commission to authorize the PSR, Duke nonetheless assumes that the Commission may authorize the rider </w:t>
      </w:r>
      <w:r w:rsidR="00CF58AE">
        <w:t xml:space="preserve">and then </w:t>
      </w:r>
      <w:r w:rsidR="00BB7EB3">
        <w:t>challenges the Commission’s adverse findings on the merits of the PSR</w:t>
      </w:r>
      <w:r>
        <w:t>.</w:t>
      </w:r>
      <w:r>
        <w:rPr>
          <w:rStyle w:val="FootnoteReference"/>
        </w:rPr>
        <w:footnoteReference w:id="17"/>
      </w:r>
      <w:r w:rsidR="00CF58AE">
        <w:t xml:space="preserve">  </w:t>
      </w:r>
      <w:r w:rsidR="00196E2B">
        <w:t>Because Duke’s legal assumption</w:t>
      </w:r>
      <w:r w:rsidR="00CF58AE">
        <w:t xml:space="preserve"> regarding </w:t>
      </w:r>
      <w:r w:rsidR="00196E2B">
        <w:t>the Commission’s authority to authorize the PSR</w:t>
      </w:r>
      <w:r w:rsidR="00CF58AE">
        <w:t xml:space="preserve"> </w:t>
      </w:r>
      <w:r w:rsidR="00196E2B">
        <w:t>is</w:t>
      </w:r>
      <w:r w:rsidR="00CF58AE">
        <w:t xml:space="preserve"> wrong, there is no reason for the Commission to address Duke’s attempt to relitigate the merit</w:t>
      </w:r>
      <w:r w:rsidR="00196E2B">
        <w:t>s</w:t>
      </w:r>
      <w:r w:rsidR="00CF58AE">
        <w:t xml:space="preserve"> of the PSR</w:t>
      </w:r>
      <w:r w:rsidR="00067778">
        <w:t>.</w:t>
      </w:r>
      <w:r w:rsidR="00CF58AE">
        <w:t xml:space="preserve">  Rather, the Commission should find that it is without authority to authorize the PSR and deny Duke’s first two assignments of error.</w:t>
      </w:r>
    </w:p>
    <w:p w:rsidR="001F5BE4" w:rsidRDefault="001F5BE4" w:rsidP="00297B27">
      <w:pPr>
        <w:pStyle w:val="Heading2"/>
      </w:pPr>
      <w:bookmarkStart w:id="16" w:name="_Toc419102904"/>
      <w:bookmarkStart w:id="17" w:name="_Toc419289613"/>
      <w:bookmarkStart w:id="18" w:name="_Toc419358125"/>
      <w:bookmarkStart w:id="19" w:name="_Toc419360153"/>
      <w:r>
        <w:t xml:space="preserve">Duke’s </w:t>
      </w:r>
      <w:r w:rsidR="00CA2AA8">
        <w:t>attempt to relitigate the Commission’s findings</w:t>
      </w:r>
      <w:r>
        <w:t xml:space="preserve"> </w:t>
      </w:r>
      <w:r w:rsidR="003D541F">
        <w:t xml:space="preserve">do not provide grounds for </w:t>
      </w:r>
      <w:r w:rsidR="006C612F">
        <w:t>rehearing</w:t>
      </w:r>
      <w:bookmarkEnd w:id="16"/>
      <w:bookmarkEnd w:id="17"/>
      <w:bookmarkEnd w:id="18"/>
      <w:bookmarkEnd w:id="19"/>
    </w:p>
    <w:p w:rsidR="00D567BD" w:rsidRDefault="007147BA" w:rsidP="00297B27">
      <w:pPr>
        <w:spacing w:line="480" w:lineRule="auto"/>
      </w:pPr>
      <w:r>
        <w:tab/>
      </w:r>
      <w:r w:rsidR="003D541F">
        <w:t xml:space="preserve">Based on its faulty assumption that the Commission can authorize the PSR, </w:t>
      </w:r>
      <w:r w:rsidR="00644F09">
        <w:t xml:space="preserve">Duke makes two </w:t>
      </w:r>
      <w:r w:rsidR="0065209E">
        <w:t>arguments</w:t>
      </w:r>
      <w:r w:rsidR="00644F09">
        <w:t xml:space="preserve"> to support authorization to collect above-market generation-related wholesale costs</w:t>
      </w:r>
      <w:r w:rsidR="003D541F">
        <w:t xml:space="preserve"> of OVEC</w:t>
      </w:r>
      <w:r w:rsidR="00644F09">
        <w:t xml:space="preserve">.  First, </w:t>
      </w:r>
      <w:r w:rsidR="00201020">
        <w:t>Duke</w:t>
      </w:r>
      <w:r w:rsidR="00644F09">
        <w:t xml:space="preserve"> </w:t>
      </w:r>
      <w:r w:rsidR="00201020">
        <w:t>claims</w:t>
      </w:r>
      <w:r w:rsidR="00644F09">
        <w:t xml:space="preserve"> that</w:t>
      </w:r>
      <w:r w:rsidR="0065209E">
        <w:t xml:space="preserve"> the Commission should not have focused on the uncertainty in wholesale markets as part of its rationale for denying cost recovery.</w:t>
      </w:r>
      <w:r w:rsidR="00644F09">
        <w:rPr>
          <w:rStyle w:val="FootnoteReference"/>
        </w:rPr>
        <w:footnoteReference w:id="18"/>
      </w:r>
      <w:r w:rsidR="00644F09">
        <w:t xml:space="preserve">  According to Duke, “inability to foretell the future has not </w:t>
      </w:r>
      <w:r w:rsidR="00644F09">
        <w:lastRenderedPageBreak/>
        <w:t xml:space="preserve">been a justification </w:t>
      </w:r>
      <w:r w:rsidR="00B84C40">
        <w:t xml:space="preserve">to refuse to </w:t>
      </w:r>
      <w:r w:rsidR="00644F09">
        <w:t>act.”</w:t>
      </w:r>
      <w:r w:rsidR="00644F09">
        <w:rPr>
          <w:rStyle w:val="FootnoteReference"/>
        </w:rPr>
        <w:footnoteReference w:id="19"/>
      </w:r>
      <w:r w:rsidR="00644F09">
        <w:t xml:space="preserve">  </w:t>
      </w:r>
      <w:r w:rsidR="00D567BD">
        <w:t xml:space="preserve">Second, it asserts that the Commission “misunderstood” the difference between a financial hedge and the laddering and staggering of auction results.  </w:t>
      </w:r>
      <w:r w:rsidR="006C612F">
        <w:t>The Commission, however, correctly assessed the record and determined that collection of OVEC’s above-</w:t>
      </w:r>
      <w:r w:rsidR="004438D2">
        <w:t>market</w:t>
      </w:r>
      <w:r w:rsidR="006C612F">
        <w:t xml:space="preserve"> </w:t>
      </w:r>
      <w:r w:rsidR="004438D2">
        <w:t xml:space="preserve">generation-related wholesale </w:t>
      </w:r>
      <w:r w:rsidR="006C612F">
        <w:t>costs was unlawful and unreasonable.</w:t>
      </w:r>
    </w:p>
    <w:p w:rsidR="00D567BD" w:rsidRDefault="000B7C51" w:rsidP="00297B27">
      <w:pPr>
        <w:pStyle w:val="Heading3"/>
      </w:pPr>
      <w:bookmarkStart w:id="20" w:name="_Toc419102905"/>
      <w:bookmarkStart w:id="21" w:name="_Toc419289614"/>
      <w:bookmarkStart w:id="22" w:name="_Toc419358126"/>
      <w:bookmarkStart w:id="23" w:name="_Toc419360154"/>
      <w:r>
        <w:t xml:space="preserve">The Commission correctly determined </w:t>
      </w:r>
      <w:r w:rsidR="00830E8A">
        <w:t>the PSR could not be authorized</w:t>
      </w:r>
      <w:r>
        <w:t xml:space="preserve"> under R.C. 4928.143(B)(2)(d) </w:t>
      </w:r>
      <w:bookmarkEnd w:id="20"/>
      <w:bookmarkEnd w:id="21"/>
      <w:r w:rsidR="00830E8A">
        <w:t>based on the record in this case</w:t>
      </w:r>
      <w:bookmarkEnd w:id="22"/>
      <w:bookmarkEnd w:id="23"/>
    </w:p>
    <w:p w:rsidR="00346CE9" w:rsidRDefault="00644F09" w:rsidP="00297B27">
      <w:pPr>
        <w:spacing w:line="480" w:lineRule="auto"/>
      </w:pPr>
      <w:r>
        <w:tab/>
      </w:r>
      <w:r w:rsidR="003D541F">
        <w:t xml:space="preserve">Pointing to the Commission’s finding that </w:t>
      </w:r>
      <w:r w:rsidR="007C4E00">
        <w:t xml:space="preserve">wholesale </w:t>
      </w:r>
      <w:r w:rsidR="00C97932">
        <w:t>electricity prices</w:t>
      </w:r>
      <w:r w:rsidR="007C4E00">
        <w:t xml:space="preserve"> are subject to uncertainty due to pending regulatory changes</w:t>
      </w:r>
      <w:r w:rsidR="00424201">
        <w:t xml:space="preserve">, </w:t>
      </w:r>
      <w:r w:rsidR="003D541F">
        <w:t xml:space="preserve">Duke </w:t>
      </w:r>
      <w:r w:rsidR="000B7C51">
        <w:t>claims</w:t>
      </w:r>
      <w:r w:rsidR="003D541F">
        <w:t xml:space="preserve"> that </w:t>
      </w:r>
      <w:r w:rsidR="00424201">
        <w:t>t</w:t>
      </w:r>
      <w:r w:rsidR="00346CE9">
        <w:t>he Commission should authorize cost recovery under the rider</w:t>
      </w:r>
      <w:r w:rsidR="00424201">
        <w:t xml:space="preserve"> because the Commission “routinely approves riders</w:t>
      </w:r>
      <w:r w:rsidR="00196E2B">
        <w:t xml:space="preserve"> [such as its rider to recover bypassable energy costs]</w:t>
      </w:r>
      <w:r w:rsidR="00424201">
        <w:t xml:space="preserve"> based </w:t>
      </w:r>
      <w:r w:rsidR="00B84C40">
        <w:t>up</w:t>
      </w:r>
      <w:r w:rsidR="00424201">
        <w:t xml:space="preserve">on forecasts </w:t>
      </w:r>
      <w:r w:rsidR="00B84C40">
        <w:t>or</w:t>
      </w:r>
      <w:r w:rsidR="00424201">
        <w:t xml:space="preserve"> projections” and this approach is a</w:t>
      </w:r>
      <w:r w:rsidR="00104D24">
        <w:t>n</w:t>
      </w:r>
      <w:r w:rsidR="00424201">
        <w:t xml:space="preserve"> “established regulatory practice.”</w:t>
      </w:r>
      <w:r w:rsidR="00424201">
        <w:rPr>
          <w:rStyle w:val="FootnoteReference"/>
        </w:rPr>
        <w:footnoteReference w:id="20"/>
      </w:r>
      <w:r w:rsidR="00424201">
        <w:t xml:space="preserve">  </w:t>
      </w:r>
      <w:r w:rsidR="00E52DBC">
        <w:t xml:space="preserve">As part of this same assignment of error, </w:t>
      </w:r>
      <w:r w:rsidR="00346CE9">
        <w:t>Duke also claims that the Commission failed to account fully for the “benefits” of the rider when it denied cost recovery.</w:t>
      </w:r>
      <w:r w:rsidR="00346CE9">
        <w:rPr>
          <w:rStyle w:val="FootnoteReference"/>
        </w:rPr>
        <w:footnoteReference w:id="21"/>
      </w:r>
      <w:r w:rsidR="00346CE9">
        <w:t xml:space="preserve">  Neither </w:t>
      </w:r>
      <w:r w:rsidR="000B7C51">
        <w:t>claim</w:t>
      </w:r>
      <w:r w:rsidR="00346CE9">
        <w:t xml:space="preserve"> warrants rehearing.</w:t>
      </w:r>
    </w:p>
    <w:p w:rsidR="00396DCB" w:rsidRDefault="007C4E00" w:rsidP="00297B27">
      <w:pPr>
        <w:spacing w:line="480" w:lineRule="auto"/>
        <w:ind w:firstLine="720"/>
      </w:pPr>
      <w:r>
        <w:t xml:space="preserve">Duke’s first claim that the Commission should </w:t>
      </w:r>
      <w:r w:rsidR="00C97932">
        <w:t xml:space="preserve">follow </w:t>
      </w:r>
      <w:r>
        <w:t>“established regulatory practice” ignores that the Commission found that Duke failed to demonstrate that the PSR would meet the requirements of R.C. 4928.143(B)(2)(d)</w:t>
      </w:r>
      <w:r w:rsidR="006C5D30">
        <w:t xml:space="preserve"> on much broader grounds than Duke admits</w:t>
      </w:r>
      <w:r w:rsidR="00E52DBC">
        <w:t>.</w:t>
      </w:r>
      <w:r w:rsidR="00346CE9">
        <w:t xml:space="preserve">  </w:t>
      </w:r>
      <w:r w:rsidR="00104D24">
        <w:t xml:space="preserve">Duke sought </w:t>
      </w:r>
      <w:r w:rsidR="00721391">
        <w:t>authorization of the PSR under R.C. 4928.143(B)(2)(d</w:t>
      </w:r>
      <w:r w:rsidR="00104D24">
        <w:t>).  Under that division, Duke had the burden of proof</w:t>
      </w:r>
      <w:r w:rsidR="00104D24">
        <w:rPr>
          <w:rStyle w:val="FootnoteReference"/>
        </w:rPr>
        <w:footnoteReference w:id="22"/>
      </w:r>
      <w:r w:rsidR="00104D24">
        <w:t xml:space="preserve"> to demonstrate that the PSR would have the effect of stabilizing retail electric rates, but it did not offer any evidence of the </w:t>
      </w:r>
      <w:r w:rsidR="00104D24">
        <w:lastRenderedPageBreak/>
        <w:t xml:space="preserve">PSR’s cost as part of its direct case.  Based on the efforts of intervenors, the Commission correctly rejected authorization </w:t>
      </w:r>
      <w:r w:rsidR="00987781">
        <w:t xml:space="preserve">of cost recovery </w:t>
      </w:r>
      <w:r w:rsidR="00104D24">
        <w:t>because the</w:t>
      </w:r>
      <w:r w:rsidR="00644F09">
        <w:t xml:space="preserve"> Commission </w:t>
      </w:r>
      <w:r w:rsidR="00DB49A5">
        <w:t xml:space="preserve">was “not </w:t>
      </w:r>
      <w:r w:rsidR="00201020">
        <w:t>persuaded that the</w:t>
      </w:r>
      <w:r w:rsidR="00DB49A5">
        <w:t xml:space="preserve"> PSR proposal </w:t>
      </w:r>
      <w:r w:rsidR="00201020">
        <w:t>put</w:t>
      </w:r>
      <w:r w:rsidR="00DB49A5">
        <w:t xml:space="preserve"> forth by Duke in the present proceedings would, in </w:t>
      </w:r>
      <w:r w:rsidR="00E52DBC">
        <w:t>fact,</w:t>
      </w:r>
      <w:r w:rsidR="00201020">
        <w:t xml:space="preserve"> promote rate stability, as D</w:t>
      </w:r>
      <w:r w:rsidR="00DB49A5">
        <w:t>uke claims, or that it is in the public interest.”</w:t>
      </w:r>
      <w:r w:rsidR="00DB49A5">
        <w:rPr>
          <w:rStyle w:val="FootnoteReference"/>
        </w:rPr>
        <w:footnoteReference w:id="23"/>
      </w:r>
      <w:r w:rsidR="00DB49A5">
        <w:t xml:space="preserve">  </w:t>
      </w:r>
      <w:r w:rsidR="00721391">
        <w:t>As part of its reasoning, the Commission identified the uncertainty created by market changes, pending environmental rules, and federal litigation.</w:t>
      </w:r>
      <w:r w:rsidR="00721391">
        <w:rPr>
          <w:rStyle w:val="FootnoteReference"/>
        </w:rPr>
        <w:footnoteReference w:id="24"/>
      </w:r>
      <w:r w:rsidR="00721391">
        <w:t xml:space="preserve">  </w:t>
      </w:r>
      <w:r w:rsidR="00DB49A5">
        <w:t>The Commission</w:t>
      </w:r>
      <w:r w:rsidR="00721391">
        <w:t>, however,</w:t>
      </w:r>
      <w:r w:rsidR="00DB49A5">
        <w:t xml:space="preserve"> further </w:t>
      </w:r>
      <w:r w:rsidR="00644F09">
        <w:t>found “the evidence of</w:t>
      </w:r>
      <w:r w:rsidR="004C6142">
        <w:t xml:space="preserve"> record</w:t>
      </w:r>
      <w:r w:rsidR="00644F09">
        <w:t xml:space="preserve"> reflects that the rider may result in a net cost to customers, with little offsetting benefit from the rider’s intended purpose as a hedge against market </w:t>
      </w:r>
      <w:r w:rsidR="00265702">
        <w:t>volatility”</w:t>
      </w:r>
      <w:r w:rsidR="00265702">
        <w:rPr>
          <w:rStyle w:val="FootnoteReference"/>
        </w:rPr>
        <w:footnoteReference w:id="25"/>
      </w:r>
      <w:r w:rsidR="00265702">
        <w:t xml:space="preserve"> and </w:t>
      </w:r>
      <w:r w:rsidR="00644F09">
        <w:t xml:space="preserve">that Duke had failed to demonstrate “that Duke’s PSR proposal would provide customers with sufficient benefit from the rider’s </w:t>
      </w:r>
      <w:r w:rsidR="00167916">
        <w:t xml:space="preserve">financial </w:t>
      </w:r>
      <w:r w:rsidR="00644F09">
        <w:t xml:space="preserve">hedging mechanism or any other benefit </w:t>
      </w:r>
      <w:r w:rsidR="00167916">
        <w:t xml:space="preserve">that is </w:t>
      </w:r>
      <w:r w:rsidR="00644F09">
        <w:t>commensurate with the rider’s potential cost.”</w:t>
      </w:r>
      <w:r w:rsidR="00644F09">
        <w:rPr>
          <w:rStyle w:val="FootnoteReference"/>
        </w:rPr>
        <w:footnoteReference w:id="26"/>
      </w:r>
      <w:r w:rsidR="00644F09">
        <w:t xml:space="preserve">  </w:t>
      </w:r>
      <w:r w:rsidR="00104D24">
        <w:t xml:space="preserve">Based on Duke’s failure to carry its burden to show that the rider would satisfy the statutory requirements and was in the public interest, </w:t>
      </w:r>
      <w:r w:rsidR="00987781">
        <w:t>t</w:t>
      </w:r>
      <w:r w:rsidR="00644F09">
        <w:t xml:space="preserve">he Commission </w:t>
      </w:r>
      <w:r w:rsidR="00265702">
        <w:t>“</w:t>
      </w:r>
      <w:r w:rsidR="00644F09">
        <w:t>conclude</w:t>
      </w:r>
      <w:r w:rsidR="00265702">
        <w:t>[d]</w:t>
      </w:r>
      <w:r w:rsidR="00644F09">
        <w:t xml:space="preserve"> that Duke has not demonstrated that </w:t>
      </w:r>
      <w:r w:rsidR="00167916">
        <w:t>its</w:t>
      </w:r>
      <w:r w:rsidR="00644F09">
        <w:t xml:space="preserve"> PSR proposal, as put forth in these proceedings, should be approved under R.C. 4928.143(B)(2)(d).”</w:t>
      </w:r>
      <w:r w:rsidR="00644F09">
        <w:rPr>
          <w:rStyle w:val="FootnoteReference"/>
        </w:rPr>
        <w:footnoteReference w:id="27"/>
      </w:r>
      <w:r w:rsidR="00265702">
        <w:t xml:space="preserve">  </w:t>
      </w:r>
      <w:r w:rsidR="006C612F">
        <w:t xml:space="preserve">As the Commission’s findings demonstrate, the denial of authorization was based on detailed findings that collection of the above-market generation-related </w:t>
      </w:r>
      <w:r w:rsidR="001B3CED">
        <w:t xml:space="preserve">wholesale </w:t>
      </w:r>
      <w:r w:rsidR="006C612F">
        <w:t>costs of OVEC was neither lawful nor reasonable.  “E</w:t>
      </w:r>
      <w:r w:rsidR="004C6142">
        <w:t>stablished regulatory practice</w:t>
      </w:r>
      <w:r w:rsidR="00104D24">
        <w:t>,</w:t>
      </w:r>
      <w:r w:rsidR="004C6142">
        <w:t>”</w:t>
      </w:r>
      <w:r w:rsidR="00721391">
        <w:t xml:space="preserve"> therefore</w:t>
      </w:r>
      <w:r w:rsidR="00987781">
        <w:t xml:space="preserve">, </w:t>
      </w:r>
      <w:r w:rsidR="006C612F">
        <w:t xml:space="preserve">required </w:t>
      </w:r>
      <w:r w:rsidR="00987781">
        <w:t>the</w:t>
      </w:r>
      <w:r w:rsidR="004C6142">
        <w:t xml:space="preserve"> Commission </w:t>
      </w:r>
      <w:r w:rsidR="000B7C51">
        <w:t>to deny</w:t>
      </w:r>
      <w:r w:rsidR="004C6142">
        <w:t xml:space="preserve"> authorization</w:t>
      </w:r>
      <w:r w:rsidR="00396DCB">
        <w:t xml:space="preserve"> of the billing and collection of the above-market generation-related </w:t>
      </w:r>
      <w:r w:rsidR="001B3CED">
        <w:t xml:space="preserve">wholesale </w:t>
      </w:r>
      <w:r w:rsidR="00396DCB">
        <w:t>costs of OVEC</w:t>
      </w:r>
      <w:r w:rsidR="004C6142">
        <w:t>.</w:t>
      </w:r>
      <w:r w:rsidR="00BC50E0">
        <w:t xml:space="preserve"> </w:t>
      </w:r>
    </w:p>
    <w:p w:rsidR="001B59C9" w:rsidRDefault="004D7ECC" w:rsidP="00297B27">
      <w:pPr>
        <w:spacing w:line="480" w:lineRule="auto"/>
      </w:pPr>
      <w:r>
        <w:lastRenderedPageBreak/>
        <w:tab/>
        <w:t xml:space="preserve">Duke also complains that the Commission erred because it “focused solely on the term of the ESP” in assessing the “benefits” of the PSR.  </w:t>
      </w:r>
      <w:r w:rsidR="001B59C9">
        <w:t xml:space="preserve">According to Duke, the Commission </w:t>
      </w:r>
      <w:r w:rsidR="00E52DBC">
        <w:t xml:space="preserve">also </w:t>
      </w:r>
      <w:r w:rsidR="001B59C9">
        <w:t xml:space="preserve">should have considered the benefits that might accrue over the </w:t>
      </w:r>
      <w:r w:rsidR="00987781">
        <w:t>fifteen-year</w:t>
      </w:r>
      <w:r w:rsidR="001B59C9">
        <w:t xml:space="preserve"> life of the proposed rider.</w:t>
      </w:r>
      <w:r w:rsidR="001B59C9">
        <w:rPr>
          <w:rStyle w:val="FootnoteReference"/>
        </w:rPr>
        <w:footnoteReference w:id="28"/>
      </w:r>
      <w:r w:rsidR="001B59C9">
        <w:t xml:space="preserve">  </w:t>
      </w:r>
    </w:p>
    <w:p w:rsidR="004D7ECC" w:rsidRDefault="00721391" w:rsidP="00297B27">
      <w:pPr>
        <w:spacing w:line="480" w:lineRule="auto"/>
        <w:ind w:firstLine="720"/>
      </w:pPr>
      <w:r>
        <w:t xml:space="preserve">Contrary to Duke’s </w:t>
      </w:r>
      <w:r w:rsidR="000B7C51">
        <w:t>assertion</w:t>
      </w:r>
      <w:r>
        <w:t>, t</w:t>
      </w:r>
      <w:r w:rsidR="0000175D">
        <w:t xml:space="preserve">here is no finding in the ESP Order supporting Duke’s </w:t>
      </w:r>
      <w:r w:rsidR="00987781">
        <w:t>claim</w:t>
      </w:r>
      <w:r w:rsidR="0000175D">
        <w:t xml:space="preserve"> that the Commission “solely focused on the term of this ESP”</w:t>
      </w:r>
      <w:r w:rsidR="0000175D">
        <w:rPr>
          <w:rStyle w:val="FootnoteReference"/>
        </w:rPr>
        <w:footnoteReference w:id="29"/>
      </w:r>
      <w:r w:rsidR="0000175D">
        <w:t xml:space="preserve"> when it rejected Duke’s unlawful request.  To the contrary, t</w:t>
      </w:r>
      <w:r w:rsidR="004D7ECC">
        <w:t>he Commission expressly recognized th</w:t>
      </w:r>
      <w:r w:rsidR="000B7C51">
        <w:t>at Duke was proposing a fifteen-</w:t>
      </w:r>
      <w:r w:rsidR="004D7ECC">
        <w:t>year term for the PSR and that Duke was committing “the net bene</w:t>
      </w:r>
      <w:r>
        <w:t>fits” of the rider to customers.</w:t>
      </w:r>
      <w:r w:rsidR="004D7ECC">
        <w:rPr>
          <w:rStyle w:val="FootnoteReference"/>
        </w:rPr>
        <w:footnoteReference w:id="30"/>
      </w:r>
      <w:r w:rsidR="004D7ECC">
        <w:t xml:space="preserve"> </w:t>
      </w:r>
      <w:r>
        <w:t xml:space="preserve"> </w:t>
      </w:r>
      <w:r w:rsidR="00CA2AA8">
        <w:t>However,</w:t>
      </w:r>
      <w:r w:rsidR="006C5D30">
        <w:t xml:space="preserve"> Duke failed to </w:t>
      </w:r>
      <w:r w:rsidR="00CA2AA8">
        <w:t xml:space="preserve">persuade </w:t>
      </w:r>
      <w:r w:rsidR="006C5D30">
        <w:t xml:space="preserve">the Commission that customers would benefit from the rider.  </w:t>
      </w:r>
    </w:p>
    <w:p w:rsidR="00AE7B16" w:rsidRDefault="00DB49A5" w:rsidP="00297B27">
      <w:pPr>
        <w:spacing w:line="480" w:lineRule="auto"/>
        <w:ind w:firstLine="720"/>
      </w:pPr>
      <w:r>
        <w:t>W</w:t>
      </w:r>
      <w:r w:rsidR="00782F0F">
        <w:t xml:space="preserve">ith regard to Duke’s first </w:t>
      </w:r>
      <w:r>
        <w:t xml:space="preserve">assignment of error, </w:t>
      </w:r>
      <w:r w:rsidR="00BC50E0">
        <w:t xml:space="preserve">therefore, </w:t>
      </w:r>
      <w:r w:rsidR="00B641B1">
        <w:t xml:space="preserve">Duke has failed to demonstrate that the Commission erred when </w:t>
      </w:r>
      <w:r w:rsidR="00782F0F">
        <w:t xml:space="preserve">it refused to authorize </w:t>
      </w:r>
      <w:r w:rsidR="00987781">
        <w:t xml:space="preserve">cost recovery under </w:t>
      </w:r>
      <w:r w:rsidR="00782F0F">
        <w:t>the PSR based on findings that the PSR did not satisfy statutory requirements of R.C. 4928.143(B)(2)(d).</w:t>
      </w:r>
      <w:r w:rsidR="00B641B1">
        <w:t xml:space="preserve">  Further, a</w:t>
      </w:r>
      <w:r w:rsidR="00AE7B16">
        <w:t xml:space="preserve">s IEU-Ohio demonstrated in </w:t>
      </w:r>
      <w:r w:rsidR="0000175D">
        <w:t>its application</w:t>
      </w:r>
      <w:r w:rsidR="00AE7B16">
        <w:t xml:space="preserve"> for rehearing, </w:t>
      </w:r>
      <w:r w:rsidR="00346CE9">
        <w:t>established regulatory practice</w:t>
      </w:r>
      <w:r w:rsidR="00AE7B16">
        <w:t xml:space="preserve"> requires the Commission to grant rehearing and reverse its authorization of the PSR</w:t>
      </w:r>
      <w:r w:rsidR="00346CE9">
        <w:t xml:space="preserve"> because Duke did not carry its burden of proof</w:t>
      </w:r>
      <w:r>
        <w:t>.</w:t>
      </w:r>
      <w:r>
        <w:rPr>
          <w:rStyle w:val="FootnoteReference"/>
        </w:rPr>
        <w:footnoteReference w:id="31"/>
      </w:r>
      <w:r>
        <w:t xml:space="preserve">  </w:t>
      </w:r>
    </w:p>
    <w:p w:rsidR="00265702" w:rsidRDefault="00D567BD" w:rsidP="00AE4EFB">
      <w:pPr>
        <w:pStyle w:val="Heading3"/>
      </w:pPr>
      <w:bookmarkStart w:id="24" w:name="_Toc419102906"/>
      <w:bookmarkStart w:id="25" w:name="_Toc419289615"/>
      <w:bookmarkStart w:id="26" w:name="_Toc419358127"/>
      <w:bookmarkStart w:id="27" w:name="_Toc419360155"/>
      <w:r>
        <w:t xml:space="preserve">Duke </w:t>
      </w:r>
      <w:r w:rsidR="008152C8">
        <w:t>mischaracterizes the PSR as a “hedge” customers may exercise to reduce retail price changes</w:t>
      </w:r>
      <w:bookmarkEnd w:id="24"/>
      <w:bookmarkEnd w:id="25"/>
      <w:bookmarkEnd w:id="26"/>
      <w:bookmarkEnd w:id="27"/>
    </w:p>
    <w:p w:rsidR="00E5289A" w:rsidRDefault="00E5289A" w:rsidP="00297B27">
      <w:pPr>
        <w:spacing w:line="480" w:lineRule="auto"/>
      </w:pPr>
      <w:r>
        <w:tab/>
      </w:r>
      <w:r w:rsidR="00AE7B16">
        <w:t xml:space="preserve">As a separate basis for reversing its decision to deny Duke authority to bill and collect its above-market generation-related wholesale costs, Duke asserts that the </w:t>
      </w:r>
      <w:r w:rsidR="00AE7B16">
        <w:lastRenderedPageBreak/>
        <w:t>Commission misunderstands the difference between a financial hedge and a general smoothing of price changes.</w:t>
      </w:r>
      <w:r w:rsidR="00AE7B16">
        <w:rPr>
          <w:rStyle w:val="FootnoteReference"/>
        </w:rPr>
        <w:footnoteReference w:id="32"/>
      </w:r>
      <w:r w:rsidR="00AE7B16">
        <w:t xml:space="preserve">  </w:t>
      </w:r>
      <w:r w:rsidR="00364DD0">
        <w:t xml:space="preserve">To support this argument, </w:t>
      </w:r>
      <w:r w:rsidR="00AE7B16">
        <w:t xml:space="preserve">Duke </w:t>
      </w:r>
      <w:r w:rsidR="00B641B1">
        <w:t>provides</w:t>
      </w:r>
      <w:r w:rsidR="00AE7B16">
        <w:t xml:space="preserve"> an </w:t>
      </w:r>
      <w:r w:rsidR="00782F0F">
        <w:t>example of</w:t>
      </w:r>
      <w:r w:rsidR="00AE7B16">
        <w:t xml:space="preserve"> a hedge </w:t>
      </w:r>
      <w:r w:rsidR="0055171B">
        <w:t xml:space="preserve">based </w:t>
      </w:r>
      <w:r w:rsidR="00E70DA2">
        <w:t xml:space="preserve">upon </w:t>
      </w:r>
      <w:r w:rsidR="0055171B">
        <w:t xml:space="preserve">a farmer entering </w:t>
      </w:r>
      <w:r w:rsidR="00E70DA2">
        <w:t xml:space="preserve">into </w:t>
      </w:r>
      <w:r w:rsidR="0055171B">
        <w:t xml:space="preserve">a </w:t>
      </w:r>
      <w:r w:rsidR="000B7C51">
        <w:t>future or forward</w:t>
      </w:r>
      <w:r w:rsidR="0055171B">
        <w:t xml:space="preserve"> contract for </w:t>
      </w:r>
      <w:r w:rsidR="00782F0F">
        <w:t>the farm’s</w:t>
      </w:r>
      <w:r w:rsidR="0055171B">
        <w:t xml:space="preserve"> annual production.  </w:t>
      </w:r>
      <w:r w:rsidR="00B641B1">
        <w:t xml:space="preserve">Based on </w:t>
      </w:r>
      <w:r w:rsidR="00782F0F">
        <w:t>this example</w:t>
      </w:r>
      <w:r w:rsidR="00B641B1">
        <w:t xml:space="preserve">, </w:t>
      </w:r>
      <w:r w:rsidR="0055171B">
        <w:t xml:space="preserve">Duke </w:t>
      </w:r>
      <w:r w:rsidR="00B641B1">
        <w:t>claims</w:t>
      </w:r>
      <w:r w:rsidR="00AE7B16">
        <w:t xml:space="preserve"> that the PSR would operate </w:t>
      </w:r>
      <w:r w:rsidR="00364DD0">
        <w:t xml:space="preserve">similarly </w:t>
      </w:r>
      <w:r w:rsidR="00AE7B16">
        <w:t>as a hedge for retail electric customers.</w:t>
      </w:r>
      <w:r w:rsidR="00AE7B16">
        <w:rPr>
          <w:rStyle w:val="FootnoteReference"/>
        </w:rPr>
        <w:footnoteReference w:id="33"/>
      </w:r>
      <w:r w:rsidR="00AE7B16">
        <w:t xml:space="preserve">  </w:t>
      </w:r>
      <w:r w:rsidR="00782F0F">
        <w:t>Duke</w:t>
      </w:r>
      <w:r w:rsidR="0055171B">
        <w:t xml:space="preserve"> </w:t>
      </w:r>
      <w:r w:rsidR="006C612F">
        <w:t xml:space="preserve">then </w:t>
      </w:r>
      <w:r w:rsidR="00B641B1">
        <w:t>argues</w:t>
      </w:r>
      <w:r w:rsidR="00AE7B16">
        <w:t xml:space="preserve"> “laddering and staggering</w:t>
      </w:r>
      <w:r w:rsidR="009466CC">
        <w:t xml:space="preserve"> of auctions </w:t>
      </w:r>
      <w:r w:rsidR="006C612F">
        <w:t xml:space="preserve">[in contrast to the supposed benefits of the PSR as a hedge] </w:t>
      </w:r>
      <w:r w:rsidR="009466CC">
        <w:t>can only smooth price changes.”</w:t>
      </w:r>
      <w:r w:rsidR="009466CC">
        <w:rPr>
          <w:rStyle w:val="FootnoteReference"/>
        </w:rPr>
        <w:footnoteReference w:id="34"/>
      </w:r>
      <w:r w:rsidR="009466CC">
        <w:t xml:space="preserve">  </w:t>
      </w:r>
      <w:r w:rsidR="0000175D">
        <w:t xml:space="preserve">Based on this alleged distinction, </w:t>
      </w:r>
      <w:r w:rsidR="009466CC">
        <w:t>Duke concludes that the “Commission’s rejection of [Duke’s] Rider PSR proposal on the ground that laddering and staggering of auction products and the availability of fixed-price retail contracts already provide a ‘significant hedge against price volatility’ is fallacious.”</w:t>
      </w:r>
      <w:r w:rsidR="009466CC">
        <w:rPr>
          <w:rStyle w:val="FootnoteReference"/>
        </w:rPr>
        <w:footnoteReference w:id="35"/>
      </w:r>
      <w:r w:rsidR="0055171B">
        <w:t xml:space="preserve">  </w:t>
      </w:r>
      <w:r w:rsidR="0000175D">
        <w:t>Although Duke provides a</w:t>
      </w:r>
      <w:r w:rsidR="00782F0F">
        <w:t xml:space="preserve"> useful demonstration of what a real hedge is, its example demonstrates </w:t>
      </w:r>
      <w:r w:rsidR="00C33942">
        <w:t>the PSR is not what Duke purports it to be</w:t>
      </w:r>
      <w:r w:rsidR="0055171B">
        <w:t>.</w:t>
      </w:r>
    </w:p>
    <w:p w:rsidR="008152C8" w:rsidRDefault="009466CC" w:rsidP="00297B27">
      <w:pPr>
        <w:spacing w:line="480" w:lineRule="auto"/>
      </w:pPr>
      <w:r>
        <w:tab/>
        <w:t>In Duke’s example</w:t>
      </w:r>
      <w:r w:rsidR="008152C8">
        <w:t xml:space="preserve"> of a hedge</w:t>
      </w:r>
      <w:r>
        <w:t>,</w:t>
      </w:r>
      <w:r w:rsidR="006C5D30">
        <w:rPr>
          <w:rStyle w:val="FootnoteReference"/>
        </w:rPr>
        <w:footnoteReference w:id="36"/>
      </w:r>
      <w:r>
        <w:t xml:space="preserve"> a farmer locks in the price for </w:t>
      </w:r>
      <w:r w:rsidR="00B641B1">
        <w:t>his or her production</w:t>
      </w:r>
      <w:r w:rsidR="008152C8">
        <w:t xml:space="preserve"> before planting</w:t>
      </w:r>
      <w:r>
        <w:t xml:space="preserve"> and thereby hedges </w:t>
      </w:r>
      <w:r w:rsidR="00B641B1">
        <w:t>the</w:t>
      </w:r>
      <w:r>
        <w:t xml:space="preserve"> risk of changes in market prices</w:t>
      </w:r>
      <w:r w:rsidR="008152C8">
        <w:t xml:space="preserve"> when</w:t>
      </w:r>
      <w:r w:rsidR="00364DD0">
        <w:t xml:space="preserve"> the farmer delivers</w:t>
      </w:r>
      <w:r w:rsidR="008152C8">
        <w:t xml:space="preserve"> the crop to the market</w:t>
      </w:r>
      <w:r>
        <w:t xml:space="preserve">.  </w:t>
      </w:r>
      <w:r w:rsidR="008152C8">
        <w:t xml:space="preserve">By contracting the delivery price of the crop through the </w:t>
      </w:r>
      <w:r w:rsidR="000B7C51">
        <w:t xml:space="preserve">future or </w:t>
      </w:r>
      <w:r w:rsidR="008152C8">
        <w:t xml:space="preserve">forward contract, the farmer’s risk of rising or falling market prices several months in the future is shifted to the buyer of the crop.  </w:t>
      </w:r>
      <w:r w:rsidR="00A478FB">
        <w:t>The farmer, however, would retain the risk that planting may not yield a sufficient crop to satisfy the delivery requirement and be forced to cover at market prices.</w:t>
      </w:r>
    </w:p>
    <w:p w:rsidR="00C93904" w:rsidRDefault="006C5D30" w:rsidP="008152C8">
      <w:pPr>
        <w:spacing w:line="480" w:lineRule="auto"/>
        <w:ind w:firstLine="720"/>
      </w:pPr>
      <w:r>
        <w:lastRenderedPageBreak/>
        <w:t>The</w:t>
      </w:r>
      <w:r w:rsidR="00364DD0">
        <w:t xml:space="preserve"> PSR</w:t>
      </w:r>
      <w:r>
        <w:t>, however,</w:t>
      </w:r>
      <w:r w:rsidR="00364DD0">
        <w:t xml:space="preserve"> is not a </w:t>
      </w:r>
      <w:r w:rsidR="000B7C51">
        <w:t xml:space="preserve">future or </w:t>
      </w:r>
      <w:r w:rsidR="00364DD0">
        <w:t xml:space="preserve">forward contract that hedges </w:t>
      </w:r>
      <w:r w:rsidR="00A75C70">
        <w:t xml:space="preserve">future market prices </w:t>
      </w:r>
      <w:r w:rsidR="000B7C51">
        <w:t xml:space="preserve">for customers </w:t>
      </w:r>
      <w:r w:rsidR="00A75C70">
        <w:t>since it</w:t>
      </w:r>
      <w:r w:rsidR="008152C8">
        <w:t xml:space="preserve"> </w:t>
      </w:r>
      <w:r w:rsidR="00B448EC">
        <w:t xml:space="preserve">would not </w:t>
      </w:r>
      <w:r w:rsidR="008152C8">
        <w:t>establish a price for retail generation services</w:t>
      </w:r>
      <w:r w:rsidR="009466CC">
        <w:t>.</w:t>
      </w:r>
      <w:r w:rsidR="00191513">
        <w:rPr>
          <w:rStyle w:val="FootnoteReference"/>
        </w:rPr>
        <w:footnoteReference w:id="37"/>
      </w:r>
      <w:r w:rsidR="009466CC">
        <w:t xml:space="preserve">  </w:t>
      </w:r>
      <w:r w:rsidR="00B641B1">
        <w:t xml:space="preserve">The price of retail generation will </w:t>
      </w:r>
      <w:r w:rsidR="00191513">
        <w:t>be</w:t>
      </w:r>
      <w:r w:rsidR="00B641B1">
        <w:t xml:space="preserve"> the </w:t>
      </w:r>
      <w:r w:rsidR="00AB54C9" w:rsidRPr="00AB54C9">
        <w:t>“market price” for retail generation supply</w:t>
      </w:r>
      <w:r w:rsidR="00A75C70">
        <w:t>,</w:t>
      </w:r>
      <w:r w:rsidR="00AB54C9" w:rsidRPr="00AB54C9">
        <w:t xml:space="preserve"> and whatever volatility occurs will be reflected in </w:t>
      </w:r>
      <w:r w:rsidR="00191513">
        <w:t>customers’</w:t>
      </w:r>
      <w:r w:rsidR="00AB54C9" w:rsidRPr="00AB54C9">
        <w:t xml:space="preserve"> electric bills subject to whatever measures (including substituting natural gas for electricity) they may implement</w:t>
      </w:r>
      <w:r w:rsidR="000B7C51">
        <w:t xml:space="preserve"> </w:t>
      </w:r>
      <w:r w:rsidR="00AB54C9" w:rsidRPr="00AB54C9">
        <w:t xml:space="preserve">to reduce </w:t>
      </w:r>
      <w:r w:rsidR="000B7C51">
        <w:t>the</w:t>
      </w:r>
      <w:r w:rsidR="00AB54C9" w:rsidRPr="00AB54C9">
        <w:t xml:space="preserve"> risk.  </w:t>
      </w:r>
      <w:r w:rsidR="00782F0F">
        <w:t xml:space="preserve">Unlike the farmer’s </w:t>
      </w:r>
      <w:r w:rsidR="000B7C51">
        <w:t xml:space="preserve">future or </w:t>
      </w:r>
      <w:r w:rsidR="00782F0F">
        <w:t>forward contract</w:t>
      </w:r>
      <w:r w:rsidR="00AB54C9" w:rsidRPr="00AB54C9">
        <w:t>, the PSR will only increase electric bills through another rider that will make electric bill</w:t>
      </w:r>
      <w:r w:rsidR="00A478FB">
        <w:t>s</w:t>
      </w:r>
      <w:r w:rsidR="00AB54C9" w:rsidRPr="00AB54C9">
        <w:t xml:space="preserve"> more v</w:t>
      </w:r>
      <w:r w:rsidR="00191513">
        <w:t>olatile and harder to predict.</w:t>
      </w:r>
    </w:p>
    <w:p w:rsidR="009466CC" w:rsidRDefault="0000175D" w:rsidP="00297B27">
      <w:pPr>
        <w:spacing w:line="480" w:lineRule="auto"/>
        <w:ind w:firstLine="720"/>
      </w:pPr>
      <w:r>
        <w:t>If Duke’s example demonstrates anything relevant to this proceeding</w:t>
      </w:r>
      <w:r w:rsidR="00297B27">
        <w:t xml:space="preserve">, </w:t>
      </w:r>
      <w:r>
        <w:t xml:space="preserve">it is that </w:t>
      </w:r>
      <w:r w:rsidR="00191513">
        <w:t>Duke</w:t>
      </w:r>
      <w:r w:rsidR="00B448EC">
        <w:t>, rather than its retail customers,</w:t>
      </w:r>
      <w:r w:rsidR="00191513">
        <w:t xml:space="preserve"> is the “farmer” in its example.</w:t>
      </w:r>
      <w:r w:rsidR="009466CC">
        <w:t xml:space="preserve">  </w:t>
      </w:r>
      <w:r w:rsidR="00C33942">
        <w:t xml:space="preserve">Under the PSR, </w:t>
      </w:r>
      <w:r w:rsidR="00191513">
        <w:t>Duke, like the farmer, would transfer</w:t>
      </w:r>
      <w:r w:rsidR="0055171B">
        <w:t xml:space="preserve"> its price risk </w:t>
      </w:r>
      <w:r w:rsidR="00D817D7">
        <w:t xml:space="preserve">associated with OVEC </w:t>
      </w:r>
      <w:r w:rsidR="0055171B">
        <w:t xml:space="preserve">to </w:t>
      </w:r>
      <w:r w:rsidR="00191513">
        <w:t>the buyer</w:t>
      </w:r>
      <w:r w:rsidR="00C33942">
        <w:t xml:space="preserve">s, </w:t>
      </w:r>
      <w:r w:rsidR="0055171B">
        <w:t xml:space="preserve">Duke’s </w:t>
      </w:r>
      <w:r w:rsidR="00191513">
        <w:t xml:space="preserve">retail </w:t>
      </w:r>
      <w:r w:rsidR="0055171B">
        <w:t>customers</w:t>
      </w:r>
      <w:r w:rsidR="009466CC">
        <w:t>.</w:t>
      </w:r>
      <w:r w:rsidR="00AB54C9" w:rsidRPr="00AB54C9">
        <w:t xml:space="preserve"> </w:t>
      </w:r>
      <w:r w:rsidR="00AB54C9">
        <w:t xml:space="preserve"> T</w:t>
      </w:r>
      <w:r w:rsidR="00AB54C9" w:rsidRPr="00AB54C9">
        <w:t>h</w:t>
      </w:r>
      <w:r w:rsidR="00191513">
        <w:t>us, th</w:t>
      </w:r>
      <w:r w:rsidR="00AB54C9" w:rsidRPr="00AB54C9">
        <w:t xml:space="preserve">e “hedge” the PSR </w:t>
      </w:r>
      <w:r w:rsidR="00A478FB">
        <w:t>would provide</w:t>
      </w:r>
      <w:r w:rsidR="00AB54C9" w:rsidRPr="00AB54C9">
        <w:t xml:space="preserve"> is an assurance that Duke would be free of the business risk of its interest in OVEC.</w:t>
      </w:r>
      <w:r w:rsidR="006C5D30">
        <w:rPr>
          <w:rStyle w:val="FootnoteReference"/>
        </w:rPr>
        <w:footnoteReference w:id="38"/>
      </w:r>
      <w:r w:rsidR="00AB54C9" w:rsidRPr="00AB54C9">
        <w:t xml:space="preserve">  </w:t>
      </w:r>
    </w:p>
    <w:p w:rsidR="00C93904" w:rsidRDefault="001E619B" w:rsidP="00297B27">
      <w:pPr>
        <w:spacing w:line="480" w:lineRule="auto"/>
      </w:pPr>
      <w:r>
        <w:tab/>
      </w:r>
      <w:r w:rsidR="00C93904">
        <w:t>Duke’s example of a hedge also highlights an</w:t>
      </w:r>
      <w:r>
        <w:t xml:space="preserve"> important difference between the farmer who elects to hedge and the Duke </w:t>
      </w:r>
      <w:r w:rsidR="0055171B">
        <w:t>retail electric service customer</w:t>
      </w:r>
      <w:r>
        <w:t xml:space="preserve">.  The former chooses to shift the market price risk to a third party, but </w:t>
      </w:r>
      <w:r w:rsidR="00C93904">
        <w:t>could also elect to retain the market price risk</w:t>
      </w:r>
      <w:r>
        <w:t xml:space="preserve">.  </w:t>
      </w:r>
      <w:r w:rsidR="003F7DAA">
        <w:t>Under Duke’s PSR proposal, however, t</w:t>
      </w:r>
      <w:r>
        <w:t xml:space="preserve">he Duke retail customer </w:t>
      </w:r>
      <w:r w:rsidR="00C93904">
        <w:lastRenderedPageBreak/>
        <w:t>would be denied that choice</w:t>
      </w:r>
      <w:r w:rsidR="00A75C70">
        <w:t xml:space="preserve">. </w:t>
      </w:r>
      <w:r>
        <w:t xml:space="preserve"> </w:t>
      </w:r>
      <w:r w:rsidR="003F7DAA">
        <w:t>Instead</w:t>
      </w:r>
      <w:r>
        <w:t xml:space="preserve">, the retail customer will pay a </w:t>
      </w:r>
      <w:r w:rsidR="0055171B">
        <w:t xml:space="preserve">nonbypassable </w:t>
      </w:r>
      <w:r>
        <w:t>rider.  (</w:t>
      </w:r>
      <w:r w:rsidR="003F7DAA">
        <w:t xml:space="preserve">As long as the retail customer remains on </w:t>
      </w:r>
      <w:r w:rsidR="000B7C51">
        <w:t xml:space="preserve">the Duke system, </w:t>
      </w:r>
      <w:r w:rsidR="003F7DAA">
        <w:t xml:space="preserve">the customer would </w:t>
      </w:r>
      <w:r w:rsidR="000B7C51">
        <w:t xml:space="preserve">remain liable for the PSR.  </w:t>
      </w:r>
      <w:r>
        <w:t xml:space="preserve">Even if </w:t>
      </w:r>
      <w:r w:rsidR="000B7C51">
        <w:t>the</w:t>
      </w:r>
      <w:r>
        <w:t xml:space="preserve"> customer reduces consumption, Duke would still recover its above-market costs </w:t>
      </w:r>
      <w:r w:rsidR="003F7DAA">
        <w:t xml:space="preserve">from customers </w:t>
      </w:r>
      <w:r>
        <w:t xml:space="preserve">through the true-up built into </w:t>
      </w:r>
      <w:r w:rsidR="00B448EC">
        <w:t xml:space="preserve">the </w:t>
      </w:r>
      <w:r>
        <w:t xml:space="preserve">proposed rider.)  Thus, Duke’s </w:t>
      </w:r>
      <w:r w:rsidR="00C93904">
        <w:t>example</w:t>
      </w:r>
      <w:r>
        <w:t xml:space="preserve"> ignores a fundamental difference between a hedge and the PSR.  </w:t>
      </w:r>
      <w:r w:rsidR="00C33942">
        <w:t>A</w:t>
      </w:r>
      <w:r>
        <w:t xml:space="preserve"> </w:t>
      </w:r>
      <w:r w:rsidR="00191513">
        <w:t>hedge</w:t>
      </w:r>
      <w:r>
        <w:t xml:space="preserve"> reflects choice, a </w:t>
      </w:r>
      <w:r w:rsidR="002342D5">
        <w:t>policy outcome</w:t>
      </w:r>
      <w:r>
        <w:t xml:space="preserve"> the Commission is required to ensure when it approves an ESP</w:t>
      </w:r>
      <w:r>
        <w:rPr>
          <w:rStyle w:val="FootnoteReference"/>
        </w:rPr>
        <w:footnoteReference w:id="39"/>
      </w:r>
      <w:r w:rsidR="002F0738">
        <w:t>; t</w:t>
      </w:r>
      <w:r>
        <w:t xml:space="preserve">he </w:t>
      </w:r>
      <w:r w:rsidR="00D817D7">
        <w:t>authorization of the PSR would require</w:t>
      </w:r>
      <w:r>
        <w:t xml:space="preserve"> the customer to pay for something it may neither want nor value.</w:t>
      </w:r>
      <w:r w:rsidR="00C93904">
        <w:t xml:space="preserve">  </w:t>
      </w:r>
    </w:p>
    <w:p w:rsidR="002C4540" w:rsidRDefault="00D817D7" w:rsidP="00311E94">
      <w:pPr>
        <w:spacing w:after="120" w:line="480" w:lineRule="auto"/>
        <w:ind w:firstLine="720"/>
        <w:rPr>
          <w:rFonts w:eastAsia="Times New Roman" w:cs="Arial"/>
        </w:rPr>
      </w:pPr>
      <w:r>
        <w:rPr>
          <w:rFonts w:eastAsia="Times New Roman" w:cs="Arial"/>
        </w:rPr>
        <w:t xml:space="preserve">Through its faulty analogy, Duke has not provided </w:t>
      </w:r>
      <w:r w:rsidR="00A478FB">
        <w:rPr>
          <w:rFonts w:eastAsia="Times New Roman" w:cs="Arial"/>
        </w:rPr>
        <w:t>a</w:t>
      </w:r>
      <w:r>
        <w:rPr>
          <w:rFonts w:eastAsia="Times New Roman" w:cs="Arial"/>
        </w:rPr>
        <w:t xml:space="preserve"> reason for the Commission to authorize Duke to shift the </w:t>
      </w:r>
      <w:r w:rsidR="000B7C51">
        <w:rPr>
          <w:rFonts w:eastAsia="Times New Roman" w:cs="Arial"/>
        </w:rPr>
        <w:t>business</w:t>
      </w:r>
      <w:r>
        <w:rPr>
          <w:rFonts w:eastAsia="Times New Roman" w:cs="Arial"/>
        </w:rPr>
        <w:t xml:space="preserve"> risk associated with its retained interest in OVEC to retail customers.</w:t>
      </w:r>
      <w:r w:rsidRPr="00C33942">
        <w:rPr>
          <w:rStyle w:val="FootnoteReference"/>
        </w:rPr>
        <w:t xml:space="preserve"> </w:t>
      </w:r>
      <w:r>
        <w:rPr>
          <w:rStyle w:val="FootnoteReference"/>
        </w:rPr>
        <w:footnoteReference w:id="40"/>
      </w:r>
      <w:r>
        <w:t xml:space="preserve">  </w:t>
      </w:r>
      <w:r w:rsidR="000B7C51">
        <w:t>Th</w:t>
      </w:r>
      <w:r w:rsidR="006C0EC5">
        <w:t xml:space="preserve">e PSR will </w:t>
      </w:r>
      <w:r w:rsidR="00C97932">
        <w:t xml:space="preserve">not </w:t>
      </w:r>
      <w:r w:rsidR="006C0EC5">
        <w:t>“hedge” price changes that will occur in the retail gen</w:t>
      </w:r>
      <w:r w:rsidR="00A75C70">
        <w:t>eration market; its only effect</w:t>
      </w:r>
      <w:r w:rsidR="006C0EC5">
        <w:t xml:space="preserve"> </w:t>
      </w:r>
      <w:r w:rsidR="00A75C70">
        <w:t>is</w:t>
      </w:r>
      <w:r w:rsidR="006C0EC5">
        <w:t xml:space="preserve"> to shift Duke’s above-market costs of OVEC to </w:t>
      </w:r>
      <w:r w:rsidR="00A75C70">
        <w:t>Duke’s</w:t>
      </w:r>
      <w:r w:rsidR="006C0EC5">
        <w:t xml:space="preserve"> retail customers.  </w:t>
      </w:r>
      <w:r w:rsidR="00A478FB">
        <w:t xml:space="preserve">Further, customers already have a means to address retail price volatility.  </w:t>
      </w:r>
      <w:r w:rsidR="006C0EC5">
        <w:t xml:space="preserve">To the extent that a customer seeks to reduce retail generation price fluctuations, </w:t>
      </w:r>
      <w:r w:rsidR="00A478FB">
        <w:t>the customer may contract for retail generation service under</w:t>
      </w:r>
      <w:r w:rsidR="002C4540">
        <w:rPr>
          <w:rFonts w:eastAsia="Times New Roman" w:cs="Arial"/>
        </w:rPr>
        <w:t xml:space="preserve"> fixed price term contracts that reflect a tradeoff of term and price for up to the term of the ESP.</w:t>
      </w:r>
      <w:r w:rsidR="00F7720A">
        <w:rPr>
          <w:rStyle w:val="FootnoteReference"/>
          <w:rFonts w:eastAsia="Times New Roman" w:cs="Arial"/>
        </w:rPr>
        <w:footnoteReference w:id="41"/>
      </w:r>
      <w:r w:rsidR="002C4540">
        <w:rPr>
          <w:rFonts w:eastAsia="Times New Roman" w:cs="Arial"/>
        </w:rPr>
        <w:t xml:space="preserve">  </w:t>
      </w:r>
    </w:p>
    <w:p w:rsidR="00713CF6" w:rsidRDefault="00713CF6" w:rsidP="00297B27">
      <w:pPr>
        <w:pStyle w:val="Heading1"/>
      </w:pPr>
      <w:bookmarkStart w:id="28" w:name="_Toc419102907"/>
      <w:bookmarkStart w:id="29" w:name="_Toc419289616"/>
      <w:bookmarkStart w:id="30" w:name="_Toc419358128"/>
      <w:bookmarkStart w:id="31" w:name="_Toc419360156"/>
      <w:r>
        <w:t>Conclusion</w:t>
      </w:r>
      <w:bookmarkEnd w:id="28"/>
      <w:bookmarkEnd w:id="29"/>
      <w:bookmarkEnd w:id="30"/>
      <w:bookmarkEnd w:id="31"/>
    </w:p>
    <w:p w:rsidR="00713CF6" w:rsidRPr="00713CF6" w:rsidRDefault="00713CF6" w:rsidP="00297B27">
      <w:pPr>
        <w:spacing w:line="480" w:lineRule="auto"/>
        <w:ind w:firstLine="720"/>
        <w:rPr>
          <w:rFonts w:eastAsia="Times New Roman" w:cs="Arial"/>
        </w:rPr>
      </w:pPr>
      <w:r w:rsidRPr="00713CF6">
        <w:t xml:space="preserve">For the reasons discussed above, the Commission should deny </w:t>
      </w:r>
      <w:r>
        <w:t>Duke’s</w:t>
      </w:r>
      <w:r w:rsidRPr="00713CF6">
        <w:t xml:space="preserve"> </w:t>
      </w:r>
      <w:r w:rsidR="002C5911">
        <w:t>first and second assignments of error</w:t>
      </w:r>
      <w:r w:rsidRPr="00713CF6">
        <w:t xml:space="preserve">.  </w:t>
      </w:r>
      <w:r w:rsidR="002C5911">
        <w:t xml:space="preserve">The Commission properly found that the PSR does not satisfy a statutory requirement for authorization of the rider, and nothing in Duke’s </w:t>
      </w:r>
      <w:r w:rsidR="002C5911">
        <w:lastRenderedPageBreak/>
        <w:t xml:space="preserve">application for rehearing provides a lawful </w:t>
      </w:r>
      <w:r w:rsidR="006C612F">
        <w:t xml:space="preserve">and reasoned </w:t>
      </w:r>
      <w:r w:rsidR="002C5911">
        <w:t xml:space="preserve">basis to reverse that finding.  </w:t>
      </w:r>
      <w:r w:rsidR="00EC417C">
        <w:t>To bring the ESP Order into compliance with Ohio law</w:t>
      </w:r>
      <w:r w:rsidR="004036B7">
        <w:t xml:space="preserve">, however, </w:t>
      </w:r>
      <w:r w:rsidR="00EC417C">
        <w:t xml:space="preserve">the Commission </w:t>
      </w:r>
      <w:r w:rsidR="004036B7">
        <w:t xml:space="preserve">should reverse authorization of the placeholder PSR and the “future filing” </w:t>
      </w:r>
      <w:r w:rsidR="002C5911">
        <w:t>because t</w:t>
      </w:r>
      <w:r>
        <w:t>he</w:t>
      </w:r>
      <w:r w:rsidR="00EC417C">
        <w:t>ir</w:t>
      </w:r>
      <w:r>
        <w:t xml:space="preserve"> authorization violates</w:t>
      </w:r>
      <w:r w:rsidR="002C5911">
        <w:t xml:space="preserve"> Ohio</w:t>
      </w:r>
      <w:r w:rsidR="00F80A06">
        <w:t xml:space="preserve"> and federal</w:t>
      </w:r>
      <w:r w:rsidR="002C5911">
        <w:t xml:space="preserve"> law and is unreasonable.</w:t>
      </w:r>
    </w:p>
    <w:p w:rsidR="00713CF6" w:rsidRPr="00713CF6" w:rsidRDefault="00713CF6" w:rsidP="00713CF6">
      <w:pPr>
        <w:spacing w:after="200" w:line="276" w:lineRule="auto"/>
        <w:ind w:left="4320"/>
        <w:rPr>
          <w:rFonts w:eastAsia="Times New Roman" w:cs="Arial"/>
        </w:rPr>
      </w:pPr>
      <w:r w:rsidRPr="00713CF6">
        <w:rPr>
          <w:rFonts w:eastAsia="Times New Roman" w:cs="Arial"/>
        </w:rPr>
        <w:t>Respectfully submitted,</w:t>
      </w:r>
    </w:p>
    <w:p w:rsidR="00713CF6" w:rsidRPr="00713CF6" w:rsidRDefault="00713CF6" w:rsidP="00713CF6">
      <w:pPr>
        <w:tabs>
          <w:tab w:val="left" w:pos="4320"/>
          <w:tab w:val="right" w:pos="8640"/>
        </w:tabs>
        <w:spacing w:after="120"/>
        <w:ind w:left="4320" w:hanging="4320"/>
        <w:rPr>
          <w:rFonts w:eastAsia="Times New Roman" w:cs="Arial"/>
        </w:rPr>
      </w:pPr>
      <w:r w:rsidRPr="00713CF6">
        <w:rPr>
          <w:rFonts w:eastAsia="Times New Roman" w:cs="Arial"/>
        </w:rPr>
        <w:tab/>
      </w:r>
    </w:p>
    <w:p w:rsidR="00713CF6" w:rsidRPr="00713CF6" w:rsidRDefault="00713CF6" w:rsidP="00713CF6">
      <w:pPr>
        <w:tabs>
          <w:tab w:val="left" w:pos="4320"/>
          <w:tab w:val="right" w:pos="8640"/>
        </w:tabs>
        <w:ind w:left="4320" w:hanging="4320"/>
        <w:rPr>
          <w:rFonts w:eastAsia="Times New Roman" w:cs="Arial"/>
          <w:u w:val="single"/>
        </w:rPr>
      </w:pPr>
      <w:r w:rsidRPr="00713CF6">
        <w:rPr>
          <w:rFonts w:eastAsia="Times New Roman" w:cs="Arial"/>
        </w:rPr>
        <w:tab/>
      </w:r>
      <w:r w:rsidRPr="00713CF6">
        <w:rPr>
          <w:rFonts w:eastAsia="Times New Roman" w:cs="Arial"/>
          <w:u w:val="single"/>
        </w:rPr>
        <w:t>/s/ Frank P. Darr</w:t>
      </w:r>
      <w:r w:rsidRPr="00713CF6">
        <w:rPr>
          <w:rFonts w:eastAsia="Times New Roman" w:cs="Arial"/>
          <w:u w:val="single"/>
        </w:rPr>
        <w:tab/>
      </w:r>
    </w:p>
    <w:p w:rsidR="00713CF6" w:rsidRPr="00713CF6" w:rsidRDefault="00713CF6" w:rsidP="00713CF6">
      <w:pPr>
        <w:tabs>
          <w:tab w:val="left" w:pos="4320"/>
          <w:tab w:val="right" w:pos="8640"/>
        </w:tabs>
        <w:ind w:left="4320" w:hanging="4320"/>
        <w:rPr>
          <w:rFonts w:eastAsia="Times New Roman" w:cs="Arial"/>
          <w:bCs/>
          <w:lang w:val="fr-FR"/>
        </w:rPr>
      </w:pPr>
      <w:r w:rsidRPr="00713CF6">
        <w:rPr>
          <w:rFonts w:eastAsia="Times New Roman" w:cs="Arial"/>
        </w:rPr>
        <w:tab/>
      </w:r>
      <w:r w:rsidRPr="00713CF6">
        <w:rPr>
          <w:rFonts w:eastAsia="Times New Roman" w:cs="Arial"/>
          <w:bCs/>
          <w:lang w:val="fr-FR"/>
        </w:rPr>
        <w:t>Frank P. Darr</w:t>
      </w:r>
    </w:p>
    <w:p w:rsidR="00713CF6" w:rsidRPr="00713CF6" w:rsidRDefault="00713CF6" w:rsidP="00713CF6">
      <w:pPr>
        <w:widowControl w:val="0"/>
        <w:tabs>
          <w:tab w:val="left" w:pos="4320"/>
        </w:tabs>
        <w:ind w:left="4320" w:hanging="4320"/>
        <w:rPr>
          <w:rFonts w:eastAsia="Times New Roman" w:cs="Arial"/>
          <w:bCs/>
          <w:lang w:val="fr-FR"/>
        </w:rPr>
      </w:pPr>
      <w:r w:rsidRPr="00713CF6">
        <w:rPr>
          <w:rFonts w:eastAsia="Times New Roman" w:cs="Arial"/>
          <w:bCs/>
          <w:lang w:val="fr-FR"/>
        </w:rPr>
        <w:tab/>
        <w:t>Matthew R. Pritchard</w:t>
      </w:r>
    </w:p>
    <w:p w:rsidR="00713CF6" w:rsidRPr="00713CF6" w:rsidRDefault="00713CF6" w:rsidP="00713CF6">
      <w:pPr>
        <w:widowControl w:val="0"/>
        <w:tabs>
          <w:tab w:val="left" w:pos="4320"/>
        </w:tabs>
        <w:ind w:left="4320" w:hanging="4320"/>
        <w:rPr>
          <w:rFonts w:eastAsia="Times New Roman" w:cs="Arial"/>
          <w:bCs/>
          <w:smallCaps/>
        </w:rPr>
      </w:pPr>
      <w:r w:rsidRPr="00713CF6">
        <w:rPr>
          <w:rFonts w:eastAsia="Times New Roman" w:cs="Arial"/>
          <w:bCs/>
          <w:lang w:val="fr-FR"/>
        </w:rPr>
        <w:tab/>
      </w:r>
      <w:r w:rsidRPr="00713CF6">
        <w:rPr>
          <w:rFonts w:eastAsia="Times New Roman" w:cs="Arial"/>
          <w:bCs/>
          <w:smallCaps/>
        </w:rPr>
        <w:t>McNees Wallace &amp; Nurick LLC</w:t>
      </w:r>
    </w:p>
    <w:p w:rsidR="00713CF6" w:rsidRPr="00713CF6" w:rsidRDefault="00713CF6" w:rsidP="00713CF6">
      <w:pPr>
        <w:widowControl w:val="0"/>
        <w:tabs>
          <w:tab w:val="left" w:pos="4320"/>
        </w:tabs>
        <w:ind w:left="4320" w:hanging="4320"/>
        <w:rPr>
          <w:rFonts w:eastAsia="Times New Roman" w:cs="Arial"/>
          <w:bCs/>
        </w:rPr>
      </w:pPr>
      <w:r w:rsidRPr="00713CF6">
        <w:rPr>
          <w:rFonts w:eastAsia="Times New Roman" w:cs="Arial"/>
          <w:bCs/>
        </w:rPr>
        <w:tab/>
        <w:t>21 East State Street, 17</w:t>
      </w:r>
      <w:r w:rsidRPr="00713CF6">
        <w:rPr>
          <w:rFonts w:eastAsia="Times New Roman" w:cs="Arial"/>
          <w:bCs/>
          <w:vertAlign w:val="superscript"/>
        </w:rPr>
        <w:t>TH</w:t>
      </w:r>
      <w:r w:rsidRPr="00713CF6">
        <w:rPr>
          <w:rFonts w:eastAsia="Times New Roman" w:cs="Arial"/>
          <w:bCs/>
        </w:rPr>
        <w:t xml:space="preserve"> Floor</w:t>
      </w:r>
    </w:p>
    <w:p w:rsidR="00713CF6" w:rsidRPr="00713CF6" w:rsidRDefault="00713CF6" w:rsidP="00713CF6">
      <w:pPr>
        <w:tabs>
          <w:tab w:val="left" w:pos="4320"/>
        </w:tabs>
        <w:ind w:left="4320" w:hanging="4320"/>
        <w:rPr>
          <w:rFonts w:eastAsia="Calibri" w:cs="Arial"/>
        </w:rPr>
      </w:pPr>
      <w:r w:rsidRPr="00713CF6">
        <w:rPr>
          <w:rFonts w:eastAsia="Calibri" w:cs="Arial"/>
        </w:rPr>
        <w:tab/>
        <w:t>Columbus, OH  43215</w:t>
      </w:r>
    </w:p>
    <w:p w:rsidR="00713CF6" w:rsidRPr="00713CF6" w:rsidRDefault="00713CF6" w:rsidP="00713CF6">
      <w:pPr>
        <w:tabs>
          <w:tab w:val="left" w:pos="4320"/>
        </w:tabs>
        <w:ind w:left="4320" w:hanging="4320"/>
        <w:rPr>
          <w:rFonts w:eastAsia="Calibri" w:cs="Arial"/>
        </w:rPr>
      </w:pPr>
      <w:r w:rsidRPr="00713CF6">
        <w:rPr>
          <w:rFonts w:eastAsia="Calibri" w:cs="Arial"/>
        </w:rPr>
        <w:tab/>
        <w:t>Telephone:  (614) 469-8000</w:t>
      </w:r>
    </w:p>
    <w:p w:rsidR="00713CF6" w:rsidRPr="00713CF6" w:rsidRDefault="00713CF6" w:rsidP="00713CF6">
      <w:pPr>
        <w:tabs>
          <w:tab w:val="left" w:pos="4320"/>
        </w:tabs>
        <w:ind w:left="4320" w:hanging="4320"/>
        <w:rPr>
          <w:rFonts w:eastAsia="Calibri" w:cs="Arial"/>
        </w:rPr>
      </w:pPr>
      <w:r w:rsidRPr="00713CF6">
        <w:rPr>
          <w:rFonts w:eastAsia="Calibri" w:cs="Arial"/>
        </w:rPr>
        <w:tab/>
        <w:t>Telecopier:  (614) 469-4653</w:t>
      </w:r>
    </w:p>
    <w:p w:rsidR="00713CF6" w:rsidRPr="00713CF6" w:rsidRDefault="00713CF6" w:rsidP="00713CF6">
      <w:pPr>
        <w:ind w:left="4320" w:hanging="4320"/>
        <w:rPr>
          <w:rFonts w:eastAsia="Calibri" w:cs="Arial"/>
        </w:rPr>
      </w:pPr>
      <w:r w:rsidRPr="00713CF6">
        <w:rPr>
          <w:rFonts w:eastAsia="Calibri" w:cs="Arial"/>
        </w:rPr>
        <w:tab/>
        <w:t>fdarr@mwncmh.com</w:t>
      </w:r>
    </w:p>
    <w:p w:rsidR="00713CF6" w:rsidRPr="00713CF6" w:rsidRDefault="00713CF6" w:rsidP="00713CF6">
      <w:pPr>
        <w:ind w:left="4320" w:hanging="4320"/>
        <w:rPr>
          <w:rFonts w:eastAsia="Calibri" w:cs="Arial"/>
        </w:rPr>
      </w:pPr>
      <w:r w:rsidRPr="00713CF6">
        <w:rPr>
          <w:rFonts w:eastAsia="Calibri" w:cs="Arial"/>
        </w:rPr>
        <w:tab/>
        <w:t>mpritchard@mwncmh.com</w:t>
      </w:r>
    </w:p>
    <w:p w:rsidR="00713CF6" w:rsidRPr="00713CF6" w:rsidRDefault="00713CF6" w:rsidP="00713CF6">
      <w:pPr>
        <w:spacing w:after="120"/>
        <w:ind w:left="4320" w:hanging="4320"/>
        <w:rPr>
          <w:rFonts w:eastAsia="Calibri" w:cs="Arial"/>
        </w:rPr>
      </w:pPr>
    </w:p>
    <w:p w:rsidR="00713CF6" w:rsidRPr="00713CF6" w:rsidRDefault="00713CF6" w:rsidP="00713CF6">
      <w:pPr>
        <w:spacing w:after="120"/>
        <w:rPr>
          <w:rFonts w:eastAsia="Calibri" w:cs="Arial"/>
          <w:b/>
        </w:rPr>
      </w:pPr>
      <w:r w:rsidRPr="00713CF6">
        <w:rPr>
          <w:rFonts w:eastAsia="Calibri" w:cs="Arial"/>
          <w:b/>
        </w:rPr>
        <w:tab/>
      </w:r>
      <w:r w:rsidRPr="00713CF6">
        <w:rPr>
          <w:rFonts w:eastAsia="Calibri" w:cs="Arial"/>
          <w:b/>
        </w:rPr>
        <w:tab/>
      </w:r>
      <w:r w:rsidRPr="00713CF6">
        <w:rPr>
          <w:rFonts w:eastAsia="Calibri" w:cs="Arial"/>
          <w:b/>
        </w:rPr>
        <w:tab/>
      </w:r>
      <w:r w:rsidRPr="00713CF6">
        <w:rPr>
          <w:rFonts w:eastAsia="Calibri" w:cs="Arial"/>
          <w:b/>
        </w:rPr>
        <w:tab/>
      </w:r>
      <w:r w:rsidRPr="00713CF6">
        <w:rPr>
          <w:rFonts w:eastAsia="Calibri" w:cs="Arial"/>
          <w:b/>
        </w:rPr>
        <w:tab/>
      </w:r>
      <w:r w:rsidRPr="00713CF6">
        <w:rPr>
          <w:rFonts w:eastAsia="Calibri" w:cs="Arial"/>
          <w:b/>
        </w:rPr>
        <w:tab/>
        <w:t>Attorneys for Industrial Energy Users-Ohio</w:t>
      </w:r>
    </w:p>
    <w:p w:rsidR="009225FC" w:rsidRDefault="009225FC">
      <w:pPr>
        <w:sectPr w:rsidR="009225FC" w:rsidSect="0082037F">
          <w:footerReference w:type="default" r:id="rId19"/>
          <w:footerReference w:type="first" r:id="rId20"/>
          <w:pgSz w:w="12240" w:h="15840" w:code="1"/>
          <w:pgMar w:top="1440" w:right="1440" w:bottom="1440" w:left="1440" w:header="720" w:footer="720" w:gutter="0"/>
          <w:pgNumType w:start="1"/>
          <w:cols w:space="720"/>
          <w:titlePg/>
          <w:docGrid w:linePitch="360"/>
        </w:sectPr>
      </w:pPr>
    </w:p>
    <w:p w:rsidR="00713CF6" w:rsidRPr="00713CF6" w:rsidRDefault="00713CF6" w:rsidP="00713CF6">
      <w:pPr>
        <w:jc w:val="center"/>
        <w:rPr>
          <w:rFonts w:ascii="Arial Bold" w:eastAsia="Calibri" w:hAnsi="Arial Bold" w:cs="Arial"/>
          <w:b/>
          <w:smallCaps/>
          <w:sz w:val="28"/>
          <w:szCs w:val="28"/>
          <w:u w:val="single"/>
        </w:rPr>
      </w:pPr>
      <w:r w:rsidRPr="00713CF6">
        <w:rPr>
          <w:rFonts w:ascii="Arial Bold" w:eastAsia="Calibri" w:hAnsi="Arial Bold" w:cs="Arial"/>
          <w:b/>
          <w:smallCaps/>
          <w:sz w:val="28"/>
          <w:szCs w:val="28"/>
          <w:u w:val="single"/>
        </w:rPr>
        <w:lastRenderedPageBreak/>
        <w:t>Certificate Of Service</w:t>
      </w:r>
    </w:p>
    <w:p w:rsidR="00713CF6" w:rsidRDefault="00713CF6" w:rsidP="00713CF6">
      <w:pPr>
        <w:jc w:val="center"/>
        <w:rPr>
          <w:rFonts w:ascii="Arial Bold" w:eastAsia="Calibri" w:hAnsi="Arial Bold" w:cs="Arial"/>
          <w:b/>
          <w:smallCaps/>
          <w:u w:val="single"/>
        </w:rPr>
      </w:pPr>
    </w:p>
    <w:p w:rsidR="00605A62" w:rsidRPr="00713CF6" w:rsidRDefault="00605A62" w:rsidP="00713CF6">
      <w:pPr>
        <w:jc w:val="center"/>
        <w:rPr>
          <w:rFonts w:ascii="Arial Bold" w:eastAsia="Calibri" w:hAnsi="Arial Bold" w:cs="Arial"/>
          <w:b/>
          <w:smallCaps/>
          <w:u w:val="single"/>
        </w:rPr>
      </w:pPr>
    </w:p>
    <w:p w:rsidR="00311E94" w:rsidRDefault="00713CF6" w:rsidP="00713CF6">
      <w:pPr>
        <w:tabs>
          <w:tab w:val="left" w:pos="-1440"/>
          <w:tab w:val="left" w:pos="-720"/>
          <w:tab w:val="left" w:pos="5040"/>
          <w:tab w:val="center" w:pos="7200"/>
        </w:tabs>
        <w:overflowPunct w:val="0"/>
        <w:autoSpaceDE w:val="0"/>
        <w:autoSpaceDN w:val="0"/>
        <w:adjustRightInd w:val="0"/>
        <w:spacing w:line="480" w:lineRule="auto"/>
        <w:ind w:firstLine="720"/>
        <w:rPr>
          <w:rFonts w:eastAsia="Calibri" w:cs="Times New Roman"/>
        </w:rPr>
      </w:pPr>
      <w:r w:rsidRPr="00713CF6">
        <w:rPr>
          <w:rFonts w:eastAsia="Calibri" w:cs="Times New Roman"/>
        </w:rPr>
        <w:t xml:space="preserve">In accordance with Rule 4901-1-05, Ohio Administrative Code, the Commission’s e-filing system will electronically serve notice of the filing of this document upon the following parties.  In addition, I hereby certify that a service copy of the foregoing </w:t>
      </w:r>
      <w:r>
        <w:rPr>
          <w:rFonts w:eastAsia="Calibri" w:cs="Times New Roman"/>
          <w:i/>
        </w:rPr>
        <w:t>Memorandum of Industrial Energy Users-Ohio in Opposition to the</w:t>
      </w:r>
      <w:r w:rsidRPr="00713CF6">
        <w:rPr>
          <w:rFonts w:eastAsia="Calibri" w:cs="Times New Roman"/>
          <w:i/>
        </w:rPr>
        <w:t xml:space="preserve"> </w:t>
      </w:r>
      <w:r w:rsidR="00A41CF7">
        <w:rPr>
          <w:rFonts w:eastAsia="Calibri" w:cs="Times New Roman"/>
          <w:i/>
        </w:rPr>
        <w:t xml:space="preserve">Application for </w:t>
      </w:r>
      <w:r w:rsidRPr="00713CF6">
        <w:rPr>
          <w:rFonts w:eastAsia="Calibri" w:cs="Times New Roman"/>
          <w:i/>
        </w:rPr>
        <w:t xml:space="preserve">Rehearing </w:t>
      </w:r>
      <w:r>
        <w:rPr>
          <w:rFonts w:eastAsia="Calibri" w:cs="Times New Roman"/>
          <w:i/>
        </w:rPr>
        <w:t>of Duke Energy Ohio, Inc.</w:t>
      </w:r>
      <w:r w:rsidRPr="00713CF6">
        <w:rPr>
          <w:rFonts w:eastAsia="Calibri" w:cs="Times New Roman"/>
          <w:i/>
        </w:rPr>
        <w:t xml:space="preserve"> </w:t>
      </w:r>
      <w:r w:rsidRPr="00713CF6">
        <w:rPr>
          <w:rFonts w:eastAsia="Calibri" w:cs="Times New Roman"/>
        </w:rPr>
        <w:t xml:space="preserve">was sent by, or on behalf of, the undersigned counsel for IEU-Ohio to the following parties of record this </w:t>
      </w:r>
      <w:r w:rsidR="004438D2">
        <w:rPr>
          <w:rFonts w:eastAsia="Calibri" w:cs="Times New Roman"/>
        </w:rPr>
        <w:t>14</w:t>
      </w:r>
      <w:r>
        <w:rPr>
          <w:rFonts w:eastAsia="Calibri" w:cs="Times New Roman"/>
        </w:rPr>
        <w:t>th</w:t>
      </w:r>
      <w:r w:rsidRPr="00713CF6">
        <w:rPr>
          <w:rFonts w:eastAsia="Calibri" w:cs="Times New Roman"/>
        </w:rPr>
        <w:t xml:space="preserve"> day of May 2015, </w:t>
      </w:r>
      <w:r w:rsidRPr="00713CF6">
        <w:rPr>
          <w:rFonts w:eastAsia="Calibri" w:cs="Times New Roman"/>
          <w:i/>
        </w:rPr>
        <w:t>via</w:t>
      </w:r>
      <w:r w:rsidRPr="00713CF6">
        <w:rPr>
          <w:rFonts w:eastAsia="Calibri" w:cs="Times New Roman"/>
        </w:rPr>
        <w:t xml:space="preserve"> electroni</w:t>
      </w:r>
      <w:r w:rsidR="00311E94">
        <w:rPr>
          <w:rFonts w:eastAsia="Calibri" w:cs="Times New Roman"/>
        </w:rPr>
        <w:t>c transmission.</w:t>
      </w:r>
    </w:p>
    <w:p w:rsidR="00311E94" w:rsidRDefault="00311E94" w:rsidP="00A765DB">
      <w:pPr>
        <w:tabs>
          <w:tab w:val="left" w:pos="-1440"/>
          <w:tab w:val="left" w:pos="-720"/>
          <w:tab w:val="left" w:pos="5040"/>
          <w:tab w:val="center" w:pos="7200"/>
        </w:tabs>
        <w:overflowPunct w:val="0"/>
        <w:autoSpaceDE w:val="0"/>
        <w:autoSpaceDN w:val="0"/>
        <w:adjustRightInd w:val="0"/>
        <w:ind w:firstLine="720"/>
        <w:rPr>
          <w:rFonts w:eastAsia="Calibri" w:cs="Times New Roman"/>
          <w:sz w:val="20"/>
          <w:szCs w:val="20"/>
        </w:rPr>
        <w:sectPr w:rsidR="00311E94" w:rsidSect="009225FC">
          <w:pgSz w:w="12240" w:h="15840" w:code="1"/>
          <w:pgMar w:top="1440" w:right="1440" w:bottom="1440" w:left="1440" w:header="720" w:footer="720" w:gutter="0"/>
          <w:pgNumType w:start="1"/>
          <w:cols w:space="720"/>
          <w:titlePg/>
          <w:docGrid w:linePitch="360"/>
        </w:sectPr>
      </w:pPr>
    </w:p>
    <w:p w:rsidR="00713CF6" w:rsidRPr="00713CF6" w:rsidRDefault="00713CF6" w:rsidP="00713CF6">
      <w:pPr>
        <w:tabs>
          <w:tab w:val="left" w:pos="-1440"/>
          <w:tab w:val="left" w:pos="-720"/>
          <w:tab w:val="left" w:pos="5040"/>
          <w:tab w:val="center" w:pos="7200"/>
          <w:tab w:val="right" w:pos="9360"/>
        </w:tabs>
        <w:ind w:firstLine="5040"/>
        <w:rPr>
          <w:rFonts w:eastAsia="Calibri" w:cs="Arial"/>
          <w:i/>
        </w:rPr>
      </w:pPr>
      <w:r w:rsidRPr="00713CF6">
        <w:rPr>
          <w:rFonts w:eastAsia="Calibri" w:cs="Arial"/>
          <w:i/>
          <w:u w:val="single"/>
        </w:rPr>
        <w:lastRenderedPageBreak/>
        <w:t>/s/ Frank P. Darr</w:t>
      </w:r>
      <w:r w:rsidRPr="00713CF6">
        <w:rPr>
          <w:rFonts w:eastAsia="Calibri" w:cs="Arial"/>
          <w:i/>
          <w:u w:val="single"/>
        </w:rPr>
        <w:tab/>
      </w:r>
      <w:r w:rsidRPr="00713CF6">
        <w:rPr>
          <w:rFonts w:eastAsia="Calibri" w:cs="Arial"/>
          <w:i/>
          <w:u w:val="single"/>
        </w:rPr>
        <w:tab/>
      </w:r>
    </w:p>
    <w:p w:rsidR="00713CF6" w:rsidRPr="00713CF6" w:rsidRDefault="00713CF6" w:rsidP="00713CF6">
      <w:pPr>
        <w:tabs>
          <w:tab w:val="left" w:pos="4320"/>
          <w:tab w:val="center" w:pos="6840"/>
        </w:tabs>
        <w:rPr>
          <w:rFonts w:eastAsia="Calibri" w:cs="Arial"/>
        </w:rPr>
        <w:sectPr w:rsidR="00713CF6" w:rsidRPr="00713CF6" w:rsidSect="00311E94">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pgNumType w:start="1"/>
          <w:cols w:space="720"/>
          <w:titlePg/>
          <w:docGrid w:linePitch="360"/>
        </w:sectPr>
      </w:pPr>
      <w:r w:rsidRPr="00713CF6">
        <w:rPr>
          <w:rFonts w:ascii="Times New Roman" w:eastAsia="Calibri" w:hAnsi="Times New Roman" w:cs="Arial"/>
        </w:rPr>
        <w:tab/>
      </w:r>
      <w:r w:rsidRPr="00713CF6">
        <w:rPr>
          <w:rFonts w:ascii="Times New Roman" w:eastAsia="Calibri" w:hAnsi="Times New Roman" w:cs="Arial"/>
        </w:rPr>
        <w:tab/>
      </w:r>
      <w:r w:rsidRPr="00713CF6">
        <w:rPr>
          <w:rFonts w:eastAsia="Calibri" w:cs="Arial"/>
        </w:rPr>
        <w:t>Frank P. Darr</w:t>
      </w:r>
    </w:p>
    <w:p w:rsidR="00311E94" w:rsidRDefault="00311E94" w:rsidP="00311E94">
      <w:pPr>
        <w:tabs>
          <w:tab w:val="left" w:pos="2160"/>
          <w:tab w:val="left" w:pos="2280"/>
        </w:tabs>
        <w:rPr>
          <w:rFonts w:eastAsia="Times New Roman" w:cs="Arial"/>
        </w:rPr>
      </w:pP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Amy B. Spiller</w:t>
      </w:r>
      <w:r>
        <w:rPr>
          <w:rFonts w:eastAsia="Times New Roman" w:cs="Arial"/>
        </w:rPr>
        <w:t xml:space="preserve"> (0047277)</w:t>
      </w:r>
    </w:p>
    <w:p w:rsidR="00311E94" w:rsidRDefault="00311E94" w:rsidP="00C97932">
      <w:pPr>
        <w:tabs>
          <w:tab w:val="left" w:pos="2160"/>
          <w:tab w:val="left" w:pos="2280"/>
        </w:tabs>
        <w:jc w:val="left"/>
        <w:rPr>
          <w:rFonts w:eastAsia="Times New Roman" w:cs="Arial"/>
        </w:rPr>
      </w:pPr>
      <w:r>
        <w:rPr>
          <w:rFonts w:eastAsia="Times New Roman" w:cs="Arial"/>
        </w:rPr>
        <w:t>Rocco D’Ascenzo (0077651)</w:t>
      </w:r>
    </w:p>
    <w:p w:rsidR="00311E94" w:rsidRDefault="00311E94" w:rsidP="00C97932">
      <w:pPr>
        <w:tabs>
          <w:tab w:val="left" w:pos="2160"/>
          <w:tab w:val="left" w:pos="2280"/>
        </w:tabs>
        <w:jc w:val="left"/>
        <w:rPr>
          <w:rFonts w:eastAsia="Times New Roman" w:cs="Arial"/>
        </w:rPr>
      </w:pPr>
      <w:r>
        <w:rPr>
          <w:rFonts w:eastAsia="Times New Roman" w:cs="Arial"/>
        </w:rPr>
        <w:t>Jeanne Kingery (0012172)</w:t>
      </w:r>
    </w:p>
    <w:p w:rsidR="00311E94" w:rsidRDefault="00311E94" w:rsidP="00C97932">
      <w:pPr>
        <w:tabs>
          <w:tab w:val="left" w:pos="2160"/>
          <w:tab w:val="left" w:pos="2280"/>
        </w:tabs>
        <w:jc w:val="left"/>
        <w:rPr>
          <w:rFonts w:eastAsia="Times New Roman" w:cs="Arial"/>
        </w:rPr>
      </w:pPr>
      <w:r>
        <w:rPr>
          <w:rFonts w:eastAsia="Times New Roman" w:cs="Arial"/>
        </w:rPr>
        <w:t>Elizabeth Watts (0031092)</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Dian</w:t>
      </w:r>
      <w:r>
        <w:rPr>
          <w:rFonts w:eastAsia="Times New Roman" w:cs="Arial"/>
        </w:rPr>
        <w:t>ne</w:t>
      </w:r>
      <w:r w:rsidRPr="00441533">
        <w:rPr>
          <w:rFonts w:eastAsia="Times New Roman" w:cs="Arial"/>
        </w:rPr>
        <w:t xml:space="preserve"> Kuhnell</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Duke Energy</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139 E. Fourth Street, 1303-Main</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PO Box 961</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Cincinnati, OH  45201-0960</w:t>
      </w:r>
    </w:p>
    <w:p w:rsidR="00311E94" w:rsidRPr="00C27FE6" w:rsidRDefault="0082037F" w:rsidP="00C97932">
      <w:pPr>
        <w:tabs>
          <w:tab w:val="left" w:pos="2160"/>
          <w:tab w:val="left" w:pos="2280"/>
        </w:tabs>
        <w:jc w:val="left"/>
        <w:rPr>
          <w:rFonts w:eastAsia="Times New Roman" w:cs="Arial"/>
        </w:rPr>
      </w:pPr>
      <w:hyperlink r:id="rId25" w:history="1">
        <w:r w:rsidR="00311E94" w:rsidRPr="00C27FE6">
          <w:rPr>
            <w:rFonts w:eastAsia="Times New Roman" w:cs="Arial"/>
          </w:rPr>
          <w:t>Amy.Spiller@duke-energy.com</w:t>
        </w:r>
      </w:hyperlink>
    </w:p>
    <w:p w:rsidR="00311E94" w:rsidRPr="00311E94" w:rsidRDefault="0082037F" w:rsidP="00C97932">
      <w:pPr>
        <w:tabs>
          <w:tab w:val="left" w:pos="2160"/>
          <w:tab w:val="left" w:pos="2280"/>
        </w:tabs>
        <w:jc w:val="left"/>
        <w:rPr>
          <w:rFonts w:cs="Arial"/>
        </w:rPr>
      </w:pPr>
      <w:hyperlink r:id="rId26" w:history="1">
        <w:r w:rsidR="00311E94" w:rsidRPr="00311E94">
          <w:rPr>
            <w:rStyle w:val="Hyperlink"/>
            <w:color w:val="auto"/>
            <w:u w:val="none"/>
          </w:rPr>
          <w:t>Rocco.dascenzo@duke-energy.com</w:t>
        </w:r>
      </w:hyperlink>
    </w:p>
    <w:p w:rsidR="00311E94" w:rsidRPr="00311E94" w:rsidRDefault="0082037F" w:rsidP="00C97932">
      <w:pPr>
        <w:tabs>
          <w:tab w:val="left" w:pos="2160"/>
          <w:tab w:val="left" w:pos="2280"/>
        </w:tabs>
        <w:jc w:val="left"/>
        <w:rPr>
          <w:rFonts w:cs="Arial"/>
        </w:rPr>
      </w:pPr>
      <w:hyperlink r:id="rId27" w:history="1">
        <w:r w:rsidR="00311E94" w:rsidRPr="00311E94">
          <w:rPr>
            <w:rStyle w:val="Hyperlink"/>
            <w:color w:val="auto"/>
            <w:u w:val="none"/>
          </w:rPr>
          <w:t>Jeanne.kingery@duke-energy.com</w:t>
        </w:r>
      </w:hyperlink>
    </w:p>
    <w:p w:rsidR="00311E94" w:rsidRPr="00311E94" w:rsidRDefault="0082037F" w:rsidP="00C97932">
      <w:pPr>
        <w:tabs>
          <w:tab w:val="left" w:pos="2160"/>
          <w:tab w:val="left" w:pos="2280"/>
        </w:tabs>
        <w:jc w:val="left"/>
        <w:rPr>
          <w:rFonts w:cs="Arial"/>
        </w:rPr>
      </w:pPr>
      <w:hyperlink r:id="rId28" w:history="1">
        <w:r w:rsidR="00311E94" w:rsidRPr="00311E94">
          <w:rPr>
            <w:rStyle w:val="Hyperlink"/>
            <w:color w:val="auto"/>
            <w:u w:val="none"/>
          </w:rPr>
          <w:t>Elizabeth.watts@duke-energy.com</w:t>
        </w:r>
      </w:hyperlink>
    </w:p>
    <w:p w:rsidR="00311E94" w:rsidRPr="00C27FE6" w:rsidRDefault="0082037F" w:rsidP="00C97932">
      <w:pPr>
        <w:tabs>
          <w:tab w:val="left" w:pos="2160"/>
          <w:tab w:val="left" w:pos="2280"/>
        </w:tabs>
        <w:jc w:val="left"/>
        <w:rPr>
          <w:rFonts w:eastAsia="Times New Roman" w:cs="Arial"/>
        </w:rPr>
      </w:pPr>
      <w:hyperlink r:id="rId29" w:history="1">
        <w:r w:rsidR="00311E94" w:rsidRPr="00C27FE6">
          <w:rPr>
            <w:rFonts w:eastAsia="Times New Roman" w:cs="Arial"/>
          </w:rPr>
          <w:t>Dianne.Kuhnell@duke-energy.com</w:t>
        </w:r>
      </w:hyperlink>
    </w:p>
    <w:p w:rsidR="00311E94" w:rsidRPr="00C27FE6"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Duke Energy</w:t>
      </w:r>
      <w:r>
        <w:rPr>
          <w:rFonts w:ascii="Arial Bold" w:eastAsia="Times New Roman" w:hAnsi="Arial Bold" w:cs="Arial"/>
          <w:b/>
          <w:smallCaps/>
        </w:rPr>
        <w:t xml:space="preserve"> Ohio</w:t>
      </w:r>
    </w:p>
    <w:p w:rsidR="00311E94" w:rsidRDefault="00311E94" w:rsidP="00C97932">
      <w:pPr>
        <w:tabs>
          <w:tab w:val="left" w:pos="2160"/>
          <w:tab w:val="left" w:pos="2280"/>
        </w:tabs>
        <w:jc w:val="left"/>
        <w:rPr>
          <w:rFonts w:eastAsia="Times New Roman" w:cs="Arial"/>
        </w:rPr>
      </w:pPr>
    </w:p>
    <w:p w:rsidR="00A765DB" w:rsidRPr="00441533" w:rsidRDefault="00A765DB" w:rsidP="00C97932">
      <w:pPr>
        <w:tabs>
          <w:tab w:val="left" w:pos="2160"/>
          <w:tab w:val="left" w:pos="2280"/>
        </w:tabs>
        <w:jc w:val="left"/>
        <w:rPr>
          <w:rFonts w:eastAsia="Times New Roman" w:cs="Arial"/>
        </w:rPr>
      </w:pPr>
      <w:r w:rsidRPr="00441533">
        <w:rPr>
          <w:rFonts w:eastAsia="Times New Roman" w:cs="Arial"/>
        </w:rPr>
        <w:t>Kevin R. Schmidt</w:t>
      </w:r>
      <w:r>
        <w:rPr>
          <w:rFonts w:eastAsia="Times New Roman" w:cs="Arial"/>
        </w:rPr>
        <w:t xml:space="preserve"> (0086722)</w:t>
      </w:r>
    </w:p>
    <w:p w:rsidR="00A765DB" w:rsidRPr="00441533" w:rsidRDefault="00A765DB" w:rsidP="00C97932">
      <w:pPr>
        <w:tabs>
          <w:tab w:val="left" w:pos="2160"/>
          <w:tab w:val="left" w:pos="2280"/>
        </w:tabs>
        <w:jc w:val="left"/>
        <w:rPr>
          <w:rFonts w:eastAsia="Times New Roman" w:cs="Arial"/>
        </w:rPr>
      </w:pPr>
      <w:r w:rsidRPr="00441533">
        <w:rPr>
          <w:rFonts w:eastAsia="Times New Roman" w:cs="Arial"/>
        </w:rPr>
        <w:t>88 East Broad Street, Suite 1770</w:t>
      </w:r>
    </w:p>
    <w:p w:rsidR="00A765DB" w:rsidRPr="00441533" w:rsidRDefault="00A765DB" w:rsidP="00C97932">
      <w:pPr>
        <w:tabs>
          <w:tab w:val="left" w:pos="2160"/>
          <w:tab w:val="left" w:pos="2280"/>
        </w:tabs>
        <w:jc w:val="left"/>
        <w:rPr>
          <w:rFonts w:eastAsia="Times New Roman" w:cs="Arial"/>
        </w:rPr>
      </w:pPr>
      <w:r w:rsidRPr="00441533">
        <w:rPr>
          <w:rFonts w:eastAsia="Times New Roman" w:cs="Arial"/>
        </w:rPr>
        <w:t>Columbus, OH  43215</w:t>
      </w:r>
    </w:p>
    <w:p w:rsidR="00A765DB" w:rsidRPr="00C27FE6" w:rsidRDefault="0082037F" w:rsidP="00C97932">
      <w:pPr>
        <w:tabs>
          <w:tab w:val="left" w:pos="2160"/>
          <w:tab w:val="left" w:pos="2280"/>
        </w:tabs>
        <w:jc w:val="left"/>
        <w:rPr>
          <w:rFonts w:eastAsia="Times New Roman" w:cs="Arial"/>
        </w:rPr>
      </w:pPr>
      <w:hyperlink r:id="rId30" w:history="1">
        <w:r w:rsidR="00A765DB" w:rsidRPr="00C27FE6">
          <w:rPr>
            <w:rFonts w:eastAsia="Times New Roman" w:cs="Arial"/>
          </w:rPr>
          <w:t>Schmidt@sppgrp.com</w:t>
        </w:r>
      </w:hyperlink>
    </w:p>
    <w:p w:rsidR="00A765DB" w:rsidRPr="00441533" w:rsidRDefault="00A765DB" w:rsidP="00C97932">
      <w:pPr>
        <w:tabs>
          <w:tab w:val="left" w:pos="2160"/>
          <w:tab w:val="left" w:pos="2280"/>
        </w:tabs>
        <w:jc w:val="left"/>
        <w:rPr>
          <w:rFonts w:eastAsia="Times New Roman" w:cs="Arial"/>
        </w:rPr>
      </w:pPr>
    </w:p>
    <w:p w:rsidR="00A765DB" w:rsidRPr="00441533" w:rsidRDefault="00A765DB"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Energy Professionals of Ohio</w:t>
      </w:r>
    </w:p>
    <w:p w:rsidR="00A765DB" w:rsidRPr="00441533" w:rsidRDefault="00A765DB" w:rsidP="00C97932">
      <w:pPr>
        <w:tabs>
          <w:tab w:val="left" w:pos="2160"/>
          <w:tab w:val="left" w:pos="2280"/>
        </w:tabs>
        <w:jc w:val="left"/>
        <w:rPr>
          <w:rFonts w:eastAsia="Times New Roman" w:cs="Arial"/>
        </w:rPr>
      </w:pPr>
      <w:r>
        <w:rPr>
          <w:rFonts w:eastAsia="Times New Roman" w:cs="Arial"/>
        </w:rPr>
        <w:br w:type="column"/>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Jody Kyler Cohn</w:t>
      </w:r>
      <w:r>
        <w:rPr>
          <w:rFonts w:eastAsia="Times New Roman" w:cs="Arial"/>
        </w:rPr>
        <w:t xml:space="preserve"> (0085402)</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David Boehm</w:t>
      </w:r>
      <w:r>
        <w:rPr>
          <w:rFonts w:eastAsia="Times New Roman" w:cs="Arial"/>
        </w:rPr>
        <w:t xml:space="preserve"> (0021881)</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Michael Kurtz</w:t>
      </w:r>
      <w:r>
        <w:rPr>
          <w:rFonts w:eastAsia="Times New Roman" w:cs="Arial"/>
        </w:rPr>
        <w:t xml:space="preserve"> (0033350)</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Boehm, Kurtz &amp; Lowry</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36 East Seventh St., Suite 1510</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Cincinnati, OH  45202</w:t>
      </w:r>
    </w:p>
    <w:p w:rsidR="00311E94" w:rsidRPr="00C27FE6" w:rsidRDefault="0082037F" w:rsidP="00C97932">
      <w:pPr>
        <w:tabs>
          <w:tab w:val="left" w:pos="2160"/>
          <w:tab w:val="left" w:pos="2280"/>
        </w:tabs>
        <w:jc w:val="left"/>
        <w:rPr>
          <w:rFonts w:eastAsia="Times New Roman" w:cs="Arial"/>
        </w:rPr>
      </w:pPr>
      <w:hyperlink r:id="rId31" w:history="1">
        <w:r w:rsidR="00311E94" w:rsidRPr="00C27FE6">
          <w:rPr>
            <w:rFonts w:eastAsia="Times New Roman" w:cs="Arial"/>
          </w:rPr>
          <w:t>jkylercohn@BKLlawfirm.com</w:t>
        </w:r>
      </w:hyperlink>
    </w:p>
    <w:p w:rsidR="00311E94" w:rsidRPr="00C27FE6" w:rsidRDefault="0082037F" w:rsidP="00C97932">
      <w:pPr>
        <w:tabs>
          <w:tab w:val="left" w:pos="2160"/>
          <w:tab w:val="left" w:pos="2280"/>
        </w:tabs>
        <w:jc w:val="left"/>
        <w:rPr>
          <w:rFonts w:eastAsia="Times New Roman" w:cs="Arial"/>
        </w:rPr>
      </w:pPr>
      <w:hyperlink r:id="rId32" w:history="1">
        <w:r w:rsidR="00311E94" w:rsidRPr="00C27FE6">
          <w:rPr>
            <w:rFonts w:eastAsia="Times New Roman" w:cs="Arial"/>
          </w:rPr>
          <w:t>dboehm@BKLlawfirm.com</w:t>
        </w:r>
      </w:hyperlink>
    </w:p>
    <w:p w:rsidR="00311E94" w:rsidRPr="00C27FE6" w:rsidRDefault="0082037F" w:rsidP="00C97932">
      <w:pPr>
        <w:tabs>
          <w:tab w:val="left" w:pos="2160"/>
          <w:tab w:val="left" w:pos="2280"/>
        </w:tabs>
        <w:jc w:val="left"/>
        <w:rPr>
          <w:rFonts w:eastAsia="Times New Roman" w:cs="Arial"/>
        </w:rPr>
      </w:pPr>
      <w:hyperlink r:id="rId33" w:history="1">
        <w:r w:rsidR="00311E94" w:rsidRPr="00C27FE6">
          <w:rPr>
            <w:rFonts w:eastAsia="Times New Roman" w:cs="Arial"/>
          </w:rPr>
          <w:t>mkurtz@BKLlawfirm.com</w:t>
        </w:r>
      </w:hyperlink>
    </w:p>
    <w:p w:rsidR="00311E94" w:rsidRPr="00441533"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Ohio Energy Group</w:t>
      </w:r>
    </w:p>
    <w:p w:rsidR="00311E94" w:rsidRPr="00441533"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Mark A. Hayden</w:t>
      </w:r>
      <w:r>
        <w:rPr>
          <w:rFonts w:eastAsia="Times New Roman" w:cs="Arial"/>
        </w:rPr>
        <w:t xml:space="preserve"> (0081077)</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Scott J. Casto</w:t>
      </w:r>
      <w:r>
        <w:rPr>
          <w:rFonts w:eastAsia="Times New Roman" w:cs="Arial"/>
        </w:rPr>
        <w:t xml:space="preserve"> (0085756)</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Jacob McDermott</w:t>
      </w:r>
      <w:r>
        <w:rPr>
          <w:rFonts w:eastAsia="Times New Roman" w:cs="Arial"/>
        </w:rPr>
        <w:t xml:space="preserve"> (0087187)</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FirstEnergy Service Company</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76 South Main Street</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Akron, OH  44308</w:t>
      </w:r>
    </w:p>
    <w:p w:rsidR="00311E94" w:rsidRPr="00C27FE6" w:rsidRDefault="0082037F" w:rsidP="00C97932">
      <w:pPr>
        <w:tabs>
          <w:tab w:val="left" w:pos="2160"/>
          <w:tab w:val="left" w:pos="2280"/>
        </w:tabs>
        <w:jc w:val="left"/>
        <w:rPr>
          <w:rFonts w:eastAsia="Times New Roman" w:cs="Arial"/>
        </w:rPr>
      </w:pPr>
      <w:hyperlink r:id="rId34" w:history="1">
        <w:r w:rsidR="00311E94" w:rsidRPr="00C27FE6">
          <w:rPr>
            <w:rFonts w:eastAsia="Times New Roman" w:cs="Arial"/>
          </w:rPr>
          <w:t>haydenm@firstenergycorp.com</w:t>
        </w:r>
      </w:hyperlink>
    </w:p>
    <w:p w:rsidR="00311E94" w:rsidRPr="00C27FE6" w:rsidRDefault="0082037F" w:rsidP="00C97932">
      <w:pPr>
        <w:tabs>
          <w:tab w:val="left" w:pos="2160"/>
          <w:tab w:val="left" w:pos="2280"/>
        </w:tabs>
        <w:jc w:val="left"/>
        <w:rPr>
          <w:rFonts w:eastAsia="Times New Roman" w:cs="Arial"/>
        </w:rPr>
      </w:pPr>
      <w:hyperlink r:id="rId35" w:history="1">
        <w:r w:rsidR="00311E94" w:rsidRPr="00C27FE6">
          <w:rPr>
            <w:rFonts w:eastAsia="Times New Roman" w:cs="Arial"/>
          </w:rPr>
          <w:t>scasto@firstenergycorp.com</w:t>
        </w:r>
      </w:hyperlink>
    </w:p>
    <w:p w:rsidR="00311E94" w:rsidRPr="00C27FE6" w:rsidRDefault="0082037F" w:rsidP="00C97932">
      <w:pPr>
        <w:tabs>
          <w:tab w:val="left" w:pos="2160"/>
          <w:tab w:val="left" w:pos="2280"/>
        </w:tabs>
        <w:jc w:val="left"/>
        <w:rPr>
          <w:rFonts w:eastAsia="Times New Roman" w:cs="Arial"/>
        </w:rPr>
      </w:pPr>
      <w:hyperlink r:id="rId36" w:history="1">
        <w:r w:rsidR="00311E94" w:rsidRPr="00C27FE6">
          <w:rPr>
            <w:rFonts w:eastAsia="Times New Roman" w:cs="Arial"/>
          </w:rPr>
          <w:t>jmcdermott@firstenergycorp.com</w:t>
        </w:r>
      </w:hyperlink>
    </w:p>
    <w:p w:rsidR="00311E94" w:rsidRPr="00C27FE6"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FirstEnergy Solutions Corp.</w:t>
      </w:r>
    </w:p>
    <w:p w:rsidR="00311E94" w:rsidRPr="00441533"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eastAsia="Times New Roman" w:cs="Arial"/>
        </w:rPr>
      </w:pPr>
    </w:p>
    <w:p w:rsidR="00311E94" w:rsidRDefault="00311E94" w:rsidP="00C97932">
      <w:pPr>
        <w:jc w:val="left"/>
        <w:rPr>
          <w:rFonts w:cs="Arial"/>
        </w:rPr>
        <w:sectPr w:rsidR="00311E94">
          <w:headerReference w:type="default" r:id="rId37"/>
          <w:footerReference w:type="default" r:id="rId38"/>
          <w:headerReference w:type="first" r:id="rId39"/>
          <w:footerReference w:type="first" r:id="rId40"/>
          <w:type w:val="continuous"/>
          <w:pgSz w:w="12240" w:h="15840" w:code="1"/>
          <w:pgMar w:top="1440" w:right="1440" w:bottom="1141" w:left="1440" w:header="720" w:footer="720" w:gutter="0"/>
          <w:pgNumType w:start="1"/>
          <w:cols w:num="2" w:space="720"/>
          <w:titlePg/>
          <w:docGrid w:linePitch="326"/>
        </w:sectPr>
      </w:pPr>
    </w:p>
    <w:p w:rsidR="00311E94" w:rsidRDefault="00311E94" w:rsidP="00C97932">
      <w:pPr>
        <w:jc w:val="left"/>
        <w:rPr>
          <w:rFonts w:cs="Arial"/>
        </w:rPr>
      </w:pPr>
      <w:r>
        <w:rPr>
          <w:rFonts w:cs="Arial"/>
        </w:rPr>
        <w:lastRenderedPageBreak/>
        <w:t>Maureen Grady (0020847)</w:t>
      </w:r>
    </w:p>
    <w:p w:rsidR="00311E94" w:rsidRDefault="00311E94" w:rsidP="00C97932">
      <w:pPr>
        <w:jc w:val="left"/>
        <w:rPr>
          <w:rFonts w:cs="Arial"/>
        </w:rPr>
      </w:pPr>
      <w:r>
        <w:rPr>
          <w:rFonts w:cs="Arial"/>
        </w:rPr>
        <w:t>Joseph P. Serio (0036959)</w:t>
      </w:r>
    </w:p>
    <w:p w:rsidR="00311E94" w:rsidRDefault="00311E94" w:rsidP="00C97932">
      <w:pPr>
        <w:jc w:val="left"/>
        <w:rPr>
          <w:rFonts w:cs="Arial"/>
        </w:rPr>
      </w:pPr>
      <w:r>
        <w:rPr>
          <w:rFonts w:cs="Arial"/>
        </w:rPr>
        <w:t>Edmund “Tad” Berger (0090307)</w:t>
      </w:r>
    </w:p>
    <w:p w:rsidR="00311E94" w:rsidRDefault="00311E94" w:rsidP="00C97932">
      <w:pPr>
        <w:jc w:val="left"/>
        <w:rPr>
          <w:rFonts w:cs="Arial"/>
        </w:rPr>
      </w:pPr>
      <w:r>
        <w:rPr>
          <w:rFonts w:cs="Arial"/>
        </w:rPr>
        <w:t>Office of the Ohio Consumers’ Counsel</w:t>
      </w:r>
    </w:p>
    <w:p w:rsidR="00311E94" w:rsidRDefault="00311E94" w:rsidP="00C97932">
      <w:pPr>
        <w:jc w:val="left"/>
        <w:rPr>
          <w:rFonts w:cs="Arial"/>
        </w:rPr>
      </w:pPr>
      <w:r>
        <w:rPr>
          <w:rFonts w:cs="Arial"/>
        </w:rPr>
        <w:t>10 West Broad Street, Suite 1800</w:t>
      </w:r>
    </w:p>
    <w:p w:rsidR="00311E94" w:rsidRDefault="00311E94" w:rsidP="00C97932">
      <w:pPr>
        <w:jc w:val="left"/>
        <w:rPr>
          <w:rFonts w:cs="Arial"/>
        </w:rPr>
      </w:pPr>
      <w:r>
        <w:rPr>
          <w:rFonts w:cs="Arial"/>
        </w:rPr>
        <w:t>Columbus, OH  43215</w:t>
      </w:r>
    </w:p>
    <w:p w:rsidR="00311E94" w:rsidRPr="00A765DB" w:rsidRDefault="0082037F" w:rsidP="00C97932">
      <w:pPr>
        <w:jc w:val="left"/>
        <w:rPr>
          <w:rFonts w:cs="Arial"/>
        </w:rPr>
      </w:pPr>
      <w:hyperlink r:id="rId41" w:history="1">
        <w:r w:rsidR="00311E94" w:rsidRPr="00A765DB">
          <w:rPr>
            <w:rStyle w:val="Hyperlink"/>
            <w:color w:val="auto"/>
            <w:u w:val="none"/>
          </w:rPr>
          <w:t>Maureen.grady@occ.ohio.gov</w:t>
        </w:r>
      </w:hyperlink>
    </w:p>
    <w:p w:rsidR="00311E94" w:rsidRPr="00A765DB" w:rsidRDefault="0082037F" w:rsidP="00C97932">
      <w:pPr>
        <w:jc w:val="left"/>
        <w:rPr>
          <w:rFonts w:cs="Arial"/>
        </w:rPr>
      </w:pPr>
      <w:hyperlink r:id="rId42" w:history="1">
        <w:r w:rsidR="00311E94" w:rsidRPr="00A765DB">
          <w:rPr>
            <w:rStyle w:val="Hyperlink"/>
            <w:color w:val="auto"/>
            <w:u w:val="none"/>
          </w:rPr>
          <w:t>Joseph.serio@occ.ohio.gov</w:t>
        </w:r>
      </w:hyperlink>
    </w:p>
    <w:p w:rsidR="00311E94" w:rsidRPr="00A765DB" w:rsidRDefault="0082037F" w:rsidP="00C97932">
      <w:pPr>
        <w:jc w:val="left"/>
        <w:rPr>
          <w:rStyle w:val="Hyperlink"/>
          <w:color w:val="auto"/>
          <w:u w:val="none"/>
        </w:rPr>
      </w:pPr>
      <w:hyperlink r:id="rId43" w:history="1">
        <w:r w:rsidR="00311E94" w:rsidRPr="00A765DB">
          <w:rPr>
            <w:rStyle w:val="Hyperlink"/>
            <w:color w:val="auto"/>
            <w:u w:val="none"/>
          </w:rPr>
          <w:t>Edmund.berger@occ.ohio.gov</w:t>
        </w:r>
      </w:hyperlink>
    </w:p>
    <w:p w:rsidR="00311E94" w:rsidRPr="00A765DB" w:rsidRDefault="00311E94" w:rsidP="00C97932">
      <w:pPr>
        <w:jc w:val="left"/>
        <w:rPr>
          <w:rStyle w:val="Hyperlink"/>
          <w:color w:val="auto"/>
          <w:u w:val="none"/>
        </w:rPr>
      </w:pPr>
    </w:p>
    <w:p w:rsidR="00311E94" w:rsidRPr="00A765DB" w:rsidRDefault="00311E94" w:rsidP="00C97932">
      <w:pPr>
        <w:jc w:val="left"/>
        <w:rPr>
          <w:rStyle w:val="Hyperlink"/>
          <w:color w:val="auto"/>
          <w:u w:val="none"/>
        </w:rPr>
      </w:pPr>
      <w:r w:rsidRPr="00A765DB">
        <w:rPr>
          <w:rStyle w:val="Hyperlink"/>
          <w:color w:val="auto"/>
          <w:u w:val="none"/>
        </w:rPr>
        <w:t>Dane Stinson</w:t>
      </w:r>
    </w:p>
    <w:p w:rsidR="00311E94" w:rsidRPr="00A765DB" w:rsidRDefault="00311E94" w:rsidP="00C97932">
      <w:pPr>
        <w:jc w:val="left"/>
        <w:rPr>
          <w:rStyle w:val="Hyperlink"/>
          <w:color w:val="auto"/>
          <w:u w:val="none"/>
        </w:rPr>
      </w:pPr>
      <w:r w:rsidRPr="00A765DB">
        <w:rPr>
          <w:rStyle w:val="Hyperlink"/>
          <w:color w:val="auto"/>
          <w:u w:val="none"/>
        </w:rPr>
        <w:t>Dylan F. Borchers</w:t>
      </w:r>
    </w:p>
    <w:p w:rsidR="00311E94" w:rsidRPr="00A765DB" w:rsidRDefault="00311E94" w:rsidP="00C97932">
      <w:pPr>
        <w:jc w:val="left"/>
        <w:rPr>
          <w:rStyle w:val="Hyperlink"/>
          <w:color w:val="auto"/>
          <w:u w:val="none"/>
        </w:rPr>
      </w:pPr>
      <w:r w:rsidRPr="00A765DB">
        <w:rPr>
          <w:rStyle w:val="Hyperlink"/>
          <w:color w:val="auto"/>
          <w:u w:val="none"/>
        </w:rPr>
        <w:t>Bricker &amp; Eckler LLP</w:t>
      </w:r>
    </w:p>
    <w:p w:rsidR="00311E94" w:rsidRPr="00A765DB" w:rsidRDefault="00311E94" w:rsidP="00C97932">
      <w:pPr>
        <w:jc w:val="left"/>
        <w:rPr>
          <w:rStyle w:val="Hyperlink"/>
          <w:color w:val="auto"/>
          <w:u w:val="none"/>
        </w:rPr>
      </w:pPr>
      <w:r w:rsidRPr="00A765DB">
        <w:rPr>
          <w:rStyle w:val="Hyperlink"/>
          <w:color w:val="auto"/>
          <w:u w:val="none"/>
        </w:rPr>
        <w:t>100 S. Third Street</w:t>
      </w:r>
    </w:p>
    <w:p w:rsidR="00311E94" w:rsidRPr="00A765DB" w:rsidRDefault="00311E94" w:rsidP="00C97932">
      <w:pPr>
        <w:jc w:val="left"/>
        <w:rPr>
          <w:rStyle w:val="Hyperlink"/>
          <w:color w:val="auto"/>
          <w:u w:val="none"/>
        </w:rPr>
      </w:pPr>
      <w:r w:rsidRPr="00A765DB">
        <w:rPr>
          <w:rStyle w:val="Hyperlink"/>
          <w:color w:val="auto"/>
          <w:u w:val="none"/>
        </w:rPr>
        <w:t>Columbus, OH  43215</w:t>
      </w:r>
    </w:p>
    <w:p w:rsidR="00311E94" w:rsidRPr="00A765DB" w:rsidRDefault="00311E94" w:rsidP="00C97932">
      <w:pPr>
        <w:jc w:val="left"/>
        <w:rPr>
          <w:rStyle w:val="Hyperlink"/>
          <w:color w:val="auto"/>
          <w:u w:val="none"/>
        </w:rPr>
      </w:pPr>
      <w:r w:rsidRPr="00A765DB">
        <w:rPr>
          <w:rStyle w:val="Hyperlink"/>
          <w:color w:val="auto"/>
          <w:u w:val="none"/>
        </w:rPr>
        <w:t>dstinson@bricker.com</w:t>
      </w:r>
    </w:p>
    <w:p w:rsidR="00311E94" w:rsidRPr="00A765DB" w:rsidRDefault="00311E94" w:rsidP="00C97932">
      <w:pPr>
        <w:jc w:val="left"/>
        <w:rPr>
          <w:rFonts w:cs="Arial"/>
        </w:rPr>
      </w:pPr>
      <w:r w:rsidRPr="00A765DB">
        <w:rPr>
          <w:rFonts w:cs="Arial"/>
        </w:rPr>
        <w:t>dborchers@bricker.com</w:t>
      </w:r>
    </w:p>
    <w:p w:rsidR="00311E94" w:rsidRPr="00C27FE6" w:rsidRDefault="00311E94" w:rsidP="00C97932">
      <w:pPr>
        <w:jc w:val="left"/>
        <w:rPr>
          <w:rFonts w:cs="Arial"/>
        </w:rPr>
      </w:pPr>
    </w:p>
    <w:p w:rsidR="00311E94" w:rsidRPr="00E2392D" w:rsidRDefault="00311E94" w:rsidP="00767A55">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Office of the Ohio Consumers’ Counsel</w:t>
      </w:r>
    </w:p>
    <w:p w:rsidR="00311E94" w:rsidRDefault="00311E94" w:rsidP="00C97932">
      <w:pPr>
        <w:jc w:val="left"/>
        <w:rPr>
          <w:rFonts w:cs="Arial"/>
        </w:rPr>
      </w:pPr>
    </w:p>
    <w:p w:rsidR="00311E94" w:rsidRDefault="00311E94" w:rsidP="00C97932">
      <w:pPr>
        <w:jc w:val="left"/>
        <w:rPr>
          <w:rFonts w:cs="Arial"/>
        </w:rPr>
      </w:pPr>
      <w:r>
        <w:rPr>
          <w:rFonts w:cs="Arial"/>
        </w:rPr>
        <w:t>Judi L. Sobecki (0067186)</w:t>
      </w:r>
    </w:p>
    <w:p w:rsidR="00311E94" w:rsidRDefault="00311E94" w:rsidP="00C97932">
      <w:pPr>
        <w:jc w:val="left"/>
        <w:rPr>
          <w:rFonts w:cs="Arial"/>
        </w:rPr>
      </w:pPr>
      <w:r>
        <w:rPr>
          <w:rFonts w:cs="Arial"/>
        </w:rPr>
        <w:t>The Dayton Power and Light Company</w:t>
      </w:r>
    </w:p>
    <w:p w:rsidR="00311E94" w:rsidRDefault="00311E94" w:rsidP="00C97932">
      <w:pPr>
        <w:jc w:val="left"/>
        <w:rPr>
          <w:rFonts w:cs="Arial"/>
        </w:rPr>
      </w:pPr>
      <w:r>
        <w:rPr>
          <w:rFonts w:cs="Arial"/>
        </w:rPr>
        <w:t>1065 Woodman Drive</w:t>
      </w:r>
    </w:p>
    <w:p w:rsidR="00311E94" w:rsidRDefault="00311E94" w:rsidP="00C97932">
      <w:pPr>
        <w:jc w:val="left"/>
        <w:rPr>
          <w:rFonts w:cs="Arial"/>
        </w:rPr>
      </w:pPr>
      <w:r>
        <w:rPr>
          <w:rFonts w:cs="Arial"/>
        </w:rPr>
        <w:t>Dayton, OH  45432</w:t>
      </w:r>
    </w:p>
    <w:p w:rsidR="00311E94" w:rsidRPr="00A765DB" w:rsidRDefault="0082037F" w:rsidP="00C97932">
      <w:pPr>
        <w:jc w:val="left"/>
        <w:rPr>
          <w:rFonts w:cs="Arial"/>
        </w:rPr>
      </w:pPr>
      <w:hyperlink r:id="rId44" w:history="1">
        <w:r w:rsidR="00311E94" w:rsidRPr="00A765DB">
          <w:rPr>
            <w:rStyle w:val="Hyperlink"/>
            <w:color w:val="auto"/>
            <w:u w:val="none"/>
          </w:rPr>
          <w:t>Judi.sobecki@aes.com</w:t>
        </w:r>
      </w:hyperlink>
    </w:p>
    <w:p w:rsidR="00311E94" w:rsidRPr="00C27FE6" w:rsidRDefault="00311E94" w:rsidP="00C97932">
      <w:pPr>
        <w:jc w:val="left"/>
        <w:rPr>
          <w:rFonts w:cs="Arial"/>
        </w:rPr>
      </w:pPr>
    </w:p>
    <w:p w:rsidR="00311E94" w:rsidRPr="00E2392D" w:rsidRDefault="00311E94" w:rsidP="00767A55">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The Dayton Power &amp; Light Company</w:t>
      </w:r>
    </w:p>
    <w:p w:rsidR="00311E94" w:rsidRDefault="00311E94" w:rsidP="00C97932">
      <w:pPr>
        <w:jc w:val="left"/>
        <w:rPr>
          <w:rFonts w:cs="Arial"/>
        </w:rPr>
      </w:pPr>
    </w:p>
    <w:p w:rsidR="00311E94" w:rsidRDefault="00311E94" w:rsidP="00C97932">
      <w:pPr>
        <w:jc w:val="left"/>
        <w:rPr>
          <w:rFonts w:cs="Arial"/>
        </w:rPr>
      </w:pPr>
      <w:r>
        <w:rPr>
          <w:rFonts w:cs="Arial"/>
        </w:rPr>
        <w:t>Kimberly W. Bojko (0069402)</w:t>
      </w:r>
    </w:p>
    <w:p w:rsidR="00311E94" w:rsidRDefault="00311E94" w:rsidP="00C97932">
      <w:pPr>
        <w:jc w:val="left"/>
        <w:rPr>
          <w:rFonts w:cs="Arial"/>
        </w:rPr>
      </w:pPr>
      <w:r>
        <w:rPr>
          <w:rFonts w:cs="Arial"/>
        </w:rPr>
        <w:t>Jonathan A. Allison</w:t>
      </w:r>
    </w:p>
    <w:p w:rsidR="00311E94" w:rsidRDefault="00311E94" w:rsidP="00C97932">
      <w:pPr>
        <w:jc w:val="left"/>
        <w:rPr>
          <w:rFonts w:cs="Arial"/>
        </w:rPr>
      </w:pPr>
      <w:r>
        <w:rPr>
          <w:rFonts w:cs="Arial"/>
        </w:rPr>
        <w:t>Carpenter Lipps &amp; Leland LLP</w:t>
      </w:r>
    </w:p>
    <w:p w:rsidR="00311E94" w:rsidRDefault="00311E94" w:rsidP="00C97932">
      <w:pPr>
        <w:jc w:val="left"/>
        <w:rPr>
          <w:rFonts w:cs="Arial"/>
        </w:rPr>
      </w:pPr>
      <w:r>
        <w:rPr>
          <w:rFonts w:cs="Arial"/>
        </w:rPr>
        <w:t>280 Plaza, Suite 1300</w:t>
      </w:r>
    </w:p>
    <w:p w:rsidR="00311E94" w:rsidRDefault="00311E94" w:rsidP="00C97932">
      <w:pPr>
        <w:jc w:val="left"/>
        <w:rPr>
          <w:rFonts w:cs="Arial"/>
        </w:rPr>
      </w:pPr>
      <w:r>
        <w:rPr>
          <w:rFonts w:cs="Arial"/>
        </w:rPr>
        <w:t>280 North High Street</w:t>
      </w:r>
    </w:p>
    <w:p w:rsidR="00311E94" w:rsidRDefault="00311E94" w:rsidP="00C97932">
      <w:pPr>
        <w:jc w:val="left"/>
        <w:rPr>
          <w:rFonts w:cs="Arial"/>
        </w:rPr>
      </w:pPr>
      <w:r>
        <w:rPr>
          <w:rFonts w:cs="Arial"/>
        </w:rPr>
        <w:t>Columbus, OH  43215</w:t>
      </w:r>
    </w:p>
    <w:p w:rsidR="00311E94" w:rsidRPr="00A765DB" w:rsidRDefault="0082037F" w:rsidP="00C97932">
      <w:pPr>
        <w:jc w:val="left"/>
        <w:rPr>
          <w:rFonts w:cs="Arial"/>
        </w:rPr>
      </w:pPr>
      <w:hyperlink r:id="rId45" w:history="1">
        <w:r w:rsidR="00311E94" w:rsidRPr="00A765DB">
          <w:rPr>
            <w:rStyle w:val="Hyperlink"/>
            <w:color w:val="auto"/>
            <w:u w:val="none"/>
          </w:rPr>
          <w:t>bojko@carpenterlipps.com</w:t>
        </w:r>
      </w:hyperlink>
    </w:p>
    <w:p w:rsidR="00311E94" w:rsidRPr="00A765DB" w:rsidRDefault="0082037F" w:rsidP="00C97932">
      <w:pPr>
        <w:jc w:val="left"/>
        <w:rPr>
          <w:rFonts w:cs="Arial"/>
        </w:rPr>
      </w:pPr>
      <w:hyperlink r:id="rId46" w:history="1">
        <w:r w:rsidR="00311E94" w:rsidRPr="00A765DB">
          <w:rPr>
            <w:rStyle w:val="Hyperlink"/>
            <w:color w:val="auto"/>
            <w:u w:val="none"/>
          </w:rPr>
          <w:t>Allison@carpenterlipps.com</w:t>
        </w:r>
      </w:hyperlink>
    </w:p>
    <w:p w:rsidR="00311E94" w:rsidRDefault="00311E94" w:rsidP="00C97932">
      <w:pPr>
        <w:jc w:val="left"/>
        <w:rPr>
          <w:rFonts w:cs="Arial"/>
        </w:rPr>
      </w:pPr>
    </w:p>
    <w:p w:rsidR="00311E94" w:rsidRPr="00E2392D" w:rsidRDefault="00311E94" w:rsidP="00767A55">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the Ohio Manufacturers’ Association</w:t>
      </w:r>
    </w:p>
    <w:p w:rsidR="00311E94" w:rsidRDefault="00311E94" w:rsidP="00C97932">
      <w:pPr>
        <w:jc w:val="left"/>
        <w:rPr>
          <w:rFonts w:cs="Arial"/>
        </w:rPr>
      </w:pPr>
    </w:p>
    <w:p w:rsidR="00311E94" w:rsidRDefault="00311E94" w:rsidP="00C97932">
      <w:pPr>
        <w:jc w:val="left"/>
        <w:rPr>
          <w:rFonts w:cs="Arial"/>
        </w:rPr>
      </w:pPr>
      <w:r>
        <w:rPr>
          <w:rFonts w:cs="Arial"/>
        </w:rPr>
        <w:br w:type="column"/>
      </w:r>
      <w:r>
        <w:rPr>
          <w:rFonts w:cs="Arial"/>
        </w:rPr>
        <w:lastRenderedPageBreak/>
        <w:t>Joseph Oliker (0086088)</w:t>
      </w:r>
    </w:p>
    <w:p w:rsidR="00311E94" w:rsidRDefault="00311E94" w:rsidP="00C97932">
      <w:pPr>
        <w:jc w:val="left"/>
        <w:rPr>
          <w:rFonts w:cs="Arial"/>
        </w:rPr>
      </w:pPr>
      <w:r>
        <w:rPr>
          <w:rFonts w:cs="Arial"/>
        </w:rPr>
        <w:t>IGS Energy</w:t>
      </w:r>
    </w:p>
    <w:p w:rsidR="00311E94" w:rsidRDefault="00311E94" w:rsidP="00C97932">
      <w:pPr>
        <w:jc w:val="left"/>
        <w:rPr>
          <w:rFonts w:cs="Arial"/>
        </w:rPr>
      </w:pPr>
      <w:r>
        <w:rPr>
          <w:rFonts w:cs="Arial"/>
        </w:rPr>
        <w:t>6100 Emerald Parkway</w:t>
      </w:r>
    </w:p>
    <w:p w:rsidR="00311E94" w:rsidRDefault="00311E94" w:rsidP="00C97932">
      <w:pPr>
        <w:jc w:val="left"/>
        <w:rPr>
          <w:rFonts w:cs="Arial"/>
        </w:rPr>
      </w:pPr>
      <w:r>
        <w:rPr>
          <w:rFonts w:cs="Arial"/>
        </w:rPr>
        <w:t>Dublin, OH  43016</w:t>
      </w:r>
    </w:p>
    <w:p w:rsidR="00311E94" w:rsidRPr="00A765DB" w:rsidRDefault="0082037F" w:rsidP="00C97932">
      <w:pPr>
        <w:jc w:val="left"/>
        <w:rPr>
          <w:rFonts w:cs="Arial"/>
        </w:rPr>
      </w:pPr>
      <w:hyperlink r:id="rId47" w:history="1">
        <w:r w:rsidR="00311E94" w:rsidRPr="00A765DB">
          <w:rPr>
            <w:rStyle w:val="Hyperlink"/>
            <w:color w:val="auto"/>
            <w:u w:val="none"/>
          </w:rPr>
          <w:t>joliker@igsenergy.com</w:t>
        </w:r>
      </w:hyperlink>
    </w:p>
    <w:p w:rsidR="00311E94" w:rsidRPr="00C27FE6" w:rsidRDefault="00311E94" w:rsidP="00C97932">
      <w:pPr>
        <w:jc w:val="left"/>
        <w:rPr>
          <w:rFonts w:cs="Arial"/>
        </w:rPr>
      </w:pPr>
    </w:p>
    <w:p w:rsidR="00311E94" w:rsidRPr="00E2392D" w:rsidRDefault="00311E94" w:rsidP="00C97932">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IGS Energy</w:t>
      </w:r>
    </w:p>
    <w:p w:rsidR="00311E94" w:rsidRDefault="00311E94" w:rsidP="00C97932">
      <w:pPr>
        <w:jc w:val="left"/>
        <w:rPr>
          <w:rFonts w:cs="Arial"/>
        </w:rPr>
      </w:pPr>
    </w:p>
    <w:p w:rsidR="00311E94" w:rsidRDefault="00311E94" w:rsidP="00C97932">
      <w:pPr>
        <w:jc w:val="left"/>
        <w:rPr>
          <w:rFonts w:cs="Arial"/>
        </w:rPr>
      </w:pPr>
      <w:r>
        <w:rPr>
          <w:rFonts w:cs="Arial"/>
        </w:rPr>
        <w:t>Joseph M. Clark (0080711)</w:t>
      </w:r>
    </w:p>
    <w:p w:rsidR="00311E94" w:rsidRDefault="00311E94" w:rsidP="00C97932">
      <w:pPr>
        <w:jc w:val="left"/>
        <w:rPr>
          <w:rFonts w:cs="Arial"/>
        </w:rPr>
      </w:pPr>
      <w:r>
        <w:rPr>
          <w:rFonts w:cs="Arial"/>
        </w:rPr>
        <w:t>Direct Energy</w:t>
      </w:r>
    </w:p>
    <w:p w:rsidR="00311E94" w:rsidRDefault="00311E94" w:rsidP="00C97932">
      <w:pPr>
        <w:jc w:val="left"/>
        <w:rPr>
          <w:rFonts w:cs="Arial"/>
        </w:rPr>
      </w:pPr>
      <w:r>
        <w:rPr>
          <w:rFonts w:cs="Arial"/>
        </w:rPr>
        <w:t>21 East State Street, 19</w:t>
      </w:r>
      <w:r w:rsidRPr="00E51C65">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joseph.clark@directenergy.com</w:t>
      </w:r>
    </w:p>
    <w:p w:rsidR="00311E94" w:rsidRDefault="00311E94" w:rsidP="00C97932">
      <w:pPr>
        <w:jc w:val="left"/>
        <w:rPr>
          <w:rFonts w:cs="Arial"/>
        </w:rPr>
      </w:pPr>
    </w:p>
    <w:p w:rsidR="00311E94" w:rsidRDefault="00311E94" w:rsidP="00C97932">
      <w:pPr>
        <w:jc w:val="left"/>
        <w:rPr>
          <w:rFonts w:cs="Arial"/>
        </w:rPr>
      </w:pPr>
      <w:r>
        <w:rPr>
          <w:rFonts w:cs="Arial"/>
        </w:rPr>
        <w:t>Gerit F. Hull (0067333)</w:t>
      </w:r>
    </w:p>
    <w:p w:rsidR="00311E94" w:rsidRDefault="00311E94" w:rsidP="00C97932">
      <w:pPr>
        <w:jc w:val="left"/>
        <w:rPr>
          <w:rFonts w:cs="Arial"/>
        </w:rPr>
      </w:pPr>
      <w:r>
        <w:rPr>
          <w:rFonts w:cs="Arial"/>
        </w:rPr>
        <w:t>Eckert Seamans Cherin &amp; Mellott, LLC</w:t>
      </w:r>
    </w:p>
    <w:p w:rsidR="00311E94" w:rsidRDefault="00311E94" w:rsidP="00C97932">
      <w:pPr>
        <w:jc w:val="left"/>
        <w:rPr>
          <w:rFonts w:cs="Arial"/>
        </w:rPr>
      </w:pPr>
      <w:r>
        <w:rPr>
          <w:rFonts w:cs="Arial"/>
        </w:rPr>
        <w:t xml:space="preserve">1717 Pennsylvania Avenue, N.W., </w:t>
      </w:r>
    </w:p>
    <w:p w:rsidR="00311E94" w:rsidRDefault="00311E94" w:rsidP="00C97932">
      <w:pPr>
        <w:jc w:val="left"/>
        <w:rPr>
          <w:rFonts w:cs="Arial"/>
        </w:rPr>
      </w:pPr>
      <w:r>
        <w:rPr>
          <w:rFonts w:cs="Arial"/>
        </w:rPr>
        <w:t>12</w:t>
      </w:r>
      <w:r w:rsidRPr="00D3618A">
        <w:rPr>
          <w:rFonts w:cs="Arial"/>
          <w:vertAlign w:val="superscript"/>
        </w:rPr>
        <w:t>th</w:t>
      </w:r>
      <w:r>
        <w:rPr>
          <w:rFonts w:cs="Arial"/>
        </w:rPr>
        <w:t xml:space="preserve"> Floor</w:t>
      </w:r>
    </w:p>
    <w:p w:rsidR="00311E94" w:rsidRDefault="00311E94" w:rsidP="00C97932">
      <w:pPr>
        <w:jc w:val="left"/>
        <w:rPr>
          <w:rFonts w:cs="Arial"/>
        </w:rPr>
      </w:pPr>
      <w:r>
        <w:rPr>
          <w:rFonts w:cs="Arial"/>
        </w:rPr>
        <w:t>Washington, DC  20006</w:t>
      </w:r>
    </w:p>
    <w:p w:rsidR="00311E94" w:rsidRDefault="00311E94" w:rsidP="00C97932">
      <w:pPr>
        <w:jc w:val="left"/>
        <w:rPr>
          <w:rFonts w:cs="Arial"/>
        </w:rPr>
      </w:pPr>
      <w:r>
        <w:rPr>
          <w:rFonts w:cs="Arial"/>
        </w:rPr>
        <w:t>ghull@eckertseamans.com</w:t>
      </w:r>
    </w:p>
    <w:p w:rsidR="00311E94" w:rsidRDefault="00311E94" w:rsidP="00C97932">
      <w:pPr>
        <w:jc w:val="left"/>
        <w:rPr>
          <w:rFonts w:cs="Arial"/>
        </w:rPr>
      </w:pPr>
    </w:p>
    <w:p w:rsidR="00311E94" w:rsidRPr="00E51C65" w:rsidRDefault="00311E94" w:rsidP="00C97932">
      <w:pPr>
        <w:jc w:val="left"/>
        <w:rPr>
          <w:rFonts w:ascii="Arial Bold" w:hAnsi="Arial Bold" w:cs="Arial"/>
          <w:b/>
          <w:smallCaps/>
        </w:rPr>
      </w:pPr>
      <w:r w:rsidRPr="00E51C65">
        <w:rPr>
          <w:rFonts w:ascii="Arial Bold" w:hAnsi="Arial Bold" w:cs="Arial"/>
          <w:b/>
          <w:smallCaps/>
        </w:rPr>
        <w:t>On Behalf of Direct Energy Services, LLC and Direct Energy Business, LLC</w:t>
      </w:r>
    </w:p>
    <w:p w:rsidR="00311E94" w:rsidRDefault="00311E94" w:rsidP="00C97932">
      <w:pPr>
        <w:jc w:val="left"/>
        <w:rPr>
          <w:rFonts w:cs="Arial"/>
        </w:rPr>
      </w:pPr>
    </w:p>
    <w:p w:rsidR="00311E94" w:rsidRDefault="00311E94" w:rsidP="00C97932">
      <w:pPr>
        <w:jc w:val="left"/>
        <w:rPr>
          <w:rFonts w:cs="Arial"/>
        </w:rPr>
      </w:pPr>
      <w:r>
        <w:rPr>
          <w:rFonts w:cs="Arial"/>
        </w:rPr>
        <w:t>Steven Beeler (0078076)</w:t>
      </w:r>
    </w:p>
    <w:p w:rsidR="00311E94" w:rsidRDefault="00311E94" w:rsidP="00C97932">
      <w:pPr>
        <w:jc w:val="left"/>
        <w:rPr>
          <w:rFonts w:cs="Arial"/>
        </w:rPr>
      </w:pPr>
      <w:r>
        <w:rPr>
          <w:rFonts w:cs="Arial"/>
        </w:rPr>
        <w:t>Thomas Lindgren (0039210)</w:t>
      </w:r>
    </w:p>
    <w:p w:rsidR="00311E94" w:rsidRDefault="00311E94" w:rsidP="00C97932">
      <w:pPr>
        <w:jc w:val="left"/>
        <w:rPr>
          <w:rFonts w:cs="Arial"/>
        </w:rPr>
      </w:pPr>
      <w:r>
        <w:rPr>
          <w:rFonts w:cs="Arial"/>
        </w:rPr>
        <w:t>Ryan O’Rourke (0082651)</w:t>
      </w:r>
    </w:p>
    <w:p w:rsidR="00311E94" w:rsidRDefault="00311E94" w:rsidP="00C97932">
      <w:pPr>
        <w:jc w:val="left"/>
        <w:rPr>
          <w:rFonts w:cs="Arial"/>
        </w:rPr>
      </w:pPr>
      <w:r>
        <w:rPr>
          <w:rFonts w:cs="Arial"/>
        </w:rPr>
        <w:t>Assistant Attorneys General</w:t>
      </w:r>
    </w:p>
    <w:p w:rsidR="00311E94" w:rsidRDefault="00311E94" w:rsidP="00C97932">
      <w:pPr>
        <w:jc w:val="left"/>
        <w:rPr>
          <w:rFonts w:cs="Arial"/>
        </w:rPr>
      </w:pPr>
      <w:r>
        <w:rPr>
          <w:rFonts w:cs="Arial"/>
        </w:rPr>
        <w:t>Public Utilities Commission of Ohio</w:t>
      </w:r>
    </w:p>
    <w:p w:rsidR="00311E94" w:rsidRDefault="00311E94" w:rsidP="00C97932">
      <w:pPr>
        <w:jc w:val="left"/>
        <w:rPr>
          <w:rFonts w:cs="Arial"/>
        </w:rPr>
      </w:pPr>
      <w:r>
        <w:rPr>
          <w:rFonts w:cs="Arial"/>
        </w:rPr>
        <w:t>180 East Broad Street, 6</w:t>
      </w:r>
      <w:r w:rsidRPr="00E2392D">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Pr="00A765DB" w:rsidRDefault="0082037F" w:rsidP="00C97932">
      <w:pPr>
        <w:jc w:val="left"/>
        <w:rPr>
          <w:rFonts w:cs="Arial"/>
        </w:rPr>
      </w:pPr>
      <w:hyperlink r:id="rId48" w:history="1">
        <w:r w:rsidR="00311E94" w:rsidRPr="00A765DB">
          <w:rPr>
            <w:rStyle w:val="Hyperlink"/>
            <w:color w:val="auto"/>
            <w:u w:val="none"/>
          </w:rPr>
          <w:t>Steven.Beeler@puc.state.oh.us</w:t>
        </w:r>
      </w:hyperlink>
    </w:p>
    <w:p w:rsidR="00311E94" w:rsidRPr="00A765DB" w:rsidRDefault="0082037F" w:rsidP="00C97932">
      <w:pPr>
        <w:jc w:val="left"/>
        <w:rPr>
          <w:rFonts w:cs="Arial"/>
        </w:rPr>
      </w:pPr>
      <w:hyperlink r:id="rId49" w:history="1">
        <w:r w:rsidR="00311E94" w:rsidRPr="00A765DB">
          <w:rPr>
            <w:rStyle w:val="Hyperlink"/>
            <w:color w:val="auto"/>
            <w:u w:val="none"/>
          </w:rPr>
          <w:t>Thomas.Lindgren@puc.state.oh</w:t>
        </w:r>
      </w:hyperlink>
    </w:p>
    <w:p w:rsidR="00311E94" w:rsidRPr="00A765DB" w:rsidRDefault="0082037F" w:rsidP="00C97932">
      <w:pPr>
        <w:jc w:val="left"/>
        <w:rPr>
          <w:rFonts w:cs="Arial"/>
        </w:rPr>
      </w:pPr>
      <w:hyperlink r:id="rId50" w:history="1">
        <w:r w:rsidR="00311E94" w:rsidRPr="00A765DB">
          <w:rPr>
            <w:rStyle w:val="Hyperlink"/>
            <w:color w:val="auto"/>
            <w:u w:val="none"/>
          </w:rPr>
          <w:t>Ryan.Orourke@puc.state.oh.us</w:t>
        </w:r>
      </w:hyperlink>
    </w:p>
    <w:p w:rsidR="00311E94" w:rsidRDefault="00311E94" w:rsidP="00C97932">
      <w:pPr>
        <w:jc w:val="left"/>
        <w:rPr>
          <w:rFonts w:cs="Arial"/>
        </w:rPr>
      </w:pPr>
    </w:p>
    <w:p w:rsidR="00311E94" w:rsidRDefault="00311E94" w:rsidP="00C97932">
      <w:pPr>
        <w:jc w:val="left"/>
        <w:rPr>
          <w:rFonts w:ascii="Arial Bold" w:hAnsi="Arial Bold" w:cs="Arial"/>
          <w:b/>
          <w:smallCaps/>
        </w:rPr>
      </w:pPr>
      <w:r w:rsidRPr="00613950">
        <w:rPr>
          <w:rFonts w:ascii="Arial Bold" w:hAnsi="Arial Bold" w:cs="Arial"/>
          <w:b/>
          <w:smallCaps/>
        </w:rPr>
        <w:t xml:space="preserve">On Behalf of the </w:t>
      </w:r>
      <w:r>
        <w:rPr>
          <w:rFonts w:ascii="Arial Bold" w:hAnsi="Arial Bold" w:cs="Arial"/>
          <w:b/>
          <w:smallCaps/>
        </w:rPr>
        <w:t xml:space="preserve">Staff of the </w:t>
      </w:r>
      <w:r w:rsidRPr="00613950">
        <w:rPr>
          <w:rFonts w:ascii="Arial Bold" w:hAnsi="Arial Bold" w:cs="Arial"/>
          <w:b/>
          <w:smallCaps/>
        </w:rPr>
        <w:t>Public Utilities Commission of Ohio</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Colleen L. Mooney (0015668)</w:t>
      </w:r>
    </w:p>
    <w:p w:rsidR="00311E94" w:rsidRDefault="00311E94" w:rsidP="00C97932">
      <w:pPr>
        <w:jc w:val="left"/>
        <w:rPr>
          <w:rFonts w:cs="Arial"/>
        </w:rPr>
      </w:pPr>
      <w:r>
        <w:rPr>
          <w:rFonts w:cs="Arial"/>
        </w:rPr>
        <w:t>Ohio Partners for Affordable Energy</w:t>
      </w:r>
    </w:p>
    <w:p w:rsidR="00311E94" w:rsidRDefault="00311E94" w:rsidP="00C97932">
      <w:pPr>
        <w:jc w:val="left"/>
        <w:rPr>
          <w:rFonts w:cs="Arial"/>
        </w:rPr>
      </w:pPr>
      <w:r>
        <w:rPr>
          <w:rFonts w:cs="Arial"/>
        </w:rPr>
        <w:t>231 West Lima Street</w:t>
      </w:r>
    </w:p>
    <w:p w:rsidR="00311E94" w:rsidRDefault="00311E94" w:rsidP="00C97932">
      <w:pPr>
        <w:jc w:val="left"/>
        <w:rPr>
          <w:rFonts w:cs="Arial"/>
        </w:rPr>
      </w:pPr>
      <w:r>
        <w:rPr>
          <w:rFonts w:cs="Arial"/>
        </w:rPr>
        <w:t>Findlay, OH  45839-1793</w:t>
      </w:r>
    </w:p>
    <w:p w:rsidR="00311E94" w:rsidRDefault="00311E94" w:rsidP="00C97932">
      <w:pPr>
        <w:jc w:val="left"/>
        <w:rPr>
          <w:rFonts w:cs="Arial"/>
        </w:rPr>
      </w:pPr>
      <w:r>
        <w:rPr>
          <w:rFonts w:cs="Arial"/>
        </w:rPr>
        <w:t>cmooney@ohiopartners.org</w:t>
      </w:r>
    </w:p>
    <w:p w:rsidR="00311E94" w:rsidRDefault="00311E94" w:rsidP="00C97932">
      <w:pPr>
        <w:jc w:val="left"/>
        <w:rPr>
          <w:rFonts w:cs="Arial"/>
        </w:rPr>
      </w:pPr>
    </w:p>
    <w:p w:rsidR="00311E94" w:rsidRPr="00C27FE6" w:rsidRDefault="00311E94" w:rsidP="00C97932">
      <w:pPr>
        <w:jc w:val="left"/>
        <w:rPr>
          <w:rFonts w:ascii="Arial Bold" w:hAnsi="Arial Bold" w:cs="Arial"/>
          <w:b/>
          <w:smallCaps/>
        </w:rPr>
      </w:pPr>
      <w:r w:rsidRPr="00C27FE6">
        <w:rPr>
          <w:rFonts w:ascii="Arial Bold" w:hAnsi="Arial Bold" w:cs="Arial"/>
          <w:b/>
          <w:smallCaps/>
        </w:rPr>
        <w:t>On Behalf of Ohio Partners for Affordable Energy</w:t>
      </w:r>
    </w:p>
    <w:p w:rsidR="00311E94" w:rsidRDefault="00311E94" w:rsidP="00C97932">
      <w:pPr>
        <w:jc w:val="left"/>
        <w:rPr>
          <w:rFonts w:cs="Arial"/>
        </w:rPr>
      </w:pPr>
    </w:p>
    <w:p w:rsidR="00311E94" w:rsidRDefault="00311E94" w:rsidP="00C97932">
      <w:pPr>
        <w:jc w:val="left"/>
        <w:rPr>
          <w:rFonts w:cs="Arial"/>
        </w:rPr>
      </w:pPr>
      <w:r>
        <w:rPr>
          <w:rFonts w:cs="Arial"/>
        </w:rPr>
        <w:t>Steven T. Nourse (0046705)</w:t>
      </w:r>
    </w:p>
    <w:p w:rsidR="00311E94" w:rsidRDefault="00311E94" w:rsidP="00C97932">
      <w:pPr>
        <w:jc w:val="left"/>
        <w:rPr>
          <w:rFonts w:cs="Arial"/>
        </w:rPr>
      </w:pPr>
      <w:r>
        <w:rPr>
          <w:rFonts w:cs="Arial"/>
        </w:rPr>
        <w:lastRenderedPageBreak/>
        <w:t>Matthew J. Satterwhite (0071972)</w:t>
      </w:r>
    </w:p>
    <w:p w:rsidR="00311E94" w:rsidRDefault="00311E94" w:rsidP="00C97932">
      <w:pPr>
        <w:jc w:val="left"/>
        <w:rPr>
          <w:rFonts w:cs="Arial"/>
        </w:rPr>
      </w:pPr>
      <w:r>
        <w:rPr>
          <w:rFonts w:cs="Arial"/>
        </w:rPr>
        <w:t>Yazen Alami (0086371)</w:t>
      </w:r>
    </w:p>
    <w:p w:rsidR="00311E94" w:rsidRDefault="00311E94" w:rsidP="00C97932">
      <w:pPr>
        <w:jc w:val="left"/>
        <w:rPr>
          <w:rFonts w:cs="Arial"/>
        </w:rPr>
      </w:pPr>
      <w:r>
        <w:rPr>
          <w:rFonts w:cs="Arial"/>
        </w:rPr>
        <w:t>American Electric Power Service Corp.</w:t>
      </w:r>
    </w:p>
    <w:p w:rsidR="00311E94" w:rsidRDefault="00311E94" w:rsidP="00C97932">
      <w:pPr>
        <w:jc w:val="left"/>
        <w:rPr>
          <w:rFonts w:cs="Arial"/>
        </w:rPr>
      </w:pPr>
      <w:r>
        <w:rPr>
          <w:rFonts w:cs="Arial"/>
        </w:rPr>
        <w:t>1 Riverside Plaza, 29</w:t>
      </w:r>
      <w:r w:rsidRPr="00C27FE6">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Pr="00A765DB" w:rsidRDefault="0082037F" w:rsidP="00C97932">
      <w:pPr>
        <w:jc w:val="left"/>
        <w:rPr>
          <w:rFonts w:cs="Arial"/>
        </w:rPr>
      </w:pPr>
      <w:hyperlink r:id="rId51" w:history="1">
        <w:r w:rsidR="00311E94" w:rsidRPr="00A765DB">
          <w:rPr>
            <w:rStyle w:val="Hyperlink"/>
            <w:color w:val="auto"/>
            <w:u w:val="none"/>
          </w:rPr>
          <w:t>stnourse@aep.com</w:t>
        </w:r>
      </w:hyperlink>
    </w:p>
    <w:p w:rsidR="00311E94" w:rsidRPr="00A765DB" w:rsidRDefault="0082037F" w:rsidP="00C97932">
      <w:pPr>
        <w:jc w:val="left"/>
        <w:rPr>
          <w:rFonts w:cs="Arial"/>
        </w:rPr>
      </w:pPr>
      <w:hyperlink r:id="rId52" w:history="1">
        <w:r w:rsidR="00311E94" w:rsidRPr="00A765DB">
          <w:rPr>
            <w:rStyle w:val="Hyperlink"/>
            <w:color w:val="auto"/>
            <w:u w:val="none"/>
          </w:rPr>
          <w:t>mjsatterwhite@aep.com</w:t>
        </w:r>
      </w:hyperlink>
    </w:p>
    <w:p w:rsidR="00311E94" w:rsidRPr="00A765DB" w:rsidRDefault="0082037F" w:rsidP="00C97932">
      <w:pPr>
        <w:jc w:val="left"/>
        <w:rPr>
          <w:rFonts w:cs="Arial"/>
        </w:rPr>
      </w:pPr>
      <w:hyperlink r:id="rId53" w:history="1">
        <w:r w:rsidR="00311E94" w:rsidRPr="00A765DB">
          <w:rPr>
            <w:rStyle w:val="Hyperlink"/>
            <w:color w:val="auto"/>
            <w:u w:val="none"/>
          </w:rPr>
          <w:t>yalami@aep.com</w:t>
        </w:r>
      </w:hyperlink>
    </w:p>
    <w:p w:rsidR="00311E94" w:rsidRDefault="00311E94" w:rsidP="00C97932">
      <w:pPr>
        <w:jc w:val="left"/>
        <w:rPr>
          <w:rFonts w:cs="Arial"/>
        </w:rPr>
      </w:pPr>
    </w:p>
    <w:p w:rsidR="00311E94" w:rsidRDefault="00311E94" w:rsidP="00C97932">
      <w:pPr>
        <w:jc w:val="left"/>
        <w:rPr>
          <w:rFonts w:ascii="Arial Bold" w:hAnsi="Arial Bold" w:cs="Arial"/>
          <w:b/>
          <w:smallCaps/>
        </w:rPr>
      </w:pPr>
      <w:r w:rsidRPr="00C27FE6">
        <w:rPr>
          <w:rFonts w:ascii="Arial Bold" w:hAnsi="Arial Bold" w:cs="Arial"/>
          <w:b/>
          <w:smallCaps/>
        </w:rPr>
        <w:t>On Behalf of Ohio Power Company</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Trent Dougherty (0079817)</w:t>
      </w:r>
    </w:p>
    <w:p w:rsidR="00311E94" w:rsidRDefault="00311E94" w:rsidP="00C97932">
      <w:pPr>
        <w:jc w:val="left"/>
        <w:rPr>
          <w:rFonts w:cs="Arial"/>
        </w:rPr>
      </w:pPr>
      <w:r>
        <w:rPr>
          <w:rFonts w:cs="Arial"/>
        </w:rPr>
        <w:t>1207 Grandview Avenue, Suite 201</w:t>
      </w:r>
      <w:r>
        <w:rPr>
          <w:rFonts w:cs="Arial"/>
        </w:rPr>
        <w:tab/>
      </w:r>
    </w:p>
    <w:p w:rsidR="00311E94" w:rsidRDefault="00311E94" w:rsidP="00C97932">
      <w:pPr>
        <w:jc w:val="left"/>
        <w:rPr>
          <w:rFonts w:cs="Arial"/>
        </w:rPr>
      </w:pPr>
      <w:r>
        <w:rPr>
          <w:rFonts w:cs="Arial"/>
        </w:rPr>
        <w:t>Columbus, OH  43212-3449</w:t>
      </w:r>
    </w:p>
    <w:p w:rsidR="00311E94" w:rsidRDefault="00311E94" w:rsidP="00C97932">
      <w:pPr>
        <w:jc w:val="left"/>
        <w:rPr>
          <w:rFonts w:cs="Arial"/>
        </w:rPr>
      </w:pPr>
      <w:r>
        <w:rPr>
          <w:rFonts w:cs="Arial"/>
        </w:rPr>
        <w:t>tdougherty@theOEC.org</w:t>
      </w:r>
    </w:p>
    <w:p w:rsidR="00311E94" w:rsidRDefault="00311E94" w:rsidP="00C97932">
      <w:pPr>
        <w:jc w:val="left"/>
        <w:rPr>
          <w:rFonts w:cs="Arial"/>
        </w:rPr>
      </w:pPr>
    </w:p>
    <w:p w:rsidR="00311E94" w:rsidRDefault="00311E94" w:rsidP="00C97932">
      <w:pPr>
        <w:jc w:val="left"/>
        <w:rPr>
          <w:rFonts w:ascii="Arial Bold" w:hAnsi="Arial Bold" w:cs="Arial"/>
          <w:b/>
          <w:smallCaps/>
        </w:rPr>
      </w:pPr>
      <w:r w:rsidRPr="0079557E">
        <w:rPr>
          <w:rFonts w:ascii="Arial Bold" w:hAnsi="Arial Bold" w:cs="Arial"/>
          <w:b/>
          <w:smallCaps/>
        </w:rPr>
        <w:t>On Behalf of the Ohio Environmental Council</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Christopher J. Allwein (0084914)</w:t>
      </w:r>
    </w:p>
    <w:p w:rsidR="00767A55" w:rsidRDefault="00767A55" w:rsidP="00C97932">
      <w:pPr>
        <w:jc w:val="left"/>
        <w:rPr>
          <w:rFonts w:cs="Arial"/>
        </w:rPr>
      </w:pPr>
      <w:r>
        <w:rPr>
          <w:rFonts w:cs="Arial"/>
        </w:rPr>
        <w:t>Counsel of Record</w:t>
      </w:r>
    </w:p>
    <w:p w:rsidR="00311E94" w:rsidRDefault="00311E94" w:rsidP="00C97932">
      <w:pPr>
        <w:jc w:val="left"/>
        <w:rPr>
          <w:rFonts w:cs="Arial"/>
        </w:rPr>
      </w:pPr>
      <w:r>
        <w:rPr>
          <w:rFonts w:cs="Arial"/>
        </w:rPr>
        <w:t>Kegler Brown Hill &amp; Ritter Co., LPA</w:t>
      </w:r>
    </w:p>
    <w:p w:rsidR="00311E94" w:rsidRDefault="00311E94" w:rsidP="00C97932">
      <w:pPr>
        <w:jc w:val="left"/>
        <w:rPr>
          <w:rFonts w:cs="Arial"/>
        </w:rPr>
      </w:pPr>
      <w:r>
        <w:rPr>
          <w:rFonts w:cs="Arial"/>
        </w:rPr>
        <w:t>65 East State Street</w:t>
      </w:r>
      <w:r w:rsidR="00767A55">
        <w:rPr>
          <w:rFonts w:cs="Arial"/>
        </w:rPr>
        <w:t>,</w:t>
      </w:r>
      <w:r>
        <w:rPr>
          <w:rFonts w:cs="Arial"/>
        </w:rPr>
        <w:t xml:space="preserve"> </w:t>
      </w:r>
      <w:r w:rsidR="00767A55">
        <w:rPr>
          <w:rFonts w:cs="Arial"/>
        </w:rPr>
        <w:t xml:space="preserve">Suite </w:t>
      </w:r>
      <w:r>
        <w:rPr>
          <w:rFonts w:cs="Arial"/>
        </w:rPr>
        <w:t>1800</w:t>
      </w:r>
    </w:p>
    <w:p w:rsidR="00311E94" w:rsidRDefault="00311E94" w:rsidP="00C97932">
      <w:pPr>
        <w:jc w:val="left"/>
        <w:rPr>
          <w:rFonts w:cs="Arial"/>
        </w:rPr>
      </w:pPr>
      <w:r>
        <w:rPr>
          <w:rFonts w:cs="Arial"/>
        </w:rPr>
        <w:t>Columbus, OH  43215</w:t>
      </w:r>
      <w:r w:rsidR="00767A55">
        <w:rPr>
          <w:rFonts w:cs="Arial"/>
        </w:rPr>
        <w:t>-4295</w:t>
      </w:r>
    </w:p>
    <w:p w:rsidR="00311E94" w:rsidRDefault="00311E94" w:rsidP="00C97932">
      <w:pPr>
        <w:jc w:val="left"/>
        <w:rPr>
          <w:rFonts w:cs="Arial"/>
        </w:rPr>
      </w:pPr>
      <w:r>
        <w:rPr>
          <w:rFonts w:cs="Arial"/>
        </w:rPr>
        <w:t>callwein@keglerbrown.com</w:t>
      </w:r>
    </w:p>
    <w:p w:rsidR="00311E94" w:rsidRDefault="00311E94" w:rsidP="00C97932">
      <w:pPr>
        <w:jc w:val="left"/>
        <w:rPr>
          <w:rFonts w:cs="Arial"/>
        </w:rPr>
      </w:pPr>
    </w:p>
    <w:p w:rsidR="00311E94" w:rsidRDefault="00311E94" w:rsidP="00C97932">
      <w:pPr>
        <w:jc w:val="left"/>
        <w:rPr>
          <w:rFonts w:cs="Arial"/>
        </w:rPr>
      </w:pPr>
      <w:r>
        <w:rPr>
          <w:rFonts w:cs="Arial"/>
        </w:rPr>
        <w:t>Tony G. Mendoza (PHV-5610-2014)</w:t>
      </w:r>
    </w:p>
    <w:p w:rsidR="00311E94" w:rsidRDefault="00311E94" w:rsidP="00C97932">
      <w:pPr>
        <w:jc w:val="left"/>
        <w:rPr>
          <w:rFonts w:cs="Arial"/>
        </w:rPr>
      </w:pPr>
      <w:r>
        <w:rPr>
          <w:rFonts w:cs="Arial"/>
        </w:rPr>
        <w:t>Sierra Club</w:t>
      </w:r>
    </w:p>
    <w:p w:rsidR="00311E94" w:rsidRDefault="00311E94" w:rsidP="00C97932">
      <w:pPr>
        <w:jc w:val="left"/>
        <w:rPr>
          <w:rFonts w:cs="Arial"/>
        </w:rPr>
      </w:pPr>
      <w:r>
        <w:rPr>
          <w:rFonts w:cs="Arial"/>
        </w:rPr>
        <w:t>Environmental Law Program</w:t>
      </w:r>
    </w:p>
    <w:p w:rsidR="00311E94" w:rsidRDefault="00311E94" w:rsidP="00C97932">
      <w:pPr>
        <w:jc w:val="left"/>
        <w:rPr>
          <w:rFonts w:cs="Arial"/>
        </w:rPr>
      </w:pPr>
      <w:r>
        <w:rPr>
          <w:rFonts w:cs="Arial"/>
        </w:rPr>
        <w:t>85 Second Street, 2</w:t>
      </w:r>
      <w:r w:rsidRPr="000F58C4">
        <w:rPr>
          <w:rFonts w:cs="Arial"/>
          <w:vertAlign w:val="superscript"/>
        </w:rPr>
        <w:t>nd</w:t>
      </w:r>
      <w:r>
        <w:rPr>
          <w:rFonts w:cs="Arial"/>
        </w:rPr>
        <w:t xml:space="preserve"> Floor</w:t>
      </w:r>
    </w:p>
    <w:p w:rsidR="00311E94" w:rsidRDefault="00311E94" w:rsidP="00C97932">
      <w:pPr>
        <w:jc w:val="left"/>
        <w:rPr>
          <w:rFonts w:cs="Arial"/>
        </w:rPr>
      </w:pPr>
      <w:r>
        <w:rPr>
          <w:rFonts w:cs="Arial"/>
        </w:rPr>
        <w:t>San Francisco, CA  94105-3459</w:t>
      </w:r>
    </w:p>
    <w:p w:rsidR="00311E94" w:rsidRDefault="00311E94" w:rsidP="00C97932">
      <w:pPr>
        <w:jc w:val="left"/>
        <w:rPr>
          <w:rFonts w:cs="Arial"/>
        </w:rPr>
      </w:pPr>
      <w:r>
        <w:rPr>
          <w:rFonts w:cs="Arial"/>
        </w:rPr>
        <w:t>tony.mendoza@sierraclub.org</w:t>
      </w:r>
    </w:p>
    <w:p w:rsidR="00311E94" w:rsidRDefault="00311E94" w:rsidP="00C97932">
      <w:pPr>
        <w:jc w:val="left"/>
        <w:rPr>
          <w:rFonts w:cs="Arial"/>
        </w:rPr>
      </w:pPr>
    </w:p>
    <w:p w:rsidR="00311E94" w:rsidRPr="00DA3747" w:rsidRDefault="00311E94" w:rsidP="00C97932">
      <w:pPr>
        <w:jc w:val="left"/>
        <w:rPr>
          <w:rFonts w:ascii="Arial Bold" w:hAnsi="Arial Bold" w:cs="Arial"/>
          <w:b/>
          <w:smallCaps/>
        </w:rPr>
      </w:pPr>
      <w:r w:rsidRPr="00DA3747">
        <w:rPr>
          <w:rFonts w:ascii="Arial Bold" w:hAnsi="Arial Bold" w:cs="Arial"/>
          <w:b/>
          <w:smallCaps/>
        </w:rPr>
        <w:t>On Behalf of the Sierra Club</w:t>
      </w:r>
    </w:p>
    <w:p w:rsidR="00311E94" w:rsidRDefault="00311E94" w:rsidP="00C97932">
      <w:pPr>
        <w:jc w:val="left"/>
        <w:rPr>
          <w:rFonts w:cs="Arial"/>
        </w:rPr>
      </w:pPr>
      <w:r>
        <w:rPr>
          <w:rFonts w:ascii="Arial Bold" w:hAnsi="Arial Bold" w:cs="Arial"/>
          <w:smallCaps/>
        </w:rPr>
        <w:br w:type="column"/>
      </w:r>
      <w:r>
        <w:rPr>
          <w:rFonts w:cs="Arial"/>
        </w:rPr>
        <w:lastRenderedPageBreak/>
        <w:t>M. Howard Petricoff (0008287)</w:t>
      </w:r>
    </w:p>
    <w:p w:rsidR="00311E94" w:rsidRDefault="00311E94" w:rsidP="00C97932">
      <w:pPr>
        <w:jc w:val="left"/>
        <w:rPr>
          <w:rFonts w:cs="Arial"/>
        </w:rPr>
      </w:pPr>
      <w:r>
        <w:rPr>
          <w:rFonts w:cs="Arial"/>
        </w:rPr>
        <w:t>Michael J. Settineri (0073369)</w:t>
      </w:r>
    </w:p>
    <w:p w:rsidR="00311E94" w:rsidRDefault="00311E94" w:rsidP="00C97932">
      <w:pPr>
        <w:jc w:val="left"/>
        <w:rPr>
          <w:rFonts w:cs="Arial"/>
        </w:rPr>
      </w:pPr>
      <w:r>
        <w:rPr>
          <w:rFonts w:cs="Arial"/>
        </w:rPr>
        <w:t>Gretchen L. Petrucci (0046608)</w:t>
      </w:r>
    </w:p>
    <w:p w:rsidR="00311E94" w:rsidRDefault="00311E94" w:rsidP="00C97932">
      <w:pPr>
        <w:jc w:val="left"/>
        <w:rPr>
          <w:rFonts w:cs="Arial"/>
        </w:rPr>
      </w:pPr>
      <w:r>
        <w:rPr>
          <w:rFonts w:cs="Arial"/>
        </w:rPr>
        <w:t>Vorys, Sater, Seymour and Pease LLP</w:t>
      </w:r>
    </w:p>
    <w:p w:rsidR="00311E94" w:rsidRDefault="00311E94" w:rsidP="00C97932">
      <w:pPr>
        <w:jc w:val="left"/>
        <w:rPr>
          <w:rFonts w:cs="Arial"/>
        </w:rPr>
      </w:pPr>
      <w:r>
        <w:rPr>
          <w:rFonts w:cs="Arial"/>
        </w:rPr>
        <w:t>52 East Gay Street</w:t>
      </w:r>
    </w:p>
    <w:p w:rsidR="00311E94" w:rsidRDefault="00311E94" w:rsidP="00C97932">
      <w:pPr>
        <w:jc w:val="left"/>
        <w:rPr>
          <w:rFonts w:cs="Arial"/>
        </w:rPr>
      </w:pPr>
      <w:r>
        <w:rPr>
          <w:rFonts w:cs="Arial"/>
        </w:rPr>
        <w:t>P.O. Box 1008</w:t>
      </w:r>
    </w:p>
    <w:p w:rsidR="00311E94" w:rsidRDefault="00311E94" w:rsidP="00C97932">
      <w:pPr>
        <w:jc w:val="left"/>
        <w:rPr>
          <w:rFonts w:cs="Arial"/>
        </w:rPr>
      </w:pPr>
      <w:r>
        <w:rPr>
          <w:rFonts w:cs="Arial"/>
        </w:rPr>
        <w:t>Columbus, OH  43216-1008</w:t>
      </w:r>
    </w:p>
    <w:p w:rsidR="00311E94" w:rsidRDefault="00311E94" w:rsidP="00C97932">
      <w:pPr>
        <w:jc w:val="left"/>
        <w:rPr>
          <w:rFonts w:cs="Arial"/>
        </w:rPr>
      </w:pPr>
      <w:r>
        <w:rPr>
          <w:rFonts w:cs="Arial"/>
        </w:rPr>
        <w:t>mhpetricoff@vorys.com</w:t>
      </w:r>
    </w:p>
    <w:p w:rsidR="00311E94" w:rsidRDefault="00311E94" w:rsidP="00C97932">
      <w:pPr>
        <w:jc w:val="left"/>
        <w:rPr>
          <w:rFonts w:cs="Arial"/>
        </w:rPr>
      </w:pPr>
      <w:r>
        <w:rPr>
          <w:rFonts w:cs="Arial"/>
        </w:rPr>
        <w:t>mjsettineri@vorys.com</w:t>
      </w:r>
    </w:p>
    <w:p w:rsidR="00311E94" w:rsidRDefault="00311E94" w:rsidP="00C97932">
      <w:pPr>
        <w:jc w:val="left"/>
        <w:rPr>
          <w:rFonts w:cs="Arial"/>
        </w:rPr>
      </w:pPr>
      <w:r>
        <w:rPr>
          <w:rFonts w:cs="Arial"/>
        </w:rPr>
        <w:t>glpetrucci@vorys.com</w:t>
      </w:r>
    </w:p>
    <w:p w:rsidR="00311E94" w:rsidRDefault="00311E94" w:rsidP="00C97932">
      <w:pPr>
        <w:jc w:val="left"/>
        <w:rPr>
          <w:rFonts w:cs="Arial"/>
        </w:rPr>
      </w:pPr>
    </w:p>
    <w:p w:rsidR="00311E94" w:rsidRDefault="00311E94" w:rsidP="00C97932">
      <w:pPr>
        <w:jc w:val="left"/>
        <w:rPr>
          <w:rFonts w:cs="Arial"/>
        </w:rPr>
      </w:pPr>
      <w:r w:rsidRPr="0076382E">
        <w:rPr>
          <w:rFonts w:ascii="Arial Bold" w:hAnsi="Arial Bold" w:cs="Arial"/>
          <w:b/>
          <w:smallCaps/>
        </w:rPr>
        <w:t>On Behalf of Constellation NewEnergy, Inc. and Exelon Generation Company, LLC</w:t>
      </w:r>
      <w:r>
        <w:rPr>
          <w:rFonts w:ascii="Arial Bold" w:hAnsi="Arial Bold" w:cs="Arial"/>
          <w:b/>
          <w:smallCaps/>
        </w:rPr>
        <w:t>, Miami University, University of Cincinnati, Retail Energy Supply Association</w:t>
      </w:r>
    </w:p>
    <w:p w:rsidR="00311E94" w:rsidRDefault="00311E94" w:rsidP="00C97932">
      <w:pPr>
        <w:jc w:val="left"/>
        <w:rPr>
          <w:rFonts w:cs="Arial"/>
        </w:rPr>
      </w:pPr>
    </w:p>
    <w:p w:rsidR="00311E94" w:rsidRDefault="00311E94" w:rsidP="00C97932">
      <w:pPr>
        <w:jc w:val="left"/>
        <w:rPr>
          <w:rFonts w:cs="Arial"/>
        </w:rPr>
      </w:pPr>
      <w:r>
        <w:rPr>
          <w:rFonts w:cs="Arial"/>
        </w:rPr>
        <w:t>Andrew J. Sonderman (0008610)</w:t>
      </w:r>
    </w:p>
    <w:p w:rsidR="00311E94" w:rsidRDefault="00311E94" w:rsidP="00C97932">
      <w:pPr>
        <w:jc w:val="left"/>
        <w:rPr>
          <w:rFonts w:cs="Arial"/>
        </w:rPr>
      </w:pPr>
      <w:r>
        <w:rPr>
          <w:rFonts w:cs="Arial"/>
        </w:rPr>
        <w:t>Margeaux Kimbrough (0085152)</w:t>
      </w:r>
    </w:p>
    <w:p w:rsidR="00311E94" w:rsidRDefault="00311E94" w:rsidP="00C97932">
      <w:pPr>
        <w:jc w:val="left"/>
        <w:rPr>
          <w:rFonts w:cs="Arial"/>
        </w:rPr>
      </w:pPr>
      <w:r>
        <w:rPr>
          <w:rFonts w:cs="Arial"/>
        </w:rPr>
        <w:t>Kegler Brown Hill &amp; Ritter LPA</w:t>
      </w:r>
    </w:p>
    <w:p w:rsidR="00311E94" w:rsidRDefault="00311E94" w:rsidP="00C97932">
      <w:pPr>
        <w:jc w:val="left"/>
        <w:rPr>
          <w:rFonts w:cs="Arial"/>
        </w:rPr>
      </w:pPr>
      <w:r>
        <w:rPr>
          <w:rFonts w:cs="Arial"/>
        </w:rPr>
        <w:t>Capitol Square, Suite 1800</w:t>
      </w:r>
    </w:p>
    <w:p w:rsidR="00311E94" w:rsidRDefault="00311E94" w:rsidP="00C97932">
      <w:pPr>
        <w:jc w:val="left"/>
        <w:rPr>
          <w:rFonts w:cs="Arial"/>
        </w:rPr>
      </w:pPr>
      <w:r>
        <w:rPr>
          <w:rFonts w:cs="Arial"/>
        </w:rPr>
        <w:t>65 East State Street</w:t>
      </w:r>
    </w:p>
    <w:p w:rsidR="00311E94" w:rsidRDefault="00311E94" w:rsidP="00C97932">
      <w:pPr>
        <w:jc w:val="left"/>
        <w:rPr>
          <w:rFonts w:cs="Arial"/>
        </w:rPr>
      </w:pPr>
      <w:r>
        <w:rPr>
          <w:rFonts w:cs="Arial"/>
        </w:rPr>
        <w:t>Columbus, OH  43215-4294</w:t>
      </w:r>
    </w:p>
    <w:p w:rsidR="00311E94" w:rsidRDefault="00311E94" w:rsidP="00C97932">
      <w:pPr>
        <w:jc w:val="left"/>
        <w:rPr>
          <w:rFonts w:cs="Arial"/>
        </w:rPr>
      </w:pPr>
      <w:r>
        <w:rPr>
          <w:rFonts w:cs="Arial"/>
        </w:rPr>
        <w:t>asonderman@keglerbrown.com</w:t>
      </w:r>
    </w:p>
    <w:p w:rsidR="00311E94" w:rsidRDefault="00311E94" w:rsidP="00C97932">
      <w:pPr>
        <w:jc w:val="left"/>
        <w:rPr>
          <w:rFonts w:cs="Arial"/>
        </w:rPr>
      </w:pPr>
      <w:r>
        <w:rPr>
          <w:rFonts w:cs="Arial"/>
        </w:rPr>
        <w:t>mkimbrough@keglerbrown.com</w:t>
      </w:r>
    </w:p>
    <w:p w:rsidR="00311E94" w:rsidRDefault="00311E94" w:rsidP="00C97932">
      <w:pPr>
        <w:jc w:val="left"/>
        <w:rPr>
          <w:rFonts w:cs="Arial"/>
        </w:rPr>
      </w:pPr>
    </w:p>
    <w:p w:rsidR="00311E94" w:rsidRPr="00967F8D" w:rsidRDefault="00311E94" w:rsidP="00C97932">
      <w:pPr>
        <w:jc w:val="left"/>
        <w:rPr>
          <w:rFonts w:ascii="Arial Bold" w:hAnsi="Arial Bold" w:cs="Arial"/>
          <w:b/>
          <w:smallCaps/>
        </w:rPr>
      </w:pPr>
      <w:r w:rsidRPr="00967F8D">
        <w:rPr>
          <w:rFonts w:ascii="Arial Bold" w:hAnsi="Arial Bold" w:cs="Arial"/>
          <w:b/>
          <w:smallCaps/>
        </w:rPr>
        <w:t>On Behalf of People Working Cooperatively, Inc.</w:t>
      </w:r>
    </w:p>
    <w:p w:rsidR="00311E94" w:rsidRDefault="00311E94" w:rsidP="00C97932">
      <w:pPr>
        <w:jc w:val="left"/>
        <w:rPr>
          <w:rFonts w:cs="Arial"/>
        </w:rPr>
      </w:pPr>
    </w:p>
    <w:p w:rsidR="00311E94" w:rsidRDefault="00311E94" w:rsidP="00C97932">
      <w:pPr>
        <w:jc w:val="left"/>
        <w:rPr>
          <w:rFonts w:cs="Arial"/>
        </w:rPr>
      </w:pPr>
      <w:r>
        <w:rPr>
          <w:rFonts w:cs="Arial"/>
        </w:rPr>
        <w:t>David I. Fein</w:t>
      </w:r>
    </w:p>
    <w:p w:rsidR="00311E94" w:rsidRDefault="00311E94" w:rsidP="00C97932">
      <w:pPr>
        <w:jc w:val="left"/>
        <w:rPr>
          <w:rFonts w:cs="Arial"/>
        </w:rPr>
      </w:pPr>
      <w:r>
        <w:rPr>
          <w:rFonts w:cs="Arial"/>
        </w:rPr>
        <w:t>Vice President, State Government Affairs—East</w:t>
      </w:r>
    </w:p>
    <w:p w:rsidR="00311E94" w:rsidRDefault="00311E94" w:rsidP="00C97932">
      <w:pPr>
        <w:jc w:val="left"/>
        <w:rPr>
          <w:rFonts w:cs="Arial"/>
        </w:rPr>
      </w:pPr>
      <w:r>
        <w:rPr>
          <w:rFonts w:cs="Arial"/>
        </w:rPr>
        <w:t>Exelon Corporation</w:t>
      </w:r>
    </w:p>
    <w:p w:rsidR="00311E94" w:rsidRDefault="00311E94" w:rsidP="00C97932">
      <w:pPr>
        <w:jc w:val="left"/>
        <w:rPr>
          <w:rFonts w:cs="Arial"/>
        </w:rPr>
      </w:pPr>
      <w:r>
        <w:rPr>
          <w:rFonts w:cs="Arial"/>
        </w:rPr>
        <w:t>10 South Dearborn Street, 47</w:t>
      </w:r>
      <w:r w:rsidRPr="0076382E">
        <w:rPr>
          <w:rFonts w:cs="Arial"/>
          <w:vertAlign w:val="superscript"/>
        </w:rPr>
        <w:t>th</w:t>
      </w:r>
      <w:r>
        <w:rPr>
          <w:rFonts w:cs="Arial"/>
        </w:rPr>
        <w:t xml:space="preserve"> Floor</w:t>
      </w:r>
    </w:p>
    <w:p w:rsidR="00311E94" w:rsidRDefault="00311E94" w:rsidP="00C97932">
      <w:pPr>
        <w:jc w:val="left"/>
        <w:rPr>
          <w:rFonts w:cs="Arial"/>
        </w:rPr>
      </w:pPr>
      <w:r>
        <w:rPr>
          <w:rFonts w:cs="Arial"/>
        </w:rPr>
        <w:t>Chicago, IL  60603</w:t>
      </w:r>
    </w:p>
    <w:p w:rsidR="00311E94" w:rsidRDefault="00311E94" w:rsidP="00C97932">
      <w:pPr>
        <w:jc w:val="left"/>
        <w:rPr>
          <w:rFonts w:cs="Arial"/>
        </w:rPr>
      </w:pPr>
      <w:r>
        <w:rPr>
          <w:rFonts w:cs="Arial"/>
        </w:rPr>
        <w:t>david.fein@exeloncorp.com</w:t>
      </w:r>
    </w:p>
    <w:p w:rsidR="00311E94" w:rsidRDefault="00311E94" w:rsidP="00C97932">
      <w:pPr>
        <w:jc w:val="left"/>
        <w:rPr>
          <w:rFonts w:cs="Arial"/>
        </w:rPr>
      </w:pPr>
    </w:p>
    <w:p w:rsidR="00311E94" w:rsidRDefault="00311E94" w:rsidP="00C97932">
      <w:pPr>
        <w:jc w:val="left"/>
        <w:rPr>
          <w:rFonts w:cs="Arial"/>
        </w:rPr>
      </w:pPr>
      <w:r>
        <w:rPr>
          <w:rFonts w:cs="Arial"/>
        </w:rPr>
        <w:t>Cynthia Fonner Brady</w:t>
      </w:r>
    </w:p>
    <w:p w:rsidR="00311E94" w:rsidRDefault="00311E94" w:rsidP="00C97932">
      <w:pPr>
        <w:jc w:val="left"/>
        <w:rPr>
          <w:rFonts w:cs="Arial"/>
        </w:rPr>
      </w:pPr>
      <w:r>
        <w:rPr>
          <w:rFonts w:cs="Arial"/>
        </w:rPr>
        <w:t>Assistant General Counsel</w:t>
      </w:r>
    </w:p>
    <w:p w:rsidR="00311E94" w:rsidRDefault="00311E94" w:rsidP="00C97932">
      <w:pPr>
        <w:jc w:val="left"/>
        <w:rPr>
          <w:rFonts w:cs="Arial"/>
        </w:rPr>
      </w:pPr>
      <w:r>
        <w:rPr>
          <w:rFonts w:cs="Arial"/>
        </w:rPr>
        <w:t>Exelon Business Services Company</w:t>
      </w:r>
    </w:p>
    <w:p w:rsidR="00311E94" w:rsidRDefault="00311E94" w:rsidP="00C97932">
      <w:pPr>
        <w:jc w:val="left"/>
        <w:rPr>
          <w:rFonts w:cs="Arial"/>
        </w:rPr>
      </w:pPr>
      <w:r>
        <w:rPr>
          <w:rFonts w:cs="Arial"/>
        </w:rPr>
        <w:t>4300 Winfield Road</w:t>
      </w:r>
    </w:p>
    <w:p w:rsidR="00311E94" w:rsidRDefault="00311E94" w:rsidP="00C97932">
      <w:pPr>
        <w:jc w:val="left"/>
        <w:rPr>
          <w:rFonts w:cs="Arial"/>
        </w:rPr>
      </w:pPr>
      <w:r>
        <w:rPr>
          <w:rFonts w:cs="Arial"/>
        </w:rPr>
        <w:t>Warrenville, IL  60555</w:t>
      </w:r>
    </w:p>
    <w:p w:rsidR="00311E94" w:rsidRDefault="00311E94" w:rsidP="00C97932">
      <w:pPr>
        <w:jc w:val="left"/>
        <w:rPr>
          <w:rFonts w:cs="Arial"/>
        </w:rPr>
      </w:pPr>
      <w:r>
        <w:rPr>
          <w:rFonts w:cs="Arial"/>
        </w:rPr>
        <w:t>cynthia.brady@constellation.com</w:t>
      </w: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r>
        <w:rPr>
          <w:rFonts w:cs="Arial"/>
        </w:rPr>
        <w:t>Lael Campbell</w:t>
      </w:r>
    </w:p>
    <w:p w:rsidR="00311E94" w:rsidRDefault="00311E94" w:rsidP="00C97932">
      <w:pPr>
        <w:jc w:val="left"/>
        <w:rPr>
          <w:rFonts w:cs="Arial"/>
        </w:rPr>
      </w:pPr>
      <w:r>
        <w:rPr>
          <w:rFonts w:cs="Arial"/>
        </w:rPr>
        <w:lastRenderedPageBreak/>
        <w:t>Exelon</w:t>
      </w:r>
    </w:p>
    <w:p w:rsidR="00311E94" w:rsidRDefault="00311E94" w:rsidP="00C97932">
      <w:pPr>
        <w:jc w:val="left"/>
        <w:rPr>
          <w:rFonts w:cs="Arial"/>
        </w:rPr>
      </w:pPr>
      <w:r>
        <w:rPr>
          <w:rFonts w:cs="Arial"/>
        </w:rPr>
        <w:t>101 Constitution Ave, NW</w:t>
      </w:r>
    </w:p>
    <w:p w:rsidR="00311E94" w:rsidRDefault="00311E94" w:rsidP="00C97932">
      <w:pPr>
        <w:jc w:val="left"/>
        <w:rPr>
          <w:rFonts w:cs="Arial"/>
        </w:rPr>
      </w:pPr>
      <w:r>
        <w:rPr>
          <w:rFonts w:cs="Arial"/>
        </w:rPr>
        <w:t>Washington, DC  20001</w:t>
      </w:r>
    </w:p>
    <w:p w:rsidR="00311E94" w:rsidRDefault="00311E94" w:rsidP="00C97932">
      <w:pPr>
        <w:jc w:val="left"/>
        <w:rPr>
          <w:rFonts w:cs="Arial"/>
        </w:rPr>
      </w:pPr>
      <w:r>
        <w:rPr>
          <w:rFonts w:cs="Arial"/>
        </w:rPr>
        <w:t>Lael.Campbell@constellation.com</w:t>
      </w:r>
    </w:p>
    <w:p w:rsidR="00311E94" w:rsidRDefault="00311E94" w:rsidP="00C97932">
      <w:pPr>
        <w:jc w:val="left"/>
        <w:rPr>
          <w:rFonts w:cs="Arial"/>
        </w:rPr>
      </w:pPr>
    </w:p>
    <w:p w:rsidR="00311E94" w:rsidRDefault="00311E94" w:rsidP="00C97932">
      <w:pPr>
        <w:jc w:val="left"/>
        <w:rPr>
          <w:rFonts w:ascii="Arial Bold" w:hAnsi="Arial Bold" w:cs="Arial"/>
          <w:b/>
          <w:smallCaps/>
        </w:rPr>
      </w:pPr>
      <w:r w:rsidRPr="0076382E">
        <w:rPr>
          <w:rFonts w:ascii="Arial Bold" w:hAnsi="Arial Bold" w:cs="Arial"/>
          <w:b/>
          <w:smallCaps/>
        </w:rPr>
        <w:t>On Behalf of Constellation NewEnergy, Inc. and Exelon Generation Company, LLC</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Justin Vickers</w:t>
      </w:r>
    </w:p>
    <w:p w:rsidR="00311E94" w:rsidRDefault="00311E94" w:rsidP="00C97932">
      <w:pPr>
        <w:jc w:val="left"/>
        <w:rPr>
          <w:rFonts w:cs="Arial"/>
        </w:rPr>
      </w:pPr>
      <w:r>
        <w:rPr>
          <w:rFonts w:cs="Arial"/>
        </w:rPr>
        <w:t>35 East Wacker Drive, Suite 1600</w:t>
      </w:r>
    </w:p>
    <w:p w:rsidR="00311E94" w:rsidRDefault="00311E94" w:rsidP="00C97932">
      <w:pPr>
        <w:jc w:val="left"/>
        <w:rPr>
          <w:rFonts w:cs="Arial"/>
        </w:rPr>
      </w:pPr>
      <w:r>
        <w:rPr>
          <w:rFonts w:cs="Arial"/>
        </w:rPr>
        <w:t>Chicago, IL  60601</w:t>
      </w:r>
    </w:p>
    <w:p w:rsidR="00311E94" w:rsidRDefault="00311E94" w:rsidP="00C97932">
      <w:pPr>
        <w:jc w:val="left"/>
        <w:rPr>
          <w:rFonts w:cs="Arial"/>
        </w:rPr>
      </w:pPr>
      <w:r>
        <w:rPr>
          <w:rFonts w:cs="Arial"/>
        </w:rPr>
        <w:t>jvickers@elpc.org</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the Environmental Law &amp; Policy Center</w:t>
      </w:r>
    </w:p>
    <w:p w:rsidR="00311E94" w:rsidRDefault="00311E94" w:rsidP="00C97932">
      <w:pPr>
        <w:jc w:val="left"/>
        <w:rPr>
          <w:rFonts w:cs="Arial"/>
        </w:rPr>
      </w:pPr>
    </w:p>
    <w:p w:rsidR="00311E94" w:rsidRDefault="00311E94" w:rsidP="00C97932">
      <w:pPr>
        <w:jc w:val="left"/>
        <w:rPr>
          <w:rFonts w:cs="Arial"/>
        </w:rPr>
      </w:pPr>
      <w:r>
        <w:rPr>
          <w:rFonts w:cs="Arial"/>
        </w:rPr>
        <w:t>Samantha Williams</w:t>
      </w:r>
    </w:p>
    <w:p w:rsidR="00311E94" w:rsidRDefault="00311E94" w:rsidP="00C97932">
      <w:pPr>
        <w:jc w:val="left"/>
        <w:rPr>
          <w:rFonts w:cs="Arial"/>
        </w:rPr>
      </w:pPr>
      <w:r>
        <w:rPr>
          <w:rFonts w:cs="Arial"/>
        </w:rPr>
        <w:t>Staff Attorney</w:t>
      </w:r>
    </w:p>
    <w:p w:rsidR="00311E94" w:rsidRDefault="00311E94" w:rsidP="00C97932">
      <w:pPr>
        <w:jc w:val="left"/>
        <w:rPr>
          <w:rFonts w:cs="Arial"/>
        </w:rPr>
      </w:pPr>
      <w:r>
        <w:rPr>
          <w:rFonts w:cs="Arial"/>
        </w:rPr>
        <w:t>Natural Resources Defense Council</w:t>
      </w:r>
    </w:p>
    <w:p w:rsidR="00311E94" w:rsidRDefault="00311E94" w:rsidP="00C97932">
      <w:pPr>
        <w:jc w:val="left"/>
        <w:rPr>
          <w:rFonts w:cs="Arial"/>
        </w:rPr>
      </w:pPr>
      <w:r>
        <w:rPr>
          <w:rFonts w:cs="Arial"/>
        </w:rPr>
        <w:t>20 N Wacker Drive, Suite 1600</w:t>
      </w:r>
    </w:p>
    <w:p w:rsidR="00311E94" w:rsidRDefault="00311E94" w:rsidP="00C97932">
      <w:pPr>
        <w:jc w:val="left"/>
        <w:rPr>
          <w:rFonts w:cs="Arial"/>
        </w:rPr>
      </w:pPr>
      <w:r>
        <w:rPr>
          <w:rFonts w:cs="Arial"/>
        </w:rPr>
        <w:t>Chicago, IL  60606</w:t>
      </w:r>
    </w:p>
    <w:p w:rsidR="00311E94" w:rsidRDefault="00311E94" w:rsidP="00C97932">
      <w:pPr>
        <w:jc w:val="left"/>
        <w:rPr>
          <w:rFonts w:cs="Arial"/>
        </w:rPr>
      </w:pPr>
      <w:r>
        <w:rPr>
          <w:rFonts w:cs="Arial"/>
        </w:rPr>
        <w:t>swilliams@nrdc.org</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the Natural Resources Defense Council</w:t>
      </w:r>
    </w:p>
    <w:p w:rsidR="00311E94" w:rsidRDefault="00311E94" w:rsidP="00C97932">
      <w:pPr>
        <w:jc w:val="left"/>
        <w:rPr>
          <w:rFonts w:cs="Arial"/>
        </w:rPr>
      </w:pPr>
    </w:p>
    <w:p w:rsidR="00311E94" w:rsidRDefault="00311E94" w:rsidP="00C97932">
      <w:pPr>
        <w:jc w:val="left"/>
        <w:rPr>
          <w:rFonts w:cs="Arial"/>
        </w:rPr>
      </w:pPr>
      <w:r>
        <w:rPr>
          <w:rFonts w:cs="Arial"/>
        </w:rPr>
        <w:t>Douglas E. Hart (0005600)</w:t>
      </w:r>
    </w:p>
    <w:p w:rsidR="00311E94" w:rsidRDefault="00311E94" w:rsidP="00C97932">
      <w:pPr>
        <w:jc w:val="left"/>
        <w:rPr>
          <w:rFonts w:cs="Arial"/>
        </w:rPr>
      </w:pPr>
      <w:r>
        <w:rPr>
          <w:rFonts w:cs="Arial"/>
        </w:rPr>
        <w:t>441 Vine Street, Suite 4192</w:t>
      </w:r>
    </w:p>
    <w:p w:rsidR="00311E94" w:rsidRDefault="00311E94" w:rsidP="00C97932">
      <w:pPr>
        <w:jc w:val="left"/>
        <w:rPr>
          <w:rFonts w:cs="Arial"/>
        </w:rPr>
      </w:pPr>
      <w:r>
        <w:rPr>
          <w:rFonts w:cs="Arial"/>
        </w:rPr>
        <w:t>Cincinnati, OH  45202</w:t>
      </w:r>
    </w:p>
    <w:p w:rsidR="00311E94" w:rsidRDefault="00311E94" w:rsidP="00C97932">
      <w:pPr>
        <w:jc w:val="left"/>
        <w:rPr>
          <w:rFonts w:cs="Arial"/>
        </w:rPr>
      </w:pPr>
      <w:r>
        <w:rPr>
          <w:rFonts w:cs="Arial"/>
        </w:rPr>
        <w:t>dhart@douglasehart.com</w:t>
      </w:r>
    </w:p>
    <w:p w:rsidR="00311E94" w:rsidRDefault="00311E94" w:rsidP="00C97932">
      <w:pPr>
        <w:jc w:val="left"/>
        <w:rPr>
          <w:rFonts w:cs="Arial"/>
        </w:rPr>
      </w:pPr>
    </w:p>
    <w:p w:rsidR="00311E94" w:rsidRPr="00967F8D" w:rsidRDefault="00311E94" w:rsidP="00C97932">
      <w:pPr>
        <w:jc w:val="left"/>
        <w:rPr>
          <w:rFonts w:ascii="Arial Bold" w:hAnsi="Arial Bold" w:cs="Arial"/>
          <w:b/>
          <w:smallCaps/>
        </w:rPr>
      </w:pPr>
      <w:r w:rsidRPr="00967F8D">
        <w:rPr>
          <w:rFonts w:ascii="Arial Bold" w:hAnsi="Arial Bold" w:cs="Arial"/>
          <w:b/>
          <w:smallCaps/>
        </w:rPr>
        <w:t>On Behalf of The Greater Cincinnati Health Council</w:t>
      </w:r>
    </w:p>
    <w:p w:rsidR="00311E94" w:rsidRDefault="00311E94" w:rsidP="00C97932">
      <w:pPr>
        <w:jc w:val="left"/>
        <w:rPr>
          <w:rFonts w:cs="Arial"/>
        </w:rPr>
      </w:pPr>
    </w:p>
    <w:p w:rsidR="00311E94" w:rsidRDefault="00311E94" w:rsidP="00C97932">
      <w:pPr>
        <w:jc w:val="left"/>
        <w:rPr>
          <w:rFonts w:cs="Arial"/>
        </w:rPr>
      </w:pPr>
      <w:r>
        <w:rPr>
          <w:rFonts w:cs="Arial"/>
        </w:rPr>
        <w:t>Rebecca L. Hussey (0079444)</w:t>
      </w:r>
    </w:p>
    <w:p w:rsidR="00311E94" w:rsidRDefault="00311E94" w:rsidP="00C97932">
      <w:pPr>
        <w:jc w:val="left"/>
        <w:rPr>
          <w:rFonts w:cs="Arial"/>
        </w:rPr>
      </w:pPr>
      <w:r>
        <w:rPr>
          <w:rFonts w:cs="Arial"/>
        </w:rPr>
        <w:t>Carpenter Lipps &amp; Leland LLP</w:t>
      </w:r>
    </w:p>
    <w:p w:rsidR="00311E94" w:rsidRDefault="00311E94" w:rsidP="00C97932">
      <w:pPr>
        <w:jc w:val="left"/>
        <w:rPr>
          <w:rFonts w:cs="Arial"/>
        </w:rPr>
      </w:pPr>
      <w:r>
        <w:rPr>
          <w:rFonts w:cs="Arial"/>
        </w:rPr>
        <w:t>280 Plaza, Suite 1300</w:t>
      </w:r>
    </w:p>
    <w:p w:rsidR="00311E94" w:rsidRDefault="00311E94" w:rsidP="00C97932">
      <w:pPr>
        <w:jc w:val="left"/>
        <w:rPr>
          <w:rFonts w:cs="Arial"/>
        </w:rPr>
      </w:pPr>
      <w:r>
        <w:rPr>
          <w:rFonts w:cs="Arial"/>
        </w:rPr>
        <w:t>280 North High Street</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Hussey@carpenterlipps.com</w:t>
      </w:r>
    </w:p>
    <w:p w:rsidR="00311E94" w:rsidRDefault="00311E94" w:rsidP="00C97932">
      <w:pPr>
        <w:jc w:val="left"/>
        <w:rPr>
          <w:rFonts w:cs="Arial"/>
        </w:rPr>
      </w:pPr>
    </w:p>
    <w:p w:rsidR="00311E94" w:rsidRPr="00E478FD" w:rsidRDefault="00311E94" w:rsidP="00C97932">
      <w:pPr>
        <w:jc w:val="left"/>
        <w:rPr>
          <w:rFonts w:ascii="Arial Bold" w:hAnsi="Arial Bold" w:cs="Arial"/>
          <w:b/>
          <w:smallCaps/>
        </w:rPr>
      </w:pPr>
      <w:r w:rsidRPr="00E478FD">
        <w:rPr>
          <w:rFonts w:ascii="Arial Bold" w:hAnsi="Arial Bold" w:cs="Arial"/>
          <w:b/>
          <w:smallCaps/>
        </w:rPr>
        <w:t>On Behalf of The Kroger Company</w:t>
      </w:r>
    </w:p>
    <w:p w:rsidR="00311E94" w:rsidRDefault="00311E94" w:rsidP="00C97932">
      <w:pPr>
        <w:jc w:val="left"/>
        <w:rPr>
          <w:rFonts w:cs="Arial"/>
        </w:rPr>
      </w:pPr>
      <w:r>
        <w:rPr>
          <w:rFonts w:cs="Arial"/>
        </w:rPr>
        <w:br w:type="column"/>
      </w:r>
      <w:r>
        <w:rPr>
          <w:rFonts w:cs="Arial"/>
        </w:rPr>
        <w:lastRenderedPageBreak/>
        <w:t>Gregory J. Poulos</w:t>
      </w:r>
    </w:p>
    <w:p w:rsidR="00311E94" w:rsidRDefault="00311E94" w:rsidP="00C97932">
      <w:pPr>
        <w:jc w:val="left"/>
        <w:rPr>
          <w:rFonts w:cs="Arial"/>
        </w:rPr>
      </w:pPr>
      <w:r>
        <w:rPr>
          <w:rFonts w:cs="Arial"/>
        </w:rPr>
        <w:t>EnerNOC, Inc.</w:t>
      </w:r>
    </w:p>
    <w:p w:rsidR="00311E94" w:rsidRDefault="00311E94" w:rsidP="00C97932">
      <w:pPr>
        <w:jc w:val="left"/>
        <w:rPr>
          <w:rFonts w:cs="Arial"/>
        </w:rPr>
      </w:pPr>
      <w:r>
        <w:rPr>
          <w:rFonts w:cs="Arial"/>
        </w:rPr>
        <w:t>471 E. Broad Street, Suite 1520</w:t>
      </w:r>
    </w:p>
    <w:p w:rsidR="00311E94" w:rsidRDefault="00311E94" w:rsidP="00C97932">
      <w:pPr>
        <w:jc w:val="left"/>
        <w:rPr>
          <w:rFonts w:cs="Arial"/>
        </w:rPr>
      </w:pPr>
      <w:r>
        <w:rPr>
          <w:rFonts w:cs="Arial"/>
        </w:rPr>
        <w:t>Columbus, OH  43054</w:t>
      </w:r>
    </w:p>
    <w:p w:rsidR="00311E94" w:rsidRDefault="00311E94" w:rsidP="00C97932">
      <w:pPr>
        <w:jc w:val="left"/>
        <w:rPr>
          <w:rFonts w:cs="Arial"/>
        </w:rPr>
      </w:pPr>
      <w:r>
        <w:rPr>
          <w:rFonts w:cs="Arial"/>
        </w:rPr>
        <w:t>gpoulos@enernoc.com</w:t>
      </w:r>
    </w:p>
    <w:p w:rsidR="00311E94" w:rsidRDefault="00311E94" w:rsidP="00C97932">
      <w:pPr>
        <w:jc w:val="left"/>
        <w:rPr>
          <w:rFonts w:cs="Arial"/>
        </w:rPr>
      </w:pPr>
    </w:p>
    <w:p w:rsidR="00311E94" w:rsidRDefault="00311E94" w:rsidP="00C97932">
      <w:pPr>
        <w:jc w:val="left"/>
        <w:rPr>
          <w:rFonts w:cs="Arial"/>
        </w:rPr>
      </w:pPr>
      <w:r>
        <w:rPr>
          <w:rFonts w:cs="Arial"/>
        </w:rPr>
        <w:t>Joel E. Sechler (0076320)</w:t>
      </w:r>
    </w:p>
    <w:p w:rsidR="00311E94" w:rsidRDefault="00311E94" w:rsidP="00C97932">
      <w:pPr>
        <w:jc w:val="left"/>
        <w:rPr>
          <w:rFonts w:cs="Arial"/>
        </w:rPr>
      </w:pPr>
      <w:r>
        <w:rPr>
          <w:rFonts w:cs="Arial"/>
        </w:rPr>
        <w:t>Carpenter Lipps &amp; Leland LLP</w:t>
      </w:r>
    </w:p>
    <w:p w:rsidR="00311E94" w:rsidRDefault="00311E94" w:rsidP="00C97932">
      <w:pPr>
        <w:jc w:val="left"/>
        <w:rPr>
          <w:rFonts w:cs="Arial"/>
        </w:rPr>
      </w:pPr>
      <w:r>
        <w:rPr>
          <w:rFonts w:cs="Arial"/>
        </w:rPr>
        <w:t>280 North High Street, Suite 1300</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Sechler@carpenterlipps.com</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EnerNOC, Inc.</w:t>
      </w:r>
    </w:p>
    <w:p w:rsidR="00311E94" w:rsidRDefault="00311E94" w:rsidP="00C97932">
      <w:pPr>
        <w:jc w:val="left"/>
        <w:rPr>
          <w:rFonts w:cs="Arial"/>
        </w:rPr>
      </w:pPr>
    </w:p>
    <w:p w:rsidR="00311E94" w:rsidRDefault="00311E94" w:rsidP="00C97932">
      <w:pPr>
        <w:jc w:val="left"/>
        <w:rPr>
          <w:rFonts w:cs="Arial"/>
        </w:rPr>
      </w:pPr>
      <w:r>
        <w:rPr>
          <w:rFonts w:cs="Arial"/>
        </w:rPr>
        <w:t>Thomas J. O’Brien</w:t>
      </w:r>
    </w:p>
    <w:p w:rsidR="00311E94" w:rsidRDefault="00311E94" w:rsidP="00C97932">
      <w:pPr>
        <w:jc w:val="left"/>
        <w:rPr>
          <w:rFonts w:cs="Arial"/>
        </w:rPr>
      </w:pPr>
      <w:r>
        <w:rPr>
          <w:rFonts w:cs="Arial"/>
        </w:rPr>
        <w:t>Bricker &amp; Eckler LLP</w:t>
      </w:r>
    </w:p>
    <w:p w:rsidR="00311E94" w:rsidRDefault="00311E94" w:rsidP="00C97932">
      <w:pPr>
        <w:jc w:val="left"/>
        <w:rPr>
          <w:rFonts w:cs="Arial"/>
        </w:rPr>
      </w:pPr>
      <w:r>
        <w:rPr>
          <w:rFonts w:cs="Arial"/>
        </w:rPr>
        <w:t>100 South Third Street</w:t>
      </w:r>
    </w:p>
    <w:p w:rsidR="00311E94" w:rsidRDefault="00311E94" w:rsidP="00C97932">
      <w:pPr>
        <w:jc w:val="left"/>
        <w:rPr>
          <w:rFonts w:cs="Arial"/>
        </w:rPr>
      </w:pPr>
      <w:r>
        <w:rPr>
          <w:rFonts w:cs="Arial"/>
        </w:rPr>
        <w:t>Columbus, OH  43215-4291</w:t>
      </w:r>
    </w:p>
    <w:p w:rsidR="00311E94" w:rsidRDefault="00311E94" w:rsidP="00C97932">
      <w:pPr>
        <w:jc w:val="left"/>
        <w:rPr>
          <w:rFonts w:cs="Arial"/>
        </w:rPr>
      </w:pPr>
      <w:r>
        <w:rPr>
          <w:rFonts w:cs="Arial"/>
        </w:rPr>
        <w:t>tobrien@bricker.com</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the City of Cincinnati</w:t>
      </w:r>
    </w:p>
    <w:p w:rsidR="00311E94" w:rsidRDefault="00311E94" w:rsidP="00C97932">
      <w:pPr>
        <w:jc w:val="left"/>
        <w:rPr>
          <w:rFonts w:cs="Arial"/>
        </w:rPr>
      </w:pPr>
    </w:p>
    <w:p w:rsidR="00311E94" w:rsidRDefault="00311E94" w:rsidP="00C97932">
      <w:pPr>
        <w:jc w:val="left"/>
        <w:rPr>
          <w:rFonts w:cs="Arial"/>
        </w:rPr>
      </w:pPr>
      <w:r>
        <w:rPr>
          <w:rFonts w:cs="Arial"/>
        </w:rPr>
        <w:t>Donald L. Mason (0042739)</w:t>
      </w:r>
    </w:p>
    <w:p w:rsidR="00311E94" w:rsidRDefault="00311E94" w:rsidP="00C97932">
      <w:pPr>
        <w:jc w:val="left"/>
        <w:rPr>
          <w:rFonts w:cs="Arial"/>
        </w:rPr>
      </w:pPr>
      <w:r>
        <w:rPr>
          <w:rFonts w:cs="Arial"/>
        </w:rPr>
        <w:t>Michael R. Traven (0081158)</w:t>
      </w:r>
    </w:p>
    <w:p w:rsidR="00311E94" w:rsidRDefault="00311E94" w:rsidP="00C97932">
      <w:pPr>
        <w:jc w:val="left"/>
        <w:rPr>
          <w:rFonts w:cs="Arial"/>
        </w:rPr>
      </w:pPr>
      <w:r>
        <w:rPr>
          <w:rFonts w:cs="Arial"/>
        </w:rPr>
        <w:t>Roetzel &amp; Andress, LPA</w:t>
      </w:r>
    </w:p>
    <w:p w:rsidR="00311E94" w:rsidRDefault="00311E94" w:rsidP="00C97932">
      <w:pPr>
        <w:jc w:val="left"/>
        <w:rPr>
          <w:rFonts w:cs="Arial"/>
        </w:rPr>
      </w:pPr>
      <w:r>
        <w:rPr>
          <w:rFonts w:cs="Arial"/>
        </w:rPr>
        <w:t>155 E. Broad Street, 12</w:t>
      </w:r>
      <w:r w:rsidRPr="00D3618A">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dmason@ralaw.com</w:t>
      </w:r>
    </w:p>
    <w:p w:rsidR="00311E94" w:rsidRDefault="00311E94" w:rsidP="00C97932">
      <w:pPr>
        <w:jc w:val="left"/>
        <w:rPr>
          <w:rFonts w:cs="Arial"/>
        </w:rPr>
      </w:pPr>
      <w:r>
        <w:rPr>
          <w:rFonts w:cs="Arial"/>
        </w:rPr>
        <w:t>mtraven@ralaw.com</w:t>
      </w:r>
    </w:p>
    <w:p w:rsidR="00311E94" w:rsidRDefault="00311E94" w:rsidP="00C97932">
      <w:pPr>
        <w:jc w:val="left"/>
        <w:rPr>
          <w:rFonts w:cs="Arial"/>
        </w:rPr>
      </w:pPr>
    </w:p>
    <w:p w:rsidR="00311E94" w:rsidRDefault="00311E94" w:rsidP="00C97932">
      <w:pPr>
        <w:jc w:val="left"/>
        <w:rPr>
          <w:rFonts w:cs="Arial"/>
        </w:rPr>
      </w:pPr>
      <w:r>
        <w:rPr>
          <w:rFonts w:cs="Arial"/>
        </w:rPr>
        <w:t>Rick D. Chamberlain</w:t>
      </w:r>
    </w:p>
    <w:p w:rsidR="00311E94" w:rsidRDefault="00311E94" w:rsidP="00C97932">
      <w:pPr>
        <w:jc w:val="left"/>
        <w:rPr>
          <w:rFonts w:cs="Arial"/>
        </w:rPr>
      </w:pPr>
      <w:r>
        <w:rPr>
          <w:rFonts w:cs="Arial"/>
        </w:rPr>
        <w:t>(Counsel of Record)</w:t>
      </w:r>
    </w:p>
    <w:p w:rsidR="00311E94" w:rsidRDefault="00311E94" w:rsidP="00C97932">
      <w:pPr>
        <w:jc w:val="left"/>
        <w:rPr>
          <w:rFonts w:cs="Arial"/>
        </w:rPr>
      </w:pPr>
      <w:r>
        <w:rPr>
          <w:rFonts w:cs="Arial"/>
        </w:rPr>
        <w:t>Oklahoma Bar Association # 11255</w:t>
      </w:r>
    </w:p>
    <w:p w:rsidR="00311E94" w:rsidRDefault="00311E94" w:rsidP="00C97932">
      <w:pPr>
        <w:jc w:val="left"/>
        <w:rPr>
          <w:rFonts w:cs="Arial"/>
        </w:rPr>
      </w:pPr>
      <w:r>
        <w:rPr>
          <w:rFonts w:cs="Arial"/>
        </w:rPr>
        <w:t>State Bar of Texas #24081827)</w:t>
      </w:r>
    </w:p>
    <w:p w:rsidR="00311E94" w:rsidRDefault="00311E94" w:rsidP="00C97932">
      <w:pPr>
        <w:jc w:val="left"/>
        <w:rPr>
          <w:rFonts w:cs="Arial"/>
        </w:rPr>
      </w:pPr>
      <w:r>
        <w:rPr>
          <w:rFonts w:cs="Arial"/>
        </w:rPr>
        <w:t>Behrens, Wheeler &amp; Chamberlain</w:t>
      </w:r>
    </w:p>
    <w:p w:rsidR="00311E94" w:rsidRDefault="00311E94" w:rsidP="00C97932">
      <w:pPr>
        <w:jc w:val="left"/>
        <w:rPr>
          <w:rFonts w:cs="Arial"/>
        </w:rPr>
      </w:pPr>
      <w:r>
        <w:rPr>
          <w:rFonts w:cs="Arial"/>
        </w:rPr>
        <w:t>6 N.E. 63</w:t>
      </w:r>
      <w:r w:rsidRPr="00D3618A">
        <w:rPr>
          <w:rFonts w:cs="Arial"/>
          <w:vertAlign w:val="superscript"/>
        </w:rPr>
        <w:t>rd</w:t>
      </w:r>
      <w:r>
        <w:rPr>
          <w:rFonts w:cs="Arial"/>
        </w:rPr>
        <w:t xml:space="preserve"> Street, Suite 400</w:t>
      </w:r>
    </w:p>
    <w:p w:rsidR="00311E94" w:rsidRDefault="00311E94" w:rsidP="00C97932">
      <w:pPr>
        <w:jc w:val="left"/>
        <w:rPr>
          <w:rFonts w:cs="Arial"/>
        </w:rPr>
      </w:pPr>
      <w:r>
        <w:rPr>
          <w:rFonts w:cs="Arial"/>
        </w:rPr>
        <w:t>Oklahoma City, OK  73105</w:t>
      </w:r>
    </w:p>
    <w:p w:rsidR="00311E94" w:rsidRDefault="00311E94" w:rsidP="00C97932">
      <w:pPr>
        <w:jc w:val="left"/>
        <w:rPr>
          <w:rFonts w:cs="Arial"/>
        </w:rPr>
      </w:pPr>
      <w:r>
        <w:rPr>
          <w:rFonts w:cs="Arial"/>
        </w:rPr>
        <w:t>rchamberlain@okenergylaw.com</w:t>
      </w:r>
    </w:p>
    <w:p w:rsidR="00311E94" w:rsidRDefault="00311E94" w:rsidP="00C97932">
      <w:pPr>
        <w:jc w:val="left"/>
        <w:rPr>
          <w:rFonts w:cs="Arial"/>
        </w:rPr>
      </w:pPr>
    </w:p>
    <w:p w:rsidR="00311E94" w:rsidRPr="00D3618A" w:rsidRDefault="00311E94" w:rsidP="00C97932">
      <w:pPr>
        <w:jc w:val="left"/>
        <w:rPr>
          <w:rFonts w:ascii="Arial Bold" w:hAnsi="Arial Bold" w:cs="Arial"/>
          <w:b/>
          <w:smallCaps/>
        </w:rPr>
      </w:pPr>
      <w:r w:rsidRPr="00D3618A">
        <w:rPr>
          <w:rFonts w:ascii="Arial Bold" w:hAnsi="Arial Bold" w:cs="Arial"/>
          <w:b/>
          <w:smallCaps/>
        </w:rPr>
        <w:t>On Behalf of Wal-Mart Stores East, LP, and Sam’s East, Inc.</w:t>
      </w: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r>
        <w:rPr>
          <w:rFonts w:cs="Arial"/>
        </w:rPr>
        <w:t>Dane Stinson (0019101)</w:t>
      </w:r>
    </w:p>
    <w:p w:rsidR="00311E94" w:rsidRDefault="00311E94" w:rsidP="00C97932">
      <w:pPr>
        <w:jc w:val="left"/>
        <w:rPr>
          <w:rFonts w:cs="Arial"/>
        </w:rPr>
      </w:pPr>
      <w:r>
        <w:rPr>
          <w:rFonts w:cs="Arial"/>
        </w:rPr>
        <w:lastRenderedPageBreak/>
        <w:t>Dylan Borchers (0090690)</w:t>
      </w:r>
    </w:p>
    <w:p w:rsidR="00311E94" w:rsidRDefault="00311E94" w:rsidP="00C97932">
      <w:pPr>
        <w:jc w:val="left"/>
        <w:rPr>
          <w:rFonts w:cs="Arial"/>
        </w:rPr>
      </w:pPr>
      <w:r>
        <w:rPr>
          <w:rFonts w:cs="Arial"/>
        </w:rPr>
        <w:t>Bricker &amp; Eckler LLP</w:t>
      </w:r>
    </w:p>
    <w:p w:rsidR="00311E94" w:rsidRDefault="00311E94" w:rsidP="00C97932">
      <w:pPr>
        <w:jc w:val="left"/>
        <w:rPr>
          <w:rFonts w:cs="Arial"/>
        </w:rPr>
      </w:pPr>
      <w:r>
        <w:rPr>
          <w:rFonts w:cs="Arial"/>
        </w:rPr>
        <w:t>100 South Third Street</w:t>
      </w:r>
    </w:p>
    <w:p w:rsidR="00311E94" w:rsidRDefault="00311E94" w:rsidP="00C97932">
      <w:pPr>
        <w:jc w:val="left"/>
        <w:rPr>
          <w:rFonts w:cs="Arial"/>
        </w:rPr>
      </w:pPr>
      <w:r>
        <w:rPr>
          <w:rFonts w:cs="Arial"/>
        </w:rPr>
        <w:t>Columbus, OH  43215-4291</w:t>
      </w:r>
    </w:p>
    <w:p w:rsidR="00311E94" w:rsidRDefault="00311E94" w:rsidP="00C97932">
      <w:pPr>
        <w:jc w:val="left"/>
        <w:rPr>
          <w:rFonts w:cs="Arial"/>
        </w:rPr>
      </w:pPr>
      <w:r>
        <w:rPr>
          <w:rFonts w:cs="Arial"/>
        </w:rPr>
        <w:t>dstinson@bricker.com</w:t>
      </w:r>
    </w:p>
    <w:p w:rsidR="00311E94" w:rsidRDefault="00311E94" w:rsidP="00C97932">
      <w:pPr>
        <w:jc w:val="left"/>
        <w:rPr>
          <w:rFonts w:cs="Arial"/>
        </w:rPr>
      </w:pPr>
      <w:r>
        <w:rPr>
          <w:rFonts w:cs="Arial"/>
        </w:rPr>
        <w:t>dborchers@bricker.com</w:t>
      </w:r>
    </w:p>
    <w:p w:rsidR="00311E94" w:rsidRDefault="00311E94" w:rsidP="00C97932">
      <w:pPr>
        <w:jc w:val="left"/>
        <w:rPr>
          <w:rFonts w:cs="Arial"/>
        </w:rPr>
      </w:pPr>
    </w:p>
    <w:p w:rsidR="00311E94" w:rsidRPr="00D66FA8" w:rsidRDefault="00311E94" w:rsidP="00C97932">
      <w:pPr>
        <w:jc w:val="left"/>
        <w:rPr>
          <w:rFonts w:ascii="Arial Bold" w:hAnsi="Arial Bold" w:cs="Arial"/>
          <w:b/>
          <w:smallCaps/>
        </w:rPr>
      </w:pPr>
      <w:r w:rsidRPr="00D66FA8">
        <w:rPr>
          <w:rFonts w:ascii="Arial Bold" w:hAnsi="Arial Bold" w:cs="Arial"/>
          <w:b/>
          <w:smallCaps/>
        </w:rPr>
        <w:t>On Behalf of Ohio Development Services Agency</w:t>
      </w:r>
    </w:p>
    <w:p w:rsidR="00311E94" w:rsidRDefault="00311E94" w:rsidP="00C97932">
      <w:pPr>
        <w:jc w:val="left"/>
        <w:rPr>
          <w:rFonts w:cs="Arial"/>
        </w:rPr>
      </w:pPr>
      <w:r>
        <w:rPr>
          <w:rFonts w:cs="Arial"/>
        </w:rPr>
        <w:lastRenderedPageBreak/>
        <w:t>Christine M.T. Pirik</w:t>
      </w:r>
    </w:p>
    <w:p w:rsidR="00311E94" w:rsidRDefault="00311E94" w:rsidP="00C97932">
      <w:pPr>
        <w:jc w:val="left"/>
        <w:rPr>
          <w:rFonts w:cs="Arial"/>
        </w:rPr>
      </w:pPr>
      <w:r>
        <w:rPr>
          <w:rFonts w:cs="Arial"/>
        </w:rPr>
        <w:t>Nicholas Walstra</w:t>
      </w:r>
    </w:p>
    <w:p w:rsidR="00311E94" w:rsidRDefault="00311E94" w:rsidP="00C97932">
      <w:pPr>
        <w:jc w:val="left"/>
        <w:rPr>
          <w:rFonts w:cs="Arial"/>
        </w:rPr>
      </w:pPr>
      <w:r>
        <w:rPr>
          <w:rFonts w:cs="Arial"/>
        </w:rPr>
        <w:t>180 East Broad Street, 6</w:t>
      </w:r>
      <w:r w:rsidRPr="006874B3">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christine.pirik@puc.state.oh.us</w:t>
      </w:r>
    </w:p>
    <w:p w:rsidR="00311E94" w:rsidRDefault="00311E94" w:rsidP="00C97932">
      <w:pPr>
        <w:jc w:val="left"/>
        <w:rPr>
          <w:rFonts w:cs="Arial"/>
        </w:rPr>
      </w:pPr>
      <w:r>
        <w:rPr>
          <w:rFonts w:cs="Arial"/>
        </w:rPr>
        <w:t>nicholas.walstra@puc.state.oh.us</w:t>
      </w:r>
    </w:p>
    <w:p w:rsidR="00311E94" w:rsidRDefault="00311E94" w:rsidP="00C97932">
      <w:pPr>
        <w:jc w:val="left"/>
        <w:rPr>
          <w:rFonts w:ascii="Arial Bold" w:hAnsi="Arial Bold" w:cs="Arial"/>
          <w:b/>
          <w:smallCaps/>
        </w:rPr>
      </w:pPr>
    </w:p>
    <w:p w:rsidR="00311E94" w:rsidRDefault="00311E94" w:rsidP="00767A55">
      <w:pPr>
        <w:jc w:val="left"/>
        <w:rPr>
          <w:rFonts w:ascii="Arial Bold" w:hAnsi="Arial Bold" w:cs="Arial"/>
          <w:b/>
          <w:smallCaps/>
        </w:rPr>
        <w:sectPr w:rsidR="00311E94" w:rsidSect="00311E94">
          <w:headerReference w:type="default" r:id="rId54"/>
          <w:footerReference w:type="default" r:id="rId55"/>
          <w:headerReference w:type="first" r:id="rId56"/>
          <w:footerReference w:type="first" r:id="rId57"/>
          <w:pgSz w:w="12240" w:h="15840" w:code="1"/>
          <w:pgMar w:top="1440" w:right="1440" w:bottom="1141" w:left="1440" w:header="720" w:footer="720" w:gutter="0"/>
          <w:pgNumType w:start="1"/>
          <w:cols w:num="2" w:space="720"/>
          <w:docGrid w:linePitch="326"/>
        </w:sectPr>
      </w:pPr>
      <w:r w:rsidRPr="006874B3">
        <w:rPr>
          <w:rFonts w:ascii="Arial Bold" w:hAnsi="Arial Bold" w:cs="Arial"/>
          <w:b/>
          <w:smallCaps/>
        </w:rPr>
        <w:t>Attorney Examiner</w:t>
      </w:r>
      <w:r>
        <w:rPr>
          <w:rFonts w:ascii="Arial Bold" w:hAnsi="Arial Bold" w:cs="Arial"/>
          <w:b/>
          <w:smallCaps/>
        </w:rPr>
        <w:t>s</w:t>
      </w:r>
    </w:p>
    <w:p w:rsidR="00311E94" w:rsidRDefault="00311E94" w:rsidP="00C97932">
      <w:pPr>
        <w:jc w:val="left"/>
        <w:rPr>
          <w:rFonts w:cs="Arial"/>
        </w:rPr>
      </w:pPr>
    </w:p>
    <w:p w:rsidR="00311E94" w:rsidRDefault="00311E94" w:rsidP="00C97932">
      <w:pPr>
        <w:jc w:val="left"/>
        <w:rPr>
          <w:rFonts w:cs="Arial"/>
        </w:rPr>
      </w:pPr>
      <w:r>
        <w:rPr>
          <w:rFonts w:cs="Arial"/>
        </w:rPr>
        <w:t>Brian Chisling (0063402)</w:t>
      </w:r>
    </w:p>
    <w:p w:rsidR="00311E94" w:rsidRDefault="00311E94" w:rsidP="00C97932">
      <w:pPr>
        <w:jc w:val="left"/>
        <w:rPr>
          <w:rFonts w:cs="Arial"/>
        </w:rPr>
      </w:pPr>
      <w:r>
        <w:rPr>
          <w:rFonts w:cs="Arial"/>
        </w:rPr>
        <w:t>Simpson Thacher &amp; Bartlett</w:t>
      </w:r>
    </w:p>
    <w:p w:rsidR="00311E94" w:rsidRDefault="00311E94" w:rsidP="00C97932">
      <w:pPr>
        <w:jc w:val="left"/>
        <w:rPr>
          <w:rFonts w:cs="Arial"/>
        </w:rPr>
      </w:pPr>
      <w:r>
        <w:rPr>
          <w:rFonts w:cs="Arial"/>
        </w:rPr>
        <w:t>425 Lexington Avenue</w:t>
      </w:r>
    </w:p>
    <w:p w:rsidR="00311E94" w:rsidRPr="00A765DB" w:rsidRDefault="00311E94" w:rsidP="00C97932">
      <w:pPr>
        <w:jc w:val="left"/>
        <w:rPr>
          <w:rFonts w:cs="Arial"/>
        </w:rPr>
      </w:pPr>
      <w:r w:rsidRPr="00A765DB">
        <w:rPr>
          <w:rFonts w:cs="Arial"/>
        </w:rPr>
        <w:t>New York, NY  10017</w:t>
      </w:r>
    </w:p>
    <w:p w:rsidR="00311E94" w:rsidRPr="00A765DB" w:rsidRDefault="0082037F" w:rsidP="00C97932">
      <w:pPr>
        <w:jc w:val="left"/>
        <w:rPr>
          <w:rFonts w:cs="Arial"/>
        </w:rPr>
      </w:pPr>
      <w:hyperlink r:id="rId58" w:history="1">
        <w:r w:rsidR="00311E94" w:rsidRPr="00A765DB">
          <w:rPr>
            <w:rStyle w:val="Hyperlink"/>
            <w:color w:val="auto"/>
            <w:u w:val="none"/>
          </w:rPr>
          <w:t>bchisling@stblaw.com</w:t>
        </w:r>
      </w:hyperlink>
    </w:p>
    <w:p w:rsidR="00311E94" w:rsidRDefault="00311E94" w:rsidP="00C97932">
      <w:pPr>
        <w:jc w:val="left"/>
        <w:rPr>
          <w:rFonts w:cs="Arial"/>
        </w:rPr>
      </w:pPr>
    </w:p>
    <w:p w:rsidR="00311E94" w:rsidRPr="00784BCE" w:rsidRDefault="00311E94" w:rsidP="00C97932">
      <w:pPr>
        <w:tabs>
          <w:tab w:val="left" w:pos="4320"/>
          <w:tab w:val="center" w:pos="6840"/>
        </w:tabs>
        <w:jc w:val="left"/>
        <w:rPr>
          <w:rFonts w:eastAsia="Calibri" w:cs="Arial"/>
        </w:rPr>
      </w:pPr>
      <w:r w:rsidRPr="001B45A7">
        <w:rPr>
          <w:rFonts w:ascii="Arial Bold" w:hAnsi="Arial Bold" w:cs="Arial"/>
          <w:b/>
          <w:smallCaps/>
        </w:rPr>
        <w:t>On Behalf of Non-Party Ohio Valley Electric Corporation</w:t>
      </w:r>
    </w:p>
    <w:p w:rsidR="00713CF6" w:rsidRPr="00713CF6" w:rsidRDefault="00713CF6" w:rsidP="00C97932">
      <w:pPr>
        <w:tabs>
          <w:tab w:val="left" w:pos="2160"/>
          <w:tab w:val="left" w:pos="2280"/>
        </w:tabs>
        <w:jc w:val="left"/>
        <w:rPr>
          <w:rFonts w:eastAsia="Times New Roman" w:cs="Arial"/>
        </w:rPr>
      </w:pPr>
    </w:p>
    <w:sectPr w:rsidR="00713CF6" w:rsidRPr="00713CF6" w:rsidSect="00713CF6">
      <w:headerReference w:type="even" r:id="rId59"/>
      <w:headerReference w:type="default" r:id="rId60"/>
      <w:footerReference w:type="even" r:id="rId61"/>
      <w:footerReference w:type="default" r:id="rId62"/>
      <w:headerReference w:type="first" r:id="rId63"/>
      <w:footerReference w:type="first" r:id="rId64"/>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7F" w:rsidRDefault="0082037F" w:rsidP="00B917ED">
      <w:r>
        <w:separator/>
      </w:r>
    </w:p>
  </w:endnote>
  <w:endnote w:type="continuationSeparator" w:id="0">
    <w:p w:rsidR="0082037F" w:rsidRDefault="0082037F" w:rsidP="00B9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45" w:rsidRDefault="005B22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B5C95" w:rsidRDefault="005B2245" w:rsidP="00311E94">
    <w:pPr>
      <w:pStyle w:val="Footer"/>
    </w:pPr>
    <w:r w:rsidRPr="005B2245">
      <w:rPr>
        <w:noProof/>
        <w:sz w:val="16"/>
      </w:rPr>
      <w:t>{C47212:3 }</w:t>
    </w:r>
    <w:sdt>
      <w:sdtPr>
        <w:id w:val="-667095262"/>
        <w:docPartObj>
          <w:docPartGallery w:val="Page Numbers (Bottom of Page)"/>
          <w:docPartUnique/>
        </w:docPartObj>
      </w:sdtPr>
      <w:sdtEndPr>
        <w:rPr>
          <w:noProof/>
        </w:rPr>
      </w:sdtEndPr>
      <w:sdtContent>
        <w:r w:rsidR="0082037F" w:rsidRPr="00DB5C95">
          <w:tab/>
        </w:r>
        <w:r w:rsidR="0082037F" w:rsidRPr="00DB5C95">
          <w:fldChar w:fldCharType="begin"/>
        </w:r>
        <w:r w:rsidR="0082037F" w:rsidRPr="00DB5C95">
          <w:instrText xml:space="preserve"> PAGE   \* MERGEFORMAT </w:instrText>
        </w:r>
        <w:r w:rsidR="0082037F" w:rsidRPr="00DB5C95">
          <w:fldChar w:fldCharType="separate"/>
        </w:r>
        <w:r w:rsidR="0082037F">
          <w:rPr>
            <w:noProof/>
          </w:rPr>
          <w:t>1</w:t>
        </w:r>
        <w:r w:rsidR="0082037F" w:rsidRPr="00DB5C95">
          <w:rPr>
            <w:noProof/>
          </w:rPr>
          <w:fldChar w:fldCharType="end"/>
        </w:r>
      </w:sdtContent>
    </w:sdt>
  </w:p>
  <w:p w:rsidR="0082037F" w:rsidRPr="00DB5C95" w:rsidRDefault="0082037F" w:rsidP="00311E9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5B2245">
    <w:pPr>
      <w:pStyle w:val="Footer"/>
    </w:pPr>
    <w:r w:rsidRPr="005B2245">
      <w:rPr>
        <w:noProof/>
        <w:sz w:val="16"/>
      </w:rPr>
      <w:t>{C47212:3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B5C95" w:rsidRDefault="005B2245" w:rsidP="00311E94">
    <w:pPr>
      <w:pStyle w:val="Footer"/>
    </w:pPr>
    <w:r w:rsidRPr="005B2245">
      <w:rPr>
        <w:noProof/>
        <w:sz w:val="16"/>
      </w:rPr>
      <w:t>{C47212:3 }</w:t>
    </w:r>
    <w:sdt>
      <w:sdtPr>
        <w:id w:val="-894036222"/>
        <w:docPartObj>
          <w:docPartGallery w:val="Page Numbers (Bottom of Page)"/>
          <w:docPartUnique/>
        </w:docPartObj>
      </w:sdtPr>
      <w:sdtEndPr>
        <w:rPr>
          <w:noProof/>
        </w:rPr>
      </w:sdtEndPr>
      <w:sdtContent>
        <w:r w:rsidR="0082037F" w:rsidRPr="00DB5C95">
          <w:tab/>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Footer"/>
    </w:pPr>
    <w:r w:rsidRPr="008D50E5">
      <w:rPr>
        <w:noProof/>
        <w:sz w:val="16"/>
      </w:rPr>
      <w:t>{C47034:7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265702" w:rsidRDefault="005B2245">
    <w:pPr>
      <w:pStyle w:val="Footer"/>
    </w:pPr>
    <w:r w:rsidRPr="005B2245">
      <w:rPr>
        <w:noProof/>
        <w:sz w:val="16"/>
      </w:rPr>
      <w:t>{C47212:3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265702" w:rsidRDefault="005B2245">
    <w:pPr>
      <w:pStyle w:val="Footer"/>
    </w:pPr>
    <w:r w:rsidRPr="005B2245">
      <w:rPr>
        <w:noProof/>
        <w:sz w:val="16"/>
      </w:rPr>
      <w:t>{C47212:3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7452EB" w:rsidRDefault="005B2245">
    <w:pPr>
      <w:pStyle w:val="Footer"/>
    </w:pPr>
    <w:r w:rsidRPr="005B2245">
      <w:rPr>
        <w:noProof/>
        <w:sz w:val="16"/>
      </w:rPr>
      <w:t>{C47212:3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Footer"/>
    </w:pPr>
    <w:r w:rsidRPr="00AA7C2B">
      <w:rPr>
        <w:noProof/>
        <w:sz w:val="16"/>
      </w:rPr>
      <w:t>{C46305: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E6B9A" w:rsidRDefault="005B2245">
    <w:pPr>
      <w:pStyle w:val="Footer"/>
      <w:jc w:val="center"/>
    </w:pPr>
    <w:r w:rsidRPr="005B2245">
      <w:rPr>
        <w:noProof/>
        <w:sz w:val="16"/>
      </w:rPr>
      <w:t>{C47212:3 }</w:t>
    </w:r>
    <w:sdt>
      <w:sdtPr>
        <w:id w:val="185883639"/>
        <w:docPartObj>
          <w:docPartGallery w:val="Page Numbers (Bottom of Page)"/>
          <w:docPartUnique/>
        </w:docPartObj>
      </w:sdtPr>
      <w:sdtEndPr>
        <w:rPr>
          <w:noProof/>
        </w:rPr>
      </w:sdtEndPr>
      <w:sdtContent>
        <w:r w:rsidR="0082037F" w:rsidRPr="00DE6B9A">
          <w:fldChar w:fldCharType="begin"/>
        </w:r>
        <w:r w:rsidR="0082037F" w:rsidRPr="00DE6B9A">
          <w:instrText xml:space="preserve"> PAGE   \* MERGEFORMAT </w:instrText>
        </w:r>
        <w:r w:rsidR="0082037F" w:rsidRPr="00DE6B9A">
          <w:fldChar w:fldCharType="separate"/>
        </w:r>
        <w:r>
          <w:rPr>
            <w:noProof/>
          </w:rPr>
          <w:t>1</w:t>
        </w:r>
        <w:r w:rsidR="0082037F" w:rsidRPr="00DE6B9A">
          <w:rPr>
            <w:noProof/>
          </w:rPr>
          <w:fldChar w:fldCharType="end"/>
        </w:r>
      </w:sdtContent>
    </w:sdt>
  </w:p>
  <w:p w:rsidR="0082037F" w:rsidRPr="00DE6B9A" w:rsidRDefault="0082037F" w:rsidP="00713C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E6B9A" w:rsidRDefault="005B2245" w:rsidP="00BF4828">
    <w:pPr>
      <w:pStyle w:val="Footer"/>
    </w:pPr>
    <w:r w:rsidRPr="005B2245">
      <w:rPr>
        <w:noProof/>
        <w:sz w:val="16"/>
      </w:rPr>
      <w:t>{C47212:3 }</w:t>
    </w:r>
    <w:sdt>
      <w:sdtPr>
        <w:id w:val="2088321"/>
        <w:docPartObj>
          <w:docPartGallery w:val="Page Numbers (Bottom of Page)"/>
          <w:docPartUnique/>
        </w:docPartObj>
      </w:sdtPr>
      <w:sdtEndPr>
        <w:rPr>
          <w:noProof/>
        </w:rPr>
      </w:sdtEndPr>
      <w:sdtContent>
        <w:r w:rsidR="00BF4828">
          <w:tab/>
        </w:r>
        <w:r w:rsidR="0082037F" w:rsidRPr="00DE6B9A">
          <w:fldChar w:fldCharType="begin"/>
        </w:r>
        <w:r w:rsidR="0082037F" w:rsidRPr="00DE6B9A">
          <w:instrText xml:space="preserve"> PAGE   \* MERGEFORMAT </w:instrText>
        </w:r>
        <w:r w:rsidR="0082037F" w:rsidRPr="00DE6B9A">
          <w:fldChar w:fldCharType="separate"/>
        </w:r>
        <w:r>
          <w:rPr>
            <w:noProof/>
          </w:rPr>
          <w:t>i</w:t>
        </w:r>
        <w:r w:rsidR="0082037F" w:rsidRPr="00DE6B9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E6B9A" w:rsidRDefault="005B2245" w:rsidP="00BF4828">
    <w:pPr>
      <w:pStyle w:val="Footer"/>
    </w:pPr>
    <w:r w:rsidRPr="005B2245">
      <w:rPr>
        <w:noProof/>
        <w:sz w:val="16"/>
      </w:rPr>
      <w:t>{C47212:3 }</w:t>
    </w:r>
    <w:sdt>
      <w:sdtPr>
        <w:id w:val="635147696"/>
        <w:docPartObj>
          <w:docPartGallery w:val="Page Numbers (Bottom of Page)"/>
          <w:docPartUnique/>
        </w:docPartObj>
      </w:sdtPr>
      <w:sdtEndPr>
        <w:rPr>
          <w:noProof/>
        </w:rPr>
      </w:sdtEndPr>
      <w:sdtContent>
        <w:r w:rsidR="00BF4828">
          <w:tab/>
        </w:r>
        <w:r w:rsidR="0082037F" w:rsidRPr="00DE6B9A">
          <w:fldChar w:fldCharType="begin"/>
        </w:r>
        <w:r w:rsidR="0082037F" w:rsidRPr="00DE6B9A">
          <w:instrText xml:space="preserve"> PAGE   \* MERGEFORMAT </w:instrText>
        </w:r>
        <w:r w:rsidR="0082037F" w:rsidRPr="00DE6B9A">
          <w:fldChar w:fldCharType="separate"/>
        </w:r>
        <w:r>
          <w:rPr>
            <w:noProof/>
          </w:rPr>
          <w:t>11</w:t>
        </w:r>
        <w:r w:rsidR="0082037F" w:rsidRPr="00DE6B9A">
          <w:rPr>
            <w:noProof/>
          </w:rPr>
          <w:fldChar w:fldCharType="end"/>
        </w:r>
      </w:sdtContent>
    </w:sdt>
  </w:p>
  <w:p w:rsidR="0082037F" w:rsidRPr="00DE6B9A" w:rsidRDefault="0082037F" w:rsidP="00713C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E6B9A" w:rsidRDefault="005B2245">
    <w:pPr>
      <w:pStyle w:val="Footer"/>
    </w:pPr>
    <w:r w:rsidRPr="005B2245">
      <w:rPr>
        <w:noProof/>
        <w:sz w:val="16"/>
      </w:rPr>
      <w:t>{C47212:3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Pr="00DB5C95" w:rsidRDefault="005B2245" w:rsidP="00713CF6">
    <w:pPr>
      <w:pStyle w:val="Footer"/>
    </w:pPr>
    <w:r w:rsidRPr="005B2245">
      <w:rPr>
        <w:noProof/>
        <w:sz w:val="16"/>
      </w:rPr>
      <w:t>{C47212:3 }</w:t>
    </w:r>
    <w:sdt>
      <w:sdtPr>
        <w:id w:val="1655945144"/>
        <w:docPartObj>
          <w:docPartGallery w:val="Page Numbers (Bottom of Page)"/>
          <w:docPartUnique/>
        </w:docPartObj>
      </w:sdtPr>
      <w:sdtEndPr>
        <w:rPr>
          <w:noProof/>
        </w:rPr>
      </w:sdtEndPr>
      <w:sdtContent>
        <w:r w:rsidR="0082037F" w:rsidRPr="00DB5C95">
          <w:tab/>
        </w:r>
        <w:r w:rsidR="0082037F" w:rsidRPr="00DB5C95">
          <w:fldChar w:fldCharType="begin"/>
        </w:r>
        <w:r w:rsidR="0082037F" w:rsidRPr="00DB5C95">
          <w:instrText xml:space="preserve"> PAGE   \* MERGEFORMAT </w:instrText>
        </w:r>
        <w:r w:rsidR="0082037F" w:rsidRPr="00DB5C95">
          <w:fldChar w:fldCharType="separate"/>
        </w:r>
        <w:r w:rsidR="0082037F">
          <w:rPr>
            <w:noProof/>
          </w:rPr>
          <w:t>12</w:t>
        </w:r>
        <w:r w:rsidR="0082037F" w:rsidRPr="00DB5C95">
          <w:rPr>
            <w:noProof/>
          </w:rPr>
          <w:fldChar w:fldCharType="end"/>
        </w:r>
      </w:sdtContent>
    </w:sdt>
  </w:p>
  <w:p w:rsidR="0082037F" w:rsidRPr="00DB5C95" w:rsidRDefault="0082037F" w:rsidP="00713CF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5B2245">
    <w:pPr>
      <w:pStyle w:val="Footer"/>
    </w:pPr>
    <w:r w:rsidRPr="005B2245">
      <w:rPr>
        <w:noProof/>
        <w:sz w:val="16"/>
      </w:rPr>
      <w:t>{C47212:3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7F" w:rsidRDefault="0082037F" w:rsidP="00B917ED">
      <w:pPr>
        <w:rPr>
          <w:noProof/>
        </w:rPr>
      </w:pPr>
      <w:r>
        <w:rPr>
          <w:noProof/>
        </w:rPr>
        <w:separator/>
      </w:r>
    </w:p>
  </w:footnote>
  <w:footnote w:type="continuationSeparator" w:id="0">
    <w:p w:rsidR="0082037F" w:rsidRDefault="0082037F" w:rsidP="00B917ED">
      <w:r>
        <w:continuationSeparator/>
      </w:r>
    </w:p>
  </w:footnote>
  <w:footnote w:id="1">
    <w:p w:rsidR="0082037F" w:rsidRDefault="0082037F" w:rsidP="006C612F">
      <w:pPr>
        <w:pStyle w:val="FootnoteText"/>
        <w:spacing w:after="120"/>
      </w:pPr>
      <w:r>
        <w:rPr>
          <w:rStyle w:val="FootnoteReference"/>
        </w:rPr>
        <w:footnoteRef/>
      </w:r>
      <w:r>
        <w:t xml:space="preserve"> Opinion and Order at 42 (Apr. 2, 2015) (“ESP Order”).</w:t>
      </w:r>
    </w:p>
  </w:footnote>
  <w:footnote w:id="2">
    <w:p w:rsidR="0082037F" w:rsidRDefault="0082037F" w:rsidP="006C612F">
      <w:pPr>
        <w:pStyle w:val="FootnoteText"/>
        <w:spacing w:after="120"/>
      </w:pPr>
      <w:r>
        <w:rPr>
          <w:rStyle w:val="FootnoteReference"/>
        </w:rPr>
        <w:footnoteRef/>
      </w:r>
      <w:r>
        <w:t xml:space="preserve"> </w:t>
      </w:r>
      <w:r w:rsidRPr="0034222B">
        <w:rPr>
          <w:i/>
        </w:rPr>
        <w:t>Id</w:t>
      </w:r>
      <w:r>
        <w:t>. at 46.</w:t>
      </w:r>
    </w:p>
  </w:footnote>
  <w:footnote w:id="3">
    <w:p w:rsidR="0082037F" w:rsidRDefault="0082037F" w:rsidP="00297B27">
      <w:pPr>
        <w:pStyle w:val="FootnoteText"/>
        <w:spacing w:after="120"/>
      </w:pPr>
      <w:r>
        <w:rPr>
          <w:rStyle w:val="FootnoteReference"/>
        </w:rPr>
        <w:footnoteRef/>
      </w:r>
      <w:r>
        <w:t xml:space="preserve"> Application for Rehearing of Duke Energy Ohio, Inc. (May 4, 2015) (“Duke Application for Rehearing”).</w:t>
      </w:r>
    </w:p>
  </w:footnote>
  <w:footnote w:id="4">
    <w:p w:rsidR="0082037F" w:rsidRDefault="0082037F" w:rsidP="00297B27">
      <w:pPr>
        <w:pStyle w:val="FootnoteText"/>
        <w:spacing w:after="120"/>
      </w:pPr>
      <w:r>
        <w:rPr>
          <w:rStyle w:val="FootnoteReference"/>
        </w:rPr>
        <w:footnoteRef/>
      </w:r>
      <w:r>
        <w:t xml:space="preserve"> Failure to address any of the issues raised by Duke’s Application for Rehearing does not indicate any agreement with Duke.</w:t>
      </w:r>
    </w:p>
  </w:footnote>
  <w:footnote w:id="5">
    <w:p w:rsidR="0082037F" w:rsidRDefault="0082037F" w:rsidP="002C7755">
      <w:pPr>
        <w:pStyle w:val="FootnoteText"/>
        <w:spacing w:after="120"/>
      </w:pPr>
      <w:r>
        <w:rPr>
          <w:rStyle w:val="FootnoteReference"/>
        </w:rPr>
        <w:footnoteRef/>
      </w:r>
      <w:r>
        <w:t xml:space="preserve"> </w:t>
      </w:r>
      <w:r w:rsidRPr="00C54685">
        <w:rPr>
          <w:i/>
        </w:rPr>
        <w:t>See</w:t>
      </w:r>
      <w:r>
        <w:rPr>
          <w:i/>
        </w:rPr>
        <w:t>, e.g.,</w:t>
      </w:r>
      <w:r>
        <w:t xml:space="preserve"> Application for Rehearing of Industrial Energy Users-Ohio at 8-54 (May 4, 2015) (“IEU-Ohio Application for Rehearing”); Sierra Club’s Application for Rehearing at 2-7 (May 4, 2015); Application for Rehearing and Memorandum in Support of the Ohio Manufacturers’ Association at 4-11 (May 4, 2015); Application for Rehearing of IGS Energy at 17-30 (May 4, 2015); Application for Rehearing by the Office of the Ohio Consumers’ Counsel at 16-37 (May 4, 2015); Application for Rehearing by the Environmental Law and Policy Center and the Ohio Environmental Council at 3-9 (May 4, 2015); Application for Rehearing of the Retail Energy Supply Association at 17-26 (May 1, 2015); Ohio Partners for Affordable Energy’s Application for Rehearing at 7-21 (May 1, 2015).</w:t>
      </w:r>
    </w:p>
  </w:footnote>
  <w:footnote w:id="6">
    <w:p w:rsidR="0082037F" w:rsidRDefault="0082037F" w:rsidP="002C7755">
      <w:pPr>
        <w:pStyle w:val="FootnoteText"/>
        <w:spacing w:after="120"/>
      </w:pPr>
      <w:r>
        <w:rPr>
          <w:rStyle w:val="FootnoteReference"/>
        </w:rPr>
        <w:footnoteRef/>
      </w:r>
      <w:r>
        <w:t xml:space="preserve"> </w:t>
      </w:r>
      <w:r w:rsidRPr="002C7755">
        <w:t>Duke Application for Rehearing at 6-7.</w:t>
      </w:r>
    </w:p>
  </w:footnote>
  <w:footnote w:id="7">
    <w:p w:rsidR="0082037F" w:rsidRDefault="0082037F" w:rsidP="00C97932">
      <w:pPr>
        <w:pStyle w:val="FootnoteText"/>
        <w:spacing w:after="120"/>
      </w:pPr>
      <w:r>
        <w:rPr>
          <w:rStyle w:val="FootnoteReference"/>
        </w:rPr>
        <w:footnoteRef/>
      </w:r>
      <w:r>
        <w:t xml:space="preserve"> </w:t>
      </w:r>
      <w:r w:rsidRPr="007C4E00">
        <w:t xml:space="preserve">R.C. 4905.02, 4905.03, </w:t>
      </w:r>
      <w:r>
        <w:t xml:space="preserve">&amp; </w:t>
      </w:r>
      <w:r w:rsidRPr="007C4E00">
        <w:t>4928.01(A)(6) &amp; (7)</w:t>
      </w:r>
      <w:r>
        <w:t>.</w:t>
      </w:r>
    </w:p>
  </w:footnote>
  <w:footnote w:id="8">
    <w:p w:rsidR="0082037F" w:rsidRDefault="0082037F" w:rsidP="007C4E00">
      <w:pPr>
        <w:pStyle w:val="FootnoteText"/>
        <w:spacing w:after="120"/>
      </w:pPr>
      <w:r>
        <w:rPr>
          <w:rStyle w:val="FootnoteReference"/>
        </w:rPr>
        <w:footnoteRef/>
      </w:r>
      <w:r>
        <w:t xml:space="preserve"> R.C. 4928.01(A)(27).</w:t>
      </w:r>
    </w:p>
  </w:footnote>
  <w:footnote w:id="9">
    <w:p w:rsidR="0082037F" w:rsidRDefault="0082037F" w:rsidP="00BF0518">
      <w:pPr>
        <w:pStyle w:val="FootnoteText"/>
        <w:spacing w:after="120"/>
      </w:pPr>
      <w:r>
        <w:rPr>
          <w:rStyle w:val="FootnoteReference"/>
        </w:rPr>
        <w:footnoteRef/>
      </w:r>
      <w:r>
        <w:t xml:space="preserve"> R.C. 4928.05(A).</w:t>
      </w:r>
    </w:p>
  </w:footnote>
  <w:footnote w:id="10">
    <w:p w:rsidR="0082037F" w:rsidRDefault="0082037F" w:rsidP="007D3909">
      <w:pPr>
        <w:pStyle w:val="FootnoteText"/>
        <w:spacing w:after="120"/>
      </w:pPr>
      <w:r>
        <w:rPr>
          <w:rStyle w:val="FootnoteReference"/>
        </w:rPr>
        <w:footnoteRef/>
      </w:r>
      <w:r>
        <w:t xml:space="preserve"> R.C. 4928.05(A)(2).</w:t>
      </w:r>
    </w:p>
  </w:footnote>
  <w:footnote w:id="11">
    <w:p w:rsidR="0082037F" w:rsidRDefault="0082037F" w:rsidP="00297B27">
      <w:pPr>
        <w:pStyle w:val="FootnoteText"/>
        <w:spacing w:after="120"/>
      </w:pPr>
      <w:r>
        <w:rPr>
          <w:rStyle w:val="FootnoteReference"/>
        </w:rPr>
        <w:footnoteRef/>
      </w:r>
      <w:r>
        <w:t xml:space="preserve"> R.C. 4928.03.</w:t>
      </w:r>
    </w:p>
  </w:footnote>
  <w:footnote w:id="12">
    <w:p w:rsidR="0082037F" w:rsidRDefault="0082037F" w:rsidP="007D3909">
      <w:pPr>
        <w:pStyle w:val="FootnoteText"/>
        <w:spacing w:after="120"/>
      </w:pPr>
      <w:r>
        <w:rPr>
          <w:rStyle w:val="FootnoteReference"/>
        </w:rPr>
        <w:footnoteRef/>
      </w:r>
      <w:r>
        <w:t xml:space="preserve"> In this case, the requirements of R.C. 4928.143 are controlling since Duke is seeking authorization of an electric security plan.  The Commission may authorize only the terms of an ESP provided by R.C. 4928.143(B).  </w:t>
      </w:r>
      <w:r w:rsidRPr="007D3909">
        <w:rPr>
          <w:i/>
        </w:rPr>
        <w:t>In re Columbus S. Power Co</w:t>
      </w:r>
      <w:r>
        <w:t>., 128 Ohio St.3d 512 (2011).</w:t>
      </w:r>
    </w:p>
  </w:footnote>
  <w:footnote w:id="13">
    <w:p w:rsidR="0082037F" w:rsidRDefault="0082037F" w:rsidP="00297B27">
      <w:pPr>
        <w:pStyle w:val="FootnoteText"/>
        <w:spacing w:after="120"/>
      </w:pPr>
      <w:r>
        <w:rPr>
          <w:rStyle w:val="FootnoteReference"/>
        </w:rPr>
        <w:footnoteRef/>
      </w:r>
      <w:r>
        <w:t xml:space="preserve"> R.C. 4928.38.</w:t>
      </w:r>
    </w:p>
  </w:footnote>
  <w:footnote w:id="14">
    <w:p w:rsidR="0082037F" w:rsidRDefault="0082037F" w:rsidP="00297B27">
      <w:pPr>
        <w:pStyle w:val="FootnoteText"/>
        <w:spacing w:after="120"/>
      </w:pPr>
      <w:r>
        <w:rPr>
          <w:rStyle w:val="FootnoteReference"/>
        </w:rPr>
        <w:footnoteRef/>
      </w:r>
      <w:r>
        <w:t xml:space="preserve"> </w:t>
      </w:r>
      <w:r w:rsidRPr="000017BD">
        <w:rPr>
          <w:i/>
        </w:rPr>
        <w:t>Id</w:t>
      </w:r>
      <w:r>
        <w:t>. &amp; R.C. 4928.02(H).</w:t>
      </w:r>
    </w:p>
  </w:footnote>
  <w:footnote w:id="15">
    <w:p w:rsidR="0082037F" w:rsidRDefault="0082037F" w:rsidP="00E91C87">
      <w:pPr>
        <w:pStyle w:val="FootnoteText"/>
        <w:spacing w:after="120"/>
      </w:pPr>
      <w:r>
        <w:rPr>
          <w:rStyle w:val="FootnoteReference"/>
        </w:rPr>
        <w:footnoteRef/>
      </w:r>
      <w:r>
        <w:t xml:space="preserve"> IEU-Ohio Application for Rehearing at 35-44 (May 4, 2015) (the Commission is without authority to increase Duke’s compensation for wholesale generation-related services).</w:t>
      </w:r>
    </w:p>
  </w:footnote>
  <w:footnote w:id="16">
    <w:p w:rsidR="0082037F" w:rsidRDefault="0082037F" w:rsidP="006C612F">
      <w:pPr>
        <w:pStyle w:val="FootnoteText"/>
        <w:spacing w:after="120"/>
      </w:pPr>
      <w:r>
        <w:rPr>
          <w:rStyle w:val="FootnoteReference"/>
        </w:rPr>
        <w:footnoteRef/>
      </w:r>
      <w:r>
        <w:t xml:space="preserve"> </w:t>
      </w:r>
      <w:r w:rsidRPr="005B3757">
        <w:t>For the full development of these arguments, see</w:t>
      </w:r>
      <w:r>
        <w:t xml:space="preserve"> </w:t>
      </w:r>
      <w:r w:rsidRPr="00C54685">
        <w:rPr>
          <w:i/>
        </w:rPr>
        <w:t>id</w:t>
      </w:r>
      <w:r>
        <w:t>. at 8-54.</w:t>
      </w:r>
    </w:p>
  </w:footnote>
  <w:footnote w:id="17">
    <w:p w:rsidR="0082037F" w:rsidRDefault="0082037F" w:rsidP="00196E2B">
      <w:pPr>
        <w:pStyle w:val="FootnoteText"/>
        <w:spacing w:after="120"/>
      </w:pPr>
      <w:r>
        <w:rPr>
          <w:rStyle w:val="FootnoteReference"/>
        </w:rPr>
        <w:footnoteRef/>
      </w:r>
      <w:r>
        <w:t xml:space="preserve"> Duke Application for Rehearing at 6-11.</w:t>
      </w:r>
    </w:p>
  </w:footnote>
  <w:footnote w:id="18">
    <w:p w:rsidR="0082037F" w:rsidRDefault="0082037F" w:rsidP="00297B27">
      <w:pPr>
        <w:pStyle w:val="FootnoteText"/>
        <w:spacing w:after="120"/>
      </w:pPr>
      <w:r>
        <w:rPr>
          <w:rStyle w:val="FootnoteReference"/>
        </w:rPr>
        <w:footnoteRef/>
      </w:r>
      <w:r>
        <w:t xml:space="preserve"> </w:t>
      </w:r>
      <w:r w:rsidRPr="00196E2B">
        <w:rPr>
          <w:i/>
        </w:rPr>
        <w:t>Id</w:t>
      </w:r>
      <w:r>
        <w:t>. at 8.</w:t>
      </w:r>
    </w:p>
  </w:footnote>
  <w:footnote w:id="19">
    <w:p w:rsidR="0082037F" w:rsidRDefault="0082037F" w:rsidP="00297B27">
      <w:pPr>
        <w:pStyle w:val="FootnoteText"/>
        <w:spacing w:after="120"/>
      </w:pPr>
      <w:r>
        <w:rPr>
          <w:rStyle w:val="FootnoteReference"/>
        </w:rPr>
        <w:footnoteRef/>
      </w:r>
      <w:r w:rsidRPr="00F7720A">
        <w:rPr>
          <w:i/>
        </w:rPr>
        <w:t xml:space="preserve"> Id.</w:t>
      </w:r>
    </w:p>
  </w:footnote>
  <w:footnote w:id="20">
    <w:p w:rsidR="0082037F" w:rsidRDefault="0082037F" w:rsidP="00297B27">
      <w:pPr>
        <w:pStyle w:val="FootnoteText"/>
        <w:spacing w:after="120"/>
      </w:pPr>
      <w:r>
        <w:rPr>
          <w:rStyle w:val="FootnoteReference"/>
        </w:rPr>
        <w:footnoteRef/>
      </w:r>
      <w:r w:rsidRPr="00F7720A">
        <w:rPr>
          <w:i/>
        </w:rPr>
        <w:t xml:space="preserve"> Id.</w:t>
      </w:r>
    </w:p>
  </w:footnote>
  <w:footnote w:id="21">
    <w:p w:rsidR="0082037F" w:rsidRDefault="0082037F" w:rsidP="00346CE9">
      <w:pPr>
        <w:pStyle w:val="FootnoteText"/>
        <w:spacing w:after="120"/>
      </w:pPr>
      <w:r>
        <w:rPr>
          <w:rStyle w:val="FootnoteReference"/>
        </w:rPr>
        <w:footnoteRef/>
      </w:r>
      <w:r>
        <w:t xml:space="preserve"> </w:t>
      </w:r>
      <w:r w:rsidRPr="00346CE9">
        <w:rPr>
          <w:i/>
        </w:rPr>
        <w:t>Id</w:t>
      </w:r>
      <w:r>
        <w:t>. at 8-9.</w:t>
      </w:r>
    </w:p>
  </w:footnote>
  <w:footnote w:id="22">
    <w:p w:rsidR="0082037F" w:rsidRDefault="0082037F" w:rsidP="00104D24">
      <w:pPr>
        <w:pStyle w:val="FootnoteText"/>
        <w:spacing w:after="120"/>
      </w:pPr>
      <w:r>
        <w:rPr>
          <w:rStyle w:val="FootnoteReference"/>
        </w:rPr>
        <w:footnoteRef/>
      </w:r>
      <w:r>
        <w:t xml:space="preserve"> </w:t>
      </w:r>
      <w:r w:rsidRPr="00201020">
        <w:t>R.C. 4928.143(C)(1</w:t>
      </w:r>
      <w:r>
        <w:t>)</w:t>
      </w:r>
      <w:r w:rsidRPr="00201020">
        <w:t xml:space="preserve">.  </w:t>
      </w:r>
    </w:p>
  </w:footnote>
  <w:footnote w:id="23">
    <w:p w:rsidR="0082037F" w:rsidRDefault="0082037F" w:rsidP="00297B27">
      <w:pPr>
        <w:pStyle w:val="FootnoteText"/>
        <w:spacing w:after="120"/>
      </w:pPr>
      <w:r>
        <w:rPr>
          <w:rStyle w:val="FootnoteReference"/>
        </w:rPr>
        <w:footnoteRef/>
      </w:r>
      <w:r>
        <w:t xml:space="preserve"> ESP Order at 46.</w:t>
      </w:r>
    </w:p>
  </w:footnote>
  <w:footnote w:id="24">
    <w:p w:rsidR="0082037F" w:rsidRDefault="0082037F" w:rsidP="00721391">
      <w:pPr>
        <w:pStyle w:val="FootnoteText"/>
        <w:spacing w:after="120"/>
      </w:pPr>
      <w:r>
        <w:rPr>
          <w:rStyle w:val="FootnoteReference"/>
        </w:rPr>
        <w:footnoteRef/>
      </w:r>
      <w:r>
        <w:t xml:space="preserve"> </w:t>
      </w:r>
      <w:r w:rsidRPr="00BC50E0">
        <w:rPr>
          <w:i/>
        </w:rPr>
        <w:t>Id</w:t>
      </w:r>
      <w:r>
        <w:t>.</w:t>
      </w:r>
    </w:p>
  </w:footnote>
  <w:footnote w:id="25">
    <w:p w:rsidR="0082037F" w:rsidRDefault="0082037F" w:rsidP="00297B27">
      <w:pPr>
        <w:pStyle w:val="FootnoteText"/>
        <w:spacing w:after="120"/>
      </w:pPr>
      <w:r>
        <w:rPr>
          <w:rStyle w:val="FootnoteReference"/>
        </w:rPr>
        <w:footnoteRef/>
      </w:r>
      <w:r>
        <w:t xml:space="preserve"> </w:t>
      </w:r>
      <w:r w:rsidRPr="00F7720A">
        <w:rPr>
          <w:i/>
        </w:rPr>
        <w:t>Id</w:t>
      </w:r>
      <w:r>
        <w:t>.</w:t>
      </w:r>
    </w:p>
  </w:footnote>
  <w:footnote w:id="26">
    <w:p w:rsidR="0082037F" w:rsidRDefault="0082037F" w:rsidP="00297B27">
      <w:pPr>
        <w:pStyle w:val="FootnoteText"/>
        <w:spacing w:after="120"/>
      </w:pPr>
      <w:r>
        <w:rPr>
          <w:rStyle w:val="FootnoteReference"/>
        </w:rPr>
        <w:footnoteRef/>
      </w:r>
      <w:r w:rsidRPr="00F7720A">
        <w:rPr>
          <w:i/>
        </w:rPr>
        <w:t xml:space="preserve"> Id.</w:t>
      </w:r>
    </w:p>
  </w:footnote>
  <w:footnote w:id="27">
    <w:p w:rsidR="0082037F" w:rsidRDefault="0082037F" w:rsidP="00297B27">
      <w:pPr>
        <w:pStyle w:val="FootnoteText"/>
        <w:spacing w:after="120"/>
      </w:pPr>
      <w:r>
        <w:rPr>
          <w:rStyle w:val="FootnoteReference"/>
        </w:rPr>
        <w:footnoteRef/>
      </w:r>
      <w:r w:rsidRPr="00F7720A">
        <w:rPr>
          <w:i/>
        </w:rPr>
        <w:t xml:space="preserve"> Id.</w:t>
      </w:r>
    </w:p>
  </w:footnote>
  <w:footnote w:id="28">
    <w:p w:rsidR="0082037F" w:rsidRDefault="0082037F" w:rsidP="00297B27">
      <w:pPr>
        <w:pStyle w:val="FootnoteText"/>
        <w:spacing w:after="120"/>
      </w:pPr>
      <w:r>
        <w:rPr>
          <w:rStyle w:val="FootnoteReference"/>
        </w:rPr>
        <w:footnoteRef/>
      </w:r>
      <w:r>
        <w:t xml:space="preserve"> Duke Application for Rehearing at 8.</w:t>
      </w:r>
    </w:p>
  </w:footnote>
  <w:footnote w:id="29">
    <w:p w:rsidR="0082037F" w:rsidRDefault="0082037F" w:rsidP="0000175D">
      <w:pPr>
        <w:pStyle w:val="FootnoteText"/>
        <w:spacing w:after="120"/>
      </w:pPr>
      <w:r>
        <w:rPr>
          <w:rStyle w:val="FootnoteReference"/>
        </w:rPr>
        <w:footnoteRef/>
      </w:r>
      <w:r>
        <w:t xml:space="preserve"> </w:t>
      </w:r>
      <w:r w:rsidRPr="00C54685">
        <w:rPr>
          <w:i/>
        </w:rPr>
        <w:t>Id</w:t>
      </w:r>
      <w:r w:rsidRPr="001B59C9">
        <w:t>.</w:t>
      </w:r>
    </w:p>
  </w:footnote>
  <w:footnote w:id="30">
    <w:p w:rsidR="0082037F" w:rsidRDefault="0082037F" w:rsidP="00297B27">
      <w:pPr>
        <w:pStyle w:val="FootnoteText"/>
        <w:spacing w:after="120"/>
      </w:pPr>
      <w:r>
        <w:rPr>
          <w:rStyle w:val="FootnoteReference"/>
        </w:rPr>
        <w:footnoteRef/>
      </w:r>
      <w:r>
        <w:t xml:space="preserve"> ESP Order at 46.</w:t>
      </w:r>
    </w:p>
  </w:footnote>
  <w:footnote w:id="31">
    <w:p w:rsidR="0082037F" w:rsidRDefault="0082037F" w:rsidP="00297B27">
      <w:pPr>
        <w:pStyle w:val="FootnoteText"/>
        <w:spacing w:after="120"/>
      </w:pPr>
      <w:r>
        <w:rPr>
          <w:rStyle w:val="FootnoteReference"/>
        </w:rPr>
        <w:footnoteRef/>
      </w:r>
      <w:r>
        <w:t xml:space="preserve"> </w:t>
      </w:r>
      <w:r w:rsidRPr="00C54685">
        <w:rPr>
          <w:i/>
        </w:rPr>
        <w:t>See</w:t>
      </w:r>
      <w:r>
        <w:t xml:space="preserve"> IEU-Ohio Application for Rehearing at 23-24. </w:t>
      </w:r>
    </w:p>
  </w:footnote>
  <w:footnote w:id="32">
    <w:p w:rsidR="0082037F" w:rsidRDefault="0082037F" w:rsidP="00297B27">
      <w:pPr>
        <w:pStyle w:val="FootnoteText"/>
        <w:spacing w:after="120"/>
      </w:pPr>
      <w:r>
        <w:rPr>
          <w:rStyle w:val="FootnoteReference"/>
        </w:rPr>
        <w:footnoteRef/>
      </w:r>
      <w:r>
        <w:t xml:space="preserve"> Duke Application for Rehearing at 9.</w:t>
      </w:r>
    </w:p>
  </w:footnote>
  <w:footnote w:id="33">
    <w:p w:rsidR="0082037F" w:rsidRDefault="0082037F" w:rsidP="00297B27">
      <w:pPr>
        <w:pStyle w:val="FootnoteText"/>
        <w:spacing w:after="120"/>
      </w:pPr>
      <w:r>
        <w:rPr>
          <w:rStyle w:val="FootnoteReference"/>
        </w:rPr>
        <w:footnoteRef/>
      </w:r>
      <w:r w:rsidRPr="00F7720A">
        <w:rPr>
          <w:i/>
        </w:rPr>
        <w:t xml:space="preserve"> Id.</w:t>
      </w:r>
      <w:r>
        <w:t>at 9-10.</w:t>
      </w:r>
    </w:p>
  </w:footnote>
  <w:footnote w:id="34">
    <w:p w:rsidR="0082037F" w:rsidRDefault="0082037F" w:rsidP="00297B27">
      <w:pPr>
        <w:pStyle w:val="FootnoteText"/>
        <w:spacing w:after="120"/>
      </w:pPr>
      <w:r>
        <w:rPr>
          <w:rStyle w:val="FootnoteReference"/>
        </w:rPr>
        <w:footnoteRef/>
      </w:r>
      <w:r w:rsidRPr="00F7720A">
        <w:rPr>
          <w:i/>
        </w:rPr>
        <w:t xml:space="preserve"> Id.</w:t>
      </w:r>
      <w:r>
        <w:t xml:space="preserve"> at 10.</w:t>
      </w:r>
    </w:p>
  </w:footnote>
  <w:footnote w:id="35">
    <w:p w:rsidR="0082037F" w:rsidRDefault="0082037F" w:rsidP="00297B27">
      <w:pPr>
        <w:pStyle w:val="FootnoteText"/>
        <w:spacing w:after="120"/>
      </w:pPr>
      <w:r>
        <w:rPr>
          <w:rStyle w:val="FootnoteReference"/>
        </w:rPr>
        <w:footnoteRef/>
      </w:r>
      <w:r w:rsidRPr="00F7720A">
        <w:rPr>
          <w:i/>
        </w:rPr>
        <w:t xml:space="preserve"> Id.</w:t>
      </w:r>
      <w:r>
        <w:t xml:space="preserve"> at 11.</w:t>
      </w:r>
    </w:p>
  </w:footnote>
  <w:footnote w:id="36">
    <w:p w:rsidR="0082037F" w:rsidRDefault="0082037F" w:rsidP="00C97932">
      <w:pPr>
        <w:pStyle w:val="FootnoteText"/>
        <w:spacing w:after="120"/>
      </w:pPr>
      <w:r>
        <w:rPr>
          <w:rStyle w:val="FootnoteReference"/>
        </w:rPr>
        <w:footnoteRef/>
      </w:r>
      <w:r>
        <w:t xml:space="preserve"> </w:t>
      </w:r>
      <w:r w:rsidRPr="00C97932">
        <w:rPr>
          <w:i/>
        </w:rPr>
        <w:t>Id</w:t>
      </w:r>
      <w:r>
        <w:t>. at 9-10.</w:t>
      </w:r>
    </w:p>
  </w:footnote>
  <w:footnote w:id="37">
    <w:p w:rsidR="0082037F" w:rsidRDefault="0082037F" w:rsidP="00297B27">
      <w:pPr>
        <w:pStyle w:val="FootnoteText"/>
        <w:spacing w:after="120"/>
      </w:pPr>
      <w:r>
        <w:rPr>
          <w:rStyle w:val="FootnoteReference"/>
        </w:rPr>
        <w:footnoteRef/>
      </w:r>
      <w:r>
        <w:t xml:space="preserve"> As part of its argument that the PSR would operate as a hedge</w:t>
      </w:r>
      <w:r w:rsidRPr="00191513">
        <w:t xml:space="preserve">, </w:t>
      </w:r>
      <w:r>
        <w:t>Duke assumed</w:t>
      </w:r>
      <w:r w:rsidRPr="00191513">
        <w:t xml:space="preserve"> that the PSR will move in the opposite direction of prices.</w:t>
      </w:r>
      <w:r>
        <w:t xml:space="preserve">  To support that assumption, </w:t>
      </w:r>
      <w:r w:rsidRPr="002342D5">
        <w:t xml:space="preserve">Duke </w:t>
      </w:r>
      <w:r>
        <w:t>asserted that</w:t>
      </w:r>
      <w:r w:rsidRPr="002342D5">
        <w:t xml:space="preserve"> OVEC’s costs are stable,</w:t>
      </w:r>
      <w:r>
        <w:t xml:space="preserve"> Duke Ex. 6 at 14, but the record demonstrated</w:t>
      </w:r>
      <w:r w:rsidRPr="002342D5">
        <w:t xml:space="preserve"> otherwise.  OVEC’s average cost of generation moved from $52 to $62 from 2011 to 2012, and Duke’s average cost </w:t>
      </w:r>
      <w:r>
        <w:t xml:space="preserve">of its OVEC interest </w:t>
      </w:r>
      <w:r w:rsidRPr="002342D5">
        <w:t xml:space="preserve">likewise increased considerably.  IEU-Ohio Ex. 5 at 2, IEU-Ohio Ex. 7 at 2, </w:t>
      </w:r>
      <w:r w:rsidRPr="00CD26B8">
        <w:t>&amp;</w:t>
      </w:r>
      <w:r w:rsidRPr="002342D5">
        <w:t xml:space="preserve"> IEU-Ohio Ex. 13.</w:t>
      </w:r>
      <w:r>
        <w:t xml:space="preserve">  </w:t>
      </w:r>
      <w:r w:rsidRPr="002342D5">
        <w:t xml:space="preserve">The demand portion of Duke’s average cost of electricity from OVEC rose </w:t>
      </w:r>
      <w:r>
        <w:t xml:space="preserve">by 71% between 2009 and 2012.  </w:t>
      </w:r>
      <w:r w:rsidRPr="002342D5">
        <w:t>IEU-Ohio Ex. 13.</w:t>
      </w:r>
      <w:r>
        <w:t xml:space="preserve">  </w:t>
      </w:r>
      <w:r w:rsidRPr="002342D5">
        <w:t>Based on the record, the Commission does not have a basis to find that Duke’s OVEC-related generation costs are “stable.”</w:t>
      </w:r>
    </w:p>
  </w:footnote>
  <w:footnote w:id="38">
    <w:p w:rsidR="0082037F" w:rsidRDefault="0082037F" w:rsidP="00C97932">
      <w:pPr>
        <w:pStyle w:val="FootnoteText"/>
        <w:spacing w:after="120"/>
      </w:pPr>
      <w:r>
        <w:rPr>
          <w:rStyle w:val="FootnoteReference"/>
        </w:rPr>
        <w:footnoteRef/>
      </w:r>
      <w:r>
        <w:t xml:space="preserve"> The business risk of OVEC is significant.  Duke recorded a pretax impairment charge of $94 million related to OVEC.  Duke Energy Ohio, Inc., FERC Form No.1 at 123.22 (Apr. 17, 2015), viewed at </w:t>
      </w:r>
      <w:hyperlink r:id="rId1" w:history="1">
        <w:r w:rsidRPr="00C97932">
          <w:rPr>
            <w:rStyle w:val="Hyperlink"/>
            <w:color w:val="auto"/>
          </w:rPr>
          <w:t>https://www.duke-energy.com/pdfs/Q4_2014_DE_Ohio_Form_1.pdf</w:t>
        </w:r>
      </w:hyperlink>
      <w:r w:rsidRPr="00767A55">
        <w:t xml:space="preserve"> </w:t>
      </w:r>
      <w:r>
        <w:t xml:space="preserve">(May 13, 2015).  An impairment is recognized to the extent the net book value of an asset exceeds the present value of future revenues discounted at the incremental borrowing rate.  </w:t>
      </w:r>
      <w:r w:rsidRPr="00C97932">
        <w:rPr>
          <w:i/>
        </w:rPr>
        <w:t>Id</w:t>
      </w:r>
      <w:r>
        <w:t>. at 123.9.</w:t>
      </w:r>
    </w:p>
  </w:footnote>
  <w:footnote w:id="39">
    <w:p w:rsidR="0082037F" w:rsidRDefault="0082037F" w:rsidP="00297B27">
      <w:pPr>
        <w:pStyle w:val="FootnoteText"/>
        <w:spacing w:after="120"/>
      </w:pPr>
      <w:r>
        <w:rPr>
          <w:rStyle w:val="FootnoteReference"/>
        </w:rPr>
        <w:footnoteRef/>
      </w:r>
      <w:r>
        <w:t xml:space="preserve"> R.C. 4928.02(A) &amp; R.C. 4928.06(A).</w:t>
      </w:r>
    </w:p>
  </w:footnote>
  <w:footnote w:id="40">
    <w:p w:rsidR="0082037F" w:rsidRDefault="0082037F" w:rsidP="00D817D7">
      <w:pPr>
        <w:pStyle w:val="FootnoteText"/>
        <w:spacing w:after="120"/>
      </w:pPr>
      <w:r>
        <w:rPr>
          <w:rStyle w:val="FootnoteReference"/>
        </w:rPr>
        <w:footnoteRef/>
      </w:r>
      <w:r>
        <w:t xml:space="preserve"> ESP Order at 46.</w:t>
      </w:r>
    </w:p>
  </w:footnote>
  <w:footnote w:id="41">
    <w:p w:rsidR="0082037F" w:rsidRDefault="0082037F" w:rsidP="00767A55">
      <w:pPr>
        <w:pStyle w:val="FootnoteText"/>
        <w:spacing w:after="120"/>
      </w:pPr>
      <w:r>
        <w:rPr>
          <w:rStyle w:val="FootnoteReference"/>
        </w:rPr>
        <w:footnoteRef/>
      </w:r>
      <w:r w:rsidRPr="00F7720A">
        <w:rPr>
          <w:i/>
        </w:rPr>
        <w:t xml:space="preserve"> Id.</w:t>
      </w:r>
      <w:r>
        <w:rPr>
          <w:i/>
        </w:rPr>
        <w:t xml:space="preserve">  See</w:t>
      </w:r>
      <w:r>
        <w:t xml:space="preserve"> Tr. Vol. II at 472-73 &amp;</w:t>
      </w:r>
      <w:r w:rsidRPr="006C0EC5">
        <w:t xml:space="preserve"> Tr. Vol. X at 2697.  </w:t>
      </w:r>
      <w:r w:rsidRPr="006C0EC5">
        <w:rPr>
          <w:i/>
        </w:rPr>
        <w:t>See, also</w:t>
      </w:r>
      <w:r w:rsidRPr="006C0EC5">
        <w:t>, the Commission’s Apples to Apples Chart applicable to Duke, viewed at</w:t>
      </w:r>
      <w:r>
        <w:t>:</w:t>
      </w:r>
      <w:r>
        <w:tab/>
      </w:r>
      <w:r w:rsidRPr="006C0EC5">
        <w:t xml:space="preserve"> http://energychoice.ohio.gov/ApplesToApplesCategory.aspx?Category=Electric.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45" w:rsidRDefault="005B22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45" w:rsidRDefault="005B2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45" w:rsidRDefault="005B22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7F" w:rsidRDefault="00820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49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0C0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3A18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A21F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00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3AE1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A8CD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C0D6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0834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4B4B5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6348CA"/>
    <w:multiLevelType w:val="multilevel"/>
    <w:tmpl w:val="F27C112C"/>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1">
    <w:nsid w:val="5F3C5854"/>
    <w:multiLevelType w:val="multilevel"/>
    <w:tmpl w:val="69821910"/>
    <w:name w:val="IEU-Olhio Default"/>
    <w:lvl w:ilvl="0">
      <w:start w:val="1"/>
      <w:numFmt w:val="upperRoman"/>
      <w:lvlText w:val="%1."/>
      <w:lvlJc w:val="left"/>
      <w:pPr>
        <w:tabs>
          <w:tab w:val="num" w:pos="720"/>
        </w:tabs>
        <w:ind w:left="720" w:hanging="720"/>
      </w:pPr>
      <w:rPr>
        <w:rFonts w:cs="Arial" w:hint="default"/>
        <w:b/>
        <w:caps w:val="0"/>
        <w:vanish w:val="0"/>
        <w:color w:val="010000"/>
        <w:u w:val="none"/>
      </w:rPr>
    </w:lvl>
    <w:lvl w:ilvl="1">
      <w:start w:val="1"/>
      <w:numFmt w:val="upperLetter"/>
      <w:lvlText w:val="%2."/>
      <w:lvlJc w:val="left"/>
      <w:pPr>
        <w:tabs>
          <w:tab w:val="num" w:pos="1440"/>
        </w:tabs>
        <w:ind w:left="1440" w:hanging="720"/>
      </w:pPr>
      <w:rPr>
        <w:rFonts w:hint="default"/>
        <w:b/>
        <w:caps w:val="0"/>
        <w:vanish w:val="0"/>
        <w:color w:val="010000"/>
        <w:u w:val="none"/>
      </w:rPr>
    </w:lvl>
    <w:lvl w:ilvl="2">
      <w:start w:val="1"/>
      <w:numFmt w:val="decimal"/>
      <w:lvlText w:val="%3."/>
      <w:lvlJc w:val="left"/>
      <w:pPr>
        <w:tabs>
          <w:tab w:val="num" w:pos="2340"/>
        </w:tabs>
        <w:ind w:left="2340" w:hanging="720"/>
      </w:pPr>
      <w:rPr>
        <w:rFonts w:hint="default"/>
        <w:b/>
        <w:i w:val="0"/>
        <w:caps w:val="0"/>
        <w:vanish w:val="0"/>
        <w:color w:val="010000"/>
        <w:u w:val="none"/>
      </w:rPr>
    </w:lvl>
    <w:lvl w:ilvl="3">
      <w:start w:val="1"/>
      <w:numFmt w:val="lowerLetter"/>
      <w:lvlText w:val="%4."/>
      <w:lvlJc w:val="left"/>
      <w:pPr>
        <w:tabs>
          <w:tab w:val="num" w:pos="2880"/>
        </w:tabs>
        <w:ind w:left="2880" w:hanging="720"/>
      </w:pPr>
      <w:rPr>
        <w:rFonts w:hint="default"/>
        <w:b/>
        <w:i/>
        <w:caps w:val="0"/>
        <w:vanish w:val="0"/>
        <w:color w:val="010000"/>
        <w:u w:val="none"/>
      </w:rPr>
    </w:lvl>
    <w:lvl w:ilvl="4">
      <w:start w:val="1"/>
      <w:numFmt w:val="lowerRoman"/>
      <w:lvlText w:val="%5."/>
      <w:lvlJc w:val="left"/>
      <w:pPr>
        <w:tabs>
          <w:tab w:val="num" w:pos="3600"/>
        </w:tabs>
        <w:ind w:left="3600" w:hanging="720"/>
      </w:pPr>
      <w:rPr>
        <w:rFonts w:hint="default"/>
        <w:caps w:val="0"/>
        <w:vanish w:val="0"/>
        <w:color w:val="010000"/>
        <w:u w:val="none"/>
      </w:rPr>
    </w:lvl>
    <w:lvl w:ilvl="5">
      <w:start w:val="1"/>
      <w:numFmt w:val="lowerLetter"/>
      <w:lvlText w:val="(%6)"/>
      <w:lvlJc w:val="left"/>
      <w:pPr>
        <w:tabs>
          <w:tab w:val="num" w:pos="4320"/>
        </w:tabs>
        <w:ind w:left="4320" w:hanging="720"/>
      </w:pPr>
      <w:rPr>
        <w:rFonts w:hint="default"/>
        <w:caps w:val="0"/>
        <w:vanish w:val="0"/>
        <w:color w:val="010000"/>
        <w:u w:val="none"/>
      </w:rPr>
    </w:lvl>
    <w:lvl w:ilvl="6">
      <w:start w:val="1"/>
      <w:numFmt w:val="decimal"/>
      <w:lvlText w:val="(%7)"/>
      <w:lvlJc w:val="left"/>
      <w:pPr>
        <w:tabs>
          <w:tab w:val="num" w:pos="5040"/>
        </w:tabs>
        <w:ind w:left="5040" w:hanging="720"/>
      </w:pPr>
      <w:rPr>
        <w:rFonts w:hint="default"/>
        <w:caps w:val="0"/>
        <w:vanish w:val="0"/>
        <w:color w:val="010000"/>
        <w:u w:val="none"/>
      </w:rPr>
    </w:lvl>
    <w:lvl w:ilvl="7">
      <w:start w:val="1"/>
      <w:numFmt w:val="lowerRoman"/>
      <w:lvlText w:val="%8)"/>
      <w:lvlJc w:val="left"/>
      <w:pPr>
        <w:tabs>
          <w:tab w:val="num" w:pos="5760"/>
        </w:tabs>
        <w:ind w:left="5760" w:hanging="720"/>
      </w:pPr>
      <w:rPr>
        <w:rFonts w:hint="default"/>
        <w:caps w:val="0"/>
        <w:vanish w:val="0"/>
        <w:color w:val="010000"/>
        <w:u w:val="none"/>
      </w:rPr>
    </w:lvl>
    <w:lvl w:ilvl="8">
      <w:start w:val="1"/>
      <w:numFmt w:val="lowerLetter"/>
      <w:lvlText w:val="%9)"/>
      <w:lvlJc w:val="left"/>
      <w:pPr>
        <w:tabs>
          <w:tab w:val="num" w:pos="6480"/>
        </w:tabs>
        <w:ind w:left="6480" w:hanging="720"/>
      </w:pPr>
      <w:rPr>
        <w:rFonts w:hint="default"/>
        <w:caps w:val="0"/>
        <w:vanish w:val="0"/>
        <w:color w:val="010000"/>
        <w:u w:val="no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Tru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HeadingAllCaps" w:val="True"/>
    <w:docVar w:name="TOCHeadingUnderlined" w:val="False"/>
    <w:docVar w:name="TOCIncludeNonHeadings" w:val="Tru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B917ED"/>
    <w:rsid w:val="0000175D"/>
    <w:rsid w:val="000017BD"/>
    <w:rsid w:val="00005F04"/>
    <w:rsid w:val="00010F8F"/>
    <w:rsid w:val="00067778"/>
    <w:rsid w:val="000849AE"/>
    <w:rsid w:val="000B7C51"/>
    <w:rsid w:val="00104D24"/>
    <w:rsid w:val="00105921"/>
    <w:rsid w:val="00167916"/>
    <w:rsid w:val="00181E55"/>
    <w:rsid w:val="00186943"/>
    <w:rsid w:val="00191513"/>
    <w:rsid w:val="00196E2B"/>
    <w:rsid w:val="001B3CED"/>
    <w:rsid w:val="001B59C9"/>
    <w:rsid w:val="001E0CF0"/>
    <w:rsid w:val="001E619B"/>
    <w:rsid w:val="001F5BE4"/>
    <w:rsid w:val="00201020"/>
    <w:rsid w:val="002202DE"/>
    <w:rsid w:val="002310E4"/>
    <w:rsid w:val="002342D5"/>
    <w:rsid w:val="002347A0"/>
    <w:rsid w:val="002452BA"/>
    <w:rsid w:val="00265702"/>
    <w:rsid w:val="00275D9A"/>
    <w:rsid w:val="002779A5"/>
    <w:rsid w:val="00297B27"/>
    <w:rsid w:val="002C4540"/>
    <w:rsid w:val="002C5911"/>
    <w:rsid w:val="002C6A70"/>
    <w:rsid w:val="002C7755"/>
    <w:rsid w:val="002F0738"/>
    <w:rsid w:val="002F26B1"/>
    <w:rsid w:val="00311E94"/>
    <w:rsid w:val="0034222B"/>
    <w:rsid w:val="00346CE9"/>
    <w:rsid w:val="00362216"/>
    <w:rsid w:val="00364DD0"/>
    <w:rsid w:val="00396DCB"/>
    <w:rsid w:val="003D541F"/>
    <w:rsid w:val="003F7DAA"/>
    <w:rsid w:val="004036B7"/>
    <w:rsid w:val="004052DE"/>
    <w:rsid w:val="00424201"/>
    <w:rsid w:val="00441126"/>
    <w:rsid w:val="004438D2"/>
    <w:rsid w:val="004744EE"/>
    <w:rsid w:val="00490C95"/>
    <w:rsid w:val="004937D7"/>
    <w:rsid w:val="004C6142"/>
    <w:rsid w:val="004D7ECC"/>
    <w:rsid w:val="004F656B"/>
    <w:rsid w:val="0055171B"/>
    <w:rsid w:val="0057048E"/>
    <w:rsid w:val="00585648"/>
    <w:rsid w:val="00585921"/>
    <w:rsid w:val="005A5756"/>
    <w:rsid w:val="005B2245"/>
    <w:rsid w:val="005B3757"/>
    <w:rsid w:val="00605A62"/>
    <w:rsid w:val="00644F09"/>
    <w:rsid w:val="0065209E"/>
    <w:rsid w:val="006C0420"/>
    <w:rsid w:val="006C0EC5"/>
    <w:rsid w:val="006C5D30"/>
    <w:rsid w:val="006C612F"/>
    <w:rsid w:val="006C7FA2"/>
    <w:rsid w:val="006D0600"/>
    <w:rsid w:val="00713CF6"/>
    <w:rsid w:val="007147BA"/>
    <w:rsid w:val="00721391"/>
    <w:rsid w:val="00757A61"/>
    <w:rsid w:val="00767A55"/>
    <w:rsid w:val="00767B76"/>
    <w:rsid w:val="00771EB8"/>
    <w:rsid w:val="00782F0F"/>
    <w:rsid w:val="00791CCB"/>
    <w:rsid w:val="007C4E00"/>
    <w:rsid w:val="007D3909"/>
    <w:rsid w:val="008152C8"/>
    <w:rsid w:val="0082037F"/>
    <w:rsid w:val="00830E8A"/>
    <w:rsid w:val="008854CE"/>
    <w:rsid w:val="008C7A5F"/>
    <w:rsid w:val="008E3BF4"/>
    <w:rsid w:val="009225FC"/>
    <w:rsid w:val="009336C6"/>
    <w:rsid w:val="009438BD"/>
    <w:rsid w:val="009466CC"/>
    <w:rsid w:val="00987781"/>
    <w:rsid w:val="009958E2"/>
    <w:rsid w:val="00A41CF7"/>
    <w:rsid w:val="00A478FB"/>
    <w:rsid w:val="00A57114"/>
    <w:rsid w:val="00A75C70"/>
    <w:rsid w:val="00A765DB"/>
    <w:rsid w:val="00A84B8B"/>
    <w:rsid w:val="00AB54C9"/>
    <w:rsid w:val="00AE4EFB"/>
    <w:rsid w:val="00AE7B16"/>
    <w:rsid w:val="00B03AD9"/>
    <w:rsid w:val="00B13711"/>
    <w:rsid w:val="00B30900"/>
    <w:rsid w:val="00B448EC"/>
    <w:rsid w:val="00B641B1"/>
    <w:rsid w:val="00B84C40"/>
    <w:rsid w:val="00B917ED"/>
    <w:rsid w:val="00BB7EB3"/>
    <w:rsid w:val="00BC50E0"/>
    <w:rsid w:val="00BE2B3D"/>
    <w:rsid w:val="00BF0518"/>
    <w:rsid w:val="00BF4828"/>
    <w:rsid w:val="00C01F6D"/>
    <w:rsid w:val="00C0405A"/>
    <w:rsid w:val="00C26B37"/>
    <w:rsid w:val="00C33942"/>
    <w:rsid w:val="00C54685"/>
    <w:rsid w:val="00C93904"/>
    <w:rsid w:val="00C97932"/>
    <w:rsid w:val="00CA2AA8"/>
    <w:rsid w:val="00CD26B8"/>
    <w:rsid w:val="00CD7207"/>
    <w:rsid w:val="00CF1840"/>
    <w:rsid w:val="00CF58AE"/>
    <w:rsid w:val="00D43784"/>
    <w:rsid w:val="00D567BD"/>
    <w:rsid w:val="00D817D7"/>
    <w:rsid w:val="00D923C7"/>
    <w:rsid w:val="00DB49A5"/>
    <w:rsid w:val="00DD776F"/>
    <w:rsid w:val="00DE6B9A"/>
    <w:rsid w:val="00E167F8"/>
    <w:rsid w:val="00E5289A"/>
    <w:rsid w:val="00E52DBC"/>
    <w:rsid w:val="00E70DA2"/>
    <w:rsid w:val="00E91C87"/>
    <w:rsid w:val="00EB197B"/>
    <w:rsid w:val="00EC417C"/>
    <w:rsid w:val="00ED6349"/>
    <w:rsid w:val="00EE322C"/>
    <w:rsid w:val="00F373E7"/>
    <w:rsid w:val="00F62B68"/>
    <w:rsid w:val="00F7720A"/>
    <w:rsid w:val="00F80A06"/>
    <w:rsid w:val="00F8275B"/>
    <w:rsid w:val="00FC4CF6"/>
    <w:rsid w:val="00FE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921"/>
    <w:pPr>
      <w:numPr>
        <w:numId w:val="1"/>
      </w:numPr>
      <w:tabs>
        <w:tab w:val="clear" w:pos="720"/>
      </w:tabs>
      <w:spacing w:after="240"/>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585921"/>
    <w:pPr>
      <w:numPr>
        <w:ilvl w:val="1"/>
        <w:numId w:val="1"/>
      </w:numPr>
      <w:spacing w:after="240"/>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585921"/>
    <w:pPr>
      <w:numPr>
        <w:ilvl w:val="2"/>
        <w:numId w:val="1"/>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rsid w:val="00585921"/>
    <w:pPr>
      <w:numPr>
        <w:ilvl w:val="3"/>
        <w:numId w:val="1"/>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85921"/>
    <w:pPr>
      <w:numPr>
        <w:ilvl w:val="4"/>
        <w:numId w:val="1"/>
      </w:numPr>
      <w:spacing w:after="240"/>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85921"/>
    <w:pPr>
      <w:numPr>
        <w:ilvl w:val="5"/>
        <w:numId w:val="1"/>
      </w:numPr>
      <w:spacing w:after="240"/>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85921"/>
    <w:pPr>
      <w:numPr>
        <w:ilvl w:val="6"/>
        <w:numId w:val="1"/>
      </w:numPr>
      <w:spacing w:after="240"/>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85921"/>
    <w:pPr>
      <w:numPr>
        <w:ilvl w:val="7"/>
        <w:numId w:val="1"/>
      </w:numPr>
      <w:spacing w:after="240"/>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85921"/>
    <w:pPr>
      <w:numPr>
        <w:ilvl w:val="8"/>
        <w:numId w:val="1"/>
      </w:numPr>
      <w:spacing w:after="240"/>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B917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B917ED"/>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B917ED"/>
    <w:rPr>
      <w:vertAlign w:val="superscript"/>
    </w:rPr>
  </w:style>
  <w:style w:type="paragraph" w:styleId="Header">
    <w:name w:val="header"/>
    <w:basedOn w:val="Normal"/>
    <w:link w:val="HeaderChar"/>
    <w:uiPriority w:val="99"/>
    <w:unhideWhenUsed/>
    <w:rsid w:val="00B917ED"/>
    <w:pPr>
      <w:tabs>
        <w:tab w:val="center" w:pos="4680"/>
        <w:tab w:val="right" w:pos="9360"/>
      </w:tabs>
    </w:pPr>
  </w:style>
  <w:style w:type="character" w:customStyle="1" w:styleId="HeaderChar">
    <w:name w:val="Header Char"/>
    <w:basedOn w:val="DefaultParagraphFont"/>
    <w:link w:val="Header"/>
    <w:uiPriority w:val="99"/>
    <w:rsid w:val="00B917ED"/>
  </w:style>
  <w:style w:type="paragraph" w:styleId="Footer">
    <w:name w:val="footer"/>
    <w:basedOn w:val="Normal"/>
    <w:link w:val="FooterChar"/>
    <w:uiPriority w:val="99"/>
    <w:unhideWhenUsed/>
    <w:rsid w:val="00B917ED"/>
    <w:pPr>
      <w:tabs>
        <w:tab w:val="center" w:pos="4680"/>
        <w:tab w:val="right" w:pos="9360"/>
      </w:tabs>
    </w:pPr>
  </w:style>
  <w:style w:type="character" w:customStyle="1" w:styleId="FooterChar">
    <w:name w:val="Footer Char"/>
    <w:basedOn w:val="DefaultParagraphFont"/>
    <w:link w:val="Footer"/>
    <w:uiPriority w:val="99"/>
    <w:rsid w:val="00B917ED"/>
  </w:style>
  <w:style w:type="character" w:customStyle="1" w:styleId="Heading1Char">
    <w:name w:val="Heading 1 Char"/>
    <w:basedOn w:val="DefaultParagraphFont"/>
    <w:link w:val="Heading1"/>
    <w:uiPriority w:val="9"/>
    <w:rsid w:val="00585921"/>
    <w:rPr>
      <w:rFonts w:eastAsiaTheme="majorEastAsia" w:cs="Arial"/>
      <w:b/>
      <w:bCs/>
      <w:caps/>
      <w:szCs w:val="28"/>
      <w:u w:val="single"/>
    </w:rPr>
  </w:style>
  <w:style w:type="character" w:customStyle="1" w:styleId="Heading2Char">
    <w:name w:val="Heading 2 Char"/>
    <w:basedOn w:val="DefaultParagraphFont"/>
    <w:link w:val="Heading2"/>
    <w:uiPriority w:val="9"/>
    <w:rsid w:val="00585921"/>
    <w:rPr>
      <w:rFonts w:eastAsiaTheme="majorEastAsia" w:cs="Arial"/>
      <w:b/>
      <w:bCs/>
      <w:szCs w:val="26"/>
    </w:rPr>
  </w:style>
  <w:style w:type="character" w:customStyle="1" w:styleId="Heading3Char">
    <w:name w:val="Heading 3 Char"/>
    <w:basedOn w:val="DefaultParagraphFont"/>
    <w:link w:val="Heading3"/>
    <w:uiPriority w:val="9"/>
    <w:semiHidden/>
    <w:rsid w:val="00585921"/>
    <w:rPr>
      <w:rFonts w:eastAsiaTheme="majorEastAsia" w:cs="Arial"/>
      <w:b/>
      <w:bCs/>
    </w:rPr>
  </w:style>
  <w:style w:type="character" w:customStyle="1" w:styleId="Heading4Char">
    <w:name w:val="Heading 4 Char"/>
    <w:basedOn w:val="DefaultParagraphFont"/>
    <w:link w:val="Heading4"/>
    <w:uiPriority w:val="9"/>
    <w:semiHidden/>
    <w:rsid w:val="00585921"/>
    <w:rPr>
      <w:rFonts w:eastAsiaTheme="majorEastAsia" w:cs="Arial"/>
      <w:b/>
      <w:bCs/>
      <w:i/>
      <w:iCs/>
    </w:rPr>
  </w:style>
  <w:style w:type="character" w:customStyle="1" w:styleId="Heading5Char">
    <w:name w:val="Heading 5 Char"/>
    <w:basedOn w:val="DefaultParagraphFont"/>
    <w:link w:val="Heading5"/>
    <w:uiPriority w:val="9"/>
    <w:semiHidden/>
    <w:rsid w:val="00585921"/>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85921"/>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85921"/>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85921"/>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85921"/>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311E94"/>
    <w:rPr>
      <w:color w:val="0000FF" w:themeColor="hyperlink"/>
      <w:u w:val="single"/>
    </w:rPr>
  </w:style>
  <w:style w:type="character" w:styleId="CommentReference">
    <w:name w:val="annotation reference"/>
    <w:basedOn w:val="DefaultParagraphFont"/>
    <w:uiPriority w:val="99"/>
    <w:semiHidden/>
    <w:unhideWhenUsed/>
    <w:rsid w:val="002C6A70"/>
    <w:rPr>
      <w:sz w:val="16"/>
      <w:szCs w:val="16"/>
    </w:rPr>
  </w:style>
  <w:style w:type="paragraph" w:styleId="CommentText">
    <w:name w:val="annotation text"/>
    <w:basedOn w:val="Normal"/>
    <w:link w:val="CommentTextChar"/>
    <w:uiPriority w:val="99"/>
    <w:semiHidden/>
    <w:unhideWhenUsed/>
    <w:rsid w:val="002C6A70"/>
    <w:rPr>
      <w:sz w:val="20"/>
      <w:szCs w:val="20"/>
    </w:rPr>
  </w:style>
  <w:style w:type="character" w:customStyle="1" w:styleId="CommentTextChar">
    <w:name w:val="Comment Text Char"/>
    <w:basedOn w:val="DefaultParagraphFont"/>
    <w:link w:val="CommentText"/>
    <w:uiPriority w:val="99"/>
    <w:semiHidden/>
    <w:rsid w:val="002C6A70"/>
    <w:rPr>
      <w:sz w:val="20"/>
      <w:szCs w:val="20"/>
    </w:rPr>
  </w:style>
  <w:style w:type="paragraph" w:styleId="CommentSubject">
    <w:name w:val="annotation subject"/>
    <w:basedOn w:val="CommentText"/>
    <w:next w:val="CommentText"/>
    <w:link w:val="CommentSubjectChar"/>
    <w:uiPriority w:val="99"/>
    <w:semiHidden/>
    <w:unhideWhenUsed/>
    <w:rsid w:val="002C6A70"/>
    <w:rPr>
      <w:b/>
      <w:bCs/>
    </w:rPr>
  </w:style>
  <w:style w:type="character" w:customStyle="1" w:styleId="CommentSubjectChar">
    <w:name w:val="Comment Subject Char"/>
    <w:basedOn w:val="CommentTextChar"/>
    <w:link w:val="CommentSubject"/>
    <w:uiPriority w:val="99"/>
    <w:semiHidden/>
    <w:rsid w:val="002C6A70"/>
    <w:rPr>
      <w:b/>
      <w:bCs/>
      <w:sz w:val="20"/>
      <w:szCs w:val="20"/>
    </w:rPr>
  </w:style>
  <w:style w:type="paragraph" w:styleId="BalloonText">
    <w:name w:val="Balloon Text"/>
    <w:basedOn w:val="Normal"/>
    <w:link w:val="BalloonTextChar"/>
    <w:uiPriority w:val="99"/>
    <w:semiHidden/>
    <w:unhideWhenUsed/>
    <w:rsid w:val="002C6A70"/>
    <w:rPr>
      <w:rFonts w:ascii="Tahoma" w:hAnsi="Tahoma" w:cs="Tahoma"/>
      <w:sz w:val="16"/>
      <w:szCs w:val="16"/>
    </w:rPr>
  </w:style>
  <w:style w:type="character" w:customStyle="1" w:styleId="BalloonTextChar">
    <w:name w:val="Balloon Text Char"/>
    <w:basedOn w:val="DefaultParagraphFont"/>
    <w:link w:val="BalloonText"/>
    <w:uiPriority w:val="99"/>
    <w:semiHidden/>
    <w:rsid w:val="002C6A70"/>
    <w:rPr>
      <w:rFonts w:ascii="Tahoma" w:hAnsi="Tahoma" w:cs="Tahoma"/>
      <w:sz w:val="16"/>
      <w:szCs w:val="16"/>
    </w:rPr>
  </w:style>
  <w:style w:type="paragraph" w:styleId="TOC1">
    <w:name w:val="toc 1"/>
    <w:basedOn w:val="Normal"/>
    <w:next w:val="Normal"/>
    <w:autoRedefine/>
    <w:uiPriority w:val="39"/>
    <w:unhideWhenUsed/>
    <w:rsid w:val="006C0420"/>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6C0420"/>
    <w:pPr>
      <w:tabs>
        <w:tab w:val="left" w:pos="1440"/>
        <w:tab w:val="right" w:leader="dot" w:pos="9350"/>
      </w:tabs>
      <w:spacing w:after="100"/>
      <w:ind w:left="1440" w:right="720" w:hanging="720"/>
    </w:pPr>
  </w:style>
  <w:style w:type="paragraph" w:styleId="TOC3">
    <w:name w:val="toc 3"/>
    <w:basedOn w:val="Normal"/>
    <w:next w:val="Normal"/>
    <w:autoRedefine/>
    <w:uiPriority w:val="39"/>
    <w:unhideWhenUsed/>
    <w:rsid w:val="006C0420"/>
    <w:pPr>
      <w:tabs>
        <w:tab w:val="left" w:pos="880"/>
        <w:tab w:val="right" w:leader="dot" w:pos="9350"/>
      </w:tabs>
      <w:spacing w:after="100"/>
      <w:ind w:left="2160" w:right="720" w:hanging="720"/>
    </w:pPr>
  </w:style>
  <w:style w:type="character" w:styleId="FollowedHyperlink">
    <w:name w:val="FollowedHyperlink"/>
    <w:basedOn w:val="DefaultParagraphFont"/>
    <w:uiPriority w:val="99"/>
    <w:semiHidden/>
    <w:unhideWhenUsed/>
    <w:rsid w:val="002F26B1"/>
    <w:rPr>
      <w:color w:val="800080" w:themeColor="followedHyperlink"/>
      <w:u w:val="single"/>
    </w:rPr>
  </w:style>
  <w:style w:type="paragraph" w:styleId="TOCHeading">
    <w:name w:val="TOC Heading"/>
    <w:basedOn w:val="Normal"/>
    <w:next w:val="TOC1"/>
    <w:uiPriority w:val="39"/>
    <w:unhideWhenUsed/>
    <w:qFormat/>
    <w:rsid w:val="00FE2367"/>
    <w:pPr>
      <w:keepNext/>
      <w:keepLines/>
      <w:spacing w:before="480" w:after="240"/>
      <w:jc w:val="center"/>
    </w:pPr>
    <w:rPr>
      <w:rFonts w:cs="Arial"/>
      <w:b/>
      <w:caps/>
      <w:color w:val="365F91" w:themeColor="accent1" w:themeShade="BF"/>
    </w:rPr>
  </w:style>
  <w:style w:type="paragraph" w:styleId="TOC4">
    <w:name w:val="toc 4"/>
    <w:basedOn w:val="Normal"/>
    <w:next w:val="Normal"/>
    <w:autoRedefine/>
    <w:uiPriority w:val="39"/>
    <w:semiHidden/>
    <w:unhideWhenUsed/>
    <w:rsid w:val="00FE2367"/>
    <w:pPr>
      <w:spacing w:after="100"/>
      <w:ind w:left="720"/>
    </w:pPr>
  </w:style>
  <w:style w:type="paragraph" w:styleId="TOC5">
    <w:name w:val="toc 5"/>
    <w:basedOn w:val="Normal"/>
    <w:next w:val="Normal"/>
    <w:autoRedefine/>
    <w:uiPriority w:val="39"/>
    <w:semiHidden/>
    <w:unhideWhenUsed/>
    <w:rsid w:val="00FE2367"/>
    <w:pPr>
      <w:spacing w:after="100"/>
      <w:ind w:left="960"/>
    </w:pPr>
  </w:style>
  <w:style w:type="paragraph" w:styleId="TOC6">
    <w:name w:val="toc 6"/>
    <w:basedOn w:val="Normal"/>
    <w:next w:val="Normal"/>
    <w:autoRedefine/>
    <w:uiPriority w:val="39"/>
    <w:semiHidden/>
    <w:unhideWhenUsed/>
    <w:rsid w:val="00FE2367"/>
    <w:pPr>
      <w:spacing w:after="100"/>
      <w:ind w:left="1200"/>
    </w:pPr>
  </w:style>
  <w:style w:type="paragraph" w:styleId="TOC7">
    <w:name w:val="toc 7"/>
    <w:basedOn w:val="Normal"/>
    <w:next w:val="Normal"/>
    <w:autoRedefine/>
    <w:uiPriority w:val="39"/>
    <w:semiHidden/>
    <w:unhideWhenUsed/>
    <w:rsid w:val="00FE2367"/>
    <w:pPr>
      <w:spacing w:after="100"/>
      <w:ind w:left="1440"/>
    </w:pPr>
  </w:style>
  <w:style w:type="paragraph" w:styleId="TOC8">
    <w:name w:val="toc 8"/>
    <w:basedOn w:val="Normal"/>
    <w:next w:val="Normal"/>
    <w:autoRedefine/>
    <w:uiPriority w:val="39"/>
    <w:semiHidden/>
    <w:unhideWhenUsed/>
    <w:rsid w:val="00FE2367"/>
    <w:pPr>
      <w:spacing w:after="100"/>
      <w:ind w:left="1680"/>
    </w:pPr>
  </w:style>
  <w:style w:type="paragraph" w:styleId="TOC9">
    <w:name w:val="toc 9"/>
    <w:basedOn w:val="Normal"/>
    <w:next w:val="Normal"/>
    <w:autoRedefine/>
    <w:uiPriority w:val="39"/>
    <w:semiHidden/>
    <w:unhideWhenUsed/>
    <w:rsid w:val="00FE2367"/>
    <w:pPr>
      <w:spacing w:after="100"/>
      <w:ind w:left="1920"/>
    </w:pPr>
  </w:style>
  <w:style w:type="paragraph" w:customStyle="1" w:styleId="TOCPage">
    <w:name w:val="TOC Page"/>
    <w:basedOn w:val="Normal"/>
    <w:rsid w:val="00FE2367"/>
    <w:pPr>
      <w:spacing w:after="240"/>
      <w:jc w:val="right"/>
    </w:pPr>
    <w:rPr>
      <w:rFonts w:eastAsia="Times New Roman" w:cs="Arial"/>
      <w:b/>
      <w:szCs w:val="20"/>
    </w:rPr>
  </w:style>
  <w:style w:type="paragraph" w:styleId="Bibliography">
    <w:name w:val="Bibliography"/>
    <w:basedOn w:val="Normal"/>
    <w:next w:val="Normal"/>
    <w:uiPriority w:val="37"/>
    <w:semiHidden/>
    <w:unhideWhenUsed/>
    <w:rsid w:val="00FE2367"/>
  </w:style>
  <w:style w:type="paragraph" w:styleId="BlockText">
    <w:name w:val="Block Text"/>
    <w:basedOn w:val="Normal"/>
    <w:uiPriority w:val="99"/>
    <w:semiHidden/>
    <w:unhideWhenUsed/>
    <w:rsid w:val="00FE236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E2367"/>
    <w:pPr>
      <w:spacing w:after="120"/>
    </w:pPr>
  </w:style>
  <w:style w:type="character" w:customStyle="1" w:styleId="BodyTextChar">
    <w:name w:val="Body Text Char"/>
    <w:basedOn w:val="DefaultParagraphFont"/>
    <w:link w:val="BodyText"/>
    <w:uiPriority w:val="99"/>
    <w:semiHidden/>
    <w:rsid w:val="00FE2367"/>
  </w:style>
  <w:style w:type="paragraph" w:styleId="BodyText2">
    <w:name w:val="Body Text 2"/>
    <w:basedOn w:val="Normal"/>
    <w:link w:val="BodyText2Char"/>
    <w:uiPriority w:val="99"/>
    <w:semiHidden/>
    <w:unhideWhenUsed/>
    <w:rsid w:val="00FE2367"/>
    <w:pPr>
      <w:spacing w:after="120" w:line="480" w:lineRule="auto"/>
    </w:pPr>
  </w:style>
  <w:style w:type="character" w:customStyle="1" w:styleId="BodyText2Char">
    <w:name w:val="Body Text 2 Char"/>
    <w:basedOn w:val="DefaultParagraphFont"/>
    <w:link w:val="BodyText2"/>
    <w:uiPriority w:val="99"/>
    <w:semiHidden/>
    <w:rsid w:val="00FE2367"/>
  </w:style>
  <w:style w:type="paragraph" w:styleId="BodyText3">
    <w:name w:val="Body Text 3"/>
    <w:basedOn w:val="Normal"/>
    <w:link w:val="BodyText3Char"/>
    <w:uiPriority w:val="99"/>
    <w:semiHidden/>
    <w:unhideWhenUsed/>
    <w:rsid w:val="00FE2367"/>
    <w:pPr>
      <w:spacing w:after="120"/>
    </w:pPr>
    <w:rPr>
      <w:sz w:val="16"/>
      <w:szCs w:val="16"/>
    </w:rPr>
  </w:style>
  <w:style w:type="character" w:customStyle="1" w:styleId="BodyText3Char">
    <w:name w:val="Body Text 3 Char"/>
    <w:basedOn w:val="DefaultParagraphFont"/>
    <w:link w:val="BodyText3"/>
    <w:uiPriority w:val="99"/>
    <w:semiHidden/>
    <w:rsid w:val="00FE2367"/>
    <w:rPr>
      <w:sz w:val="16"/>
      <w:szCs w:val="16"/>
    </w:rPr>
  </w:style>
  <w:style w:type="paragraph" w:styleId="BodyTextFirstIndent">
    <w:name w:val="Body Text First Indent"/>
    <w:basedOn w:val="BodyText"/>
    <w:link w:val="BodyTextFirstIndentChar"/>
    <w:uiPriority w:val="99"/>
    <w:semiHidden/>
    <w:unhideWhenUsed/>
    <w:rsid w:val="00FE2367"/>
    <w:pPr>
      <w:spacing w:after="0"/>
      <w:ind w:firstLine="360"/>
    </w:pPr>
  </w:style>
  <w:style w:type="character" w:customStyle="1" w:styleId="BodyTextFirstIndentChar">
    <w:name w:val="Body Text First Indent Char"/>
    <w:basedOn w:val="BodyTextChar"/>
    <w:link w:val="BodyTextFirstIndent"/>
    <w:uiPriority w:val="99"/>
    <w:semiHidden/>
    <w:rsid w:val="00FE2367"/>
  </w:style>
  <w:style w:type="paragraph" w:styleId="BodyTextIndent">
    <w:name w:val="Body Text Indent"/>
    <w:basedOn w:val="Normal"/>
    <w:link w:val="BodyTextIndentChar"/>
    <w:uiPriority w:val="99"/>
    <w:semiHidden/>
    <w:unhideWhenUsed/>
    <w:rsid w:val="00FE2367"/>
    <w:pPr>
      <w:spacing w:after="120"/>
      <w:ind w:left="360"/>
    </w:pPr>
  </w:style>
  <w:style w:type="character" w:customStyle="1" w:styleId="BodyTextIndentChar">
    <w:name w:val="Body Text Indent Char"/>
    <w:basedOn w:val="DefaultParagraphFont"/>
    <w:link w:val="BodyTextIndent"/>
    <w:uiPriority w:val="99"/>
    <w:semiHidden/>
    <w:rsid w:val="00FE2367"/>
  </w:style>
  <w:style w:type="paragraph" w:styleId="BodyTextFirstIndent2">
    <w:name w:val="Body Text First Indent 2"/>
    <w:basedOn w:val="BodyTextIndent"/>
    <w:link w:val="BodyTextFirstIndent2Char"/>
    <w:uiPriority w:val="99"/>
    <w:semiHidden/>
    <w:unhideWhenUsed/>
    <w:rsid w:val="00FE2367"/>
    <w:pPr>
      <w:spacing w:after="0"/>
      <w:ind w:firstLine="360"/>
    </w:pPr>
  </w:style>
  <w:style w:type="character" w:customStyle="1" w:styleId="BodyTextFirstIndent2Char">
    <w:name w:val="Body Text First Indent 2 Char"/>
    <w:basedOn w:val="BodyTextIndentChar"/>
    <w:link w:val="BodyTextFirstIndent2"/>
    <w:uiPriority w:val="99"/>
    <w:semiHidden/>
    <w:rsid w:val="00FE2367"/>
  </w:style>
  <w:style w:type="paragraph" w:styleId="BodyTextIndent2">
    <w:name w:val="Body Text Indent 2"/>
    <w:basedOn w:val="Normal"/>
    <w:link w:val="BodyTextIndent2Char"/>
    <w:uiPriority w:val="99"/>
    <w:semiHidden/>
    <w:unhideWhenUsed/>
    <w:rsid w:val="00FE2367"/>
    <w:pPr>
      <w:spacing w:after="120" w:line="480" w:lineRule="auto"/>
      <w:ind w:left="360"/>
    </w:pPr>
  </w:style>
  <w:style w:type="character" w:customStyle="1" w:styleId="BodyTextIndent2Char">
    <w:name w:val="Body Text Indent 2 Char"/>
    <w:basedOn w:val="DefaultParagraphFont"/>
    <w:link w:val="BodyTextIndent2"/>
    <w:uiPriority w:val="99"/>
    <w:semiHidden/>
    <w:rsid w:val="00FE2367"/>
  </w:style>
  <w:style w:type="paragraph" w:styleId="BodyTextIndent3">
    <w:name w:val="Body Text Indent 3"/>
    <w:basedOn w:val="Normal"/>
    <w:link w:val="BodyTextIndent3Char"/>
    <w:uiPriority w:val="99"/>
    <w:semiHidden/>
    <w:unhideWhenUsed/>
    <w:rsid w:val="00FE23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2367"/>
    <w:rPr>
      <w:sz w:val="16"/>
      <w:szCs w:val="16"/>
    </w:rPr>
  </w:style>
  <w:style w:type="paragraph" w:styleId="Caption">
    <w:name w:val="caption"/>
    <w:basedOn w:val="Normal"/>
    <w:next w:val="Normal"/>
    <w:uiPriority w:val="35"/>
    <w:semiHidden/>
    <w:unhideWhenUsed/>
    <w:qFormat/>
    <w:rsid w:val="00FE2367"/>
    <w:pPr>
      <w:spacing w:after="200"/>
    </w:pPr>
    <w:rPr>
      <w:b/>
      <w:bCs/>
      <w:color w:val="4F81BD" w:themeColor="accent1"/>
      <w:sz w:val="18"/>
      <w:szCs w:val="18"/>
    </w:rPr>
  </w:style>
  <w:style w:type="paragraph" w:styleId="Closing">
    <w:name w:val="Closing"/>
    <w:basedOn w:val="Normal"/>
    <w:link w:val="ClosingChar"/>
    <w:uiPriority w:val="99"/>
    <w:semiHidden/>
    <w:unhideWhenUsed/>
    <w:rsid w:val="00FE2367"/>
    <w:pPr>
      <w:ind w:left="4320"/>
    </w:pPr>
  </w:style>
  <w:style w:type="character" w:customStyle="1" w:styleId="ClosingChar">
    <w:name w:val="Closing Char"/>
    <w:basedOn w:val="DefaultParagraphFont"/>
    <w:link w:val="Closing"/>
    <w:uiPriority w:val="99"/>
    <w:semiHidden/>
    <w:rsid w:val="00FE2367"/>
  </w:style>
  <w:style w:type="paragraph" w:styleId="Date">
    <w:name w:val="Date"/>
    <w:basedOn w:val="Normal"/>
    <w:next w:val="Normal"/>
    <w:link w:val="DateChar"/>
    <w:uiPriority w:val="99"/>
    <w:semiHidden/>
    <w:unhideWhenUsed/>
    <w:rsid w:val="00FE2367"/>
  </w:style>
  <w:style w:type="character" w:customStyle="1" w:styleId="DateChar">
    <w:name w:val="Date Char"/>
    <w:basedOn w:val="DefaultParagraphFont"/>
    <w:link w:val="Date"/>
    <w:uiPriority w:val="99"/>
    <w:semiHidden/>
    <w:rsid w:val="00FE2367"/>
  </w:style>
  <w:style w:type="paragraph" w:styleId="DocumentMap">
    <w:name w:val="Document Map"/>
    <w:basedOn w:val="Normal"/>
    <w:link w:val="DocumentMapChar"/>
    <w:uiPriority w:val="99"/>
    <w:semiHidden/>
    <w:unhideWhenUsed/>
    <w:rsid w:val="00FE2367"/>
    <w:rPr>
      <w:rFonts w:ascii="Tahoma" w:hAnsi="Tahoma" w:cs="Tahoma"/>
      <w:sz w:val="16"/>
      <w:szCs w:val="16"/>
    </w:rPr>
  </w:style>
  <w:style w:type="character" w:customStyle="1" w:styleId="DocumentMapChar">
    <w:name w:val="Document Map Char"/>
    <w:basedOn w:val="DefaultParagraphFont"/>
    <w:link w:val="DocumentMap"/>
    <w:uiPriority w:val="99"/>
    <w:semiHidden/>
    <w:rsid w:val="00FE2367"/>
    <w:rPr>
      <w:rFonts w:ascii="Tahoma" w:hAnsi="Tahoma" w:cs="Tahoma"/>
      <w:sz w:val="16"/>
      <w:szCs w:val="16"/>
    </w:rPr>
  </w:style>
  <w:style w:type="paragraph" w:styleId="E-mailSignature">
    <w:name w:val="E-mail Signature"/>
    <w:basedOn w:val="Normal"/>
    <w:link w:val="E-mailSignatureChar"/>
    <w:uiPriority w:val="99"/>
    <w:semiHidden/>
    <w:unhideWhenUsed/>
    <w:rsid w:val="00FE2367"/>
  </w:style>
  <w:style w:type="character" w:customStyle="1" w:styleId="E-mailSignatureChar">
    <w:name w:val="E-mail Signature Char"/>
    <w:basedOn w:val="DefaultParagraphFont"/>
    <w:link w:val="E-mailSignature"/>
    <w:uiPriority w:val="99"/>
    <w:semiHidden/>
    <w:rsid w:val="00FE2367"/>
  </w:style>
  <w:style w:type="paragraph" w:styleId="EndnoteText">
    <w:name w:val="endnote text"/>
    <w:basedOn w:val="Normal"/>
    <w:link w:val="EndnoteTextChar"/>
    <w:uiPriority w:val="99"/>
    <w:semiHidden/>
    <w:unhideWhenUsed/>
    <w:rsid w:val="00FE2367"/>
    <w:rPr>
      <w:sz w:val="20"/>
      <w:szCs w:val="20"/>
    </w:rPr>
  </w:style>
  <w:style w:type="character" w:customStyle="1" w:styleId="EndnoteTextChar">
    <w:name w:val="Endnote Text Char"/>
    <w:basedOn w:val="DefaultParagraphFont"/>
    <w:link w:val="EndnoteText"/>
    <w:uiPriority w:val="99"/>
    <w:semiHidden/>
    <w:rsid w:val="00FE2367"/>
    <w:rPr>
      <w:sz w:val="20"/>
      <w:szCs w:val="20"/>
    </w:rPr>
  </w:style>
  <w:style w:type="paragraph" w:styleId="EnvelopeAddress">
    <w:name w:val="envelope address"/>
    <w:basedOn w:val="Normal"/>
    <w:uiPriority w:val="99"/>
    <w:semiHidden/>
    <w:unhideWhenUsed/>
    <w:rsid w:val="00FE236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2367"/>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2367"/>
    <w:rPr>
      <w:i/>
      <w:iCs/>
    </w:rPr>
  </w:style>
  <w:style w:type="character" w:customStyle="1" w:styleId="HTMLAddressChar">
    <w:name w:val="HTML Address Char"/>
    <w:basedOn w:val="DefaultParagraphFont"/>
    <w:link w:val="HTMLAddress"/>
    <w:uiPriority w:val="99"/>
    <w:semiHidden/>
    <w:rsid w:val="00FE2367"/>
    <w:rPr>
      <w:i/>
      <w:iCs/>
    </w:rPr>
  </w:style>
  <w:style w:type="paragraph" w:styleId="HTMLPreformatted">
    <w:name w:val="HTML Preformatted"/>
    <w:basedOn w:val="Normal"/>
    <w:link w:val="HTMLPreformattedChar"/>
    <w:uiPriority w:val="99"/>
    <w:semiHidden/>
    <w:unhideWhenUsed/>
    <w:rsid w:val="00FE23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2367"/>
    <w:rPr>
      <w:rFonts w:ascii="Consolas" w:hAnsi="Consolas" w:cs="Consolas"/>
      <w:sz w:val="20"/>
      <w:szCs w:val="20"/>
    </w:rPr>
  </w:style>
  <w:style w:type="paragraph" w:styleId="Index1">
    <w:name w:val="index 1"/>
    <w:basedOn w:val="Normal"/>
    <w:next w:val="Normal"/>
    <w:autoRedefine/>
    <w:uiPriority w:val="99"/>
    <w:semiHidden/>
    <w:unhideWhenUsed/>
    <w:rsid w:val="00FE2367"/>
    <w:pPr>
      <w:ind w:left="240" w:hanging="240"/>
    </w:pPr>
  </w:style>
  <w:style w:type="paragraph" w:styleId="Index2">
    <w:name w:val="index 2"/>
    <w:basedOn w:val="Normal"/>
    <w:next w:val="Normal"/>
    <w:autoRedefine/>
    <w:uiPriority w:val="99"/>
    <w:semiHidden/>
    <w:unhideWhenUsed/>
    <w:rsid w:val="00FE2367"/>
    <w:pPr>
      <w:ind w:left="480" w:hanging="240"/>
    </w:pPr>
  </w:style>
  <w:style w:type="paragraph" w:styleId="Index3">
    <w:name w:val="index 3"/>
    <w:basedOn w:val="Normal"/>
    <w:next w:val="Normal"/>
    <w:autoRedefine/>
    <w:uiPriority w:val="99"/>
    <w:semiHidden/>
    <w:unhideWhenUsed/>
    <w:rsid w:val="00FE2367"/>
    <w:pPr>
      <w:ind w:left="720" w:hanging="240"/>
    </w:pPr>
  </w:style>
  <w:style w:type="paragraph" w:styleId="Index4">
    <w:name w:val="index 4"/>
    <w:basedOn w:val="Normal"/>
    <w:next w:val="Normal"/>
    <w:autoRedefine/>
    <w:uiPriority w:val="99"/>
    <w:semiHidden/>
    <w:unhideWhenUsed/>
    <w:rsid w:val="00FE2367"/>
    <w:pPr>
      <w:ind w:left="960" w:hanging="240"/>
    </w:pPr>
  </w:style>
  <w:style w:type="paragraph" w:styleId="Index5">
    <w:name w:val="index 5"/>
    <w:basedOn w:val="Normal"/>
    <w:next w:val="Normal"/>
    <w:autoRedefine/>
    <w:uiPriority w:val="99"/>
    <w:semiHidden/>
    <w:unhideWhenUsed/>
    <w:rsid w:val="00FE2367"/>
    <w:pPr>
      <w:ind w:left="1200" w:hanging="240"/>
    </w:pPr>
  </w:style>
  <w:style w:type="paragraph" w:styleId="Index6">
    <w:name w:val="index 6"/>
    <w:basedOn w:val="Normal"/>
    <w:next w:val="Normal"/>
    <w:autoRedefine/>
    <w:uiPriority w:val="99"/>
    <w:semiHidden/>
    <w:unhideWhenUsed/>
    <w:rsid w:val="00FE2367"/>
    <w:pPr>
      <w:ind w:left="1440" w:hanging="240"/>
    </w:pPr>
  </w:style>
  <w:style w:type="paragraph" w:styleId="Index7">
    <w:name w:val="index 7"/>
    <w:basedOn w:val="Normal"/>
    <w:next w:val="Normal"/>
    <w:autoRedefine/>
    <w:uiPriority w:val="99"/>
    <w:semiHidden/>
    <w:unhideWhenUsed/>
    <w:rsid w:val="00FE2367"/>
    <w:pPr>
      <w:ind w:left="1680" w:hanging="240"/>
    </w:pPr>
  </w:style>
  <w:style w:type="paragraph" w:styleId="Index8">
    <w:name w:val="index 8"/>
    <w:basedOn w:val="Normal"/>
    <w:next w:val="Normal"/>
    <w:autoRedefine/>
    <w:uiPriority w:val="99"/>
    <w:semiHidden/>
    <w:unhideWhenUsed/>
    <w:rsid w:val="00FE2367"/>
    <w:pPr>
      <w:ind w:left="1920" w:hanging="240"/>
    </w:pPr>
  </w:style>
  <w:style w:type="paragraph" w:styleId="Index9">
    <w:name w:val="index 9"/>
    <w:basedOn w:val="Normal"/>
    <w:next w:val="Normal"/>
    <w:autoRedefine/>
    <w:uiPriority w:val="99"/>
    <w:semiHidden/>
    <w:unhideWhenUsed/>
    <w:rsid w:val="00FE2367"/>
    <w:pPr>
      <w:ind w:left="2160" w:hanging="240"/>
    </w:pPr>
  </w:style>
  <w:style w:type="paragraph" w:styleId="IndexHeading">
    <w:name w:val="index heading"/>
    <w:basedOn w:val="Normal"/>
    <w:next w:val="Index1"/>
    <w:uiPriority w:val="99"/>
    <w:semiHidden/>
    <w:unhideWhenUsed/>
    <w:rsid w:val="00FE23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23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2367"/>
    <w:rPr>
      <w:b/>
      <w:bCs/>
      <w:i/>
      <w:iCs/>
      <w:color w:val="4F81BD" w:themeColor="accent1"/>
    </w:rPr>
  </w:style>
  <w:style w:type="paragraph" w:styleId="List">
    <w:name w:val="List"/>
    <w:basedOn w:val="Normal"/>
    <w:uiPriority w:val="99"/>
    <w:semiHidden/>
    <w:unhideWhenUsed/>
    <w:rsid w:val="00FE2367"/>
    <w:pPr>
      <w:ind w:left="360" w:hanging="360"/>
      <w:contextualSpacing/>
    </w:pPr>
  </w:style>
  <w:style w:type="paragraph" w:styleId="List2">
    <w:name w:val="List 2"/>
    <w:basedOn w:val="Normal"/>
    <w:uiPriority w:val="99"/>
    <w:semiHidden/>
    <w:unhideWhenUsed/>
    <w:rsid w:val="00FE2367"/>
    <w:pPr>
      <w:ind w:left="720" w:hanging="360"/>
      <w:contextualSpacing/>
    </w:pPr>
  </w:style>
  <w:style w:type="paragraph" w:styleId="List3">
    <w:name w:val="List 3"/>
    <w:basedOn w:val="Normal"/>
    <w:uiPriority w:val="99"/>
    <w:semiHidden/>
    <w:unhideWhenUsed/>
    <w:rsid w:val="00FE2367"/>
    <w:pPr>
      <w:ind w:left="1080" w:hanging="360"/>
      <w:contextualSpacing/>
    </w:pPr>
  </w:style>
  <w:style w:type="paragraph" w:styleId="List4">
    <w:name w:val="List 4"/>
    <w:basedOn w:val="Normal"/>
    <w:uiPriority w:val="99"/>
    <w:semiHidden/>
    <w:unhideWhenUsed/>
    <w:rsid w:val="00FE2367"/>
    <w:pPr>
      <w:ind w:left="1440" w:hanging="360"/>
      <w:contextualSpacing/>
    </w:pPr>
  </w:style>
  <w:style w:type="paragraph" w:styleId="List5">
    <w:name w:val="List 5"/>
    <w:basedOn w:val="Normal"/>
    <w:uiPriority w:val="99"/>
    <w:semiHidden/>
    <w:unhideWhenUsed/>
    <w:rsid w:val="00FE2367"/>
    <w:pPr>
      <w:ind w:left="1800" w:hanging="360"/>
      <w:contextualSpacing/>
    </w:pPr>
  </w:style>
  <w:style w:type="paragraph" w:styleId="ListBullet">
    <w:name w:val="List Bullet"/>
    <w:basedOn w:val="Normal"/>
    <w:uiPriority w:val="99"/>
    <w:semiHidden/>
    <w:unhideWhenUsed/>
    <w:rsid w:val="00FE2367"/>
    <w:pPr>
      <w:numPr>
        <w:numId w:val="3"/>
      </w:numPr>
      <w:contextualSpacing/>
    </w:pPr>
  </w:style>
  <w:style w:type="paragraph" w:styleId="ListBullet2">
    <w:name w:val="List Bullet 2"/>
    <w:basedOn w:val="Normal"/>
    <w:uiPriority w:val="99"/>
    <w:semiHidden/>
    <w:unhideWhenUsed/>
    <w:rsid w:val="00FE2367"/>
    <w:pPr>
      <w:numPr>
        <w:numId w:val="4"/>
      </w:numPr>
      <w:contextualSpacing/>
    </w:pPr>
  </w:style>
  <w:style w:type="paragraph" w:styleId="ListBullet3">
    <w:name w:val="List Bullet 3"/>
    <w:basedOn w:val="Normal"/>
    <w:uiPriority w:val="99"/>
    <w:semiHidden/>
    <w:unhideWhenUsed/>
    <w:rsid w:val="00FE2367"/>
    <w:pPr>
      <w:numPr>
        <w:numId w:val="5"/>
      </w:numPr>
      <w:contextualSpacing/>
    </w:pPr>
  </w:style>
  <w:style w:type="paragraph" w:styleId="ListBullet4">
    <w:name w:val="List Bullet 4"/>
    <w:basedOn w:val="Normal"/>
    <w:uiPriority w:val="99"/>
    <w:semiHidden/>
    <w:unhideWhenUsed/>
    <w:rsid w:val="00FE2367"/>
    <w:pPr>
      <w:numPr>
        <w:numId w:val="6"/>
      </w:numPr>
      <w:contextualSpacing/>
    </w:pPr>
  </w:style>
  <w:style w:type="paragraph" w:styleId="ListBullet5">
    <w:name w:val="List Bullet 5"/>
    <w:basedOn w:val="Normal"/>
    <w:uiPriority w:val="99"/>
    <w:semiHidden/>
    <w:unhideWhenUsed/>
    <w:rsid w:val="00FE2367"/>
    <w:pPr>
      <w:numPr>
        <w:numId w:val="7"/>
      </w:numPr>
      <w:contextualSpacing/>
    </w:pPr>
  </w:style>
  <w:style w:type="paragraph" w:styleId="ListContinue">
    <w:name w:val="List Continue"/>
    <w:basedOn w:val="Normal"/>
    <w:uiPriority w:val="99"/>
    <w:semiHidden/>
    <w:unhideWhenUsed/>
    <w:rsid w:val="00FE2367"/>
    <w:pPr>
      <w:spacing w:after="120"/>
      <w:ind w:left="360"/>
      <w:contextualSpacing/>
    </w:pPr>
  </w:style>
  <w:style w:type="paragraph" w:styleId="ListContinue2">
    <w:name w:val="List Continue 2"/>
    <w:basedOn w:val="Normal"/>
    <w:uiPriority w:val="99"/>
    <w:semiHidden/>
    <w:unhideWhenUsed/>
    <w:rsid w:val="00FE2367"/>
    <w:pPr>
      <w:spacing w:after="120"/>
      <w:ind w:left="720"/>
      <w:contextualSpacing/>
    </w:pPr>
  </w:style>
  <w:style w:type="paragraph" w:styleId="ListContinue3">
    <w:name w:val="List Continue 3"/>
    <w:basedOn w:val="Normal"/>
    <w:uiPriority w:val="99"/>
    <w:semiHidden/>
    <w:unhideWhenUsed/>
    <w:rsid w:val="00FE2367"/>
    <w:pPr>
      <w:spacing w:after="120"/>
      <w:ind w:left="1080"/>
      <w:contextualSpacing/>
    </w:pPr>
  </w:style>
  <w:style w:type="paragraph" w:styleId="ListContinue4">
    <w:name w:val="List Continue 4"/>
    <w:basedOn w:val="Normal"/>
    <w:uiPriority w:val="99"/>
    <w:semiHidden/>
    <w:unhideWhenUsed/>
    <w:rsid w:val="00FE2367"/>
    <w:pPr>
      <w:spacing w:after="120"/>
      <w:ind w:left="1440"/>
      <w:contextualSpacing/>
    </w:pPr>
  </w:style>
  <w:style w:type="paragraph" w:styleId="ListContinue5">
    <w:name w:val="List Continue 5"/>
    <w:basedOn w:val="Normal"/>
    <w:uiPriority w:val="99"/>
    <w:semiHidden/>
    <w:unhideWhenUsed/>
    <w:rsid w:val="00FE2367"/>
    <w:pPr>
      <w:spacing w:after="120"/>
      <w:ind w:left="1800"/>
      <w:contextualSpacing/>
    </w:pPr>
  </w:style>
  <w:style w:type="paragraph" w:styleId="ListNumber">
    <w:name w:val="List Number"/>
    <w:basedOn w:val="Normal"/>
    <w:uiPriority w:val="99"/>
    <w:semiHidden/>
    <w:unhideWhenUsed/>
    <w:rsid w:val="00FE2367"/>
    <w:pPr>
      <w:numPr>
        <w:numId w:val="8"/>
      </w:numPr>
      <w:contextualSpacing/>
    </w:pPr>
  </w:style>
  <w:style w:type="paragraph" w:styleId="ListNumber2">
    <w:name w:val="List Number 2"/>
    <w:basedOn w:val="Normal"/>
    <w:uiPriority w:val="99"/>
    <w:semiHidden/>
    <w:unhideWhenUsed/>
    <w:rsid w:val="00FE2367"/>
    <w:pPr>
      <w:numPr>
        <w:numId w:val="9"/>
      </w:numPr>
      <w:contextualSpacing/>
    </w:pPr>
  </w:style>
  <w:style w:type="paragraph" w:styleId="ListNumber3">
    <w:name w:val="List Number 3"/>
    <w:basedOn w:val="Normal"/>
    <w:uiPriority w:val="99"/>
    <w:semiHidden/>
    <w:unhideWhenUsed/>
    <w:rsid w:val="00FE2367"/>
    <w:pPr>
      <w:numPr>
        <w:numId w:val="10"/>
      </w:numPr>
      <w:contextualSpacing/>
    </w:pPr>
  </w:style>
  <w:style w:type="paragraph" w:styleId="ListNumber4">
    <w:name w:val="List Number 4"/>
    <w:basedOn w:val="Normal"/>
    <w:uiPriority w:val="99"/>
    <w:semiHidden/>
    <w:unhideWhenUsed/>
    <w:rsid w:val="00FE2367"/>
    <w:pPr>
      <w:numPr>
        <w:numId w:val="11"/>
      </w:numPr>
      <w:contextualSpacing/>
    </w:pPr>
  </w:style>
  <w:style w:type="paragraph" w:styleId="ListNumber5">
    <w:name w:val="List Number 5"/>
    <w:basedOn w:val="Normal"/>
    <w:uiPriority w:val="99"/>
    <w:semiHidden/>
    <w:unhideWhenUsed/>
    <w:rsid w:val="00FE2367"/>
    <w:pPr>
      <w:numPr>
        <w:numId w:val="12"/>
      </w:numPr>
      <w:contextualSpacing/>
    </w:pPr>
  </w:style>
  <w:style w:type="paragraph" w:styleId="ListParagraph">
    <w:name w:val="List Paragraph"/>
    <w:basedOn w:val="Normal"/>
    <w:uiPriority w:val="34"/>
    <w:qFormat/>
    <w:rsid w:val="00FE2367"/>
    <w:pPr>
      <w:ind w:left="720"/>
      <w:contextualSpacing/>
    </w:pPr>
  </w:style>
  <w:style w:type="paragraph" w:styleId="MacroText">
    <w:name w:val="macro"/>
    <w:link w:val="MacroTextChar"/>
    <w:uiPriority w:val="99"/>
    <w:semiHidden/>
    <w:unhideWhenUsed/>
    <w:rsid w:val="00FE23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FE2367"/>
    <w:rPr>
      <w:rFonts w:ascii="Consolas" w:hAnsi="Consolas" w:cs="Consolas"/>
      <w:sz w:val="20"/>
      <w:szCs w:val="20"/>
    </w:rPr>
  </w:style>
  <w:style w:type="paragraph" w:styleId="MessageHeader">
    <w:name w:val="Message Header"/>
    <w:basedOn w:val="Normal"/>
    <w:link w:val="MessageHeaderChar"/>
    <w:uiPriority w:val="99"/>
    <w:semiHidden/>
    <w:unhideWhenUsed/>
    <w:rsid w:val="00FE236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367"/>
    <w:rPr>
      <w:rFonts w:asciiTheme="majorHAnsi" w:eastAsiaTheme="majorEastAsia" w:hAnsiTheme="majorHAnsi" w:cstheme="majorBidi"/>
      <w:shd w:val="pct20" w:color="auto" w:fill="auto"/>
    </w:rPr>
  </w:style>
  <w:style w:type="paragraph" w:styleId="NoSpacing">
    <w:name w:val="No Spacing"/>
    <w:uiPriority w:val="1"/>
    <w:qFormat/>
    <w:rsid w:val="00FE2367"/>
  </w:style>
  <w:style w:type="paragraph" w:styleId="NormalWeb">
    <w:name w:val="Normal (Web)"/>
    <w:basedOn w:val="Normal"/>
    <w:uiPriority w:val="99"/>
    <w:semiHidden/>
    <w:unhideWhenUsed/>
    <w:rsid w:val="00FE2367"/>
    <w:rPr>
      <w:rFonts w:ascii="Times New Roman" w:hAnsi="Times New Roman" w:cs="Times New Roman"/>
    </w:rPr>
  </w:style>
  <w:style w:type="paragraph" w:styleId="NormalIndent">
    <w:name w:val="Normal Indent"/>
    <w:basedOn w:val="Normal"/>
    <w:uiPriority w:val="99"/>
    <w:semiHidden/>
    <w:unhideWhenUsed/>
    <w:rsid w:val="00FE2367"/>
    <w:pPr>
      <w:ind w:left="720"/>
    </w:pPr>
  </w:style>
  <w:style w:type="paragraph" w:styleId="NoteHeading">
    <w:name w:val="Note Heading"/>
    <w:basedOn w:val="Normal"/>
    <w:next w:val="Normal"/>
    <w:link w:val="NoteHeadingChar"/>
    <w:uiPriority w:val="99"/>
    <w:semiHidden/>
    <w:unhideWhenUsed/>
    <w:rsid w:val="00FE2367"/>
  </w:style>
  <w:style w:type="character" w:customStyle="1" w:styleId="NoteHeadingChar">
    <w:name w:val="Note Heading Char"/>
    <w:basedOn w:val="DefaultParagraphFont"/>
    <w:link w:val="NoteHeading"/>
    <w:uiPriority w:val="99"/>
    <w:semiHidden/>
    <w:rsid w:val="00FE2367"/>
  </w:style>
  <w:style w:type="paragraph" w:styleId="PlainText">
    <w:name w:val="Plain Text"/>
    <w:basedOn w:val="Normal"/>
    <w:link w:val="PlainTextChar"/>
    <w:uiPriority w:val="99"/>
    <w:semiHidden/>
    <w:unhideWhenUsed/>
    <w:rsid w:val="00FE2367"/>
    <w:rPr>
      <w:rFonts w:ascii="Consolas" w:hAnsi="Consolas" w:cs="Consolas"/>
      <w:sz w:val="21"/>
      <w:szCs w:val="21"/>
    </w:rPr>
  </w:style>
  <w:style w:type="character" w:customStyle="1" w:styleId="PlainTextChar">
    <w:name w:val="Plain Text Char"/>
    <w:basedOn w:val="DefaultParagraphFont"/>
    <w:link w:val="PlainText"/>
    <w:uiPriority w:val="99"/>
    <w:semiHidden/>
    <w:rsid w:val="00FE2367"/>
    <w:rPr>
      <w:rFonts w:ascii="Consolas" w:hAnsi="Consolas" w:cs="Consolas"/>
      <w:sz w:val="21"/>
      <w:szCs w:val="21"/>
    </w:rPr>
  </w:style>
  <w:style w:type="paragraph" w:styleId="Quote">
    <w:name w:val="Quote"/>
    <w:basedOn w:val="Normal"/>
    <w:next w:val="Normal"/>
    <w:link w:val="QuoteChar"/>
    <w:uiPriority w:val="29"/>
    <w:qFormat/>
    <w:rsid w:val="00FE2367"/>
    <w:rPr>
      <w:i/>
      <w:iCs/>
      <w:color w:val="000000" w:themeColor="text1"/>
    </w:rPr>
  </w:style>
  <w:style w:type="character" w:customStyle="1" w:styleId="QuoteChar">
    <w:name w:val="Quote Char"/>
    <w:basedOn w:val="DefaultParagraphFont"/>
    <w:link w:val="Quote"/>
    <w:uiPriority w:val="29"/>
    <w:rsid w:val="00FE2367"/>
    <w:rPr>
      <w:i/>
      <w:iCs/>
      <w:color w:val="000000" w:themeColor="text1"/>
    </w:rPr>
  </w:style>
  <w:style w:type="paragraph" w:styleId="Salutation">
    <w:name w:val="Salutation"/>
    <w:basedOn w:val="Normal"/>
    <w:next w:val="Normal"/>
    <w:link w:val="SalutationChar"/>
    <w:uiPriority w:val="99"/>
    <w:semiHidden/>
    <w:unhideWhenUsed/>
    <w:rsid w:val="00FE2367"/>
  </w:style>
  <w:style w:type="character" w:customStyle="1" w:styleId="SalutationChar">
    <w:name w:val="Salutation Char"/>
    <w:basedOn w:val="DefaultParagraphFont"/>
    <w:link w:val="Salutation"/>
    <w:uiPriority w:val="99"/>
    <w:semiHidden/>
    <w:rsid w:val="00FE2367"/>
  </w:style>
  <w:style w:type="paragraph" w:styleId="Signature">
    <w:name w:val="Signature"/>
    <w:basedOn w:val="Normal"/>
    <w:link w:val="SignatureChar"/>
    <w:uiPriority w:val="99"/>
    <w:semiHidden/>
    <w:unhideWhenUsed/>
    <w:rsid w:val="00FE2367"/>
    <w:pPr>
      <w:ind w:left="4320"/>
    </w:pPr>
  </w:style>
  <w:style w:type="character" w:customStyle="1" w:styleId="SignatureChar">
    <w:name w:val="Signature Char"/>
    <w:basedOn w:val="DefaultParagraphFont"/>
    <w:link w:val="Signature"/>
    <w:uiPriority w:val="99"/>
    <w:semiHidden/>
    <w:rsid w:val="00FE2367"/>
  </w:style>
  <w:style w:type="paragraph" w:styleId="Subtitle">
    <w:name w:val="Subtitle"/>
    <w:basedOn w:val="Normal"/>
    <w:next w:val="Normal"/>
    <w:link w:val="SubtitleChar"/>
    <w:uiPriority w:val="11"/>
    <w:qFormat/>
    <w:rsid w:val="00FE23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2367"/>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FE2367"/>
    <w:pPr>
      <w:ind w:left="240" w:hanging="240"/>
    </w:pPr>
  </w:style>
  <w:style w:type="paragraph" w:styleId="TableofFigures">
    <w:name w:val="table of figures"/>
    <w:basedOn w:val="Normal"/>
    <w:next w:val="Normal"/>
    <w:uiPriority w:val="99"/>
    <w:semiHidden/>
    <w:unhideWhenUsed/>
    <w:rsid w:val="00FE2367"/>
  </w:style>
  <w:style w:type="paragraph" w:styleId="Title">
    <w:name w:val="Title"/>
    <w:basedOn w:val="Normal"/>
    <w:next w:val="Normal"/>
    <w:link w:val="TitleChar"/>
    <w:uiPriority w:val="10"/>
    <w:qFormat/>
    <w:rsid w:val="00FE23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3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E2367"/>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921"/>
    <w:pPr>
      <w:numPr>
        <w:numId w:val="1"/>
      </w:numPr>
      <w:tabs>
        <w:tab w:val="clear" w:pos="720"/>
      </w:tabs>
      <w:spacing w:after="240"/>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585921"/>
    <w:pPr>
      <w:numPr>
        <w:ilvl w:val="1"/>
        <w:numId w:val="1"/>
      </w:numPr>
      <w:spacing w:after="240"/>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585921"/>
    <w:pPr>
      <w:numPr>
        <w:ilvl w:val="2"/>
        <w:numId w:val="1"/>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rsid w:val="00585921"/>
    <w:pPr>
      <w:numPr>
        <w:ilvl w:val="3"/>
        <w:numId w:val="1"/>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85921"/>
    <w:pPr>
      <w:numPr>
        <w:ilvl w:val="4"/>
        <w:numId w:val="1"/>
      </w:numPr>
      <w:spacing w:after="240"/>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85921"/>
    <w:pPr>
      <w:numPr>
        <w:ilvl w:val="5"/>
        <w:numId w:val="1"/>
      </w:numPr>
      <w:spacing w:after="240"/>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85921"/>
    <w:pPr>
      <w:numPr>
        <w:ilvl w:val="6"/>
        <w:numId w:val="1"/>
      </w:numPr>
      <w:spacing w:after="240"/>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85921"/>
    <w:pPr>
      <w:numPr>
        <w:ilvl w:val="7"/>
        <w:numId w:val="1"/>
      </w:numPr>
      <w:spacing w:after="240"/>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85921"/>
    <w:pPr>
      <w:numPr>
        <w:ilvl w:val="8"/>
        <w:numId w:val="1"/>
      </w:numPr>
      <w:spacing w:after="240"/>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B917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B917ED"/>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B917ED"/>
    <w:rPr>
      <w:vertAlign w:val="superscript"/>
    </w:rPr>
  </w:style>
  <w:style w:type="paragraph" w:styleId="Header">
    <w:name w:val="header"/>
    <w:basedOn w:val="Normal"/>
    <w:link w:val="HeaderChar"/>
    <w:uiPriority w:val="99"/>
    <w:unhideWhenUsed/>
    <w:rsid w:val="00B917ED"/>
    <w:pPr>
      <w:tabs>
        <w:tab w:val="center" w:pos="4680"/>
        <w:tab w:val="right" w:pos="9360"/>
      </w:tabs>
    </w:pPr>
  </w:style>
  <w:style w:type="character" w:customStyle="1" w:styleId="HeaderChar">
    <w:name w:val="Header Char"/>
    <w:basedOn w:val="DefaultParagraphFont"/>
    <w:link w:val="Header"/>
    <w:uiPriority w:val="99"/>
    <w:rsid w:val="00B917ED"/>
  </w:style>
  <w:style w:type="paragraph" w:styleId="Footer">
    <w:name w:val="footer"/>
    <w:basedOn w:val="Normal"/>
    <w:link w:val="FooterChar"/>
    <w:uiPriority w:val="99"/>
    <w:unhideWhenUsed/>
    <w:rsid w:val="00B917ED"/>
    <w:pPr>
      <w:tabs>
        <w:tab w:val="center" w:pos="4680"/>
        <w:tab w:val="right" w:pos="9360"/>
      </w:tabs>
    </w:pPr>
  </w:style>
  <w:style w:type="character" w:customStyle="1" w:styleId="FooterChar">
    <w:name w:val="Footer Char"/>
    <w:basedOn w:val="DefaultParagraphFont"/>
    <w:link w:val="Footer"/>
    <w:uiPriority w:val="99"/>
    <w:rsid w:val="00B917ED"/>
  </w:style>
  <w:style w:type="character" w:customStyle="1" w:styleId="Heading1Char">
    <w:name w:val="Heading 1 Char"/>
    <w:basedOn w:val="DefaultParagraphFont"/>
    <w:link w:val="Heading1"/>
    <w:uiPriority w:val="9"/>
    <w:rsid w:val="00585921"/>
    <w:rPr>
      <w:rFonts w:eastAsiaTheme="majorEastAsia" w:cs="Arial"/>
      <w:b/>
      <w:bCs/>
      <w:caps/>
      <w:szCs w:val="28"/>
      <w:u w:val="single"/>
    </w:rPr>
  </w:style>
  <w:style w:type="character" w:customStyle="1" w:styleId="Heading2Char">
    <w:name w:val="Heading 2 Char"/>
    <w:basedOn w:val="DefaultParagraphFont"/>
    <w:link w:val="Heading2"/>
    <w:uiPriority w:val="9"/>
    <w:rsid w:val="00585921"/>
    <w:rPr>
      <w:rFonts w:eastAsiaTheme="majorEastAsia" w:cs="Arial"/>
      <w:b/>
      <w:bCs/>
      <w:szCs w:val="26"/>
    </w:rPr>
  </w:style>
  <w:style w:type="character" w:customStyle="1" w:styleId="Heading3Char">
    <w:name w:val="Heading 3 Char"/>
    <w:basedOn w:val="DefaultParagraphFont"/>
    <w:link w:val="Heading3"/>
    <w:uiPriority w:val="9"/>
    <w:semiHidden/>
    <w:rsid w:val="00585921"/>
    <w:rPr>
      <w:rFonts w:eastAsiaTheme="majorEastAsia" w:cs="Arial"/>
      <w:b/>
      <w:bCs/>
    </w:rPr>
  </w:style>
  <w:style w:type="character" w:customStyle="1" w:styleId="Heading4Char">
    <w:name w:val="Heading 4 Char"/>
    <w:basedOn w:val="DefaultParagraphFont"/>
    <w:link w:val="Heading4"/>
    <w:uiPriority w:val="9"/>
    <w:semiHidden/>
    <w:rsid w:val="00585921"/>
    <w:rPr>
      <w:rFonts w:eastAsiaTheme="majorEastAsia" w:cs="Arial"/>
      <w:b/>
      <w:bCs/>
      <w:i/>
      <w:iCs/>
    </w:rPr>
  </w:style>
  <w:style w:type="character" w:customStyle="1" w:styleId="Heading5Char">
    <w:name w:val="Heading 5 Char"/>
    <w:basedOn w:val="DefaultParagraphFont"/>
    <w:link w:val="Heading5"/>
    <w:uiPriority w:val="9"/>
    <w:semiHidden/>
    <w:rsid w:val="00585921"/>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85921"/>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85921"/>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85921"/>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85921"/>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311E94"/>
    <w:rPr>
      <w:color w:val="0000FF" w:themeColor="hyperlink"/>
      <w:u w:val="single"/>
    </w:rPr>
  </w:style>
  <w:style w:type="character" w:styleId="CommentReference">
    <w:name w:val="annotation reference"/>
    <w:basedOn w:val="DefaultParagraphFont"/>
    <w:uiPriority w:val="99"/>
    <w:semiHidden/>
    <w:unhideWhenUsed/>
    <w:rsid w:val="002C6A70"/>
    <w:rPr>
      <w:sz w:val="16"/>
      <w:szCs w:val="16"/>
    </w:rPr>
  </w:style>
  <w:style w:type="paragraph" w:styleId="CommentText">
    <w:name w:val="annotation text"/>
    <w:basedOn w:val="Normal"/>
    <w:link w:val="CommentTextChar"/>
    <w:uiPriority w:val="99"/>
    <w:semiHidden/>
    <w:unhideWhenUsed/>
    <w:rsid w:val="002C6A70"/>
    <w:rPr>
      <w:sz w:val="20"/>
      <w:szCs w:val="20"/>
    </w:rPr>
  </w:style>
  <w:style w:type="character" w:customStyle="1" w:styleId="CommentTextChar">
    <w:name w:val="Comment Text Char"/>
    <w:basedOn w:val="DefaultParagraphFont"/>
    <w:link w:val="CommentText"/>
    <w:uiPriority w:val="99"/>
    <w:semiHidden/>
    <w:rsid w:val="002C6A70"/>
    <w:rPr>
      <w:sz w:val="20"/>
      <w:szCs w:val="20"/>
    </w:rPr>
  </w:style>
  <w:style w:type="paragraph" w:styleId="CommentSubject">
    <w:name w:val="annotation subject"/>
    <w:basedOn w:val="CommentText"/>
    <w:next w:val="CommentText"/>
    <w:link w:val="CommentSubjectChar"/>
    <w:uiPriority w:val="99"/>
    <w:semiHidden/>
    <w:unhideWhenUsed/>
    <w:rsid w:val="002C6A70"/>
    <w:rPr>
      <w:b/>
      <w:bCs/>
    </w:rPr>
  </w:style>
  <w:style w:type="character" w:customStyle="1" w:styleId="CommentSubjectChar">
    <w:name w:val="Comment Subject Char"/>
    <w:basedOn w:val="CommentTextChar"/>
    <w:link w:val="CommentSubject"/>
    <w:uiPriority w:val="99"/>
    <w:semiHidden/>
    <w:rsid w:val="002C6A70"/>
    <w:rPr>
      <w:b/>
      <w:bCs/>
      <w:sz w:val="20"/>
      <w:szCs w:val="20"/>
    </w:rPr>
  </w:style>
  <w:style w:type="paragraph" w:styleId="BalloonText">
    <w:name w:val="Balloon Text"/>
    <w:basedOn w:val="Normal"/>
    <w:link w:val="BalloonTextChar"/>
    <w:uiPriority w:val="99"/>
    <w:semiHidden/>
    <w:unhideWhenUsed/>
    <w:rsid w:val="002C6A70"/>
    <w:rPr>
      <w:rFonts w:ascii="Tahoma" w:hAnsi="Tahoma" w:cs="Tahoma"/>
      <w:sz w:val="16"/>
      <w:szCs w:val="16"/>
    </w:rPr>
  </w:style>
  <w:style w:type="character" w:customStyle="1" w:styleId="BalloonTextChar">
    <w:name w:val="Balloon Text Char"/>
    <w:basedOn w:val="DefaultParagraphFont"/>
    <w:link w:val="BalloonText"/>
    <w:uiPriority w:val="99"/>
    <w:semiHidden/>
    <w:rsid w:val="002C6A70"/>
    <w:rPr>
      <w:rFonts w:ascii="Tahoma" w:hAnsi="Tahoma" w:cs="Tahoma"/>
      <w:sz w:val="16"/>
      <w:szCs w:val="16"/>
    </w:rPr>
  </w:style>
  <w:style w:type="paragraph" w:styleId="TOC1">
    <w:name w:val="toc 1"/>
    <w:basedOn w:val="Normal"/>
    <w:next w:val="Normal"/>
    <w:autoRedefine/>
    <w:uiPriority w:val="39"/>
    <w:unhideWhenUsed/>
    <w:rsid w:val="006C0420"/>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6C0420"/>
    <w:pPr>
      <w:tabs>
        <w:tab w:val="left" w:pos="1440"/>
        <w:tab w:val="right" w:leader="dot" w:pos="9350"/>
      </w:tabs>
      <w:spacing w:after="100"/>
      <w:ind w:left="1440" w:right="720" w:hanging="720"/>
    </w:pPr>
  </w:style>
  <w:style w:type="paragraph" w:styleId="TOC3">
    <w:name w:val="toc 3"/>
    <w:basedOn w:val="Normal"/>
    <w:next w:val="Normal"/>
    <w:autoRedefine/>
    <w:uiPriority w:val="39"/>
    <w:unhideWhenUsed/>
    <w:rsid w:val="006C0420"/>
    <w:pPr>
      <w:tabs>
        <w:tab w:val="left" w:pos="880"/>
        <w:tab w:val="right" w:leader="dot" w:pos="9350"/>
      </w:tabs>
      <w:spacing w:after="100"/>
      <w:ind w:left="2160" w:right="720" w:hanging="720"/>
    </w:pPr>
  </w:style>
  <w:style w:type="character" w:styleId="FollowedHyperlink">
    <w:name w:val="FollowedHyperlink"/>
    <w:basedOn w:val="DefaultParagraphFont"/>
    <w:uiPriority w:val="99"/>
    <w:semiHidden/>
    <w:unhideWhenUsed/>
    <w:rsid w:val="002F26B1"/>
    <w:rPr>
      <w:color w:val="800080" w:themeColor="followedHyperlink"/>
      <w:u w:val="single"/>
    </w:rPr>
  </w:style>
  <w:style w:type="paragraph" w:styleId="TOCHeading">
    <w:name w:val="TOC Heading"/>
    <w:basedOn w:val="Normal"/>
    <w:next w:val="TOC1"/>
    <w:uiPriority w:val="39"/>
    <w:unhideWhenUsed/>
    <w:qFormat/>
    <w:rsid w:val="00FE2367"/>
    <w:pPr>
      <w:keepNext/>
      <w:keepLines/>
      <w:spacing w:before="480" w:after="240"/>
      <w:jc w:val="center"/>
    </w:pPr>
    <w:rPr>
      <w:rFonts w:cs="Arial"/>
      <w:b/>
      <w:caps/>
      <w:color w:val="365F91" w:themeColor="accent1" w:themeShade="BF"/>
    </w:rPr>
  </w:style>
  <w:style w:type="paragraph" w:styleId="TOC4">
    <w:name w:val="toc 4"/>
    <w:basedOn w:val="Normal"/>
    <w:next w:val="Normal"/>
    <w:autoRedefine/>
    <w:uiPriority w:val="39"/>
    <w:semiHidden/>
    <w:unhideWhenUsed/>
    <w:rsid w:val="00FE2367"/>
    <w:pPr>
      <w:spacing w:after="100"/>
      <w:ind w:left="720"/>
    </w:pPr>
  </w:style>
  <w:style w:type="paragraph" w:styleId="TOC5">
    <w:name w:val="toc 5"/>
    <w:basedOn w:val="Normal"/>
    <w:next w:val="Normal"/>
    <w:autoRedefine/>
    <w:uiPriority w:val="39"/>
    <w:semiHidden/>
    <w:unhideWhenUsed/>
    <w:rsid w:val="00FE2367"/>
    <w:pPr>
      <w:spacing w:after="100"/>
      <w:ind w:left="960"/>
    </w:pPr>
  </w:style>
  <w:style w:type="paragraph" w:styleId="TOC6">
    <w:name w:val="toc 6"/>
    <w:basedOn w:val="Normal"/>
    <w:next w:val="Normal"/>
    <w:autoRedefine/>
    <w:uiPriority w:val="39"/>
    <w:semiHidden/>
    <w:unhideWhenUsed/>
    <w:rsid w:val="00FE2367"/>
    <w:pPr>
      <w:spacing w:after="100"/>
      <w:ind w:left="1200"/>
    </w:pPr>
  </w:style>
  <w:style w:type="paragraph" w:styleId="TOC7">
    <w:name w:val="toc 7"/>
    <w:basedOn w:val="Normal"/>
    <w:next w:val="Normal"/>
    <w:autoRedefine/>
    <w:uiPriority w:val="39"/>
    <w:semiHidden/>
    <w:unhideWhenUsed/>
    <w:rsid w:val="00FE2367"/>
    <w:pPr>
      <w:spacing w:after="100"/>
      <w:ind w:left="1440"/>
    </w:pPr>
  </w:style>
  <w:style w:type="paragraph" w:styleId="TOC8">
    <w:name w:val="toc 8"/>
    <w:basedOn w:val="Normal"/>
    <w:next w:val="Normal"/>
    <w:autoRedefine/>
    <w:uiPriority w:val="39"/>
    <w:semiHidden/>
    <w:unhideWhenUsed/>
    <w:rsid w:val="00FE2367"/>
    <w:pPr>
      <w:spacing w:after="100"/>
      <w:ind w:left="1680"/>
    </w:pPr>
  </w:style>
  <w:style w:type="paragraph" w:styleId="TOC9">
    <w:name w:val="toc 9"/>
    <w:basedOn w:val="Normal"/>
    <w:next w:val="Normal"/>
    <w:autoRedefine/>
    <w:uiPriority w:val="39"/>
    <w:semiHidden/>
    <w:unhideWhenUsed/>
    <w:rsid w:val="00FE2367"/>
    <w:pPr>
      <w:spacing w:after="100"/>
      <w:ind w:left="1920"/>
    </w:pPr>
  </w:style>
  <w:style w:type="paragraph" w:customStyle="1" w:styleId="TOCPage">
    <w:name w:val="TOC Page"/>
    <w:basedOn w:val="Normal"/>
    <w:rsid w:val="00FE2367"/>
    <w:pPr>
      <w:spacing w:after="240"/>
      <w:jc w:val="right"/>
    </w:pPr>
    <w:rPr>
      <w:rFonts w:eastAsia="Times New Roman" w:cs="Arial"/>
      <w:b/>
      <w:szCs w:val="20"/>
    </w:rPr>
  </w:style>
  <w:style w:type="paragraph" w:styleId="Bibliography">
    <w:name w:val="Bibliography"/>
    <w:basedOn w:val="Normal"/>
    <w:next w:val="Normal"/>
    <w:uiPriority w:val="37"/>
    <w:semiHidden/>
    <w:unhideWhenUsed/>
    <w:rsid w:val="00FE2367"/>
  </w:style>
  <w:style w:type="paragraph" w:styleId="BlockText">
    <w:name w:val="Block Text"/>
    <w:basedOn w:val="Normal"/>
    <w:uiPriority w:val="99"/>
    <w:semiHidden/>
    <w:unhideWhenUsed/>
    <w:rsid w:val="00FE236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E2367"/>
    <w:pPr>
      <w:spacing w:after="120"/>
    </w:pPr>
  </w:style>
  <w:style w:type="character" w:customStyle="1" w:styleId="BodyTextChar">
    <w:name w:val="Body Text Char"/>
    <w:basedOn w:val="DefaultParagraphFont"/>
    <w:link w:val="BodyText"/>
    <w:uiPriority w:val="99"/>
    <w:semiHidden/>
    <w:rsid w:val="00FE2367"/>
  </w:style>
  <w:style w:type="paragraph" w:styleId="BodyText2">
    <w:name w:val="Body Text 2"/>
    <w:basedOn w:val="Normal"/>
    <w:link w:val="BodyText2Char"/>
    <w:uiPriority w:val="99"/>
    <w:semiHidden/>
    <w:unhideWhenUsed/>
    <w:rsid w:val="00FE2367"/>
    <w:pPr>
      <w:spacing w:after="120" w:line="480" w:lineRule="auto"/>
    </w:pPr>
  </w:style>
  <w:style w:type="character" w:customStyle="1" w:styleId="BodyText2Char">
    <w:name w:val="Body Text 2 Char"/>
    <w:basedOn w:val="DefaultParagraphFont"/>
    <w:link w:val="BodyText2"/>
    <w:uiPriority w:val="99"/>
    <w:semiHidden/>
    <w:rsid w:val="00FE2367"/>
  </w:style>
  <w:style w:type="paragraph" w:styleId="BodyText3">
    <w:name w:val="Body Text 3"/>
    <w:basedOn w:val="Normal"/>
    <w:link w:val="BodyText3Char"/>
    <w:uiPriority w:val="99"/>
    <w:semiHidden/>
    <w:unhideWhenUsed/>
    <w:rsid w:val="00FE2367"/>
    <w:pPr>
      <w:spacing w:after="120"/>
    </w:pPr>
    <w:rPr>
      <w:sz w:val="16"/>
      <w:szCs w:val="16"/>
    </w:rPr>
  </w:style>
  <w:style w:type="character" w:customStyle="1" w:styleId="BodyText3Char">
    <w:name w:val="Body Text 3 Char"/>
    <w:basedOn w:val="DefaultParagraphFont"/>
    <w:link w:val="BodyText3"/>
    <w:uiPriority w:val="99"/>
    <w:semiHidden/>
    <w:rsid w:val="00FE2367"/>
    <w:rPr>
      <w:sz w:val="16"/>
      <w:szCs w:val="16"/>
    </w:rPr>
  </w:style>
  <w:style w:type="paragraph" w:styleId="BodyTextFirstIndent">
    <w:name w:val="Body Text First Indent"/>
    <w:basedOn w:val="BodyText"/>
    <w:link w:val="BodyTextFirstIndentChar"/>
    <w:uiPriority w:val="99"/>
    <w:semiHidden/>
    <w:unhideWhenUsed/>
    <w:rsid w:val="00FE2367"/>
    <w:pPr>
      <w:spacing w:after="0"/>
      <w:ind w:firstLine="360"/>
    </w:pPr>
  </w:style>
  <w:style w:type="character" w:customStyle="1" w:styleId="BodyTextFirstIndentChar">
    <w:name w:val="Body Text First Indent Char"/>
    <w:basedOn w:val="BodyTextChar"/>
    <w:link w:val="BodyTextFirstIndent"/>
    <w:uiPriority w:val="99"/>
    <w:semiHidden/>
    <w:rsid w:val="00FE2367"/>
  </w:style>
  <w:style w:type="paragraph" w:styleId="BodyTextIndent">
    <w:name w:val="Body Text Indent"/>
    <w:basedOn w:val="Normal"/>
    <w:link w:val="BodyTextIndentChar"/>
    <w:uiPriority w:val="99"/>
    <w:semiHidden/>
    <w:unhideWhenUsed/>
    <w:rsid w:val="00FE2367"/>
    <w:pPr>
      <w:spacing w:after="120"/>
      <w:ind w:left="360"/>
    </w:pPr>
  </w:style>
  <w:style w:type="character" w:customStyle="1" w:styleId="BodyTextIndentChar">
    <w:name w:val="Body Text Indent Char"/>
    <w:basedOn w:val="DefaultParagraphFont"/>
    <w:link w:val="BodyTextIndent"/>
    <w:uiPriority w:val="99"/>
    <w:semiHidden/>
    <w:rsid w:val="00FE2367"/>
  </w:style>
  <w:style w:type="paragraph" w:styleId="BodyTextFirstIndent2">
    <w:name w:val="Body Text First Indent 2"/>
    <w:basedOn w:val="BodyTextIndent"/>
    <w:link w:val="BodyTextFirstIndent2Char"/>
    <w:uiPriority w:val="99"/>
    <w:semiHidden/>
    <w:unhideWhenUsed/>
    <w:rsid w:val="00FE2367"/>
    <w:pPr>
      <w:spacing w:after="0"/>
      <w:ind w:firstLine="360"/>
    </w:pPr>
  </w:style>
  <w:style w:type="character" w:customStyle="1" w:styleId="BodyTextFirstIndent2Char">
    <w:name w:val="Body Text First Indent 2 Char"/>
    <w:basedOn w:val="BodyTextIndentChar"/>
    <w:link w:val="BodyTextFirstIndent2"/>
    <w:uiPriority w:val="99"/>
    <w:semiHidden/>
    <w:rsid w:val="00FE2367"/>
  </w:style>
  <w:style w:type="paragraph" w:styleId="BodyTextIndent2">
    <w:name w:val="Body Text Indent 2"/>
    <w:basedOn w:val="Normal"/>
    <w:link w:val="BodyTextIndent2Char"/>
    <w:uiPriority w:val="99"/>
    <w:semiHidden/>
    <w:unhideWhenUsed/>
    <w:rsid w:val="00FE2367"/>
    <w:pPr>
      <w:spacing w:after="120" w:line="480" w:lineRule="auto"/>
      <w:ind w:left="360"/>
    </w:pPr>
  </w:style>
  <w:style w:type="character" w:customStyle="1" w:styleId="BodyTextIndent2Char">
    <w:name w:val="Body Text Indent 2 Char"/>
    <w:basedOn w:val="DefaultParagraphFont"/>
    <w:link w:val="BodyTextIndent2"/>
    <w:uiPriority w:val="99"/>
    <w:semiHidden/>
    <w:rsid w:val="00FE2367"/>
  </w:style>
  <w:style w:type="paragraph" w:styleId="BodyTextIndent3">
    <w:name w:val="Body Text Indent 3"/>
    <w:basedOn w:val="Normal"/>
    <w:link w:val="BodyTextIndent3Char"/>
    <w:uiPriority w:val="99"/>
    <w:semiHidden/>
    <w:unhideWhenUsed/>
    <w:rsid w:val="00FE23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2367"/>
    <w:rPr>
      <w:sz w:val="16"/>
      <w:szCs w:val="16"/>
    </w:rPr>
  </w:style>
  <w:style w:type="paragraph" w:styleId="Caption">
    <w:name w:val="caption"/>
    <w:basedOn w:val="Normal"/>
    <w:next w:val="Normal"/>
    <w:uiPriority w:val="35"/>
    <w:semiHidden/>
    <w:unhideWhenUsed/>
    <w:qFormat/>
    <w:rsid w:val="00FE2367"/>
    <w:pPr>
      <w:spacing w:after="200"/>
    </w:pPr>
    <w:rPr>
      <w:b/>
      <w:bCs/>
      <w:color w:val="4F81BD" w:themeColor="accent1"/>
      <w:sz w:val="18"/>
      <w:szCs w:val="18"/>
    </w:rPr>
  </w:style>
  <w:style w:type="paragraph" w:styleId="Closing">
    <w:name w:val="Closing"/>
    <w:basedOn w:val="Normal"/>
    <w:link w:val="ClosingChar"/>
    <w:uiPriority w:val="99"/>
    <w:semiHidden/>
    <w:unhideWhenUsed/>
    <w:rsid w:val="00FE2367"/>
    <w:pPr>
      <w:ind w:left="4320"/>
    </w:pPr>
  </w:style>
  <w:style w:type="character" w:customStyle="1" w:styleId="ClosingChar">
    <w:name w:val="Closing Char"/>
    <w:basedOn w:val="DefaultParagraphFont"/>
    <w:link w:val="Closing"/>
    <w:uiPriority w:val="99"/>
    <w:semiHidden/>
    <w:rsid w:val="00FE2367"/>
  </w:style>
  <w:style w:type="paragraph" w:styleId="Date">
    <w:name w:val="Date"/>
    <w:basedOn w:val="Normal"/>
    <w:next w:val="Normal"/>
    <w:link w:val="DateChar"/>
    <w:uiPriority w:val="99"/>
    <w:semiHidden/>
    <w:unhideWhenUsed/>
    <w:rsid w:val="00FE2367"/>
  </w:style>
  <w:style w:type="character" w:customStyle="1" w:styleId="DateChar">
    <w:name w:val="Date Char"/>
    <w:basedOn w:val="DefaultParagraphFont"/>
    <w:link w:val="Date"/>
    <w:uiPriority w:val="99"/>
    <w:semiHidden/>
    <w:rsid w:val="00FE2367"/>
  </w:style>
  <w:style w:type="paragraph" w:styleId="DocumentMap">
    <w:name w:val="Document Map"/>
    <w:basedOn w:val="Normal"/>
    <w:link w:val="DocumentMapChar"/>
    <w:uiPriority w:val="99"/>
    <w:semiHidden/>
    <w:unhideWhenUsed/>
    <w:rsid w:val="00FE2367"/>
    <w:rPr>
      <w:rFonts w:ascii="Tahoma" w:hAnsi="Tahoma" w:cs="Tahoma"/>
      <w:sz w:val="16"/>
      <w:szCs w:val="16"/>
    </w:rPr>
  </w:style>
  <w:style w:type="character" w:customStyle="1" w:styleId="DocumentMapChar">
    <w:name w:val="Document Map Char"/>
    <w:basedOn w:val="DefaultParagraphFont"/>
    <w:link w:val="DocumentMap"/>
    <w:uiPriority w:val="99"/>
    <w:semiHidden/>
    <w:rsid w:val="00FE2367"/>
    <w:rPr>
      <w:rFonts w:ascii="Tahoma" w:hAnsi="Tahoma" w:cs="Tahoma"/>
      <w:sz w:val="16"/>
      <w:szCs w:val="16"/>
    </w:rPr>
  </w:style>
  <w:style w:type="paragraph" w:styleId="E-mailSignature">
    <w:name w:val="E-mail Signature"/>
    <w:basedOn w:val="Normal"/>
    <w:link w:val="E-mailSignatureChar"/>
    <w:uiPriority w:val="99"/>
    <w:semiHidden/>
    <w:unhideWhenUsed/>
    <w:rsid w:val="00FE2367"/>
  </w:style>
  <w:style w:type="character" w:customStyle="1" w:styleId="E-mailSignatureChar">
    <w:name w:val="E-mail Signature Char"/>
    <w:basedOn w:val="DefaultParagraphFont"/>
    <w:link w:val="E-mailSignature"/>
    <w:uiPriority w:val="99"/>
    <w:semiHidden/>
    <w:rsid w:val="00FE2367"/>
  </w:style>
  <w:style w:type="paragraph" w:styleId="EndnoteText">
    <w:name w:val="endnote text"/>
    <w:basedOn w:val="Normal"/>
    <w:link w:val="EndnoteTextChar"/>
    <w:uiPriority w:val="99"/>
    <w:semiHidden/>
    <w:unhideWhenUsed/>
    <w:rsid w:val="00FE2367"/>
    <w:rPr>
      <w:sz w:val="20"/>
      <w:szCs w:val="20"/>
    </w:rPr>
  </w:style>
  <w:style w:type="character" w:customStyle="1" w:styleId="EndnoteTextChar">
    <w:name w:val="Endnote Text Char"/>
    <w:basedOn w:val="DefaultParagraphFont"/>
    <w:link w:val="EndnoteText"/>
    <w:uiPriority w:val="99"/>
    <w:semiHidden/>
    <w:rsid w:val="00FE2367"/>
    <w:rPr>
      <w:sz w:val="20"/>
      <w:szCs w:val="20"/>
    </w:rPr>
  </w:style>
  <w:style w:type="paragraph" w:styleId="EnvelopeAddress">
    <w:name w:val="envelope address"/>
    <w:basedOn w:val="Normal"/>
    <w:uiPriority w:val="99"/>
    <w:semiHidden/>
    <w:unhideWhenUsed/>
    <w:rsid w:val="00FE236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2367"/>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2367"/>
    <w:rPr>
      <w:i/>
      <w:iCs/>
    </w:rPr>
  </w:style>
  <w:style w:type="character" w:customStyle="1" w:styleId="HTMLAddressChar">
    <w:name w:val="HTML Address Char"/>
    <w:basedOn w:val="DefaultParagraphFont"/>
    <w:link w:val="HTMLAddress"/>
    <w:uiPriority w:val="99"/>
    <w:semiHidden/>
    <w:rsid w:val="00FE2367"/>
    <w:rPr>
      <w:i/>
      <w:iCs/>
    </w:rPr>
  </w:style>
  <w:style w:type="paragraph" w:styleId="HTMLPreformatted">
    <w:name w:val="HTML Preformatted"/>
    <w:basedOn w:val="Normal"/>
    <w:link w:val="HTMLPreformattedChar"/>
    <w:uiPriority w:val="99"/>
    <w:semiHidden/>
    <w:unhideWhenUsed/>
    <w:rsid w:val="00FE23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2367"/>
    <w:rPr>
      <w:rFonts w:ascii="Consolas" w:hAnsi="Consolas" w:cs="Consolas"/>
      <w:sz w:val="20"/>
      <w:szCs w:val="20"/>
    </w:rPr>
  </w:style>
  <w:style w:type="paragraph" w:styleId="Index1">
    <w:name w:val="index 1"/>
    <w:basedOn w:val="Normal"/>
    <w:next w:val="Normal"/>
    <w:autoRedefine/>
    <w:uiPriority w:val="99"/>
    <w:semiHidden/>
    <w:unhideWhenUsed/>
    <w:rsid w:val="00FE2367"/>
    <w:pPr>
      <w:ind w:left="240" w:hanging="240"/>
    </w:pPr>
  </w:style>
  <w:style w:type="paragraph" w:styleId="Index2">
    <w:name w:val="index 2"/>
    <w:basedOn w:val="Normal"/>
    <w:next w:val="Normal"/>
    <w:autoRedefine/>
    <w:uiPriority w:val="99"/>
    <w:semiHidden/>
    <w:unhideWhenUsed/>
    <w:rsid w:val="00FE2367"/>
    <w:pPr>
      <w:ind w:left="480" w:hanging="240"/>
    </w:pPr>
  </w:style>
  <w:style w:type="paragraph" w:styleId="Index3">
    <w:name w:val="index 3"/>
    <w:basedOn w:val="Normal"/>
    <w:next w:val="Normal"/>
    <w:autoRedefine/>
    <w:uiPriority w:val="99"/>
    <w:semiHidden/>
    <w:unhideWhenUsed/>
    <w:rsid w:val="00FE2367"/>
    <w:pPr>
      <w:ind w:left="720" w:hanging="240"/>
    </w:pPr>
  </w:style>
  <w:style w:type="paragraph" w:styleId="Index4">
    <w:name w:val="index 4"/>
    <w:basedOn w:val="Normal"/>
    <w:next w:val="Normal"/>
    <w:autoRedefine/>
    <w:uiPriority w:val="99"/>
    <w:semiHidden/>
    <w:unhideWhenUsed/>
    <w:rsid w:val="00FE2367"/>
    <w:pPr>
      <w:ind w:left="960" w:hanging="240"/>
    </w:pPr>
  </w:style>
  <w:style w:type="paragraph" w:styleId="Index5">
    <w:name w:val="index 5"/>
    <w:basedOn w:val="Normal"/>
    <w:next w:val="Normal"/>
    <w:autoRedefine/>
    <w:uiPriority w:val="99"/>
    <w:semiHidden/>
    <w:unhideWhenUsed/>
    <w:rsid w:val="00FE2367"/>
    <w:pPr>
      <w:ind w:left="1200" w:hanging="240"/>
    </w:pPr>
  </w:style>
  <w:style w:type="paragraph" w:styleId="Index6">
    <w:name w:val="index 6"/>
    <w:basedOn w:val="Normal"/>
    <w:next w:val="Normal"/>
    <w:autoRedefine/>
    <w:uiPriority w:val="99"/>
    <w:semiHidden/>
    <w:unhideWhenUsed/>
    <w:rsid w:val="00FE2367"/>
    <w:pPr>
      <w:ind w:left="1440" w:hanging="240"/>
    </w:pPr>
  </w:style>
  <w:style w:type="paragraph" w:styleId="Index7">
    <w:name w:val="index 7"/>
    <w:basedOn w:val="Normal"/>
    <w:next w:val="Normal"/>
    <w:autoRedefine/>
    <w:uiPriority w:val="99"/>
    <w:semiHidden/>
    <w:unhideWhenUsed/>
    <w:rsid w:val="00FE2367"/>
    <w:pPr>
      <w:ind w:left="1680" w:hanging="240"/>
    </w:pPr>
  </w:style>
  <w:style w:type="paragraph" w:styleId="Index8">
    <w:name w:val="index 8"/>
    <w:basedOn w:val="Normal"/>
    <w:next w:val="Normal"/>
    <w:autoRedefine/>
    <w:uiPriority w:val="99"/>
    <w:semiHidden/>
    <w:unhideWhenUsed/>
    <w:rsid w:val="00FE2367"/>
    <w:pPr>
      <w:ind w:left="1920" w:hanging="240"/>
    </w:pPr>
  </w:style>
  <w:style w:type="paragraph" w:styleId="Index9">
    <w:name w:val="index 9"/>
    <w:basedOn w:val="Normal"/>
    <w:next w:val="Normal"/>
    <w:autoRedefine/>
    <w:uiPriority w:val="99"/>
    <w:semiHidden/>
    <w:unhideWhenUsed/>
    <w:rsid w:val="00FE2367"/>
    <w:pPr>
      <w:ind w:left="2160" w:hanging="240"/>
    </w:pPr>
  </w:style>
  <w:style w:type="paragraph" w:styleId="IndexHeading">
    <w:name w:val="index heading"/>
    <w:basedOn w:val="Normal"/>
    <w:next w:val="Index1"/>
    <w:uiPriority w:val="99"/>
    <w:semiHidden/>
    <w:unhideWhenUsed/>
    <w:rsid w:val="00FE23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23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2367"/>
    <w:rPr>
      <w:b/>
      <w:bCs/>
      <w:i/>
      <w:iCs/>
      <w:color w:val="4F81BD" w:themeColor="accent1"/>
    </w:rPr>
  </w:style>
  <w:style w:type="paragraph" w:styleId="List">
    <w:name w:val="List"/>
    <w:basedOn w:val="Normal"/>
    <w:uiPriority w:val="99"/>
    <w:semiHidden/>
    <w:unhideWhenUsed/>
    <w:rsid w:val="00FE2367"/>
    <w:pPr>
      <w:ind w:left="360" w:hanging="360"/>
      <w:contextualSpacing/>
    </w:pPr>
  </w:style>
  <w:style w:type="paragraph" w:styleId="List2">
    <w:name w:val="List 2"/>
    <w:basedOn w:val="Normal"/>
    <w:uiPriority w:val="99"/>
    <w:semiHidden/>
    <w:unhideWhenUsed/>
    <w:rsid w:val="00FE2367"/>
    <w:pPr>
      <w:ind w:left="720" w:hanging="360"/>
      <w:contextualSpacing/>
    </w:pPr>
  </w:style>
  <w:style w:type="paragraph" w:styleId="List3">
    <w:name w:val="List 3"/>
    <w:basedOn w:val="Normal"/>
    <w:uiPriority w:val="99"/>
    <w:semiHidden/>
    <w:unhideWhenUsed/>
    <w:rsid w:val="00FE2367"/>
    <w:pPr>
      <w:ind w:left="1080" w:hanging="360"/>
      <w:contextualSpacing/>
    </w:pPr>
  </w:style>
  <w:style w:type="paragraph" w:styleId="List4">
    <w:name w:val="List 4"/>
    <w:basedOn w:val="Normal"/>
    <w:uiPriority w:val="99"/>
    <w:semiHidden/>
    <w:unhideWhenUsed/>
    <w:rsid w:val="00FE2367"/>
    <w:pPr>
      <w:ind w:left="1440" w:hanging="360"/>
      <w:contextualSpacing/>
    </w:pPr>
  </w:style>
  <w:style w:type="paragraph" w:styleId="List5">
    <w:name w:val="List 5"/>
    <w:basedOn w:val="Normal"/>
    <w:uiPriority w:val="99"/>
    <w:semiHidden/>
    <w:unhideWhenUsed/>
    <w:rsid w:val="00FE2367"/>
    <w:pPr>
      <w:ind w:left="1800" w:hanging="360"/>
      <w:contextualSpacing/>
    </w:pPr>
  </w:style>
  <w:style w:type="paragraph" w:styleId="ListBullet">
    <w:name w:val="List Bullet"/>
    <w:basedOn w:val="Normal"/>
    <w:uiPriority w:val="99"/>
    <w:semiHidden/>
    <w:unhideWhenUsed/>
    <w:rsid w:val="00FE2367"/>
    <w:pPr>
      <w:numPr>
        <w:numId w:val="3"/>
      </w:numPr>
      <w:contextualSpacing/>
    </w:pPr>
  </w:style>
  <w:style w:type="paragraph" w:styleId="ListBullet2">
    <w:name w:val="List Bullet 2"/>
    <w:basedOn w:val="Normal"/>
    <w:uiPriority w:val="99"/>
    <w:semiHidden/>
    <w:unhideWhenUsed/>
    <w:rsid w:val="00FE2367"/>
    <w:pPr>
      <w:numPr>
        <w:numId w:val="4"/>
      </w:numPr>
      <w:contextualSpacing/>
    </w:pPr>
  </w:style>
  <w:style w:type="paragraph" w:styleId="ListBullet3">
    <w:name w:val="List Bullet 3"/>
    <w:basedOn w:val="Normal"/>
    <w:uiPriority w:val="99"/>
    <w:semiHidden/>
    <w:unhideWhenUsed/>
    <w:rsid w:val="00FE2367"/>
    <w:pPr>
      <w:numPr>
        <w:numId w:val="5"/>
      </w:numPr>
      <w:contextualSpacing/>
    </w:pPr>
  </w:style>
  <w:style w:type="paragraph" w:styleId="ListBullet4">
    <w:name w:val="List Bullet 4"/>
    <w:basedOn w:val="Normal"/>
    <w:uiPriority w:val="99"/>
    <w:semiHidden/>
    <w:unhideWhenUsed/>
    <w:rsid w:val="00FE2367"/>
    <w:pPr>
      <w:numPr>
        <w:numId w:val="6"/>
      </w:numPr>
      <w:contextualSpacing/>
    </w:pPr>
  </w:style>
  <w:style w:type="paragraph" w:styleId="ListBullet5">
    <w:name w:val="List Bullet 5"/>
    <w:basedOn w:val="Normal"/>
    <w:uiPriority w:val="99"/>
    <w:semiHidden/>
    <w:unhideWhenUsed/>
    <w:rsid w:val="00FE2367"/>
    <w:pPr>
      <w:numPr>
        <w:numId w:val="7"/>
      </w:numPr>
      <w:contextualSpacing/>
    </w:pPr>
  </w:style>
  <w:style w:type="paragraph" w:styleId="ListContinue">
    <w:name w:val="List Continue"/>
    <w:basedOn w:val="Normal"/>
    <w:uiPriority w:val="99"/>
    <w:semiHidden/>
    <w:unhideWhenUsed/>
    <w:rsid w:val="00FE2367"/>
    <w:pPr>
      <w:spacing w:after="120"/>
      <w:ind w:left="360"/>
      <w:contextualSpacing/>
    </w:pPr>
  </w:style>
  <w:style w:type="paragraph" w:styleId="ListContinue2">
    <w:name w:val="List Continue 2"/>
    <w:basedOn w:val="Normal"/>
    <w:uiPriority w:val="99"/>
    <w:semiHidden/>
    <w:unhideWhenUsed/>
    <w:rsid w:val="00FE2367"/>
    <w:pPr>
      <w:spacing w:after="120"/>
      <w:ind w:left="720"/>
      <w:contextualSpacing/>
    </w:pPr>
  </w:style>
  <w:style w:type="paragraph" w:styleId="ListContinue3">
    <w:name w:val="List Continue 3"/>
    <w:basedOn w:val="Normal"/>
    <w:uiPriority w:val="99"/>
    <w:semiHidden/>
    <w:unhideWhenUsed/>
    <w:rsid w:val="00FE2367"/>
    <w:pPr>
      <w:spacing w:after="120"/>
      <w:ind w:left="1080"/>
      <w:contextualSpacing/>
    </w:pPr>
  </w:style>
  <w:style w:type="paragraph" w:styleId="ListContinue4">
    <w:name w:val="List Continue 4"/>
    <w:basedOn w:val="Normal"/>
    <w:uiPriority w:val="99"/>
    <w:semiHidden/>
    <w:unhideWhenUsed/>
    <w:rsid w:val="00FE2367"/>
    <w:pPr>
      <w:spacing w:after="120"/>
      <w:ind w:left="1440"/>
      <w:contextualSpacing/>
    </w:pPr>
  </w:style>
  <w:style w:type="paragraph" w:styleId="ListContinue5">
    <w:name w:val="List Continue 5"/>
    <w:basedOn w:val="Normal"/>
    <w:uiPriority w:val="99"/>
    <w:semiHidden/>
    <w:unhideWhenUsed/>
    <w:rsid w:val="00FE2367"/>
    <w:pPr>
      <w:spacing w:after="120"/>
      <w:ind w:left="1800"/>
      <w:contextualSpacing/>
    </w:pPr>
  </w:style>
  <w:style w:type="paragraph" w:styleId="ListNumber">
    <w:name w:val="List Number"/>
    <w:basedOn w:val="Normal"/>
    <w:uiPriority w:val="99"/>
    <w:semiHidden/>
    <w:unhideWhenUsed/>
    <w:rsid w:val="00FE2367"/>
    <w:pPr>
      <w:numPr>
        <w:numId w:val="8"/>
      </w:numPr>
      <w:contextualSpacing/>
    </w:pPr>
  </w:style>
  <w:style w:type="paragraph" w:styleId="ListNumber2">
    <w:name w:val="List Number 2"/>
    <w:basedOn w:val="Normal"/>
    <w:uiPriority w:val="99"/>
    <w:semiHidden/>
    <w:unhideWhenUsed/>
    <w:rsid w:val="00FE2367"/>
    <w:pPr>
      <w:numPr>
        <w:numId w:val="9"/>
      </w:numPr>
      <w:contextualSpacing/>
    </w:pPr>
  </w:style>
  <w:style w:type="paragraph" w:styleId="ListNumber3">
    <w:name w:val="List Number 3"/>
    <w:basedOn w:val="Normal"/>
    <w:uiPriority w:val="99"/>
    <w:semiHidden/>
    <w:unhideWhenUsed/>
    <w:rsid w:val="00FE2367"/>
    <w:pPr>
      <w:numPr>
        <w:numId w:val="10"/>
      </w:numPr>
      <w:contextualSpacing/>
    </w:pPr>
  </w:style>
  <w:style w:type="paragraph" w:styleId="ListNumber4">
    <w:name w:val="List Number 4"/>
    <w:basedOn w:val="Normal"/>
    <w:uiPriority w:val="99"/>
    <w:semiHidden/>
    <w:unhideWhenUsed/>
    <w:rsid w:val="00FE2367"/>
    <w:pPr>
      <w:numPr>
        <w:numId w:val="11"/>
      </w:numPr>
      <w:contextualSpacing/>
    </w:pPr>
  </w:style>
  <w:style w:type="paragraph" w:styleId="ListNumber5">
    <w:name w:val="List Number 5"/>
    <w:basedOn w:val="Normal"/>
    <w:uiPriority w:val="99"/>
    <w:semiHidden/>
    <w:unhideWhenUsed/>
    <w:rsid w:val="00FE2367"/>
    <w:pPr>
      <w:numPr>
        <w:numId w:val="12"/>
      </w:numPr>
      <w:contextualSpacing/>
    </w:pPr>
  </w:style>
  <w:style w:type="paragraph" w:styleId="ListParagraph">
    <w:name w:val="List Paragraph"/>
    <w:basedOn w:val="Normal"/>
    <w:uiPriority w:val="34"/>
    <w:qFormat/>
    <w:rsid w:val="00FE2367"/>
    <w:pPr>
      <w:ind w:left="720"/>
      <w:contextualSpacing/>
    </w:pPr>
  </w:style>
  <w:style w:type="paragraph" w:styleId="MacroText">
    <w:name w:val="macro"/>
    <w:link w:val="MacroTextChar"/>
    <w:uiPriority w:val="99"/>
    <w:semiHidden/>
    <w:unhideWhenUsed/>
    <w:rsid w:val="00FE23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FE2367"/>
    <w:rPr>
      <w:rFonts w:ascii="Consolas" w:hAnsi="Consolas" w:cs="Consolas"/>
      <w:sz w:val="20"/>
      <w:szCs w:val="20"/>
    </w:rPr>
  </w:style>
  <w:style w:type="paragraph" w:styleId="MessageHeader">
    <w:name w:val="Message Header"/>
    <w:basedOn w:val="Normal"/>
    <w:link w:val="MessageHeaderChar"/>
    <w:uiPriority w:val="99"/>
    <w:semiHidden/>
    <w:unhideWhenUsed/>
    <w:rsid w:val="00FE236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367"/>
    <w:rPr>
      <w:rFonts w:asciiTheme="majorHAnsi" w:eastAsiaTheme="majorEastAsia" w:hAnsiTheme="majorHAnsi" w:cstheme="majorBidi"/>
      <w:shd w:val="pct20" w:color="auto" w:fill="auto"/>
    </w:rPr>
  </w:style>
  <w:style w:type="paragraph" w:styleId="NoSpacing">
    <w:name w:val="No Spacing"/>
    <w:uiPriority w:val="1"/>
    <w:qFormat/>
    <w:rsid w:val="00FE2367"/>
  </w:style>
  <w:style w:type="paragraph" w:styleId="NormalWeb">
    <w:name w:val="Normal (Web)"/>
    <w:basedOn w:val="Normal"/>
    <w:uiPriority w:val="99"/>
    <w:semiHidden/>
    <w:unhideWhenUsed/>
    <w:rsid w:val="00FE2367"/>
    <w:rPr>
      <w:rFonts w:ascii="Times New Roman" w:hAnsi="Times New Roman" w:cs="Times New Roman"/>
    </w:rPr>
  </w:style>
  <w:style w:type="paragraph" w:styleId="NormalIndent">
    <w:name w:val="Normal Indent"/>
    <w:basedOn w:val="Normal"/>
    <w:uiPriority w:val="99"/>
    <w:semiHidden/>
    <w:unhideWhenUsed/>
    <w:rsid w:val="00FE2367"/>
    <w:pPr>
      <w:ind w:left="720"/>
    </w:pPr>
  </w:style>
  <w:style w:type="paragraph" w:styleId="NoteHeading">
    <w:name w:val="Note Heading"/>
    <w:basedOn w:val="Normal"/>
    <w:next w:val="Normal"/>
    <w:link w:val="NoteHeadingChar"/>
    <w:uiPriority w:val="99"/>
    <w:semiHidden/>
    <w:unhideWhenUsed/>
    <w:rsid w:val="00FE2367"/>
  </w:style>
  <w:style w:type="character" w:customStyle="1" w:styleId="NoteHeadingChar">
    <w:name w:val="Note Heading Char"/>
    <w:basedOn w:val="DefaultParagraphFont"/>
    <w:link w:val="NoteHeading"/>
    <w:uiPriority w:val="99"/>
    <w:semiHidden/>
    <w:rsid w:val="00FE2367"/>
  </w:style>
  <w:style w:type="paragraph" w:styleId="PlainText">
    <w:name w:val="Plain Text"/>
    <w:basedOn w:val="Normal"/>
    <w:link w:val="PlainTextChar"/>
    <w:uiPriority w:val="99"/>
    <w:semiHidden/>
    <w:unhideWhenUsed/>
    <w:rsid w:val="00FE2367"/>
    <w:rPr>
      <w:rFonts w:ascii="Consolas" w:hAnsi="Consolas" w:cs="Consolas"/>
      <w:sz w:val="21"/>
      <w:szCs w:val="21"/>
    </w:rPr>
  </w:style>
  <w:style w:type="character" w:customStyle="1" w:styleId="PlainTextChar">
    <w:name w:val="Plain Text Char"/>
    <w:basedOn w:val="DefaultParagraphFont"/>
    <w:link w:val="PlainText"/>
    <w:uiPriority w:val="99"/>
    <w:semiHidden/>
    <w:rsid w:val="00FE2367"/>
    <w:rPr>
      <w:rFonts w:ascii="Consolas" w:hAnsi="Consolas" w:cs="Consolas"/>
      <w:sz w:val="21"/>
      <w:szCs w:val="21"/>
    </w:rPr>
  </w:style>
  <w:style w:type="paragraph" w:styleId="Quote">
    <w:name w:val="Quote"/>
    <w:basedOn w:val="Normal"/>
    <w:next w:val="Normal"/>
    <w:link w:val="QuoteChar"/>
    <w:uiPriority w:val="29"/>
    <w:qFormat/>
    <w:rsid w:val="00FE2367"/>
    <w:rPr>
      <w:i/>
      <w:iCs/>
      <w:color w:val="000000" w:themeColor="text1"/>
    </w:rPr>
  </w:style>
  <w:style w:type="character" w:customStyle="1" w:styleId="QuoteChar">
    <w:name w:val="Quote Char"/>
    <w:basedOn w:val="DefaultParagraphFont"/>
    <w:link w:val="Quote"/>
    <w:uiPriority w:val="29"/>
    <w:rsid w:val="00FE2367"/>
    <w:rPr>
      <w:i/>
      <w:iCs/>
      <w:color w:val="000000" w:themeColor="text1"/>
    </w:rPr>
  </w:style>
  <w:style w:type="paragraph" w:styleId="Salutation">
    <w:name w:val="Salutation"/>
    <w:basedOn w:val="Normal"/>
    <w:next w:val="Normal"/>
    <w:link w:val="SalutationChar"/>
    <w:uiPriority w:val="99"/>
    <w:semiHidden/>
    <w:unhideWhenUsed/>
    <w:rsid w:val="00FE2367"/>
  </w:style>
  <w:style w:type="character" w:customStyle="1" w:styleId="SalutationChar">
    <w:name w:val="Salutation Char"/>
    <w:basedOn w:val="DefaultParagraphFont"/>
    <w:link w:val="Salutation"/>
    <w:uiPriority w:val="99"/>
    <w:semiHidden/>
    <w:rsid w:val="00FE2367"/>
  </w:style>
  <w:style w:type="paragraph" w:styleId="Signature">
    <w:name w:val="Signature"/>
    <w:basedOn w:val="Normal"/>
    <w:link w:val="SignatureChar"/>
    <w:uiPriority w:val="99"/>
    <w:semiHidden/>
    <w:unhideWhenUsed/>
    <w:rsid w:val="00FE2367"/>
    <w:pPr>
      <w:ind w:left="4320"/>
    </w:pPr>
  </w:style>
  <w:style w:type="character" w:customStyle="1" w:styleId="SignatureChar">
    <w:name w:val="Signature Char"/>
    <w:basedOn w:val="DefaultParagraphFont"/>
    <w:link w:val="Signature"/>
    <w:uiPriority w:val="99"/>
    <w:semiHidden/>
    <w:rsid w:val="00FE2367"/>
  </w:style>
  <w:style w:type="paragraph" w:styleId="Subtitle">
    <w:name w:val="Subtitle"/>
    <w:basedOn w:val="Normal"/>
    <w:next w:val="Normal"/>
    <w:link w:val="SubtitleChar"/>
    <w:uiPriority w:val="11"/>
    <w:qFormat/>
    <w:rsid w:val="00FE23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2367"/>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FE2367"/>
    <w:pPr>
      <w:ind w:left="240" w:hanging="240"/>
    </w:pPr>
  </w:style>
  <w:style w:type="paragraph" w:styleId="TableofFigures">
    <w:name w:val="table of figures"/>
    <w:basedOn w:val="Normal"/>
    <w:next w:val="Normal"/>
    <w:uiPriority w:val="99"/>
    <w:semiHidden/>
    <w:unhideWhenUsed/>
    <w:rsid w:val="00FE2367"/>
  </w:style>
  <w:style w:type="paragraph" w:styleId="Title">
    <w:name w:val="Title"/>
    <w:basedOn w:val="Normal"/>
    <w:next w:val="Normal"/>
    <w:link w:val="TitleChar"/>
    <w:uiPriority w:val="10"/>
    <w:qFormat/>
    <w:rsid w:val="00FE23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3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E2367"/>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789">
      <w:bodyDiv w:val="1"/>
      <w:marLeft w:val="0"/>
      <w:marRight w:val="0"/>
      <w:marTop w:val="0"/>
      <w:marBottom w:val="0"/>
      <w:divBdr>
        <w:top w:val="none" w:sz="0" w:space="0" w:color="auto"/>
        <w:left w:val="none" w:sz="0" w:space="0" w:color="auto"/>
        <w:bottom w:val="none" w:sz="0" w:space="0" w:color="auto"/>
        <w:right w:val="none" w:sz="0" w:space="0" w:color="auto"/>
      </w:divBdr>
    </w:div>
    <w:div w:id="1403605340">
      <w:bodyDiv w:val="1"/>
      <w:marLeft w:val="0"/>
      <w:marRight w:val="0"/>
      <w:marTop w:val="0"/>
      <w:marBottom w:val="0"/>
      <w:divBdr>
        <w:top w:val="none" w:sz="0" w:space="0" w:color="auto"/>
        <w:left w:val="none" w:sz="0" w:space="0" w:color="auto"/>
        <w:bottom w:val="none" w:sz="0" w:space="0" w:color="auto"/>
        <w:right w:val="none" w:sz="0" w:space="0" w:color="auto"/>
      </w:divBdr>
    </w:div>
    <w:div w:id="14724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Rocco.dascenzo@duke-energy.com" TargetMode="External"/><Relationship Id="rId39" Type="http://schemas.openxmlformats.org/officeDocument/2006/relationships/header" Target="header9.xml"/><Relationship Id="rId21" Type="http://schemas.openxmlformats.org/officeDocument/2006/relationships/header" Target="header6.xml"/><Relationship Id="rId34" Type="http://schemas.openxmlformats.org/officeDocument/2006/relationships/hyperlink" Target="mailto:haydenm@firstenergycorp.com" TargetMode="External"/><Relationship Id="rId42" Type="http://schemas.openxmlformats.org/officeDocument/2006/relationships/hyperlink" Target="mailto:Joseph.serio@occ.ohio.gov" TargetMode="External"/><Relationship Id="rId47" Type="http://schemas.openxmlformats.org/officeDocument/2006/relationships/hyperlink" Target="mailto:joliker@igsenergy.com" TargetMode="External"/><Relationship Id="rId50" Type="http://schemas.openxmlformats.org/officeDocument/2006/relationships/hyperlink" Target="mailto:Ryan.Orourke@puc.state.oh.us" TargetMode="External"/><Relationship Id="rId55" Type="http://schemas.openxmlformats.org/officeDocument/2006/relationships/footer" Target="footer12.xml"/><Relationship Id="rId63" Type="http://schemas.openxmlformats.org/officeDocument/2006/relationships/header" Target="head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mailto:Dianne.Kuhnell@duke-energy.com" TargetMode="External"/><Relationship Id="rId41" Type="http://schemas.openxmlformats.org/officeDocument/2006/relationships/hyperlink" Target="mailto:Maureen.grady@occ.ohio.gov" TargetMode="External"/><Relationship Id="rId54" Type="http://schemas.openxmlformats.org/officeDocument/2006/relationships/header" Target="header10.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mailto:dboehm@BKLlawfirm.com" TargetMode="Externa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mailto:bojko@carpenterlipps.com" TargetMode="External"/><Relationship Id="rId53" Type="http://schemas.openxmlformats.org/officeDocument/2006/relationships/hyperlink" Target="mailto:yalami@aep.com" TargetMode="External"/><Relationship Id="rId58" Type="http://schemas.openxmlformats.org/officeDocument/2006/relationships/hyperlink" Target="mailto:bchisling@stblaw.co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mailto:Elizabeth.watts@duke-energy.com" TargetMode="External"/><Relationship Id="rId36" Type="http://schemas.openxmlformats.org/officeDocument/2006/relationships/hyperlink" Target="mailto:jmcdermott@firstenergycorp.com" TargetMode="External"/><Relationship Id="rId49" Type="http://schemas.openxmlformats.org/officeDocument/2006/relationships/hyperlink" Target="mailto:Thomas.Lindgren@puc.state.oh" TargetMode="External"/><Relationship Id="rId57" Type="http://schemas.openxmlformats.org/officeDocument/2006/relationships/footer" Target="footer13.xml"/><Relationship Id="rId61"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mailto:jkylercohn@BKLlawfirm.com" TargetMode="External"/><Relationship Id="rId44" Type="http://schemas.openxmlformats.org/officeDocument/2006/relationships/hyperlink" Target="mailto:Judi.sobecki@aes.com" TargetMode="External"/><Relationship Id="rId52" Type="http://schemas.openxmlformats.org/officeDocument/2006/relationships/hyperlink" Target="mailto:mjsatterwhite@aep.com" TargetMode="External"/><Relationship Id="rId60" Type="http://schemas.openxmlformats.org/officeDocument/2006/relationships/header" Target="header13.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mailto:Jeanne.kingery@duke-energy.com" TargetMode="External"/><Relationship Id="rId30" Type="http://schemas.openxmlformats.org/officeDocument/2006/relationships/hyperlink" Target="mailto:Schmidt@sppgrp.com" TargetMode="External"/><Relationship Id="rId35" Type="http://schemas.openxmlformats.org/officeDocument/2006/relationships/hyperlink" Target="mailto:scasto@firstenergycorp.com" TargetMode="External"/><Relationship Id="rId43" Type="http://schemas.openxmlformats.org/officeDocument/2006/relationships/hyperlink" Target="mailto:Edmund.berger@occ.ohio.gov" TargetMode="External"/><Relationship Id="rId48" Type="http://schemas.openxmlformats.org/officeDocument/2006/relationships/hyperlink" Target="mailto:Steven.Beeler@puc.state.oh.us" TargetMode="External"/><Relationship Id="rId56" Type="http://schemas.openxmlformats.org/officeDocument/2006/relationships/header" Target="header11.xml"/><Relationship Id="rId64"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yperlink" Target="mailto:stnourse@aep.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Amy.Spiller@duke-energy.com" TargetMode="External"/><Relationship Id="rId33" Type="http://schemas.openxmlformats.org/officeDocument/2006/relationships/hyperlink" Target="mailto:mkurtz@BKLlawfirm.com" TargetMode="External"/><Relationship Id="rId38" Type="http://schemas.openxmlformats.org/officeDocument/2006/relationships/footer" Target="footer10.xml"/><Relationship Id="rId46" Type="http://schemas.openxmlformats.org/officeDocument/2006/relationships/hyperlink" Target="mailto:Allison@carpenterlipps.com" TargetMode="External"/><Relationship Id="rId59"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duke-energy.com/pdfs/Q4_2014_DE_Ohio_Form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50AB-1703-429C-8AE8-114340F3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18</Pages>
  <Words>3643</Words>
  <Characters>21250</Characters>
  <Application>Microsoft Office Word</Application>
  <DocSecurity>0</DocSecurity>
  <PresentationFormat/>
  <Lines>685</Lines>
  <Paragraphs>356</Paragraphs>
  <ScaleCrop>false</ScaleCrop>
  <HeadingPairs>
    <vt:vector size="2" baseType="variant">
      <vt:variant>
        <vt:lpstr>Title</vt:lpstr>
      </vt:variant>
      <vt:variant>
        <vt:i4>1</vt:i4>
      </vt:variant>
    </vt:vector>
  </HeadingPairs>
  <TitlesOfParts>
    <vt:vector size="1" baseType="lpstr">
      <vt:lpstr>ESP, case no. 14-841; memo contra Duke app for rehearing (C47212-3).DOCX</vt:lpstr>
    </vt:vector>
  </TitlesOfParts>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case no. 14-841; memo contra Duke app for rehearing (C47212-3).DOCX</dc:title>
  <dc:subject>C47212:3 /font=8</dc:subject>
  <dc:creator>_</dc:creator>
  <cp:keywords/>
  <dc:description/>
  <cp:lastModifiedBy>Karen Bowman</cp:lastModifiedBy>
  <cp:revision>44</cp:revision>
  <cp:lastPrinted>2015-05-14T12:35:00Z</cp:lastPrinted>
  <dcterms:created xsi:type="dcterms:W3CDTF">2015-05-05T14:53:00Z</dcterms:created>
  <dcterms:modified xsi:type="dcterms:W3CDTF">2015-05-14T13:50:00Z</dcterms:modified>
</cp:coreProperties>
</file>