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C7723" w:rsidR="00243C77" w:rsidP="004F1A87" w:rsidRDefault="004F1A87" w14:paraId="63729071" w14:textId="77777777">
      <w:pPr>
        <w:jc w:val="center"/>
        <w:rPr>
          <w:b/>
          <w:caps/>
          <w:szCs w:val="24"/>
        </w:rPr>
      </w:pPr>
      <w:r w:rsidRPr="008C7723">
        <w:rPr>
          <w:b/>
          <w:caps/>
          <w:szCs w:val="24"/>
        </w:rPr>
        <w:t>BEFORE</w:t>
      </w:r>
    </w:p>
    <w:p w:rsidRPr="008C7723" w:rsidR="004F1A87" w:rsidP="004F1A87" w:rsidRDefault="004F1A87" w14:paraId="3D1C3B6F" w14:textId="77777777">
      <w:pPr>
        <w:jc w:val="center"/>
        <w:rPr>
          <w:b/>
          <w:caps/>
          <w:szCs w:val="24"/>
        </w:rPr>
      </w:pPr>
      <w:r w:rsidRPr="008C7723">
        <w:rPr>
          <w:b/>
          <w:caps/>
          <w:szCs w:val="24"/>
        </w:rPr>
        <w:t>THE Public Utilities Commission of Ohio</w:t>
      </w:r>
    </w:p>
    <w:p w:rsidRPr="008C7723" w:rsidR="004F1A87" w:rsidP="004F1A87" w:rsidRDefault="004F1A87" w14:paraId="7F20D8E1" w14:textId="77777777">
      <w:pPr>
        <w:pStyle w:val="NoSpacing"/>
        <w:rPr>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45"/>
        <w:gridCol w:w="720"/>
        <w:gridCol w:w="3685"/>
      </w:tblGrid>
      <w:tr w:rsidRPr="008C7723" w:rsidR="002250EC" w:rsidTr="0085722C" w14:paraId="567BF233" w14:textId="77777777">
        <w:tc>
          <w:tcPr>
            <w:tcW w:w="4945" w:type="dxa"/>
            <w:vAlign w:val="center"/>
          </w:tcPr>
          <w:p w:rsidRPr="008C7723" w:rsidR="002250EC" w:rsidP="002250EC" w:rsidRDefault="002250EC" w14:paraId="4FB0D319" w14:textId="60C95A8F">
            <w:pPr>
              <w:pStyle w:val="NoSpacing"/>
              <w:rPr>
                <w:sz w:val="24"/>
                <w:szCs w:val="24"/>
              </w:rPr>
            </w:pPr>
            <w:r w:rsidRPr="008C7723">
              <w:rPr>
                <w:sz w:val="24"/>
                <w:szCs w:val="24"/>
              </w:rPr>
              <w:t>In the Matter of the Proper Procedures and Process for the Commission’s Operations and Proceedings During the Declared State of Emergency and Related Matters.</w:t>
            </w:r>
          </w:p>
        </w:tc>
        <w:tc>
          <w:tcPr>
            <w:tcW w:w="720" w:type="dxa"/>
            <w:vAlign w:val="center"/>
          </w:tcPr>
          <w:p w:rsidRPr="008C7723" w:rsidR="002250EC" w:rsidP="002250EC" w:rsidRDefault="002250EC" w14:paraId="2AB67C1E" w14:textId="77777777">
            <w:pPr>
              <w:pStyle w:val="NoSpacing"/>
              <w:rPr>
                <w:sz w:val="24"/>
                <w:szCs w:val="24"/>
              </w:rPr>
            </w:pPr>
            <w:r w:rsidRPr="008C7723">
              <w:rPr>
                <w:sz w:val="24"/>
                <w:szCs w:val="24"/>
              </w:rPr>
              <w:t>)</w:t>
            </w:r>
          </w:p>
          <w:p w:rsidRPr="008C7723" w:rsidR="002250EC" w:rsidP="002250EC" w:rsidRDefault="002250EC" w14:paraId="2495D958" w14:textId="77777777">
            <w:pPr>
              <w:pStyle w:val="NoSpacing"/>
              <w:rPr>
                <w:sz w:val="24"/>
                <w:szCs w:val="24"/>
              </w:rPr>
            </w:pPr>
            <w:r w:rsidRPr="008C7723">
              <w:rPr>
                <w:sz w:val="24"/>
                <w:szCs w:val="24"/>
              </w:rPr>
              <w:t>)</w:t>
            </w:r>
          </w:p>
          <w:p w:rsidRPr="008C7723" w:rsidR="002250EC" w:rsidP="002250EC" w:rsidRDefault="002250EC" w14:paraId="5A7652BE" w14:textId="77777777">
            <w:pPr>
              <w:pStyle w:val="NoSpacing"/>
              <w:rPr>
                <w:sz w:val="24"/>
                <w:szCs w:val="24"/>
              </w:rPr>
            </w:pPr>
            <w:r w:rsidRPr="008C7723">
              <w:rPr>
                <w:sz w:val="24"/>
                <w:szCs w:val="24"/>
              </w:rPr>
              <w:t>)</w:t>
            </w:r>
          </w:p>
          <w:p w:rsidRPr="008C7723" w:rsidR="002250EC" w:rsidP="002250EC" w:rsidRDefault="002250EC" w14:paraId="4D9F3C79" w14:textId="085121E3">
            <w:pPr>
              <w:pStyle w:val="NoSpacing"/>
              <w:rPr>
                <w:sz w:val="24"/>
                <w:szCs w:val="24"/>
              </w:rPr>
            </w:pPr>
            <w:r w:rsidRPr="008C7723">
              <w:rPr>
                <w:sz w:val="24"/>
                <w:szCs w:val="24"/>
              </w:rPr>
              <w:t>)</w:t>
            </w:r>
          </w:p>
        </w:tc>
        <w:tc>
          <w:tcPr>
            <w:tcW w:w="3685" w:type="dxa"/>
            <w:vAlign w:val="center"/>
          </w:tcPr>
          <w:p w:rsidRPr="008C7723" w:rsidR="002250EC" w:rsidP="002250EC" w:rsidRDefault="002250EC" w14:paraId="70DFD85A" w14:textId="18DC3012">
            <w:pPr>
              <w:pStyle w:val="NoSpacing"/>
              <w:rPr>
                <w:sz w:val="24"/>
                <w:szCs w:val="24"/>
              </w:rPr>
            </w:pPr>
            <w:r w:rsidRPr="008C7723">
              <w:rPr>
                <w:sz w:val="24"/>
                <w:szCs w:val="24"/>
              </w:rPr>
              <w:t>Case No. 20-591-AU-UNC</w:t>
            </w:r>
          </w:p>
        </w:tc>
      </w:tr>
      <w:tr w:rsidRPr="008C7723" w:rsidR="002250EC" w:rsidTr="0085722C" w14:paraId="01D9C183" w14:textId="77777777">
        <w:tc>
          <w:tcPr>
            <w:tcW w:w="4945" w:type="dxa"/>
            <w:vAlign w:val="center"/>
          </w:tcPr>
          <w:p w:rsidRPr="008C7723" w:rsidR="002250EC" w:rsidP="002250EC" w:rsidRDefault="002250EC" w14:paraId="3A85EC37" w14:textId="77777777">
            <w:pPr>
              <w:pStyle w:val="NoSpacing"/>
              <w:rPr>
                <w:sz w:val="24"/>
                <w:szCs w:val="24"/>
              </w:rPr>
            </w:pPr>
          </w:p>
        </w:tc>
        <w:tc>
          <w:tcPr>
            <w:tcW w:w="720" w:type="dxa"/>
            <w:vAlign w:val="center"/>
          </w:tcPr>
          <w:p w:rsidRPr="008C7723" w:rsidR="002250EC" w:rsidP="002250EC" w:rsidRDefault="002250EC" w14:paraId="3EC3D76B" w14:textId="77777777">
            <w:pPr>
              <w:pStyle w:val="NoSpacing"/>
              <w:rPr>
                <w:sz w:val="24"/>
                <w:szCs w:val="24"/>
              </w:rPr>
            </w:pPr>
          </w:p>
        </w:tc>
        <w:tc>
          <w:tcPr>
            <w:tcW w:w="3685" w:type="dxa"/>
            <w:vAlign w:val="center"/>
          </w:tcPr>
          <w:p w:rsidRPr="008C7723" w:rsidR="002250EC" w:rsidP="002250EC" w:rsidRDefault="002250EC" w14:paraId="7A2BEAC0" w14:textId="77777777">
            <w:pPr>
              <w:pStyle w:val="NoSpacing"/>
              <w:rPr>
                <w:sz w:val="24"/>
                <w:szCs w:val="24"/>
              </w:rPr>
            </w:pPr>
          </w:p>
        </w:tc>
      </w:tr>
      <w:tr w:rsidRPr="008C7723" w:rsidR="002250EC" w:rsidTr="0085722C" w14:paraId="4F838F35" w14:textId="77777777">
        <w:tc>
          <w:tcPr>
            <w:tcW w:w="4945" w:type="dxa"/>
            <w:vAlign w:val="center"/>
          </w:tcPr>
          <w:p w:rsidRPr="008C7723" w:rsidR="002250EC" w:rsidP="002250EC" w:rsidRDefault="002250EC" w14:paraId="6C0771F4" w14:textId="49E8B3A3">
            <w:pPr>
              <w:pStyle w:val="NoSpacing"/>
              <w:rPr>
                <w:sz w:val="24"/>
                <w:szCs w:val="24"/>
              </w:rPr>
            </w:pPr>
            <w:r w:rsidRPr="008C7723">
              <w:rPr>
                <w:sz w:val="24"/>
                <w:szCs w:val="24"/>
              </w:rPr>
              <w:t>In the Matter of the Joint Application for Waiver of the Restrictions on In-Person Marketing.</w:t>
            </w:r>
          </w:p>
        </w:tc>
        <w:tc>
          <w:tcPr>
            <w:tcW w:w="720" w:type="dxa"/>
            <w:vAlign w:val="center"/>
          </w:tcPr>
          <w:p w:rsidRPr="008C7723" w:rsidR="002250EC" w:rsidP="002250EC" w:rsidRDefault="002250EC" w14:paraId="616F7180" w14:textId="77777777">
            <w:pPr>
              <w:pStyle w:val="NoSpacing"/>
              <w:rPr>
                <w:sz w:val="24"/>
                <w:szCs w:val="24"/>
              </w:rPr>
            </w:pPr>
            <w:r w:rsidRPr="008C7723">
              <w:rPr>
                <w:sz w:val="24"/>
                <w:szCs w:val="24"/>
              </w:rPr>
              <w:t>)</w:t>
            </w:r>
          </w:p>
          <w:p w:rsidR="002250EC" w:rsidP="002250EC" w:rsidRDefault="002250EC" w14:paraId="5E961913" w14:textId="77777777">
            <w:pPr>
              <w:pStyle w:val="NoSpacing"/>
              <w:rPr>
                <w:sz w:val="24"/>
                <w:szCs w:val="24"/>
              </w:rPr>
            </w:pPr>
            <w:r w:rsidRPr="008C7723">
              <w:rPr>
                <w:sz w:val="24"/>
                <w:szCs w:val="24"/>
              </w:rPr>
              <w:t>)</w:t>
            </w:r>
          </w:p>
          <w:p w:rsidRPr="008C7723" w:rsidR="0085722C" w:rsidP="002250EC" w:rsidRDefault="0085722C" w14:paraId="74AB9F44" w14:textId="7D307185">
            <w:pPr>
              <w:pStyle w:val="NoSpacing"/>
              <w:rPr>
                <w:sz w:val="24"/>
                <w:szCs w:val="24"/>
              </w:rPr>
            </w:pPr>
            <w:r>
              <w:rPr>
                <w:sz w:val="24"/>
                <w:szCs w:val="24"/>
              </w:rPr>
              <w:t>)</w:t>
            </w:r>
          </w:p>
        </w:tc>
        <w:tc>
          <w:tcPr>
            <w:tcW w:w="3685" w:type="dxa"/>
            <w:vAlign w:val="center"/>
          </w:tcPr>
          <w:p w:rsidRPr="008C7723" w:rsidR="002250EC" w:rsidP="002250EC" w:rsidRDefault="002250EC" w14:paraId="7709D6D5" w14:textId="3F7D3690">
            <w:pPr>
              <w:pStyle w:val="NoSpacing"/>
              <w:rPr>
                <w:sz w:val="24"/>
                <w:szCs w:val="24"/>
              </w:rPr>
            </w:pPr>
            <w:r w:rsidRPr="008C7723">
              <w:rPr>
                <w:sz w:val="24"/>
                <w:szCs w:val="24"/>
              </w:rPr>
              <w:t>Case No. 20-1040-GE-UNC</w:t>
            </w:r>
          </w:p>
        </w:tc>
      </w:tr>
    </w:tbl>
    <w:p w:rsidRPr="008C7723" w:rsidR="004F1A87" w:rsidP="004F1A87" w:rsidRDefault="004F1A87" w14:paraId="1F8445AE" w14:textId="77777777">
      <w:pPr>
        <w:pStyle w:val="NoSpacing"/>
        <w:pBdr>
          <w:bottom w:val="single" w:color="auto" w:sz="12" w:space="1"/>
        </w:pBdr>
        <w:rPr>
          <w:sz w:val="24"/>
          <w:szCs w:val="24"/>
        </w:rPr>
      </w:pPr>
    </w:p>
    <w:p w:rsidRPr="008C7723" w:rsidR="004F1A87" w:rsidP="004F1A87" w:rsidRDefault="004F1A87" w14:paraId="3071F1B0" w14:textId="77777777">
      <w:pPr>
        <w:pStyle w:val="NoSpacing"/>
        <w:rPr>
          <w:sz w:val="24"/>
          <w:szCs w:val="24"/>
        </w:rPr>
      </w:pPr>
    </w:p>
    <w:p w:rsidRPr="008C7723" w:rsidR="004F1A87" w:rsidP="008E7127" w:rsidRDefault="006467C9" w14:paraId="1E51BFBC" w14:textId="23DA4ACB">
      <w:pPr>
        <w:pStyle w:val="NoSpacing"/>
        <w:pBdr>
          <w:bottom w:val="single" w:color="auto" w:sz="12" w:space="1"/>
        </w:pBdr>
        <w:jc w:val="center"/>
        <w:rPr>
          <w:b/>
          <w:caps/>
          <w:sz w:val="24"/>
          <w:szCs w:val="24"/>
        </w:rPr>
      </w:pPr>
      <w:bookmarkStart w:name="_Hlk46303552" w:id="0"/>
      <w:r w:rsidRPr="008C7723">
        <w:rPr>
          <w:b/>
          <w:caps/>
          <w:sz w:val="24"/>
          <w:szCs w:val="24"/>
        </w:rPr>
        <w:t xml:space="preserve">Interstate Gas Supply, Inc.’s </w:t>
      </w:r>
      <w:r w:rsidRPr="008C7723" w:rsidR="005731FA">
        <w:rPr>
          <w:b/>
          <w:caps/>
          <w:sz w:val="24"/>
          <w:szCs w:val="24"/>
        </w:rPr>
        <w:t>Memorandum Contra Application</w:t>
      </w:r>
      <w:r w:rsidRPr="008C7723" w:rsidR="008E7127">
        <w:rPr>
          <w:b/>
          <w:caps/>
          <w:sz w:val="24"/>
          <w:szCs w:val="24"/>
        </w:rPr>
        <w:t xml:space="preserve"> for Rehearing by the Office of the Ohio Consumers’ Counsel</w:t>
      </w:r>
    </w:p>
    <w:bookmarkEnd w:id="0"/>
    <w:p w:rsidRPr="008C7723" w:rsidR="008E7127" w:rsidP="004F1A87" w:rsidRDefault="008E7127" w14:paraId="0874263D" w14:textId="77777777">
      <w:pPr>
        <w:pStyle w:val="NoSpacing"/>
        <w:pBdr>
          <w:bottom w:val="single" w:color="auto" w:sz="12" w:space="1"/>
        </w:pBdr>
        <w:rPr>
          <w:b/>
          <w:caps/>
          <w:sz w:val="24"/>
          <w:szCs w:val="24"/>
        </w:rPr>
      </w:pPr>
    </w:p>
    <w:p w:rsidRPr="008C7723" w:rsidR="008E7127" w:rsidP="007825A4" w:rsidRDefault="008E7127" w14:paraId="4AC98495" w14:textId="77777777">
      <w:pPr>
        <w:pStyle w:val="NoSpacing"/>
        <w:rPr>
          <w:sz w:val="24"/>
          <w:szCs w:val="24"/>
        </w:rPr>
      </w:pPr>
    </w:p>
    <w:p w:rsidRPr="000221C5" w:rsidR="004F1A87" w:rsidP="006C5B91" w:rsidRDefault="00A31989" w14:paraId="41355E1F" w14:textId="268924D6">
      <w:pPr>
        <w:pStyle w:val="NoSpacing"/>
        <w:numPr>
          <w:ilvl w:val="0"/>
          <w:numId w:val="1"/>
        </w:numPr>
        <w:spacing w:line="480" w:lineRule="auto"/>
        <w:jc w:val="both"/>
        <w:rPr>
          <w:b/>
          <w:sz w:val="24"/>
          <w:szCs w:val="24"/>
        </w:rPr>
      </w:pPr>
      <w:r w:rsidRPr="000221C5">
        <w:rPr>
          <w:b/>
          <w:sz w:val="24"/>
          <w:szCs w:val="24"/>
        </w:rPr>
        <w:t>INTRODUCTION</w:t>
      </w:r>
    </w:p>
    <w:p w:rsidR="00E24260" w:rsidP="00E24260" w:rsidRDefault="00E24260" w14:paraId="331950B0" w14:textId="21511ACC">
      <w:pPr>
        <w:pStyle w:val="NoSpacing"/>
        <w:spacing w:line="480" w:lineRule="auto"/>
        <w:ind w:firstLine="720"/>
        <w:jc w:val="both"/>
        <w:rPr>
          <w:sz w:val="24"/>
          <w:szCs w:val="24"/>
        </w:rPr>
      </w:pPr>
      <w:r>
        <w:rPr>
          <w:sz w:val="24"/>
          <w:szCs w:val="24"/>
        </w:rPr>
        <w:t xml:space="preserve">On June 17, 2020, the Commission </w:t>
      </w:r>
      <w:r w:rsidR="00F41D3C">
        <w:rPr>
          <w:sz w:val="24"/>
          <w:szCs w:val="24"/>
        </w:rPr>
        <w:t xml:space="preserve">authorized Suppliers to resume door-to-door marketing through the </w:t>
      </w:r>
      <w:r w:rsidR="00D74F6F">
        <w:rPr>
          <w:sz w:val="24"/>
          <w:szCs w:val="24"/>
        </w:rPr>
        <w:t>adopt</w:t>
      </w:r>
      <w:r w:rsidR="00F41D3C">
        <w:rPr>
          <w:sz w:val="24"/>
          <w:szCs w:val="24"/>
        </w:rPr>
        <w:t>ion</w:t>
      </w:r>
      <w:r w:rsidR="00E85810">
        <w:rPr>
          <w:sz w:val="24"/>
          <w:szCs w:val="24"/>
        </w:rPr>
        <w:t xml:space="preserve"> of</w:t>
      </w:r>
      <w:r w:rsidR="00D74F6F">
        <w:rPr>
          <w:sz w:val="24"/>
          <w:szCs w:val="24"/>
        </w:rPr>
        <w:t xml:space="preserve"> </w:t>
      </w:r>
      <w:r>
        <w:rPr>
          <w:sz w:val="24"/>
          <w:szCs w:val="24"/>
        </w:rPr>
        <w:t>the standards issued by the Governor and Director of the Ohio Department of Health (“ODH</w:t>
      </w:r>
      <w:r w:rsidR="00B14549">
        <w:rPr>
          <w:sz w:val="24"/>
          <w:szCs w:val="24"/>
        </w:rPr>
        <w:t>”)</w:t>
      </w:r>
      <w:r w:rsidR="005B67D0">
        <w:rPr>
          <w:sz w:val="24"/>
          <w:szCs w:val="24"/>
        </w:rPr>
        <w:t xml:space="preserve">, as well as </w:t>
      </w:r>
      <w:r w:rsidR="00BD51D4">
        <w:rPr>
          <w:sz w:val="24"/>
          <w:szCs w:val="24"/>
        </w:rPr>
        <w:t xml:space="preserve">its own </w:t>
      </w:r>
      <w:r w:rsidR="005B67D0">
        <w:rPr>
          <w:sz w:val="24"/>
          <w:szCs w:val="24"/>
        </w:rPr>
        <w:t xml:space="preserve">additional </w:t>
      </w:r>
      <w:r w:rsidRPr="007D1C97" w:rsidR="005B67D0">
        <w:rPr>
          <w:sz w:val="24"/>
          <w:szCs w:val="24"/>
        </w:rPr>
        <w:t xml:space="preserve">directives to ensure that </w:t>
      </w:r>
      <w:r w:rsidR="005B67D0">
        <w:rPr>
          <w:sz w:val="24"/>
          <w:szCs w:val="24"/>
        </w:rPr>
        <w:t>S</w:t>
      </w:r>
      <w:r w:rsidRPr="007D1C97" w:rsidR="005B67D0">
        <w:rPr>
          <w:sz w:val="24"/>
          <w:szCs w:val="24"/>
        </w:rPr>
        <w:t xml:space="preserve">uppliers and their agents proceed with caution and strict adherence to the relevant </w:t>
      </w:r>
      <w:r w:rsidR="005B67D0">
        <w:rPr>
          <w:sz w:val="24"/>
          <w:szCs w:val="24"/>
        </w:rPr>
        <w:t xml:space="preserve">health and safety </w:t>
      </w:r>
      <w:r w:rsidRPr="007D1C97" w:rsidR="005B67D0">
        <w:rPr>
          <w:sz w:val="24"/>
          <w:szCs w:val="24"/>
        </w:rPr>
        <w:t>requirements</w:t>
      </w:r>
      <w:r w:rsidR="00F55735">
        <w:rPr>
          <w:sz w:val="24"/>
          <w:szCs w:val="24"/>
        </w:rPr>
        <w:t>.</w:t>
      </w:r>
      <w:r w:rsidR="00F41D3C">
        <w:rPr>
          <w:rStyle w:val="FootnoteReference"/>
          <w:sz w:val="24"/>
          <w:szCs w:val="24"/>
        </w:rPr>
        <w:footnoteReference w:id="2"/>
      </w:r>
      <w:r w:rsidR="00F41D3C">
        <w:rPr>
          <w:sz w:val="24"/>
          <w:szCs w:val="24"/>
        </w:rPr>
        <w:t xml:space="preserve"> </w:t>
      </w:r>
      <w:r w:rsidR="00F55735">
        <w:rPr>
          <w:sz w:val="24"/>
          <w:szCs w:val="24"/>
        </w:rPr>
        <w:t xml:space="preserve"> </w:t>
      </w:r>
      <w:r w:rsidR="00F41D3C">
        <w:rPr>
          <w:sz w:val="24"/>
          <w:szCs w:val="24"/>
        </w:rPr>
        <w:t xml:space="preserve">By doing so, the Commission </w:t>
      </w:r>
      <w:r w:rsidRPr="000E1DDD" w:rsidR="00F41D3C">
        <w:rPr>
          <w:sz w:val="24"/>
          <w:szCs w:val="24"/>
        </w:rPr>
        <w:t>would be conti</w:t>
      </w:r>
      <w:r w:rsidRPr="00E85810" w:rsidR="00F41D3C">
        <w:rPr>
          <w:sz w:val="24"/>
          <w:szCs w:val="24"/>
        </w:rPr>
        <w:t xml:space="preserve">nuously </w:t>
      </w:r>
      <w:r w:rsidRPr="002B2B7E" w:rsidR="00F41D3C">
        <w:rPr>
          <w:sz w:val="24"/>
          <w:szCs w:val="24"/>
        </w:rPr>
        <w:t>implementing the most up-to-date policies established by the best public health expertise available.</w:t>
      </w:r>
    </w:p>
    <w:p w:rsidR="002C40C4" w:rsidP="00E24260" w:rsidRDefault="00E24260" w14:paraId="2441A7C4" w14:textId="7D665594">
      <w:pPr>
        <w:pStyle w:val="NoSpacing"/>
        <w:spacing w:line="480" w:lineRule="auto"/>
        <w:ind w:firstLine="720"/>
        <w:jc w:val="both"/>
        <w:rPr>
          <w:sz w:val="24"/>
          <w:szCs w:val="24"/>
        </w:rPr>
      </w:pPr>
      <w:r>
        <w:rPr>
          <w:sz w:val="24"/>
          <w:szCs w:val="24"/>
        </w:rPr>
        <w:t xml:space="preserve">Despite this well-reasoned decision, the Office of the Ohio Consumers’ Counsel (“OCC”), </w:t>
      </w:r>
      <w:r w:rsidRPr="006C5B91" w:rsidR="006C5B91">
        <w:rPr>
          <w:sz w:val="24"/>
          <w:szCs w:val="24"/>
        </w:rPr>
        <w:t>Northeast Ohio Public Energy Council</w:t>
      </w:r>
      <w:r w:rsidR="0075590C">
        <w:rPr>
          <w:sz w:val="24"/>
          <w:szCs w:val="24"/>
        </w:rPr>
        <w:t xml:space="preserve"> (“NOPEC”)</w:t>
      </w:r>
      <w:r w:rsidR="00462DEC">
        <w:rPr>
          <w:sz w:val="24"/>
          <w:szCs w:val="24"/>
        </w:rPr>
        <w:t xml:space="preserve">, </w:t>
      </w:r>
      <w:r w:rsidRPr="006C5B91" w:rsidR="006C5B91">
        <w:rPr>
          <w:sz w:val="24"/>
          <w:szCs w:val="24"/>
        </w:rPr>
        <w:t>Ohio Poverty Law Center</w:t>
      </w:r>
      <w:r w:rsidR="0075590C">
        <w:rPr>
          <w:sz w:val="24"/>
          <w:szCs w:val="24"/>
        </w:rPr>
        <w:t xml:space="preserve"> (“OPLC”)</w:t>
      </w:r>
      <w:r w:rsidRPr="006C5B91" w:rsidR="006C5B91">
        <w:rPr>
          <w:sz w:val="24"/>
          <w:szCs w:val="24"/>
        </w:rPr>
        <w:t>, Coalition on Homelessness and Housing in Ohio</w:t>
      </w:r>
      <w:r w:rsidR="0075590C">
        <w:rPr>
          <w:sz w:val="24"/>
          <w:szCs w:val="24"/>
        </w:rPr>
        <w:t xml:space="preserve"> (“COHHIO”)</w:t>
      </w:r>
      <w:r w:rsidR="00462DEC">
        <w:rPr>
          <w:sz w:val="24"/>
          <w:szCs w:val="24"/>
        </w:rPr>
        <w:t xml:space="preserve">, </w:t>
      </w:r>
      <w:r w:rsidRPr="006C5B91" w:rsidR="006C5B91">
        <w:rPr>
          <w:sz w:val="24"/>
          <w:szCs w:val="24"/>
        </w:rPr>
        <w:t>Pro Seniors, Inc.</w:t>
      </w:r>
      <w:r w:rsidR="0075590C">
        <w:rPr>
          <w:sz w:val="24"/>
          <w:szCs w:val="24"/>
        </w:rPr>
        <w:t xml:space="preserve"> (“PSI”)</w:t>
      </w:r>
      <w:r w:rsidRPr="006C5B91" w:rsidR="006C5B91">
        <w:rPr>
          <w:sz w:val="24"/>
          <w:szCs w:val="24"/>
        </w:rPr>
        <w:t>, and Southeastern Ohio Legal Services</w:t>
      </w:r>
      <w:r w:rsidR="0075590C">
        <w:rPr>
          <w:sz w:val="24"/>
          <w:szCs w:val="24"/>
        </w:rPr>
        <w:t xml:space="preserve"> (“SOLS”)</w:t>
      </w:r>
      <w:r>
        <w:rPr>
          <w:sz w:val="24"/>
          <w:szCs w:val="24"/>
        </w:rPr>
        <w:t xml:space="preserve"> filed an application for rehearing alleging the Commission </w:t>
      </w:r>
      <w:r w:rsidR="00445DA1">
        <w:rPr>
          <w:sz w:val="24"/>
          <w:szCs w:val="24"/>
        </w:rPr>
        <w:t xml:space="preserve">failed to </w:t>
      </w:r>
      <w:r w:rsidR="000E6693">
        <w:rPr>
          <w:sz w:val="24"/>
          <w:szCs w:val="24"/>
        </w:rPr>
        <w:t>provide support for its decision</w:t>
      </w:r>
      <w:r w:rsidR="00021E90">
        <w:rPr>
          <w:sz w:val="24"/>
          <w:szCs w:val="24"/>
        </w:rPr>
        <w:t xml:space="preserve"> and request</w:t>
      </w:r>
      <w:r w:rsidR="006F7D26">
        <w:rPr>
          <w:sz w:val="24"/>
          <w:szCs w:val="24"/>
        </w:rPr>
        <w:t xml:space="preserve">ing </w:t>
      </w:r>
      <w:r w:rsidR="00021E90">
        <w:rPr>
          <w:sz w:val="24"/>
          <w:szCs w:val="24"/>
        </w:rPr>
        <w:t>that the Commission reinstate the</w:t>
      </w:r>
      <w:r w:rsidR="002A498F">
        <w:rPr>
          <w:sz w:val="24"/>
          <w:szCs w:val="24"/>
        </w:rPr>
        <w:t xml:space="preserve"> </w:t>
      </w:r>
      <w:r w:rsidR="006F7D26">
        <w:rPr>
          <w:sz w:val="24"/>
          <w:szCs w:val="24"/>
        </w:rPr>
        <w:t>suspension on door-to-door suspensions</w:t>
      </w:r>
      <w:r w:rsidR="002A498F">
        <w:rPr>
          <w:sz w:val="24"/>
          <w:szCs w:val="24"/>
        </w:rPr>
        <w:t xml:space="preserve"> until </w:t>
      </w:r>
      <w:r w:rsidRPr="002A498F" w:rsidR="002A498F">
        <w:rPr>
          <w:sz w:val="24"/>
          <w:szCs w:val="24"/>
        </w:rPr>
        <w:t>there is a vaccine, a cure, or widespread immunity</w:t>
      </w:r>
      <w:r>
        <w:rPr>
          <w:sz w:val="24"/>
          <w:szCs w:val="24"/>
        </w:rPr>
        <w:t>.</w:t>
      </w:r>
      <w:r w:rsidR="00247D46">
        <w:rPr>
          <w:rStyle w:val="FootnoteReference"/>
          <w:sz w:val="24"/>
          <w:szCs w:val="24"/>
        </w:rPr>
        <w:footnoteReference w:id="3"/>
      </w:r>
      <w:r w:rsidR="000E6693">
        <w:rPr>
          <w:sz w:val="24"/>
          <w:szCs w:val="24"/>
        </w:rPr>
        <w:t xml:space="preserve"> </w:t>
      </w:r>
    </w:p>
    <w:p w:rsidRPr="008C7723" w:rsidR="004E2272" w:rsidP="004F7920" w:rsidRDefault="004E2272" w14:paraId="1C98BD72" w14:textId="4DDEC15A">
      <w:pPr>
        <w:pStyle w:val="NoSpacing"/>
        <w:spacing w:line="480" w:lineRule="auto"/>
        <w:ind w:firstLine="720"/>
        <w:jc w:val="both"/>
        <w:rPr>
          <w:sz w:val="24"/>
          <w:szCs w:val="24"/>
        </w:rPr>
      </w:pPr>
      <w:r>
        <w:rPr>
          <w:sz w:val="24"/>
          <w:szCs w:val="24"/>
        </w:rPr>
        <w:t xml:space="preserve">Because the Commission </w:t>
      </w:r>
      <w:r w:rsidR="00617B10">
        <w:rPr>
          <w:sz w:val="24"/>
          <w:szCs w:val="24"/>
        </w:rPr>
        <w:t xml:space="preserve">issued a decision that properly balanced the health and safety of Ohioans with </w:t>
      </w:r>
      <w:r w:rsidR="003D0163">
        <w:rPr>
          <w:sz w:val="24"/>
          <w:szCs w:val="24"/>
        </w:rPr>
        <w:t xml:space="preserve">the state’s </w:t>
      </w:r>
      <w:r w:rsidR="000E2CEC">
        <w:rPr>
          <w:sz w:val="24"/>
          <w:szCs w:val="24"/>
        </w:rPr>
        <w:t xml:space="preserve">policy </w:t>
      </w:r>
      <w:r w:rsidR="0046639F">
        <w:rPr>
          <w:sz w:val="24"/>
          <w:szCs w:val="24"/>
        </w:rPr>
        <w:t>to safely reopen the Ohio’s economy</w:t>
      </w:r>
      <w:r>
        <w:rPr>
          <w:sz w:val="24"/>
          <w:szCs w:val="24"/>
        </w:rPr>
        <w:t xml:space="preserve">, Interstate Gas Supply, Inc. (“IGS”) requests that the Commission deny OCC’s </w:t>
      </w:r>
      <w:r w:rsidR="00822C7B">
        <w:rPr>
          <w:sz w:val="24"/>
          <w:szCs w:val="24"/>
        </w:rPr>
        <w:t xml:space="preserve">Application for Rehearing in its entirety. However, should the Commission believe that </w:t>
      </w:r>
      <w:r w:rsidR="002A498F">
        <w:rPr>
          <w:sz w:val="24"/>
          <w:szCs w:val="24"/>
        </w:rPr>
        <w:t>additional safety precautions are necessary</w:t>
      </w:r>
      <w:r w:rsidR="00822C7B">
        <w:rPr>
          <w:sz w:val="24"/>
          <w:szCs w:val="24"/>
        </w:rPr>
        <w:t xml:space="preserve">, IGS </w:t>
      </w:r>
      <w:r w:rsidRPr="002A498F" w:rsidR="002A498F">
        <w:rPr>
          <w:sz w:val="24"/>
          <w:szCs w:val="24"/>
        </w:rPr>
        <w:t xml:space="preserve">recommends limiting door-to-door marketing activity to only </w:t>
      </w:r>
      <w:r w:rsidR="00B0230C">
        <w:rPr>
          <w:sz w:val="24"/>
          <w:szCs w:val="24"/>
        </w:rPr>
        <w:t xml:space="preserve">those </w:t>
      </w:r>
      <w:r w:rsidR="002A498F">
        <w:rPr>
          <w:sz w:val="24"/>
          <w:szCs w:val="24"/>
        </w:rPr>
        <w:t xml:space="preserve">Suppliers </w:t>
      </w:r>
      <w:r w:rsidR="00B0230C">
        <w:rPr>
          <w:sz w:val="24"/>
          <w:szCs w:val="24"/>
        </w:rPr>
        <w:t>with an employee-based sales force.</w:t>
      </w:r>
    </w:p>
    <w:p w:rsidRPr="000221C5" w:rsidR="00A31989" w:rsidP="006C5B91" w:rsidRDefault="00A31989" w14:paraId="181D1EA7" w14:textId="6B9B897C">
      <w:pPr>
        <w:pStyle w:val="NoSpacing"/>
        <w:numPr>
          <w:ilvl w:val="0"/>
          <w:numId w:val="1"/>
        </w:numPr>
        <w:spacing w:line="480" w:lineRule="auto"/>
        <w:jc w:val="both"/>
        <w:rPr>
          <w:b/>
          <w:sz w:val="24"/>
          <w:szCs w:val="24"/>
        </w:rPr>
      </w:pPr>
      <w:r w:rsidRPr="000221C5">
        <w:rPr>
          <w:b/>
          <w:sz w:val="24"/>
          <w:szCs w:val="24"/>
        </w:rPr>
        <w:t>ARGUMENT</w:t>
      </w:r>
    </w:p>
    <w:p w:rsidRPr="00872F2B" w:rsidR="007825A4" w:rsidP="00CB292F" w:rsidRDefault="00983D35" w14:paraId="48F63CCD" w14:textId="3558A939">
      <w:pPr>
        <w:pStyle w:val="NoSpacing"/>
        <w:numPr>
          <w:ilvl w:val="1"/>
          <w:numId w:val="1"/>
        </w:numPr>
        <w:spacing w:after="240"/>
        <w:jc w:val="both"/>
        <w:rPr>
          <w:b/>
          <w:sz w:val="24"/>
          <w:szCs w:val="24"/>
        </w:rPr>
      </w:pPr>
      <w:r>
        <w:rPr>
          <w:b/>
          <w:sz w:val="24"/>
          <w:szCs w:val="24"/>
        </w:rPr>
        <w:t>The Commission</w:t>
      </w:r>
      <w:r w:rsidR="00FF6FEA">
        <w:rPr>
          <w:b/>
          <w:sz w:val="24"/>
          <w:szCs w:val="24"/>
        </w:rPr>
        <w:t xml:space="preserve"> </w:t>
      </w:r>
      <w:r w:rsidR="00516671">
        <w:rPr>
          <w:b/>
          <w:sz w:val="24"/>
          <w:szCs w:val="24"/>
        </w:rPr>
        <w:t xml:space="preserve">properly relied upon the </w:t>
      </w:r>
      <w:r w:rsidR="003753D2">
        <w:rPr>
          <w:b/>
          <w:sz w:val="24"/>
          <w:szCs w:val="24"/>
        </w:rPr>
        <w:t>state’s health experts in</w:t>
      </w:r>
      <w:r w:rsidR="001715B7">
        <w:rPr>
          <w:b/>
          <w:sz w:val="24"/>
          <w:szCs w:val="24"/>
        </w:rPr>
        <w:t xml:space="preserve"> its determination to</w:t>
      </w:r>
      <w:r w:rsidR="003753D2">
        <w:rPr>
          <w:b/>
          <w:sz w:val="24"/>
          <w:szCs w:val="24"/>
        </w:rPr>
        <w:t xml:space="preserve"> </w:t>
      </w:r>
      <w:r w:rsidR="00CF4682">
        <w:rPr>
          <w:b/>
          <w:sz w:val="24"/>
          <w:szCs w:val="24"/>
        </w:rPr>
        <w:t>lift the ban on door-to-door solicitations.</w:t>
      </w:r>
      <w:r w:rsidR="0048049E">
        <w:rPr>
          <w:b/>
          <w:sz w:val="24"/>
          <w:szCs w:val="24"/>
        </w:rPr>
        <w:t xml:space="preserve"> </w:t>
      </w:r>
      <w:r w:rsidR="00D32993">
        <w:rPr>
          <w:b/>
          <w:sz w:val="24"/>
          <w:szCs w:val="24"/>
        </w:rPr>
        <w:t xml:space="preserve"> </w:t>
      </w:r>
    </w:p>
    <w:p w:rsidR="00370AC2" w:rsidP="009650B2" w:rsidRDefault="00370AC2" w14:paraId="3B9DBFB2" w14:textId="6CF11F51">
      <w:pPr>
        <w:pStyle w:val="NoSpacing"/>
        <w:spacing w:line="480" w:lineRule="auto"/>
        <w:ind w:firstLine="720"/>
        <w:jc w:val="both"/>
        <w:rPr>
          <w:sz w:val="24"/>
          <w:szCs w:val="24"/>
        </w:rPr>
      </w:pPr>
      <w:r>
        <w:rPr>
          <w:sz w:val="24"/>
          <w:szCs w:val="24"/>
        </w:rPr>
        <w:t xml:space="preserve">OCC </w:t>
      </w:r>
      <w:r w:rsidR="00A31B7E">
        <w:rPr>
          <w:sz w:val="24"/>
          <w:szCs w:val="24"/>
        </w:rPr>
        <w:t xml:space="preserve">argues </w:t>
      </w:r>
      <w:r w:rsidR="00BE4F5F">
        <w:rPr>
          <w:sz w:val="24"/>
          <w:szCs w:val="24"/>
        </w:rPr>
        <w:t>that the Commission’s decision was unreasonable</w:t>
      </w:r>
      <w:r w:rsidR="004A04F7">
        <w:rPr>
          <w:sz w:val="24"/>
          <w:szCs w:val="24"/>
        </w:rPr>
        <w:t xml:space="preserve"> and violated R.C. 490</w:t>
      </w:r>
      <w:r w:rsidR="00C266A0">
        <w:rPr>
          <w:sz w:val="24"/>
          <w:szCs w:val="24"/>
        </w:rPr>
        <w:t>3.09</w:t>
      </w:r>
      <w:r w:rsidR="00BE4F5F">
        <w:rPr>
          <w:sz w:val="24"/>
          <w:szCs w:val="24"/>
        </w:rPr>
        <w:t xml:space="preserve"> because it </w:t>
      </w:r>
      <w:r w:rsidR="009650B2">
        <w:rPr>
          <w:sz w:val="24"/>
          <w:szCs w:val="24"/>
        </w:rPr>
        <w:t xml:space="preserve">allowed </w:t>
      </w:r>
      <w:r w:rsidRPr="009650B2" w:rsidR="009650B2">
        <w:rPr>
          <w:sz w:val="24"/>
          <w:szCs w:val="24"/>
        </w:rPr>
        <w:t>door-to-door marketing to resume with no evidence of its evaluation and no rationale supporting its decision to lift the ban on door-to-door marketing.</w:t>
      </w:r>
      <w:r w:rsidR="009650B2">
        <w:rPr>
          <w:rStyle w:val="FootnoteReference"/>
          <w:sz w:val="24"/>
          <w:szCs w:val="24"/>
        </w:rPr>
        <w:footnoteReference w:id="4"/>
      </w:r>
      <w:r w:rsidR="00595F9F">
        <w:rPr>
          <w:sz w:val="24"/>
          <w:szCs w:val="24"/>
        </w:rPr>
        <w:t xml:space="preserve"> This is simply incorrect.</w:t>
      </w:r>
    </w:p>
    <w:p w:rsidR="00283A06" w:rsidP="00936862" w:rsidRDefault="00D82759" w14:paraId="7F5A8D68" w14:textId="2CFA8C3A">
      <w:pPr>
        <w:pStyle w:val="NoSpacing"/>
        <w:spacing w:line="480" w:lineRule="auto"/>
        <w:ind w:firstLine="720"/>
        <w:jc w:val="both"/>
        <w:rPr>
          <w:sz w:val="24"/>
          <w:szCs w:val="24"/>
        </w:rPr>
      </w:pPr>
      <w:r>
        <w:rPr>
          <w:sz w:val="24"/>
          <w:szCs w:val="24"/>
        </w:rPr>
        <w:t xml:space="preserve">In the Entry, </w:t>
      </w:r>
      <w:r w:rsidR="00D6697A">
        <w:rPr>
          <w:sz w:val="24"/>
          <w:szCs w:val="24"/>
        </w:rPr>
        <w:t xml:space="preserve">the </w:t>
      </w:r>
      <w:r w:rsidR="0091573E">
        <w:rPr>
          <w:sz w:val="24"/>
          <w:szCs w:val="24"/>
        </w:rPr>
        <w:t xml:space="preserve">Commission </w:t>
      </w:r>
      <w:r w:rsidR="00086A69">
        <w:rPr>
          <w:sz w:val="24"/>
          <w:szCs w:val="24"/>
        </w:rPr>
        <w:t xml:space="preserve">explicitly stated </w:t>
      </w:r>
      <w:r w:rsidR="004A4D43">
        <w:rPr>
          <w:sz w:val="24"/>
          <w:szCs w:val="24"/>
        </w:rPr>
        <w:t>it made its decision</w:t>
      </w:r>
      <w:r w:rsidR="00086A69">
        <w:rPr>
          <w:sz w:val="24"/>
          <w:szCs w:val="24"/>
        </w:rPr>
        <w:t xml:space="preserve"> in </w:t>
      </w:r>
      <w:r w:rsidR="00A97D16">
        <w:rPr>
          <w:sz w:val="24"/>
          <w:szCs w:val="24"/>
        </w:rPr>
        <w:t>light</w:t>
      </w:r>
      <w:r w:rsidR="00086A69">
        <w:rPr>
          <w:sz w:val="24"/>
          <w:szCs w:val="24"/>
        </w:rPr>
        <w:t xml:space="preserve"> of </w:t>
      </w:r>
      <w:r w:rsidR="00A97D16">
        <w:rPr>
          <w:sz w:val="24"/>
          <w:szCs w:val="24"/>
        </w:rPr>
        <w:t xml:space="preserve">the </w:t>
      </w:r>
      <w:r w:rsidRPr="00DF2623" w:rsidR="00DF2623">
        <w:rPr>
          <w:sz w:val="24"/>
          <w:szCs w:val="24"/>
        </w:rPr>
        <w:t xml:space="preserve">Director of the </w:t>
      </w:r>
      <w:r w:rsidR="00A97F10">
        <w:rPr>
          <w:sz w:val="24"/>
          <w:szCs w:val="24"/>
        </w:rPr>
        <w:t>ODH</w:t>
      </w:r>
      <w:r w:rsidRPr="00DF2623" w:rsidR="00DF2623">
        <w:rPr>
          <w:sz w:val="24"/>
          <w:szCs w:val="24"/>
        </w:rPr>
        <w:t xml:space="preserve"> </w:t>
      </w:r>
      <w:r w:rsidR="001C7208">
        <w:rPr>
          <w:sz w:val="24"/>
          <w:szCs w:val="24"/>
        </w:rPr>
        <w:t xml:space="preserve">issuing an order </w:t>
      </w:r>
      <w:r w:rsidR="00A97F10">
        <w:rPr>
          <w:sz w:val="24"/>
          <w:szCs w:val="24"/>
        </w:rPr>
        <w:t>“</w:t>
      </w:r>
      <w:r w:rsidRPr="00DF2623" w:rsidR="00DF2623">
        <w:rPr>
          <w:sz w:val="24"/>
          <w:szCs w:val="24"/>
        </w:rPr>
        <w:t>to responsibly rescind requirements of the Stay Safe Ohio Order and lift the mandatory requirements and restrictions that were needed during the initial phase of the COVID-19 pandemic</w:t>
      </w:r>
      <w:r w:rsidR="003E1697">
        <w:rPr>
          <w:sz w:val="24"/>
          <w:szCs w:val="24"/>
        </w:rPr>
        <w:t>,</w:t>
      </w:r>
      <w:r w:rsidR="00A97F10">
        <w:rPr>
          <w:sz w:val="24"/>
          <w:szCs w:val="24"/>
        </w:rPr>
        <w:t>”</w:t>
      </w:r>
      <w:r w:rsidR="003E1697">
        <w:rPr>
          <w:sz w:val="24"/>
          <w:szCs w:val="24"/>
        </w:rPr>
        <w:t xml:space="preserve"> as well as </w:t>
      </w:r>
      <w:r w:rsidR="00636AF5">
        <w:rPr>
          <w:sz w:val="24"/>
          <w:szCs w:val="24"/>
        </w:rPr>
        <w:t>subsequent</w:t>
      </w:r>
      <w:r w:rsidR="003E1697">
        <w:rPr>
          <w:sz w:val="24"/>
          <w:szCs w:val="24"/>
        </w:rPr>
        <w:t xml:space="preserve"> Orders </w:t>
      </w:r>
      <w:r w:rsidRPr="00F47329" w:rsidR="00F47329">
        <w:rPr>
          <w:sz w:val="24"/>
          <w:szCs w:val="24"/>
        </w:rPr>
        <w:t xml:space="preserve">to </w:t>
      </w:r>
      <w:r w:rsidR="00A97F10">
        <w:rPr>
          <w:sz w:val="24"/>
          <w:szCs w:val="24"/>
        </w:rPr>
        <w:t>“</w:t>
      </w:r>
      <w:r w:rsidRPr="00F47329" w:rsidR="00F47329">
        <w:rPr>
          <w:sz w:val="24"/>
          <w:szCs w:val="24"/>
        </w:rPr>
        <w:t>lift mandatory requirements and restrictions to safely open up the Ohio economy</w:t>
      </w:r>
      <w:r w:rsidR="00051E75">
        <w:rPr>
          <w:sz w:val="24"/>
          <w:szCs w:val="24"/>
        </w:rPr>
        <w:t>.”</w:t>
      </w:r>
      <w:r w:rsidR="00051E75">
        <w:rPr>
          <w:rStyle w:val="FootnoteReference"/>
          <w:sz w:val="24"/>
          <w:szCs w:val="24"/>
        </w:rPr>
        <w:footnoteReference w:id="5"/>
      </w:r>
      <w:r w:rsidRPr="00F47329" w:rsidR="00F47329">
        <w:rPr>
          <w:sz w:val="24"/>
          <w:szCs w:val="24"/>
        </w:rPr>
        <w:t xml:space="preserve"> </w:t>
      </w:r>
      <w:r w:rsidR="00F36E44">
        <w:rPr>
          <w:sz w:val="24"/>
          <w:szCs w:val="24"/>
        </w:rPr>
        <w:t xml:space="preserve">Thus, </w:t>
      </w:r>
      <w:r w:rsidR="00805949">
        <w:rPr>
          <w:sz w:val="24"/>
          <w:szCs w:val="24"/>
        </w:rPr>
        <w:t>the Commission</w:t>
      </w:r>
      <w:r w:rsidR="00186715">
        <w:rPr>
          <w:sz w:val="24"/>
          <w:szCs w:val="24"/>
        </w:rPr>
        <w:t>’s rationale for</w:t>
      </w:r>
      <w:r w:rsidR="00805949">
        <w:rPr>
          <w:sz w:val="24"/>
          <w:szCs w:val="24"/>
        </w:rPr>
        <w:t xml:space="preserve"> </w:t>
      </w:r>
      <w:r w:rsidR="00186715">
        <w:rPr>
          <w:sz w:val="24"/>
          <w:szCs w:val="24"/>
        </w:rPr>
        <w:t>allowing door-to-door solicitations</w:t>
      </w:r>
      <w:r w:rsidR="00CF22B1">
        <w:rPr>
          <w:sz w:val="24"/>
          <w:szCs w:val="24"/>
        </w:rPr>
        <w:t xml:space="preserve"> to resume</w:t>
      </w:r>
      <w:r w:rsidR="00186715">
        <w:rPr>
          <w:sz w:val="24"/>
          <w:szCs w:val="24"/>
        </w:rPr>
        <w:t xml:space="preserve"> is</w:t>
      </w:r>
      <w:r w:rsidR="00CF22B1">
        <w:rPr>
          <w:sz w:val="24"/>
          <w:szCs w:val="24"/>
        </w:rPr>
        <w:t xml:space="preserve"> based upon the</w:t>
      </w:r>
      <w:r w:rsidR="00F36E44">
        <w:rPr>
          <w:sz w:val="24"/>
          <w:szCs w:val="24"/>
        </w:rPr>
        <w:t xml:space="preserve"> </w:t>
      </w:r>
      <w:r w:rsidR="00930F9B">
        <w:rPr>
          <w:sz w:val="24"/>
          <w:szCs w:val="24"/>
        </w:rPr>
        <w:t xml:space="preserve">Governor and Director of ODH’s </w:t>
      </w:r>
      <w:r w:rsidR="00D918FF">
        <w:rPr>
          <w:sz w:val="24"/>
          <w:szCs w:val="24"/>
        </w:rPr>
        <w:t>decision that it is safe to resume business operations in the state</w:t>
      </w:r>
      <w:r w:rsidR="00CF22B1">
        <w:rPr>
          <w:sz w:val="24"/>
          <w:szCs w:val="24"/>
        </w:rPr>
        <w:t>.</w:t>
      </w:r>
      <w:r w:rsidR="00D918FF">
        <w:rPr>
          <w:sz w:val="24"/>
          <w:szCs w:val="24"/>
        </w:rPr>
        <w:t xml:space="preserve"> </w:t>
      </w:r>
    </w:p>
    <w:p w:rsidRPr="0074488E" w:rsidR="00E3120B" w:rsidP="00114A42" w:rsidRDefault="00D36219" w14:paraId="4A26D6F8" w14:textId="387726EF">
      <w:pPr>
        <w:pStyle w:val="NoSpacing"/>
        <w:spacing w:line="480" w:lineRule="auto"/>
        <w:ind w:firstLine="720"/>
        <w:jc w:val="both"/>
        <w:rPr>
          <w:sz w:val="24"/>
          <w:szCs w:val="24"/>
        </w:rPr>
      </w:pPr>
      <w:r>
        <w:rPr>
          <w:sz w:val="24"/>
          <w:szCs w:val="24"/>
        </w:rPr>
        <w:t>Additionally, d</w:t>
      </w:r>
      <w:r w:rsidR="00B748C5">
        <w:rPr>
          <w:sz w:val="24"/>
          <w:szCs w:val="24"/>
        </w:rPr>
        <w:t xml:space="preserve">espite OCC’s claims, it is clear the Commission </w:t>
      </w:r>
      <w:r w:rsidR="00DE5955">
        <w:rPr>
          <w:sz w:val="24"/>
          <w:szCs w:val="24"/>
        </w:rPr>
        <w:t>properly</w:t>
      </w:r>
      <w:r w:rsidR="003411B8">
        <w:rPr>
          <w:sz w:val="24"/>
          <w:szCs w:val="24"/>
        </w:rPr>
        <w:t xml:space="preserve"> evaluat</w:t>
      </w:r>
      <w:r w:rsidR="00DE5955">
        <w:rPr>
          <w:sz w:val="24"/>
          <w:szCs w:val="24"/>
        </w:rPr>
        <w:t xml:space="preserve">ed </w:t>
      </w:r>
      <w:r w:rsidRPr="009C4648" w:rsidR="006568A7">
        <w:rPr>
          <w:sz w:val="24"/>
          <w:szCs w:val="24"/>
        </w:rPr>
        <w:t>the evidence</w:t>
      </w:r>
      <w:r w:rsidRPr="00E85810" w:rsidR="00A13B1B">
        <w:rPr>
          <w:sz w:val="24"/>
          <w:szCs w:val="24"/>
        </w:rPr>
        <w:t xml:space="preserve"> </w:t>
      </w:r>
      <w:r w:rsidRPr="002B2B7E" w:rsidR="006568A7">
        <w:rPr>
          <w:sz w:val="24"/>
          <w:szCs w:val="24"/>
        </w:rPr>
        <w:t xml:space="preserve">when </w:t>
      </w:r>
      <w:r w:rsidRPr="002B2B7E" w:rsidR="00A65E28">
        <w:rPr>
          <w:sz w:val="24"/>
          <w:szCs w:val="24"/>
        </w:rPr>
        <w:t xml:space="preserve">it determined that </w:t>
      </w:r>
      <w:r w:rsidRPr="002B2B7E" w:rsidR="00C31908">
        <w:rPr>
          <w:sz w:val="24"/>
          <w:szCs w:val="24"/>
        </w:rPr>
        <w:t>door-to-door marketing</w:t>
      </w:r>
      <w:r w:rsidRPr="002B2B7E" w:rsidR="00753B02">
        <w:rPr>
          <w:sz w:val="24"/>
          <w:szCs w:val="24"/>
        </w:rPr>
        <w:t xml:space="preserve"> </w:t>
      </w:r>
      <w:r w:rsidRPr="00D672B4" w:rsidR="00A65E28">
        <w:rPr>
          <w:sz w:val="24"/>
          <w:szCs w:val="24"/>
        </w:rPr>
        <w:t xml:space="preserve">may resume </w:t>
      </w:r>
      <w:r w:rsidRPr="00D672B4" w:rsidR="00753B02">
        <w:rPr>
          <w:sz w:val="24"/>
          <w:szCs w:val="24"/>
        </w:rPr>
        <w:t xml:space="preserve">because the Commission </w:t>
      </w:r>
      <w:r w:rsidRPr="00D672B4" w:rsidR="000375ED">
        <w:rPr>
          <w:sz w:val="24"/>
          <w:szCs w:val="24"/>
        </w:rPr>
        <w:t xml:space="preserve">placed additional requirements on </w:t>
      </w:r>
      <w:r w:rsidRPr="00D672B4" w:rsidR="003108D3">
        <w:rPr>
          <w:sz w:val="24"/>
          <w:szCs w:val="24"/>
        </w:rPr>
        <w:t>Suppliers th</w:t>
      </w:r>
      <w:r w:rsidRPr="0074488E" w:rsidR="00424697">
        <w:rPr>
          <w:szCs w:val="24"/>
        </w:rPr>
        <w:t>a</w:t>
      </w:r>
      <w:r w:rsidRPr="0074488E" w:rsidR="003108D3">
        <w:rPr>
          <w:szCs w:val="24"/>
        </w:rPr>
        <w:t>n those</w:t>
      </w:r>
      <w:r w:rsidRPr="0074488E" w:rsidR="006E15A0">
        <w:rPr>
          <w:szCs w:val="24"/>
        </w:rPr>
        <w:t xml:space="preserve"> </w:t>
      </w:r>
      <w:r w:rsidR="00434F17">
        <w:rPr>
          <w:sz w:val="24"/>
          <w:szCs w:val="24"/>
        </w:rPr>
        <w:t>established</w:t>
      </w:r>
      <w:r w:rsidRPr="009C4648" w:rsidR="00434F17">
        <w:rPr>
          <w:sz w:val="24"/>
          <w:szCs w:val="24"/>
        </w:rPr>
        <w:t xml:space="preserve"> </w:t>
      </w:r>
      <w:r w:rsidRPr="00E85810" w:rsidR="00224E2C">
        <w:rPr>
          <w:sz w:val="24"/>
          <w:szCs w:val="24"/>
        </w:rPr>
        <w:t>by the Governor and ODH</w:t>
      </w:r>
      <w:r w:rsidRPr="002B2B7E" w:rsidR="00927FD3">
        <w:rPr>
          <w:sz w:val="24"/>
          <w:szCs w:val="24"/>
        </w:rPr>
        <w:t xml:space="preserve">. </w:t>
      </w:r>
      <w:r w:rsidRPr="002B2B7E" w:rsidR="00224E2C">
        <w:rPr>
          <w:sz w:val="24"/>
          <w:szCs w:val="24"/>
        </w:rPr>
        <w:t xml:space="preserve">Indeed, </w:t>
      </w:r>
      <w:r w:rsidRPr="002B2B7E" w:rsidR="00CB444A">
        <w:rPr>
          <w:sz w:val="24"/>
          <w:szCs w:val="24"/>
        </w:rPr>
        <w:t>i</w:t>
      </w:r>
      <w:r w:rsidRPr="002B2B7E" w:rsidR="003F2E07">
        <w:rPr>
          <w:sz w:val="24"/>
          <w:szCs w:val="24"/>
        </w:rPr>
        <w:t>n</w:t>
      </w:r>
      <w:r w:rsidRPr="002B2B7E" w:rsidR="005D7D1E">
        <w:rPr>
          <w:sz w:val="24"/>
          <w:szCs w:val="24"/>
        </w:rPr>
        <w:t xml:space="preserve"> </w:t>
      </w:r>
      <w:r w:rsidRPr="00D672B4" w:rsidR="00F1674A">
        <w:rPr>
          <w:sz w:val="24"/>
          <w:szCs w:val="24"/>
        </w:rPr>
        <w:t xml:space="preserve">recognition of concerns raised by OCC, the Commission </w:t>
      </w:r>
      <w:r w:rsidRPr="00D672B4" w:rsidR="00776A74">
        <w:rPr>
          <w:sz w:val="24"/>
          <w:szCs w:val="24"/>
        </w:rPr>
        <w:t>included</w:t>
      </w:r>
      <w:r w:rsidRPr="009C4648" w:rsidR="007D1C97">
        <w:rPr>
          <w:sz w:val="24"/>
          <w:szCs w:val="24"/>
        </w:rPr>
        <w:t xml:space="preserve"> </w:t>
      </w:r>
      <w:r w:rsidRPr="00E85810" w:rsidR="00776A74">
        <w:rPr>
          <w:sz w:val="24"/>
          <w:szCs w:val="24"/>
        </w:rPr>
        <w:t xml:space="preserve">additional </w:t>
      </w:r>
      <w:r w:rsidRPr="002B2B7E" w:rsidR="007D1C97">
        <w:rPr>
          <w:sz w:val="24"/>
          <w:szCs w:val="24"/>
        </w:rPr>
        <w:t xml:space="preserve">directives to ensure that Suppliers and their agents proceed with caution and strict adherence to the relevant </w:t>
      </w:r>
      <w:r w:rsidRPr="002B2B7E" w:rsidR="005D7D1E">
        <w:rPr>
          <w:sz w:val="24"/>
          <w:szCs w:val="24"/>
        </w:rPr>
        <w:t xml:space="preserve">health and safety </w:t>
      </w:r>
      <w:r w:rsidRPr="00D672B4" w:rsidR="007D1C97">
        <w:rPr>
          <w:sz w:val="24"/>
          <w:szCs w:val="24"/>
        </w:rPr>
        <w:t>requirements</w:t>
      </w:r>
      <w:r w:rsidRPr="00D672B4" w:rsidR="005D7D1E">
        <w:rPr>
          <w:sz w:val="24"/>
          <w:szCs w:val="24"/>
        </w:rPr>
        <w:t>.</w:t>
      </w:r>
      <w:r w:rsidRPr="009C4648" w:rsidR="005D7D1E">
        <w:rPr>
          <w:rStyle w:val="FootnoteReference"/>
          <w:sz w:val="24"/>
          <w:szCs w:val="24"/>
        </w:rPr>
        <w:footnoteReference w:id="6"/>
      </w:r>
      <w:r w:rsidRPr="009C4648" w:rsidR="005F6252">
        <w:rPr>
          <w:sz w:val="24"/>
          <w:szCs w:val="24"/>
        </w:rPr>
        <w:t xml:space="preserve"> </w:t>
      </w:r>
      <w:r w:rsidRPr="00E85810" w:rsidR="004200CC">
        <w:rPr>
          <w:sz w:val="24"/>
          <w:szCs w:val="24"/>
        </w:rPr>
        <w:t xml:space="preserve">If the </w:t>
      </w:r>
      <w:r w:rsidRPr="002B2B7E" w:rsidR="004200CC">
        <w:rPr>
          <w:sz w:val="24"/>
          <w:szCs w:val="24"/>
        </w:rPr>
        <w:t xml:space="preserve">Commission had not thoroughly evaluated the </w:t>
      </w:r>
      <w:r w:rsidRPr="002B2B7E" w:rsidR="00383CC6">
        <w:rPr>
          <w:sz w:val="24"/>
          <w:szCs w:val="24"/>
        </w:rPr>
        <w:t xml:space="preserve">statewide conditions that would apply to Suppliers, </w:t>
      </w:r>
      <w:r w:rsidRPr="00D672B4" w:rsidR="008E7D4A">
        <w:rPr>
          <w:sz w:val="24"/>
          <w:szCs w:val="24"/>
        </w:rPr>
        <w:t>the</w:t>
      </w:r>
      <w:r w:rsidRPr="00D672B4" w:rsidR="00492331">
        <w:rPr>
          <w:sz w:val="24"/>
          <w:szCs w:val="24"/>
        </w:rPr>
        <w:t>n the</w:t>
      </w:r>
      <w:r w:rsidRPr="0074488E" w:rsidR="008E7D4A">
        <w:rPr>
          <w:szCs w:val="24"/>
        </w:rPr>
        <w:t xml:space="preserve"> Commission would not have </w:t>
      </w:r>
      <w:r w:rsidRPr="0074488E" w:rsidR="001D4CEC">
        <w:rPr>
          <w:szCs w:val="24"/>
        </w:rPr>
        <w:t>found it necessary to supplement</w:t>
      </w:r>
      <w:r w:rsidRPr="0074488E" w:rsidR="00830E7F">
        <w:rPr>
          <w:szCs w:val="24"/>
        </w:rPr>
        <w:t xml:space="preserve"> them</w:t>
      </w:r>
      <w:r w:rsidRPr="0074488E" w:rsidR="007D7879">
        <w:rPr>
          <w:szCs w:val="24"/>
        </w:rPr>
        <w:t xml:space="preserve">. </w:t>
      </w:r>
      <w:r w:rsidRPr="0074488E" w:rsidR="00E3120B">
        <w:rPr>
          <w:sz w:val="24"/>
          <w:szCs w:val="24"/>
        </w:rPr>
        <w:t xml:space="preserve"> </w:t>
      </w:r>
    </w:p>
    <w:p w:rsidRPr="009C4648" w:rsidR="001B31ED" w:rsidP="00114A42" w:rsidRDefault="002E0C7D" w14:paraId="2669F87A" w14:textId="5BB9EE49">
      <w:pPr>
        <w:pStyle w:val="NoSpacing"/>
        <w:spacing w:line="480" w:lineRule="auto"/>
        <w:jc w:val="both"/>
        <w:rPr>
          <w:sz w:val="24"/>
          <w:szCs w:val="24"/>
        </w:rPr>
      </w:pPr>
      <w:r w:rsidRPr="0074488E">
        <w:rPr>
          <w:sz w:val="24"/>
          <w:szCs w:val="24"/>
        </w:rPr>
        <w:tab/>
      </w:r>
      <w:r w:rsidR="002E630A">
        <w:rPr>
          <w:sz w:val="24"/>
          <w:szCs w:val="24"/>
        </w:rPr>
        <w:t>Further, t</w:t>
      </w:r>
      <w:r w:rsidR="0032154B">
        <w:rPr>
          <w:sz w:val="24"/>
          <w:szCs w:val="24"/>
        </w:rPr>
        <w:t xml:space="preserve">his </w:t>
      </w:r>
      <w:r w:rsidRPr="009C4648" w:rsidR="001D00A6">
        <w:rPr>
          <w:sz w:val="24"/>
          <w:szCs w:val="24"/>
        </w:rPr>
        <w:t>demonstrate</w:t>
      </w:r>
      <w:r w:rsidRPr="00E85810" w:rsidR="001D00A6">
        <w:rPr>
          <w:sz w:val="24"/>
          <w:szCs w:val="24"/>
        </w:rPr>
        <w:t xml:space="preserve">s that the Commission </w:t>
      </w:r>
      <w:r w:rsidRPr="002B2B7E" w:rsidR="001D00A6">
        <w:rPr>
          <w:sz w:val="24"/>
          <w:szCs w:val="24"/>
        </w:rPr>
        <w:t>considered and rejected</w:t>
      </w:r>
      <w:r w:rsidRPr="002B2B7E" w:rsidR="00037F8D">
        <w:rPr>
          <w:sz w:val="24"/>
          <w:szCs w:val="24"/>
        </w:rPr>
        <w:t xml:space="preserve"> OCC’</w:t>
      </w:r>
      <w:r w:rsidRPr="00D672B4" w:rsidR="00037F8D">
        <w:rPr>
          <w:sz w:val="24"/>
          <w:szCs w:val="24"/>
        </w:rPr>
        <w:t xml:space="preserve">s </w:t>
      </w:r>
      <w:r w:rsidRPr="00D672B4" w:rsidR="00FC504B">
        <w:rPr>
          <w:sz w:val="24"/>
          <w:szCs w:val="24"/>
        </w:rPr>
        <w:t>attempt</w:t>
      </w:r>
      <w:r w:rsidRPr="0074488E" w:rsidR="003E1CFC">
        <w:rPr>
          <w:sz w:val="24"/>
          <w:szCs w:val="24"/>
        </w:rPr>
        <w:t xml:space="preserve"> to </w:t>
      </w:r>
      <w:r w:rsidRPr="002372B6" w:rsidR="007B0167">
        <w:rPr>
          <w:sz w:val="24"/>
          <w:szCs w:val="24"/>
        </w:rPr>
        <w:t>arbitrarily and unreasonably discriminate against the energy industry</w:t>
      </w:r>
      <w:r w:rsidRPr="00114A42" w:rsidR="005F2FFE">
        <w:rPr>
          <w:sz w:val="24"/>
          <w:szCs w:val="24"/>
        </w:rPr>
        <w:t xml:space="preserve">. </w:t>
      </w:r>
      <w:r w:rsidR="004D5D83">
        <w:rPr>
          <w:sz w:val="24"/>
          <w:szCs w:val="24"/>
        </w:rPr>
        <w:t>Arguing against the</w:t>
      </w:r>
      <w:r w:rsidRPr="00114A42" w:rsidR="00416AD7">
        <w:rPr>
          <w:sz w:val="24"/>
          <w:szCs w:val="24"/>
        </w:rPr>
        <w:t xml:space="preserve"> </w:t>
      </w:r>
      <w:r w:rsidR="00806B14">
        <w:rPr>
          <w:sz w:val="24"/>
          <w:szCs w:val="24"/>
        </w:rPr>
        <w:t>uniform</w:t>
      </w:r>
      <w:r w:rsidRPr="00114A42" w:rsidR="00416AD7">
        <w:rPr>
          <w:sz w:val="24"/>
          <w:szCs w:val="24"/>
        </w:rPr>
        <w:t xml:space="preserve"> application of the</w:t>
      </w:r>
      <w:r w:rsidRPr="00114A42" w:rsidR="008C2336">
        <w:rPr>
          <w:sz w:val="24"/>
          <w:szCs w:val="24"/>
        </w:rPr>
        <w:t xml:space="preserve"> statewide health and safety</w:t>
      </w:r>
      <w:r w:rsidRPr="00114A42" w:rsidR="00416AD7">
        <w:rPr>
          <w:sz w:val="24"/>
          <w:szCs w:val="24"/>
        </w:rPr>
        <w:t xml:space="preserve"> guidelines</w:t>
      </w:r>
      <w:r w:rsidR="00136E83">
        <w:rPr>
          <w:sz w:val="24"/>
          <w:szCs w:val="24"/>
        </w:rPr>
        <w:t xml:space="preserve"> which permitted door-to-door</w:t>
      </w:r>
      <w:r w:rsidR="004D5D83">
        <w:rPr>
          <w:sz w:val="24"/>
          <w:szCs w:val="24"/>
        </w:rPr>
        <w:t xml:space="preserve"> industries to operate,</w:t>
      </w:r>
      <w:r w:rsidR="00136E83">
        <w:rPr>
          <w:sz w:val="24"/>
          <w:szCs w:val="24"/>
        </w:rPr>
        <w:t xml:space="preserve"> </w:t>
      </w:r>
      <w:r w:rsidR="00E26567">
        <w:rPr>
          <w:sz w:val="24"/>
          <w:szCs w:val="24"/>
        </w:rPr>
        <w:t xml:space="preserve"> </w:t>
      </w:r>
      <w:r w:rsidRPr="00114A42" w:rsidR="00416AD7">
        <w:rPr>
          <w:sz w:val="24"/>
          <w:szCs w:val="24"/>
        </w:rPr>
        <w:t>OCC sought</w:t>
      </w:r>
      <w:r w:rsidR="005335EA">
        <w:rPr>
          <w:sz w:val="24"/>
          <w:szCs w:val="24"/>
        </w:rPr>
        <w:t xml:space="preserve"> an indefinite suspension</w:t>
      </w:r>
      <w:r w:rsidR="00966E0E">
        <w:rPr>
          <w:sz w:val="24"/>
          <w:szCs w:val="24"/>
        </w:rPr>
        <w:t xml:space="preserve"> of in-person energy marketing</w:t>
      </w:r>
      <w:r w:rsidRPr="00114A42" w:rsidR="00416AD7">
        <w:rPr>
          <w:sz w:val="24"/>
          <w:szCs w:val="24"/>
        </w:rPr>
        <w:t>.</w:t>
      </w:r>
      <w:r w:rsidR="00975FEA">
        <w:rPr>
          <w:rStyle w:val="FootnoteReference"/>
          <w:sz w:val="24"/>
          <w:szCs w:val="24"/>
        </w:rPr>
        <w:footnoteReference w:id="7"/>
      </w:r>
      <w:r w:rsidRPr="00114A42" w:rsidR="00416AD7">
        <w:rPr>
          <w:sz w:val="24"/>
          <w:szCs w:val="24"/>
        </w:rPr>
        <w:t xml:space="preserve"> In so doing, OCC would </w:t>
      </w:r>
      <w:r w:rsidR="006079DD">
        <w:rPr>
          <w:sz w:val="24"/>
          <w:szCs w:val="24"/>
        </w:rPr>
        <w:t xml:space="preserve">have </w:t>
      </w:r>
      <w:r w:rsidR="00F172F4">
        <w:rPr>
          <w:sz w:val="24"/>
          <w:szCs w:val="24"/>
        </w:rPr>
        <w:t xml:space="preserve">rather </w:t>
      </w:r>
      <w:r w:rsidRPr="00114A42" w:rsidR="00416AD7">
        <w:rPr>
          <w:sz w:val="24"/>
          <w:szCs w:val="24"/>
        </w:rPr>
        <w:t xml:space="preserve">substitute its own layman understanding of science for the </w:t>
      </w:r>
      <w:r w:rsidRPr="00114A42" w:rsidR="0074488E">
        <w:rPr>
          <w:sz w:val="24"/>
          <w:szCs w:val="24"/>
        </w:rPr>
        <w:t>ODH’</w:t>
      </w:r>
      <w:r w:rsidRPr="00114A42" w:rsidR="00416AD7">
        <w:rPr>
          <w:sz w:val="24"/>
          <w:szCs w:val="24"/>
        </w:rPr>
        <w:t>s well-reas</w:t>
      </w:r>
      <w:bookmarkStart w:name="_GoBack" w:id="1"/>
      <w:bookmarkEnd w:id="1"/>
      <w:r w:rsidRPr="00114A42" w:rsidR="00416AD7">
        <w:rPr>
          <w:sz w:val="24"/>
          <w:szCs w:val="24"/>
        </w:rPr>
        <w:t>oned guidance.</w:t>
      </w:r>
      <w:r w:rsidRPr="009C4648" w:rsidR="0074488E">
        <w:rPr>
          <w:sz w:val="24"/>
          <w:szCs w:val="24"/>
        </w:rPr>
        <w:t xml:space="preserve"> </w:t>
      </w:r>
      <w:r w:rsidR="000B4C92">
        <w:rPr>
          <w:sz w:val="24"/>
          <w:szCs w:val="24"/>
        </w:rPr>
        <w:t xml:space="preserve">Instead, </w:t>
      </w:r>
      <w:r w:rsidR="001960D5">
        <w:rPr>
          <w:sz w:val="24"/>
          <w:szCs w:val="24"/>
        </w:rPr>
        <w:t xml:space="preserve">by </w:t>
      </w:r>
      <w:r w:rsidRPr="009C4648" w:rsidR="00D36219">
        <w:rPr>
          <w:sz w:val="24"/>
          <w:szCs w:val="24"/>
        </w:rPr>
        <w:t>authoriz</w:t>
      </w:r>
      <w:r w:rsidR="001960D5">
        <w:rPr>
          <w:sz w:val="24"/>
          <w:szCs w:val="24"/>
        </w:rPr>
        <w:t>ing</w:t>
      </w:r>
      <w:r w:rsidRPr="009C4648" w:rsidR="00D36219">
        <w:rPr>
          <w:sz w:val="24"/>
          <w:szCs w:val="24"/>
        </w:rPr>
        <w:t xml:space="preserve"> </w:t>
      </w:r>
      <w:r w:rsidR="00E535BE">
        <w:rPr>
          <w:sz w:val="24"/>
          <w:szCs w:val="24"/>
        </w:rPr>
        <w:t xml:space="preserve">in-person </w:t>
      </w:r>
      <w:r w:rsidRPr="00E85810" w:rsidR="00D36219">
        <w:rPr>
          <w:sz w:val="24"/>
          <w:szCs w:val="24"/>
        </w:rPr>
        <w:t>marketing activities</w:t>
      </w:r>
      <w:r w:rsidR="00E535BE">
        <w:rPr>
          <w:sz w:val="24"/>
          <w:szCs w:val="24"/>
        </w:rPr>
        <w:t xml:space="preserve"> to resume</w:t>
      </w:r>
      <w:r w:rsidRPr="00E85810" w:rsidR="00D36219">
        <w:rPr>
          <w:sz w:val="24"/>
          <w:szCs w:val="24"/>
        </w:rPr>
        <w:t xml:space="preserve"> </w:t>
      </w:r>
      <w:r w:rsidRPr="002B2B7E" w:rsidR="00D36219">
        <w:rPr>
          <w:sz w:val="24"/>
          <w:szCs w:val="24"/>
        </w:rPr>
        <w:t>under the statewide</w:t>
      </w:r>
      <w:r w:rsidRPr="00D672B4" w:rsidR="00D36219">
        <w:rPr>
          <w:sz w:val="24"/>
          <w:szCs w:val="24"/>
        </w:rPr>
        <w:t xml:space="preserve"> requirement</w:t>
      </w:r>
      <w:r w:rsidR="001517AF">
        <w:rPr>
          <w:sz w:val="24"/>
          <w:szCs w:val="24"/>
        </w:rPr>
        <w:t>s</w:t>
      </w:r>
      <w:r w:rsidR="001960D5">
        <w:rPr>
          <w:sz w:val="24"/>
          <w:szCs w:val="24"/>
        </w:rPr>
        <w:t xml:space="preserve">, the Commission </w:t>
      </w:r>
      <w:r w:rsidR="00036BE0">
        <w:rPr>
          <w:sz w:val="24"/>
          <w:szCs w:val="24"/>
        </w:rPr>
        <w:t>expressed its agreement with the Suppliers</w:t>
      </w:r>
      <w:r w:rsidR="003952DA">
        <w:rPr>
          <w:sz w:val="24"/>
          <w:szCs w:val="24"/>
        </w:rPr>
        <w:t>:</w:t>
      </w:r>
      <w:r w:rsidRPr="009C4648" w:rsidR="00D36219">
        <w:rPr>
          <w:sz w:val="24"/>
          <w:szCs w:val="24"/>
        </w:rPr>
        <w:t xml:space="preserve"> </w:t>
      </w:r>
      <w:r w:rsidR="00036BE0">
        <w:rPr>
          <w:sz w:val="24"/>
          <w:szCs w:val="24"/>
        </w:rPr>
        <w:t>I</w:t>
      </w:r>
      <w:r w:rsidRPr="009C4648" w:rsidR="00D36219">
        <w:rPr>
          <w:sz w:val="24"/>
          <w:szCs w:val="24"/>
        </w:rPr>
        <w:t>f the</w:t>
      </w:r>
      <w:r w:rsidRPr="00632536" w:rsidR="00632536">
        <w:rPr>
          <w:sz w:val="24"/>
          <w:szCs w:val="24"/>
        </w:rPr>
        <w:t xml:space="preserve"> </w:t>
      </w:r>
      <w:r w:rsidR="00632536">
        <w:rPr>
          <w:sz w:val="24"/>
          <w:szCs w:val="24"/>
        </w:rPr>
        <w:t xml:space="preserve">Governor and ODH have established </w:t>
      </w:r>
      <w:r w:rsidRPr="00E85810" w:rsidR="00D36219">
        <w:rPr>
          <w:sz w:val="24"/>
          <w:szCs w:val="24"/>
        </w:rPr>
        <w:t xml:space="preserve">provisions </w:t>
      </w:r>
      <w:r w:rsidRPr="002B2B7E" w:rsidR="00D36219">
        <w:rPr>
          <w:sz w:val="24"/>
          <w:szCs w:val="24"/>
        </w:rPr>
        <w:t xml:space="preserve">and policies </w:t>
      </w:r>
      <w:r w:rsidR="00632536">
        <w:rPr>
          <w:sz w:val="24"/>
          <w:szCs w:val="24"/>
        </w:rPr>
        <w:t>that</w:t>
      </w:r>
      <w:r w:rsidRPr="009C4648" w:rsidR="00D36219">
        <w:rPr>
          <w:sz w:val="24"/>
          <w:szCs w:val="24"/>
        </w:rPr>
        <w:t xml:space="preserve"> </w:t>
      </w:r>
      <w:r w:rsidR="003E60E8">
        <w:rPr>
          <w:sz w:val="24"/>
          <w:szCs w:val="24"/>
        </w:rPr>
        <w:t xml:space="preserve">allow </w:t>
      </w:r>
      <w:r w:rsidR="00C716E9">
        <w:rPr>
          <w:sz w:val="24"/>
          <w:szCs w:val="24"/>
        </w:rPr>
        <w:t>Ohio’s</w:t>
      </w:r>
      <w:r w:rsidRPr="009C4648" w:rsidR="00D36219">
        <w:rPr>
          <w:sz w:val="24"/>
          <w:szCs w:val="24"/>
        </w:rPr>
        <w:t xml:space="preserve"> business</w:t>
      </w:r>
      <w:r w:rsidRPr="00E85810" w:rsidR="00D36219">
        <w:rPr>
          <w:sz w:val="24"/>
          <w:szCs w:val="24"/>
        </w:rPr>
        <w:t>es</w:t>
      </w:r>
      <w:r w:rsidR="00233B2E">
        <w:rPr>
          <w:sz w:val="24"/>
          <w:szCs w:val="24"/>
        </w:rPr>
        <w:t xml:space="preserve"> to</w:t>
      </w:r>
      <w:r w:rsidR="009A3158">
        <w:rPr>
          <w:sz w:val="24"/>
          <w:szCs w:val="24"/>
        </w:rPr>
        <w:t xml:space="preserve"> safel</w:t>
      </w:r>
      <w:r w:rsidR="00E777B4">
        <w:rPr>
          <w:sz w:val="24"/>
          <w:szCs w:val="24"/>
        </w:rPr>
        <w:t>y</w:t>
      </w:r>
      <w:r w:rsidR="00233B2E">
        <w:rPr>
          <w:sz w:val="24"/>
          <w:szCs w:val="24"/>
        </w:rPr>
        <w:t xml:space="preserve"> resume operat</w:t>
      </w:r>
      <w:r w:rsidR="0074709D">
        <w:rPr>
          <w:sz w:val="24"/>
          <w:szCs w:val="24"/>
        </w:rPr>
        <w:t>ing</w:t>
      </w:r>
      <w:r w:rsidRPr="00E85810" w:rsidR="00D36219">
        <w:rPr>
          <w:sz w:val="24"/>
          <w:szCs w:val="24"/>
        </w:rPr>
        <w:t>, includ</w:t>
      </w:r>
      <w:r w:rsidRPr="002B2B7E" w:rsidR="00D36219">
        <w:rPr>
          <w:sz w:val="24"/>
          <w:szCs w:val="24"/>
        </w:rPr>
        <w:t xml:space="preserve">ing other door-to-door operations, then </w:t>
      </w:r>
      <w:r w:rsidR="007709D3">
        <w:rPr>
          <w:sz w:val="24"/>
          <w:szCs w:val="24"/>
        </w:rPr>
        <w:t>those</w:t>
      </w:r>
      <w:r w:rsidR="00FE17CA">
        <w:rPr>
          <w:sz w:val="24"/>
          <w:szCs w:val="24"/>
        </w:rPr>
        <w:t xml:space="preserve"> </w:t>
      </w:r>
      <w:r w:rsidR="007709D3">
        <w:rPr>
          <w:sz w:val="24"/>
          <w:szCs w:val="24"/>
        </w:rPr>
        <w:t xml:space="preserve">provisions and policies </w:t>
      </w:r>
      <w:r w:rsidR="002E01D4">
        <w:rPr>
          <w:sz w:val="24"/>
          <w:szCs w:val="24"/>
        </w:rPr>
        <w:t xml:space="preserve">will also allow </w:t>
      </w:r>
      <w:r w:rsidRPr="0074488E" w:rsidR="00D36219">
        <w:rPr>
          <w:sz w:val="24"/>
          <w:szCs w:val="24"/>
        </w:rPr>
        <w:t xml:space="preserve">Suppliers to </w:t>
      </w:r>
      <w:r w:rsidR="002E01D4">
        <w:rPr>
          <w:sz w:val="24"/>
          <w:szCs w:val="24"/>
        </w:rPr>
        <w:t xml:space="preserve">safely </w:t>
      </w:r>
      <w:r w:rsidRPr="0074488E" w:rsidR="00D36219">
        <w:rPr>
          <w:sz w:val="24"/>
          <w:szCs w:val="24"/>
        </w:rPr>
        <w:t xml:space="preserve">resume </w:t>
      </w:r>
      <w:r w:rsidR="00CF1989">
        <w:rPr>
          <w:sz w:val="24"/>
          <w:szCs w:val="24"/>
        </w:rPr>
        <w:t xml:space="preserve">their </w:t>
      </w:r>
      <w:r w:rsidRPr="0074488E" w:rsidR="00D36219">
        <w:rPr>
          <w:sz w:val="24"/>
          <w:szCs w:val="24"/>
        </w:rPr>
        <w:t>business operations.</w:t>
      </w:r>
      <w:r w:rsidR="00B12E87">
        <w:rPr>
          <w:rStyle w:val="FootnoteReference"/>
          <w:sz w:val="24"/>
          <w:szCs w:val="24"/>
        </w:rPr>
        <w:footnoteReference w:id="8"/>
      </w:r>
    </w:p>
    <w:p w:rsidRPr="004B67A8" w:rsidR="006964B0" w:rsidP="00114A42" w:rsidRDefault="004B67A8" w14:paraId="37A6FE6C" w14:textId="29E2B1A1">
      <w:pPr>
        <w:pStyle w:val="NoSpacing"/>
        <w:spacing w:line="480" w:lineRule="auto"/>
        <w:jc w:val="both"/>
        <w:rPr>
          <w:sz w:val="24"/>
          <w:szCs w:val="24"/>
        </w:rPr>
      </w:pPr>
      <w:r w:rsidRPr="004B67A8">
        <w:rPr>
          <w:szCs w:val="24"/>
        </w:rPr>
        <w:tab/>
      </w:r>
      <w:r w:rsidR="00E024AE">
        <w:rPr>
          <w:sz w:val="24"/>
          <w:szCs w:val="24"/>
        </w:rPr>
        <w:t>Moreover</w:t>
      </w:r>
      <w:r w:rsidR="001B31ED">
        <w:rPr>
          <w:sz w:val="24"/>
          <w:szCs w:val="24"/>
        </w:rPr>
        <w:t>,</w:t>
      </w:r>
      <w:r w:rsidRPr="004B67A8" w:rsidR="006D78B4">
        <w:rPr>
          <w:sz w:val="24"/>
          <w:szCs w:val="24"/>
        </w:rPr>
        <w:t xml:space="preserve"> </w:t>
      </w:r>
      <w:r w:rsidR="00E024AE">
        <w:rPr>
          <w:sz w:val="24"/>
          <w:szCs w:val="24"/>
        </w:rPr>
        <w:t xml:space="preserve">IGS notes </w:t>
      </w:r>
      <w:r w:rsidR="001B4733">
        <w:rPr>
          <w:sz w:val="24"/>
          <w:szCs w:val="24"/>
        </w:rPr>
        <w:t>the contra</w:t>
      </w:r>
      <w:r w:rsidR="000E01E9">
        <w:rPr>
          <w:sz w:val="24"/>
          <w:szCs w:val="24"/>
        </w:rPr>
        <w:t>dicting</w:t>
      </w:r>
      <w:r w:rsidR="001B4733">
        <w:rPr>
          <w:sz w:val="24"/>
          <w:szCs w:val="24"/>
        </w:rPr>
        <w:t xml:space="preserve"> argument that OCC</w:t>
      </w:r>
      <w:r w:rsidR="00DD46F1">
        <w:rPr>
          <w:sz w:val="24"/>
          <w:szCs w:val="24"/>
        </w:rPr>
        <w:t xml:space="preserve"> </w:t>
      </w:r>
      <w:r w:rsidR="00AC0F5A">
        <w:rPr>
          <w:sz w:val="24"/>
          <w:szCs w:val="24"/>
        </w:rPr>
        <w:t>asks</w:t>
      </w:r>
      <w:r w:rsidR="00DC3160">
        <w:rPr>
          <w:sz w:val="24"/>
          <w:szCs w:val="24"/>
        </w:rPr>
        <w:t xml:space="preserve"> the Commission </w:t>
      </w:r>
      <w:r w:rsidR="00AC0F5A">
        <w:rPr>
          <w:sz w:val="24"/>
          <w:szCs w:val="24"/>
        </w:rPr>
        <w:t>to</w:t>
      </w:r>
      <w:r w:rsidR="00243C77">
        <w:rPr>
          <w:sz w:val="24"/>
          <w:szCs w:val="24"/>
        </w:rPr>
        <w:t xml:space="preserve"> </w:t>
      </w:r>
      <w:r w:rsidR="00DC3160">
        <w:rPr>
          <w:sz w:val="24"/>
          <w:szCs w:val="24"/>
        </w:rPr>
        <w:t>adopt</w:t>
      </w:r>
      <w:r w:rsidR="008B05C7">
        <w:rPr>
          <w:sz w:val="24"/>
          <w:szCs w:val="24"/>
        </w:rPr>
        <w:t xml:space="preserve">. </w:t>
      </w:r>
      <w:r w:rsidRPr="004B67A8" w:rsidR="007133EE">
        <w:rPr>
          <w:sz w:val="24"/>
          <w:szCs w:val="24"/>
        </w:rPr>
        <w:t>OCC</w:t>
      </w:r>
      <w:r w:rsidRPr="004B67A8" w:rsidR="006D78B4">
        <w:rPr>
          <w:sz w:val="24"/>
          <w:szCs w:val="24"/>
        </w:rPr>
        <w:t xml:space="preserve"> </w:t>
      </w:r>
      <w:r w:rsidRPr="00114A42" w:rsidR="00200E81">
        <w:rPr>
          <w:sz w:val="24"/>
          <w:szCs w:val="24"/>
        </w:rPr>
        <w:t>allege</w:t>
      </w:r>
      <w:r w:rsidRPr="00114A42" w:rsidR="007133EE">
        <w:rPr>
          <w:sz w:val="24"/>
          <w:szCs w:val="24"/>
        </w:rPr>
        <w:t>s</w:t>
      </w:r>
      <w:r w:rsidRPr="00114A42" w:rsidR="00200E81">
        <w:rPr>
          <w:sz w:val="24"/>
          <w:szCs w:val="24"/>
        </w:rPr>
        <w:t xml:space="preserve"> that there is no record evidence</w:t>
      </w:r>
      <w:r w:rsidRPr="00114A42" w:rsidR="007D2BF1">
        <w:rPr>
          <w:sz w:val="24"/>
          <w:szCs w:val="24"/>
        </w:rPr>
        <w:t xml:space="preserve"> </w:t>
      </w:r>
      <w:r w:rsidR="00961E82">
        <w:rPr>
          <w:sz w:val="24"/>
          <w:szCs w:val="24"/>
        </w:rPr>
        <w:t>supporting the</w:t>
      </w:r>
      <w:r w:rsidRPr="00114A42" w:rsidR="007D2BF1">
        <w:rPr>
          <w:sz w:val="24"/>
          <w:szCs w:val="24"/>
        </w:rPr>
        <w:t xml:space="preserve"> Commission’s determination</w:t>
      </w:r>
      <w:r w:rsidRPr="00114A42" w:rsidR="00200E81">
        <w:rPr>
          <w:sz w:val="24"/>
          <w:szCs w:val="24"/>
        </w:rPr>
        <w:t xml:space="preserve">, yet to overturn the </w:t>
      </w:r>
      <w:r w:rsidRPr="00114A42" w:rsidR="0051304B">
        <w:rPr>
          <w:sz w:val="24"/>
          <w:szCs w:val="24"/>
        </w:rPr>
        <w:t>Entry,</w:t>
      </w:r>
      <w:r w:rsidRPr="00114A42" w:rsidR="00200E81">
        <w:rPr>
          <w:sz w:val="24"/>
          <w:szCs w:val="24"/>
        </w:rPr>
        <w:t xml:space="preserve"> </w:t>
      </w:r>
      <w:r w:rsidR="00961E82">
        <w:rPr>
          <w:sz w:val="24"/>
          <w:szCs w:val="24"/>
        </w:rPr>
        <w:t>OCC</w:t>
      </w:r>
      <w:r w:rsidRPr="00114A42" w:rsidR="00200E81">
        <w:rPr>
          <w:sz w:val="24"/>
          <w:szCs w:val="24"/>
        </w:rPr>
        <w:t xml:space="preserve"> rel</w:t>
      </w:r>
      <w:r w:rsidR="00961E82">
        <w:rPr>
          <w:sz w:val="24"/>
          <w:szCs w:val="24"/>
        </w:rPr>
        <w:t>ies</w:t>
      </w:r>
      <w:r w:rsidRPr="00114A42" w:rsidR="00200E81">
        <w:rPr>
          <w:sz w:val="24"/>
          <w:szCs w:val="24"/>
        </w:rPr>
        <w:t xml:space="preserve"> upon a significant amount of newspaper articles and other extra-record material that would be inadmissible</w:t>
      </w:r>
      <w:r w:rsidRPr="00114A42" w:rsidR="00997EBB">
        <w:rPr>
          <w:sz w:val="24"/>
          <w:szCs w:val="24"/>
        </w:rPr>
        <w:t xml:space="preserve"> in this proceeding</w:t>
      </w:r>
      <w:r w:rsidRPr="00114A42" w:rsidR="00200E81">
        <w:rPr>
          <w:sz w:val="24"/>
          <w:szCs w:val="24"/>
        </w:rPr>
        <w:t>.</w:t>
      </w:r>
      <w:r w:rsidRPr="00114A42" w:rsidR="007133EE">
        <w:rPr>
          <w:sz w:val="24"/>
          <w:szCs w:val="24"/>
        </w:rPr>
        <w:t xml:space="preserve"> </w:t>
      </w:r>
      <w:r w:rsidRPr="004B67A8" w:rsidR="006D78B4">
        <w:rPr>
          <w:sz w:val="24"/>
          <w:szCs w:val="24"/>
        </w:rPr>
        <w:t>Therefore, OCC’s assignment of error should be denied.</w:t>
      </w:r>
    </w:p>
    <w:p w:rsidRPr="008C0021" w:rsidR="008C0021" w:rsidP="008C0021" w:rsidRDefault="008C0021" w14:paraId="76FF9EAD" w14:textId="10A41FAB">
      <w:pPr>
        <w:pStyle w:val="NoSpacing"/>
        <w:numPr>
          <w:ilvl w:val="1"/>
          <w:numId w:val="1"/>
        </w:numPr>
        <w:spacing w:after="240"/>
        <w:jc w:val="both"/>
        <w:rPr>
          <w:b/>
          <w:sz w:val="24"/>
          <w:szCs w:val="24"/>
        </w:rPr>
      </w:pPr>
      <w:r w:rsidRPr="008C0021">
        <w:rPr>
          <w:b/>
          <w:sz w:val="24"/>
          <w:szCs w:val="24"/>
        </w:rPr>
        <w:t>By relying upon the state-issued guidelines, the Commission has mitigated all of OCC’s concerns regarding</w:t>
      </w:r>
      <w:r w:rsidR="00286AA1">
        <w:rPr>
          <w:b/>
          <w:sz w:val="24"/>
          <w:szCs w:val="24"/>
        </w:rPr>
        <w:t xml:space="preserve"> </w:t>
      </w:r>
      <w:r w:rsidR="002860F2">
        <w:rPr>
          <w:b/>
          <w:sz w:val="24"/>
          <w:szCs w:val="24"/>
        </w:rPr>
        <w:t>the progression of the virus</w:t>
      </w:r>
      <w:r w:rsidRPr="008C0021">
        <w:rPr>
          <w:b/>
          <w:sz w:val="24"/>
          <w:szCs w:val="24"/>
        </w:rPr>
        <w:t>.</w:t>
      </w:r>
    </w:p>
    <w:p w:rsidRPr="00E75A5E" w:rsidR="003F2E07" w:rsidP="003F2E07" w:rsidRDefault="003F2E07" w14:paraId="709A300F" w14:textId="3CBFB49F">
      <w:pPr>
        <w:pStyle w:val="NoSpacing"/>
        <w:spacing w:line="480" w:lineRule="auto"/>
        <w:jc w:val="both"/>
        <w:rPr>
          <w:sz w:val="24"/>
          <w:szCs w:val="24"/>
        </w:rPr>
      </w:pPr>
      <w:r>
        <w:rPr>
          <w:sz w:val="24"/>
          <w:szCs w:val="24"/>
        </w:rPr>
        <w:tab/>
      </w:r>
      <w:r w:rsidRPr="00E75A5E" w:rsidR="002860F2">
        <w:rPr>
          <w:sz w:val="24"/>
          <w:szCs w:val="24"/>
        </w:rPr>
        <w:t>OCC</w:t>
      </w:r>
      <w:r w:rsidR="004D3774">
        <w:rPr>
          <w:sz w:val="24"/>
          <w:szCs w:val="24"/>
        </w:rPr>
        <w:t xml:space="preserve"> also</w:t>
      </w:r>
      <w:r w:rsidRPr="00E75A5E" w:rsidR="002860F2">
        <w:rPr>
          <w:sz w:val="24"/>
          <w:szCs w:val="24"/>
        </w:rPr>
        <w:t xml:space="preserve"> </w:t>
      </w:r>
      <w:r w:rsidR="004642DC">
        <w:rPr>
          <w:sz w:val="24"/>
          <w:szCs w:val="24"/>
        </w:rPr>
        <w:t xml:space="preserve">argues that </w:t>
      </w:r>
      <w:r w:rsidR="00DE2B27">
        <w:rPr>
          <w:sz w:val="24"/>
          <w:szCs w:val="24"/>
        </w:rPr>
        <w:t>because of an increase in a coronavirus cases</w:t>
      </w:r>
      <w:r w:rsidR="00924D4C">
        <w:rPr>
          <w:sz w:val="24"/>
          <w:szCs w:val="24"/>
        </w:rPr>
        <w:t xml:space="preserve"> and recent statements from the Governor</w:t>
      </w:r>
      <w:r w:rsidR="009D6877">
        <w:rPr>
          <w:sz w:val="24"/>
          <w:szCs w:val="24"/>
        </w:rPr>
        <w:t>,</w:t>
      </w:r>
      <w:r w:rsidR="00DE2B27">
        <w:rPr>
          <w:sz w:val="24"/>
          <w:szCs w:val="24"/>
        </w:rPr>
        <w:t xml:space="preserve"> the Commission should reconsider its decision to allow door-to-door marketing to resume.</w:t>
      </w:r>
      <w:r w:rsidR="00D16234">
        <w:rPr>
          <w:rStyle w:val="FootnoteReference"/>
          <w:sz w:val="24"/>
          <w:szCs w:val="24"/>
        </w:rPr>
        <w:footnoteReference w:id="9"/>
      </w:r>
      <w:r w:rsidR="00DE2B27">
        <w:rPr>
          <w:sz w:val="24"/>
          <w:szCs w:val="24"/>
        </w:rPr>
        <w:t xml:space="preserve"> </w:t>
      </w:r>
      <w:r w:rsidRPr="00E75A5E" w:rsidR="00A22B05">
        <w:rPr>
          <w:sz w:val="24"/>
          <w:szCs w:val="24"/>
        </w:rPr>
        <w:t>However, b</w:t>
      </w:r>
      <w:r w:rsidRPr="00E75A5E" w:rsidR="002860F2">
        <w:rPr>
          <w:sz w:val="24"/>
          <w:szCs w:val="24"/>
        </w:rPr>
        <w:t>y</w:t>
      </w:r>
      <w:r w:rsidRPr="00E75A5E">
        <w:rPr>
          <w:sz w:val="24"/>
          <w:szCs w:val="24"/>
        </w:rPr>
        <w:t xml:space="preserve"> relying upon the state-issued guidelines, the Commission has mitigated all of OCC’s concerns regarding a spike in cases and </w:t>
      </w:r>
      <w:r w:rsidR="00541C02">
        <w:rPr>
          <w:sz w:val="24"/>
          <w:szCs w:val="24"/>
        </w:rPr>
        <w:t xml:space="preserve">its </w:t>
      </w:r>
      <w:r w:rsidRPr="00E75A5E">
        <w:rPr>
          <w:sz w:val="24"/>
          <w:szCs w:val="24"/>
        </w:rPr>
        <w:t xml:space="preserve">call to respond to concerns of the </w:t>
      </w:r>
      <w:r w:rsidRPr="001B6DEE">
        <w:rPr>
          <w:sz w:val="24"/>
          <w:szCs w:val="24"/>
        </w:rPr>
        <w:t xml:space="preserve">Governor </w:t>
      </w:r>
      <w:r w:rsidRPr="005B7166">
        <w:rPr>
          <w:i/>
          <w:sz w:val="24"/>
          <w:szCs w:val="24"/>
        </w:rPr>
        <w:t xml:space="preserve">because the Governor himself is controlling the operations of Suppliers. </w:t>
      </w:r>
      <w:r w:rsidRPr="00E75A5E">
        <w:rPr>
          <w:sz w:val="24"/>
          <w:szCs w:val="24"/>
        </w:rPr>
        <w:t>Instead of requiring the Commission</w:t>
      </w:r>
      <w:r w:rsidR="00EC2752">
        <w:rPr>
          <w:sz w:val="24"/>
          <w:szCs w:val="24"/>
        </w:rPr>
        <w:t xml:space="preserve"> – </w:t>
      </w:r>
      <w:r w:rsidRPr="00E75A5E">
        <w:rPr>
          <w:sz w:val="24"/>
          <w:szCs w:val="24"/>
        </w:rPr>
        <w:t>economic regulators</w:t>
      </w:r>
      <w:r w:rsidR="00EC2752">
        <w:rPr>
          <w:sz w:val="24"/>
          <w:szCs w:val="24"/>
        </w:rPr>
        <w:t xml:space="preserve"> –</w:t>
      </w:r>
      <w:r w:rsidRPr="00E75A5E">
        <w:rPr>
          <w:sz w:val="24"/>
          <w:szCs w:val="24"/>
        </w:rPr>
        <w:t xml:space="preserve"> to evaluate the rapidly developing science related to the coronavirus in order to establish Supplier-specific standards, the Commission has </w:t>
      </w:r>
      <w:r w:rsidR="00715C9B">
        <w:rPr>
          <w:sz w:val="24"/>
          <w:szCs w:val="24"/>
        </w:rPr>
        <w:t xml:space="preserve">rightly </w:t>
      </w:r>
      <w:r w:rsidR="00EE5CDD">
        <w:rPr>
          <w:sz w:val="24"/>
          <w:szCs w:val="24"/>
        </w:rPr>
        <w:t>placed this</w:t>
      </w:r>
      <w:r w:rsidR="00715C9B">
        <w:rPr>
          <w:sz w:val="24"/>
          <w:szCs w:val="24"/>
        </w:rPr>
        <w:t xml:space="preserve"> </w:t>
      </w:r>
      <w:r w:rsidR="00EE5CDD">
        <w:rPr>
          <w:sz w:val="24"/>
          <w:szCs w:val="24"/>
        </w:rPr>
        <w:t>task in the hands of the state’s expert</w:t>
      </w:r>
      <w:r w:rsidR="00FE5609">
        <w:rPr>
          <w:sz w:val="24"/>
          <w:szCs w:val="24"/>
        </w:rPr>
        <w:t>s</w:t>
      </w:r>
      <w:r w:rsidR="00E25B7B">
        <w:rPr>
          <w:sz w:val="24"/>
          <w:szCs w:val="24"/>
        </w:rPr>
        <w:t xml:space="preserve">, who are continuously adjusting these policies based upon the </w:t>
      </w:r>
      <w:r w:rsidR="00AE4884">
        <w:rPr>
          <w:sz w:val="24"/>
          <w:szCs w:val="24"/>
        </w:rPr>
        <w:t>current outlook in the state.</w:t>
      </w:r>
    </w:p>
    <w:p w:rsidR="00CD05A9" w:rsidP="009443AC" w:rsidRDefault="009C7157" w14:paraId="62503AD3" w14:textId="02CAC974">
      <w:pPr>
        <w:pStyle w:val="NoSpacing"/>
        <w:spacing w:line="480" w:lineRule="auto"/>
        <w:jc w:val="both"/>
        <w:rPr>
          <w:sz w:val="24"/>
          <w:szCs w:val="24"/>
        </w:rPr>
      </w:pPr>
      <w:r w:rsidRPr="00E75A5E">
        <w:rPr>
          <w:sz w:val="24"/>
          <w:szCs w:val="24"/>
        </w:rPr>
        <w:tab/>
      </w:r>
      <w:r w:rsidR="004768AC">
        <w:rPr>
          <w:sz w:val="24"/>
          <w:szCs w:val="24"/>
        </w:rPr>
        <w:t xml:space="preserve">Additionally, </w:t>
      </w:r>
      <w:r w:rsidRPr="00E75A5E">
        <w:rPr>
          <w:sz w:val="24"/>
          <w:szCs w:val="24"/>
        </w:rPr>
        <w:t>OC</w:t>
      </w:r>
      <w:r w:rsidR="002D1931">
        <w:rPr>
          <w:sz w:val="24"/>
          <w:szCs w:val="24"/>
        </w:rPr>
        <w:t>C again</w:t>
      </w:r>
      <w:r w:rsidRPr="00E75A5E">
        <w:rPr>
          <w:sz w:val="24"/>
          <w:szCs w:val="24"/>
        </w:rPr>
        <w:t xml:space="preserve"> </w:t>
      </w:r>
      <w:r w:rsidR="005E1EBC">
        <w:rPr>
          <w:sz w:val="24"/>
          <w:szCs w:val="24"/>
        </w:rPr>
        <w:t>attempts</w:t>
      </w:r>
      <w:r w:rsidR="00FE5609">
        <w:rPr>
          <w:sz w:val="24"/>
          <w:szCs w:val="24"/>
        </w:rPr>
        <w:t xml:space="preserve"> to </w:t>
      </w:r>
      <w:r w:rsidRPr="00E75A5E" w:rsidR="001E3E38">
        <w:rPr>
          <w:sz w:val="24"/>
          <w:szCs w:val="24"/>
        </w:rPr>
        <w:t>unfairly restrict and unequally treat the Supplier community relative to</w:t>
      </w:r>
      <w:r w:rsidR="00FE5609">
        <w:rPr>
          <w:sz w:val="24"/>
          <w:szCs w:val="24"/>
        </w:rPr>
        <w:t xml:space="preserve"> all</w:t>
      </w:r>
      <w:r w:rsidRPr="00E75A5E" w:rsidR="001E3E38">
        <w:rPr>
          <w:sz w:val="24"/>
          <w:szCs w:val="24"/>
        </w:rPr>
        <w:t xml:space="preserve"> other businesses in this state, including those </w:t>
      </w:r>
      <w:r w:rsidR="00FE5609">
        <w:rPr>
          <w:sz w:val="24"/>
          <w:szCs w:val="24"/>
        </w:rPr>
        <w:t>that also conduct</w:t>
      </w:r>
      <w:r w:rsidRPr="00E75A5E" w:rsidR="001E3E38">
        <w:rPr>
          <w:sz w:val="24"/>
          <w:szCs w:val="24"/>
        </w:rPr>
        <w:t xml:space="preserve"> door-to-door activities</w:t>
      </w:r>
      <w:r w:rsidR="005E1EBC">
        <w:rPr>
          <w:sz w:val="24"/>
          <w:szCs w:val="24"/>
        </w:rPr>
        <w:t>, with</w:t>
      </w:r>
      <w:r w:rsidR="000D0692">
        <w:rPr>
          <w:sz w:val="24"/>
          <w:szCs w:val="24"/>
        </w:rPr>
        <w:t>out</w:t>
      </w:r>
      <w:r w:rsidR="005E1EBC">
        <w:rPr>
          <w:sz w:val="24"/>
          <w:szCs w:val="24"/>
        </w:rPr>
        <w:t xml:space="preserve"> any rationale.</w:t>
      </w:r>
      <w:r w:rsidR="00E067FB">
        <w:rPr>
          <w:sz w:val="24"/>
          <w:szCs w:val="24"/>
        </w:rPr>
        <w:t xml:space="preserve"> </w:t>
      </w:r>
      <w:r w:rsidR="00D406D6">
        <w:rPr>
          <w:sz w:val="24"/>
          <w:szCs w:val="24"/>
        </w:rPr>
        <w:t xml:space="preserve">In fact, </w:t>
      </w:r>
      <w:r w:rsidR="00466623">
        <w:rPr>
          <w:sz w:val="24"/>
          <w:szCs w:val="24"/>
        </w:rPr>
        <w:t xml:space="preserve">such a request is contrary to </w:t>
      </w:r>
      <w:r w:rsidR="00A06544">
        <w:rPr>
          <w:sz w:val="24"/>
          <w:szCs w:val="24"/>
        </w:rPr>
        <w:t xml:space="preserve">Governor DeWine’s July 15, 2020 Address </w:t>
      </w:r>
      <w:r w:rsidR="001D5963">
        <w:rPr>
          <w:sz w:val="24"/>
          <w:szCs w:val="24"/>
        </w:rPr>
        <w:t>cited by OCC</w:t>
      </w:r>
      <w:r w:rsidR="00466623">
        <w:rPr>
          <w:sz w:val="24"/>
          <w:szCs w:val="24"/>
        </w:rPr>
        <w:t xml:space="preserve"> which</w:t>
      </w:r>
      <w:r w:rsidR="001D5963">
        <w:rPr>
          <w:sz w:val="24"/>
          <w:szCs w:val="24"/>
        </w:rPr>
        <w:t xml:space="preserve"> </w:t>
      </w:r>
      <w:r w:rsidR="00A9534F">
        <w:rPr>
          <w:sz w:val="24"/>
          <w:szCs w:val="24"/>
        </w:rPr>
        <w:t xml:space="preserve">encourages Ohioans </w:t>
      </w:r>
      <w:r w:rsidR="00924D4C">
        <w:rPr>
          <w:sz w:val="24"/>
          <w:szCs w:val="24"/>
        </w:rPr>
        <w:t xml:space="preserve">to wear masks </w:t>
      </w:r>
      <w:r w:rsidR="000A4882">
        <w:rPr>
          <w:sz w:val="24"/>
          <w:szCs w:val="24"/>
        </w:rPr>
        <w:t>in order</w:t>
      </w:r>
      <w:r w:rsidR="00924D4C">
        <w:rPr>
          <w:sz w:val="24"/>
          <w:szCs w:val="24"/>
        </w:rPr>
        <w:t xml:space="preserve"> “keep this positive economic momentum going.”</w:t>
      </w:r>
      <w:r w:rsidR="00924D4C">
        <w:rPr>
          <w:rStyle w:val="FootnoteReference"/>
          <w:sz w:val="24"/>
          <w:szCs w:val="24"/>
        </w:rPr>
        <w:footnoteReference w:id="10"/>
      </w:r>
      <w:r w:rsidR="00924D4C">
        <w:rPr>
          <w:sz w:val="24"/>
          <w:szCs w:val="24"/>
        </w:rPr>
        <w:t xml:space="preserve"> </w:t>
      </w:r>
    </w:p>
    <w:p w:rsidR="004F2A92" w:rsidP="00CD05A9" w:rsidRDefault="00733BFF" w14:paraId="7A902B44" w14:textId="2DB61676">
      <w:pPr>
        <w:pStyle w:val="NoSpacing"/>
        <w:spacing w:line="480" w:lineRule="auto"/>
        <w:ind w:firstLine="720"/>
        <w:jc w:val="both"/>
        <w:rPr>
          <w:sz w:val="24"/>
          <w:szCs w:val="24"/>
        </w:rPr>
      </w:pPr>
      <w:r>
        <w:rPr>
          <w:sz w:val="24"/>
          <w:szCs w:val="24"/>
        </w:rPr>
        <w:t xml:space="preserve">Momentum IGS has felt since the Commission’s Entry. </w:t>
      </w:r>
      <w:r w:rsidRPr="00E75A5E" w:rsidR="00A66192">
        <w:rPr>
          <w:sz w:val="24"/>
          <w:szCs w:val="24"/>
        </w:rPr>
        <w:t>Th</w:t>
      </w:r>
      <w:r w:rsidRPr="00E75A5E" w:rsidR="00AA5255">
        <w:rPr>
          <w:sz w:val="24"/>
          <w:szCs w:val="24"/>
        </w:rPr>
        <w:t xml:space="preserve">e sales channels used during the Commission’s suspension of door-to-door </w:t>
      </w:r>
      <w:r w:rsidR="009A3273">
        <w:rPr>
          <w:sz w:val="24"/>
          <w:szCs w:val="24"/>
        </w:rPr>
        <w:t>marketing</w:t>
      </w:r>
      <w:r w:rsidRPr="00E75A5E" w:rsidR="00AA5255">
        <w:rPr>
          <w:sz w:val="24"/>
          <w:szCs w:val="24"/>
        </w:rPr>
        <w:t xml:space="preserve"> were a supplement for sales activity, not a substitute. </w:t>
      </w:r>
      <w:r w:rsidRPr="00E75A5E" w:rsidR="004F2A92">
        <w:rPr>
          <w:sz w:val="24"/>
          <w:szCs w:val="24"/>
        </w:rPr>
        <w:t xml:space="preserve"> </w:t>
      </w:r>
      <w:r w:rsidRPr="00E75A5E" w:rsidR="00AA5255">
        <w:rPr>
          <w:sz w:val="24"/>
          <w:szCs w:val="24"/>
        </w:rPr>
        <w:t>T</w:t>
      </w:r>
      <w:r w:rsidRPr="00E75A5E" w:rsidR="004F2A92">
        <w:rPr>
          <w:sz w:val="24"/>
          <w:szCs w:val="24"/>
        </w:rPr>
        <w:t>he experience that IGS creates when in the presence of the customer is superior to an over the phone encounter</w:t>
      </w:r>
      <w:r w:rsidR="00336714">
        <w:rPr>
          <w:sz w:val="24"/>
          <w:szCs w:val="24"/>
        </w:rPr>
        <w:t xml:space="preserve">. </w:t>
      </w:r>
      <w:r w:rsidR="009A3273">
        <w:rPr>
          <w:sz w:val="24"/>
          <w:szCs w:val="24"/>
        </w:rPr>
        <w:t>IGS’s</w:t>
      </w:r>
      <w:r w:rsidRPr="00E75A5E" w:rsidR="004F2A92">
        <w:rPr>
          <w:sz w:val="24"/>
          <w:szCs w:val="24"/>
        </w:rPr>
        <w:t xml:space="preserve"> sales teams are called </w:t>
      </w:r>
      <w:r w:rsidRPr="00E75A5E" w:rsidR="00336714">
        <w:rPr>
          <w:sz w:val="24"/>
          <w:szCs w:val="24"/>
        </w:rPr>
        <w:t xml:space="preserve">Home Energy Consultants </w:t>
      </w:r>
      <w:r w:rsidR="00336714">
        <w:rPr>
          <w:sz w:val="24"/>
          <w:szCs w:val="24"/>
        </w:rPr>
        <w:t xml:space="preserve">(“HECs”) </w:t>
      </w:r>
      <w:r w:rsidRPr="00E75A5E" w:rsidR="004F2A92">
        <w:rPr>
          <w:sz w:val="24"/>
          <w:szCs w:val="24"/>
        </w:rPr>
        <w:t>for a reason – they are available to the c</w:t>
      </w:r>
      <w:r w:rsidR="0074239C">
        <w:rPr>
          <w:sz w:val="24"/>
          <w:szCs w:val="24"/>
        </w:rPr>
        <w:t>ustomer</w:t>
      </w:r>
      <w:r w:rsidRPr="00E75A5E" w:rsidR="004F2A92">
        <w:rPr>
          <w:sz w:val="24"/>
          <w:szCs w:val="24"/>
        </w:rPr>
        <w:t xml:space="preserve"> to consult on their energy questions and needs</w:t>
      </w:r>
      <w:r w:rsidR="009E6646">
        <w:rPr>
          <w:sz w:val="24"/>
          <w:szCs w:val="24"/>
        </w:rPr>
        <w:t xml:space="preserve"> through a</w:t>
      </w:r>
      <w:r w:rsidRPr="00E75A5E" w:rsidR="004F2A92">
        <w:rPr>
          <w:sz w:val="24"/>
          <w:szCs w:val="24"/>
        </w:rPr>
        <w:t xml:space="preserve"> face to face encounter free of distractions and interruptions</w:t>
      </w:r>
      <w:r w:rsidR="0074239C">
        <w:rPr>
          <w:sz w:val="24"/>
          <w:szCs w:val="24"/>
        </w:rPr>
        <w:t>,</w:t>
      </w:r>
      <w:r w:rsidRPr="00E75A5E" w:rsidR="004F2A92">
        <w:rPr>
          <w:sz w:val="24"/>
          <w:szCs w:val="24"/>
        </w:rPr>
        <w:t xml:space="preserve"> </w:t>
      </w:r>
      <w:r w:rsidR="0074239C">
        <w:rPr>
          <w:sz w:val="24"/>
          <w:szCs w:val="24"/>
        </w:rPr>
        <w:t>creating the</w:t>
      </w:r>
      <w:r w:rsidR="009E6646">
        <w:rPr>
          <w:sz w:val="24"/>
          <w:szCs w:val="24"/>
        </w:rPr>
        <w:t xml:space="preserve"> best customer experience.</w:t>
      </w:r>
      <w:r w:rsidRPr="00E75A5E" w:rsidR="004F2A92">
        <w:rPr>
          <w:sz w:val="24"/>
          <w:szCs w:val="24"/>
        </w:rPr>
        <w:t xml:space="preserve"> </w:t>
      </w:r>
    </w:p>
    <w:p w:rsidRPr="00E75A5E" w:rsidR="007C767A" w:rsidP="00CE0698" w:rsidRDefault="009E7E18" w14:paraId="4A278E35" w14:textId="78E0D63C">
      <w:pPr>
        <w:pStyle w:val="NoSpacing"/>
        <w:spacing w:line="480" w:lineRule="auto"/>
        <w:jc w:val="both"/>
        <w:rPr>
          <w:sz w:val="24"/>
          <w:szCs w:val="24"/>
        </w:rPr>
      </w:pPr>
      <w:r>
        <w:rPr>
          <w:sz w:val="24"/>
          <w:szCs w:val="24"/>
        </w:rPr>
        <w:tab/>
      </w:r>
      <w:r>
        <w:rPr>
          <w:sz w:val="24"/>
          <w:szCs w:val="24"/>
        </w:rPr>
        <w:t xml:space="preserve">The Commission’s decision to adopt the most up-to-date standards issued by the Governor and ODH </w:t>
      </w:r>
      <w:r w:rsidR="0067290E">
        <w:rPr>
          <w:sz w:val="24"/>
          <w:szCs w:val="24"/>
        </w:rPr>
        <w:t xml:space="preserve">means the protections taken by Suppliers will adjust </w:t>
      </w:r>
      <w:r w:rsidR="000B7506">
        <w:rPr>
          <w:sz w:val="24"/>
          <w:szCs w:val="24"/>
        </w:rPr>
        <w:t>based upon the current situation in Ohio</w:t>
      </w:r>
      <w:r w:rsidR="009443AC">
        <w:rPr>
          <w:sz w:val="24"/>
          <w:szCs w:val="24"/>
        </w:rPr>
        <w:t>.</w:t>
      </w:r>
      <w:r w:rsidRPr="006A1F11" w:rsidR="006A1F11">
        <w:rPr>
          <w:sz w:val="24"/>
          <w:szCs w:val="24"/>
        </w:rPr>
        <w:t xml:space="preserve"> </w:t>
      </w:r>
      <w:r w:rsidR="006A1F11">
        <w:rPr>
          <w:sz w:val="24"/>
          <w:szCs w:val="24"/>
        </w:rPr>
        <w:t>There is simply no better way to respond to the concerns of the Governor than to implement his</w:t>
      </w:r>
      <w:r w:rsidR="00F3694C">
        <w:rPr>
          <w:sz w:val="24"/>
          <w:szCs w:val="24"/>
        </w:rPr>
        <w:t xml:space="preserve"> own</w:t>
      </w:r>
      <w:r w:rsidR="006A1F11">
        <w:rPr>
          <w:sz w:val="24"/>
          <w:szCs w:val="24"/>
        </w:rPr>
        <w:t xml:space="preserve"> directives</w:t>
      </w:r>
      <w:r w:rsidR="00F3694C">
        <w:rPr>
          <w:sz w:val="24"/>
          <w:szCs w:val="24"/>
        </w:rPr>
        <w:t xml:space="preserve">, and thus, OCC’s </w:t>
      </w:r>
      <w:r w:rsidR="009443AC">
        <w:rPr>
          <w:sz w:val="24"/>
          <w:szCs w:val="24"/>
        </w:rPr>
        <w:t>application should be denied.</w:t>
      </w:r>
    </w:p>
    <w:p w:rsidRPr="00E75A5E" w:rsidR="00370AC2" w:rsidP="00F10F9F" w:rsidRDefault="00AE2761" w14:paraId="42380E73" w14:textId="5467CB53">
      <w:pPr>
        <w:pStyle w:val="NoSpacing"/>
        <w:numPr>
          <w:ilvl w:val="1"/>
          <w:numId w:val="1"/>
        </w:numPr>
        <w:spacing w:after="240"/>
        <w:jc w:val="both"/>
        <w:rPr>
          <w:b/>
          <w:sz w:val="24"/>
          <w:szCs w:val="24"/>
        </w:rPr>
      </w:pPr>
      <w:r w:rsidRPr="00E75A5E">
        <w:rPr>
          <w:b/>
          <w:sz w:val="24"/>
          <w:szCs w:val="24"/>
        </w:rPr>
        <w:t xml:space="preserve">Should the Commission </w:t>
      </w:r>
      <w:r w:rsidRPr="00E75A5E" w:rsidR="00970B2E">
        <w:rPr>
          <w:b/>
          <w:sz w:val="24"/>
          <w:szCs w:val="24"/>
        </w:rPr>
        <w:t>wish to add additional consumer protections,</w:t>
      </w:r>
      <w:r w:rsidR="009443AC">
        <w:rPr>
          <w:b/>
          <w:sz w:val="24"/>
          <w:szCs w:val="24"/>
        </w:rPr>
        <w:t xml:space="preserve"> </w:t>
      </w:r>
      <w:bookmarkStart w:name="_Hlk46734647" w:id="2"/>
      <w:r w:rsidR="009443AC">
        <w:rPr>
          <w:b/>
          <w:sz w:val="24"/>
          <w:szCs w:val="24"/>
        </w:rPr>
        <w:t xml:space="preserve">IGS recommends limiting door-to-door marketing </w:t>
      </w:r>
      <w:r w:rsidR="00F10F9F">
        <w:rPr>
          <w:b/>
          <w:sz w:val="24"/>
          <w:szCs w:val="24"/>
        </w:rPr>
        <w:t xml:space="preserve">to </w:t>
      </w:r>
      <w:r w:rsidR="0043092C">
        <w:rPr>
          <w:b/>
          <w:sz w:val="24"/>
          <w:szCs w:val="24"/>
        </w:rPr>
        <w:t xml:space="preserve">only those </w:t>
      </w:r>
      <w:r w:rsidR="00B85C9E">
        <w:rPr>
          <w:b/>
          <w:sz w:val="24"/>
          <w:szCs w:val="24"/>
        </w:rPr>
        <w:t xml:space="preserve">Suppliers which </w:t>
      </w:r>
      <w:r w:rsidR="00F10F9F">
        <w:rPr>
          <w:b/>
          <w:sz w:val="24"/>
          <w:szCs w:val="24"/>
        </w:rPr>
        <w:t>direct</w:t>
      </w:r>
      <w:r w:rsidR="0043092C">
        <w:rPr>
          <w:b/>
          <w:sz w:val="24"/>
          <w:szCs w:val="24"/>
        </w:rPr>
        <w:t xml:space="preserve">ly </w:t>
      </w:r>
      <w:r w:rsidR="00C86998">
        <w:rPr>
          <w:b/>
          <w:sz w:val="24"/>
          <w:szCs w:val="24"/>
        </w:rPr>
        <w:t>employee their sales force.</w:t>
      </w:r>
      <w:r w:rsidRPr="00E75A5E" w:rsidR="00970B2E">
        <w:rPr>
          <w:b/>
          <w:sz w:val="24"/>
          <w:szCs w:val="24"/>
        </w:rPr>
        <w:t xml:space="preserve"> </w:t>
      </w:r>
      <w:bookmarkEnd w:id="2"/>
    </w:p>
    <w:p w:rsidR="006030EA" w:rsidP="009225AD" w:rsidRDefault="006030EA" w14:paraId="3EAEC06E" w14:textId="097B7F5F">
      <w:pPr>
        <w:pStyle w:val="NoSpacing"/>
        <w:spacing w:line="480" w:lineRule="auto"/>
        <w:ind w:firstLine="720"/>
        <w:jc w:val="both"/>
        <w:rPr>
          <w:sz w:val="24"/>
          <w:szCs w:val="24"/>
        </w:rPr>
      </w:pPr>
      <w:r w:rsidRPr="00E75A5E">
        <w:rPr>
          <w:sz w:val="24"/>
          <w:szCs w:val="24"/>
        </w:rPr>
        <w:t>Like the Commission and OCC, IGS wa</w:t>
      </w:r>
      <w:r w:rsidRPr="00E75A5E" w:rsidR="009224FE">
        <w:rPr>
          <w:sz w:val="24"/>
          <w:szCs w:val="24"/>
        </w:rPr>
        <w:t>s also disappointed</w:t>
      </w:r>
      <w:r w:rsidRPr="00E75A5E" w:rsidR="00807344">
        <w:rPr>
          <w:sz w:val="24"/>
          <w:szCs w:val="24"/>
        </w:rPr>
        <w:t xml:space="preserve"> and concerned</w:t>
      </w:r>
      <w:r w:rsidRPr="00E75A5E" w:rsidR="009224FE">
        <w:rPr>
          <w:sz w:val="24"/>
          <w:szCs w:val="24"/>
        </w:rPr>
        <w:t xml:space="preserve"> </w:t>
      </w:r>
      <w:r w:rsidRPr="00E75A5E" w:rsidR="00D20FB5">
        <w:rPr>
          <w:sz w:val="24"/>
          <w:szCs w:val="24"/>
        </w:rPr>
        <w:t>with the allegations</w:t>
      </w:r>
      <w:r w:rsidRPr="00E75A5E" w:rsidR="0050252A">
        <w:rPr>
          <w:sz w:val="24"/>
          <w:szCs w:val="24"/>
        </w:rPr>
        <w:t xml:space="preserve"> raised</w:t>
      </w:r>
      <w:r w:rsidRPr="00E75A5E" w:rsidR="00D20FB5">
        <w:rPr>
          <w:sz w:val="24"/>
          <w:szCs w:val="24"/>
        </w:rPr>
        <w:t xml:space="preserve"> </w:t>
      </w:r>
      <w:r w:rsidRPr="00E75A5E" w:rsidR="00B87A36">
        <w:rPr>
          <w:sz w:val="24"/>
          <w:szCs w:val="24"/>
        </w:rPr>
        <w:t>against another Supplier</w:t>
      </w:r>
      <w:r w:rsidRPr="00E75A5E" w:rsidR="0050252A">
        <w:rPr>
          <w:sz w:val="24"/>
          <w:szCs w:val="24"/>
        </w:rPr>
        <w:t xml:space="preserve"> for</w:t>
      </w:r>
      <w:r w:rsidR="0050252A">
        <w:rPr>
          <w:sz w:val="24"/>
          <w:szCs w:val="24"/>
        </w:rPr>
        <w:t xml:space="preserve"> failing to </w:t>
      </w:r>
      <w:r w:rsidR="002104C9">
        <w:rPr>
          <w:sz w:val="24"/>
          <w:szCs w:val="24"/>
        </w:rPr>
        <w:t xml:space="preserve">comply </w:t>
      </w:r>
      <w:r w:rsidR="00314BB8">
        <w:rPr>
          <w:sz w:val="24"/>
          <w:szCs w:val="24"/>
        </w:rPr>
        <w:t>with the Commission’s Entry</w:t>
      </w:r>
      <w:r w:rsidR="00B87A36">
        <w:rPr>
          <w:sz w:val="24"/>
          <w:szCs w:val="24"/>
        </w:rPr>
        <w:t>.</w:t>
      </w:r>
      <w:r w:rsidR="00B87A36">
        <w:rPr>
          <w:rStyle w:val="FootnoteReference"/>
          <w:sz w:val="24"/>
          <w:szCs w:val="24"/>
        </w:rPr>
        <w:footnoteReference w:id="11"/>
      </w:r>
      <w:r w:rsidR="00015F10">
        <w:rPr>
          <w:sz w:val="24"/>
          <w:szCs w:val="24"/>
        </w:rPr>
        <w:t xml:space="preserve"> </w:t>
      </w:r>
      <w:r w:rsidR="00404630">
        <w:rPr>
          <w:sz w:val="24"/>
          <w:szCs w:val="24"/>
        </w:rPr>
        <w:t>The</w:t>
      </w:r>
      <w:r w:rsidR="00FF568D">
        <w:rPr>
          <w:sz w:val="24"/>
          <w:szCs w:val="24"/>
        </w:rPr>
        <w:t xml:space="preserve"> </w:t>
      </w:r>
      <w:r w:rsidR="00E651A8">
        <w:rPr>
          <w:sz w:val="24"/>
          <w:szCs w:val="24"/>
        </w:rPr>
        <w:t xml:space="preserve">Commission has certainly followed through with its stated intentions that </w:t>
      </w:r>
      <w:r w:rsidR="00FF568D">
        <w:rPr>
          <w:sz w:val="24"/>
          <w:szCs w:val="24"/>
        </w:rPr>
        <w:t xml:space="preserve">swift </w:t>
      </w:r>
      <w:r w:rsidR="00404630">
        <w:rPr>
          <w:sz w:val="24"/>
          <w:szCs w:val="24"/>
        </w:rPr>
        <w:t xml:space="preserve">and serious </w:t>
      </w:r>
      <w:r w:rsidR="00FF568D">
        <w:rPr>
          <w:sz w:val="24"/>
          <w:szCs w:val="24"/>
        </w:rPr>
        <w:t xml:space="preserve">action </w:t>
      </w:r>
      <w:r w:rsidR="0088184A">
        <w:rPr>
          <w:sz w:val="24"/>
          <w:szCs w:val="24"/>
        </w:rPr>
        <w:t xml:space="preserve">will be taken against any Supplier that fails to comply its Entry. </w:t>
      </w:r>
      <w:r w:rsidR="008F40F4">
        <w:rPr>
          <w:sz w:val="24"/>
          <w:szCs w:val="24"/>
        </w:rPr>
        <w:t xml:space="preserve">Therefore, IGS believes the </w:t>
      </w:r>
      <w:r w:rsidR="004830F5">
        <w:rPr>
          <w:sz w:val="24"/>
          <w:szCs w:val="24"/>
        </w:rPr>
        <w:t>Entry is sufficiently protecting Ohioans.</w:t>
      </w:r>
      <w:r w:rsidR="00605866">
        <w:rPr>
          <w:sz w:val="24"/>
          <w:szCs w:val="24"/>
        </w:rPr>
        <w:t xml:space="preserve"> </w:t>
      </w:r>
      <w:r w:rsidR="009A7406">
        <w:rPr>
          <w:sz w:val="24"/>
          <w:szCs w:val="24"/>
        </w:rPr>
        <w:t>One</w:t>
      </w:r>
      <w:r w:rsidR="00741B4C">
        <w:rPr>
          <w:sz w:val="24"/>
          <w:szCs w:val="24"/>
        </w:rPr>
        <w:t xml:space="preserve"> Supplier do</w:t>
      </w:r>
      <w:r w:rsidR="009A7406">
        <w:rPr>
          <w:sz w:val="24"/>
          <w:szCs w:val="24"/>
        </w:rPr>
        <w:t>es</w:t>
      </w:r>
      <w:r w:rsidR="00741B4C">
        <w:rPr>
          <w:sz w:val="24"/>
          <w:szCs w:val="24"/>
        </w:rPr>
        <w:t xml:space="preserve"> not represent the </w:t>
      </w:r>
      <w:r w:rsidR="00102627">
        <w:rPr>
          <w:sz w:val="24"/>
          <w:szCs w:val="24"/>
        </w:rPr>
        <w:t>entire industry</w:t>
      </w:r>
      <w:r w:rsidR="00115ECC">
        <w:rPr>
          <w:sz w:val="24"/>
          <w:szCs w:val="24"/>
        </w:rPr>
        <w:t xml:space="preserve">, </w:t>
      </w:r>
      <w:r w:rsidR="009A7406">
        <w:rPr>
          <w:sz w:val="24"/>
          <w:szCs w:val="24"/>
        </w:rPr>
        <w:t>so</w:t>
      </w:r>
      <w:r w:rsidR="00116657">
        <w:rPr>
          <w:sz w:val="24"/>
          <w:szCs w:val="24"/>
        </w:rPr>
        <w:t xml:space="preserve"> </w:t>
      </w:r>
      <w:r w:rsidR="00115ECC">
        <w:rPr>
          <w:sz w:val="24"/>
          <w:szCs w:val="24"/>
        </w:rPr>
        <w:t xml:space="preserve">regulation should </w:t>
      </w:r>
      <w:r w:rsidR="00AE3EF3">
        <w:rPr>
          <w:sz w:val="24"/>
          <w:szCs w:val="24"/>
        </w:rPr>
        <w:t>not be tailored toward the</w:t>
      </w:r>
      <w:r w:rsidR="00965A36">
        <w:rPr>
          <w:sz w:val="24"/>
          <w:szCs w:val="24"/>
        </w:rPr>
        <w:t>se</w:t>
      </w:r>
      <w:r w:rsidR="00AE3EF3">
        <w:rPr>
          <w:sz w:val="24"/>
          <w:szCs w:val="24"/>
        </w:rPr>
        <w:t xml:space="preserve"> exceptions. </w:t>
      </w:r>
    </w:p>
    <w:p w:rsidR="009759CE" w:rsidP="00D27815" w:rsidRDefault="003075FE" w14:paraId="133B783A" w14:textId="4E207761">
      <w:pPr>
        <w:pStyle w:val="NoSpacing"/>
        <w:spacing w:line="480" w:lineRule="auto"/>
        <w:ind w:firstLine="720"/>
        <w:jc w:val="both"/>
        <w:rPr>
          <w:sz w:val="24"/>
          <w:szCs w:val="24"/>
        </w:rPr>
      </w:pPr>
      <w:r>
        <w:rPr>
          <w:sz w:val="24"/>
          <w:szCs w:val="24"/>
        </w:rPr>
        <w:t>However, s</w:t>
      </w:r>
      <w:r w:rsidR="00B155DE">
        <w:rPr>
          <w:sz w:val="24"/>
          <w:szCs w:val="24"/>
        </w:rPr>
        <w:t>hould the Commission wish to</w:t>
      </w:r>
      <w:r w:rsidR="00983FA4">
        <w:rPr>
          <w:sz w:val="24"/>
          <w:szCs w:val="24"/>
        </w:rPr>
        <w:t xml:space="preserve"> </w:t>
      </w:r>
      <w:r w:rsidR="00AA7251">
        <w:rPr>
          <w:sz w:val="24"/>
          <w:szCs w:val="24"/>
        </w:rPr>
        <w:t xml:space="preserve">modify </w:t>
      </w:r>
      <w:r w:rsidR="00D27815">
        <w:rPr>
          <w:sz w:val="24"/>
          <w:szCs w:val="24"/>
        </w:rPr>
        <w:t>its Entry</w:t>
      </w:r>
      <w:r w:rsidR="00983FA4">
        <w:rPr>
          <w:sz w:val="24"/>
          <w:szCs w:val="24"/>
        </w:rPr>
        <w:t>, IGS recommends restricting</w:t>
      </w:r>
      <w:r w:rsidR="00B51A67">
        <w:rPr>
          <w:sz w:val="24"/>
          <w:szCs w:val="24"/>
        </w:rPr>
        <w:t xml:space="preserve"> </w:t>
      </w:r>
      <w:r w:rsidR="00983FA4">
        <w:rPr>
          <w:sz w:val="24"/>
          <w:szCs w:val="24"/>
        </w:rPr>
        <w:t>door-to-door solicitations to only</w:t>
      </w:r>
      <w:r w:rsidR="00E03A94">
        <w:rPr>
          <w:sz w:val="24"/>
          <w:szCs w:val="24"/>
        </w:rPr>
        <w:t xml:space="preserve"> those </w:t>
      </w:r>
      <w:r w:rsidR="00197338">
        <w:rPr>
          <w:sz w:val="24"/>
          <w:szCs w:val="24"/>
        </w:rPr>
        <w:t xml:space="preserve">Suppliers with an employee-based sales force. </w:t>
      </w:r>
      <w:r w:rsidR="00A20489">
        <w:rPr>
          <w:sz w:val="24"/>
          <w:szCs w:val="24"/>
        </w:rPr>
        <w:t>The Commission should</w:t>
      </w:r>
      <w:r w:rsidRPr="00A81C06" w:rsidR="00A81C06">
        <w:rPr>
          <w:sz w:val="24"/>
          <w:szCs w:val="24"/>
        </w:rPr>
        <w:t xml:space="preserve"> consider the notable additional control that IGS retains over its HECs because they are employees</w:t>
      </w:r>
      <w:r w:rsidR="00A36BF7">
        <w:rPr>
          <w:sz w:val="24"/>
          <w:szCs w:val="24"/>
        </w:rPr>
        <w:t xml:space="preserve"> of IGS</w:t>
      </w:r>
      <w:r w:rsidRPr="00A81C06" w:rsidR="00A81C06">
        <w:rPr>
          <w:sz w:val="24"/>
          <w:szCs w:val="24"/>
        </w:rPr>
        <w:t>. This arrangement is somewhat unique in the marketplace and provides the HE</w:t>
      </w:r>
      <w:r w:rsidR="004F2A92">
        <w:rPr>
          <w:sz w:val="24"/>
          <w:szCs w:val="24"/>
        </w:rPr>
        <w:t>C</w:t>
      </w:r>
      <w:r w:rsidRPr="00A81C06" w:rsidR="00A81C06">
        <w:rPr>
          <w:sz w:val="24"/>
          <w:szCs w:val="24"/>
        </w:rPr>
        <w:t xml:space="preserve">s with regular, non-commission-based income, with benefits, and provides IGS a much greater ability to direct the activities of its employees and to discipline or retrain any who fall short.  </w:t>
      </w:r>
      <w:r w:rsidR="00E963F4">
        <w:rPr>
          <w:sz w:val="24"/>
          <w:szCs w:val="24"/>
        </w:rPr>
        <w:t>This</w:t>
      </w:r>
      <w:r w:rsidR="00737104">
        <w:rPr>
          <w:sz w:val="24"/>
          <w:szCs w:val="24"/>
        </w:rPr>
        <w:t xml:space="preserve"> also provides IGS</w:t>
      </w:r>
      <w:r w:rsidR="00764080">
        <w:rPr>
          <w:sz w:val="24"/>
          <w:szCs w:val="24"/>
        </w:rPr>
        <w:t xml:space="preserve"> with</w:t>
      </w:r>
      <w:r w:rsidR="00E963F4">
        <w:rPr>
          <w:sz w:val="24"/>
          <w:szCs w:val="24"/>
        </w:rPr>
        <w:t xml:space="preserve"> the ability to stress the seriousness</w:t>
      </w:r>
      <w:r w:rsidR="008E4CBC">
        <w:rPr>
          <w:sz w:val="24"/>
          <w:szCs w:val="24"/>
        </w:rPr>
        <w:t xml:space="preserve"> </w:t>
      </w:r>
      <w:r w:rsidR="00F5757C">
        <w:rPr>
          <w:sz w:val="24"/>
          <w:szCs w:val="24"/>
        </w:rPr>
        <w:t xml:space="preserve">of any violations </w:t>
      </w:r>
      <w:r w:rsidR="003B6DF5">
        <w:rPr>
          <w:sz w:val="24"/>
          <w:szCs w:val="24"/>
        </w:rPr>
        <w:t xml:space="preserve">to the </w:t>
      </w:r>
      <w:r w:rsidR="008E4CBC">
        <w:rPr>
          <w:sz w:val="24"/>
          <w:szCs w:val="24"/>
        </w:rPr>
        <w:t>Entry</w:t>
      </w:r>
      <w:r w:rsidR="007F6B2E">
        <w:rPr>
          <w:sz w:val="24"/>
          <w:szCs w:val="24"/>
        </w:rPr>
        <w:t xml:space="preserve">, </w:t>
      </w:r>
      <w:r w:rsidR="000E3771">
        <w:rPr>
          <w:sz w:val="24"/>
          <w:szCs w:val="24"/>
        </w:rPr>
        <w:t>as</w:t>
      </w:r>
      <w:r w:rsidR="00F66CFC">
        <w:rPr>
          <w:sz w:val="24"/>
          <w:szCs w:val="24"/>
        </w:rPr>
        <w:t xml:space="preserve"> demonstra</w:t>
      </w:r>
      <w:r w:rsidR="002176C4">
        <w:rPr>
          <w:sz w:val="24"/>
          <w:szCs w:val="24"/>
        </w:rPr>
        <w:t xml:space="preserve">ted </w:t>
      </w:r>
      <w:r w:rsidR="00F66CFC">
        <w:rPr>
          <w:sz w:val="24"/>
          <w:szCs w:val="24"/>
        </w:rPr>
        <w:t xml:space="preserve">by the Commission’s </w:t>
      </w:r>
      <w:r w:rsidR="00C44C3C">
        <w:rPr>
          <w:sz w:val="24"/>
          <w:szCs w:val="24"/>
        </w:rPr>
        <w:t>recent actions.</w:t>
      </w:r>
      <w:r w:rsidR="00C44C3C">
        <w:rPr>
          <w:rStyle w:val="FootnoteReference"/>
          <w:sz w:val="24"/>
          <w:szCs w:val="24"/>
        </w:rPr>
        <w:footnoteReference w:id="12"/>
      </w:r>
    </w:p>
    <w:p w:rsidR="00A81C06" w:rsidP="00D27815" w:rsidRDefault="00187D05" w14:paraId="4918D0B2" w14:textId="6FF6DE4C">
      <w:pPr>
        <w:pStyle w:val="NoSpacing"/>
        <w:spacing w:line="480" w:lineRule="auto"/>
        <w:ind w:firstLine="720"/>
        <w:jc w:val="both"/>
        <w:rPr>
          <w:sz w:val="24"/>
          <w:szCs w:val="24"/>
        </w:rPr>
      </w:pPr>
      <w:r>
        <w:rPr>
          <w:sz w:val="24"/>
          <w:szCs w:val="24"/>
        </w:rPr>
        <w:t>Thus, a</w:t>
      </w:r>
      <w:r w:rsidR="009759CE">
        <w:rPr>
          <w:sz w:val="24"/>
          <w:szCs w:val="24"/>
        </w:rPr>
        <w:t xml:space="preserve">lthough IGS </w:t>
      </w:r>
      <w:r w:rsidR="00DB4D79">
        <w:rPr>
          <w:sz w:val="24"/>
          <w:szCs w:val="24"/>
        </w:rPr>
        <w:t xml:space="preserve">believes the provisions issued by the state and the Commission are </w:t>
      </w:r>
      <w:proofErr w:type="gramStart"/>
      <w:r w:rsidR="00DB4D79">
        <w:rPr>
          <w:sz w:val="24"/>
          <w:szCs w:val="24"/>
        </w:rPr>
        <w:t>sufficient</w:t>
      </w:r>
      <w:proofErr w:type="gramEnd"/>
      <w:r w:rsidR="00781963">
        <w:rPr>
          <w:sz w:val="24"/>
          <w:szCs w:val="24"/>
        </w:rPr>
        <w:t>,</w:t>
      </w:r>
      <w:r>
        <w:rPr>
          <w:sz w:val="24"/>
          <w:szCs w:val="24"/>
        </w:rPr>
        <w:t xml:space="preserve"> should the Commission wish to add additional consumer protections,</w:t>
      </w:r>
      <w:r w:rsidR="00781963">
        <w:rPr>
          <w:sz w:val="24"/>
          <w:szCs w:val="24"/>
        </w:rPr>
        <w:t xml:space="preserve"> </w:t>
      </w:r>
      <w:r w:rsidRPr="00187D05">
        <w:rPr>
          <w:sz w:val="24"/>
          <w:szCs w:val="24"/>
        </w:rPr>
        <w:t xml:space="preserve">IGS recommends limiting door-to-door marketing to only those Suppliers which directly employee their sales force. </w:t>
      </w:r>
      <w:r w:rsidR="006B1AC4">
        <w:rPr>
          <w:sz w:val="24"/>
          <w:szCs w:val="24"/>
        </w:rPr>
        <w:t>This</w:t>
      </w:r>
      <w:r w:rsidRPr="00A81C06" w:rsidR="00A81C06">
        <w:rPr>
          <w:sz w:val="24"/>
          <w:szCs w:val="24"/>
        </w:rPr>
        <w:t xml:space="preserve"> level of control should assuage many of the stated concerns regarding in-person marketing.</w:t>
      </w:r>
    </w:p>
    <w:p w:rsidR="00D611EC" w:rsidP="00D27815" w:rsidRDefault="00D611EC" w14:paraId="52E5567A" w14:textId="77777777">
      <w:pPr>
        <w:pStyle w:val="NoSpacing"/>
        <w:spacing w:line="480" w:lineRule="auto"/>
        <w:ind w:firstLine="720"/>
        <w:jc w:val="both"/>
        <w:rPr>
          <w:sz w:val="24"/>
          <w:szCs w:val="24"/>
        </w:rPr>
      </w:pPr>
    </w:p>
    <w:p w:rsidRPr="00F6549E" w:rsidR="00247D46" w:rsidP="00247D46" w:rsidRDefault="00247D46" w14:paraId="5D2624EC" w14:textId="407E6C48">
      <w:pPr>
        <w:pStyle w:val="NoSpacing"/>
        <w:numPr>
          <w:ilvl w:val="1"/>
          <w:numId w:val="1"/>
        </w:numPr>
        <w:spacing w:after="240"/>
        <w:jc w:val="both"/>
        <w:rPr>
          <w:b/>
          <w:sz w:val="24"/>
          <w:szCs w:val="24"/>
        </w:rPr>
      </w:pPr>
      <w:r w:rsidRPr="00F6549E">
        <w:rPr>
          <w:b/>
          <w:sz w:val="24"/>
          <w:szCs w:val="24"/>
        </w:rPr>
        <w:t xml:space="preserve">Northeast Ohio Public Energy Council, Ohio Poverty Law Center, Coalition on Homelessness and Housing in Ohio, Pro Seniors, Inc., and Southeastern Ohio Legal Services </w:t>
      </w:r>
      <w:r w:rsidR="00D4537D">
        <w:rPr>
          <w:b/>
          <w:sz w:val="24"/>
          <w:szCs w:val="24"/>
        </w:rPr>
        <w:t xml:space="preserve">do not have standing to filing an application for </w:t>
      </w:r>
      <w:r w:rsidR="003103A2">
        <w:rPr>
          <w:b/>
          <w:sz w:val="24"/>
          <w:szCs w:val="24"/>
        </w:rPr>
        <w:t>re</w:t>
      </w:r>
      <w:r w:rsidR="00D4537D">
        <w:rPr>
          <w:b/>
          <w:sz w:val="24"/>
          <w:szCs w:val="24"/>
        </w:rPr>
        <w:t>hearing</w:t>
      </w:r>
      <w:r w:rsidRPr="00F6549E">
        <w:rPr>
          <w:b/>
          <w:sz w:val="24"/>
          <w:szCs w:val="24"/>
        </w:rPr>
        <w:t xml:space="preserve">, and therefore, the Commission must </w:t>
      </w:r>
      <w:r w:rsidR="005519F4">
        <w:rPr>
          <w:b/>
          <w:sz w:val="24"/>
          <w:szCs w:val="24"/>
        </w:rPr>
        <w:t xml:space="preserve">give no weight to their </w:t>
      </w:r>
      <w:r w:rsidR="00360865">
        <w:rPr>
          <w:b/>
          <w:sz w:val="24"/>
          <w:szCs w:val="24"/>
        </w:rPr>
        <w:t>inclusion on OCC’s Application for Rehearing</w:t>
      </w:r>
      <w:r>
        <w:rPr>
          <w:b/>
          <w:sz w:val="24"/>
          <w:szCs w:val="24"/>
        </w:rPr>
        <w:t>.</w:t>
      </w:r>
    </w:p>
    <w:p w:rsidR="00247D46" w:rsidP="00247D46" w:rsidRDefault="00247D46" w14:paraId="1B6358E0" w14:textId="54FD9C46">
      <w:pPr>
        <w:spacing w:line="480" w:lineRule="auto"/>
        <w:ind w:firstLine="720"/>
        <w:jc w:val="both"/>
      </w:pPr>
      <w:r w:rsidRPr="00BA1630">
        <w:rPr>
          <w:bCs/>
        </w:rPr>
        <w:t>R.C. 4903.10</w:t>
      </w:r>
      <w:r w:rsidRPr="00BA1630">
        <w:t xml:space="preserve"> states that, after any order has been made by the Commission, </w:t>
      </w:r>
      <w:r w:rsidR="0029360A">
        <w:t>“</w:t>
      </w:r>
      <w:r w:rsidRPr="00BA1630">
        <w:t>any</w:t>
      </w:r>
      <w:r>
        <w:t xml:space="preserve"> </w:t>
      </w:r>
      <w:r w:rsidRPr="00BA1630">
        <w:t>party who has entered an appearance in person or by counsel in the proceeding may apply for a rehearing in respect to any matters determined in the proceeding.</w:t>
      </w:r>
      <w:r w:rsidR="0029360A">
        <w:t>”</w:t>
      </w:r>
      <w:r>
        <w:t xml:space="preserve"> On July 17, 2020, the OCC, along with NOPEC, OPLC, COHHIO, PSI, and SOLS filed an application for rehearing in this proceeding. </w:t>
      </w:r>
      <w:r w:rsidR="00300611">
        <w:t>However,</w:t>
      </w:r>
      <w:r>
        <w:t xml:space="preserve"> NOPEC, OPLC, COHHIO, PSI, and SOLS </w:t>
      </w:r>
      <w:r w:rsidR="00F4450E">
        <w:t xml:space="preserve">have failed to file for intervention, and therefore, </w:t>
      </w:r>
      <w:r w:rsidR="001E5D5D">
        <w:t>none are a “party”</w:t>
      </w:r>
      <w:r>
        <w:t xml:space="preserve"> </w:t>
      </w:r>
      <w:r w:rsidR="00D71047">
        <w:t xml:space="preserve">under R.C. 4903.10, </w:t>
      </w:r>
      <w:r>
        <w:t xml:space="preserve">as defined by Ohio </w:t>
      </w:r>
      <w:proofErr w:type="spellStart"/>
      <w:r>
        <w:t>Adm.Code</w:t>
      </w:r>
      <w:proofErr w:type="spellEnd"/>
      <w:r>
        <w:t xml:space="preserve"> 4901-1-1</w:t>
      </w:r>
      <w:r w:rsidR="00300611">
        <w:t>0</w:t>
      </w:r>
      <w:r w:rsidR="00F4450E">
        <w:t>.</w:t>
      </w:r>
      <w:r w:rsidR="004864F2">
        <w:rPr>
          <w:rStyle w:val="FootnoteReference"/>
        </w:rPr>
        <w:footnoteReference w:id="13"/>
      </w:r>
      <w:r w:rsidR="00F4450E">
        <w:t xml:space="preserve"> </w:t>
      </w:r>
    </w:p>
    <w:p w:rsidRPr="006344FE" w:rsidR="00247D46" w:rsidP="006344FE" w:rsidRDefault="00247D46" w14:paraId="26FADA27" w14:textId="29AFE7AC">
      <w:pPr>
        <w:spacing w:line="480" w:lineRule="auto"/>
        <w:ind w:firstLine="720"/>
        <w:jc w:val="both"/>
      </w:pPr>
      <w:r w:rsidRPr="00B64C1B">
        <w:t xml:space="preserve">R.C. 4903.10 also provides that an affected person, firm or corporation may file for rehearing in an uncontested proceeding or by leave of the Commission. However, this is not an uncontested proceeding, and </w:t>
      </w:r>
      <w:r>
        <w:t xml:space="preserve">these entities </w:t>
      </w:r>
      <w:r w:rsidRPr="00B64C1B">
        <w:t xml:space="preserve">did not seek leave from </w:t>
      </w:r>
      <w:r>
        <w:t>the Commission</w:t>
      </w:r>
      <w:r w:rsidR="00070ABB">
        <w:t xml:space="preserve"> in order to file this application</w:t>
      </w:r>
      <w:r>
        <w:t xml:space="preserve">. Therefore, </w:t>
      </w:r>
      <w:r w:rsidRPr="00B64C1B">
        <w:t>th</w:t>
      </w:r>
      <w:r>
        <w:t>ese entities</w:t>
      </w:r>
      <w:r w:rsidRPr="00B64C1B">
        <w:t xml:space="preserve"> </w:t>
      </w:r>
      <w:r>
        <w:t xml:space="preserve">do not have a right to apply for rehearing with respect to the Commission’s Entry, and the Commission must </w:t>
      </w:r>
      <w:r w:rsidR="00FC1E5D">
        <w:t xml:space="preserve">give no weight to </w:t>
      </w:r>
      <w:r w:rsidR="006344FE">
        <w:t>inclusion of these parties on OCC’s Application for Rehearing.</w:t>
      </w:r>
      <w:r w:rsidR="00A90937">
        <w:rPr>
          <w:rStyle w:val="FootnoteReference"/>
        </w:rPr>
        <w:footnoteReference w:id="14"/>
      </w:r>
      <w:r w:rsidR="00FC1E5D">
        <w:t xml:space="preserve"> </w:t>
      </w:r>
    </w:p>
    <w:p w:rsidR="00A31989" w:rsidP="006C5B91" w:rsidRDefault="00A31989" w14:paraId="19C8216F" w14:textId="3B01029E">
      <w:pPr>
        <w:pStyle w:val="NoSpacing"/>
        <w:numPr>
          <w:ilvl w:val="0"/>
          <w:numId w:val="1"/>
        </w:numPr>
        <w:spacing w:line="480" w:lineRule="auto"/>
        <w:jc w:val="both"/>
        <w:rPr>
          <w:b/>
          <w:sz w:val="24"/>
          <w:szCs w:val="24"/>
        </w:rPr>
      </w:pPr>
      <w:r w:rsidRPr="00872F2B">
        <w:rPr>
          <w:b/>
          <w:sz w:val="24"/>
          <w:szCs w:val="24"/>
        </w:rPr>
        <w:t>CONCLUSION</w:t>
      </w:r>
    </w:p>
    <w:p w:rsidRPr="00913108" w:rsidR="00913108" w:rsidP="00583910" w:rsidRDefault="00583910" w14:paraId="30CE45F6" w14:textId="20597095">
      <w:pPr>
        <w:pStyle w:val="NoSpacing"/>
        <w:spacing w:line="480" w:lineRule="auto"/>
        <w:ind w:firstLine="720"/>
        <w:jc w:val="both"/>
        <w:rPr>
          <w:sz w:val="24"/>
          <w:szCs w:val="24"/>
        </w:rPr>
      </w:pPr>
      <w:r>
        <w:rPr>
          <w:sz w:val="24"/>
          <w:szCs w:val="24"/>
        </w:rPr>
        <w:t>For the reasons set forth above, IGS requests that the Commission deny the Application for Rehearing filed by OCC in its entirety.</w:t>
      </w:r>
    </w:p>
    <w:p w:rsidRPr="008C7723" w:rsidR="00B332D6" w:rsidP="00B332D6" w:rsidRDefault="00B332D6" w14:paraId="1D15B83C" w14:textId="6549A080">
      <w:pPr>
        <w:pStyle w:val="NoSpacing"/>
        <w:rPr>
          <w:sz w:val="24"/>
          <w:szCs w:val="24"/>
        </w:rPr>
      </w:pPr>
    </w:p>
    <w:p w:rsidRPr="008C7723" w:rsidR="00B332D6" w:rsidP="00B332D6" w:rsidRDefault="00B332D6" w14:paraId="549F2C02" w14:textId="79683CF0">
      <w:pPr>
        <w:pStyle w:val="NoSpacing"/>
        <w:rPr>
          <w:sz w:val="24"/>
          <w:szCs w:val="24"/>
        </w:rPr>
      </w:pPr>
    </w:p>
    <w:p w:rsidR="007235BC" w:rsidP="008C7723" w:rsidRDefault="007235BC" w14:paraId="511B7ABF" w14:textId="77777777">
      <w:pPr>
        <w:pStyle w:val="NoSpacing"/>
        <w:ind w:left="4320"/>
        <w:rPr>
          <w:sz w:val="24"/>
          <w:szCs w:val="24"/>
        </w:rPr>
      </w:pPr>
    </w:p>
    <w:p w:rsidRPr="008C7723" w:rsidR="00B332D6" w:rsidP="008C7723" w:rsidRDefault="00B332D6" w14:paraId="2EF6B8D4" w14:textId="735559DB">
      <w:pPr>
        <w:pStyle w:val="NoSpacing"/>
        <w:ind w:left="4320"/>
        <w:rPr>
          <w:sz w:val="24"/>
          <w:szCs w:val="24"/>
        </w:rPr>
      </w:pPr>
      <w:r w:rsidRPr="008C7723">
        <w:rPr>
          <w:sz w:val="24"/>
          <w:szCs w:val="24"/>
        </w:rPr>
        <w:t xml:space="preserve">Respectfully submitted, </w:t>
      </w:r>
    </w:p>
    <w:p w:rsidRPr="008C7723" w:rsidR="00B332D6" w:rsidP="008C7723" w:rsidRDefault="00B332D6" w14:paraId="2C652411" w14:textId="3F255D3E">
      <w:pPr>
        <w:pStyle w:val="NoSpacing"/>
        <w:ind w:left="4320"/>
        <w:rPr>
          <w:sz w:val="24"/>
          <w:szCs w:val="24"/>
        </w:rPr>
      </w:pPr>
    </w:p>
    <w:p w:rsidRPr="008C7723" w:rsidR="00780582" w:rsidP="008C7723" w:rsidRDefault="00780582" w14:paraId="4DF9763C" w14:textId="1D986FCC">
      <w:pPr>
        <w:ind w:left="4320"/>
        <w:rPr>
          <w:szCs w:val="24"/>
          <w:u w:val="single"/>
        </w:rPr>
      </w:pPr>
      <w:r w:rsidRPr="008C7723">
        <w:rPr>
          <w:szCs w:val="24"/>
          <w:u w:val="single"/>
        </w:rPr>
        <w:t xml:space="preserve">/s/ Bethany Allen </w:t>
      </w:r>
    </w:p>
    <w:p w:rsidRPr="008C7723" w:rsidR="00780582" w:rsidP="008C7723" w:rsidRDefault="00780582" w14:paraId="7132DA54" w14:textId="46EEB097">
      <w:pPr>
        <w:ind w:left="4320"/>
        <w:rPr>
          <w:szCs w:val="24"/>
        </w:rPr>
      </w:pPr>
      <w:r w:rsidRPr="008C7723">
        <w:rPr>
          <w:szCs w:val="24"/>
        </w:rPr>
        <w:t xml:space="preserve">Bethany Allen (0093732) </w:t>
      </w:r>
    </w:p>
    <w:p w:rsidRPr="008C7723" w:rsidR="00780582" w:rsidP="008C7723" w:rsidRDefault="00780582" w14:paraId="7EE676B6" w14:textId="77777777">
      <w:pPr>
        <w:ind w:left="4320"/>
        <w:rPr>
          <w:szCs w:val="24"/>
        </w:rPr>
      </w:pPr>
      <w:r w:rsidRPr="008C7723">
        <w:rPr>
          <w:szCs w:val="24"/>
        </w:rPr>
        <w:t xml:space="preserve">Counsel of Record </w:t>
      </w:r>
    </w:p>
    <w:p w:rsidRPr="008C7723" w:rsidR="00780582" w:rsidP="008C7723" w:rsidRDefault="0021012A" w14:paraId="4426BB6F" w14:textId="6ACB0E43">
      <w:pPr>
        <w:ind w:left="4320"/>
        <w:rPr>
          <w:szCs w:val="24"/>
        </w:rPr>
      </w:pPr>
      <w:hyperlink w:history="1" r:id="rId11">
        <w:r w:rsidRPr="008C7723" w:rsidR="00780582">
          <w:rPr>
            <w:rStyle w:val="Hyperlink"/>
            <w:szCs w:val="24"/>
          </w:rPr>
          <w:t>bethany.allen@igs.com</w:t>
        </w:r>
      </w:hyperlink>
      <w:r w:rsidRPr="008C7723" w:rsidR="00780582">
        <w:rPr>
          <w:szCs w:val="24"/>
        </w:rPr>
        <w:t xml:space="preserve"> </w:t>
      </w:r>
    </w:p>
    <w:p w:rsidRPr="008C7723" w:rsidR="00780582" w:rsidP="008C7723" w:rsidRDefault="00780582" w14:paraId="10E5FBA9" w14:textId="77777777">
      <w:pPr>
        <w:ind w:left="4320"/>
        <w:rPr>
          <w:szCs w:val="24"/>
        </w:rPr>
      </w:pPr>
      <w:r w:rsidRPr="008C7723">
        <w:rPr>
          <w:szCs w:val="24"/>
        </w:rPr>
        <w:t xml:space="preserve">Joseph Oliker (0086088) </w:t>
      </w:r>
    </w:p>
    <w:p w:rsidRPr="008C7723" w:rsidR="00780582" w:rsidP="008C7723" w:rsidRDefault="0021012A" w14:paraId="713398A3" w14:textId="74B4EDD4">
      <w:pPr>
        <w:ind w:left="4320"/>
        <w:rPr>
          <w:szCs w:val="24"/>
        </w:rPr>
      </w:pPr>
      <w:hyperlink w:history="1" r:id="rId12">
        <w:r w:rsidRPr="008C7723" w:rsidR="00780582">
          <w:rPr>
            <w:rStyle w:val="Hyperlink"/>
            <w:szCs w:val="24"/>
          </w:rPr>
          <w:t>joe.oliker@igs.com</w:t>
        </w:r>
      </w:hyperlink>
      <w:r w:rsidRPr="008C7723" w:rsidR="00780582">
        <w:rPr>
          <w:szCs w:val="24"/>
        </w:rPr>
        <w:t xml:space="preserve"> </w:t>
      </w:r>
    </w:p>
    <w:p w:rsidRPr="008C7723" w:rsidR="00780582" w:rsidP="008C7723" w:rsidRDefault="00780582" w14:paraId="24F1BADF" w14:textId="77777777">
      <w:pPr>
        <w:ind w:left="4320"/>
        <w:rPr>
          <w:szCs w:val="24"/>
        </w:rPr>
      </w:pPr>
      <w:r w:rsidRPr="008C7723">
        <w:rPr>
          <w:szCs w:val="24"/>
        </w:rPr>
        <w:t xml:space="preserve">Michael Nugent (0090408) </w:t>
      </w:r>
    </w:p>
    <w:p w:rsidRPr="008C7723" w:rsidR="00780582" w:rsidP="008C7723" w:rsidRDefault="0021012A" w14:paraId="2F8A58CD" w14:textId="618C3204">
      <w:pPr>
        <w:ind w:left="4320"/>
        <w:rPr>
          <w:szCs w:val="24"/>
        </w:rPr>
      </w:pPr>
      <w:hyperlink w:history="1" r:id="rId13">
        <w:r w:rsidRPr="008C7723" w:rsidR="00780582">
          <w:rPr>
            <w:rStyle w:val="Hyperlink"/>
            <w:szCs w:val="24"/>
          </w:rPr>
          <w:t>michael.nugent@igs.com</w:t>
        </w:r>
      </w:hyperlink>
      <w:r w:rsidRPr="008C7723" w:rsidR="00780582">
        <w:rPr>
          <w:szCs w:val="24"/>
        </w:rPr>
        <w:t xml:space="preserve"> </w:t>
      </w:r>
    </w:p>
    <w:p w:rsidRPr="008C7723" w:rsidR="00780582" w:rsidP="008C7723" w:rsidRDefault="00780582" w14:paraId="54187745" w14:textId="3AEC2C90">
      <w:pPr>
        <w:ind w:left="4320"/>
        <w:rPr>
          <w:szCs w:val="24"/>
        </w:rPr>
      </w:pPr>
      <w:r w:rsidRPr="008C7723">
        <w:rPr>
          <w:szCs w:val="24"/>
        </w:rPr>
        <w:t>I</w:t>
      </w:r>
      <w:r w:rsidRPr="008C7723" w:rsidR="008C7723">
        <w:rPr>
          <w:szCs w:val="24"/>
        </w:rPr>
        <w:t>nterstate Gas Supply, Inc.</w:t>
      </w:r>
    </w:p>
    <w:p w:rsidRPr="008C7723" w:rsidR="00780582" w:rsidP="008C7723" w:rsidRDefault="00780582" w14:paraId="46647714" w14:textId="77777777">
      <w:pPr>
        <w:ind w:left="4320"/>
        <w:rPr>
          <w:szCs w:val="24"/>
        </w:rPr>
      </w:pPr>
      <w:r w:rsidRPr="008C7723">
        <w:rPr>
          <w:szCs w:val="24"/>
        </w:rPr>
        <w:t xml:space="preserve">6100 Emerald Parkway </w:t>
      </w:r>
    </w:p>
    <w:p w:rsidRPr="008C7723" w:rsidR="00780582" w:rsidP="008C7723" w:rsidRDefault="00780582" w14:paraId="04C4F5F9" w14:textId="77777777">
      <w:pPr>
        <w:ind w:left="4320"/>
        <w:rPr>
          <w:szCs w:val="24"/>
        </w:rPr>
      </w:pPr>
      <w:r w:rsidRPr="008C7723">
        <w:rPr>
          <w:szCs w:val="24"/>
        </w:rPr>
        <w:t xml:space="preserve">Dublin, Ohio 43016 </w:t>
      </w:r>
    </w:p>
    <w:p w:rsidRPr="008C7723" w:rsidR="00780582" w:rsidP="008C7723" w:rsidRDefault="00780582" w14:paraId="5DC89A2C" w14:textId="77777777">
      <w:pPr>
        <w:ind w:left="4320"/>
        <w:rPr>
          <w:szCs w:val="24"/>
        </w:rPr>
      </w:pPr>
      <w:r w:rsidRPr="008C7723">
        <w:rPr>
          <w:szCs w:val="24"/>
        </w:rPr>
        <w:t xml:space="preserve">Telephone:(614) 659-5000 </w:t>
      </w:r>
    </w:p>
    <w:p w:rsidRPr="008C7723" w:rsidR="00780582" w:rsidP="008C7723" w:rsidRDefault="00780582" w14:paraId="78DEA8AC" w14:textId="77777777">
      <w:pPr>
        <w:ind w:left="4320"/>
        <w:rPr>
          <w:szCs w:val="24"/>
        </w:rPr>
      </w:pPr>
    </w:p>
    <w:p w:rsidRPr="008C7723" w:rsidR="00780582" w:rsidP="008C7723" w:rsidRDefault="00780582" w14:paraId="52895558" w14:textId="77777777">
      <w:pPr>
        <w:ind w:left="4320"/>
        <w:rPr>
          <w:b/>
          <w:szCs w:val="24"/>
        </w:rPr>
      </w:pPr>
      <w:r w:rsidRPr="008C7723">
        <w:rPr>
          <w:b/>
          <w:szCs w:val="24"/>
        </w:rPr>
        <w:t xml:space="preserve">Attorneys for IGS </w:t>
      </w:r>
    </w:p>
    <w:p w:rsidRPr="008C7723" w:rsidR="004031FC" w:rsidP="008C7723" w:rsidRDefault="00780582" w14:paraId="1776EECA" w14:textId="5ACBABC4">
      <w:pPr>
        <w:ind w:left="4320"/>
        <w:rPr>
          <w:i/>
          <w:szCs w:val="24"/>
        </w:rPr>
      </w:pPr>
      <w:r w:rsidRPr="008C7723">
        <w:rPr>
          <w:i/>
          <w:szCs w:val="24"/>
        </w:rPr>
        <w:t>(willing to accept service via email)</w:t>
      </w:r>
      <w:r w:rsidRPr="008C7723" w:rsidR="004031FC">
        <w:rPr>
          <w:i/>
          <w:szCs w:val="24"/>
        </w:rPr>
        <w:br w:type="page"/>
      </w:r>
    </w:p>
    <w:p w:rsidRPr="0014228A" w:rsidR="00B332D6" w:rsidP="0014228A" w:rsidRDefault="004031FC" w14:paraId="272CC901" w14:textId="64704AFE">
      <w:pPr>
        <w:pStyle w:val="NoSpacing"/>
        <w:jc w:val="center"/>
        <w:rPr>
          <w:b/>
          <w:sz w:val="24"/>
          <w:szCs w:val="24"/>
        </w:rPr>
      </w:pPr>
      <w:r w:rsidRPr="0014228A">
        <w:rPr>
          <w:b/>
          <w:sz w:val="24"/>
          <w:szCs w:val="24"/>
        </w:rPr>
        <w:t>CERTIFICATE OF SERVICE</w:t>
      </w:r>
    </w:p>
    <w:p w:rsidRPr="008C7723" w:rsidR="004031FC" w:rsidP="00B332D6" w:rsidRDefault="004031FC" w14:paraId="42F9E0CB" w14:textId="0731A284">
      <w:pPr>
        <w:pStyle w:val="NoSpacing"/>
        <w:rPr>
          <w:sz w:val="24"/>
          <w:szCs w:val="24"/>
        </w:rPr>
      </w:pPr>
    </w:p>
    <w:p w:rsidR="00B319F7" w:rsidP="009662B8" w:rsidRDefault="008C7723" w14:paraId="6C2E02E3" w14:textId="77777777">
      <w:pPr>
        <w:pStyle w:val="NoSpacing"/>
        <w:jc w:val="both"/>
      </w:pPr>
      <w:r>
        <w:t xml:space="preserve">I certify that </w:t>
      </w:r>
      <w:r w:rsidR="003533DA">
        <w:t xml:space="preserve">a true and accurate copy of the foregoing </w:t>
      </w:r>
      <w:r>
        <w:t>w</w:t>
      </w:r>
      <w:r w:rsidR="003533DA">
        <w:t>as</w:t>
      </w:r>
      <w:r>
        <w:t xml:space="preserve"> filed electronically through the Docketing Information System of the Public Utilities Commission of Ohio on July </w:t>
      </w:r>
      <w:r w:rsidR="003533DA">
        <w:t>27</w:t>
      </w:r>
      <w:r>
        <w:t xml:space="preserve">, 2020. The Commission’s e-filing system will electronically serve notice of the filing of this document on the parties subscribed to these proceedings. Additionally, </w:t>
      </w:r>
      <w:r w:rsidR="00B319F7">
        <w:t>a copy of this filing was provided to those listed</w:t>
      </w:r>
      <w:r>
        <w:t xml:space="preserve"> below. </w:t>
      </w:r>
    </w:p>
    <w:p w:rsidR="00B319F7" w:rsidP="004F1A87" w:rsidRDefault="00B319F7" w14:paraId="58223DD6" w14:textId="77777777">
      <w:pPr>
        <w:pStyle w:val="NoSpacing"/>
      </w:pPr>
    </w:p>
    <w:p w:rsidRPr="00B319F7" w:rsidR="00B319F7" w:rsidP="00B319F7" w:rsidRDefault="008C7723" w14:paraId="6C09E697" w14:textId="77777777">
      <w:pPr>
        <w:pStyle w:val="NoSpacing"/>
        <w:ind w:left="5760"/>
        <w:rPr>
          <w:u w:val="single"/>
        </w:rPr>
      </w:pPr>
      <w:r w:rsidRPr="00B319F7">
        <w:rPr>
          <w:u w:val="single"/>
        </w:rPr>
        <w:t>/s/ Bethany Allen</w:t>
      </w:r>
    </w:p>
    <w:p w:rsidR="004F1A87" w:rsidP="00B319F7" w:rsidRDefault="008C7723" w14:paraId="3768A866" w14:textId="09B1CA6C">
      <w:pPr>
        <w:pStyle w:val="NoSpacing"/>
        <w:ind w:left="5760"/>
      </w:pPr>
      <w:r>
        <w:t>Bethany Allen</w:t>
      </w:r>
    </w:p>
    <w:p w:rsidR="009662B8" w:rsidP="00B319F7" w:rsidRDefault="009662B8" w14:paraId="04AF3547" w14:textId="509BA66E">
      <w:pPr>
        <w:pStyle w:val="NoSpacing"/>
        <w:ind w:left="5760"/>
      </w:pPr>
    </w:p>
    <w:p w:rsidRPr="00FD133D" w:rsidR="00A94F44" w:rsidP="009662B8" w:rsidRDefault="00A94F44" w14:paraId="6CD82DDF" w14:textId="77777777">
      <w:pPr>
        <w:pStyle w:val="NoSpacing"/>
        <w:rPr>
          <w:u w:val="single"/>
        </w:rPr>
      </w:pPr>
      <w:r w:rsidRPr="00FD133D">
        <w:rPr>
          <w:u w:val="single"/>
        </w:rPr>
        <w:t xml:space="preserve">robert.eubanks@ohioattorneygeneral.gov </w:t>
      </w:r>
    </w:p>
    <w:p w:rsidRPr="00FD133D" w:rsidR="00A94F44" w:rsidP="009662B8" w:rsidRDefault="00A94F44" w14:paraId="0601BC2D" w14:textId="77777777">
      <w:pPr>
        <w:pStyle w:val="NoSpacing"/>
        <w:rPr>
          <w:u w:val="single"/>
        </w:rPr>
      </w:pPr>
      <w:r w:rsidRPr="00FD133D">
        <w:rPr>
          <w:u w:val="single"/>
        </w:rPr>
        <w:t xml:space="preserve">steven.darnell@ohioattorneygeneral.gov </w:t>
      </w:r>
    </w:p>
    <w:p w:rsidRPr="00FD133D" w:rsidR="00A94F44" w:rsidP="009662B8" w:rsidRDefault="0021012A" w14:paraId="192DA22D" w14:textId="63EBE729">
      <w:pPr>
        <w:pStyle w:val="NoSpacing"/>
        <w:rPr>
          <w:u w:val="single"/>
        </w:rPr>
      </w:pPr>
      <w:hyperlink w:history="1" r:id="rId14">
        <w:r w:rsidRPr="00FD133D" w:rsidR="00A94F44">
          <w:rPr>
            <w:rStyle w:val="Hyperlink"/>
            <w:color w:val="auto"/>
          </w:rPr>
          <w:t>talexander@calfee.com</w:t>
        </w:r>
      </w:hyperlink>
      <w:r w:rsidRPr="00FD133D" w:rsidR="00A94F44">
        <w:rPr>
          <w:u w:val="single"/>
        </w:rPr>
        <w:t xml:space="preserve"> </w:t>
      </w:r>
    </w:p>
    <w:p w:rsidRPr="007235BC" w:rsidR="00A94F44" w:rsidP="009662B8" w:rsidRDefault="0021012A" w14:paraId="3B2A5016" w14:textId="43CF3189">
      <w:pPr>
        <w:pStyle w:val="NoSpacing"/>
        <w:rPr>
          <w:u w:val="single"/>
        </w:rPr>
      </w:pPr>
      <w:hyperlink w:history="1" r:id="rId15">
        <w:r w:rsidRPr="007235BC" w:rsidR="00A94F44">
          <w:rPr>
            <w:rStyle w:val="Hyperlink"/>
            <w:color w:val="auto"/>
          </w:rPr>
          <w:t>slesser@calfee.com</w:t>
        </w:r>
      </w:hyperlink>
      <w:r w:rsidRPr="007235BC" w:rsidR="00A94F44">
        <w:rPr>
          <w:u w:val="single"/>
        </w:rPr>
        <w:t xml:space="preserve"> </w:t>
      </w:r>
    </w:p>
    <w:p w:rsidRPr="007235BC" w:rsidR="00A94F44" w:rsidP="009662B8" w:rsidRDefault="0021012A" w14:paraId="2EDE0456" w14:textId="6185A633">
      <w:pPr>
        <w:pStyle w:val="NoSpacing"/>
        <w:rPr>
          <w:u w:val="single"/>
        </w:rPr>
      </w:pPr>
      <w:hyperlink w:history="1" r:id="rId16">
        <w:r w:rsidRPr="007235BC" w:rsidR="00A94F44">
          <w:rPr>
            <w:rStyle w:val="Hyperlink"/>
            <w:color w:val="auto"/>
          </w:rPr>
          <w:t>mbowen@calfee.com</w:t>
        </w:r>
      </w:hyperlink>
      <w:r w:rsidRPr="007235BC" w:rsidR="00A94F44">
        <w:rPr>
          <w:u w:val="single"/>
        </w:rPr>
        <w:t xml:space="preserve"> </w:t>
      </w:r>
    </w:p>
    <w:p w:rsidRPr="007235BC" w:rsidR="00A94F44" w:rsidP="009662B8" w:rsidRDefault="007235BC" w14:paraId="64AFF748" w14:textId="76119509">
      <w:pPr>
        <w:pStyle w:val="NoSpacing"/>
        <w:rPr>
          <w:u w:val="single"/>
        </w:rPr>
      </w:pPr>
      <w:hyperlink w:history="1" r:id="rId17">
        <w:r w:rsidRPr="007235BC">
          <w:rPr>
            <w:rStyle w:val="Hyperlink"/>
            <w:color w:val="auto"/>
          </w:rPr>
          <w:t>mmakel@aepenergy.com</w:t>
        </w:r>
      </w:hyperlink>
      <w:r w:rsidRPr="007235BC" w:rsidR="00A94F44">
        <w:rPr>
          <w:u w:val="single"/>
        </w:rPr>
        <w:t xml:space="preserve"> </w:t>
      </w:r>
    </w:p>
    <w:p w:rsidRPr="007235BC" w:rsidR="00A94F44" w:rsidP="009662B8" w:rsidRDefault="0021012A" w14:paraId="66E4ED89" w14:textId="003FBB92">
      <w:pPr>
        <w:pStyle w:val="NoSpacing"/>
        <w:rPr>
          <w:u w:val="single"/>
        </w:rPr>
      </w:pPr>
      <w:hyperlink w:history="1" r:id="rId18">
        <w:r w:rsidRPr="007235BC" w:rsidR="00A94F44">
          <w:rPr>
            <w:rStyle w:val="Hyperlink"/>
            <w:color w:val="auto"/>
          </w:rPr>
          <w:t>schmidt@sppgrp.com</w:t>
        </w:r>
      </w:hyperlink>
      <w:r w:rsidRPr="007235BC" w:rsidR="00A94F44">
        <w:rPr>
          <w:u w:val="single"/>
        </w:rPr>
        <w:t xml:space="preserve"> </w:t>
      </w:r>
    </w:p>
    <w:p w:rsidRPr="007235BC" w:rsidR="00A94F44" w:rsidP="009662B8" w:rsidRDefault="0021012A" w14:paraId="59E71179" w14:textId="4B58B771">
      <w:pPr>
        <w:pStyle w:val="NoSpacing"/>
        <w:rPr>
          <w:u w:val="single"/>
        </w:rPr>
      </w:pPr>
      <w:hyperlink w:history="1" r:id="rId19">
        <w:r w:rsidRPr="007235BC" w:rsidR="00A94F44">
          <w:rPr>
            <w:rStyle w:val="Hyperlink"/>
            <w:color w:val="auto"/>
          </w:rPr>
          <w:t>dproano@bakerlaw.com</w:t>
        </w:r>
      </w:hyperlink>
      <w:r w:rsidRPr="007235BC" w:rsidR="00A94F44">
        <w:rPr>
          <w:u w:val="single"/>
        </w:rPr>
        <w:t xml:space="preserve"> </w:t>
      </w:r>
    </w:p>
    <w:p w:rsidRPr="007235BC" w:rsidR="00A94F44" w:rsidP="009662B8" w:rsidRDefault="0021012A" w14:paraId="115974AB" w14:textId="0D9314E6">
      <w:pPr>
        <w:pStyle w:val="NoSpacing"/>
        <w:rPr>
          <w:u w:val="single"/>
        </w:rPr>
      </w:pPr>
      <w:hyperlink w:history="1" r:id="rId20">
        <w:r w:rsidRPr="007235BC" w:rsidR="00A94F44">
          <w:rPr>
            <w:rStyle w:val="Hyperlink"/>
            <w:color w:val="auto"/>
          </w:rPr>
          <w:t>whitt@whitt-sturtevant.com</w:t>
        </w:r>
      </w:hyperlink>
      <w:r w:rsidRPr="007235BC" w:rsidR="00A94F44">
        <w:rPr>
          <w:u w:val="single"/>
        </w:rPr>
        <w:t xml:space="preserve"> </w:t>
      </w:r>
    </w:p>
    <w:p w:rsidRPr="007235BC" w:rsidR="009662B8" w:rsidP="009662B8" w:rsidRDefault="0021012A" w14:paraId="7E4CA84B" w14:textId="25824338">
      <w:pPr>
        <w:pStyle w:val="NoSpacing"/>
        <w:rPr>
          <w:u w:val="single"/>
        </w:rPr>
      </w:pPr>
      <w:hyperlink w:history="1" r:id="rId21">
        <w:r w:rsidRPr="007235BC" w:rsidR="00A94F44">
          <w:rPr>
            <w:rStyle w:val="Hyperlink"/>
            <w:color w:val="auto"/>
          </w:rPr>
          <w:t>fykes@whitt-sturtevant.com</w:t>
        </w:r>
      </w:hyperlink>
    </w:p>
    <w:p w:rsidRPr="007235BC" w:rsidR="00923F63" w:rsidP="009662B8" w:rsidRDefault="00923F63" w14:paraId="254DDE8A" w14:textId="77777777">
      <w:pPr>
        <w:pStyle w:val="NoSpacing"/>
        <w:rPr>
          <w:u w:val="single"/>
        </w:rPr>
      </w:pPr>
      <w:r w:rsidRPr="007235BC">
        <w:rPr>
          <w:u w:val="single"/>
        </w:rPr>
        <w:t xml:space="preserve">dstinson@bricker.com </w:t>
      </w:r>
    </w:p>
    <w:p w:rsidRPr="007235BC" w:rsidR="00A94F44" w:rsidP="009662B8" w:rsidRDefault="0021012A" w14:paraId="16C114B3" w14:textId="5CBAB1EE">
      <w:pPr>
        <w:pStyle w:val="NoSpacing"/>
        <w:rPr>
          <w:u w:val="single"/>
        </w:rPr>
      </w:pPr>
      <w:hyperlink w:history="1" r:id="rId22">
        <w:r w:rsidRPr="007235BC" w:rsidR="00923F63">
          <w:rPr>
            <w:rStyle w:val="Hyperlink"/>
            <w:color w:val="auto"/>
          </w:rPr>
          <w:t>gkrassen@bricker.com</w:t>
        </w:r>
      </w:hyperlink>
    </w:p>
    <w:p w:rsidRPr="007235BC" w:rsidR="00923F63" w:rsidP="009662B8" w:rsidRDefault="00923F63" w14:paraId="58654749" w14:textId="39D84D15">
      <w:pPr>
        <w:pStyle w:val="NoSpacing"/>
        <w:rPr>
          <w:u w:val="single"/>
        </w:rPr>
      </w:pPr>
      <w:r w:rsidRPr="007235BC">
        <w:rPr>
          <w:u w:val="single"/>
        </w:rPr>
        <w:t>sjagers@ohiopovertylaw.org</w:t>
      </w:r>
    </w:p>
    <w:p w:rsidRPr="007235BC" w:rsidR="00A94F44" w:rsidP="009662B8" w:rsidRDefault="0021012A" w14:paraId="72D244EF" w14:textId="5406E1BD">
      <w:pPr>
        <w:pStyle w:val="NoSpacing"/>
        <w:rPr>
          <w:u w:val="single"/>
        </w:rPr>
      </w:pPr>
      <w:hyperlink w:history="1" r:id="rId23">
        <w:r w:rsidRPr="007235BC" w:rsidR="00FD133D">
          <w:rPr>
            <w:rStyle w:val="Hyperlink"/>
            <w:color w:val="auto"/>
          </w:rPr>
          <w:t>joemaskovyak@cohhio.org</w:t>
        </w:r>
      </w:hyperlink>
    </w:p>
    <w:p w:rsidRPr="007235BC" w:rsidR="00FD133D" w:rsidP="009662B8" w:rsidRDefault="00FD133D" w14:paraId="2A223725" w14:textId="77777777">
      <w:pPr>
        <w:pStyle w:val="NoSpacing"/>
        <w:rPr>
          <w:u w:val="single"/>
        </w:rPr>
      </w:pPr>
      <w:r w:rsidRPr="007235BC">
        <w:rPr>
          <w:u w:val="single"/>
        </w:rPr>
        <w:t xml:space="preserve">maureen.willis@occ.ohio.gov </w:t>
      </w:r>
    </w:p>
    <w:p w:rsidRPr="00FD133D" w:rsidR="00FD133D" w:rsidP="009662B8" w:rsidRDefault="0021012A" w14:paraId="07EF8D5D" w14:textId="1D23545E">
      <w:pPr>
        <w:pStyle w:val="NoSpacing"/>
        <w:rPr>
          <w:u w:val="single"/>
        </w:rPr>
      </w:pPr>
      <w:hyperlink w:history="1" r:id="rId24">
        <w:r w:rsidRPr="00FD133D" w:rsidR="00FD133D">
          <w:rPr>
            <w:rStyle w:val="Hyperlink"/>
            <w:color w:val="auto"/>
          </w:rPr>
          <w:t>ambrosia.wilson@occ.ohio.gov</w:t>
        </w:r>
      </w:hyperlink>
    </w:p>
    <w:p w:rsidRPr="00FD133D" w:rsidR="00FD133D" w:rsidP="009662B8" w:rsidRDefault="0021012A" w14:paraId="3C37526C" w14:textId="3DB3C19E">
      <w:pPr>
        <w:pStyle w:val="NoSpacing"/>
        <w:rPr>
          <w:u w:val="single"/>
        </w:rPr>
      </w:pPr>
      <w:hyperlink w:history="1" r:id="rId25">
        <w:r w:rsidRPr="00FD133D" w:rsidR="00FD133D">
          <w:rPr>
            <w:rStyle w:val="Hyperlink"/>
            <w:color w:val="auto"/>
          </w:rPr>
          <w:t>Amy.botschner.obrien@occ.ohio.gov</w:t>
        </w:r>
      </w:hyperlink>
    </w:p>
    <w:p w:rsidRPr="00FD133D" w:rsidR="00FD133D" w:rsidP="009662B8" w:rsidRDefault="00FD133D" w14:paraId="06A7DFC7" w14:textId="5D46DBBF">
      <w:pPr>
        <w:pStyle w:val="NoSpacing"/>
        <w:rPr>
          <w:u w:val="single"/>
        </w:rPr>
      </w:pPr>
      <w:r w:rsidRPr="00FD133D">
        <w:rPr>
          <w:u w:val="single"/>
        </w:rPr>
        <w:t>plee@seols.org</w:t>
      </w:r>
    </w:p>
    <w:p w:rsidRPr="00FD133D" w:rsidR="00A94F44" w:rsidP="009662B8" w:rsidRDefault="0021012A" w14:paraId="5A68CBDF" w14:textId="3A5061B6">
      <w:pPr>
        <w:pStyle w:val="NoSpacing"/>
        <w:rPr>
          <w:u w:val="single"/>
        </w:rPr>
      </w:pPr>
      <w:hyperlink w:history="1" r:id="rId26">
        <w:r w:rsidRPr="00FD133D" w:rsidR="00FD133D">
          <w:rPr>
            <w:rStyle w:val="Hyperlink"/>
            <w:color w:val="auto"/>
          </w:rPr>
          <w:t>mwalters@proseniors.org</w:t>
        </w:r>
      </w:hyperlink>
    </w:p>
    <w:p w:rsidRPr="00FD133D" w:rsidR="00FD133D" w:rsidP="009662B8" w:rsidRDefault="00FD133D" w14:paraId="016B25BF" w14:textId="77777777">
      <w:pPr>
        <w:pStyle w:val="NoSpacing"/>
        <w:rPr>
          <w:b/>
        </w:rPr>
      </w:pPr>
    </w:p>
    <w:p w:rsidRPr="00FD133D" w:rsidR="00A94F44" w:rsidP="009662B8" w:rsidRDefault="00A94F44" w14:paraId="2AD295FF" w14:textId="5606F9EF">
      <w:pPr>
        <w:pStyle w:val="NoSpacing"/>
        <w:rPr>
          <w:sz w:val="24"/>
          <w:szCs w:val="24"/>
          <w:u w:val="single"/>
        </w:rPr>
      </w:pPr>
    </w:p>
    <w:sectPr w:rsidRPr="00FD133D" w:rsidR="00A94F4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012A" w:rsidP="0046226F" w:rsidRDefault="0021012A" w14:paraId="66D1232F" w14:textId="77777777">
      <w:r>
        <w:separator/>
      </w:r>
    </w:p>
  </w:endnote>
  <w:endnote w:type="continuationSeparator" w:id="0">
    <w:p w:rsidR="0021012A" w:rsidP="0046226F" w:rsidRDefault="0021012A" w14:paraId="286636F8" w14:textId="77777777">
      <w:r>
        <w:continuationSeparator/>
      </w:r>
    </w:p>
  </w:endnote>
  <w:endnote w:type="continuationNotice" w:id="1">
    <w:p w:rsidR="0021012A" w:rsidRDefault="0021012A" w14:paraId="5C6E61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623106"/>
      <w:docPartObj>
        <w:docPartGallery w:val="Page Numbers (Bottom of Page)"/>
        <w:docPartUnique/>
      </w:docPartObj>
    </w:sdtPr>
    <w:sdtEndPr>
      <w:rPr>
        <w:noProof/>
      </w:rPr>
    </w:sdtEndPr>
    <w:sdtContent>
      <w:p w:rsidR="0046226F" w:rsidRDefault="0046226F" w14:paraId="07B197F3" w14:textId="17A40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6226F" w:rsidRDefault="0046226F" w14:paraId="5DE511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012A" w:rsidP="0046226F" w:rsidRDefault="0021012A" w14:paraId="43AD2B54" w14:textId="77777777">
      <w:r>
        <w:separator/>
      </w:r>
    </w:p>
  </w:footnote>
  <w:footnote w:type="continuationSeparator" w:id="0">
    <w:p w:rsidR="0021012A" w:rsidP="0046226F" w:rsidRDefault="0021012A" w14:paraId="4B578B90" w14:textId="77777777">
      <w:r>
        <w:continuationSeparator/>
      </w:r>
    </w:p>
  </w:footnote>
  <w:footnote w:type="continuationNotice" w:id="1">
    <w:p w:rsidR="0021012A" w:rsidRDefault="0021012A" w14:paraId="13CD659D" w14:textId="77777777"/>
  </w:footnote>
  <w:footnote w:id="2">
    <w:p w:rsidRPr="00EE156A" w:rsidR="00F41D3C" w:rsidP="00832D0E" w:rsidRDefault="00F41D3C" w14:paraId="75D07892" w14:textId="77777777">
      <w:pPr>
        <w:pStyle w:val="FootnoteText"/>
        <w:spacing w:after="240"/>
      </w:pPr>
      <w:r w:rsidRPr="00EE156A">
        <w:rPr>
          <w:rStyle w:val="FootnoteReference"/>
        </w:rPr>
        <w:footnoteRef/>
      </w:r>
      <w:r w:rsidRPr="00EE156A">
        <w:t xml:space="preserve"> </w:t>
      </w:r>
      <w:r w:rsidRPr="00EE156A">
        <w:rPr>
          <w:i/>
        </w:rPr>
        <w:t>In the Matter of the Proper Procedures and Process for the Commission’s Operations and Proceedings During the Declared State of Emergency and Related Matters,</w:t>
      </w:r>
      <w:r w:rsidRPr="00EE156A">
        <w:t xml:space="preserve"> Case Nos. 20-591-AU-UNC, et al., Entry (June 17, 2020) (“Entry”)</w:t>
      </w:r>
      <w:r>
        <w:t xml:space="preserve"> at ¶ 1, 15</w:t>
      </w:r>
      <w:r w:rsidRPr="00EE156A">
        <w:t>.</w:t>
      </w:r>
    </w:p>
  </w:footnote>
  <w:footnote w:id="3">
    <w:p w:rsidR="00247D46" w:rsidP="00832D0E" w:rsidRDefault="00247D46" w14:paraId="60DE5E68" w14:textId="258F98BA">
      <w:pPr>
        <w:pStyle w:val="FootnoteText"/>
        <w:spacing w:after="240"/>
      </w:pPr>
      <w:r>
        <w:rPr>
          <w:rStyle w:val="FootnoteReference"/>
        </w:rPr>
        <w:footnoteRef/>
      </w:r>
      <w:r>
        <w:t xml:space="preserve"> Although the Application for Rehearing was submitted by OCC</w:t>
      </w:r>
      <w:r w:rsidR="001068BD">
        <w:t xml:space="preserve">, NOPEC, OPLC, COHHIO, PSI, and SOLS, </w:t>
      </w:r>
      <w:r w:rsidR="00EB34A3">
        <w:t xml:space="preserve">IGS refers </w:t>
      </w:r>
      <w:r w:rsidR="00E84212">
        <w:t xml:space="preserve">to the filing as OCC’s Application for Rehearing </w:t>
      </w:r>
      <w:r w:rsidR="001068BD">
        <w:t>because OCC is the only entity that has standing to file an application for rehearing</w:t>
      </w:r>
      <w:r w:rsidR="00E84212">
        <w:t xml:space="preserve"> in this proceeding</w:t>
      </w:r>
      <w:r w:rsidR="00056E6D">
        <w:t xml:space="preserve">. </w:t>
      </w:r>
      <w:r w:rsidRPr="00056E6D" w:rsidR="00A0543C">
        <w:rPr>
          <w:i/>
        </w:rPr>
        <w:t>See</w:t>
      </w:r>
      <w:r w:rsidR="00CB3BC1">
        <w:rPr>
          <w:i/>
        </w:rPr>
        <w:t xml:space="preserve"> infra </w:t>
      </w:r>
      <w:r w:rsidRPr="00CB3BC1" w:rsidR="00CB3BC1">
        <w:t>at</w:t>
      </w:r>
      <w:r w:rsidR="00CB3BC1">
        <w:rPr>
          <w:i/>
        </w:rPr>
        <w:t xml:space="preserve"> </w:t>
      </w:r>
      <w:r w:rsidR="00CB3BC1">
        <w:t>II.</w:t>
      </w:r>
      <w:r w:rsidR="00E36662">
        <w:t>D</w:t>
      </w:r>
      <w:r w:rsidR="00CB3BC1">
        <w:t>.</w:t>
      </w:r>
      <w:r w:rsidR="00A0543C">
        <w:t xml:space="preserve"> </w:t>
      </w:r>
    </w:p>
  </w:footnote>
  <w:footnote w:id="4">
    <w:p w:rsidRPr="00EE156A" w:rsidR="009650B2" w:rsidP="00832D0E" w:rsidRDefault="009650B2" w14:paraId="226B56FC" w14:textId="3FECFA1D">
      <w:pPr>
        <w:pStyle w:val="FootnoteText"/>
        <w:spacing w:after="240"/>
      </w:pPr>
      <w:r w:rsidRPr="00EE156A">
        <w:rPr>
          <w:rStyle w:val="FootnoteReference"/>
        </w:rPr>
        <w:footnoteRef/>
      </w:r>
      <w:r w:rsidRPr="00EE156A">
        <w:t xml:space="preserve"> OCC Application </w:t>
      </w:r>
      <w:r w:rsidR="00E237C0">
        <w:t xml:space="preserve">for Rehearing </w:t>
      </w:r>
      <w:r w:rsidRPr="00EE156A">
        <w:t>at 9-11.</w:t>
      </w:r>
    </w:p>
  </w:footnote>
  <w:footnote w:id="5">
    <w:p w:rsidRPr="00EE156A" w:rsidR="00051E75" w:rsidP="00832D0E" w:rsidRDefault="00051E75" w14:paraId="6DE52995" w14:textId="0EC886D5">
      <w:pPr>
        <w:pStyle w:val="FootnoteText"/>
        <w:spacing w:after="240"/>
      </w:pPr>
      <w:r w:rsidRPr="00EE156A">
        <w:rPr>
          <w:rStyle w:val="FootnoteReference"/>
        </w:rPr>
        <w:footnoteRef/>
      </w:r>
      <w:r w:rsidRPr="00EE156A">
        <w:t xml:space="preserve"> Entry at ¶ </w:t>
      </w:r>
      <w:r w:rsidRPr="00EE156A" w:rsidR="00CC4D38">
        <w:t xml:space="preserve">1, </w:t>
      </w:r>
      <w:r w:rsidRPr="00EE156A" w:rsidR="000E099B">
        <w:t>13-</w:t>
      </w:r>
      <w:r w:rsidRPr="00EE156A">
        <w:t>14.</w:t>
      </w:r>
    </w:p>
  </w:footnote>
  <w:footnote w:id="6">
    <w:p w:rsidRPr="00EE156A" w:rsidR="005D7D1E" w:rsidP="00832D0E" w:rsidRDefault="005D7D1E" w14:paraId="4D306443" w14:textId="014410D1">
      <w:pPr>
        <w:pStyle w:val="FootnoteText"/>
        <w:spacing w:after="240"/>
      </w:pPr>
      <w:r w:rsidRPr="00EE156A">
        <w:rPr>
          <w:rStyle w:val="FootnoteReference"/>
        </w:rPr>
        <w:footnoteRef/>
      </w:r>
      <w:r w:rsidRPr="00EE156A">
        <w:t xml:space="preserve"> </w:t>
      </w:r>
      <w:r w:rsidRPr="00114A42" w:rsidR="00832D0E">
        <w:rPr>
          <w:i/>
        </w:rPr>
        <w:t>Id.</w:t>
      </w:r>
      <w:r w:rsidRPr="00EE156A" w:rsidR="003F2E07">
        <w:t xml:space="preserve"> at ¶ 1, </w:t>
      </w:r>
      <w:r w:rsidRPr="00EE156A" w:rsidR="00722320">
        <w:t>16.</w:t>
      </w:r>
    </w:p>
  </w:footnote>
  <w:footnote w:id="7">
    <w:p w:rsidR="00975FEA" w:rsidRDefault="00975FEA" w14:paraId="40FF9CF6" w14:textId="34989248">
      <w:pPr>
        <w:pStyle w:val="FootnoteText"/>
      </w:pPr>
      <w:r>
        <w:rPr>
          <w:rStyle w:val="FootnoteReference"/>
        </w:rPr>
        <w:footnoteRef/>
      </w:r>
      <w:r>
        <w:t xml:space="preserve"> </w:t>
      </w:r>
      <w:r w:rsidRPr="00114A42" w:rsidR="00BE1BB7">
        <w:rPr>
          <w:i/>
        </w:rPr>
        <w:t>Id.</w:t>
      </w:r>
      <w:r w:rsidR="00BE1BB7">
        <w:t xml:space="preserve"> at ¶ 12.</w:t>
      </w:r>
    </w:p>
  </w:footnote>
  <w:footnote w:id="8">
    <w:p w:rsidR="00B12E87" w:rsidP="00114A42" w:rsidRDefault="00B12E87" w14:paraId="77DC42D5" w14:textId="390BC924">
      <w:pPr>
        <w:pStyle w:val="FootnoteText"/>
        <w:spacing w:after="240"/>
      </w:pPr>
      <w:r>
        <w:rPr>
          <w:rStyle w:val="FootnoteReference"/>
        </w:rPr>
        <w:footnoteRef/>
      </w:r>
      <w:r>
        <w:t xml:space="preserve"> </w:t>
      </w:r>
      <w:r w:rsidRPr="003E60E8" w:rsidR="003E60E8">
        <w:rPr>
          <w:i/>
        </w:rPr>
        <w:t xml:space="preserve">See </w:t>
      </w:r>
      <w:r w:rsidR="00024455">
        <w:t>Joint Application to Establish Procedures for In-Person Marketing During State of Emergency (</w:t>
      </w:r>
      <w:r w:rsidR="00936862">
        <w:t>May 14, 2020) at 5.</w:t>
      </w:r>
    </w:p>
  </w:footnote>
  <w:footnote w:id="9">
    <w:p w:rsidR="00D16234" w:rsidP="00114A42" w:rsidRDefault="00D16234" w14:paraId="3542AE32" w14:textId="457F082E">
      <w:pPr>
        <w:pStyle w:val="FootnoteText"/>
        <w:spacing w:after="240"/>
      </w:pPr>
      <w:r>
        <w:rPr>
          <w:rStyle w:val="FootnoteReference"/>
        </w:rPr>
        <w:footnoteRef/>
      </w:r>
      <w:r>
        <w:t xml:space="preserve"> OCC Application for Rehearing at </w:t>
      </w:r>
      <w:r w:rsidR="004032E0">
        <w:t>2-9.</w:t>
      </w:r>
    </w:p>
  </w:footnote>
  <w:footnote w:id="10">
    <w:p w:rsidR="00924D4C" w:rsidP="00114A42" w:rsidRDefault="00924D4C" w14:paraId="024115D9" w14:textId="3E885EA3">
      <w:pPr>
        <w:pStyle w:val="FootnoteText"/>
        <w:spacing w:after="240"/>
      </w:pPr>
      <w:r>
        <w:rPr>
          <w:rStyle w:val="FootnoteReference"/>
        </w:rPr>
        <w:footnoteRef/>
      </w:r>
      <w:r w:rsidR="00832D0E">
        <w:t xml:space="preserve"> </w:t>
      </w:r>
      <w:r w:rsidRPr="00114A42" w:rsidR="00832D0E">
        <w:rPr>
          <w:i/>
        </w:rPr>
        <w:t>Id.</w:t>
      </w:r>
      <w:r w:rsidR="00832D0E">
        <w:t xml:space="preserve"> at </w:t>
      </w:r>
      <w:r w:rsidR="00466623">
        <w:t>Att. 1 at 2.</w:t>
      </w:r>
    </w:p>
  </w:footnote>
  <w:footnote w:id="11">
    <w:p w:rsidRPr="00EE156A" w:rsidR="00B87A36" w:rsidP="00617684" w:rsidRDefault="00B87A36" w14:paraId="16536684" w14:textId="1B65D6EF">
      <w:pPr>
        <w:pStyle w:val="FootnoteText"/>
        <w:spacing w:after="240"/>
      </w:pPr>
      <w:r w:rsidRPr="00EE156A">
        <w:rPr>
          <w:rStyle w:val="FootnoteReference"/>
        </w:rPr>
        <w:footnoteRef/>
      </w:r>
      <w:r w:rsidRPr="00EE156A">
        <w:t xml:space="preserve"> </w:t>
      </w:r>
      <w:r w:rsidRPr="00EE156A">
        <w:rPr>
          <w:i/>
        </w:rPr>
        <w:t xml:space="preserve">See </w:t>
      </w:r>
      <w:proofErr w:type="gramStart"/>
      <w:r w:rsidR="001F6B8E">
        <w:rPr>
          <w:i/>
        </w:rPr>
        <w:t>In</w:t>
      </w:r>
      <w:proofErr w:type="gramEnd"/>
      <w:r w:rsidR="001F6B8E">
        <w:rPr>
          <w:i/>
        </w:rPr>
        <w:t xml:space="preserve"> the Matter of the Commission’s Investigation into SFE Energy Ohio, Inc. and </w:t>
      </w:r>
      <w:proofErr w:type="spellStart"/>
      <w:r w:rsidR="001F6B8E">
        <w:rPr>
          <w:i/>
        </w:rPr>
        <w:t>Statewise</w:t>
      </w:r>
      <w:proofErr w:type="spellEnd"/>
      <w:r w:rsidR="001F6B8E">
        <w:rPr>
          <w:i/>
        </w:rPr>
        <w:t xml:space="preserve"> Energy Ohio, LLC’s Compliance with </w:t>
      </w:r>
      <w:r w:rsidR="006F7B61">
        <w:rPr>
          <w:i/>
        </w:rPr>
        <w:t xml:space="preserve">the Ohio Revised Code and Ohio Administrative Code and Potential Remedial Action, </w:t>
      </w:r>
      <w:r w:rsidRPr="00EE156A" w:rsidR="00196763">
        <w:t xml:space="preserve">Case No. 20-1216-GE-COI, </w:t>
      </w:r>
      <w:r w:rsidR="006F7B61">
        <w:t xml:space="preserve">Entry (July 15, 2020) at </w:t>
      </w:r>
      <w:r w:rsidR="005B6F69">
        <w:t>¶ 2.</w:t>
      </w:r>
    </w:p>
  </w:footnote>
  <w:footnote w:id="12">
    <w:p w:rsidR="00C44C3C" w:rsidP="00114A42" w:rsidRDefault="00C44C3C" w14:paraId="7D9DD34B" w14:textId="5BEC717F">
      <w:pPr>
        <w:pStyle w:val="FootnoteText"/>
        <w:spacing w:after="240"/>
      </w:pPr>
      <w:r>
        <w:rPr>
          <w:rStyle w:val="FootnoteReference"/>
        </w:rPr>
        <w:footnoteRef/>
      </w:r>
      <w:r>
        <w:t xml:space="preserve"> </w:t>
      </w:r>
      <w:r w:rsidRPr="00080EFA" w:rsidR="005B6F69">
        <w:rPr>
          <w:i/>
        </w:rPr>
        <w:t xml:space="preserve">Id. </w:t>
      </w:r>
      <w:r w:rsidR="005B6F69">
        <w:t xml:space="preserve">at </w:t>
      </w:r>
      <w:r w:rsidR="00080EFA">
        <w:t>¶ 7.</w:t>
      </w:r>
    </w:p>
  </w:footnote>
  <w:footnote w:id="13">
    <w:p w:rsidR="004864F2" w:rsidP="00114A42" w:rsidRDefault="004864F2" w14:paraId="20610A64" w14:textId="6EB3C567">
      <w:pPr>
        <w:pStyle w:val="FootnoteText"/>
        <w:spacing w:after="240"/>
      </w:pPr>
      <w:r>
        <w:rPr>
          <w:rStyle w:val="FootnoteReference"/>
        </w:rPr>
        <w:footnoteRef/>
      </w:r>
      <w:r>
        <w:t xml:space="preserve"> </w:t>
      </w:r>
      <w:r w:rsidRPr="000C40FC" w:rsidR="004D7265">
        <w:rPr>
          <w:i/>
        </w:rPr>
        <w:t>In the Matter of the Application of The Dayton Power and Light Company to Establish a Standard Service Offer</w:t>
      </w:r>
      <w:r w:rsidRPr="000C40FC" w:rsidR="003C73AF">
        <w:rPr>
          <w:i/>
        </w:rPr>
        <w:t xml:space="preserve"> in the Form of an Electric Security Plan,</w:t>
      </w:r>
      <w:r w:rsidR="003C73AF">
        <w:t xml:space="preserve"> Case Nos. 08-1094-EL-SSO, et al., Fourth Entry on Rehearing (Feb. 14, 2020) at ¶ </w:t>
      </w:r>
      <w:r w:rsidR="000C40FC">
        <w:t>12.</w:t>
      </w:r>
    </w:p>
  </w:footnote>
  <w:footnote w:id="14">
    <w:p w:rsidR="00A90937" w:rsidP="00114A42" w:rsidRDefault="00A90937" w14:paraId="5C57682E" w14:textId="10A3647A">
      <w:pPr>
        <w:pStyle w:val="FootnoteText"/>
        <w:spacing w:after="240"/>
      </w:pPr>
      <w:r>
        <w:rPr>
          <w:rStyle w:val="FootnoteReference"/>
        </w:rPr>
        <w:footnoteRef/>
      </w:r>
      <w:r>
        <w:t xml:space="preserve"> </w:t>
      </w:r>
      <w:r w:rsidRPr="00114A42" w:rsidR="00936FA7">
        <w:rPr>
          <w:i/>
        </w:rPr>
        <w:t>See</w:t>
      </w:r>
      <w:r w:rsidR="00936FA7">
        <w:t xml:space="preserve"> </w:t>
      </w:r>
      <w:r w:rsidR="00A76C8F">
        <w:rPr>
          <w:i/>
        </w:rPr>
        <w:t>i</w:t>
      </w:r>
      <w:r w:rsidRPr="00A90937">
        <w:rPr>
          <w:i/>
        </w:rPr>
        <w: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E5575"/>
    <w:multiLevelType w:val="hybridMultilevel"/>
    <w:tmpl w:val="5C9681DE"/>
    <w:lvl w:ilvl="0" w:tplc="133A05A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B421A9"/>
    <w:multiLevelType w:val="hybridMultilevel"/>
    <w:tmpl w:val="B0682B66"/>
    <w:lvl w:ilvl="0" w:tplc="C708FD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87"/>
    <w:rsid w:val="0000465F"/>
    <w:rsid w:val="00005F4E"/>
    <w:rsid w:val="00012073"/>
    <w:rsid w:val="000159C0"/>
    <w:rsid w:val="00015F10"/>
    <w:rsid w:val="00015FED"/>
    <w:rsid w:val="00021E90"/>
    <w:rsid w:val="000221C5"/>
    <w:rsid w:val="000240B3"/>
    <w:rsid w:val="00024455"/>
    <w:rsid w:val="000333C7"/>
    <w:rsid w:val="00036BE0"/>
    <w:rsid w:val="000375ED"/>
    <w:rsid w:val="00037F8D"/>
    <w:rsid w:val="00040368"/>
    <w:rsid w:val="0004414F"/>
    <w:rsid w:val="00051E75"/>
    <w:rsid w:val="00056E6D"/>
    <w:rsid w:val="00057ED6"/>
    <w:rsid w:val="00062925"/>
    <w:rsid w:val="00070ABB"/>
    <w:rsid w:val="00080EFA"/>
    <w:rsid w:val="0008270C"/>
    <w:rsid w:val="00086A69"/>
    <w:rsid w:val="0009040F"/>
    <w:rsid w:val="00091A72"/>
    <w:rsid w:val="00093F74"/>
    <w:rsid w:val="000961D2"/>
    <w:rsid w:val="000A0DCC"/>
    <w:rsid w:val="000A41C4"/>
    <w:rsid w:val="000A4882"/>
    <w:rsid w:val="000A7284"/>
    <w:rsid w:val="000B4C92"/>
    <w:rsid w:val="000B7506"/>
    <w:rsid w:val="000C40FC"/>
    <w:rsid w:val="000D0692"/>
    <w:rsid w:val="000D17D4"/>
    <w:rsid w:val="000D335B"/>
    <w:rsid w:val="000D699E"/>
    <w:rsid w:val="000E01E9"/>
    <w:rsid w:val="000E099B"/>
    <w:rsid w:val="000E15C0"/>
    <w:rsid w:val="000E1DDD"/>
    <w:rsid w:val="000E2CEC"/>
    <w:rsid w:val="000E3771"/>
    <w:rsid w:val="000E4BFA"/>
    <w:rsid w:val="000E6693"/>
    <w:rsid w:val="000E66A4"/>
    <w:rsid w:val="000F37BA"/>
    <w:rsid w:val="0010093C"/>
    <w:rsid w:val="00102627"/>
    <w:rsid w:val="001068BD"/>
    <w:rsid w:val="00112DF0"/>
    <w:rsid w:val="00114A42"/>
    <w:rsid w:val="001158E7"/>
    <w:rsid w:val="00115ECC"/>
    <w:rsid w:val="00116657"/>
    <w:rsid w:val="00122924"/>
    <w:rsid w:val="00131814"/>
    <w:rsid w:val="00136E83"/>
    <w:rsid w:val="0014228A"/>
    <w:rsid w:val="00142724"/>
    <w:rsid w:val="00145FF0"/>
    <w:rsid w:val="001517AF"/>
    <w:rsid w:val="00154A7E"/>
    <w:rsid w:val="00155F3F"/>
    <w:rsid w:val="00157561"/>
    <w:rsid w:val="001650E6"/>
    <w:rsid w:val="00170916"/>
    <w:rsid w:val="001715B7"/>
    <w:rsid w:val="00171D37"/>
    <w:rsid w:val="0017546E"/>
    <w:rsid w:val="001773B4"/>
    <w:rsid w:val="00183E3C"/>
    <w:rsid w:val="00186715"/>
    <w:rsid w:val="00187D05"/>
    <w:rsid w:val="001960D5"/>
    <w:rsid w:val="00196763"/>
    <w:rsid w:val="00197338"/>
    <w:rsid w:val="001A1DEE"/>
    <w:rsid w:val="001A35AF"/>
    <w:rsid w:val="001A4343"/>
    <w:rsid w:val="001A690C"/>
    <w:rsid w:val="001A6F92"/>
    <w:rsid w:val="001B2DD3"/>
    <w:rsid w:val="001B31ED"/>
    <w:rsid w:val="001B3545"/>
    <w:rsid w:val="001B4733"/>
    <w:rsid w:val="001B6DEE"/>
    <w:rsid w:val="001C3BDB"/>
    <w:rsid w:val="001C7208"/>
    <w:rsid w:val="001D00A6"/>
    <w:rsid w:val="001D492B"/>
    <w:rsid w:val="001D4CEC"/>
    <w:rsid w:val="001D5963"/>
    <w:rsid w:val="001E3E38"/>
    <w:rsid w:val="001E5D5D"/>
    <w:rsid w:val="001F6B8E"/>
    <w:rsid w:val="00200E81"/>
    <w:rsid w:val="0020353B"/>
    <w:rsid w:val="00204896"/>
    <w:rsid w:val="00205DF3"/>
    <w:rsid w:val="0021012A"/>
    <w:rsid w:val="002104C9"/>
    <w:rsid w:val="00213A67"/>
    <w:rsid w:val="002151ED"/>
    <w:rsid w:val="002176C4"/>
    <w:rsid w:val="00217D2F"/>
    <w:rsid w:val="00224E2C"/>
    <w:rsid w:val="002250EC"/>
    <w:rsid w:val="00225C34"/>
    <w:rsid w:val="00225F96"/>
    <w:rsid w:val="00233B2E"/>
    <w:rsid w:val="00236367"/>
    <w:rsid w:val="00243C77"/>
    <w:rsid w:val="00247D46"/>
    <w:rsid w:val="00261E35"/>
    <w:rsid w:val="00261FA1"/>
    <w:rsid w:val="00264BE8"/>
    <w:rsid w:val="00267281"/>
    <w:rsid w:val="00271630"/>
    <w:rsid w:val="00277162"/>
    <w:rsid w:val="002817FC"/>
    <w:rsid w:val="00283A06"/>
    <w:rsid w:val="002860F2"/>
    <w:rsid w:val="00286438"/>
    <w:rsid w:val="00286AA1"/>
    <w:rsid w:val="00286E5B"/>
    <w:rsid w:val="0029360A"/>
    <w:rsid w:val="002A3280"/>
    <w:rsid w:val="002A498F"/>
    <w:rsid w:val="002B13C6"/>
    <w:rsid w:val="002B2B7E"/>
    <w:rsid w:val="002B6405"/>
    <w:rsid w:val="002C353F"/>
    <w:rsid w:val="002C40C4"/>
    <w:rsid w:val="002C4247"/>
    <w:rsid w:val="002D1931"/>
    <w:rsid w:val="002E01D4"/>
    <w:rsid w:val="002E0C7D"/>
    <w:rsid w:val="002E630A"/>
    <w:rsid w:val="002E7020"/>
    <w:rsid w:val="002F472B"/>
    <w:rsid w:val="002F7BAA"/>
    <w:rsid w:val="00300611"/>
    <w:rsid w:val="003075FE"/>
    <w:rsid w:val="003103A2"/>
    <w:rsid w:val="00310869"/>
    <w:rsid w:val="003108D3"/>
    <w:rsid w:val="00313683"/>
    <w:rsid w:val="00314BB8"/>
    <w:rsid w:val="00317FC3"/>
    <w:rsid w:val="0032154B"/>
    <w:rsid w:val="003252D9"/>
    <w:rsid w:val="00331C8C"/>
    <w:rsid w:val="00331E57"/>
    <w:rsid w:val="00331F0B"/>
    <w:rsid w:val="00333F1F"/>
    <w:rsid w:val="00336714"/>
    <w:rsid w:val="003411B8"/>
    <w:rsid w:val="00352A66"/>
    <w:rsid w:val="00352C87"/>
    <w:rsid w:val="0035306A"/>
    <w:rsid w:val="003533DA"/>
    <w:rsid w:val="0035575C"/>
    <w:rsid w:val="00356022"/>
    <w:rsid w:val="003568E7"/>
    <w:rsid w:val="00360865"/>
    <w:rsid w:val="00365EDB"/>
    <w:rsid w:val="00370919"/>
    <w:rsid w:val="00370AC2"/>
    <w:rsid w:val="00370CE2"/>
    <w:rsid w:val="00371D8D"/>
    <w:rsid w:val="00372CC7"/>
    <w:rsid w:val="00372E45"/>
    <w:rsid w:val="003753D2"/>
    <w:rsid w:val="00377918"/>
    <w:rsid w:val="00377A4E"/>
    <w:rsid w:val="003802ED"/>
    <w:rsid w:val="003825CD"/>
    <w:rsid w:val="00383CC6"/>
    <w:rsid w:val="003846F9"/>
    <w:rsid w:val="003847BB"/>
    <w:rsid w:val="00394612"/>
    <w:rsid w:val="003950CE"/>
    <w:rsid w:val="003952DA"/>
    <w:rsid w:val="00396CD9"/>
    <w:rsid w:val="003A2889"/>
    <w:rsid w:val="003A3736"/>
    <w:rsid w:val="003A6592"/>
    <w:rsid w:val="003B06DD"/>
    <w:rsid w:val="003B3A4B"/>
    <w:rsid w:val="003B4B4C"/>
    <w:rsid w:val="003B6DF5"/>
    <w:rsid w:val="003C73AF"/>
    <w:rsid w:val="003C79F5"/>
    <w:rsid w:val="003D0163"/>
    <w:rsid w:val="003D03B1"/>
    <w:rsid w:val="003D20F3"/>
    <w:rsid w:val="003D364C"/>
    <w:rsid w:val="003D7134"/>
    <w:rsid w:val="003E1697"/>
    <w:rsid w:val="003E18D1"/>
    <w:rsid w:val="003E1CFC"/>
    <w:rsid w:val="003E5160"/>
    <w:rsid w:val="003E60E8"/>
    <w:rsid w:val="003E7107"/>
    <w:rsid w:val="003E7B54"/>
    <w:rsid w:val="003F0BEF"/>
    <w:rsid w:val="003F2E07"/>
    <w:rsid w:val="003F3D60"/>
    <w:rsid w:val="0040064C"/>
    <w:rsid w:val="004031FC"/>
    <w:rsid w:val="004032E0"/>
    <w:rsid w:val="00404630"/>
    <w:rsid w:val="0040566F"/>
    <w:rsid w:val="00411FAB"/>
    <w:rsid w:val="00416714"/>
    <w:rsid w:val="00416AD7"/>
    <w:rsid w:val="004200CC"/>
    <w:rsid w:val="00420E4A"/>
    <w:rsid w:val="00420FD8"/>
    <w:rsid w:val="00424697"/>
    <w:rsid w:val="00424756"/>
    <w:rsid w:val="0042621B"/>
    <w:rsid w:val="004307AC"/>
    <w:rsid w:val="0043092C"/>
    <w:rsid w:val="00432BAC"/>
    <w:rsid w:val="00434F17"/>
    <w:rsid w:val="0043509F"/>
    <w:rsid w:val="00435937"/>
    <w:rsid w:val="004365E3"/>
    <w:rsid w:val="00436C9D"/>
    <w:rsid w:val="00440C10"/>
    <w:rsid w:val="00443D2B"/>
    <w:rsid w:val="00445DA1"/>
    <w:rsid w:val="0044779D"/>
    <w:rsid w:val="00461513"/>
    <w:rsid w:val="0046226F"/>
    <w:rsid w:val="00462DEC"/>
    <w:rsid w:val="00463C60"/>
    <w:rsid w:val="004642DC"/>
    <w:rsid w:val="00464696"/>
    <w:rsid w:val="0046639F"/>
    <w:rsid w:val="00466623"/>
    <w:rsid w:val="00470539"/>
    <w:rsid w:val="004725D1"/>
    <w:rsid w:val="004768AC"/>
    <w:rsid w:val="0048049E"/>
    <w:rsid w:val="004830F5"/>
    <w:rsid w:val="00483506"/>
    <w:rsid w:val="004864F2"/>
    <w:rsid w:val="00492331"/>
    <w:rsid w:val="004A04F7"/>
    <w:rsid w:val="004A4D43"/>
    <w:rsid w:val="004A5B2C"/>
    <w:rsid w:val="004B49E1"/>
    <w:rsid w:val="004B5E95"/>
    <w:rsid w:val="004B67A8"/>
    <w:rsid w:val="004D042D"/>
    <w:rsid w:val="004D3774"/>
    <w:rsid w:val="004D5D83"/>
    <w:rsid w:val="004D7265"/>
    <w:rsid w:val="004E2272"/>
    <w:rsid w:val="004E541E"/>
    <w:rsid w:val="004F1A87"/>
    <w:rsid w:val="004F2A92"/>
    <w:rsid w:val="004F7920"/>
    <w:rsid w:val="0050252A"/>
    <w:rsid w:val="0050400A"/>
    <w:rsid w:val="00511B97"/>
    <w:rsid w:val="0051304B"/>
    <w:rsid w:val="00516671"/>
    <w:rsid w:val="00516AEE"/>
    <w:rsid w:val="005215AD"/>
    <w:rsid w:val="00522FD4"/>
    <w:rsid w:val="00525366"/>
    <w:rsid w:val="005335EA"/>
    <w:rsid w:val="00541C02"/>
    <w:rsid w:val="00541C52"/>
    <w:rsid w:val="00542546"/>
    <w:rsid w:val="005475CF"/>
    <w:rsid w:val="005519F4"/>
    <w:rsid w:val="00553B30"/>
    <w:rsid w:val="00554ECD"/>
    <w:rsid w:val="005622FE"/>
    <w:rsid w:val="005731FA"/>
    <w:rsid w:val="00574105"/>
    <w:rsid w:val="005768AA"/>
    <w:rsid w:val="005770C2"/>
    <w:rsid w:val="005806D0"/>
    <w:rsid w:val="00581A64"/>
    <w:rsid w:val="00582F7F"/>
    <w:rsid w:val="00583910"/>
    <w:rsid w:val="00592150"/>
    <w:rsid w:val="00595794"/>
    <w:rsid w:val="00595F9F"/>
    <w:rsid w:val="005A1298"/>
    <w:rsid w:val="005A3B12"/>
    <w:rsid w:val="005B67D0"/>
    <w:rsid w:val="005B6F69"/>
    <w:rsid w:val="005B7166"/>
    <w:rsid w:val="005C0236"/>
    <w:rsid w:val="005C032A"/>
    <w:rsid w:val="005C4401"/>
    <w:rsid w:val="005C7CBB"/>
    <w:rsid w:val="005D7D1E"/>
    <w:rsid w:val="005E1EBC"/>
    <w:rsid w:val="005E69D8"/>
    <w:rsid w:val="005E7486"/>
    <w:rsid w:val="005E7487"/>
    <w:rsid w:val="005F2FFE"/>
    <w:rsid w:val="005F4D6B"/>
    <w:rsid w:val="005F6252"/>
    <w:rsid w:val="006030EA"/>
    <w:rsid w:val="00605866"/>
    <w:rsid w:val="0060744F"/>
    <w:rsid w:val="006079DD"/>
    <w:rsid w:val="0061256E"/>
    <w:rsid w:val="006149AD"/>
    <w:rsid w:val="00617684"/>
    <w:rsid w:val="00617B10"/>
    <w:rsid w:val="00621205"/>
    <w:rsid w:val="00627A3A"/>
    <w:rsid w:val="00630084"/>
    <w:rsid w:val="006317CE"/>
    <w:rsid w:val="00632536"/>
    <w:rsid w:val="006344FE"/>
    <w:rsid w:val="00636AF5"/>
    <w:rsid w:val="00646480"/>
    <w:rsid w:val="006467C9"/>
    <w:rsid w:val="006568A7"/>
    <w:rsid w:val="00657E53"/>
    <w:rsid w:val="00664FC9"/>
    <w:rsid w:val="0066581B"/>
    <w:rsid w:val="0067069C"/>
    <w:rsid w:val="00671689"/>
    <w:rsid w:val="0067290E"/>
    <w:rsid w:val="00672981"/>
    <w:rsid w:val="006808AC"/>
    <w:rsid w:val="00681FCB"/>
    <w:rsid w:val="006964B0"/>
    <w:rsid w:val="006966CB"/>
    <w:rsid w:val="00696DBA"/>
    <w:rsid w:val="006A0957"/>
    <w:rsid w:val="006A1F11"/>
    <w:rsid w:val="006A64F6"/>
    <w:rsid w:val="006B109C"/>
    <w:rsid w:val="006B12FC"/>
    <w:rsid w:val="006B1AC4"/>
    <w:rsid w:val="006B35CF"/>
    <w:rsid w:val="006C5B91"/>
    <w:rsid w:val="006D78B4"/>
    <w:rsid w:val="006E15A0"/>
    <w:rsid w:val="006E6404"/>
    <w:rsid w:val="006E7A4C"/>
    <w:rsid w:val="006F3754"/>
    <w:rsid w:val="006F7B61"/>
    <w:rsid w:val="006F7D26"/>
    <w:rsid w:val="0070144B"/>
    <w:rsid w:val="00704212"/>
    <w:rsid w:val="00706D52"/>
    <w:rsid w:val="007133C8"/>
    <w:rsid w:val="007133EE"/>
    <w:rsid w:val="00715C9B"/>
    <w:rsid w:val="00722320"/>
    <w:rsid w:val="007235BC"/>
    <w:rsid w:val="00725CBD"/>
    <w:rsid w:val="0073091B"/>
    <w:rsid w:val="00732BD8"/>
    <w:rsid w:val="00733BFF"/>
    <w:rsid w:val="007354B0"/>
    <w:rsid w:val="00737104"/>
    <w:rsid w:val="00741B4C"/>
    <w:rsid w:val="0074239C"/>
    <w:rsid w:val="0074400E"/>
    <w:rsid w:val="0074488E"/>
    <w:rsid w:val="0074709D"/>
    <w:rsid w:val="00747D8D"/>
    <w:rsid w:val="00753B02"/>
    <w:rsid w:val="0075590C"/>
    <w:rsid w:val="00763AAA"/>
    <w:rsid w:val="00764080"/>
    <w:rsid w:val="007709D3"/>
    <w:rsid w:val="00776A74"/>
    <w:rsid w:val="00780376"/>
    <w:rsid w:val="00780582"/>
    <w:rsid w:val="00780A39"/>
    <w:rsid w:val="00781963"/>
    <w:rsid w:val="007825A4"/>
    <w:rsid w:val="0078511A"/>
    <w:rsid w:val="00786DBB"/>
    <w:rsid w:val="00787B01"/>
    <w:rsid w:val="00796F0C"/>
    <w:rsid w:val="007972F0"/>
    <w:rsid w:val="007A0871"/>
    <w:rsid w:val="007A3BBD"/>
    <w:rsid w:val="007A4446"/>
    <w:rsid w:val="007A72D3"/>
    <w:rsid w:val="007B0167"/>
    <w:rsid w:val="007B182A"/>
    <w:rsid w:val="007B27CC"/>
    <w:rsid w:val="007C767A"/>
    <w:rsid w:val="007D1C97"/>
    <w:rsid w:val="007D2BF1"/>
    <w:rsid w:val="007D5FA7"/>
    <w:rsid w:val="007D7879"/>
    <w:rsid w:val="007E152F"/>
    <w:rsid w:val="007F13EB"/>
    <w:rsid w:val="007F198C"/>
    <w:rsid w:val="007F2850"/>
    <w:rsid w:val="007F655F"/>
    <w:rsid w:val="007F6B2E"/>
    <w:rsid w:val="00802AD6"/>
    <w:rsid w:val="008039CE"/>
    <w:rsid w:val="00803E47"/>
    <w:rsid w:val="00805109"/>
    <w:rsid w:val="00805949"/>
    <w:rsid w:val="00806443"/>
    <w:rsid w:val="00806B14"/>
    <w:rsid w:val="00807344"/>
    <w:rsid w:val="008101B9"/>
    <w:rsid w:val="008152C4"/>
    <w:rsid w:val="00815B42"/>
    <w:rsid w:val="00822C7B"/>
    <w:rsid w:val="0083021B"/>
    <w:rsid w:val="00830E7F"/>
    <w:rsid w:val="00831568"/>
    <w:rsid w:val="00832D0E"/>
    <w:rsid w:val="0084163C"/>
    <w:rsid w:val="00841F81"/>
    <w:rsid w:val="008444B4"/>
    <w:rsid w:val="00847EA9"/>
    <w:rsid w:val="00856678"/>
    <w:rsid w:val="0085722C"/>
    <w:rsid w:val="0086463C"/>
    <w:rsid w:val="0087090D"/>
    <w:rsid w:val="00872F2B"/>
    <w:rsid w:val="0088143E"/>
    <w:rsid w:val="0088184A"/>
    <w:rsid w:val="008825BE"/>
    <w:rsid w:val="008830B7"/>
    <w:rsid w:val="00885594"/>
    <w:rsid w:val="0089074C"/>
    <w:rsid w:val="00892F85"/>
    <w:rsid w:val="008A0F0E"/>
    <w:rsid w:val="008A2929"/>
    <w:rsid w:val="008A3ABA"/>
    <w:rsid w:val="008A6317"/>
    <w:rsid w:val="008B05C7"/>
    <w:rsid w:val="008B2C4E"/>
    <w:rsid w:val="008B4689"/>
    <w:rsid w:val="008B5471"/>
    <w:rsid w:val="008B5B1B"/>
    <w:rsid w:val="008B6ED3"/>
    <w:rsid w:val="008C0021"/>
    <w:rsid w:val="008C1E00"/>
    <w:rsid w:val="008C2336"/>
    <w:rsid w:val="008C7723"/>
    <w:rsid w:val="008D20AC"/>
    <w:rsid w:val="008E3A35"/>
    <w:rsid w:val="008E4CBC"/>
    <w:rsid w:val="008E7127"/>
    <w:rsid w:val="008E79BE"/>
    <w:rsid w:val="008E7D4A"/>
    <w:rsid w:val="008F40F4"/>
    <w:rsid w:val="0090534B"/>
    <w:rsid w:val="00913108"/>
    <w:rsid w:val="0091573E"/>
    <w:rsid w:val="00916397"/>
    <w:rsid w:val="009224FE"/>
    <w:rsid w:val="009225AD"/>
    <w:rsid w:val="00923F63"/>
    <w:rsid w:val="009240A1"/>
    <w:rsid w:val="00924D4C"/>
    <w:rsid w:val="0092544C"/>
    <w:rsid w:val="00927FD3"/>
    <w:rsid w:val="00930F9B"/>
    <w:rsid w:val="00932078"/>
    <w:rsid w:val="00932165"/>
    <w:rsid w:val="00934E5A"/>
    <w:rsid w:val="00936862"/>
    <w:rsid w:val="00936FA7"/>
    <w:rsid w:val="0094050F"/>
    <w:rsid w:val="009428AF"/>
    <w:rsid w:val="009443AC"/>
    <w:rsid w:val="00946B30"/>
    <w:rsid w:val="00952720"/>
    <w:rsid w:val="00952BCA"/>
    <w:rsid w:val="0096099F"/>
    <w:rsid w:val="00960EB8"/>
    <w:rsid w:val="00961E82"/>
    <w:rsid w:val="009621DB"/>
    <w:rsid w:val="00964263"/>
    <w:rsid w:val="009650B2"/>
    <w:rsid w:val="00965A36"/>
    <w:rsid w:val="00965EDD"/>
    <w:rsid w:val="009662B8"/>
    <w:rsid w:val="00966E0E"/>
    <w:rsid w:val="00966FC2"/>
    <w:rsid w:val="0097027B"/>
    <w:rsid w:val="00970B2E"/>
    <w:rsid w:val="0097408F"/>
    <w:rsid w:val="0097550F"/>
    <w:rsid w:val="009759CE"/>
    <w:rsid w:val="00975FEA"/>
    <w:rsid w:val="009760A4"/>
    <w:rsid w:val="00977200"/>
    <w:rsid w:val="00983D35"/>
    <w:rsid w:val="00983FA4"/>
    <w:rsid w:val="00985150"/>
    <w:rsid w:val="00997EBB"/>
    <w:rsid w:val="009A2478"/>
    <w:rsid w:val="009A3158"/>
    <w:rsid w:val="009A3273"/>
    <w:rsid w:val="009A7406"/>
    <w:rsid w:val="009B27B5"/>
    <w:rsid w:val="009B4854"/>
    <w:rsid w:val="009C4648"/>
    <w:rsid w:val="009C4B76"/>
    <w:rsid w:val="009C7157"/>
    <w:rsid w:val="009D14C5"/>
    <w:rsid w:val="009D5E0B"/>
    <w:rsid w:val="009D61A0"/>
    <w:rsid w:val="009D6877"/>
    <w:rsid w:val="009E4D22"/>
    <w:rsid w:val="009E6646"/>
    <w:rsid w:val="009E7E18"/>
    <w:rsid w:val="009F52E3"/>
    <w:rsid w:val="009F79F7"/>
    <w:rsid w:val="00A008FB"/>
    <w:rsid w:val="00A01BE2"/>
    <w:rsid w:val="00A0543C"/>
    <w:rsid w:val="00A06544"/>
    <w:rsid w:val="00A06641"/>
    <w:rsid w:val="00A13B1B"/>
    <w:rsid w:val="00A14119"/>
    <w:rsid w:val="00A1663C"/>
    <w:rsid w:val="00A20489"/>
    <w:rsid w:val="00A214A1"/>
    <w:rsid w:val="00A22B05"/>
    <w:rsid w:val="00A2541E"/>
    <w:rsid w:val="00A26E8F"/>
    <w:rsid w:val="00A31989"/>
    <w:rsid w:val="00A31B7E"/>
    <w:rsid w:val="00A34183"/>
    <w:rsid w:val="00A36BF7"/>
    <w:rsid w:val="00A40ADC"/>
    <w:rsid w:val="00A41A69"/>
    <w:rsid w:val="00A51637"/>
    <w:rsid w:val="00A5385D"/>
    <w:rsid w:val="00A6108C"/>
    <w:rsid w:val="00A65E28"/>
    <w:rsid w:val="00A66192"/>
    <w:rsid w:val="00A75D26"/>
    <w:rsid w:val="00A76C8F"/>
    <w:rsid w:val="00A76DA9"/>
    <w:rsid w:val="00A81B79"/>
    <w:rsid w:val="00A81C06"/>
    <w:rsid w:val="00A87DEE"/>
    <w:rsid w:val="00A901FE"/>
    <w:rsid w:val="00A90937"/>
    <w:rsid w:val="00A91C47"/>
    <w:rsid w:val="00A939B4"/>
    <w:rsid w:val="00A93E88"/>
    <w:rsid w:val="00A94632"/>
    <w:rsid w:val="00A94F44"/>
    <w:rsid w:val="00A9534F"/>
    <w:rsid w:val="00A97D16"/>
    <w:rsid w:val="00A97F10"/>
    <w:rsid w:val="00AA4530"/>
    <w:rsid w:val="00AA5255"/>
    <w:rsid w:val="00AA7251"/>
    <w:rsid w:val="00AB0880"/>
    <w:rsid w:val="00AC0F5A"/>
    <w:rsid w:val="00AC121C"/>
    <w:rsid w:val="00AC5902"/>
    <w:rsid w:val="00AD5E2E"/>
    <w:rsid w:val="00AE2761"/>
    <w:rsid w:val="00AE3EF3"/>
    <w:rsid w:val="00AE4884"/>
    <w:rsid w:val="00AE5353"/>
    <w:rsid w:val="00AF4288"/>
    <w:rsid w:val="00B0230C"/>
    <w:rsid w:val="00B07546"/>
    <w:rsid w:val="00B12E87"/>
    <w:rsid w:val="00B14549"/>
    <w:rsid w:val="00B155DE"/>
    <w:rsid w:val="00B1659B"/>
    <w:rsid w:val="00B20181"/>
    <w:rsid w:val="00B22B75"/>
    <w:rsid w:val="00B236F2"/>
    <w:rsid w:val="00B319F7"/>
    <w:rsid w:val="00B332D6"/>
    <w:rsid w:val="00B412BA"/>
    <w:rsid w:val="00B46A14"/>
    <w:rsid w:val="00B51A67"/>
    <w:rsid w:val="00B52106"/>
    <w:rsid w:val="00B54294"/>
    <w:rsid w:val="00B64C1B"/>
    <w:rsid w:val="00B7041F"/>
    <w:rsid w:val="00B748C5"/>
    <w:rsid w:val="00B830A6"/>
    <w:rsid w:val="00B85C9E"/>
    <w:rsid w:val="00B86DF4"/>
    <w:rsid w:val="00B87A36"/>
    <w:rsid w:val="00B87EFF"/>
    <w:rsid w:val="00B91EA3"/>
    <w:rsid w:val="00B97221"/>
    <w:rsid w:val="00BA1630"/>
    <w:rsid w:val="00BA3CA4"/>
    <w:rsid w:val="00BA69C7"/>
    <w:rsid w:val="00BB1083"/>
    <w:rsid w:val="00BB5531"/>
    <w:rsid w:val="00BD143A"/>
    <w:rsid w:val="00BD2073"/>
    <w:rsid w:val="00BD51D4"/>
    <w:rsid w:val="00BE1BB7"/>
    <w:rsid w:val="00BE3F4D"/>
    <w:rsid w:val="00BE44C8"/>
    <w:rsid w:val="00BE4F5F"/>
    <w:rsid w:val="00BF046B"/>
    <w:rsid w:val="00BF1C5E"/>
    <w:rsid w:val="00BF43D9"/>
    <w:rsid w:val="00BF771C"/>
    <w:rsid w:val="00C05931"/>
    <w:rsid w:val="00C060A7"/>
    <w:rsid w:val="00C22363"/>
    <w:rsid w:val="00C22745"/>
    <w:rsid w:val="00C22FDB"/>
    <w:rsid w:val="00C266A0"/>
    <w:rsid w:val="00C30C3F"/>
    <w:rsid w:val="00C31908"/>
    <w:rsid w:val="00C40602"/>
    <w:rsid w:val="00C42350"/>
    <w:rsid w:val="00C44C3C"/>
    <w:rsid w:val="00C53EDE"/>
    <w:rsid w:val="00C542C1"/>
    <w:rsid w:val="00C60F50"/>
    <w:rsid w:val="00C67C7C"/>
    <w:rsid w:val="00C716E9"/>
    <w:rsid w:val="00C74552"/>
    <w:rsid w:val="00C82470"/>
    <w:rsid w:val="00C85F86"/>
    <w:rsid w:val="00C86998"/>
    <w:rsid w:val="00C95658"/>
    <w:rsid w:val="00CA7123"/>
    <w:rsid w:val="00CB292F"/>
    <w:rsid w:val="00CB3BC1"/>
    <w:rsid w:val="00CB444A"/>
    <w:rsid w:val="00CB74D6"/>
    <w:rsid w:val="00CC4D38"/>
    <w:rsid w:val="00CC5B1D"/>
    <w:rsid w:val="00CC5BF6"/>
    <w:rsid w:val="00CC6AED"/>
    <w:rsid w:val="00CD0545"/>
    <w:rsid w:val="00CD05A9"/>
    <w:rsid w:val="00CD3F98"/>
    <w:rsid w:val="00CE0666"/>
    <w:rsid w:val="00CE0698"/>
    <w:rsid w:val="00CE72B6"/>
    <w:rsid w:val="00CF1989"/>
    <w:rsid w:val="00CF22B1"/>
    <w:rsid w:val="00CF4682"/>
    <w:rsid w:val="00D00B08"/>
    <w:rsid w:val="00D05490"/>
    <w:rsid w:val="00D06B31"/>
    <w:rsid w:val="00D135EE"/>
    <w:rsid w:val="00D13CEC"/>
    <w:rsid w:val="00D16234"/>
    <w:rsid w:val="00D20FB5"/>
    <w:rsid w:val="00D24E36"/>
    <w:rsid w:val="00D25B83"/>
    <w:rsid w:val="00D27815"/>
    <w:rsid w:val="00D31A7F"/>
    <w:rsid w:val="00D32993"/>
    <w:rsid w:val="00D33052"/>
    <w:rsid w:val="00D36219"/>
    <w:rsid w:val="00D406D6"/>
    <w:rsid w:val="00D4537D"/>
    <w:rsid w:val="00D46392"/>
    <w:rsid w:val="00D601FA"/>
    <w:rsid w:val="00D605D8"/>
    <w:rsid w:val="00D611EC"/>
    <w:rsid w:val="00D6697A"/>
    <w:rsid w:val="00D672B4"/>
    <w:rsid w:val="00D71047"/>
    <w:rsid w:val="00D73101"/>
    <w:rsid w:val="00D73739"/>
    <w:rsid w:val="00D74F6F"/>
    <w:rsid w:val="00D77ADB"/>
    <w:rsid w:val="00D82759"/>
    <w:rsid w:val="00D90309"/>
    <w:rsid w:val="00D918FF"/>
    <w:rsid w:val="00D96D39"/>
    <w:rsid w:val="00DA0FE9"/>
    <w:rsid w:val="00DA1004"/>
    <w:rsid w:val="00DB4D79"/>
    <w:rsid w:val="00DB6D18"/>
    <w:rsid w:val="00DC3160"/>
    <w:rsid w:val="00DC33AA"/>
    <w:rsid w:val="00DD46F1"/>
    <w:rsid w:val="00DE2B27"/>
    <w:rsid w:val="00DE3281"/>
    <w:rsid w:val="00DE5955"/>
    <w:rsid w:val="00DE7D27"/>
    <w:rsid w:val="00DE7E36"/>
    <w:rsid w:val="00DF0421"/>
    <w:rsid w:val="00DF09E5"/>
    <w:rsid w:val="00DF2623"/>
    <w:rsid w:val="00E00E21"/>
    <w:rsid w:val="00E018AE"/>
    <w:rsid w:val="00E01E24"/>
    <w:rsid w:val="00E024AE"/>
    <w:rsid w:val="00E02F9E"/>
    <w:rsid w:val="00E03A94"/>
    <w:rsid w:val="00E067FB"/>
    <w:rsid w:val="00E076BE"/>
    <w:rsid w:val="00E1294F"/>
    <w:rsid w:val="00E21B84"/>
    <w:rsid w:val="00E22358"/>
    <w:rsid w:val="00E237C0"/>
    <w:rsid w:val="00E24260"/>
    <w:rsid w:val="00E24665"/>
    <w:rsid w:val="00E25B7B"/>
    <w:rsid w:val="00E26567"/>
    <w:rsid w:val="00E3120B"/>
    <w:rsid w:val="00E3489B"/>
    <w:rsid w:val="00E36662"/>
    <w:rsid w:val="00E4071E"/>
    <w:rsid w:val="00E42272"/>
    <w:rsid w:val="00E535BE"/>
    <w:rsid w:val="00E57363"/>
    <w:rsid w:val="00E651A8"/>
    <w:rsid w:val="00E74608"/>
    <w:rsid w:val="00E758DC"/>
    <w:rsid w:val="00E75A5E"/>
    <w:rsid w:val="00E777B4"/>
    <w:rsid w:val="00E810DF"/>
    <w:rsid w:val="00E82F46"/>
    <w:rsid w:val="00E84212"/>
    <w:rsid w:val="00E85810"/>
    <w:rsid w:val="00E85AAD"/>
    <w:rsid w:val="00E92A01"/>
    <w:rsid w:val="00E95440"/>
    <w:rsid w:val="00E963F4"/>
    <w:rsid w:val="00EA1999"/>
    <w:rsid w:val="00EA38FB"/>
    <w:rsid w:val="00EA3EB2"/>
    <w:rsid w:val="00EB34A3"/>
    <w:rsid w:val="00EC09D5"/>
    <w:rsid w:val="00EC2752"/>
    <w:rsid w:val="00EC5FB9"/>
    <w:rsid w:val="00ED7F88"/>
    <w:rsid w:val="00EE156A"/>
    <w:rsid w:val="00EE1B29"/>
    <w:rsid w:val="00EE22FA"/>
    <w:rsid w:val="00EE5CDD"/>
    <w:rsid w:val="00EF06B2"/>
    <w:rsid w:val="00EF0966"/>
    <w:rsid w:val="00EF1B2B"/>
    <w:rsid w:val="00EF2B2A"/>
    <w:rsid w:val="00EF751C"/>
    <w:rsid w:val="00F02A2A"/>
    <w:rsid w:val="00F10F9F"/>
    <w:rsid w:val="00F1349F"/>
    <w:rsid w:val="00F14BCA"/>
    <w:rsid w:val="00F1674A"/>
    <w:rsid w:val="00F172F4"/>
    <w:rsid w:val="00F2218C"/>
    <w:rsid w:val="00F22457"/>
    <w:rsid w:val="00F3694C"/>
    <w:rsid w:val="00F36E44"/>
    <w:rsid w:val="00F41016"/>
    <w:rsid w:val="00F41D3C"/>
    <w:rsid w:val="00F42D91"/>
    <w:rsid w:val="00F43211"/>
    <w:rsid w:val="00F4450E"/>
    <w:rsid w:val="00F44BC7"/>
    <w:rsid w:val="00F47329"/>
    <w:rsid w:val="00F5328E"/>
    <w:rsid w:val="00F5546E"/>
    <w:rsid w:val="00F55735"/>
    <w:rsid w:val="00F559FE"/>
    <w:rsid w:val="00F56032"/>
    <w:rsid w:val="00F5757C"/>
    <w:rsid w:val="00F60C95"/>
    <w:rsid w:val="00F64331"/>
    <w:rsid w:val="00F6549E"/>
    <w:rsid w:val="00F66CFC"/>
    <w:rsid w:val="00F77AA2"/>
    <w:rsid w:val="00F83672"/>
    <w:rsid w:val="00F842C0"/>
    <w:rsid w:val="00F85EDB"/>
    <w:rsid w:val="00F94F6E"/>
    <w:rsid w:val="00F96230"/>
    <w:rsid w:val="00FA22BD"/>
    <w:rsid w:val="00FA23C7"/>
    <w:rsid w:val="00FA4611"/>
    <w:rsid w:val="00FB4C81"/>
    <w:rsid w:val="00FB6584"/>
    <w:rsid w:val="00FB75D7"/>
    <w:rsid w:val="00FC089B"/>
    <w:rsid w:val="00FC1E5D"/>
    <w:rsid w:val="00FC3241"/>
    <w:rsid w:val="00FC504B"/>
    <w:rsid w:val="00FD133D"/>
    <w:rsid w:val="00FD680A"/>
    <w:rsid w:val="00FE17CA"/>
    <w:rsid w:val="00FE30D5"/>
    <w:rsid w:val="00FE45C5"/>
    <w:rsid w:val="00FE5609"/>
    <w:rsid w:val="00FE6FE7"/>
    <w:rsid w:val="00FE7811"/>
    <w:rsid w:val="00FF568D"/>
    <w:rsid w:val="00FF6D62"/>
    <w:rsid w:val="00FF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F6D"/>
  <w15:chartTrackingRefBased/>
  <w15:docId w15:val="{31A4F684-83C7-4BE1-A56A-D46F06B158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heme="minorHAnsi" w:cstheme="minorBidi"/>
        <w:sz w:val="24"/>
        <w:szCs w:val="22"/>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4F1A87"/>
    <w:rPr>
      <w:rFonts w:ascii="Arial" w:hAnsi="Arial"/>
      <w:u w: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901FE"/>
    <w:rPr>
      <w:rFonts w:ascii="Arial" w:hAnsi="Arial"/>
      <w:sz w:val="22"/>
      <w:u w:val="none"/>
    </w:rPr>
  </w:style>
  <w:style w:type="paragraph" w:styleId="TOAHeading">
    <w:name w:val="toa heading"/>
    <w:basedOn w:val="Normal"/>
    <w:next w:val="Normal"/>
    <w:uiPriority w:val="99"/>
    <w:semiHidden/>
    <w:unhideWhenUsed/>
    <w:rsid w:val="008A3ABA"/>
    <w:pPr>
      <w:spacing w:before="120"/>
    </w:pPr>
    <w:rPr>
      <w:rFonts w:eastAsiaTheme="majorEastAsia" w:cstheme="majorBidi"/>
      <w:bCs/>
      <w:szCs w:val="24"/>
    </w:rPr>
  </w:style>
  <w:style w:type="paragraph" w:styleId="TableofAuthorities">
    <w:name w:val="table of authorities"/>
    <w:basedOn w:val="Normal"/>
    <w:next w:val="Normal"/>
    <w:autoRedefine/>
    <w:uiPriority w:val="99"/>
    <w:semiHidden/>
    <w:unhideWhenUsed/>
    <w:rsid w:val="003E7B54"/>
    <w:pPr>
      <w:spacing w:line="480" w:lineRule="auto"/>
      <w:ind w:left="216" w:hanging="216"/>
      <w:contextualSpacing/>
    </w:pPr>
  </w:style>
  <w:style w:type="table" w:styleId="TableGrid">
    <w:name w:val="Table Grid"/>
    <w:basedOn w:val="TableNormal"/>
    <w:uiPriority w:val="39"/>
    <w:rsid w:val="002250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80582"/>
    <w:rPr>
      <w:color w:val="0563C1" w:themeColor="hyperlink"/>
      <w:u w:val="single"/>
    </w:rPr>
  </w:style>
  <w:style w:type="character" w:styleId="UnresolvedMention">
    <w:name w:val="Unresolved Mention"/>
    <w:basedOn w:val="DefaultParagraphFont"/>
    <w:uiPriority w:val="99"/>
    <w:semiHidden/>
    <w:unhideWhenUsed/>
    <w:rsid w:val="00780582"/>
    <w:rPr>
      <w:color w:val="605E5C"/>
      <w:shd w:val="clear" w:color="auto" w:fill="E1DFDD"/>
    </w:rPr>
  </w:style>
  <w:style w:type="paragraph" w:styleId="ListParagraph">
    <w:name w:val="List Paragraph"/>
    <w:basedOn w:val="Normal"/>
    <w:uiPriority w:val="34"/>
    <w:qFormat/>
    <w:rsid w:val="00F6549E"/>
    <w:pPr>
      <w:spacing w:after="160" w:line="259" w:lineRule="auto"/>
      <w:ind w:left="720"/>
      <w:contextualSpacing/>
    </w:pPr>
    <w:rPr>
      <w:sz w:val="22"/>
    </w:rPr>
  </w:style>
  <w:style w:type="paragraph" w:styleId="Header">
    <w:name w:val="header"/>
    <w:basedOn w:val="Normal"/>
    <w:link w:val="HeaderChar"/>
    <w:uiPriority w:val="99"/>
    <w:unhideWhenUsed/>
    <w:rsid w:val="0046226F"/>
    <w:pPr>
      <w:tabs>
        <w:tab w:val="center" w:pos="4680"/>
        <w:tab w:val="right" w:pos="9360"/>
      </w:tabs>
    </w:pPr>
  </w:style>
  <w:style w:type="character" w:styleId="HeaderChar" w:customStyle="1">
    <w:name w:val="Header Char"/>
    <w:basedOn w:val="DefaultParagraphFont"/>
    <w:link w:val="Header"/>
    <w:uiPriority w:val="99"/>
    <w:rsid w:val="0046226F"/>
    <w:rPr>
      <w:rFonts w:ascii="Arial" w:hAnsi="Arial"/>
      <w:u w:val="none"/>
    </w:rPr>
  </w:style>
  <w:style w:type="paragraph" w:styleId="Footer">
    <w:name w:val="footer"/>
    <w:basedOn w:val="Normal"/>
    <w:link w:val="FooterChar"/>
    <w:uiPriority w:val="99"/>
    <w:unhideWhenUsed/>
    <w:rsid w:val="0046226F"/>
    <w:pPr>
      <w:tabs>
        <w:tab w:val="center" w:pos="4680"/>
        <w:tab w:val="right" w:pos="9360"/>
      </w:tabs>
    </w:pPr>
  </w:style>
  <w:style w:type="character" w:styleId="FooterChar" w:customStyle="1">
    <w:name w:val="Footer Char"/>
    <w:basedOn w:val="DefaultParagraphFont"/>
    <w:link w:val="Footer"/>
    <w:uiPriority w:val="99"/>
    <w:rsid w:val="0046226F"/>
    <w:rPr>
      <w:rFonts w:ascii="Arial" w:hAnsi="Arial"/>
      <w:u w:val="none"/>
    </w:rPr>
  </w:style>
  <w:style w:type="paragraph" w:styleId="FootnoteText">
    <w:name w:val="footnote text"/>
    <w:basedOn w:val="Normal"/>
    <w:link w:val="FootnoteTextChar"/>
    <w:uiPriority w:val="99"/>
    <w:semiHidden/>
    <w:unhideWhenUsed/>
    <w:rsid w:val="004D042D"/>
    <w:rPr>
      <w:sz w:val="20"/>
      <w:szCs w:val="20"/>
    </w:rPr>
  </w:style>
  <w:style w:type="character" w:styleId="FootnoteTextChar" w:customStyle="1">
    <w:name w:val="Footnote Text Char"/>
    <w:basedOn w:val="DefaultParagraphFont"/>
    <w:link w:val="FootnoteText"/>
    <w:uiPriority w:val="99"/>
    <w:semiHidden/>
    <w:rsid w:val="004D042D"/>
    <w:rPr>
      <w:rFonts w:ascii="Arial" w:hAnsi="Arial"/>
      <w:sz w:val="20"/>
      <w:szCs w:val="20"/>
      <w:u w:val="none"/>
    </w:rPr>
  </w:style>
  <w:style w:type="character" w:styleId="FootnoteReference">
    <w:name w:val="footnote reference"/>
    <w:basedOn w:val="DefaultParagraphFont"/>
    <w:uiPriority w:val="99"/>
    <w:semiHidden/>
    <w:unhideWhenUsed/>
    <w:rsid w:val="004D042D"/>
    <w:rPr>
      <w:vertAlign w:val="superscript"/>
    </w:rPr>
  </w:style>
  <w:style w:type="character" w:styleId="CommentReference">
    <w:name w:val="annotation reference"/>
    <w:basedOn w:val="DefaultParagraphFont"/>
    <w:uiPriority w:val="99"/>
    <w:semiHidden/>
    <w:unhideWhenUsed/>
    <w:rsid w:val="00664FC9"/>
    <w:rPr>
      <w:sz w:val="16"/>
      <w:szCs w:val="16"/>
    </w:rPr>
  </w:style>
  <w:style w:type="paragraph" w:styleId="CommentText">
    <w:name w:val="annotation text"/>
    <w:basedOn w:val="Normal"/>
    <w:link w:val="CommentTextChar"/>
    <w:uiPriority w:val="99"/>
    <w:semiHidden/>
    <w:unhideWhenUsed/>
    <w:rsid w:val="00664FC9"/>
    <w:rPr>
      <w:sz w:val="20"/>
      <w:szCs w:val="20"/>
    </w:rPr>
  </w:style>
  <w:style w:type="character" w:styleId="CommentTextChar" w:customStyle="1">
    <w:name w:val="Comment Text Char"/>
    <w:basedOn w:val="DefaultParagraphFont"/>
    <w:link w:val="CommentText"/>
    <w:uiPriority w:val="99"/>
    <w:semiHidden/>
    <w:rsid w:val="00664FC9"/>
    <w:rPr>
      <w:rFonts w:ascii="Arial" w:hAnsi="Arial"/>
      <w:sz w:val="20"/>
      <w:szCs w:val="20"/>
      <w:u w:val="none"/>
    </w:rPr>
  </w:style>
  <w:style w:type="paragraph" w:styleId="CommentSubject">
    <w:name w:val="annotation subject"/>
    <w:basedOn w:val="CommentText"/>
    <w:next w:val="CommentText"/>
    <w:link w:val="CommentSubjectChar"/>
    <w:uiPriority w:val="99"/>
    <w:semiHidden/>
    <w:unhideWhenUsed/>
    <w:rsid w:val="00664FC9"/>
    <w:rPr>
      <w:b/>
      <w:bCs/>
    </w:rPr>
  </w:style>
  <w:style w:type="character" w:styleId="CommentSubjectChar" w:customStyle="1">
    <w:name w:val="Comment Subject Char"/>
    <w:basedOn w:val="CommentTextChar"/>
    <w:link w:val="CommentSubject"/>
    <w:uiPriority w:val="99"/>
    <w:semiHidden/>
    <w:rsid w:val="00664FC9"/>
    <w:rPr>
      <w:rFonts w:ascii="Arial" w:hAnsi="Arial"/>
      <w:b/>
      <w:bCs/>
      <w:sz w:val="20"/>
      <w:szCs w:val="20"/>
      <w:u w:val="none"/>
    </w:rPr>
  </w:style>
  <w:style w:type="paragraph" w:styleId="BalloonText">
    <w:name w:val="Balloon Text"/>
    <w:basedOn w:val="Normal"/>
    <w:link w:val="BalloonTextChar"/>
    <w:uiPriority w:val="99"/>
    <w:semiHidden/>
    <w:unhideWhenUsed/>
    <w:rsid w:val="00664FC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64FC9"/>
    <w:rPr>
      <w:rFonts w:ascii="Segoe UI" w:hAnsi="Segoe UI" w:cs="Segoe UI"/>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ichael.nugent@igs.com" TargetMode="External" Id="rId13" /><Relationship Type="http://schemas.openxmlformats.org/officeDocument/2006/relationships/hyperlink" Target="mailto:schmidt@sppgrp.com" TargetMode="External" Id="rId18" /><Relationship Type="http://schemas.openxmlformats.org/officeDocument/2006/relationships/hyperlink" Target="mailto:mwalters@proseniors.org" TargetMode="External" Id="rId26" /><Relationship Type="http://schemas.openxmlformats.org/officeDocument/2006/relationships/customXml" Target="../customXml/item3.xml" Id="rId3" /><Relationship Type="http://schemas.openxmlformats.org/officeDocument/2006/relationships/hyperlink" Target="mailto:fykes@whitt-sturtevant.com" TargetMode="External" Id="rId21" /><Relationship Type="http://schemas.openxmlformats.org/officeDocument/2006/relationships/settings" Target="settings.xml" Id="rId7" /><Relationship Type="http://schemas.openxmlformats.org/officeDocument/2006/relationships/hyperlink" Target="mailto:joe.oliker@igs.com" TargetMode="External" Id="rId12" /><Relationship Type="http://schemas.openxmlformats.org/officeDocument/2006/relationships/hyperlink" Target="mailto:mmakel@aepenergy.com" TargetMode="External" Id="rId17" /><Relationship Type="http://schemas.openxmlformats.org/officeDocument/2006/relationships/hyperlink" Target="mailto:Amy.botschner.obrien@occ.ohio.gov" TargetMode="External" Id="rId25" /><Relationship Type="http://schemas.openxmlformats.org/officeDocument/2006/relationships/customXml" Target="../customXml/item2.xml" Id="rId2" /><Relationship Type="http://schemas.openxmlformats.org/officeDocument/2006/relationships/hyperlink" Target="mailto:mbowen@calfee.com" TargetMode="External" Id="rId16" /><Relationship Type="http://schemas.openxmlformats.org/officeDocument/2006/relationships/hyperlink" Target="mailto:whitt@whitt-sturtevant.com"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ethany.allen@igs.com" TargetMode="External" Id="rId11" /><Relationship Type="http://schemas.openxmlformats.org/officeDocument/2006/relationships/hyperlink" Target="mailto:ambrosia.wilson@occ.ohio.gov" TargetMode="External" Id="rId24" /><Relationship Type="http://schemas.openxmlformats.org/officeDocument/2006/relationships/numbering" Target="numbering.xml" Id="rId5" /><Relationship Type="http://schemas.openxmlformats.org/officeDocument/2006/relationships/hyperlink" Target="mailto:slesser@calfee.com" TargetMode="External" Id="rId15" /><Relationship Type="http://schemas.openxmlformats.org/officeDocument/2006/relationships/hyperlink" Target="mailto:joemaskovyak@cohhio.org"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dproano@bakerlaw.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talexander@calfee.com" TargetMode="External" Id="rId14" /><Relationship Type="http://schemas.openxmlformats.org/officeDocument/2006/relationships/hyperlink" Target="mailto:gkrassen@bricker.com" TargetMode="External" Id="rId22" /><Relationship Type="http://schemas.openxmlformats.org/officeDocument/2006/relationships/footer" Target="footer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8C893-C399-4B77-805C-DED0DE458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B99C8-D2D3-4ACC-AEE7-1C8AA60C9FF7}">
  <ds:schemaRefs>
    <ds:schemaRef ds:uri="http://schemas.openxmlformats.org/officeDocument/2006/bibliography"/>
  </ds:schemaRefs>
</ds:datastoreItem>
</file>

<file path=customXml/itemProps3.xml><?xml version="1.0" encoding="utf-8"?>
<ds:datastoreItem xmlns:ds="http://schemas.openxmlformats.org/officeDocument/2006/customXml" ds:itemID="{265A29EE-1FDE-4637-9770-497E1454ED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581FB-1666-46CE-B169-BEC424606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4988</TotalTime>
  <Pages>1</Pages>
  <Words>1907</Words>
  <Characters>10876</Characters>
  <Application>Microsoft Office Word</Application>
  <DocSecurity>4</DocSecurity>
  <Lines>90</Lines>
  <Paragraphs>25</Paragraphs>
  <ScaleCrop>false</ScaleCrop>
  <Company/>
  <LinksUpToDate>false</LinksUpToDate>
  <CharactersWithSpaces>12758</CharactersWithSpaces>
  <SharedDoc>false</SharedDoc>
  <HLinks>
    <vt:vector size="96" baseType="variant">
      <vt:variant>
        <vt:i4>5439610</vt:i4>
      </vt:variant>
      <vt:variant>
        <vt:i4>45</vt:i4>
      </vt:variant>
      <vt:variant>
        <vt:i4>0</vt:i4>
      </vt:variant>
      <vt:variant>
        <vt:i4>5</vt:i4>
      </vt:variant>
      <vt:variant>
        <vt:lpwstr>mailto:mwalters@proseniors.org</vt:lpwstr>
      </vt:variant>
      <vt:variant>
        <vt:lpwstr/>
      </vt:variant>
      <vt:variant>
        <vt:i4>7340056</vt:i4>
      </vt:variant>
      <vt:variant>
        <vt:i4>42</vt:i4>
      </vt:variant>
      <vt:variant>
        <vt:i4>0</vt:i4>
      </vt:variant>
      <vt:variant>
        <vt:i4>5</vt:i4>
      </vt:variant>
      <vt:variant>
        <vt:lpwstr>mailto:Amy.botschner.obrien@occ.ohio.gov</vt:lpwstr>
      </vt:variant>
      <vt:variant>
        <vt:lpwstr/>
      </vt:variant>
      <vt:variant>
        <vt:i4>7733342</vt:i4>
      </vt:variant>
      <vt:variant>
        <vt:i4>39</vt:i4>
      </vt:variant>
      <vt:variant>
        <vt:i4>0</vt:i4>
      </vt:variant>
      <vt:variant>
        <vt:i4>5</vt:i4>
      </vt:variant>
      <vt:variant>
        <vt:lpwstr>mailto:ambrosia.wilson@occ.ohio.gov</vt:lpwstr>
      </vt:variant>
      <vt:variant>
        <vt:lpwstr/>
      </vt:variant>
      <vt:variant>
        <vt:i4>5243000</vt:i4>
      </vt:variant>
      <vt:variant>
        <vt:i4>36</vt:i4>
      </vt:variant>
      <vt:variant>
        <vt:i4>0</vt:i4>
      </vt:variant>
      <vt:variant>
        <vt:i4>5</vt:i4>
      </vt:variant>
      <vt:variant>
        <vt:lpwstr>mailto:joemaskovyak@cohhio.org</vt:lpwstr>
      </vt:variant>
      <vt:variant>
        <vt:lpwstr/>
      </vt:variant>
      <vt:variant>
        <vt:i4>1310764</vt:i4>
      </vt:variant>
      <vt:variant>
        <vt:i4>33</vt:i4>
      </vt:variant>
      <vt:variant>
        <vt:i4>0</vt:i4>
      </vt:variant>
      <vt:variant>
        <vt:i4>5</vt:i4>
      </vt:variant>
      <vt:variant>
        <vt:lpwstr>mailto:gkrassen@bricker.com</vt:lpwstr>
      </vt:variant>
      <vt:variant>
        <vt:lpwstr/>
      </vt:variant>
      <vt:variant>
        <vt:i4>6094898</vt:i4>
      </vt:variant>
      <vt:variant>
        <vt:i4>30</vt:i4>
      </vt:variant>
      <vt:variant>
        <vt:i4>0</vt:i4>
      </vt:variant>
      <vt:variant>
        <vt:i4>5</vt:i4>
      </vt:variant>
      <vt:variant>
        <vt:lpwstr>mailto:fykes@whitt-sturtevant.com</vt:lpwstr>
      </vt:variant>
      <vt:variant>
        <vt:lpwstr/>
      </vt:variant>
      <vt:variant>
        <vt:i4>4784178</vt:i4>
      </vt:variant>
      <vt:variant>
        <vt:i4>27</vt:i4>
      </vt:variant>
      <vt:variant>
        <vt:i4>0</vt:i4>
      </vt:variant>
      <vt:variant>
        <vt:i4>5</vt:i4>
      </vt:variant>
      <vt:variant>
        <vt:lpwstr>mailto:whitt@whitt-sturtevant.com</vt:lpwstr>
      </vt:variant>
      <vt:variant>
        <vt:lpwstr/>
      </vt:variant>
      <vt:variant>
        <vt:i4>2162695</vt:i4>
      </vt:variant>
      <vt:variant>
        <vt:i4>24</vt:i4>
      </vt:variant>
      <vt:variant>
        <vt:i4>0</vt:i4>
      </vt:variant>
      <vt:variant>
        <vt:i4>5</vt:i4>
      </vt:variant>
      <vt:variant>
        <vt:lpwstr>mailto:dproano@bakerlaw.com</vt:lpwstr>
      </vt:variant>
      <vt:variant>
        <vt:lpwstr/>
      </vt:variant>
      <vt:variant>
        <vt:i4>5505124</vt:i4>
      </vt:variant>
      <vt:variant>
        <vt:i4>21</vt:i4>
      </vt:variant>
      <vt:variant>
        <vt:i4>0</vt:i4>
      </vt:variant>
      <vt:variant>
        <vt:i4>5</vt:i4>
      </vt:variant>
      <vt:variant>
        <vt:lpwstr>mailto:schmidt@sppgrp.com</vt:lpwstr>
      </vt:variant>
      <vt:variant>
        <vt:lpwstr/>
      </vt:variant>
      <vt:variant>
        <vt:i4>524343</vt:i4>
      </vt:variant>
      <vt:variant>
        <vt:i4>18</vt:i4>
      </vt:variant>
      <vt:variant>
        <vt:i4>0</vt:i4>
      </vt:variant>
      <vt:variant>
        <vt:i4>5</vt:i4>
      </vt:variant>
      <vt:variant>
        <vt:lpwstr>mailto:mmakel@aepenergy.com</vt:lpwstr>
      </vt:variant>
      <vt:variant>
        <vt:lpwstr/>
      </vt:variant>
      <vt:variant>
        <vt:i4>2687002</vt:i4>
      </vt:variant>
      <vt:variant>
        <vt:i4>15</vt:i4>
      </vt:variant>
      <vt:variant>
        <vt:i4>0</vt:i4>
      </vt:variant>
      <vt:variant>
        <vt:i4>5</vt:i4>
      </vt:variant>
      <vt:variant>
        <vt:lpwstr>mailto:mbowen@calfee.com</vt:lpwstr>
      </vt:variant>
      <vt:variant>
        <vt:lpwstr/>
      </vt:variant>
      <vt:variant>
        <vt:i4>6160497</vt:i4>
      </vt:variant>
      <vt:variant>
        <vt:i4>12</vt:i4>
      </vt:variant>
      <vt:variant>
        <vt:i4>0</vt:i4>
      </vt:variant>
      <vt:variant>
        <vt:i4>5</vt:i4>
      </vt:variant>
      <vt:variant>
        <vt:lpwstr>mailto:slesser@calfee.com</vt:lpwstr>
      </vt:variant>
      <vt:variant>
        <vt:lpwstr/>
      </vt:variant>
      <vt:variant>
        <vt:i4>2424850</vt:i4>
      </vt:variant>
      <vt:variant>
        <vt:i4>9</vt:i4>
      </vt:variant>
      <vt:variant>
        <vt:i4>0</vt:i4>
      </vt:variant>
      <vt:variant>
        <vt:i4>5</vt:i4>
      </vt:variant>
      <vt:variant>
        <vt:lpwstr>mailto:talexander@calfee.com</vt:lpwstr>
      </vt:variant>
      <vt:variant>
        <vt:lpwstr/>
      </vt:variant>
      <vt:variant>
        <vt:i4>6291485</vt:i4>
      </vt:variant>
      <vt:variant>
        <vt:i4>6</vt:i4>
      </vt:variant>
      <vt:variant>
        <vt:i4>0</vt:i4>
      </vt:variant>
      <vt:variant>
        <vt:i4>5</vt:i4>
      </vt:variant>
      <vt:variant>
        <vt:lpwstr>mailto:michael.nugent@igs.com</vt:lpwstr>
      </vt:variant>
      <vt:variant>
        <vt:lpwstr/>
      </vt:variant>
      <vt:variant>
        <vt:i4>6815751</vt:i4>
      </vt:variant>
      <vt:variant>
        <vt:i4>3</vt:i4>
      </vt:variant>
      <vt:variant>
        <vt:i4>0</vt:i4>
      </vt:variant>
      <vt:variant>
        <vt:i4>5</vt:i4>
      </vt:variant>
      <vt:variant>
        <vt:lpwstr>mailto:joe.oliker@igs.com</vt:lpwstr>
      </vt:variant>
      <vt:variant>
        <vt:lpwstr/>
      </vt:variant>
      <vt:variant>
        <vt:i4>1769576</vt:i4>
      </vt:variant>
      <vt:variant>
        <vt:i4>0</vt:i4>
      </vt:variant>
      <vt:variant>
        <vt:i4>0</vt:i4>
      </vt:variant>
      <vt:variant>
        <vt:i4>5</vt:i4>
      </vt:variant>
      <vt:variant>
        <vt:lpwstr>mailto:bethany.allen@igs.com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Allen</dc:creator>
  <cp:keywords/>
  <dc:description/>
  <cp:lastModifiedBy>Bethany Allen</cp:lastModifiedBy>
  <cp:revision>765</cp:revision>
  <dcterms:created xsi:type="dcterms:W3CDTF">2020-07-22T19:35:00Z</dcterms:created>
  <dcterms:modified xsi:type="dcterms:W3CDTF">2020-07-27T23:40:00Z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