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623C0" w:rsidRPr="00CB7237" w:rsidP="009623C0" w14:paraId="6C49EC9E" w14:textId="77777777">
      <w:pPr>
        <w:jc w:val="center"/>
        <w:rPr>
          <w:b/>
          <w:szCs w:val="24"/>
        </w:rPr>
      </w:pPr>
      <w:r w:rsidRPr="00CB7237">
        <w:rPr>
          <w:b/>
          <w:szCs w:val="24"/>
        </w:rPr>
        <w:t>BEFORE</w:t>
      </w:r>
    </w:p>
    <w:p w:rsidR="009623C0" w:rsidRPr="00CB7237" w:rsidP="009623C0" w14:paraId="6B07658D" w14:textId="77777777">
      <w:pPr>
        <w:jc w:val="center"/>
        <w:rPr>
          <w:b/>
          <w:szCs w:val="24"/>
        </w:rPr>
      </w:pPr>
      <w:r w:rsidRPr="00CB7237">
        <w:rPr>
          <w:b/>
          <w:szCs w:val="24"/>
        </w:rPr>
        <w:t>THE PUBLIC UTILITIES COMMISSION OF OHIO</w:t>
      </w:r>
    </w:p>
    <w:p w:rsidR="009623C0" w:rsidRPr="00CB7237" w:rsidP="009623C0" w14:paraId="15CFD1AE" w14:textId="77777777">
      <w:pPr>
        <w:jc w:val="center"/>
        <w:rPr>
          <w:b/>
          <w:szCs w:val="24"/>
        </w:rPr>
      </w:pPr>
    </w:p>
    <w:tbl>
      <w:tblPr>
        <w:tblW w:w="8622" w:type="dxa"/>
        <w:tblInd w:w="108" w:type="dxa"/>
        <w:tblLook w:val="01E0"/>
      </w:tblPr>
      <w:tblGrid>
        <w:gridCol w:w="4392"/>
        <w:gridCol w:w="360"/>
        <w:gridCol w:w="3870"/>
      </w:tblGrid>
      <w:tr w14:paraId="20AC5F0E" w14:textId="77777777" w:rsidTr="00BD3C0F">
        <w:tblPrEx>
          <w:tblW w:w="8622" w:type="dxa"/>
          <w:tblInd w:w="108" w:type="dxa"/>
          <w:tblLook w:val="01E0"/>
        </w:tblPrEx>
        <w:trPr>
          <w:trHeight w:val="4976"/>
        </w:trPr>
        <w:tc>
          <w:tcPr>
            <w:tcW w:w="4392" w:type="dxa"/>
          </w:tcPr>
          <w:p w:rsidR="00AC7F89" w:rsidRPr="00CB7237" w:rsidP="00FC763C" w14:paraId="67BBAB4A" w14:textId="77777777">
            <w:pPr>
              <w:rPr>
                <w:szCs w:val="24"/>
              </w:rPr>
            </w:pPr>
            <w:r w:rsidRPr="00CB7237">
              <w:rPr>
                <w:szCs w:val="24"/>
              </w:rPr>
              <w:t>In the Matter of the Application of The Dayton Power and Light Company for Approval of its Electric Security Plan.</w:t>
            </w:r>
          </w:p>
          <w:p w:rsidR="00AC7F89" w:rsidRPr="00CB7237" w:rsidP="00FC763C" w14:paraId="25A72321" w14:textId="77777777">
            <w:pPr>
              <w:rPr>
                <w:szCs w:val="24"/>
              </w:rPr>
            </w:pPr>
          </w:p>
          <w:p w:rsidR="00AC7F89" w:rsidRPr="00CB7237" w:rsidP="00FC763C" w14:paraId="17FB7C63" w14:textId="77777777">
            <w:pPr>
              <w:rPr>
                <w:szCs w:val="24"/>
              </w:rPr>
            </w:pPr>
            <w:r w:rsidRPr="00CB7237">
              <w:rPr>
                <w:szCs w:val="24"/>
              </w:rPr>
              <w:t>In the Matter of the Application of The Dayton Power and Light Company for Approval of Revised Tariffs.</w:t>
            </w:r>
          </w:p>
          <w:p w:rsidR="00AC7F89" w:rsidRPr="00CB7237" w:rsidP="00FC763C" w14:paraId="25DF9BD0" w14:textId="77777777">
            <w:pPr>
              <w:rPr>
                <w:szCs w:val="24"/>
              </w:rPr>
            </w:pPr>
          </w:p>
          <w:p w:rsidR="00AC7F89" w:rsidRPr="00CB7237" w:rsidP="00FC763C" w14:paraId="0E6936BC" w14:textId="77777777">
            <w:pPr>
              <w:rPr>
                <w:szCs w:val="24"/>
              </w:rPr>
            </w:pPr>
            <w:r w:rsidRPr="00CB7237">
              <w:rPr>
                <w:szCs w:val="24"/>
              </w:rPr>
              <w:t>In the Matter of the Application of The Dayton Power and Light Company for Approval of Certain Accounting Authority Pursuant to Ohio Rev. Code Section 4905.13.</w:t>
            </w:r>
          </w:p>
          <w:p w:rsidR="00AC7F89" w:rsidRPr="00CB7237" w:rsidP="00FC763C" w14:paraId="7565784D" w14:textId="77777777">
            <w:pPr>
              <w:rPr>
                <w:szCs w:val="24"/>
              </w:rPr>
            </w:pPr>
          </w:p>
          <w:p w:rsidR="00AC7F89" w:rsidRPr="00CB7237" w:rsidP="00FC763C" w14:paraId="50C5100B" w14:textId="77777777">
            <w:pPr>
              <w:rPr>
                <w:szCs w:val="24"/>
              </w:rPr>
            </w:pPr>
            <w:r w:rsidRPr="00CB7237">
              <w:rPr>
                <w:szCs w:val="24"/>
              </w:rPr>
              <w:t>In the Matter of the Application of The Dayton Power and Light Company for Approval of its Amended Corporate Separation Plan.</w:t>
            </w:r>
          </w:p>
        </w:tc>
        <w:tc>
          <w:tcPr>
            <w:tcW w:w="360" w:type="dxa"/>
          </w:tcPr>
          <w:p w:rsidR="00AC7F89" w:rsidRPr="00CB7237" w:rsidP="00FC763C" w14:paraId="33054964" w14:textId="77777777">
            <w:pPr>
              <w:rPr>
                <w:szCs w:val="24"/>
              </w:rPr>
            </w:pPr>
            <w:r w:rsidRPr="00CB7237">
              <w:rPr>
                <w:szCs w:val="24"/>
              </w:rPr>
              <w:t>)</w:t>
            </w:r>
          </w:p>
          <w:p w:rsidR="00AC7F89" w:rsidRPr="00CB7237" w:rsidP="00FC763C" w14:paraId="6CDD6189" w14:textId="77777777">
            <w:pPr>
              <w:rPr>
                <w:szCs w:val="24"/>
              </w:rPr>
            </w:pPr>
            <w:r w:rsidRPr="00CB7237">
              <w:rPr>
                <w:szCs w:val="24"/>
              </w:rPr>
              <w:t>)</w:t>
            </w:r>
          </w:p>
          <w:p w:rsidR="00AC7F89" w:rsidRPr="00CB7237" w:rsidP="00FC763C" w14:paraId="03F3A74E" w14:textId="77777777">
            <w:pPr>
              <w:rPr>
                <w:szCs w:val="24"/>
              </w:rPr>
            </w:pPr>
            <w:r w:rsidRPr="00CB7237">
              <w:rPr>
                <w:szCs w:val="24"/>
              </w:rPr>
              <w:t>)</w:t>
            </w:r>
          </w:p>
          <w:p w:rsidR="00AC7F89" w:rsidRPr="00CB7237" w:rsidP="00FC763C" w14:paraId="3566096B" w14:textId="77777777">
            <w:pPr>
              <w:rPr>
                <w:szCs w:val="24"/>
              </w:rPr>
            </w:pPr>
          </w:p>
          <w:p w:rsidR="00AC7F89" w:rsidRPr="00CB7237" w:rsidP="00FC763C" w14:paraId="26841C8C" w14:textId="77777777">
            <w:pPr>
              <w:rPr>
                <w:szCs w:val="24"/>
              </w:rPr>
            </w:pPr>
            <w:r w:rsidRPr="00CB7237">
              <w:rPr>
                <w:szCs w:val="24"/>
              </w:rPr>
              <w:t>)</w:t>
            </w:r>
          </w:p>
          <w:p w:rsidR="00AC7F89" w:rsidRPr="00CB7237" w:rsidP="00FC763C" w14:paraId="3547F60F" w14:textId="77777777">
            <w:pPr>
              <w:rPr>
                <w:szCs w:val="24"/>
              </w:rPr>
            </w:pPr>
            <w:r w:rsidRPr="00CB7237">
              <w:rPr>
                <w:szCs w:val="24"/>
              </w:rPr>
              <w:t>)</w:t>
            </w:r>
          </w:p>
          <w:p w:rsidR="00AC7F89" w:rsidRPr="00CB7237" w:rsidP="00FC763C" w14:paraId="24B77711" w14:textId="77777777">
            <w:pPr>
              <w:rPr>
                <w:szCs w:val="24"/>
              </w:rPr>
            </w:pPr>
            <w:r w:rsidRPr="00CB7237">
              <w:rPr>
                <w:szCs w:val="24"/>
              </w:rPr>
              <w:t>)</w:t>
            </w:r>
          </w:p>
          <w:p w:rsidR="00AC7F89" w:rsidRPr="00CB7237" w:rsidP="00FC763C" w14:paraId="2D5F83F2" w14:textId="77777777">
            <w:pPr>
              <w:rPr>
                <w:szCs w:val="24"/>
              </w:rPr>
            </w:pPr>
          </w:p>
          <w:p w:rsidR="00AC7F89" w:rsidRPr="00CB7237" w:rsidP="00FC763C" w14:paraId="44559A4E" w14:textId="77777777">
            <w:pPr>
              <w:rPr>
                <w:szCs w:val="24"/>
              </w:rPr>
            </w:pPr>
            <w:r w:rsidRPr="00CB7237">
              <w:rPr>
                <w:szCs w:val="24"/>
              </w:rPr>
              <w:t>)</w:t>
            </w:r>
          </w:p>
          <w:p w:rsidR="00AC7F89" w:rsidRPr="00CB7237" w:rsidP="00FC763C" w14:paraId="230D6F70" w14:textId="77777777">
            <w:pPr>
              <w:rPr>
                <w:szCs w:val="24"/>
              </w:rPr>
            </w:pPr>
            <w:r w:rsidRPr="00CB7237">
              <w:rPr>
                <w:szCs w:val="24"/>
              </w:rPr>
              <w:t>)</w:t>
            </w:r>
          </w:p>
          <w:p w:rsidR="00AC7F89" w:rsidRPr="00CB7237" w:rsidP="00FC763C" w14:paraId="5578F201" w14:textId="77777777">
            <w:pPr>
              <w:rPr>
                <w:szCs w:val="24"/>
              </w:rPr>
            </w:pPr>
            <w:r w:rsidRPr="00CB7237">
              <w:rPr>
                <w:szCs w:val="24"/>
              </w:rPr>
              <w:t>)</w:t>
            </w:r>
          </w:p>
          <w:p w:rsidR="00AC7F89" w:rsidRPr="00CB7237" w:rsidP="00FC763C" w14:paraId="1BE8F3CC" w14:textId="77777777">
            <w:pPr>
              <w:rPr>
                <w:szCs w:val="24"/>
              </w:rPr>
            </w:pPr>
            <w:r w:rsidRPr="00CB7237">
              <w:rPr>
                <w:szCs w:val="24"/>
              </w:rPr>
              <w:t>)</w:t>
            </w:r>
          </w:p>
          <w:p w:rsidR="00AC7F89" w:rsidRPr="00CB7237" w:rsidP="00FC763C" w14:paraId="52DD8E02" w14:textId="77777777">
            <w:pPr>
              <w:rPr>
                <w:szCs w:val="24"/>
              </w:rPr>
            </w:pPr>
            <w:r w:rsidRPr="00CB7237">
              <w:rPr>
                <w:szCs w:val="24"/>
              </w:rPr>
              <w:t>)</w:t>
            </w:r>
          </w:p>
          <w:p w:rsidR="00AC7F89" w:rsidRPr="00CB7237" w:rsidP="00FC763C" w14:paraId="189DC5B6" w14:textId="77777777">
            <w:pPr>
              <w:rPr>
                <w:szCs w:val="24"/>
              </w:rPr>
            </w:pPr>
          </w:p>
          <w:p w:rsidR="00AC7F89" w:rsidRPr="00CB7237" w:rsidP="00FC763C" w14:paraId="77B68891" w14:textId="77777777">
            <w:pPr>
              <w:rPr>
                <w:szCs w:val="24"/>
              </w:rPr>
            </w:pPr>
            <w:r w:rsidRPr="00CB7237">
              <w:rPr>
                <w:szCs w:val="24"/>
              </w:rPr>
              <w:t>)</w:t>
            </w:r>
          </w:p>
          <w:p w:rsidR="00AC7F89" w:rsidRPr="00CB7237" w:rsidP="00FC763C" w14:paraId="30A21E62" w14:textId="77777777">
            <w:pPr>
              <w:rPr>
                <w:szCs w:val="24"/>
              </w:rPr>
            </w:pPr>
            <w:r w:rsidRPr="00CB7237">
              <w:rPr>
                <w:szCs w:val="24"/>
              </w:rPr>
              <w:t>)</w:t>
            </w:r>
          </w:p>
          <w:p w:rsidR="00AC7F89" w:rsidRPr="00CB7237" w:rsidP="00FC763C" w14:paraId="56746B3E" w14:textId="77777777">
            <w:pPr>
              <w:rPr>
                <w:szCs w:val="24"/>
              </w:rPr>
            </w:pPr>
            <w:r w:rsidRPr="00CB7237">
              <w:rPr>
                <w:szCs w:val="24"/>
              </w:rPr>
              <w:t>)</w:t>
            </w:r>
          </w:p>
          <w:p w:rsidR="00AC7F89" w:rsidRPr="00CB7237" w:rsidP="00FC763C" w14:paraId="4B431AF7" w14:textId="77777777">
            <w:pPr>
              <w:rPr>
                <w:szCs w:val="24"/>
              </w:rPr>
            </w:pPr>
            <w:r w:rsidRPr="00CB7237">
              <w:rPr>
                <w:szCs w:val="24"/>
              </w:rPr>
              <w:t>)</w:t>
            </w:r>
          </w:p>
        </w:tc>
        <w:tc>
          <w:tcPr>
            <w:tcW w:w="3870" w:type="dxa"/>
          </w:tcPr>
          <w:p w:rsidR="00AC7F89" w:rsidRPr="00CB7237" w:rsidP="00FC763C" w14:paraId="686E4FB8" w14:textId="77777777">
            <w:pPr>
              <w:rPr>
                <w:szCs w:val="24"/>
              </w:rPr>
            </w:pPr>
          </w:p>
          <w:p w:rsidR="00AC7F89" w:rsidRPr="00CB7237" w:rsidP="00FC763C" w14:paraId="6AF52573" w14:textId="77777777">
            <w:pPr>
              <w:rPr>
                <w:szCs w:val="24"/>
              </w:rPr>
            </w:pPr>
            <w:r w:rsidRPr="00CB7237">
              <w:rPr>
                <w:szCs w:val="24"/>
              </w:rPr>
              <w:t>Case No. 08-1094-EL-SSO</w:t>
            </w:r>
          </w:p>
          <w:p w:rsidR="00AC7F89" w:rsidRPr="00CB7237" w:rsidP="00FC763C" w14:paraId="59AAA449" w14:textId="77777777">
            <w:pPr>
              <w:rPr>
                <w:szCs w:val="24"/>
              </w:rPr>
            </w:pPr>
          </w:p>
          <w:p w:rsidR="00AC7F89" w:rsidRPr="00CB7237" w:rsidP="00FC763C" w14:paraId="026D79F0" w14:textId="77777777">
            <w:pPr>
              <w:rPr>
                <w:szCs w:val="24"/>
              </w:rPr>
            </w:pPr>
          </w:p>
          <w:p w:rsidR="00AC7F89" w:rsidRPr="00CB7237" w:rsidP="00FC763C" w14:paraId="3CEB9181" w14:textId="77777777">
            <w:pPr>
              <w:rPr>
                <w:szCs w:val="24"/>
              </w:rPr>
            </w:pPr>
          </w:p>
          <w:p w:rsidR="00AC7F89" w:rsidRPr="00CB7237" w:rsidP="00FC763C" w14:paraId="3439C6E0" w14:textId="77777777">
            <w:pPr>
              <w:rPr>
                <w:szCs w:val="24"/>
              </w:rPr>
            </w:pPr>
            <w:r w:rsidRPr="00CB7237">
              <w:rPr>
                <w:szCs w:val="24"/>
              </w:rPr>
              <w:t>Case No. 08-1095-EL-ATA</w:t>
            </w:r>
          </w:p>
          <w:p w:rsidR="00AC7F89" w:rsidRPr="00CB7237" w:rsidP="00FC763C" w14:paraId="278F5505" w14:textId="77777777">
            <w:pPr>
              <w:rPr>
                <w:szCs w:val="24"/>
              </w:rPr>
            </w:pPr>
          </w:p>
          <w:p w:rsidR="00AC7F89" w:rsidRPr="00CB7237" w:rsidP="00FC763C" w14:paraId="40BD6BE5" w14:textId="77777777">
            <w:pPr>
              <w:rPr>
                <w:szCs w:val="24"/>
              </w:rPr>
            </w:pPr>
          </w:p>
          <w:p w:rsidR="00AC7F89" w:rsidRPr="00CB7237" w:rsidP="00FC763C" w14:paraId="3DE10A2E" w14:textId="77777777">
            <w:pPr>
              <w:rPr>
                <w:szCs w:val="24"/>
              </w:rPr>
            </w:pPr>
          </w:p>
          <w:p w:rsidR="00AC7F89" w:rsidRPr="00CB7237" w:rsidP="00FC763C" w14:paraId="7D506651" w14:textId="77777777">
            <w:pPr>
              <w:rPr>
                <w:szCs w:val="24"/>
              </w:rPr>
            </w:pPr>
          </w:p>
          <w:p w:rsidR="00AC7F89" w:rsidRPr="00CB7237" w:rsidP="00FC763C" w14:paraId="107228F1" w14:textId="77777777">
            <w:pPr>
              <w:rPr>
                <w:szCs w:val="24"/>
              </w:rPr>
            </w:pPr>
            <w:r w:rsidRPr="00CB7237">
              <w:rPr>
                <w:szCs w:val="24"/>
              </w:rPr>
              <w:t>Case No. 08-1096-EL-AAM</w:t>
            </w:r>
          </w:p>
          <w:p w:rsidR="00AC7F89" w:rsidRPr="00CB7237" w:rsidP="00FC763C" w14:paraId="06994E3E" w14:textId="77777777">
            <w:pPr>
              <w:rPr>
                <w:szCs w:val="24"/>
              </w:rPr>
            </w:pPr>
          </w:p>
          <w:p w:rsidR="00AC7F89" w:rsidRPr="00CB7237" w:rsidP="00FC763C" w14:paraId="425B45D7" w14:textId="77777777">
            <w:pPr>
              <w:rPr>
                <w:szCs w:val="24"/>
              </w:rPr>
            </w:pPr>
          </w:p>
          <w:p w:rsidR="00AC7F89" w:rsidRPr="00CB7237" w:rsidP="00FC763C" w14:paraId="42930E1D" w14:textId="77777777">
            <w:pPr>
              <w:rPr>
                <w:szCs w:val="24"/>
              </w:rPr>
            </w:pPr>
          </w:p>
          <w:p w:rsidR="00AC7F89" w:rsidRPr="00CB7237" w:rsidP="00FC763C" w14:paraId="1E91538A" w14:textId="77777777">
            <w:pPr>
              <w:rPr>
                <w:szCs w:val="24"/>
              </w:rPr>
            </w:pPr>
          </w:p>
          <w:p w:rsidR="00AC7F89" w:rsidRPr="00CB7237" w:rsidP="00FC763C" w14:paraId="483EA947" w14:textId="77777777">
            <w:pPr>
              <w:rPr>
                <w:szCs w:val="24"/>
              </w:rPr>
            </w:pPr>
            <w:r w:rsidRPr="00CB7237">
              <w:rPr>
                <w:szCs w:val="24"/>
              </w:rPr>
              <w:t>Case No. 08-1097-EL-UNC</w:t>
            </w:r>
          </w:p>
          <w:p w:rsidR="00AC7F89" w:rsidRPr="00CB7237" w:rsidP="00FC763C" w14:paraId="26F0E1F6" w14:textId="77777777">
            <w:pPr>
              <w:rPr>
                <w:szCs w:val="24"/>
              </w:rPr>
            </w:pPr>
          </w:p>
          <w:p w:rsidR="00AC7F89" w:rsidRPr="00CB7237" w:rsidP="00FC763C" w14:paraId="021953B1" w14:textId="77777777">
            <w:pPr>
              <w:rPr>
                <w:szCs w:val="24"/>
              </w:rPr>
            </w:pPr>
          </w:p>
        </w:tc>
      </w:tr>
    </w:tbl>
    <w:p w:rsidR="009623C0" w:rsidRPr="00CB7237" w:rsidP="009623C0" w14:paraId="35094B6A" w14:textId="77777777">
      <w:pPr>
        <w:pStyle w:val="InsideAddress"/>
        <w:rPr>
          <w:rFonts w:ascii="Times New Roman" w:eastAsia="Times New Roman" w:hAnsi="Times New Roman"/>
          <w:szCs w:val="24"/>
        </w:rPr>
      </w:pPr>
    </w:p>
    <w:p w:rsidR="009623C0" w:rsidRPr="00CB7237" w:rsidP="009623C0" w14:paraId="409EF6B4" w14:textId="77777777">
      <w:pPr>
        <w:pBdr>
          <w:top w:val="single" w:sz="12" w:space="1" w:color="auto"/>
        </w:pBdr>
        <w:tabs>
          <w:tab w:val="left" w:pos="4320"/>
        </w:tabs>
        <w:jc w:val="center"/>
        <w:rPr>
          <w:b/>
          <w:bCs/>
          <w:szCs w:val="24"/>
        </w:rPr>
      </w:pPr>
    </w:p>
    <w:p w:rsidR="009623C0" w:rsidRPr="00CB7237" w:rsidP="007F0AE8" w14:paraId="57853FC4" w14:textId="5D084C1A">
      <w:pPr>
        <w:pBdr>
          <w:top w:val="single" w:sz="12" w:space="1" w:color="auto"/>
        </w:pBdr>
        <w:tabs>
          <w:tab w:val="left" w:pos="4320"/>
        </w:tabs>
        <w:jc w:val="center"/>
        <w:rPr>
          <w:b/>
          <w:bCs/>
          <w:szCs w:val="24"/>
        </w:rPr>
      </w:pPr>
      <w:r w:rsidRPr="00CB7237">
        <w:rPr>
          <w:b/>
          <w:bCs/>
          <w:szCs w:val="24"/>
        </w:rPr>
        <w:t xml:space="preserve">MOTION FOR A STAY </w:t>
      </w:r>
      <w:r w:rsidRPr="00CB7237" w:rsidR="004A15BB">
        <w:rPr>
          <w:b/>
          <w:bCs/>
          <w:szCs w:val="24"/>
        </w:rPr>
        <w:t>OF PROCEEDINGS</w:t>
      </w:r>
      <w:r w:rsidRPr="00CB7237" w:rsidR="00930D75">
        <w:rPr>
          <w:b/>
          <w:bCs/>
          <w:szCs w:val="24"/>
        </w:rPr>
        <w:t xml:space="preserve"> </w:t>
      </w:r>
    </w:p>
    <w:p w:rsidR="009623C0" w:rsidRPr="00CB7237" w:rsidP="009623C0" w14:paraId="2DEC287C" w14:textId="77777777">
      <w:pPr>
        <w:jc w:val="center"/>
        <w:rPr>
          <w:b/>
          <w:bCs/>
          <w:szCs w:val="24"/>
        </w:rPr>
      </w:pPr>
      <w:r w:rsidRPr="00CB7237">
        <w:rPr>
          <w:b/>
          <w:bCs/>
          <w:szCs w:val="24"/>
        </w:rPr>
        <w:t>BY</w:t>
      </w:r>
    </w:p>
    <w:p w:rsidR="009623C0" w:rsidRPr="00CB7237" w:rsidP="009623C0" w14:paraId="5B802693" w14:textId="70572CC6">
      <w:pPr>
        <w:jc w:val="center"/>
        <w:rPr>
          <w:b/>
          <w:bCs/>
          <w:szCs w:val="24"/>
        </w:rPr>
      </w:pPr>
      <w:r w:rsidRPr="00CB7237">
        <w:rPr>
          <w:b/>
          <w:bCs/>
          <w:szCs w:val="24"/>
        </w:rPr>
        <w:t>OFFICE OF THE OHIO CONSUMERS’ COUNSEL</w:t>
      </w:r>
    </w:p>
    <w:p w:rsidR="00332CA0" w:rsidRPr="00CB7237" w:rsidP="009623C0" w14:paraId="5B5D903B" w14:textId="77777777">
      <w:pPr>
        <w:jc w:val="center"/>
        <w:rPr>
          <w:b/>
          <w:bCs/>
          <w:szCs w:val="24"/>
        </w:rPr>
      </w:pPr>
    </w:p>
    <w:p w:rsidR="009623C0" w:rsidRPr="00CB7237" w:rsidP="009623C0" w14:paraId="7F09B80B" w14:textId="77777777">
      <w:pPr>
        <w:pBdr>
          <w:top w:val="single" w:sz="12" w:space="1" w:color="auto"/>
        </w:pBdr>
        <w:tabs>
          <w:tab w:val="left" w:pos="4320"/>
        </w:tabs>
        <w:rPr>
          <w:b/>
          <w:bCs/>
          <w:szCs w:val="24"/>
        </w:rPr>
      </w:pPr>
    </w:p>
    <w:p w:rsidR="001C0547" w:rsidP="009623C0" w14:paraId="1770990C" w14:textId="77777777">
      <w:pPr>
        <w:pStyle w:val="Footer"/>
        <w:tabs>
          <w:tab w:val="left" w:pos="720"/>
          <w:tab w:val="clear" w:pos="4320"/>
        </w:tabs>
        <w:spacing w:line="480" w:lineRule="auto"/>
        <w:rPr>
          <w:sz w:val="24"/>
          <w:szCs w:val="24"/>
        </w:rPr>
        <w:sectPr w:rsidSect="00D17423">
          <w:footerReference w:type="default" r:id="rId6"/>
          <w:pgSz w:w="12240" w:h="15840" w:code="1"/>
          <w:pgMar w:top="1440" w:right="1800" w:bottom="1440" w:left="1800" w:header="720" w:footer="720" w:gutter="0"/>
          <w:pgNumType w:start="2"/>
          <w:cols w:space="720"/>
          <w:docGrid w:linePitch="360"/>
        </w:sectPr>
      </w:pPr>
      <w:r w:rsidRPr="00CB7237">
        <w:rPr>
          <w:sz w:val="24"/>
          <w:szCs w:val="24"/>
        </w:rPr>
        <w:tab/>
      </w:r>
      <w:r w:rsidRPr="00CB7237" w:rsidR="00332CA0">
        <w:rPr>
          <w:sz w:val="24"/>
          <w:szCs w:val="24"/>
        </w:rPr>
        <w:t>In the interest of consumer</w:t>
      </w:r>
      <w:r w:rsidRPr="00CB7237" w:rsidR="008C68E4">
        <w:rPr>
          <w:sz w:val="24"/>
          <w:szCs w:val="24"/>
        </w:rPr>
        <w:t xml:space="preserve"> protection</w:t>
      </w:r>
      <w:r w:rsidRPr="00CB7237" w:rsidR="00332CA0">
        <w:rPr>
          <w:sz w:val="24"/>
          <w:szCs w:val="24"/>
        </w:rPr>
        <w:t xml:space="preserve"> and administrative efficiency</w:t>
      </w:r>
      <w:r w:rsidRPr="00CB7237" w:rsidR="00AD1D0C">
        <w:rPr>
          <w:sz w:val="24"/>
          <w:szCs w:val="24"/>
        </w:rPr>
        <w:t xml:space="preserve">, </w:t>
      </w:r>
      <w:r w:rsidRPr="00CB7237">
        <w:rPr>
          <w:sz w:val="24"/>
          <w:szCs w:val="24"/>
        </w:rPr>
        <w:t>the Office of the Ohio Consumers’ Counsel (“OCC</w:t>
      </w:r>
      <w:r w:rsidRPr="00CB7237" w:rsidR="004A15BB">
        <w:rPr>
          <w:sz w:val="24"/>
          <w:szCs w:val="24"/>
        </w:rPr>
        <w:t xml:space="preserve">”) </w:t>
      </w:r>
      <w:r w:rsidRPr="00CB7237">
        <w:rPr>
          <w:sz w:val="24"/>
          <w:szCs w:val="24"/>
        </w:rPr>
        <w:t>move</w:t>
      </w:r>
      <w:r w:rsidRPr="00CB7237" w:rsidR="004A15BB">
        <w:rPr>
          <w:sz w:val="24"/>
          <w:szCs w:val="24"/>
        </w:rPr>
        <w:t>s</w:t>
      </w:r>
      <w:r w:rsidRPr="00CB7237">
        <w:rPr>
          <w:sz w:val="24"/>
          <w:szCs w:val="24"/>
        </w:rPr>
        <w:t xml:space="preserve"> for a </w:t>
      </w:r>
      <w:r w:rsidRPr="00CB7237" w:rsidR="004A15BB">
        <w:rPr>
          <w:sz w:val="24"/>
          <w:szCs w:val="24"/>
        </w:rPr>
        <w:t>s</w:t>
      </w:r>
      <w:r w:rsidRPr="00CB7237">
        <w:rPr>
          <w:sz w:val="24"/>
          <w:szCs w:val="24"/>
        </w:rPr>
        <w:t xml:space="preserve">tay of </w:t>
      </w:r>
      <w:r w:rsidRPr="00CB7237" w:rsidR="004A15BB">
        <w:rPr>
          <w:sz w:val="24"/>
          <w:szCs w:val="24"/>
        </w:rPr>
        <w:t>these proceedings</w:t>
      </w:r>
      <w:r w:rsidRPr="00CB7237" w:rsidR="00EF1998">
        <w:rPr>
          <w:sz w:val="24"/>
          <w:szCs w:val="24"/>
        </w:rPr>
        <w:t>, without prejudice to OCC’s claims</w:t>
      </w:r>
      <w:r w:rsidRPr="00CB7237" w:rsidR="00B87496">
        <w:rPr>
          <w:sz w:val="24"/>
          <w:szCs w:val="24"/>
        </w:rPr>
        <w:t>.</w:t>
      </w:r>
      <w:r w:rsidRPr="00CB7237" w:rsidR="00A456F8">
        <w:rPr>
          <w:sz w:val="24"/>
          <w:szCs w:val="24"/>
        </w:rPr>
        <w:t xml:space="preserve"> </w:t>
      </w:r>
      <w:r w:rsidRPr="00CB7237" w:rsidR="00B87496">
        <w:rPr>
          <w:sz w:val="24"/>
          <w:szCs w:val="24"/>
        </w:rPr>
        <w:t xml:space="preserve">Here, the PUCO has before it </w:t>
      </w:r>
      <w:r w:rsidRPr="00CB7237" w:rsidR="00C44A78">
        <w:rPr>
          <w:sz w:val="24"/>
          <w:szCs w:val="24"/>
        </w:rPr>
        <w:t>OCC</w:t>
      </w:r>
      <w:r w:rsidRPr="00CB7237" w:rsidR="00B87496">
        <w:rPr>
          <w:sz w:val="24"/>
          <w:szCs w:val="24"/>
        </w:rPr>
        <w:t>’s</w:t>
      </w:r>
      <w:r w:rsidRPr="00CB7237" w:rsidR="00C44A78">
        <w:rPr>
          <w:sz w:val="24"/>
          <w:szCs w:val="24"/>
        </w:rPr>
        <w:t xml:space="preserve"> Notice of Termination and Withdrawal</w:t>
      </w:r>
      <w:r>
        <w:rPr>
          <w:rStyle w:val="FootnoteReference"/>
          <w:sz w:val="24"/>
          <w:szCs w:val="24"/>
        </w:rPr>
        <w:footnoteReference w:id="2"/>
      </w:r>
      <w:r w:rsidRPr="00CB7237" w:rsidR="00C44A78">
        <w:rPr>
          <w:sz w:val="24"/>
          <w:szCs w:val="24"/>
        </w:rPr>
        <w:t xml:space="preserve"> </w:t>
      </w:r>
      <w:r w:rsidRPr="00CB7237" w:rsidR="00E91869">
        <w:rPr>
          <w:sz w:val="24"/>
          <w:szCs w:val="24"/>
        </w:rPr>
        <w:t xml:space="preserve">from </w:t>
      </w:r>
      <w:r w:rsidRPr="00CB7237" w:rsidR="00965558">
        <w:rPr>
          <w:sz w:val="24"/>
          <w:szCs w:val="24"/>
        </w:rPr>
        <w:t>our</w:t>
      </w:r>
      <w:r w:rsidRPr="00CB7237" w:rsidR="00C44A78">
        <w:rPr>
          <w:sz w:val="24"/>
          <w:szCs w:val="24"/>
        </w:rPr>
        <w:t xml:space="preserve"> 2009 settlement</w:t>
      </w:r>
      <w:r w:rsidRPr="00CB7237" w:rsidR="00965558">
        <w:rPr>
          <w:sz w:val="24"/>
          <w:szCs w:val="24"/>
        </w:rPr>
        <w:t xml:space="preserve"> with DP&amp;L and others,</w:t>
      </w:r>
      <w:r w:rsidRPr="00CB7237" w:rsidR="00C44A78">
        <w:rPr>
          <w:sz w:val="24"/>
          <w:szCs w:val="24"/>
        </w:rPr>
        <w:t xml:space="preserve"> </w:t>
      </w:r>
      <w:r w:rsidRPr="00CB7237" w:rsidR="00E91869">
        <w:rPr>
          <w:sz w:val="24"/>
          <w:szCs w:val="24"/>
        </w:rPr>
        <w:t xml:space="preserve">given DP&amp;L’s violation of </w:t>
      </w:r>
      <w:r w:rsidRPr="00CB7237" w:rsidR="00EF2E08">
        <w:rPr>
          <w:sz w:val="24"/>
          <w:szCs w:val="24"/>
        </w:rPr>
        <w:t>our</w:t>
      </w:r>
      <w:r w:rsidRPr="00CB7237" w:rsidR="00FD38BF">
        <w:rPr>
          <w:sz w:val="24"/>
          <w:szCs w:val="24"/>
        </w:rPr>
        <w:t xml:space="preserve"> settlement by</w:t>
      </w:r>
      <w:r w:rsidRPr="00CB7237" w:rsidR="00E91869">
        <w:rPr>
          <w:sz w:val="24"/>
          <w:szCs w:val="24"/>
        </w:rPr>
        <w:t xml:space="preserve"> its proposed </w:t>
      </w:r>
      <w:r w:rsidRPr="00CB7237" w:rsidR="003502B2">
        <w:rPr>
          <w:sz w:val="24"/>
          <w:szCs w:val="24"/>
        </w:rPr>
        <w:t xml:space="preserve">$120 million </w:t>
      </w:r>
      <w:r w:rsidRPr="00CB7237" w:rsidR="00EF2E08">
        <w:rPr>
          <w:sz w:val="24"/>
          <w:szCs w:val="24"/>
        </w:rPr>
        <w:t xml:space="preserve">base </w:t>
      </w:r>
      <w:r w:rsidRPr="00CB7237" w:rsidR="00E91869">
        <w:rPr>
          <w:sz w:val="24"/>
          <w:szCs w:val="24"/>
        </w:rPr>
        <w:t>rate increase.</w:t>
      </w:r>
      <w:r>
        <w:rPr>
          <w:rStyle w:val="FootnoteReference"/>
          <w:sz w:val="24"/>
          <w:szCs w:val="24"/>
        </w:rPr>
        <w:footnoteReference w:id="3"/>
      </w:r>
      <w:r w:rsidRPr="00CB7237" w:rsidR="00E91869">
        <w:rPr>
          <w:sz w:val="24"/>
          <w:szCs w:val="24"/>
        </w:rPr>
        <w:t xml:space="preserve"> </w:t>
      </w:r>
      <w:r w:rsidRPr="00CB7237" w:rsidR="003F3063">
        <w:rPr>
          <w:sz w:val="24"/>
          <w:szCs w:val="24"/>
        </w:rPr>
        <w:t xml:space="preserve">In the 2009 settlement of these cases, DP&amp;L agreed to forgo a distribution rate increase while it is </w:t>
      </w:r>
    </w:p>
    <w:p w:rsidR="005F687A" w:rsidRPr="00CB7237" w:rsidP="009623C0" w14:paraId="66472FCE" w14:textId="63FDFC8F">
      <w:pPr>
        <w:pStyle w:val="Footer"/>
        <w:tabs>
          <w:tab w:val="left" w:pos="720"/>
          <w:tab w:val="clear" w:pos="4320"/>
        </w:tabs>
        <w:spacing w:line="480" w:lineRule="auto"/>
        <w:rPr>
          <w:sz w:val="24"/>
          <w:szCs w:val="24"/>
        </w:rPr>
      </w:pPr>
      <w:r w:rsidRPr="00CB7237">
        <w:rPr>
          <w:sz w:val="24"/>
          <w:szCs w:val="24"/>
        </w:rPr>
        <w:t>charging</w:t>
      </w:r>
      <w:r w:rsidRPr="00CB7237" w:rsidR="003502B2">
        <w:rPr>
          <w:sz w:val="24"/>
          <w:szCs w:val="24"/>
        </w:rPr>
        <w:t xml:space="preserve"> </w:t>
      </w:r>
      <w:r w:rsidRPr="00CB7237" w:rsidR="00E20E31">
        <w:rPr>
          <w:sz w:val="24"/>
          <w:szCs w:val="24"/>
        </w:rPr>
        <w:t xml:space="preserve">consumers for so-called stability. </w:t>
      </w:r>
      <w:r w:rsidRPr="00CB7237" w:rsidR="00C44A78">
        <w:rPr>
          <w:sz w:val="24"/>
          <w:szCs w:val="24"/>
        </w:rPr>
        <w:t>OCC also has pending before the Ohio Supreme Court a</w:t>
      </w:r>
      <w:r w:rsidRPr="00CB7237" w:rsidR="00A456F8">
        <w:rPr>
          <w:sz w:val="24"/>
          <w:szCs w:val="24"/>
        </w:rPr>
        <w:t xml:space="preserve"> motion for reconsid</w:t>
      </w:r>
      <w:r w:rsidRPr="00CB7237" w:rsidR="00D35851">
        <w:rPr>
          <w:sz w:val="24"/>
          <w:szCs w:val="24"/>
        </w:rPr>
        <w:t>erati</w:t>
      </w:r>
      <w:r w:rsidRPr="00CB7237" w:rsidR="00A456F8">
        <w:rPr>
          <w:sz w:val="24"/>
          <w:szCs w:val="24"/>
        </w:rPr>
        <w:t xml:space="preserve">on of the Supreme Court’s recent </w:t>
      </w:r>
      <w:r w:rsidRPr="00CB7237" w:rsidR="00FD38BF">
        <w:rPr>
          <w:sz w:val="24"/>
          <w:szCs w:val="24"/>
        </w:rPr>
        <w:t>dismissal</w:t>
      </w:r>
      <w:r>
        <w:rPr>
          <w:rStyle w:val="FootnoteReference"/>
          <w:sz w:val="24"/>
          <w:szCs w:val="24"/>
        </w:rPr>
        <w:footnoteReference w:id="4"/>
      </w:r>
      <w:r w:rsidRPr="00CB7237" w:rsidR="002A103B">
        <w:rPr>
          <w:sz w:val="24"/>
          <w:szCs w:val="24"/>
        </w:rPr>
        <w:t xml:space="preserve"> </w:t>
      </w:r>
      <w:r w:rsidRPr="00CB7237" w:rsidR="00FD38BF">
        <w:rPr>
          <w:sz w:val="24"/>
          <w:szCs w:val="24"/>
        </w:rPr>
        <w:t xml:space="preserve">of our related </w:t>
      </w:r>
      <w:r w:rsidRPr="00CB7237" w:rsidR="00A456F8">
        <w:rPr>
          <w:sz w:val="24"/>
          <w:szCs w:val="24"/>
        </w:rPr>
        <w:t>appeal as “premature.”</w:t>
      </w:r>
      <w:r>
        <w:rPr>
          <w:rStyle w:val="FootnoteReference"/>
          <w:sz w:val="24"/>
          <w:szCs w:val="24"/>
        </w:rPr>
        <w:footnoteReference w:id="5"/>
      </w:r>
      <w:r w:rsidRPr="00CB7237" w:rsidR="00BC2930">
        <w:rPr>
          <w:sz w:val="24"/>
          <w:szCs w:val="24"/>
        </w:rPr>
        <w:t xml:space="preserve"> </w:t>
      </w:r>
    </w:p>
    <w:p w:rsidR="009623C0" w:rsidRPr="00CB7237" w:rsidP="009623C0" w14:paraId="32E674E9" w14:textId="4F3E90D7">
      <w:pPr>
        <w:pStyle w:val="Footer"/>
        <w:tabs>
          <w:tab w:val="left" w:pos="720"/>
          <w:tab w:val="clear" w:pos="4320"/>
        </w:tabs>
        <w:spacing w:line="480" w:lineRule="auto"/>
        <w:rPr>
          <w:sz w:val="24"/>
          <w:szCs w:val="24"/>
        </w:rPr>
      </w:pPr>
      <w:r w:rsidRPr="00CB7237">
        <w:rPr>
          <w:sz w:val="24"/>
          <w:szCs w:val="24"/>
        </w:rPr>
        <w:tab/>
      </w:r>
      <w:r w:rsidRPr="00CB7237" w:rsidR="00FD38BF">
        <w:rPr>
          <w:sz w:val="24"/>
          <w:szCs w:val="24"/>
        </w:rPr>
        <w:t xml:space="preserve">The Court’s upcoming decision on </w:t>
      </w:r>
      <w:r w:rsidRPr="00CB7237" w:rsidR="00FA0EB0">
        <w:rPr>
          <w:sz w:val="24"/>
          <w:szCs w:val="24"/>
        </w:rPr>
        <w:t xml:space="preserve">OCC’s </w:t>
      </w:r>
      <w:r w:rsidRPr="00CB7237" w:rsidR="00930162">
        <w:rPr>
          <w:sz w:val="24"/>
          <w:szCs w:val="24"/>
        </w:rPr>
        <w:t xml:space="preserve">pending </w:t>
      </w:r>
      <w:r w:rsidRPr="00CB7237">
        <w:rPr>
          <w:sz w:val="24"/>
          <w:szCs w:val="24"/>
        </w:rPr>
        <w:t>motion for reconsideration</w:t>
      </w:r>
      <w:r w:rsidRPr="00CB7237" w:rsidR="00E91869">
        <w:rPr>
          <w:sz w:val="24"/>
          <w:szCs w:val="24"/>
        </w:rPr>
        <w:t xml:space="preserve"> </w:t>
      </w:r>
      <w:r w:rsidRPr="00CB7237" w:rsidR="00FD38BF">
        <w:rPr>
          <w:sz w:val="24"/>
          <w:szCs w:val="24"/>
        </w:rPr>
        <w:t xml:space="preserve">and the PUCO’s upcoming decision on </w:t>
      </w:r>
      <w:r w:rsidRPr="00CB7237" w:rsidR="004F6463">
        <w:rPr>
          <w:sz w:val="24"/>
          <w:szCs w:val="24"/>
        </w:rPr>
        <w:t>DP&amp;L</w:t>
      </w:r>
      <w:r w:rsidRPr="00CB7237" w:rsidR="00FA0EB0">
        <w:rPr>
          <w:sz w:val="24"/>
          <w:szCs w:val="24"/>
        </w:rPr>
        <w:t xml:space="preserve">’s </w:t>
      </w:r>
      <w:r w:rsidRPr="00CB7237" w:rsidR="00E91869">
        <w:rPr>
          <w:sz w:val="24"/>
          <w:szCs w:val="24"/>
        </w:rPr>
        <w:t xml:space="preserve">proposed </w:t>
      </w:r>
      <w:r w:rsidRPr="00CB7237" w:rsidR="00FA0EB0">
        <w:rPr>
          <w:sz w:val="24"/>
          <w:szCs w:val="24"/>
        </w:rPr>
        <w:t xml:space="preserve">distribution rate </w:t>
      </w:r>
      <w:r w:rsidRPr="00CB7237" w:rsidR="00E91869">
        <w:rPr>
          <w:sz w:val="24"/>
          <w:szCs w:val="24"/>
        </w:rPr>
        <w:t xml:space="preserve">increase </w:t>
      </w:r>
      <w:r w:rsidRPr="00CB7237" w:rsidR="00FA0EB0">
        <w:rPr>
          <w:sz w:val="24"/>
          <w:szCs w:val="24"/>
        </w:rPr>
        <w:t xml:space="preserve">will likely add clarity to </w:t>
      </w:r>
      <w:r w:rsidRPr="00CB7237" w:rsidR="00E91869">
        <w:rPr>
          <w:sz w:val="24"/>
          <w:szCs w:val="24"/>
        </w:rPr>
        <w:t>various interrelated</w:t>
      </w:r>
      <w:r w:rsidRPr="00CB7237" w:rsidR="00FA0EB0">
        <w:rPr>
          <w:sz w:val="24"/>
          <w:szCs w:val="24"/>
        </w:rPr>
        <w:t xml:space="preserve"> issues</w:t>
      </w:r>
      <w:r w:rsidRPr="00CB7237" w:rsidR="00E91869">
        <w:rPr>
          <w:sz w:val="24"/>
          <w:szCs w:val="24"/>
        </w:rPr>
        <w:t>.</w:t>
      </w:r>
      <w:r w:rsidRPr="00CB7237" w:rsidR="00FA0EB0">
        <w:rPr>
          <w:sz w:val="24"/>
          <w:szCs w:val="24"/>
        </w:rPr>
        <w:t xml:space="preserve"> Accordingly, consumers and administrative efficiency would be served if this case were stayed</w:t>
      </w:r>
      <w:r w:rsidRPr="00CB7237" w:rsidR="002946A9">
        <w:rPr>
          <w:sz w:val="24"/>
          <w:szCs w:val="24"/>
        </w:rPr>
        <w:t>, without prejudice to OCC’s Notice</w:t>
      </w:r>
      <w:r w:rsidRPr="00CB7237" w:rsidR="00273608">
        <w:rPr>
          <w:sz w:val="24"/>
          <w:szCs w:val="24"/>
        </w:rPr>
        <w:t xml:space="preserve"> to terminate and withdraw from the settlement</w:t>
      </w:r>
      <w:r w:rsidRPr="00CB7237" w:rsidR="002946A9">
        <w:rPr>
          <w:sz w:val="24"/>
          <w:szCs w:val="24"/>
        </w:rPr>
        <w:t>,</w:t>
      </w:r>
      <w:r w:rsidRPr="00CB7237" w:rsidR="00FA0EB0">
        <w:rPr>
          <w:sz w:val="24"/>
          <w:szCs w:val="24"/>
        </w:rPr>
        <w:t xml:space="preserve"> until: 1) </w:t>
      </w:r>
      <w:r w:rsidRPr="00CB7237" w:rsidR="00FD56C1">
        <w:rPr>
          <w:sz w:val="24"/>
          <w:szCs w:val="24"/>
        </w:rPr>
        <w:t xml:space="preserve">the Ohio Supreme Court issues a final ruling </w:t>
      </w:r>
      <w:r w:rsidRPr="00CB7237" w:rsidR="008B5F3E">
        <w:rPr>
          <w:sz w:val="24"/>
          <w:szCs w:val="24"/>
        </w:rPr>
        <w:t xml:space="preserve">on </w:t>
      </w:r>
      <w:r w:rsidRPr="00CB7237" w:rsidR="00FD56C1">
        <w:rPr>
          <w:sz w:val="24"/>
          <w:szCs w:val="24"/>
        </w:rPr>
        <w:t xml:space="preserve">OCC’s </w:t>
      </w:r>
      <w:r w:rsidRPr="00CB7237">
        <w:rPr>
          <w:sz w:val="24"/>
          <w:szCs w:val="24"/>
        </w:rPr>
        <w:t xml:space="preserve">Motion for Reconsideration </w:t>
      </w:r>
      <w:r w:rsidRPr="00CB7237" w:rsidR="00FD56C1">
        <w:rPr>
          <w:sz w:val="24"/>
          <w:szCs w:val="24"/>
        </w:rPr>
        <w:t xml:space="preserve">and 2) the PUCO issues an order in </w:t>
      </w:r>
      <w:r w:rsidRPr="00CB7237" w:rsidR="004F6463">
        <w:rPr>
          <w:sz w:val="24"/>
          <w:szCs w:val="24"/>
        </w:rPr>
        <w:t>DP&amp;L</w:t>
      </w:r>
      <w:r w:rsidRPr="00CB7237" w:rsidR="00FD56C1">
        <w:rPr>
          <w:sz w:val="24"/>
          <w:szCs w:val="24"/>
        </w:rPr>
        <w:t>’s pending distribution rate case.</w:t>
      </w:r>
      <w:r w:rsidRPr="00CB7237" w:rsidR="00081B7F">
        <w:rPr>
          <w:sz w:val="24"/>
          <w:szCs w:val="24"/>
        </w:rPr>
        <w:t xml:space="preserve"> PUCO Attorney Examiner Gregory Price and parties seemed to encourage such a motion, at the prehearing </w:t>
      </w:r>
      <w:r w:rsidRPr="00CB7237" w:rsidR="003502B2">
        <w:rPr>
          <w:sz w:val="24"/>
          <w:szCs w:val="24"/>
        </w:rPr>
        <w:t xml:space="preserve">conference </w:t>
      </w:r>
      <w:r w:rsidRPr="00CB7237" w:rsidR="00081B7F">
        <w:rPr>
          <w:sz w:val="24"/>
          <w:szCs w:val="24"/>
        </w:rPr>
        <w:t xml:space="preserve">of </w:t>
      </w:r>
      <w:r w:rsidRPr="00CB7237" w:rsidR="00871157">
        <w:rPr>
          <w:sz w:val="24"/>
          <w:szCs w:val="24"/>
        </w:rPr>
        <w:t>May 3</w:t>
      </w:r>
      <w:r w:rsidRPr="00CB7237" w:rsidR="00081B7F">
        <w:rPr>
          <w:sz w:val="24"/>
          <w:szCs w:val="24"/>
        </w:rPr>
        <w:t>, 2022.</w:t>
      </w:r>
    </w:p>
    <w:p w:rsidR="00BD3C0F" w:rsidRPr="00CB7237" w:rsidP="009623C0" w14:paraId="4E1FCC4F" w14:textId="12097A72">
      <w:pPr>
        <w:pStyle w:val="Footer"/>
        <w:tabs>
          <w:tab w:val="left" w:pos="720"/>
          <w:tab w:val="clear" w:pos="4320"/>
        </w:tabs>
        <w:spacing w:line="480" w:lineRule="auto"/>
        <w:ind w:firstLine="720"/>
        <w:rPr>
          <w:sz w:val="24"/>
          <w:szCs w:val="24"/>
        </w:rPr>
      </w:pPr>
      <w:r w:rsidRPr="00CB7237">
        <w:rPr>
          <w:sz w:val="24"/>
          <w:szCs w:val="24"/>
        </w:rPr>
        <w:t>The reasons for granting this Motion are further set forth in the attached Memorandum in Support.</w:t>
      </w:r>
    </w:p>
    <w:p w:rsidR="00BD3C0F" w:rsidRPr="00CB7237" w14:paraId="10AB2A07" w14:textId="77777777">
      <w:pPr>
        <w:spacing w:line="480" w:lineRule="auto"/>
        <w:rPr>
          <w:szCs w:val="24"/>
        </w:rPr>
      </w:pPr>
      <w:r w:rsidRPr="00CB7237">
        <w:rPr>
          <w:szCs w:val="24"/>
        </w:rPr>
        <w:br w:type="page"/>
      </w:r>
    </w:p>
    <w:p w:rsidR="00AC7F89" w:rsidRPr="00CB7237" w:rsidP="00AC7F89" w14:paraId="7B0BE621" w14:textId="201070A7">
      <w:pPr>
        <w:ind w:left="3600" w:firstLine="720"/>
        <w:rPr>
          <w:szCs w:val="24"/>
        </w:rPr>
      </w:pPr>
      <w:r w:rsidRPr="00CB7237">
        <w:rPr>
          <w:szCs w:val="24"/>
        </w:rPr>
        <w:t xml:space="preserve">Respectfully submitted, </w:t>
      </w:r>
    </w:p>
    <w:p w:rsidR="00AC7F89" w:rsidRPr="00CB7237" w:rsidP="00F249A3" w14:paraId="23C53288" w14:textId="77777777">
      <w:pPr>
        <w:rPr>
          <w:szCs w:val="24"/>
        </w:rPr>
      </w:pPr>
    </w:p>
    <w:p w:rsidR="00AC7F89" w:rsidRPr="00CB7237" w:rsidP="00AC7F89" w14:paraId="128888E3" w14:textId="77777777">
      <w:pPr>
        <w:tabs>
          <w:tab w:val="left" w:pos="4320"/>
        </w:tabs>
        <w:ind w:left="4320"/>
        <w:rPr>
          <w:szCs w:val="24"/>
        </w:rPr>
      </w:pPr>
      <w:r w:rsidRPr="00CB7237">
        <w:rPr>
          <w:szCs w:val="24"/>
        </w:rPr>
        <w:t>Bruce Weston (0016973)</w:t>
      </w:r>
    </w:p>
    <w:p w:rsidR="00AC7F89" w:rsidRPr="00CB7237" w:rsidP="00AC7F89" w14:paraId="1AF81A8C" w14:textId="77777777">
      <w:pPr>
        <w:tabs>
          <w:tab w:val="left" w:pos="4320"/>
        </w:tabs>
        <w:ind w:left="4320"/>
        <w:rPr>
          <w:szCs w:val="24"/>
        </w:rPr>
      </w:pPr>
      <w:r w:rsidRPr="00CB7237">
        <w:rPr>
          <w:szCs w:val="24"/>
        </w:rPr>
        <w:t>Ohio Consumers’ Counsel</w:t>
      </w:r>
    </w:p>
    <w:p w:rsidR="00AC7F89" w:rsidRPr="00CB7237" w:rsidP="00AC7F89" w14:paraId="3B1F3B89" w14:textId="77777777">
      <w:pPr>
        <w:tabs>
          <w:tab w:val="left" w:pos="4320"/>
        </w:tabs>
        <w:ind w:left="4320"/>
        <w:rPr>
          <w:szCs w:val="24"/>
        </w:rPr>
      </w:pPr>
    </w:p>
    <w:p w:rsidR="00AC7F89" w:rsidRPr="00CB7237" w:rsidP="00AC7F89" w14:paraId="383BC5F8" w14:textId="77777777">
      <w:pPr>
        <w:tabs>
          <w:tab w:val="left" w:pos="4320"/>
        </w:tabs>
        <w:ind w:left="4320" w:right="-180"/>
        <w:rPr>
          <w:i/>
          <w:iCs/>
          <w:szCs w:val="24"/>
          <w:u w:val="single"/>
        </w:rPr>
      </w:pPr>
      <w:r w:rsidRPr="00CB7237">
        <w:rPr>
          <w:i/>
          <w:iCs/>
          <w:szCs w:val="24"/>
          <w:u w:val="single"/>
        </w:rPr>
        <w:t>/s/ Maureen R. Willis</w:t>
      </w:r>
    </w:p>
    <w:p w:rsidR="00AC7F89" w:rsidRPr="00CB7237" w:rsidP="00AC7F89" w14:paraId="682694B5" w14:textId="77777777">
      <w:pPr>
        <w:tabs>
          <w:tab w:val="left" w:pos="4320"/>
        </w:tabs>
        <w:ind w:left="4320" w:right="-180"/>
        <w:rPr>
          <w:szCs w:val="24"/>
        </w:rPr>
      </w:pPr>
      <w:r w:rsidRPr="00CB7237">
        <w:rPr>
          <w:szCs w:val="24"/>
        </w:rPr>
        <w:t>Maureen R. Willis (0020847)</w:t>
      </w:r>
    </w:p>
    <w:p w:rsidR="00AC7F89" w:rsidRPr="00CB7237" w:rsidP="00AC7F89" w14:paraId="2B23C6E3" w14:textId="77777777">
      <w:pPr>
        <w:tabs>
          <w:tab w:val="left" w:pos="4320"/>
        </w:tabs>
        <w:ind w:left="4320" w:right="-180"/>
        <w:rPr>
          <w:szCs w:val="24"/>
        </w:rPr>
      </w:pPr>
      <w:r w:rsidRPr="00CB7237">
        <w:rPr>
          <w:szCs w:val="24"/>
        </w:rPr>
        <w:t>Counsel of Record</w:t>
      </w:r>
    </w:p>
    <w:p w:rsidR="00AC7F89" w:rsidRPr="00CB7237" w:rsidP="00AC7F89" w14:paraId="6E60EBA8" w14:textId="77777777">
      <w:pPr>
        <w:tabs>
          <w:tab w:val="left" w:pos="4320"/>
        </w:tabs>
        <w:ind w:left="4320" w:right="-180"/>
        <w:rPr>
          <w:szCs w:val="24"/>
        </w:rPr>
      </w:pPr>
      <w:r w:rsidRPr="00CB7237">
        <w:rPr>
          <w:szCs w:val="24"/>
        </w:rPr>
        <w:t>William J. Michael (0070921)</w:t>
      </w:r>
    </w:p>
    <w:p w:rsidR="00AC7F89" w:rsidRPr="00CB7237" w:rsidP="00AC7F89" w14:paraId="173D88B7" w14:textId="77777777">
      <w:pPr>
        <w:ind w:left="3600" w:firstLine="720"/>
        <w:rPr>
          <w:szCs w:val="24"/>
        </w:rPr>
      </w:pPr>
      <w:r w:rsidRPr="00CB7237">
        <w:rPr>
          <w:szCs w:val="24"/>
        </w:rPr>
        <w:t xml:space="preserve">Assistant Consumers’ Counsel </w:t>
      </w:r>
    </w:p>
    <w:p w:rsidR="00AC7F89" w:rsidRPr="00CB7237" w:rsidP="00AC7F89" w14:paraId="2EB2918C" w14:textId="77777777">
      <w:pPr>
        <w:ind w:left="3600" w:firstLine="720"/>
        <w:rPr>
          <w:szCs w:val="24"/>
        </w:rPr>
      </w:pPr>
    </w:p>
    <w:p w:rsidR="00AC7F89" w:rsidRPr="00CB7237" w:rsidP="00AC7F89" w14:paraId="13868320" w14:textId="77777777">
      <w:pPr>
        <w:ind w:left="3600" w:firstLine="720"/>
        <w:rPr>
          <w:b/>
          <w:bCs/>
          <w:szCs w:val="24"/>
        </w:rPr>
      </w:pPr>
      <w:r w:rsidRPr="00CB7237">
        <w:rPr>
          <w:b/>
          <w:bCs/>
          <w:szCs w:val="24"/>
        </w:rPr>
        <w:t>Office of the Ohio Consumers’ Counsel</w:t>
      </w:r>
    </w:p>
    <w:p w:rsidR="00AC7F89" w:rsidRPr="00CB7237" w:rsidP="00AC7F89" w14:paraId="2A611F3E" w14:textId="0571BEA6">
      <w:pPr>
        <w:pStyle w:val="PlainText"/>
        <w:ind w:left="3600" w:firstLine="720"/>
        <w:rPr>
          <w:rFonts w:ascii="Times New Roman" w:hAnsi="Times New Roman"/>
          <w:sz w:val="24"/>
          <w:szCs w:val="24"/>
        </w:rPr>
      </w:pPr>
      <w:r w:rsidRPr="00CB7237">
        <w:rPr>
          <w:rFonts w:ascii="Times New Roman" w:hAnsi="Times New Roman"/>
          <w:sz w:val="24"/>
          <w:szCs w:val="24"/>
        </w:rPr>
        <w:t>65 East State Street, Suite 700</w:t>
      </w:r>
    </w:p>
    <w:p w:rsidR="00AC7F89" w:rsidRPr="00CB7237" w:rsidP="00AC7F89" w14:paraId="6AF86556" w14:textId="1C1A355C">
      <w:pPr>
        <w:pStyle w:val="PlainText"/>
        <w:ind w:left="3600" w:firstLine="720"/>
        <w:rPr>
          <w:rFonts w:ascii="Times New Roman" w:hAnsi="Times New Roman"/>
          <w:sz w:val="24"/>
          <w:szCs w:val="24"/>
        </w:rPr>
      </w:pPr>
      <w:r w:rsidRPr="00CB7237">
        <w:rPr>
          <w:rFonts w:ascii="Times New Roman" w:hAnsi="Times New Roman"/>
          <w:sz w:val="24"/>
          <w:szCs w:val="24"/>
        </w:rPr>
        <w:t>Columbus, Ohio 43215</w:t>
      </w:r>
    </w:p>
    <w:p w:rsidR="00AC7F89" w:rsidRPr="00CB7237" w:rsidP="00AC7F89" w14:paraId="56548FF3" w14:textId="77777777">
      <w:pPr>
        <w:adjustRightInd w:val="0"/>
        <w:ind w:left="4320"/>
        <w:rPr>
          <w:szCs w:val="24"/>
        </w:rPr>
      </w:pPr>
      <w:r w:rsidRPr="00CB7237">
        <w:rPr>
          <w:szCs w:val="24"/>
        </w:rPr>
        <w:t>Telephone: Willis (614) 466-9567</w:t>
      </w:r>
    </w:p>
    <w:p w:rsidR="00AC7F89" w:rsidRPr="00CB7237" w:rsidP="00AC7F89" w14:paraId="326552D0" w14:textId="77777777">
      <w:pPr>
        <w:adjustRightInd w:val="0"/>
        <w:ind w:left="4320"/>
        <w:rPr>
          <w:szCs w:val="24"/>
        </w:rPr>
      </w:pPr>
      <w:r w:rsidRPr="00CB7237">
        <w:rPr>
          <w:szCs w:val="24"/>
        </w:rPr>
        <w:t>Telephone: Michael (614) 466-1291</w:t>
      </w:r>
    </w:p>
    <w:p w:rsidR="00AC7F89" w:rsidRPr="00CB7237" w:rsidP="00AC7F89" w14:paraId="7426CF8C" w14:textId="0071D1C6">
      <w:pPr>
        <w:ind w:left="4320"/>
        <w:rPr>
          <w:szCs w:val="24"/>
        </w:rPr>
      </w:pPr>
      <w:hyperlink r:id="rId7" w:history="1">
        <w:r w:rsidRPr="00CB7237" w:rsidR="00E20E31">
          <w:rPr>
            <w:rStyle w:val="Hyperlink"/>
            <w:szCs w:val="24"/>
          </w:rPr>
          <w:t>maureen.willis@occ.ohio.gov</w:t>
        </w:r>
      </w:hyperlink>
      <w:r w:rsidRPr="00CB7237" w:rsidR="00E20E31">
        <w:rPr>
          <w:szCs w:val="24"/>
        </w:rPr>
        <w:t xml:space="preserve"> </w:t>
      </w:r>
    </w:p>
    <w:p w:rsidR="00AC7F89" w:rsidRPr="00CB7237" w:rsidP="00AC7F89" w14:paraId="4CD24387" w14:textId="3E90CE0A">
      <w:pPr>
        <w:ind w:left="4320"/>
        <w:rPr>
          <w:szCs w:val="24"/>
        </w:rPr>
      </w:pPr>
      <w:hyperlink r:id="rId8" w:history="1">
        <w:r w:rsidRPr="00CB7237" w:rsidR="00E20E31">
          <w:rPr>
            <w:rStyle w:val="Hyperlink"/>
            <w:szCs w:val="24"/>
          </w:rPr>
          <w:t>william.michael@occ.ohio.gov</w:t>
        </w:r>
      </w:hyperlink>
    </w:p>
    <w:p w:rsidR="000337AD" w:rsidRPr="00CB7237" w:rsidP="00AC7F89" w14:paraId="5E400A23" w14:textId="7FBDACAA">
      <w:pPr>
        <w:pStyle w:val="BodyTextIndent3"/>
        <w:widowControl w:val="0"/>
        <w:spacing w:line="240" w:lineRule="auto"/>
        <w:ind w:left="3600" w:right="-672"/>
        <w:rPr>
          <w:szCs w:val="24"/>
        </w:rPr>
      </w:pPr>
      <w:r w:rsidRPr="00CB7237">
        <w:rPr>
          <w:szCs w:val="24"/>
        </w:rPr>
        <w:tab/>
        <w:t>(willing to accept service by e-mail)</w:t>
      </w:r>
    </w:p>
    <w:p w:rsidR="00BD3C0F" w:rsidRPr="00CB7237" w14:paraId="5425DABC" w14:textId="77777777">
      <w:pPr>
        <w:spacing w:line="480" w:lineRule="auto"/>
        <w:rPr>
          <w:szCs w:val="24"/>
        </w:rPr>
        <w:sectPr w:rsidSect="00D17423">
          <w:footerReference w:type="default" r:id="rId9"/>
          <w:pgSz w:w="12240" w:h="15840" w:code="1"/>
          <w:pgMar w:top="1440" w:right="1800" w:bottom="1440" w:left="1800" w:header="720" w:footer="720" w:gutter="0"/>
          <w:pgNumType w:start="2"/>
          <w:cols w:space="720"/>
          <w:docGrid w:linePitch="360"/>
        </w:sectPr>
      </w:pPr>
    </w:p>
    <w:p w:rsidR="004C5B26" w:rsidRPr="00CB7237" w:rsidP="004C5B26" w14:paraId="0F4B1FCE" w14:textId="77777777">
      <w:pPr>
        <w:jc w:val="center"/>
        <w:rPr>
          <w:b/>
          <w:szCs w:val="24"/>
        </w:rPr>
      </w:pPr>
      <w:r w:rsidRPr="00CB7237">
        <w:rPr>
          <w:b/>
          <w:szCs w:val="24"/>
        </w:rPr>
        <w:t>BEFORE</w:t>
      </w:r>
    </w:p>
    <w:p w:rsidR="004C5B26" w:rsidRPr="00CB7237" w:rsidP="004C5B26" w14:paraId="500FCF51" w14:textId="77777777">
      <w:pPr>
        <w:jc w:val="center"/>
        <w:rPr>
          <w:b/>
          <w:szCs w:val="24"/>
        </w:rPr>
      </w:pPr>
      <w:r w:rsidRPr="00CB7237">
        <w:rPr>
          <w:b/>
          <w:szCs w:val="24"/>
        </w:rPr>
        <w:t>THE PUBLIC UTILITIES COMMISSION OF OHIO</w:t>
      </w:r>
    </w:p>
    <w:p w:rsidR="004C5B26" w:rsidRPr="00CB7237" w:rsidP="004C5B26" w14:paraId="09913A16" w14:textId="77777777">
      <w:pPr>
        <w:jc w:val="center"/>
        <w:rPr>
          <w:b/>
          <w:szCs w:val="24"/>
        </w:rPr>
      </w:pPr>
    </w:p>
    <w:tbl>
      <w:tblPr>
        <w:tblW w:w="8622" w:type="dxa"/>
        <w:tblInd w:w="108" w:type="dxa"/>
        <w:tblLook w:val="01E0"/>
      </w:tblPr>
      <w:tblGrid>
        <w:gridCol w:w="4392"/>
        <w:gridCol w:w="360"/>
        <w:gridCol w:w="3870"/>
      </w:tblGrid>
      <w:tr w14:paraId="5456917E" w14:textId="77777777" w:rsidTr="00BD3C0F">
        <w:tblPrEx>
          <w:tblW w:w="8622" w:type="dxa"/>
          <w:tblInd w:w="108" w:type="dxa"/>
          <w:tblLook w:val="01E0"/>
        </w:tblPrEx>
        <w:trPr>
          <w:trHeight w:val="4976"/>
        </w:trPr>
        <w:tc>
          <w:tcPr>
            <w:tcW w:w="4392" w:type="dxa"/>
          </w:tcPr>
          <w:p w:rsidR="00E164F3" w:rsidRPr="00CB7237" w:rsidP="00FC763C" w14:paraId="25FC3305" w14:textId="77777777">
            <w:pPr>
              <w:rPr>
                <w:szCs w:val="24"/>
              </w:rPr>
            </w:pPr>
            <w:r w:rsidRPr="00CB7237">
              <w:rPr>
                <w:szCs w:val="24"/>
              </w:rPr>
              <w:t>In the Matter of the Application of The Dayton Power and Light Company for Approval of its Electric Security Plan.</w:t>
            </w:r>
          </w:p>
          <w:p w:rsidR="00E164F3" w:rsidRPr="00CB7237" w:rsidP="00FC763C" w14:paraId="573E0395" w14:textId="77777777">
            <w:pPr>
              <w:rPr>
                <w:szCs w:val="24"/>
              </w:rPr>
            </w:pPr>
          </w:p>
          <w:p w:rsidR="00E164F3" w:rsidRPr="00CB7237" w:rsidP="00FC763C" w14:paraId="011C50E3" w14:textId="77777777">
            <w:pPr>
              <w:rPr>
                <w:szCs w:val="24"/>
              </w:rPr>
            </w:pPr>
            <w:r w:rsidRPr="00CB7237">
              <w:rPr>
                <w:szCs w:val="24"/>
              </w:rPr>
              <w:t>In the Matter of the Application of The Dayton Power and Light Company for Approval of Revised Tariffs.</w:t>
            </w:r>
          </w:p>
          <w:p w:rsidR="00E164F3" w:rsidRPr="00CB7237" w:rsidP="00FC763C" w14:paraId="3657BB34" w14:textId="77777777">
            <w:pPr>
              <w:rPr>
                <w:szCs w:val="24"/>
              </w:rPr>
            </w:pPr>
          </w:p>
          <w:p w:rsidR="00E164F3" w:rsidRPr="00CB7237" w:rsidP="00FC763C" w14:paraId="5EB59035" w14:textId="77777777">
            <w:pPr>
              <w:rPr>
                <w:szCs w:val="24"/>
              </w:rPr>
            </w:pPr>
            <w:r w:rsidRPr="00CB7237">
              <w:rPr>
                <w:szCs w:val="24"/>
              </w:rPr>
              <w:t>In the Matter of the Application of The Dayton Power and Light Company for Approval of Certain Accounting Authority Pursuant to Ohio Rev. Code Section 4905.13.</w:t>
            </w:r>
          </w:p>
          <w:p w:rsidR="00E164F3" w:rsidRPr="00CB7237" w:rsidP="00FC763C" w14:paraId="766A3025" w14:textId="77777777">
            <w:pPr>
              <w:rPr>
                <w:szCs w:val="24"/>
              </w:rPr>
            </w:pPr>
          </w:p>
          <w:p w:rsidR="00E164F3" w:rsidRPr="00CB7237" w:rsidP="00FC763C" w14:paraId="62C5F50C" w14:textId="77777777">
            <w:pPr>
              <w:rPr>
                <w:szCs w:val="24"/>
              </w:rPr>
            </w:pPr>
            <w:r w:rsidRPr="00CB7237">
              <w:rPr>
                <w:szCs w:val="24"/>
              </w:rPr>
              <w:t>In the Matter of the Application of The Dayton Power and Light Company for Approval of its Amended Corporate Separation Plan.</w:t>
            </w:r>
          </w:p>
        </w:tc>
        <w:tc>
          <w:tcPr>
            <w:tcW w:w="360" w:type="dxa"/>
          </w:tcPr>
          <w:p w:rsidR="00E164F3" w:rsidRPr="00CB7237" w:rsidP="00FC763C" w14:paraId="5F56C611" w14:textId="77777777">
            <w:pPr>
              <w:rPr>
                <w:szCs w:val="24"/>
              </w:rPr>
            </w:pPr>
            <w:r w:rsidRPr="00CB7237">
              <w:rPr>
                <w:szCs w:val="24"/>
              </w:rPr>
              <w:t>)</w:t>
            </w:r>
          </w:p>
          <w:p w:rsidR="00E164F3" w:rsidRPr="00CB7237" w:rsidP="00FC763C" w14:paraId="1EF96BEB" w14:textId="77777777">
            <w:pPr>
              <w:rPr>
                <w:szCs w:val="24"/>
              </w:rPr>
            </w:pPr>
            <w:r w:rsidRPr="00CB7237">
              <w:rPr>
                <w:szCs w:val="24"/>
              </w:rPr>
              <w:t>)</w:t>
            </w:r>
          </w:p>
          <w:p w:rsidR="00E164F3" w:rsidRPr="00CB7237" w:rsidP="00FC763C" w14:paraId="61ADE5DE" w14:textId="77777777">
            <w:pPr>
              <w:rPr>
                <w:szCs w:val="24"/>
              </w:rPr>
            </w:pPr>
            <w:r w:rsidRPr="00CB7237">
              <w:rPr>
                <w:szCs w:val="24"/>
              </w:rPr>
              <w:t>)</w:t>
            </w:r>
          </w:p>
          <w:p w:rsidR="00E164F3" w:rsidRPr="00CB7237" w:rsidP="00FC763C" w14:paraId="67586B22" w14:textId="77777777">
            <w:pPr>
              <w:rPr>
                <w:szCs w:val="24"/>
              </w:rPr>
            </w:pPr>
          </w:p>
          <w:p w:rsidR="00E164F3" w:rsidRPr="00CB7237" w:rsidP="00FC763C" w14:paraId="4612F05C" w14:textId="77777777">
            <w:pPr>
              <w:rPr>
                <w:szCs w:val="24"/>
              </w:rPr>
            </w:pPr>
            <w:r w:rsidRPr="00CB7237">
              <w:rPr>
                <w:szCs w:val="24"/>
              </w:rPr>
              <w:t>)</w:t>
            </w:r>
          </w:p>
          <w:p w:rsidR="00E164F3" w:rsidRPr="00CB7237" w:rsidP="00FC763C" w14:paraId="5F9BE0AC" w14:textId="77777777">
            <w:pPr>
              <w:rPr>
                <w:szCs w:val="24"/>
              </w:rPr>
            </w:pPr>
            <w:r w:rsidRPr="00CB7237">
              <w:rPr>
                <w:szCs w:val="24"/>
              </w:rPr>
              <w:t>)</w:t>
            </w:r>
          </w:p>
          <w:p w:rsidR="00E164F3" w:rsidRPr="00CB7237" w:rsidP="00FC763C" w14:paraId="7A070BDC" w14:textId="77777777">
            <w:pPr>
              <w:rPr>
                <w:szCs w:val="24"/>
              </w:rPr>
            </w:pPr>
            <w:r w:rsidRPr="00CB7237">
              <w:rPr>
                <w:szCs w:val="24"/>
              </w:rPr>
              <w:t>)</w:t>
            </w:r>
          </w:p>
          <w:p w:rsidR="00E164F3" w:rsidRPr="00CB7237" w:rsidP="00FC763C" w14:paraId="7B5EEDE8" w14:textId="77777777">
            <w:pPr>
              <w:rPr>
                <w:szCs w:val="24"/>
              </w:rPr>
            </w:pPr>
          </w:p>
          <w:p w:rsidR="00E164F3" w:rsidRPr="00CB7237" w:rsidP="00FC763C" w14:paraId="03D9C835" w14:textId="77777777">
            <w:pPr>
              <w:rPr>
                <w:szCs w:val="24"/>
              </w:rPr>
            </w:pPr>
            <w:r w:rsidRPr="00CB7237">
              <w:rPr>
                <w:szCs w:val="24"/>
              </w:rPr>
              <w:t>)</w:t>
            </w:r>
          </w:p>
          <w:p w:rsidR="00E164F3" w:rsidRPr="00CB7237" w:rsidP="00FC763C" w14:paraId="54E25485" w14:textId="77777777">
            <w:pPr>
              <w:rPr>
                <w:szCs w:val="24"/>
              </w:rPr>
            </w:pPr>
            <w:r w:rsidRPr="00CB7237">
              <w:rPr>
                <w:szCs w:val="24"/>
              </w:rPr>
              <w:t>)</w:t>
            </w:r>
          </w:p>
          <w:p w:rsidR="00E164F3" w:rsidRPr="00CB7237" w:rsidP="00FC763C" w14:paraId="09D16629" w14:textId="77777777">
            <w:pPr>
              <w:rPr>
                <w:szCs w:val="24"/>
              </w:rPr>
            </w:pPr>
            <w:r w:rsidRPr="00CB7237">
              <w:rPr>
                <w:szCs w:val="24"/>
              </w:rPr>
              <w:t>)</w:t>
            </w:r>
          </w:p>
          <w:p w:rsidR="00E164F3" w:rsidRPr="00CB7237" w:rsidP="00FC763C" w14:paraId="4148DF54" w14:textId="77777777">
            <w:pPr>
              <w:rPr>
                <w:szCs w:val="24"/>
              </w:rPr>
            </w:pPr>
            <w:r w:rsidRPr="00CB7237">
              <w:rPr>
                <w:szCs w:val="24"/>
              </w:rPr>
              <w:t>)</w:t>
            </w:r>
          </w:p>
          <w:p w:rsidR="00E164F3" w:rsidRPr="00CB7237" w:rsidP="00FC763C" w14:paraId="23AC6858" w14:textId="77777777">
            <w:pPr>
              <w:rPr>
                <w:szCs w:val="24"/>
              </w:rPr>
            </w:pPr>
            <w:r w:rsidRPr="00CB7237">
              <w:rPr>
                <w:szCs w:val="24"/>
              </w:rPr>
              <w:t>)</w:t>
            </w:r>
          </w:p>
          <w:p w:rsidR="00E164F3" w:rsidRPr="00CB7237" w:rsidP="00FC763C" w14:paraId="282BAEBE" w14:textId="77777777">
            <w:pPr>
              <w:rPr>
                <w:szCs w:val="24"/>
              </w:rPr>
            </w:pPr>
          </w:p>
          <w:p w:rsidR="00E164F3" w:rsidRPr="00CB7237" w:rsidP="00FC763C" w14:paraId="2EDB8066" w14:textId="77777777">
            <w:pPr>
              <w:rPr>
                <w:szCs w:val="24"/>
              </w:rPr>
            </w:pPr>
            <w:r w:rsidRPr="00CB7237">
              <w:rPr>
                <w:szCs w:val="24"/>
              </w:rPr>
              <w:t>)</w:t>
            </w:r>
          </w:p>
          <w:p w:rsidR="00E164F3" w:rsidRPr="00CB7237" w:rsidP="00FC763C" w14:paraId="35D98692" w14:textId="77777777">
            <w:pPr>
              <w:rPr>
                <w:szCs w:val="24"/>
              </w:rPr>
            </w:pPr>
            <w:r w:rsidRPr="00CB7237">
              <w:rPr>
                <w:szCs w:val="24"/>
              </w:rPr>
              <w:t>)</w:t>
            </w:r>
          </w:p>
          <w:p w:rsidR="00E164F3" w:rsidRPr="00CB7237" w:rsidP="00FC763C" w14:paraId="750C6DBF" w14:textId="77777777">
            <w:pPr>
              <w:rPr>
                <w:szCs w:val="24"/>
              </w:rPr>
            </w:pPr>
            <w:r w:rsidRPr="00CB7237">
              <w:rPr>
                <w:szCs w:val="24"/>
              </w:rPr>
              <w:t>)</w:t>
            </w:r>
          </w:p>
          <w:p w:rsidR="00E164F3" w:rsidRPr="00CB7237" w:rsidP="00FC763C" w14:paraId="78DB2900" w14:textId="77777777">
            <w:pPr>
              <w:rPr>
                <w:szCs w:val="24"/>
              </w:rPr>
            </w:pPr>
            <w:r w:rsidRPr="00CB7237">
              <w:rPr>
                <w:szCs w:val="24"/>
              </w:rPr>
              <w:t>)</w:t>
            </w:r>
          </w:p>
        </w:tc>
        <w:tc>
          <w:tcPr>
            <w:tcW w:w="3870" w:type="dxa"/>
          </w:tcPr>
          <w:p w:rsidR="00E164F3" w:rsidRPr="00CB7237" w:rsidP="00FC763C" w14:paraId="0AC0E581" w14:textId="77777777">
            <w:pPr>
              <w:rPr>
                <w:szCs w:val="24"/>
              </w:rPr>
            </w:pPr>
          </w:p>
          <w:p w:rsidR="00E164F3" w:rsidRPr="00CB7237" w:rsidP="00FC763C" w14:paraId="25314D1F" w14:textId="77777777">
            <w:pPr>
              <w:rPr>
                <w:szCs w:val="24"/>
              </w:rPr>
            </w:pPr>
            <w:r w:rsidRPr="00CB7237">
              <w:rPr>
                <w:szCs w:val="24"/>
              </w:rPr>
              <w:t>Case No. 08-1094-EL-SSO</w:t>
            </w:r>
          </w:p>
          <w:p w:rsidR="00E164F3" w:rsidRPr="00CB7237" w:rsidP="00FC763C" w14:paraId="6F686E22" w14:textId="77777777">
            <w:pPr>
              <w:rPr>
                <w:szCs w:val="24"/>
              </w:rPr>
            </w:pPr>
          </w:p>
          <w:p w:rsidR="00E164F3" w:rsidRPr="00CB7237" w:rsidP="00FC763C" w14:paraId="14560052" w14:textId="77777777">
            <w:pPr>
              <w:rPr>
                <w:szCs w:val="24"/>
              </w:rPr>
            </w:pPr>
          </w:p>
          <w:p w:rsidR="00E164F3" w:rsidRPr="00CB7237" w:rsidP="00FC763C" w14:paraId="425707E8" w14:textId="77777777">
            <w:pPr>
              <w:rPr>
                <w:szCs w:val="24"/>
              </w:rPr>
            </w:pPr>
          </w:p>
          <w:p w:rsidR="00E164F3" w:rsidRPr="00CB7237" w:rsidP="00FC763C" w14:paraId="1FD71903" w14:textId="77777777">
            <w:pPr>
              <w:rPr>
                <w:szCs w:val="24"/>
              </w:rPr>
            </w:pPr>
            <w:r w:rsidRPr="00CB7237">
              <w:rPr>
                <w:szCs w:val="24"/>
              </w:rPr>
              <w:t>Case No. 08-1095-EL-ATA</w:t>
            </w:r>
          </w:p>
          <w:p w:rsidR="00E164F3" w:rsidRPr="00CB7237" w:rsidP="00FC763C" w14:paraId="19E757BE" w14:textId="77777777">
            <w:pPr>
              <w:rPr>
                <w:szCs w:val="24"/>
              </w:rPr>
            </w:pPr>
          </w:p>
          <w:p w:rsidR="00E164F3" w:rsidRPr="00CB7237" w:rsidP="00FC763C" w14:paraId="5B1DCAB8" w14:textId="77777777">
            <w:pPr>
              <w:rPr>
                <w:szCs w:val="24"/>
              </w:rPr>
            </w:pPr>
          </w:p>
          <w:p w:rsidR="00E164F3" w:rsidRPr="00CB7237" w:rsidP="00FC763C" w14:paraId="20F6E59D" w14:textId="77777777">
            <w:pPr>
              <w:rPr>
                <w:szCs w:val="24"/>
              </w:rPr>
            </w:pPr>
          </w:p>
          <w:p w:rsidR="00E164F3" w:rsidRPr="00CB7237" w:rsidP="00FC763C" w14:paraId="3AD379AC" w14:textId="77777777">
            <w:pPr>
              <w:rPr>
                <w:szCs w:val="24"/>
              </w:rPr>
            </w:pPr>
          </w:p>
          <w:p w:rsidR="00E164F3" w:rsidRPr="00CB7237" w:rsidP="00FC763C" w14:paraId="5DEF99D1" w14:textId="77777777">
            <w:pPr>
              <w:rPr>
                <w:szCs w:val="24"/>
              </w:rPr>
            </w:pPr>
            <w:r w:rsidRPr="00CB7237">
              <w:rPr>
                <w:szCs w:val="24"/>
              </w:rPr>
              <w:t>Case No. 08-1096-EL-AAM</w:t>
            </w:r>
          </w:p>
          <w:p w:rsidR="00E164F3" w:rsidRPr="00CB7237" w:rsidP="00FC763C" w14:paraId="4BECDB10" w14:textId="77777777">
            <w:pPr>
              <w:rPr>
                <w:szCs w:val="24"/>
              </w:rPr>
            </w:pPr>
          </w:p>
          <w:p w:rsidR="00E164F3" w:rsidRPr="00CB7237" w:rsidP="00FC763C" w14:paraId="589CE37B" w14:textId="77777777">
            <w:pPr>
              <w:rPr>
                <w:szCs w:val="24"/>
              </w:rPr>
            </w:pPr>
          </w:p>
          <w:p w:rsidR="00E164F3" w:rsidRPr="00CB7237" w:rsidP="00FC763C" w14:paraId="15CFCA64" w14:textId="77777777">
            <w:pPr>
              <w:rPr>
                <w:szCs w:val="24"/>
              </w:rPr>
            </w:pPr>
          </w:p>
          <w:p w:rsidR="00E164F3" w:rsidRPr="00CB7237" w:rsidP="00FC763C" w14:paraId="5F941699" w14:textId="77777777">
            <w:pPr>
              <w:rPr>
                <w:szCs w:val="24"/>
              </w:rPr>
            </w:pPr>
          </w:p>
          <w:p w:rsidR="00E164F3" w:rsidRPr="00CB7237" w:rsidP="00FC763C" w14:paraId="4F33D53B" w14:textId="77777777">
            <w:pPr>
              <w:rPr>
                <w:szCs w:val="24"/>
              </w:rPr>
            </w:pPr>
            <w:r w:rsidRPr="00CB7237">
              <w:rPr>
                <w:szCs w:val="24"/>
              </w:rPr>
              <w:t>Case No. 08-1097-EL-UNC</w:t>
            </w:r>
          </w:p>
          <w:p w:rsidR="00E164F3" w:rsidRPr="00CB7237" w:rsidP="00FC763C" w14:paraId="1288169F" w14:textId="77777777">
            <w:pPr>
              <w:rPr>
                <w:szCs w:val="24"/>
              </w:rPr>
            </w:pPr>
          </w:p>
          <w:p w:rsidR="00E164F3" w:rsidRPr="00CB7237" w:rsidP="00FC763C" w14:paraId="09D8919B" w14:textId="77777777">
            <w:pPr>
              <w:rPr>
                <w:szCs w:val="24"/>
              </w:rPr>
            </w:pPr>
          </w:p>
        </w:tc>
      </w:tr>
    </w:tbl>
    <w:p w:rsidR="004C5B26" w:rsidRPr="00CB7237" w:rsidP="004C5B26" w14:paraId="2984DB24" w14:textId="77777777">
      <w:pPr>
        <w:pStyle w:val="InsideAddress"/>
        <w:rPr>
          <w:rFonts w:ascii="Times New Roman" w:eastAsia="Times New Roman" w:hAnsi="Times New Roman"/>
          <w:szCs w:val="24"/>
        </w:rPr>
      </w:pPr>
    </w:p>
    <w:p w:rsidR="004C5B26" w:rsidRPr="00CB7237" w:rsidP="004C5B26" w14:paraId="68D7BDBB" w14:textId="77777777">
      <w:pPr>
        <w:pBdr>
          <w:top w:val="single" w:sz="12" w:space="1" w:color="auto"/>
        </w:pBdr>
        <w:tabs>
          <w:tab w:val="left" w:pos="4320"/>
        </w:tabs>
        <w:jc w:val="center"/>
        <w:rPr>
          <w:b/>
          <w:bCs/>
          <w:szCs w:val="24"/>
        </w:rPr>
      </w:pPr>
    </w:p>
    <w:p w:rsidR="009623C0" w:rsidRPr="00CB7237" w:rsidP="009623C0" w14:paraId="37969DFA" w14:textId="77777777">
      <w:pPr>
        <w:jc w:val="center"/>
        <w:rPr>
          <w:b/>
          <w:bCs/>
          <w:szCs w:val="24"/>
        </w:rPr>
      </w:pPr>
      <w:r w:rsidRPr="00CB7237">
        <w:rPr>
          <w:b/>
          <w:bCs/>
          <w:szCs w:val="24"/>
        </w:rPr>
        <w:t>MEMORANDUM IN SUPPORT</w:t>
      </w:r>
    </w:p>
    <w:p w:rsidR="009623C0" w:rsidRPr="00CB7237" w:rsidP="009623C0" w14:paraId="28376101" w14:textId="77777777">
      <w:pPr>
        <w:tabs>
          <w:tab w:val="left" w:pos="4680"/>
        </w:tabs>
        <w:rPr>
          <w:b/>
          <w:bCs/>
          <w:szCs w:val="24"/>
        </w:rPr>
      </w:pPr>
    </w:p>
    <w:p w:rsidR="009623C0" w:rsidRPr="00CB7237" w:rsidP="009623C0" w14:paraId="6F912D64" w14:textId="77777777">
      <w:pPr>
        <w:pBdr>
          <w:top w:val="single" w:sz="12" w:space="1" w:color="auto"/>
        </w:pBdr>
        <w:tabs>
          <w:tab w:val="left" w:pos="4320"/>
        </w:tabs>
        <w:rPr>
          <w:b/>
          <w:bCs/>
          <w:szCs w:val="24"/>
        </w:rPr>
      </w:pPr>
    </w:p>
    <w:p w:rsidR="009623C0" w:rsidRPr="00CB7237" w:rsidP="009623C0" w14:paraId="72CFB7D8" w14:textId="77777777">
      <w:pPr>
        <w:pStyle w:val="Heading1"/>
        <w:rPr>
          <w:rFonts w:ascii="Times New Roman" w:hAnsi="Times New Roman"/>
        </w:rPr>
      </w:pPr>
      <w:bookmarkStart w:id="0" w:name="_Toc67298942"/>
      <w:bookmarkStart w:id="1" w:name="_Toc67299262"/>
      <w:bookmarkStart w:id="2" w:name="_Toc67299602"/>
      <w:bookmarkStart w:id="3" w:name="_Toc75656979"/>
      <w:bookmarkStart w:id="4" w:name="_Toc225745694"/>
      <w:bookmarkStart w:id="5" w:name="_Toc394496023"/>
      <w:r w:rsidRPr="00CB7237">
        <w:rPr>
          <w:rFonts w:ascii="Times New Roman" w:hAnsi="Times New Roman"/>
        </w:rPr>
        <w:t>I.</w:t>
      </w:r>
      <w:r w:rsidRPr="00CB7237">
        <w:rPr>
          <w:rFonts w:ascii="Times New Roman" w:hAnsi="Times New Roman"/>
        </w:rPr>
        <w:tab/>
        <w:t>INTRODUCTION</w:t>
      </w:r>
      <w:bookmarkEnd w:id="0"/>
      <w:bookmarkEnd w:id="1"/>
      <w:bookmarkEnd w:id="2"/>
      <w:bookmarkEnd w:id="3"/>
      <w:bookmarkEnd w:id="4"/>
      <w:bookmarkEnd w:id="5"/>
    </w:p>
    <w:p w:rsidR="006E103E" w:rsidRPr="00CB7237" w:rsidP="00F33301" w14:paraId="2F634EF7" w14:textId="4B7AFF63">
      <w:pPr>
        <w:spacing w:line="480" w:lineRule="auto"/>
        <w:rPr>
          <w:spacing w:val="-3"/>
          <w:szCs w:val="24"/>
        </w:rPr>
      </w:pPr>
      <w:r w:rsidRPr="00CB7237">
        <w:rPr>
          <w:spacing w:val="-3"/>
          <w:szCs w:val="24"/>
        </w:rPr>
        <w:tab/>
      </w:r>
      <w:r w:rsidRPr="00CB7237" w:rsidR="00930162">
        <w:rPr>
          <w:spacing w:val="-3"/>
          <w:szCs w:val="24"/>
        </w:rPr>
        <w:t>This is a complicated case with a nearly decade-and-a-half</w:t>
      </w:r>
      <w:r w:rsidRPr="00CB7237" w:rsidR="00484244">
        <w:rPr>
          <w:spacing w:val="-3"/>
          <w:szCs w:val="24"/>
        </w:rPr>
        <w:t>-long</w:t>
      </w:r>
      <w:r w:rsidRPr="00CB7237" w:rsidR="00930162">
        <w:rPr>
          <w:spacing w:val="-3"/>
          <w:szCs w:val="24"/>
        </w:rPr>
        <w:t xml:space="preserve"> history</w:t>
      </w:r>
      <w:r w:rsidRPr="00CB7237" w:rsidR="006F7F83">
        <w:rPr>
          <w:spacing w:val="-3"/>
          <w:szCs w:val="24"/>
        </w:rPr>
        <w:t xml:space="preserve"> –</w:t>
      </w:r>
      <w:r w:rsidRPr="00CB7237" w:rsidR="00525C2F">
        <w:rPr>
          <w:spacing w:val="-3"/>
          <w:szCs w:val="24"/>
        </w:rPr>
        <w:t xml:space="preserve"> </w:t>
      </w:r>
      <w:r w:rsidRPr="00CB7237" w:rsidR="006F7F83">
        <w:rPr>
          <w:spacing w:val="-3"/>
          <w:szCs w:val="24"/>
        </w:rPr>
        <w:t xml:space="preserve">a history that </w:t>
      </w:r>
      <w:r w:rsidRPr="00CB7237" w:rsidR="002C289F">
        <w:rPr>
          <w:spacing w:val="-3"/>
          <w:szCs w:val="24"/>
        </w:rPr>
        <w:t>has</w:t>
      </w:r>
      <w:r w:rsidRPr="00CB7237" w:rsidR="005E087A">
        <w:rPr>
          <w:spacing w:val="-3"/>
          <w:szCs w:val="24"/>
        </w:rPr>
        <w:t xml:space="preserve"> unfairly</w:t>
      </w:r>
      <w:r w:rsidRPr="00CB7237" w:rsidR="006F7F83">
        <w:rPr>
          <w:spacing w:val="-3"/>
          <w:szCs w:val="24"/>
        </w:rPr>
        <w:t xml:space="preserve"> </w:t>
      </w:r>
      <w:r w:rsidRPr="00CB7237" w:rsidR="005E087A">
        <w:rPr>
          <w:spacing w:val="-3"/>
          <w:szCs w:val="24"/>
        </w:rPr>
        <w:t>dis</w:t>
      </w:r>
      <w:r w:rsidRPr="00CB7237" w:rsidR="006F7F83">
        <w:rPr>
          <w:spacing w:val="-3"/>
          <w:szCs w:val="24"/>
        </w:rPr>
        <w:t>favor</w:t>
      </w:r>
      <w:r w:rsidRPr="00CB7237" w:rsidR="002C289F">
        <w:rPr>
          <w:spacing w:val="-3"/>
          <w:szCs w:val="24"/>
        </w:rPr>
        <w:t>ed</w:t>
      </w:r>
      <w:r w:rsidRPr="00CB7237" w:rsidR="006F7F83">
        <w:rPr>
          <w:spacing w:val="-3"/>
          <w:szCs w:val="24"/>
        </w:rPr>
        <w:t xml:space="preserve"> consumers</w:t>
      </w:r>
      <w:r w:rsidRPr="00CB7237" w:rsidR="00930162">
        <w:rPr>
          <w:spacing w:val="-3"/>
          <w:szCs w:val="24"/>
        </w:rPr>
        <w:t>.</w:t>
      </w:r>
      <w:r w:rsidRPr="00CB7237" w:rsidR="00BC2930">
        <w:rPr>
          <w:spacing w:val="-3"/>
          <w:szCs w:val="24"/>
        </w:rPr>
        <w:t xml:space="preserve"> </w:t>
      </w:r>
      <w:r w:rsidRPr="00CB7237" w:rsidR="006F7F83">
        <w:rPr>
          <w:spacing w:val="-3"/>
          <w:szCs w:val="24"/>
        </w:rPr>
        <w:t>DP&amp;L is currently operating under its 2009 electric security plan, having reverted to it for the second time in three years.</w:t>
      </w:r>
      <w:r w:rsidRPr="00CB7237" w:rsidR="00BC2930">
        <w:rPr>
          <w:spacing w:val="-3"/>
          <w:szCs w:val="24"/>
        </w:rPr>
        <w:t xml:space="preserve"> </w:t>
      </w:r>
      <w:r w:rsidRPr="00CB7237" w:rsidR="006F7F83">
        <w:rPr>
          <w:spacing w:val="-3"/>
          <w:szCs w:val="24"/>
        </w:rPr>
        <w:t>DP&amp;L likes the 2009 plan because it is collect</w:t>
      </w:r>
      <w:r w:rsidRPr="00CB7237" w:rsidR="00D51B0F">
        <w:rPr>
          <w:spacing w:val="-3"/>
          <w:szCs w:val="24"/>
        </w:rPr>
        <w:t xml:space="preserve">ing </w:t>
      </w:r>
      <w:r w:rsidRPr="00CB7237" w:rsidR="006F7F83">
        <w:rPr>
          <w:spacing w:val="-3"/>
          <w:szCs w:val="24"/>
        </w:rPr>
        <w:t xml:space="preserve">$76 million per year from consumers for stability – a charge that </w:t>
      </w:r>
      <w:r w:rsidRPr="00CB7237" w:rsidR="00D51B0F">
        <w:rPr>
          <w:spacing w:val="-3"/>
          <w:szCs w:val="24"/>
        </w:rPr>
        <w:t>is not based on any real cost of utility service.</w:t>
      </w:r>
      <w:r w:rsidRPr="00CB7237" w:rsidR="00BC2930">
        <w:rPr>
          <w:spacing w:val="-3"/>
          <w:szCs w:val="24"/>
        </w:rPr>
        <w:t xml:space="preserve"> </w:t>
      </w:r>
      <w:r w:rsidRPr="00CB7237">
        <w:rPr>
          <w:spacing w:val="-3"/>
          <w:szCs w:val="24"/>
        </w:rPr>
        <w:t>All told</w:t>
      </w:r>
      <w:r w:rsidRPr="00CB7237" w:rsidR="00247630">
        <w:rPr>
          <w:spacing w:val="-3"/>
          <w:szCs w:val="24"/>
        </w:rPr>
        <w:t>,</w:t>
      </w:r>
      <w:r w:rsidRPr="00CB7237">
        <w:rPr>
          <w:spacing w:val="-3"/>
          <w:szCs w:val="24"/>
        </w:rPr>
        <w:t xml:space="preserve"> DP&amp;L consumers will have paid over $1.2 billion in </w:t>
      </w:r>
      <w:r w:rsidRPr="00CB7237" w:rsidR="00247630">
        <w:rPr>
          <w:spacing w:val="-3"/>
          <w:szCs w:val="24"/>
        </w:rPr>
        <w:t xml:space="preserve">so-called </w:t>
      </w:r>
      <w:r w:rsidRPr="00CB7237">
        <w:rPr>
          <w:spacing w:val="-3"/>
          <w:szCs w:val="24"/>
        </w:rPr>
        <w:t>stability char</w:t>
      </w:r>
      <w:r w:rsidRPr="00CB7237" w:rsidR="00A72199">
        <w:rPr>
          <w:spacing w:val="-3"/>
          <w:szCs w:val="24"/>
        </w:rPr>
        <w:t>g</w:t>
      </w:r>
      <w:r w:rsidRPr="00CB7237">
        <w:rPr>
          <w:spacing w:val="-3"/>
          <w:szCs w:val="24"/>
        </w:rPr>
        <w:t>es to DP&amp;L (not counting the $218 million in distribution modernization charges) by the end of DP&amp;L’s reinstated ESP I.</w:t>
      </w:r>
      <w:r w:rsidRPr="00CB7237" w:rsidR="00BC2930">
        <w:rPr>
          <w:spacing w:val="-3"/>
          <w:szCs w:val="24"/>
        </w:rPr>
        <w:t xml:space="preserve"> </w:t>
      </w:r>
      <w:r w:rsidRPr="00CB7237">
        <w:rPr>
          <w:spacing w:val="-3"/>
          <w:szCs w:val="24"/>
        </w:rPr>
        <w:t xml:space="preserve">And yet, </w:t>
      </w:r>
      <w:r w:rsidRPr="00CB7237">
        <w:rPr>
          <w:spacing w:val="-3"/>
          <w:szCs w:val="24"/>
        </w:rPr>
        <w:t>s</w:t>
      </w:r>
      <w:r w:rsidRPr="00CB7237" w:rsidR="00D51B0F">
        <w:rPr>
          <w:spacing w:val="-3"/>
          <w:szCs w:val="24"/>
        </w:rPr>
        <w:t xml:space="preserve">tability charges </w:t>
      </w:r>
      <w:r w:rsidRPr="00CB7237" w:rsidR="00D244ED">
        <w:rPr>
          <w:spacing w:val="-3"/>
          <w:szCs w:val="24"/>
        </w:rPr>
        <w:t xml:space="preserve">just like DP&amp;L’s </w:t>
      </w:r>
      <w:r w:rsidRPr="00CB7237" w:rsidR="00D51B0F">
        <w:rPr>
          <w:spacing w:val="-3"/>
          <w:szCs w:val="24"/>
        </w:rPr>
        <w:t xml:space="preserve">have been undone by the Ohio Supreme </w:t>
      </w:r>
      <w:r w:rsidRPr="00CB7237">
        <w:rPr>
          <w:spacing w:val="-3"/>
          <w:szCs w:val="24"/>
        </w:rPr>
        <w:t>Court</w:t>
      </w:r>
      <w:r w:rsidRPr="00CB7237" w:rsidR="00D51B0F">
        <w:rPr>
          <w:spacing w:val="-3"/>
          <w:szCs w:val="24"/>
        </w:rPr>
        <w:t xml:space="preserve"> many times over.</w:t>
      </w:r>
      <w:r>
        <w:rPr>
          <w:rStyle w:val="FootnoteReference"/>
          <w:spacing w:val="-3"/>
          <w:szCs w:val="24"/>
        </w:rPr>
        <w:footnoteReference w:id="6"/>
      </w:r>
      <w:r w:rsidRPr="00CB7237">
        <w:rPr>
          <w:spacing w:val="-3"/>
          <w:szCs w:val="24"/>
        </w:rPr>
        <w:t xml:space="preserve"> </w:t>
      </w:r>
    </w:p>
    <w:p w:rsidR="00D244ED" w:rsidRPr="00CB7237" w:rsidP="006E103E" w14:paraId="25A60A28" w14:textId="169CD303">
      <w:pPr>
        <w:spacing w:line="480" w:lineRule="auto"/>
        <w:ind w:firstLine="720"/>
        <w:rPr>
          <w:spacing w:val="-3"/>
          <w:szCs w:val="24"/>
        </w:rPr>
      </w:pPr>
      <w:r w:rsidRPr="00CB7237">
        <w:rPr>
          <w:spacing w:val="-3"/>
          <w:szCs w:val="24"/>
        </w:rPr>
        <w:t xml:space="preserve">This 2009 case has </w:t>
      </w:r>
      <w:r w:rsidRPr="00CB7237" w:rsidR="00930162">
        <w:rPr>
          <w:spacing w:val="-3"/>
          <w:szCs w:val="24"/>
        </w:rPr>
        <w:t xml:space="preserve">involved settlement, orders, </w:t>
      </w:r>
      <w:r w:rsidRPr="00CB7237" w:rsidR="00484244">
        <w:rPr>
          <w:spacing w:val="-3"/>
          <w:szCs w:val="24"/>
        </w:rPr>
        <w:t xml:space="preserve">entries, briefing, </w:t>
      </w:r>
      <w:r w:rsidRPr="00CB7237" w:rsidR="00930162">
        <w:rPr>
          <w:spacing w:val="-3"/>
          <w:szCs w:val="24"/>
        </w:rPr>
        <w:t xml:space="preserve">applications for rehearing, </w:t>
      </w:r>
      <w:r w:rsidRPr="00CB7237" w:rsidR="00484244">
        <w:rPr>
          <w:spacing w:val="-3"/>
          <w:szCs w:val="24"/>
        </w:rPr>
        <w:t>motions, prehearing conferences, a notice of termination and withdrawal from the settlement, and appeals to the Ohio Supreme Court.</w:t>
      </w:r>
      <w:r w:rsidRPr="00CB7237" w:rsidR="00BC2930">
        <w:rPr>
          <w:spacing w:val="-3"/>
          <w:szCs w:val="24"/>
        </w:rPr>
        <w:t xml:space="preserve"> </w:t>
      </w:r>
      <w:r w:rsidRPr="00CB7237" w:rsidR="00484244">
        <w:rPr>
          <w:spacing w:val="-3"/>
          <w:szCs w:val="24"/>
        </w:rPr>
        <w:t>But clarity may be brought to th</w:t>
      </w:r>
      <w:r w:rsidRPr="00CB7237" w:rsidR="00105E50">
        <w:rPr>
          <w:spacing w:val="-3"/>
          <w:szCs w:val="24"/>
        </w:rPr>
        <w:t>is</w:t>
      </w:r>
      <w:r w:rsidRPr="00CB7237" w:rsidR="00484244">
        <w:rPr>
          <w:spacing w:val="-3"/>
          <w:szCs w:val="24"/>
        </w:rPr>
        <w:t xml:space="preserve"> case in time, depending on the resolution of </w:t>
      </w:r>
      <w:r w:rsidRPr="00CB7237" w:rsidR="0085004E">
        <w:rPr>
          <w:spacing w:val="-3"/>
          <w:szCs w:val="24"/>
        </w:rPr>
        <w:t xml:space="preserve">certain </w:t>
      </w:r>
      <w:r w:rsidRPr="00CB7237" w:rsidR="00484244">
        <w:rPr>
          <w:spacing w:val="-3"/>
          <w:szCs w:val="24"/>
        </w:rPr>
        <w:t>matters pending before the Ohio Supreme Court and the PUCO.</w:t>
      </w:r>
      <w:r w:rsidRPr="00CB7237" w:rsidR="00BC2930">
        <w:rPr>
          <w:spacing w:val="-3"/>
          <w:szCs w:val="24"/>
        </w:rPr>
        <w:t xml:space="preserve"> </w:t>
      </w:r>
      <w:r w:rsidRPr="00CB7237">
        <w:rPr>
          <w:spacing w:val="-3"/>
          <w:szCs w:val="24"/>
        </w:rPr>
        <w:t>OCC is seeking that clarity through its motion to stay th</w:t>
      </w:r>
      <w:r w:rsidRPr="00CB7237" w:rsidR="00A72199">
        <w:rPr>
          <w:spacing w:val="-3"/>
          <w:szCs w:val="24"/>
        </w:rPr>
        <w:t>is</w:t>
      </w:r>
      <w:r w:rsidRPr="00CB7237">
        <w:rPr>
          <w:spacing w:val="-3"/>
          <w:szCs w:val="24"/>
        </w:rPr>
        <w:t xml:space="preserve"> proceeding pending a ruling from the Ohio Supreme Court on OCC’s reconsideration request in </w:t>
      </w:r>
      <w:r w:rsidRPr="00CB7237" w:rsidR="00DE75B0">
        <w:rPr>
          <w:spacing w:val="-3"/>
          <w:szCs w:val="24"/>
        </w:rPr>
        <w:t>S. Ct</w:t>
      </w:r>
      <w:r w:rsidRPr="00CB7237">
        <w:rPr>
          <w:spacing w:val="-3"/>
          <w:szCs w:val="24"/>
        </w:rPr>
        <w:t xml:space="preserve"> Case No. 2021-1068</w:t>
      </w:r>
      <w:r w:rsidRPr="00CB7237" w:rsidR="00D5061A">
        <w:rPr>
          <w:spacing w:val="-3"/>
          <w:szCs w:val="24"/>
        </w:rPr>
        <w:t xml:space="preserve"> and a ruling in DP&amp;L’s rate case (Case No. 20-1651)</w:t>
      </w:r>
      <w:r w:rsidRPr="00CB7237">
        <w:rPr>
          <w:spacing w:val="-3"/>
          <w:szCs w:val="24"/>
        </w:rPr>
        <w:t>.</w:t>
      </w:r>
      <w:r w:rsidRPr="00CB7237" w:rsidR="00BC2930">
        <w:rPr>
          <w:spacing w:val="-3"/>
          <w:szCs w:val="24"/>
        </w:rPr>
        <w:t xml:space="preserve"> </w:t>
      </w:r>
    </w:p>
    <w:p w:rsidR="002946A9" w:rsidRPr="00CB7237" w:rsidP="007F0AE8" w14:paraId="14ADDCE4" w14:textId="772399FB">
      <w:pPr>
        <w:spacing w:line="480" w:lineRule="auto"/>
        <w:ind w:firstLine="720"/>
        <w:rPr>
          <w:spacing w:val="-3"/>
          <w:szCs w:val="24"/>
        </w:rPr>
      </w:pPr>
      <w:r w:rsidRPr="00CB7237">
        <w:rPr>
          <w:spacing w:val="-3"/>
          <w:szCs w:val="24"/>
        </w:rPr>
        <w:t xml:space="preserve">Unquestionably, the PUCO has the authority to take the steps necessary to </w:t>
      </w:r>
      <w:r w:rsidRPr="00CB7237" w:rsidR="00D244ED">
        <w:rPr>
          <w:spacing w:val="-3"/>
          <w:szCs w:val="24"/>
        </w:rPr>
        <w:t>grant OCC’s motion</w:t>
      </w:r>
      <w:r w:rsidRPr="00CB7237" w:rsidR="007F0AE8">
        <w:rPr>
          <w:spacing w:val="-3"/>
          <w:szCs w:val="24"/>
        </w:rPr>
        <w:t xml:space="preserve">. </w:t>
      </w:r>
      <w:r w:rsidRPr="00CB7237" w:rsidR="00A72199">
        <w:rPr>
          <w:szCs w:val="24"/>
        </w:rPr>
        <w:t>T</w:t>
      </w:r>
      <w:r w:rsidRPr="00CB7237" w:rsidR="007F0AE8">
        <w:rPr>
          <w:szCs w:val="24"/>
        </w:rPr>
        <w:t>he PUCO is vested with the broad discretion to manage its dockets to avoid duplication of effort and promote administrative efficiency.</w:t>
      </w:r>
      <w:r w:rsidRPr="00CB7237" w:rsidR="00BC2930">
        <w:rPr>
          <w:szCs w:val="24"/>
        </w:rPr>
        <w:t xml:space="preserve"> </w:t>
      </w:r>
      <w:r w:rsidRPr="00CB7237" w:rsidR="007F0AE8">
        <w:rPr>
          <w:szCs w:val="24"/>
        </w:rPr>
        <w:t>The PUCO’s broad discretion to manage its own docket includes the discretion to decide how, in light of its internal organization and docket considerations, it may best proceed to manage and expedite the orderly flow of its business and eliminate unnecessary duplication of effort.</w:t>
      </w:r>
      <w:r>
        <w:rPr>
          <w:rStyle w:val="FootnoteReference"/>
          <w:szCs w:val="24"/>
        </w:rPr>
        <w:footnoteReference w:id="7"/>
      </w:r>
      <w:r w:rsidRPr="00CB7237" w:rsidR="00935A9B">
        <w:rPr>
          <w:szCs w:val="24"/>
        </w:rPr>
        <w:t xml:space="preserve"> </w:t>
      </w:r>
    </w:p>
    <w:p w:rsidR="00BD3C0F" w:rsidRPr="00CB7237" w:rsidP="00BD3C0F" w14:paraId="3B52E849" w14:textId="77777777">
      <w:pPr>
        <w:ind w:firstLine="720"/>
        <w:rPr>
          <w:szCs w:val="24"/>
        </w:rPr>
      </w:pPr>
    </w:p>
    <w:p w:rsidR="0085004E" w:rsidRPr="00CB7237" w:rsidP="00CC3B56" w14:paraId="18BE6189" w14:textId="197E785A">
      <w:pPr>
        <w:pStyle w:val="Heading1"/>
        <w:rPr>
          <w:rFonts w:ascii="Times New Roman" w:hAnsi="Times New Roman"/>
        </w:rPr>
      </w:pPr>
      <w:r w:rsidRPr="00CB7237">
        <w:rPr>
          <w:rFonts w:ascii="Times New Roman" w:hAnsi="Times New Roman"/>
        </w:rPr>
        <w:t>II.</w:t>
      </w:r>
      <w:r w:rsidRPr="00CB7237">
        <w:rPr>
          <w:rFonts w:ascii="Times New Roman" w:hAnsi="Times New Roman"/>
        </w:rPr>
        <w:tab/>
        <w:t>RECOMMENDATION</w:t>
      </w:r>
    </w:p>
    <w:p w:rsidR="00DC4D0C" w:rsidRPr="00CB7237" w:rsidP="0085004E" w14:paraId="452C8D73" w14:textId="499F6D2B">
      <w:pPr>
        <w:spacing w:line="480" w:lineRule="auto"/>
        <w:ind w:firstLine="720"/>
        <w:rPr>
          <w:szCs w:val="24"/>
        </w:rPr>
      </w:pPr>
      <w:r w:rsidRPr="00CB7237">
        <w:rPr>
          <w:szCs w:val="24"/>
        </w:rPr>
        <w:t xml:space="preserve">On August </w:t>
      </w:r>
      <w:r w:rsidRPr="00CB7237" w:rsidR="007F0AE8">
        <w:rPr>
          <w:szCs w:val="24"/>
        </w:rPr>
        <w:t>27</w:t>
      </w:r>
      <w:r w:rsidRPr="00CB7237">
        <w:rPr>
          <w:szCs w:val="24"/>
        </w:rPr>
        <w:t xml:space="preserve">, 2021, OCC appealed this case to the Ohio Supreme Court to protect </w:t>
      </w:r>
      <w:r w:rsidRPr="00CB7237" w:rsidR="004F6463">
        <w:rPr>
          <w:szCs w:val="24"/>
        </w:rPr>
        <w:t>DP&amp;L</w:t>
      </w:r>
      <w:r w:rsidRPr="00CB7237">
        <w:rPr>
          <w:szCs w:val="24"/>
        </w:rPr>
        <w:t xml:space="preserve">’s approximately 500,000 consumers from </w:t>
      </w:r>
      <w:r w:rsidRPr="00CB7237" w:rsidR="002946A9">
        <w:rPr>
          <w:szCs w:val="24"/>
        </w:rPr>
        <w:t>charges</w:t>
      </w:r>
      <w:r w:rsidRPr="00CB7237">
        <w:rPr>
          <w:szCs w:val="24"/>
        </w:rPr>
        <w:t xml:space="preserve"> for electric service that </w:t>
      </w:r>
      <w:r w:rsidRPr="00CB7237">
        <w:rPr>
          <w:szCs w:val="24"/>
        </w:rPr>
        <w:t>are unjust and unreasonable</w:t>
      </w:r>
      <w:r w:rsidRPr="00CB7237" w:rsidR="00A72199">
        <w:rPr>
          <w:szCs w:val="24"/>
        </w:rPr>
        <w:t>.</w:t>
      </w:r>
      <w:r w:rsidRPr="00CB7237" w:rsidR="00BC2930">
        <w:rPr>
          <w:szCs w:val="24"/>
        </w:rPr>
        <w:t xml:space="preserve"> </w:t>
      </w:r>
      <w:r w:rsidRPr="00CB7237" w:rsidR="00A72199">
        <w:rPr>
          <w:szCs w:val="24"/>
        </w:rPr>
        <w:t xml:space="preserve">OCC’s Appeal involved </w:t>
      </w:r>
      <w:r w:rsidRPr="00CB7237">
        <w:rPr>
          <w:szCs w:val="24"/>
        </w:rPr>
        <w:t xml:space="preserve">charges for so-called stability, which the Ohio Supreme Court has consistently struck down. To protect consumers, </w:t>
      </w:r>
      <w:r w:rsidRPr="00CB7237" w:rsidR="00A72199">
        <w:rPr>
          <w:szCs w:val="24"/>
        </w:rPr>
        <w:t xml:space="preserve">weeks </w:t>
      </w:r>
      <w:r w:rsidRPr="00CB7237">
        <w:rPr>
          <w:szCs w:val="24"/>
        </w:rPr>
        <w:t>later OCC filed a Notice of Termination and Withdrawal</w:t>
      </w:r>
      <w:r>
        <w:rPr>
          <w:rStyle w:val="FootnoteReference"/>
          <w:szCs w:val="24"/>
        </w:rPr>
        <w:footnoteReference w:id="8"/>
      </w:r>
      <w:r w:rsidRPr="00CB7237">
        <w:rPr>
          <w:szCs w:val="24"/>
        </w:rPr>
        <w:t xml:space="preserve"> regarding </w:t>
      </w:r>
      <w:r w:rsidRPr="00CB7237" w:rsidR="00B2686E">
        <w:rPr>
          <w:szCs w:val="24"/>
        </w:rPr>
        <w:t>the</w:t>
      </w:r>
      <w:r w:rsidRPr="00CB7237">
        <w:rPr>
          <w:szCs w:val="24"/>
        </w:rPr>
        <w:t xml:space="preserve"> 2009 settlement reached in this case.</w:t>
      </w:r>
      <w:r>
        <w:rPr>
          <w:rStyle w:val="FootnoteReference"/>
          <w:szCs w:val="24"/>
        </w:rPr>
        <w:footnoteReference w:id="9"/>
      </w:r>
      <w:r w:rsidRPr="00CB7237" w:rsidR="00BC2930">
        <w:rPr>
          <w:szCs w:val="24"/>
        </w:rPr>
        <w:t xml:space="preserve"> </w:t>
      </w:r>
    </w:p>
    <w:p w:rsidR="00AA4CEA" w:rsidRPr="00CB7237" w:rsidP="0085004E" w14:paraId="4AF4065E" w14:textId="14ABD284">
      <w:pPr>
        <w:spacing w:line="480" w:lineRule="auto"/>
        <w:ind w:firstLine="720"/>
        <w:rPr>
          <w:szCs w:val="24"/>
        </w:rPr>
      </w:pPr>
      <w:r w:rsidRPr="00CB7237">
        <w:rPr>
          <w:szCs w:val="24"/>
        </w:rPr>
        <w:t xml:space="preserve">On April 13, 2022, the Ohio Supreme Court </w:t>
      </w:r>
      <w:r w:rsidRPr="00CB7237">
        <w:rPr>
          <w:i/>
          <w:iCs/>
          <w:szCs w:val="24"/>
        </w:rPr>
        <w:t xml:space="preserve">sua sponte </w:t>
      </w:r>
      <w:r w:rsidRPr="00CB7237">
        <w:rPr>
          <w:szCs w:val="24"/>
        </w:rPr>
        <w:t>dismissed OCC’s appeal as “premature” noting its “lack of jurisdiction.”</w:t>
      </w:r>
      <w:r>
        <w:rPr>
          <w:rStyle w:val="FootnoteReference"/>
          <w:szCs w:val="24"/>
        </w:rPr>
        <w:footnoteReference w:id="10"/>
      </w:r>
      <w:r w:rsidRPr="00CB7237" w:rsidR="00BC2930">
        <w:rPr>
          <w:szCs w:val="24"/>
        </w:rPr>
        <w:t xml:space="preserve"> </w:t>
      </w:r>
      <w:r w:rsidRPr="00CB7237">
        <w:rPr>
          <w:szCs w:val="24"/>
        </w:rPr>
        <w:t>On April 25, 2021, OCC filed a motion asking the Supreme Court to reconsider its decision dismissing OCC’s appeal.</w:t>
      </w:r>
      <w:r>
        <w:rPr>
          <w:rStyle w:val="FootnoteReference"/>
          <w:szCs w:val="24"/>
        </w:rPr>
        <w:footnoteReference w:id="11"/>
      </w:r>
      <w:r w:rsidRPr="00CB7237" w:rsidR="00BC2930">
        <w:rPr>
          <w:szCs w:val="24"/>
        </w:rPr>
        <w:t xml:space="preserve"> </w:t>
      </w:r>
      <w:r w:rsidRPr="00CB7237" w:rsidR="00F419FE">
        <w:rPr>
          <w:szCs w:val="24"/>
        </w:rPr>
        <w:t>DP&amp;L filed in opposition to OCC’s Motion.</w:t>
      </w:r>
      <w:r>
        <w:rPr>
          <w:rStyle w:val="FootnoteReference"/>
          <w:szCs w:val="24"/>
        </w:rPr>
        <w:footnoteReference w:id="12"/>
      </w:r>
      <w:r w:rsidRPr="00CB7237" w:rsidR="00F419FE">
        <w:rPr>
          <w:szCs w:val="24"/>
        </w:rPr>
        <w:t xml:space="preserve"> </w:t>
      </w:r>
      <w:r w:rsidRPr="00CB7237" w:rsidR="00F56536">
        <w:rPr>
          <w:szCs w:val="24"/>
        </w:rPr>
        <w:t xml:space="preserve">The Supreme Court has not issued a </w:t>
      </w:r>
      <w:r w:rsidRPr="00CB7237">
        <w:rPr>
          <w:szCs w:val="24"/>
        </w:rPr>
        <w:t xml:space="preserve">ruling on OCC’s reconsideration </w:t>
      </w:r>
      <w:r w:rsidRPr="00CB7237" w:rsidR="00DC4D0C">
        <w:rPr>
          <w:szCs w:val="24"/>
        </w:rPr>
        <w:t>request</w:t>
      </w:r>
      <w:r w:rsidRPr="00CB7237">
        <w:rPr>
          <w:szCs w:val="24"/>
        </w:rPr>
        <w:t>.</w:t>
      </w:r>
    </w:p>
    <w:p w:rsidR="000E12B8" w:rsidRPr="00CB7237" w:rsidP="0085004E" w14:paraId="0D64EB5B" w14:textId="372544DA">
      <w:pPr>
        <w:spacing w:line="480" w:lineRule="auto"/>
        <w:ind w:firstLine="720"/>
        <w:rPr>
          <w:szCs w:val="24"/>
        </w:rPr>
      </w:pPr>
      <w:r w:rsidRPr="00CB7237">
        <w:rPr>
          <w:szCs w:val="24"/>
        </w:rPr>
        <w:t>Meanwhile</w:t>
      </w:r>
      <w:r w:rsidRPr="00CB7237" w:rsidR="00DC4D0C">
        <w:rPr>
          <w:szCs w:val="24"/>
        </w:rPr>
        <w:t xml:space="preserve">, DP&amp;L has </w:t>
      </w:r>
      <w:r w:rsidRPr="00CB7237" w:rsidR="00D54B21">
        <w:rPr>
          <w:szCs w:val="24"/>
        </w:rPr>
        <w:t>proposed a $120 million</w:t>
      </w:r>
      <w:r w:rsidRPr="00CB7237" w:rsidR="00DC4D0C">
        <w:rPr>
          <w:szCs w:val="24"/>
        </w:rPr>
        <w:t xml:space="preserve"> distribution rate increase in Case No. 20-1651.</w:t>
      </w:r>
      <w:r w:rsidRPr="00CB7237" w:rsidR="00BC2930">
        <w:rPr>
          <w:szCs w:val="24"/>
        </w:rPr>
        <w:t xml:space="preserve"> </w:t>
      </w:r>
      <w:r w:rsidRPr="00CB7237" w:rsidR="00DC4D0C">
        <w:rPr>
          <w:szCs w:val="24"/>
        </w:rPr>
        <w:t>DP&amp;L initiated its request for a rate increase on October 30, 202</w:t>
      </w:r>
      <w:r w:rsidRPr="00CB7237" w:rsidR="00991AE7">
        <w:rPr>
          <w:szCs w:val="24"/>
        </w:rPr>
        <w:t>0</w:t>
      </w:r>
      <w:r w:rsidRPr="00CB7237" w:rsidR="00DC4D0C">
        <w:rPr>
          <w:szCs w:val="24"/>
        </w:rPr>
        <w:t>,</w:t>
      </w:r>
      <w:r w:rsidRPr="00CB7237" w:rsidR="00991AE7">
        <w:rPr>
          <w:rStyle w:val="FootnoteReference"/>
          <w:szCs w:val="24"/>
        </w:rPr>
        <w:t xml:space="preserve"> </w:t>
      </w:r>
      <w:r>
        <w:rPr>
          <w:rStyle w:val="FootnoteReference"/>
          <w:szCs w:val="24"/>
        </w:rPr>
        <w:footnoteReference w:id="13"/>
      </w:r>
      <w:r w:rsidRPr="00CB7237" w:rsidR="00991AE7">
        <w:rPr>
          <w:szCs w:val="24"/>
        </w:rPr>
        <w:t xml:space="preserve"> during the sixteen-month period that OCC was </w:t>
      </w:r>
      <w:r w:rsidRPr="00CB7237" w:rsidR="008B5F3E">
        <w:rPr>
          <w:szCs w:val="24"/>
        </w:rPr>
        <w:t>a</w:t>
      </w:r>
      <w:r w:rsidRPr="00CB7237" w:rsidR="00991AE7">
        <w:rPr>
          <w:szCs w:val="24"/>
        </w:rPr>
        <w:t xml:space="preserve">waiting </w:t>
      </w:r>
      <w:r w:rsidRPr="00CB7237" w:rsidR="008B5F3E">
        <w:rPr>
          <w:szCs w:val="24"/>
        </w:rPr>
        <w:t xml:space="preserve">a PUCO ruling </w:t>
      </w:r>
      <w:r w:rsidRPr="00CB7237" w:rsidR="00991AE7">
        <w:rPr>
          <w:szCs w:val="24"/>
        </w:rPr>
        <w:t>on its application for rehearing.</w:t>
      </w:r>
      <w:r>
        <w:rPr>
          <w:rStyle w:val="FootnoteReference"/>
          <w:szCs w:val="24"/>
        </w:rPr>
        <w:footnoteReference w:id="14"/>
      </w:r>
      <w:r w:rsidRPr="00CB7237" w:rsidR="00BC2930">
        <w:rPr>
          <w:szCs w:val="24"/>
        </w:rPr>
        <w:t xml:space="preserve"> </w:t>
      </w:r>
      <w:r w:rsidRPr="00CB7237" w:rsidR="00991AE7">
        <w:rPr>
          <w:szCs w:val="24"/>
        </w:rPr>
        <w:t>The evidentiary hearing in t</w:t>
      </w:r>
      <w:r w:rsidRPr="00CB7237" w:rsidR="004F22C2">
        <w:rPr>
          <w:szCs w:val="24"/>
        </w:rPr>
        <w:t xml:space="preserve">he distribution </w:t>
      </w:r>
      <w:r w:rsidRPr="00CB7237" w:rsidR="00991AE7">
        <w:rPr>
          <w:szCs w:val="24"/>
        </w:rPr>
        <w:t xml:space="preserve">case </w:t>
      </w:r>
      <w:r w:rsidRPr="00CB7237" w:rsidR="004F22C2">
        <w:rPr>
          <w:szCs w:val="24"/>
        </w:rPr>
        <w:t xml:space="preserve">has </w:t>
      </w:r>
      <w:r w:rsidRPr="00CB7237" w:rsidR="00991AE7">
        <w:rPr>
          <w:szCs w:val="24"/>
        </w:rPr>
        <w:t>concluded and briefs and reply briefs have been filed.</w:t>
      </w:r>
      <w:r w:rsidRPr="00CB7237" w:rsidR="00BC2930">
        <w:rPr>
          <w:szCs w:val="24"/>
        </w:rPr>
        <w:t xml:space="preserve"> </w:t>
      </w:r>
      <w:r w:rsidRPr="00CB7237" w:rsidR="00991AE7">
        <w:rPr>
          <w:szCs w:val="24"/>
        </w:rPr>
        <w:t>The case is awaiting an oral argument that has been scheduled for May 18, 2022</w:t>
      </w:r>
      <w:r w:rsidRPr="00CB7237" w:rsidR="00D54B21">
        <w:rPr>
          <w:szCs w:val="24"/>
        </w:rPr>
        <w:t>, at DP&amp;L’s request</w:t>
      </w:r>
      <w:r w:rsidRPr="00CB7237" w:rsidR="00991AE7">
        <w:rPr>
          <w:szCs w:val="24"/>
        </w:rPr>
        <w:t>.</w:t>
      </w:r>
      <w:r w:rsidRPr="00CB7237" w:rsidR="00BC2930">
        <w:rPr>
          <w:szCs w:val="24"/>
        </w:rPr>
        <w:t xml:space="preserve"> </w:t>
      </w:r>
    </w:p>
    <w:p w:rsidR="0085004E" w:rsidRPr="00CB7237" w:rsidP="0085004E" w14:paraId="5C6F8DBA" w14:textId="6B03A588">
      <w:pPr>
        <w:spacing w:line="480" w:lineRule="auto"/>
        <w:ind w:firstLine="720"/>
        <w:rPr>
          <w:szCs w:val="24"/>
        </w:rPr>
      </w:pPr>
      <w:r w:rsidRPr="00CB7237">
        <w:rPr>
          <w:szCs w:val="24"/>
        </w:rPr>
        <w:t xml:space="preserve">OCC moved to dismiss DP&amp;L’s proposed rate increase as a violation of the 2009 settlement, on </w:t>
      </w:r>
      <w:r w:rsidRPr="00CB7237" w:rsidR="00A96377">
        <w:rPr>
          <w:szCs w:val="24"/>
        </w:rPr>
        <w:t>August 5</w:t>
      </w:r>
      <w:r w:rsidRPr="00CB7237">
        <w:rPr>
          <w:szCs w:val="24"/>
        </w:rPr>
        <w:t>, 2021. In 2022, some parties including the PUCO Staff have agreed with OCC’s position that even a penny of rate increase</w:t>
      </w:r>
      <w:r w:rsidRPr="00CB7237" w:rsidR="000E12B8">
        <w:rPr>
          <w:szCs w:val="24"/>
        </w:rPr>
        <w:t xml:space="preserve"> for DP&amp;L</w:t>
      </w:r>
      <w:r w:rsidRPr="00CB7237">
        <w:rPr>
          <w:szCs w:val="24"/>
        </w:rPr>
        <w:t xml:space="preserve"> is barred by the 2009 settlement.</w:t>
      </w:r>
    </w:p>
    <w:p w:rsidR="0085004E" w:rsidRPr="00CB7237" w:rsidP="0085004E" w14:paraId="3E9D0F1B" w14:textId="796C3662">
      <w:pPr>
        <w:spacing w:line="480" w:lineRule="auto"/>
        <w:ind w:firstLine="720"/>
        <w:rPr>
          <w:spacing w:val="-3"/>
          <w:szCs w:val="24"/>
        </w:rPr>
      </w:pPr>
      <w:r w:rsidRPr="00CB7237">
        <w:rPr>
          <w:spacing w:val="-3"/>
          <w:szCs w:val="24"/>
        </w:rPr>
        <w:t>On April 22, 2022, an Entry was issued setting a prehearing conference in this case.</w:t>
      </w:r>
      <w:r>
        <w:rPr>
          <w:rStyle w:val="FootnoteReference"/>
          <w:spacing w:val="-3"/>
          <w:szCs w:val="24"/>
        </w:rPr>
        <w:footnoteReference w:id="15"/>
      </w:r>
      <w:r w:rsidRPr="00CB7237" w:rsidR="00BC2930">
        <w:rPr>
          <w:spacing w:val="-3"/>
          <w:szCs w:val="24"/>
        </w:rPr>
        <w:t xml:space="preserve"> </w:t>
      </w:r>
      <w:r w:rsidRPr="00CB7237">
        <w:rPr>
          <w:spacing w:val="-3"/>
          <w:szCs w:val="24"/>
        </w:rPr>
        <w:t>In the Entry, the Attorney Examiner explained:</w:t>
      </w:r>
    </w:p>
    <w:p w:rsidR="0085004E" w:rsidRPr="00CB7237" w:rsidP="007D27BE" w14:paraId="2A596649" w14:textId="328B21D9">
      <w:pPr>
        <w:ind w:left="1440" w:right="1440"/>
        <w:rPr>
          <w:szCs w:val="24"/>
        </w:rPr>
      </w:pPr>
      <w:r w:rsidRPr="00CB7237">
        <w:rPr>
          <w:szCs w:val="24"/>
        </w:rPr>
        <w:t>In light of the dismissal of OCC’s appeal and AES Ohio’s cross-appeal, the attorney examiner finds that a prehearing conference should be held in order to discuss a procedural schedule for consideration of OCC’s notice of withdrawal and termination and the scope of the hearing proposed by OCC.</w:t>
      </w:r>
      <w:r>
        <w:rPr>
          <w:rStyle w:val="FootnoteReference"/>
          <w:szCs w:val="24"/>
        </w:rPr>
        <w:footnoteReference w:id="16"/>
      </w:r>
      <w:r w:rsidRPr="00CB7237" w:rsidR="00152C11">
        <w:rPr>
          <w:szCs w:val="24"/>
        </w:rPr>
        <w:t xml:space="preserve"> </w:t>
      </w:r>
    </w:p>
    <w:p w:rsidR="0085004E" w:rsidRPr="00CB7237" w:rsidP="0085004E" w14:paraId="42B5D270" w14:textId="77777777">
      <w:pPr>
        <w:ind w:left="720"/>
        <w:rPr>
          <w:szCs w:val="24"/>
        </w:rPr>
      </w:pPr>
    </w:p>
    <w:p w:rsidR="0085004E" w:rsidRPr="00CB7237" w:rsidP="00152C11" w14:paraId="5456FD4F" w14:textId="2C6ECA55">
      <w:pPr>
        <w:spacing w:line="480" w:lineRule="auto"/>
        <w:ind w:firstLine="720"/>
        <w:rPr>
          <w:szCs w:val="24"/>
        </w:rPr>
      </w:pPr>
      <w:r w:rsidRPr="00CB7237">
        <w:rPr>
          <w:szCs w:val="24"/>
        </w:rPr>
        <w:t>During the prehearing, it became apparent that there is a consensus among the parties</w:t>
      </w:r>
      <w:r w:rsidRPr="00CB7237" w:rsidR="00D54B21">
        <w:rPr>
          <w:szCs w:val="24"/>
        </w:rPr>
        <w:t xml:space="preserve"> on one issue. The consensus is that</w:t>
      </w:r>
      <w:r w:rsidRPr="00CB7237">
        <w:rPr>
          <w:szCs w:val="24"/>
        </w:rPr>
        <w:t xml:space="preserve"> the PUCO’s decision regarding OCC’s Notice </w:t>
      </w:r>
      <w:r w:rsidRPr="00CB7237" w:rsidR="00F56536">
        <w:rPr>
          <w:szCs w:val="24"/>
        </w:rPr>
        <w:t xml:space="preserve">of Termination and Withdrawal </w:t>
      </w:r>
      <w:r w:rsidRPr="00CB7237" w:rsidR="00105E50">
        <w:rPr>
          <w:szCs w:val="24"/>
        </w:rPr>
        <w:t>will likely be</w:t>
      </w:r>
      <w:r w:rsidRPr="00CB7237">
        <w:rPr>
          <w:szCs w:val="24"/>
        </w:rPr>
        <w:t xml:space="preserve"> impacted by the Supreme Court’s </w:t>
      </w:r>
      <w:r w:rsidRPr="00CB7237" w:rsidR="00105E50">
        <w:rPr>
          <w:szCs w:val="24"/>
        </w:rPr>
        <w:t>decision on</w:t>
      </w:r>
      <w:r w:rsidRPr="00CB7237">
        <w:rPr>
          <w:szCs w:val="24"/>
        </w:rPr>
        <w:t xml:space="preserve"> OCC’s </w:t>
      </w:r>
      <w:r w:rsidRPr="00CB7237" w:rsidR="004F22C2">
        <w:rPr>
          <w:szCs w:val="24"/>
        </w:rPr>
        <w:t xml:space="preserve">motion for reconsideration </w:t>
      </w:r>
      <w:r w:rsidRPr="00CB7237">
        <w:rPr>
          <w:szCs w:val="24"/>
        </w:rPr>
        <w:t xml:space="preserve">and the PUCO’s decision </w:t>
      </w:r>
      <w:r w:rsidRPr="00CB7237" w:rsidR="00D54B21">
        <w:rPr>
          <w:szCs w:val="24"/>
        </w:rPr>
        <w:t>o</w:t>
      </w:r>
      <w:r w:rsidRPr="00CB7237">
        <w:rPr>
          <w:szCs w:val="24"/>
        </w:rPr>
        <w:t xml:space="preserve">n </w:t>
      </w:r>
      <w:r w:rsidRPr="00CB7237" w:rsidR="004F6463">
        <w:rPr>
          <w:szCs w:val="24"/>
        </w:rPr>
        <w:t>DP&amp;L</w:t>
      </w:r>
      <w:r w:rsidRPr="00CB7237">
        <w:rPr>
          <w:szCs w:val="24"/>
        </w:rPr>
        <w:t xml:space="preserve">’s </w:t>
      </w:r>
      <w:r w:rsidRPr="00CB7237" w:rsidR="00D54B21">
        <w:rPr>
          <w:szCs w:val="24"/>
        </w:rPr>
        <w:t xml:space="preserve">proposed </w:t>
      </w:r>
      <w:r w:rsidRPr="00CB7237">
        <w:rPr>
          <w:szCs w:val="24"/>
        </w:rPr>
        <w:t xml:space="preserve">distribution rate </w:t>
      </w:r>
      <w:r w:rsidRPr="00CB7237" w:rsidR="00D54B21">
        <w:rPr>
          <w:szCs w:val="24"/>
        </w:rPr>
        <w:t>increase</w:t>
      </w:r>
      <w:r w:rsidRPr="00CB7237">
        <w:rPr>
          <w:szCs w:val="24"/>
        </w:rPr>
        <w:t>.</w:t>
      </w:r>
      <w:r w:rsidRPr="00CB7237" w:rsidR="00BC2930">
        <w:rPr>
          <w:szCs w:val="24"/>
        </w:rPr>
        <w:t xml:space="preserve"> </w:t>
      </w:r>
      <w:r w:rsidRPr="00CB7237" w:rsidR="00105E50">
        <w:rPr>
          <w:szCs w:val="24"/>
        </w:rPr>
        <w:t xml:space="preserve">The Attorney Examiner expressed the belief that </w:t>
      </w:r>
      <w:r w:rsidRPr="00CB7237" w:rsidR="00D54B21">
        <w:rPr>
          <w:szCs w:val="24"/>
        </w:rPr>
        <w:t xml:space="preserve">during the time that </w:t>
      </w:r>
      <w:r w:rsidRPr="00CB7237">
        <w:rPr>
          <w:szCs w:val="24"/>
        </w:rPr>
        <w:t>the Supreme Court has jurisdiction over OCC’s appeal (due to OCC’s Motion for Reconsideration), the PUCO is without jurisdiction to act on OCC’s Notice.</w:t>
      </w:r>
      <w:r>
        <w:rPr>
          <w:rStyle w:val="FootnoteReference"/>
          <w:szCs w:val="24"/>
        </w:rPr>
        <w:footnoteReference w:id="17"/>
      </w:r>
      <w:r w:rsidRPr="00CB7237" w:rsidR="00BC2930">
        <w:rPr>
          <w:szCs w:val="24"/>
        </w:rPr>
        <w:t xml:space="preserve"> </w:t>
      </w:r>
      <w:r w:rsidRPr="00CB7237" w:rsidR="00B2686E">
        <w:rPr>
          <w:szCs w:val="24"/>
        </w:rPr>
        <w:t>Further, i</w:t>
      </w:r>
      <w:r w:rsidRPr="00CB7237">
        <w:rPr>
          <w:szCs w:val="24"/>
        </w:rPr>
        <w:t xml:space="preserve">f the PUCO denies </w:t>
      </w:r>
      <w:r w:rsidRPr="00CB7237" w:rsidR="004F22C2">
        <w:rPr>
          <w:szCs w:val="24"/>
        </w:rPr>
        <w:t>or stays</w:t>
      </w:r>
      <w:r w:rsidRPr="00CB7237" w:rsidR="002E6E73">
        <w:rPr>
          <w:szCs w:val="24"/>
        </w:rPr>
        <w:t xml:space="preserve"> </w:t>
      </w:r>
      <w:r w:rsidRPr="00CB7237" w:rsidR="004F6463">
        <w:rPr>
          <w:szCs w:val="24"/>
        </w:rPr>
        <w:t>DP&amp;L</w:t>
      </w:r>
      <w:r w:rsidRPr="00CB7237">
        <w:rPr>
          <w:szCs w:val="24"/>
        </w:rPr>
        <w:t xml:space="preserve">’s request for an increase in rates in the pending distribution rate case, OCC’s Notice may be moot. </w:t>
      </w:r>
    </w:p>
    <w:p w:rsidR="0085004E" w:rsidRPr="00CB7237" w:rsidP="0085004E" w14:paraId="063F9C9B" w14:textId="1B1F9F47">
      <w:pPr>
        <w:pStyle w:val="Footer"/>
        <w:tabs>
          <w:tab w:val="left" w:pos="720"/>
          <w:tab w:val="clear" w:pos="4320"/>
        </w:tabs>
        <w:spacing w:line="480" w:lineRule="auto"/>
        <w:rPr>
          <w:sz w:val="24"/>
          <w:szCs w:val="24"/>
        </w:rPr>
      </w:pPr>
      <w:r w:rsidRPr="00CB7237">
        <w:rPr>
          <w:sz w:val="24"/>
          <w:szCs w:val="24"/>
        </w:rPr>
        <w:tab/>
      </w:r>
      <w:r w:rsidRPr="00CB7237" w:rsidR="00F56536">
        <w:rPr>
          <w:sz w:val="24"/>
          <w:szCs w:val="24"/>
        </w:rPr>
        <w:t xml:space="preserve">Thus, </w:t>
      </w:r>
      <w:r w:rsidRPr="00CB7237">
        <w:rPr>
          <w:sz w:val="24"/>
          <w:szCs w:val="24"/>
        </w:rPr>
        <w:t>it is in the interest of consumer</w:t>
      </w:r>
      <w:r w:rsidRPr="00CB7237" w:rsidR="006210BD">
        <w:rPr>
          <w:sz w:val="24"/>
          <w:szCs w:val="24"/>
        </w:rPr>
        <w:t xml:space="preserve"> protection</w:t>
      </w:r>
      <w:r w:rsidRPr="00CB7237">
        <w:rPr>
          <w:sz w:val="24"/>
          <w:szCs w:val="24"/>
        </w:rPr>
        <w:t xml:space="preserve"> and administrative efficiency to stay these proceedings</w:t>
      </w:r>
      <w:r w:rsidRPr="00CB7237" w:rsidR="002A24A1">
        <w:rPr>
          <w:sz w:val="24"/>
          <w:szCs w:val="24"/>
        </w:rPr>
        <w:t>, without prejudice to OCC’s Notice,</w:t>
      </w:r>
      <w:r w:rsidRPr="00CB7237">
        <w:rPr>
          <w:sz w:val="24"/>
          <w:szCs w:val="24"/>
        </w:rPr>
        <w:t xml:space="preserve"> until 1) the Ohio Supreme Court issues a final ruling in OCC’s appeal and 2) the PUCO issues an order </w:t>
      </w:r>
      <w:r w:rsidRPr="00CB7237" w:rsidR="000E12B8">
        <w:rPr>
          <w:sz w:val="24"/>
          <w:szCs w:val="24"/>
        </w:rPr>
        <w:t>o</w:t>
      </w:r>
      <w:r w:rsidRPr="00CB7237">
        <w:rPr>
          <w:sz w:val="24"/>
          <w:szCs w:val="24"/>
        </w:rPr>
        <w:t xml:space="preserve">n </w:t>
      </w:r>
      <w:r w:rsidRPr="00CB7237" w:rsidR="004F6463">
        <w:rPr>
          <w:sz w:val="24"/>
          <w:szCs w:val="24"/>
        </w:rPr>
        <w:t>DP&amp;L</w:t>
      </w:r>
      <w:r w:rsidRPr="00CB7237">
        <w:rPr>
          <w:sz w:val="24"/>
          <w:szCs w:val="24"/>
        </w:rPr>
        <w:t xml:space="preserve">’s </w:t>
      </w:r>
      <w:r w:rsidRPr="00CB7237" w:rsidR="000E12B8">
        <w:rPr>
          <w:sz w:val="24"/>
          <w:szCs w:val="24"/>
        </w:rPr>
        <w:t xml:space="preserve">proposed </w:t>
      </w:r>
      <w:r w:rsidRPr="00CB7237">
        <w:rPr>
          <w:sz w:val="24"/>
          <w:szCs w:val="24"/>
        </w:rPr>
        <w:t xml:space="preserve">base rate </w:t>
      </w:r>
      <w:r w:rsidRPr="00CB7237" w:rsidR="000E12B8">
        <w:rPr>
          <w:sz w:val="24"/>
          <w:szCs w:val="24"/>
        </w:rPr>
        <w:t>increase</w:t>
      </w:r>
      <w:r w:rsidRPr="00CB7237">
        <w:rPr>
          <w:sz w:val="24"/>
          <w:szCs w:val="24"/>
        </w:rPr>
        <w:t>.</w:t>
      </w:r>
      <w:r w:rsidRPr="00CB7237" w:rsidR="00BC2930">
        <w:rPr>
          <w:sz w:val="24"/>
          <w:szCs w:val="24"/>
        </w:rPr>
        <w:t xml:space="preserve"> </w:t>
      </w:r>
      <w:r w:rsidRPr="00CB7237" w:rsidR="00D221E0">
        <w:rPr>
          <w:sz w:val="24"/>
          <w:szCs w:val="24"/>
        </w:rPr>
        <w:t xml:space="preserve">As stated, OCC’s requested </w:t>
      </w:r>
      <w:r w:rsidRPr="00CB7237">
        <w:rPr>
          <w:sz w:val="24"/>
          <w:szCs w:val="24"/>
        </w:rPr>
        <w:t xml:space="preserve">stay </w:t>
      </w:r>
      <w:r w:rsidRPr="00CB7237" w:rsidR="00D221E0">
        <w:rPr>
          <w:sz w:val="24"/>
          <w:szCs w:val="24"/>
        </w:rPr>
        <w:t xml:space="preserve">is </w:t>
      </w:r>
      <w:r w:rsidRPr="00CB7237">
        <w:rPr>
          <w:sz w:val="24"/>
          <w:szCs w:val="24"/>
        </w:rPr>
        <w:t>without prejudice to OCC</w:t>
      </w:r>
      <w:r w:rsidRPr="00CB7237" w:rsidR="00D221E0">
        <w:rPr>
          <w:sz w:val="24"/>
          <w:szCs w:val="24"/>
        </w:rPr>
        <w:t xml:space="preserve"> and its</w:t>
      </w:r>
      <w:r w:rsidRPr="00CB7237">
        <w:rPr>
          <w:sz w:val="24"/>
          <w:szCs w:val="24"/>
        </w:rPr>
        <w:t xml:space="preserve"> Notice</w:t>
      </w:r>
      <w:r w:rsidRPr="00CB7237" w:rsidR="00A456F8">
        <w:rPr>
          <w:sz w:val="24"/>
          <w:szCs w:val="24"/>
        </w:rPr>
        <w:t xml:space="preserve"> of Termination and Withdrawal</w:t>
      </w:r>
      <w:r w:rsidRPr="00CB7237">
        <w:rPr>
          <w:sz w:val="24"/>
          <w:szCs w:val="24"/>
        </w:rPr>
        <w:t>.</w:t>
      </w:r>
    </w:p>
    <w:p w:rsidR="00BD3C0F" w:rsidRPr="00CB7237" w:rsidP="00E82372" w14:paraId="5DB63299" w14:textId="77777777">
      <w:pPr>
        <w:pStyle w:val="Footer"/>
        <w:tabs>
          <w:tab w:val="left" w:pos="720"/>
          <w:tab w:val="clear" w:pos="4320"/>
        </w:tabs>
        <w:rPr>
          <w:b/>
          <w:bCs/>
          <w:spacing w:val="-3"/>
          <w:sz w:val="24"/>
          <w:szCs w:val="24"/>
        </w:rPr>
      </w:pPr>
    </w:p>
    <w:p w:rsidR="009623C0" w:rsidRPr="00CB7237" w:rsidP="009623C0" w14:paraId="53CFD1CE" w14:textId="1E747183">
      <w:pPr>
        <w:pStyle w:val="Heading1"/>
        <w:rPr>
          <w:rFonts w:ascii="Times New Roman" w:hAnsi="Times New Roman"/>
        </w:rPr>
      </w:pPr>
      <w:bookmarkStart w:id="6" w:name="_Toc67298971"/>
      <w:bookmarkStart w:id="7" w:name="_Toc67299298"/>
      <w:bookmarkStart w:id="8" w:name="_Toc67299638"/>
      <w:bookmarkStart w:id="9" w:name="_Toc75657007"/>
      <w:bookmarkStart w:id="10" w:name="_Toc225745702"/>
      <w:bookmarkStart w:id="11" w:name="_Toc394496031"/>
      <w:r w:rsidRPr="00CB7237">
        <w:rPr>
          <w:rFonts w:ascii="Times New Roman" w:hAnsi="Times New Roman"/>
        </w:rPr>
        <w:t>i</w:t>
      </w:r>
      <w:r w:rsidRPr="00CB7237" w:rsidR="004A079E">
        <w:rPr>
          <w:rFonts w:ascii="Times New Roman" w:hAnsi="Times New Roman"/>
        </w:rPr>
        <w:t>II</w:t>
      </w:r>
      <w:r w:rsidRPr="00CB7237">
        <w:rPr>
          <w:rFonts w:ascii="Times New Roman" w:hAnsi="Times New Roman"/>
        </w:rPr>
        <w:t>.</w:t>
      </w:r>
      <w:r w:rsidRPr="00CB7237">
        <w:rPr>
          <w:rFonts w:ascii="Times New Roman" w:hAnsi="Times New Roman"/>
        </w:rPr>
        <w:tab/>
        <w:t>CONCLUSION</w:t>
      </w:r>
      <w:bookmarkEnd w:id="6"/>
      <w:bookmarkEnd w:id="7"/>
      <w:bookmarkEnd w:id="8"/>
      <w:bookmarkEnd w:id="9"/>
      <w:bookmarkEnd w:id="10"/>
      <w:bookmarkEnd w:id="11"/>
    </w:p>
    <w:p w:rsidR="004845E2" w:rsidRPr="00CB7237" w:rsidP="004845E2" w14:paraId="46AEB7B5" w14:textId="05BADCC4">
      <w:pPr>
        <w:pStyle w:val="Footer"/>
        <w:tabs>
          <w:tab w:val="left" w:pos="720"/>
          <w:tab w:val="clear" w:pos="4320"/>
        </w:tabs>
        <w:spacing w:line="480" w:lineRule="auto"/>
        <w:rPr>
          <w:sz w:val="24"/>
          <w:szCs w:val="24"/>
        </w:rPr>
      </w:pPr>
      <w:r w:rsidRPr="00CB7237">
        <w:rPr>
          <w:sz w:val="24"/>
          <w:szCs w:val="24"/>
        </w:rPr>
        <w:tab/>
        <w:t>In the interest of consumer</w:t>
      </w:r>
      <w:r w:rsidRPr="00CB7237" w:rsidR="006210BD">
        <w:rPr>
          <w:sz w:val="24"/>
          <w:szCs w:val="24"/>
        </w:rPr>
        <w:t xml:space="preserve"> protection</w:t>
      </w:r>
      <w:r w:rsidRPr="00CB7237">
        <w:rPr>
          <w:sz w:val="24"/>
          <w:szCs w:val="24"/>
        </w:rPr>
        <w:t xml:space="preserve"> and administrative efficiency, the PUCO should stay these proceedings</w:t>
      </w:r>
      <w:r w:rsidRPr="00CB7237" w:rsidR="00C84CBC">
        <w:rPr>
          <w:sz w:val="24"/>
          <w:szCs w:val="24"/>
        </w:rPr>
        <w:t xml:space="preserve">, </w:t>
      </w:r>
      <w:r w:rsidRPr="00CB7237" w:rsidR="00C84CBC">
        <w:rPr>
          <w:i/>
          <w:iCs/>
          <w:sz w:val="24"/>
          <w:szCs w:val="24"/>
        </w:rPr>
        <w:t>without prejudice to OCC</w:t>
      </w:r>
      <w:r w:rsidRPr="00CB7237" w:rsidR="00D221E0">
        <w:rPr>
          <w:i/>
          <w:iCs/>
          <w:sz w:val="24"/>
          <w:szCs w:val="24"/>
        </w:rPr>
        <w:t xml:space="preserve"> and its</w:t>
      </w:r>
      <w:r w:rsidRPr="00CB7237" w:rsidR="00C84CBC">
        <w:rPr>
          <w:i/>
          <w:iCs/>
          <w:sz w:val="24"/>
          <w:szCs w:val="24"/>
        </w:rPr>
        <w:t xml:space="preserve"> Notice</w:t>
      </w:r>
      <w:r w:rsidRPr="00CB7237" w:rsidR="00F56536">
        <w:rPr>
          <w:i/>
          <w:iCs/>
          <w:sz w:val="24"/>
          <w:szCs w:val="24"/>
        </w:rPr>
        <w:t xml:space="preserve"> of Termination and Withdrawa</w:t>
      </w:r>
      <w:r w:rsidRPr="00CB7237" w:rsidR="00F56536">
        <w:rPr>
          <w:sz w:val="24"/>
          <w:szCs w:val="24"/>
        </w:rPr>
        <w:t>l</w:t>
      </w:r>
      <w:r w:rsidRPr="00CB7237" w:rsidR="00C84CBC">
        <w:rPr>
          <w:sz w:val="24"/>
          <w:szCs w:val="24"/>
        </w:rPr>
        <w:t>,</w:t>
      </w:r>
      <w:r w:rsidRPr="00CB7237">
        <w:rPr>
          <w:sz w:val="24"/>
          <w:szCs w:val="24"/>
        </w:rPr>
        <w:t xml:space="preserve"> until 1) the Ohio Supreme Court issues a ruling in OCC’s </w:t>
      </w:r>
      <w:r w:rsidRPr="00CB7237" w:rsidR="00F56536">
        <w:rPr>
          <w:sz w:val="24"/>
          <w:szCs w:val="24"/>
        </w:rPr>
        <w:t xml:space="preserve">motion for reconsideration </w:t>
      </w:r>
      <w:r w:rsidRPr="00CB7237">
        <w:rPr>
          <w:sz w:val="24"/>
          <w:szCs w:val="24"/>
        </w:rPr>
        <w:t xml:space="preserve">and 2) the PUCO issues an order </w:t>
      </w:r>
      <w:r w:rsidRPr="00CB7237" w:rsidR="00D221E0">
        <w:rPr>
          <w:sz w:val="24"/>
          <w:szCs w:val="24"/>
        </w:rPr>
        <w:t>o</w:t>
      </w:r>
      <w:r w:rsidRPr="00CB7237">
        <w:rPr>
          <w:sz w:val="24"/>
          <w:szCs w:val="24"/>
        </w:rPr>
        <w:t xml:space="preserve">n </w:t>
      </w:r>
      <w:r w:rsidRPr="00CB7237" w:rsidR="004F6463">
        <w:rPr>
          <w:sz w:val="24"/>
          <w:szCs w:val="24"/>
        </w:rPr>
        <w:t>DP&amp;L</w:t>
      </w:r>
      <w:r w:rsidRPr="00CB7237">
        <w:rPr>
          <w:sz w:val="24"/>
          <w:szCs w:val="24"/>
        </w:rPr>
        <w:t xml:space="preserve">’s </w:t>
      </w:r>
      <w:r w:rsidRPr="00CB7237" w:rsidR="00D221E0">
        <w:rPr>
          <w:sz w:val="24"/>
          <w:szCs w:val="24"/>
        </w:rPr>
        <w:t xml:space="preserve">proposed </w:t>
      </w:r>
      <w:r w:rsidRPr="00CB7237">
        <w:rPr>
          <w:sz w:val="24"/>
          <w:szCs w:val="24"/>
        </w:rPr>
        <w:t xml:space="preserve">base rate </w:t>
      </w:r>
      <w:r w:rsidRPr="00CB7237" w:rsidR="00D221E0">
        <w:rPr>
          <w:sz w:val="24"/>
          <w:szCs w:val="24"/>
        </w:rPr>
        <w:t>increase</w:t>
      </w:r>
      <w:r w:rsidRPr="00CB7237">
        <w:rPr>
          <w:sz w:val="24"/>
          <w:szCs w:val="24"/>
        </w:rPr>
        <w:t>.</w:t>
      </w:r>
      <w:r w:rsidRPr="00CB7237" w:rsidR="00BC2930">
        <w:rPr>
          <w:sz w:val="24"/>
          <w:szCs w:val="24"/>
        </w:rPr>
        <w:t xml:space="preserve"> </w:t>
      </w:r>
    </w:p>
    <w:p w:rsidR="00E164F3" w:rsidRPr="00CB7237" w:rsidP="00E164F3" w14:paraId="7A3CB640" w14:textId="424DD6EE">
      <w:pPr>
        <w:ind w:left="3600" w:firstLine="720"/>
        <w:rPr>
          <w:szCs w:val="24"/>
        </w:rPr>
      </w:pPr>
      <w:r w:rsidRPr="00CB7237">
        <w:rPr>
          <w:szCs w:val="24"/>
        </w:rPr>
        <w:t xml:space="preserve">Respectfully submitted, </w:t>
      </w:r>
    </w:p>
    <w:p w:rsidR="00E164F3" w:rsidRPr="00CB7237" w:rsidP="00E164F3" w14:paraId="644163D1" w14:textId="77777777">
      <w:pPr>
        <w:ind w:left="3600" w:firstLine="720"/>
        <w:rPr>
          <w:szCs w:val="24"/>
        </w:rPr>
      </w:pPr>
    </w:p>
    <w:p w:rsidR="00E164F3" w:rsidRPr="00CB7237" w:rsidP="00E164F3" w14:paraId="3B9F2264" w14:textId="77777777">
      <w:pPr>
        <w:tabs>
          <w:tab w:val="left" w:pos="4320"/>
        </w:tabs>
        <w:ind w:left="4320"/>
        <w:rPr>
          <w:szCs w:val="24"/>
        </w:rPr>
      </w:pPr>
      <w:r w:rsidRPr="00CB7237">
        <w:rPr>
          <w:szCs w:val="24"/>
        </w:rPr>
        <w:t>Bruce Weston (0016973)</w:t>
      </w:r>
    </w:p>
    <w:p w:rsidR="00E164F3" w:rsidRPr="00CB7237" w:rsidP="00E164F3" w14:paraId="62F72B85" w14:textId="77777777">
      <w:pPr>
        <w:tabs>
          <w:tab w:val="left" w:pos="4320"/>
        </w:tabs>
        <w:ind w:left="4320"/>
        <w:rPr>
          <w:szCs w:val="24"/>
        </w:rPr>
      </w:pPr>
      <w:r w:rsidRPr="00CB7237">
        <w:rPr>
          <w:szCs w:val="24"/>
        </w:rPr>
        <w:t>Ohio Consumers’ Counsel</w:t>
      </w:r>
    </w:p>
    <w:p w:rsidR="00E164F3" w:rsidRPr="00CB7237" w:rsidP="00E164F3" w14:paraId="3F4D7B50" w14:textId="77777777">
      <w:pPr>
        <w:tabs>
          <w:tab w:val="left" w:pos="4320"/>
        </w:tabs>
        <w:ind w:left="4320"/>
        <w:rPr>
          <w:szCs w:val="24"/>
        </w:rPr>
      </w:pPr>
    </w:p>
    <w:p w:rsidR="00E164F3" w:rsidRPr="00CB7237" w:rsidP="00E164F3" w14:paraId="1A80786B" w14:textId="77777777">
      <w:pPr>
        <w:tabs>
          <w:tab w:val="left" w:pos="4320"/>
        </w:tabs>
        <w:ind w:left="4320" w:right="-180"/>
        <w:rPr>
          <w:i/>
          <w:iCs/>
          <w:szCs w:val="24"/>
          <w:u w:val="single"/>
        </w:rPr>
      </w:pPr>
      <w:r w:rsidRPr="00CB7237">
        <w:rPr>
          <w:i/>
          <w:iCs/>
          <w:szCs w:val="24"/>
          <w:u w:val="single"/>
        </w:rPr>
        <w:t>/s/ Maureen R. Willis</w:t>
      </w:r>
    </w:p>
    <w:p w:rsidR="00E164F3" w:rsidRPr="00CB7237" w:rsidP="00E164F3" w14:paraId="4D9857DE" w14:textId="77777777">
      <w:pPr>
        <w:tabs>
          <w:tab w:val="left" w:pos="4320"/>
        </w:tabs>
        <w:ind w:left="4320" w:right="-180"/>
        <w:rPr>
          <w:szCs w:val="24"/>
        </w:rPr>
      </w:pPr>
      <w:r w:rsidRPr="00CB7237">
        <w:rPr>
          <w:szCs w:val="24"/>
        </w:rPr>
        <w:t>Maureen R. Willis (0020847)</w:t>
      </w:r>
    </w:p>
    <w:p w:rsidR="00E164F3" w:rsidRPr="00CB7237" w:rsidP="00E164F3" w14:paraId="686FC5EC" w14:textId="77777777">
      <w:pPr>
        <w:tabs>
          <w:tab w:val="left" w:pos="4320"/>
        </w:tabs>
        <w:ind w:left="4320" w:right="-180"/>
        <w:rPr>
          <w:szCs w:val="24"/>
        </w:rPr>
      </w:pPr>
      <w:r w:rsidRPr="00CB7237">
        <w:rPr>
          <w:szCs w:val="24"/>
        </w:rPr>
        <w:t>Counsel of Record</w:t>
      </w:r>
    </w:p>
    <w:p w:rsidR="00E164F3" w:rsidRPr="00CB7237" w:rsidP="00E164F3" w14:paraId="2308EC9E" w14:textId="77777777">
      <w:pPr>
        <w:tabs>
          <w:tab w:val="left" w:pos="4320"/>
        </w:tabs>
        <w:ind w:left="4320" w:right="-180"/>
        <w:rPr>
          <w:szCs w:val="24"/>
        </w:rPr>
      </w:pPr>
      <w:r w:rsidRPr="00CB7237">
        <w:rPr>
          <w:szCs w:val="24"/>
        </w:rPr>
        <w:t>William J. Michael (0070921)</w:t>
      </w:r>
    </w:p>
    <w:p w:rsidR="00E164F3" w:rsidRPr="00CB7237" w:rsidP="00E164F3" w14:paraId="286A22DF" w14:textId="77777777">
      <w:pPr>
        <w:ind w:left="3600" w:firstLine="720"/>
        <w:rPr>
          <w:szCs w:val="24"/>
        </w:rPr>
      </w:pPr>
      <w:r w:rsidRPr="00CB7237">
        <w:rPr>
          <w:szCs w:val="24"/>
        </w:rPr>
        <w:t xml:space="preserve">Assistant Consumers’ Counsel </w:t>
      </w:r>
    </w:p>
    <w:p w:rsidR="00E164F3" w:rsidRPr="00CB7237" w:rsidP="00E164F3" w14:paraId="0AC884B4" w14:textId="77777777">
      <w:pPr>
        <w:ind w:left="3600" w:firstLine="720"/>
        <w:rPr>
          <w:szCs w:val="24"/>
        </w:rPr>
      </w:pPr>
    </w:p>
    <w:p w:rsidR="00E164F3" w:rsidRPr="00CB7237" w:rsidP="00E164F3" w14:paraId="4997B000" w14:textId="77777777">
      <w:pPr>
        <w:ind w:left="3600" w:firstLine="720"/>
        <w:rPr>
          <w:b/>
          <w:bCs/>
          <w:szCs w:val="24"/>
        </w:rPr>
      </w:pPr>
      <w:r w:rsidRPr="00CB7237">
        <w:rPr>
          <w:b/>
          <w:bCs/>
          <w:szCs w:val="24"/>
        </w:rPr>
        <w:t>Office of the Ohio Consumers’ Counsel</w:t>
      </w:r>
    </w:p>
    <w:p w:rsidR="00E164F3" w:rsidRPr="00CB7237" w:rsidP="00E164F3" w14:paraId="5B47DC32" w14:textId="77777777">
      <w:pPr>
        <w:pStyle w:val="PlainText"/>
        <w:ind w:left="3600" w:firstLine="720"/>
        <w:rPr>
          <w:rFonts w:ascii="Times New Roman" w:hAnsi="Times New Roman"/>
          <w:sz w:val="24"/>
          <w:szCs w:val="24"/>
        </w:rPr>
      </w:pPr>
      <w:r w:rsidRPr="00CB7237">
        <w:rPr>
          <w:rFonts w:ascii="Times New Roman" w:hAnsi="Times New Roman"/>
          <w:sz w:val="24"/>
          <w:szCs w:val="24"/>
        </w:rPr>
        <w:t>65 East State Street, Suite 700</w:t>
      </w:r>
    </w:p>
    <w:p w:rsidR="00E164F3" w:rsidRPr="00CB7237" w:rsidP="00E164F3" w14:paraId="6ED74F17" w14:textId="63D52477">
      <w:pPr>
        <w:pStyle w:val="PlainText"/>
        <w:ind w:left="3600" w:firstLine="720"/>
        <w:rPr>
          <w:rFonts w:ascii="Times New Roman" w:hAnsi="Times New Roman"/>
          <w:sz w:val="24"/>
          <w:szCs w:val="24"/>
        </w:rPr>
      </w:pPr>
      <w:r w:rsidRPr="00CB7237">
        <w:rPr>
          <w:rFonts w:ascii="Times New Roman" w:hAnsi="Times New Roman"/>
          <w:sz w:val="24"/>
          <w:szCs w:val="24"/>
        </w:rPr>
        <w:t>Columbus, Ohio 43215</w:t>
      </w:r>
    </w:p>
    <w:p w:rsidR="00E164F3" w:rsidRPr="00CB7237" w:rsidP="00E164F3" w14:paraId="550218E5" w14:textId="77777777">
      <w:pPr>
        <w:adjustRightInd w:val="0"/>
        <w:ind w:left="4320"/>
        <w:rPr>
          <w:szCs w:val="24"/>
        </w:rPr>
      </w:pPr>
      <w:r w:rsidRPr="00CB7237">
        <w:rPr>
          <w:szCs w:val="24"/>
        </w:rPr>
        <w:t>Telephone: Willis (614) 466-9567</w:t>
      </w:r>
    </w:p>
    <w:p w:rsidR="00E164F3" w:rsidRPr="00CB7237" w:rsidP="00E164F3" w14:paraId="4C81E6A0" w14:textId="77777777">
      <w:pPr>
        <w:adjustRightInd w:val="0"/>
        <w:ind w:left="4320"/>
        <w:rPr>
          <w:szCs w:val="24"/>
        </w:rPr>
      </w:pPr>
      <w:r w:rsidRPr="00CB7237">
        <w:rPr>
          <w:szCs w:val="24"/>
        </w:rPr>
        <w:t>Telephone: Michael (614) 466-1291</w:t>
      </w:r>
    </w:p>
    <w:p w:rsidR="00E164F3" w:rsidRPr="00CB7237" w:rsidP="00E164F3" w14:paraId="2E79755F" w14:textId="4CDE56BB">
      <w:pPr>
        <w:ind w:left="4320"/>
        <w:rPr>
          <w:szCs w:val="24"/>
        </w:rPr>
      </w:pPr>
      <w:hyperlink r:id="rId7" w:history="1">
        <w:r w:rsidRPr="00CB7237" w:rsidR="00E20E31">
          <w:rPr>
            <w:rStyle w:val="Hyperlink"/>
            <w:szCs w:val="24"/>
          </w:rPr>
          <w:t>maureen.willis@occ.ohio.gov</w:t>
        </w:r>
      </w:hyperlink>
      <w:r w:rsidRPr="00CB7237" w:rsidR="00E20E31">
        <w:rPr>
          <w:szCs w:val="24"/>
        </w:rPr>
        <w:t xml:space="preserve"> </w:t>
      </w:r>
    </w:p>
    <w:p w:rsidR="00E164F3" w:rsidRPr="00CB7237" w:rsidP="00E164F3" w14:paraId="049890E9" w14:textId="44EBD4BE">
      <w:pPr>
        <w:ind w:left="4320"/>
        <w:rPr>
          <w:szCs w:val="24"/>
        </w:rPr>
      </w:pPr>
      <w:hyperlink r:id="rId8" w:history="1">
        <w:r w:rsidRPr="00CB7237" w:rsidR="00E20E31">
          <w:rPr>
            <w:rStyle w:val="Hyperlink"/>
            <w:szCs w:val="24"/>
          </w:rPr>
          <w:t>william.michael@occ.ohio.gov</w:t>
        </w:r>
      </w:hyperlink>
    </w:p>
    <w:p w:rsidR="00E164F3" w:rsidRPr="00CB7237" w:rsidP="00812780" w14:paraId="4BBD5D31" w14:textId="77777777">
      <w:pPr>
        <w:pStyle w:val="BodyTextIndent3"/>
        <w:widowControl w:val="0"/>
        <w:spacing w:line="240" w:lineRule="auto"/>
        <w:ind w:left="4320" w:right="-672"/>
        <w:rPr>
          <w:szCs w:val="24"/>
        </w:rPr>
      </w:pPr>
      <w:r w:rsidRPr="00CB7237">
        <w:rPr>
          <w:szCs w:val="24"/>
        </w:rPr>
        <w:t>(willing to accept service by e-mail)</w:t>
      </w:r>
    </w:p>
    <w:p w:rsidR="009623C0" w:rsidRPr="00CB7237" w:rsidP="0062159C" w14:paraId="7EAF18D8" w14:textId="1B1EC2F1">
      <w:pPr>
        <w:pStyle w:val="BodyTextIndent3"/>
        <w:widowControl w:val="0"/>
        <w:spacing w:line="240" w:lineRule="auto"/>
        <w:ind w:left="0"/>
        <w:jc w:val="center"/>
        <w:rPr>
          <w:b/>
          <w:bCs/>
          <w:szCs w:val="24"/>
          <w:u w:val="single"/>
        </w:rPr>
      </w:pPr>
      <w:r w:rsidRPr="00CB7237">
        <w:rPr>
          <w:szCs w:val="24"/>
        </w:rPr>
        <w:br w:type="page"/>
      </w:r>
      <w:r w:rsidRPr="00CB7237">
        <w:rPr>
          <w:b/>
          <w:bCs/>
          <w:szCs w:val="24"/>
          <w:u w:val="single"/>
        </w:rPr>
        <w:t>CERTIFICATE OF SERVICE</w:t>
      </w:r>
    </w:p>
    <w:p w:rsidR="00E164F3" w:rsidRPr="00CB7237" w:rsidP="00E164F3" w14:paraId="062955F8" w14:textId="77777777">
      <w:pPr>
        <w:pStyle w:val="BodyTextIndent3"/>
        <w:widowControl w:val="0"/>
        <w:spacing w:line="240" w:lineRule="auto"/>
        <w:ind w:left="0" w:right="-672" w:firstLine="720"/>
        <w:jc w:val="center"/>
        <w:rPr>
          <w:b/>
          <w:bCs/>
          <w:szCs w:val="24"/>
          <w:u w:val="single"/>
        </w:rPr>
      </w:pPr>
    </w:p>
    <w:p w:rsidR="009623C0" w:rsidRPr="00CB7237" w:rsidP="0062159C" w14:paraId="1E58FFBF" w14:textId="56BF155F">
      <w:pPr>
        <w:spacing w:line="480" w:lineRule="auto"/>
        <w:ind w:firstLine="720"/>
        <w:rPr>
          <w:szCs w:val="24"/>
        </w:rPr>
      </w:pPr>
      <w:r w:rsidRPr="00CB7237">
        <w:rPr>
          <w:szCs w:val="24"/>
        </w:rPr>
        <w:tab/>
      </w:r>
      <w:r w:rsidRPr="00CB7237" w:rsidR="00EB6AD3">
        <w:rPr>
          <w:szCs w:val="24"/>
        </w:rPr>
        <w:t xml:space="preserve">I hereby certify that a copy of the foregoing Motion was electronically served via electric transmission on the persons stated below this </w:t>
      </w:r>
      <w:r w:rsidRPr="00CB7237" w:rsidR="0062159C">
        <w:rPr>
          <w:szCs w:val="24"/>
        </w:rPr>
        <w:t>13</w:t>
      </w:r>
      <w:r w:rsidRPr="00CB7237" w:rsidR="0062159C">
        <w:rPr>
          <w:szCs w:val="24"/>
          <w:vertAlign w:val="superscript"/>
        </w:rPr>
        <w:t>th</w:t>
      </w:r>
      <w:r w:rsidRPr="00CB7237" w:rsidR="0062159C">
        <w:rPr>
          <w:szCs w:val="24"/>
        </w:rPr>
        <w:t xml:space="preserve"> </w:t>
      </w:r>
      <w:r w:rsidRPr="00CB7237" w:rsidR="00EB6AD3">
        <w:rPr>
          <w:szCs w:val="24"/>
        </w:rPr>
        <w:t>day of May 2022.</w:t>
      </w:r>
    </w:p>
    <w:p w:rsidR="009623C0" w:rsidRPr="00CB7237" w:rsidP="009623C0" w14:paraId="5757FDCE" w14:textId="5A489DE0">
      <w:pPr>
        <w:tabs>
          <w:tab w:val="left" w:pos="4320"/>
        </w:tabs>
        <w:rPr>
          <w:szCs w:val="24"/>
          <w:u w:val="single"/>
        </w:rPr>
      </w:pPr>
      <w:r w:rsidRPr="00CB7237">
        <w:rPr>
          <w:szCs w:val="24"/>
        </w:rPr>
        <w:tab/>
      </w:r>
      <w:r w:rsidRPr="00CB7237">
        <w:rPr>
          <w:i/>
          <w:szCs w:val="24"/>
          <w:u w:val="single"/>
        </w:rPr>
        <w:t xml:space="preserve">/s/ </w:t>
      </w:r>
      <w:r w:rsidRPr="00CB7237" w:rsidR="00E0340C">
        <w:rPr>
          <w:i/>
          <w:szCs w:val="24"/>
          <w:u w:val="single"/>
        </w:rPr>
        <w:t xml:space="preserve">Maureen </w:t>
      </w:r>
      <w:r w:rsidRPr="00CB7237" w:rsidR="00E164F3">
        <w:rPr>
          <w:i/>
          <w:szCs w:val="24"/>
          <w:u w:val="single"/>
        </w:rPr>
        <w:t>R. Willis</w:t>
      </w:r>
      <w:r w:rsidRPr="00CB7237" w:rsidR="00E164F3">
        <w:rPr>
          <w:i/>
          <w:szCs w:val="24"/>
          <w:u w:val="single"/>
        </w:rPr>
        <w:tab/>
      </w:r>
      <w:r w:rsidRPr="00CB7237" w:rsidR="00E164F3">
        <w:rPr>
          <w:i/>
          <w:szCs w:val="24"/>
          <w:u w:val="single"/>
        </w:rPr>
        <w:tab/>
      </w:r>
    </w:p>
    <w:p w:rsidR="00E0340C" w:rsidRPr="00CB7237" w:rsidP="009623C0" w14:paraId="65B0A33F" w14:textId="3D8B884E">
      <w:pPr>
        <w:pStyle w:val="EndnoteText"/>
        <w:widowControl/>
        <w:rPr>
          <w:rFonts w:ascii="Times New Roman" w:hAnsi="Times New Roman"/>
          <w:snapToGrid/>
          <w:szCs w:val="24"/>
        </w:rPr>
      </w:pPr>
      <w:r w:rsidRPr="00CB7237">
        <w:rPr>
          <w:rFonts w:ascii="Times New Roman" w:hAnsi="Times New Roman"/>
          <w:snapToGrid/>
          <w:szCs w:val="24"/>
        </w:rPr>
        <w:tab/>
      </w:r>
      <w:r w:rsidRPr="00CB7237">
        <w:rPr>
          <w:rFonts w:ascii="Times New Roman" w:hAnsi="Times New Roman"/>
          <w:snapToGrid/>
          <w:szCs w:val="24"/>
        </w:rPr>
        <w:tab/>
      </w:r>
      <w:r w:rsidRPr="00CB7237">
        <w:rPr>
          <w:rFonts w:ascii="Times New Roman" w:hAnsi="Times New Roman"/>
          <w:snapToGrid/>
          <w:szCs w:val="24"/>
        </w:rPr>
        <w:tab/>
      </w:r>
      <w:r w:rsidRPr="00CB7237">
        <w:rPr>
          <w:rFonts w:ascii="Times New Roman" w:hAnsi="Times New Roman"/>
          <w:snapToGrid/>
          <w:szCs w:val="24"/>
        </w:rPr>
        <w:tab/>
      </w:r>
      <w:r w:rsidRPr="00CB7237">
        <w:rPr>
          <w:rFonts w:ascii="Times New Roman" w:hAnsi="Times New Roman"/>
          <w:snapToGrid/>
          <w:szCs w:val="24"/>
        </w:rPr>
        <w:tab/>
      </w:r>
      <w:r w:rsidRPr="00CB7237">
        <w:rPr>
          <w:rFonts w:ascii="Times New Roman" w:hAnsi="Times New Roman"/>
          <w:snapToGrid/>
          <w:szCs w:val="24"/>
        </w:rPr>
        <w:tab/>
        <w:t xml:space="preserve">Maureen R. </w:t>
      </w:r>
      <w:r w:rsidRPr="00CB7237" w:rsidR="00DA7BBA">
        <w:rPr>
          <w:rFonts w:ascii="Times New Roman" w:hAnsi="Times New Roman"/>
          <w:snapToGrid/>
          <w:szCs w:val="24"/>
        </w:rPr>
        <w:t>Willis</w:t>
      </w:r>
    </w:p>
    <w:p w:rsidR="009623C0" w:rsidRPr="00CB7237" w:rsidP="00E0340C" w14:paraId="447398CE" w14:textId="77777777">
      <w:pPr>
        <w:pStyle w:val="EndnoteText"/>
        <w:widowControl/>
        <w:ind w:left="3600" w:firstLine="720"/>
        <w:rPr>
          <w:rFonts w:ascii="Times New Roman" w:hAnsi="Times New Roman"/>
          <w:snapToGrid/>
          <w:szCs w:val="24"/>
        </w:rPr>
      </w:pPr>
      <w:r w:rsidRPr="00CB7237">
        <w:rPr>
          <w:rFonts w:ascii="Times New Roman" w:hAnsi="Times New Roman"/>
          <w:snapToGrid/>
          <w:szCs w:val="24"/>
        </w:rPr>
        <w:t>Assistant Consumers’ Counsel</w:t>
      </w:r>
    </w:p>
    <w:p w:rsidR="009623C0" w:rsidRPr="00CB7237" w:rsidP="009623C0" w14:paraId="21B9E669" w14:textId="75C07EA1">
      <w:pPr>
        <w:pStyle w:val="EndnoteText"/>
        <w:widowControl/>
        <w:rPr>
          <w:rFonts w:ascii="Times New Roman" w:hAnsi="Times New Roman"/>
          <w:snapToGrid/>
          <w:szCs w:val="24"/>
        </w:rPr>
      </w:pPr>
    </w:p>
    <w:p w:rsidR="00EB6AD3" w:rsidRPr="00CB7237" w:rsidP="00EB6AD3" w14:paraId="09E6B028" w14:textId="77777777">
      <w:pPr>
        <w:rPr>
          <w:szCs w:val="24"/>
        </w:rPr>
      </w:pPr>
      <w:r w:rsidRPr="00CB7237">
        <w:rPr>
          <w:szCs w:val="24"/>
        </w:rPr>
        <w:t>The PUCO’s e-filing system will electronically serve notice of the filing of this document on the following parties:</w:t>
      </w:r>
    </w:p>
    <w:p w:rsidR="00EB6AD3" w:rsidRPr="00CB7237" w:rsidP="009623C0" w14:paraId="74C6CE56" w14:textId="77777777">
      <w:pPr>
        <w:pStyle w:val="EndnoteText"/>
        <w:widowControl/>
        <w:rPr>
          <w:rFonts w:ascii="Times New Roman" w:hAnsi="Times New Roman"/>
          <w:snapToGrid/>
          <w:szCs w:val="24"/>
        </w:rPr>
      </w:pPr>
    </w:p>
    <w:p w:rsidR="009623C0" w:rsidRPr="00CB7237" w:rsidP="009623C0" w14:paraId="73C9203C" w14:textId="77777777">
      <w:pPr>
        <w:jc w:val="center"/>
        <w:rPr>
          <w:rFonts w:eastAsia="Calibri"/>
          <w:b/>
          <w:bCs/>
          <w:szCs w:val="24"/>
          <w:u w:val="single"/>
        </w:rPr>
      </w:pPr>
      <w:r w:rsidRPr="00CB7237">
        <w:rPr>
          <w:rFonts w:eastAsia="Calibri"/>
          <w:b/>
          <w:bCs/>
          <w:szCs w:val="24"/>
          <w:u w:val="single"/>
        </w:rPr>
        <w:t>SERVICE LIST</w:t>
      </w:r>
    </w:p>
    <w:p w:rsidR="00B27D8D" w:rsidRPr="00CB7237" w:rsidP="00B27D8D" w14:paraId="05E692B0" w14:textId="77777777">
      <w:pPr>
        <w:tabs>
          <w:tab w:val="left" w:pos="4320"/>
        </w:tabs>
        <w:jc w:val="center"/>
        <w:rPr>
          <w:b/>
          <w:bCs/>
          <w:szCs w:val="24"/>
        </w:rPr>
      </w:pPr>
    </w:p>
    <w:tbl>
      <w:tblPr>
        <w:tblW w:w="8876" w:type="dxa"/>
        <w:tblLook w:val="04A0"/>
      </w:tblPr>
      <w:tblGrid>
        <w:gridCol w:w="4449"/>
        <w:gridCol w:w="4427"/>
      </w:tblGrid>
      <w:tr w14:paraId="7C4D259E" w14:textId="77777777" w:rsidTr="00FC763C">
        <w:tblPrEx>
          <w:tblW w:w="8876" w:type="dxa"/>
          <w:tblLook w:val="04A0"/>
        </w:tblPrEx>
        <w:tc>
          <w:tcPr>
            <w:tcW w:w="4449" w:type="dxa"/>
            <w:shd w:val="clear" w:color="auto" w:fill="auto"/>
          </w:tcPr>
          <w:p w:rsidR="00CB1035" w:rsidRPr="00CB7237" w:rsidP="00DA7BBA" w14:paraId="2E8994AA" w14:textId="77777777">
            <w:pPr>
              <w:adjustRightInd w:val="0"/>
              <w:rPr>
                <w:szCs w:val="24"/>
              </w:rPr>
            </w:pPr>
            <w:hyperlink r:id="rId10" w:history="1">
              <w:r w:rsidRPr="00CB7237" w:rsidR="00A7354B">
                <w:rPr>
                  <w:rStyle w:val="Hyperlink"/>
                  <w:szCs w:val="24"/>
                </w:rPr>
                <w:t>thomas.lindgren@ohioAGO.gov</w:t>
              </w:r>
            </w:hyperlink>
          </w:p>
          <w:p w:rsidR="00CB1035" w:rsidRPr="00CB7237" w:rsidP="00DA7BBA" w14:paraId="44595ECE" w14:textId="27614893">
            <w:pPr>
              <w:adjustRightInd w:val="0"/>
              <w:rPr>
                <w:szCs w:val="24"/>
              </w:rPr>
            </w:pPr>
            <w:hyperlink r:id="rId11" w:history="1">
              <w:r w:rsidRPr="00CB7237" w:rsidR="00B54DBD">
                <w:rPr>
                  <w:rStyle w:val="Hyperlink"/>
                  <w:szCs w:val="24"/>
                </w:rPr>
                <w:t>kyle.kern@ohioAGO.gov</w:t>
              </w:r>
            </w:hyperlink>
          </w:p>
          <w:p w:rsidR="00DA7BBA" w:rsidRPr="00CB7237" w:rsidP="00DA7BBA" w14:paraId="18B5DC7A" w14:textId="06DC38BB">
            <w:pPr>
              <w:adjustRightInd w:val="0"/>
              <w:rPr>
                <w:szCs w:val="24"/>
              </w:rPr>
            </w:pPr>
            <w:hyperlink r:id="rId12" w:history="1">
              <w:r w:rsidRPr="00CB7237" w:rsidR="00E20E31">
                <w:rPr>
                  <w:color w:val="0000FF"/>
                  <w:szCs w:val="24"/>
                  <w:u w:val="single"/>
                </w:rPr>
                <w:t>djireland@ficlaw.com</w:t>
              </w:r>
            </w:hyperlink>
          </w:p>
          <w:p w:rsidR="00DA7BBA" w:rsidRPr="00CB7237" w:rsidP="00DA7BBA" w14:paraId="13D7E10E" w14:textId="3B3F5123">
            <w:pPr>
              <w:adjustRightInd w:val="0"/>
              <w:rPr>
                <w:color w:val="0000FF"/>
                <w:szCs w:val="24"/>
                <w:u w:val="single"/>
              </w:rPr>
            </w:pPr>
            <w:hyperlink r:id="rId13" w:history="1">
              <w:r w:rsidRPr="00CB7237" w:rsidR="00E20E31">
                <w:rPr>
                  <w:color w:val="0000FF"/>
                  <w:szCs w:val="24"/>
                  <w:u w:val="single"/>
                </w:rPr>
                <w:t>jsharkey@ficlaw.com</w:t>
              </w:r>
            </w:hyperlink>
          </w:p>
          <w:p w:rsidR="00DA7BBA" w:rsidRPr="00CB7237" w:rsidP="00DA7BBA" w14:paraId="5BE19A6B" w14:textId="1021B254">
            <w:pPr>
              <w:adjustRightInd w:val="0"/>
              <w:rPr>
                <w:color w:val="0000FF"/>
                <w:szCs w:val="24"/>
                <w:u w:val="single"/>
              </w:rPr>
            </w:pPr>
            <w:hyperlink r:id="rId14" w:history="1">
              <w:r w:rsidRPr="00CB7237" w:rsidR="00E20E31">
                <w:rPr>
                  <w:rStyle w:val="Hyperlink"/>
                  <w:szCs w:val="24"/>
                </w:rPr>
                <w:t>christopher.hollon@aes.com</w:t>
              </w:r>
            </w:hyperlink>
          </w:p>
          <w:p w:rsidR="00DA7BBA" w:rsidRPr="00CB7237" w:rsidP="00DA7BBA" w14:paraId="5ACBF056" w14:textId="5A786DE7">
            <w:pPr>
              <w:tabs>
                <w:tab w:val="left" w:pos="4320"/>
              </w:tabs>
              <w:rPr>
                <w:color w:val="0000FF"/>
                <w:szCs w:val="24"/>
              </w:rPr>
            </w:pPr>
            <w:hyperlink r:id="rId15" w:history="1">
              <w:r w:rsidRPr="00CB7237" w:rsidR="00E20E31">
                <w:rPr>
                  <w:rStyle w:val="Hyperlink"/>
                  <w:szCs w:val="24"/>
                </w:rPr>
                <w:t>joliker@igsenergy.com</w:t>
              </w:r>
            </w:hyperlink>
            <w:r w:rsidRPr="00CB7237" w:rsidR="00E20E31">
              <w:rPr>
                <w:color w:val="0000FF"/>
                <w:szCs w:val="24"/>
              </w:rPr>
              <w:t xml:space="preserve"> </w:t>
            </w:r>
          </w:p>
          <w:p w:rsidR="00DA7BBA" w:rsidRPr="00CB7237" w:rsidP="00DA7BBA" w14:paraId="5CCFE92F" w14:textId="1F9CA26A">
            <w:pPr>
              <w:adjustRightInd w:val="0"/>
              <w:rPr>
                <w:szCs w:val="24"/>
              </w:rPr>
            </w:pPr>
            <w:hyperlink r:id="rId16" w:history="1">
              <w:r w:rsidRPr="00CB7237" w:rsidR="00E20E31">
                <w:rPr>
                  <w:color w:val="0000FF"/>
                  <w:szCs w:val="24"/>
                  <w:u w:val="single"/>
                </w:rPr>
                <w:t>Ned.Ford@fuse.net</w:t>
              </w:r>
            </w:hyperlink>
          </w:p>
          <w:p w:rsidR="00DA7BBA" w:rsidRPr="00CB7237" w:rsidP="00DA7BBA" w14:paraId="2F319707" w14:textId="3111B0C8">
            <w:pPr>
              <w:adjustRightInd w:val="0"/>
              <w:rPr>
                <w:color w:val="0000FF"/>
                <w:szCs w:val="24"/>
                <w:u w:val="single"/>
              </w:rPr>
            </w:pPr>
            <w:hyperlink r:id="rId17" w:history="1">
              <w:r w:rsidRPr="00CB7237" w:rsidR="00E20E31">
                <w:rPr>
                  <w:color w:val="0000FF"/>
                  <w:szCs w:val="24"/>
                  <w:u w:val="single"/>
                </w:rPr>
                <w:t>mjsettineri@vorys.com</w:t>
              </w:r>
            </w:hyperlink>
          </w:p>
          <w:p w:rsidR="00DA7BBA" w:rsidRPr="00CB7237" w:rsidP="00DA7BBA" w14:paraId="1C7BB10D" w14:textId="306DFC07">
            <w:pPr>
              <w:adjustRightInd w:val="0"/>
              <w:rPr>
                <w:color w:val="0000FF"/>
                <w:szCs w:val="24"/>
              </w:rPr>
            </w:pPr>
            <w:hyperlink r:id="rId18" w:history="1">
              <w:r w:rsidRPr="00CB7237" w:rsidR="00E20E31">
                <w:rPr>
                  <w:color w:val="0000FF"/>
                  <w:szCs w:val="24"/>
                  <w:u w:val="single"/>
                </w:rPr>
                <w:t>glpetrucci@vorys.com</w:t>
              </w:r>
            </w:hyperlink>
          </w:p>
          <w:p w:rsidR="00DA7BBA" w:rsidRPr="00CB7237" w:rsidP="00DA7BBA" w14:paraId="5043FA77" w14:textId="7D4ED05C">
            <w:pPr>
              <w:adjustRightInd w:val="0"/>
              <w:rPr>
                <w:szCs w:val="24"/>
              </w:rPr>
            </w:pPr>
            <w:hyperlink r:id="rId19" w:history="1">
              <w:r w:rsidRPr="00CB7237" w:rsidR="00E20E31">
                <w:rPr>
                  <w:color w:val="0000FF"/>
                  <w:szCs w:val="24"/>
                  <w:u w:val="single"/>
                </w:rPr>
                <w:t>Bojko@carpenterlipps.com</w:t>
              </w:r>
            </w:hyperlink>
            <w:r w:rsidRPr="00CB7237" w:rsidR="00E20E31">
              <w:rPr>
                <w:szCs w:val="24"/>
              </w:rPr>
              <w:t xml:space="preserve"> </w:t>
            </w:r>
          </w:p>
          <w:p w:rsidR="00DA7BBA" w:rsidRPr="00CB7237" w:rsidP="00DA7BBA" w14:paraId="5AEC90A7" w14:textId="080889AE">
            <w:pPr>
              <w:adjustRightInd w:val="0"/>
              <w:rPr>
                <w:szCs w:val="24"/>
              </w:rPr>
            </w:pPr>
            <w:hyperlink r:id="rId20" w:history="1">
              <w:r w:rsidRPr="00CB7237" w:rsidR="00E20E31">
                <w:rPr>
                  <w:color w:val="0000FF"/>
                  <w:szCs w:val="24"/>
                  <w:u w:val="single"/>
                </w:rPr>
                <w:t>paul@carpenterlipps.com</w:t>
              </w:r>
            </w:hyperlink>
          </w:p>
          <w:p w:rsidR="00DA7BBA" w:rsidRPr="00CB7237" w:rsidP="00DA7BBA" w14:paraId="40764650" w14:textId="76CFF495">
            <w:pPr>
              <w:adjustRightInd w:val="0"/>
              <w:rPr>
                <w:szCs w:val="24"/>
              </w:rPr>
            </w:pPr>
            <w:hyperlink r:id="rId21" w:history="1">
              <w:r w:rsidRPr="00CB7237" w:rsidR="00E20E31">
                <w:rPr>
                  <w:color w:val="0000FF"/>
                  <w:szCs w:val="24"/>
                  <w:u w:val="single"/>
                </w:rPr>
                <w:t>slesser@beneschlaw.com</w:t>
              </w:r>
            </w:hyperlink>
          </w:p>
          <w:p w:rsidR="00DA7BBA" w:rsidRPr="00CB7237" w:rsidP="00DA7BBA" w14:paraId="14743744" w14:textId="58AC6FF5">
            <w:pPr>
              <w:adjustRightInd w:val="0"/>
              <w:rPr>
                <w:szCs w:val="24"/>
              </w:rPr>
            </w:pPr>
            <w:hyperlink r:id="rId22" w:history="1">
              <w:r w:rsidRPr="00CB7237" w:rsidR="00E20E31">
                <w:rPr>
                  <w:color w:val="0000FF"/>
                  <w:szCs w:val="24"/>
                  <w:u w:val="single"/>
                </w:rPr>
                <w:t>mkeaney@beneschlaw.com</w:t>
              </w:r>
            </w:hyperlink>
          </w:p>
          <w:p w:rsidR="00917C1E" w:rsidRPr="00CB7237" w:rsidP="00DA7BBA" w14:paraId="3BC27177" w14:textId="77777777">
            <w:pPr>
              <w:adjustRightInd w:val="0"/>
              <w:rPr>
                <w:color w:val="0000FF"/>
                <w:szCs w:val="24"/>
                <w:u w:val="single"/>
              </w:rPr>
            </w:pPr>
            <w:hyperlink r:id="rId23" w:history="1">
              <w:r w:rsidRPr="00CB7237" w:rsidR="00DA7BBA">
                <w:rPr>
                  <w:color w:val="0000FF"/>
                  <w:szCs w:val="24"/>
                  <w:u w:val="single"/>
                </w:rPr>
                <w:t>talexander@beneschlaw.com</w:t>
              </w:r>
            </w:hyperlink>
          </w:p>
          <w:p w:rsidR="00917C1E" w:rsidRPr="00CB7237" w:rsidP="00DA7BBA" w14:paraId="0B78C8E4" w14:textId="5FA1CE86">
            <w:pPr>
              <w:adjustRightInd w:val="0"/>
              <w:rPr>
                <w:szCs w:val="24"/>
              </w:rPr>
            </w:pPr>
            <w:hyperlink r:id="rId24" w:history="1">
              <w:r w:rsidRPr="00CB7237" w:rsidR="00E20E31">
                <w:rPr>
                  <w:rStyle w:val="Hyperlink"/>
                  <w:szCs w:val="24"/>
                </w:rPr>
                <w:t>ssiewe@beneschlaw.com</w:t>
              </w:r>
            </w:hyperlink>
          </w:p>
          <w:p w:rsidR="00DA7BBA" w:rsidRPr="00CB7237" w:rsidP="00DA7BBA" w14:paraId="4146E925" w14:textId="40FC73A9">
            <w:pPr>
              <w:adjustRightInd w:val="0"/>
              <w:rPr>
                <w:szCs w:val="24"/>
              </w:rPr>
            </w:pPr>
            <w:hyperlink r:id="rId25" w:history="1">
              <w:r w:rsidRPr="00CB7237" w:rsidR="00E20E31">
                <w:rPr>
                  <w:color w:val="0000FF"/>
                  <w:szCs w:val="24"/>
                  <w:u w:val="single"/>
                </w:rPr>
                <w:t>mswhite@igsenergy.com</w:t>
              </w:r>
            </w:hyperlink>
            <w:r w:rsidRPr="00CB7237" w:rsidR="00E20E31">
              <w:rPr>
                <w:szCs w:val="24"/>
              </w:rPr>
              <w:t xml:space="preserve"> </w:t>
            </w:r>
          </w:p>
          <w:p w:rsidR="00DA7BBA" w:rsidRPr="00CB7237" w:rsidP="00DA7BBA" w14:paraId="586B0735" w14:textId="45EC93A4">
            <w:pPr>
              <w:adjustRightInd w:val="0"/>
              <w:rPr>
                <w:szCs w:val="24"/>
              </w:rPr>
            </w:pPr>
            <w:hyperlink r:id="rId26" w:history="1">
              <w:r w:rsidRPr="00CB7237" w:rsidR="00F65F24">
                <w:rPr>
                  <w:rStyle w:val="Hyperlink"/>
                  <w:szCs w:val="24"/>
                </w:rPr>
                <w:t>dborcher@bricker.com</w:t>
              </w:r>
            </w:hyperlink>
          </w:p>
          <w:p w:rsidR="00DA7BBA" w:rsidRPr="00CB7237" w:rsidP="00DA7BBA" w14:paraId="1D006322" w14:textId="5FE5D9E5">
            <w:pPr>
              <w:adjustRightInd w:val="0"/>
              <w:rPr>
                <w:color w:val="0000FF"/>
                <w:szCs w:val="24"/>
                <w:u w:val="single"/>
              </w:rPr>
            </w:pPr>
            <w:hyperlink r:id="rId27" w:history="1">
              <w:r w:rsidRPr="00CB7237" w:rsidR="00E20E31">
                <w:rPr>
                  <w:color w:val="0000FF"/>
                  <w:szCs w:val="24"/>
                  <w:u w:val="single"/>
                </w:rPr>
                <w:t>dparram@bricker.com</w:t>
              </w:r>
            </w:hyperlink>
          </w:p>
          <w:p w:rsidR="00DA7BBA" w:rsidRPr="00CB7237" w:rsidP="00DA7BBA" w14:paraId="32E7D1E4" w14:textId="51FD5CD3">
            <w:pPr>
              <w:adjustRightInd w:val="0"/>
              <w:rPr>
                <w:color w:val="0000FF"/>
                <w:szCs w:val="24"/>
                <w:u w:val="single"/>
              </w:rPr>
            </w:pPr>
            <w:hyperlink r:id="rId28" w:history="1">
              <w:r w:rsidRPr="00CB7237" w:rsidR="00E20E31">
                <w:rPr>
                  <w:rStyle w:val="Hyperlink"/>
                  <w:szCs w:val="24"/>
                </w:rPr>
                <w:t>rmains@bricker.com</w:t>
              </w:r>
            </w:hyperlink>
          </w:p>
          <w:p w:rsidR="00DA7BBA" w:rsidRPr="00CB7237" w:rsidP="00DA7BBA" w14:paraId="026BD6B2" w14:textId="4128AD0A">
            <w:pPr>
              <w:adjustRightInd w:val="0"/>
              <w:rPr>
                <w:rStyle w:val="Hyperlink"/>
                <w:szCs w:val="24"/>
              </w:rPr>
            </w:pPr>
            <w:hyperlink r:id="rId29" w:history="1">
              <w:r w:rsidRPr="00CB7237" w:rsidR="00E20E31">
                <w:rPr>
                  <w:rStyle w:val="Hyperlink"/>
                  <w:szCs w:val="24"/>
                </w:rPr>
                <w:t>fdarr2019@gmail.com</w:t>
              </w:r>
            </w:hyperlink>
          </w:p>
          <w:p w:rsidR="00DA7BBA" w:rsidRPr="00CB7237" w:rsidP="00FC763C" w14:paraId="53EF789C" w14:textId="77777777">
            <w:pPr>
              <w:adjustRightInd w:val="0"/>
              <w:rPr>
                <w:szCs w:val="24"/>
              </w:rPr>
            </w:pPr>
          </w:p>
          <w:p w:rsidR="00DA7BBA" w:rsidRPr="00CB7237" w:rsidP="00FC763C" w14:paraId="24F2CE77" w14:textId="352057B0">
            <w:pPr>
              <w:adjustRightInd w:val="0"/>
              <w:rPr>
                <w:szCs w:val="24"/>
              </w:rPr>
            </w:pPr>
            <w:r w:rsidRPr="00CB7237">
              <w:rPr>
                <w:szCs w:val="24"/>
              </w:rPr>
              <w:t>Att</w:t>
            </w:r>
            <w:r w:rsidRPr="00CB7237" w:rsidR="000D7003">
              <w:rPr>
                <w:szCs w:val="24"/>
              </w:rPr>
              <w:t>orney Examiner</w:t>
            </w:r>
            <w:r w:rsidRPr="00CB7237">
              <w:rPr>
                <w:szCs w:val="24"/>
              </w:rPr>
              <w:t>:</w:t>
            </w:r>
          </w:p>
          <w:p w:rsidR="00DA7BBA" w:rsidRPr="00CB7237" w:rsidP="00FC763C" w14:paraId="11E78440" w14:textId="55F04808">
            <w:pPr>
              <w:adjustRightInd w:val="0"/>
              <w:rPr>
                <w:color w:val="0000FF"/>
                <w:szCs w:val="24"/>
                <w:u w:val="single"/>
              </w:rPr>
            </w:pPr>
            <w:hyperlink r:id="rId30" w:history="1">
              <w:r w:rsidRPr="00CB7237" w:rsidR="00A7354B">
                <w:rPr>
                  <w:rStyle w:val="Hyperlink"/>
                  <w:szCs w:val="24"/>
                </w:rPr>
                <w:t>gregory.price@puco.ohio.gov</w:t>
              </w:r>
            </w:hyperlink>
          </w:p>
          <w:p w:rsidR="00DA7BBA" w:rsidRPr="00CB7237" w:rsidP="00FC763C" w14:paraId="79C936A1" w14:textId="77777777">
            <w:pPr>
              <w:adjustRightInd w:val="0"/>
              <w:rPr>
                <w:szCs w:val="24"/>
              </w:rPr>
            </w:pPr>
          </w:p>
        </w:tc>
        <w:tc>
          <w:tcPr>
            <w:tcW w:w="4427" w:type="dxa"/>
            <w:shd w:val="clear" w:color="auto" w:fill="auto"/>
          </w:tcPr>
          <w:p w:rsidR="00DA7BBA" w:rsidRPr="00CB7237" w:rsidP="00FC763C" w14:paraId="3741C536" w14:textId="3DF5656B">
            <w:pPr>
              <w:adjustRightInd w:val="0"/>
              <w:rPr>
                <w:szCs w:val="24"/>
              </w:rPr>
            </w:pPr>
            <w:hyperlink r:id="rId31" w:history="1">
              <w:r w:rsidRPr="00CB7237" w:rsidR="002913CD">
                <w:rPr>
                  <w:rStyle w:val="Hyperlink"/>
                  <w:szCs w:val="24"/>
                </w:rPr>
                <w:t>jeanne.kingery@duke-energy.com</w:t>
              </w:r>
            </w:hyperlink>
            <w:r w:rsidRPr="00CB7237" w:rsidR="00E20E31">
              <w:rPr>
                <w:szCs w:val="24"/>
              </w:rPr>
              <w:t xml:space="preserve"> </w:t>
            </w:r>
          </w:p>
          <w:p w:rsidR="00DA7BBA" w:rsidRPr="00CB7237" w:rsidP="00FC763C" w14:paraId="713772DE" w14:textId="05A7399D">
            <w:pPr>
              <w:adjustRightInd w:val="0"/>
              <w:rPr>
                <w:szCs w:val="24"/>
              </w:rPr>
            </w:pPr>
            <w:hyperlink r:id="rId32" w:history="1">
              <w:r w:rsidRPr="00CB7237" w:rsidR="00E20E31">
                <w:rPr>
                  <w:color w:val="0000FF"/>
                  <w:szCs w:val="24"/>
                  <w:u w:val="single"/>
                </w:rPr>
                <w:t>haydenm@firstenergycorp.com</w:t>
              </w:r>
            </w:hyperlink>
            <w:r w:rsidRPr="00CB7237" w:rsidR="00E20E31">
              <w:rPr>
                <w:szCs w:val="24"/>
              </w:rPr>
              <w:t xml:space="preserve"> </w:t>
            </w:r>
          </w:p>
          <w:p w:rsidR="00DA7BBA" w:rsidRPr="00CB7237" w:rsidP="00FC763C" w14:paraId="773EAF13" w14:textId="47AC1430">
            <w:pPr>
              <w:adjustRightInd w:val="0"/>
              <w:rPr>
                <w:szCs w:val="24"/>
              </w:rPr>
            </w:pPr>
            <w:hyperlink r:id="rId33" w:history="1">
              <w:r w:rsidRPr="00CB7237" w:rsidR="00E20E31">
                <w:rPr>
                  <w:color w:val="0000FF"/>
                  <w:szCs w:val="24"/>
                  <w:u w:val="single"/>
                </w:rPr>
                <w:t>mjsatterwhite@aep.com</w:t>
              </w:r>
            </w:hyperlink>
          </w:p>
          <w:p w:rsidR="00DA7BBA" w:rsidRPr="00CB7237" w:rsidP="00FC763C" w14:paraId="3ACF52A1" w14:textId="1BC4ED5A">
            <w:pPr>
              <w:adjustRightInd w:val="0"/>
              <w:rPr>
                <w:szCs w:val="24"/>
              </w:rPr>
            </w:pPr>
            <w:hyperlink r:id="rId34" w:history="1">
              <w:r w:rsidRPr="00CB7237" w:rsidR="00E20E31">
                <w:rPr>
                  <w:color w:val="0000FF"/>
                  <w:szCs w:val="24"/>
                  <w:u w:val="single"/>
                </w:rPr>
                <w:t>stnourse@aep.com</w:t>
              </w:r>
            </w:hyperlink>
            <w:r w:rsidRPr="00CB7237" w:rsidR="00E20E31">
              <w:rPr>
                <w:szCs w:val="24"/>
              </w:rPr>
              <w:t xml:space="preserve"> </w:t>
            </w:r>
          </w:p>
          <w:p w:rsidR="00DA7BBA" w:rsidRPr="00CB7237" w:rsidP="00FC763C" w14:paraId="3EA1C587" w14:textId="75BD5E49">
            <w:pPr>
              <w:adjustRightInd w:val="0"/>
              <w:rPr>
                <w:color w:val="0000FF"/>
                <w:szCs w:val="24"/>
                <w:u w:val="single"/>
                <w:lang w:val="de-DE"/>
              </w:rPr>
            </w:pPr>
            <w:hyperlink r:id="rId35" w:history="1">
              <w:r w:rsidRPr="00CB7237" w:rsidR="00E20E31">
                <w:rPr>
                  <w:color w:val="0000FF"/>
                  <w:szCs w:val="24"/>
                  <w:u w:val="single"/>
                  <w:lang w:val="de-DE"/>
                </w:rPr>
                <w:t>henryeckhart@aol.com</w:t>
              </w:r>
            </w:hyperlink>
          </w:p>
          <w:p w:rsidR="00DA7BBA" w:rsidRPr="00CB7237" w:rsidP="00FC763C" w14:paraId="5F239A1E" w14:textId="77777777">
            <w:pPr>
              <w:adjustRightInd w:val="0"/>
              <w:rPr>
                <w:szCs w:val="24"/>
                <w:lang w:val="de-DE"/>
              </w:rPr>
            </w:pPr>
            <w:r w:rsidRPr="00CB7237">
              <w:rPr>
                <w:color w:val="0000FF"/>
                <w:szCs w:val="24"/>
                <w:u w:val="single"/>
                <w:lang w:val="de-DE"/>
              </w:rPr>
              <w:t>michael.nugent@igs.com</w:t>
            </w:r>
          </w:p>
          <w:p w:rsidR="00DA7BBA" w:rsidRPr="00CB7237" w:rsidP="00FC763C" w14:paraId="73DC5513" w14:textId="4B38D198">
            <w:pPr>
              <w:rPr>
                <w:szCs w:val="24"/>
              </w:rPr>
            </w:pPr>
            <w:hyperlink r:id="rId36" w:history="1">
              <w:r w:rsidRPr="00CB7237" w:rsidR="00E20E31">
                <w:rPr>
                  <w:color w:val="0000FF"/>
                  <w:szCs w:val="24"/>
                  <w:u w:val="single"/>
                </w:rPr>
                <w:t>dboehm@bkllawfirm.com</w:t>
              </w:r>
            </w:hyperlink>
          </w:p>
          <w:p w:rsidR="00DA7BBA" w:rsidRPr="00CB7237" w:rsidP="00FC763C" w14:paraId="66B8B47C" w14:textId="6D152064">
            <w:pPr>
              <w:rPr>
                <w:szCs w:val="24"/>
              </w:rPr>
            </w:pPr>
            <w:hyperlink r:id="rId37" w:history="1">
              <w:r w:rsidRPr="00CB7237" w:rsidR="00E20E31">
                <w:rPr>
                  <w:color w:val="0000FF"/>
                  <w:szCs w:val="24"/>
                  <w:u w:val="single"/>
                </w:rPr>
                <w:t>mkurtz@bkllawfirm.com</w:t>
              </w:r>
            </w:hyperlink>
          </w:p>
          <w:p w:rsidR="00DA7BBA" w:rsidRPr="00CB7237" w:rsidP="00FC763C" w14:paraId="56F0D92E" w14:textId="3317205A">
            <w:pPr>
              <w:rPr>
                <w:szCs w:val="24"/>
              </w:rPr>
            </w:pPr>
            <w:hyperlink r:id="rId38" w:history="1">
              <w:r w:rsidRPr="00CB7237" w:rsidR="00E20E31">
                <w:rPr>
                  <w:color w:val="0000FF"/>
                  <w:szCs w:val="24"/>
                  <w:u w:val="single"/>
                </w:rPr>
                <w:t>jkylercohn@bkllawfirm.com</w:t>
              </w:r>
            </w:hyperlink>
            <w:r w:rsidRPr="00CB7237" w:rsidR="00E20E31">
              <w:rPr>
                <w:szCs w:val="24"/>
              </w:rPr>
              <w:t xml:space="preserve"> </w:t>
            </w:r>
          </w:p>
          <w:p w:rsidR="00DA7BBA" w:rsidRPr="00CB7237" w:rsidP="00FC763C" w14:paraId="70C89545" w14:textId="44EA0DE9">
            <w:pPr>
              <w:rPr>
                <w:color w:val="0000FF"/>
                <w:szCs w:val="24"/>
                <w:u w:val="single"/>
              </w:rPr>
            </w:pPr>
            <w:hyperlink r:id="rId39" w:history="1">
              <w:r w:rsidRPr="00CB7237" w:rsidR="00E20E31">
                <w:rPr>
                  <w:color w:val="0000FF"/>
                  <w:szCs w:val="24"/>
                  <w:u w:val="single"/>
                </w:rPr>
                <w:t>Cynthia.brady@constellation.com</w:t>
              </w:r>
            </w:hyperlink>
          </w:p>
          <w:p w:rsidR="00DA7BBA" w:rsidRPr="00CB7237" w:rsidP="00FC763C" w14:paraId="5A1376EB" w14:textId="3188E06B">
            <w:pPr>
              <w:rPr>
                <w:szCs w:val="24"/>
              </w:rPr>
            </w:pPr>
            <w:hyperlink r:id="rId40" w:history="1">
              <w:r w:rsidRPr="00CB7237" w:rsidR="00E20E31">
                <w:rPr>
                  <w:color w:val="0000FF"/>
                  <w:szCs w:val="24"/>
                  <w:u w:val="single"/>
                </w:rPr>
                <w:t>David.fein@constellation.com</w:t>
              </w:r>
            </w:hyperlink>
          </w:p>
          <w:p w:rsidR="00DA7BBA" w:rsidRPr="00CB7237" w:rsidP="00FC763C" w14:paraId="427359E3" w14:textId="0A053CBD">
            <w:pPr>
              <w:adjustRightInd w:val="0"/>
              <w:rPr>
                <w:szCs w:val="24"/>
              </w:rPr>
            </w:pPr>
            <w:hyperlink r:id="rId41" w:history="1">
              <w:r w:rsidRPr="00CB7237" w:rsidR="00E20E31">
                <w:rPr>
                  <w:color w:val="0000FF"/>
                  <w:szCs w:val="24"/>
                  <w:u w:val="single"/>
                </w:rPr>
                <w:t>njohnson@theoec.org</w:t>
              </w:r>
            </w:hyperlink>
            <w:r w:rsidRPr="00CB7237" w:rsidR="00E20E31">
              <w:rPr>
                <w:szCs w:val="24"/>
              </w:rPr>
              <w:t xml:space="preserve"> </w:t>
            </w:r>
          </w:p>
          <w:p w:rsidR="00DA7BBA" w:rsidRPr="00CB7237" w:rsidP="00FC763C" w14:paraId="5E4C4330" w14:textId="2446F9A9">
            <w:pPr>
              <w:adjustRightInd w:val="0"/>
              <w:rPr>
                <w:szCs w:val="24"/>
              </w:rPr>
            </w:pPr>
            <w:hyperlink r:id="rId42" w:history="1">
              <w:r w:rsidRPr="00CB7237" w:rsidR="00E20E31">
                <w:rPr>
                  <w:color w:val="0000FF"/>
                  <w:szCs w:val="24"/>
                  <w:u w:val="single"/>
                </w:rPr>
                <w:t>Williams.toddm@gmail.com</w:t>
              </w:r>
            </w:hyperlink>
          </w:p>
          <w:p w:rsidR="00DA7BBA" w:rsidRPr="00CB7237" w:rsidP="00FC763C" w14:paraId="2EBA6D98" w14:textId="12E167E6">
            <w:pPr>
              <w:adjustRightInd w:val="0"/>
              <w:rPr>
                <w:szCs w:val="24"/>
              </w:rPr>
            </w:pPr>
            <w:hyperlink r:id="rId43" w:history="1">
              <w:r w:rsidRPr="00CB7237" w:rsidR="00E20E31">
                <w:rPr>
                  <w:color w:val="0000FF"/>
                  <w:szCs w:val="24"/>
                  <w:u w:val="single"/>
                </w:rPr>
                <w:t>ejacobs@ablelaw.org</w:t>
              </w:r>
            </w:hyperlink>
          </w:p>
          <w:p w:rsidR="00DA7BBA" w:rsidRPr="00CB7237" w:rsidP="00FC763C" w14:paraId="410B1BF0" w14:textId="019BA41A">
            <w:pPr>
              <w:adjustRightInd w:val="0"/>
              <w:rPr>
                <w:color w:val="0000FF"/>
                <w:szCs w:val="24"/>
                <w:u w:val="single"/>
              </w:rPr>
            </w:pPr>
            <w:hyperlink r:id="rId44" w:history="1">
              <w:r w:rsidRPr="00CB7237" w:rsidR="00E20E31">
                <w:rPr>
                  <w:color w:val="0000FF"/>
                  <w:szCs w:val="24"/>
                  <w:u w:val="single"/>
                </w:rPr>
                <w:t>stephen.chriss@wal-mart.com</w:t>
              </w:r>
            </w:hyperlink>
          </w:p>
          <w:p w:rsidR="00DA7BBA" w:rsidRPr="00CB7237" w:rsidP="00FC763C" w14:paraId="623B971C" w14:textId="72F7D2B4">
            <w:pPr>
              <w:adjustRightInd w:val="0"/>
              <w:rPr>
                <w:color w:val="0563C2"/>
                <w:szCs w:val="24"/>
              </w:rPr>
            </w:pPr>
            <w:hyperlink r:id="rId45" w:history="1">
              <w:r w:rsidRPr="00CB7237" w:rsidR="00E20E31">
                <w:rPr>
                  <w:color w:val="0000FF"/>
                  <w:szCs w:val="24"/>
                  <w:u w:val="single"/>
                </w:rPr>
                <w:t>rdove@keglerbrown.com</w:t>
              </w:r>
            </w:hyperlink>
          </w:p>
          <w:p w:rsidR="00DA7BBA" w:rsidRPr="00CB7237" w:rsidP="00FC763C" w14:paraId="2320ED9B" w14:textId="047DEF05">
            <w:pPr>
              <w:adjustRightInd w:val="0"/>
              <w:rPr>
                <w:szCs w:val="24"/>
              </w:rPr>
            </w:pPr>
            <w:hyperlink r:id="rId46" w:history="1">
              <w:r w:rsidRPr="00CB7237" w:rsidR="00E20E31">
                <w:rPr>
                  <w:color w:val="0000FF"/>
                  <w:szCs w:val="24"/>
                  <w:u w:val="single"/>
                </w:rPr>
                <w:t>fykes@whitt-sturtevant.com</w:t>
              </w:r>
            </w:hyperlink>
            <w:r w:rsidRPr="00CB7237" w:rsidR="00E20E31">
              <w:rPr>
                <w:szCs w:val="24"/>
              </w:rPr>
              <w:t xml:space="preserve"> </w:t>
            </w:r>
          </w:p>
          <w:p w:rsidR="00DA7BBA" w:rsidRPr="00CB7237" w:rsidP="00FC763C" w14:paraId="41482462" w14:textId="665B37E4">
            <w:pPr>
              <w:adjustRightInd w:val="0"/>
              <w:rPr>
                <w:color w:val="0000FF"/>
                <w:szCs w:val="24"/>
                <w:u w:val="single"/>
              </w:rPr>
            </w:pPr>
            <w:hyperlink r:id="rId47" w:history="1">
              <w:r w:rsidRPr="00CB7237" w:rsidR="00E20E31">
                <w:rPr>
                  <w:color w:val="0000FF"/>
                  <w:szCs w:val="24"/>
                  <w:u w:val="single"/>
                </w:rPr>
                <w:t>whitt@whitt-sturtevant.com</w:t>
              </w:r>
            </w:hyperlink>
          </w:p>
          <w:p w:rsidR="00DA7BBA" w:rsidRPr="00CB7237" w:rsidP="00FC763C" w14:paraId="07A88B9D" w14:textId="357CDA30">
            <w:pPr>
              <w:adjustRightInd w:val="0"/>
              <w:rPr>
                <w:color w:val="0000FF"/>
                <w:szCs w:val="24"/>
                <w:u w:val="single"/>
              </w:rPr>
            </w:pPr>
            <w:hyperlink r:id="rId48" w:history="1">
              <w:r w:rsidRPr="00CB7237" w:rsidR="00E20E31">
                <w:rPr>
                  <w:color w:val="0000FF"/>
                  <w:szCs w:val="24"/>
                  <w:u w:val="single"/>
                </w:rPr>
                <w:t>mpritchard@mcneeslaw.com</w:t>
              </w:r>
            </w:hyperlink>
          </w:p>
          <w:p w:rsidR="00DA7BBA" w:rsidRPr="00CB7237" w:rsidP="00FC763C" w14:paraId="2F3E2FF3" w14:textId="6BC6CCAD">
            <w:pPr>
              <w:adjustRightInd w:val="0"/>
              <w:rPr>
                <w:color w:val="0000FF"/>
                <w:szCs w:val="24"/>
                <w:u w:val="single"/>
              </w:rPr>
            </w:pPr>
            <w:hyperlink r:id="rId49" w:history="1">
              <w:r w:rsidRPr="00CB7237" w:rsidR="00E20E31">
                <w:rPr>
                  <w:rStyle w:val="Hyperlink"/>
                  <w:szCs w:val="24"/>
                </w:rPr>
                <w:t>evan.betterton@igs.com</w:t>
              </w:r>
            </w:hyperlink>
          </w:p>
          <w:p w:rsidR="00DA7BBA" w:rsidRPr="00CB7237" w:rsidP="00FC763C" w14:paraId="65B3B899" w14:textId="739989C7">
            <w:pPr>
              <w:adjustRightInd w:val="0"/>
              <w:rPr>
                <w:color w:val="0000FF"/>
                <w:szCs w:val="24"/>
                <w:u w:val="single"/>
              </w:rPr>
            </w:pPr>
            <w:hyperlink r:id="rId50" w:history="1">
              <w:r w:rsidRPr="00CB7237" w:rsidR="00E20E31">
                <w:rPr>
                  <w:rStyle w:val="Hyperlink"/>
                  <w:szCs w:val="24"/>
                </w:rPr>
                <w:t>michael.nugent@igs.com</w:t>
              </w:r>
            </w:hyperlink>
          </w:p>
          <w:p w:rsidR="00EB6AD3" w:rsidRPr="00CB7237" w:rsidP="00FC763C" w14:paraId="14C4BB50" w14:textId="1D5771A4">
            <w:pPr>
              <w:adjustRightInd w:val="0"/>
              <w:rPr>
                <w:rStyle w:val="Hyperlink"/>
                <w:szCs w:val="24"/>
              </w:rPr>
            </w:pPr>
            <w:hyperlink r:id="rId51" w:history="1">
              <w:r w:rsidRPr="00CB7237" w:rsidR="00E20E31">
                <w:rPr>
                  <w:rStyle w:val="Hyperlink"/>
                  <w:szCs w:val="24"/>
                </w:rPr>
                <w:t>ctavenor@theOEC.org</w:t>
              </w:r>
            </w:hyperlink>
          </w:p>
          <w:p w:rsidR="00DC5072" w:rsidRPr="00CB7237" w:rsidP="00FC763C" w14:paraId="39A1F468" w14:textId="415860BA">
            <w:pPr>
              <w:adjustRightInd w:val="0"/>
              <w:rPr>
                <w:color w:val="0000FF"/>
                <w:szCs w:val="24"/>
                <w:u w:val="single"/>
              </w:rPr>
            </w:pPr>
            <w:r w:rsidRPr="00CB7237">
              <w:rPr>
                <w:rStyle w:val="Hyperlink"/>
                <w:szCs w:val="24"/>
              </w:rPr>
              <w:t>khehmeyer@beneschlaw.com</w:t>
            </w:r>
          </w:p>
          <w:p w:rsidR="00EB6AD3" w:rsidRPr="00CB7237" w:rsidP="00FC763C" w14:paraId="5D027D78" w14:textId="77777777">
            <w:pPr>
              <w:adjustRightInd w:val="0"/>
              <w:rPr>
                <w:color w:val="0000FF"/>
                <w:szCs w:val="24"/>
                <w:u w:val="single"/>
              </w:rPr>
            </w:pPr>
          </w:p>
          <w:p w:rsidR="00DA7BBA" w:rsidRPr="00CB7237" w:rsidP="00FC763C" w14:paraId="6800A880" w14:textId="11C24A94">
            <w:pPr>
              <w:adjustRightInd w:val="0"/>
              <w:rPr>
                <w:szCs w:val="24"/>
              </w:rPr>
            </w:pPr>
          </w:p>
        </w:tc>
      </w:tr>
    </w:tbl>
    <w:p w:rsidR="009623C0" w:rsidRPr="00CB7237" w:rsidP="009623C0" w14:paraId="7FAB2E57" w14:textId="77777777">
      <w:pPr>
        <w:jc w:val="center"/>
        <w:rPr>
          <w:rFonts w:eastAsia="Calibri"/>
          <w:b/>
          <w:bCs/>
          <w:szCs w:val="24"/>
          <w:u w:val="single"/>
        </w:rPr>
      </w:pPr>
    </w:p>
    <w:sectPr w:rsidSect="00BD3C0F">
      <w:footerReference w:type="default" r:id="rId52"/>
      <w:pgSz w:w="12240" w:h="15840" w:code="1"/>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6EB" w:rsidRPr="00BD3C0F" w14:paraId="3831CC33" w14:textId="4D15CD8B">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5650764"/>
      <w:docPartObj>
        <w:docPartGallery w:val="Page Numbers (Bottom of Page)"/>
        <w:docPartUnique/>
      </w:docPartObj>
    </w:sdtPr>
    <w:sdtEndPr>
      <w:rPr>
        <w:noProof/>
        <w:sz w:val="24"/>
        <w:szCs w:val="24"/>
      </w:rPr>
    </w:sdtEndPr>
    <w:sdtContent>
      <w:p w:rsidR="001C0547" w:rsidRPr="00BD3C0F" w14:paraId="0A1FB399" w14:textId="77777777">
        <w:pPr>
          <w:pStyle w:val="Footer"/>
          <w:jc w:val="center"/>
          <w:rPr>
            <w:sz w:val="24"/>
            <w:szCs w:val="24"/>
          </w:rPr>
        </w:pPr>
        <w:r w:rsidRPr="00BD3C0F">
          <w:rPr>
            <w:sz w:val="24"/>
            <w:szCs w:val="24"/>
          </w:rPr>
          <w:fldChar w:fldCharType="begin"/>
        </w:r>
        <w:r w:rsidRPr="00BD3C0F">
          <w:rPr>
            <w:sz w:val="24"/>
            <w:szCs w:val="24"/>
          </w:rPr>
          <w:instrText xml:space="preserve"> PAGE   \* MERGEFORMAT </w:instrText>
        </w:r>
        <w:r w:rsidRPr="00BD3C0F">
          <w:rPr>
            <w:sz w:val="24"/>
            <w:szCs w:val="24"/>
          </w:rPr>
          <w:fldChar w:fldCharType="separate"/>
        </w:r>
        <w:r w:rsidRPr="00BD3C0F">
          <w:rPr>
            <w:noProof/>
            <w:sz w:val="24"/>
            <w:szCs w:val="24"/>
          </w:rPr>
          <w:t>2</w:t>
        </w:r>
        <w:r w:rsidRPr="00BD3C0F">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6020116"/>
      <w:docPartObj>
        <w:docPartGallery w:val="Page Numbers (Bottom of Page)"/>
        <w:docPartUnique/>
      </w:docPartObj>
    </w:sdtPr>
    <w:sdtEndPr>
      <w:rPr>
        <w:noProof/>
        <w:sz w:val="24"/>
        <w:szCs w:val="24"/>
      </w:rPr>
    </w:sdtEndPr>
    <w:sdtContent>
      <w:p w:rsidR="00BD3C0F" w:rsidRPr="00BD3C0F" w14:paraId="1175503C" w14:textId="2C11249A">
        <w:pPr>
          <w:pStyle w:val="Footer"/>
          <w:jc w:val="center"/>
          <w:rPr>
            <w:sz w:val="24"/>
            <w:szCs w:val="24"/>
          </w:rPr>
        </w:pPr>
        <w:r w:rsidRPr="00BD3C0F">
          <w:rPr>
            <w:sz w:val="24"/>
            <w:szCs w:val="24"/>
          </w:rPr>
          <w:fldChar w:fldCharType="begin"/>
        </w:r>
        <w:r w:rsidRPr="00BD3C0F">
          <w:rPr>
            <w:sz w:val="24"/>
            <w:szCs w:val="24"/>
          </w:rPr>
          <w:instrText xml:space="preserve"> PAGE   \* MERGEFORMAT </w:instrText>
        </w:r>
        <w:r w:rsidRPr="00BD3C0F">
          <w:rPr>
            <w:sz w:val="24"/>
            <w:szCs w:val="24"/>
          </w:rPr>
          <w:fldChar w:fldCharType="separate"/>
        </w:r>
        <w:r w:rsidRPr="00BD3C0F">
          <w:rPr>
            <w:noProof/>
            <w:sz w:val="24"/>
            <w:szCs w:val="24"/>
          </w:rPr>
          <w:t>2</w:t>
        </w:r>
        <w:r w:rsidRPr="00BD3C0F">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7E26" w:rsidP="009623C0" w14:paraId="4D2CF9F8" w14:textId="77777777">
      <w:r>
        <w:separator/>
      </w:r>
    </w:p>
  </w:footnote>
  <w:footnote w:type="continuationSeparator" w:id="1">
    <w:p w:rsidR="00687E26" w:rsidP="009623C0" w14:paraId="7EAF9AF0" w14:textId="77777777">
      <w:r>
        <w:continuationSeparator/>
      </w:r>
    </w:p>
  </w:footnote>
  <w:footnote w:id="2">
    <w:p w:rsidR="00C44A78" w:rsidP="00935A9B" w14:paraId="0CDF7B4C" w14:textId="4FECB151">
      <w:pPr>
        <w:pStyle w:val="FootnoteText"/>
        <w:spacing w:before="0" w:after="120"/>
      </w:pPr>
      <w:r>
        <w:rPr>
          <w:rStyle w:val="FootnoteReference"/>
        </w:rPr>
        <w:footnoteRef/>
      </w:r>
      <w:r>
        <w:t xml:space="preserve"> </w:t>
      </w:r>
      <w:r w:rsidRPr="002A103B" w:rsidR="002A103B">
        <w:rPr>
          <w:i/>
          <w:iCs/>
        </w:rPr>
        <w:t>In the Matter of the Application of The Dayton Power &amp; Light Company for Approval of Its Electric Security Plan</w:t>
      </w:r>
      <w:r w:rsidR="002A103B">
        <w:t>, Case No. 08-1094-EL-SSO</w:t>
      </w:r>
      <w:r w:rsidR="003502B2">
        <w:t>,</w:t>
      </w:r>
      <w:r w:rsidR="002A103B">
        <w:t xml:space="preserve"> </w:t>
      </w:r>
      <w:r>
        <w:t>Notice of Termination and Withdrawal (Sept</w:t>
      </w:r>
      <w:r w:rsidR="003502B2">
        <w:t xml:space="preserve">. </w:t>
      </w:r>
      <w:r>
        <w:t>10, 2021).</w:t>
      </w:r>
    </w:p>
  </w:footnote>
  <w:footnote w:id="3">
    <w:p w:rsidR="00E91869" w:rsidP="00935A9B" w14:paraId="47F1AE47" w14:textId="77777777">
      <w:pPr>
        <w:pStyle w:val="FootnoteText"/>
        <w:spacing w:before="0" w:after="120"/>
      </w:pPr>
      <w:r>
        <w:rPr>
          <w:rStyle w:val="FootnoteReference"/>
        </w:rPr>
        <w:footnoteRef/>
      </w:r>
      <w:r>
        <w:t xml:space="preserve"> </w:t>
      </w:r>
      <w:r w:rsidRPr="004F6463">
        <w:rPr>
          <w:i/>
          <w:iCs/>
        </w:rPr>
        <w:t>In the Matter of the Application of the Dayton Power and Light Company to Increase its Rates for Electric Distribution</w:t>
      </w:r>
      <w:r>
        <w:t>, Case No. 20-1651-EL-AIR.</w:t>
      </w:r>
    </w:p>
  </w:footnote>
  <w:footnote w:id="4">
    <w:p w:rsidR="004F6463" w:rsidP="00935A9B" w14:paraId="381FE8A6" w14:textId="4D0D9453">
      <w:pPr>
        <w:pStyle w:val="FootnoteText"/>
        <w:spacing w:before="0" w:after="120"/>
      </w:pPr>
      <w:r>
        <w:rPr>
          <w:rStyle w:val="FootnoteReference"/>
        </w:rPr>
        <w:footnoteRef/>
      </w:r>
      <w:r>
        <w:t xml:space="preserve"> </w:t>
      </w:r>
      <w:r w:rsidRPr="00D35851">
        <w:rPr>
          <w:i/>
          <w:iCs/>
        </w:rPr>
        <w:t>In re Application of the Dayton Power &amp; Light Co. to Establish a Standard Service Offer</w:t>
      </w:r>
      <w:r>
        <w:t>, S.Ct.</w:t>
      </w:r>
      <w:r w:rsidR="00BC2930">
        <w:t xml:space="preserve"> </w:t>
      </w:r>
      <w:r>
        <w:t xml:space="preserve">2021-1068, 2022-Ohio-1156. </w:t>
      </w:r>
    </w:p>
  </w:footnote>
  <w:footnote w:id="5">
    <w:p w:rsidR="00C44A78" w:rsidP="00935A9B" w14:paraId="31480CC8" w14:textId="1E941C80">
      <w:pPr>
        <w:pStyle w:val="FootnoteText"/>
        <w:spacing w:before="0" w:after="120"/>
      </w:pPr>
      <w:r w:rsidRPr="00D35851">
        <w:rPr>
          <w:rStyle w:val="FootnoteReference"/>
          <w:i/>
          <w:iCs/>
        </w:rPr>
        <w:footnoteRef/>
      </w:r>
      <w:r w:rsidR="00BC2930">
        <w:rPr>
          <w:i/>
          <w:iCs/>
        </w:rPr>
        <w:t xml:space="preserve"> </w:t>
      </w:r>
      <w:r w:rsidRPr="005F687A" w:rsidR="005F687A">
        <w:rPr>
          <w:i/>
          <w:iCs/>
        </w:rPr>
        <w:t>Id</w:t>
      </w:r>
      <w:r w:rsidR="005F687A">
        <w:rPr>
          <w:i/>
          <w:iCs/>
        </w:rPr>
        <w:t xml:space="preserve">., </w:t>
      </w:r>
      <w:r w:rsidR="00D35851">
        <w:t xml:space="preserve">Motion for Reconsideration </w:t>
      </w:r>
      <w:r w:rsidR="005F687A">
        <w:t>(Apr</w:t>
      </w:r>
      <w:r w:rsidR="003502B2">
        <w:t>.</w:t>
      </w:r>
      <w:r w:rsidR="005F687A">
        <w:t xml:space="preserve"> 25, 2022)</w:t>
      </w:r>
      <w:r w:rsidR="004F6463">
        <w:t>.</w:t>
      </w:r>
    </w:p>
  </w:footnote>
  <w:footnote w:id="6">
    <w:p w:rsidR="008B5F3E" w:rsidP="00935A9B" w14:paraId="4D1CC4EB" w14:textId="6733573F">
      <w:pPr>
        <w:pStyle w:val="FootnoteText"/>
        <w:spacing w:before="0" w:after="120"/>
      </w:pPr>
      <w:r>
        <w:rPr>
          <w:rStyle w:val="FootnoteReference"/>
        </w:rPr>
        <w:footnoteRef/>
      </w:r>
      <w:r>
        <w:t xml:space="preserve"> </w:t>
      </w:r>
      <w:r w:rsidRPr="00D51B0F">
        <w:rPr>
          <w:i/>
          <w:iCs/>
        </w:rPr>
        <w:t>In re Columbus S. Power Co</w:t>
      </w:r>
      <w:r>
        <w:t xml:space="preserve">., 128 Ohio St.3d 512, 2011-Ohio-1788; </w:t>
      </w:r>
      <w:r w:rsidRPr="00D51B0F">
        <w:rPr>
          <w:i/>
          <w:iCs/>
        </w:rPr>
        <w:t>In re Application of Columbus S. Power Co.</w:t>
      </w:r>
      <w:r w:rsidR="006E103E">
        <w:rPr>
          <w:i/>
          <w:iCs/>
        </w:rPr>
        <w:t>,</w:t>
      </w:r>
      <w:r>
        <w:t xml:space="preserve"> 47 Ohio St.3d 439, 2016-Ohio-1608; </w:t>
      </w:r>
      <w:r w:rsidRPr="00D51B0F">
        <w:rPr>
          <w:i/>
          <w:iCs/>
        </w:rPr>
        <w:t>In re Application of Dayton Power &amp; Light Co</w:t>
      </w:r>
      <w:r>
        <w:t xml:space="preserve">., 147 Ohio St.3d.166, 2016-Ohio-3490; </w:t>
      </w:r>
      <w:r w:rsidRPr="00D51B0F">
        <w:rPr>
          <w:i/>
          <w:iCs/>
        </w:rPr>
        <w:t>In re Application of Ohio Edison Co</w:t>
      </w:r>
      <w:r>
        <w:t>., 157 Ohio St.3d 73, 2019-Ohio-2401.</w:t>
      </w:r>
    </w:p>
  </w:footnote>
  <w:footnote w:id="7">
    <w:p w:rsidR="007F0AE8" w:rsidRPr="00491C4B" w:rsidP="00935A9B" w14:paraId="66AE3931" w14:textId="6A8E8269">
      <w:pPr>
        <w:pStyle w:val="FootnoteText"/>
        <w:spacing w:before="0" w:after="120"/>
      </w:pPr>
      <w:r>
        <w:rPr>
          <w:rStyle w:val="FootnoteReference"/>
        </w:rPr>
        <w:footnoteRef/>
      </w:r>
      <w:r>
        <w:t xml:space="preserve"> </w:t>
      </w:r>
      <w:r w:rsidRPr="00B0712A">
        <w:rPr>
          <w:i/>
          <w:iCs/>
        </w:rPr>
        <w:t>In re Application of Columbus S. Power Co. and Ohio Power Co.</w:t>
      </w:r>
      <w:r>
        <w:t>, Case Nos. 11-346-EL-SSO et al., Opinion and Order (Aug</w:t>
      </w:r>
      <w:r w:rsidR="00DF4099">
        <w:t>.</w:t>
      </w:r>
      <w:r>
        <w:t xml:space="preserve"> 8, 2012) at 24 (citing </w:t>
      </w:r>
      <w:r w:rsidRPr="00B0712A">
        <w:rPr>
          <w:i/>
          <w:iCs/>
        </w:rPr>
        <w:t>Duff v. Pub. Util. Comm.</w:t>
      </w:r>
      <w:r>
        <w:t xml:space="preserve">, 56 Ohio St.2d 367, 379 (1978); </w:t>
      </w:r>
      <w:r w:rsidRPr="00B0712A">
        <w:rPr>
          <w:i/>
          <w:iCs/>
        </w:rPr>
        <w:t>Toledo Coalition for Safe Energy v. Pub. Util. Comm.</w:t>
      </w:r>
      <w:r>
        <w:t xml:space="preserve">, 69 Ohio St.2d 559, 560 (1982)); </w:t>
      </w:r>
      <w:r w:rsidRPr="00491C4B">
        <w:rPr>
          <w:shd w:val="clear" w:color="auto" w:fill="FFFFFF"/>
        </w:rPr>
        <w:t>C</w:t>
      </w:r>
      <w:r>
        <w:rPr>
          <w:shd w:val="clear" w:color="auto" w:fill="FFFFFF"/>
        </w:rPr>
        <w:t>ase</w:t>
      </w:r>
      <w:r w:rsidRPr="00491C4B">
        <w:rPr>
          <w:shd w:val="clear" w:color="auto" w:fill="FFFFFF"/>
        </w:rPr>
        <w:t xml:space="preserve"> N</w:t>
      </w:r>
      <w:r>
        <w:rPr>
          <w:shd w:val="clear" w:color="auto" w:fill="FFFFFF"/>
        </w:rPr>
        <w:t>os</w:t>
      </w:r>
      <w:r w:rsidRPr="00491C4B">
        <w:rPr>
          <w:shd w:val="clear" w:color="auto" w:fill="FFFFFF"/>
        </w:rPr>
        <w:t>. 18-857-EL-UNC; 19-1338-EL-UNC; 20-1034-EL-UNC; 20-1476-EL-UNC, Entry (Jan</w:t>
      </w:r>
      <w:r>
        <w:rPr>
          <w:shd w:val="clear" w:color="auto" w:fill="FFFFFF"/>
        </w:rPr>
        <w:t>.</w:t>
      </w:r>
      <w:r w:rsidRPr="00491C4B">
        <w:rPr>
          <w:shd w:val="clear" w:color="auto" w:fill="FFFFFF"/>
        </w:rPr>
        <w:t xml:space="preserve"> 12, 2021) (consolidating cases for administrative efficiency).</w:t>
      </w:r>
    </w:p>
  </w:footnote>
  <w:footnote w:id="8">
    <w:p w:rsidR="0085004E" w:rsidP="00935A9B" w14:paraId="0EB47FA9" w14:textId="103138AB">
      <w:pPr>
        <w:pStyle w:val="FootnoteText"/>
        <w:spacing w:before="0" w:after="120"/>
      </w:pPr>
      <w:r>
        <w:rPr>
          <w:rStyle w:val="FootnoteReference"/>
        </w:rPr>
        <w:footnoteRef/>
      </w:r>
      <w:r>
        <w:t xml:space="preserve"> Notice of Termination and Withdrawal (Sept</w:t>
      </w:r>
      <w:r w:rsidR="003502B2">
        <w:t>.</w:t>
      </w:r>
      <w:r>
        <w:t xml:space="preserve"> 10, 2021).</w:t>
      </w:r>
    </w:p>
  </w:footnote>
  <w:footnote w:id="9">
    <w:p w:rsidR="0085004E" w:rsidP="00935A9B" w14:paraId="3D922C91" w14:textId="6A036A28">
      <w:pPr>
        <w:pStyle w:val="FootnoteText"/>
        <w:spacing w:before="0" w:after="120"/>
      </w:pPr>
      <w:r>
        <w:rPr>
          <w:rStyle w:val="FootnoteReference"/>
        </w:rPr>
        <w:footnoteRef/>
      </w:r>
      <w:r>
        <w:t xml:space="preserve"> Stipulation and Recommendation (Feb</w:t>
      </w:r>
      <w:r w:rsidR="003502B2">
        <w:t>.</w:t>
      </w:r>
      <w:r>
        <w:t xml:space="preserve"> 24, 2009).</w:t>
      </w:r>
    </w:p>
  </w:footnote>
  <w:footnote w:id="10">
    <w:p w:rsidR="0085004E" w:rsidP="00935A9B" w14:paraId="2BC49D08" w14:textId="4B10222B">
      <w:pPr>
        <w:pStyle w:val="FootnoteText"/>
        <w:spacing w:before="0" w:after="120"/>
      </w:pPr>
      <w:r>
        <w:rPr>
          <w:rStyle w:val="FootnoteReference"/>
        </w:rPr>
        <w:footnoteRef/>
      </w:r>
      <w:r>
        <w:t xml:space="preserve"> Supreme Court Case No. 2021-1068, Decision (Apr</w:t>
      </w:r>
      <w:r w:rsidR="003502B2">
        <w:t>.</w:t>
      </w:r>
      <w:r w:rsidR="00AF2310">
        <w:t xml:space="preserve"> </w:t>
      </w:r>
      <w:r>
        <w:t>1, 2022).</w:t>
      </w:r>
      <w:r w:rsidR="00BC2930">
        <w:t xml:space="preserve"> </w:t>
      </w:r>
    </w:p>
  </w:footnote>
  <w:footnote w:id="11">
    <w:p w:rsidR="0085004E" w:rsidRPr="00245F86" w:rsidP="00935A9B" w14:paraId="30C8F407" w14:textId="13F679D9">
      <w:pPr>
        <w:pStyle w:val="FootnoteText"/>
        <w:spacing w:before="0" w:after="120"/>
      </w:pPr>
      <w:r>
        <w:rPr>
          <w:rStyle w:val="FootnoteReference"/>
        </w:rPr>
        <w:footnoteRef/>
      </w:r>
      <w:r>
        <w:t xml:space="preserve"> </w:t>
      </w:r>
      <w:r>
        <w:rPr>
          <w:i/>
          <w:iCs/>
        </w:rPr>
        <w:t xml:space="preserve">Id. </w:t>
      </w:r>
      <w:r>
        <w:t>at Motion for Reconsideration (Apr. 25, 2022).</w:t>
      </w:r>
    </w:p>
  </w:footnote>
  <w:footnote w:id="12">
    <w:p w:rsidR="008B5F3E" w:rsidP="00935A9B" w14:paraId="62D70D8A" w14:textId="74F80635">
      <w:pPr>
        <w:pStyle w:val="FootnoteText"/>
        <w:spacing w:before="0" w:after="120"/>
      </w:pPr>
      <w:r>
        <w:rPr>
          <w:rStyle w:val="FootnoteReference"/>
        </w:rPr>
        <w:footnoteRef/>
      </w:r>
      <w:r>
        <w:t xml:space="preserve"> </w:t>
      </w:r>
      <w:r w:rsidRPr="00DC4D0C">
        <w:rPr>
          <w:i/>
          <w:iCs/>
        </w:rPr>
        <w:t>Id.</w:t>
      </w:r>
      <w:r>
        <w:t xml:space="preserve"> Memo of the Dayton Power &amp; Light Co. opposing motion for reconsideration (May 5, 2022). </w:t>
      </w:r>
    </w:p>
  </w:footnote>
  <w:footnote w:id="13">
    <w:p w:rsidR="00991AE7" w:rsidP="00935A9B" w14:paraId="5F207FBE" w14:textId="6F63A744">
      <w:pPr>
        <w:pStyle w:val="FootnoteText"/>
        <w:spacing w:before="0" w:after="120"/>
      </w:pPr>
      <w:r>
        <w:rPr>
          <w:rStyle w:val="FootnoteReference"/>
        </w:rPr>
        <w:footnoteRef/>
      </w:r>
      <w:r>
        <w:t xml:space="preserve"> </w:t>
      </w:r>
      <w:r w:rsidRPr="00A51F73">
        <w:rPr>
          <w:i/>
          <w:iCs/>
          <w:color w:val="232323"/>
        </w:rPr>
        <w:t>In the Matter of the Notice of The Dayton Power and Light Company's Intent to File an Application to Increase Its Rates for Electric Distribution Service</w:t>
      </w:r>
      <w:r w:rsidR="008B5F3E">
        <w:rPr>
          <w:i/>
          <w:iCs/>
          <w:color w:val="232323"/>
        </w:rPr>
        <w:t xml:space="preserve">, </w:t>
      </w:r>
      <w:r w:rsidR="008B5F3E">
        <w:t>Case No. 20-1651-EL-AIR</w:t>
      </w:r>
      <w:r>
        <w:rPr>
          <w:color w:val="232323"/>
        </w:rPr>
        <w:t xml:space="preserve"> (Oct. </w:t>
      </w:r>
      <w:r w:rsidR="008B5F3E">
        <w:rPr>
          <w:color w:val="232323"/>
        </w:rPr>
        <w:t>3</w:t>
      </w:r>
      <w:r>
        <w:rPr>
          <w:color w:val="232323"/>
        </w:rPr>
        <w:t>0, 2020).</w:t>
      </w:r>
    </w:p>
  </w:footnote>
  <w:footnote w:id="14">
    <w:p w:rsidR="00D736FC" w:rsidP="00935A9B" w14:paraId="05008B8B" w14:textId="76DC5194">
      <w:pPr>
        <w:pStyle w:val="FootnoteText"/>
        <w:spacing w:before="0" w:after="120"/>
      </w:pPr>
      <w:r>
        <w:rPr>
          <w:rStyle w:val="FootnoteReference"/>
        </w:rPr>
        <w:footnoteRef/>
      </w:r>
      <w:r>
        <w:t xml:space="preserve"> </w:t>
      </w:r>
      <w:r w:rsidRPr="002A103B">
        <w:rPr>
          <w:i/>
          <w:iCs/>
        </w:rPr>
        <w:t>In the Matter of the Application of The Dayton Power &amp; Light Company for Approval of Its Electric Security Plan</w:t>
      </w:r>
      <w:r>
        <w:t xml:space="preserve">, Case No. 08-1094-EL-SSO </w:t>
      </w:r>
      <w:r w:rsidR="001E3918">
        <w:t>Application for Rehearing</w:t>
      </w:r>
      <w:r>
        <w:t xml:space="preserve"> (</w:t>
      </w:r>
      <w:r w:rsidR="001E3918">
        <w:t>Jan</w:t>
      </w:r>
      <w:r>
        <w:t>.</w:t>
      </w:r>
      <w:r w:rsidR="001E3918">
        <w:t xml:space="preserve"> 17, 2020</w:t>
      </w:r>
      <w:r>
        <w:t>).</w:t>
      </w:r>
    </w:p>
  </w:footnote>
  <w:footnote w:id="15">
    <w:p w:rsidR="0085004E" w:rsidP="00935A9B" w14:paraId="357F800B" w14:textId="2FCE404C">
      <w:pPr>
        <w:pStyle w:val="FootnoteText"/>
        <w:spacing w:before="0" w:after="120"/>
      </w:pPr>
      <w:r>
        <w:rPr>
          <w:rStyle w:val="FootnoteReference"/>
        </w:rPr>
        <w:footnoteRef/>
      </w:r>
      <w:r>
        <w:t xml:space="preserve"> Entry (Apr</w:t>
      </w:r>
      <w:r w:rsidR="0039641A">
        <w:t>.</w:t>
      </w:r>
      <w:r>
        <w:t xml:space="preserve"> 22, 2022).</w:t>
      </w:r>
    </w:p>
  </w:footnote>
  <w:footnote w:id="16">
    <w:p w:rsidR="0085004E" w:rsidRPr="00245F86" w:rsidP="00935A9B" w14:paraId="775FE515" w14:textId="606A3DB2">
      <w:pPr>
        <w:pStyle w:val="FootnoteText"/>
        <w:spacing w:before="0" w:after="120"/>
      </w:pPr>
      <w:r>
        <w:rPr>
          <w:rStyle w:val="FootnoteReference"/>
        </w:rPr>
        <w:footnoteRef/>
      </w:r>
      <w:r>
        <w:t xml:space="preserve"> </w:t>
      </w:r>
      <w:r>
        <w:rPr>
          <w:i/>
          <w:iCs/>
        </w:rPr>
        <w:t xml:space="preserve">Id. </w:t>
      </w:r>
      <w:r>
        <w:t xml:space="preserve">at </w:t>
      </w:r>
      <w:r w:rsidR="0021056A">
        <w:t>¶</w:t>
      </w:r>
      <w:r>
        <w:t xml:space="preserve"> 18.</w:t>
      </w:r>
    </w:p>
  </w:footnote>
  <w:footnote w:id="17">
    <w:p w:rsidR="00152C11" w:rsidRPr="00152C11" w:rsidP="00935A9B" w14:paraId="3D1B5C8D" w14:textId="17D46C60">
      <w:pPr>
        <w:pStyle w:val="FootnoteText"/>
        <w:spacing w:before="0" w:after="120"/>
      </w:pPr>
      <w:r>
        <w:rPr>
          <w:rStyle w:val="FootnoteReference"/>
        </w:rPr>
        <w:footnoteRef/>
      </w:r>
      <w:r>
        <w:t xml:space="preserve"> R.C. 4903.13 (</w:t>
      </w:r>
      <w:r w:rsidR="00105E50">
        <w:t xml:space="preserve">describing </w:t>
      </w:r>
      <w:r>
        <w:t xml:space="preserve">the Court's jurisdiction to "reverse[], vacate[], or modif[y]" the </w:t>
      </w:r>
      <w:r w:rsidR="00105E50">
        <w:t>PUCO’s</w:t>
      </w:r>
      <w:r>
        <w:t xml:space="preserve"> orders</w:t>
      </w:r>
      <w:r w:rsidR="00105E50">
        <w: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C0"/>
    <w:rsid w:val="00003FB2"/>
    <w:rsid w:val="00006AC8"/>
    <w:rsid w:val="00011D69"/>
    <w:rsid w:val="00027B25"/>
    <w:rsid w:val="000337AD"/>
    <w:rsid w:val="000341EA"/>
    <w:rsid w:val="000715BB"/>
    <w:rsid w:val="00081B7F"/>
    <w:rsid w:val="000D7003"/>
    <w:rsid w:val="000E12B8"/>
    <w:rsid w:val="000E668F"/>
    <w:rsid w:val="00105E50"/>
    <w:rsid w:val="00107B44"/>
    <w:rsid w:val="001367D6"/>
    <w:rsid w:val="00140D7D"/>
    <w:rsid w:val="00142125"/>
    <w:rsid w:val="00146B15"/>
    <w:rsid w:val="00152C11"/>
    <w:rsid w:val="00162CB1"/>
    <w:rsid w:val="001A66EB"/>
    <w:rsid w:val="001C0547"/>
    <w:rsid w:val="001D1031"/>
    <w:rsid w:val="001E36E2"/>
    <w:rsid w:val="001E3918"/>
    <w:rsid w:val="001E4AED"/>
    <w:rsid w:val="001F3A7A"/>
    <w:rsid w:val="001F660F"/>
    <w:rsid w:val="0020044B"/>
    <w:rsid w:val="0021056A"/>
    <w:rsid w:val="00213484"/>
    <w:rsid w:val="00240E90"/>
    <w:rsid w:val="00241209"/>
    <w:rsid w:val="00242875"/>
    <w:rsid w:val="00243228"/>
    <w:rsid w:val="00245F86"/>
    <w:rsid w:val="00247630"/>
    <w:rsid w:val="00252FC2"/>
    <w:rsid w:val="002624E6"/>
    <w:rsid w:val="002654DE"/>
    <w:rsid w:val="00273608"/>
    <w:rsid w:val="002913CD"/>
    <w:rsid w:val="002946A9"/>
    <w:rsid w:val="002A103B"/>
    <w:rsid w:val="002A24A1"/>
    <w:rsid w:val="002C04F7"/>
    <w:rsid w:val="002C289F"/>
    <w:rsid w:val="002E6E73"/>
    <w:rsid w:val="00313CEB"/>
    <w:rsid w:val="00331AAB"/>
    <w:rsid w:val="00332CA0"/>
    <w:rsid w:val="003417D8"/>
    <w:rsid w:val="003502B2"/>
    <w:rsid w:val="00357D6E"/>
    <w:rsid w:val="0039641A"/>
    <w:rsid w:val="003A59F0"/>
    <w:rsid w:val="003E3BAA"/>
    <w:rsid w:val="003F3063"/>
    <w:rsid w:val="004064C3"/>
    <w:rsid w:val="00407380"/>
    <w:rsid w:val="0045104C"/>
    <w:rsid w:val="004548E2"/>
    <w:rsid w:val="00454996"/>
    <w:rsid w:val="00484244"/>
    <w:rsid w:val="004845E2"/>
    <w:rsid w:val="00491C4B"/>
    <w:rsid w:val="004A079E"/>
    <w:rsid w:val="004A15BB"/>
    <w:rsid w:val="004A3E03"/>
    <w:rsid w:val="004C16DF"/>
    <w:rsid w:val="004C1E26"/>
    <w:rsid w:val="004C5B26"/>
    <w:rsid w:val="004E4524"/>
    <w:rsid w:val="004F22C2"/>
    <w:rsid w:val="004F37A9"/>
    <w:rsid w:val="004F6463"/>
    <w:rsid w:val="00525C2F"/>
    <w:rsid w:val="005406A4"/>
    <w:rsid w:val="00544F9A"/>
    <w:rsid w:val="00560F89"/>
    <w:rsid w:val="00565083"/>
    <w:rsid w:val="00591BAD"/>
    <w:rsid w:val="00594D9C"/>
    <w:rsid w:val="005C6BF6"/>
    <w:rsid w:val="005E087A"/>
    <w:rsid w:val="005F2084"/>
    <w:rsid w:val="005F687A"/>
    <w:rsid w:val="006210BD"/>
    <w:rsid w:val="0062159C"/>
    <w:rsid w:val="006311D0"/>
    <w:rsid w:val="00631A02"/>
    <w:rsid w:val="00632349"/>
    <w:rsid w:val="00687E26"/>
    <w:rsid w:val="0069410E"/>
    <w:rsid w:val="006A07DE"/>
    <w:rsid w:val="006A6979"/>
    <w:rsid w:val="006A70D0"/>
    <w:rsid w:val="006D3CEE"/>
    <w:rsid w:val="006E103E"/>
    <w:rsid w:val="006F7F83"/>
    <w:rsid w:val="00730D57"/>
    <w:rsid w:val="00755FF6"/>
    <w:rsid w:val="00782D22"/>
    <w:rsid w:val="007A4882"/>
    <w:rsid w:val="007A5863"/>
    <w:rsid w:val="007B0428"/>
    <w:rsid w:val="007B355C"/>
    <w:rsid w:val="007D27BE"/>
    <w:rsid w:val="007F0AE8"/>
    <w:rsid w:val="00812780"/>
    <w:rsid w:val="0084417F"/>
    <w:rsid w:val="00845F95"/>
    <w:rsid w:val="0085004E"/>
    <w:rsid w:val="00871157"/>
    <w:rsid w:val="008B5F3E"/>
    <w:rsid w:val="008B6D4C"/>
    <w:rsid w:val="008C68E4"/>
    <w:rsid w:val="008D5849"/>
    <w:rsid w:val="00903B64"/>
    <w:rsid w:val="00917C1E"/>
    <w:rsid w:val="00930162"/>
    <w:rsid w:val="00930D75"/>
    <w:rsid w:val="00935A9B"/>
    <w:rsid w:val="00947022"/>
    <w:rsid w:val="009623C0"/>
    <w:rsid w:val="00965558"/>
    <w:rsid w:val="00971A8E"/>
    <w:rsid w:val="00991AE7"/>
    <w:rsid w:val="009A3ACF"/>
    <w:rsid w:val="00A214BA"/>
    <w:rsid w:val="00A456F8"/>
    <w:rsid w:val="00A4787D"/>
    <w:rsid w:val="00A51F73"/>
    <w:rsid w:val="00A72199"/>
    <w:rsid w:val="00A7354B"/>
    <w:rsid w:val="00A74B6D"/>
    <w:rsid w:val="00A8361D"/>
    <w:rsid w:val="00A92AFE"/>
    <w:rsid w:val="00A96377"/>
    <w:rsid w:val="00AA3D6E"/>
    <w:rsid w:val="00AA4CEA"/>
    <w:rsid w:val="00AB5B5A"/>
    <w:rsid w:val="00AC7F89"/>
    <w:rsid w:val="00AD1D0C"/>
    <w:rsid w:val="00AE05D3"/>
    <w:rsid w:val="00AF2310"/>
    <w:rsid w:val="00B0712A"/>
    <w:rsid w:val="00B1694F"/>
    <w:rsid w:val="00B2686E"/>
    <w:rsid w:val="00B27D8D"/>
    <w:rsid w:val="00B54DBD"/>
    <w:rsid w:val="00B562AA"/>
    <w:rsid w:val="00B65DD7"/>
    <w:rsid w:val="00B66F66"/>
    <w:rsid w:val="00B87496"/>
    <w:rsid w:val="00B94D79"/>
    <w:rsid w:val="00BB68B6"/>
    <w:rsid w:val="00BC2930"/>
    <w:rsid w:val="00BC6D1C"/>
    <w:rsid w:val="00BD3C0F"/>
    <w:rsid w:val="00BF2E7E"/>
    <w:rsid w:val="00C15D52"/>
    <w:rsid w:val="00C23CBF"/>
    <w:rsid w:val="00C27ABE"/>
    <w:rsid w:val="00C3151A"/>
    <w:rsid w:val="00C44A78"/>
    <w:rsid w:val="00C81933"/>
    <w:rsid w:val="00C83F83"/>
    <w:rsid w:val="00C84CBC"/>
    <w:rsid w:val="00C9367B"/>
    <w:rsid w:val="00CA26BE"/>
    <w:rsid w:val="00CB1035"/>
    <w:rsid w:val="00CB7237"/>
    <w:rsid w:val="00CC3B56"/>
    <w:rsid w:val="00CD30AF"/>
    <w:rsid w:val="00CF2D39"/>
    <w:rsid w:val="00CF2D3E"/>
    <w:rsid w:val="00D10E11"/>
    <w:rsid w:val="00D17423"/>
    <w:rsid w:val="00D221E0"/>
    <w:rsid w:val="00D244ED"/>
    <w:rsid w:val="00D35851"/>
    <w:rsid w:val="00D40909"/>
    <w:rsid w:val="00D40C2F"/>
    <w:rsid w:val="00D5061A"/>
    <w:rsid w:val="00D51B0F"/>
    <w:rsid w:val="00D54B21"/>
    <w:rsid w:val="00D71F93"/>
    <w:rsid w:val="00D736FC"/>
    <w:rsid w:val="00D95F9B"/>
    <w:rsid w:val="00DA7BBA"/>
    <w:rsid w:val="00DC3FD9"/>
    <w:rsid w:val="00DC4D0C"/>
    <w:rsid w:val="00DC5072"/>
    <w:rsid w:val="00DD166D"/>
    <w:rsid w:val="00DE75B0"/>
    <w:rsid w:val="00DF16C2"/>
    <w:rsid w:val="00DF4099"/>
    <w:rsid w:val="00DF4F46"/>
    <w:rsid w:val="00E0340C"/>
    <w:rsid w:val="00E14E43"/>
    <w:rsid w:val="00E164F3"/>
    <w:rsid w:val="00E20E31"/>
    <w:rsid w:val="00E2106B"/>
    <w:rsid w:val="00E31F80"/>
    <w:rsid w:val="00E56D74"/>
    <w:rsid w:val="00E625B0"/>
    <w:rsid w:val="00E81641"/>
    <w:rsid w:val="00E82372"/>
    <w:rsid w:val="00E83C6C"/>
    <w:rsid w:val="00E8410A"/>
    <w:rsid w:val="00E91869"/>
    <w:rsid w:val="00EB6AD3"/>
    <w:rsid w:val="00EC07EE"/>
    <w:rsid w:val="00EC22EE"/>
    <w:rsid w:val="00ED1CEC"/>
    <w:rsid w:val="00ED748E"/>
    <w:rsid w:val="00EE2E4E"/>
    <w:rsid w:val="00EF1998"/>
    <w:rsid w:val="00EF2E08"/>
    <w:rsid w:val="00F249A3"/>
    <w:rsid w:val="00F32280"/>
    <w:rsid w:val="00F33301"/>
    <w:rsid w:val="00F362D6"/>
    <w:rsid w:val="00F379AC"/>
    <w:rsid w:val="00F419FE"/>
    <w:rsid w:val="00F53148"/>
    <w:rsid w:val="00F56536"/>
    <w:rsid w:val="00F65F24"/>
    <w:rsid w:val="00F80A33"/>
    <w:rsid w:val="00F91EFB"/>
    <w:rsid w:val="00FA0EB0"/>
    <w:rsid w:val="00FB201D"/>
    <w:rsid w:val="00FB690D"/>
    <w:rsid w:val="00FC7309"/>
    <w:rsid w:val="00FC763C"/>
    <w:rsid w:val="00FD38BF"/>
    <w:rsid w:val="00FD5167"/>
    <w:rsid w:val="00FD56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F3"/>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623C0"/>
    <w:pPr>
      <w:keepNext/>
      <w:spacing w:after="240"/>
      <w:ind w:left="720" w:hanging="720"/>
      <w:outlineLvl w:val="0"/>
    </w:pPr>
    <w:rPr>
      <w:rFonts w:ascii="Times New Roman Bold" w:hAnsi="Times New Roman Bold"/>
      <w:b/>
      <w:bCs/>
      <w:caps/>
      <w:szCs w:val="24"/>
    </w:rPr>
  </w:style>
  <w:style w:type="paragraph" w:styleId="Heading2">
    <w:name w:val="heading 2"/>
    <w:basedOn w:val="Normal"/>
    <w:next w:val="Normal"/>
    <w:link w:val="Heading2Char"/>
    <w:autoRedefine/>
    <w:qFormat/>
    <w:rsid w:val="009623C0"/>
    <w:pPr>
      <w:keepNext/>
      <w:spacing w:after="240"/>
      <w:ind w:left="1440" w:right="720" w:hanging="720"/>
      <w:outlineLvl w:val="1"/>
    </w:pPr>
    <w:rPr>
      <w:rFonts w:ascii="Times New Roman Bold" w:hAnsi="Times New Roman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3C0"/>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9623C0"/>
    <w:rPr>
      <w:rFonts w:ascii="Times New Roman Bold" w:eastAsia="Times New Roman" w:hAnsi="Times New Roman Bold" w:cs="Times New Roman"/>
      <w:b/>
      <w:bCs/>
      <w:sz w:val="24"/>
      <w:szCs w:val="24"/>
    </w:rPr>
  </w:style>
  <w:style w:type="character" w:styleId="FootnoteReference">
    <w:name w:val="footnote reference"/>
    <w:aliases w:val="(NECG) Footnote Reference,Appel note de bas de p,Style 12,Style 124,Style 13,Style 3,fr,o"/>
    <w:rsid w:val="009623C0"/>
    <w:rPr>
      <w:vertAlign w:val="superscript"/>
    </w:rPr>
  </w:style>
  <w:style w:type="paragraph" w:customStyle="1" w:styleId="InsideAddress">
    <w:name w:val="Inside Address"/>
    <w:basedOn w:val="Normal"/>
    <w:rsid w:val="009623C0"/>
    <w:rPr>
      <w:rFonts w:ascii="Times" w:eastAsia="Times" w:hAnsi="Times"/>
    </w:rPr>
  </w:style>
  <w:style w:type="paragraph" w:styleId="Footer">
    <w:name w:val="footer"/>
    <w:basedOn w:val="Normal"/>
    <w:link w:val="FooterChar"/>
    <w:uiPriority w:val="99"/>
    <w:rsid w:val="009623C0"/>
    <w:pPr>
      <w:tabs>
        <w:tab w:val="center" w:pos="4320"/>
        <w:tab w:val="right" w:pos="8640"/>
      </w:tabs>
    </w:pPr>
    <w:rPr>
      <w:sz w:val="28"/>
    </w:rPr>
  </w:style>
  <w:style w:type="character" w:customStyle="1" w:styleId="FooterChar">
    <w:name w:val="Footer Char"/>
    <w:basedOn w:val="DefaultParagraphFont"/>
    <w:link w:val="Footer"/>
    <w:uiPriority w:val="99"/>
    <w:rsid w:val="009623C0"/>
    <w:rPr>
      <w:rFonts w:ascii="Times New Roman" w:eastAsia="Times New Roman" w:hAnsi="Times New Roman" w:cs="Times New Roman"/>
      <w:sz w:val="28"/>
      <w:szCs w:val="20"/>
    </w:rPr>
  </w:style>
  <w:style w:type="character" w:styleId="Hyperlink">
    <w:name w:val="Hyperlink"/>
    <w:uiPriority w:val="99"/>
    <w:rsid w:val="009623C0"/>
    <w:rPr>
      <w:color w:val="0000FF"/>
      <w:u w:val="single"/>
    </w:rPr>
  </w:style>
  <w:style w:type="paragraph" w:styleId="BodyText2">
    <w:name w:val="Body Text 2"/>
    <w:basedOn w:val="Normal"/>
    <w:link w:val="BodyText2Char"/>
    <w:rsid w:val="009623C0"/>
    <w:pPr>
      <w:tabs>
        <w:tab w:val="left" w:pos="1080"/>
        <w:tab w:val="left" w:pos="3600"/>
      </w:tabs>
      <w:spacing w:line="480" w:lineRule="auto"/>
    </w:pPr>
  </w:style>
  <w:style w:type="character" w:customStyle="1" w:styleId="BodyText2Char">
    <w:name w:val="Body Text 2 Char"/>
    <w:basedOn w:val="DefaultParagraphFont"/>
    <w:link w:val="BodyText2"/>
    <w:rsid w:val="009623C0"/>
    <w:rPr>
      <w:rFonts w:ascii="Times New Roman" w:eastAsia="Times New Roman" w:hAnsi="Times New Roman" w:cs="Times New Roman"/>
      <w:sz w:val="24"/>
      <w:szCs w:val="20"/>
    </w:rPr>
  </w:style>
  <w:style w:type="paragraph" w:styleId="TOC1">
    <w:name w:val="toc 1"/>
    <w:basedOn w:val="Normal"/>
    <w:next w:val="Normal"/>
    <w:autoRedefine/>
    <w:uiPriority w:val="39"/>
    <w:rsid w:val="009623C0"/>
    <w:pPr>
      <w:tabs>
        <w:tab w:val="left" w:pos="720"/>
        <w:tab w:val="decimal" w:leader="dot" w:pos="8640"/>
      </w:tabs>
      <w:spacing w:after="240"/>
      <w:ind w:left="720" w:hanging="720"/>
    </w:pPr>
    <w:rPr>
      <w:caps/>
      <w:noProof/>
      <w:szCs w:val="24"/>
    </w:rPr>
  </w:style>
  <w:style w:type="paragraph" w:styleId="Header">
    <w:name w:val="header"/>
    <w:basedOn w:val="Normal"/>
    <w:link w:val="HeaderChar"/>
    <w:rsid w:val="009623C0"/>
    <w:pPr>
      <w:tabs>
        <w:tab w:val="center" w:pos="4320"/>
        <w:tab w:val="right" w:pos="8640"/>
      </w:tabs>
    </w:pPr>
    <w:rPr>
      <w:sz w:val="28"/>
    </w:rPr>
  </w:style>
  <w:style w:type="character" w:customStyle="1" w:styleId="HeaderChar">
    <w:name w:val="Header Char"/>
    <w:basedOn w:val="DefaultParagraphFont"/>
    <w:link w:val="Header"/>
    <w:rsid w:val="009623C0"/>
    <w:rPr>
      <w:rFonts w:ascii="Times New Roman" w:eastAsia="Times New Roman" w:hAnsi="Times New Roman" w:cs="Times New Roman"/>
      <w:sz w:val="28"/>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
    <w:basedOn w:val="Normal"/>
    <w:link w:val="FootnoteTextChar1"/>
    <w:rsid w:val="009623C0"/>
    <w:pPr>
      <w:spacing w:before="120"/>
    </w:pPr>
    <w:rPr>
      <w:sz w:val="20"/>
    </w:rPr>
  </w:style>
  <w:style w:type="character" w:customStyle="1" w:styleId="FootnoteTextChar">
    <w:name w:val="Footnote Text Char"/>
    <w:basedOn w:val="DefaultParagraphFont"/>
    <w:uiPriority w:val="99"/>
    <w:semiHidden/>
    <w:rsid w:val="009623C0"/>
    <w:rPr>
      <w:rFonts w:ascii="Times New Roman" w:eastAsia="Times New Roman" w:hAnsi="Times New Roman" w:cs="Times New Roman"/>
      <w:sz w:val="20"/>
      <w:szCs w:val="20"/>
    </w:rPr>
  </w:style>
  <w:style w:type="character" w:styleId="PageNumber">
    <w:name w:val="page number"/>
    <w:basedOn w:val="DefaultParagraphFont"/>
    <w:rsid w:val="009623C0"/>
  </w:style>
  <w:style w:type="paragraph" w:styleId="BodyTextIndent3">
    <w:name w:val="Body Text Indent 3"/>
    <w:basedOn w:val="Normal"/>
    <w:link w:val="BodyTextIndent3Char"/>
    <w:rsid w:val="009623C0"/>
    <w:pPr>
      <w:spacing w:line="480" w:lineRule="auto"/>
      <w:ind w:left="360"/>
    </w:pPr>
  </w:style>
  <w:style w:type="character" w:customStyle="1" w:styleId="BodyTextIndent3Char">
    <w:name w:val="Body Text Indent 3 Char"/>
    <w:basedOn w:val="DefaultParagraphFont"/>
    <w:link w:val="BodyTextIndent3"/>
    <w:rsid w:val="009623C0"/>
    <w:rPr>
      <w:rFonts w:ascii="Times New Roman" w:eastAsia="Times New Roman" w:hAnsi="Times New Roman" w:cs="Times New Roman"/>
      <w:sz w:val="24"/>
      <w:szCs w:val="20"/>
    </w:rPr>
  </w:style>
  <w:style w:type="paragraph" w:styleId="TOC2">
    <w:name w:val="toc 2"/>
    <w:basedOn w:val="Normal"/>
    <w:next w:val="Normal"/>
    <w:autoRedefine/>
    <w:uiPriority w:val="39"/>
    <w:rsid w:val="009623C0"/>
    <w:pPr>
      <w:tabs>
        <w:tab w:val="left" w:pos="720"/>
        <w:tab w:val="left" w:pos="1440"/>
        <w:tab w:val="decimal" w:leader="dot" w:pos="8640"/>
      </w:tabs>
      <w:spacing w:after="240"/>
      <w:ind w:left="1440" w:hanging="720"/>
    </w:pPr>
    <w:rPr>
      <w:szCs w:val="24"/>
    </w:rPr>
  </w:style>
  <w:style w:type="paragraph" w:styleId="EndnoteText">
    <w:name w:val="endnote text"/>
    <w:basedOn w:val="Normal"/>
    <w:link w:val="EndnoteTextChar"/>
    <w:semiHidden/>
    <w:rsid w:val="009623C0"/>
    <w:pPr>
      <w:widowControl w:val="0"/>
    </w:pPr>
    <w:rPr>
      <w:rFonts w:ascii="Courier" w:hAnsi="Courier"/>
      <w:snapToGrid w:val="0"/>
    </w:rPr>
  </w:style>
  <w:style w:type="character" w:customStyle="1" w:styleId="EndnoteTextChar">
    <w:name w:val="Endnote Text Char"/>
    <w:basedOn w:val="DefaultParagraphFont"/>
    <w:link w:val="EndnoteText"/>
    <w:semiHidden/>
    <w:rsid w:val="009623C0"/>
    <w:rPr>
      <w:rFonts w:ascii="Courier" w:eastAsia="Times New Roman" w:hAnsi="Courier" w:cs="Times New Roman"/>
      <w:snapToGrid w:val="0"/>
      <w:sz w:val="24"/>
      <w:szCs w:val="20"/>
    </w:rPr>
  </w:style>
  <w:style w:type="paragraph" w:styleId="PlainText">
    <w:name w:val="Plain Text"/>
    <w:basedOn w:val="Normal"/>
    <w:link w:val="PlainTextChar"/>
    <w:uiPriority w:val="99"/>
    <w:rsid w:val="009623C0"/>
    <w:rPr>
      <w:rFonts w:ascii="Courier New" w:hAnsi="Courier New"/>
      <w:sz w:val="20"/>
    </w:rPr>
  </w:style>
  <w:style w:type="character" w:customStyle="1" w:styleId="PlainTextChar">
    <w:name w:val="Plain Text Char"/>
    <w:basedOn w:val="DefaultParagraphFont"/>
    <w:link w:val="PlainText"/>
    <w:uiPriority w:val="99"/>
    <w:rsid w:val="009623C0"/>
    <w:rPr>
      <w:rFonts w:ascii="Courier New" w:eastAsia="Times New Roman" w:hAnsi="Courier New" w:cs="Times New Roman"/>
      <w:sz w:val="20"/>
      <w:szCs w:val="20"/>
    </w:rPr>
  </w:style>
  <w:style w:type="paragraph" w:styleId="HTMLPreformatted">
    <w:name w:val="HTML Preformatted"/>
    <w:basedOn w:val="Normal"/>
    <w:link w:val="HTMLPreformattedChar"/>
    <w:rsid w:val="0096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9623C0"/>
    <w:rPr>
      <w:rFonts w:ascii="Courier New" w:eastAsia="Courier New" w:hAnsi="Courier New" w:cs="Courier New"/>
      <w:sz w:val="20"/>
      <w:szCs w:val="20"/>
    </w:rPr>
  </w:style>
  <w:style w:type="character" w:customStyle="1" w:styleId="FootnoteTextChar1">
    <w:name w:val="Footnote Text Char1"/>
    <w:aliases w:val="ALTS FOOTNOTE Char1,Footnote Text Cha Char,Footnote Text Char Char4 Char Char,Footnote Text Char Char4 Char1 Char Char Char,Footnote Text Char2 Char,Footnote Text Char4 Char Char,Footnote Text Char4 Char1 Char Char Char"/>
    <w:link w:val="FootnoteText"/>
    <w:locked/>
    <w:rsid w:val="009623C0"/>
    <w:rPr>
      <w:rFonts w:ascii="Times New Roman" w:eastAsia="Times New Roman" w:hAnsi="Times New Roman" w:cs="Times New Roman"/>
      <w:sz w:val="20"/>
      <w:szCs w:val="20"/>
    </w:rPr>
  </w:style>
  <w:style w:type="character" w:customStyle="1" w:styleId="FootnoteTextChar1Char">
    <w:name w:val="Footnote Text Char1 Char"/>
    <w:aliases w:val="ALTS FOOTNOTE Char,Footnote Text Char Char Char,Footnote Text Char Char Char Char Char,Footnote Text Char Char1,Footnote Text Char1 Char Char1 Char,Footnote Text Char2 Char Char Char Char1 Char,fn Char Char"/>
    <w:semiHidden/>
    <w:locked/>
    <w:rsid w:val="004C5B26"/>
  </w:style>
  <w:style w:type="character" w:styleId="CommentReference">
    <w:name w:val="annotation reference"/>
    <w:basedOn w:val="DefaultParagraphFont"/>
    <w:uiPriority w:val="99"/>
    <w:semiHidden/>
    <w:unhideWhenUsed/>
    <w:rsid w:val="002C04F7"/>
    <w:rPr>
      <w:sz w:val="16"/>
      <w:szCs w:val="16"/>
    </w:rPr>
  </w:style>
  <w:style w:type="paragraph" w:styleId="CommentText">
    <w:name w:val="annotation text"/>
    <w:basedOn w:val="Normal"/>
    <w:link w:val="CommentTextChar"/>
    <w:uiPriority w:val="99"/>
    <w:unhideWhenUsed/>
    <w:rsid w:val="002C04F7"/>
    <w:rPr>
      <w:sz w:val="20"/>
    </w:rPr>
  </w:style>
  <w:style w:type="character" w:customStyle="1" w:styleId="CommentTextChar">
    <w:name w:val="Comment Text Char"/>
    <w:basedOn w:val="DefaultParagraphFont"/>
    <w:link w:val="CommentText"/>
    <w:uiPriority w:val="99"/>
    <w:rsid w:val="002C04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4F7"/>
    <w:rPr>
      <w:b/>
      <w:bCs/>
    </w:rPr>
  </w:style>
  <w:style w:type="character" w:customStyle="1" w:styleId="CommentSubjectChar">
    <w:name w:val="Comment Subject Char"/>
    <w:basedOn w:val="CommentTextChar"/>
    <w:link w:val="CommentSubject"/>
    <w:uiPriority w:val="99"/>
    <w:semiHidden/>
    <w:rsid w:val="002C04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04F7"/>
    <w:rPr>
      <w:rFonts w:ascii="Tahoma" w:hAnsi="Tahoma" w:cs="Tahoma"/>
      <w:sz w:val="16"/>
      <w:szCs w:val="16"/>
    </w:rPr>
  </w:style>
  <w:style w:type="character" w:customStyle="1" w:styleId="BalloonTextChar">
    <w:name w:val="Balloon Text Char"/>
    <w:basedOn w:val="DefaultParagraphFont"/>
    <w:link w:val="BalloonText"/>
    <w:uiPriority w:val="99"/>
    <w:semiHidden/>
    <w:rsid w:val="002C04F7"/>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DA7BBA"/>
    <w:rPr>
      <w:color w:val="605E5C"/>
      <w:shd w:val="clear" w:color="auto" w:fill="E1DFDD"/>
    </w:rPr>
  </w:style>
  <w:style w:type="paragraph" w:styleId="Revision">
    <w:name w:val="Revision"/>
    <w:hidden/>
    <w:uiPriority w:val="99"/>
    <w:semiHidden/>
    <w:rsid w:val="000715BB"/>
    <w:pPr>
      <w:spacing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kyle.kern@ohioAGO.gov" TargetMode="External" /><Relationship Id="rId12" Type="http://schemas.openxmlformats.org/officeDocument/2006/relationships/hyperlink" Target="mailto:cfaruki@ficlaw.com" TargetMode="External" /><Relationship Id="rId13" Type="http://schemas.openxmlformats.org/officeDocument/2006/relationships/hyperlink" Target="mailto:jsharkey@ficlaw.com" TargetMode="External" /><Relationship Id="rId14" Type="http://schemas.openxmlformats.org/officeDocument/2006/relationships/hyperlink" Target="mailto:chollon@ficlaw.com" TargetMode="External" /><Relationship Id="rId15" Type="http://schemas.openxmlformats.org/officeDocument/2006/relationships/hyperlink" Target="mailto:joliker@igsenergy.com" TargetMode="External" /><Relationship Id="rId16" Type="http://schemas.openxmlformats.org/officeDocument/2006/relationships/hyperlink" Target="mailto:Ned.Ford@fuse.net" TargetMode="External" /><Relationship Id="rId17" Type="http://schemas.openxmlformats.org/officeDocument/2006/relationships/hyperlink" Target="mailto:mjsettineri@vorys.com" TargetMode="External" /><Relationship Id="rId18" Type="http://schemas.openxmlformats.org/officeDocument/2006/relationships/hyperlink" Target="mailto:glpetrucci@vorys.com" TargetMode="External" /><Relationship Id="rId19" Type="http://schemas.openxmlformats.org/officeDocument/2006/relationships/hyperlink" Target="mailto:bojko@carpenterlipps.com" TargetMode="External" /><Relationship Id="rId2" Type="http://schemas.openxmlformats.org/officeDocument/2006/relationships/settings" Target="settings.xml" /><Relationship Id="rId20" Type="http://schemas.openxmlformats.org/officeDocument/2006/relationships/hyperlink" Target="mailto:paul@carpenterlipps.com" TargetMode="External" /><Relationship Id="rId21" Type="http://schemas.openxmlformats.org/officeDocument/2006/relationships/hyperlink" Target="mailto:slesser@beneschlaw.com" TargetMode="External" /><Relationship Id="rId22" Type="http://schemas.openxmlformats.org/officeDocument/2006/relationships/hyperlink" Target="mailto:mkeaney@beneschlaw.com" TargetMode="External" /><Relationship Id="rId23" Type="http://schemas.openxmlformats.org/officeDocument/2006/relationships/hyperlink" Target="mailto:talexander@beneschlaw.com" TargetMode="External" /><Relationship Id="rId24" Type="http://schemas.openxmlformats.org/officeDocument/2006/relationships/hyperlink" Target="mailto:ssiewe@beneschlaw.com" TargetMode="External" /><Relationship Id="rId25" Type="http://schemas.openxmlformats.org/officeDocument/2006/relationships/hyperlink" Target="mailto:mswhite@igsenergy.com" TargetMode="External" /><Relationship Id="rId26" Type="http://schemas.openxmlformats.org/officeDocument/2006/relationships/hyperlink" Target="mailto:dborcher@bricker.com" TargetMode="External" /><Relationship Id="rId27" Type="http://schemas.openxmlformats.org/officeDocument/2006/relationships/hyperlink" Target="mailto:dparram@bricker.com" TargetMode="External" /><Relationship Id="rId28" Type="http://schemas.openxmlformats.org/officeDocument/2006/relationships/hyperlink" Target="mailto:rmains@bricker.com" TargetMode="External" /><Relationship Id="rId29" Type="http://schemas.openxmlformats.org/officeDocument/2006/relationships/hyperlink" Target="mailto:fdarr2019@gmail.com" TargetMode="External" /><Relationship Id="rId3" Type="http://schemas.openxmlformats.org/officeDocument/2006/relationships/webSettings" Target="webSettings.xml" /><Relationship Id="rId30" Type="http://schemas.openxmlformats.org/officeDocument/2006/relationships/hyperlink" Target="mailto:gregory.price@puco.ohio.gov" TargetMode="External" /><Relationship Id="rId31" Type="http://schemas.openxmlformats.org/officeDocument/2006/relationships/hyperlink" Target="mailto:jeanne.kingery@duke-energy.com" TargetMode="External" /><Relationship Id="rId32" Type="http://schemas.openxmlformats.org/officeDocument/2006/relationships/hyperlink" Target="mailto:haydenm@firstenergycorp.com" TargetMode="External" /><Relationship Id="rId33" Type="http://schemas.openxmlformats.org/officeDocument/2006/relationships/hyperlink" Target="mailto:mjsatterwhite@aep.com" TargetMode="External" /><Relationship Id="rId34" Type="http://schemas.openxmlformats.org/officeDocument/2006/relationships/hyperlink" Target="mailto:stnourse@aep.com" TargetMode="External" /><Relationship Id="rId35" Type="http://schemas.openxmlformats.org/officeDocument/2006/relationships/hyperlink" Target="mailto:henryeckhart@aol.com" TargetMode="External" /><Relationship Id="rId36" Type="http://schemas.openxmlformats.org/officeDocument/2006/relationships/hyperlink" Target="mailto:dboehm@bkllawfirm.com" TargetMode="External" /><Relationship Id="rId37" Type="http://schemas.openxmlformats.org/officeDocument/2006/relationships/hyperlink" Target="mailto:mkurtz@bkllawfirm.com" TargetMode="External" /><Relationship Id="rId38" Type="http://schemas.openxmlformats.org/officeDocument/2006/relationships/hyperlink" Target="mailto:jkylercohn@bkllawfirm.com" TargetMode="External" /><Relationship Id="rId39" Type="http://schemas.openxmlformats.org/officeDocument/2006/relationships/hyperlink" Target="mailto:Cynthia.brady@constellation.com" TargetMode="External" /><Relationship Id="rId4" Type="http://schemas.openxmlformats.org/officeDocument/2006/relationships/fontTable" Target="fontTable.xml" /><Relationship Id="rId40" Type="http://schemas.openxmlformats.org/officeDocument/2006/relationships/hyperlink" Target="mailto:David.fein@constellation.com" TargetMode="External" /><Relationship Id="rId41" Type="http://schemas.openxmlformats.org/officeDocument/2006/relationships/hyperlink" Target="mailto:njohnson@theoec.org" TargetMode="External" /><Relationship Id="rId42" Type="http://schemas.openxmlformats.org/officeDocument/2006/relationships/hyperlink" Target="mailto:Williams.toddm@gmail.com" TargetMode="External" /><Relationship Id="rId43" Type="http://schemas.openxmlformats.org/officeDocument/2006/relationships/hyperlink" Target="mailto:ejacobs@ablelaw.org" TargetMode="External" /><Relationship Id="rId44" Type="http://schemas.openxmlformats.org/officeDocument/2006/relationships/hyperlink" Target="mailto:stephen.chriss@wal-mart.com" TargetMode="External" /><Relationship Id="rId45" Type="http://schemas.openxmlformats.org/officeDocument/2006/relationships/hyperlink" Target="mailto:rdove@keglerbrown.com" TargetMode="External" /><Relationship Id="rId46" Type="http://schemas.openxmlformats.org/officeDocument/2006/relationships/hyperlink" Target="mailto:fykes@whitt-sturtevant.com" TargetMode="External" /><Relationship Id="rId47" Type="http://schemas.openxmlformats.org/officeDocument/2006/relationships/hyperlink" Target="mailto:whitt@whitt-sturtevant.com" TargetMode="External" /><Relationship Id="rId48" Type="http://schemas.openxmlformats.org/officeDocument/2006/relationships/hyperlink" Target="mailto:mpritchard@mcneeslaw.com" TargetMode="External" /><Relationship Id="rId49" Type="http://schemas.openxmlformats.org/officeDocument/2006/relationships/hyperlink" Target="mailto:evan.betterton@igs.com" TargetMode="External" /><Relationship Id="rId5" Type="http://schemas.openxmlformats.org/officeDocument/2006/relationships/customXml" Target="../customXml/item1.xml" /><Relationship Id="rId50" Type="http://schemas.openxmlformats.org/officeDocument/2006/relationships/hyperlink" Target="mailto:michael.nugent@igs.com" TargetMode="External" /><Relationship Id="rId51" Type="http://schemas.openxmlformats.org/officeDocument/2006/relationships/hyperlink" Target="mailto:ctavenor@theOEC.org" TargetMode="External" /><Relationship Id="rId52" Type="http://schemas.openxmlformats.org/officeDocument/2006/relationships/footer" Target="footer3.xml" /><Relationship Id="rId53" Type="http://schemas.openxmlformats.org/officeDocument/2006/relationships/theme" Target="theme/theme1.xml" /><Relationship Id="rId54" Type="http://schemas.openxmlformats.org/officeDocument/2006/relationships/styles" Target="styles.xml" /><Relationship Id="rId6" Type="http://schemas.openxmlformats.org/officeDocument/2006/relationships/footer" Target="footer1.xml" /><Relationship Id="rId7" Type="http://schemas.openxmlformats.org/officeDocument/2006/relationships/hyperlink" Target="mailto:maureen.willis@occ.ohio.gov" TargetMode="External" /><Relationship Id="rId8" Type="http://schemas.openxmlformats.org/officeDocument/2006/relationships/hyperlink" Target="mailto:william.michael@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33B0-471D-421D-9276-98E255F6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2022-05-13T14:50:26Z</dcterms:created>
  <dcterms:modified xsi:type="dcterms:W3CDTF">2022-05-13T14:50:26Z</dcterms:modified>
</cp:coreProperties>
</file>