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1B" w:rsidRDefault="00BF111B" w:rsidP="00BF111B">
      <w:pPr>
        <w:jc w:val="center"/>
        <w:rPr>
          <w:b/>
          <w:szCs w:val="24"/>
        </w:rPr>
      </w:pPr>
      <w:bookmarkStart w:id="0" w:name="_Toc435539627"/>
      <w:bookmarkStart w:id="1" w:name="_GoBack"/>
      <w:bookmarkEnd w:id="1"/>
      <w:r>
        <w:rPr>
          <w:b/>
          <w:szCs w:val="24"/>
        </w:rPr>
        <w:t>BEFORE</w:t>
      </w:r>
    </w:p>
    <w:p w:rsidR="004B5A1E" w:rsidRDefault="004B5A1E" w:rsidP="004B5A1E">
      <w:pPr>
        <w:jc w:val="center"/>
        <w:rPr>
          <w:b/>
          <w:szCs w:val="24"/>
        </w:rPr>
      </w:pPr>
      <w:r w:rsidRPr="002E74E3">
        <w:rPr>
          <w:b/>
          <w:szCs w:val="24"/>
        </w:rPr>
        <w:t xml:space="preserve">THE PUBLIC UTILITIES </w:t>
      </w:r>
      <w:r>
        <w:rPr>
          <w:b/>
          <w:szCs w:val="24"/>
        </w:rPr>
        <w:t>COMMISSION</w:t>
      </w:r>
      <w:r w:rsidRPr="002E74E3">
        <w:rPr>
          <w:b/>
          <w:szCs w:val="24"/>
        </w:rPr>
        <w:t xml:space="preserve"> OF OHIO</w:t>
      </w:r>
    </w:p>
    <w:p w:rsidR="004B5A1E" w:rsidRDefault="004B5A1E" w:rsidP="004B5A1E">
      <w:pPr>
        <w:jc w:val="center"/>
        <w:rPr>
          <w:b/>
          <w:szCs w:val="24"/>
        </w:rPr>
      </w:pPr>
    </w:p>
    <w:tbl>
      <w:tblPr>
        <w:tblW w:w="9092" w:type="dxa"/>
        <w:tblLook w:val="01E0" w:firstRow="1" w:lastRow="1" w:firstColumn="1" w:lastColumn="1" w:noHBand="0" w:noVBand="0"/>
      </w:tblPr>
      <w:tblGrid>
        <w:gridCol w:w="4332"/>
        <w:gridCol w:w="360"/>
        <w:gridCol w:w="4400"/>
      </w:tblGrid>
      <w:tr w:rsidR="004B5A1E" w:rsidRPr="002346EB" w:rsidTr="00446D15">
        <w:trPr>
          <w:trHeight w:val="807"/>
        </w:trPr>
        <w:tc>
          <w:tcPr>
            <w:tcW w:w="4332" w:type="dxa"/>
            <w:shd w:val="clear" w:color="auto" w:fill="auto"/>
          </w:tcPr>
          <w:p w:rsidR="004B5A1E" w:rsidRPr="002346EB" w:rsidRDefault="004B5A1E" w:rsidP="001A362F">
            <w:pPr>
              <w:pStyle w:val="InsideAddress"/>
              <w:rPr>
                <w:rFonts w:ascii="Times New Roman" w:hAnsi="Times New Roman"/>
                <w:szCs w:val="24"/>
              </w:rPr>
            </w:pPr>
            <w:r w:rsidRPr="002346EB">
              <w:rPr>
                <w:rFonts w:ascii="Times New Roman" w:eastAsia="Times New Roman" w:hAnsi="Times New Roman"/>
                <w:szCs w:val="24"/>
              </w:rPr>
              <w:t xml:space="preserve">In the Matter of the Application of The </w:t>
            </w:r>
            <w:r>
              <w:rPr>
                <w:rFonts w:ascii="Times New Roman" w:eastAsia="Times New Roman" w:hAnsi="Times New Roman"/>
                <w:szCs w:val="24"/>
              </w:rPr>
              <w:t>TimkenSteel</w:t>
            </w:r>
            <w:r w:rsidRPr="002346EB">
              <w:rPr>
                <w:rFonts w:ascii="Times New Roman" w:eastAsia="Times New Roman" w:hAnsi="Times New Roman"/>
                <w:szCs w:val="24"/>
              </w:rPr>
              <w:t xml:space="preserve"> Corporation for Approval of a Unique Arrangement for the </w:t>
            </w:r>
            <w:r>
              <w:rPr>
                <w:rFonts w:ascii="Times New Roman" w:eastAsia="Times New Roman" w:hAnsi="Times New Roman"/>
                <w:szCs w:val="24"/>
              </w:rPr>
              <w:t>TimkenSteel</w:t>
            </w:r>
            <w:r w:rsidRPr="002346EB">
              <w:rPr>
                <w:rFonts w:ascii="Times New Roman" w:eastAsia="Times New Roman" w:hAnsi="Times New Roman"/>
                <w:szCs w:val="24"/>
              </w:rPr>
              <w:t xml:space="preserve"> Corporation’s Stark County Facilities.</w:t>
            </w:r>
          </w:p>
        </w:tc>
        <w:tc>
          <w:tcPr>
            <w:tcW w:w="360" w:type="dxa"/>
            <w:shd w:val="clear" w:color="auto" w:fill="auto"/>
          </w:tcPr>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w:t>
            </w:r>
          </w:p>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w:t>
            </w:r>
          </w:p>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w:t>
            </w:r>
          </w:p>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w:t>
            </w:r>
          </w:p>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w:t>
            </w:r>
          </w:p>
        </w:tc>
        <w:tc>
          <w:tcPr>
            <w:tcW w:w="4400" w:type="dxa"/>
            <w:shd w:val="clear" w:color="auto" w:fill="auto"/>
          </w:tcPr>
          <w:p w:rsidR="004B5A1E" w:rsidRPr="002346EB" w:rsidRDefault="004B5A1E" w:rsidP="00446D15">
            <w:pPr>
              <w:pStyle w:val="HTMLPreformatted"/>
              <w:rPr>
                <w:rFonts w:ascii="Times New Roman" w:hAnsi="Times New Roman" w:cs="Times New Roman"/>
                <w:sz w:val="24"/>
                <w:szCs w:val="24"/>
              </w:rPr>
            </w:pPr>
          </w:p>
          <w:p w:rsidR="004B5A1E" w:rsidRPr="002346EB" w:rsidRDefault="004B5A1E" w:rsidP="00446D15">
            <w:pPr>
              <w:pStyle w:val="HTMLPreformatted"/>
              <w:rPr>
                <w:rFonts w:ascii="Times New Roman" w:hAnsi="Times New Roman" w:cs="Times New Roman"/>
                <w:sz w:val="24"/>
                <w:szCs w:val="24"/>
              </w:rPr>
            </w:pPr>
            <w:r w:rsidRPr="002346EB">
              <w:rPr>
                <w:rFonts w:ascii="Times New Roman" w:hAnsi="Times New Roman" w:cs="Times New Roman"/>
                <w:sz w:val="24"/>
                <w:szCs w:val="24"/>
              </w:rPr>
              <w:t xml:space="preserve">Case No. 15-1857-EL-AEC </w:t>
            </w:r>
          </w:p>
        </w:tc>
      </w:tr>
    </w:tbl>
    <w:p w:rsidR="004B5A1E" w:rsidRDefault="004B5A1E" w:rsidP="004B5A1E">
      <w:pPr>
        <w:pStyle w:val="InsideAddress"/>
        <w:pBdr>
          <w:bottom w:val="single" w:sz="12" w:space="1" w:color="auto"/>
        </w:pBdr>
        <w:rPr>
          <w:rFonts w:ascii="Times New Roman" w:eastAsia="Times New Roman" w:hAnsi="Times New Roman"/>
          <w:szCs w:val="24"/>
        </w:rPr>
      </w:pPr>
    </w:p>
    <w:p w:rsidR="00BF111B" w:rsidRDefault="00BF111B" w:rsidP="004B5A1E">
      <w:pPr>
        <w:pStyle w:val="InsideAddress"/>
        <w:rPr>
          <w:rFonts w:ascii="Times New Roman" w:eastAsia="Times New Roman" w:hAnsi="Times New Roman"/>
          <w:szCs w:val="24"/>
        </w:rPr>
      </w:pPr>
    </w:p>
    <w:p w:rsidR="004B5A1E" w:rsidRDefault="004B5A1E" w:rsidP="004B5A1E">
      <w:pPr>
        <w:jc w:val="center"/>
        <w:rPr>
          <w:b/>
          <w:bCs/>
          <w:szCs w:val="24"/>
        </w:rPr>
      </w:pPr>
      <w:r>
        <w:rPr>
          <w:b/>
          <w:bCs/>
          <w:szCs w:val="24"/>
        </w:rPr>
        <w:t>COMMENTS</w:t>
      </w:r>
    </w:p>
    <w:p w:rsidR="004B5A1E" w:rsidRDefault="004B5A1E" w:rsidP="004B5A1E">
      <w:pPr>
        <w:jc w:val="center"/>
        <w:rPr>
          <w:b/>
          <w:bCs/>
          <w:szCs w:val="24"/>
        </w:rPr>
      </w:pPr>
      <w:r>
        <w:rPr>
          <w:b/>
          <w:bCs/>
          <w:szCs w:val="24"/>
        </w:rPr>
        <w:t>BY</w:t>
      </w:r>
    </w:p>
    <w:p w:rsidR="004B5A1E" w:rsidRDefault="004B5A1E" w:rsidP="004B5A1E">
      <w:pPr>
        <w:jc w:val="center"/>
        <w:rPr>
          <w:b/>
          <w:bCs/>
          <w:szCs w:val="24"/>
        </w:rPr>
      </w:pPr>
      <w:r>
        <w:rPr>
          <w:b/>
          <w:bCs/>
          <w:szCs w:val="24"/>
        </w:rPr>
        <w:t>THE OFFICE OF THE OHIO CONSUMERS’ COUNSEL</w:t>
      </w:r>
    </w:p>
    <w:p w:rsidR="004B5A1E" w:rsidRDefault="004B5A1E" w:rsidP="004B5A1E">
      <w:pPr>
        <w:jc w:val="center"/>
        <w:rPr>
          <w:b/>
          <w:bCs/>
          <w:szCs w:val="24"/>
        </w:rPr>
      </w:pPr>
    </w:p>
    <w:p w:rsidR="004B5A1E" w:rsidRDefault="004B5A1E" w:rsidP="004B5A1E">
      <w:pPr>
        <w:pBdr>
          <w:top w:val="single" w:sz="12" w:space="1" w:color="auto"/>
        </w:pBdr>
        <w:tabs>
          <w:tab w:val="left" w:pos="4320"/>
        </w:tabs>
        <w:jc w:val="center"/>
        <w:rPr>
          <w:b/>
          <w:bCs/>
          <w:szCs w:val="24"/>
        </w:rPr>
      </w:pPr>
    </w:p>
    <w:p w:rsidR="00BF111B" w:rsidRDefault="00BF111B" w:rsidP="00BF111B">
      <w:pPr>
        <w:pStyle w:val="Heading1"/>
      </w:pPr>
      <w:r>
        <w:t>I.</w:t>
      </w:r>
      <w:r>
        <w:tab/>
        <w:t>INTRODUCTION</w:t>
      </w:r>
    </w:p>
    <w:p w:rsidR="00BF111B" w:rsidRDefault="007C757F" w:rsidP="001A362F">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On behalf of 1.4 million residential </w:t>
      </w:r>
      <w:r w:rsidR="003E1968">
        <w:rPr>
          <w:rFonts w:ascii="Times New Roman" w:eastAsia="Times New Roman" w:hAnsi="Times New Roman"/>
          <w:szCs w:val="24"/>
        </w:rPr>
        <w:t>utility consumer</w:t>
      </w:r>
      <w:r w:rsidR="00C90F58">
        <w:rPr>
          <w:rFonts w:ascii="Times New Roman" w:eastAsia="Times New Roman" w:hAnsi="Times New Roman"/>
          <w:szCs w:val="24"/>
        </w:rPr>
        <w:t>s</w:t>
      </w:r>
      <w:r w:rsidR="003E1968">
        <w:rPr>
          <w:rFonts w:ascii="Times New Roman" w:eastAsia="Times New Roman" w:hAnsi="Times New Roman"/>
          <w:szCs w:val="24"/>
        </w:rPr>
        <w:t xml:space="preserve"> of Ohio Power C</w:t>
      </w:r>
      <w:r>
        <w:rPr>
          <w:rFonts w:ascii="Times New Roman" w:eastAsia="Times New Roman" w:hAnsi="Times New Roman"/>
          <w:szCs w:val="24"/>
        </w:rPr>
        <w:t xml:space="preserve">ompany (“Ohio Power” or “Utility”), the Office of the Ohio Consumers’ Counsel (“OCC”) </w:t>
      </w:r>
      <w:r w:rsidR="003F7864">
        <w:rPr>
          <w:rFonts w:ascii="Times New Roman" w:eastAsia="Times New Roman" w:hAnsi="Times New Roman"/>
          <w:szCs w:val="24"/>
        </w:rPr>
        <w:t xml:space="preserve">makes the following recommendations to </w:t>
      </w:r>
      <w:r>
        <w:rPr>
          <w:rFonts w:ascii="Times New Roman" w:eastAsia="Times New Roman" w:hAnsi="Times New Roman"/>
          <w:szCs w:val="24"/>
        </w:rPr>
        <w:t>the Public Utilities Commission</w:t>
      </w:r>
      <w:r w:rsidR="003F7864">
        <w:rPr>
          <w:rFonts w:ascii="Times New Roman" w:eastAsia="Times New Roman" w:hAnsi="Times New Roman"/>
          <w:szCs w:val="24"/>
        </w:rPr>
        <w:t xml:space="preserve"> of Ohio</w:t>
      </w:r>
      <w:r>
        <w:rPr>
          <w:rFonts w:ascii="Times New Roman" w:eastAsia="Times New Roman" w:hAnsi="Times New Roman"/>
          <w:szCs w:val="24"/>
        </w:rPr>
        <w:t xml:space="preserve"> (“PUCO”)</w:t>
      </w:r>
      <w:r w:rsidR="008F1E85">
        <w:rPr>
          <w:rFonts w:ascii="Times New Roman" w:eastAsia="Times New Roman" w:hAnsi="Times New Roman"/>
          <w:szCs w:val="24"/>
        </w:rPr>
        <w:t xml:space="preserve"> for considering the application of</w:t>
      </w:r>
      <w:r>
        <w:rPr>
          <w:rFonts w:ascii="Times New Roman" w:eastAsia="Times New Roman" w:hAnsi="Times New Roman"/>
          <w:szCs w:val="24"/>
        </w:rPr>
        <w:t xml:space="preserve"> TimkenSteel Co</w:t>
      </w:r>
      <w:r w:rsidR="000B769B">
        <w:rPr>
          <w:rFonts w:ascii="Times New Roman" w:eastAsia="Times New Roman" w:hAnsi="Times New Roman"/>
          <w:szCs w:val="24"/>
        </w:rPr>
        <w:t>r</w:t>
      </w:r>
      <w:r>
        <w:rPr>
          <w:rFonts w:ascii="Times New Roman" w:eastAsia="Times New Roman" w:hAnsi="Times New Roman"/>
          <w:szCs w:val="24"/>
        </w:rPr>
        <w:t>poration (</w:t>
      </w:r>
      <w:r w:rsidR="008F1E85">
        <w:rPr>
          <w:rFonts w:ascii="Times New Roman" w:eastAsia="Times New Roman" w:hAnsi="Times New Roman"/>
          <w:szCs w:val="24"/>
        </w:rPr>
        <w:t>“applicant”</w:t>
      </w:r>
      <w:r w:rsidR="008C0FBF">
        <w:rPr>
          <w:rFonts w:ascii="Times New Roman" w:eastAsia="Times New Roman" w:hAnsi="Times New Roman"/>
          <w:szCs w:val="24"/>
        </w:rPr>
        <w:t xml:space="preserve"> or “mercantile customer”</w:t>
      </w:r>
      <w:r>
        <w:rPr>
          <w:rFonts w:ascii="Times New Roman" w:eastAsia="Times New Roman" w:hAnsi="Times New Roman"/>
          <w:szCs w:val="24"/>
        </w:rPr>
        <w:t>)</w:t>
      </w:r>
      <w:r w:rsidR="008F1E85">
        <w:rPr>
          <w:rFonts w:ascii="Times New Roman" w:eastAsia="Times New Roman" w:hAnsi="Times New Roman"/>
          <w:szCs w:val="24"/>
        </w:rPr>
        <w:t>.</w:t>
      </w:r>
      <w:r>
        <w:rPr>
          <w:rFonts w:ascii="Times New Roman" w:eastAsia="Times New Roman" w:hAnsi="Times New Roman"/>
          <w:szCs w:val="24"/>
        </w:rPr>
        <w:t xml:space="preserve"> </w:t>
      </w:r>
      <w:r w:rsidR="00624AEA">
        <w:rPr>
          <w:rFonts w:ascii="Times New Roman" w:eastAsia="Times New Roman" w:hAnsi="Times New Roman"/>
          <w:szCs w:val="24"/>
        </w:rPr>
        <w:t xml:space="preserve">The applicant seeks </w:t>
      </w:r>
      <w:r>
        <w:rPr>
          <w:rFonts w:ascii="Times New Roman" w:eastAsia="Times New Roman" w:hAnsi="Times New Roman"/>
          <w:szCs w:val="24"/>
        </w:rPr>
        <w:t xml:space="preserve">discounted electric rates </w:t>
      </w:r>
      <w:r w:rsidR="00446D15">
        <w:rPr>
          <w:rFonts w:ascii="Times New Roman" w:eastAsia="Times New Roman" w:hAnsi="Times New Roman"/>
          <w:szCs w:val="24"/>
        </w:rPr>
        <w:t>from Ohio Power for economic development</w:t>
      </w:r>
      <w:r>
        <w:rPr>
          <w:rFonts w:ascii="Times New Roman" w:eastAsia="Times New Roman" w:hAnsi="Times New Roman"/>
          <w:szCs w:val="24"/>
        </w:rPr>
        <w:t>.</w:t>
      </w:r>
      <w:r w:rsidR="00396B87">
        <w:rPr>
          <w:rFonts w:ascii="Times New Roman" w:eastAsia="Times New Roman" w:hAnsi="Times New Roman"/>
          <w:szCs w:val="24"/>
        </w:rPr>
        <w:t xml:space="preserve"> </w:t>
      </w:r>
      <w:r w:rsidR="00446D15">
        <w:rPr>
          <w:rFonts w:ascii="Times New Roman" w:eastAsia="Times New Roman" w:hAnsi="Times New Roman"/>
          <w:szCs w:val="24"/>
        </w:rPr>
        <w:t>In this type of case</w:t>
      </w:r>
      <w:r w:rsidR="00624AEA">
        <w:rPr>
          <w:rFonts w:ascii="Times New Roman" w:eastAsia="Times New Roman" w:hAnsi="Times New Roman"/>
          <w:szCs w:val="24"/>
        </w:rPr>
        <w:t>,</w:t>
      </w:r>
      <w:r w:rsidR="00446D15">
        <w:rPr>
          <w:rFonts w:ascii="Times New Roman" w:eastAsia="Times New Roman" w:hAnsi="Times New Roman"/>
          <w:szCs w:val="24"/>
        </w:rPr>
        <w:t xml:space="preserve"> the PUCO considers various factors including a balance between the benefits of economic development programs and the cost to Ohioans who fund the subsidy for the programs.</w:t>
      </w:r>
      <w:r w:rsidR="001F4F97">
        <w:rPr>
          <w:rFonts w:ascii="Times New Roman" w:eastAsia="Times New Roman" w:hAnsi="Times New Roman"/>
          <w:szCs w:val="24"/>
        </w:rPr>
        <w:t xml:space="preserve"> </w:t>
      </w:r>
      <w:r w:rsidR="001D6E60">
        <w:rPr>
          <w:rFonts w:ascii="Times New Roman" w:eastAsia="Times New Roman" w:hAnsi="Times New Roman"/>
          <w:szCs w:val="24"/>
        </w:rPr>
        <w:t>OCC appreciates the courtesy and helpfulness of TimkenSteel in discussing with us its impending application.</w:t>
      </w:r>
      <w:r w:rsidR="00446D15">
        <w:rPr>
          <w:rFonts w:ascii="Times New Roman" w:eastAsia="Times New Roman" w:hAnsi="Times New Roman"/>
          <w:szCs w:val="24"/>
        </w:rPr>
        <w:t xml:space="preserve">    </w:t>
      </w:r>
    </w:p>
    <w:p w:rsidR="001A362F" w:rsidRDefault="001A362F" w:rsidP="001A362F">
      <w:pPr>
        <w:pStyle w:val="InsideAddress"/>
        <w:tabs>
          <w:tab w:val="left" w:pos="4320"/>
        </w:tabs>
        <w:autoSpaceDE w:val="0"/>
        <w:autoSpaceDN w:val="0"/>
        <w:adjustRightInd w:val="0"/>
        <w:ind w:firstLine="720"/>
      </w:pPr>
    </w:p>
    <w:p w:rsidR="004B5A1E" w:rsidRDefault="004B5A1E" w:rsidP="001A362F">
      <w:pPr>
        <w:pStyle w:val="Heading1"/>
      </w:pPr>
      <w:r>
        <w:t>II.</w:t>
      </w:r>
      <w:r>
        <w:tab/>
        <w:t>COMMENTS</w:t>
      </w:r>
      <w:bookmarkEnd w:id="0"/>
    </w:p>
    <w:p w:rsidR="001A362F" w:rsidRDefault="004B5A1E" w:rsidP="00446D15">
      <w:pPr>
        <w:spacing w:line="480" w:lineRule="auto"/>
        <w:sectPr w:rsidR="001A362F" w:rsidSect="001A362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docGrid w:linePitch="360"/>
        </w:sectPr>
      </w:pPr>
      <w:r>
        <w:tab/>
        <w:t xml:space="preserve">The PUCO </w:t>
      </w:r>
      <w:r w:rsidR="00610FB2">
        <w:t xml:space="preserve">has </w:t>
      </w:r>
      <w:r>
        <w:t>adopted rules addressing “reasonable arrangements.”</w:t>
      </w:r>
      <w:r>
        <w:rPr>
          <w:rStyle w:val="FootnoteReference"/>
        </w:rPr>
        <w:footnoteReference w:id="1"/>
      </w:r>
      <w:r>
        <w:t xml:space="preserve"> Under the rules, if it appears to the PUCO that the Application may be unjust or unreasonable, the </w:t>
      </w:r>
    </w:p>
    <w:p w:rsidR="00ED71AF" w:rsidRDefault="004B5A1E" w:rsidP="00446D15">
      <w:pPr>
        <w:spacing w:line="480" w:lineRule="auto"/>
      </w:pPr>
      <w:r>
        <w:lastRenderedPageBreak/>
        <w:t>PUCO may order a hearing.</w:t>
      </w:r>
      <w:r>
        <w:rPr>
          <w:rStyle w:val="FootnoteReference"/>
        </w:rPr>
        <w:footnoteReference w:id="2"/>
      </w:r>
      <w:r>
        <w:t xml:space="preserve"> The PUCO may also change, alter, or modify the unique arrangement.</w:t>
      </w:r>
      <w:r>
        <w:rPr>
          <w:rStyle w:val="FootnoteReference"/>
        </w:rPr>
        <w:footnoteReference w:id="3"/>
      </w:r>
      <w:r w:rsidR="009F3B1E">
        <w:t xml:space="preserve">  </w:t>
      </w:r>
    </w:p>
    <w:p w:rsidR="004B5A1E" w:rsidRDefault="009F3B1E" w:rsidP="004B5A1E">
      <w:pPr>
        <w:spacing w:line="480" w:lineRule="auto"/>
        <w:ind w:firstLine="720"/>
      </w:pPr>
      <w:r>
        <w:t>We note that OCC’s recommendations are</w:t>
      </w:r>
      <w:r w:rsidR="002B5598">
        <w:t>, in general,</w:t>
      </w:r>
      <w:r>
        <w:t xml:space="preserve"> </w:t>
      </w:r>
      <w:r w:rsidR="00E42C9B">
        <w:t xml:space="preserve">applicable not only to this particular application, but to essentially any application for </w:t>
      </w:r>
      <w:r w:rsidR="00D17C77">
        <w:t xml:space="preserve">programs and funding for </w:t>
      </w:r>
      <w:r w:rsidR="00E42C9B">
        <w:t>economic development.</w:t>
      </w:r>
      <w:r w:rsidR="004B5A1E">
        <w:t xml:space="preserve">  </w:t>
      </w:r>
    </w:p>
    <w:p w:rsidR="004B5A1E" w:rsidRDefault="00E9273D" w:rsidP="00D777CD">
      <w:pPr>
        <w:pStyle w:val="Heading2"/>
      </w:pPr>
      <w:bookmarkStart w:id="2" w:name="_Toc435539628"/>
      <w:r>
        <w:t>A.</w:t>
      </w:r>
      <w:r>
        <w:tab/>
      </w:r>
      <w:r w:rsidR="001A362F">
        <w:t>The PUCO should identify the total costs (to utility consumers) of an application’s economic development programs and ensure that Ohioans pay the least subsidy</w:t>
      </w:r>
      <w:r w:rsidR="00CB3E6C">
        <w:t xml:space="preserve"> to their utility that is</w:t>
      </w:r>
      <w:r w:rsidR="001A362F">
        <w:t xml:space="preserve"> needed for economic development when balancing the </w:t>
      </w:r>
      <w:r w:rsidR="00CB7119">
        <w:t xml:space="preserve">benefit of </w:t>
      </w:r>
      <w:r w:rsidR="001A362F">
        <w:t>programs with the cost to consumers.</w:t>
      </w:r>
      <w:bookmarkEnd w:id="2"/>
    </w:p>
    <w:p w:rsidR="00490059" w:rsidRDefault="004B5A1E" w:rsidP="001A362F">
      <w:pPr>
        <w:spacing w:line="480" w:lineRule="auto"/>
        <w:ind w:firstLine="720"/>
      </w:pPr>
      <w:r>
        <w:t xml:space="preserve">Under the proposed unique arrangement, </w:t>
      </w:r>
      <w:r w:rsidR="00446D15">
        <w:t>the</w:t>
      </w:r>
      <w:r w:rsidR="009F3B1E">
        <w:t xml:space="preserve"> payments that Ohio Power receives from the</w:t>
      </w:r>
      <w:r w:rsidR="00446D15">
        <w:t xml:space="preserve"> mercantile customer</w:t>
      </w:r>
      <w:r w:rsidR="009F3B1E">
        <w:t xml:space="preserve"> for transmission service</w:t>
      </w:r>
      <w:r w:rsidR="009F3B1E" w:rsidRPr="009F3B1E">
        <w:t xml:space="preserve"> </w:t>
      </w:r>
      <w:r w:rsidR="009F3B1E">
        <w:t xml:space="preserve">(through the </w:t>
      </w:r>
      <w:r w:rsidR="00490059">
        <w:t xml:space="preserve">recently approved </w:t>
      </w:r>
      <w:r w:rsidR="009F3B1E">
        <w:t xml:space="preserve">Basic Transmission Cost Rider (“BTCR”)) could be significantly reduced. </w:t>
      </w:r>
      <w:r w:rsidR="00490059">
        <w:t>The Applicant proposes to be treated as its own class in the BTCR for purposes of coincident peak demand allocation. If this circum</w:t>
      </w:r>
      <w:r w:rsidR="00D20BC4">
        <w:t>stance results in increased charges to other customers</w:t>
      </w:r>
      <w:r w:rsidR="00490059">
        <w:t xml:space="preserve">, the PUCO should </w:t>
      </w:r>
      <w:r w:rsidR="00D20BC4">
        <w:t>include</w:t>
      </w:r>
      <w:r w:rsidR="00490059">
        <w:t xml:space="preserve"> </w:t>
      </w:r>
      <w:r w:rsidR="00D20BC4">
        <w:t>these charges</w:t>
      </w:r>
      <w:r w:rsidR="00490059">
        <w:t xml:space="preserve"> to be part of the delta revenues under consideration.</w:t>
      </w:r>
    </w:p>
    <w:p w:rsidR="009F3B1E" w:rsidRDefault="009F3B1E" w:rsidP="00490059">
      <w:pPr>
        <w:spacing w:line="480" w:lineRule="auto"/>
        <w:ind w:firstLine="720"/>
      </w:pPr>
      <w:r>
        <w:t xml:space="preserve">Also, it is proposed </w:t>
      </w:r>
      <w:r w:rsidR="004B5A1E">
        <w:t xml:space="preserve">that </w:t>
      </w:r>
      <w:r w:rsidR="00484D8C">
        <w:t>the mercantile customer</w:t>
      </w:r>
      <w:r w:rsidR="004B5A1E">
        <w:t xml:space="preserve"> will serve as an interruptible resource for Ohio Power during the term of the unique arrangement</w:t>
      </w:r>
      <w:r w:rsidR="00484D8C">
        <w:t xml:space="preserve">. In return, </w:t>
      </w:r>
      <w:r>
        <w:t>the mercantile customer</w:t>
      </w:r>
      <w:r w:rsidR="00484D8C">
        <w:t xml:space="preserve"> will </w:t>
      </w:r>
      <w:r w:rsidR="004B5A1E">
        <w:t xml:space="preserve">receive </w:t>
      </w:r>
      <w:r w:rsidR="00484D8C">
        <w:t>a</w:t>
      </w:r>
      <w:r>
        <w:t>n</w:t>
      </w:r>
      <w:r w:rsidR="004B5A1E">
        <w:t xml:space="preserve"> $8.21/kW interruptible service credit</w:t>
      </w:r>
      <w:r>
        <w:t xml:space="preserve"> (meaning lower charges for the </w:t>
      </w:r>
      <w:r w:rsidR="002A6F9A">
        <w:t xml:space="preserve">mercantile </w:t>
      </w:r>
      <w:r>
        <w:t xml:space="preserve">customer). </w:t>
      </w:r>
      <w:r w:rsidR="00996410">
        <w:t xml:space="preserve">Under the application, </w:t>
      </w:r>
      <w:r>
        <w:t>Ohio Power will provide the credit r</w:t>
      </w:r>
      <w:r w:rsidR="004B5A1E">
        <w:t xml:space="preserve">egardless </w:t>
      </w:r>
      <w:r>
        <w:t xml:space="preserve">of </w:t>
      </w:r>
      <w:r w:rsidR="004B5A1E">
        <w:t>whether that credit or program is available through tariff.</w:t>
      </w:r>
      <w:r w:rsidR="004B5A1E">
        <w:rPr>
          <w:rStyle w:val="FootnoteReference"/>
        </w:rPr>
        <w:footnoteReference w:id="4"/>
      </w:r>
      <w:r w:rsidR="004B5A1E">
        <w:t xml:space="preserve"> </w:t>
      </w:r>
      <w:r>
        <w:t>Again, Ohio Power can be expected to seek</w:t>
      </w:r>
      <w:r w:rsidR="00996410">
        <w:t xml:space="preserve"> to make up</w:t>
      </w:r>
      <w:r>
        <w:t xml:space="preserve"> the reduced revenues from other customers, including residential consumers. </w:t>
      </w:r>
    </w:p>
    <w:p w:rsidR="00532E84" w:rsidRDefault="00532E84" w:rsidP="001A362F">
      <w:pPr>
        <w:spacing w:line="480" w:lineRule="auto"/>
        <w:ind w:firstLine="720"/>
      </w:pPr>
      <w:r>
        <w:t xml:space="preserve">These </w:t>
      </w:r>
      <w:r w:rsidR="002C3626">
        <w:t xml:space="preserve">particular </w:t>
      </w:r>
      <w:r>
        <w:t>costs to consumers should be identified and considered</w:t>
      </w:r>
      <w:r w:rsidR="002C3626">
        <w:t xml:space="preserve"> (with all other “delta revenue”)</w:t>
      </w:r>
      <w:r>
        <w:t xml:space="preserve"> as part of the PUCO’s balancing of program</w:t>
      </w:r>
      <w:r w:rsidR="002C3626">
        <w:t xml:space="preserve"> benefits</w:t>
      </w:r>
      <w:r>
        <w:t xml:space="preserve"> with </w:t>
      </w:r>
      <w:r w:rsidR="002C3626">
        <w:t xml:space="preserve">all of </w:t>
      </w:r>
      <w:r>
        <w:t>the cost</w:t>
      </w:r>
      <w:r w:rsidR="002C3626">
        <w:t>s</w:t>
      </w:r>
      <w:r>
        <w:t xml:space="preserve"> (the delta revenue) to be paid by customers to their utility. As stated above, this recommendation applies to any applicant’s proposal for economic development. </w:t>
      </w:r>
    </w:p>
    <w:p w:rsidR="00CF3230" w:rsidRDefault="00D777CD" w:rsidP="00D777CD">
      <w:pPr>
        <w:pStyle w:val="Heading2"/>
      </w:pPr>
      <w:bookmarkStart w:id="3" w:name="_Toc435539629"/>
      <w:r>
        <w:t>B.</w:t>
      </w:r>
      <w:r>
        <w:tab/>
      </w:r>
      <w:bookmarkEnd w:id="3"/>
      <w:r w:rsidR="001A362F">
        <w:t xml:space="preserve">The PUCO should establish outcomes for reasonable arrangements where Ohioans’ funding of economic development programs is limited to a single instance per applicant (without repeat requests thereafter). </w:t>
      </w:r>
    </w:p>
    <w:p w:rsidR="00393F49" w:rsidRDefault="004B5A1E" w:rsidP="004B5A1E">
      <w:pPr>
        <w:spacing w:line="480" w:lineRule="auto"/>
      </w:pPr>
      <w:r>
        <w:tab/>
      </w:r>
      <w:r w:rsidR="00CF3230">
        <w:t xml:space="preserve">The applicant has stated the commendable objective of wanting </w:t>
      </w:r>
      <w:r>
        <w:t>to avoid the need for a future unique arrangement.</w:t>
      </w:r>
      <w:r>
        <w:rPr>
          <w:rStyle w:val="FootnoteReference"/>
          <w:b/>
          <w:caps/>
        </w:rPr>
        <w:footnoteReference w:id="5"/>
      </w:r>
      <w:r>
        <w:t xml:space="preserve"> </w:t>
      </w:r>
      <w:r w:rsidR="00CF3230">
        <w:t xml:space="preserve">In </w:t>
      </w:r>
      <w:r w:rsidR="00E10D1C">
        <w:t>deciding</w:t>
      </w:r>
      <w:r w:rsidR="00CF3230">
        <w:t xml:space="preserve"> applications for reasonable arrangements, the PUCO should protect consumers and facilitate future planning by mercantile customers by </w:t>
      </w:r>
      <w:r w:rsidR="00E10D1C">
        <w:t xml:space="preserve">ruling that future ratemaking will </w:t>
      </w:r>
      <w:r w:rsidR="00AB41E9">
        <w:t xml:space="preserve">occur </w:t>
      </w:r>
      <w:r w:rsidR="00E10D1C">
        <w:t>without repeat funding for mercantile customers that have received prior funding</w:t>
      </w:r>
      <w:r w:rsidR="009E1754">
        <w:t xml:space="preserve">.  </w:t>
      </w:r>
      <w:r>
        <w:t xml:space="preserve"> </w:t>
      </w:r>
    </w:p>
    <w:p w:rsidR="004B5A1E" w:rsidRDefault="00D777CD" w:rsidP="00D777CD">
      <w:pPr>
        <w:pStyle w:val="Heading2"/>
      </w:pPr>
      <w:r>
        <w:t>C.</w:t>
      </w:r>
      <w:r>
        <w:tab/>
      </w:r>
      <w:r w:rsidR="001A362F">
        <w:t xml:space="preserve">The PUCO should establish caps (limits) on what customers would be charged by their utility </w:t>
      </w:r>
      <w:r w:rsidR="00244602">
        <w:t xml:space="preserve">to subsidize </w:t>
      </w:r>
      <w:r w:rsidR="001A362F">
        <w:t>economic development programs</w:t>
      </w:r>
      <w:r w:rsidR="00393F49">
        <w:t>.</w:t>
      </w:r>
    </w:p>
    <w:p w:rsidR="00A057F4" w:rsidRDefault="00393F49" w:rsidP="001A362F">
      <w:pPr>
        <w:spacing w:line="480" w:lineRule="auto"/>
        <w:ind w:firstLine="720"/>
      </w:pPr>
      <w:r>
        <w:t>The applicant has proposed caps for its programs. That proposal is</w:t>
      </w:r>
      <w:r w:rsidR="00A057F4">
        <w:t xml:space="preserve"> much</w:t>
      </w:r>
      <w:r>
        <w:t xml:space="preserve"> appreciated for consumer protection.  </w:t>
      </w:r>
    </w:p>
    <w:p w:rsidR="00CB7119" w:rsidRDefault="007124E8" w:rsidP="00D53943">
      <w:pPr>
        <w:spacing w:line="480" w:lineRule="auto"/>
        <w:ind w:firstLine="720"/>
      </w:pPr>
      <w:r>
        <w:t>F</w:t>
      </w:r>
      <w:r w:rsidR="00393F49">
        <w:t>or economic development applications</w:t>
      </w:r>
      <w:r>
        <w:t>,</w:t>
      </w:r>
      <w:r w:rsidR="00393F49">
        <w:t xml:space="preserve"> the PUCO </w:t>
      </w:r>
      <w:r>
        <w:t xml:space="preserve">should consistently </w:t>
      </w:r>
      <w:r w:rsidR="00393F49">
        <w:t>impos</w:t>
      </w:r>
      <w:r>
        <w:t>e</w:t>
      </w:r>
      <w:r w:rsidR="00393F49">
        <w:t xml:space="preserve"> a cap (limit) on what consumers could be charged by their utility </w:t>
      </w:r>
      <w:r>
        <w:t xml:space="preserve">to subsidize the </w:t>
      </w:r>
      <w:r w:rsidR="00393F49">
        <w:t>program</w:t>
      </w:r>
      <w:r>
        <w:t>s</w:t>
      </w:r>
      <w:r w:rsidR="00393F49">
        <w:t xml:space="preserve">.  </w:t>
      </w:r>
      <w:r>
        <w:t>T</w:t>
      </w:r>
      <w:r w:rsidR="00393F49">
        <w:t xml:space="preserve">he </w:t>
      </w:r>
      <w:r>
        <w:t xml:space="preserve">appropriate </w:t>
      </w:r>
      <w:r w:rsidR="00393F49">
        <w:t>protective caps for consumers are by year and by total for all years</w:t>
      </w:r>
      <w:r>
        <w:t>. And</w:t>
      </w:r>
      <w:r w:rsidR="00393F49">
        <w:t xml:space="preserve"> the caps</w:t>
      </w:r>
      <w:r>
        <w:t xml:space="preserve"> should</w:t>
      </w:r>
      <w:r w:rsidR="00393F49">
        <w:t xml:space="preserve"> include counting all </w:t>
      </w:r>
      <w:r>
        <w:t xml:space="preserve">the utility </w:t>
      </w:r>
      <w:r w:rsidR="00393F49">
        <w:t xml:space="preserve">subsidies available to an applicant that are paid by other consumers. </w:t>
      </w:r>
    </w:p>
    <w:p w:rsidR="00D777CD" w:rsidRDefault="00D777CD" w:rsidP="00D53943">
      <w:pPr>
        <w:spacing w:line="480" w:lineRule="auto"/>
        <w:ind w:firstLine="720"/>
      </w:pPr>
      <w:r>
        <w:t xml:space="preserve"> </w:t>
      </w:r>
      <w:r w:rsidR="00CB7119">
        <w:t xml:space="preserve">The PUCO should establish a limit on the </w:t>
      </w:r>
      <w:r>
        <w:t xml:space="preserve">total amount of money paid by all Ohio utility customers for all economic development riders resulting from requests to the PUCO for these discounts. </w:t>
      </w:r>
      <w:r w:rsidR="00CB7119">
        <w:t>T</w:t>
      </w:r>
      <w:r>
        <w:t>he subsidies that consumers are asked to pay to electric utilities for all economic development rider</w:t>
      </w:r>
      <w:r w:rsidR="00CB7119">
        <w:t xml:space="preserve"> </w:t>
      </w:r>
      <w:r w:rsidR="00D53943">
        <w:t>should not</w:t>
      </w:r>
      <w:r>
        <w:t xml:space="preserve"> exceed, in total, a certain low percentage of consumers’ electric bills.</w:t>
      </w:r>
    </w:p>
    <w:p w:rsidR="00D777CD" w:rsidRDefault="00D777CD" w:rsidP="00D777CD">
      <w:pPr>
        <w:pStyle w:val="Heading2"/>
      </w:pPr>
      <w:r>
        <w:t>D.</w:t>
      </w:r>
      <w:r>
        <w:tab/>
        <w:t>T</w:t>
      </w:r>
      <w:r w:rsidRPr="00736730">
        <w:t xml:space="preserve">he </w:t>
      </w:r>
      <w:r>
        <w:t>PUCO</w:t>
      </w:r>
      <w:r w:rsidRPr="00736730">
        <w:t xml:space="preserve"> should </w:t>
      </w:r>
      <w:r>
        <w:t>identify the benefits the utility (Ohio Power) receives from the reasonable arrangement and, with that information, determine a reasonable sharing of the costs (delta revenue) between Ohio Power and its customers.</w:t>
      </w:r>
    </w:p>
    <w:p w:rsidR="00D777CD" w:rsidRDefault="00D777CD" w:rsidP="00D777CD">
      <w:pPr>
        <w:spacing w:line="480" w:lineRule="auto"/>
        <w:ind w:firstLine="720"/>
      </w:pPr>
      <w:r>
        <w:t>The PUCO’s early policy regarding economic development and the sharing of delta revenues dates back more than 30 years.</w:t>
      </w:r>
      <w:r>
        <w:rPr>
          <w:rStyle w:val="FootnoteReference"/>
        </w:rPr>
        <w:footnoteReference w:id="6"/>
      </w:r>
      <w:r>
        <w:t xml:space="preserve"> Under that policy, the PUCO should provide for a reasonable split of the delta revenue costs between the utility and its customers.  </w:t>
      </w:r>
    </w:p>
    <w:p w:rsidR="00D777CD" w:rsidRDefault="00D777CD" w:rsidP="00D777CD">
      <w:pPr>
        <w:spacing w:line="480" w:lineRule="auto"/>
        <w:ind w:firstLine="720"/>
      </w:pPr>
      <w:r>
        <w:t>In the past the PUCO has held “that a 50/50 split properly recognizes that both the company and its customers benefit from the company’s policy of providing economic incentive rates to certain customers to attract new business in the utility’s service territory.”</w:t>
      </w:r>
      <w:r>
        <w:rPr>
          <w:rStyle w:val="FootnoteReference"/>
        </w:rPr>
        <w:footnoteReference w:id="7"/>
      </w:r>
      <w:r>
        <w:t xml:space="preserve"> Furthermore, this 50/50 sharing of the delta revenue is consistent with other decisions which addressed the issue.</w:t>
      </w:r>
      <w:r>
        <w:rPr>
          <w:rStyle w:val="FootnoteReference"/>
        </w:rPr>
        <w:footnoteReference w:id="8"/>
      </w:r>
    </w:p>
    <w:p w:rsidR="00D777CD" w:rsidRDefault="00D777CD" w:rsidP="00D777CD">
      <w:pPr>
        <w:spacing w:line="480" w:lineRule="auto"/>
        <w:ind w:firstLine="720"/>
      </w:pPr>
      <w:r>
        <w:t>The PUCO’s historic policy complements the provisions in S.B. 221 that address economic development arrangements. S.B. 221 does allow a utility to seek to charge other customers for “revenues foregone” as a result of an economic development arrangement.</w:t>
      </w:r>
      <w:r>
        <w:rPr>
          <w:rStyle w:val="FootnoteReference"/>
        </w:rPr>
        <w:footnoteReference w:id="9"/>
      </w:r>
      <w:r>
        <w:t xml:space="preserve"> But the PUCO’s enabling rules,</w:t>
      </w:r>
      <w:r>
        <w:rPr>
          <w:rStyle w:val="FootnoteReference"/>
        </w:rPr>
        <w:footnoteReference w:id="10"/>
      </w:r>
      <w:r>
        <w:t xml:space="preserve"> along with the permissive statutory language,</w:t>
      </w:r>
      <w:r>
        <w:rPr>
          <w:rStyle w:val="FootnoteReference"/>
        </w:rPr>
        <w:footnoteReference w:id="11"/>
      </w:r>
      <w:r>
        <w:t xml:space="preserve"> make it abundantly clear that the collection of delta revenues from other customers is a matter within the discretion of the PUCO.</w:t>
      </w:r>
      <w:r>
        <w:rPr>
          <w:rStyle w:val="FootnoteReference"/>
        </w:rPr>
        <w:footnoteReference w:id="12"/>
      </w:r>
      <w:r>
        <w:t xml:space="preserve"> Indeed, the PUCO acknowledged, in an appeal to the Ohio Supreme Court, that it can approve a unique arrangement without allowing the utility to collect </w:t>
      </w:r>
      <w:r w:rsidRPr="001A362F">
        <w:rPr>
          <w:szCs w:val="24"/>
        </w:rPr>
        <w:t>any</w:t>
      </w:r>
      <w:r>
        <w:t xml:space="preserve"> amount from other customers to pay the utility for lowering its rates to the mercantile customer.</w:t>
      </w:r>
      <w:r>
        <w:rPr>
          <w:rStyle w:val="FootnoteReference"/>
        </w:rPr>
        <w:footnoteReference w:id="13"/>
      </w:r>
      <w:r>
        <w:t xml:space="preserve"> </w:t>
      </w:r>
    </w:p>
    <w:p w:rsidR="00D777CD" w:rsidRDefault="00D777CD" w:rsidP="00D53943">
      <w:pPr>
        <w:ind w:firstLine="720"/>
      </w:pPr>
    </w:p>
    <w:p w:rsidR="00C839A7" w:rsidRDefault="00BF111B" w:rsidP="001A362F">
      <w:pPr>
        <w:pStyle w:val="Heading1"/>
        <w:spacing w:after="0" w:line="480" w:lineRule="auto"/>
      </w:pPr>
      <w:r>
        <w:t>III.</w:t>
      </w:r>
      <w:r>
        <w:tab/>
        <w:t>CONCLUSION</w:t>
      </w:r>
    </w:p>
    <w:p w:rsidR="00BF111B" w:rsidRDefault="003E1968" w:rsidP="001A362F">
      <w:pPr>
        <w:spacing w:line="480" w:lineRule="auto"/>
      </w:pPr>
      <w:r>
        <w:tab/>
      </w:r>
      <w:r w:rsidR="00B8279D">
        <w:t xml:space="preserve">The Ohio Consumers’ Counsel appreciates this opportunity to comment. Our recommendations are directed toward assisting the PUCO find the balance between </w:t>
      </w:r>
      <w:r w:rsidR="007124E8">
        <w:t xml:space="preserve">the benefits of </w:t>
      </w:r>
      <w:r w:rsidR="00B8279D">
        <w:t>economic development and the</w:t>
      </w:r>
      <w:r w:rsidR="007124E8">
        <w:t xml:space="preserve"> costs</w:t>
      </w:r>
      <w:r w:rsidR="00B8279D">
        <w:t xml:space="preserve"> </w:t>
      </w:r>
      <w:r w:rsidR="007124E8">
        <w:t>(</w:t>
      </w:r>
      <w:r w:rsidR="00B8279D">
        <w:t>charges</w:t>
      </w:r>
      <w:r w:rsidR="007124E8">
        <w:t>)</w:t>
      </w:r>
      <w:r w:rsidR="00B8279D">
        <w:t xml:space="preserve"> to consumers who fund the subsidies for economic development programs.</w:t>
      </w:r>
      <w:r w:rsidR="00BA21F9">
        <w:t xml:space="preserve"> </w:t>
      </w:r>
    </w:p>
    <w:p w:rsidR="003A3C26" w:rsidRDefault="003A3C26"/>
    <w:p w:rsidR="00D777CD" w:rsidRDefault="003A3C26" w:rsidP="003A3C26">
      <w:pPr>
        <w:pStyle w:val="InsideAddress"/>
        <w:tabs>
          <w:tab w:val="left" w:pos="4320"/>
        </w:tabs>
        <w:autoSpaceDE w:val="0"/>
        <w:autoSpaceDN w:val="0"/>
        <w:adjustRightInd w:val="0"/>
        <w:spacing w:before="120"/>
        <w:rPr>
          <w:rFonts w:ascii="Times New Roman" w:eastAsia="Times New Roman" w:hAnsi="Times New Roman"/>
          <w:szCs w:val="24"/>
        </w:rPr>
      </w:pPr>
      <w:r>
        <w:rPr>
          <w:rFonts w:ascii="Times New Roman" w:eastAsia="Times New Roman" w:hAnsi="Times New Roman"/>
          <w:szCs w:val="24"/>
        </w:rPr>
        <w:tab/>
      </w:r>
    </w:p>
    <w:p w:rsidR="00D777CD" w:rsidRDefault="00D777CD">
      <w:pPr>
        <w:spacing w:after="200" w:line="276" w:lineRule="auto"/>
        <w:rPr>
          <w:szCs w:val="24"/>
        </w:rPr>
      </w:pPr>
      <w:r>
        <w:rPr>
          <w:szCs w:val="24"/>
        </w:rPr>
        <w:br w:type="page"/>
      </w:r>
    </w:p>
    <w:p w:rsidR="003A3C26" w:rsidRDefault="00D777CD" w:rsidP="003A3C26">
      <w:pPr>
        <w:pStyle w:val="InsideAddress"/>
        <w:tabs>
          <w:tab w:val="left" w:pos="4320"/>
        </w:tabs>
        <w:autoSpaceDE w:val="0"/>
        <w:autoSpaceDN w:val="0"/>
        <w:adjustRightInd w:val="0"/>
        <w:spacing w:before="120"/>
        <w:rPr>
          <w:rFonts w:ascii="Times New Roman" w:eastAsia="Times New Roman" w:hAnsi="Times New Roman"/>
          <w:szCs w:val="24"/>
        </w:rPr>
      </w:pPr>
      <w:r>
        <w:rPr>
          <w:rFonts w:ascii="Times New Roman" w:eastAsia="Times New Roman" w:hAnsi="Times New Roman"/>
          <w:szCs w:val="24"/>
        </w:rPr>
        <w:tab/>
      </w:r>
      <w:r w:rsidR="003A3C26">
        <w:rPr>
          <w:rFonts w:ascii="Times New Roman" w:eastAsia="Times New Roman" w:hAnsi="Times New Roman"/>
          <w:szCs w:val="24"/>
        </w:rPr>
        <w:t>Respectfully submitted,</w:t>
      </w:r>
    </w:p>
    <w:p w:rsidR="003A3C26" w:rsidRPr="002E74E3" w:rsidRDefault="003A3C26" w:rsidP="003A3C26">
      <w:pPr>
        <w:pStyle w:val="InsideAddress"/>
        <w:tabs>
          <w:tab w:val="left" w:pos="4320"/>
        </w:tabs>
        <w:autoSpaceDE w:val="0"/>
        <w:autoSpaceDN w:val="0"/>
        <w:adjustRightInd w:val="0"/>
        <w:spacing w:before="120"/>
        <w:rPr>
          <w:rFonts w:ascii="Times New Roman" w:eastAsia="Times New Roman" w:hAnsi="Times New Roman"/>
          <w:szCs w:val="24"/>
        </w:rPr>
      </w:pPr>
      <w:r w:rsidRPr="002E74E3">
        <w:rPr>
          <w:rFonts w:ascii="Times New Roman" w:eastAsia="Times New Roman" w:hAnsi="Times New Roman"/>
          <w:szCs w:val="24"/>
        </w:rPr>
        <w:tab/>
      </w:r>
      <w:r>
        <w:rPr>
          <w:rFonts w:ascii="Times New Roman" w:eastAsia="Times New Roman" w:hAnsi="Times New Roman"/>
          <w:szCs w:val="24"/>
        </w:rPr>
        <w:t>BRUCE J. WESTON (0016973)</w:t>
      </w:r>
    </w:p>
    <w:p w:rsidR="003A3C26" w:rsidRPr="002E74E3" w:rsidRDefault="003A3C26" w:rsidP="003A3C26">
      <w:pPr>
        <w:pStyle w:val="Footer"/>
        <w:tabs>
          <w:tab w:val="left" w:pos="720"/>
          <w:tab w:val="left" w:pos="4320"/>
        </w:tabs>
        <w:autoSpaceDE w:val="0"/>
        <w:autoSpaceDN w:val="0"/>
        <w:adjustRightInd w:val="0"/>
        <w:ind w:left="3600" w:firstLine="720"/>
        <w:rPr>
          <w:szCs w:val="24"/>
        </w:rPr>
      </w:pPr>
      <w:r>
        <w:rPr>
          <w:szCs w:val="24"/>
        </w:rPr>
        <w:t xml:space="preserve">OHIO </w:t>
      </w:r>
      <w:r w:rsidRPr="002E74E3">
        <w:rPr>
          <w:szCs w:val="24"/>
        </w:rPr>
        <w:t>CONSUMERS’ COUNSEL</w:t>
      </w:r>
    </w:p>
    <w:p w:rsidR="003A3C26" w:rsidRPr="002E74E3" w:rsidRDefault="003A3C26" w:rsidP="003A3C26">
      <w:pPr>
        <w:tabs>
          <w:tab w:val="left" w:pos="4320"/>
        </w:tabs>
        <w:rPr>
          <w:szCs w:val="24"/>
        </w:rPr>
      </w:pPr>
    </w:p>
    <w:p w:rsidR="003A3C26" w:rsidRDefault="003A3C26" w:rsidP="003A3C26">
      <w:pPr>
        <w:tabs>
          <w:tab w:val="left" w:pos="4320"/>
        </w:tabs>
        <w:rPr>
          <w:szCs w:val="24"/>
          <w:u w:val="single"/>
        </w:rPr>
      </w:pPr>
      <w:r>
        <w:rPr>
          <w:szCs w:val="24"/>
        </w:rPr>
        <w:tab/>
      </w:r>
      <w:r>
        <w:rPr>
          <w:i/>
          <w:szCs w:val="24"/>
          <w:u w:val="single"/>
        </w:rPr>
        <w:t>/s/ Jodi Bair</w:t>
      </w:r>
      <w:r>
        <w:rPr>
          <w:szCs w:val="24"/>
          <w:u w:val="single"/>
        </w:rPr>
        <w:tab/>
      </w:r>
      <w:r>
        <w:rPr>
          <w:szCs w:val="24"/>
          <w:u w:val="single"/>
        </w:rPr>
        <w:tab/>
      </w:r>
      <w:r>
        <w:rPr>
          <w:szCs w:val="24"/>
          <w:u w:val="single"/>
        </w:rPr>
        <w:tab/>
      </w:r>
      <w:r>
        <w:rPr>
          <w:szCs w:val="24"/>
          <w:u w:val="single"/>
        </w:rPr>
        <w:tab/>
      </w:r>
    </w:p>
    <w:p w:rsidR="003A3C26" w:rsidRPr="004A04F3" w:rsidRDefault="003A3C26" w:rsidP="003A3C26">
      <w:pPr>
        <w:tabs>
          <w:tab w:val="left" w:pos="4320"/>
        </w:tabs>
        <w:suppressAutoHyphens/>
        <w:rPr>
          <w:szCs w:val="24"/>
        </w:rPr>
      </w:pPr>
      <w:r w:rsidRPr="002E74E3">
        <w:rPr>
          <w:szCs w:val="24"/>
        </w:rPr>
        <w:tab/>
      </w:r>
      <w:r>
        <w:rPr>
          <w:szCs w:val="24"/>
        </w:rPr>
        <w:t>Jodi Bair, Counse</w:t>
      </w:r>
      <w:r w:rsidRPr="004A04F3">
        <w:rPr>
          <w:szCs w:val="24"/>
        </w:rPr>
        <w:t>l of Record</w:t>
      </w:r>
    </w:p>
    <w:p w:rsidR="003A3C26" w:rsidRDefault="003A3C26" w:rsidP="003A3C26">
      <w:pPr>
        <w:tabs>
          <w:tab w:val="left" w:pos="4320"/>
        </w:tabs>
        <w:suppressAutoHyphens/>
        <w:rPr>
          <w:szCs w:val="24"/>
        </w:rPr>
      </w:pPr>
      <w:r>
        <w:rPr>
          <w:szCs w:val="24"/>
        </w:rPr>
        <w:tab/>
        <w:t>(0062921)</w:t>
      </w:r>
    </w:p>
    <w:p w:rsidR="003A3C26" w:rsidRDefault="003A3C26" w:rsidP="003A3C26">
      <w:pPr>
        <w:tabs>
          <w:tab w:val="left" w:pos="4320"/>
        </w:tabs>
        <w:suppressAutoHyphens/>
        <w:rPr>
          <w:szCs w:val="24"/>
        </w:rPr>
      </w:pPr>
      <w:r>
        <w:rPr>
          <w:szCs w:val="24"/>
        </w:rPr>
        <w:tab/>
      </w:r>
      <w:r w:rsidRPr="002E74E3">
        <w:rPr>
          <w:szCs w:val="24"/>
        </w:rPr>
        <w:t>Assistant Consumers’ Counsel</w:t>
      </w:r>
      <w:r>
        <w:rPr>
          <w:szCs w:val="24"/>
        </w:rPr>
        <w:tab/>
      </w:r>
      <w:r>
        <w:rPr>
          <w:szCs w:val="24"/>
        </w:rPr>
        <w:tab/>
      </w:r>
    </w:p>
    <w:p w:rsidR="003A3C26" w:rsidRDefault="003A3C26" w:rsidP="003A3C26">
      <w:pPr>
        <w:tabs>
          <w:tab w:val="left" w:pos="4320"/>
        </w:tabs>
        <w:suppressAutoHyphens/>
        <w:rPr>
          <w:szCs w:val="24"/>
        </w:rPr>
      </w:pPr>
      <w:r>
        <w:rPr>
          <w:szCs w:val="24"/>
        </w:rPr>
        <w:tab/>
      </w:r>
    </w:p>
    <w:p w:rsidR="003A3C26" w:rsidRPr="002E74E3" w:rsidRDefault="003A3C26" w:rsidP="003A3C26">
      <w:pPr>
        <w:tabs>
          <w:tab w:val="left" w:pos="4320"/>
        </w:tabs>
        <w:suppressAutoHyphens/>
        <w:rPr>
          <w:b/>
          <w:bCs/>
          <w:szCs w:val="24"/>
        </w:rPr>
      </w:pPr>
      <w:r w:rsidRPr="002E74E3">
        <w:rPr>
          <w:szCs w:val="24"/>
        </w:rPr>
        <w:tab/>
      </w:r>
      <w:r w:rsidRPr="002E74E3">
        <w:rPr>
          <w:b/>
          <w:bCs/>
          <w:szCs w:val="24"/>
        </w:rPr>
        <w:t xml:space="preserve">Office of </w:t>
      </w:r>
      <w:r>
        <w:rPr>
          <w:b/>
          <w:bCs/>
          <w:szCs w:val="24"/>
        </w:rPr>
        <w:t>t</w:t>
      </w:r>
      <w:r w:rsidRPr="002E74E3">
        <w:rPr>
          <w:b/>
          <w:bCs/>
          <w:szCs w:val="24"/>
        </w:rPr>
        <w:t>he Ohio Consumers’ Counsel</w:t>
      </w:r>
    </w:p>
    <w:p w:rsidR="003A3C26" w:rsidRPr="002E74E3" w:rsidRDefault="003A3C26" w:rsidP="003A3C26">
      <w:pPr>
        <w:tabs>
          <w:tab w:val="left" w:pos="4320"/>
        </w:tabs>
        <w:suppressAutoHyphens/>
        <w:ind w:firstLine="720"/>
        <w:rPr>
          <w:szCs w:val="24"/>
        </w:rPr>
      </w:pPr>
      <w:r w:rsidRPr="002E74E3">
        <w:rPr>
          <w:szCs w:val="24"/>
        </w:rPr>
        <w:tab/>
        <w:t>10 West Broad Street, Suite 1800</w:t>
      </w:r>
    </w:p>
    <w:p w:rsidR="003A3C26" w:rsidRDefault="003A3C26" w:rsidP="003A3C26">
      <w:pPr>
        <w:tabs>
          <w:tab w:val="left" w:pos="4320"/>
        </w:tabs>
        <w:suppressAutoHyphens/>
        <w:rPr>
          <w:szCs w:val="24"/>
        </w:rPr>
      </w:pPr>
      <w:r>
        <w:rPr>
          <w:szCs w:val="24"/>
        </w:rPr>
        <w:tab/>
        <w:t>Columbus, Ohio 43215-3485</w:t>
      </w:r>
    </w:p>
    <w:p w:rsidR="003A3C26" w:rsidRDefault="003A3C26" w:rsidP="003A3C26">
      <w:pPr>
        <w:tabs>
          <w:tab w:val="left" w:pos="4320"/>
        </w:tabs>
        <w:suppressAutoHyphens/>
        <w:rPr>
          <w:szCs w:val="24"/>
        </w:rPr>
      </w:pPr>
      <w:r>
        <w:rPr>
          <w:szCs w:val="24"/>
        </w:rPr>
        <w:tab/>
        <w:t>(614) 466-9559 – Bair Telephone</w:t>
      </w:r>
    </w:p>
    <w:p w:rsidR="003A3C26" w:rsidRDefault="003A3C26" w:rsidP="003A3C26">
      <w:pPr>
        <w:tabs>
          <w:tab w:val="left" w:pos="4320"/>
        </w:tabs>
        <w:suppressAutoHyphens/>
      </w:pPr>
      <w:r>
        <w:rPr>
          <w:szCs w:val="24"/>
        </w:rPr>
        <w:tab/>
      </w:r>
      <w:hyperlink r:id="rId14" w:history="1">
        <w:r w:rsidRPr="00541B87">
          <w:rPr>
            <w:rStyle w:val="Hyperlink"/>
          </w:rPr>
          <w:t>jodi.bair@occ.ohio.gov</w:t>
        </w:r>
      </w:hyperlink>
    </w:p>
    <w:p w:rsidR="003A3C26" w:rsidRDefault="003A3C26" w:rsidP="003A3C26">
      <w:pPr>
        <w:tabs>
          <w:tab w:val="left" w:pos="4320"/>
        </w:tabs>
        <w:suppressAutoHyphens/>
      </w:pPr>
      <w:r>
        <w:tab/>
        <w:t>(will accept service via email)</w:t>
      </w:r>
    </w:p>
    <w:p w:rsidR="003A3C26" w:rsidRDefault="003A3C26">
      <w:pPr>
        <w:sectPr w:rsidR="003A3C26" w:rsidSect="001A362F">
          <w:headerReference w:type="default" r:id="rId15"/>
          <w:footerReference w:type="default" r:id="rId16"/>
          <w:pgSz w:w="12240" w:h="15840"/>
          <w:pgMar w:top="1440" w:right="1800" w:bottom="1440" w:left="1800" w:header="720" w:footer="720" w:gutter="0"/>
          <w:pgNumType w:start="2"/>
          <w:cols w:space="720"/>
          <w:docGrid w:linePitch="360"/>
        </w:sectPr>
      </w:pPr>
    </w:p>
    <w:p w:rsidR="003A3C26" w:rsidRPr="003A3C26" w:rsidRDefault="003A3C26" w:rsidP="003A3C26">
      <w:pPr>
        <w:spacing w:line="480" w:lineRule="auto"/>
        <w:jc w:val="center"/>
        <w:rPr>
          <w:b/>
          <w:bCs/>
          <w:szCs w:val="24"/>
          <w:u w:val="single"/>
        </w:rPr>
      </w:pPr>
      <w:r w:rsidRPr="003A3C26">
        <w:rPr>
          <w:b/>
          <w:bCs/>
          <w:szCs w:val="24"/>
          <w:u w:val="single"/>
        </w:rPr>
        <w:t>CERTIFICATE OF SERVICE</w:t>
      </w:r>
    </w:p>
    <w:p w:rsidR="003A3C26" w:rsidRPr="003A3C26" w:rsidRDefault="003A3C26" w:rsidP="003A3C26">
      <w:pPr>
        <w:spacing w:line="480" w:lineRule="auto"/>
        <w:rPr>
          <w:szCs w:val="24"/>
        </w:rPr>
      </w:pPr>
      <w:r w:rsidRPr="003A3C26">
        <w:rPr>
          <w:szCs w:val="24"/>
        </w:rPr>
        <w:tab/>
        <w:t xml:space="preserve">The undersigned hereby certifies that a true and correct copy of the foregoing </w:t>
      </w:r>
      <w:r>
        <w:rPr>
          <w:szCs w:val="24"/>
        </w:rPr>
        <w:t>Comments</w:t>
      </w:r>
      <w:r w:rsidRPr="003A3C26">
        <w:rPr>
          <w:szCs w:val="24"/>
        </w:rPr>
        <w:t xml:space="preserve"> ha</w:t>
      </w:r>
      <w:r>
        <w:rPr>
          <w:szCs w:val="24"/>
        </w:rPr>
        <w:t>ve</w:t>
      </w:r>
      <w:r w:rsidRPr="003A3C26">
        <w:rPr>
          <w:szCs w:val="24"/>
        </w:rPr>
        <w:t xml:space="preserve"> been served upon the below-named persons via electronic transmission this </w:t>
      </w:r>
      <w:r>
        <w:rPr>
          <w:szCs w:val="24"/>
        </w:rPr>
        <w:t>23</w:t>
      </w:r>
      <w:r w:rsidRPr="003A3C26">
        <w:rPr>
          <w:szCs w:val="24"/>
          <w:vertAlign w:val="superscript"/>
        </w:rPr>
        <w:t>rd</w:t>
      </w:r>
      <w:r>
        <w:rPr>
          <w:szCs w:val="24"/>
        </w:rPr>
        <w:t xml:space="preserve"> </w:t>
      </w:r>
      <w:r w:rsidRPr="003A3C26">
        <w:rPr>
          <w:szCs w:val="24"/>
        </w:rPr>
        <w:t>day of November, 2015.</w:t>
      </w:r>
    </w:p>
    <w:p w:rsidR="003A3C26" w:rsidRPr="003A3C26" w:rsidRDefault="003A3C26" w:rsidP="003A3C26">
      <w:pPr>
        <w:tabs>
          <w:tab w:val="left" w:pos="4320"/>
        </w:tabs>
        <w:rPr>
          <w:szCs w:val="24"/>
        </w:rPr>
      </w:pPr>
    </w:p>
    <w:p w:rsidR="003A3C26" w:rsidRPr="003A3C26" w:rsidRDefault="003A3C26" w:rsidP="003A3C26">
      <w:pPr>
        <w:tabs>
          <w:tab w:val="left" w:pos="4320"/>
        </w:tabs>
        <w:rPr>
          <w:szCs w:val="24"/>
          <w:u w:val="single"/>
        </w:rPr>
      </w:pPr>
      <w:r w:rsidRPr="003A3C26">
        <w:rPr>
          <w:szCs w:val="24"/>
        </w:rPr>
        <w:tab/>
      </w:r>
      <w:r w:rsidRPr="003A3C26">
        <w:rPr>
          <w:i/>
          <w:szCs w:val="24"/>
          <w:u w:val="single"/>
        </w:rPr>
        <w:t>/s/ Jodi Bair</w:t>
      </w:r>
      <w:r w:rsidRPr="003A3C26">
        <w:rPr>
          <w:szCs w:val="24"/>
        </w:rPr>
        <w:t>_________________</w:t>
      </w:r>
    </w:p>
    <w:p w:rsidR="003A3C26" w:rsidRPr="003A3C26" w:rsidRDefault="003A3C26" w:rsidP="003A3C26">
      <w:pPr>
        <w:rPr>
          <w:szCs w:val="24"/>
        </w:rPr>
      </w:pPr>
      <w:r w:rsidRPr="003A3C26">
        <w:rPr>
          <w:szCs w:val="24"/>
        </w:rPr>
        <w:tab/>
      </w:r>
      <w:r w:rsidRPr="003A3C26">
        <w:rPr>
          <w:szCs w:val="24"/>
        </w:rPr>
        <w:tab/>
      </w:r>
      <w:r w:rsidRPr="003A3C26">
        <w:rPr>
          <w:szCs w:val="24"/>
        </w:rPr>
        <w:tab/>
      </w:r>
      <w:r w:rsidRPr="003A3C26">
        <w:rPr>
          <w:szCs w:val="24"/>
        </w:rPr>
        <w:tab/>
      </w:r>
      <w:r w:rsidRPr="003A3C26">
        <w:rPr>
          <w:szCs w:val="24"/>
        </w:rPr>
        <w:tab/>
      </w:r>
      <w:r w:rsidRPr="003A3C26">
        <w:rPr>
          <w:szCs w:val="24"/>
        </w:rPr>
        <w:tab/>
        <w:t>Jodi Bair</w:t>
      </w:r>
    </w:p>
    <w:p w:rsidR="003A3C26" w:rsidRPr="003A3C26" w:rsidRDefault="003A3C26" w:rsidP="003A3C26">
      <w:pPr>
        <w:rPr>
          <w:szCs w:val="24"/>
        </w:rPr>
      </w:pPr>
      <w:r w:rsidRPr="003A3C26">
        <w:rPr>
          <w:szCs w:val="24"/>
        </w:rPr>
        <w:tab/>
      </w:r>
      <w:r w:rsidRPr="003A3C26">
        <w:rPr>
          <w:szCs w:val="24"/>
        </w:rPr>
        <w:tab/>
      </w:r>
      <w:r w:rsidRPr="003A3C26">
        <w:rPr>
          <w:szCs w:val="24"/>
        </w:rPr>
        <w:tab/>
      </w:r>
      <w:r w:rsidRPr="003A3C26">
        <w:rPr>
          <w:szCs w:val="24"/>
        </w:rPr>
        <w:tab/>
      </w:r>
      <w:r w:rsidRPr="003A3C26">
        <w:rPr>
          <w:szCs w:val="24"/>
        </w:rPr>
        <w:tab/>
      </w:r>
      <w:r w:rsidRPr="003A3C26">
        <w:rPr>
          <w:szCs w:val="24"/>
        </w:rPr>
        <w:tab/>
        <w:t>Assistant Consumers’ Counsel</w:t>
      </w:r>
    </w:p>
    <w:p w:rsidR="003A3C26" w:rsidRPr="003A3C26" w:rsidRDefault="003A3C26" w:rsidP="003A3C26">
      <w:pPr>
        <w:rPr>
          <w:szCs w:val="24"/>
        </w:rPr>
      </w:pPr>
    </w:p>
    <w:p w:rsidR="003A3C26" w:rsidRPr="003A3C26" w:rsidRDefault="003A3C26" w:rsidP="003A3C26">
      <w:pPr>
        <w:tabs>
          <w:tab w:val="left" w:pos="4320"/>
        </w:tabs>
        <w:jc w:val="center"/>
        <w:rPr>
          <w:b/>
          <w:u w:val="single"/>
        </w:rPr>
      </w:pPr>
    </w:p>
    <w:p w:rsidR="003A3C26" w:rsidRDefault="003A3C26" w:rsidP="003A3C26">
      <w:pPr>
        <w:tabs>
          <w:tab w:val="left" w:pos="4320"/>
        </w:tabs>
        <w:jc w:val="center"/>
        <w:rPr>
          <w:b/>
          <w:u w:val="single"/>
        </w:rPr>
      </w:pPr>
      <w:r w:rsidRPr="003A3C26">
        <w:rPr>
          <w:b/>
          <w:u w:val="single"/>
        </w:rPr>
        <w:t>SERVICE LIST</w:t>
      </w:r>
    </w:p>
    <w:p w:rsidR="003A3C26" w:rsidRDefault="003A3C26" w:rsidP="003A3C26">
      <w:pPr>
        <w:tabs>
          <w:tab w:val="left" w:pos="4320"/>
        </w:tabs>
        <w:jc w:val="center"/>
        <w:rPr>
          <w:b/>
          <w:u w:val="single"/>
        </w:rPr>
      </w:pPr>
    </w:p>
    <w:p w:rsidR="003A3C26" w:rsidRDefault="003A3C26" w:rsidP="003A3C26">
      <w:pPr>
        <w:tabs>
          <w:tab w:val="left" w:pos="4320"/>
        </w:tabs>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A3C26" w:rsidTr="003A3C26">
        <w:tc>
          <w:tcPr>
            <w:tcW w:w="4428" w:type="dxa"/>
          </w:tcPr>
          <w:p w:rsidR="003A3C26" w:rsidRPr="003A3C26" w:rsidRDefault="003A3C26" w:rsidP="003A3C26">
            <w:r w:rsidRPr="003A3C26">
              <w:t>William Wright</w:t>
            </w:r>
          </w:p>
          <w:p w:rsidR="003A3C26" w:rsidRPr="003A3C26" w:rsidRDefault="003A3C26" w:rsidP="003A3C26">
            <w:r w:rsidRPr="003A3C26">
              <w:t>Attorney General’s Office</w:t>
            </w:r>
          </w:p>
          <w:p w:rsidR="003A3C26" w:rsidRPr="003A3C26" w:rsidRDefault="003A3C26" w:rsidP="003A3C26">
            <w:r w:rsidRPr="003A3C26">
              <w:t>Public Utilities PUCO of Ohio</w:t>
            </w:r>
          </w:p>
          <w:p w:rsidR="003A3C26" w:rsidRPr="003A3C26" w:rsidRDefault="003A3C26" w:rsidP="003A3C26">
            <w:r w:rsidRPr="003A3C26">
              <w:t>180 E. Broad St., 6</w:t>
            </w:r>
            <w:r w:rsidRPr="003A3C26">
              <w:rPr>
                <w:vertAlign w:val="superscript"/>
              </w:rPr>
              <w:t>th</w:t>
            </w:r>
            <w:r w:rsidRPr="003A3C26">
              <w:t xml:space="preserve"> Fl.</w:t>
            </w:r>
          </w:p>
          <w:p w:rsidR="003A3C26" w:rsidRPr="003A3C26" w:rsidRDefault="003A3C26" w:rsidP="003A3C26">
            <w:r w:rsidRPr="003A3C26">
              <w:t>Columbus, OH 43215</w:t>
            </w:r>
          </w:p>
          <w:p w:rsidR="003A3C26" w:rsidRPr="003A3C26" w:rsidRDefault="004529A0" w:rsidP="003A3C26">
            <w:hyperlink r:id="rId17" w:history="1">
              <w:r w:rsidR="003A3C26" w:rsidRPr="003A3C26">
                <w:rPr>
                  <w:color w:val="0000FF"/>
                  <w:u w:val="single"/>
                </w:rPr>
                <w:t>William.wright@puc.state.oh.us</w:t>
              </w:r>
            </w:hyperlink>
          </w:p>
          <w:p w:rsidR="003A3C26" w:rsidRDefault="003A3C26" w:rsidP="003A3C26">
            <w:pPr>
              <w:tabs>
                <w:tab w:val="left" w:pos="4320"/>
              </w:tabs>
              <w:jc w:val="center"/>
              <w:rPr>
                <w:b/>
                <w:u w:val="single"/>
              </w:rPr>
            </w:pPr>
          </w:p>
        </w:tc>
        <w:tc>
          <w:tcPr>
            <w:tcW w:w="4428" w:type="dxa"/>
          </w:tcPr>
          <w:p w:rsidR="003A3C26" w:rsidRPr="003A3C26" w:rsidRDefault="003A3C26" w:rsidP="00446D15">
            <w:r w:rsidRPr="003A3C26">
              <w:t>Steven T. Nourse</w:t>
            </w:r>
          </w:p>
          <w:p w:rsidR="003A3C26" w:rsidRPr="003A3C26" w:rsidRDefault="003A3C26" w:rsidP="00446D15">
            <w:r w:rsidRPr="003A3C26">
              <w:t>AEP Service Corporation</w:t>
            </w:r>
          </w:p>
          <w:p w:rsidR="003A3C26" w:rsidRPr="003A3C26" w:rsidRDefault="003A3C26" w:rsidP="00446D15">
            <w:r w:rsidRPr="003A3C26">
              <w:t>1 Riverside Plaza, 29th Floor</w:t>
            </w:r>
          </w:p>
          <w:p w:rsidR="003A3C26" w:rsidRPr="003A3C26" w:rsidRDefault="003A3C26" w:rsidP="00446D15">
            <w:r w:rsidRPr="003A3C26">
              <w:t>Columbus, OH 43215</w:t>
            </w:r>
          </w:p>
          <w:p w:rsidR="003A3C26" w:rsidRPr="003A3C26" w:rsidRDefault="004529A0" w:rsidP="00446D15">
            <w:hyperlink r:id="rId18" w:history="1">
              <w:r w:rsidR="003A3C26" w:rsidRPr="003A3C26">
                <w:rPr>
                  <w:color w:val="0000FF"/>
                  <w:u w:val="single"/>
                </w:rPr>
                <w:t>stnourse@aep.com</w:t>
              </w:r>
            </w:hyperlink>
          </w:p>
          <w:p w:rsidR="003A3C26" w:rsidRPr="003A3C26" w:rsidRDefault="003A3C26" w:rsidP="00446D15">
            <w:pPr>
              <w:rPr>
                <w:sz w:val="26"/>
                <w:szCs w:val="26"/>
              </w:rPr>
            </w:pPr>
          </w:p>
          <w:p w:rsidR="003A3C26" w:rsidRPr="003A3C26" w:rsidRDefault="003A3C26" w:rsidP="00446D15"/>
        </w:tc>
      </w:tr>
      <w:tr w:rsidR="003A3C26" w:rsidTr="003A3C26">
        <w:tc>
          <w:tcPr>
            <w:tcW w:w="4428" w:type="dxa"/>
          </w:tcPr>
          <w:p w:rsidR="003A3C26" w:rsidRDefault="003A3C26" w:rsidP="003A3C26">
            <w:pPr>
              <w:autoSpaceDE w:val="0"/>
              <w:autoSpaceDN w:val="0"/>
              <w:adjustRightInd w:val="0"/>
              <w:rPr>
                <w:sz w:val="23"/>
                <w:szCs w:val="23"/>
              </w:rPr>
            </w:pPr>
          </w:p>
          <w:p w:rsidR="003A3C26" w:rsidRDefault="003A3C26" w:rsidP="003A3C26">
            <w:pPr>
              <w:autoSpaceDE w:val="0"/>
              <w:autoSpaceDN w:val="0"/>
              <w:adjustRightInd w:val="0"/>
              <w:rPr>
                <w:sz w:val="23"/>
                <w:szCs w:val="23"/>
              </w:rPr>
            </w:pPr>
          </w:p>
          <w:p w:rsidR="003A3C26" w:rsidRPr="003A3C26" w:rsidRDefault="003A3C26" w:rsidP="003A3C26">
            <w:pPr>
              <w:autoSpaceDE w:val="0"/>
              <w:autoSpaceDN w:val="0"/>
              <w:adjustRightInd w:val="0"/>
              <w:rPr>
                <w:sz w:val="23"/>
                <w:szCs w:val="23"/>
              </w:rPr>
            </w:pPr>
            <w:r w:rsidRPr="003A3C26">
              <w:rPr>
                <w:sz w:val="23"/>
                <w:szCs w:val="23"/>
              </w:rPr>
              <w:t>David F. Boeh</w:t>
            </w:r>
            <w:r w:rsidR="00D53943">
              <w:rPr>
                <w:sz w:val="23"/>
                <w:szCs w:val="23"/>
              </w:rPr>
              <w:t>m</w:t>
            </w:r>
          </w:p>
          <w:p w:rsidR="003A3C26" w:rsidRPr="003A3C26" w:rsidRDefault="003A3C26" w:rsidP="003A3C26">
            <w:pPr>
              <w:autoSpaceDE w:val="0"/>
              <w:autoSpaceDN w:val="0"/>
              <w:adjustRightInd w:val="0"/>
              <w:rPr>
                <w:sz w:val="23"/>
                <w:szCs w:val="23"/>
              </w:rPr>
            </w:pPr>
            <w:r w:rsidRPr="003A3C26">
              <w:rPr>
                <w:sz w:val="23"/>
                <w:szCs w:val="23"/>
              </w:rPr>
              <w:t>Michael L. Kurtz</w:t>
            </w:r>
          </w:p>
          <w:p w:rsidR="003A3C26" w:rsidRPr="003A3C26" w:rsidRDefault="003A3C26" w:rsidP="003A3C26">
            <w:pPr>
              <w:autoSpaceDE w:val="0"/>
              <w:autoSpaceDN w:val="0"/>
              <w:adjustRightInd w:val="0"/>
              <w:rPr>
                <w:sz w:val="23"/>
                <w:szCs w:val="23"/>
              </w:rPr>
            </w:pPr>
            <w:r w:rsidRPr="003A3C26">
              <w:rPr>
                <w:sz w:val="23"/>
                <w:szCs w:val="23"/>
              </w:rPr>
              <w:t>Jody Kyler Cohn</w:t>
            </w:r>
          </w:p>
          <w:p w:rsidR="003A3C26" w:rsidRPr="003A3C26" w:rsidRDefault="003A3C26" w:rsidP="003A3C26">
            <w:pPr>
              <w:autoSpaceDE w:val="0"/>
              <w:autoSpaceDN w:val="0"/>
              <w:adjustRightInd w:val="0"/>
              <w:rPr>
                <w:sz w:val="23"/>
                <w:szCs w:val="23"/>
              </w:rPr>
            </w:pPr>
            <w:r w:rsidRPr="003A3C26">
              <w:rPr>
                <w:sz w:val="23"/>
                <w:szCs w:val="23"/>
              </w:rPr>
              <w:t>BOEHM, KURTZ &amp; LOWRY</w:t>
            </w:r>
          </w:p>
          <w:p w:rsidR="003A3C26" w:rsidRPr="003A3C26" w:rsidRDefault="003A3C26" w:rsidP="003A3C26">
            <w:pPr>
              <w:autoSpaceDE w:val="0"/>
              <w:autoSpaceDN w:val="0"/>
              <w:adjustRightInd w:val="0"/>
              <w:rPr>
                <w:sz w:val="23"/>
                <w:szCs w:val="23"/>
              </w:rPr>
            </w:pPr>
            <w:r w:rsidRPr="003A3C26">
              <w:rPr>
                <w:sz w:val="23"/>
                <w:szCs w:val="23"/>
              </w:rPr>
              <w:t>36 East Seventh Street, Suite 1510</w:t>
            </w:r>
          </w:p>
          <w:p w:rsidR="003A3C26" w:rsidRPr="003A3C26" w:rsidRDefault="003A3C26" w:rsidP="003A3C26">
            <w:pPr>
              <w:autoSpaceDE w:val="0"/>
              <w:autoSpaceDN w:val="0"/>
              <w:adjustRightInd w:val="0"/>
              <w:rPr>
                <w:sz w:val="23"/>
                <w:szCs w:val="23"/>
              </w:rPr>
            </w:pPr>
            <w:r w:rsidRPr="003A3C26">
              <w:rPr>
                <w:sz w:val="23"/>
                <w:szCs w:val="23"/>
              </w:rPr>
              <w:t>Cincinnati, Ohio 45202</w:t>
            </w:r>
          </w:p>
          <w:p w:rsidR="003A3C26" w:rsidRPr="003A3C26" w:rsidRDefault="004529A0" w:rsidP="003A3C26">
            <w:pPr>
              <w:autoSpaceDE w:val="0"/>
              <w:autoSpaceDN w:val="0"/>
              <w:adjustRightInd w:val="0"/>
              <w:rPr>
                <w:sz w:val="23"/>
                <w:szCs w:val="23"/>
              </w:rPr>
            </w:pPr>
            <w:hyperlink r:id="rId19" w:history="1">
              <w:r w:rsidR="003A3C26" w:rsidRPr="003A3C26">
                <w:rPr>
                  <w:color w:val="0000FF"/>
                  <w:sz w:val="23"/>
                  <w:szCs w:val="23"/>
                  <w:u w:val="single"/>
                </w:rPr>
                <w:t>dboehm@BKLlawfirm.com</w:t>
              </w:r>
            </w:hyperlink>
          </w:p>
          <w:p w:rsidR="003A3C26" w:rsidRPr="003A3C26" w:rsidRDefault="004529A0" w:rsidP="003A3C26">
            <w:pPr>
              <w:autoSpaceDE w:val="0"/>
              <w:autoSpaceDN w:val="0"/>
              <w:adjustRightInd w:val="0"/>
              <w:rPr>
                <w:sz w:val="23"/>
                <w:szCs w:val="23"/>
              </w:rPr>
            </w:pPr>
            <w:hyperlink r:id="rId20" w:history="1">
              <w:r w:rsidR="003A3C26" w:rsidRPr="003A3C26">
                <w:rPr>
                  <w:color w:val="0000FF"/>
                  <w:sz w:val="23"/>
                  <w:szCs w:val="23"/>
                  <w:u w:val="single"/>
                </w:rPr>
                <w:t>mkurtz@BKLlawfirm.com</w:t>
              </w:r>
            </w:hyperlink>
          </w:p>
          <w:p w:rsidR="003A3C26" w:rsidRPr="003A3C26" w:rsidRDefault="004529A0" w:rsidP="003A3C26">
            <w:hyperlink r:id="rId21" w:history="1">
              <w:r w:rsidR="003A3C26" w:rsidRPr="003A3C26">
                <w:rPr>
                  <w:color w:val="0000FF"/>
                  <w:sz w:val="23"/>
                  <w:szCs w:val="23"/>
                  <w:u w:val="single"/>
                </w:rPr>
                <w:t>jkyler@BKLlawfirm.com</w:t>
              </w:r>
            </w:hyperlink>
          </w:p>
        </w:tc>
        <w:tc>
          <w:tcPr>
            <w:tcW w:w="4428" w:type="dxa"/>
          </w:tcPr>
          <w:p w:rsidR="003A3C26" w:rsidRDefault="003A3C26" w:rsidP="003A3C26"/>
          <w:p w:rsidR="003A3C26" w:rsidRDefault="003A3C26" w:rsidP="003A3C26"/>
          <w:p w:rsidR="003A3C26" w:rsidRPr="003A3C26" w:rsidRDefault="003A3C26" w:rsidP="003A3C26">
            <w:r w:rsidRPr="003A3C26">
              <w:t>Michael J. Settineri</w:t>
            </w:r>
          </w:p>
          <w:p w:rsidR="003A3C26" w:rsidRPr="003A3C26" w:rsidRDefault="003A3C26" w:rsidP="003A3C26">
            <w:r w:rsidRPr="003A3C26">
              <w:t>William A. S</w:t>
            </w:r>
            <w:r w:rsidR="00D53943">
              <w:t>i</w:t>
            </w:r>
            <w:r w:rsidRPr="003A3C26">
              <w:t>eck</w:t>
            </w:r>
          </w:p>
          <w:p w:rsidR="003A3C26" w:rsidRPr="003A3C26" w:rsidRDefault="003A3C26" w:rsidP="003A3C26">
            <w:r w:rsidRPr="003A3C26">
              <w:t>Vorys, Sater, Seymour and Pease LLP</w:t>
            </w:r>
          </w:p>
          <w:p w:rsidR="003A3C26" w:rsidRPr="003A3C26" w:rsidRDefault="003A3C26" w:rsidP="003A3C26">
            <w:r w:rsidRPr="003A3C26">
              <w:t>52 E. Gay St., P.O. Box 1008</w:t>
            </w:r>
          </w:p>
          <w:p w:rsidR="003A3C26" w:rsidRPr="003A3C26" w:rsidRDefault="003A3C26" w:rsidP="003A3C26">
            <w:r w:rsidRPr="003A3C26">
              <w:t>Columbus, OH 473216</w:t>
            </w:r>
          </w:p>
          <w:p w:rsidR="003A3C26" w:rsidRPr="003A3C26" w:rsidRDefault="004529A0" w:rsidP="003A3C26">
            <w:hyperlink r:id="rId22" w:history="1">
              <w:r w:rsidR="001A362F" w:rsidRPr="00BA46C8">
                <w:rPr>
                  <w:rStyle w:val="Hyperlink"/>
                </w:rPr>
                <w:t>mjsettineri@vorys.com</w:t>
              </w:r>
            </w:hyperlink>
          </w:p>
          <w:p w:rsidR="003A3C26" w:rsidRPr="003A3C26" w:rsidRDefault="004529A0" w:rsidP="001A362F">
            <w:hyperlink r:id="rId23" w:history="1">
              <w:r w:rsidR="00E95E70" w:rsidRPr="00BA46C8">
                <w:rPr>
                  <w:rStyle w:val="Hyperlink"/>
                </w:rPr>
                <w:t>wasieck@vorys.com</w:t>
              </w:r>
            </w:hyperlink>
          </w:p>
        </w:tc>
      </w:tr>
    </w:tbl>
    <w:p w:rsidR="003A3C26" w:rsidRPr="003A3C26" w:rsidRDefault="003A3C26" w:rsidP="003A3C26">
      <w:pPr>
        <w:tabs>
          <w:tab w:val="left" w:pos="4320"/>
        </w:tabs>
        <w:jc w:val="center"/>
        <w:rPr>
          <w:b/>
          <w:u w:val="single"/>
        </w:rPr>
      </w:pPr>
    </w:p>
    <w:p w:rsidR="003A3C26" w:rsidRPr="003A3C26" w:rsidRDefault="003A3C26" w:rsidP="003A3C26">
      <w:pPr>
        <w:tabs>
          <w:tab w:val="left" w:pos="4320"/>
        </w:tabs>
        <w:jc w:val="center"/>
        <w:rPr>
          <w:b/>
          <w:u w:val="single"/>
        </w:rPr>
      </w:pPr>
    </w:p>
    <w:tbl>
      <w:tblPr>
        <w:tblW w:w="0" w:type="auto"/>
        <w:tblLook w:val="01E0" w:firstRow="1" w:lastRow="1" w:firstColumn="1" w:lastColumn="1" w:noHBand="0" w:noVBand="0"/>
      </w:tblPr>
      <w:tblGrid>
        <w:gridCol w:w="4428"/>
        <w:gridCol w:w="4428"/>
      </w:tblGrid>
      <w:tr w:rsidR="003A3C26" w:rsidRPr="003A3C26" w:rsidTr="00446D15">
        <w:tc>
          <w:tcPr>
            <w:tcW w:w="4428" w:type="dxa"/>
            <w:shd w:val="clear" w:color="auto" w:fill="auto"/>
          </w:tcPr>
          <w:p w:rsidR="001A362F" w:rsidRPr="009529A3" w:rsidRDefault="001A362F" w:rsidP="001A362F">
            <w:pPr>
              <w:rPr>
                <w:szCs w:val="24"/>
              </w:rPr>
            </w:pPr>
            <w:r w:rsidRPr="009529A3">
              <w:rPr>
                <w:szCs w:val="24"/>
              </w:rPr>
              <w:t>Kimberly W. Bojko</w:t>
            </w:r>
          </w:p>
          <w:p w:rsidR="001A362F" w:rsidRPr="009529A3" w:rsidRDefault="001A362F" w:rsidP="001A362F">
            <w:pPr>
              <w:rPr>
                <w:szCs w:val="24"/>
              </w:rPr>
            </w:pPr>
            <w:r w:rsidRPr="009529A3">
              <w:rPr>
                <w:szCs w:val="24"/>
              </w:rPr>
              <w:t>Ryan P. O’Rourke</w:t>
            </w:r>
          </w:p>
          <w:p w:rsidR="001A362F" w:rsidRPr="009529A3" w:rsidRDefault="001A362F" w:rsidP="001A362F">
            <w:pPr>
              <w:rPr>
                <w:szCs w:val="24"/>
              </w:rPr>
            </w:pPr>
            <w:r w:rsidRPr="009529A3">
              <w:rPr>
                <w:szCs w:val="24"/>
              </w:rPr>
              <w:t>Carpenter Lipps &amp; Leland LLP</w:t>
            </w:r>
          </w:p>
          <w:p w:rsidR="001A362F" w:rsidRPr="009529A3" w:rsidRDefault="001A362F" w:rsidP="001A362F">
            <w:pPr>
              <w:rPr>
                <w:szCs w:val="24"/>
              </w:rPr>
            </w:pPr>
            <w:r w:rsidRPr="009529A3">
              <w:rPr>
                <w:szCs w:val="24"/>
              </w:rPr>
              <w:t>280 North High St., Ste. 1300</w:t>
            </w:r>
          </w:p>
          <w:p w:rsidR="001A362F" w:rsidRPr="009529A3" w:rsidRDefault="001A362F" w:rsidP="001A362F">
            <w:pPr>
              <w:rPr>
                <w:szCs w:val="24"/>
              </w:rPr>
            </w:pPr>
            <w:r w:rsidRPr="009529A3">
              <w:rPr>
                <w:szCs w:val="24"/>
              </w:rPr>
              <w:t>Columbus, Ohio 43215</w:t>
            </w:r>
          </w:p>
          <w:p w:rsidR="001A362F" w:rsidRPr="009529A3" w:rsidRDefault="004529A0" w:rsidP="001A362F">
            <w:pPr>
              <w:rPr>
                <w:szCs w:val="24"/>
              </w:rPr>
            </w:pPr>
            <w:hyperlink r:id="rId24" w:history="1">
              <w:r w:rsidR="001A362F" w:rsidRPr="009529A3">
                <w:rPr>
                  <w:rStyle w:val="Hyperlink"/>
                  <w:szCs w:val="24"/>
                </w:rPr>
                <w:t>Bojko@carpenterlipps.com</w:t>
              </w:r>
            </w:hyperlink>
          </w:p>
          <w:p w:rsidR="003A3C26" w:rsidRPr="003A3C26" w:rsidRDefault="004529A0" w:rsidP="001A362F">
            <w:hyperlink r:id="rId25" w:history="1">
              <w:r w:rsidR="001A362F" w:rsidRPr="009529A3">
                <w:rPr>
                  <w:rStyle w:val="Hyperlink"/>
                  <w:szCs w:val="24"/>
                </w:rPr>
                <w:t>orourke@carpenterlipps.com</w:t>
              </w:r>
            </w:hyperlink>
          </w:p>
        </w:tc>
        <w:tc>
          <w:tcPr>
            <w:tcW w:w="4428" w:type="dxa"/>
            <w:shd w:val="clear" w:color="auto" w:fill="auto"/>
          </w:tcPr>
          <w:p w:rsidR="003A3C26" w:rsidRPr="003A3C26" w:rsidRDefault="003A3C26" w:rsidP="003A3C26"/>
        </w:tc>
      </w:tr>
      <w:tr w:rsidR="003A3C26" w:rsidRPr="003A3C26" w:rsidTr="00446D15">
        <w:tc>
          <w:tcPr>
            <w:tcW w:w="4428" w:type="dxa"/>
            <w:shd w:val="clear" w:color="auto" w:fill="auto"/>
          </w:tcPr>
          <w:p w:rsidR="003A3C26" w:rsidRPr="003A3C26" w:rsidRDefault="003A3C26" w:rsidP="003A3C26"/>
        </w:tc>
        <w:tc>
          <w:tcPr>
            <w:tcW w:w="4428" w:type="dxa"/>
            <w:shd w:val="clear" w:color="auto" w:fill="auto"/>
          </w:tcPr>
          <w:p w:rsidR="003A3C26" w:rsidRPr="003A3C26" w:rsidRDefault="003A3C26" w:rsidP="003A3C26"/>
        </w:tc>
      </w:tr>
    </w:tbl>
    <w:p w:rsidR="003A3C26" w:rsidRPr="003A3C26" w:rsidRDefault="003A3C26" w:rsidP="003A3C26"/>
    <w:p w:rsidR="003A3C26" w:rsidRDefault="003A3C26"/>
    <w:sectPr w:rsidR="003A3C26" w:rsidSect="001A362F">
      <w:headerReference w:type="even" r:id="rId26"/>
      <w:headerReference w:type="default" r:id="rId27"/>
      <w:headerReference w:type="first" r:id="rId28"/>
      <w:footerReference w:type="first" r:id="rId2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A0" w:rsidRDefault="00AF4DA0" w:rsidP="004B5A1E">
      <w:r>
        <w:separator/>
      </w:r>
    </w:p>
  </w:endnote>
  <w:endnote w:type="continuationSeparator" w:id="0">
    <w:p w:rsidR="00AF4DA0" w:rsidRDefault="00AF4DA0" w:rsidP="004B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A" w:rsidRDefault="00B1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2F" w:rsidRDefault="001A362F">
    <w:pPr>
      <w:pStyle w:val="Footer"/>
      <w:jc w:val="center"/>
    </w:pPr>
  </w:p>
  <w:p w:rsidR="001A362F" w:rsidRDefault="001A3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A" w:rsidRDefault="00B161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72127"/>
      <w:docPartObj>
        <w:docPartGallery w:val="Page Numbers (Bottom of Page)"/>
        <w:docPartUnique/>
      </w:docPartObj>
    </w:sdtPr>
    <w:sdtEndPr>
      <w:rPr>
        <w:noProof/>
      </w:rPr>
    </w:sdtEndPr>
    <w:sdtContent>
      <w:p w:rsidR="001A362F" w:rsidRDefault="001A362F">
        <w:pPr>
          <w:pStyle w:val="Footer"/>
          <w:jc w:val="center"/>
        </w:pPr>
        <w:r>
          <w:fldChar w:fldCharType="begin"/>
        </w:r>
        <w:r>
          <w:instrText xml:space="preserve"> PAGE   \* MERGEFORMAT </w:instrText>
        </w:r>
        <w:r>
          <w:fldChar w:fldCharType="separate"/>
        </w:r>
        <w:r w:rsidR="00D53943">
          <w:rPr>
            <w:noProof/>
          </w:rPr>
          <w:t>2</w:t>
        </w:r>
        <w:r>
          <w:rPr>
            <w:noProof/>
          </w:rPr>
          <w:fldChar w:fldCharType="end"/>
        </w:r>
      </w:p>
    </w:sdtContent>
  </w:sdt>
  <w:p w:rsidR="001A362F" w:rsidRDefault="001A36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54" w:rsidRDefault="009E1754">
    <w:pPr>
      <w:pStyle w:val="Footer"/>
      <w:framePr w:wrap="around"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53943">
      <w:rPr>
        <w:rStyle w:val="PageNumber"/>
        <w:noProof/>
        <w:szCs w:val="24"/>
      </w:rPr>
      <w:t>7</w:t>
    </w:r>
    <w:r>
      <w:rPr>
        <w:rStyle w:val="PageNumber"/>
        <w:szCs w:val="24"/>
      </w:rPr>
      <w:fldChar w:fldCharType="end"/>
    </w:r>
  </w:p>
  <w:p w:rsidR="009E1754" w:rsidRDefault="009E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A0" w:rsidRDefault="00AF4DA0" w:rsidP="004B5A1E">
      <w:r>
        <w:separator/>
      </w:r>
    </w:p>
  </w:footnote>
  <w:footnote w:type="continuationSeparator" w:id="0">
    <w:p w:rsidR="00AF4DA0" w:rsidRDefault="00AF4DA0" w:rsidP="004B5A1E">
      <w:r>
        <w:continuationSeparator/>
      </w:r>
    </w:p>
  </w:footnote>
  <w:footnote w:id="1">
    <w:p w:rsidR="009E1754" w:rsidRDefault="009E1754" w:rsidP="004B5A1E">
      <w:pPr>
        <w:pStyle w:val="FootnoteText"/>
        <w:spacing w:after="120"/>
      </w:pPr>
      <w:r>
        <w:rPr>
          <w:rStyle w:val="FootnoteReference"/>
        </w:rPr>
        <w:footnoteRef/>
      </w:r>
      <w:r>
        <w:rPr>
          <w:lang w:val="es-ES"/>
        </w:rPr>
        <w:t xml:space="preserve"> Ohio Admin. </w:t>
      </w:r>
      <w:r>
        <w:t xml:space="preserve">Code 4901:1-38. </w:t>
      </w:r>
    </w:p>
  </w:footnote>
  <w:footnote w:id="2">
    <w:p w:rsidR="009E1754" w:rsidRDefault="009E1754" w:rsidP="004B5A1E">
      <w:pPr>
        <w:pStyle w:val="FootnoteText"/>
        <w:spacing w:after="120"/>
      </w:pPr>
      <w:r>
        <w:rPr>
          <w:rStyle w:val="FootnoteReference"/>
        </w:rPr>
        <w:footnoteRef/>
      </w:r>
      <w:r>
        <w:t xml:space="preserve"> Ohio Admin. Code 4901:1-38-05(A)(2).</w:t>
      </w:r>
    </w:p>
  </w:footnote>
  <w:footnote w:id="3">
    <w:p w:rsidR="009E1754" w:rsidRDefault="009E1754" w:rsidP="004B5A1E">
      <w:pPr>
        <w:pStyle w:val="FootnoteText"/>
        <w:spacing w:after="120"/>
      </w:pPr>
      <w:r>
        <w:rPr>
          <w:rStyle w:val="FootnoteReference"/>
        </w:rPr>
        <w:footnoteRef/>
      </w:r>
      <w:r>
        <w:t xml:space="preserve"> See Ohio Rev. Code 4905.31; Ohio Admin. Code 4901:1-38-05(B)(4).  </w:t>
      </w:r>
    </w:p>
  </w:footnote>
  <w:footnote w:id="4">
    <w:p w:rsidR="009E1754" w:rsidRDefault="009E1754" w:rsidP="004B5A1E">
      <w:pPr>
        <w:pStyle w:val="FootnoteText"/>
        <w:spacing w:after="120"/>
      </w:pPr>
      <w:r>
        <w:rPr>
          <w:rStyle w:val="FootnoteReference"/>
        </w:rPr>
        <w:footnoteRef/>
      </w:r>
      <w:r>
        <w:t xml:space="preserve"> Application at 30, p. 49.</w:t>
      </w:r>
    </w:p>
  </w:footnote>
  <w:footnote w:id="5">
    <w:p w:rsidR="009E1754" w:rsidRDefault="009E1754" w:rsidP="004B5A1E">
      <w:pPr>
        <w:pStyle w:val="FootnoteText"/>
        <w:spacing w:after="120"/>
      </w:pPr>
      <w:r>
        <w:rPr>
          <w:rStyle w:val="FootnoteReference"/>
        </w:rPr>
        <w:footnoteRef/>
      </w:r>
      <w:r>
        <w:t xml:space="preserve"> Application at 7</w:t>
      </w:r>
      <w:r w:rsidR="00CF3230">
        <w:t>.</w:t>
      </w:r>
    </w:p>
  </w:footnote>
  <w:footnote w:id="6">
    <w:p w:rsidR="00D777CD" w:rsidRDefault="00D777CD" w:rsidP="00D777CD">
      <w:pPr>
        <w:pStyle w:val="FootnoteText"/>
        <w:spacing w:after="120"/>
      </w:pPr>
      <w:r>
        <w:rPr>
          <w:rStyle w:val="FootnoteReference"/>
        </w:rPr>
        <w:footnoteRef/>
      </w:r>
      <w:r>
        <w:t xml:space="preserve"> See </w:t>
      </w:r>
      <w:r>
        <w:rPr>
          <w:i/>
        </w:rPr>
        <w:t>Ohio Electric Innovative Rates Program</w:t>
      </w:r>
      <w:r>
        <w:t>, page 5 of 11 (June 28, 1983). (Attachment A).</w:t>
      </w:r>
    </w:p>
  </w:footnote>
  <w:footnote w:id="7">
    <w:p w:rsidR="00D777CD" w:rsidRDefault="00D777CD" w:rsidP="00D777CD">
      <w:pPr>
        <w:pStyle w:val="FootnoteText"/>
        <w:spacing w:after="120"/>
      </w:pPr>
      <w:r>
        <w:rPr>
          <w:rStyle w:val="FootnoteReference"/>
        </w:rPr>
        <w:footnoteRef/>
      </w:r>
      <w:r>
        <w:t xml:space="preserve"> </w:t>
      </w:r>
      <w:r>
        <w:rPr>
          <w:i/>
        </w:rPr>
        <w:t xml:space="preserve">In the Matter of the Application of Columbus Southern Power Company for Authority to Amend its Filed Tariffs to Increase the Rates and Charges for Electric Service, </w:t>
      </w:r>
      <w:r>
        <w:t>Case No. 91-418-EL-AIR.  Opinion and Order at 110. (May 12, 1992).</w:t>
      </w:r>
    </w:p>
  </w:footnote>
  <w:footnote w:id="8">
    <w:p w:rsidR="00D777CD" w:rsidRDefault="00D777CD" w:rsidP="00D777CD">
      <w:pPr>
        <w:pStyle w:val="FootnoteText"/>
        <w:spacing w:after="120"/>
      </w:pPr>
      <w:r>
        <w:rPr>
          <w:rStyle w:val="FootnoteReference"/>
        </w:rPr>
        <w:footnoteRef/>
      </w:r>
      <w:r>
        <w:t xml:space="preserve"> See </w:t>
      </w:r>
      <w:r>
        <w:rPr>
          <w:i/>
        </w:rPr>
        <w:t>Ohio Edison Company,</w:t>
      </w:r>
      <w:r>
        <w:t xml:space="preserve"> Case No. 89-1001-EL-AIR, Opinion and Order at 40-41.  (August 16, 1990), at 40-41 and </w:t>
      </w:r>
      <w:r>
        <w:rPr>
          <w:i/>
        </w:rPr>
        <w:t>Cleveland Electric Illuminating Co</w:t>
      </w:r>
      <w:r>
        <w:t>., Case No. 88-170-EL-AIR, Opinion and Order at 18-19 (January 31, 1989).</w:t>
      </w:r>
    </w:p>
  </w:footnote>
  <w:footnote w:id="9">
    <w:p w:rsidR="00D777CD" w:rsidRDefault="00D777CD" w:rsidP="00D777CD">
      <w:pPr>
        <w:pStyle w:val="FootnoteText"/>
        <w:spacing w:after="120"/>
      </w:pPr>
      <w:r>
        <w:rPr>
          <w:rStyle w:val="FootnoteReference"/>
        </w:rPr>
        <w:footnoteRef/>
      </w:r>
      <w:r>
        <w:t xml:space="preserve"> R.C. 4905.31(E). </w:t>
      </w:r>
    </w:p>
  </w:footnote>
  <w:footnote w:id="10">
    <w:p w:rsidR="00D777CD" w:rsidRDefault="00D777CD" w:rsidP="00D777CD">
      <w:pPr>
        <w:pStyle w:val="FootnoteText"/>
        <w:spacing w:after="120"/>
      </w:pPr>
      <w:r>
        <w:rPr>
          <w:rStyle w:val="FootnoteReference"/>
        </w:rPr>
        <w:footnoteRef/>
      </w:r>
      <w:r>
        <w:t xml:space="preserve"> </w:t>
      </w:r>
      <w:r>
        <w:rPr>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t>, Case No. 08-935-EL-SSO.</w:t>
      </w:r>
    </w:p>
  </w:footnote>
  <w:footnote w:id="11">
    <w:p w:rsidR="00D777CD" w:rsidRDefault="00D777CD" w:rsidP="00D777CD">
      <w:pPr>
        <w:pStyle w:val="FootnoteText"/>
        <w:spacing w:after="120"/>
      </w:pPr>
      <w:r>
        <w:rPr>
          <w:rStyle w:val="FootnoteReference"/>
        </w:rPr>
        <w:footnoteRef/>
      </w:r>
      <w:r>
        <w:t xml:space="preserve"> Under R.C. 4905.31(E) a utility is not prohibited from seeking an arrangement that includes a “financial device” that “may include a device to recover costs incurred in conjunction with any economic development and job retention program of the utility within its certified territory, including recovery of revenue foregone.”  The arrangement must then be approved by the PUCO and are subject to change, alteration, or modification by the Application.</w:t>
      </w:r>
    </w:p>
  </w:footnote>
  <w:footnote w:id="12">
    <w:p w:rsidR="00D777CD" w:rsidRDefault="00D777CD" w:rsidP="00D777CD">
      <w:pPr>
        <w:pStyle w:val="FootnoteText"/>
        <w:spacing w:after="120"/>
      </w:pPr>
      <w:r>
        <w:rPr>
          <w:rStyle w:val="FootnoteReference"/>
        </w:rPr>
        <w:footnoteRef/>
      </w:r>
      <w:r>
        <w:t xml:space="preserve"> Ohio Admin. Code 4901:1-38-08(A)(1).</w:t>
      </w:r>
    </w:p>
  </w:footnote>
  <w:footnote w:id="13">
    <w:p w:rsidR="00D777CD" w:rsidRDefault="00D777CD" w:rsidP="00D777CD">
      <w:pPr>
        <w:pStyle w:val="FootnoteText"/>
        <w:spacing w:after="120"/>
      </w:pPr>
      <w:r>
        <w:rPr>
          <w:rStyle w:val="FootnoteReference"/>
        </w:rPr>
        <w:footnoteRef/>
      </w:r>
      <w:r>
        <w:t xml:space="preserve"> See </w:t>
      </w:r>
      <w:r w:rsidRPr="00AA2E2E">
        <w:rPr>
          <w:i/>
        </w:rPr>
        <w:t xml:space="preserve">In the Matter of the </w:t>
      </w:r>
      <w:r>
        <w:rPr>
          <w:i/>
        </w:rPr>
        <w:t>Application</w:t>
      </w:r>
      <w:r w:rsidRPr="00AA2E2E">
        <w:rPr>
          <w:i/>
        </w:rPr>
        <w:t xml:space="preserve"> of Ormet Primary Aluminum Corporation for Approval of a Unique Arrangement with Ohio Power Company and Columbus Southern Power Company</w:t>
      </w:r>
      <w:r>
        <w:t xml:space="preserve">, Supreme Ct.  Case No. 09-2060, Brief of the Public Utilities at 12 (Mar. 3, 2010).  “Appellant [CSP/OP] mistakenly believes that it is entitled to receive specific amounts from all customers, reasoning that money it doesn’t get from one customer it must get from another.  This is not now, and never was, the law.  As discussed above, R.C. 4905.31 requires no adjustment at all.”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A" w:rsidRDefault="00B1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A" w:rsidRDefault="00B16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A" w:rsidRDefault="00B161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2F" w:rsidRDefault="001A36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54" w:rsidRDefault="009E17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54" w:rsidRDefault="009E17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54" w:rsidRDefault="009E1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00246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7D437A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EBB62EB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4902687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3246FEB2"/>
    <w:lvl w:ilvl="0">
      <w:start w:val="1"/>
      <w:numFmt w:val="decimal"/>
      <w:lvlText w:val="%1."/>
      <w:lvlJc w:val="left"/>
      <w:pPr>
        <w:tabs>
          <w:tab w:val="num" w:pos="360"/>
        </w:tabs>
        <w:ind w:left="360" w:hanging="360"/>
      </w:pPr>
    </w:lvl>
  </w:abstractNum>
  <w:abstractNum w:abstractNumId="5">
    <w:nsid w:val="FFFFFF89"/>
    <w:multiLevelType w:val="singleLevel"/>
    <w:tmpl w:val="9ED60EBA"/>
    <w:lvl w:ilvl="0">
      <w:start w:val="1"/>
      <w:numFmt w:val="bullet"/>
      <w:lvlText w:val=""/>
      <w:lvlJc w:val="left"/>
      <w:pPr>
        <w:tabs>
          <w:tab w:val="num" w:pos="360"/>
        </w:tabs>
        <w:ind w:left="360" w:hanging="360"/>
      </w:pPr>
      <w:rPr>
        <w:rFonts w:ascii="Symbol" w:hAnsi="Symbol" w:hint="default"/>
      </w:rPr>
    </w:lvl>
  </w:abstractNum>
  <w:abstractNum w:abstractNumId="6">
    <w:nsid w:val="03AA4453"/>
    <w:multiLevelType w:val="hybridMultilevel"/>
    <w:tmpl w:val="B76ADFAC"/>
    <w:lvl w:ilvl="0" w:tplc="4AD2E51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53E28"/>
    <w:multiLevelType w:val="hybridMultilevel"/>
    <w:tmpl w:val="313E7CA8"/>
    <w:lvl w:ilvl="0" w:tplc="B346FAD2">
      <w:start w:val="1"/>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E"/>
    <w:rsid w:val="00030F73"/>
    <w:rsid w:val="0004193D"/>
    <w:rsid w:val="0006401D"/>
    <w:rsid w:val="000B769B"/>
    <w:rsid w:val="000D4047"/>
    <w:rsid w:val="0014252B"/>
    <w:rsid w:val="00151B21"/>
    <w:rsid w:val="0019033B"/>
    <w:rsid w:val="001A362F"/>
    <w:rsid w:val="001B3469"/>
    <w:rsid w:val="001C5850"/>
    <w:rsid w:val="001D6E60"/>
    <w:rsid w:val="001D7429"/>
    <w:rsid w:val="001F1A02"/>
    <w:rsid w:val="001F4F97"/>
    <w:rsid w:val="00204367"/>
    <w:rsid w:val="0020476B"/>
    <w:rsid w:val="00244602"/>
    <w:rsid w:val="00253A0B"/>
    <w:rsid w:val="0025797F"/>
    <w:rsid w:val="00262B15"/>
    <w:rsid w:val="002A6F9A"/>
    <w:rsid w:val="002B5598"/>
    <w:rsid w:val="002C3626"/>
    <w:rsid w:val="002E2D58"/>
    <w:rsid w:val="0034321E"/>
    <w:rsid w:val="00366463"/>
    <w:rsid w:val="00393F49"/>
    <w:rsid w:val="00396B87"/>
    <w:rsid w:val="003A3C26"/>
    <w:rsid w:val="003B7D2F"/>
    <w:rsid w:val="003E1968"/>
    <w:rsid w:val="003F7864"/>
    <w:rsid w:val="00445957"/>
    <w:rsid w:val="00446D15"/>
    <w:rsid w:val="004529A0"/>
    <w:rsid w:val="00484D8C"/>
    <w:rsid w:val="00490059"/>
    <w:rsid w:val="004B5A1E"/>
    <w:rsid w:val="004B7EF3"/>
    <w:rsid w:val="004F2C99"/>
    <w:rsid w:val="004F3722"/>
    <w:rsid w:val="00532E84"/>
    <w:rsid w:val="005A7F25"/>
    <w:rsid w:val="00610FB2"/>
    <w:rsid w:val="00613E29"/>
    <w:rsid w:val="00624AEA"/>
    <w:rsid w:val="00690069"/>
    <w:rsid w:val="006A7A2F"/>
    <w:rsid w:val="006D518B"/>
    <w:rsid w:val="007124E8"/>
    <w:rsid w:val="00714D78"/>
    <w:rsid w:val="00727519"/>
    <w:rsid w:val="007C757F"/>
    <w:rsid w:val="00844A88"/>
    <w:rsid w:val="00872C31"/>
    <w:rsid w:val="008C0FBF"/>
    <w:rsid w:val="008E145C"/>
    <w:rsid w:val="008E1770"/>
    <w:rsid w:val="008F1E85"/>
    <w:rsid w:val="00916560"/>
    <w:rsid w:val="00925042"/>
    <w:rsid w:val="00953180"/>
    <w:rsid w:val="00964221"/>
    <w:rsid w:val="00964701"/>
    <w:rsid w:val="00996410"/>
    <w:rsid w:val="009C259D"/>
    <w:rsid w:val="009E1754"/>
    <w:rsid w:val="009F3B1E"/>
    <w:rsid w:val="00A057F4"/>
    <w:rsid w:val="00A2136C"/>
    <w:rsid w:val="00AB41E9"/>
    <w:rsid w:val="00AF4DA0"/>
    <w:rsid w:val="00B1614A"/>
    <w:rsid w:val="00B277B2"/>
    <w:rsid w:val="00B8279D"/>
    <w:rsid w:val="00B862CB"/>
    <w:rsid w:val="00BA21F9"/>
    <w:rsid w:val="00BF111B"/>
    <w:rsid w:val="00C8301E"/>
    <w:rsid w:val="00C839A7"/>
    <w:rsid w:val="00C90F58"/>
    <w:rsid w:val="00CB3E6C"/>
    <w:rsid w:val="00CB7119"/>
    <w:rsid w:val="00CE4C02"/>
    <w:rsid w:val="00CF3230"/>
    <w:rsid w:val="00D17C77"/>
    <w:rsid w:val="00D20BC4"/>
    <w:rsid w:val="00D53943"/>
    <w:rsid w:val="00D57D72"/>
    <w:rsid w:val="00D777CD"/>
    <w:rsid w:val="00D81C2E"/>
    <w:rsid w:val="00E10D1C"/>
    <w:rsid w:val="00E41CB3"/>
    <w:rsid w:val="00E42C9B"/>
    <w:rsid w:val="00E54CCF"/>
    <w:rsid w:val="00E9273D"/>
    <w:rsid w:val="00E95E70"/>
    <w:rsid w:val="00ED0296"/>
    <w:rsid w:val="00ED71AF"/>
    <w:rsid w:val="00EF1A9D"/>
    <w:rsid w:val="00F0127F"/>
    <w:rsid w:val="00F73DFD"/>
    <w:rsid w:val="00F9583C"/>
    <w:rsid w:val="00FA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F111B"/>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D777CD"/>
    <w:pPr>
      <w:keepNext/>
      <w:spacing w:after="240"/>
      <w:ind w:left="216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1B"/>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D777CD"/>
    <w:rPr>
      <w:rFonts w:ascii="Times New Roman Bold" w:eastAsia="Times New Roman" w:hAnsi="Times New Roman Bold" w:cs="Times New Roman"/>
      <w:b/>
      <w:bCs/>
      <w:sz w:val="24"/>
      <w:szCs w:val="24"/>
    </w:rPr>
  </w:style>
  <w:style w:type="character" w:styleId="FootnoteReference">
    <w:name w:val="footnote reference"/>
    <w:aliases w:val="o"/>
    <w:semiHidden/>
    <w:rsid w:val="004B5A1E"/>
    <w:rPr>
      <w:vertAlign w:val="superscript"/>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semiHidden/>
    <w:rsid w:val="004B5A1E"/>
    <w:rPr>
      <w:sz w:val="20"/>
    </w:rPr>
  </w:style>
  <w:style w:type="character" w:customStyle="1" w:styleId="FootnoteTextChar">
    <w:name w:val="Footnote Text Char"/>
    <w:basedOn w:val="DefaultParagraphFont"/>
    <w:uiPriority w:val="99"/>
    <w:semiHidden/>
    <w:rsid w:val="004B5A1E"/>
    <w:rPr>
      <w:rFonts w:ascii="Times New Roman" w:eastAsia="Times New Roman" w:hAnsi="Times New Roman" w:cs="Times New Roman"/>
      <w:sz w:val="20"/>
      <w:szCs w:val="20"/>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semiHidden/>
    <w:locked/>
    <w:rsid w:val="004B5A1E"/>
    <w:rPr>
      <w:rFonts w:ascii="Times New Roman" w:eastAsia="Times New Roman" w:hAnsi="Times New Roman" w:cs="Times New Roman"/>
      <w:sz w:val="20"/>
      <w:szCs w:val="20"/>
    </w:rPr>
  </w:style>
  <w:style w:type="paragraph" w:customStyle="1" w:styleId="InsideAddress">
    <w:name w:val="Inside Address"/>
    <w:basedOn w:val="Normal"/>
    <w:rsid w:val="004B5A1E"/>
    <w:rPr>
      <w:rFonts w:ascii="Times" w:eastAsia="Times" w:hAnsi="Times"/>
    </w:rPr>
  </w:style>
  <w:style w:type="paragraph" w:styleId="HTMLPreformatted">
    <w:name w:val="HTML Preformatted"/>
    <w:basedOn w:val="Normal"/>
    <w:link w:val="HTMLPreformattedChar"/>
    <w:rsid w:val="004B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B5A1E"/>
    <w:rPr>
      <w:rFonts w:ascii="Courier New" w:eastAsia="Courier New" w:hAnsi="Courier New" w:cs="Courier New"/>
      <w:sz w:val="20"/>
      <w:szCs w:val="20"/>
    </w:rPr>
  </w:style>
  <w:style w:type="paragraph" w:styleId="ListParagraph">
    <w:name w:val="List Paragraph"/>
    <w:basedOn w:val="Normal"/>
    <w:uiPriority w:val="34"/>
    <w:qFormat/>
    <w:rsid w:val="00BF111B"/>
    <w:pPr>
      <w:ind w:left="720"/>
      <w:contextualSpacing/>
    </w:pPr>
  </w:style>
  <w:style w:type="paragraph" w:styleId="Header">
    <w:name w:val="header"/>
    <w:basedOn w:val="Normal"/>
    <w:link w:val="HeaderChar"/>
    <w:uiPriority w:val="99"/>
    <w:unhideWhenUsed/>
    <w:rsid w:val="00BF111B"/>
    <w:pPr>
      <w:tabs>
        <w:tab w:val="center" w:pos="4680"/>
        <w:tab w:val="right" w:pos="9360"/>
      </w:tabs>
    </w:pPr>
  </w:style>
  <w:style w:type="character" w:customStyle="1" w:styleId="HeaderChar">
    <w:name w:val="Header Char"/>
    <w:basedOn w:val="DefaultParagraphFont"/>
    <w:link w:val="Header"/>
    <w:uiPriority w:val="99"/>
    <w:rsid w:val="00BF11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111B"/>
    <w:pPr>
      <w:tabs>
        <w:tab w:val="center" w:pos="4680"/>
        <w:tab w:val="right" w:pos="9360"/>
      </w:tabs>
    </w:pPr>
  </w:style>
  <w:style w:type="character" w:customStyle="1" w:styleId="FooterChar">
    <w:name w:val="Footer Char"/>
    <w:basedOn w:val="DefaultParagraphFont"/>
    <w:link w:val="Footer"/>
    <w:uiPriority w:val="99"/>
    <w:rsid w:val="00BF111B"/>
    <w:rPr>
      <w:rFonts w:ascii="Times New Roman" w:eastAsia="Times New Roman" w:hAnsi="Times New Roman" w:cs="Times New Roman"/>
      <w:sz w:val="24"/>
      <w:szCs w:val="20"/>
    </w:rPr>
  </w:style>
  <w:style w:type="character" w:styleId="Hyperlink">
    <w:name w:val="Hyperlink"/>
    <w:uiPriority w:val="99"/>
    <w:rsid w:val="003A3C26"/>
    <w:rPr>
      <w:color w:val="0000FF"/>
      <w:u w:val="single"/>
    </w:rPr>
  </w:style>
  <w:style w:type="character" w:styleId="PageNumber">
    <w:name w:val="page number"/>
    <w:basedOn w:val="DefaultParagraphFont"/>
    <w:rsid w:val="003A3C26"/>
  </w:style>
  <w:style w:type="table" w:styleId="TableGrid">
    <w:name w:val="Table Grid"/>
    <w:basedOn w:val="TableNormal"/>
    <w:uiPriority w:val="59"/>
    <w:rsid w:val="003A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A02"/>
    <w:rPr>
      <w:rFonts w:ascii="Tahoma" w:hAnsi="Tahoma" w:cs="Tahoma"/>
      <w:sz w:val="16"/>
      <w:szCs w:val="16"/>
    </w:rPr>
  </w:style>
  <w:style w:type="character" w:customStyle="1" w:styleId="BalloonTextChar">
    <w:name w:val="Balloon Text Char"/>
    <w:basedOn w:val="DefaultParagraphFont"/>
    <w:link w:val="BalloonText"/>
    <w:uiPriority w:val="99"/>
    <w:semiHidden/>
    <w:rsid w:val="001F1A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69B"/>
    <w:rPr>
      <w:sz w:val="16"/>
      <w:szCs w:val="16"/>
    </w:rPr>
  </w:style>
  <w:style w:type="paragraph" w:styleId="CommentText">
    <w:name w:val="annotation text"/>
    <w:basedOn w:val="Normal"/>
    <w:link w:val="CommentTextChar"/>
    <w:uiPriority w:val="99"/>
    <w:semiHidden/>
    <w:unhideWhenUsed/>
    <w:rsid w:val="000B769B"/>
    <w:rPr>
      <w:sz w:val="20"/>
    </w:rPr>
  </w:style>
  <w:style w:type="character" w:customStyle="1" w:styleId="CommentTextChar">
    <w:name w:val="Comment Text Char"/>
    <w:basedOn w:val="DefaultParagraphFont"/>
    <w:link w:val="CommentText"/>
    <w:uiPriority w:val="99"/>
    <w:semiHidden/>
    <w:rsid w:val="000B7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69B"/>
    <w:rPr>
      <w:b/>
      <w:bCs/>
    </w:rPr>
  </w:style>
  <w:style w:type="character" w:customStyle="1" w:styleId="CommentSubjectChar">
    <w:name w:val="Comment Subject Char"/>
    <w:basedOn w:val="CommentTextChar"/>
    <w:link w:val="CommentSubject"/>
    <w:uiPriority w:val="99"/>
    <w:semiHidden/>
    <w:rsid w:val="000B769B"/>
    <w:rPr>
      <w:rFonts w:ascii="Times New Roman" w:eastAsia="Times New Roman" w:hAnsi="Times New Roman" w:cs="Times New Roman"/>
      <w:b/>
      <w:bCs/>
      <w:sz w:val="20"/>
      <w:szCs w:val="20"/>
    </w:rPr>
  </w:style>
  <w:style w:type="paragraph" w:styleId="Revision">
    <w:name w:val="Revision"/>
    <w:hidden/>
    <w:uiPriority w:val="99"/>
    <w:semiHidden/>
    <w:rsid w:val="00ED0296"/>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F111B"/>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D777CD"/>
    <w:pPr>
      <w:keepNext/>
      <w:spacing w:after="240"/>
      <w:ind w:left="216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1B"/>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D777CD"/>
    <w:rPr>
      <w:rFonts w:ascii="Times New Roman Bold" w:eastAsia="Times New Roman" w:hAnsi="Times New Roman Bold" w:cs="Times New Roman"/>
      <w:b/>
      <w:bCs/>
      <w:sz w:val="24"/>
      <w:szCs w:val="24"/>
    </w:rPr>
  </w:style>
  <w:style w:type="character" w:styleId="FootnoteReference">
    <w:name w:val="footnote reference"/>
    <w:aliases w:val="o"/>
    <w:semiHidden/>
    <w:rsid w:val="004B5A1E"/>
    <w:rPr>
      <w:vertAlign w:val="superscript"/>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semiHidden/>
    <w:rsid w:val="004B5A1E"/>
    <w:rPr>
      <w:sz w:val="20"/>
    </w:rPr>
  </w:style>
  <w:style w:type="character" w:customStyle="1" w:styleId="FootnoteTextChar">
    <w:name w:val="Footnote Text Char"/>
    <w:basedOn w:val="DefaultParagraphFont"/>
    <w:uiPriority w:val="99"/>
    <w:semiHidden/>
    <w:rsid w:val="004B5A1E"/>
    <w:rPr>
      <w:rFonts w:ascii="Times New Roman" w:eastAsia="Times New Roman" w:hAnsi="Times New Roman" w:cs="Times New Roman"/>
      <w:sz w:val="20"/>
      <w:szCs w:val="20"/>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semiHidden/>
    <w:locked/>
    <w:rsid w:val="004B5A1E"/>
    <w:rPr>
      <w:rFonts w:ascii="Times New Roman" w:eastAsia="Times New Roman" w:hAnsi="Times New Roman" w:cs="Times New Roman"/>
      <w:sz w:val="20"/>
      <w:szCs w:val="20"/>
    </w:rPr>
  </w:style>
  <w:style w:type="paragraph" w:customStyle="1" w:styleId="InsideAddress">
    <w:name w:val="Inside Address"/>
    <w:basedOn w:val="Normal"/>
    <w:rsid w:val="004B5A1E"/>
    <w:rPr>
      <w:rFonts w:ascii="Times" w:eastAsia="Times" w:hAnsi="Times"/>
    </w:rPr>
  </w:style>
  <w:style w:type="paragraph" w:styleId="HTMLPreformatted">
    <w:name w:val="HTML Preformatted"/>
    <w:basedOn w:val="Normal"/>
    <w:link w:val="HTMLPreformattedChar"/>
    <w:rsid w:val="004B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B5A1E"/>
    <w:rPr>
      <w:rFonts w:ascii="Courier New" w:eastAsia="Courier New" w:hAnsi="Courier New" w:cs="Courier New"/>
      <w:sz w:val="20"/>
      <w:szCs w:val="20"/>
    </w:rPr>
  </w:style>
  <w:style w:type="paragraph" w:styleId="ListParagraph">
    <w:name w:val="List Paragraph"/>
    <w:basedOn w:val="Normal"/>
    <w:uiPriority w:val="34"/>
    <w:qFormat/>
    <w:rsid w:val="00BF111B"/>
    <w:pPr>
      <w:ind w:left="720"/>
      <w:contextualSpacing/>
    </w:pPr>
  </w:style>
  <w:style w:type="paragraph" w:styleId="Header">
    <w:name w:val="header"/>
    <w:basedOn w:val="Normal"/>
    <w:link w:val="HeaderChar"/>
    <w:uiPriority w:val="99"/>
    <w:unhideWhenUsed/>
    <w:rsid w:val="00BF111B"/>
    <w:pPr>
      <w:tabs>
        <w:tab w:val="center" w:pos="4680"/>
        <w:tab w:val="right" w:pos="9360"/>
      </w:tabs>
    </w:pPr>
  </w:style>
  <w:style w:type="character" w:customStyle="1" w:styleId="HeaderChar">
    <w:name w:val="Header Char"/>
    <w:basedOn w:val="DefaultParagraphFont"/>
    <w:link w:val="Header"/>
    <w:uiPriority w:val="99"/>
    <w:rsid w:val="00BF11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111B"/>
    <w:pPr>
      <w:tabs>
        <w:tab w:val="center" w:pos="4680"/>
        <w:tab w:val="right" w:pos="9360"/>
      </w:tabs>
    </w:pPr>
  </w:style>
  <w:style w:type="character" w:customStyle="1" w:styleId="FooterChar">
    <w:name w:val="Footer Char"/>
    <w:basedOn w:val="DefaultParagraphFont"/>
    <w:link w:val="Footer"/>
    <w:uiPriority w:val="99"/>
    <w:rsid w:val="00BF111B"/>
    <w:rPr>
      <w:rFonts w:ascii="Times New Roman" w:eastAsia="Times New Roman" w:hAnsi="Times New Roman" w:cs="Times New Roman"/>
      <w:sz w:val="24"/>
      <w:szCs w:val="20"/>
    </w:rPr>
  </w:style>
  <w:style w:type="character" w:styleId="Hyperlink">
    <w:name w:val="Hyperlink"/>
    <w:uiPriority w:val="99"/>
    <w:rsid w:val="003A3C26"/>
    <w:rPr>
      <w:color w:val="0000FF"/>
      <w:u w:val="single"/>
    </w:rPr>
  </w:style>
  <w:style w:type="character" w:styleId="PageNumber">
    <w:name w:val="page number"/>
    <w:basedOn w:val="DefaultParagraphFont"/>
    <w:rsid w:val="003A3C26"/>
  </w:style>
  <w:style w:type="table" w:styleId="TableGrid">
    <w:name w:val="Table Grid"/>
    <w:basedOn w:val="TableNormal"/>
    <w:uiPriority w:val="59"/>
    <w:rsid w:val="003A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A02"/>
    <w:rPr>
      <w:rFonts w:ascii="Tahoma" w:hAnsi="Tahoma" w:cs="Tahoma"/>
      <w:sz w:val="16"/>
      <w:szCs w:val="16"/>
    </w:rPr>
  </w:style>
  <w:style w:type="character" w:customStyle="1" w:styleId="BalloonTextChar">
    <w:name w:val="Balloon Text Char"/>
    <w:basedOn w:val="DefaultParagraphFont"/>
    <w:link w:val="BalloonText"/>
    <w:uiPriority w:val="99"/>
    <w:semiHidden/>
    <w:rsid w:val="001F1A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69B"/>
    <w:rPr>
      <w:sz w:val="16"/>
      <w:szCs w:val="16"/>
    </w:rPr>
  </w:style>
  <w:style w:type="paragraph" w:styleId="CommentText">
    <w:name w:val="annotation text"/>
    <w:basedOn w:val="Normal"/>
    <w:link w:val="CommentTextChar"/>
    <w:uiPriority w:val="99"/>
    <w:semiHidden/>
    <w:unhideWhenUsed/>
    <w:rsid w:val="000B769B"/>
    <w:rPr>
      <w:sz w:val="20"/>
    </w:rPr>
  </w:style>
  <w:style w:type="character" w:customStyle="1" w:styleId="CommentTextChar">
    <w:name w:val="Comment Text Char"/>
    <w:basedOn w:val="DefaultParagraphFont"/>
    <w:link w:val="CommentText"/>
    <w:uiPriority w:val="99"/>
    <w:semiHidden/>
    <w:rsid w:val="000B7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69B"/>
    <w:rPr>
      <w:b/>
      <w:bCs/>
    </w:rPr>
  </w:style>
  <w:style w:type="character" w:customStyle="1" w:styleId="CommentSubjectChar">
    <w:name w:val="Comment Subject Char"/>
    <w:basedOn w:val="CommentTextChar"/>
    <w:link w:val="CommentSubject"/>
    <w:uiPriority w:val="99"/>
    <w:semiHidden/>
    <w:rsid w:val="000B769B"/>
    <w:rPr>
      <w:rFonts w:ascii="Times New Roman" w:eastAsia="Times New Roman" w:hAnsi="Times New Roman" w:cs="Times New Roman"/>
      <w:b/>
      <w:bCs/>
      <w:sz w:val="20"/>
      <w:szCs w:val="20"/>
    </w:rPr>
  </w:style>
  <w:style w:type="paragraph" w:styleId="Revision">
    <w:name w:val="Revision"/>
    <w:hidden/>
    <w:uiPriority w:val="99"/>
    <w:semiHidden/>
    <w:rsid w:val="00ED029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7600">
      <w:bodyDiv w:val="1"/>
      <w:marLeft w:val="0"/>
      <w:marRight w:val="0"/>
      <w:marTop w:val="0"/>
      <w:marBottom w:val="0"/>
      <w:divBdr>
        <w:top w:val="none" w:sz="0" w:space="0" w:color="auto"/>
        <w:left w:val="none" w:sz="0" w:space="0" w:color="auto"/>
        <w:bottom w:val="none" w:sz="0" w:space="0" w:color="auto"/>
        <w:right w:val="none" w:sz="0" w:space="0" w:color="auto"/>
      </w:divBdr>
    </w:div>
    <w:div w:id="1824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nourse@aep.com"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mailto:jkyler@BKLlawfirm.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William.wright@puc.state.oh.us" TargetMode="External"/><Relationship Id="rId25" Type="http://schemas.openxmlformats.org/officeDocument/2006/relationships/hyperlink" Target="mailto:orourke@carpenterlipps.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mkurtz@BKLlawfirm.com"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jko@carpenterlipps.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wasieck@vorys.com"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dboehm@BKLlawfir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di.bair@occ.ohio.gov" TargetMode="External"/><Relationship Id="rId22" Type="http://schemas.openxmlformats.org/officeDocument/2006/relationships/hyperlink" Target="mailto:mjsettineri@vorys.com"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6890</Characters>
  <Application>Microsoft Office Word</Application>
  <DocSecurity>0</DocSecurity>
  <Lines>198</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2015-11-23T21:44:00Z</cp:lastPrinted>
  <dcterms:created xsi:type="dcterms:W3CDTF">2015-11-23T21:49:00Z</dcterms:created>
  <dcterms:modified xsi:type="dcterms:W3CDTF">2015-11-23T21:49:00Z</dcterms:modified>
  <cp:category> </cp:category>
  <cp:contentStatus> </cp:contentStatus>
</cp:coreProperties>
</file>