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31CA" w14:textId="77777777" w:rsidR="00925166" w:rsidRDefault="00925166" w:rsidP="009251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  <w:r>
        <w:rPr>
          <w:rFonts w:ascii="Times New Roman" w:hAnsi="Times New Roman" w:cs="Times New Roman"/>
          <w:b/>
        </w:rPr>
        <w:br/>
        <w:t>THE PUBLIC UTILITIES COMMISSION OF OHIO</w:t>
      </w:r>
    </w:p>
    <w:p w14:paraId="795DD01F" w14:textId="77777777" w:rsidR="00925166" w:rsidRDefault="00925166" w:rsidP="0092516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925166" w14:paraId="533D8E3D" w14:textId="77777777" w:rsidTr="001D3B52">
        <w:tc>
          <w:tcPr>
            <w:tcW w:w="4608" w:type="dxa"/>
          </w:tcPr>
          <w:p w14:paraId="1F0628E1" w14:textId="77777777" w:rsidR="00925166" w:rsidRDefault="00925166" w:rsidP="001D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Investigation of Dominion East Ohio Gas Company Relative to Its Compliance with the Natural Gas Pipeline Safety Standards and Related Matters.</w:t>
            </w:r>
          </w:p>
        </w:tc>
        <w:tc>
          <w:tcPr>
            <w:tcW w:w="360" w:type="dxa"/>
          </w:tcPr>
          <w:p w14:paraId="4A5AFDB4" w14:textId="77777777" w:rsidR="00925166" w:rsidRDefault="00925166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FC3C48D" w14:textId="77777777" w:rsidR="00925166" w:rsidRDefault="00925166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345806C0" w14:textId="77777777" w:rsidR="00925166" w:rsidRDefault="00925166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</w:p>
          <w:p w14:paraId="3007D010" w14:textId="77777777" w:rsidR="00925166" w:rsidRDefault="00925166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8" w:type="dxa"/>
          </w:tcPr>
          <w:p w14:paraId="36C5C743" w14:textId="77777777" w:rsidR="00925166" w:rsidRDefault="00925166" w:rsidP="001D3B52">
            <w:pPr>
              <w:ind w:firstLine="612"/>
              <w:rPr>
                <w:rFonts w:ascii="Times New Roman" w:hAnsi="Times New Roman" w:cs="Times New Roman"/>
              </w:rPr>
            </w:pPr>
          </w:p>
          <w:p w14:paraId="5C7A19D3" w14:textId="77777777" w:rsidR="00925166" w:rsidRDefault="00925166" w:rsidP="001D3B52">
            <w:pPr>
              <w:ind w:firstLine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12-380-GA-GPS</w:t>
            </w:r>
          </w:p>
        </w:tc>
      </w:tr>
    </w:tbl>
    <w:p w14:paraId="7B86AB26" w14:textId="77777777" w:rsidR="00E05C6A" w:rsidRDefault="00E05C6A" w:rsidP="00E05C6A">
      <w:pPr>
        <w:jc w:val="center"/>
        <w:rPr>
          <w:rFonts w:ascii="Times New Roman" w:hAnsi="Times New Roman" w:cs="Times New Roman"/>
        </w:rPr>
      </w:pPr>
    </w:p>
    <w:p w14:paraId="50529009" w14:textId="3CEE8F6E" w:rsidR="00A14F09" w:rsidRPr="00A14F09" w:rsidRDefault="00A6549C" w:rsidP="001D3B52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REPLY IN SUPPORT OF THE </w:t>
      </w:r>
      <w:r w:rsidR="00A14F09" w:rsidRPr="00A14F09">
        <w:rPr>
          <w:rFonts w:ascii="Times New Roman" w:hAnsi="Times New Roman" w:cs="Times New Roman"/>
          <w:b/>
        </w:rPr>
        <w:t xml:space="preserve">MOTION TO STAY DISCOVERY </w:t>
      </w:r>
    </w:p>
    <w:p w14:paraId="0A6C95D8" w14:textId="77777777" w:rsidR="001D3B52" w:rsidRPr="00171495" w:rsidRDefault="00A14F09" w:rsidP="001D3B52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OF THE EAST OHIO GAS COMPANY D/B/A DOMINION EAST OHIO</w:t>
      </w:r>
    </w:p>
    <w:p w14:paraId="02BD3A84" w14:textId="77777777" w:rsidR="001D3B52" w:rsidRDefault="001D3B52" w:rsidP="001D3B52">
      <w:pPr>
        <w:jc w:val="center"/>
        <w:outlineLvl w:val="0"/>
        <w:rPr>
          <w:rFonts w:ascii="Times New Roman" w:hAnsi="Times New Roman" w:cs="Times New Roman"/>
          <w:b/>
        </w:rPr>
      </w:pPr>
    </w:p>
    <w:p w14:paraId="307A9286" w14:textId="77777777" w:rsidR="00873852" w:rsidRDefault="00873852" w:rsidP="00873852">
      <w:pPr>
        <w:pStyle w:val="MemoHeading1"/>
      </w:pPr>
      <w:r>
        <w:t>Introduction</w:t>
      </w:r>
    </w:p>
    <w:p w14:paraId="27013CAA" w14:textId="3FB33CD6" w:rsidR="00A6549C" w:rsidRPr="00A6549C" w:rsidRDefault="00A6549C" w:rsidP="00A6549C">
      <w:pPr>
        <w:pStyle w:val="MemoBodyText"/>
      </w:pPr>
      <w:r>
        <w:t xml:space="preserve">On March 23, 2012, </w:t>
      </w:r>
      <w:r w:rsidR="00FD3BD0">
        <w:t>T</w:t>
      </w:r>
      <w:r>
        <w:t xml:space="preserve">he East Ohio Gas Company d/b/a Dominion East Ohio (“DEO”) filed a motion to stay discovery that had been submitted by the Office of the Ohio Consumers’ Counsel (“OCC”).  OCC filed a memorandum contra DEO’s motion on April 9, 2012.  </w:t>
      </w:r>
      <w:proofErr w:type="gramStart"/>
      <w:r>
        <w:t>As permitted by Ohio Admin.</w:t>
      </w:r>
      <w:proofErr w:type="gramEnd"/>
      <w:r>
        <w:t xml:space="preserve"> Code 4901-1-12(B)(2), DEO </w:t>
      </w:r>
      <w:r w:rsidR="004C705C">
        <w:t>now</w:t>
      </w:r>
      <w:r>
        <w:t xml:space="preserve"> files its reply memorandum.</w:t>
      </w:r>
    </w:p>
    <w:p w14:paraId="7D1F9FB9" w14:textId="77777777" w:rsidR="00873852" w:rsidRDefault="00873852" w:rsidP="00873852">
      <w:pPr>
        <w:pStyle w:val="MemoHeading1"/>
      </w:pPr>
      <w:r>
        <w:t>ARGUMENT</w:t>
      </w:r>
    </w:p>
    <w:p w14:paraId="5D89B52A" w14:textId="5A31A586" w:rsidR="00B6791D" w:rsidRDefault="00A6549C" w:rsidP="00A6549C">
      <w:pPr>
        <w:pStyle w:val="MemoBodyText"/>
      </w:pPr>
      <w:r>
        <w:t xml:space="preserve">DEO </w:t>
      </w:r>
      <w:r w:rsidR="00B6791D">
        <w:t xml:space="preserve">argued </w:t>
      </w:r>
      <w:r>
        <w:t>in support of its motion</w:t>
      </w:r>
      <w:r w:rsidR="00D325F8">
        <w:t xml:space="preserve"> that it </w:t>
      </w:r>
      <w:r>
        <w:t xml:space="preserve">should not be required to answer discovery </w:t>
      </w:r>
      <w:r w:rsidR="00B6791D">
        <w:t>in the circumstances present here</w:t>
      </w:r>
      <w:r w:rsidR="004C705C">
        <w:t>.</w:t>
      </w:r>
      <w:r>
        <w:t xml:space="preserve"> </w:t>
      </w:r>
      <w:r w:rsidR="004C705C">
        <w:t xml:space="preserve"> </w:t>
      </w:r>
      <w:r>
        <w:t>OCC’s motion to inte</w:t>
      </w:r>
      <w:r w:rsidR="004C705C">
        <w:t xml:space="preserve">rvene is opposed and unresolved. </w:t>
      </w:r>
      <w:r w:rsidR="00C50031">
        <w:t xml:space="preserve"> And even if it is allowed to intervene, what role it should play in this case is entirely unclear.  </w:t>
      </w:r>
      <w:r w:rsidR="00D325F8">
        <w:t xml:space="preserve">Historically, it </w:t>
      </w:r>
      <w:r w:rsidR="004C705C">
        <w:t xml:space="preserve">has </w:t>
      </w:r>
      <w:r w:rsidR="00C50031">
        <w:t xml:space="preserve">played </w:t>
      </w:r>
      <w:r w:rsidR="004C705C">
        <w:t>no</w:t>
      </w:r>
      <w:r w:rsidR="00B6791D">
        <w:t xml:space="preserve"> </w:t>
      </w:r>
      <w:r w:rsidR="00C50031">
        <w:t xml:space="preserve">part </w:t>
      </w:r>
      <w:r>
        <w:t>in gas-pipeline-safety case</w:t>
      </w:r>
      <w:r w:rsidR="00C50031">
        <w:t>s,</w:t>
      </w:r>
      <w:r w:rsidR="004C705C">
        <w:t xml:space="preserve"> </w:t>
      </w:r>
      <w:r w:rsidR="00C50031">
        <w:t xml:space="preserve">and </w:t>
      </w:r>
      <w:proofErr w:type="gramStart"/>
      <w:r w:rsidR="004C705C">
        <w:t xml:space="preserve">the </w:t>
      </w:r>
      <w:r w:rsidR="00C50031">
        <w:t xml:space="preserve">part </w:t>
      </w:r>
      <w:r w:rsidR="004C705C">
        <w:t>it apparently seeks to play is already filled by Staff</w:t>
      </w:r>
      <w:proofErr w:type="gramEnd"/>
      <w:r w:rsidR="004C705C">
        <w:t>.</w:t>
      </w:r>
      <w:r w:rsidR="00C50031">
        <w:t xml:space="preserve">  </w:t>
      </w:r>
      <w:r w:rsidR="004C705C">
        <w:t xml:space="preserve">For those reasons, answering discovery at this time could substantially prejudice DEO—the discovery might be needless (if OCC is denied intervention) or improper (if it does not correspond with </w:t>
      </w:r>
      <w:r w:rsidR="00D325F8">
        <w:t xml:space="preserve">whatever </w:t>
      </w:r>
      <w:r w:rsidR="004C705C">
        <w:t xml:space="preserve">role OCC is allowed to play, if any).  In contrast, </w:t>
      </w:r>
      <w:proofErr w:type="gramStart"/>
      <w:r w:rsidR="004C705C">
        <w:t xml:space="preserve">OCC </w:t>
      </w:r>
      <w:r w:rsidR="00B6791D">
        <w:t>will not be harmed by a stay</w:t>
      </w:r>
      <w:proofErr w:type="gramEnd"/>
      <w:r w:rsidR="004C705C">
        <w:t xml:space="preserve">—if it </w:t>
      </w:r>
      <w:r w:rsidR="00FD3BD0">
        <w:t xml:space="preserve">is </w:t>
      </w:r>
      <w:r w:rsidR="004C705C">
        <w:t>allowed to intervene, and if its role in the case includes the taking of discovery, OCC will then have whatever opportunity the Commission allows</w:t>
      </w:r>
      <w:r w:rsidR="00B6791D">
        <w:t xml:space="preserve">. </w:t>
      </w:r>
      <w:r w:rsidR="00D325F8">
        <w:t xml:space="preserve"> OCC rebuts</w:t>
      </w:r>
      <w:r w:rsidR="004C705C">
        <w:t xml:space="preserve"> none of these points </w:t>
      </w:r>
      <w:r w:rsidR="00B6791D">
        <w:t>in its memorandum contra.</w:t>
      </w:r>
    </w:p>
    <w:p w14:paraId="4CCB9373" w14:textId="7E820360" w:rsidR="00F14B30" w:rsidRDefault="004C705C" w:rsidP="00A6549C">
      <w:pPr>
        <w:pStyle w:val="MemoBodyText"/>
      </w:pPr>
      <w:r>
        <w:lastRenderedPageBreak/>
        <w:t xml:space="preserve">The points that OCC </w:t>
      </w:r>
      <w:r w:rsidR="00D325F8">
        <w:t xml:space="preserve">does </w:t>
      </w:r>
      <w:r>
        <w:t xml:space="preserve">make do not warrant denying DEO’s motion.  </w:t>
      </w:r>
      <w:r w:rsidR="00F14B30">
        <w:t xml:space="preserve">OCC </w:t>
      </w:r>
      <w:r>
        <w:t>notes</w:t>
      </w:r>
      <w:r w:rsidR="00F14B30">
        <w:t xml:space="preserve"> </w:t>
      </w:r>
      <w:r w:rsidR="00B6791D">
        <w:t>that Rule 4901-1-17(A) allows discovery to begin after a proceeding is commenced.</w:t>
      </w:r>
      <w:r w:rsidR="00F14B30">
        <w:t xml:space="preserve">  (OCC Memo. Contra 3–4.)</w:t>
      </w:r>
      <w:r w:rsidR="00B6791D">
        <w:t xml:space="preserve">  That is true, but it is also true that the Commission may stay discovery.  </w:t>
      </w:r>
      <w:r w:rsidR="00A058DC">
        <w:rPr>
          <w:i/>
        </w:rPr>
        <w:t>See, e.g.</w:t>
      </w:r>
      <w:r w:rsidR="00A058DC">
        <w:t>,</w:t>
      </w:r>
      <w:r w:rsidR="00A058DC">
        <w:rPr>
          <w:i/>
        </w:rPr>
        <w:t xml:space="preserve"> </w:t>
      </w:r>
      <w:r w:rsidR="00A058DC">
        <w:t>Case No. 05-732-EL-MER,</w:t>
      </w:r>
      <w:r w:rsidR="00A058DC" w:rsidRPr="0005788F">
        <w:t xml:space="preserve"> </w:t>
      </w:r>
      <w:r w:rsidR="00A058DC">
        <w:t>Entry 3</w:t>
      </w:r>
      <w:r w:rsidR="00A058DC" w:rsidRPr="007B5D5C">
        <w:t xml:space="preserve"> </w:t>
      </w:r>
      <w:r w:rsidR="00A058DC">
        <w:t xml:space="preserve">(June 14, </w:t>
      </w:r>
      <w:r w:rsidR="00A058DC" w:rsidRPr="007B5D5C">
        <w:t>2005</w:t>
      </w:r>
      <w:r w:rsidR="00A058DC">
        <w:t>) (staying discovery until scope and nature of</w:t>
      </w:r>
      <w:r>
        <w:t xml:space="preserve"> further review is established).  </w:t>
      </w:r>
      <w:r w:rsidR="00A058DC">
        <w:t>“</w:t>
      </w:r>
      <w:r w:rsidR="00A058DC" w:rsidRPr="00A058DC">
        <w:t xml:space="preserve">The commission may, </w:t>
      </w:r>
      <w:r w:rsidR="00C50031">
        <w:t xml:space="preserve">. . . </w:t>
      </w:r>
      <w:r w:rsidR="00A058DC" w:rsidRPr="00A058DC">
        <w:t>for good cause shown, waive any requirement, standard, or rule set forth in this chapter</w:t>
      </w:r>
      <w:r>
        <w:t>,” Ohio Admin. Code 4901-1-38(B), and DEO provided good cause for stay</w:t>
      </w:r>
      <w:r w:rsidR="00D325F8">
        <w:t>ing discovery</w:t>
      </w:r>
      <w:r>
        <w:t xml:space="preserve"> in support of its motion</w:t>
      </w:r>
      <w:r w:rsidR="00A058DC">
        <w:t xml:space="preserve">.  </w:t>
      </w:r>
      <w:r w:rsidR="00B6791D">
        <w:t>So simply citing the basic discovery rule</w:t>
      </w:r>
      <w:r>
        <w:t>, as OCC</w:t>
      </w:r>
      <w:r w:rsidR="00B6791D">
        <w:t xml:space="preserve"> does</w:t>
      </w:r>
      <w:r>
        <w:t xml:space="preserve">, </w:t>
      </w:r>
      <w:r w:rsidR="00C50031">
        <w:t xml:space="preserve">in no way </w:t>
      </w:r>
      <w:r w:rsidR="00B6791D">
        <w:t>address</w:t>
      </w:r>
      <w:r w:rsidR="00C50031">
        <w:t>es</w:t>
      </w:r>
      <w:r w:rsidR="00B6791D">
        <w:t xml:space="preserve"> the pertinent question—whether a stay is appropriate in these circumstances.</w:t>
      </w:r>
    </w:p>
    <w:p w14:paraId="5840DFE8" w14:textId="270D3999" w:rsidR="00F14B30" w:rsidRPr="00F14B30" w:rsidRDefault="00F14B30" w:rsidP="00F14B30">
      <w:pPr>
        <w:pStyle w:val="MemoBodyText"/>
      </w:pPr>
      <w:r>
        <w:t>On that score, OCC’s only argument is that staying discovery “</w:t>
      </w:r>
      <w:r w:rsidRPr="00F14B30">
        <w:t>would prevent OCC from using the current time to obtain the additional information needed to present its case at whatever time the PUCO establishes a procedural schedule</w:t>
      </w:r>
      <w:r>
        <w:t xml:space="preserve">.”  (OCC Memo. Contra 3.)  But </w:t>
      </w:r>
      <w:r w:rsidR="004C705C">
        <w:t xml:space="preserve">again, </w:t>
      </w:r>
      <w:r>
        <w:t xml:space="preserve">this </w:t>
      </w:r>
      <w:r w:rsidR="004C705C">
        <w:t>glosses</w:t>
      </w:r>
      <w:r>
        <w:t xml:space="preserve"> over the problem</w:t>
      </w:r>
      <w:r w:rsidR="004C705C">
        <w:t xml:space="preserve"> identified by DEO</w:t>
      </w:r>
      <w:r>
        <w:t>: it is unclear what OCC’s role should be in this case and hence what kind of case</w:t>
      </w:r>
      <w:r w:rsidR="004C705C">
        <w:t xml:space="preserve"> </w:t>
      </w:r>
      <w:r w:rsidR="00C50031">
        <w:t>(</w:t>
      </w:r>
      <w:r w:rsidR="004C705C">
        <w:t>if any</w:t>
      </w:r>
      <w:r w:rsidR="00C50031">
        <w:t>)</w:t>
      </w:r>
      <w:r>
        <w:t xml:space="preserve"> it may investigate and present.  As DEO explained in</w:t>
      </w:r>
      <w:r w:rsidR="00B76E63">
        <w:t xml:space="preserve"> support of</w:t>
      </w:r>
      <w:r>
        <w:t xml:space="preserve"> its motion, it is Staff’s role to investigate and present evidence</w:t>
      </w:r>
      <w:r w:rsidR="00707A4D">
        <w:t xml:space="preserve"> in this case</w:t>
      </w:r>
      <w:r>
        <w:t>,</w:t>
      </w:r>
      <w:r w:rsidR="00707A4D">
        <w:t xml:space="preserve"> </w:t>
      </w:r>
      <w:r w:rsidR="00707A4D">
        <w:rPr>
          <w:i/>
        </w:rPr>
        <w:t xml:space="preserve">see </w:t>
      </w:r>
      <w:r w:rsidR="00707A4D">
        <w:t xml:space="preserve">Ohio Admin. Code </w:t>
      </w:r>
      <w:r w:rsidR="00707A4D" w:rsidRPr="00707A4D">
        <w:t>4901:1-16-02(E)</w:t>
      </w:r>
      <w:r w:rsidR="00707A4D">
        <w:t>,</w:t>
      </w:r>
      <w:r>
        <w:t xml:space="preserve"> and </w:t>
      </w:r>
      <w:r w:rsidR="00707A4D">
        <w:t xml:space="preserve">if OCC </w:t>
      </w:r>
      <w:r w:rsidR="00707A4D" w:rsidRPr="00707A4D">
        <w:rPr>
          <w:i/>
        </w:rPr>
        <w:t>is</w:t>
      </w:r>
      <w:r w:rsidR="00707A4D">
        <w:t xml:space="preserve"> allowed to intervene, its role should </w:t>
      </w:r>
      <w:r w:rsidR="00707A4D">
        <w:rPr>
          <w:i/>
        </w:rPr>
        <w:t>not</w:t>
      </w:r>
      <w:r w:rsidR="00707A4D">
        <w:t xml:space="preserve"> be to duplicate Staff</w:t>
      </w:r>
      <w:r w:rsidR="004C705C">
        <w:t>’s role</w:t>
      </w:r>
      <w:r w:rsidR="00707A4D">
        <w:t>.</w:t>
      </w:r>
      <w:r>
        <w:t xml:space="preserve">  </w:t>
      </w:r>
      <w:r w:rsidR="00707A4D">
        <w:t>(</w:t>
      </w:r>
      <w:r w:rsidR="00707A4D" w:rsidRPr="00B76E63">
        <w:rPr>
          <w:i/>
        </w:rPr>
        <w:t>See</w:t>
      </w:r>
      <w:r w:rsidR="00707A4D">
        <w:t xml:space="preserve"> </w:t>
      </w:r>
      <w:r w:rsidR="00C50031">
        <w:t xml:space="preserve">DEO </w:t>
      </w:r>
      <w:r w:rsidR="00707A4D">
        <w:t xml:space="preserve">Memo. in Support of Mot. to Stay 4–5.) </w:t>
      </w:r>
      <w:r w:rsidR="004C705C">
        <w:t xml:space="preserve"> </w:t>
      </w:r>
      <w:r>
        <w:t xml:space="preserve">So the issue is not so simple as allowing OCC to gather information </w:t>
      </w:r>
      <w:r w:rsidR="00C50031">
        <w:t xml:space="preserve">to present its case, </w:t>
      </w:r>
      <w:r>
        <w:t xml:space="preserve">as may be </w:t>
      </w:r>
      <w:r w:rsidR="00707A4D">
        <w:t xml:space="preserve">the case in other </w:t>
      </w:r>
      <w:r>
        <w:t>proceeding</w:t>
      </w:r>
      <w:r w:rsidR="00707A4D">
        <w:t>s</w:t>
      </w:r>
      <w:r w:rsidR="00867DB5">
        <w:t xml:space="preserve"> where the role of the parties is clear</w:t>
      </w:r>
      <w:r>
        <w:t xml:space="preserve">.  </w:t>
      </w:r>
      <w:r w:rsidR="00C50031">
        <w:t xml:space="preserve">Until OCC’s role in this case has been defined, DEO should not be required to answer discovery.  </w:t>
      </w:r>
    </w:p>
    <w:p w14:paraId="1B192BE2" w14:textId="2BA43610" w:rsidR="00707A4D" w:rsidRDefault="00707A4D" w:rsidP="00A6549C">
      <w:pPr>
        <w:pStyle w:val="MemoBodyText"/>
      </w:pPr>
      <w:r>
        <w:t xml:space="preserve">OCC </w:t>
      </w:r>
      <w:r w:rsidR="00C50031">
        <w:t xml:space="preserve">also </w:t>
      </w:r>
      <w:r>
        <w:t xml:space="preserve">cites two orders in support of its position.  The first is plainly inapposite—the Commission’s recent rejection of the American Electric Power companies’ electric security plan has nothing to do with </w:t>
      </w:r>
      <w:r w:rsidR="00685B49">
        <w:t>the issue here</w:t>
      </w:r>
      <w:r>
        <w:t>.  (</w:t>
      </w:r>
      <w:r>
        <w:rPr>
          <w:i/>
        </w:rPr>
        <w:t>See</w:t>
      </w:r>
      <w:r>
        <w:t xml:space="preserve"> OCC Memo. Contra 4.) </w:t>
      </w:r>
      <w:r w:rsidR="00D325F8">
        <w:t xml:space="preserve"> </w:t>
      </w:r>
      <w:r w:rsidR="00C50031">
        <w:t>And the proposition for which the AEP order is cited—</w:t>
      </w:r>
      <w:r w:rsidR="00D325F8">
        <w:t>“[</w:t>
      </w:r>
      <w:proofErr w:type="gramStart"/>
      <w:r w:rsidR="00D325F8">
        <w:t>i]nformation</w:t>
      </w:r>
      <w:proofErr w:type="gramEnd"/>
      <w:r w:rsidR="00D325F8">
        <w:t xml:space="preserve"> is key for Commission decision-making”</w:t>
      </w:r>
      <w:r w:rsidR="00C50031">
        <w:t>—is so general that it is pointless</w:t>
      </w:r>
      <w:r w:rsidR="00D325F8">
        <w:t>.</w:t>
      </w:r>
      <w:r w:rsidR="007120B3">
        <w:t xml:space="preserve">  (</w:t>
      </w:r>
      <w:r w:rsidR="007120B3">
        <w:rPr>
          <w:i/>
        </w:rPr>
        <w:t>Id</w:t>
      </w:r>
      <w:r w:rsidR="007120B3">
        <w:t>.)</w:t>
      </w:r>
    </w:p>
    <w:p w14:paraId="69F5841B" w14:textId="3B6171AC" w:rsidR="00873852" w:rsidRDefault="00707A4D" w:rsidP="00867DB5">
      <w:pPr>
        <w:pStyle w:val="MemoBodyText"/>
      </w:pPr>
      <w:r>
        <w:t xml:space="preserve">The second </w:t>
      </w:r>
      <w:r w:rsidR="00C50031">
        <w:t xml:space="preserve">order </w:t>
      </w:r>
      <w:r w:rsidR="00D325F8">
        <w:t xml:space="preserve">cited by OCC </w:t>
      </w:r>
      <w:r>
        <w:t xml:space="preserve">at least involved a motion to stay discovery, but it is not on point either.  OCC </w:t>
      </w:r>
      <w:r w:rsidR="00C50031">
        <w:t xml:space="preserve">cites an </w:t>
      </w:r>
      <w:r>
        <w:t xml:space="preserve">order in Columbia Gas of Ohio’s capital-expenditure case denying a motion to stay discovery. </w:t>
      </w:r>
      <w:r w:rsidR="00357428">
        <w:t xml:space="preserve"> (</w:t>
      </w:r>
      <w:r w:rsidR="00357428">
        <w:rPr>
          <w:i/>
        </w:rPr>
        <w:t xml:space="preserve">See </w:t>
      </w:r>
      <w:r w:rsidR="00357428">
        <w:t xml:space="preserve">OCC Memo Contra 5.)  </w:t>
      </w:r>
      <w:r w:rsidR="00867DB5">
        <w:t>OCC argues that this entry shows that discovery may proceed “</w:t>
      </w:r>
      <w:r w:rsidR="00867DB5" w:rsidRPr="00867DB5">
        <w:t>where the Commission has not formally determined what process may be necessary.</w:t>
      </w:r>
      <w:r w:rsidR="00867DB5">
        <w:t>”  (</w:t>
      </w:r>
      <w:r w:rsidR="00867DB5">
        <w:rPr>
          <w:i/>
        </w:rPr>
        <w:t>Id</w:t>
      </w:r>
      <w:r w:rsidR="00867DB5">
        <w:t xml:space="preserve">.)  But even accepting OCC’s characterization of that entry, that is not the issue </w:t>
      </w:r>
      <w:proofErr w:type="gramStart"/>
      <w:r w:rsidR="00867DB5">
        <w:t>raised</w:t>
      </w:r>
      <w:proofErr w:type="gramEnd"/>
      <w:r w:rsidR="00867DB5">
        <w:t xml:space="preserve"> by DEO.  The </w:t>
      </w:r>
      <w:r w:rsidR="00B76E63">
        <w:t xml:space="preserve">problem </w:t>
      </w:r>
      <w:r w:rsidR="00867DB5">
        <w:t xml:space="preserve">is </w:t>
      </w:r>
      <w:r w:rsidR="00685B49">
        <w:t xml:space="preserve">not simply that </w:t>
      </w:r>
      <w:r w:rsidR="00685B49" w:rsidRPr="00C50031">
        <w:rPr>
          <w:i/>
        </w:rPr>
        <w:t xml:space="preserve">the </w:t>
      </w:r>
      <w:r w:rsidR="00D325F8" w:rsidRPr="00C50031">
        <w:rPr>
          <w:i/>
        </w:rPr>
        <w:t xml:space="preserve">process </w:t>
      </w:r>
      <w:r w:rsidR="00D325F8">
        <w:t>has not been formalized</w:t>
      </w:r>
      <w:r w:rsidR="00685B49">
        <w:t xml:space="preserve"> </w:t>
      </w:r>
      <w:r w:rsidR="00D325F8">
        <w:t>(</w:t>
      </w:r>
      <w:r w:rsidR="00685B49">
        <w:t>though that is</w:t>
      </w:r>
      <w:r w:rsidR="00D325F8">
        <w:t xml:space="preserve"> </w:t>
      </w:r>
      <w:r w:rsidR="00B76E63">
        <w:t xml:space="preserve">also </w:t>
      </w:r>
      <w:r w:rsidR="00D325F8">
        <w:t>true</w:t>
      </w:r>
      <w:r w:rsidR="00B76E63">
        <w:t xml:space="preserve"> here</w:t>
      </w:r>
      <w:r w:rsidR="00D325F8">
        <w:t>)</w:t>
      </w:r>
      <w:r w:rsidR="00685B49">
        <w:t xml:space="preserve">, but </w:t>
      </w:r>
      <w:r w:rsidR="00867DB5">
        <w:t xml:space="preserve">that </w:t>
      </w:r>
      <w:r w:rsidR="00C50031" w:rsidRPr="00C50031">
        <w:rPr>
          <w:i/>
        </w:rPr>
        <w:t xml:space="preserve">the </w:t>
      </w:r>
      <w:r w:rsidR="00867DB5" w:rsidRPr="00C50031">
        <w:rPr>
          <w:i/>
        </w:rPr>
        <w:t xml:space="preserve">status and role </w:t>
      </w:r>
      <w:r w:rsidR="00C50031" w:rsidRPr="00C50031">
        <w:rPr>
          <w:i/>
        </w:rPr>
        <w:t xml:space="preserve">of the </w:t>
      </w:r>
      <w:proofErr w:type="gramStart"/>
      <w:r w:rsidR="00C50031">
        <w:rPr>
          <w:i/>
        </w:rPr>
        <w:t xml:space="preserve">person </w:t>
      </w:r>
      <w:r w:rsidR="00C50031" w:rsidRPr="00C50031">
        <w:rPr>
          <w:i/>
        </w:rPr>
        <w:t>seeking</w:t>
      </w:r>
      <w:proofErr w:type="gramEnd"/>
      <w:r w:rsidR="00C50031" w:rsidRPr="00C50031">
        <w:rPr>
          <w:i/>
        </w:rPr>
        <w:t xml:space="preserve"> discovery </w:t>
      </w:r>
      <w:r w:rsidR="00C50031">
        <w:t>are both up in the air</w:t>
      </w:r>
      <w:r w:rsidR="00685B49">
        <w:t xml:space="preserve">. </w:t>
      </w:r>
      <w:r w:rsidR="00D325F8">
        <w:t xml:space="preserve"> </w:t>
      </w:r>
      <w:r w:rsidR="00685B49">
        <w:t xml:space="preserve">It is the lack of resolution of those issues that </w:t>
      </w:r>
      <w:r w:rsidR="00A126B4">
        <w:t xml:space="preserve">makes it impossible to know whether </w:t>
      </w:r>
      <w:r w:rsidR="00685B49">
        <w:t xml:space="preserve">OCC’s </w:t>
      </w:r>
      <w:r w:rsidR="00A126B4">
        <w:t>disc</w:t>
      </w:r>
      <w:r w:rsidR="00685B49">
        <w:t>overy is proper.  And to that point—which is the crux of DEO’s argument—</w:t>
      </w:r>
      <w:r w:rsidR="00A126B4">
        <w:t xml:space="preserve">OCC </w:t>
      </w:r>
      <w:r w:rsidR="00B76E63">
        <w:t xml:space="preserve">offers </w:t>
      </w:r>
      <w:r w:rsidR="00A126B4">
        <w:t xml:space="preserve">no response.  </w:t>
      </w:r>
    </w:p>
    <w:p w14:paraId="12E5F40F" w14:textId="563A87F9" w:rsidR="007120B3" w:rsidRDefault="007120B3" w:rsidP="00B71CAF">
      <w:pPr>
        <w:pStyle w:val="MemoBodyText"/>
      </w:pPr>
      <w:r>
        <w:t xml:space="preserve">OCC does not </w:t>
      </w:r>
      <w:r w:rsidR="00A718E1">
        <w:t>offer a substantial response</w:t>
      </w:r>
      <w:r>
        <w:t xml:space="preserve"> to DEO’s position, but it does call names,</w:t>
      </w:r>
      <w:r w:rsidR="00A718E1">
        <w:t xml:space="preserve"> twice</w:t>
      </w:r>
      <w:r>
        <w:t xml:space="preserve"> referring to DEO as “Litigious Dominion.”  (OCC Memo. Contra </w:t>
      </w:r>
      <w:r w:rsidR="00B71CAF">
        <w:t>3 &amp; 6.</w:t>
      </w:r>
      <w:r>
        <w:t>)</w:t>
      </w:r>
      <w:r w:rsidR="00B46B2F">
        <w:t xml:space="preserve">  This is ironic at several levels, not least given that it comes </w:t>
      </w:r>
      <w:r w:rsidR="00B71CAF">
        <w:t xml:space="preserve">from an entity that has injected itself into a case where it does not belong, both to duplicate an investigation already completed and to expand the proceeding to encompass irrelevancies.  </w:t>
      </w:r>
      <w:r w:rsidR="00B71CAF">
        <w:rPr>
          <w:i/>
        </w:rPr>
        <w:t>See also</w:t>
      </w:r>
      <w:r w:rsidR="00A718E1">
        <w:rPr>
          <w:i/>
        </w:rPr>
        <w:t>, e.g.</w:t>
      </w:r>
      <w:r w:rsidR="00A718E1" w:rsidRPr="00A718E1">
        <w:t>,</w:t>
      </w:r>
      <w:r w:rsidR="00B71CAF">
        <w:rPr>
          <w:i/>
        </w:rPr>
        <w:t xml:space="preserve"> </w:t>
      </w:r>
      <w:r w:rsidR="00B71CAF" w:rsidRPr="00B71CAF">
        <w:rPr>
          <w:i/>
        </w:rPr>
        <w:t>Ohio Consumers’ Counsel v. Pub. Util. Comm.</w:t>
      </w:r>
      <w:proofErr w:type="gramStart"/>
      <w:r w:rsidR="00B71CAF" w:rsidRPr="00B71CAF">
        <w:t>, </w:t>
      </w:r>
      <w:proofErr w:type="gramEnd"/>
      <w:r w:rsidR="00B71CAF" w:rsidRPr="00B71CAF">
        <w:t>127 Ohio St.3d 524</w:t>
      </w:r>
      <w:r w:rsidR="00B71CAF">
        <w:t xml:space="preserve">, 532 (2010) (Pfeiffer, J., concurring) </w:t>
      </w:r>
      <w:r w:rsidR="00B71CAF" w:rsidRPr="00B71CAF">
        <w:t>(</w:t>
      </w:r>
      <w:r w:rsidR="00B71CAF">
        <w:t>“</w:t>
      </w:r>
      <w:r w:rsidR="00A718E1" w:rsidRPr="00A718E1">
        <w:t>Again</w:t>
      </w:r>
      <w:r w:rsidR="00FD3BD0">
        <w:t>, the Ohio Consumers’ Counsel (‘</w:t>
      </w:r>
      <w:r w:rsidR="00A718E1" w:rsidRPr="00A718E1">
        <w:t>OCC</w:t>
      </w:r>
      <w:r w:rsidR="00FD3BD0">
        <w:t>’</w:t>
      </w:r>
      <w:r w:rsidR="00A718E1" w:rsidRPr="00A718E1">
        <w:t>) has</w:t>
      </w:r>
      <w:r w:rsidR="00A718E1">
        <w:t xml:space="preserve"> unsuccessfully challenged PUCO’</w:t>
      </w:r>
      <w:r w:rsidR="00A718E1" w:rsidRPr="00A718E1">
        <w:t xml:space="preserve">s approval of a Straight Fixed Variable rate design. </w:t>
      </w:r>
      <w:r w:rsidR="00A718E1">
        <w:t xml:space="preserve"> </w:t>
      </w:r>
      <w:r w:rsidR="00B71CAF" w:rsidRPr="00B71CAF">
        <w:t>The OCC’s office continues to tilt at windmills, when</w:t>
      </w:r>
      <w:r w:rsidR="00B71CAF">
        <w:t xml:space="preserve"> </w:t>
      </w:r>
      <w:r w:rsidR="00B71CAF" w:rsidRPr="00B71CAF">
        <w:t>it could instead be engaging in a practical way to help Ohioans contain their energy costs</w:t>
      </w:r>
      <w:r w:rsidR="00B71CAF">
        <w:t>”</w:t>
      </w:r>
      <w:r w:rsidR="00B71CAF" w:rsidRPr="00B71CAF">
        <w:t xml:space="preserve">).  </w:t>
      </w:r>
      <w:r w:rsidR="00B71CAF">
        <w:t xml:space="preserve">Such </w:t>
      </w:r>
      <w:r w:rsidR="00265AC1">
        <w:t>derision</w:t>
      </w:r>
      <w:r w:rsidR="00B71CAF">
        <w:t xml:space="preserve"> </w:t>
      </w:r>
      <w:r w:rsidR="00A718E1">
        <w:t>is telling</w:t>
      </w:r>
      <w:r w:rsidR="00B71CAF">
        <w:t xml:space="preserve">—if DEO’s motion were so insubstantial as to constitute litigiousness, then one would expect a </w:t>
      </w:r>
      <w:r w:rsidR="00A718E1">
        <w:t xml:space="preserve">reasoned </w:t>
      </w:r>
      <w:r w:rsidR="00B71CAF">
        <w:t xml:space="preserve">rebuttal, not </w:t>
      </w:r>
      <w:r w:rsidR="00A718E1">
        <w:t xml:space="preserve">grasping rhetoric. </w:t>
      </w:r>
    </w:p>
    <w:p w14:paraId="0AD9EF75" w14:textId="6E69E177" w:rsidR="008E391F" w:rsidRDefault="00D325F8" w:rsidP="008E391F">
      <w:pPr>
        <w:pStyle w:val="MemoBodyText"/>
      </w:pPr>
      <w:r>
        <w:t xml:space="preserve">To recap, </w:t>
      </w:r>
      <w:r w:rsidR="00A126B4">
        <w:t>DEO</w:t>
      </w:r>
      <w:r w:rsidR="00867DB5">
        <w:t xml:space="preserve"> is faced with a substantial amount of discovery requests, but it </w:t>
      </w:r>
      <w:r w:rsidR="008E391F">
        <w:t xml:space="preserve">does not know whether </w:t>
      </w:r>
      <w:r w:rsidR="00867DB5">
        <w:t xml:space="preserve">the person who served that discovery </w:t>
      </w:r>
      <w:r w:rsidR="008E391F">
        <w:t>will be allowed to participate in this case</w:t>
      </w:r>
      <w:r w:rsidR="00171495">
        <w:t xml:space="preserve"> or</w:t>
      </w:r>
      <w:r w:rsidR="00415465">
        <w:t>, if it is,</w:t>
      </w:r>
      <w:r w:rsidR="00171495">
        <w:t xml:space="preserve"> </w:t>
      </w:r>
      <w:r w:rsidR="00415465">
        <w:t xml:space="preserve">what its role will be and </w:t>
      </w:r>
      <w:r w:rsidR="00171495">
        <w:t xml:space="preserve">whether </w:t>
      </w:r>
      <w:r w:rsidR="00415465">
        <w:t xml:space="preserve">that role will entail the taking of </w:t>
      </w:r>
      <w:r w:rsidR="00171495">
        <w:t>discovery</w:t>
      </w:r>
      <w:r w:rsidR="008E391F">
        <w:t>.</w:t>
      </w:r>
      <w:r w:rsidR="00685B49">
        <w:t xml:space="preserve">  Staying discovery will protect DEO from possible waste and prejudice, while </w:t>
      </w:r>
      <w:r>
        <w:t xml:space="preserve">preserving for </w:t>
      </w:r>
      <w:r w:rsidR="00685B49">
        <w:t>OCC whatever opportunity for discovery the Commission sees fit to allow.</w:t>
      </w:r>
    </w:p>
    <w:p w14:paraId="65C41858" w14:textId="77777777" w:rsidR="00033F71" w:rsidRDefault="00033F71" w:rsidP="00033F71">
      <w:pPr>
        <w:pStyle w:val="MemoHeading1"/>
      </w:pPr>
      <w:r>
        <w:t>Conclusion</w:t>
      </w:r>
    </w:p>
    <w:p w14:paraId="687A5347" w14:textId="6C3F3B75" w:rsidR="00ED2B33" w:rsidRDefault="00033F71" w:rsidP="00D325F8">
      <w:pPr>
        <w:pStyle w:val="MemoBodyText"/>
      </w:pPr>
      <w:r>
        <w:t xml:space="preserve">For the foregoing reasons, DEO asks </w:t>
      </w:r>
      <w:r w:rsidR="00822271">
        <w:t xml:space="preserve">the Commission </w:t>
      </w:r>
      <w:r>
        <w:t>to grant its motion to stay discovery.</w:t>
      </w:r>
    </w:p>
    <w:p w14:paraId="37D9C7D9" w14:textId="505E00A4" w:rsidR="001D3B52" w:rsidRPr="0032154A" w:rsidRDefault="001D3B52" w:rsidP="001D3B52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 </w:t>
      </w:r>
      <w:r w:rsidR="00D325F8">
        <w:rPr>
          <w:rFonts w:ascii="Times New Roman" w:hAnsi="Times New Roman" w:cs="Times New Roman"/>
        </w:rPr>
        <w:t>April 16</w:t>
      </w:r>
      <w:r>
        <w:rPr>
          <w:rFonts w:ascii="Times New Roman" w:hAnsi="Times New Roman" w:cs="Times New Roman"/>
        </w:rPr>
        <w:t>, 2012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Respectfully</w:t>
      </w:r>
      <w:proofErr w:type="gramEnd"/>
      <w:r>
        <w:rPr>
          <w:rFonts w:ascii="Times New Roman" w:hAnsi="Times New Roman" w:cs="Times New Roman"/>
        </w:rPr>
        <w:t xml:space="preserve"> submitted,</w:t>
      </w:r>
    </w:p>
    <w:p w14:paraId="38D4AFBE" w14:textId="77777777" w:rsidR="001D3B52" w:rsidRPr="0032154A" w:rsidRDefault="001D3B52" w:rsidP="001D3B52">
      <w:pPr>
        <w:ind w:left="5040"/>
        <w:rPr>
          <w:rFonts w:ascii="Times New Roman" w:hAnsi="Times New Roman" w:cs="Times New Roman"/>
        </w:rPr>
      </w:pPr>
    </w:p>
    <w:p w14:paraId="5266D2AE" w14:textId="77777777" w:rsidR="001D3B52" w:rsidRPr="0032154A" w:rsidRDefault="001D3B52" w:rsidP="001D3B52">
      <w:pPr>
        <w:ind w:left="5040"/>
        <w:rPr>
          <w:rFonts w:ascii="Times New Roman" w:hAnsi="Times New Roman" w:cs="Times New Roman"/>
        </w:rPr>
      </w:pPr>
    </w:p>
    <w:p w14:paraId="4DAD4210" w14:textId="77777777" w:rsidR="001D3B52" w:rsidRPr="0032154A" w:rsidRDefault="00476065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Andrew J. Campbell</w:t>
      </w:r>
      <w:r w:rsidR="001D3B52" w:rsidRPr="0032154A">
        <w:rPr>
          <w:rFonts w:ascii="Times New Roman" w:hAnsi="Times New Roman" w:cs="Times New Roman"/>
          <w:u w:val="single"/>
        </w:rPr>
        <w:tab/>
      </w:r>
      <w:r w:rsidR="001D3B52" w:rsidRPr="0032154A">
        <w:rPr>
          <w:rFonts w:ascii="Times New Roman" w:hAnsi="Times New Roman" w:cs="Times New Roman"/>
          <w:u w:val="single"/>
        </w:rPr>
        <w:tab/>
      </w:r>
      <w:r w:rsidR="001D3B52" w:rsidRPr="0032154A">
        <w:rPr>
          <w:rFonts w:ascii="Times New Roman" w:hAnsi="Times New Roman" w:cs="Times New Roman"/>
          <w:u w:val="single"/>
        </w:rPr>
        <w:tab/>
      </w:r>
    </w:p>
    <w:p w14:paraId="0ACC4C63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5A9B2D0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0E1A84AA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2A60268E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45B3E349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21234F39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62A3002B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224A4FE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(614) 224-3911</w:t>
      </w:r>
    </w:p>
    <w:p w14:paraId="17E757E9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(614) 224-3960</w:t>
      </w:r>
    </w:p>
    <w:p w14:paraId="21245213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096D60DF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442A06CE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1B53E4BB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</w:p>
    <w:p w14:paraId="7C7A8FE1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THE EAST OHIO GAS COMPANY D/B/A DOMINION EAST OHIO</w:t>
      </w:r>
    </w:p>
    <w:p w14:paraId="04EEA28D" w14:textId="77777777" w:rsidR="001D3B52" w:rsidRDefault="001D3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DEBFC8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</w:p>
    <w:p w14:paraId="69703D36" w14:textId="77777777" w:rsidR="00A8215C" w:rsidRDefault="00A8215C" w:rsidP="00822271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CERTIFICATE OF SERVICE</w:t>
      </w:r>
    </w:p>
    <w:p w14:paraId="11E92D7E" w14:textId="77777777" w:rsidR="00A8215C" w:rsidRDefault="00A8215C" w:rsidP="00A8215C">
      <w:pPr>
        <w:jc w:val="center"/>
        <w:rPr>
          <w:rFonts w:ascii="Times New Roman" w:hAnsi="Times New Roman" w:cs="Times New Roman"/>
        </w:rPr>
      </w:pPr>
    </w:p>
    <w:p w14:paraId="3982EB54" w14:textId="05035778" w:rsidR="00A8215C" w:rsidRDefault="00A8215C" w:rsidP="00A821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hereby certify that a copy of the </w:t>
      </w:r>
      <w:r w:rsidR="00D325F8">
        <w:rPr>
          <w:rFonts w:ascii="Times New Roman" w:hAnsi="Times New Roman" w:cs="Times New Roman"/>
        </w:rPr>
        <w:t xml:space="preserve">Reply in Support of </w:t>
      </w:r>
      <w:r w:rsidR="001D3B52">
        <w:rPr>
          <w:rFonts w:ascii="Times New Roman" w:hAnsi="Times New Roman" w:cs="Times New Roman"/>
        </w:rPr>
        <w:t>Motion to Stay Discovery</w:t>
      </w:r>
      <w:r w:rsidR="00C56BDD" w:rsidRPr="00C56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served by electronic mail this </w:t>
      </w:r>
      <w:r w:rsidR="00D325F8">
        <w:rPr>
          <w:rFonts w:ascii="Times New Roman" w:hAnsi="Times New Roman" w:cs="Times New Roman"/>
        </w:rPr>
        <w:t xml:space="preserve">16th of </w:t>
      </w:r>
      <w:proofErr w:type="gramStart"/>
      <w:r w:rsidR="00D325F8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="001D3B52">
        <w:rPr>
          <w:rFonts w:ascii="Times New Roman" w:hAnsi="Times New Roman" w:cs="Times New Roman"/>
        </w:rPr>
        <w:t xml:space="preserve">2012, </w:t>
      </w:r>
      <w:r w:rsidRPr="00C56BD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215C" w14:paraId="3D162941" w14:textId="77777777" w:rsidTr="00A8215C">
        <w:tc>
          <w:tcPr>
            <w:tcW w:w="4788" w:type="dxa"/>
          </w:tcPr>
          <w:p w14:paraId="6E8AC3F7" w14:textId="77777777" w:rsidR="00ED2B33" w:rsidRP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>William Wright</w:t>
            </w:r>
          </w:p>
          <w:p w14:paraId="5C8CBB63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Ohio Attorney General </w:t>
            </w:r>
          </w:p>
          <w:p w14:paraId="1DFDAB18" w14:textId="77777777" w:rsidR="00ED2B33" w:rsidRP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>Public Utilities Section</w:t>
            </w:r>
          </w:p>
          <w:p w14:paraId="2799814D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180 East Broad Street, 6th Floor </w:t>
            </w:r>
          </w:p>
          <w:p w14:paraId="470228AF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Columbus, Ohio 43215 </w:t>
            </w:r>
          </w:p>
          <w:p w14:paraId="38DFA6E1" w14:textId="77777777" w:rsidR="00ED2B33" w:rsidRPr="00ED2B33" w:rsidRDefault="00ED2B33" w:rsidP="00ED2B33">
            <w:pPr>
              <w:rPr>
                <w:rFonts w:ascii="Times New Roman" w:hAnsi="Times New Roman" w:cs="Times New Roman"/>
              </w:rPr>
            </w:pPr>
            <w:proofErr w:type="gramStart"/>
            <w:r w:rsidRPr="00ED2B33">
              <w:rPr>
                <w:rFonts w:ascii="Times New Roman" w:hAnsi="Times New Roman" w:cs="Times New Roman"/>
              </w:rPr>
              <w:t>william.wright@puc.state.oh.us</w:t>
            </w:r>
            <w:proofErr w:type="gramEnd"/>
          </w:p>
          <w:p w14:paraId="7711CF64" w14:textId="77777777" w:rsidR="00A8215C" w:rsidRPr="00ED2B33" w:rsidRDefault="00A8215C" w:rsidP="00A8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014E1E60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Joseph P. Serio </w:t>
            </w:r>
          </w:p>
          <w:p w14:paraId="46C677B5" w14:textId="46EB2D8D" w:rsidR="00873104" w:rsidRDefault="00873104" w:rsidP="00ED2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Larry S. Sauer</w:t>
            </w:r>
          </w:p>
          <w:p w14:paraId="2CF003D8" w14:textId="77777777" w:rsidR="00ED2B33" w:rsidRP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>Office of the Ohio Consumers’ Counsel</w:t>
            </w:r>
          </w:p>
          <w:p w14:paraId="0ED04D70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10 West Broad Street, Suite 1800 </w:t>
            </w:r>
          </w:p>
          <w:p w14:paraId="68378A1B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Columbus, Ohio 43215-3485 serio@occ.state.oh.us </w:t>
            </w:r>
          </w:p>
          <w:p w14:paraId="473F490C" w14:textId="61E22E7E" w:rsidR="00873104" w:rsidRDefault="00873104" w:rsidP="00ED2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sauer@occ.state.oh.us</w:t>
            </w:r>
          </w:p>
          <w:p w14:paraId="35BA09C9" w14:textId="77777777" w:rsidR="00A8215C" w:rsidRDefault="00A8215C" w:rsidP="00ED2B33">
            <w:pPr>
              <w:rPr>
                <w:rFonts w:ascii="Times New Roman" w:hAnsi="Times New Roman" w:cs="Times New Roman"/>
              </w:rPr>
            </w:pPr>
          </w:p>
        </w:tc>
      </w:tr>
    </w:tbl>
    <w:p w14:paraId="16397629" w14:textId="77777777" w:rsidR="00A8215C" w:rsidRPr="00A8215C" w:rsidRDefault="00A8215C" w:rsidP="00A8215C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576CAAD" w14:textId="77777777" w:rsidR="00E05C6A" w:rsidRDefault="00476065" w:rsidP="00A8215C">
      <w:pPr>
        <w:ind w:left="47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/s/ Andrew J. Campbell</w:t>
      </w:r>
      <w:r w:rsidR="00A8215C">
        <w:rPr>
          <w:rFonts w:ascii="Times New Roman" w:hAnsi="Times New Roman" w:cs="Times New Roman"/>
          <w:u w:val="single"/>
        </w:rPr>
        <w:tab/>
      </w:r>
      <w:r w:rsidR="00A8215C">
        <w:rPr>
          <w:rFonts w:ascii="Times New Roman" w:hAnsi="Times New Roman" w:cs="Times New Roman"/>
          <w:u w:val="single"/>
        </w:rPr>
        <w:tab/>
      </w:r>
      <w:r w:rsidR="00A8215C">
        <w:rPr>
          <w:rFonts w:ascii="Times New Roman" w:hAnsi="Times New Roman" w:cs="Times New Roman"/>
          <w:u w:val="single"/>
        </w:rPr>
        <w:tab/>
      </w:r>
      <w:r w:rsidR="00A8215C">
        <w:rPr>
          <w:rFonts w:ascii="Times New Roman" w:hAnsi="Times New Roman" w:cs="Times New Roman"/>
          <w:u w:val="single"/>
        </w:rPr>
        <w:tab/>
      </w:r>
    </w:p>
    <w:p w14:paraId="294A2923" w14:textId="77777777" w:rsidR="00A8215C" w:rsidRPr="00A8215C" w:rsidRDefault="00A8215C" w:rsidP="00A8215C">
      <w:pPr>
        <w:ind w:left="4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Attorneys for The East Ohio Gas Company d/b/a Dominion East Ohio</w:t>
      </w:r>
    </w:p>
    <w:sectPr w:rsidR="00A8215C" w:rsidRPr="00A8215C" w:rsidSect="0032154A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A7175" w14:textId="77777777" w:rsidR="00B71CAF" w:rsidRDefault="00B71CAF" w:rsidP="0032154A">
      <w:r>
        <w:separator/>
      </w:r>
    </w:p>
  </w:endnote>
  <w:endnote w:type="continuationSeparator" w:id="0">
    <w:p w14:paraId="58384B45" w14:textId="77777777" w:rsidR="00B71CAF" w:rsidRDefault="00B71CAF" w:rsidP="0032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454D6" w14:textId="77777777" w:rsidR="00B71CAF" w:rsidRPr="0032154A" w:rsidRDefault="00B71CAF" w:rsidP="0032154A">
    <w:pPr>
      <w:pStyle w:val="Footer"/>
      <w:jc w:val="center"/>
      <w:rPr>
        <w:rFonts w:ascii="Times New Roman" w:hAnsi="Times New Roman" w:cs="Times New Roman"/>
      </w:rPr>
    </w:pPr>
    <w:r w:rsidRPr="0032154A">
      <w:rPr>
        <w:rStyle w:val="PageNumber"/>
        <w:rFonts w:ascii="Times New Roman" w:hAnsi="Times New Roman" w:cs="Times New Roman"/>
      </w:rPr>
      <w:fldChar w:fldCharType="begin"/>
    </w:r>
    <w:r w:rsidRPr="0032154A">
      <w:rPr>
        <w:rStyle w:val="PageNumber"/>
        <w:rFonts w:ascii="Times New Roman" w:hAnsi="Times New Roman" w:cs="Times New Roman"/>
      </w:rPr>
      <w:instrText xml:space="preserve"> PAGE </w:instrText>
    </w:r>
    <w:r w:rsidRPr="0032154A">
      <w:rPr>
        <w:rStyle w:val="PageNumber"/>
        <w:rFonts w:ascii="Times New Roman" w:hAnsi="Times New Roman" w:cs="Times New Roman"/>
      </w:rPr>
      <w:fldChar w:fldCharType="separate"/>
    </w:r>
    <w:r w:rsidR="00873104">
      <w:rPr>
        <w:rStyle w:val="PageNumber"/>
        <w:rFonts w:ascii="Times New Roman" w:hAnsi="Times New Roman" w:cs="Times New Roman"/>
        <w:noProof/>
      </w:rPr>
      <w:t>5</w:t>
    </w:r>
    <w:r w:rsidRPr="0032154A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8F8D6" w14:textId="77777777" w:rsidR="00B71CAF" w:rsidRDefault="00B71CAF" w:rsidP="0032154A">
      <w:r>
        <w:separator/>
      </w:r>
    </w:p>
  </w:footnote>
  <w:footnote w:type="continuationSeparator" w:id="0">
    <w:p w14:paraId="71436840" w14:textId="77777777" w:rsidR="00B71CAF" w:rsidRDefault="00B71CAF" w:rsidP="0032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6809CB"/>
    <w:multiLevelType w:val="hybridMultilevel"/>
    <w:tmpl w:val="229C0D86"/>
    <w:lvl w:ilvl="0" w:tplc="330E1A34">
      <w:start w:val="1"/>
      <w:numFmt w:val="lowerLetter"/>
      <w:pStyle w:val="MemoHeading4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9D279F"/>
    <w:multiLevelType w:val="hybridMultilevel"/>
    <w:tmpl w:val="E88CFC60"/>
    <w:lvl w:ilvl="0" w:tplc="9B8CCB08">
      <w:start w:val="1"/>
      <w:numFmt w:val="decimal"/>
      <w:pStyle w:val="MemoHeading3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C47F2B"/>
    <w:multiLevelType w:val="hybridMultilevel"/>
    <w:tmpl w:val="C458F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B04AB"/>
    <w:multiLevelType w:val="hybridMultilevel"/>
    <w:tmpl w:val="80141E10"/>
    <w:lvl w:ilvl="0" w:tplc="21B0D708">
      <w:start w:val="1"/>
      <w:numFmt w:val="upperRoman"/>
      <w:pStyle w:val="MemoHeading1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F1AB6"/>
    <w:multiLevelType w:val="hybridMultilevel"/>
    <w:tmpl w:val="A74CB9AC"/>
    <w:lvl w:ilvl="0" w:tplc="6CBAA0CE">
      <w:start w:val="1"/>
      <w:numFmt w:val="upperLetter"/>
      <w:pStyle w:val="MemoHeading2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2"/>
    <w:rsid w:val="000127D6"/>
    <w:rsid w:val="00020DF7"/>
    <w:rsid w:val="000213CC"/>
    <w:rsid w:val="0002146F"/>
    <w:rsid w:val="00033F71"/>
    <w:rsid w:val="0005788F"/>
    <w:rsid w:val="0007068D"/>
    <w:rsid w:val="000869ED"/>
    <w:rsid w:val="000A288D"/>
    <w:rsid w:val="000B3928"/>
    <w:rsid w:val="000C463A"/>
    <w:rsid w:val="000D134F"/>
    <w:rsid w:val="000D6365"/>
    <w:rsid w:val="000E56C8"/>
    <w:rsid w:val="0010744B"/>
    <w:rsid w:val="00111244"/>
    <w:rsid w:val="00115568"/>
    <w:rsid w:val="00164FDB"/>
    <w:rsid w:val="00171495"/>
    <w:rsid w:val="001C04B0"/>
    <w:rsid w:val="001C2978"/>
    <w:rsid w:val="001C5A8F"/>
    <w:rsid w:val="001C75E2"/>
    <w:rsid w:val="001D2546"/>
    <w:rsid w:val="001D3B52"/>
    <w:rsid w:val="00200600"/>
    <w:rsid w:val="0022361A"/>
    <w:rsid w:val="00265AC1"/>
    <w:rsid w:val="00287045"/>
    <w:rsid w:val="002A5ACF"/>
    <w:rsid w:val="002B2DD4"/>
    <w:rsid w:val="002B6DFC"/>
    <w:rsid w:val="002C52DA"/>
    <w:rsid w:val="002F01CF"/>
    <w:rsid w:val="00314522"/>
    <w:rsid w:val="0032154A"/>
    <w:rsid w:val="00321A8D"/>
    <w:rsid w:val="00326992"/>
    <w:rsid w:val="003355C7"/>
    <w:rsid w:val="00345D24"/>
    <w:rsid w:val="00357428"/>
    <w:rsid w:val="00387720"/>
    <w:rsid w:val="00415465"/>
    <w:rsid w:val="0044167D"/>
    <w:rsid w:val="00472357"/>
    <w:rsid w:val="00476065"/>
    <w:rsid w:val="004773F5"/>
    <w:rsid w:val="0048308F"/>
    <w:rsid w:val="004971C1"/>
    <w:rsid w:val="004A0D8B"/>
    <w:rsid w:val="004C705C"/>
    <w:rsid w:val="004D37FA"/>
    <w:rsid w:val="005353F0"/>
    <w:rsid w:val="00547FE7"/>
    <w:rsid w:val="0055112A"/>
    <w:rsid w:val="00554664"/>
    <w:rsid w:val="005646BE"/>
    <w:rsid w:val="005853D9"/>
    <w:rsid w:val="0058566C"/>
    <w:rsid w:val="005922E0"/>
    <w:rsid w:val="005926C5"/>
    <w:rsid w:val="005A317E"/>
    <w:rsid w:val="005A4751"/>
    <w:rsid w:val="005B111C"/>
    <w:rsid w:val="005B6400"/>
    <w:rsid w:val="005C32EE"/>
    <w:rsid w:val="005D368E"/>
    <w:rsid w:val="00600B90"/>
    <w:rsid w:val="0064266F"/>
    <w:rsid w:val="00644998"/>
    <w:rsid w:val="006456C7"/>
    <w:rsid w:val="006558AB"/>
    <w:rsid w:val="00657CEE"/>
    <w:rsid w:val="00685B49"/>
    <w:rsid w:val="00697433"/>
    <w:rsid w:val="006A5B26"/>
    <w:rsid w:val="006B34A7"/>
    <w:rsid w:val="006C3773"/>
    <w:rsid w:val="006D0B91"/>
    <w:rsid w:val="006D28C1"/>
    <w:rsid w:val="006E03F9"/>
    <w:rsid w:val="00707A4D"/>
    <w:rsid w:val="007120B3"/>
    <w:rsid w:val="0071539B"/>
    <w:rsid w:val="0072150D"/>
    <w:rsid w:val="00721C9A"/>
    <w:rsid w:val="0072651D"/>
    <w:rsid w:val="00745A18"/>
    <w:rsid w:val="00766FC5"/>
    <w:rsid w:val="007B5D5C"/>
    <w:rsid w:val="007F3219"/>
    <w:rsid w:val="007F4B37"/>
    <w:rsid w:val="00804023"/>
    <w:rsid w:val="00822271"/>
    <w:rsid w:val="00836971"/>
    <w:rsid w:val="00845BE7"/>
    <w:rsid w:val="008554E9"/>
    <w:rsid w:val="00867DB5"/>
    <w:rsid w:val="00873104"/>
    <w:rsid w:val="00873852"/>
    <w:rsid w:val="00873F93"/>
    <w:rsid w:val="00877A88"/>
    <w:rsid w:val="00890483"/>
    <w:rsid w:val="008A5BCF"/>
    <w:rsid w:val="008A7499"/>
    <w:rsid w:val="008B32AE"/>
    <w:rsid w:val="008C1D84"/>
    <w:rsid w:val="008C357A"/>
    <w:rsid w:val="008E391F"/>
    <w:rsid w:val="008E7532"/>
    <w:rsid w:val="008F7F44"/>
    <w:rsid w:val="00905A5F"/>
    <w:rsid w:val="00914D4F"/>
    <w:rsid w:val="00925166"/>
    <w:rsid w:val="00925ED3"/>
    <w:rsid w:val="00937130"/>
    <w:rsid w:val="009601B6"/>
    <w:rsid w:val="00975368"/>
    <w:rsid w:val="00996F91"/>
    <w:rsid w:val="009A409D"/>
    <w:rsid w:val="009B1541"/>
    <w:rsid w:val="009B4728"/>
    <w:rsid w:val="009C02F1"/>
    <w:rsid w:val="009C37E8"/>
    <w:rsid w:val="009C386A"/>
    <w:rsid w:val="009C3876"/>
    <w:rsid w:val="009C4045"/>
    <w:rsid w:val="009E6F3C"/>
    <w:rsid w:val="00A058DC"/>
    <w:rsid w:val="00A11350"/>
    <w:rsid w:val="00A126B4"/>
    <w:rsid w:val="00A14F09"/>
    <w:rsid w:val="00A32837"/>
    <w:rsid w:val="00A35B7B"/>
    <w:rsid w:val="00A404A4"/>
    <w:rsid w:val="00A43054"/>
    <w:rsid w:val="00A54C4E"/>
    <w:rsid w:val="00A573AD"/>
    <w:rsid w:val="00A60317"/>
    <w:rsid w:val="00A6549C"/>
    <w:rsid w:val="00A718E1"/>
    <w:rsid w:val="00A77EE5"/>
    <w:rsid w:val="00A8215C"/>
    <w:rsid w:val="00A95046"/>
    <w:rsid w:val="00A975C4"/>
    <w:rsid w:val="00AA3D1D"/>
    <w:rsid w:val="00AB1388"/>
    <w:rsid w:val="00AB3920"/>
    <w:rsid w:val="00AD1445"/>
    <w:rsid w:val="00AF001A"/>
    <w:rsid w:val="00B0188B"/>
    <w:rsid w:val="00B133A1"/>
    <w:rsid w:val="00B22994"/>
    <w:rsid w:val="00B253E4"/>
    <w:rsid w:val="00B33ADD"/>
    <w:rsid w:val="00B46B2F"/>
    <w:rsid w:val="00B566FB"/>
    <w:rsid w:val="00B576C8"/>
    <w:rsid w:val="00B6183A"/>
    <w:rsid w:val="00B62543"/>
    <w:rsid w:val="00B64C84"/>
    <w:rsid w:val="00B6791D"/>
    <w:rsid w:val="00B71CAF"/>
    <w:rsid w:val="00B76E63"/>
    <w:rsid w:val="00B85C90"/>
    <w:rsid w:val="00B948BC"/>
    <w:rsid w:val="00B97FCD"/>
    <w:rsid w:val="00BA2274"/>
    <w:rsid w:val="00BB286F"/>
    <w:rsid w:val="00BE43B6"/>
    <w:rsid w:val="00BE6588"/>
    <w:rsid w:val="00C05233"/>
    <w:rsid w:val="00C05BAA"/>
    <w:rsid w:val="00C07D65"/>
    <w:rsid w:val="00C10113"/>
    <w:rsid w:val="00C11856"/>
    <w:rsid w:val="00C15215"/>
    <w:rsid w:val="00C246CC"/>
    <w:rsid w:val="00C40299"/>
    <w:rsid w:val="00C46F19"/>
    <w:rsid w:val="00C50031"/>
    <w:rsid w:val="00C56BDD"/>
    <w:rsid w:val="00C67A12"/>
    <w:rsid w:val="00C67AF7"/>
    <w:rsid w:val="00C7595E"/>
    <w:rsid w:val="00C94670"/>
    <w:rsid w:val="00C96B44"/>
    <w:rsid w:val="00CB6AD0"/>
    <w:rsid w:val="00CD56B4"/>
    <w:rsid w:val="00D02712"/>
    <w:rsid w:val="00D325F8"/>
    <w:rsid w:val="00D76BD9"/>
    <w:rsid w:val="00D86C75"/>
    <w:rsid w:val="00D874A1"/>
    <w:rsid w:val="00D93E59"/>
    <w:rsid w:val="00DF31EE"/>
    <w:rsid w:val="00DF7BDE"/>
    <w:rsid w:val="00E05C6A"/>
    <w:rsid w:val="00E05FE3"/>
    <w:rsid w:val="00E105F8"/>
    <w:rsid w:val="00E40A14"/>
    <w:rsid w:val="00E62E7B"/>
    <w:rsid w:val="00E64CB7"/>
    <w:rsid w:val="00E72BE2"/>
    <w:rsid w:val="00E77597"/>
    <w:rsid w:val="00E8652C"/>
    <w:rsid w:val="00ED2B33"/>
    <w:rsid w:val="00EE4CDB"/>
    <w:rsid w:val="00EE4EEF"/>
    <w:rsid w:val="00F02EF6"/>
    <w:rsid w:val="00F06866"/>
    <w:rsid w:val="00F14B30"/>
    <w:rsid w:val="00F16639"/>
    <w:rsid w:val="00F24A15"/>
    <w:rsid w:val="00F54A4D"/>
    <w:rsid w:val="00F72440"/>
    <w:rsid w:val="00F73BBB"/>
    <w:rsid w:val="00F82D76"/>
    <w:rsid w:val="00FA437D"/>
    <w:rsid w:val="00FB2F8C"/>
    <w:rsid w:val="00FB7943"/>
    <w:rsid w:val="00FD3BD0"/>
    <w:rsid w:val="00FF3009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4A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33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54A"/>
  </w:style>
  <w:style w:type="paragraph" w:styleId="Footer">
    <w:name w:val="footer"/>
    <w:basedOn w:val="Normal"/>
    <w:link w:val="FooterChar"/>
    <w:uiPriority w:val="99"/>
    <w:unhideWhenUsed/>
    <w:rsid w:val="00321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4A"/>
  </w:style>
  <w:style w:type="character" w:styleId="PageNumber">
    <w:name w:val="page number"/>
    <w:basedOn w:val="DefaultParagraphFont"/>
    <w:uiPriority w:val="99"/>
    <w:semiHidden/>
    <w:unhideWhenUsed/>
    <w:rsid w:val="0032154A"/>
  </w:style>
  <w:style w:type="character" w:styleId="Hyperlink">
    <w:name w:val="Hyperlink"/>
    <w:basedOn w:val="DefaultParagraphFont"/>
    <w:uiPriority w:val="99"/>
    <w:unhideWhenUsed/>
    <w:rsid w:val="0032154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601B6"/>
  </w:style>
  <w:style w:type="character" w:customStyle="1" w:styleId="FootnoteTextChar">
    <w:name w:val="Footnote Text Char"/>
    <w:basedOn w:val="DefaultParagraphFont"/>
    <w:link w:val="FootnoteText"/>
    <w:uiPriority w:val="99"/>
    <w:rsid w:val="009601B6"/>
  </w:style>
  <w:style w:type="character" w:styleId="FootnoteReference">
    <w:name w:val="footnote reference"/>
    <w:basedOn w:val="DefaultParagraphFont"/>
    <w:uiPriority w:val="99"/>
    <w:unhideWhenUsed/>
    <w:rsid w:val="009601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7F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97FCD"/>
  </w:style>
  <w:style w:type="character" w:customStyle="1" w:styleId="Heading2Char">
    <w:name w:val="Heading 2 Char"/>
    <w:basedOn w:val="DefaultParagraphFont"/>
    <w:link w:val="Heading2"/>
    <w:uiPriority w:val="9"/>
    <w:rsid w:val="00B133A1"/>
    <w:rPr>
      <w:rFonts w:ascii="Times" w:hAnsi="Times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723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A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12"/>
    <w:rPr>
      <w:rFonts w:ascii="Lucida Grande" w:hAnsi="Lucida Grande" w:cs="Lucida Grande"/>
      <w:sz w:val="18"/>
      <w:szCs w:val="18"/>
    </w:rPr>
  </w:style>
  <w:style w:type="paragraph" w:customStyle="1" w:styleId="MemoHeading2">
    <w:name w:val="Memo Heading 2"/>
    <w:basedOn w:val="ListParagraph"/>
    <w:next w:val="MemoBodyText"/>
    <w:qFormat/>
    <w:rsid w:val="00387720"/>
    <w:pPr>
      <w:keepNext/>
      <w:numPr>
        <w:numId w:val="1"/>
      </w:numPr>
      <w:spacing w:after="240"/>
      <w:ind w:left="720"/>
    </w:pPr>
    <w:rPr>
      <w:rFonts w:ascii="Times New Roman" w:hAnsi="Times New Roman" w:cs="Times New Roman"/>
      <w:b/>
    </w:rPr>
  </w:style>
  <w:style w:type="paragraph" w:customStyle="1" w:styleId="MemoHeading1">
    <w:name w:val="Memo Heading 1"/>
    <w:basedOn w:val="Normal"/>
    <w:next w:val="MemoBodyText"/>
    <w:qFormat/>
    <w:rsid w:val="001D3B52"/>
    <w:pPr>
      <w:keepNext/>
      <w:numPr>
        <w:numId w:val="2"/>
      </w:numPr>
      <w:spacing w:line="480" w:lineRule="auto"/>
      <w:ind w:left="734" w:hanging="187"/>
      <w:jc w:val="center"/>
    </w:pPr>
    <w:rPr>
      <w:rFonts w:ascii="Times New Roman" w:hAnsi="Times New Roman" w:cs="Times New Roman"/>
      <w:b/>
      <w:bCs/>
      <w:caps/>
    </w:rPr>
  </w:style>
  <w:style w:type="paragraph" w:customStyle="1" w:styleId="MemoBodyText">
    <w:name w:val="Memo Body Text"/>
    <w:basedOn w:val="Normal"/>
    <w:qFormat/>
    <w:rsid w:val="00A573AD"/>
    <w:pPr>
      <w:spacing w:line="480" w:lineRule="auto"/>
      <w:ind w:firstLine="720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3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MemoHeading3">
    <w:name w:val="Memo Heading 3"/>
    <w:basedOn w:val="MemoBodyText"/>
    <w:next w:val="MemoBodyText"/>
    <w:qFormat/>
    <w:rsid w:val="001C2978"/>
    <w:pPr>
      <w:numPr>
        <w:numId w:val="4"/>
      </w:numPr>
      <w:spacing w:after="240" w:line="240" w:lineRule="auto"/>
      <w:ind w:hanging="720"/>
    </w:pPr>
    <w:rPr>
      <w:b/>
    </w:rPr>
  </w:style>
  <w:style w:type="paragraph" w:customStyle="1" w:styleId="MemoHeading4">
    <w:name w:val="Memo Heading 4"/>
    <w:basedOn w:val="MemoBodyText"/>
    <w:next w:val="MemoBodyText"/>
    <w:qFormat/>
    <w:rsid w:val="001C2978"/>
    <w:pPr>
      <w:numPr>
        <w:numId w:val="5"/>
      </w:numPr>
      <w:spacing w:after="240" w:line="240" w:lineRule="auto"/>
      <w:ind w:left="2160" w:hanging="720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33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54A"/>
  </w:style>
  <w:style w:type="paragraph" w:styleId="Footer">
    <w:name w:val="footer"/>
    <w:basedOn w:val="Normal"/>
    <w:link w:val="FooterChar"/>
    <w:uiPriority w:val="99"/>
    <w:unhideWhenUsed/>
    <w:rsid w:val="00321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4A"/>
  </w:style>
  <w:style w:type="character" w:styleId="PageNumber">
    <w:name w:val="page number"/>
    <w:basedOn w:val="DefaultParagraphFont"/>
    <w:uiPriority w:val="99"/>
    <w:semiHidden/>
    <w:unhideWhenUsed/>
    <w:rsid w:val="0032154A"/>
  </w:style>
  <w:style w:type="character" w:styleId="Hyperlink">
    <w:name w:val="Hyperlink"/>
    <w:basedOn w:val="DefaultParagraphFont"/>
    <w:uiPriority w:val="99"/>
    <w:unhideWhenUsed/>
    <w:rsid w:val="0032154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601B6"/>
  </w:style>
  <w:style w:type="character" w:customStyle="1" w:styleId="FootnoteTextChar">
    <w:name w:val="Footnote Text Char"/>
    <w:basedOn w:val="DefaultParagraphFont"/>
    <w:link w:val="FootnoteText"/>
    <w:uiPriority w:val="99"/>
    <w:rsid w:val="009601B6"/>
  </w:style>
  <w:style w:type="character" w:styleId="FootnoteReference">
    <w:name w:val="footnote reference"/>
    <w:basedOn w:val="DefaultParagraphFont"/>
    <w:uiPriority w:val="99"/>
    <w:unhideWhenUsed/>
    <w:rsid w:val="009601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7F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97FCD"/>
  </w:style>
  <w:style w:type="character" w:customStyle="1" w:styleId="Heading2Char">
    <w:name w:val="Heading 2 Char"/>
    <w:basedOn w:val="DefaultParagraphFont"/>
    <w:link w:val="Heading2"/>
    <w:uiPriority w:val="9"/>
    <w:rsid w:val="00B133A1"/>
    <w:rPr>
      <w:rFonts w:ascii="Times" w:hAnsi="Times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723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A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12"/>
    <w:rPr>
      <w:rFonts w:ascii="Lucida Grande" w:hAnsi="Lucida Grande" w:cs="Lucida Grande"/>
      <w:sz w:val="18"/>
      <w:szCs w:val="18"/>
    </w:rPr>
  </w:style>
  <w:style w:type="paragraph" w:customStyle="1" w:styleId="MemoHeading2">
    <w:name w:val="Memo Heading 2"/>
    <w:basedOn w:val="ListParagraph"/>
    <w:next w:val="MemoBodyText"/>
    <w:qFormat/>
    <w:rsid w:val="00387720"/>
    <w:pPr>
      <w:keepNext/>
      <w:numPr>
        <w:numId w:val="1"/>
      </w:numPr>
      <w:spacing w:after="240"/>
      <w:ind w:left="720"/>
    </w:pPr>
    <w:rPr>
      <w:rFonts w:ascii="Times New Roman" w:hAnsi="Times New Roman" w:cs="Times New Roman"/>
      <w:b/>
    </w:rPr>
  </w:style>
  <w:style w:type="paragraph" w:customStyle="1" w:styleId="MemoHeading1">
    <w:name w:val="Memo Heading 1"/>
    <w:basedOn w:val="Normal"/>
    <w:next w:val="MemoBodyText"/>
    <w:qFormat/>
    <w:rsid w:val="001D3B52"/>
    <w:pPr>
      <w:keepNext/>
      <w:numPr>
        <w:numId w:val="2"/>
      </w:numPr>
      <w:spacing w:line="480" w:lineRule="auto"/>
      <w:ind w:left="734" w:hanging="187"/>
      <w:jc w:val="center"/>
    </w:pPr>
    <w:rPr>
      <w:rFonts w:ascii="Times New Roman" w:hAnsi="Times New Roman" w:cs="Times New Roman"/>
      <w:b/>
      <w:bCs/>
      <w:caps/>
    </w:rPr>
  </w:style>
  <w:style w:type="paragraph" w:customStyle="1" w:styleId="MemoBodyText">
    <w:name w:val="Memo Body Text"/>
    <w:basedOn w:val="Normal"/>
    <w:qFormat/>
    <w:rsid w:val="00A573AD"/>
    <w:pPr>
      <w:spacing w:line="480" w:lineRule="auto"/>
      <w:ind w:firstLine="720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3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MemoHeading3">
    <w:name w:val="Memo Heading 3"/>
    <w:basedOn w:val="MemoBodyText"/>
    <w:next w:val="MemoBodyText"/>
    <w:qFormat/>
    <w:rsid w:val="001C2978"/>
    <w:pPr>
      <w:numPr>
        <w:numId w:val="4"/>
      </w:numPr>
      <w:spacing w:after="240" w:line="240" w:lineRule="auto"/>
      <w:ind w:hanging="720"/>
    </w:pPr>
    <w:rPr>
      <w:b/>
    </w:rPr>
  </w:style>
  <w:style w:type="paragraph" w:customStyle="1" w:styleId="MemoHeading4">
    <w:name w:val="Memo Heading 4"/>
    <w:basedOn w:val="MemoBodyText"/>
    <w:next w:val="MemoBodyText"/>
    <w:qFormat/>
    <w:rsid w:val="001C2978"/>
    <w:pPr>
      <w:numPr>
        <w:numId w:val="5"/>
      </w:numPr>
      <w:spacing w:after="240" w:line="240" w:lineRule="auto"/>
      <w:ind w:left="2160" w:hanging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27A72-D117-E24D-9E4C-1CF59486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6083</Characters>
  <Application>Microsoft Macintosh Word</Application>
  <DocSecurity>4</DocSecurity>
  <Lines>148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MOTION TO STAY DISCOVERY OF </vt:lpstr>
      <vt:lpstr>THE EAST OHIO GAS COMPANY D/B/A DOMINION EAST OHIO</vt:lpstr>
      <vt:lpstr/>
      <vt:lpstr>MEMORANDUM IN SUPPORT OF MOTION TO STAY DISCOVERY </vt:lpstr>
      <vt:lpstr>OF THE EAST OHIO GAS COMPANY D/B/A DOMINION EAST OHIO</vt:lpstr>
      <vt:lpstr/>
      <vt:lpstr>CERTIFICATE OF SERVICE</vt:lpstr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 Sturtevant</dc:creator>
  <cp:keywords/>
  <dc:description/>
  <cp:lastModifiedBy>Melissa Thompson</cp:lastModifiedBy>
  <cp:revision>2</cp:revision>
  <cp:lastPrinted>2012-04-11T16:09:00Z</cp:lastPrinted>
  <dcterms:created xsi:type="dcterms:W3CDTF">2012-04-16T18:07:00Z</dcterms:created>
  <dcterms:modified xsi:type="dcterms:W3CDTF">2012-04-16T18:07:00Z</dcterms:modified>
</cp:coreProperties>
</file>