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DC7060" w:rsidRPr="002D5779" w:rsidP="00DC7060" w14:paraId="213F225D" w14:textId="77777777">
      <w:pPr>
        <w:jc w:val="center"/>
        <w:rPr>
          <w:b/>
        </w:rPr>
      </w:pPr>
      <w:bookmarkStart w:id="0" w:name="_GoBack"/>
      <w:bookmarkEnd w:id="0"/>
      <w:r w:rsidRPr="002D5779">
        <w:rPr>
          <w:b/>
        </w:rPr>
        <w:t>BEFORE</w:t>
      </w:r>
    </w:p>
    <w:p w:rsidR="00DC7060" w:rsidRPr="002D5779" w:rsidP="00DC7060" w14:paraId="0E161A43" w14:textId="77777777">
      <w:pPr>
        <w:jc w:val="center"/>
        <w:rPr>
          <w:b/>
        </w:rPr>
      </w:pPr>
      <w:r w:rsidRPr="002D5779">
        <w:rPr>
          <w:b/>
        </w:rPr>
        <w:t>THE PUBLIC UTILITIES COMMISSION OF OHIO</w:t>
      </w:r>
    </w:p>
    <w:p w:rsidR="00DC7060" w:rsidRPr="002D5779" w:rsidP="00DC7060" w14:paraId="00FA32F7" w14:textId="77777777">
      <w:pPr>
        <w:jc w:val="center"/>
        <w:rPr>
          <w:b/>
        </w:rPr>
      </w:pPr>
    </w:p>
    <w:tbl>
      <w:tblPr>
        <w:tblW w:w="9092" w:type="dxa"/>
        <w:tblLook w:val="01E0"/>
      </w:tblPr>
      <w:tblGrid>
        <w:gridCol w:w="4590"/>
        <w:gridCol w:w="450"/>
        <w:gridCol w:w="4052"/>
      </w:tblGrid>
      <w:tr w14:paraId="1BDA3518" w14:textId="77777777" w:rsidTr="004049EE">
        <w:tblPrEx>
          <w:tblW w:w="9092" w:type="dxa"/>
          <w:tblLook w:val="01E0"/>
        </w:tblPrEx>
        <w:trPr>
          <w:trHeight w:val="807"/>
        </w:trPr>
        <w:tc>
          <w:tcPr>
            <w:tcW w:w="4590" w:type="dxa"/>
            <w:shd w:val="clear" w:color="auto" w:fill="auto"/>
          </w:tcPr>
          <w:p w:rsidR="00DC7060" w:rsidRPr="002D5779" w:rsidP="00DC7060" w14:paraId="1981F12B" w14:textId="77777777">
            <w:pPr>
              <w:autoSpaceDE w:val="0"/>
              <w:autoSpaceDN w:val="0"/>
              <w:adjustRightInd w:val="0"/>
            </w:pPr>
            <w:r w:rsidRPr="002D5779">
              <w:t>In the Matters of the Applications of Ohio Power Company, Duke Energy Ohio, Inc., Ohio Edison Company, the Cleveland Electric Illuminating Company, the Toledo Edison Company, and the Dayton Power and Light Company for Approval of their Energy Efficiency and Peak Demand Reduction Programs.</w:t>
            </w:r>
          </w:p>
        </w:tc>
        <w:tc>
          <w:tcPr>
            <w:tcW w:w="450" w:type="dxa"/>
            <w:shd w:val="clear" w:color="auto" w:fill="auto"/>
          </w:tcPr>
          <w:p w:rsidR="00DC7060" w:rsidRPr="002D5779" w:rsidP="00DC7060" w14:paraId="290DC46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D5779">
              <w:rPr>
                <w:rFonts w:eastAsia="Courier New"/>
              </w:rPr>
              <w:t>)</w:t>
            </w:r>
          </w:p>
          <w:p w:rsidR="00DC7060" w:rsidRPr="002D5779" w:rsidP="00DC7060" w14:paraId="1033A6B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D5779">
              <w:rPr>
                <w:rFonts w:eastAsia="Courier New"/>
              </w:rPr>
              <w:t>)</w:t>
            </w:r>
          </w:p>
          <w:p w:rsidR="00DC7060" w:rsidRPr="002D5779" w:rsidP="00DC7060" w14:paraId="288F00F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D5779">
              <w:rPr>
                <w:rFonts w:eastAsia="Courier New"/>
              </w:rPr>
              <w:t>)</w:t>
            </w:r>
          </w:p>
          <w:p w:rsidR="00DC7060" w:rsidRPr="002D5779" w:rsidP="00DC7060" w14:paraId="11252DC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D5779">
              <w:rPr>
                <w:rFonts w:eastAsia="Courier New"/>
              </w:rPr>
              <w:t>)</w:t>
            </w:r>
          </w:p>
          <w:p w:rsidR="00DC7060" w:rsidRPr="002D5779" w:rsidP="00DC7060" w14:paraId="5A5A214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D5779">
              <w:rPr>
                <w:rFonts w:eastAsia="Courier New"/>
              </w:rPr>
              <w:t>)</w:t>
            </w:r>
          </w:p>
          <w:p w:rsidR="00DC7060" w:rsidRPr="002D5779" w:rsidP="00DC7060" w14:paraId="4EBB1A7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D5779">
              <w:rPr>
                <w:rFonts w:eastAsia="Courier New"/>
              </w:rPr>
              <w:t>)</w:t>
            </w:r>
          </w:p>
          <w:p w:rsidR="00DC7060" w:rsidRPr="002D5779" w:rsidP="00DC7060" w14:paraId="7AF3007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D5779">
              <w:rPr>
                <w:rFonts w:eastAsia="Courier New"/>
              </w:rPr>
              <w:t>)</w:t>
            </w:r>
          </w:p>
          <w:p w:rsidR="00DC7060" w:rsidRPr="002D5779" w:rsidP="00DC7060" w14:paraId="5766197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D5779">
              <w:rPr>
                <w:rFonts w:eastAsia="Courier New"/>
              </w:rPr>
              <w:t>)</w:t>
            </w:r>
          </w:p>
        </w:tc>
        <w:tc>
          <w:tcPr>
            <w:tcW w:w="4052" w:type="dxa"/>
            <w:shd w:val="clear" w:color="auto" w:fill="auto"/>
          </w:tcPr>
          <w:p w:rsidR="00DC7060" w:rsidRPr="002D5779" w:rsidP="00DC7060" w14:paraId="02EBDFA6" w14:textId="77777777"/>
          <w:p w:rsidR="00DC7060" w:rsidRPr="002D5779" w:rsidP="00DC7060" w14:paraId="2DEF889F" w14:textId="77777777"/>
          <w:p w:rsidR="00DC7060" w:rsidRPr="002D5779" w:rsidP="00DC7060" w14:paraId="595900C6" w14:textId="77777777">
            <w:r w:rsidRPr="002D5779">
              <w:t>Case No. 16-574-EL-POR</w:t>
            </w:r>
          </w:p>
          <w:p w:rsidR="00DC7060" w:rsidRPr="002D5779" w:rsidP="00DC7060" w14:paraId="467F8193" w14:textId="77777777">
            <w:r w:rsidRPr="002D5779">
              <w:t>Case No. 16-576-EL-POR</w:t>
            </w:r>
          </w:p>
          <w:p w:rsidR="00DC7060" w:rsidRPr="002D5779" w:rsidP="00DC7060" w14:paraId="249AAF7C" w14:textId="77777777">
            <w:r w:rsidRPr="002D5779">
              <w:t>Case No. 16-743-EL-POR</w:t>
            </w:r>
          </w:p>
          <w:p w:rsidR="00DC7060" w:rsidRPr="002D5779" w:rsidP="00DC7060" w14:paraId="5D4ADBAC" w14:textId="77777777">
            <w:r w:rsidRPr="002D5779">
              <w:t>Case No. 17-1398-EL-POR</w:t>
            </w:r>
          </w:p>
        </w:tc>
      </w:tr>
    </w:tbl>
    <w:p w:rsidR="00DC7060" w:rsidRPr="002D5779" w:rsidP="00DC7060" w14:paraId="1D33AADE" w14:textId="77777777">
      <w:pPr>
        <w:pBdr>
          <w:bottom w:val="single" w:sz="12" w:space="1" w:color="auto"/>
        </w:pBdr>
      </w:pPr>
    </w:p>
    <w:p w:rsidR="00DC7060" w:rsidRPr="002D5779" w:rsidP="00DC7060" w14:paraId="622ED59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7060" w:rsidRPr="002D5779" w:rsidP="00DC7060" w14:paraId="39C61FD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D5779">
        <w:rPr>
          <w:b/>
        </w:rPr>
        <w:t>MEMORANDUM CONTRA DUKE ENERGY</w:t>
      </w:r>
      <w:r w:rsidRPr="002D5779" w:rsidR="00C15AE2">
        <w:rPr>
          <w:b/>
        </w:rPr>
        <w:t>’S</w:t>
      </w:r>
      <w:r w:rsidRPr="002D5779">
        <w:rPr>
          <w:b/>
        </w:rPr>
        <w:br/>
        <w:t>APPLICATION FOR REHEARING</w:t>
      </w:r>
    </w:p>
    <w:p w:rsidR="00DC7060" w:rsidRPr="002D5779" w:rsidP="00DC7060" w14:paraId="00C01DE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D5779">
        <w:rPr>
          <w:b/>
        </w:rPr>
        <w:t>BY</w:t>
      </w:r>
    </w:p>
    <w:p w:rsidR="00DC7060" w:rsidRPr="002D5779" w:rsidP="00DC7060" w14:paraId="6546D8A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rPr>
      </w:pPr>
      <w:r w:rsidRPr="002D5779">
        <w:rPr>
          <w:b/>
        </w:rPr>
        <w:t>THE OFFICE OF THE OHIO CONSUMERS' COUNSEL</w:t>
      </w:r>
    </w:p>
    <w:p w:rsidR="00DC7060" w:rsidRPr="002D5779" w:rsidP="00DC7060" w14:paraId="69F1E33E" w14:textId="7777777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bCs/>
        </w:rPr>
      </w:pPr>
    </w:p>
    <w:p w:rsidR="00DC7060" w:rsidRPr="002D5779" w:rsidP="00DC7060" w14:paraId="7FA7BAC1" w14:textId="77777777">
      <w:pPr>
        <w:rPr>
          <w:rFonts w:eastAsiaTheme="minorEastAsia"/>
        </w:rPr>
      </w:pPr>
    </w:p>
    <w:p w:rsidR="00C415CD" w:rsidRPr="002D5779" w:rsidP="000A32AC" w14:paraId="60B47A45" w14:textId="2F263129">
      <w:pPr>
        <w:spacing w:line="480" w:lineRule="auto"/>
        <w:ind w:firstLine="720"/>
      </w:pPr>
      <w:r w:rsidRPr="002D5779">
        <w:t>The Public Utilities Commission of Ohio (“PUCO”) protected consumers in its Third Entry on Rehearing</w:t>
      </w:r>
      <w:r>
        <w:rPr>
          <w:rStyle w:val="FootnoteReference"/>
        </w:rPr>
        <w:footnoteReference w:id="2"/>
      </w:r>
      <w:r w:rsidRPr="002D5779">
        <w:t xml:space="preserve"> </w:t>
      </w:r>
      <w:r w:rsidRPr="002D5779" w:rsidR="007726EF">
        <w:t>by reducing the amount of profits (“shared savings”) that Duke can charge them for energy efficiency from about $10.1 million to $7.8 million per year.</w:t>
      </w:r>
      <w:r>
        <w:rPr>
          <w:rStyle w:val="FootnoteReference"/>
        </w:rPr>
        <w:footnoteReference w:id="3"/>
      </w:r>
      <w:r w:rsidR="00FA53A2">
        <w:t xml:space="preserve"> </w:t>
      </w:r>
      <w:r w:rsidRPr="002D5779" w:rsidR="007C2BE7">
        <w:t xml:space="preserve">Duke challenges this ruling on rehearing, claiming, among other things, that the PUCO lacks authority to limit its </w:t>
      </w:r>
      <w:r w:rsidRPr="002D5779" w:rsidR="001F6295">
        <w:t>charges to customers for utility profits.</w:t>
      </w:r>
      <w:r>
        <w:rPr>
          <w:rStyle w:val="FootnoteReference"/>
        </w:rPr>
        <w:footnoteReference w:id="4"/>
      </w:r>
      <w:r w:rsidRPr="00536709" w:rsidR="00536709">
        <w:t xml:space="preserve"> </w:t>
      </w:r>
      <w:r w:rsidR="00536709">
        <w:t>(For full consumer protection, the PUCO should not allow utilities to charge consumers for any profits on energy efficiency programs.)</w:t>
      </w:r>
    </w:p>
    <w:p w:rsidR="0000187E" w:rsidP="00DF26BB" w14:paraId="08F44756" w14:textId="77777777">
      <w:pPr>
        <w:spacing w:line="480" w:lineRule="auto"/>
        <w:ind w:firstLine="720"/>
        <w:sectPr w:rsidSect="00D72E93">
          <w:footerReference w:type="default" r:id="rId6"/>
          <w:pgSz w:w="12240" w:h="15840"/>
          <w:pgMar w:top="1440" w:right="1440" w:bottom="1440" w:left="1440" w:header="720" w:footer="720" w:gutter="0"/>
          <w:cols w:space="720"/>
          <w:docGrid w:linePitch="360"/>
        </w:sectPr>
      </w:pPr>
      <w:r w:rsidRPr="002D5779">
        <w:t>The PUCO should deny Duke’s Application for Rehearing because the PUCO had the authority to reduce the amount that customers pay to Duke for utility profits on energy efficiency.</w:t>
      </w:r>
    </w:p>
    <w:p w:rsidR="00D717E7" w:rsidRPr="002D5779" w:rsidP="006D0668" w14:paraId="15651140" w14:textId="0AAB5910">
      <w:pPr>
        <w:keepNext/>
        <w:keepLines/>
        <w:spacing w:after="240"/>
        <w:rPr>
          <w:b/>
        </w:rPr>
      </w:pPr>
      <w:r w:rsidRPr="002D5779">
        <w:rPr>
          <w:b/>
        </w:rPr>
        <w:t>I.</w:t>
      </w:r>
      <w:r w:rsidRPr="002D5779">
        <w:rPr>
          <w:b/>
        </w:rPr>
        <w:tab/>
        <w:t>ARGUMENT</w:t>
      </w:r>
    </w:p>
    <w:p w:rsidR="00B66AEF" w:rsidRPr="002D5779" w:rsidP="00DA7680" w14:paraId="61537A1F" w14:textId="78C0C591">
      <w:pPr>
        <w:keepNext/>
        <w:keepLines/>
        <w:spacing w:after="240"/>
        <w:ind w:left="1440" w:hanging="720"/>
        <w:rPr>
          <w:b/>
        </w:rPr>
      </w:pPr>
      <w:r w:rsidRPr="002D5779">
        <w:rPr>
          <w:b/>
        </w:rPr>
        <w:t>A.</w:t>
      </w:r>
      <w:r w:rsidRPr="002D5779">
        <w:rPr>
          <w:b/>
        </w:rPr>
        <w:tab/>
      </w:r>
      <w:r w:rsidRPr="002D5779" w:rsidR="006A7AB0">
        <w:rPr>
          <w:b/>
        </w:rPr>
        <w:t xml:space="preserve">The PUCO’s reduction of the cap on Duke’s profits (“shared savings”) </w:t>
      </w:r>
      <w:r w:rsidR="00E264B6">
        <w:rPr>
          <w:b/>
        </w:rPr>
        <w:t>charged to customers</w:t>
      </w:r>
      <w:r w:rsidRPr="002D5779" w:rsidR="006A7AB0">
        <w:rPr>
          <w:b/>
        </w:rPr>
        <w:t xml:space="preserve"> is lawful and reasonable.</w:t>
      </w:r>
    </w:p>
    <w:p w:rsidR="006A7AB0" w:rsidRPr="002D5779" w:rsidP="000A32AC" w14:paraId="3036A2D4" w14:textId="19451156">
      <w:pPr>
        <w:spacing w:line="480" w:lineRule="auto"/>
        <w:ind w:firstLine="720"/>
      </w:pPr>
      <w:r w:rsidRPr="002D5779">
        <w:t>In its first assignment of error, Duke argues that the PUCO’s reduction of Duke’s profits (“shared savings”) was unlawful and unreasonable because it violates Ohio Supreme Court and PUCO precedent.</w:t>
      </w:r>
      <w:r>
        <w:rPr>
          <w:rStyle w:val="FootnoteReference"/>
        </w:rPr>
        <w:footnoteReference w:id="5"/>
      </w:r>
      <w:r w:rsidRPr="002D5779">
        <w:t xml:space="preserve"> Duke is incorrect. The PUCO had authority to limit charges to customers for utility profits on energy efficiency.</w:t>
      </w:r>
    </w:p>
    <w:p w:rsidR="006A7AB0" w:rsidRPr="002D5779" w:rsidP="000A32AC" w14:paraId="6F8167FA" w14:textId="50EA8FB1">
      <w:pPr>
        <w:spacing w:line="480" w:lineRule="auto"/>
        <w:ind w:firstLine="720"/>
      </w:pPr>
      <w:r w:rsidRPr="002D5779">
        <w:t xml:space="preserve">In </w:t>
      </w:r>
      <w:r w:rsidRPr="002D5779">
        <w:rPr>
          <w:i/>
          <w:iCs/>
        </w:rPr>
        <w:t>In re Ohio Edison Co.</w:t>
      </w:r>
      <w:r w:rsidRPr="002D5779">
        <w:t>,</w:t>
      </w:r>
      <w:r>
        <w:rPr>
          <w:rStyle w:val="FootnoteReference"/>
        </w:rPr>
        <w:footnoteReference w:id="6"/>
      </w:r>
      <w:r w:rsidRPr="002D5779">
        <w:t xml:space="preserve"> the Supreme Court of Ohio </w:t>
      </w:r>
      <w:r w:rsidR="004C5326">
        <w:t xml:space="preserve">(“Court”) </w:t>
      </w:r>
      <w:r w:rsidRPr="002D5779">
        <w:t xml:space="preserve">considered whether the PUCO has authority to impose a “cost cap” on a utility’s charges to customers for complying with energy efficiency mandates. </w:t>
      </w:r>
      <w:r w:rsidRPr="002D5779" w:rsidR="00456BC4">
        <w:t xml:space="preserve">In the </w:t>
      </w:r>
      <w:r w:rsidRPr="002D5779" w:rsidR="00456BC4">
        <w:rPr>
          <w:i/>
          <w:iCs/>
        </w:rPr>
        <w:t>Ohio Edison</w:t>
      </w:r>
      <w:r w:rsidRPr="002D5779" w:rsidR="00456BC4">
        <w:t xml:space="preserve"> case, the PUCO had imposed a 4% cap on such charges, thereby limiting the amount that FirstEnergy could recover from customers.</w:t>
      </w:r>
      <w:r>
        <w:rPr>
          <w:rStyle w:val="FootnoteReference"/>
        </w:rPr>
        <w:footnoteReference w:id="7"/>
      </w:r>
      <w:r w:rsidRPr="002D5779" w:rsidR="00456BC4">
        <w:t xml:space="preserve"> FirstEnergy agued that this 4% cost cap was unlawful because there was no statutory authority for it. Namely, while R.C. 4928.64 (which applies to renewable energy mandates) explicitly allowed the PUCO to impose a cost cap, R.C. 4928.66 (which applies to energy efficiency mandates) does not. Thus, argued FirstEnergy, the General Assembly did not intend for the PUCO to have authority to impose a cost cap on energy efficiency charges.</w:t>
      </w:r>
      <w:r>
        <w:rPr>
          <w:rStyle w:val="FootnoteReference"/>
        </w:rPr>
        <w:footnoteReference w:id="8"/>
      </w:r>
    </w:p>
    <w:p w:rsidR="006A7AB0" w:rsidRPr="002D5779" w:rsidP="000A32AC" w14:paraId="25FA9664" w14:textId="303B1C4B">
      <w:pPr>
        <w:spacing w:line="480" w:lineRule="auto"/>
        <w:ind w:firstLine="720"/>
      </w:pPr>
      <w:r w:rsidRPr="002D5779">
        <w:t xml:space="preserve">The Court agreed: “[n]either the commission’s order nor its rehearing entry cites any language in R.C. 4928.66 that would authorize the commission to impose a cost-recovery cap </w:t>
      </w:r>
      <w:r w:rsidRPr="002D5779" w:rsidR="00492247">
        <w:t>in</w:t>
      </w:r>
      <w:r w:rsidRPr="002D5779">
        <w:t xml:space="preserve"> this case.”</w:t>
      </w:r>
      <w:r>
        <w:rPr>
          <w:rStyle w:val="FootnoteReference"/>
        </w:rPr>
        <w:footnoteReference w:id="9"/>
      </w:r>
    </w:p>
    <w:p w:rsidR="00456BC4" w:rsidRPr="002D5779" w:rsidP="000A32AC" w14:paraId="2F6D66E6" w14:textId="68709507">
      <w:pPr>
        <w:spacing w:line="480" w:lineRule="auto"/>
        <w:ind w:firstLine="720"/>
      </w:pPr>
      <w:r w:rsidRPr="002D5779">
        <w:t xml:space="preserve">In its Application for Rehearing, Duke attempts to extend this </w:t>
      </w:r>
      <w:r w:rsidR="0050155D">
        <w:t xml:space="preserve">Supreme </w:t>
      </w:r>
      <w:r w:rsidRPr="002D5779">
        <w:t>Court ruling to mean that not only can the PUCO not approve an overall cost cap on energy efficiency costs, but that it cannot separately cap the amount of profit that Duke charges customers in the form of “shared savings.”</w:t>
      </w:r>
      <w:r>
        <w:rPr>
          <w:rStyle w:val="FootnoteReference"/>
        </w:rPr>
        <w:footnoteReference w:id="10"/>
      </w:r>
      <w:r w:rsidRPr="002D5779">
        <w:t xml:space="preserve"> Duke is wrong for several reasons.</w:t>
      </w:r>
    </w:p>
    <w:p w:rsidR="00456BC4" w:rsidRPr="002D5779" w:rsidP="000A32AC" w14:paraId="54163A95" w14:textId="547A73FE">
      <w:pPr>
        <w:spacing w:line="480" w:lineRule="auto"/>
        <w:ind w:firstLine="720"/>
      </w:pPr>
      <w:r w:rsidRPr="002D5779">
        <w:t xml:space="preserve">First, and most fundamentally, </w:t>
      </w:r>
      <w:r w:rsidR="00E264B6">
        <w:t xml:space="preserve">a utility does not have an unequivocal right to </w:t>
      </w:r>
      <w:r w:rsidRPr="002D5779">
        <w:t>shared savings</w:t>
      </w:r>
      <w:r w:rsidR="00E264B6">
        <w:t xml:space="preserve">. Shared savings </w:t>
      </w:r>
      <w:r w:rsidRPr="002D5779">
        <w:t xml:space="preserve">is a </w:t>
      </w:r>
      <w:r w:rsidRPr="002D5779" w:rsidR="00926AA6">
        <w:t xml:space="preserve">PUCO </w:t>
      </w:r>
      <w:r w:rsidRPr="002D5779">
        <w:t>creatio</w:t>
      </w:r>
      <w:r w:rsidRPr="002D5779" w:rsidR="00926AA6">
        <w:t>n, not a statutory right</w:t>
      </w:r>
      <w:r w:rsidRPr="002D5779">
        <w:t xml:space="preserve">. </w:t>
      </w:r>
      <w:r w:rsidRPr="002D5779" w:rsidR="00727FA7">
        <w:t>As the PUCO recently ruled—in a case involving Duke Energy, but not cited in Duke’s Application for Rehearing—“the shared savings provision has no statutory basis.”</w:t>
      </w:r>
      <w:r>
        <w:rPr>
          <w:rStyle w:val="FootnoteReference"/>
        </w:rPr>
        <w:footnoteReference w:id="11"/>
      </w:r>
      <w:r w:rsidRPr="002D5779" w:rsidR="00727FA7">
        <w:t xml:space="preserve"> </w:t>
      </w:r>
      <w:r w:rsidRPr="002D5779">
        <w:t xml:space="preserve">The statute on energy efficiency mandates, R.C. 4928.66, mentions shared savings just once—to explicitly provide that certain types of energy savings shall </w:t>
      </w:r>
      <w:r w:rsidRPr="002D5779">
        <w:rPr>
          <w:i/>
          <w:iCs/>
        </w:rPr>
        <w:t>not</w:t>
      </w:r>
      <w:r w:rsidRPr="002D5779">
        <w:t xml:space="preserve"> be counted for purposes of shared savings.</w:t>
      </w:r>
      <w:r w:rsidRPr="002D5779" w:rsidR="00926AA6">
        <w:t xml:space="preserve"> </w:t>
      </w:r>
      <w:r w:rsidRPr="002D5779">
        <w:t>Duke cites no statute or law guaranteeing it a right to charge customers for shared savings, because there is none. In other words, the PUCO could have rejected Duke’s shared savings proposal altogether and ruled that shared savings shall be zero.</w:t>
      </w:r>
      <w:r w:rsidR="0050155D">
        <w:t xml:space="preserve"> </w:t>
      </w:r>
      <w:r w:rsidRPr="002D5779">
        <w:t>By simple logic, then, if the PUCO could have rejected Duke’s request for shared savings in its entirety, it can certainly impose a limit on such charges.</w:t>
      </w:r>
    </w:p>
    <w:p w:rsidR="003E06F9" w:rsidP="000A32AC" w14:paraId="32FEEBB4" w14:textId="77777777">
      <w:pPr>
        <w:spacing w:line="480" w:lineRule="auto"/>
        <w:ind w:firstLine="720"/>
      </w:pPr>
      <w:r w:rsidRPr="002D5779">
        <w:t xml:space="preserve">Second, </w:t>
      </w:r>
      <w:r w:rsidR="00E264B6">
        <w:t xml:space="preserve">contrary to Duke’s assertion, </w:t>
      </w:r>
      <w:r w:rsidRPr="002D5779">
        <w:t xml:space="preserve">the PUCO’s limit on Duke’s shared savings is consistent with </w:t>
      </w:r>
      <w:r w:rsidRPr="002D5779">
        <w:rPr>
          <w:i/>
          <w:iCs/>
        </w:rPr>
        <w:t>Ohio Edison</w:t>
      </w:r>
      <w:r w:rsidRPr="002D5779">
        <w:t xml:space="preserve">. Under the </w:t>
      </w:r>
      <w:r w:rsidRPr="002D5779">
        <w:rPr>
          <w:i/>
          <w:iCs/>
        </w:rPr>
        <w:t>Ohio Edison</w:t>
      </w:r>
      <w:r w:rsidRPr="002D5779">
        <w:t xml:space="preserve"> ruling, the case was remanded to the PUCO “for approval of the portfolio plans without the cap on cost recovery.”</w:t>
      </w:r>
      <w:r>
        <w:rPr>
          <w:rStyle w:val="FootnoteReference"/>
        </w:rPr>
        <w:footnoteReference w:id="12"/>
      </w:r>
      <w:r w:rsidRPr="002D5779">
        <w:t xml:space="preserve"> The Entry on Rehearing accomplishes this. </w:t>
      </w:r>
    </w:p>
    <w:p w:rsidR="00456BC4" w:rsidRPr="002D5779" w:rsidP="000A32AC" w14:paraId="69BE7CA9" w14:textId="61CBC83C">
      <w:pPr>
        <w:spacing w:line="480" w:lineRule="auto"/>
        <w:ind w:firstLine="720"/>
      </w:pPr>
      <w:r w:rsidRPr="002D5779">
        <w:t xml:space="preserve">Under the PUCO’s Entry on Rehearing, Duke will be able to </w:t>
      </w:r>
      <w:r w:rsidR="003E06F9">
        <w:t xml:space="preserve">collect from consumers </w:t>
      </w:r>
      <w:r w:rsidRPr="002D5779">
        <w:t>every cent of prudently-incurred costs —with no cap—plus $7.8 million (pre-tax) for utility profits. Further, Duke claims in its Application for Rehearing that the Court “clearly indicated that shared savings ... constituted a portion of the costs of compliance with the statutory benchmarks.”</w:t>
      </w:r>
      <w:r>
        <w:rPr>
          <w:rStyle w:val="FootnoteReference"/>
        </w:rPr>
        <w:footnoteReference w:id="13"/>
      </w:r>
      <w:r w:rsidRPr="002D5779">
        <w:t xml:space="preserve"> The Court did no such thing. It accurately described shared savings a</w:t>
      </w:r>
      <w:r w:rsidR="00BC67E7">
        <w:t>s:</w:t>
      </w:r>
      <w:r w:rsidR="00806A9E">
        <w:t xml:space="preserve"> </w:t>
      </w:r>
      <w:r w:rsidRPr="002D5779">
        <w:t>“an incentive payment from customers to the utility.”</w:t>
      </w:r>
      <w:r>
        <w:rPr>
          <w:rStyle w:val="FootnoteReference"/>
        </w:rPr>
        <w:footnoteReference w:id="14"/>
      </w:r>
      <w:r w:rsidRPr="002D5779">
        <w:t xml:space="preserve"> It said nothing whatsoever about shared savings being a statutory cost of compliance with energy efficiency because, as explained, it is not.</w:t>
      </w:r>
    </w:p>
    <w:p w:rsidR="00727FA7" w:rsidRPr="002D5779" w:rsidP="000A32AC" w14:paraId="13158A08" w14:textId="5F4A7505">
      <w:pPr>
        <w:spacing w:line="480" w:lineRule="auto"/>
        <w:ind w:firstLine="720"/>
      </w:pPr>
      <w:r w:rsidRPr="002D5779">
        <w:t>Third, shared savings cannot be a cost of complying with mandates because it is not a “cost” that Duke incurs at all (though of course, when customers pay it, it is a cost to those customers). Shared savings is a form of utility profits. When customers pay shared savings to Duke, they are not paying for any cost or expense that Duke has incurred. In other words, 100% of shared savings goes directly to Duke’s shareholders in the form of profits.</w:t>
      </w:r>
    </w:p>
    <w:p w:rsidR="00727FA7" w:rsidRPr="002D5779" w:rsidP="000A32AC" w14:paraId="3E57BEDF" w14:textId="71FF5F72">
      <w:pPr>
        <w:spacing w:line="480" w:lineRule="auto"/>
        <w:ind w:firstLine="720"/>
      </w:pPr>
      <w:r w:rsidRPr="002D5779">
        <w:t xml:space="preserve">Fourth, the PUCO has previously found that shared savings is designed to give the utility an incentive to achieve energy savings </w:t>
      </w:r>
      <w:r w:rsidRPr="002D5779">
        <w:rPr>
          <w:i/>
          <w:iCs/>
        </w:rPr>
        <w:t>above</w:t>
      </w:r>
      <w:r w:rsidRPr="002D5779">
        <w:t xml:space="preserve"> the statutory minimum.</w:t>
      </w:r>
      <w:r>
        <w:rPr>
          <w:rStyle w:val="FootnoteReference"/>
        </w:rPr>
        <w:footnoteReference w:id="15"/>
      </w:r>
      <w:r w:rsidRPr="002D5779">
        <w:t xml:space="preserve"> </w:t>
      </w:r>
      <w:r w:rsidRPr="002D5779" w:rsidR="00052408">
        <w:t>Indeed, Duke (like other utilities) only earns shared savings in the first place if it exceeds the statutory minimum, not simply for meeting it.</w:t>
      </w:r>
      <w:r>
        <w:rPr>
          <w:rStyle w:val="FootnoteReference"/>
        </w:rPr>
        <w:footnoteReference w:id="16"/>
      </w:r>
      <w:r w:rsidRPr="002D5779" w:rsidR="00052408">
        <w:t xml:space="preserve"> </w:t>
      </w:r>
      <w:r w:rsidRPr="002D5779">
        <w:t>Thus, it is not associated with the utility meeting the statutory benchmark for purposes of compliance.</w:t>
      </w:r>
    </w:p>
    <w:p w:rsidR="00926AA6" w:rsidRPr="002D5779" w:rsidP="000A32AC" w14:paraId="3228B3F1" w14:textId="3A025FF9">
      <w:pPr>
        <w:spacing w:line="480" w:lineRule="auto"/>
        <w:ind w:firstLine="720"/>
      </w:pPr>
      <w:r w:rsidRPr="002D5779">
        <w:t xml:space="preserve">On rehearing, the PUCO should reaffirm that customers cannot pay more than $7.8 million (pre-tax) for utility profits on energy efficiency. </w:t>
      </w:r>
    </w:p>
    <w:p w:rsidR="00996F0C" w:rsidRPr="002D5779" w:rsidP="007D2BB9" w14:paraId="42FFCF5B" w14:textId="53A1CE1B">
      <w:pPr>
        <w:keepNext/>
        <w:keepLines/>
        <w:spacing w:after="240"/>
        <w:ind w:left="1440" w:hanging="720"/>
        <w:rPr>
          <w:b/>
        </w:rPr>
      </w:pPr>
      <w:r>
        <w:rPr>
          <w:b/>
        </w:rPr>
        <w:t>B</w:t>
      </w:r>
      <w:r w:rsidRPr="002D5779" w:rsidR="007F72FB">
        <w:rPr>
          <w:b/>
        </w:rPr>
        <w:t>.</w:t>
      </w:r>
      <w:r w:rsidRPr="002D5779" w:rsidR="007F72FB">
        <w:rPr>
          <w:b/>
        </w:rPr>
        <w:tab/>
      </w:r>
      <w:r w:rsidRPr="002D5779" w:rsidR="00A77127">
        <w:rPr>
          <w:b/>
        </w:rPr>
        <w:t>Duke should not be allowed to charge customers for so-called “lost revenues” that occur after 2020.</w:t>
      </w:r>
    </w:p>
    <w:p w:rsidR="00926AA6" w:rsidRPr="002D5779" w:rsidP="000A32AC" w14:paraId="057809F7" w14:textId="300D9C54">
      <w:pPr>
        <w:spacing w:line="480" w:lineRule="auto"/>
        <w:ind w:firstLine="720"/>
      </w:pPr>
      <w:r w:rsidRPr="002D5779">
        <w:t>Duke claims that despite its programs ending in 2020, and despite the legislative prohibition on continuing charges to customers for its energy efficiency programs, it should nonetheless be allowed to continue charging customers for so-called “lost revenues” for three more years (2021-2023).</w:t>
      </w:r>
      <w:r>
        <w:rPr>
          <w:rStyle w:val="FootnoteReference"/>
        </w:rPr>
        <w:footnoteReference w:id="17"/>
      </w:r>
      <w:r w:rsidRPr="002D5779">
        <w:t xml:space="preserve"> For example, if a customer installs an LED light bulb in December 2020, Duke would assume that the customer saves energy for three years and charge all customers for the difference between the energy that the customer actually used (</w:t>
      </w:r>
      <w:r w:rsidRPr="002D5779">
        <w:rPr>
          <w:i/>
          <w:iCs/>
        </w:rPr>
        <w:t>i.e.</w:t>
      </w:r>
      <w:r w:rsidRPr="002D5779">
        <w:t>, the lower amount used by an LED bulb) and the amount the customer would have used otherwise (</w:t>
      </w:r>
      <w:r w:rsidRPr="002D5779">
        <w:rPr>
          <w:i/>
          <w:iCs/>
        </w:rPr>
        <w:t>i.e.</w:t>
      </w:r>
      <w:r w:rsidRPr="002D5779">
        <w:t>, the higher amount used by a halogen or incandescent bulb).</w:t>
      </w:r>
    </w:p>
    <w:p w:rsidR="00295E8A" w:rsidRPr="002D5779" w:rsidP="000A32AC" w14:paraId="15330E45" w14:textId="46447FD0">
      <w:pPr>
        <w:spacing w:line="480" w:lineRule="auto"/>
        <w:ind w:firstLine="720"/>
      </w:pPr>
      <w:r w:rsidRPr="002D5779">
        <w:t>The law does not allow this. Under R.C. 4928.66(G)(3), Duke’s charges to customers for energy efficiency “shall terminate except as may be necessary to reconcile the difference between revenue collected and the allowable cost of compliance associated with compliance efforts occurring prior to” full compliance with the law’s statutory mandates.</w:t>
      </w:r>
      <w:r w:rsidRPr="002D5779" w:rsidR="004D75A6">
        <w:t xml:space="preserve"> Under this statute, Duke would have to establish that its so-called lost revenues—which would not even occur until 2021-2023—are somehow a “cost of compliance associated with” mandates that ended in 2020. This cannot possibly be the case. </w:t>
      </w:r>
      <w:r w:rsidRPr="002D5779" w:rsidR="00955A16">
        <w:t>Once the mandates have been met—which will occur by year end 2020—it would be logically impossible for Duke to incur costs in 2021, 2022, and 2023 to meet such mandates. The PUCO should reject Duke’s claim that it can continue accrue new lost revenues in 2021, 2022, and 2023 and charge customers for those</w:t>
      </w:r>
      <w:r w:rsidR="00123F59">
        <w:t xml:space="preserve"> reductions in usage</w:t>
      </w:r>
      <w:r w:rsidRPr="002D5779" w:rsidR="00955A16">
        <w:t>. This would violate R.C. 4928.66(G)(3).</w:t>
      </w:r>
      <w:r w:rsidR="00FA53A2">
        <w:t xml:space="preserve"> </w:t>
      </w:r>
      <w:r w:rsidR="001B64D7">
        <w:t>Duke’s rehearing request should be denied.</w:t>
      </w:r>
    </w:p>
    <w:p w:rsidR="00955A16" w:rsidRPr="002D5779" w:rsidP="002671A7" w14:paraId="18782550" w14:textId="4A37EFC6">
      <w:pPr>
        <w:keepNext/>
        <w:keepLines/>
        <w:spacing w:after="240"/>
        <w:ind w:left="1440" w:hanging="720"/>
        <w:rPr>
          <w:b/>
          <w:bCs/>
        </w:rPr>
      </w:pPr>
      <w:r>
        <w:rPr>
          <w:b/>
          <w:bCs/>
        </w:rPr>
        <w:t>C</w:t>
      </w:r>
      <w:r w:rsidRPr="002D5779">
        <w:rPr>
          <w:b/>
          <w:bCs/>
        </w:rPr>
        <w:t>.</w:t>
      </w:r>
      <w:r w:rsidRPr="002D5779">
        <w:rPr>
          <w:b/>
          <w:bCs/>
        </w:rPr>
        <w:tab/>
      </w:r>
      <w:r w:rsidRPr="002D5779" w:rsidR="002671A7">
        <w:rPr>
          <w:b/>
          <w:bCs/>
        </w:rPr>
        <w:t xml:space="preserve">The PUCO should </w:t>
      </w:r>
      <w:r w:rsidR="000931CB">
        <w:rPr>
          <w:b/>
          <w:bCs/>
        </w:rPr>
        <w:t>rule</w:t>
      </w:r>
      <w:r w:rsidRPr="002D5779" w:rsidR="000931CB">
        <w:rPr>
          <w:b/>
          <w:bCs/>
        </w:rPr>
        <w:t xml:space="preserve"> </w:t>
      </w:r>
      <w:r w:rsidRPr="002D5779" w:rsidR="002671A7">
        <w:rPr>
          <w:b/>
          <w:bCs/>
        </w:rPr>
        <w:t xml:space="preserve">that any final reconciliation under R.C. 4928.66(G)(3) includes, where applicable, credits to customers </w:t>
      </w:r>
      <w:r w:rsidR="00123F59">
        <w:rPr>
          <w:b/>
          <w:bCs/>
        </w:rPr>
        <w:t>for</w:t>
      </w:r>
      <w:r w:rsidRPr="002D5779" w:rsidR="002671A7">
        <w:rPr>
          <w:b/>
          <w:bCs/>
        </w:rPr>
        <w:t xml:space="preserve"> overcollections, including overcollection of utility profits.</w:t>
      </w:r>
    </w:p>
    <w:p w:rsidR="00EE0421" w:rsidRPr="002D5779" w:rsidP="000A32AC" w14:paraId="7F8C212E" w14:textId="20BC878A">
      <w:pPr>
        <w:spacing w:line="480" w:lineRule="auto"/>
        <w:ind w:firstLine="720"/>
      </w:pPr>
      <w:r w:rsidRPr="002D5779">
        <w:t xml:space="preserve">Under R.C. 4928.66(G)(3), energy efficiency charges are required to end after 2020, “except as may be necessary to reconcile the difference between revenue collected and the allowable cost of compliance associated with compliance efforts occurring prior to the date upon which full compliance” with </w:t>
      </w:r>
      <w:r w:rsidRPr="002D5779" w:rsidR="00935EAF">
        <w:t>the prior statutory energy efficiency mandates.</w:t>
      </w:r>
    </w:p>
    <w:p w:rsidR="0025204E" w:rsidP="000A32AC" w14:paraId="4872CAD4" w14:textId="166833E7">
      <w:pPr>
        <w:spacing w:line="480" w:lineRule="auto"/>
        <w:ind w:firstLine="720"/>
      </w:pPr>
      <w:r w:rsidRPr="002D5779">
        <w:t>In its Application for Rehearing,</w:t>
      </w:r>
      <w:r>
        <w:rPr>
          <w:rStyle w:val="FootnoteReference"/>
        </w:rPr>
        <w:footnoteReference w:id="18"/>
      </w:r>
      <w:r w:rsidRPr="002D5779">
        <w:t xml:space="preserve"> Duke asks the PUCO to clarify that when the PUCO</w:t>
      </w:r>
      <w:r w:rsidRPr="002D5779" w:rsidR="00935EAF">
        <w:t xml:space="preserve"> performs this final reconciliation, it be allowed to collect all shared savings (utility profits) that it earned through the end of 2020. </w:t>
      </w:r>
      <w:r>
        <w:t>As an initial matter, a request for clarification is not permitted under R.C. 4903.10, which allows a party to apply for rehearing only if the order is “unreasonable or unlawful.” Duke, in asking for the PUCO to clarify its order, is not asserting that the order was unreasonable or unlawful, as required by R.C. 4903.10.</w:t>
      </w:r>
      <w:r>
        <w:rPr>
          <w:rStyle w:val="FootnoteReference"/>
        </w:rPr>
        <w:footnoteReference w:id="19"/>
      </w:r>
    </w:p>
    <w:p w:rsidR="00955A16" w:rsidRPr="002D5779" w:rsidP="000A32AC" w14:paraId="229A5467" w14:textId="24E45021">
      <w:pPr>
        <w:spacing w:line="480" w:lineRule="auto"/>
        <w:ind w:firstLine="720"/>
      </w:pPr>
      <w:r>
        <w:t>But i</w:t>
      </w:r>
      <w:r w:rsidRPr="002D5779" w:rsidR="00935EAF">
        <w:t xml:space="preserve">f the PUCO deems such a clarification necessary, it should similarly </w:t>
      </w:r>
      <w:r>
        <w:t>state</w:t>
      </w:r>
      <w:r w:rsidRPr="002D5779" w:rsidR="00935EAF">
        <w:t xml:space="preserve"> that as part of the final reconciliation, customers will receive a credit for any overcollection by Duke</w:t>
      </w:r>
      <w:r w:rsidR="00123F59">
        <w:t>. This should</w:t>
      </w:r>
      <w:r w:rsidRPr="002D5779" w:rsidR="00935EAF">
        <w:t xml:space="preserve"> includ</w:t>
      </w:r>
      <w:r w:rsidR="00123F59">
        <w:t>e</w:t>
      </w:r>
      <w:r w:rsidRPr="002D5779" w:rsidR="00935EAF">
        <w:t xml:space="preserve"> any charges for shared savings that exceed the amount approved in the Entry on Rehearing and any other amounts that the PUCO finds were imprudently incurred.</w:t>
      </w:r>
    </w:p>
    <w:p w:rsidR="00FB2CE6" w:rsidRPr="002D5779" w:rsidP="00FB2CE6" w14:paraId="3AA9E9B2" w14:textId="2DD4B6ED">
      <w:pPr>
        <w:keepNext/>
        <w:keepLines/>
        <w:spacing w:after="240"/>
        <w:ind w:left="1440" w:hanging="720"/>
        <w:rPr>
          <w:b/>
        </w:rPr>
      </w:pPr>
      <w:r>
        <w:rPr>
          <w:b/>
        </w:rPr>
        <w:t>D</w:t>
      </w:r>
      <w:r w:rsidRPr="002D5779" w:rsidR="007F72FB">
        <w:rPr>
          <w:b/>
        </w:rPr>
        <w:t>.</w:t>
      </w:r>
      <w:r w:rsidRPr="002D5779" w:rsidR="007F72FB">
        <w:rPr>
          <w:b/>
        </w:rPr>
        <w:tab/>
        <w:t>Duke’s Application for Rehearing is unlawful as applied to the other electric distribution utilities.</w:t>
      </w:r>
    </w:p>
    <w:p w:rsidR="00FB2CE6" w:rsidRPr="002D5779" w:rsidP="000A32AC" w14:paraId="23772390" w14:textId="27C57E54">
      <w:pPr>
        <w:spacing w:line="480" w:lineRule="auto"/>
        <w:ind w:firstLine="720"/>
      </w:pPr>
      <w:r w:rsidRPr="002D5779">
        <w:t>Duke filed its Application in four separate dockets: Case No. 16-574-EL-POR (AEP’s energy efficiency portfolio), Case No. 16-576-EL-POR (Duke’s portfolio), Case No. 16-743-EL-POR (FirstEnergy’s portfolio), and Case No. 17-1398-EL-POR (DP&amp;L’s portfolio).</w:t>
      </w:r>
    </w:p>
    <w:p w:rsidR="00FB2CE6" w:rsidP="000A32AC" w14:paraId="2C9C133F" w14:textId="04372881">
      <w:pPr>
        <w:spacing w:line="480" w:lineRule="auto"/>
        <w:ind w:firstLine="720"/>
      </w:pPr>
      <w:r w:rsidRPr="002D5779">
        <w:t xml:space="preserve">By law, Duke </w:t>
      </w:r>
      <w:r w:rsidRPr="002D5779" w:rsidR="001A4AF6">
        <w:t>may</w:t>
      </w:r>
      <w:r w:rsidRPr="002D5779">
        <w:t xml:space="preserve"> seek rehearing only with respect to its own case, Case No. 16-576-EL-POR. Under R.C. 4903.10, only a “party who has entered an appearance in person or by counsel in the proceeding may apply for a rehearing.” Duke is not a party to Case No. 16-574-EL-POR (AEP’s case), Case No. 16-743-EL-POR (FirstEnergy’s case), or Case No. 17-1398-EL-POR (DP&amp;L’s case)</w:t>
      </w:r>
      <w:r w:rsidR="00591BFF">
        <w:t>.</w:t>
      </w:r>
      <w:r w:rsidRPr="002D5779">
        <w:t xml:space="preserve"> </w:t>
      </w:r>
      <w:r w:rsidR="00591BFF">
        <w:t>It</w:t>
      </w:r>
      <w:r w:rsidRPr="002D5779">
        <w:t xml:space="preserve"> never moved to intervene in any of those cases. Thus, Duke lacks standing to challenge the </w:t>
      </w:r>
      <w:r w:rsidRPr="002D5779" w:rsidR="001A4AF6">
        <w:t>Entry on Rehearing</w:t>
      </w:r>
      <w:r w:rsidRPr="002D5779">
        <w:t xml:space="preserve"> </w:t>
      </w:r>
      <w:r w:rsidRPr="002D5779" w:rsidR="001A4AF6">
        <w:t>as part of AEP, Duke, and DP&amp;L’s cases</w:t>
      </w:r>
      <w:r w:rsidRPr="002D5779">
        <w:t>.</w:t>
      </w:r>
      <w:r>
        <w:rPr>
          <w:rStyle w:val="FootnoteReference"/>
        </w:rPr>
        <w:footnoteReference w:id="20"/>
      </w:r>
      <w:r w:rsidR="001B64D7">
        <w:t xml:space="preserve"> Duke’s rehearing request in the dockets where Duke is not a party should be denied.</w:t>
      </w:r>
    </w:p>
    <w:p w:rsidR="00FA53A2" w:rsidRPr="002D5779" w:rsidP="00FA53A2" w14:paraId="53198D31" w14:textId="77777777">
      <w:pPr>
        <w:ind w:firstLine="720"/>
      </w:pPr>
    </w:p>
    <w:p w:rsidR="008E2B12" w:rsidRPr="002D5779" w:rsidP="005A7BFA" w14:paraId="11268D0E" w14:textId="77777777">
      <w:pPr>
        <w:pStyle w:val="Heading1"/>
        <w:rPr>
          <w:rFonts w:ascii="Times New Roman" w:hAnsi="Times New Roman" w:cs="Times New Roman"/>
          <w:szCs w:val="24"/>
        </w:rPr>
      </w:pPr>
      <w:bookmarkStart w:id="1" w:name="_Toc25592399"/>
      <w:bookmarkStart w:id="2" w:name="_Toc25592680"/>
      <w:bookmarkStart w:id="3" w:name="_Toc25592801"/>
      <w:bookmarkStart w:id="4" w:name="_Toc25593121"/>
      <w:r w:rsidRPr="002D5779">
        <w:rPr>
          <w:rFonts w:ascii="Times New Roman" w:hAnsi="Times New Roman" w:cs="Times New Roman"/>
          <w:szCs w:val="24"/>
        </w:rPr>
        <w:t>II.</w:t>
      </w:r>
      <w:r w:rsidRPr="002D5779">
        <w:rPr>
          <w:rFonts w:ascii="Times New Roman" w:hAnsi="Times New Roman" w:cs="Times New Roman"/>
          <w:szCs w:val="24"/>
        </w:rPr>
        <w:tab/>
        <w:t>CONCLUSION</w:t>
      </w:r>
      <w:bookmarkEnd w:id="1"/>
      <w:bookmarkEnd w:id="2"/>
      <w:bookmarkEnd w:id="3"/>
      <w:bookmarkEnd w:id="4"/>
    </w:p>
    <w:p w:rsidR="00FA53A2" w:rsidP="00F3037C" w14:paraId="0EFE0318" w14:textId="6FA0DCC8">
      <w:pPr>
        <w:spacing w:line="480" w:lineRule="auto"/>
        <w:ind w:firstLine="720"/>
      </w:pPr>
      <w:r w:rsidRPr="002D5779">
        <w:t>For the reasons described above, and to protect consumers</w:t>
      </w:r>
      <w:r w:rsidR="00123F59">
        <w:t xml:space="preserve"> from unwarranted charges</w:t>
      </w:r>
      <w:r w:rsidRPr="002D5779">
        <w:t>, the PUCO should deny Duke’s Application for Rehearing.</w:t>
      </w:r>
    </w:p>
    <w:p w:rsidR="00FA53A2" w14:paraId="0942D13B" w14:textId="77777777">
      <w:r>
        <w:br w:type="page"/>
      </w:r>
    </w:p>
    <w:p w:rsidR="0037304E" w:rsidRPr="002D5779" w:rsidP="0037304E" w14:paraId="7E5580B8" w14:textId="622237D4">
      <w:pPr>
        <w:ind w:firstLine="4320"/>
        <w:rPr>
          <w:rFonts w:eastAsia="Times New Roman"/>
        </w:rPr>
      </w:pPr>
      <w:r w:rsidRPr="002D5779">
        <w:rPr>
          <w:rFonts w:eastAsia="Times New Roman"/>
        </w:rPr>
        <w:t>Respectfully submitted,</w:t>
      </w:r>
    </w:p>
    <w:p w:rsidR="0037304E" w:rsidRPr="002D5779" w:rsidP="0037304E" w14:paraId="31380616" w14:textId="77777777">
      <w:pPr>
        <w:ind w:firstLine="4320"/>
      </w:pPr>
    </w:p>
    <w:p w:rsidR="0037304E" w:rsidRPr="002D5779" w:rsidP="0037304E" w14:paraId="4D4E3B8E" w14:textId="77777777">
      <w:pPr>
        <w:ind w:firstLine="4320"/>
      </w:pPr>
      <w:r w:rsidRPr="002D5779">
        <w:t>Bruce Weston (0016973)</w:t>
      </w:r>
    </w:p>
    <w:p w:rsidR="0037304E" w:rsidRPr="002D5779" w:rsidP="0037304E" w14:paraId="4D4F8DF4" w14:textId="77777777">
      <w:pPr>
        <w:tabs>
          <w:tab w:val="left" w:pos="4320"/>
        </w:tabs>
        <w:ind w:left="4320"/>
      </w:pPr>
      <w:r w:rsidRPr="002D5779">
        <w:t>Ohio Consumers' Counsel</w:t>
      </w:r>
    </w:p>
    <w:p w:rsidR="0037304E" w:rsidRPr="002D5779" w:rsidP="0037304E" w14:paraId="00059B8B" w14:textId="77777777">
      <w:pPr>
        <w:tabs>
          <w:tab w:val="left" w:pos="4320"/>
        </w:tabs>
        <w:ind w:left="4320"/>
      </w:pPr>
    </w:p>
    <w:p w:rsidR="0037304E" w:rsidRPr="002D5779" w:rsidP="0037304E" w14:paraId="722CC510" w14:textId="77777777">
      <w:pPr>
        <w:autoSpaceDE w:val="0"/>
        <w:autoSpaceDN w:val="0"/>
        <w:adjustRightInd w:val="0"/>
        <w:ind w:left="4320"/>
        <w:rPr>
          <w:u w:val="single"/>
        </w:rPr>
      </w:pPr>
      <w:r w:rsidRPr="002D5779">
        <w:rPr>
          <w:u w:val="single"/>
        </w:rPr>
        <w:t xml:space="preserve">/s/ </w:t>
      </w:r>
      <w:r w:rsidRPr="002D5779">
        <w:rPr>
          <w:i/>
          <w:u w:val="single"/>
        </w:rPr>
        <w:t>Christopher Healey</w:t>
      </w:r>
      <w:r w:rsidRPr="002D5779">
        <w:rPr>
          <w:u w:val="single"/>
        </w:rPr>
        <w:tab/>
      </w:r>
      <w:r w:rsidRPr="002D5779">
        <w:rPr>
          <w:u w:val="single"/>
        </w:rPr>
        <w:tab/>
      </w:r>
      <w:r w:rsidRPr="002D5779">
        <w:rPr>
          <w:u w:val="single"/>
        </w:rPr>
        <w:tab/>
      </w:r>
    </w:p>
    <w:p w:rsidR="0037304E" w:rsidRPr="002D5779" w:rsidP="0037304E" w14:paraId="3A90DF0A" w14:textId="77777777">
      <w:pPr>
        <w:autoSpaceDE w:val="0"/>
        <w:autoSpaceDN w:val="0"/>
        <w:adjustRightInd w:val="0"/>
        <w:ind w:left="4320"/>
      </w:pPr>
      <w:r w:rsidRPr="002D5779">
        <w:t>Christopher Healey (0086027)</w:t>
      </w:r>
      <w:r w:rsidRPr="002D5779">
        <w:br/>
        <w:t>Counsel of Record</w:t>
      </w:r>
    </w:p>
    <w:p w:rsidR="000C3C2C" w:rsidRPr="002D5779" w:rsidP="0037304E" w14:paraId="62C95D5F" w14:textId="77777777">
      <w:pPr>
        <w:autoSpaceDE w:val="0"/>
        <w:autoSpaceDN w:val="0"/>
        <w:adjustRightInd w:val="0"/>
        <w:ind w:left="4320"/>
      </w:pPr>
      <w:r w:rsidRPr="002D5779">
        <w:t>Assistant Consumers’ Counsel</w:t>
      </w:r>
    </w:p>
    <w:p w:rsidR="0037304E" w:rsidRPr="002D5779" w:rsidP="0037304E" w14:paraId="620FDE13" w14:textId="77777777">
      <w:pPr>
        <w:tabs>
          <w:tab w:val="left" w:pos="4320"/>
        </w:tabs>
        <w:ind w:left="4320"/>
      </w:pPr>
    </w:p>
    <w:p w:rsidR="0037304E" w:rsidRPr="002D5779" w:rsidP="0037304E" w14:paraId="15C77392" w14:textId="77777777">
      <w:pPr>
        <w:ind w:left="4320"/>
        <w:rPr>
          <w:b/>
        </w:rPr>
      </w:pPr>
      <w:r w:rsidRPr="002D5779">
        <w:rPr>
          <w:b/>
        </w:rPr>
        <w:t>Office of the Ohio Consumers' Counsel</w:t>
      </w:r>
    </w:p>
    <w:p w:rsidR="0037304E" w:rsidRPr="002D5779" w:rsidP="0037304E" w14:paraId="1FA95466" w14:textId="77777777">
      <w:pPr>
        <w:ind w:left="4320"/>
      </w:pPr>
      <w:r w:rsidRPr="002D5779">
        <w:t>65 East State Street, 7th Floor</w:t>
      </w:r>
    </w:p>
    <w:p w:rsidR="0037304E" w:rsidRPr="002D5779" w:rsidP="0037304E" w14:paraId="3E1794E9" w14:textId="77777777">
      <w:pPr>
        <w:ind w:left="4320"/>
      </w:pPr>
      <w:r w:rsidRPr="002D5779">
        <w:t>Columbus, Ohio 43215</w:t>
      </w:r>
    </w:p>
    <w:p w:rsidR="0037304E" w:rsidRPr="002D5779" w:rsidP="0037304E" w14:paraId="29B88FE7" w14:textId="77777777">
      <w:pPr>
        <w:autoSpaceDE w:val="0"/>
        <w:autoSpaceDN w:val="0"/>
        <w:adjustRightInd w:val="0"/>
        <w:ind w:left="3600" w:firstLine="720"/>
      </w:pPr>
      <w:r w:rsidRPr="002D5779">
        <w:t>Telephone: (614) 466-9571</w:t>
      </w:r>
    </w:p>
    <w:p w:rsidR="0037304E" w:rsidRPr="002D5779" w:rsidP="0037304E" w14:paraId="287561EB" w14:textId="77777777">
      <w:pPr>
        <w:ind w:left="4320"/>
      </w:pPr>
      <w:hyperlink r:id="rId7" w:history="1">
        <w:r w:rsidRPr="002D5779" w:rsidR="00242405">
          <w:rPr>
            <w:rStyle w:val="Hyperlink"/>
          </w:rPr>
          <w:t>christopher.healey@occ.ohio.gov</w:t>
        </w:r>
      </w:hyperlink>
    </w:p>
    <w:p w:rsidR="0037304E" w:rsidRPr="002D5779" w:rsidP="0037304E" w14:paraId="3A3A3569" w14:textId="77777777">
      <w:pPr>
        <w:ind w:left="4320"/>
      </w:pPr>
      <w:r w:rsidRPr="002D5779">
        <w:t>(willing to accept service by e-mail)</w:t>
      </w:r>
    </w:p>
    <w:p w:rsidR="00F02B94" w:rsidRPr="002D5779" w14:paraId="661FCA18" w14:textId="77777777">
      <w:r w:rsidRPr="002D5779">
        <w:br w:type="page"/>
      </w:r>
    </w:p>
    <w:p w:rsidR="00F02B94" w:rsidRPr="002D5779" w:rsidP="00F02B94" w14:paraId="6C98E976" w14:textId="77777777">
      <w:pPr>
        <w:jc w:val="center"/>
        <w:rPr>
          <w:rFonts w:eastAsiaTheme="minorEastAsia"/>
          <w:b/>
          <w:u w:val="single"/>
        </w:rPr>
      </w:pPr>
      <w:r w:rsidRPr="002D5779">
        <w:rPr>
          <w:rFonts w:eastAsiaTheme="minorEastAsia"/>
          <w:b/>
          <w:u w:val="single"/>
        </w:rPr>
        <w:t>CERTIFICATE OF SERVICE</w:t>
      </w:r>
    </w:p>
    <w:p w:rsidR="00F02B94" w:rsidRPr="002D5779" w:rsidP="00F02B94" w14:paraId="41413F8A" w14:textId="77777777">
      <w:pPr>
        <w:jc w:val="center"/>
        <w:rPr>
          <w:rFonts w:eastAsiaTheme="minorEastAsia"/>
          <w:b/>
          <w:u w:val="single"/>
        </w:rPr>
      </w:pPr>
    </w:p>
    <w:p w:rsidR="00F02B94" w:rsidRPr="002D5779" w:rsidP="00F02B94" w14:paraId="7F2F6BB8" w14:textId="60C1623A">
      <w:pPr>
        <w:spacing w:line="360" w:lineRule="auto"/>
        <w:ind w:firstLine="720"/>
        <w:rPr>
          <w:rFonts w:eastAsiaTheme="minorEastAsia"/>
        </w:rPr>
      </w:pPr>
      <w:r w:rsidRPr="002D5779">
        <w:rPr>
          <w:rFonts w:eastAsiaTheme="minorEastAsia"/>
        </w:rPr>
        <w:t xml:space="preserve">I hereby certify that a copy of the foregoing </w:t>
      </w:r>
      <w:r w:rsidRPr="002D5779" w:rsidR="00A878DC">
        <w:rPr>
          <w:rFonts w:eastAsiaTheme="minorEastAsia"/>
        </w:rPr>
        <w:t>Memorandum Contra</w:t>
      </w:r>
      <w:r w:rsidRPr="002D5779">
        <w:rPr>
          <w:rFonts w:eastAsiaTheme="minorEastAsia"/>
        </w:rPr>
        <w:t xml:space="preserve"> was served on the persons stated below via electronic transmission, this </w:t>
      </w:r>
      <w:r w:rsidRPr="002D5779" w:rsidR="002D5779">
        <w:rPr>
          <w:rFonts w:eastAsiaTheme="minorEastAsia"/>
        </w:rPr>
        <w:t>28</w:t>
      </w:r>
      <w:r w:rsidRPr="002D5779">
        <w:rPr>
          <w:rFonts w:eastAsiaTheme="minorEastAsia"/>
        </w:rPr>
        <w:t xml:space="preserve">th day of </w:t>
      </w:r>
      <w:r w:rsidRPr="002D5779" w:rsidR="002D5779">
        <w:rPr>
          <w:rFonts w:eastAsiaTheme="minorEastAsia"/>
        </w:rPr>
        <w:t>December</w:t>
      </w:r>
      <w:r w:rsidRPr="002D5779" w:rsidR="00A878DC">
        <w:rPr>
          <w:rFonts w:eastAsiaTheme="minorEastAsia"/>
        </w:rPr>
        <w:t xml:space="preserve"> 2020</w:t>
      </w:r>
      <w:r w:rsidRPr="002D5779">
        <w:rPr>
          <w:rFonts w:eastAsiaTheme="minorEastAsia"/>
        </w:rPr>
        <w:t>.</w:t>
      </w:r>
    </w:p>
    <w:p w:rsidR="00F02B94" w:rsidRPr="002D5779" w:rsidP="00F02B94" w14:paraId="594462D6" w14:textId="77777777">
      <w:pPr>
        <w:spacing w:line="360" w:lineRule="auto"/>
        <w:ind w:firstLine="720"/>
        <w:rPr>
          <w:rFonts w:eastAsiaTheme="minorEastAsia"/>
        </w:rPr>
      </w:pPr>
    </w:p>
    <w:p w:rsidR="00F02B94" w:rsidRPr="002D5779" w:rsidP="00F02B94" w14:paraId="2F908249" w14:textId="77777777">
      <w:pPr>
        <w:ind w:firstLine="720"/>
        <w:rPr>
          <w:rFonts w:eastAsiaTheme="minorEastAsia"/>
        </w:rPr>
      </w:pPr>
      <w:r w:rsidRPr="002D5779">
        <w:rPr>
          <w:rFonts w:eastAsiaTheme="minorEastAsia"/>
        </w:rPr>
        <w:tab/>
      </w:r>
      <w:r w:rsidRPr="002D5779">
        <w:rPr>
          <w:rFonts w:eastAsiaTheme="minorEastAsia"/>
        </w:rPr>
        <w:tab/>
      </w:r>
      <w:r w:rsidRPr="002D5779">
        <w:rPr>
          <w:rFonts w:eastAsiaTheme="minorEastAsia"/>
        </w:rPr>
        <w:tab/>
      </w:r>
      <w:r w:rsidRPr="002D5779">
        <w:rPr>
          <w:rFonts w:eastAsiaTheme="minorEastAsia"/>
        </w:rPr>
        <w:tab/>
      </w:r>
      <w:r w:rsidRPr="002D5779">
        <w:rPr>
          <w:rFonts w:eastAsiaTheme="minorEastAsia"/>
        </w:rPr>
        <w:tab/>
      </w:r>
      <w:r w:rsidRPr="002D5779">
        <w:rPr>
          <w:rFonts w:eastAsiaTheme="minorEastAsia"/>
        </w:rPr>
        <w:tab/>
      </w:r>
      <w:r w:rsidRPr="002D5779">
        <w:rPr>
          <w:rFonts w:eastAsiaTheme="minorEastAsia"/>
          <w:u w:val="single"/>
        </w:rPr>
        <w:t xml:space="preserve">/s/ </w:t>
      </w:r>
      <w:r w:rsidRPr="002D5779">
        <w:rPr>
          <w:rFonts w:eastAsiaTheme="minorEastAsia"/>
          <w:i/>
          <w:u w:val="single"/>
        </w:rPr>
        <w:t>Christopher Healey</w:t>
      </w:r>
      <w:r w:rsidRPr="002D5779">
        <w:rPr>
          <w:rFonts w:eastAsiaTheme="minorEastAsia"/>
        </w:rPr>
        <w:t>_______</w:t>
      </w:r>
    </w:p>
    <w:p w:rsidR="00F02B94" w:rsidRPr="002D5779" w:rsidP="00F02B94" w14:paraId="55E2FC7D" w14:textId="77777777">
      <w:pPr>
        <w:ind w:firstLine="720"/>
        <w:rPr>
          <w:rFonts w:eastAsiaTheme="minorEastAsia"/>
        </w:rPr>
      </w:pPr>
      <w:r w:rsidRPr="002D5779">
        <w:rPr>
          <w:rFonts w:eastAsiaTheme="minorEastAsia"/>
        </w:rPr>
        <w:tab/>
      </w:r>
      <w:r w:rsidRPr="002D5779">
        <w:rPr>
          <w:rFonts w:eastAsiaTheme="minorEastAsia"/>
        </w:rPr>
        <w:tab/>
      </w:r>
      <w:r w:rsidRPr="002D5779">
        <w:rPr>
          <w:rFonts w:eastAsiaTheme="minorEastAsia"/>
        </w:rPr>
        <w:tab/>
      </w:r>
      <w:r w:rsidRPr="002D5779">
        <w:rPr>
          <w:rFonts w:eastAsiaTheme="minorEastAsia"/>
        </w:rPr>
        <w:tab/>
      </w:r>
      <w:r w:rsidRPr="002D5779">
        <w:rPr>
          <w:rFonts w:eastAsiaTheme="minorEastAsia"/>
        </w:rPr>
        <w:tab/>
      </w:r>
      <w:r w:rsidRPr="002D5779">
        <w:rPr>
          <w:rFonts w:eastAsiaTheme="minorEastAsia"/>
        </w:rPr>
        <w:tab/>
        <w:t>Christopher Healey</w:t>
      </w:r>
    </w:p>
    <w:p w:rsidR="00F02B94" w:rsidRPr="002D5779" w:rsidP="00F02B94" w14:paraId="7FFD3CAB" w14:textId="77777777">
      <w:pPr>
        <w:ind w:firstLine="720"/>
        <w:rPr>
          <w:rFonts w:eastAsiaTheme="minorEastAsia"/>
        </w:rPr>
      </w:pPr>
      <w:r w:rsidRPr="002D5779">
        <w:rPr>
          <w:rFonts w:eastAsiaTheme="minorEastAsia"/>
        </w:rPr>
        <w:tab/>
      </w:r>
      <w:r w:rsidRPr="002D5779">
        <w:rPr>
          <w:rFonts w:eastAsiaTheme="minorEastAsia"/>
        </w:rPr>
        <w:tab/>
      </w:r>
      <w:r w:rsidRPr="002D5779">
        <w:rPr>
          <w:rFonts w:eastAsiaTheme="minorEastAsia"/>
        </w:rPr>
        <w:tab/>
      </w:r>
      <w:r w:rsidRPr="002D5779">
        <w:rPr>
          <w:rFonts w:eastAsiaTheme="minorEastAsia"/>
        </w:rPr>
        <w:tab/>
      </w:r>
      <w:r w:rsidRPr="002D5779">
        <w:rPr>
          <w:rFonts w:eastAsiaTheme="minorEastAsia"/>
        </w:rPr>
        <w:tab/>
      </w:r>
      <w:r w:rsidRPr="002D5779">
        <w:rPr>
          <w:rFonts w:eastAsiaTheme="minorEastAsia"/>
        </w:rPr>
        <w:tab/>
        <w:t>Assistant Consumers' Counsel</w:t>
      </w:r>
    </w:p>
    <w:p w:rsidR="00F02B94" w:rsidRPr="002D5779" w:rsidP="00F02B94" w14:paraId="310D7697" w14:textId="77777777">
      <w:pPr>
        <w:jc w:val="center"/>
        <w:rPr>
          <w:b/>
          <w:u w:val="single"/>
        </w:rPr>
      </w:pPr>
    </w:p>
    <w:p w:rsidR="000A35CA" w:rsidRPr="002D5779" w:rsidP="000A35CA" w14:paraId="6C8B4C1B" w14:textId="77777777">
      <w:r w:rsidRPr="002D5779">
        <w:t>The PUCO’s e-filing system will electronically serve notice of the filing of this document on the following parties:</w:t>
      </w:r>
    </w:p>
    <w:p w:rsidR="00CF1073" w:rsidRPr="002D5779" w:rsidP="000A35CA" w14:paraId="36F38C10" w14:textId="77777777">
      <w:pPr>
        <w:jc w:val="center"/>
        <w:rPr>
          <w:rFonts w:eastAsia="Times New Roman"/>
          <w:b/>
          <w:u w:val="single"/>
        </w:rPr>
      </w:pPr>
    </w:p>
    <w:p w:rsidR="000A35CA" w:rsidRPr="002D5779" w:rsidP="000A35CA" w14:paraId="38511D27" w14:textId="77777777">
      <w:pPr>
        <w:jc w:val="center"/>
        <w:rPr>
          <w:rFonts w:eastAsia="Times New Roman"/>
          <w:b/>
          <w:u w:val="single"/>
        </w:rPr>
      </w:pPr>
      <w:r w:rsidRPr="002D5779">
        <w:rPr>
          <w:rFonts w:eastAsia="Times New Roman"/>
          <w:b/>
          <w:u w:val="single"/>
        </w:rPr>
        <w:t>SERVICE LIST</w:t>
      </w:r>
    </w:p>
    <w:p w:rsidR="000A35CA" w:rsidRPr="002D5779" w:rsidP="000A35CA" w14:paraId="1AD824C2" w14:textId="77777777">
      <w:pPr>
        <w:jc w:val="center"/>
        <w:rPr>
          <w:rFonts w:eastAsia="Times New Roman"/>
          <w:b/>
          <w:u w:val="single"/>
        </w:rPr>
      </w:pPr>
    </w:p>
    <w:tbl>
      <w:tblPr>
        <w:tblStyle w:val="TableGrid"/>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4288A306" w14:textId="77777777" w:rsidTr="004049EE">
        <w:tblPrEx>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0A35CA" w:rsidRPr="002D5779" w:rsidP="004049EE" w14:paraId="7106D3CE" w14:textId="77777777">
            <w:pPr>
              <w:autoSpaceDE w:val="0"/>
              <w:autoSpaceDN w:val="0"/>
              <w:adjustRightInd w:val="0"/>
              <w:rPr>
                <w:b/>
                <w:bCs/>
              </w:rPr>
            </w:pPr>
            <w:r w:rsidRPr="002D5779">
              <w:rPr>
                <w:b/>
                <w:bCs/>
              </w:rPr>
              <w:t>CASE No. 16-0574</w:t>
            </w:r>
          </w:p>
          <w:p w:rsidR="000A35CA" w:rsidRPr="002D5779" w:rsidP="004049EE" w14:paraId="2DF881EB" w14:textId="77777777">
            <w:pPr>
              <w:autoSpaceDE w:val="0"/>
              <w:autoSpaceDN w:val="0"/>
              <w:adjustRightInd w:val="0"/>
              <w:rPr>
                <w:b/>
                <w:bCs/>
                <w:color w:val="0000FF"/>
              </w:rPr>
            </w:pPr>
          </w:p>
          <w:p w:rsidR="000A35CA" w:rsidRPr="002D5779" w:rsidP="004049EE" w14:paraId="319CE66B" w14:textId="77777777">
            <w:pPr>
              <w:autoSpaceDE w:val="0"/>
              <w:autoSpaceDN w:val="0"/>
              <w:adjustRightInd w:val="0"/>
              <w:rPr>
                <w:color w:val="0000FF"/>
              </w:rPr>
            </w:pPr>
            <w:hyperlink r:id="rId8" w:history="1">
              <w:r w:rsidRPr="002D5779" w:rsidR="00CF1073">
                <w:rPr>
                  <w:rStyle w:val="Hyperlink"/>
                </w:rPr>
                <w:t>stnourse@aep.com</w:t>
              </w:r>
            </w:hyperlink>
          </w:p>
          <w:p w:rsidR="000A35CA" w:rsidRPr="002D5779" w:rsidP="004049EE" w14:paraId="6B406CBD" w14:textId="77777777">
            <w:pPr>
              <w:autoSpaceDE w:val="0"/>
              <w:autoSpaceDN w:val="0"/>
              <w:adjustRightInd w:val="0"/>
              <w:rPr>
                <w:color w:val="0000FF"/>
              </w:rPr>
            </w:pPr>
            <w:hyperlink r:id="rId9" w:history="1">
              <w:r w:rsidRPr="002D5779" w:rsidR="00CF1073">
                <w:rPr>
                  <w:rStyle w:val="Hyperlink"/>
                </w:rPr>
                <w:t>Bojko@carpenterlipps.com</w:t>
              </w:r>
            </w:hyperlink>
          </w:p>
          <w:p w:rsidR="000A35CA" w:rsidRPr="002D5779" w:rsidP="004049EE" w14:paraId="21986EA5" w14:textId="77777777">
            <w:pPr>
              <w:autoSpaceDE w:val="0"/>
              <w:autoSpaceDN w:val="0"/>
              <w:adjustRightInd w:val="0"/>
              <w:rPr>
                <w:color w:val="0000FF"/>
              </w:rPr>
            </w:pPr>
            <w:hyperlink r:id="rId10" w:history="1">
              <w:r w:rsidRPr="002D5779" w:rsidR="00CF1073">
                <w:rPr>
                  <w:rStyle w:val="Hyperlink"/>
                </w:rPr>
                <w:t>Ghiloni@carpenterlipps.com</w:t>
              </w:r>
            </w:hyperlink>
          </w:p>
          <w:p w:rsidR="00CF1073" w:rsidRPr="002D5779" w:rsidP="004049EE" w14:paraId="6FD97DA4" w14:textId="77777777">
            <w:pPr>
              <w:autoSpaceDE w:val="0"/>
              <w:autoSpaceDN w:val="0"/>
              <w:adjustRightInd w:val="0"/>
              <w:rPr>
                <w:color w:val="0000FF"/>
              </w:rPr>
            </w:pPr>
            <w:hyperlink r:id="rId11" w:history="1">
              <w:r w:rsidRPr="002D5779" w:rsidR="00A455DB">
                <w:rPr>
                  <w:rStyle w:val="Hyperlink"/>
                </w:rPr>
                <w:t>paul@carpenterlipps.com</w:t>
              </w:r>
            </w:hyperlink>
          </w:p>
          <w:p w:rsidR="00CF1073" w:rsidRPr="002D5779" w:rsidP="004049EE" w14:paraId="05B5E448" w14:textId="77777777">
            <w:pPr>
              <w:autoSpaceDE w:val="0"/>
              <w:autoSpaceDN w:val="0"/>
              <w:adjustRightInd w:val="0"/>
              <w:rPr>
                <w:color w:val="0000FF"/>
              </w:rPr>
            </w:pPr>
            <w:hyperlink r:id="rId12" w:history="1">
              <w:r w:rsidRPr="002D5779" w:rsidR="00425224">
                <w:rPr>
                  <w:rStyle w:val="Hyperlink"/>
                </w:rPr>
                <w:t>dutton@carpenterlipps.com</w:t>
              </w:r>
            </w:hyperlink>
          </w:p>
          <w:p w:rsidR="000A35CA" w:rsidRPr="002D5779" w:rsidP="004049EE" w14:paraId="2E03609E" w14:textId="77777777">
            <w:pPr>
              <w:autoSpaceDE w:val="0"/>
              <w:autoSpaceDN w:val="0"/>
              <w:adjustRightInd w:val="0"/>
              <w:rPr>
                <w:color w:val="0000FF"/>
              </w:rPr>
            </w:pPr>
            <w:hyperlink r:id="rId13" w:history="1">
              <w:r w:rsidRPr="002D5779" w:rsidR="00CF1073">
                <w:rPr>
                  <w:rStyle w:val="Hyperlink"/>
                </w:rPr>
                <w:t>mpritchard@mwncmh.com</w:t>
              </w:r>
            </w:hyperlink>
          </w:p>
          <w:p w:rsidR="000A35CA" w:rsidRPr="002D5779" w:rsidP="004049EE" w14:paraId="529E6BA8" w14:textId="77777777">
            <w:pPr>
              <w:autoSpaceDE w:val="0"/>
              <w:autoSpaceDN w:val="0"/>
              <w:adjustRightInd w:val="0"/>
              <w:rPr>
                <w:color w:val="0000FF"/>
              </w:rPr>
            </w:pPr>
            <w:hyperlink r:id="rId14" w:history="1">
              <w:r w:rsidRPr="002D5779" w:rsidR="00CF1073">
                <w:rPr>
                  <w:rStyle w:val="Hyperlink"/>
                </w:rPr>
                <w:t>jfinnigan@edf.org</w:t>
              </w:r>
            </w:hyperlink>
          </w:p>
          <w:p w:rsidR="000A35CA" w:rsidRPr="002D5779" w:rsidP="004049EE" w14:paraId="2294F934" w14:textId="77777777">
            <w:pPr>
              <w:autoSpaceDE w:val="0"/>
              <w:autoSpaceDN w:val="0"/>
              <w:adjustRightInd w:val="0"/>
              <w:rPr>
                <w:color w:val="0000FF"/>
              </w:rPr>
            </w:pPr>
            <w:hyperlink r:id="rId15" w:history="1">
              <w:r w:rsidRPr="002D5779" w:rsidR="00CF1073">
                <w:rPr>
                  <w:rStyle w:val="Hyperlink"/>
                </w:rPr>
                <w:t>joliker@igsenergy.com</w:t>
              </w:r>
            </w:hyperlink>
          </w:p>
          <w:p w:rsidR="000A35CA" w:rsidRPr="002D5779" w:rsidP="004049EE" w14:paraId="48290C51" w14:textId="77777777">
            <w:pPr>
              <w:autoSpaceDE w:val="0"/>
              <w:autoSpaceDN w:val="0"/>
              <w:adjustRightInd w:val="0"/>
              <w:rPr>
                <w:color w:val="0000FF"/>
              </w:rPr>
            </w:pPr>
            <w:hyperlink r:id="rId16" w:history="1">
              <w:r w:rsidRPr="002D5779" w:rsidR="00CF1073">
                <w:rPr>
                  <w:rStyle w:val="Hyperlink"/>
                </w:rPr>
                <w:t>mleppla@theoec.org</w:t>
              </w:r>
            </w:hyperlink>
          </w:p>
          <w:p w:rsidR="000A35CA" w:rsidRPr="002D5779" w:rsidP="004049EE" w14:paraId="69CA63C1" w14:textId="77777777">
            <w:pPr>
              <w:autoSpaceDE w:val="0"/>
              <w:autoSpaceDN w:val="0"/>
              <w:adjustRightInd w:val="0"/>
              <w:rPr>
                <w:color w:val="0000FF"/>
              </w:rPr>
            </w:pPr>
            <w:hyperlink r:id="rId17" w:history="1">
              <w:r w:rsidRPr="002D5779" w:rsidR="00CF1073">
                <w:rPr>
                  <w:rStyle w:val="Hyperlink"/>
                </w:rPr>
                <w:t>callwein@keglerbrown.com</w:t>
              </w:r>
            </w:hyperlink>
          </w:p>
          <w:p w:rsidR="000A35CA" w:rsidRPr="002D5779" w:rsidP="004049EE" w14:paraId="1461C546" w14:textId="77777777">
            <w:pPr>
              <w:autoSpaceDE w:val="0"/>
              <w:autoSpaceDN w:val="0"/>
              <w:adjustRightInd w:val="0"/>
              <w:rPr>
                <w:color w:val="0000FF"/>
              </w:rPr>
            </w:pPr>
            <w:hyperlink r:id="rId18" w:history="1">
              <w:r w:rsidRPr="002D5779" w:rsidR="00CF1073">
                <w:rPr>
                  <w:rStyle w:val="Hyperlink"/>
                </w:rPr>
                <w:t>john.jones@ohioattorneygeneral.gov</w:t>
              </w:r>
            </w:hyperlink>
          </w:p>
          <w:p w:rsidR="000A35CA" w:rsidRPr="002D5779" w:rsidP="004049EE" w14:paraId="05D9BFF6" w14:textId="77777777">
            <w:pPr>
              <w:jc w:val="both"/>
              <w:rPr>
                <w:color w:val="0000FF"/>
              </w:rPr>
            </w:pPr>
          </w:p>
        </w:tc>
        <w:tc>
          <w:tcPr>
            <w:tcW w:w="4315" w:type="dxa"/>
          </w:tcPr>
          <w:p w:rsidR="000A35CA" w:rsidRPr="002D5779" w:rsidP="00955685" w14:paraId="0DA5F652" w14:textId="77777777">
            <w:pPr>
              <w:autoSpaceDE w:val="0"/>
              <w:autoSpaceDN w:val="0"/>
              <w:adjustRightInd w:val="0"/>
              <w:ind w:left="540"/>
              <w:rPr>
                <w:color w:val="0000FF"/>
              </w:rPr>
            </w:pPr>
          </w:p>
          <w:p w:rsidR="000A35CA" w:rsidRPr="002D5779" w:rsidP="00955685" w14:paraId="32E752E0" w14:textId="77777777">
            <w:pPr>
              <w:autoSpaceDE w:val="0"/>
              <w:autoSpaceDN w:val="0"/>
              <w:adjustRightInd w:val="0"/>
              <w:ind w:left="540"/>
              <w:rPr>
                <w:color w:val="0000FF"/>
              </w:rPr>
            </w:pPr>
          </w:p>
          <w:p w:rsidR="000A35CA" w:rsidRPr="002D5779" w:rsidP="00955685" w14:paraId="6F631FDB" w14:textId="77777777">
            <w:pPr>
              <w:autoSpaceDE w:val="0"/>
              <w:autoSpaceDN w:val="0"/>
              <w:adjustRightInd w:val="0"/>
              <w:ind w:left="540"/>
              <w:rPr>
                <w:color w:val="0000FF"/>
              </w:rPr>
            </w:pPr>
            <w:hyperlink r:id="rId19" w:history="1">
              <w:r w:rsidRPr="002D5779" w:rsidR="00CF1073">
                <w:rPr>
                  <w:rStyle w:val="Hyperlink"/>
                </w:rPr>
                <w:t>rdove@keglerbrown.com</w:t>
              </w:r>
            </w:hyperlink>
          </w:p>
          <w:p w:rsidR="000A35CA" w:rsidRPr="002D5779" w:rsidP="00955685" w14:paraId="48CA1583" w14:textId="77777777">
            <w:pPr>
              <w:autoSpaceDE w:val="0"/>
              <w:autoSpaceDN w:val="0"/>
              <w:adjustRightInd w:val="0"/>
              <w:ind w:left="540"/>
              <w:rPr>
                <w:color w:val="0000FF"/>
              </w:rPr>
            </w:pPr>
            <w:hyperlink r:id="rId20" w:history="1">
              <w:r w:rsidRPr="002D5779" w:rsidR="00425224">
                <w:rPr>
                  <w:rStyle w:val="Hyperlink"/>
                </w:rPr>
                <w:t>mfleisher@dickinsonwright.com</w:t>
              </w:r>
            </w:hyperlink>
          </w:p>
          <w:p w:rsidR="000A35CA" w:rsidRPr="002D5779" w:rsidP="00955685" w14:paraId="0BA80D4C" w14:textId="77777777">
            <w:pPr>
              <w:autoSpaceDE w:val="0"/>
              <w:autoSpaceDN w:val="0"/>
              <w:adjustRightInd w:val="0"/>
              <w:ind w:left="540"/>
              <w:rPr>
                <w:color w:val="0000FF"/>
              </w:rPr>
            </w:pPr>
            <w:hyperlink r:id="rId21" w:history="1">
              <w:r w:rsidRPr="002D5779" w:rsidR="00CF1073">
                <w:rPr>
                  <w:rStyle w:val="Hyperlink"/>
                </w:rPr>
                <w:t>ORourke@carpenterlipps.com</w:t>
              </w:r>
            </w:hyperlink>
          </w:p>
          <w:p w:rsidR="000A35CA" w:rsidRPr="002D5779" w:rsidP="00955685" w14:paraId="4912D3C2" w14:textId="77777777">
            <w:pPr>
              <w:autoSpaceDE w:val="0"/>
              <w:autoSpaceDN w:val="0"/>
              <w:adjustRightInd w:val="0"/>
              <w:ind w:left="540"/>
              <w:rPr>
                <w:color w:val="0000FF"/>
              </w:rPr>
            </w:pPr>
            <w:hyperlink r:id="rId22" w:history="1">
              <w:r w:rsidRPr="002D5779" w:rsidR="00CF1073">
                <w:rPr>
                  <w:rStyle w:val="Hyperlink"/>
                </w:rPr>
                <w:t>fdarr@mwncmh.com</w:t>
              </w:r>
            </w:hyperlink>
          </w:p>
          <w:p w:rsidR="000A35CA" w:rsidRPr="002D5779" w:rsidP="00955685" w14:paraId="72528753" w14:textId="77777777">
            <w:pPr>
              <w:autoSpaceDE w:val="0"/>
              <w:autoSpaceDN w:val="0"/>
              <w:adjustRightInd w:val="0"/>
              <w:ind w:left="540"/>
              <w:rPr>
                <w:color w:val="0000FF"/>
              </w:rPr>
            </w:pPr>
            <w:hyperlink r:id="rId23" w:history="1">
              <w:r w:rsidRPr="002D5779" w:rsidR="00CF1073">
                <w:rPr>
                  <w:rStyle w:val="Hyperlink"/>
                </w:rPr>
                <w:t>tdougherty@theOEC.org</w:t>
              </w:r>
            </w:hyperlink>
          </w:p>
          <w:p w:rsidR="000A35CA" w:rsidRPr="002D5779" w:rsidP="00955685" w14:paraId="631E70CA" w14:textId="77777777">
            <w:pPr>
              <w:autoSpaceDE w:val="0"/>
              <w:autoSpaceDN w:val="0"/>
              <w:adjustRightInd w:val="0"/>
              <w:ind w:left="540"/>
              <w:rPr>
                <w:color w:val="0000FF"/>
              </w:rPr>
            </w:pPr>
            <w:hyperlink r:id="rId24" w:history="1">
              <w:r w:rsidRPr="002D5779" w:rsidR="00CF1073">
                <w:rPr>
                  <w:rStyle w:val="Hyperlink"/>
                </w:rPr>
                <w:t>cendsley@ofbf.org</w:t>
              </w:r>
            </w:hyperlink>
          </w:p>
          <w:p w:rsidR="000A35CA" w:rsidRPr="002D5779" w:rsidP="00955685" w14:paraId="21D9D61E" w14:textId="77777777">
            <w:pPr>
              <w:autoSpaceDE w:val="0"/>
              <w:autoSpaceDN w:val="0"/>
              <w:adjustRightInd w:val="0"/>
              <w:ind w:left="540"/>
              <w:rPr>
                <w:color w:val="0000FF"/>
              </w:rPr>
            </w:pPr>
            <w:hyperlink r:id="rId25" w:history="1">
              <w:r w:rsidRPr="002D5779" w:rsidR="00CF1073">
                <w:rPr>
                  <w:rStyle w:val="Hyperlink"/>
                </w:rPr>
                <w:t>lcurtis@ofbf.org</w:t>
              </w:r>
            </w:hyperlink>
          </w:p>
          <w:p w:rsidR="000A35CA" w:rsidRPr="002D5779" w:rsidP="00955685" w14:paraId="3CF8037B" w14:textId="77777777">
            <w:pPr>
              <w:autoSpaceDE w:val="0"/>
              <w:autoSpaceDN w:val="0"/>
              <w:adjustRightInd w:val="0"/>
              <w:ind w:left="540"/>
              <w:rPr>
                <w:color w:val="0000FF"/>
              </w:rPr>
            </w:pPr>
            <w:hyperlink r:id="rId26" w:history="1">
              <w:r w:rsidRPr="002D5779" w:rsidR="00CF1073">
                <w:rPr>
                  <w:rStyle w:val="Hyperlink"/>
                </w:rPr>
                <w:t>amilam@ofbf.org</w:t>
              </w:r>
            </w:hyperlink>
          </w:p>
          <w:p w:rsidR="00CF1073" w:rsidRPr="002D5779" w:rsidP="00955685" w14:paraId="11AA6392" w14:textId="77777777">
            <w:pPr>
              <w:autoSpaceDE w:val="0"/>
              <w:autoSpaceDN w:val="0"/>
              <w:adjustRightInd w:val="0"/>
              <w:ind w:left="540"/>
              <w:rPr>
                <w:color w:val="0000FF"/>
              </w:rPr>
            </w:pPr>
            <w:hyperlink r:id="rId27" w:history="1">
              <w:r w:rsidRPr="002D5779" w:rsidR="00A455DB">
                <w:rPr>
                  <w:rStyle w:val="Hyperlink"/>
                </w:rPr>
                <w:t>abrink@nhtinc.org</w:t>
              </w:r>
            </w:hyperlink>
          </w:p>
          <w:p w:rsidR="00425224" w:rsidRPr="002D5779" w:rsidP="00955685" w14:paraId="50BAA25E" w14:textId="77777777">
            <w:pPr>
              <w:autoSpaceDE w:val="0"/>
              <w:autoSpaceDN w:val="0"/>
              <w:adjustRightInd w:val="0"/>
              <w:ind w:left="540"/>
              <w:rPr>
                <w:color w:val="0000FF"/>
              </w:rPr>
            </w:pPr>
            <w:hyperlink r:id="rId8" w:history="1">
              <w:r w:rsidRPr="002D5779" w:rsidR="00A455DB">
                <w:rPr>
                  <w:rStyle w:val="Hyperlink"/>
                </w:rPr>
                <w:t>stnourse@aep.com</w:t>
              </w:r>
            </w:hyperlink>
          </w:p>
          <w:p w:rsidR="00CF1073" w:rsidRPr="002D5779" w:rsidP="00955685" w14:paraId="22F3D12F" w14:textId="77777777">
            <w:pPr>
              <w:autoSpaceDE w:val="0"/>
              <w:autoSpaceDN w:val="0"/>
              <w:adjustRightInd w:val="0"/>
              <w:ind w:left="540"/>
              <w:rPr>
                <w:color w:val="0000FF"/>
              </w:rPr>
            </w:pPr>
            <w:hyperlink r:id="rId28" w:history="1">
              <w:r w:rsidRPr="002D5779" w:rsidR="00425224">
                <w:rPr>
                  <w:rStyle w:val="Hyperlink"/>
                </w:rPr>
                <w:t>dborchers@bricker.com</w:t>
              </w:r>
            </w:hyperlink>
          </w:p>
          <w:p w:rsidR="000A35CA" w:rsidRPr="002D5779" w:rsidP="00955685" w14:paraId="7EACB42A" w14:textId="77777777">
            <w:pPr>
              <w:autoSpaceDE w:val="0"/>
              <w:autoSpaceDN w:val="0"/>
              <w:adjustRightInd w:val="0"/>
              <w:ind w:left="540"/>
              <w:rPr>
                <w:color w:val="0000FF"/>
              </w:rPr>
            </w:pPr>
            <w:hyperlink r:id="rId29" w:history="1">
              <w:r w:rsidRPr="002D5779" w:rsidR="00425224">
                <w:rPr>
                  <w:rStyle w:val="Hyperlink"/>
                </w:rPr>
                <w:t>dparram@bricker.com</w:t>
              </w:r>
            </w:hyperlink>
          </w:p>
        </w:tc>
      </w:tr>
    </w:tbl>
    <w:p w:rsidR="000A35CA" w:rsidRPr="002D5779" w:rsidP="000A35CA" w14:paraId="0EE2E916" w14:textId="77777777">
      <w:pPr>
        <w:jc w:val="both"/>
        <w:rPr>
          <w:rFonts w:eastAsia="Times New Roman"/>
          <w:bCs/>
        </w:rPr>
      </w:pPr>
      <w:r w:rsidRPr="002D5779">
        <w:rPr>
          <w:rFonts w:eastAsia="Times New Roman"/>
          <w:bCs/>
        </w:rPr>
        <w:t>Attorney Examiners:</w:t>
      </w:r>
    </w:p>
    <w:p w:rsidR="000A35CA" w:rsidRPr="002D5779" w:rsidP="000A35CA" w14:paraId="3214A48B" w14:textId="77777777">
      <w:pPr>
        <w:jc w:val="both"/>
        <w:rPr>
          <w:color w:val="0000FF"/>
        </w:rPr>
      </w:pPr>
      <w:hyperlink r:id="rId30" w:history="1">
        <w:r w:rsidRPr="002D5779" w:rsidR="00CF1073">
          <w:rPr>
            <w:rStyle w:val="Hyperlink"/>
          </w:rPr>
          <w:t>Lauren.augostini@puco.ohio.gov</w:t>
        </w:r>
      </w:hyperlink>
    </w:p>
    <w:p w:rsidR="000A35CA" w:rsidRPr="002D5779" w:rsidP="000A35CA" w14:paraId="5CF94123" w14:textId="77777777">
      <w:pPr>
        <w:jc w:val="center"/>
        <w:rPr>
          <w:rFonts w:eastAsia="Times New Roman"/>
          <w:b/>
          <w:u w:val="single"/>
        </w:rPr>
      </w:pPr>
    </w:p>
    <w:tbl>
      <w:tblPr>
        <w:tblStyle w:val="TableGrid"/>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06E5B603" w14:textId="77777777" w:rsidTr="004049EE">
        <w:tblPrEx>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0A35CA" w:rsidRPr="002D5779" w:rsidP="004049EE" w14:paraId="6144B0FB" w14:textId="77777777">
            <w:pPr>
              <w:rPr>
                <w:b/>
                <w:bCs/>
              </w:rPr>
            </w:pPr>
            <w:r w:rsidRPr="002D5779">
              <w:rPr>
                <w:b/>
                <w:bCs/>
              </w:rPr>
              <w:t>CASE No. 16-0576</w:t>
            </w:r>
          </w:p>
          <w:p w:rsidR="000A35CA" w:rsidRPr="002D5779" w:rsidP="004049EE" w14:paraId="23468226" w14:textId="77777777">
            <w:pPr>
              <w:jc w:val="both"/>
              <w:rPr>
                <w:color w:val="0000FF"/>
              </w:rPr>
            </w:pPr>
          </w:p>
          <w:p w:rsidR="000A35CA" w:rsidRPr="002D5779" w:rsidP="004049EE" w14:paraId="62FBB409" w14:textId="77777777">
            <w:pPr>
              <w:jc w:val="both"/>
              <w:rPr>
                <w:color w:val="0000FF"/>
              </w:rPr>
            </w:pPr>
            <w:hyperlink r:id="rId18" w:history="1">
              <w:r w:rsidRPr="002D5779" w:rsidR="00955685">
                <w:rPr>
                  <w:rStyle w:val="Hyperlink"/>
                </w:rPr>
                <w:t>John.jones@ohioattorneygeneral.gov</w:t>
              </w:r>
            </w:hyperlink>
          </w:p>
          <w:p w:rsidR="00955685" w:rsidRPr="002D5779" w:rsidP="004049EE" w14:paraId="6D369B01" w14:textId="77777777">
            <w:pPr>
              <w:jc w:val="both"/>
              <w:rPr>
                <w:color w:val="0000FF"/>
              </w:rPr>
            </w:pPr>
            <w:hyperlink r:id="rId9" w:history="1">
              <w:r w:rsidRPr="002D5779" w:rsidR="00A455DB">
                <w:rPr>
                  <w:rStyle w:val="Hyperlink"/>
                </w:rPr>
                <w:t>Bojko@carpenterlipps.com</w:t>
              </w:r>
            </w:hyperlink>
          </w:p>
          <w:p w:rsidR="000A35CA" w:rsidRPr="002D5779" w:rsidP="004049EE" w14:paraId="62E5581E" w14:textId="77777777">
            <w:pPr>
              <w:jc w:val="both"/>
              <w:rPr>
                <w:color w:val="0000FF"/>
              </w:rPr>
            </w:pPr>
            <w:hyperlink r:id="rId31" w:history="1">
              <w:r w:rsidRPr="002D5779" w:rsidR="00955685">
                <w:rPr>
                  <w:rStyle w:val="Hyperlink"/>
                </w:rPr>
                <w:t>perko@carpenterlipps.com</w:t>
              </w:r>
            </w:hyperlink>
          </w:p>
          <w:p w:rsidR="000A35CA" w:rsidRPr="002D5779" w:rsidP="004049EE" w14:paraId="13726053" w14:textId="77777777">
            <w:pPr>
              <w:jc w:val="both"/>
              <w:rPr>
                <w:color w:val="0000FF"/>
              </w:rPr>
            </w:pPr>
            <w:hyperlink r:id="rId11" w:history="1">
              <w:r w:rsidRPr="002D5779" w:rsidR="00955685">
                <w:rPr>
                  <w:rStyle w:val="Hyperlink"/>
                </w:rPr>
                <w:t>paul@carpenterlipps.com</w:t>
              </w:r>
            </w:hyperlink>
          </w:p>
          <w:p w:rsidR="000A35CA" w:rsidRPr="002D5779" w:rsidP="004049EE" w14:paraId="25E6196F" w14:textId="77777777">
            <w:pPr>
              <w:jc w:val="both"/>
              <w:rPr>
                <w:color w:val="0000FF"/>
              </w:rPr>
            </w:pPr>
            <w:hyperlink r:id="rId14" w:history="1">
              <w:r w:rsidRPr="002D5779" w:rsidR="00955685">
                <w:rPr>
                  <w:rStyle w:val="Hyperlink"/>
                </w:rPr>
                <w:t>jfinnigan@edf.org</w:t>
              </w:r>
            </w:hyperlink>
          </w:p>
          <w:p w:rsidR="000A35CA" w:rsidRPr="002D5779" w:rsidP="004049EE" w14:paraId="076A8388" w14:textId="77777777">
            <w:pPr>
              <w:jc w:val="both"/>
              <w:rPr>
                <w:color w:val="0000FF"/>
              </w:rPr>
            </w:pPr>
            <w:hyperlink r:id="rId32" w:history="1">
              <w:r w:rsidRPr="002D5779" w:rsidR="00955685">
                <w:rPr>
                  <w:rStyle w:val="Hyperlink"/>
                </w:rPr>
                <w:t>mwarnock@bricker.com</w:t>
              </w:r>
            </w:hyperlink>
          </w:p>
          <w:p w:rsidR="000A35CA" w:rsidRPr="002D5779" w:rsidP="004049EE" w14:paraId="1C44A178" w14:textId="77777777">
            <w:pPr>
              <w:jc w:val="both"/>
              <w:rPr>
                <w:color w:val="0000FF"/>
              </w:rPr>
            </w:pPr>
            <w:hyperlink r:id="rId28" w:history="1">
              <w:r w:rsidRPr="002D5779" w:rsidR="00955685">
                <w:rPr>
                  <w:rStyle w:val="Hyperlink"/>
                </w:rPr>
                <w:t>dborchers@bricker.com</w:t>
              </w:r>
            </w:hyperlink>
          </w:p>
          <w:p w:rsidR="00955685" w:rsidRPr="002D5779" w:rsidP="00955685" w14:paraId="0FF340C1" w14:textId="77777777">
            <w:pPr>
              <w:jc w:val="both"/>
              <w:rPr>
                <w:color w:val="0000FF"/>
              </w:rPr>
            </w:pPr>
            <w:hyperlink r:id="rId17" w:history="1">
              <w:r w:rsidRPr="002D5779" w:rsidR="00A455DB">
                <w:rPr>
                  <w:rStyle w:val="Hyperlink"/>
                </w:rPr>
                <w:t>callwein@keglerbrown.com</w:t>
              </w:r>
            </w:hyperlink>
          </w:p>
        </w:tc>
        <w:tc>
          <w:tcPr>
            <w:tcW w:w="4315" w:type="dxa"/>
          </w:tcPr>
          <w:p w:rsidR="000A35CA" w:rsidRPr="002D5779" w:rsidP="004049EE" w14:paraId="0207DC85" w14:textId="77777777">
            <w:pPr>
              <w:autoSpaceDE w:val="0"/>
              <w:autoSpaceDN w:val="0"/>
              <w:adjustRightInd w:val="0"/>
              <w:rPr>
                <w:color w:val="0000FF"/>
              </w:rPr>
            </w:pPr>
          </w:p>
          <w:p w:rsidR="000A35CA" w:rsidRPr="002D5779" w:rsidP="004049EE" w14:paraId="02A39AD5" w14:textId="77777777">
            <w:pPr>
              <w:autoSpaceDE w:val="0"/>
              <w:autoSpaceDN w:val="0"/>
              <w:adjustRightInd w:val="0"/>
              <w:rPr>
                <w:color w:val="0000FF"/>
              </w:rPr>
            </w:pPr>
          </w:p>
          <w:p w:rsidR="000A35CA" w:rsidRPr="002D5779" w:rsidP="00955685" w14:paraId="59779FEB" w14:textId="77777777">
            <w:pPr>
              <w:autoSpaceDE w:val="0"/>
              <w:autoSpaceDN w:val="0"/>
              <w:adjustRightInd w:val="0"/>
              <w:ind w:left="540"/>
              <w:rPr>
                <w:color w:val="0000FF"/>
              </w:rPr>
            </w:pPr>
            <w:hyperlink r:id="rId33" w:history="1">
              <w:r w:rsidRPr="002D5779" w:rsidR="00955685">
                <w:rPr>
                  <w:rStyle w:val="Hyperlink"/>
                </w:rPr>
                <w:t>Rocco.dascenzo@duke-energy.com</w:t>
              </w:r>
            </w:hyperlink>
          </w:p>
          <w:p w:rsidR="000A35CA" w:rsidRPr="002D5779" w:rsidP="00955685" w14:paraId="5D3ED03C" w14:textId="77777777">
            <w:pPr>
              <w:autoSpaceDE w:val="0"/>
              <w:autoSpaceDN w:val="0"/>
              <w:adjustRightInd w:val="0"/>
              <w:ind w:left="540"/>
              <w:rPr>
                <w:color w:val="0000FF"/>
              </w:rPr>
            </w:pPr>
            <w:hyperlink r:id="rId34" w:history="1">
              <w:r w:rsidRPr="002D5779" w:rsidR="00955685">
                <w:rPr>
                  <w:rStyle w:val="Hyperlink"/>
                </w:rPr>
                <w:t>rdove@keglerborwn.com</w:t>
              </w:r>
            </w:hyperlink>
          </w:p>
          <w:p w:rsidR="000A35CA" w:rsidRPr="002D5779" w:rsidP="00955685" w14:paraId="4DC76623" w14:textId="77777777">
            <w:pPr>
              <w:autoSpaceDE w:val="0"/>
              <w:autoSpaceDN w:val="0"/>
              <w:adjustRightInd w:val="0"/>
              <w:ind w:left="540"/>
              <w:rPr>
                <w:color w:val="0000FF"/>
              </w:rPr>
            </w:pPr>
            <w:hyperlink r:id="rId23" w:history="1">
              <w:r w:rsidRPr="002D5779" w:rsidR="00955685">
                <w:rPr>
                  <w:rStyle w:val="Hyperlink"/>
                </w:rPr>
                <w:t>tdougherty@theOEC.org</w:t>
              </w:r>
            </w:hyperlink>
          </w:p>
          <w:p w:rsidR="000A35CA" w:rsidRPr="002D5779" w:rsidP="00955685" w14:paraId="75A62C78" w14:textId="77777777">
            <w:pPr>
              <w:autoSpaceDE w:val="0"/>
              <w:autoSpaceDN w:val="0"/>
              <w:adjustRightInd w:val="0"/>
              <w:ind w:left="540"/>
              <w:rPr>
                <w:color w:val="0000FF"/>
              </w:rPr>
            </w:pPr>
            <w:hyperlink r:id="rId22" w:history="1">
              <w:r w:rsidRPr="002D5779" w:rsidR="00955685">
                <w:rPr>
                  <w:rStyle w:val="Hyperlink"/>
                </w:rPr>
                <w:t>fdarr@mwncmh.com</w:t>
              </w:r>
            </w:hyperlink>
          </w:p>
          <w:p w:rsidR="000A35CA" w:rsidRPr="002D5779" w:rsidP="00955685" w14:paraId="0304FD0C" w14:textId="77777777">
            <w:pPr>
              <w:autoSpaceDE w:val="0"/>
              <w:autoSpaceDN w:val="0"/>
              <w:adjustRightInd w:val="0"/>
              <w:ind w:left="540"/>
              <w:rPr>
                <w:color w:val="0000FF"/>
              </w:rPr>
            </w:pPr>
            <w:hyperlink r:id="rId13" w:history="1">
              <w:r w:rsidRPr="002D5779" w:rsidR="00955685">
                <w:rPr>
                  <w:rStyle w:val="Hyperlink"/>
                </w:rPr>
                <w:t>mpritchard@mwncmh.com</w:t>
              </w:r>
            </w:hyperlink>
          </w:p>
          <w:p w:rsidR="000A35CA" w:rsidRPr="002D5779" w:rsidP="00955685" w14:paraId="716C55CD" w14:textId="77777777">
            <w:pPr>
              <w:autoSpaceDE w:val="0"/>
              <w:autoSpaceDN w:val="0"/>
              <w:adjustRightInd w:val="0"/>
              <w:ind w:left="540"/>
              <w:rPr>
                <w:color w:val="0000FF"/>
              </w:rPr>
            </w:pPr>
            <w:hyperlink r:id="rId15" w:history="1">
              <w:r w:rsidRPr="002D5779" w:rsidR="00955685">
                <w:rPr>
                  <w:rStyle w:val="Hyperlink"/>
                </w:rPr>
                <w:t>joliker@igsenergy.com</w:t>
              </w:r>
            </w:hyperlink>
          </w:p>
          <w:p w:rsidR="000A35CA" w:rsidRPr="002D5779" w:rsidP="00955685" w14:paraId="64248C43" w14:textId="77777777">
            <w:pPr>
              <w:autoSpaceDE w:val="0"/>
              <w:autoSpaceDN w:val="0"/>
              <w:adjustRightInd w:val="0"/>
              <w:ind w:left="540"/>
              <w:rPr>
                <w:color w:val="0000FF"/>
              </w:rPr>
            </w:pPr>
            <w:hyperlink r:id="rId29" w:history="1">
              <w:r w:rsidRPr="002D5779" w:rsidR="00955685">
                <w:rPr>
                  <w:rStyle w:val="Hyperlink"/>
                </w:rPr>
                <w:t>dparram@bricker.com</w:t>
              </w:r>
            </w:hyperlink>
          </w:p>
          <w:p w:rsidR="000A35CA" w:rsidRPr="002D5779" w:rsidP="00955685" w14:paraId="6925E1BF" w14:textId="77777777">
            <w:pPr>
              <w:autoSpaceDE w:val="0"/>
              <w:autoSpaceDN w:val="0"/>
              <w:adjustRightInd w:val="0"/>
              <w:ind w:left="540"/>
              <w:rPr>
                <w:color w:val="0000FF"/>
              </w:rPr>
            </w:pPr>
            <w:r w:rsidRPr="002D5779">
              <w:rPr>
                <w:color w:val="0000FF"/>
              </w:rPr>
              <w:t>mfleisher</w:t>
            </w:r>
            <w:r w:rsidRPr="002D5779" w:rsidR="00955685">
              <w:rPr>
                <w:color w:val="0000FF"/>
              </w:rPr>
              <w:t>dickinsonwright.com</w:t>
            </w:r>
          </w:p>
          <w:p w:rsidR="00955685" w:rsidRPr="002D5779" w:rsidP="00955685" w14:paraId="6D523C71" w14:textId="77777777">
            <w:pPr>
              <w:autoSpaceDE w:val="0"/>
              <w:autoSpaceDN w:val="0"/>
              <w:adjustRightInd w:val="0"/>
              <w:rPr>
                <w:color w:val="0000FF"/>
              </w:rPr>
            </w:pPr>
          </w:p>
        </w:tc>
      </w:tr>
    </w:tbl>
    <w:p w:rsidR="000A35CA" w:rsidRPr="002D5779" w:rsidP="000A35CA" w14:paraId="3584476A" w14:textId="77777777">
      <w:pPr>
        <w:jc w:val="both"/>
        <w:rPr>
          <w:rFonts w:eastAsia="Times New Roman"/>
          <w:bCs/>
        </w:rPr>
      </w:pPr>
    </w:p>
    <w:p w:rsidR="000A35CA" w:rsidRPr="002D5779" w:rsidP="000A35CA" w14:paraId="2EB47B6F" w14:textId="77777777">
      <w:pPr>
        <w:jc w:val="both"/>
        <w:rPr>
          <w:rFonts w:eastAsia="Times New Roman"/>
          <w:bCs/>
        </w:rPr>
      </w:pPr>
      <w:r w:rsidRPr="002D5779">
        <w:rPr>
          <w:rFonts w:eastAsia="Times New Roman"/>
          <w:bCs/>
        </w:rPr>
        <w:t>Attorney Examiners:</w:t>
      </w:r>
    </w:p>
    <w:p w:rsidR="000A35CA" w:rsidRPr="002D5779" w:rsidP="000A35CA" w14:paraId="5CF02791" w14:textId="77777777">
      <w:pPr>
        <w:jc w:val="both"/>
        <w:rPr>
          <w:color w:val="0000FF"/>
        </w:rPr>
      </w:pPr>
      <w:hyperlink r:id="rId30" w:history="1">
        <w:r w:rsidRPr="002D5779" w:rsidR="00425224">
          <w:rPr>
            <w:rStyle w:val="Hyperlink"/>
          </w:rPr>
          <w:t>Lauren.augostini@puco.ohio.gov</w:t>
        </w:r>
      </w:hyperlink>
    </w:p>
    <w:p w:rsidR="00425224" w:rsidRPr="002D5779" w:rsidP="000A35CA" w14:paraId="042AC224" w14:textId="77777777">
      <w:pPr>
        <w:jc w:val="both"/>
        <w:rPr>
          <w:color w:val="0000FF"/>
        </w:rPr>
      </w:pPr>
    </w:p>
    <w:tbl>
      <w:tblPr>
        <w:tblStyle w:val="TableGrid"/>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3"/>
        <w:gridCol w:w="4087"/>
      </w:tblGrid>
      <w:tr w14:paraId="7D93F6D3" w14:textId="77777777" w:rsidTr="004049EE">
        <w:tblPrEx>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43" w:type="dxa"/>
          </w:tcPr>
          <w:p w:rsidR="000A35CA" w:rsidRPr="002D5779" w:rsidP="004049EE" w14:paraId="77669818" w14:textId="77777777">
            <w:pPr>
              <w:rPr>
                <w:b/>
                <w:bCs/>
              </w:rPr>
            </w:pPr>
            <w:r w:rsidRPr="002D5779">
              <w:rPr>
                <w:b/>
                <w:bCs/>
              </w:rPr>
              <w:t>CASE No. 16-0743</w:t>
            </w:r>
          </w:p>
          <w:p w:rsidR="000A35CA" w:rsidRPr="002D5779" w:rsidP="004049EE" w14:paraId="35E5D9B0" w14:textId="77777777">
            <w:pPr>
              <w:jc w:val="both"/>
              <w:rPr>
                <w:color w:val="0000FF"/>
              </w:rPr>
            </w:pPr>
          </w:p>
          <w:p w:rsidR="000A35CA" w:rsidRPr="002D5779" w:rsidP="004049EE" w14:paraId="4DDD1046" w14:textId="77777777">
            <w:pPr>
              <w:jc w:val="both"/>
              <w:rPr>
                <w:color w:val="0000FF"/>
              </w:rPr>
            </w:pPr>
            <w:hyperlink r:id="rId18" w:history="1">
              <w:r w:rsidRPr="002D5779" w:rsidR="001F5410">
                <w:rPr>
                  <w:rStyle w:val="Hyperlink"/>
                </w:rPr>
                <w:t>John.jones@ohioattorneygeneral.gov</w:t>
              </w:r>
            </w:hyperlink>
          </w:p>
          <w:p w:rsidR="000A35CA" w:rsidRPr="002D5779" w:rsidP="004049EE" w14:paraId="34C63761" w14:textId="77777777">
            <w:pPr>
              <w:jc w:val="both"/>
              <w:rPr>
                <w:color w:val="0000FF"/>
              </w:rPr>
            </w:pPr>
            <w:hyperlink r:id="rId23" w:history="1">
              <w:r w:rsidRPr="002D5779" w:rsidR="001F5410">
                <w:rPr>
                  <w:rStyle w:val="Hyperlink"/>
                </w:rPr>
                <w:t>tdougherty@theOEC.org</w:t>
              </w:r>
            </w:hyperlink>
          </w:p>
          <w:p w:rsidR="001F5410" w:rsidRPr="002D5779" w:rsidP="004049EE" w14:paraId="334757EF" w14:textId="77777777">
            <w:pPr>
              <w:jc w:val="both"/>
              <w:rPr>
                <w:color w:val="0000FF"/>
              </w:rPr>
            </w:pPr>
            <w:hyperlink r:id="rId16" w:history="1">
              <w:r w:rsidRPr="002D5779" w:rsidR="00A455DB">
                <w:rPr>
                  <w:rStyle w:val="Hyperlink"/>
                </w:rPr>
                <w:t>mleppla@theoec.org</w:t>
              </w:r>
            </w:hyperlink>
          </w:p>
          <w:p w:rsidR="000A35CA" w:rsidRPr="002D5779" w:rsidP="004049EE" w14:paraId="5305418B" w14:textId="77777777">
            <w:pPr>
              <w:jc w:val="both"/>
              <w:rPr>
                <w:color w:val="0000FF"/>
              </w:rPr>
            </w:pPr>
            <w:hyperlink r:id="rId19" w:history="1">
              <w:r w:rsidRPr="002D5779" w:rsidR="001F5410">
                <w:rPr>
                  <w:rStyle w:val="Hyperlink"/>
                </w:rPr>
                <w:t>rdove@keglerbrown.com</w:t>
              </w:r>
            </w:hyperlink>
          </w:p>
          <w:p w:rsidR="000A35CA" w:rsidRPr="002D5779" w:rsidP="004049EE" w14:paraId="0BB0438C" w14:textId="77777777">
            <w:pPr>
              <w:jc w:val="both"/>
              <w:rPr>
                <w:color w:val="0000FF"/>
              </w:rPr>
            </w:pPr>
            <w:hyperlink r:id="rId32" w:history="1">
              <w:r w:rsidRPr="002D5779" w:rsidR="001F5410">
                <w:rPr>
                  <w:rStyle w:val="Hyperlink"/>
                </w:rPr>
                <w:t>mwarnock@bricker.com</w:t>
              </w:r>
            </w:hyperlink>
          </w:p>
          <w:p w:rsidR="000A35CA" w:rsidRPr="002D5779" w:rsidP="004049EE" w14:paraId="041C015E" w14:textId="77777777">
            <w:pPr>
              <w:jc w:val="both"/>
              <w:rPr>
                <w:color w:val="0000FF"/>
              </w:rPr>
            </w:pPr>
            <w:hyperlink r:id="rId28" w:history="1">
              <w:r w:rsidRPr="002D5779" w:rsidR="001F5410">
                <w:rPr>
                  <w:rStyle w:val="Hyperlink"/>
                </w:rPr>
                <w:t>dborchers@bricker.com</w:t>
              </w:r>
            </w:hyperlink>
          </w:p>
          <w:p w:rsidR="000A35CA" w:rsidRPr="002D5779" w:rsidP="004049EE" w14:paraId="416D2CC5" w14:textId="77777777">
            <w:pPr>
              <w:jc w:val="both"/>
              <w:rPr>
                <w:color w:val="0000FF"/>
              </w:rPr>
            </w:pPr>
            <w:hyperlink r:id="rId29" w:history="1">
              <w:r w:rsidRPr="002D5779" w:rsidR="001F5410">
                <w:rPr>
                  <w:rStyle w:val="Hyperlink"/>
                </w:rPr>
                <w:t>dparram@bricker.com</w:t>
              </w:r>
            </w:hyperlink>
          </w:p>
          <w:p w:rsidR="000A35CA" w:rsidRPr="002D5779" w:rsidP="004049EE" w14:paraId="145B4F32" w14:textId="77777777">
            <w:pPr>
              <w:jc w:val="both"/>
              <w:rPr>
                <w:color w:val="0000FF"/>
              </w:rPr>
            </w:pPr>
            <w:hyperlink r:id="rId13" w:history="1">
              <w:r w:rsidRPr="002D5779" w:rsidR="001F5410">
                <w:rPr>
                  <w:rStyle w:val="Hyperlink"/>
                </w:rPr>
                <w:t>mpritchard@mwncmh.com</w:t>
              </w:r>
            </w:hyperlink>
          </w:p>
          <w:p w:rsidR="000A35CA" w:rsidRPr="002D5779" w:rsidP="004049EE" w14:paraId="0DF9EB89" w14:textId="77777777">
            <w:pPr>
              <w:jc w:val="both"/>
              <w:rPr>
                <w:color w:val="0000FF"/>
              </w:rPr>
            </w:pPr>
            <w:hyperlink r:id="rId35" w:history="1">
              <w:r w:rsidRPr="002D5779" w:rsidR="001F5410">
                <w:rPr>
                  <w:rStyle w:val="Hyperlink"/>
                </w:rPr>
                <w:t>sechler@carpenterlipps.com</w:t>
              </w:r>
            </w:hyperlink>
          </w:p>
          <w:p w:rsidR="001F5410" w:rsidRPr="002D5779" w:rsidP="004049EE" w14:paraId="47CDAD5A" w14:textId="77777777">
            <w:pPr>
              <w:jc w:val="both"/>
              <w:rPr>
                <w:color w:val="0000FF"/>
              </w:rPr>
            </w:pPr>
            <w:hyperlink r:id="rId17" w:history="1">
              <w:r w:rsidRPr="002D5779" w:rsidR="00A455DB">
                <w:rPr>
                  <w:rStyle w:val="Hyperlink"/>
                </w:rPr>
                <w:t>callwein@keglerbrown.com</w:t>
              </w:r>
            </w:hyperlink>
          </w:p>
          <w:p w:rsidR="000A35CA" w:rsidRPr="002D5779" w:rsidP="004049EE" w14:paraId="38803395" w14:textId="77777777">
            <w:pPr>
              <w:autoSpaceDE w:val="0"/>
              <w:autoSpaceDN w:val="0"/>
              <w:adjustRightInd w:val="0"/>
              <w:rPr>
                <w:color w:val="0000FF"/>
              </w:rPr>
            </w:pPr>
            <w:hyperlink r:id="rId36" w:history="1">
              <w:r w:rsidRPr="002D5779" w:rsidR="001F5410">
                <w:rPr>
                  <w:rStyle w:val="Hyperlink"/>
                </w:rPr>
                <w:t>cdunn@firstenergycorp.com</w:t>
              </w:r>
            </w:hyperlink>
          </w:p>
          <w:p w:rsidR="000A35CA" w:rsidRPr="002D5779" w:rsidP="004049EE" w14:paraId="2947A576" w14:textId="77777777">
            <w:pPr>
              <w:jc w:val="both"/>
              <w:rPr>
                <w:color w:val="0000FF"/>
              </w:rPr>
            </w:pPr>
            <w:hyperlink r:id="rId37" w:history="1">
              <w:r w:rsidRPr="002D5779" w:rsidR="001F5410">
                <w:rPr>
                  <w:rStyle w:val="Hyperlink"/>
                </w:rPr>
                <w:t>eostrowski@firstenergycorp.com</w:t>
              </w:r>
            </w:hyperlink>
          </w:p>
          <w:p w:rsidR="001F5410" w:rsidRPr="002D5779" w:rsidP="004049EE" w14:paraId="3CA35A89" w14:textId="77777777">
            <w:pPr>
              <w:jc w:val="both"/>
              <w:rPr>
                <w:color w:val="0000FF"/>
              </w:rPr>
            </w:pPr>
          </w:p>
        </w:tc>
        <w:tc>
          <w:tcPr>
            <w:tcW w:w="4087" w:type="dxa"/>
          </w:tcPr>
          <w:p w:rsidR="000A35CA" w:rsidRPr="002D5779" w:rsidP="004049EE" w14:paraId="61D51C39" w14:textId="77777777">
            <w:pPr>
              <w:autoSpaceDE w:val="0"/>
              <w:autoSpaceDN w:val="0"/>
              <w:adjustRightInd w:val="0"/>
              <w:rPr>
                <w:color w:val="0000FF"/>
              </w:rPr>
            </w:pPr>
          </w:p>
          <w:p w:rsidR="000A35CA" w:rsidRPr="002D5779" w:rsidP="004049EE" w14:paraId="47A8AA79" w14:textId="77777777">
            <w:pPr>
              <w:autoSpaceDE w:val="0"/>
              <w:autoSpaceDN w:val="0"/>
              <w:adjustRightInd w:val="0"/>
              <w:rPr>
                <w:color w:val="0000FF"/>
              </w:rPr>
            </w:pPr>
          </w:p>
          <w:p w:rsidR="000A35CA" w:rsidRPr="002D5779" w:rsidP="004049EE" w14:paraId="2CA0AFC9" w14:textId="77777777">
            <w:pPr>
              <w:autoSpaceDE w:val="0"/>
              <w:autoSpaceDN w:val="0"/>
              <w:adjustRightInd w:val="0"/>
              <w:rPr>
                <w:color w:val="0000FF"/>
              </w:rPr>
            </w:pPr>
            <w:hyperlink r:id="rId38" w:history="1">
              <w:r w:rsidRPr="002D5779" w:rsidR="001F5410">
                <w:rPr>
                  <w:rStyle w:val="Hyperlink"/>
                </w:rPr>
                <w:t>leiterr@firstenergycorp.com</w:t>
              </w:r>
            </w:hyperlink>
          </w:p>
          <w:p w:rsidR="001F5410" w:rsidRPr="002D5779" w:rsidP="004049EE" w14:paraId="2B8484F7" w14:textId="77777777">
            <w:pPr>
              <w:autoSpaceDE w:val="0"/>
              <w:autoSpaceDN w:val="0"/>
              <w:adjustRightInd w:val="0"/>
              <w:rPr>
                <w:color w:val="0000FF"/>
              </w:rPr>
            </w:pPr>
            <w:hyperlink r:id="rId39" w:history="1">
              <w:r w:rsidRPr="002D5779" w:rsidR="00A455DB">
                <w:rPr>
                  <w:rStyle w:val="Hyperlink"/>
                </w:rPr>
                <w:t>rendris@firstenergycorp.com</w:t>
              </w:r>
            </w:hyperlink>
          </w:p>
          <w:p w:rsidR="000A35CA" w:rsidRPr="002D5779" w:rsidP="004049EE" w14:paraId="15EDD47F" w14:textId="77777777">
            <w:pPr>
              <w:autoSpaceDE w:val="0"/>
              <w:autoSpaceDN w:val="0"/>
              <w:adjustRightInd w:val="0"/>
              <w:rPr>
                <w:color w:val="0000FF"/>
              </w:rPr>
            </w:pPr>
            <w:hyperlink r:id="rId40" w:history="1">
              <w:r w:rsidRPr="002D5779" w:rsidR="001F5410">
                <w:rPr>
                  <w:rStyle w:val="Hyperlink"/>
                </w:rPr>
                <w:t>Kjklaw@yahoo.com</w:t>
              </w:r>
            </w:hyperlink>
          </w:p>
          <w:p w:rsidR="000A35CA" w:rsidRPr="002D5779" w:rsidP="004049EE" w14:paraId="5FFDBAAA" w14:textId="77777777">
            <w:pPr>
              <w:autoSpaceDE w:val="0"/>
              <w:autoSpaceDN w:val="0"/>
              <w:adjustRightInd w:val="0"/>
              <w:rPr>
                <w:color w:val="0000FF"/>
              </w:rPr>
            </w:pPr>
            <w:hyperlink r:id="rId41" w:history="1">
              <w:r w:rsidRPr="002D5779" w:rsidR="001F5410">
                <w:rPr>
                  <w:rStyle w:val="Hyperlink"/>
                </w:rPr>
                <w:t>mrgladman@jonesday.com</w:t>
              </w:r>
            </w:hyperlink>
          </w:p>
          <w:p w:rsidR="000A35CA" w:rsidRPr="002D5779" w:rsidP="004049EE" w14:paraId="23EF043F" w14:textId="77777777">
            <w:pPr>
              <w:autoSpaceDE w:val="0"/>
              <w:autoSpaceDN w:val="0"/>
              <w:adjustRightInd w:val="0"/>
              <w:rPr>
                <w:color w:val="0000FF"/>
              </w:rPr>
            </w:pPr>
            <w:hyperlink r:id="rId42" w:history="1">
              <w:r w:rsidRPr="002D5779" w:rsidR="001F5410">
                <w:rPr>
                  <w:rStyle w:val="Hyperlink"/>
                </w:rPr>
                <w:t>stostado@jonesday.com</w:t>
              </w:r>
            </w:hyperlink>
          </w:p>
          <w:p w:rsidR="000A35CA" w:rsidRPr="002D5779" w:rsidP="004049EE" w14:paraId="23829B5D" w14:textId="77777777">
            <w:pPr>
              <w:autoSpaceDE w:val="0"/>
              <w:autoSpaceDN w:val="0"/>
              <w:adjustRightInd w:val="0"/>
              <w:rPr>
                <w:color w:val="0000FF"/>
              </w:rPr>
            </w:pPr>
            <w:hyperlink r:id="rId14" w:history="1">
              <w:r w:rsidRPr="002D5779" w:rsidR="001F5410">
                <w:rPr>
                  <w:rStyle w:val="Hyperlink"/>
                </w:rPr>
                <w:t>jfinnigan@edf.org</w:t>
              </w:r>
            </w:hyperlink>
          </w:p>
          <w:p w:rsidR="000A35CA" w:rsidRPr="002D5779" w:rsidP="004049EE" w14:paraId="648EF448" w14:textId="77777777">
            <w:pPr>
              <w:autoSpaceDE w:val="0"/>
              <w:autoSpaceDN w:val="0"/>
              <w:adjustRightInd w:val="0"/>
              <w:rPr>
                <w:color w:val="0000FF"/>
              </w:rPr>
            </w:pPr>
            <w:hyperlink r:id="rId9" w:history="1">
              <w:r w:rsidRPr="002D5779" w:rsidR="001F5410">
                <w:rPr>
                  <w:rStyle w:val="Hyperlink"/>
                </w:rPr>
                <w:t>Bojko@carpenterlipps.com</w:t>
              </w:r>
            </w:hyperlink>
          </w:p>
          <w:p w:rsidR="000A35CA" w:rsidRPr="002D5779" w:rsidP="004049EE" w14:paraId="5B3E6285" w14:textId="77777777">
            <w:pPr>
              <w:autoSpaceDE w:val="0"/>
              <w:autoSpaceDN w:val="0"/>
              <w:adjustRightInd w:val="0"/>
              <w:rPr>
                <w:color w:val="0000FF"/>
              </w:rPr>
            </w:pPr>
            <w:hyperlink r:id="rId31" w:history="1">
              <w:r w:rsidRPr="002D5779" w:rsidR="001F5410">
                <w:rPr>
                  <w:rStyle w:val="Hyperlink"/>
                </w:rPr>
                <w:t>perko@carpenterlipps.com</w:t>
              </w:r>
            </w:hyperlink>
          </w:p>
          <w:p w:rsidR="000A35CA" w:rsidRPr="002D5779" w:rsidP="004049EE" w14:paraId="03566588" w14:textId="77777777">
            <w:pPr>
              <w:autoSpaceDE w:val="0"/>
              <w:autoSpaceDN w:val="0"/>
              <w:adjustRightInd w:val="0"/>
              <w:rPr>
                <w:color w:val="0000FF"/>
              </w:rPr>
            </w:pPr>
            <w:hyperlink r:id="rId11" w:history="1">
              <w:r w:rsidRPr="002D5779" w:rsidR="001F5410">
                <w:rPr>
                  <w:rStyle w:val="Hyperlink"/>
                </w:rPr>
                <w:t>paul@carpenterlipps.com</w:t>
              </w:r>
            </w:hyperlink>
          </w:p>
          <w:p w:rsidR="000A35CA" w:rsidRPr="002D5779" w:rsidP="004049EE" w14:paraId="2481C463" w14:textId="77777777">
            <w:pPr>
              <w:autoSpaceDE w:val="0"/>
              <w:autoSpaceDN w:val="0"/>
              <w:adjustRightInd w:val="0"/>
              <w:rPr>
                <w:color w:val="0000FF"/>
              </w:rPr>
            </w:pPr>
            <w:hyperlink r:id="rId43" w:history="1">
              <w:r w:rsidRPr="002D5779" w:rsidR="001F5410">
                <w:rPr>
                  <w:rStyle w:val="Hyperlink"/>
                </w:rPr>
                <w:t>rkelter@elpc.org</w:t>
              </w:r>
            </w:hyperlink>
          </w:p>
          <w:p w:rsidR="000A35CA" w:rsidRPr="002D5779" w:rsidP="004049EE" w14:paraId="2157C35D" w14:textId="77777777">
            <w:pPr>
              <w:autoSpaceDE w:val="0"/>
              <w:autoSpaceDN w:val="0"/>
              <w:adjustRightInd w:val="0"/>
              <w:rPr>
                <w:color w:val="0000FF"/>
              </w:rPr>
            </w:pPr>
            <w:hyperlink r:id="rId15" w:history="1">
              <w:r w:rsidRPr="002D5779" w:rsidR="001F5410">
                <w:rPr>
                  <w:rStyle w:val="Hyperlink"/>
                </w:rPr>
                <w:t>joliker@igsenergy.com</w:t>
              </w:r>
            </w:hyperlink>
          </w:p>
          <w:p w:rsidR="000A35CA" w:rsidRPr="002D5779" w:rsidP="004049EE" w14:paraId="3EEE7F82" w14:textId="77777777">
            <w:pPr>
              <w:autoSpaceDE w:val="0"/>
              <w:autoSpaceDN w:val="0"/>
              <w:adjustRightInd w:val="0"/>
              <w:rPr>
                <w:color w:val="0000FF"/>
              </w:rPr>
            </w:pPr>
            <w:hyperlink r:id="rId44" w:history="1">
              <w:r w:rsidRPr="002D5779" w:rsidR="001F5410">
                <w:rPr>
                  <w:rStyle w:val="Hyperlink"/>
                </w:rPr>
                <w:t>swilliams@nrdc.org</w:t>
              </w:r>
            </w:hyperlink>
          </w:p>
          <w:p w:rsidR="001F5410" w:rsidRPr="002D5779" w:rsidP="004049EE" w14:paraId="5E9E64F5" w14:textId="77777777">
            <w:pPr>
              <w:autoSpaceDE w:val="0"/>
              <w:autoSpaceDN w:val="0"/>
              <w:adjustRightInd w:val="0"/>
              <w:rPr>
                <w:color w:val="0000FF"/>
              </w:rPr>
            </w:pPr>
          </w:p>
        </w:tc>
      </w:tr>
    </w:tbl>
    <w:p w:rsidR="000A35CA" w:rsidRPr="002D5779" w:rsidP="000A35CA" w14:paraId="3070E51B" w14:textId="77777777">
      <w:pPr>
        <w:jc w:val="both"/>
        <w:rPr>
          <w:rFonts w:eastAsia="Times New Roman"/>
          <w:bCs/>
        </w:rPr>
      </w:pPr>
    </w:p>
    <w:p w:rsidR="000A35CA" w:rsidRPr="002D5779" w:rsidP="000A35CA" w14:paraId="7611F860" w14:textId="77777777">
      <w:pPr>
        <w:autoSpaceDE w:val="0"/>
        <w:autoSpaceDN w:val="0"/>
        <w:adjustRightInd w:val="0"/>
        <w:rPr>
          <w:color w:val="0000FF"/>
        </w:rPr>
      </w:pPr>
      <w:r w:rsidRPr="002D5779">
        <w:rPr>
          <w:color w:val="000000"/>
        </w:rPr>
        <w:t>Attorney Examiner:</w:t>
      </w:r>
      <w:r w:rsidRPr="002D5779">
        <w:rPr>
          <w:color w:val="0000FF"/>
        </w:rPr>
        <w:tab/>
      </w:r>
    </w:p>
    <w:p w:rsidR="00955685" w:rsidRPr="002D5779" w:rsidP="000A35CA" w14:paraId="2A72643A" w14:textId="77777777">
      <w:pPr>
        <w:rPr>
          <w:color w:val="0000FF"/>
        </w:rPr>
      </w:pPr>
      <w:hyperlink r:id="rId30" w:history="1">
        <w:r w:rsidRPr="002D5779" w:rsidR="00A455DB">
          <w:rPr>
            <w:rStyle w:val="Hyperlink"/>
          </w:rPr>
          <w:t>Lauren.augostini@puco.ohio.gov</w:t>
        </w:r>
      </w:hyperlink>
    </w:p>
    <w:p w:rsidR="000A35CA" w:rsidRPr="002D5779" w:rsidP="000A35CA" w14:paraId="017BC789" w14:textId="77777777">
      <w:pPr>
        <w:rPr>
          <w:color w:val="0000FF"/>
        </w:rPr>
      </w:pPr>
      <w:r w:rsidRPr="002D5779">
        <w:rPr>
          <w:color w:val="0000FF"/>
        </w:rPr>
        <w:tab/>
      </w:r>
      <w:r w:rsidRPr="002D5779">
        <w:rPr>
          <w:color w:val="0000FF"/>
        </w:rPr>
        <w:tab/>
      </w:r>
      <w:r w:rsidRPr="002D5779">
        <w:rPr>
          <w:color w:val="0000FF"/>
        </w:rPr>
        <w:tab/>
      </w:r>
    </w:p>
    <w:p w:rsidR="000A35CA" w:rsidRPr="002D5779" w:rsidP="000A35CA" w14:paraId="04A28AAC" w14:textId="77777777">
      <w:pPr>
        <w:autoSpaceDE w:val="0"/>
        <w:autoSpaceDN w:val="0"/>
        <w:adjustRightInd w:val="0"/>
        <w:rPr>
          <w:color w:val="0000FF"/>
        </w:rPr>
      </w:pPr>
    </w:p>
    <w:tbl>
      <w:tblPr>
        <w:tblStyle w:val="TableGrid"/>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621345CC" w14:textId="77777777" w:rsidTr="004049EE">
        <w:tblPrEx>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0A35CA" w:rsidRPr="002D5779" w:rsidP="004049EE" w14:paraId="6AAE88ED" w14:textId="77777777">
            <w:pPr>
              <w:rPr>
                <w:b/>
                <w:bCs/>
              </w:rPr>
            </w:pPr>
            <w:r w:rsidRPr="002D5779">
              <w:rPr>
                <w:b/>
                <w:bCs/>
              </w:rPr>
              <w:t>CASE No. 17-1398</w:t>
            </w:r>
          </w:p>
          <w:p w:rsidR="000A35CA" w:rsidRPr="002D5779" w:rsidP="004049EE" w14:paraId="44C7EA62" w14:textId="77777777">
            <w:pPr>
              <w:jc w:val="both"/>
              <w:rPr>
                <w:color w:val="0000FF"/>
              </w:rPr>
            </w:pPr>
          </w:p>
          <w:p w:rsidR="000A35CA" w:rsidRPr="002D5779" w:rsidP="004049EE" w14:paraId="44779CF9" w14:textId="77777777">
            <w:pPr>
              <w:jc w:val="both"/>
              <w:rPr>
                <w:color w:val="0000FF"/>
              </w:rPr>
            </w:pPr>
            <w:hyperlink r:id="rId18" w:history="1">
              <w:r w:rsidRPr="002D5779" w:rsidR="001F5410">
                <w:rPr>
                  <w:rStyle w:val="Hyperlink"/>
                </w:rPr>
                <w:t>John.jones@ohioattorneygeneral.gov</w:t>
              </w:r>
            </w:hyperlink>
          </w:p>
          <w:p w:rsidR="000A35CA" w:rsidRPr="002D5779" w:rsidP="004049EE" w14:paraId="3BCDE176" w14:textId="77777777">
            <w:pPr>
              <w:autoSpaceDE w:val="0"/>
              <w:autoSpaceDN w:val="0"/>
              <w:adjustRightInd w:val="0"/>
              <w:rPr>
                <w:color w:val="0000FF"/>
              </w:rPr>
            </w:pPr>
            <w:hyperlink r:id="rId28" w:history="1">
              <w:r w:rsidRPr="002D5779" w:rsidR="001F5410">
                <w:rPr>
                  <w:rStyle w:val="Hyperlink"/>
                </w:rPr>
                <w:t>dborchers@bricker.com</w:t>
              </w:r>
            </w:hyperlink>
          </w:p>
          <w:p w:rsidR="000A35CA" w:rsidRPr="002D5779" w:rsidP="004049EE" w14:paraId="644F4003" w14:textId="77777777">
            <w:pPr>
              <w:autoSpaceDE w:val="0"/>
              <w:autoSpaceDN w:val="0"/>
              <w:adjustRightInd w:val="0"/>
              <w:rPr>
                <w:color w:val="0000FF"/>
              </w:rPr>
            </w:pPr>
            <w:hyperlink r:id="rId29" w:history="1">
              <w:r w:rsidRPr="002D5779" w:rsidR="001F5410">
                <w:rPr>
                  <w:rStyle w:val="Hyperlink"/>
                </w:rPr>
                <w:t>dparram@bricker.com</w:t>
              </w:r>
            </w:hyperlink>
          </w:p>
          <w:p w:rsidR="000A35CA" w:rsidRPr="002D5779" w:rsidP="004049EE" w14:paraId="4F578C41" w14:textId="77777777">
            <w:pPr>
              <w:autoSpaceDE w:val="0"/>
              <w:autoSpaceDN w:val="0"/>
              <w:adjustRightInd w:val="0"/>
              <w:rPr>
                <w:color w:val="0000FF"/>
              </w:rPr>
            </w:pPr>
            <w:hyperlink r:id="rId45" w:history="1">
              <w:r w:rsidRPr="002D5779" w:rsidR="001F5410">
                <w:rPr>
                  <w:rStyle w:val="Hyperlink"/>
                </w:rPr>
                <w:t>eakhbari@bricker.com</w:t>
              </w:r>
            </w:hyperlink>
          </w:p>
          <w:p w:rsidR="000A35CA" w:rsidRPr="002D5779" w:rsidP="004049EE" w14:paraId="6CAC794B" w14:textId="77777777">
            <w:pPr>
              <w:autoSpaceDE w:val="0"/>
              <w:autoSpaceDN w:val="0"/>
              <w:adjustRightInd w:val="0"/>
              <w:rPr>
                <w:color w:val="0000FF"/>
              </w:rPr>
            </w:pPr>
            <w:hyperlink r:id="rId46" w:history="1">
              <w:r w:rsidRPr="002D5779" w:rsidR="001F5410">
                <w:rPr>
                  <w:rStyle w:val="Hyperlink"/>
                </w:rPr>
                <w:t>Michael.schuler@aes.com</w:t>
              </w:r>
            </w:hyperlink>
          </w:p>
          <w:p w:rsidR="000A35CA" w:rsidRPr="002D5779" w:rsidP="004049EE" w14:paraId="2FB630BA" w14:textId="77777777">
            <w:pPr>
              <w:autoSpaceDE w:val="0"/>
              <w:autoSpaceDN w:val="0"/>
              <w:adjustRightInd w:val="0"/>
              <w:rPr>
                <w:color w:val="0000FF"/>
              </w:rPr>
            </w:pPr>
            <w:hyperlink r:id="rId19" w:history="1">
              <w:r w:rsidRPr="002D5779" w:rsidR="001F5410">
                <w:rPr>
                  <w:rStyle w:val="Hyperlink"/>
                </w:rPr>
                <w:t>rdove@keglerbrown.com</w:t>
              </w:r>
            </w:hyperlink>
          </w:p>
          <w:p w:rsidR="000A35CA" w:rsidRPr="002D5779" w:rsidP="004049EE" w14:paraId="7B781A6C" w14:textId="77777777">
            <w:pPr>
              <w:autoSpaceDE w:val="0"/>
              <w:autoSpaceDN w:val="0"/>
              <w:adjustRightInd w:val="0"/>
              <w:rPr>
                <w:color w:val="0000FF"/>
              </w:rPr>
            </w:pPr>
            <w:hyperlink r:id="rId11" w:history="1">
              <w:r w:rsidRPr="002D5779" w:rsidR="001F5410">
                <w:rPr>
                  <w:rStyle w:val="Hyperlink"/>
                </w:rPr>
                <w:t>paul@carpenterlipps.com</w:t>
              </w:r>
            </w:hyperlink>
          </w:p>
          <w:p w:rsidR="000A35CA" w:rsidRPr="002D5779" w:rsidP="004049EE" w14:paraId="499A8CAE" w14:textId="77777777">
            <w:pPr>
              <w:autoSpaceDE w:val="0"/>
              <w:autoSpaceDN w:val="0"/>
              <w:adjustRightInd w:val="0"/>
              <w:rPr>
                <w:color w:val="0000FF"/>
              </w:rPr>
            </w:pPr>
            <w:hyperlink r:id="rId9" w:history="1">
              <w:r w:rsidRPr="002D5779" w:rsidR="001F5410">
                <w:rPr>
                  <w:rStyle w:val="Hyperlink"/>
                </w:rPr>
                <w:t>bojko@carpenterlipps.com</w:t>
              </w:r>
            </w:hyperlink>
          </w:p>
          <w:p w:rsidR="000A35CA" w:rsidRPr="002D5779" w:rsidP="004049EE" w14:paraId="4913DB55" w14:textId="77777777">
            <w:pPr>
              <w:autoSpaceDE w:val="0"/>
              <w:autoSpaceDN w:val="0"/>
              <w:adjustRightInd w:val="0"/>
              <w:rPr>
                <w:color w:val="0000FF"/>
              </w:rPr>
            </w:pPr>
            <w:hyperlink r:id="rId31" w:history="1">
              <w:r w:rsidRPr="002D5779" w:rsidR="001F5410">
                <w:rPr>
                  <w:rStyle w:val="Hyperlink"/>
                </w:rPr>
                <w:t>perko@carpenterlipps.com</w:t>
              </w:r>
            </w:hyperlink>
          </w:p>
          <w:p w:rsidR="000A35CA" w:rsidRPr="002D5779" w:rsidP="004049EE" w14:paraId="19D229D7" w14:textId="77777777">
            <w:pPr>
              <w:jc w:val="both"/>
              <w:rPr>
                <w:color w:val="0000FF"/>
              </w:rPr>
            </w:pPr>
          </w:p>
        </w:tc>
        <w:tc>
          <w:tcPr>
            <w:tcW w:w="4315" w:type="dxa"/>
          </w:tcPr>
          <w:p w:rsidR="000A35CA" w:rsidRPr="002D5779" w:rsidP="004049EE" w14:paraId="2E9BEE67" w14:textId="77777777">
            <w:pPr>
              <w:autoSpaceDE w:val="0"/>
              <w:autoSpaceDN w:val="0"/>
              <w:adjustRightInd w:val="0"/>
              <w:rPr>
                <w:color w:val="0000FF"/>
              </w:rPr>
            </w:pPr>
          </w:p>
          <w:p w:rsidR="000A35CA" w:rsidRPr="002D5779" w:rsidP="004049EE" w14:paraId="2F15C255" w14:textId="77777777">
            <w:pPr>
              <w:autoSpaceDE w:val="0"/>
              <w:autoSpaceDN w:val="0"/>
              <w:adjustRightInd w:val="0"/>
              <w:rPr>
                <w:color w:val="0000FF"/>
              </w:rPr>
            </w:pPr>
          </w:p>
          <w:p w:rsidR="000A35CA" w:rsidRPr="002D5779" w:rsidP="001F5410" w14:paraId="70CCF358" w14:textId="77777777">
            <w:pPr>
              <w:autoSpaceDE w:val="0"/>
              <w:autoSpaceDN w:val="0"/>
              <w:adjustRightInd w:val="0"/>
              <w:ind w:left="180"/>
              <w:rPr>
                <w:color w:val="0000FF"/>
              </w:rPr>
            </w:pPr>
            <w:hyperlink r:id="rId22" w:history="1">
              <w:r w:rsidRPr="002D5779" w:rsidR="001F5410">
                <w:rPr>
                  <w:rStyle w:val="Hyperlink"/>
                </w:rPr>
                <w:t>fdarr@mwncmh.com</w:t>
              </w:r>
            </w:hyperlink>
          </w:p>
          <w:p w:rsidR="000A35CA" w:rsidRPr="002D5779" w:rsidP="001F5410" w14:paraId="01A06737" w14:textId="77777777">
            <w:pPr>
              <w:autoSpaceDE w:val="0"/>
              <w:autoSpaceDN w:val="0"/>
              <w:adjustRightInd w:val="0"/>
              <w:ind w:left="180"/>
              <w:rPr>
                <w:color w:val="0000FF"/>
              </w:rPr>
            </w:pPr>
            <w:hyperlink r:id="rId13" w:history="1">
              <w:r w:rsidRPr="002D5779" w:rsidR="001F5410">
                <w:rPr>
                  <w:rStyle w:val="Hyperlink"/>
                </w:rPr>
                <w:t>mpritchard@mwncmh.com</w:t>
              </w:r>
            </w:hyperlink>
          </w:p>
          <w:p w:rsidR="000A35CA" w:rsidRPr="002D5779" w:rsidP="001F5410" w14:paraId="01A4605B" w14:textId="77777777">
            <w:pPr>
              <w:autoSpaceDE w:val="0"/>
              <w:autoSpaceDN w:val="0"/>
              <w:adjustRightInd w:val="0"/>
              <w:ind w:left="180"/>
              <w:rPr>
                <w:color w:val="0000FF"/>
              </w:rPr>
            </w:pPr>
            <w:hyperlink r:id="rId23" w:history="1">
              <w:r w:rsidRPr="002D5779" w:rsidR="001F5410">
                <w:rPr>
                  <w:rStyle w:val="Hyperlink"/>
                </w:rPr>
                <w:t>tdougherty@theOEC.org</w:t>
              </w:r>
            </w:hyperlink>
          </w:p>
          <w:p w:rsidR="000A35CA" w:rsidRPr="002D5779" w:rsidP="001F5410" w14:paraId="1A113F74" w14:textId="77777777">
            <w:pPr>
              <w:autoSpaceDE w:val="0"/>
              <w:autoSpaceDN w:val="0"/>
              <w:adjustRightInd w:val="0"/>
              <w:ind w:left="180"/>
              <w:rPr>
                <w:color w:val="0000FF"/>
              </w:rPr>
            </w:pPr>
            <w:hyperlink r:id="rId16" w:history="1">
              <w:r w:rsidRPr="002D5779" w:rsidR="001F5410">
                <w:rPr>
                  <w:rStyle w:val="Hyperlink"/>
                </w:rPr>
                <w:t>mleppla@theOEC.org</w:t>
              </w:r>
            </w:hyperlink>
          </w:p>
          <w:p w:rsidR="000A35CA" w:rsidRPr="002D5779" w:rsidP="001F5410" w14:paraId="22BC138E" w14:textId="77777777">
            <w:pPr>
              <w:autoSpaceDE w:val="0"/>
              <w:autoSpaceDN w:val="0"/>
              <w:adjustRightInd w:val="0"/>
              <w:ind w:left="180"/>
              <w:rPr>
                <w:color w:val="0000FF"/>
              </w:rPr>
            </w:pPr>
            <w:hyperlink r:id="rId15" w:history="1">
              <w:r w:rsidRPr="002D5779" w:rsidR="001F5410">
                <w:rPr>
                  <w:rStyle w:val="Hyperlink"/>
                </w:rPr>
                <w:t>joliker@igsenergy.com</w:t>
              </w:r>
            </w:hyperlink>
          </w:p>
          <w:p w:rsidR="001F5410" w:rsidRPr="002D5779" w:rsidP="001F5410" w14:paraId="2446E194" w14:textId="77777777">
            <w:pPr>
              <w:autoSpaceDE w:val="0"/>
              <w:autoSpaceDN w:val="0"/>
              <w:adjustRightInd w:val="0"/>
              <w:ind w:left="180"/>
              <w:rPr>
                <w:color w:val="0000FF"/>
              </w:rPr>
            </w:pPr>
            <w:r w:rsidRPr="002D5779">
              <w:rPr>
                <w:color w:val="0000FF"/>
              </w:rPr>
              <w:t>mfleisherdickinsonwright.com</w:t>
            </w:r>
          </w:p>
          <w:p w:rsidR="001F5410" w:rsidRPr="002D5779" w:rsidP="001F5410" w14:paraId="4E48A253" w14:textId="77777777">
            <w:pPr>
              <w:autoSpaceDE w:val="0"/>
              <w:autoSpaceDN w:val="0"/>
              <w:adjustRightInd w:val="0"/>
              <w:ind w:left="180"/>
              <w:rPr>
                <w:color w:val="0000FF"/>
              </w:rPr>
            </w:pPr>
          </w:p>
          <w:p w:rsidR="001F5410" w:rsidRPr="002D5779" w:rsidP="004049EE" w14:paraId="53882B25" w14:textId="77777777">
            <w:pPr>
              <w:autoSpaceDE w:val="0"/>
              <w:autoSpaceDN w:val="0"/>
              <w:adjustRightInd w:val="0"/>
              <w:rPr>
                <w:color w:val="0000FF"/>
              </w:rPr>
            </w:pPr>
          </w:p>
          <w:p w:rsidR="000A35CA" w:rsidRPr="002D5779" w:rsidP="004049EE" w14:paraId="29EC1CA2" w14:textId="77777777">
            <w:pPr>
              <w:autoSpaceDE w:val="0"/>
              <w:autoSpaceDN w:val="0"/>
              <w:adjustRightInd w:val="0"/>
              <w:rPr>
                <w:color w:val="0000FF"/>
              </w:rPr>
            </w:pPr>
          </w:p>
        </w:tc>
      </w:tr>
    </w:tbl>
    <w:p w:rsidR="000A35CA" w:rsidRPr="002D5779" w:rsidP="000A35CA" w14:paraId="18697FE0" w14:textId="77777777">
      <w:pPr>
        <w:autoSpaceDE w:val="0"/>
        <w:autoSpaceDN w:val="0"/>
        <w:adjustRightInd w:val="0"/>
        <w:rPr>
          <w:color w:val="000000"/>
        </w:rPr>
      </w:pPr>
      <w:r w:rsidRPr="002D5779">
        <w:rPr>
          <w:color w:val="000000"/>
        </w:rPr>
        <w:t>Attorney Examiners:</w:t>
      </w:r>
    </w:p>
    <w:p w:rsidR="000A35CA" w:rsidRPr="002D5779" w:rsidP="000A35CA" w14:paraId="225B62E8" w14:textId="77777777">
      <w:pPr>
        <w:jc w:val="both"/>
        <w:rPr>
          <w:color w:val="0000FF"/>
        </w:rPr>
      </w:pPr>
      <w:hyperlink r:id="rId30" w:history="1">
        <w:r w:rsidRPr="002D5779" w:rsidR="001F5410">
          <w:rPr>
            <w:rStyle w:val="Hyperlink"/>
          </w:rPr>
          <w:t>Lauren.augostini@puco.ohio.gov</w:t>
        </w:r>
      </w:hyperlink>
    </w:p>
    <w:p w:rsidR="001F5410" w:rsidRPr="002D5779" w:rsidP="000A35CA" w14:paraId="26EE3068" w14:textId="77777777">
      <w:pPr>
        <w:jc w:val="both"/>
        <w:rPr>
          <w:color w:val="0000FF"/>
        </w:rPr>
      </w:pPr>
    </w:p>
    <w:p w:rsidR="000A35CA" w:rsidRPr="002D5779" w:rsidP="000A35CA" w14:paraId="1AC3BC42" w14:textId="77777777">
      <w:pPr>
        <w:rPr>
          <w:b/>
          <w:bCs/>
          <w:color w:val="0000FF"/>
        </w:rPr>
      </w:pPr>
    </w:p>
    <w:p w:rsidR="00F02B94" w:rsidRPr="002D5779" w:rsidP="000A35CA" w14:paraId="6219E579" w14:textId="77777777">
      <w:pPr>
        <w:pStyle w:val="CommentText"/>
        <w:jc w:val="center"/>
        <w:rPr>
          <w:sz w:val="24"/>
          <w:szCs w:val="24"/>
        </w:rPr>
      </w:pPr>
    </w:p>
    <w:sectPr w:rsidSect="00D72E93">
      <w:footerReference w:type="default" r:id="rI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187E" w14:paraId="5A7E6ED6" w14:textId="1278FF8F">
    <w:pPr>
      <w:pStyle w:val="Footer"/>
      <w:jc w:val="center"/>
    </w:pPr>
  </w:p>
  <w:p w:rsidR="007F72FB" w14:paraId="7B4027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8038299"/>
      <w:docPartObj>
        <w:docPartGallery w:val="Page Numbers (Bottom of Page)"/>
        <w:docPartUnique/>
      </w:docPartObj>
    </w:sdtPr>
    <w:sdtEndPr>
      <w:rPr>
        <w:noProof/>
      </w:rPr>
    </w:sdtEndPr>
    <w:sdtContent>
      <w:p w:rsidR="0000187E" w14:paraId="7F0A4E9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D657B" w:rsidP="00E37410" w14:paraId="64E4E6E9" w14:textId="77777777">
      <w:r>
        <w:separator/>
      </w:r>
    </w:p>
  </w:footnote>
  <w:footnote w:type="continuationSeparator" w:id="1">
    <w:p w:rsidR="004D657B" w:rsidP="00E37410" w14:paraId="63B8FDF7" w14:textId="77777777">
      <w:r>
        <w:continuationSeparator/>
      </w:r>
    </w:p>
  </w:footnote>
  <w:footnote w:id="2">
    <w:p w:rsidR="007F72FB" w:rsidP="00CE6487" w14:paraId="17CF1D0B" w14:textId="39BFD800">
      <w:pPr>
        <w:pStyle w:val="FootnoteText"/>
        <w:spacing w:after="120"/>
      </w:pPr>
      <w:r>
        <w:rPr>
          <w:rStyle w:val="FootnoteReference"/>
        </w:rPr>
        <w:footnoteRef/>
      </w:r>
      <w:r>
        <w:t xml:space="preserve"> Third Entry on Rehearing (Nov. 18, 2020) (the “Entry on Rehearing”).</w:t>
      </w:r>
    </w:p>
  </w:footnote>
  <w:footnote w:id="3">
    <w:p w:rsidR="007F72FB" w:rsidRPr="007726EF" w:rsidP="00CE6487" w14:paraId="75A8E155" w14:textId="77CDF677">
      <w:pPr>
        <w:pStyle w:val="FootnoteText"/>
        <w:spacing w:after="120"/>
      </w:pPr>
      <w:r>
        <w:rPr>
          <w:rStyle w:val="FootnoteReference"/>
        </w:rPr>
        <w:footnoteRef/>
      </w:r>
      <w:r>
        <w:t xml:space="preserve"> The PUCO previously approved shared savings in the amount of $8.0 million per year, plus a gross-up for taxes. At a tax rate of 21%, Duke would be allowed to charge customers about $10.1 million. The Entry on Rehearing reduced the shared savings cap to $7.8 million with no tax gross-up.</w:t>
      </w:r>
    </w:p>
  </w:footnote>
  <w:footnote w:id="4">
    <w:p w:rsidR="001F6295" w:rsidP="00CE6487" w14:paraId="695A90B6" w14:textId="18327A5A">
      <w:pPr>
        <w:pStyle w:val="FootnoteText"/>
        <w:spacing w:after="120"/>
      </w:pPr>
      <w:r>
        <w:rPr>
          <w:rStyle w:val="FootnoteReference"/>
        </w:rPr>
        <w:footnoteRef/>
      </w:r>
      <w:r>
        <w:t xml:space="preserve"> Duke Energy Ohio, Inc.’s Application for Rehearing (Dec. 18, 2020) (the “Application for Rehearing”).</w:t>
      </w:r>
    </w:p>
  </w:footnote>
  <w:footnote w:id="5">
    <w:p w:rsidR="0050155D" w:rsidRPr="0050155D" w:rsidP="00CE6487" w14:paraId="09B6D09C" w14:textId="4AD4A58A">
      <w:pPr>
        <w:pStyle w:val="FootnoteText"/>
        <w:spacing w:after="120"/>
      </w:pPr>
      <w:r>
        <w:rPr>
          <w:rStyle w:val="FootnoteReference"/>
        </w:rPr>
        <w:footnoteRef/>
      </w:r>
      <w:r>
        <w:t xml:space="preserve"> </w:t>
      </w:r>
      <w:r>
        <w:rPr>
          <w:i/>
          <w:iCs/>
        </w:rPr>
        <w:t xml:space="preserve">See </w:t>
      </w:r>
      <w:r>
        <w:t xml:space="preserve">Application for Rehearing at 7-9 (citing </w:t>
      </w:r>
      <w:r>
        <w:rPr>
          <w:i/>
          <w:iCs/>
        </w:rPr>
        <w:t>In re Ohio Edison Co.</w:t>
      </w:r>
      <w:r>
        <w:t xml:space="preserve">, 158 Ohio St.3d 27 (2019) and </w:t>
      </w:r>
      <w:r>
        <w:rPr>
          <w:i/>
          <w:iCs/>
        </w:rPr>
        <w:t>In re Amendment of Chapters 4901:1-10 and 4901:1-20</w:t>
      </w:r>
      <w:r>
        <w:t>, Case No. 14-1411-EL-ORD).</w:t>
      </w:r>
    </w:p>
  </w:footnote>
  <w:footnote w:id="6">
    <w:p w:rsidR="007F72FB" w:rsidP="00CE6487" w14:paraId="1709E5A8" w14:textId="5ADF894E">
      <w:pPr>
        <w:pStyle w:val="FootnoteText"/>
        <w:spacing w:after="120"/>
      </w:pPr>
      <w:r>
        <w:rPr>
          <w:rStyle w:val="FootnoteReference"/>
        </w:rPr>
        <w:footnoteRef/>
      </w:r>
      <w:r>
        <w:t xml:space="preserve"> 158 Ohio St.3d 27 (2019).</w:t>
      </w:r>
    </w:p>
  </w:footnote>
  <w:footnote w:id="7">
    <w:p w:rsidR="007F72FB" w:rsidRPr="00456BC4" w:rsidP="00CE6487" w14:paraId="48187F9C" w14:textId="5DD2BC08">
      <w:pPr>
        <w:pStyle w:val="FootnoteText"/>
        <w:spacing w:after="120"/>
      </w:pPr>
      <w:r>
        <w:rPr>
          <w:rStyle w:val="FootnoteReference"/>
        </w:rPr>
        <w:footnoteRef/>
      </w:r>
      <w:r>
        <w:t xml:space="preserve"> </w:t>
      </w:r>
      <w:r>
        <w:rPr>
          <w:i/>
          <w:iCs/>
        </w:rPr>
        <w:t>Id.</w:t>
      </w:r>
      <w:r>
        <w:t xml:space="preserve"> at 28.</w:t>
      </w:r>
    </w:p>
  </w:footnote>
  <w:footnote w:id="8">
    <w:p w:rsidR="007F72FB" w:rsidRPr="00456BC4" w:rsidP="00CE6487" w14:paraId="060214A7" w14:textId="69059823">
      <w:pPr>
        <w:pStyle w:val="FootnoteText"/>
        <w:spacing w:after="120"/>
      </w:pPr>
      <w:r>
        <w:rPr>
          <w:rStyle w:val="FootnoteReference"/>
        </w:rPr>
        <w:footnoteRef/>
      </w:r>
      <w:r>
        <w:t xml:space="preserve"> </w:t>
      </w:r>
      <w:r>
        <w:rPr>
          <w:i/>
          <w:iCs/>
        </w:rPr>
        <w:t>Id.</w:t>
      </w:r>
      <w:r>
        <w:t xml:space="preserve"> at 31.</w:t>
      </w:r>
    </w:p>
  </w:footnote>
  <w:footnote w:id="9">
    <w:p w:rsidR="007F72FB" w:rsidRPr="00456BC4" w:rsidP="00CE6487" w14:paraId="65395E98" w14:textId="5AD842B7">
      <w:pPr>
        <w:pStyle w:val="FootnoteText"/>
        <w:spacing w:after="120"/>
      </w:pPr>
      <w:r>
        <w:rPr>
          <w:rStyle w:val="FootnoteReference"/>
        </w:rPr>
        <w:footnoteRef/>
      </w:r>
      <w:r>
        <w:t xml:space="preserve"> </w:t>
      </w:r>
      <w:r>
        <w:rPr>
          <w:i/>
          <w:iCs/>
        </w:rPr>
        <w:t>Id.</w:t>
      </w:r>
      <w:r>
        <w:t xml:space="preserve"> at 31.</w:t>
      </w:r>
    </w:p>
  </w:footnote>
  <w:footnote w:id="10">
    <w:p w:rsidR="007F72FB" w:rsidP="00CE6487" w14:paraId="20E11B49" w14:textId="47DC84FF">
      <w:pPr>
        <w:pStyle w:val="FootnoteText"/>
        <w:spacing w:after="120"/>
      </w:pPr>
      <w:r>
        <w:rPr>
          <w:rStyle w:val="FootnoteReference"/>
        </w:rPr>
        <w:footnoteRef/>
      </w:r>
      <w:r>
        <w:t xml:space="preserve"> Application for Rehearing at 7-9.</w:t>
      </w:r>
    </w:p>
  </w:footnote>
  <w:footnote w:id="11">
    <w:p w:rsidR="007F72FB" w:rsidRPr="00727FA7" w:rsidP="00CE6487" w14:paraId="233CD8A4" w14:textId="6CB868D6">
      <w:pPr>
        <w:pStyle w:val="FootnoteText"/>
        <w:spacing w:after="120"/>
      </w:pPr>
      <w:r>
        <w:rPr>
          <w:rStyle w:val="FootnoteReference"/>
        </w:rPr>
        <w:footnoteRef/>
      </w:r>
      <w:r>
        <w:t xml:space="preserve"> </w:t>
      </w:r>
      <w:r>
        <w:rPr>
          <w:i/>
          <w:iCs/>
        </w:rPr>
        <w:t>In re Application of Duke Energy Ohio, Inc. for Approval of its 2021 Energy Efficiency and Demand Side Management Portfolio of Programs &amp; Cost Recovery Mechanism</w:t>
      </w:r>
      <w:r>
        <w:t>, Case No. 20-1013-EL-PDR, Finding &amp; Order § 8 (June 17, 2020).</w:t>
      </w:r>
    </w:p>
  </w:footnote>
  <w:footnote w:id="12">
    <w:p w:rsidR="007F72FB" w:rsidRPr="00456BC4" w:rsidP="00CE6487" w14:paraId="68AAECEA" w14:textId="7D2310E2">
      <w:pPr>
        <w:pStyle w:val="FootnoteText"/>
        <w:spacing w:after="120"/>
      </w:pPr>
      <w:r>
        <w:rPr>
          <w:rStyle w:val="FootnoteReference"/>
        </w:rPr>
        <w:footnoteRef/>
      </w:r>
      <w:r>
        <w:t xml:space="preserve"> </w:t>
      </w:r>
      <w:r>
        <w:rPr>
          <w:i/>
          <w:iCs/>
        </w:rPr>
        <w:t>Ohio Edison</w:t>
      </w:r>
      <w:r>
        <w:t xml:space="preserve"> at 32.</w:t>
      </w:r>
    </w:p>
  </w:footnote>
  <w:footnote w:id="13">
    <w:p w:rsidR="007F72FB" w:rsidP="00CE6487" w14:paraId="7D05FA37" w14:textId="6719C613">
      <w:pPr>
        <w:pStyle w:val="FootnoteText"/>
        <w:spacing w:after="120"/>
      </w:pPr>
      <w:r>
        <w:rPr>
          <w:rStyle w:val="FootnoteReference"/>
        </w:rPr>
        <w:footnoteRef/>
      </w:r>
      <w:r>
        <w:t xml:space="preserve"> Application for Rehearing at 8.</w:t>
      </w:r>
    </w:p>
  </w:footnote>
  <w:footnote w:id="14">
    <w:p w:rsidR="007F72FB" w:rsidRPr="00926AA6" w:rsidP="00CE6487" w14:paraId="3D73CCCB" w14:textId="0C6BA074">
      <w:pPr>
        <w:pStyle w:val="FootnoteText"/>
        <w:spacing w:after="120"/>
      </w:pPr>
      <w:r>
        <w:rPr>
          <w:rStyle w:val="FootnoteReference"/>
        </w:rPr>
        <w:footnoteRef/>
      </w:r>
      <w:r>
        <w:t xml:space="preserve"> </w:t>
      </w:r>
      <w:r>
        <w:rPr>
          <w:i/>
          <w:iCs/>
        </w:rPr>
        <w:t>Ohio Edison</w:t>
      </w:r>
      <w:r>
        <w:t xml:space="preserve"> at fn. 1.</w:t>
      </w:r>
    </w:p>
  </w:footnote>
  <w:footnote w:id="15">
    <w:p w:rsidR="007F72FB" w:rsidP="00CE6487" w14:paraId="40E7D5DB" w14:textId="7DEB3051">
      <w:pPr>
        <w:pStyle w:val="FootnoteText"/>
        <w:spacing w:after="120"/>
      </w:pPr>
      <w:r>
        <w:rPr>
          <w:rStyle w:val="FootnoteReference"/>
        </w:rPr>
        <w:footnoteRef/>
      </w:r>
      <w:r>
        <w:t xml:space="preserve"> </w:t>
      </w:r>
      <w:r>
        <w:rPr>
          <w:i/>
          <w:iCs/>
        </w:rPr>
        <w:t>In re Application of Duke Energy Ohio, Inc. for Approval of its 2021 Energy Efficiency and Demand Side Management Portfolio of Programs &amp; Cost Recovery Mechanism</w:t>
      </w:r>
      <w:r>
        <w:t>, Case No. 20-1013-EL-PDR, Finding &amp; Order § 8 (June 17, 2020) (“The shared savings provision previously contained in the portfolio plans to implement the EE programs mandated by statute were intended to provide utilities with an incentive to exceed the statutory benchmarks in any given year.”).</w:t>
      </w:r>
    </w:p>
  </w:footnote>
  <w:footnote w:id="16">
    <w:p w:rsidR="007F72FB" w:rsidRPr="00052408" w:rsidP="00CE6487" w14:paraId="6CFD7D6A" w14:textId="079AC3A0">
      <w:pPr>
        <w:pStyle w:val="FootnoteText"/>
        <w:spacing w:after="120"/>
      </w:pPr>
      <w:r>
        <w:rPr>
          <w:rStyle w:val="FootnoteReference"/>
        </w:rPr>
        <w:footnoteRef/>
      </w:r>
      <w:r>
        <w:t xml:space="preserve"> </w:t>
      </w:r>
      <w:r>
        <w:rPr>
          <w:i/>
          <w:iCs/>
        </w:rPr>
        <w:t>See</w:t>
      </w:r>
      <w:r>
        <w:t xml:space="preserve"> Stipulation &amp; Recommendation at 5 (Jan. 27, 2017) (shared savings is equal to zero for any achievement less than or equal to 100% of the statutory benchmark).</w:t>
      </w:r>
    </w:p>
  </w:footnote>
  <w:footnote w:id="17">
    <w:p w:rsidR="007F72FB" w:rsidP="00CE6487" w14:paraId="20ED87A6" w14:textId="08E868D7">
      <w:pPr>
        <w:pStyle w:val="FootnoteText"/>
        <w:spacing w:after="120"/>
      </w:pPr>
      <w:r>
        <w:rPr>
          <w:rStyle w:val="FootnoteReference"/>
        </w:rPr>
        <w:footnoteRef/>
      </w:r>
      <w:r>
        <w:t xml:space="preserve"> Application for Rehearing at 10.</w:t>
      </w:r>
    </w:p>
  </w:footnote>
  <w:footnote w:id="18">
    <w:p w:rsidR="0050155D" w:rsidP="00CE6487" w14:paraId="4C6A9B25" w14:textId="531690AF">
      <w:pPr>
        <w:pStyle w:val="FootnoteText"/>
        <w:spacing w:after="120"/>
      </w:pPr>
      <w:r>
        <w:rPr>
          <w:rStyle w:val="FootnoteReference"/>
        </w:rPr>
        <w:footnoteRef/>
      </w:r>
      <w:r>
        <w:t xml:space="preserve"> Application for Rehearing at 12-13.</w:t>
      </w:r>
    </w:p>
  </w:footnote>
  <w:footnote w:id="19">
    <w:p w:rsidR="0025204E" w:rsidRPr="0025204E" w:rsidP="00CE6487" w14:paraId="369BF1DF" w14:textId="22C81365">
      <w:pPr>
        <w:pStyle w:val="FootnoteText"/>
        <w:spacing w:after="120"/>
      </w:pPr>
      <w:r>
        <w:rPr>
          <w:rStyle w:val="FootnoteReference"/>
        </w:rPr>
        <w:footnoteRef/>
      </w:r>
      <w:r>
        <w:t xml:space="preserve"> </w:t>
      </w:r>
      <w:r w:rsidR="001B28E4">
        <w:rPr>
          <w:i/>
          <w:iCs/>
        </w:rPr>
        <w:t>See In re Application of Duke Energy Ohio, Inc. for Recovery of Program Costs</w:t>
      </w:r>
      <w:r w:rsidR="001B28E4">
        <w:t xml:space="preserve">, Case No. 14-457-EL-RDR, Entry on Rehearing ¶ 8 (July 8, 2015) (denying party’s application for rehearing because it sought a request for clarification instead of alleging that the order was unlawful or unreasonable); </w:t>
      </w:r>
      <w:r>
        <w:rPr>
          <w:i/>
          <w:iCs/>
        </w:rPr>
        <w:t>Accord In re Review of Chapters 4901-1, 4901-3, &amp; 4901-9 of the Ohio Admin. Code</w:t>
      </w:r>
      <w:r>
        <w:t>, Case No. 06-685-AU-ORD, Finding &amp; Order ¶ 59 (Dec. 6, 2006) (motions for clarification not allowed).</w:t>
      </w:r>
    </w:p>
  </w:footnote>
  <w:footnote w:id="20">
    <w:p w:rsidR="00943DD8" w:rsidRPr="00943DD8" w:rsidP="00CE6487" w14:paraId="16B204EC" w14:textId="248572D9">
      <w:pPr>
        <w:pStyle w:val="FootnoteText"/>
        <w:spacing w:after="120"/>
      </w:pPr>
      <w:r>
        <w:rPr>
          <w:rStyle w:val="FootnoteReference"/>
        </w:rPr>
        <w:footnoteRef/>
      </w:r>
      <w:r>
        <w:t xml:space="preserve"> </w:t>
      </w:r>
      <w:r>
        <w:rPr>
          <w:i/>
          <w:iCs/>
        </w:rPr>
        <w:t>In re Proper Procedures &amp; Process for the Commission’s Operations &amp; Proceedings during the Declared State of Emergency</w:t>
      </w:r>
      <w:r>
        <w:t>, Case No. 20-591-AU-UNC, Entry on Rehearing ¶ 17 (Aug. 12, 2020) (parties lacked standing to apply for rehearing because they were not parties to the case).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495021"/>
    <w:multiLevelType w:val="hybridMultilevel"/>
    <w:tmpl w:val="84FEA7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F7B62AC"/>
    <w:multiLevelType w:val="hybridMultilevel"/>
    <w:tmpl w:val="EC6C978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14"/>
    <w:rsid w:val="00001346"/>
    <w:rsid w:val="0000187E"/>
    <w:rsid w:val="00013249"/>
    <w:rsid w:val="00031584"/>
    <w:rsid w:val="00051736"/>
    <w:rsid w:val="00052408"/>
    <w:rsid w:val="00067F3F"/>
    <w:rsid w:val="00071D75"/>
    <w:rsid w:val="00082011"/>
    <w:rsid w:val="0008568A"/>
    <w:rsid w:val="000931CB"/>
    <w:rsid w:val="0009468B"/>
    <w:rsid w:val="000A32AC"/>
    <w:rsid w:val="000A35CA"/>
    <w:rsid w:val="000A66D1"/>
    <w:rsid w:val="000B7834"/>
    <w:rsid w:val="000C3635"/>
    <w:rsid w:val="000C3C2C"/>
    <w:rsid w:val="000C7586"/>
    <w:rsid w:val="000D5281"/>
    <w:rsid w:val="000D658A"/>
    <w:rsid w:val="000E19B5"/>
    <w:rsid w:val="000E7F2F"/>
    <w:rsid w:val="000F24ED"/>
    <w:rsid w:val="000F3022"/>
    <w:rsid w:val="0010202D"/>
    <w:rsid w:val="001067C1"/>
    <w:rsid w:val="00113283"/>
    <w:rsid w:val="00123E2C"/>
    <w:rsid w:val="00123F59"/>
    <w:rsid w:val="0014270E"/>
    <w:rsid w:val="00156400"/>
    <w:rsid w:val="00187723"/>
    <w:rsid w:val="001A0595"/>
    <w:rsid w:val="001A4AF6"/>
    <w:rsid w:val="001B28E4"/>
    <w:rsid w:val="001B4E1A"/>
    <w:rsid w:val="001B5429"/>
    <w:rsid w:val="001B64D7"/>
    <w:rsid w:val="001C4332"/>
    <w:rsid w:val="001D5C5C"/>
    <w:rsid w:val="001F5410"/>
    <w:rsid w:val="001F6295"/>
    <w:rsid w:val="002015B6"/>
    <w:rsid w:val="002050BE"/>
    <w:rsid w:val="00206457"/>
    <w:rsid w:val="00213408"/>
    <w:rsid w:val="00226CDD"/>
    <w:rsid w:val="002322B2"/>
    <w:rsid w:val="002373A4"/>
    <w:rsid w:val="00242405"/>
    <w:rsid w:val="0025204E"/>
    <w:rsid w:val="00255931"/>
    <w:rsid w:val="00261AD2"/>
    <w:rsid w:val="002671A7"/>
    <w:rsid w:val="0027765D"/>
    <w:rsid w:val="00277F57"/>
    <w:rsid w:val="002811AE"/>
    <w:rsid w:val="002932E8"/>
    <w:rsid w:val="00295E8A"/>
    <w:rsid w:val="00295EC5"/>
    <w:rsid w:val="002A1740"/>
    <w:rsid w:val="002A46FD"/>
    <w:rsid w:val="002B39B6"/>
    <w:rsid w:val="002C6D56"/>
    <w:rsid w:val="002D3973"/>
    <w:rsid w:val="002D5779"/>
    <w:rsid w:val="002D5BCB"/>
    <w:rsid w:val="002D7DAF"/>
    <w:rsid w:val="002F210A"/>
    <w:rsid w:val="002F57B5"/>
    <w:rsid w:val="002F79CB"/>
    <w:rsid w:val="00314B92"/>
    <w:rsid w:val="00350170"/>
    <w:rsid w:val="00350FAA"/>
    <w:rsid w:val="003647DC"/>
    <w:rsid w:val="0037304E"/>
    <w:rsid w:val="0039331F"/>
    <w:rsid w:val="003A67E3"/>
    <w:rsid w:val="003B0A9E"/>
    <w:rsid w:val="003E06F9"/>
    <w:rsid w:val="003E1BE0"/>
    <w:rsid w:val="003E44C6"/>
    <w:rsid w:val="00400A1B"/>
    <w:rsid w:val="00401FCD"/>
    <w:rsid w:val="004049EE"/>
    <w:rsid w:val="00425224"/>
    <w:rsid w:val="004310EF"/>
    <w:rsid w:val="00432311"/>
    <w:rsid w:val="00432E22"/>
    <w:rsid w:val="00445E93"/>
    <w:rsid w:val="00456BC4"/>
    <w:rsid w:val="00477857"/>
    <w:rsid w:val="00491A89"/>
    <w:rsid w:val="00492247"/>
    <w:rsid w:val="004A5F76"/>
    <w:rsid w:val="004A68D2"/>
    <w:rsid w:val="004B0BDE"/>
    <w:rsid w:val="004C5326"/>
    <w:rsid w:val="004D4F5F"/>
    <w:rsid w:val="004D554C"/>
    <w:rsid w:val="004D657B"/>
    <w:rsid w:val="004D75A6"/>
    <w:rsid w:val="004D7A36"/>
    <w:rsid w:val="004E36F0"/>
    <w:rsid w:val="0050155D"/>
    <w:rsid w:val="0052155C"/>
    <w:rsid w:val="00535462"/>
    <w:rsid w:val="00536261"/>
    <w:rsid w:val="00536709"/>
    <w:rsid w:val="005406B8"/>
    <w:rsid w:val="00547C13"/>
    <w:rsid w:val="005571E6"/>
    <w:rsid w:val="00557D7B"/>
    <w:rsid w:val="005634A2"/>
    <w:rsid w:val="00572D2F"/>
    <w:rsid w:val="00573F80"/>
    <w:rsid w:val="00574725"/>
    <w:rsid w:val="005807B6"/>
    <w:rsid w:val="0058331C"/>
    <w:rsid w:val="00585894"/>
    <w:rsid w:val="00591BFF"/>
    <w:rsid w:val="00593E47"/>
    <w:rsid w:val="00597BFE"/>
    <w:rsid w:val="005A05F2"/>
    <w:rsid w:val="005A0E3F"/>
    <w:rsid w:val="005A1B7C"/>
    <w:rsid w:val="005A7BFA"/>
    <w:rsid w:val="005B0DB6"/>
    <w:rsid w:val="005B3DE0"/>
    <w:rsid w:val="005C6AEC"/>
    <w:rsid w:val="005D7262"/>
    <w:rsid w:val="00621628"/>
    <w:rsid w:val="00627A4A"/>
    <w:rsid w:val="006403FF"/>
    <w:rsid w:val="006409FE"/>
    <w:rsid w:val="006559E5"/>
    <w:rsid w:val="0066070B"/>
    <w:rsid w:val="0066194A"/>
    <w:rsid w:val="006776DC"/>
    <w:rsid w:val="006849DE"/>
    <w:rsid w:val="00685E81"/>
    <w:rsid w:val="00695DA0"/>
    <w:rsid w:val="006A655D"/>
    <w:rsid w:val="006A7AB0"/>
    <w:rsid w:val="006B7AC6"/>
    <w:rsid w:val="006D0668"/>
    <w:rsid w:val="006E2BD3"/>
    <w:rsid w:val="006E464F"/>
    <w:rsid w:val="006F0E29"/>
    <w:rsid w:val="006F526B"/>
    <w:rsid w:val="006F65D2"/>
    <w:rsid w:val="007030AC"/>
    <w:rsid w:val="00705305"/>
    <w:rsid w:val="00713714"/>
    <w:rsid w:val="00727FA7"/>
    <w:rsid w:val="00733D92"/>
    <w:rsid w:val="00735A4B"/>
    <w:rsid w:val="00736792"/>
    <w:rsid w:val="007417ED"/>
    <w:rsid w:val="00742598"/>
    <w:rsid w:val="00743876"/>
    <w:rsid w:val="00752D56"/>
    <w:rsid w:val="0075682B"/>
    <w:rsid w:val="007605FD"/>
    <w:rsid w:val="007726EF"/>
    <w:rsid w:val="00776F42"/>
    <w:rsid w:val="007826FA"/>
    <w:rsid w:val="00796150"/>
    <w:rsid w:val="007A12E7"/>
    <w:rsid w:val="007B1361"/>
    <w:rsid w:val="007C170A"/>
    <w:rsid w:val="007C1834"/>
    <w:rsid w:val="007C2BE7"/>
    <w:rsid w:val="007C4690"/>
    <w:rsid w:val="007C58BD"/>
    <w:rsid w:val="007D2BB9"/>
    <w:rsid w:val="007E2EF3"/>
    <w:rsid w:val="007F21E5"/>
    <w:rsid w:val="007F72FB"/>
    <w:rsid w:val="00806A9E"/>
    <w:rsid w:val="0080756B"/>
    <w:rsid w:val="00832A09"/>
    <w:rsid w:val="0083526F"/>
    <w:rsid w:val="00847E3E"/>
    <w:rsid w:val="00855AB5"/>
    <w:rsid w:val="00856A0D"/>
    <w:rsid w:val="00861222"/>
    <w:rsid w:val="00864AA2"/>
    <w:rsid w:val="00872EEC"/>
    <w:rsid w:val="00884027"/>
    <w:rsid w:val="00886B15"/>
    <w:rsid w:val="008939A4"/>
    <w:rsid w:val="008B1848"/>
    <w:rsid w:val="008B1FD9"/>
    <w:rsid w:val="008B58AF"/>
    <w:rsid w:val="008C00C1"/>
    <w:rsid w:val="008D14DC"/>
    <w:rsid w:val="008E2B12"/>
    <w:rsid w:val="008E2FF5"/>
    <w:rsid w:val="008E7DB0"/>
    <w:rsid w:val="008F25E1"/>
    <w:rsid w:val="009003C9"/>
    <w:rsid w:val="00916D99"/>
    <w:rsid w:val="0092160F"/>
    <w:rsid w:val="00924C30"/>
    <w:rsid w:val="0092664A"/>
    <w:rsid w:val="00926AA6"/>
    <w:rsid w:val="0093400E"/>
    <w:rsid w:val="00935EAF"/>
    <w:rsid w:val="009422E4"/>
    <w:rsid w:val="00943DD8"/>
    <w:rsid w:val="00952DCF"/>
    <w:rsid w:val="00955685"/>
    <w:rsid w:val="00955A16"/>
    <w:rsid w:val="00962589"/>
    <w:rsid w:val="00965F88"/>
    <w:rsid w:val="00966921"/>
    <w:rsid w:val="00967F43"/>
    <w:rsid w:val="0097095B"/>
    <w:rsid w:val="009827DD"/>
    <w:rsid w:val="00987D10"/>
    <w:rsid w:val="00996F0C"/>
    <w:rsid w:val="009A2750"/>
    <w:rsid w:val="009A32D5"/>
    <w:rsid w:val="009B02BD"/>
    <w:rsid w:val="009B1821"/>
    <w:rsid w:val="009D28D5"/>
    <w:rsid w:val="009D6110"/>
    <w:rsid w:val="009D789A"/>
    <w:rsid w:val="009E4441"/>
    <w:rsid w:val="009F1234"/>
    <w:rsid w:val="00A05367"/>
    <w:rsid w:val="00A31F44"/>
    <w:rsid w:val="00A4515D"/>
    <w:rsid w:val="00A455DB"/>
    <w:rsid w:val="00A50454"/>
    <w:rsid w:val="00A521FF"/>
    <w:rsid w:val="00A55056"/>
    <w:rsid w:val="00A55EE9"/>
    <w:rsid w:val="00A67F75"/>
    <w:rsid w:val="00A75716"/>
    <w:rsid w:val="00A77127"/>
    <w:rsid w:val="00A77863"/>
    <w:rsid w:val="00A878DC"/>
    <w:rsid w:val="00A97A6D"/>
    <w:rsid w:val="00AA001C"/>
    <w:rsid w:val="00AA4FE0"/>
    <w:rsid w:val="00AC29F8"/>
    <w:rsid w:val="00AC6815"/>
    <w:rsid w:val="00AD2400"/>
    <w:rsid w:val="00AD2C7B"/>
    <w:rsid w:val="00AD664C"/>
    <w:rsid w:val="00AE422E"/>
    <w:rsid w:val="00AE7F14"/>
    <w:rsid w:val="00AF1692"/>
    <w:rsid w:val="00AF1B85"/>
    <w:rsid w:val="00AF1C72"/>
    <w:rsid w:val="00AF62E5"/>
    <w:rsid w:val="00AF7F76"/>
    <w:rsid w:val="00B01AEF"/>
    <w:rsid w:val="00B20598"/>
    <w:rsid w:val="00B207DB"/>
    <w:rsid w:val="00B26459"/>
    <w:rsid w:val="00B47FE1"/>
    <w:rsid w:val="00B51800"/>
    <w:rsid w:val="00B55627"/>
    <w:rsid w:val="00B612D0"/>
    <w:rsid w:val="00B63405"/>
    <w:rsid w:val="00B66AEF"/>
    <w:rsid w:val="00B7227C"/>
    <w:rsid w:val="00B84E9C"/>
    <w:rsid w:val="00B9417C"/>
    <w:rsid w:val="00B946B2"/>
    <w:rsid w:val="00B95D66"/>
    <w:rsid w:val="00BC67E7"/>
    <w:rsid w:val="00BE0E75"/>
    <w:rsid w:val="00BE5759"/>
    <w:rsid w:val="00BE5EF9"/>
    <w:rsid w:val="00BE7062"/>
    <w:rsid w:val="00BF079C"/>
    <w:rsid w:val="00C10BBE"/>
    <w:rsid w:val="00C13528"/>
    <w:rsid w:val="00C15AE2"/>
    <w:rsid w:val="00C2518E"/>
    <w:rsid w:val="00C3775D"/>
    <w:rsid w:val="00C415CD"/>
    <w:rsid w:val="00C45D22"/>
    <w:rsid w:val="00C66A0B"/>
    <w:rsid w:val="00C75314"/>
    <w:rsid w:val="00C77E34"/>
    <w:rsid w:val="00C847B9"/>
    <w:rsid w:val="00C901BC"/>
    <w:rsid w:val="00CA12AA"/>
    <w:rsid w:val="00CA7F98"/>
    <w:rsid w:val="00CC3F0D"/>
    <w:rsid w:val="00CD75D1"/>
    <w:rsid w:val="00CE3E70"/>
    <w:rsid w:val="00CE6487"/>
    <w:rsid w:val="00CF1073"/>
    <w:rsid w:val="00D01DFA"/>
    <w:rsid w:val="00D23021"/>
    <w:rsid w:val="00D307FD"/>
    <w:rsid w:val="00D47F18"/>
    <w:rsid w:val="00D506AA"/>
    <w:rsid w:val="00D60AFC"/>
    <w:rsid w:val="00D717E7"/>
    <w:rsid w:val="00D72E93"/>
    <w:rsid w:val="00D74880"/>
    <w:rsid w:val="00D91B24"/>
    <w:rsid w:val="00DA2C23"/>
    <w:rsid w:val="00DA7455"/>
    <w:rsid w:val="00DA7680"/>
    <w:rsid w:val="00DB1A7F"/>
    <w:rsid w:val="00DC14DB"/>
    <w:rsid w:val="00DC7060"/>
    <w:rsid w:val="00DD3A57"/>
    <w:rsid w:val="00DD3C2C"/>
    <w:rsid w:val="00DD3D99"/>
    <w:rsid w:val="00DD4AAD"/>
    <w:rsid w:val="00DD7B6F"/>
    <w:rsid w:val="00DF26BB"/>
    <w:rsid w:val="00DF76F9"/>
    <w:rsid w:val="00E21AFF"/>
    <w:rsid w:val="00E21F27"/>
    <w:rsid w:val="00E264B6"/>
    <w:rsid w:val="00E37410"/>
    <w:rsid w:val="00E50B5B"/>
    <w:rsid w:val="00E529BB"/>
    <w:rsid w:val="00E626E8"/>
    <w:rsid w:val="00E731E4"/>
    <w:rsid w:val="00E86852"/>
    <w:rsid w:val="00EA1A16"/>
    <w:rsid w:val="00EA5BD1"/>
    <w:rsid w:val="00EE0421"/>
    <w:rsid w:val="00EF1B53"/>
    <w:rsid w:val="00F0243D"/>
    <w:rsid w:val="00F02B94"/>
    <w:rsid w:val="00F21268"/>
    <w:rsid w:val="00F21BB0"/>
    <w:rsid w:val="00F222B8"/>
    <w:rsid w:val="00F3037C"/>
    <w:rsid w:val="00F41B20"/>
    <w:rsid w:val="00F64D77"/>
    <w:rsid w:val="00F6621A"/>
    <w:rsid w:val="00F715A9"/>
    <w:rsid w:val="00F7277F"/>
    <w:rsid w:val="00F82087"/>
    <w:rsid w:val="00F82F16"/>
    <w:rsid w:val="00F953A1"/>
    <w:rsid w:val="00FA2BAE"/>
    <w:rsid w:val="00FA53A2"/>
    <w:rsid w:val="00FB0D3C"/>
    <w:rsid w:val="00FB2CE6"/>
    <w:rsid w:val="00FC68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060"/>
  </w:style>
  <w:style w:type="paragraph" w:styleId="Heading1">
    <w:name w:val="heading 1"/>
    <w:basedOn w:val="Normal"/>
    <w:next w:val="Normal"/>
    <w:link w:val="Heading1Char"/>
    <w:uiPriority w:val="9"/>
    <w:qFormat/>
    <w:rsid w:val="005A7BFA"/>
    <w:pPr>
      <w:keepNext/>
      <w:keepLines/>
      <w:spacing w:after="240"/>
      <w:ind w:left="720" w:hanging="720"/>
      <w:outlineLvl w:val="0"/>
    </w:pPr>
    <w:rPr>
      <w:rFonts w:ascii="Times New Roman Bold" w:hAnsi="Times New Roman Bold" w:eastAsiaTheme="majorEastAsia" w:cstheme="majorBidi"/>
      <w:b/>
      <w:szCs w:val="32"/>
    </w:rPr>
  </w:style>
  <w:style w:type="paragraph" w:styleId="Heading2">
    <w:name w:val="heading 2"/>
    <w:basedOn w:val="Normal"/>
    <w:next w:val="Normal"/>
    <w:link w:val="Heading2Char"/>
    <w:uiPriority w:val="9"/>
    <w:unhideWhenUsed/>
    <w:qFormat/>
    <w:rsid w:val="005A7BFA"/>
    <w:pPr>
      <w:keepNext/>
      <w:keepLines/>
      <w:spacing w:after="240"/>
      <w:ind w:left="1440" w:hanging="720"/>
      <w:outlineLvl w:val="1"/>
    </w:pPr>
    <w:rPr>
      <w:rFonts w:ascii="Times New Roman Bold" w:hAnsi="Times New Roman Bold" w:eastAsiaTheme="majorEastAsia" w:cs="Arial"/>
      <w:b/>
      <w:szCs w:val="22"/>
    </w:rPr>
  </w:style>
  <w:style w:type="paragraph" w:styleId="Heading3">
    <w:name w:val="heading 3"/>
    <w:basedOn w:val="Normal"/>
    <w:next w:val="Normal"/>
    <w:link w:val="Heading3Char"/>
    <w:uiPriority w:val="9"/>
    <w:unhideWhenUsed/>
    <w:qFormat/>
    <w:rsid w:val="005A7BFA"/>
    <w:pPr>
      <w:keepNext/>
      <w:keepLines/>
      <w:spacing w:after="240"/>
      <w:ind w:left="2160" w:hanging="720"/>
      <w:outlineLvl w:val="2"/>
    </w:pPr>
    <w:rPr>
      <w:rFonts w:ascii="Times New Roman Bold" w:hAnsi="Times New Roman Bold" w:eastAsiaTheme="majorEastAsia" w:cstheme="majorBidi"/>
      <w:b/>
    </w:rPr>
  </w:style>
  <w:style w:type="paragraph" w:styleId="Heading4">
    <w:name w:val="heading 4"/>
    <w:basedOn w:val="Normal"/>
    <w:next w:val="Normal"/>
    <w:link w:val="Heading4Char"/>
    <w:uiPriority w:val="9"/>
    <w:unhideWhenUsed/>
    <w:qFormat/>
    <w:rsid w:val="005A7BFA"/>
    <w:pPr>
      <w:keepNext/>
      <w:keepLines/>
      <w:spacing w:after="240"/>
      <w:ind w:left="2880" w:hanging="720"/>
      <w:outlineLvl w:val="3"/>
    </w:pPr>
    <w:rPr>
      <w:rFonts w:ascii="Times New Roman Bold" w:hAnsi="Times New Roman Bold" w:eastAsiaTheme="majorEastAsia" w:cstheme="majorBidi"/>
      <w:b/>
      <w:iCs/>
    </w:rPr>
  </w:style>
  <w:style w:type="paragraph" w:styleId="Heading5">
    <w:name w:val="heading 5"/>
    <w:basedOn w:val="Normal"/>
    <w:next w:val="Normal"/>
    <w:link w:val="Heading5Char"/>
    <w:uiPriority w:val="9"/>
    <w:unhideWhenUsed/>
    <w:qFormat/>
    <w:rsid w:val="000C3C2C"/>
    <w:pPr>
      <w:keepNext/>
      <w:keepLines/>
      <w:spacing w:after="240"/>
      <w:outlineLvl w:val="4"/>
    </w:pPr>
    <w:rPr>
      <w:rFonts w:ascii="Times New Roman Bold" w:hAnsi="Times New Roman Bold"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410"/>
    <w:pPr>
      <w:tabs>
        <w:tab w:val="center" w:pos="4680"/>
        <w:tab w:val="right" w:pos="9360"/>
      </w:tabs>
    </w:pPr>
  </w:style>
  <w:style w:type="character" w:customStyle="1" w:styleId="HeaderChar">
    <w:name w:val="Header Char"/>
    <w:basedOn w:val="DefaultParagraphFont"/>
    <w:link w:val="Header"/>
    <w:uiPriority w:val="99"/>
    <w:rsid w:val="00E37410"/>
  </w:style>
  <w:style w:type="paragraph" w:styleId="Footer">
    <w:name w:val="footer"/>
    <w:basedOn w:val="Normal"/>
    <w:link w:val="FooterChar"/>
    <w:uiPriority w:val="99"/>
    <w:unhideWhenUsed/>
    <w:rsid w:val="00E37410"/>
    <w:pPr>
      <w:tabs>
        <w:tab w:val="center" w:pos="4680"/>
        <w:tab w:val="right" w:pos="9360"/>
      </w:tabs>
    </w:pPr>
  </w:style>
  <w:style w:type="character" w:customStyle="1" w:styleId="FooterChar">
    <w:name w:val="Footer Char"/>
    <w:basedOn w:val="DefaultParagraphFont"/>
    <w:link w:val="Footer"/>
    <w:uiPriority w:val="99"/>
    <w:rsid w:val="00E37410"/>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nhideWhenUsed/>
    <w:rsid w:val="00F21268"/>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rsid w:val="00F21268"/>
    <w:rPr>
      <w:sz w:val="20"/>
      <w:szCs w:val="20"/>
    </w:rPr>
  </w:style>
  <w:style w:type="character" w:styleId="FootnoteReference">
    <w:name w:val="footnote reference"/>
    <w:aliases w:val="o"/>
    <w:basedOn w:val="DefaultParagraphFont"/>
    <w:unhideWhenUsed/>
    <w:rsid w:val="00F21268"/>
    <w:rPr>
      <w:vertAlign w:val="superscript"/>
    </w:rPr>
  </w:style>
  <w:style w:type="character" w:styleId="Hyperlink">
    <w:name w:val="Hyperlink"/>
    <w:basedOn w:val="DefaultParagraphFont"/>
    <w:uiPriority w:val="99"/>
    <w:unhideWhenUsed/>
    <w:rsid w:val="00F21268"/>
    <w:rPr>
      <w:color w:val="0000FF"/>
      <w:u w:val="single"/>
    </w:rPr>
  </w:style>
  <w:style w:type="character" w:customStyle="1" w:styleId="UnresolvedMention1">
    <w:name w:val="Unresolved Mention1"/>
    <w:basedOn w:val="DefaultParagraphFont"/>
    <w:uiPriority w:val="99"/>
    <w:semiHidden/>
    <w:unhideWhenUsed/>
    <w:rsid w:val="00F21268"/>
    <w:rPr>
      <w:color w:val="605E5C"/>
      <w:shd w:val="clear" w:color="auto" w:fill="E1DFDD"/>
    </w:rPr>
  </w:style>
  <w:style w:type="paragraph" w:styleId="ListParagraph">
    <w:name w:val="List Paragraph"/>
    <w:basedOn w:val="Normal"/>
    <w:uiPriority w:val="34"/>
    <w:qFormat/>
    <w:rsid w:val="00187723"/>
    <w:pPr>
      <w:ind w:left="720"/>
      <w:contextualSpacing/>
    </w:pPr>
  </w:style>
  <w:style w:type="table" w:styleId="TableGrid">
    <w:name w:val="Table Grid"/>
    <w:basedOn w:val="TableNormal"/>
    <w:rsid w:val="00782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59E5"/>
    <w:rPr>
      <w:sz w:val="16"/>
      <w:szCs w:val="16"/>
    </w:rPr>
  </w:style>
  <w:style w:type="paragraph" w:styleId="CommentText">
    <w:name w:val="annotation text"/>
    <w:basedOn w:val="Normal"/>
    <w:link w:val="CommentTextChar"/>
    <w:unhideWhenUsed/>
    <w:rsid w:val="006559E5"/>
    <w:rPr>
      <w:sz w:val="20"/>
      <w:szCs w:val="20"/>
    </w:rPr>
  </w:style>
  <w:style w:type="character" w:customStyle="1" w:styleId="CommentTextChar">
    <w:name w:val="Comment Text Char"/>
    <w:basedOn w:val="DefaultParagraphFont"/>
    <w:link w:val="CommentText"/>
    <w:rsid w:val="006559E5"/>
    <w:rPr>
      <w:sz w:val="20"/>
      <w:szCs w:val="20"/>
    </w:rPr>
  </w:style>
  <w:style w:type="paragraph" w:styleId="CommentSubject">
    <w:name w:val="annotation subject"/>
    <w:basedOn w:val="CommentText"/>
    <w:next w:val="CommentText"/>
    <w:link w:val="CommentSubjectChar"/>
    <w:uiPriority w:val="99"/>
    <w:semiHidden/>
    <w:unhideWhenUsed/>
    <w:rsid w:val="006559E5"/>
    <w:rPr>
      <w:b/>
      <w:bCs/>
    </w:rPr>
  </w:style>
  <w:style w:type="character" w:customStyle="1" w:styleId="CommentSubjectChar">
    <w:name w:val="Comment Subject Char"/>
    <w:basedOn w:val="CommentTextChar"/>
    <w:link w:val="CommentSubject"/>
    <w:uiPriority w:val="99"/>
    <w:semiHidden/>
    <w:rsid w:val="006559E5"/>
    <w:rPr>
      <w:b/>
      <w:bCs/>
      <w:sz w:val="20"/>
      <w:szCs w:val="20"/>
    </w:rPr>
  </w:style>
  <w:style w:type="paragraph" w:styleId="BalloonText">
    <w:name w:val="Balloon Text"/>
    <w:basedOn w:val="Normal"/>
    <w:link w:val="BalloonTextChar"/>
    <w:uiPriority w:val="99"/>
    <w:semiHidden/>
    <w:unhideWhenUsed/>
    <w:rsid w:val="006559E5"/>
    <w:rPr>
      <w:rFonts w:ascii="Tahoma" w:hAnsi="Tahoma" w:cs="Tahoma"/>
      <w:sz w:val="16"/>
      <w:szCs w:val="16"/>
    </w:rPr>
  </w:style>
  <w:style w:type="character" w:customStyle="1" w:styleId="BalloonTextChar">
    <w:name w:val="Balloon Text Char"/>
    <w:basedOn w:val="DefaultParagraphFont"/>
    <w:link w:val="BalloonText"/>
    <w:uiPriority w:val="99"/>
    <w:semiHidden/>
    <w:rsid w:val="006559E5"/>
    <w:rPr>
      <w:rFonts w:ascii="Tahoma" w:hAnsi="Tahoma" w:cs="Tahoma"/>
      <w:sz w:val="16"/>
      <w:szCs w:val="16"/>
    </w:rPr>
  </w:style>
  <w:style w:type="character" w:customStyle="1" w:styleId="Heading2Char">
    <w:name w:val="Heading 2 Char"/>
    <w:basedOn w:val="DefaultParagraphFont"/>
    <w:link w:val="Heading2"/>
    <w:uiPriority w:val="9"/>
    <w:rsid w:val="005A7BFA"/>
    <w:rPr>
      <w:rFonts w:ascii="Times New Roman Bold" w:hAnsi="Times New Roman Bold" w:eastAsiaTheme="majorEastAsia" w:cs="Arial"/>
      <w:b/>
      <w:szCs w:val="22"/>
    </w:rPr>
  </w:style>
  <w:style w:type="character" w:customStyle="1" w:styleId="UnresolvedMention2">
    <w:name w:val="Unresolved Mention2"/>
    <w:basedOn w:val="DefaultParagraphFont"/>
    <w:uiPriority w:val="99"/>
    <w:semiHidden/>
    <w:unhideWhenUsed/>
    <w:rsid w:val="002D5BCB"/>
    <w:rPr>
      <w:color w:val="605E5C"/>
      <w:shd w:val="clear" w:color="auto" w:fill="E1DFDD"/>
    </w:rPr>
  </w:style>
  <w:style w:type="character" w:styleId="FollowedHyperlink">
    <w:name w:val="FollowedHyperlink"/>
    <w:basedOn w:val="DefaultParagraphFont"/>
    <w:uiPriority w:val="99"/>
    <w:semiHidden/>
    <w:unhideWhenUsed/>
    <w:rsid w:val="002D5BCB"/>
    <w:rPr>
      <w:color w:val="954F72" w:themeColor="followedHyperlink"/>
      <w:u w:val="single"/>
    </w:rPr>
  </w:style>
  <w:style w:type="paragraph" w:styleId="HTMLPreformatted">
    <w:name w:val="HTML Preformatted"/>
    <w:basedOn w:val="Normal"/>
    <w:link w:val="HTMLPreformattedChar"/>
    <w:rsid w:val="00F02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02B94"/>
    <w:rPr>
      <w:rFonts w:ascii="Courier New" w:eastAsia="Courier New" w:hAnsi="Courier New" w:cs="Courier New"/>
      <w:sz w:val="20"/>
      <w:szCs w:val="20"/>
    </w:rPr>
  </w:style>
  <w:style w:type="paragraph" w:styleId="BodyText">
    <w:name w:val="Body Text"/>
    <w:basedOn w:val="Normal"/>
    <w:link w:val="BodyTextChar"/>
    <w:rsid w:val="00F02B94"/>
    <w:pPr>
      <w:widowControl w:val="0"/>
      <w:overflowPunct w:val="0"/>
      <w:adjustRightInd w:val="0"/>
      <w:spacing w:after="120"/>
    </w:pPr>
    <w:rPr>
      <w:rFonts w:eastAsia="Times New Roman"/>
      <w:kern w:val="28"/>
    </w:rPr>
  </w:style>
  <w:style w:type="character" w:customStyle="1" w:styleId="BodyTextChar">
    <w:name w:val="Body Text Char"/>
    <w:basedOn w:val="DefaultParagraphFont"/>
    <w:link w:val="BodyText"/>
    <w:rsid w:val="00F02B94"/>
    <w:rPr>
      <w:rFonts w:eastAsia="Times New Roman"/>
      <w:kern w:val="28"/>
    </w:rPr>
  </w:style>
  <w:style w:type="character" w:customStyle="1" w:styleId="Heading1Char">
    <w:name w:val="Heading 1 Char"/>
    <w:basedOn w:val="DefaultParagraphFont"/>
    <w:link w:val="Heading1"/>
    <w:uiPriority w:val="9"/>
    <w:rsid w:val="005A7BFA"/>
    <w:rPr>
      <w:rFonts w:ascii="Times New Roman Bold" w:hAnsi="Times New Roman Bold" w:eastAsiaTheme="majorEastAsia" w:cstheme="majorBidi"/>
      <w:b/>
      <w:szCs w:val="32"/>
    </w:rPr>
  </w:style>
  <w:style w:type="character" w:customStyle="1" w:styleId="Heading3Char">
    <w:name w:val="Heading 3 Char"/>
    <w:basedOn w:val="DefaultParagraphFont"/>
    <w:link w:val="Heading3"/>
    <w:uiPriority w:val="9"/>
    <w:rsid w:val="005A7BFA"/>
    <w:rPr>
      <w:rFonts w:ascii="Times New Roman Bold" w:hAnsi="Times New Roman Bold" w:eastAsiaTheme="majorEastAsia" w:cstheme="majorBidi"/>
      <w:b/>
    </w:rPr>
  </w:style>
  <w:style w:type="character" w:customStyle="1" w:styleId="Heading4Char">
    <w:name w:val="Heading 4 Char"/>
    <w:basedOn w:val="DefaultParagraphFont"/>
    <w:link w:val="Heading4"/>
    <w:uiPriority w:val="9"/>
    <w:rsid w:val="005A7BFA"/>
    <w:rPr>
      <w:rFonts w:ascii="Times New Roman Bold" w:hAnsi="Times New Roman Bold" w:eastAsiaTheme="majorEastAsia" w:cstheme="majorBidi"/>
      <w:b/>
      <w:iCs/>
    </w:rPr>
  </w:style>
  <w:style w:type="character" w:customStyle="1" w:styleId="Heading5Char">
    <w:name w:val="Heading 5 Char"/>
    <w:basedOn w:val="DefaultParagraphFont"/>
    <w:link w:val="Heading5"/>
    <w:uiPriority w:val="9"/>
    <w:rsid w:val="000C3C2C"/>
    <w:rPr>
      <w:rFonts w:ascii="Times New Roman Bold" w:hAnsi="Times New Roman Bold" w:eastAsiaTheme="majorEastAsia" w:cstheme="majorBidi"/>
      <w:b/>
    </w:rPr>
  </w:style>
  <w:style w:type="paragraph" w:styleId="TOC1">
    <w:name w:val="toc 1"/>
    <w:basedOn w:val="Normal"/>
    <w:next w:val="Normal"/>
    <w:autoRedefine/>
    <w:uiPriority w:val="39"/>
    <w:unhideWhenUsed/>
    <w:rsid w:val="00F0243D"/>
    <w:pPr>
      <w:tabs>
        <w:tab w:val="decimal" w:leader="dot" w:pos="8640"/>
      </w:tabs>
      <w:spacing w:after="240"/>
      <w:ind w:left="720" w:hanging="720"/>
    </w:pPr>
  </w:style>
  <w:style w:type="paragraph" w:styleId="TOC2">
    <w:name w:val="toc 2"/>
    <w:basedOn w:val="Normal"/>
    <w:next w:val="Normal"/>
    <w:autoRedefine/>
    <w:uiPriority w:val="39"/>
    <w:unhideWhenUsed/>
    <w:rsid w:val="00F0243D"/>
    <w:pPr>
      <w:tabs>
        <w:tab w:val="decimal" w:leader="dot" w:pos="8640"/>
      </w:tabs>
      <w:spacing w:after="240"/>
      <w:ind w:left="1440" w:hanging="720"/>
    </w:pPr>
  </w:style>
  <w:style w:type="paragraph" w:styleId="TOC3">
    <w:name w:val="toc 3"/>
    <w:basedOn w:val="Normal"/>
    <w:next w:val="Normal"/>
    <w:autoRedefine/>
    <w:uiPriority w:val="39"/>
    <w:unhideWhenUsed/>
    <w:rsid w:val="00F0243D"/>
    <w:pPr>
      <w:tabs>
        <w:tab w:val="decimal" w:leader="dot" w:pos="8640"/>
      </w:tabs>
      <w:spacing w:after="240"/>
      <w:ind w:left="2160" w:hanging="720"/>
    </w:pPr>
  </w:style>
  <w:style w:type="paragraph" w:styleId="TOC4">
    <w:name w:val="toc 4"/>
    <w:basedOn w:val="Normal"/>
    <w:next w:val="Normal"/>
    <w:autoRedefine/>
    <w:uiPriority w:val="39"/>
    <w:unhideWhenUsed/>
    <w:rsid w:val="00F0243D"/>
    <w:pPr>
      <w:tabs>
        <w:tab w:val="decimal" w:leader="dot" w:pos="8640"/>
      </w:tabs>
      <w:spacing w:after="240"/>
      <w:ind w:left="2880" w:hanging="720"/>
    </w:pPr>
  </w:style>
  <w:style w:type="paragraph" w:styleId="TOC5">
    <w:name w:val="toc 5"/>
    <w:basedOn w:val="Normal"/>
    <w:next w:val="Normal"/>
    <w:autoRedefine/>
    <w:uiPriority w:val="39"/>
    <w:unhideWhenUsed/>
    <w:rsid w:val="000C3C2C"/>
    <w:pPr>
      <w:tabs>
        <w:tab w:val="decimal" w:leader="dot" w:pos="8640"/>
      </w:tabs>
      <w:spacing w:after="240"/>
    </w:pPr>
  </w:style>
  <w:style w:type="character" w:customStyle="1" w:styleId="UnresolvedMention3">
    <w:name w:val="Unresolved Mention3"/>
    <w:basedOn w:val="DefaultParagraphFont"/>
    <w:uiPriority w:val="99"/>
    <w:semiHidden/>
    <w:unhideWhenUsed/>
    <w:rsid w:val="00CF1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Ghiloni@carpenterlipps.com" TargetMode="External" /><Relationship Id="rId11" Type="http://schemas.openxmlformats.org/officeDocument/2006/relationships/hyperlink" Target="mailto:paul@carpenterlipps.com" TargetMode="External" /><Relationship Id="rId12" Type="http://schemas.openxmlformats.org/officeDocument/2006/relationships/hyperlink" Target="mailto:dutton@carpenterlipps.com" TargetMode="External" /><Relationship Id="rId13" Type="http://schemas.openxmlformats.org/officeDocument/2006/relationships/hyperlink" Target="mailto:mpritchard@mwncmh.com" TargetMode="External" /><Relationship Id="rId14" Type="http://schemas.openxmlformats.org/officeDocument/2006/relationships/hyperlink" Target="mailto:jfinnigan@edf.org" TargetMode="External" /><Relationship Id="rId15" Type="http://schemas.openxmlformats.org/officeDocument/2006/relationships/hyperlink" Target="mailto:joliker@igsenergy.com" TargetMode="External" /><Relationship Id="rId16" Type="http://schemas.openxmlformats.org/officeDocument/2006/relationships/hyperlink" Target="mailto:mleppla@theoec.org" TargetMode="External" /><Relationship Id="rId17" Type="http://schemas.openxmlformats.org/officeDocument/2006/relationships/hyperlink" Target="mailto:callwein@keglerbrown.com" TargetMode="External" /><Relationship Id="rId18" Type="http://schemas.openxmlformats.org/officeDocument/2006/relationships/hyperlink" Target="mailto:john.jones@ohioattorneygeneral.gov" TargetMode="External" /><Relationship Id="rId19" Type="http://schemas.openxmlformats.org/officeDocument/2006/relationships/hyperlink" Target="mailto:rdove@keglerbrown.com" TargetMode="External" /><Relationship Id="rId2" Type="http://schemas.openxmlformats.org/officeDocument/2006/relationships/settings" Target="settings.xml" /><Relationship Id="rId20" Type="http://schemas.openxmlformats.org/officeDocument/2006/relationships/hyperlink" Target="mailto:mfleisher@elpc.org" TargetMode="External" /><Relationship Id="rId21" Type="http://schemas.openxmlformats.org/officeDocument/2006/relationships/hyperlink" Target="mailto:ORourke@carpenterlipps.com" TargetMode="External" /><Relationship Id="rId22" Type="http://schemas.openxmlformats.org/officeDocument/2006/relationships/hyperlink" Target="mailto:fdarr@mwncmh.com" TargetMode="External" /><Relationship Id="rId23" Type="http://schemas.openxmlformats.org/officeDocument/2006/relationships/hyperlink" Target="mailto:tdougherty@theOEC.org" TargetMode="External" /><Relationship Id="rId24" Type="http://schemas.openxmlformats.org/officeDocument/2006/relationships/hyperlink" Target="mailto:cendsley@ofbf.org" TargetMode="External" /><Relationship Id="rId25" Type="http://schemas.openxmlformats.org/officeDocument/2006/relationships/hyperlink" Target="mailto:lcurtis@ofbf.org" TargetMode="External" /><Relationship Id="rId26" Type="http://schemas.openxmlformats.org/officeDocument/2006/relationships/hyperlink" Target="mailto:amilam@ofbf.org" TargetMode="External" /><Relationship Id="rId27" Type="http://schemas.openxmlformats.org/officeDocument/2006/relationships/hyperlink" Target="mailto:abrink@nhtinc.org" TargetMode="External" /><Relationship Id="rId28" Type="http://schemas.openxmlformats.org/officeDocument/2006/relationships/hyperlink" Target="mailto:dborchers@bricker.com" TargetMode="External" /><Relationship Id="rId29" Type="http://schemas.openxmlformats.org/officeDocument/2006/relationships/hyperlink" Target="mailto:dparram@bricker.com" TargetMode="External" /><Relationship Id="rId3" Type="http://schemas.openxmlformats.org/officeDocument/2006/relationships/webSettings" Target="webSettings.xml" /><Relationship Id="rId30" Type="http://schemas.openxmlformats.org/officeDocument/2006/relationships/hyperlink" Target="mailto:Lauren.augostini@puco.ohio.gov" TargetMode="External" /><Relationship Id="rId31" Type="http://schemas.openxmlformats.org/officeDocument/2006/relationships/hyperlink" Target="mailto:perko@carpenterlipps.com" TargetMode="External" /><Relationship Id="rId32" Type="http://schemas.openxmlformats.org/officeDocument/2006/relationships/hyperlink" Target="mailto:mwarnock@bricker.com" TargetMode="External" /><Relationship Id="rId33" Type="http://schemas.openxmlformats.org/officeDocument/2006/relationships/hyperlink" Target="mailto:Rocco.dascenzo@duke-energy.com" TargetMode="External" /><Relationship Id="rId34" Type="http://schemas.openxmlformats.org/officeDocument/2006/relationships/hyperlink" Target="mailto:rdove@keglerborwn.com" TargetMode="External" /><Relationship Id="rId35" Type="http://schemas.openxmlformats.org/officeDocument/2006/relationships/hyperlink" Target="mailto:sechler@carpenterlipps.com" TargetMode="External" /><Relationship Id="rId36" Type="http://schemas.openxmlformats.org/officeDocument/2006/relationships/hyperlink" Target="mailto:cdunn@firstenergycorp.com" TargetMode="External" /><Relationship Id="rId37" Type="http://schemas.openxmlformats.org/officeDocument/2006/relationships/hyperlink" Target="mailto:eostrowski@firstenergycorp.com" TargetMode="External" /><Relationship Id="rId38" Type="http://schemas.openxmlformats.org/officeDocument/2006/relationships/hyperlink" Target="mailto:leiterr@firstenergycorp.com" TargetMode="External" /><Relationship Id="rId39" Type="http://schemas.openxmlformats.org/officeDocument/2006/relationships/hyperlink" Target="mailto:rendris@firstenergycorp.com" TargetMode="External" /><Relationship Id="rId4" Type="http://schemas.openxmlformats.org/officeDocument/2006/relationships/fontTable" Target="fontTable.xml" /><Relationship Id="rId40" Type="http://schemas.openxmlformats.org/officeDocument/2006/relationships/hyperlink" Target="mailto:Kjklaw@yahoo.com" TargetMode="External" /><Relationship Id="rId41" Type="http://schemas.openxmlformats.org/officeDocument/2006/relationships/hyperlink" Target="mailto:mrgladman@jonesday.com" TargetMode="External" /><Relationship Id="rId42" Type="http://schemas.openxmlformats.org/officeDocument/2006/relationships/hyperlink" Target="mailto:stostado@jonesday.com" TargetMode="External" /><Relationship Id="rId43" Type="http://schemas.openxmlformats.org/officeDocument/2006/relationships/hyperlink" Target="mailto:rkelter@elpc.org" TargetMode="External" /><Relationship Id="rId44" Type="http://schemas.openxmlformats.org/officeDocument/2006/relationships/hyperlink" Target="mailto:swilliams@nrdc.org" TargetMode="External" /><Relationship Id="rId45" Type="http://schemas.openxmlformats.org/officeDocument/2006/relationships/hyperlink" Target="mailto:eakhbari@bricker.com" TargetMode="External" /><Relationship Id="rId46" Type="http://schemas.openxmlformats.org/officeDocument/2006/relationships/hyperlink" Target="mailto:Michael.schuler@aes.com" TargetMode="External" /><Relationship Id="rId47" Type="http://schemas.openxmlformats.org/officeDocument/2006/relationships/footer" Target="footer2.xml" /><Relationship Id="rId48" Type="http://schemas.openxmlformats.org/officeDocument/2006/relationships/theme" Target="theme/theme1.xml" /><Relationship Id="rId49" Type="http://schemas.openxmlformats.org/officeDocument/2006/relationships/numbering" Target="numbering.xml" /><Relationship Id="rId5" Type="http://schemas.openxmlformats.org/officeDocument/2006/relationships/customXml" Target="../customXml/item1.xml" /><Relationship Id="rId50" Type="http://schemas.openxmlformats.org/officeDocument/2006/relationships/styles" Target="styles.xml" /><Relationship Id="rId6" Type="http://schemas.openxmlformats.org/officeDocument/2006/relationships/footer" Target="footer1.xml" /><Relationship Id="rId7" Type="http://schemas.openxmlformats.org/officeDocument/2006/relationships/hyperlink" Target="mailto:christopher.healey@occ.ohio.gov" TargetMode="External" /><Relationship Id="rId8" Type="http://schemas.openxmlformats.org/officeDocument/2006/relationships/hyperlink" Target="mailto:stnourse@aep.com" TargetMode="External" /><Relationship Id="rId9" Type="http://schemas.openxmlformats.org/officeDocument/2006/relationships/hyperlink" Target="mailto:Bojko@carpenterlipp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6C110-E567-4EF9-96FD-2C6199BF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Duke 16-576 - MC Duke Dec. AFR w/dfs  (00149115.DOCX;1)</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2020-12-28T16:47:32Z</dcterms:created>
  <dcterms:modified xsi:type="dcterms:W3CDTF">2020-12-28T16:47:32Z</dcterms:modified>
</cp:coreProperties>
</file>