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C24C80" w:rsidRPr="004F7E20" w14:paraId="4EC34B73" w14:textId="0BBC0B3B">
      <w:pPr>
        <w:pStyle w:val="HTMLPreformatted"/>
        <w:jc w:val="center"/>
        <w:rPr>
          <w:rFonts w:ascii="Times New Roman" w:hAnsi="Times New Roman" w:cs="Times New Roman"/>
          <w:b/>
          <w:bCs/>
          <w:sz w:val="24"/>
          <w:szCs w:val="24"/>
        </w:rPr>
      </w:pPr>
      <w:r w:rsidRPr="004F7E20">
        <w:rPr>
          <w:rFonts w:ascii="Times New Roman" w:hAnsi="Times New Roman" w:cs="Times New Roman"/>
          <w:b/>
          <w:bCs/>
          <w:sz w:val="24"/>
          <w:szCs w:val="24"/>
        </w:rPr>
        <w:t>BEFORE</w:t>
      </w:r>
    </w:p>
    <w:p w:rsidR="00C24C80" w:rsidRPr="004F7E20" w14:paraId="353250A5" w14:textId="77777777">
      <w:pPr>
        <w:pStyle w:val="HTMLPreformatted"/>
        <w:jc w:val="center"/>
        <w:rPr>
          <w:rFonts w:ascii="Times New Roman" w:hAnsi="Times New Roman" w:cs="Times New Roman"/>
          <w:sz w:val="24"/>
          <w:szCs w:val="24"/>
        </w:rPr>
      </w:pPr>
      <w:r w:rsidRPr="004F7E20">
        <w:rPr>
          <w:rFonts w:ascii="Times New Roman" w:hAnsi="Times New Roman" w:cs="Times New Roman"/>
          <w:b/>
          <w:bCs/>
          <w:sz w:val="24"/>
          <w:szCs w:val="24"/>
        </w:rPr>
        <w:t>THE PUBLIC UTILITIES COMMISSION OF OHIO</w:t>
      </w:r>
    </w:p>
    <w:p w:rsidR="00AE4906" w:rsidRPr="004F7E20" w:rsidP="00AE4906" w14:paraId="664CA9EC" w14:textId="77777777"/>
    <w:tbl>
      <w:tblPr>
        <w:tblW w:w="9092" w:type="dxa"/>
        <w:tblInd w:w="0" w:type="dxa"/>
        <w:tblCellMar>
          <w:top w:w="0" w:type="dxa"/>
          <w:left w:w="108" w:type="dxa"/>
          <w:bottom w:w="0" w:type="dxa"/>
          <w:right w:w="108" w:type="dxa"/>
        </w:tblCellMar>
        <w:tblLook w:val="01E0"/>
      </w:tblPr>
      <w:tblGrid>
        <w:gridCol w:w="4332"/>
        <w:gridCol w:w="360"/>
        <w:gridCol w:w="4400"/>
      </w:tblGrid>
      <w:tr w14:paraId="66B2AB9A" w14:textId="77777777" w:rsidTr="002F6B37">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82BBA" w:rsidRPr="004407A2" w:rsidP="002F6B37" w14:paraId="26B8D9E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In the Matter of the OVEC Generation Purchase Rider Audits Required by R.C. 4928.148 for Duke Energy Ohio, Inc., the Dayton Power and Light Company, and AEP Ohio.</w:t>
            </w:r>
          </w:p>
        </w:tc>
        <w:tc>
          <w:tcPr>
            <w:tcW w:w="360" w:type="dxa"/>
            <w:shd w:val="clear" w:color="auto" w:fill="auto"/>
          </w:tcPr>
          <w:p w:rsidR="00582BBA" w:rsidRPr="004407A2" w:rsidP="002F6B37" w14:paraId="1C8BE84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w:t>
            </w:r>
          </w:p>
          <w:p w:rsidR="00582BBA" w:rsidRPr="004407A2" w:rsidP="002F6B37" w14:paraId="3E5ACD9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w:t>
            </w:r>
          </w:p>
          <w:p w:rsidR="00582BBA" w:rsidRPr="004407A2" w:rsidP="002F6B37" w14:paraId="3C8D5BD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w:t>
            </w:r>
          </w:p>
          <w:p w:rsidR="00582BBA" w:rsidRPr="004407A2" w:rsidP="002F6B37" w14:paraId="16082B7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w:t>
            </w:r>
          </w:p>
          <w:p w:rsidR="00582BBA" w:rsidRPr="004407A2" w:rsidP="002F6B37" w14:paraId="5278DD4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w:t>
            </w:r>
          </w:p>
        </w:tc>
        <w:tc>
          <w:tcPr>
            <w:tcW w:w="4400" w:type="dxa"/>
            <w:shd w:val="clear" w:color="auto" w:fill="auto"/>
          </w:tcPr>
          <w:p w:rsidR="00582BBA" w:rsidP="002F6B37" w14:paraId="01CD031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582BBA" w:rsidRPr="004407A2" w:rsidP="002F6B37" w14:paraId="30FB981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582BBA" w:rsidRPr="004407A2" w:rsidP="002F6B37" w14:paraId="3F05857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407A2">
              <w:rPr>
                <w:rFonts w:ascii="Times New Roman" w:eastAsia="Courier New" w:hAnsi="Times New Roman" w:cs="Times New Roman"/>
                <w:sz w:val="24"/>
                <w:szCs w:val="24"/>
                <w:lang w:val="en-US" w:eastAsia="en-US" w:bidi="ar-SA"/>
              </w:rPr>
              <w:t>Case No. 21-477-EL-RDR</w:t>
            </w:r>
          </w:p>
          <w:p w:rsidR="00582BBA" w:rsidRPr="004407A2" w:rsidP="002F6B37" w14:paraId="51DD128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582BBA" w:rsidRPr="004407A2" w:rsidP="002F6B37" w14:paraId="291D5E2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C24C80" w:rsidRPr="004F7E20" w14:paraId="56BBD25F" w14:textId="77777777">
      <w:pPr>
        <w:pBdr>
          <w:bottom w:val="single" w:sz="12" w:space="1" w:color="auto"/>
        </w:pBdr>
        <w:rPr>
          <w:b/>
        </w:rPr>
      </w:pPr>
    </w:p>
    <w:p w:rsidR="00C24C80" w:rsidRPr="004F7E20" w14:paraId="7E826345" w14:textId="77777777">
      <w:pPr>
        <w:jc w:val="center"/>
        <w:rPr>
          <w:b/>
        </w:rPr>
      </w:pPr>
    </w:p>
    <w:p w:rsidR="00273405" w:rsidRPr="004F7E20" w14:paraId="042DFAA1" w14:textId="6F4408C8">
      <w:pPr>
        <w:jc w:val="center"/>
        <w:rPr>
          <w:b/>
        </w:rPr>
      </w:pPr>
      <w:r w:rsidRPr="004F7E20">
        <w:rPr>
          <w:b/>
        </w:rPr>
        <w:t>MEMORANDUM CONTRA</w:t>
      </w:r>
      <w:r w:rsidR="003275CB">
        <w:rPr>
          <w:b/>
        </w:rPr>
        <w:t xml:space="preserve"> </w:t>
      </w:r>
      <w:r w:rsidRPr="004F7E20" w:rsidR="00D55DA0">
        <w:rPr>
          <w:b/>
        </w:rPr>
        <w:t>DUKE</w:t>
      </w:r>
      <w:r w:rsidR="003275CB">
        <w:rPr>
          <w:b/>
        </w:rPr>
        <w:t xml:space="preserve">, </w:t>
      </w:r>
      <w:r w:rsidRPr="004F7E20" w:rsidR="00D55DA0">
        <w:rPr>
          <w:b/>
        </w:rPr>
        <w:t xml:space="preserve">AES AND </w:t>
      </w:r>
      <w:r w:rsidR="003275CB">
        <w:rPr>
          <w:b/>
        </w:rPr>
        <w:t>AEP</w:t>
      </w:r>
      <w:r w:rsidRPr="004F7E20" w:rsidR="00D55DA0">
        <w:rPr>
          <w:b/>
        </w:rPr>
        <w:t>’S MOTIONS FOR PROTECTIVE ORDERS</w:t>
      </w:r>
    </w:p>
    <w:p w:rsidR="00C24C80" w:rsidRPr="004F7E20" w14:paraId="5D34C759" w14:textId="35B7D558">
      <w:pPr>
        <w:jc w:val="center"/>
        <w:rPr>
          <w:b/>
        </w:rPr>
      </w:pPr>
      <w:r w:rsidRPr="004F7E20">
        <w:rPr>
          <w:b/>
        </w:rPr>
        <w:t>BY</w:t>
      </w:r>
    </w:p>
    <w:p w:rsidR="00C24C80" w:rsidRPr="004F7E20" w14:paraId="4CD08536" w14:textId="0FA8D754">
      <w:pPr>
        <w:jc w:val="center"/>
        <w:rPr>
          <w:b/>
        </w:rPr>
      </w:pPr>
      <w:r w:rsidRPr="004F7E20">
        <w:rPr>
          <w:b/>
        </w:rPr>
        <w:t xml:space="preserve">OFFICE OF THE OHIO CONSUMERS’ COUNSEL </w:t>
      </w:r>
    </w:p>
    <w:p w:rsidR="00C24C80" w:rsidRPr="004F7E20" w14:paraId="76934753" w14:textId="77777777">
      <w:pPr>
        <w:pStyle w:val="HTMLPreformatted"/>
        <w:pBdr>
          <w:bottom w:val="single" w:sz="12" w:space="1" w:color="auto"/>
        </w:pBdr>
        <w:jc w:val="center"/>
        <w:rPr>
          <w:rFonts w:ascii="Times New Roman" w:hAnsi="Times New Roman" w:cs="Times New Roman"/>
          <w:b/>
          <w:bCs/>
          <w:sz w:val="24"/>
          <w:szCs w:val="24"/>
        </w:rPr>
      </w:pPr>
    </w:p>
    <w:p w:rsidR="00724423" w:rsidRPr="004F7E20" w:rsidP="009F5FDD" w14:paraId="4370CF45" w14:textId="0B0526D7">
      <w:pPr>
        <w:rPr>
          <w:b/>
          <w:bCs/>
          <w:color w:val="000000"/>
        </w:rPr>
      </w:pPr>
      <w:bookmarkStart w:id="0" w:name="_Hlk144969344"/>
    </w:p>
    <w:p w:rsidR="006B78A2" w:rsidP="00535167" w14:paraId="05B53067" w14:textId="0451D230">
      <w:pPr>
        <w:spacing w:line="480" w:lineRule="auto"/>
        <w:ind w:firstLine="720"/>
        <w:rPr>
          <w:color w:val="000000"/>
        </w:rPr>
      </w:pPr>
      <w:r w:rsidRPr="004F7E20">
        <w:rPr>
          <w:color w:val="000000"/>
        </w:rPr>
        <w:t xml:space="preserve">This case concerns the </w:t>
      </w:r>
      <w:r>
        <w:rPr>
          <w:color w:val="000000"/>
        </w:rPr>
        <w:t>coal plant subsidies that Ohioans are still paying under the corrupt H.B. 6</w:t>
      </w:r>
      <w:r w:rsidRPr="004F7E20">
        <w:rPr>
          <w:color w:val="000000"/>
        </w:rPr>
        <w:t>.</w:t>
      </w:r>
      <w:r>
        <w:rPr>
          <w:rStyle w:val="FootnoteReference"/>
          <w:color w:val="000000"/>
        </w:rPr>
        <w:footnoteReference w:id="2"/>
      </w:r>
      <w:r w:rsidR="004F7E20">
        <w:rPr>
          <w:color w:val="000000"/>
        </w:rPr>
        <w:t xml:space="preserve"> </w:t>
      </w:r>
      <w:r>
        <w:rPr>
          <w:color w:val="000000"/>
        </w:rPr>
        <w:t>The coal subsidies are a remnant of H.B. 6 that has not been repealed despite public outcry and despite stalled legislative efforts at repeal. Up until now, the utilities charging consumers for these subsidies have managed to keep secret details about the subsidies, including how much consumers are</w:t>
      </w:r>
      <w:r w:rsidR="00571DA3">
        <w:rPr>
          <w:color w:val="000000"/>
        </w:rPr>
        <w:t xml:space="preserve"> </w:t>
      </w:r>
      <w:r>
        <w:rPr>
          <w:color w:val="000000"/>
        </w:rPr>
        <w:t>paying</w:t>
      </w:r>
      <w:r w:rsidR="00B95EB1">
        <w:rPr>
          <w:color w:val="000000"/>
        </w:rPr>
        <w:t xml:space="preserve"> for the subsidies</w:t>
      </w:r>
      <w:r>
        <w:rPr>
          <w:color w:val="000000"/>
        </w:rPr>
        <w:t>.</w:t>
      </w:r>
      <w:r w:rsidR="00571DA3">
        <w:rPr>
          <w:color w:val="000000"/>
        </w:rPr>
        <w:t xml:space="preserve"> </w:t>
      </w:r>
    </w:p>
    <w:p w:rsidR="008B6F83" w:rsidP="00535167" w14:paraId="68546339" w14:textId="63D125D6">
      <w:pPr>
        <w:spacing w:line="480" w:lineRule="auto"/>
        <w:ind w:firstLine="720"/>
        <w:rPr>
          <w:color w:val="000000"/>
        </w:rPr>
      </w:pPr>
      <w:r w:rsidRPr="004F7E20">
        <w:rPr>
          <w:color w:val="000000"/>
        </w:rPr>
        <w:t>The</w:t>
      </w:r>
      <w:r w:rsidR="005F424C">
        <w:rPr>
          <w:color w:val="000000"/>
        </w:rPr>
        <w:t xml:space="preserve"> </w:t>
      </w:r>
      <w:r w:rsidRPr="004F7E20">
        <w:rPr>
          <w:color w:val="000000"/>
        </w:rPr>
        <w:t>PUCO</w:t>
      </w:r>
      <w:r w:rsidR="006B78A2">
        <w:rPr>
          <w:color w:val="000000"/>
        </w:rPr>
        <w:t xml:space="preserve"> recently ordered </w:t>
      </w:r>
      <w:r>
        <w:rPr>
          <w:color w:val="000000"/>
        </w:rPr>
        <w:t>Ohio utilities</w:t>
      </w:r>
      <w:r>
        <w:rPr>
          <w:rStyle w:val="FootnoteReference"/>
          <w:color w:val="000000"/>
        </w:rPr>
        <w:footnoteReference w:id="3"/>
      </w:r>
      <w:r w:rsidR="00571DA3">
        <w:rPr>
          <w:color w:val="000000"/>
        </w:rPr>
        <w:t xml:space="preserve"> </w:t>
      </w:r>
      <w:r>
        <w:rPr>
          <w:color w:val="000000"/>
        </w:rPr>
        <w:t>charging these coal subsidies to consumers to reassess whether certain information about the subsidies continues to be confidential, and not subject to public disclosure.</w:t>
      </w:r>
      <w:r>
        <w:rPr>
          <w:rStyle w:val="FootnoteReference"/>
          <w:color w:val="000000"/>
        </w:rPr>
        <w:footnoteReference w:id="4"/>
      </w:r>
      <w:r w:rsidR="00571DA3">
        <w:rPr>
          <w:color w:val="000000"/>
        </w:rPr>
        <w:t xml:space="preserve"> </w:t>
      </w:r>
      <w:r>
        <w:rPr>
          <w:color w:val="000000"/>
        </w:rPr>
        <w:t>The PUCO must now decide whether the public has a right to know information about the H.B.</w:t>
      </w:r>
      <w:r w:rsidR="00BD6751">
        <w:rPr>
          <w:color w:val="000000"/>
        </w:rPr>
        <w:t xml:space="preserve"> </w:t>
      </w:r>
      <w:r>
        <w:rPr>
          <w:color w:val="000000"/>
        </w:rPr>
        <w:t>6 subsidies that relate back to a 2021 audit report issued by the PUCO-appointed auditor.</w:t>
      </w:r>
      <w:r w:rsidR="00571DA3">
        <w:rPr>
          <w:color w:val="000000"/>
        </w:rPr>
        <w:t xml:space="preserve"> </w:t>
      </w:r>
      <w:r>
        <w:rPr>
          <w:color w:val="000000"/>
        </w:rPr>
        <w:t xml:space="preserve">The answer should be yes, the </w:t>
      </w:r>
      <w:r>
        <w:rPr>
          <w:color w:val="000000"/>
        </w:rPr>
        <w:t>public has a right to know.</w:t>
      </w:r>
      <w:r w:rsidR="00571DA3">
        <w:rPr>
          <w:color w:val="000000"/>
        </w:rPr>
        <w:t xml:space="preserve"> </w:t>
      </w:r>
      <w:r>
        <w:rPr>
          <w:color w:val="000000"/>
        </w:rPr>
        <w:t>The PUCO should lift the shroud of secrecy the utilities have insisted upon over the last two years.</w:t>
      </w:r>
    </w:p>
    <w:p w:rsidR="00142F7A" w:rsidP="00535167" w14:paraId="64849FED" w14:textId="5DFAF9EB">
      <w:pPr>
        <w:spacing w:line="480" w:lineRule="auto"/>
        <w:ind w:firstLine="720"/>
        <w:rPr>
          <w:color w:val="000000"/>
        </w:rPr>
      </w:pPr>
      <w:r>
        <w:rPr>
          <w:color w:val="000000"/>
        </w:rPr>
        <w:t xml:space="preserve">Part of the information under review </w:t>
      </w:r>
      <w:r w:rsidRPr="004F7E20" w:rsidR="00E44EC2">
        <w:rPr>
          <w:color w:val="000000"/>
        </w:rPr>
        <w:t xml:space="preserve">shows how much the </w:t>
      </w:r>
      <w:r w:rsidR="00D9668F">
        <w:rPr>
          <w:color w:val="000000"/>
        </w:rPr>
        <w:t>u</w:t>
      </w:r>
      <w:r w:rsidRPr="004F7E20" w:rsidR="00E44EC2">
        <w:rPr>
          <w:color w:val="000000"/>
        </w:rPr>
        <w:t xml:space="preserve">tilities overcharged consumers for </w:t>
      </w:r>
      <w:r w:rsidR="00B81D25">
        <w:rPr>
          <w:color w:val="000000"/>
        </w:rPr>
        <w:t>c</w:t>
      </w:r>
      <w:r w:rsidRPr="004F7E20" w:rsidR="00E44EC2">
        <w:rPr>
          <w:color w:val="000000"/>
        </w:rPr>
        <w:t xml:space="preserve">oal </w:t>
      </w:r>
      <w:r w:rsidR="00B81D25">
        <w:rPr>
          <w:color w:val="000000"/>
        </w:rPr>
        <w:t>p</w:t>
      </w:r>
      <w:r w:rsidRPr="004F7E20" w:rsidR="00E44EC2">
        <w:rPr>
          <w:color w:val="000000"/>
        </w:rPr>
        <w:t xml:space="preserve">lant </w:t>
      </w:r>
      <w:r w:rsidR="00B81D25">
        <w:rPr>
          <w:color w:val="000000"/>
        </w:rPr>
        <w:t>s</w:t>
      </w:r>
      <w:r w:rsidRPr="004F7E20" w:rsidR="00E44EC2">
        <w:rPr>
          <w:color w:val="000000"/>
        </w:rPr>
        <w:t>ubsidy costs in 2020.</w:t>
      </w:r>
      <w:r w:rsidR="004F7E20">
        <w:rPr>
          <w:color w:val="000000"/>
        </w:rPr>
        <w:t xml:space="preserve"> </w:t>
      </w:r>
      <w:r>
        <w:rPr>
          <w:color w:val="000000"/>
        </w:rPr>
        <w:t xml:space="preserve">The year 2020 </w:t>
      </w:r>
      <w:r w:rsidRPr="004F7E20" w:rsidR="00E44EC2">
        <w:rPr>
          <w:color w:val="000000"/>
        </w:rPr>
        <w:t xml:space="preserve">was the first year for the </w:t>
      </w:r>
      <w:r>
        <w:rPr>
          <w:color w:val="000000"/>
        </w:rPr>
        <w:t xml:space="preserve">legislatively authorized </w:t>
      </w:r>
      <w:r w:rsidRPr="004F7E20" w:rsidR="00E44EC2">
        <w:rPr>
          <w:color w:val="000000"/>
        </w:rPr>
        <w:t>coal plant bailout.</w:t>
      </w:r>
      <w:r w:rsidR="004F7E20">
        <w:rPr>
          <w:color w:val="000000"/>
        </w:rPr>
        <w:t xml:space="preserve"> </w:t>
      </w:r>
    </w:p>
    <w:p w:rsidR="00B05565" w:rsidP="00535167" w14:paraId="591DFDA1" w14:textId="0DABF4F7">
      <w:pPr>
        <w:spacing w:line="480" w:lineRule="auto"/>
        <w:ind w:firstLine="720"/>
        <w:rPr>
          <w:color w:val="000000"/>
        </w:rPr>
      </w:pPr>
      <w:r>
        <w:rPr>
          <w:color w:val="000000"/>
        </w:rPr>
        <w:t xml:space="preserve">After two years of secrecy, the utilities appear now to be willing to </w:t>
      </w:r>
      <w:r w:rsidR="00142F7A">
        <w:rPr>
          <w:color w:val="000000"/>
        </w:rPr>
        <w:t>divulge the amount of subsidies Ohioans paid during 2020.</w:t>
      </w:r>
      <w:r>
        <w:rPr>
          <w:rStyle w:val="FootnoteReference"/>
          <w:color w:val="000000"/>
        </w:rPr>
        <w:footnoteReference w:id="5"/>
      </w:r>
      <w:r w:rsidR="00571DA3">
        <w:rPr>
          <w:color w:val="000000"/>
        </w:rPr>
        <w:t xml:space="preserve"> </w:t>
      </w:r>
      <w:r w:rsidR="00142F7A">
        <w:rPr>
          <w:color w:val="000000"/>
        </w:rPr>
        <w:t>The long-awaited information shows that consumers were milked for over $100 million for coal plant subsidies during 2020 as a result of tainted H.B. 6:</w:t>
      </w:r>
      <w:r w:rsidR="00571DA3">
        <w:rPr>
          <w:color w:val="000000"/>
        </w:rPr>
        <w:t xml:space="preserve"> </w:t>
      </w:r>
    </w:p>
    <w:p w:rsidR="00BD6751" w:rsidRPr="00571DA3" w:rsidP="00571DA3" w14:paraId="3795895E" w14:textId="7A428ADB">
      <w:pPr>
        <w:spacing w:line="480" w:lineRule="auto"/>
        <w:jc w:val="center"/>
        <w:rPr>
          <w:b/>
          <w:bCs/>
          <w:color w:val="000000"/>
          <w:u w:val="single"/>
        </w:rPr>
      </w:pPr>
      <w:r w:rsidRPr="00571DA3">
        <w:rPr>
          <w:b/>
          <w:bCs/>
          <w:color w:val="000000"/>
          <w:u w:val="single"/>
        </w:rPr>
        <w:t>Table: H.B. 6 coal plant subsidy overcharges in 2020</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40"/>
        <w:gridCol w:w="3150"/>
      </w:tblGrid>
      <w:tr w14:paraId="61CC4C65" w14:textId="77777777" w:rsidTr="00AF5442">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32"/>
          <w:jc w:val="center"/>
        </w:trPr>
        <w:tc>
          <w:tcPr>
            <w:tcW w:w="2340" w:type="dxa"/>
          </w:tcPr>
          <w:p w:rsidR="00F645A8" w:rsidRPr="004F7E20" w:rsidP="00B05565" w14:paraId="59E1EE5D" w14:textId="6A020309">
            <w:pPr>
              <w:jc w:val="center"/>
              <w:rPr>
                <w:b/>
                <w:bCs/>
                <w:color w:val="000000"/>
                <w:sz w:val="24"/>
                <w:szCs w:val="24"/>
                <w:u w:val="single"/>
                <w:lang w:val="en-US" w:eastAsia="en-US" w:bidi="ar-SA"/>
              </w:rPr>
            </w:pPr>
            <w:r>
              <w:rPr>
                <w:color w:val="000000"/>
                <w:sz w:val="24"/>
                <w:szCs w:val="24"/>
                <w:lang w:val="en-US" w:eastAsia="en-US" w:bidi="ar-SA"/>
              </w:rPr>
              <w:br w:type="page"/>
            </w:r>
            <w:r w:rsidRPr="004F7E20" w:rsidR="00D9015C">
              <w:rPr>
                <w:b/>
                <w:bCs/>
                <w:color w:val="000000"/>
                <w:sz w:val="24"/>
                <w:szCs w:val="24"/>
                <w:u w:val="single"/>
                <w:lang w:val="en-US" w:eastAsia="en-US" w:bidi="ar-SA"/>
              </w:rPr>
              <w:t>Utility</w:t>
            </w:r>
          </w:p>
        </w:tc>
        <w:tc>
          <w:tcPr>
            <w:tcW w:w="3150" w:type="dxa"/>
          </w:tcPr>
          <w:p w:rsidR="00D9015C" w:rsidRPr="004F7E20" w:rsidP="00B05565" w14:paraId="4B82538E" w14:textId="052BDA17">
            <w:pPr>
              <w:jc w:val="center"/>
              <w:rPr>
                <w:b/>
                <w:bCs/>
                <w:color w:val="000000"/>
                <w:sz w:val="24"/>
                <w:szCs w:val="24"/>
                <w:u w:val="single"/>
                <w:lang w:val="en-US" w:eastAsia="en-US" w:bidi="ar-SA"/>
              </w:rPr>
            </w:pPr>
            <w:r w:rsidRPr="004F7E20">
              <w:rPr>
                <w:b/>
                <w:bCs/>
                <w:color w:val="000000"/>
                <w:sz w:val="24"/>
                <w:szCs w:val="24"/>
                <w:u w:val="single"/>
                <w:lang w:val="en-US" w:eastAsia="en-US" w:bidi="ar-SA"/>
              </w:rPr>
              <w:t>Amount of Overcharge</w:t>
            </w:r>
          </w:p>
        </w:tc>
      </w:tr>
      <w:tr w14:paraId="546368A0" w14:textId="77777777" w:rsidTr="00AF5442">
        <w:tblPrEx>
          <w:tblW w:w="0" w:type="auto"/>
          <w:jc w:val="center"/>
          <w:tblInd w:w="0" w:type="dxa"/>
          <w:tblCellMar>
            <w:top w:w="0" w:type="dxa"/>
            <w:left w:w="108" w:type="dxa"/>
            <w:bottom w:w="0" w:type="dxa"/>
            <w:right w:w="108" w:type="dxa"/>
          </w:tblCellMar>
          <w:tblLook w:val="04A0"/>
        </w:tblPrEx>
        <w:trPr>
          <w:jc w:val="center"/>
        </w:trPr>
        <w:tc>
          <w:tcPr>
            <w:tcW w:w="2340" w:type="dxa"/>
          </w:tcPr>
          <w:p w:rsidR="00F645A8" w:rsidRPr="004F7E20" w:rsidP="00B05565" w14:paraId="759BA86A" w14:textId="69212689">
            <w:pPr>
              <w:jc w:val="center"/>
              <w:rPr>
                <w:color w:val="000000"/>
                <w:sz w:val="24"/>
                <w:szCs w:val="24"/>
                <w:lang w:val="en-US" w:eastAsia="en-US" w:bidi="ar-SA"/>
              </w:rPr>
            </w:pPr>
            <w:r w:rsidRPr="004F7E20">
              <w:rPr>
                <w:color w:val="000000"/>
                <w:sz w:val="24"/>
                <w:szCs w:val="24"/>
                <w:lang w:val="en-US" w:eastAsia="en-US" w:bidi="ar-SA"/>
              </w:rPr>
              <w:t>Duke</w:t>
            </w:r>
          </w:p>
        </w:tc>
        <w:tc>
          <w:tcPr>
            <w:tcW w:w="3150" w:type="dxa"/>
          </w:tcPr>
          <w:p w:rsidR="00C22586" w:rsidRPr="004F7E20" w:rsidP="00C22586" w14:paraId="6F98CFA9" w14:textId="69035E38">
            <w:pPr>
              <w:jc w:val="center"/>
              <w:rPr>
                <w:color w:val="000000"/>
                <w:sz w:val="24"/>
                <w:szCs w:val="24"/>
                <w:lang w:val="en-US" w:eastAsia="en-US" w:bidi="ar-SA"/>
              </w:rPr>
            </w:pPr>
            <w:r w:rsidRPr="004F7E20">
              <w:rPr>
                <w:color w:val="000000"/>
                <w:sz w:val="24"/>
                <w:szCs w:val="24"/>
                <w:lang w:val="en-US" w:eastAsia="en-US" w:bidi="ar-SA"/>
              </w:rPr>
              <w:t>$29,974,510.91</w:t>
            </w:r>
            <w:r>
              <w:rPr>
                <w:rStyle w:val="FootnoteReference"/>
                <w:color w:val="000000"/>
              </w:rPr>
              <w:footnoteReference w:id="6"/>
            </w:r>
          </w:p>
        </w:tc>
      </w:tr>
      <w:tr w14:paraId="206A7D60" w14:textId="77777777" w:rsidTr="00AF5442">
        <w:tblPrEx>
          <w:tblW w:w="0" w:type="auto"/>
          <w:jc w:val="center"/>
          <w:tblInd w:w="0" w:type="dxa"/>
          <w:tblCellMar>
            <w:top w:w="0" w:type="dxa"/>
            <w:left w:w="108" w:type="dxa"/>
            <w:bottom w:w="0" w:type="dxa"/>
            <w:right w:w="108" w:type="dxa"/>
          </w:tblCellMar>
          <w:tblLook w:val="04A0"/>
        </w:tblPrEx>
        <w:trPr>
          <w:jc w:val="center"/>
        </w:trPr>
        <w:tc>
          <w:tcPr>
            <w:tcW w:w="2340" w:type="dxa"/>
          </w:tcPr>
          <w:p w:rsidR="00F645A8" w:rsidRPr="004F7E20" w:rsidP="00B05565" w14:paraId="04B1A110" w14:textId="37D04484">
            <w:pPr>
              <w:jc w:val="center"/>
              <w:rPr>
                <w:color w:val="000000"/>
                <w:sz w:val="24"/>
                <w:szCs w:val="24"/>
                <w:lang w:val="en-US" w:eastAsia="en-US" w:bidi="ar-SA"/>
              </w:rPr>
            </w:pPr>
            <w:r w:rsidRPr="004F7E20">
              <w:rPr>
                <w:color w:val="000000"/>
                <w:sz w:val="24"/>
                <w:szCs w:val="24"/>
                <w:lang w:val="en-US" w:eastAsia="en-US" w:bidi="ar-SA"/>
              </w:rPr>
              <w:t>DP&amp;L</w:t>
            </w:r>
          </w:p>
        </w:tc>
        <w:tc>
          <w:tcPr>
            <w:tcW w:w="3150" w:type="dxa"/>
          </w:tcPr>
          <w:p w:rsidR="00C22586" w:rsidRPr="004F7E20" w:rsidP="00B05565" w14:paraId="2D7C9B9C" w14:textId="4BE14143">
            <w:pPr>
              <w:jc w:val="center"/>
              <w:rPr>
                <w:color w:val="000000"/>
                <w:sz w:val="24"/>
                <w:szCs w:val="24"/>
                <w:lang w:val="en-US" w:eastAsia="en-US" w:bidi="ar-SA"/>
              </w:rPr>
            </w:pPr>
            <w:r w:rsidRPr="004F7E20">
              <w:rPr>
                <w:color w:val="000000"/>
                <w:sz w:val="24"/>
                <w:szCs w:val="24"/>
                <w:lang w:val="en-US" w:eastAsia="en-US" w:bidi="ar-SA"/>
              </w:rPr>
              <w:t>$7,652,653.04</w:t>
            </w:r>
            <w:r>
              <w:rPr>
                <w:rStyle w:val="FootnoteReference"/>
                <w:color w:val="000000"/>
              </w:rPr>
              <w:footnoteReference w:id="7"/>
            </w:r>
          </w:p>
        </w:tc>
      </w:tr>
      <w:tr w14:paraId="185E8250" w14:textId="77777777" w:rsidTr="00AF5442">
        <w:tblPrEx>
          <w:tblW w:w="0" w:type="auto"/>
          <w:jc w:val="center"/>
          <w:tblInd w:w="0" w:type="dxa"/>
          <w:tblCellMar>
            <w:top w:w="0" w:type="dxa"/>
            <w:left w:w="108" w:type="dxa"/>
            <w:bottom w:w="0" w:type="dxa"/>
            <w:right w:w="108" w:type="dxa"/>
          </w:tblCellMar>
          <w:tblLook w:val="04A0"/>
        </w:tblPrEx>
        <w:trPr>
          <w:jc w:val="center"/>
        </w:trPr>
        <w:tc>
          <w:tcPr>
            <w:tcW w:w="2340" w:type="dxa"/>
          </w:tcPr>
          <w:p w:rsidR="00F645A8" w:rsidRPr="004F7E20" w:rsidP="00B05565" w14:paraId="30588D37" w14:textId="1B9181DB">
            <w:pPr>
              <w:jc w:val="center"/>
              <w:rPr>
                <w:color w:val="000000"/>
                <w:sz w:val="24"/>
                <w:szCs w:val="24"/>
                <w:lang w:val="en-US" w:eastAsia="en-US" w:bidi="ar-SA"/>
              </w:rPr>
            </w:pPr>
            <w:r w:rsidRPr="004F7E20">
              <w:rPr>
                <w:color w:val="000000"/>
                <w:sz w:val="24"/>
                <w:szCs w:val="24"/>
                <w:lang w:val="en-US" w:eastAsia="en-US" w:bidi="ar-SA"/>
              </w:rPr>
              <w:t>AEP</w:t>
            </w:r>
          </w:p>
        </w:tc>
        <w:tc>
          <w:tcPr>
            <w:tcW w:w="3150" w:type="dxa"/>
          </w:tcPr>
          <w:p w:rsidR="00C22586" w:rsidRPr="004F7E20" w:rsidP="00C22586" w14:paraId="502E3971" w14:textId="4F30FFA4">
            <w:pPr>
              <w:jc w:val="center"/>
              <w:rPr>
                <w:color w:val="000000"/>
                <w:sz w:val="24"/>
                <w:szCs w:val="24"/>
                <w:lang w:val="en-US" w:eastAsia="en-US" w:bidi="ar-SA"/>
              </w:rPr>
            </w:pPr>
            <w:r w:rsidRPr="004F7E20">
              <w:rPr>
                <w:color w:val="000000"/>
                <w:sz w:val="24"/>
                <w:szCs w:val="24"/>
                <w:lang w:val="en-US" w:eastAsia="en-US" w:bidi="ar-SA"/>
              </w:rPr>
              <w:t>$67,897,705.</w:t>
            </w:r>
            <w:r w:rsidR="00066C48">
              <w:rPr>
                <w:color w:val="000000"/>
                <w:sz w:val="24"/>
                <w:szCs w:val="24"/>
                <w:lang w:val="en-US" w:eastAsia="en-US" w:bidi="ar-SA"/>
              </w:rPr>
              <w:t>5</w:t>
            </w:r>
            <w:r w:rsidRPr="004F7E20">
              <w:rPr>
                <w:color w:val="000000"/>
                <w:sz w:val="24"/>
                <w:szCs w:val="24"/>
                <w:lang w:val="en-US" w:eastAsia="en-US" w:bidi="ar-SA"/>
              </w:rPr>
              <w:t>8</w:t>
            </w:r>
            <w:r>
              <w:rPr>
                <w:rStyle w:val="FootnoteReference"/>
                <w:color w:val="000000"/>
              </w:rPr>
              <w:footnoteReference w:id="8"/>
            </w:r>
          </w:p>
        </w:tc>
      </w:tr>
      <w:tr w14:paraId="1BBC9D69" w14:textId="77777777" w:rsidTr="00AF5442">
        <w:tblPrEx>
          <w:tblW w:w="0" w:type="auto"/>
          <w:jc w:val="center"/>
          <w:tblInd w:w="0" w:type="dxa"/>
          <w:tblCellMar>
            <w:top w:w="0" w:type="dxa"/>
            <w:left w:w="108" w:type="dxa"/>
            <w:bottom w:w="0" w:type="dxa"/>
            <w:right w:w="108" w:type="dxa"/>
          </w:tblCellMar>
          <w:tblLook w:val="04A0"/>
        </w:tblPrEx>
        <w:trPr>
          <w:jc w:val="center"/>
        </w:trPr>
        <w:tc>
          <w:tcPr>
            <w:tcW w:w="2340" w:type="dxa"/>
          </w:tcPr>
          <w:p w:rsidR="00C22586" w:rsidRPr="004F7E20" w:rsidP="00C22586" w14:paraId="5CD86EDF" w14:textId="27D803D3">
            <w:pPr>
              <w:jc w:val="right"/>
              <w:rPr>
                <w:color w:val="000000"/>
                <w:sz w:val="24"/>
                <w:szCs w:val="24"/>
                <w:lang w:val="en-US" w:eastAsia="en-US" w:bidi="ar-SA"/>
              </w:rPr>
            </w:pPr>
            <w:r w:rsidRPr="004F7E20">
              <w:rPr>
                <w:color w:val="000000"/>
                <w:sz w:val="24"/>
                <w:szCs w:val="24"/>
                <w:lang w:val="en-US" w:eastAsia="en-US" w:bidi="ar-SA"/>
              </w:rPr>
              <w:t>Total:</w:t>
            </w:r>
          </w:p>
        </w:tc>
        <w:tc>
          <w:tcPr>
            <w:tcW w:w="3150" w:type="dxa"/>
            <w:shd w:val="clear" w:color="auto" w:fill="FFFF00"/>
          </w:tcPr>
          <w:p w:rsidR="00C22586" w:rsidRPr="004F7E20" w:rsidP="00B05565" w14:paraId="762244F7" w14:textId="0530EE59">
            <w:pPr>
              <w:shd w:val="clear" w:color="auto" w:fill="FFFF00"/>
              <w:jc w:val="center"/>
              <w:rPr>
                <w:color w:val="000000"/>
                <w:sz w:val="24"/>
                <w:szCs w:val="24"/>
                <w:lang w:val="en-US" w:eastAsia="en-US" w:bidi="ar-SA"/>
              </w:rPr>
            </w:pPr>
            <w:r w:rsidRPr="004F7E20">
              <w:rPr>
                <w:color w:val="000000"/>
                <w:sz w:val="24"/>
                <w:szCs w:val="24"/>
                <w:lang w:val="en-US" w:eastAsia="en-US" w:bidi="ar-SA"/>
              </w:rPr>
              <w:t>$105,524,869.</w:t>
            </w:r>
            <w:r w:rsidR="008903DF">
              <w:rPr>
                <w:color w:val="000000"/>
                <w:sz w:val="24"/>
                <w:szCs w:val="24"/>
                <w:lang w:val="en-US" w:eastAsia="en-US" w:bidi="ar-SA"/>
              </w:rPr>
              <w:t>5</w:t>
            </w:r>
            <w:r w:rsidRPr="004F7E20">
              <w:rPr>
                <w:color w:val="000000"/>
                <w:sz w:val="24"/>
                <w:szCs w:val="24"/>
                <w:lang w:val="en-US" w:eastAsia="en-US" w:bidi="ar-SA"/>
              </w:rPr>
              <w:t>3</w:t>
            </w:r>
          </w:p>
        </w:tc>
      </w:tr>
    </w:tbl>
    <w:p w:rsidR="00D9015C" w:rsidRPr="004F7E20" w:rsidP="00BE31F4" w14:paraId="2F4D7F62" w14:textId="77777777">
      <w:pPr>
        <w:rPr>
          <w:color w:val="000000"/>
        </w:rPr>
      </w:pPr>
    </w:p>
    <w:p w:rsidR="00142F7A" w:rsidP="00142F7A" w14:paraId="40543AA2" w14:textId="622538A1">
      <w:pPr>
        <w:spacing w:line="480" w:lineRule="auto"/>
        <w:ind w:firstLine="720"/>
        <w:rPr>
          <w:color w:val="000000"/>
        </w:rPr>
      </w:pPr>
      <w:r>
        <w:rPr>
          <w:color w:val="000000"/>
        </w:rPr>
        <w:t>Who can forget that during that same year when the utilities were racking up coal subsidies to</w:t>
      </w:r>
      <w:r w:rsidR="00571DA3">
        <w:rPr>
          <w:color w:val="000000"/>
        </w:rPr>
        <w:t xml:space="preserve"> </w:t>
      </w:r>
      <w:r>
        <w:rPr>
          <w:color w:val="000000"/>
        </w:rPr>
        <w:t xml:space="preserve">charge consumers, consumers were suffering the effects of the </w:t>
      </w:r>
      <w:r w:rsidRPr="004F7E20" w:rsidR="00D95974">
        <w:rPr>
          <w:color w:val="000000"/>
        </w:rPr>
        <w:t>Covid pandemic</w:t>
      </w:r>
      <w:r>
        <w:rPr>
          <w:color w:val="000000"/>
        </w:rPr>
        <w:t>?</w:t>
      </w:r>
      <w:r w:rsidR="00571DA3">
        <w:rPr>
          <w:color w:val="000000"/>
        </w:rPr>
        <w:t xml:space="preserve"> </w:t>
      </w:r>
      <w:r>
        <w:rPr>
          <w:color w:val="000000"/>
        </w:rPr>
        <w:t>In other words, during the state of emergency declared by Governor DeWine,</w:t>
      </w:r>
      <w:r>
        <w:rPr>
          <w:rStyle w:val="FootnoteReference"/>
          <w:color w:val="000000"/>
        </w:rPr>
        <w:footnoteReference w:id="9"/>
      </w:r>
      <w:r>
        <w:rPr>
          <w:color w:val="000000"/>
        </w:rPr>
        <w:t xml:space="preserve"> the utilities were creating an emergency condition of their own making for consumers.</w:t>
      </w:r>
      <w:r>
        <w:t xml:space="preserve"> </w:t>
      </w:r>
      <w:r w:rsidRPr="004F7E20" w:rsidR="008518E6">
        <w:rPr>
          <w:color w:val="000000"/>
        </w:rPr>
        <w:t xml:space="preserve">Consumers </w:t>
      </w:r>
      <w:r w:rsidRPr="004F7E20" w:rsidR="006A1B01">
        <w:rPr>
          <w:color w:val="000000"/>
        </w:rPr>
        <w:t>faced</w:t>
      </w:r>
      <w:r w:rsidRPr="004F7E20" w:rsidR="008518E6">
        <w:rPr>
          <w:color w:val="000000"/>
        </w:rPr>
        <w:t xml:space="preserve"> the health and </w:t>
      </w:r>
      <w:r w:rsidRPr="004F7E20" w:rsidR="006A1B01">
        <w:rPr>
          <w:color w:val="000000"/>
        </w:rPr>
        <w:t>economic</w:t>
      </w:r>
      <w:r w:rsidRPr="004F7E20" w:rsidR="008518E6">
        <w:rPr>
          <w:color w:val="000000"/>
        </w:rPr>
        <w:t xml:space="preserve"> fight</w:t>
      </w:r>
      <w:r w:rsidRPr="004F7E20" w:rsidR="006A1B01">
        <w:rPr>
          <w:color w:val="000000"/>
        </w:rPr>
        <w:t>s</w:t>
      </w:r>
      <w:r w:rsidRPr="004F7E20" w:rsidR="008518E6">
        <w:rPr>
          <w:color w:val="000000"/>
        </w:rPr>
        <w:t xml:space="preserve"> of their li</w:t>
      </w:r>
      <w:r w:rsidRPr="004F7E20" w:rsidR="006A1B01">
        <w:rPr>
          <w:color w:val="000000"/>
        </w:rPr>
        <w:t>fetimes</w:t>
      </w:r>
      <w:r w:rsidRPr="004F7E20" w:rsidR="008518E6">
        <w:rPr>
          <w:color w:val="000000"/>
        </w:rPr>
        <w:t xml:space="preserve"> in 2020.</w:t>
      </w:r>
      <w:r w:rsidR="004F7E20">
        <w:rPr>
          <w:color w:val="000000"/>
        </w:rPr>
        <w:t xml:space="preserve"> </w:t>
      </w:r>
      <w:r w:rsidRPr="004F7E20" w:rsidR="008518E6">
        <w:rPr>
          <w:color w:val="000000"/>
        </w:rPr>
        <w:t xml:space="preserve">They didn’t need the </w:t>
      </w:r>
      <w:r w:rsidR="00D77E4D">
        <w:rPr>
          <w:color w:val="000000"/>
        </w:rPr>
        <w:t>u</w:t>
      </w:r>
      <w:r w:rsidRPr="004F7E20" w:rsidR="008518E6">
        <w:rPr>
          <w:color w:val="000000"/>
        </w:rPr>
        <w:t xml:space="preserve">tilities to “pile on” this additional </w:t>
      </w:r>
      <w:r>
        <w:rPr>
          <w:color w:val="000000"/>
        </w:rPr>
        <w:t>H</w:t>
      </w:r>
      <w:r w:rsidR="00BD6751">
        <w:rPr>
          <w:color w:val="000000"/>
        </w:rPr>
        <w:t>.</w:t>
      </w:r>
      <w:r>
        <w:rPr>
          <w:color w:val="000000"/>
        </w:rPr>
        <w:t>B</w:t>
      </w:r>
      <w:r w:rsidR="00BD6751">
        <w:rPr>
          <w:color w:val="000000"/>
        </w:rPr>
        <w:t>.</w:t>
      </w:r>
      <w:r>
        <w:rPr>
          <w:color w:val="000000"/>
        </w:rPr>
        <w:t xml:space="preserve"> 6 subsidy requiring them to pay $100 million in </w:t>
      </w:r>
      <w:r w:rsidR="00DE622A">
        <w:rPr>
          <w:color w:val="000000"/>
        </w:rPr>
        <w:t>above</w:t>
      </w:r>
      <w:r w:rsidRPr="004F7E20" w:rsidR="008518E6">
        <w:rPr>
          <w:color w:val="000000"/>
        </w:rPr>
        <w:t xml:space="preserve">-market-price </w:t>
      </w:r>
      <w:r w:rsidR="00B81D25">
        <w:rPr>
          <w:color w:val="000000"/>
        </w:rPr>
        <w:t>c</w:t>
      </w:r>
      <w:r w:rsidRPr="004F7E20" w:rsidR="008518E6">
        <w:rPr>
          <w:color w:val="000000"/>
        </w:rPr>
        <w:t xml:space="preserve">oal </w:t>
      </w:r>
      <w:r w:rsidR="00DE622A">
        <w:rPr>
          <w:color w:val="000000"/>
        </w:rPr>
        <w:t xml:space="preserve">plant </w:t>
      </w:r>
      <w:r w:rsidRPr="004F7E20" w:rsidR="006A1B01">
        <w:rPr>
          <w:color w:val="000000"/>
        </w:rPr>
        <w:t>costs</w:t>
      </w:r>
      <w:r w:rsidRPr="004F7E20" w:rsidR="008518E6">
        <w:rPr>
          <w:color w:val="000000"/>
        </w:rPr>
        <w:t>.</w:t>
      </w:r>
      <w:r w:rsidR="004F7E20">
        <w:rPr>
          <w:color w:val="000000"/>
        </w:rPr>
        <w:t xml:space="preserve"> </w:t>
      </w:r>
    </w:p>
    <w:p w:rsidR="00AF587E" w:rsidRPr="004F7E20" w:rsidP="00142F7A" w14:paraId="56AB6668" w14:textId="500BA692">
      <w:pPr>
        <w:spacing w:line="480" w:lineRule="auto"/>
        <w:ind w:firstLine="720"/>
        <w:rPr>
          <w:color w:val="000000"/>
        </w:rPr>
      </w:pPr>
      <w:r w:rsidRPr="004F7E20">
        <w:rPr>
          <w:color w:val="000000"/>
        </w:rPr>
        <w:t xml:space="preserve">It’s clear to see why the </w:t>
      </w:r>
      <w:r w:rsidR="00D77E4D">
        <w:rPr>
          <w:color w:val="000000"/>
        </w:rPr>
        <w:t>u</w:t>
      </w:r>
      <w:r w:rsidRPr="004F7E20">
        <w:rPr>
          <w:color w:val="000000"/>
        </w:rPr>
        <w:t xml:space="preserve">tilities wanted to keep the </w:t>
      </w:r>
      <w:r w:rsidR="00CD5FC4">
        <w:rPr>
          <w:color w:val="000000"/>
        </w:rPr>
        <w:t>H.B. 6</w:t>
      </w:r>
      <w:r w:rsidRPr="004F7E20" w:rsidR="00BC7381">
        <w:rPr>
          <w:color w:val="000000"/>
        </w:rPr>
        <w:t xml:space="preserve">coal bailout </w:t>
      </w:r>
      <w:r w:rsidRPr="004F7E20">
        <w:rPr>
          <w:color w:val="000000"/>
        </w:rPr>
        <w:t>overcharge amount</w:t>
      </w:r>
      <w:r w:rsidRPr="004F7E20" w:rsidR="00E444A6">
        <w:rPr>
          <w:color w:val="000000"/>
        </w:rPr>
        <w:t>s</w:t>
      </w:r>
      <w:r w:rsidRPr="004F7E20">
        <w:rPr>
          <w:color w:val="000000"/>
        </w:rPr>
        <w:t xml:space="preserve"> confidential.</w:t>
      </w:r>
      <w:r w:rsidR="00571DA3">
        <w:rPr>
          <w:color w:val="000000"/>
        </w:rPr>
        <w:t xml:space="preserve"> </w:t>
      </w:r>
      <w:r w:rsidR="00126263">
        <w:rPr>
          <w:color w:val="000000"/>
        </w:rPr>
        <w:t>Public disclosure of the amounts Ohioans are paying for the tainted H.B. 6 coal subsidies is needed.</w:t>
      </w:r>
      <w:r w:rsidR="00571DA3">
        <w:rPr>
          <w:color w:val="000000"/>
        </w:rPr>
        <w:t xml:space="preserve"> </w:t>
      </w:r>
      <w:r w:rsidR="00126263">
        <w:rPr>
          <w:color w:val="000000"/>
        </w:rPr>
        <w:t>We support such disclosure.</w:t>
      </w:r>
      <w:r w:rsidR="00571DA3">
        <w:rPr>
          <w:color w:val="000000"/>
        </w:rPr>
        <w:t xml:space="preserve"> </w:t>
      </w:r>
      <w:r w:rsidR="00126263">
        <w:rPr>
          <w:color w:val="000000"/>
        </w:rPr>
        <w:t>It is long overdue.</w:t>
      </w:r>
      <w:r w:rsidR="00571DA3">
        <w:rPr>
          <w:color w:val="000000"/>
        </w:rPr>
        <w:t xml:space="preserve"> </w:t>
      </w:r>
      <w:r w:rsidR="004E4E51">
        <w:rPr>
          <w:color w:val="000000"/>
        </w:rPr>
        <w:t>As Justice Brandeis noted, “</w:t>
      </w:r>
      <w:r w:rsidRPr="00571DA3" w:rsidR="004E4E51">
        <w:rPr>
          <w:color w:val="000000"/>
        </w:rPr>
        <w:t>sunlight is said to be the best of disinfectants</w:t>
      </w:r>
      <w:r w:rsidR="004E4E51">
        <w:rPr>
          <w:color w:val="000000"/>
        </w:rPr>
        <w:t>.”</w:t>
      </w:r>
      <w:r>
        <w:rPr>
          <w:rStyle w:val="FootnoteReference"/>
          <w:color w:val="000000"/>
        </w:rPr>
        <w:footnoteReference w:id="10"/>
      </w:r>
    </w:p>
    <w:bookmarkEnd w:id="0"/>
    <w:p w:rsidR="00491DBC" w14:paraId="35445476" w14:textId="0451E319">
      <w:pPr>
        <w:rPr>
          <w:rFonts w:eastAsia="Courier New"/>
        </w:rPr>
      </w:pPr>
      <w:r>
        <w:br w:type="page"/>
      </w:r>
    </w:p>
    <w:p w:rsidR="00491DBC" w:rsidRPr="004407A2" w:rsidP="00491DBC" w14:paraId="63EDF3AE" w14:textId="77777777">
      <w:pPr>
        <w:ind w:firstLine="3960"/>
      </w:pPr>
      <w:r w:rsidRPr="004407A2">
        <w:t>Respectfully submitted,</w:t>
      </w:r>
    </w:p>
    <w:p w:rsidR="00491DBC" w:rsidRPr="004407A2" w:rsidP="00491DBC" w14:paraId="3AAA3D31" w14:textId="77777777">
      <w:pPr>
        <w:ind w:firstLine="3960"/>
      </w:pPr>
    </w:p>
    <w:p w:rsidR="00491DBC" w:rsidRPr="004407A2" w:rsidP="00491DBC" w14:paraId="2FFA589E" w14:textId="77777777">
      <w:pPr>
        <w:ind w:left="3960"/>
      </w:pPr>
      <w:r w:rsidRPr="004407A2">
        <w:t>Maureen R. Willis (0020847)</w:t>
      </w:r>
    </w:p>
    <w:p w:rsidR="00491DBC" w:rsidRPr="004407A2" w:rsidP="00491DBC" w14:paraId="32267ABE" w14:textId="77777777">
      <w:pPr>
        <w:ind w:left="3960"/>
      </w:pPr>
      <w:r w:rsidRPr="004407A2">
        <w:t>Ohio Consumers’ Counsel</w:t>
      </w:r>
    </w:p>
    <w:p w:rsidR="00491DBC" w:rsidRPr="004407A2" w:rsidP="00491DBC" w14:paraId="093FA098" w14:textId="77777777">
      <w:pPr>
        <w:tabs>
          <w:tab w:val="left" w:pos="4320"/>
        </w:tabs>
        <w:ind w:left="3960"/>
      </w:pPr>
    </w:p>
    <w:p w:rsidR="00491DBC" w:rsidRPr="004407A2" w:rsidP="00491DBC" w14:paraId="6900AB54" w14:textId="539AD951">
      <w:pPr>
        <w:ind w:left="3960"/>
        <w:rPr>
          <w:i/>
          <w:u w:val="single"/>
        </w:rPr>
      </w:pPr>
      <w:r w:rsidRPr="004407A2">
        <w:rPr>
          <w:i/>
          <w:u w:val="single"/>
        </w:rPr>
        <w:t>/s/ John Finnigan</w:t>
      </w:r>
    </w:p>
    <w:p w:rsidR="00491DBC" w:rsidRPr="004407A2" w:rsidP="00491DBC" w14:paraId="59B993A0" w14:textId="77777777">
      <w:pPr>
        <w:ind w:left="3960"/>
      </w:pPr>
      <w:r w:rsidRPr="004407A2">
        <w:t>John Finnigan (0018689)</w:t>
      </w:r>
    </w:p>
    <w:p w:rsidR="00491DBC" w:rsidRPr="004407A2" w:rsidP="00491DBC" w14:paraId="3F61405C" w14:textId="77777777">
      <w:pPr>
        <w:ind w:left="3960"/>
      </w:pPr>
      <w:r w:rsidRPr="004407A2">
        <w:t>Counsel of Record</w:t>
      </w:r>
    </w:p>
    <w:p w:rsidR="00491DBC" w:rsidRPr="004407A2" w:rsidP="00491DBC" w14:paraId="10EEDE18" w14:textId="77777777">
      <w:pPr>
        <w:ind w:left="3960"/>
      </w:pPr>
      <w:r w:rsidRPr="004407A2">
        <w:t>William J. Michael (0070921)</w:t>
      </w:r>
    </w:p>
    <w:p w:rsidR="00491DBC" w:rsidP="00491DBC" w14:paraId="36CAFBF0" w14:textId="77777777">
      <w:pPr>
        <w:ind w:left="3960"/>
      </w:pPr>
      <w:r w:rsidRPr="004407A2">
        <w:t>Assistant Consumers’ Counsel</w:t>
      </w:r>
    </w:p>
    <w:p w:rsidR="002A1327" w:rsidP="00491DBC" w14:paraId="6C07C1AF" w14:textId="77777777">
      <w:pPr>
        <w:ind w:left="3960"/>
      </w:pPr>
      <w:r>
        <w:t xml:space="preserve">Alex Hickey </w:t>
      </w:r>
    </w:p>
    <w:p w:rsidR="002A1327" w:rsidP="00491DBC" w14:paraId="40BD84B7" w14:textId="77777777">
      <w:pPr>
        <w:ind w:left="3960"/>
      </w:pPr>
      <w:r>
        <w:t xml:space="preserve">Thomas Zuehlke </w:t>
      </w:r>
    </w:p>
    <w:p w:rsidR="002A1327" w:rsidRPr="004407A2" w:rsidP="00491DBC" w14:paraId="36FDE68C" w14:textId="757B1991">
      <w:pPr>
        <w:ind w:left="3960"/>
      </w:pPr>
      <w:r>
        <w:t>Certified Legal Intern</w:t>
      </w:r>
      <w:r w:rsidR="00F2534D">
        <w:t>s</w:t>
      </w:r>
    </w:p>
    <w:p w:rsidR="00491DBC" w:rsidRPr="004407A2" w:rsidP="00491DBC" w14:paraId="242FE907" w14:textId="77777777">
      <w:pPr>
        <w:ind w:left="3960"/>
      </w:pPr>
    </w:p>
    <w:p w:rsidR="00491DBC" w:rsidRPr="004407A2" w:rsidP="00491DBC" w14:paraId="5D0B65EB" w14:textId="77777777">
      <w:pPr>
        <w:ind w:left="3960"/>
        <w:rPr>
          <w:b/>
          <w:bCs/>
        </w:rPr>
      </w:pPr>
      <w:r w:rsidRPr="004407A2">
        <w:rPr>
          <w:b/>
        </w:rPr>
        <w:t>Office of the Ohio Consumers’ Counsel</w:t>
      </w:r>
    </w:p>
    <w:p w:rsidR="00491DBC" w:rsidRPr="004407A2" w:rsidP="00491DBC" w14:paraId="1951C0F0" w14:textId="77777777">
      <w:pPr>
        <w:ind w:left="3960"/>
        <w:rPr>
          <w:bCs/>
        </w:rPr>
      </w:pPr>
      <w:r w:rsidRPr="004407A2">
        <w:t>65 East State Street, Suite 700</w:t>
      </w:r>
    </w:p>
    <w:p w:rsidR="00491DBC" w:rsidRPr="004407A2" w:rsidP="00491DBC" w14:paraId="7063857C" w14:textId="77777777">
      <w:pPr>
        <w:ind w:left="3960"/>
        <w:rPr>
          <w:bCs/>
        </w:rPr>
      </w:pPr>
      <w:r w:rsidRPr="004407A2">
        <w:t>Columbus, Ohio 43215</w:t>
      </w:r>
    </w:p>
    <w:p w:rsidR="00491DBC" w:rsidRPr="004407A2" w:rsidP="00491DBC" w14:paraId="3504DF22" w14:textId="77777777">
      <w:pPr>
        <w:autoSpaceDE w:val="0"/>
        <w:autoSpaceDN w:val="0"/>
        <w:adjustRightInd w:val="0"/>
        <w:ind w:left="3960"/>
      </w:pPr>
      <w:r w:rsidRPr="004407A2">
        <w:t>Telephone [Finnigan] (614) 466-9585</w:t>
      </w:r>
    </w:p>
    <w:p w:rsidR="00491DBC" w:rsidP="00491DBC" w14:paraId="16F0E336" w14:textId="77777777">
      <w:pPr>
        <w:autoSpaceDE w:val="0"/>
        <w:autoSpaceDN w:val="0"/>
        <w:adjustRightInd w:val="0"/>
        <w:ind w:left="3960"/>
      </w:pPr>
      <w:r w:rsidRPr="004407A2">
        <w:t>Telephone [Michael]: (614) 466-1291</w:t>
      </w:r>
    </w:p>
    <w:p w:rsidR="00B323BB" w:rsidP="00491DBC" w14:paraId="66E6735B" w14:textId="77777777">
      <w:pPr>
        <w:autoSpaceDE w:val="0"/>
        <w:autoSpaceDN w:val="0"/>
        <w:adjustRightInd w:val="0"/>
        <w:ind w:left="3960"/>
      </w:pPr>
      <w:r>
        <w:t xml:space="preserve">Telephone [Hickey]: (614) 466-9549 </w:t>
      </w:r>
    </w:p>
    <w:p w:rsidR="00B323BB" w:rsidRPr="004407A2" w:rsidP="00491DBC" w14:paraId="193C82A2" w14:textId="6FF00B17">
      <w:pPr>
        <w:autoSpaceDE w:val="0"/>
        <w:autoSpaceDN w:val="0"/>
        <w:adjustRightInd w:val="0"/>
        <w:ind w:left="3960"/>
      </w:pPr>
      <w:r>
        <w:t>Telephone [Zuehlke]: (614) 466-9569</w:t>
      </w:r>
    </w:p>
    <w:p w:rsidR="00491DBC" w:rsidRPr="004407A2" w:rsidP="00491DBC" w14:paraId="32494983" w14:textId="77777777">
      <w:pPr>
        <w:ind w:left="3960"/>
      </w:pPr>
      <w:hyperlink r:id="rId6" w:history="1">
        <w:r w:rsidRPr="004407A2" w:rsidR="007056D0">
          <w:rPr>
            <w:color w:val="0000FF"/>
            <w:u w:val="single"/>
          </w:rPr>
          <w:t>john.finnigan@occ.ohio.gov</w:t>
        </w:r>
      </w:hyperlink>
    </w:p>
    <w:p w:rsidR="00491DBC" w:rsidP="00491DBC" w14:paraId="4095F796" w14:textId="77777777">
      <w:pPr>
        <w:ind w:left="3960"/>
        <w:rPr>
          <w:color w:val="0000FF"/>
          <w:u w:val="single"/>
        </w:rPr>
      </w:pPr>
      <w:hyperlink r:id="rId7" w:history="1">
        <w:r w:rsidRPr="004407A2" w:rsidR="007056D0">
          <w:rPr>
            <w:color w:val="0000FF"/>
            <w:u w:val="single"/>
          </w:rPr>
          <w:t>william.michael@occ.ohio.gov</w:t>
        </w:r>
      </w:hyperlink>
    </w:p>
    <w:p w:rsidR="00BF7267" w:rsidP="00491DBC" w14:paraId="0C533985" w14:textId="5748473B">
      <w:pPr>
        <w:ind w:left="3960"/>
      </w:pPr>
      <w:hyperlink r:id="rId8" w:history="1">
        <w:r w:rsidRPr="00BB15AC" w:rsidR="007056D0">
          <w:rPr>
            <w:rStyle w:val="Hyperlink"/>
          </w:rPr>
          <w:t>alex.hickey@occ.ohio.gov</w:t>
        </w:r>
      </w:hyperlink>
    </w:p>
    <w:p w:rsidR="00BF7267" w:rsidP="00491DBC" w14:paraId="300FBEC6" w14:textId="2633313E">
      <w:pPr>
        <w:ind w:left="3960"/>
      </w:pPr>
      <w:hyperlink r:id="rId9" w:history="1">
        <w:r w:rsidRPr="00BB15AC" w:rsidR="007056D0">
          <w:rPr>
            <w:rStyle w:val="Hyperlink"/>
          </w:rPr>
          <w:t>thomas.zuehlke@occ.ohio.gov</w:t>
        </w:r>
      </w:hyperlink>
    </w:p>
    <w:p w:rsidR="00491DBC" w:rsidP="00491DBC" w14:paraId="54481CE4" w14:textId="77777777">
      <w:pPr>
        <w:ind w:firstLine="3960"/>
      </w:pPr>
      <w:r w:rsidRPr="004407A2">
        <w:t>(willing to accept service by e-mail)</w:t>
      </w:r>
    </w:p>
    <w:p w:rsidR="00DE2D2E" w14:paraId="4BD8044F" w14:textId="500C3FD8">
      <w:r>
        <w:br w:type="page"/>
      </w:r>
    </w:p>
    <w:p w:rsidR="00C24C80" w:rsidRPr="004F7E20" w14:paraId="3DA0D54F" w14:textId="6B9BF168">
      <w:pPr>
        <w:pStyle w:val="ANSWER"/>
        <w:ind w:left="720"/>
        <w:jc w:val="center"/>
        <w:rPr>
          <w:b/>
          <w:szCs w:val="24"/>
          <w:u w:val="single"/>
        </w:rPr>
      </w:pPr>
      <w:r w:rsidRPr="004F7E20">
        <w:rPr>
          <w:b/>
          <w:szCs w:val="24"/>
          <w:u w:val="single"/>
        </w:rPr>
        <w:t>CERTIFICATE OF SERVICE</w:t>
      </w:r>
    </w:p>
    <w:p w:rsidR="00A05892" w:rsidRPr="004F7E20" w:rsidP="00E322AC" w14:paraId="28DE6B83" w14:textId="6947ABFC">
      <w:pPr>
        <w:spacing w:line="480" w:lineRule="auto"/>
      </w:pPr>
      <w:r w:rsidRPr="004F7E20">
        <w:tab/>
        <w:t xml:space="preserve">I hereby certify that a copy of the foregoing </w:t>
      </w:r>
      <w:r w:rsidRPr="007B24CE" w:rsidR="007B24CE">
        <w:t>Memorandum Contra Duke, AES and AEP’s Motions for Protective Orders</w:t>
      </w:r>
      <w:r w:rsidRPr="004F7E20">
        <w:t xml:space="preserve"> has been served electronically upon those persons listed below this</w:t>
      </w:r>
      <w:r w:rsidR="004F7E20">
        <w:t xml:space="preserve"> </w:t>
      </w:r>
      <w:r w:rsidR="00362924">
        <w:t>8</w:t>
      </w:r>
      <w:r w:rsidRPr="004F7E20" w:rsidR="00C94A14">
        <w:rPr>
          <w:vertAlign w:val="superscript"/>
        </w:rPr>
        <w:t>th</w:t>
      </w:r>
      <w:r w:rsidRPr="004F7E20" w:rsidR="00C94A14">
        <w:t xml:space="preserve"> </w:t>
      </w:r>
      <w:r w:rsidRPr="004F7E20" w:rsidR="00E854A2">
        <w:t xml:space="preserve">day </w:t>
      </w:r>
      <w:r w:rsidRPr="004F7E20">
        <w:t xml:space="preserve">of </w:t>
      </w:r>
      <w:r w:rsidR="00362924">
        <w:t xml:space="preserve">January </w:t>
      </w:r>
      <w:r w:rsidRPr="004F7E20">
        <w:t>20</w:t>
      </w:r>
      <w:r w:rsidRPr="004F7E20" w:rsidR="007660EB">
        <w:t>2</w:t>
      </w:r>
      <w:r w:rsidRPr="004F7E20" w:rsidR="00596BBB">
        <w:t>4</w:t>
      </w:r>
      <w:r w:rsidRPr="004F7E20">
        <w:t>.</w:t>
      </w:r>
    </w:p>
    <w:p w:rsidR="00E322AC" w:rsidRPr="004407A2" w:rsidP="00E322AC" w14:paraId="5FD530B1" w14:textId="61562F99">
      <w:pPr>
        <w:ind w:firstLine="4320"/>
        <w:rPr>
          <w:b/>
          <w:bCs/>
          <w:i/>
          <w:iCs/>
          <w:u w:val="single"/>
        </w:rPr>
      </w:pPr>
      <w:r w:rsidRPr="004407A2">
        <w:rPr>
          <w:i/>
          <w:iCs/>
          <w:u w:val="single"/>
        </w:rPr>
        <w:t>/s/ John Finnigan</w:t>
      </w:r>
    </w:p>
    <w:p w:rsidR="00E322AC" w:rsidRPr="004407A2" w:rsidP="00E322AC" w14:paraId="10B9E460" w14:textId="5311F2AA">
      <w:pPr>
        <w:rPr>
          <w:b/>
          <w:bCs/>
        </w:rPr>
      </w:pPr>
      <w:r w:rsidRPr="004407A2">
        <w:tab/>
      </w:r>
      <w:r w:rsidRPr="004407A2">
        <w:tab/>
      </w:r>
      <w:r w:rsidRPr="004407A2">
        <w:tab/>
      </w:r>
      <w:r w:rsidRPr="004407A2">
        <w:tab/>
      </w:r>
      <w:r w:rsidRPr="004407A2">
        <w:tab/>
      </w:r>
      <w:r w:rsidRPr="004407A2">
        <w:tab/>
        <w:t>John Finnigan</w:t>
      </w:r>
    </w:p>
    <w:p w:rsidR="00E322AC" w:rsidRPr="004407A2" w:rsidP="00E322AC" w14:paraId="467AE3D5" w14:textId="77777777">
      <w:pPr>
        <w:rPr>
          <w:b/>
          <w:bCs/>
        </w:rPr>
      </w:pPr>
      <w:r w:rsidRPr="004407A2">
        <w:tab/>
      </w:r>
      <w:r w:rsidRPr="004407A2">
        <w:tab/>
      </w:r>
      <w:r w:rsidRPr="004407A2">
        <w:tab/>
      </w:r>
      <w:r w:rsidRPr="004407A2">
        <w:tab/>
      </w:r>
      <w:r w:rsidRPr="004407A2">
        <w:tab/>
      </w:r>
      <w:r w:rsidRPr="004407A2">
        <w:tab/>
        <w:t>Assistant Consumers’ Counsel</w:t>
      </w:r>
    </w:p>
    <w:p w:rsidR="00A05892" w:rsidRPr="004F7E20" w:rsidP="00E322AC" w14:paraId="275D9034" w14:textId="73833B9E">
      <w:pPr>
        <w:tabs>
          <w:tab w:val="left" w:pos="4320"/>
        </w:tabs>
      </w:pPr>
    </w:p>
    <w:p w:rsidR="00A05892" w:rsidRPr="004F7E20" w:rsidP="00A05892" w14:paraId="4B71E691" w14:textId="77777777">
      <w:r w:rsidRPr="004F7E20">
        <w:t>The PUCO’s e-filing system will electronically serve notice of the filing of this document on the following parties:</w:t>
      </w:r>
    </w:p>
    <w:p w:rsidR="00A05892" w:rsidRPr="004F7E20" w:rsidP="005D1727" w14:paraId="0884955E" w14:textId="77777777">
      <w:pPr>
        <w:rPr>
          <w:b/>
          <w:u w:val="single"/>
        </w:rPr>
      </w:pPr>
    </w:p>
    <w:p w:rsidR="00A05892" w:rsidRPr="004F7E20" w:rsidP="00A05892" w14:paraId="6162E4EE" w14:textId="77777777">
      <w:pPr>
        <w:jc w:val="center"/>
        <w:rPr>
          <w:b/>
          <w:u w:val="single"/>
        </w:rPr>
      </w:pPr>
      <w:r w:rsidRPr="004F7E20">
        <w:rPr>
          <w:b/>
          <w:u w:val="single"/>
        </w:rPr>
        <w:t>SERVICE LIST</w:t>
      </w:r>
    </w:p>
    <w:p w:rsidR="003F7F3F" w:rsidRPr="004F7E20" w:rsidP="003F7F3F" w14:paraId="330E3FAE" w14:textId="77777777">
      <w:pPr>
        <w:jc w:val="center"/>
        <w:rPr>
          <w:b/>
          <w:u w:val="single"/>
        </w:rPr>
      </w:pPr>
    </w:p>
    <w:tbl>
      <w:tblPr>
        <w:tblW w:w="0" w:type="auto"/>
        <w:tblInd w:w="0" w:type="dxa"/>
        <w:tblCellMar>
          <w:top w:w="0" w:type="dxa"/>
          <w:left w:w="108" w:type="dxa"/>
          <w:bottom w:w="0" w:type="dxa"/>
          <w:right w:w="108" w:type="dxa"/>
        </w:tblCellMar>
        <w:tblLook w:val="01E0"/>
      </w:tblPr>
      <w:tblGrid>
        <w:gridCol w:w="4328"/>
        <w:gridCol w:w="4312"/>
      </w:tblGrid>
      <w:tr w14:paraId="5CCA0E8B" w14:textId="77777777" w:rsidTr="002F6B37">
        <w:tblPrEx>
          <w:tblW w:w="0" w:type="auto"/>
          <w:tblInd w:w="0" w:type="dxa"/>
          <w:tblCellMar>
            <w:top w:w="0" w:type="dxa"/>
            <w:left w:w="108" w:type="dxa"/>
            <w:bottom w:w="0" w:type="dxa"/>
            <w:right w:w="108" w:type="dxa"/>
          </w:tblCellMar>
          <w:tblLook w:val="01E0"/>
        </w:tblPrEx>
        <w:tc>
          <w:tcPr>
            <w:tcW w:w="4428" w:type="dxa"/>
            <w:shd w:val="clear" w:color="auto" w:fill="auto"/>
          </w:tcPr>
          <w:p w:rsidR="00DA45C9" w:rsidRPr="004407A2" w:rsidP="002F6B37" w14:paraId="56C8F29F" w14:textId="77777777">
            <w:pPr>
              <w:autoSpaceDE w:val="0"/>
              <w:autoSpaceDN w:val="0"/>
              <w:adjustRightInd w:val="0"/>
              <w:rPr>
                <w:color w:val="0000FF"/>
                <w:sz w:val="24"/>
                <w:szCs w:val="24"/>
                <w:u w:val="single"/>
                <w:lang w:val="en-US" w:eastAsia="en-US" w:bidi="ar-SA"/>
              </w:rPr>
            </w:pPr>
            <w:hyperlink r:id="rId10" w:history="1">
              <w:r w:rsidRPr="004407A2" w:rsidR="007056D0">
                <w:rPr>
                  <w:color w:val="0000FF"/>
                  <w:sz w:val="24"/>
                  <w:szCs w:val="24"/>
                  <w:u w:val="single"/>
                  <w:lang w:val="en-US" w:eastAsia="en-US" w:bidi="ar-SA"/>
                </w:rPr>
                <w:t>thomas.lindgren@ohioAGO.gov</w:t>
              </w:r>
            </w:hyperlink>
          </w:p>
          <w:p w:rsidR="00DA45C9" w:rsidRPr="004407A2" w:rsidP="002F6B37" w14:paraId="76109533" w14:textId="77777777">
            <w:pPr>
              <w:autoSpaceDE w:val="0"/>
              <w:autoSpaceDN w:val="0"/>
              <w:adjustRightInd w:val="0"/>
              <w:rPr>
                <w:bCs/>
                <w:color w:val="0000FF"/>
                <w:sz w:val="24"/>
                <w:szCs w:val="24"/>
                <w:u w:val="single"/>
                <w:lang w:val="en-US" w:eastAsia="en-US" w:bidi="ar-SA"/>
              </w:rPr>
            </w:pPr>
            <w:r w:rsidRPr="004407A2">
              <w:rPr>
                <w:color w:val="0000FF"/>
                <w:sz w:val="24"/>
                <w:szCs w:val="24"/>
                <w:u w:val="single"/>
                <w:lang w:val="en-US" w:eastAsia="en-US" w:bidi="ar-SA"/>
              </w:rPr>
              <w:t>ambrosia.wilson@ohioago.gov</w:t>
            </w:r>
          </w:p>
          <w:p w:rsidR="00DA45C9" w:rsidRPr="004407A2" w:rsidP="002F6B37" w14:paraId="7538C4C1" w14:textId="77777777">
            <w:pPr>
              <w:autoSpaceDE w:val="0"/>
              <w:autoSpaceDN w:val="0"/>
              <w:adjustRightInd w:val="0"/>
              <w:rPr>
                <w:sz w:val="24"/>
                <w:szCs w:val="24"/>
                <w:lang w:val="en-US" w:eastAsia="en-US" w:bidi="ar-SA"/>
              </w:rPr>
            </w:pPr>
            <w:hyperlink r:id="rId11" w:history="1">
              <w:r w:rsidRPr="004407A2" w:rsidR="007056D0">
                <w:rPr>
                  <w:color w:val="0000FF"/>
                  <w:sz w:val="24"/>
                  <w:szCs w:val="24"/>
                  <w:u w:val="single"/>
                  <w:lang w:val="en-US" w:eastAsia="en-US" w:bidi="ar-SA"/>
                </w:rPr>
                <w:t>Rocco.dascenzo@duke-energy.com</w:t>
              </w:r>
            </w:hyperlink>
          </w:p>
          <w:p w:rsidR="00DA45C9" w:rsidRPr="004407A2" w:rsidP="002F6B37" w14:paraId="1DE10A70" w14:textId="77777777">
            <w:pPr>
              <w:autoSpaceDE w:val="0"/>
              <w:autoSpaceDN w:val="0"/>
              <w:adjustRightInd w:val="0"/>
              <w:rPr>
                <w:sz w:val="24"/>
                <w:szCs w:val="24"/>
                <w:lang w:val="en-US" w:eastAsia="en-US" w:bidi="ar-SA"/>
              </w:rPr>
            </w:pPr>
            <w:hyperlink r:id="rId12" w:history="1">
              <w:r w:rsidRPr="004407A2" w:rsidR="007056D0">
                <w:rPr>
                  <w:color w:val="0000FF"/>
                  <w:sz w:val="24"/>
                  <w:szCs w:val="24"/>
                  <w:u w:val="single"/>
                  <w:lang w:val="en-US" w:eastAsia="en-US" w:bidi="ar-SA"/>
                </w:rPr>
                <w:t>Jeanne.kingery@duke-energy.com</w:t>
              </w:r>
            </w:hyperlink>
          </w:p>
          <w:p w:rsidR="00DA45C9" w:rsidRPr="004407A2" w:rsidP="002F6B37" w14:paraId="5D5A3AEF" w14:textId="77777777">
            <w:pPr>
              <w:autoSpaceDE w:val="0"/>
              <w:autoSpaceDN w:val="0"/>
              <w:adjustRightInd w:val="0"/>
              <w:rPr>
                <w:sz w:val="24"/>
                <w:szCs w:val="24"/>
                <w:lang w:val="en-US" w:eastAsia="en-US" w:bidi="ar-SA"/>
              </w:rPr>
            </w:pPr>
            <w:hyperlink r:id="rId13" w:history="1">
              <w:r w:rsidRPr="004407A2" w:rsidR="007056D0">
                <w:rPr>
                  <w:color w:val="0000FF"/>
                  <w:sz w:val="24"/>
                  <w:szCs w:val="24"/>
                  <w:u w:val="single"/>
                  <w:lang w:val="en-US" w:eastAsia="en-US" w:bidi="ar-SA"/>
                </w:rPr>
                <w:t>Larisa.vaysman@duke-energy.com</w:t>
              </w:r>
            </w:hyperlink>
          </w:p>
          <w:p w:rsidR="00DA45C9" w:rsidRPr="004407A2" w:rsidP="002F6B37" w14:paraId="6993D144" w14:textId="77777777">
            <w:pPr>
              <w:autoSpaceDE w:val="0"/>
              <w:autoSpaceDN w:val="0"/>
              <w:adjustRightInd w:val="0"/>
              <w:rPr>
                <w:color w:val="0000FF"/>
                <w:sz w:val="24"/>
                <w:szCs w:val="24"/>
                <w:u w:val="single"/>
                <w:lang w:val="en-US" w:eastAsia="en-US" w:bidi="ar-SA"/>
              </w:rPr>
            </w:pPr>
            <w:hyperlink r:id="rId14" w:history="1">
              <w:r w:rsidRPr="004407A2" w:rsidR="007056D0">
                <w:rPr>
                  <w:color w:val="0000FF"/>
                  <w:sz w:val="24"/>
                  <w:szCs w:val="24"/>
                  <w:u w:val="single"/>
                  <w:lang w:val="en-US" w:eastAsia="en-US" w:bidi="ar-SA"/>
                </w:rPr>
                <w:t>elyse.akhbari@duke-energy.com</w:t>
              </w:r>
            </w:hyperlink>
          </w:p>
          <w:p w:rsidR="00DA45C9" w:rsidRPr="004407A2" w:rsidP="002F6B37" w14:paraId="66D013DD" w14:textId="77777777">
            <w:pPr>
              <w:autoSpaceDE w:val="0"/>
              <w:autoSpaceDN w:val="0"/>
              <w:adjustRightInd w:val="0"/>
              <w:rPr>
                <w:color w:val="0000FF"/>
                <w:sz w:val="24"/>
                <w:szCs w:val="24"/>
                <w:u w:val="single"/>
                <w:lang w:val="en-US" w:eastAsia="en-US" w:bidi="ar-SA"/>
              </w:rPr>
            </w:pPr>
            <w:r w:rsidRPr="004407A2">
              <w:rPr>
                <w:color w:val="0000FF"/>
                <w:sz w:val="24"/>
                <w:szCs w:val="24"/>
                <w:u w:val="single"/>
                <w:lang w:val="en-US" w:eastAsia="en-US" w:bidi="ar-SA"/>
              </w:rPr>
              <w:t>knordstrom@theOEC.org</w:t>
            </w:r>
          </w:p>
          <w:p w:rsidR="00DA45C9" w:rsidRPr="004407A2" w:rsidP="002F6B37" w14:paraId="5796F048" w14:textId="77777777">
            <w:pPr>
              <w:jc w:val="both"/>
              <w:rPr>
                <w:color w:val="0000FF"/>
                <w:sz w:val="24"/>
                <w:szCs w:val="24"/>
                <w:u w:val="single"/>
                <w:lang w:val="en-US" w:eastAsia="en-US" w:bidi="ar-SA"/>
              </w:rPr>
            </w:pPr>
            <w:hyperlink r:id="rId15" w:history="1">
              <w:r w:rsidRPr="004407A2" w:rsidR="007056D0">
                <w:rPr>
                  <w:color w:val="0000FF"/>
                  <w:sz w:val="24"/>
                  <w:szCs w:val="24"/>
                  <w:u w:val="single"/>
                  <w:lang w:val="en-US" w:eastAsia="en-US" w:bidi="ar-SA"/>
                </w:rPr>
                <w:t>ctavenor@theoec.org</w:t>
              </w:r>
            </w:hyperlink>
          </w:p>
          <w:p w:rsidR="00DA45C9" w:rsidRPr="004407A2" w:rsidP="002F6B37" w14:paraId="548CE2AE" w14:textId="77777777">
            <w:pPr>
              <w:jc w:val="both"/>
              <w:rPr>
                <w:color w:val="0000FF"/>
                <w:sz w:val="24"/>
                <w:szCs w:val="24"/>
                <w:u w:val="single"/>
                <w:lang w:val="en-US" w:eastAsia="en-US" w:bidi="ar-SA"/>
              </w:rPr>
            </w:pPr>
            <w:hyperlink r:id="rId16" w:history="1">
              <w:r w:rsidRPr="004407A2" w:rsidR="007056D0">
                <w:rPr>
                  <w:color w:val="0000FF"/>
                  <w:sz w:val="24"/>
                  <w:szCs w:val="24"/>
                  <w:u w:val="single"/>
                  <w:lang w:val="en-US" w:eastAsia="en-US" w:bidi="ar-SA"/>
                </w:rPr>
                <w:t>dproano@bakerlaw.com</w:t>
              </w:r>
            </w:hyperlink>
          </w:p>
          <w:p w:rsidR="00DA45C9" w:rsidRPr="004407A2" w:rsidP="002F6B37" w14:paraId="3BE115F6" w14:textId="77777777">
            <w:pPr>
              <w:jc w:val="both"/>
              <w:rPr>
                <w:color w:val="0000FF"/>
                <w:sz w:val="24"/>
                <w:szCs w:val="24"/>
                <w:u w:val="single"/>
                <w:lang w:val="en-US" w:eastAsia="en-US" w:bidi="ar-SA"/>
              </w:rPr>
            </w:pPr>
            <w:r w:rsidRPr="004407A2">
              <w:rPr>
                <w:color w:val="0000FF"/>
                <w:sz w:val="24"/>
                <w:szCs w:val="24"/>
                <w:u w:val="single"/>
                <w:lang w:val="en-US" w:eastAsia="en-US" w:bidi="ar-SA"/>
              </w:rPr>
              <w:t>ahaque@bakerlaw.com</w:t>
            </w:r>
          </w:p>
          <w:p w:rsidR="00DA45C9" w:rsidRPr="004407A2" w:rsidP="002F6B37" w14:paraId="451455A9" w14:textId="77777777">
            <w:pPr>
              <w:jc w:val="both"/>
              <w:rPr>
                <w:color w:val="0000FF"/>
                <w:sz w:val="24"/>
                <w:szCs w:val="24"/>
                <w:u w:val="single"/>
                <w:lang w:val="en-US" w:eastAsia="en-US" w:bidi="ar-SA"/>
              </w:rPr>
            </w:pPr>
            <w:r w:rsidRPr="004407A2">
              <w:rPr>
                <w:color w:val="0000FF"/>
                <w:sz w:val="24"/>
                <w:szCs w:val="24"/>
                <w:u w:val="single"/>
                <w:lang w:val="en-US" w:eastAsia="en-US" w:bidi="ar-SA"/>
              </w:rPr>
              <w:t>eprouty@bakerlaw.com</w:t>
            </w:r>
          </w:p>
          <w:p w:rsidR="00DA45C9" w:rsidRPr="004407A2" w:rsidP="002F6B37" w14:paraId="3826FF53" w14:textId="77777777">
            <w:pPr>
              <w:autoSpaceDE w:val="0"/>
              <w:autoSpaceDN w:val="0"/>
              <w:adjustRightInd w:val="0"/>
              <w:rPr>
                <w:color w:val="0000FF"/>
                <w:sz w:val="24"/>
                <w:szCs w:val="24"/>
                <w:u w:val="single"/>
                <w:lang w:val="en-US" w:eastAsia="en-US" w:bidi="ar-SA"/>
              </w:rPr>
            </w:pPr>
            <w:hyperlink r:id="rId17" w:history="1">
              <w:r w:rsidRPr="004407A2" w:rsidR="007056D0">
                <w:rPr>
                  <w:rStyle w:val="Hyperlink"/>
                  <w:color w:val="0000FF"/>
                  <w:sz w:val="24"/>
                  <w:szCs w:val="24"/>
                  <w:u w:val="single"/>
                  <w:lang w:val="en-US" w:eastAsia="en-US" w:bidi="ar-SA"/>
                </w:rPr>
                <w:t>pwillison@bakerlaw.com</w:t>
              </w:r>
            </w:hyperlink>
          </w:p>
          <w:p w:rsidR="00DA45C9" w:rsidRPr="004407A2" w:rsidP="002F6B37" w14:paraId="4B1DDF34" w14:textId="77777777">
            <w:pPr>
              <w:autoSpaceDE w:val="0"/>
              <w:autoSpaceDN w:val="0"/>
              <w:adjustRightInd w:val="0"/>
              <w:rPr>
                <w:color w:val="0000FF"/>
                <w:sz w:val="24"/>
                <w:szCs w:val="24"/>
                <w:u w:val="single"/>
                <w:lang w:val="en-US" w:eastAsia="en-US" w:bidi="ar-SA"/>
              </w:rPr>
            </w:pPr>
          </w:p>
          <w:p w:rsidR="00DA45C9" w:rsidRPr="004407A2" w:rsidP="002F6B37" w14:paraId="5408B5BE" w14:textId="77777777">
            <w:pPr>
              <w:autoSpaceDE w:val="0"/>
              <w:autoSpaceDN w:val="0"/>
              <w:adjustRightInd w:val="0"/>
              <w:rPr>
                <w:sz w:val="24"/>
                <w:szCs w:val="24"/>
                <w:lang w:val="en-US" w:eastAsia="en-US" w:bidi="ar-SA"/>
              </w:rPr>
            </w:pPr>
            <w:r w:rsidRPr="004407A2">
              <w:rPr>
                <w:sz w:val="24"/>
                <w:szCs w:val="24"/>
                <w:lang w:val="en-US" w:eastAsia="en-US" w:bidi="ar-SA"/>
              </w:rPr>
              <w:t>Attorney Examiners:</w:t>
            </w:r>
          </w:p>
          <w:p w:rsidR="00DA45C9" w:rsidRPr="004407A2" w:rsidP="002F6B37" w14:paraId="6D310A6B" w14:textId="77777777">
            <w:pPr>
              <w:autoSpaceDE w:val="0"/>
              <w:autoSpaceDN w:val="0"/>
              <w:adjustRightInd w:val="0"/>
              <w:rPr>
                <w:sz w:val="24"/>
                <w:szCs w:val="24"/>
                <w:lang w:val="en-US" w:eastAsia="en-US" w:bidi="ar-SA"/>
              </w:rPr>
            </w:pPr>
            <w:hyperlink r:id="rId18" w:history="1">
              <w:r w:rsidRPr="004407A2" w:rsidR="007056D0">
                <w:rPr>
                  <w:color w:val="0000FF"/>
                  <w:sz w:val="24"/>
                  <w:szCs w:val="24"/>
                  <w:u w:val="single"/>
                  <w:lang w:val="en-US" w:eastAsia="en-US" w:bidi="ar-SA"/>
                </w:rPr>
                <w:t>megan.addison@puco.ohio.gov</w:t>
              </w:r>
            </w:hyperlink>
          </w:p>
          <w:p w:rsidR="00DA45C9" w:rsidRPr="004407A2" w:rsidP="002F6B37" w14:paraId="0D69A741" w14:textId="77777777">
            <w:pPr>
              <w:autoSpaceDE w:val="0"/>
              <w:autoSpaceDN w:val="0"/>
              <w:adjustRightInd w:val="0"/>
              <w:rPr>
                <w:sz w:val="24"/>
                <w:szCs w:val="24"/>
                <w:lang w:val="en-US" w:eastAsia="en-US" w:bidi="ar-SA"/>
              </w:rPr>
            </w:pPr>
            <w:hyperlink r:id="rId19" w:history="1">
              <w:r w:rsidRPr="004407A2" w:rsidR="007056D0">
                <w:rPr>
                  <w:color w:val="0000FF"/>
                  <w:sz w:val="24"/>
                  <w:szCs w:val="24"/>
                  <w:u w:val="single"/>
                  <w:lang w:val="en-US" w:eastAsia="en-US" w:bidi="ar-SA"/>
                </w:rPr>
                <w:t>jesse.davis@puco.ohio.gov</w:t>
              </w:r>
            </w:hyperlink>
          </w:p>
          <w:p w:rsidR="00DA45C9" w:rsidRPr="004407A2" w:rsidP="002F6B37" w14:paraId="2942302C" w14:textId="77777777">
            <w:pPr>
              <w:autoSpaceDE w:val="0"/>
              <w:autoSpaceDN w:val="0"/>
              <w:adjustRightInd w:val="0"/>
              <w:rPr>
                <w:bCs/>
                <w:sz w:val="24"/>
                <w:szCs w:val="24"/>
                <w:lang w:val="en-US" w:eastAsia="en-US" w:bidi="ar-SA"/>
              </w:rPr>
            </w:pPr>
          </w:p>
        </w:tc>
        <w:tc>
          <w:tcPr>
            <w:tcW w:w="4428" w:type="dxa"/>
            <w:shd w:val="clear" w:color="auto" w:fill="auto"/>
          </w:tcPr>
          <w:p w:rsidR="00DA45C9" w:rsidRPr="004407A2" w:rsidP="002F6B37" w14:paraId="6B3ECD5E" w14:textId="77777777">
            <w:pPr>
              <w:jc w:val="both"/>
              <w:rPr>
                <w:bCs/>
                <w:sz w:val="24"/>
                <w:szCs w:val="24"/>
                <w:lang w:val="en-US" w:eastAsia="en-US" w:bidi="ar-SA"/>
              </w:rPr>
            </w:pPr>
            <w:hyperlink r:id="rId20" w:history="1">
              <w:r w:rsidRPr="004407A2" w:rsidR="007056D0">
                <w:rPr>
                  <w:color w:val="0000FF"/>
                  <w:sz w:val="24"/>
                  <w:szCs w:val="24"/>
                  <w:u w:val="single"/>
                  <w:lang w:val="en-US" w:eastAsia="en-US" w:bidi="ar-SA"/>
                </w:rPr>
                <w:t>rdove@keglerbrown.com</w:t>
              </w:r>
            </w:hyperlink>
          </w:p>
          <w:p w:rsidR="00DA45C9" w:rsidP="002F6B37" w14:paraId="635970A1" w14:textId="77777777">
            <w:pPr>
              <w:jc w:val="both"/>
              <w:rPr>
                <w:color w:val="0000FF"/>
                <w:sz w:val="24"/>
                <w:szCs w:val="24"/>
                <w:u w:val="single"/>
                <w:lang w:val="en-US" w:eastAsia="en-US" w:bidi="ar-SA"/>
              </w:rPr>
            </w:pPr>
            <w:hyperlink r:id="rId21" w:history="1">
              <w:r w:rsidRPr="004407A2" w:rsidR="007056D0">
                <w:rPr>
                  <w:color w:val="0000FF"/>
                  <w:sz w:val="24"/>
                  <w:szCs w:val="24"/>
                  <w:u w:val="single"/>
                  <w:lang w:val="en-US" w:eastAsia="en-US" w:bidi="ar-SA"/>
                </w:rPr>
                <w:t>stnourse@aep.com</w:t>
              </w:r>
            </w:hyperlink>
          </w:p>
          <w:p w:rsidR="00881802" w:rsidP="002F6B37" w14:paraId="1CFE780F" w14:textId="03BBEA67">
            <w:pPr>
              <w:jc w:val="both"/>
              <w:rPr>
                <w:bCs/>
                <w:sz w:val="24"/>
                <w:szCs w:val="24"/>
                <w:lang w:val="en-US" w:eastAsia="en-US" w:bidi="ar-SA"/>
              </w:rPr>
            </w:pPr>
            <w:hyperlink r:id="rId22" w:history="1">
              <w:r w:rsidRPr="00BB15AC" w:rsidR="007056D0">
                <w:rPr>
                  <w:rStyle w:val="Hyperlink"/>
                  <w:bCs/>
                  <w:color w:val="0000FF"/>
                  <w:sz w:val="24"/>
                  <w:szCs w:val="24"/>
                  <w:u w:val="single"/>
                  <w:lang w:val="en-US" w:eastAsia="en-US" w:bidi="ar-SA"/>
                </w:rPr>
                <w:t>matthew@msmckenzieltd.com</w:t>
              </w:r>
            </w:hyperlink>
          </w:p>
          <w:p w:rsidR="00DA45C9" w:rsidRPr="004407A2" w:rsidP="002F6B37" w14:paraId="7942B676" w14:textId="77777777">
            <w:pPr>
              <w:jc w:val="both"/>
              <w:rPr>
                <w:bCs/>
                <w:sz w:val="24"/>
                <w:szCs w:val="24"/>
                <w:lang w:val="en-US" w:eastAsia="en-US" w:bidi="ar-SA"/>
              </w:rPr>
            </w:pPr>
            <w:hyperlink r:id="rId23" w:history="1">
              <w:r w:rsidRPr="004407A2" w:rsidR="007056D0">
                <w:rPr>
                  <w:color w:val="0000FF"/>
                  <w:sz w:val="24"/>
                  <w:szCs w:val="24"/>
                  <w:u w:val="single"/>
                  <w:lang w:val="en-US" w:eastAsia="en-US" w:bidi="ar-SA"/>
                </w:rPr>
                <w:t>trent@hubaydougherty.com</w:t>
              </w:r>
            </w:hyperlink>
          </w:p>
          <w:p w:rsidR="00DA45C9" w:rsidRPr="004407A2" w:rsidP="002F6B37" w14:paraId="0F5ED53D" w14:textId="77777777">
            <w:pPr>
              <w:jc w:val="both"/>
              <w:rPr>
                <w:bCs/>
                <w:sz w:val="24"/>
                <w:szCs w:val="24"/>
                <w:lang w:val="en-US" w:eastAsia="en-US" w:bidi="ar-SA"/>
              </w:rPr>
            </w:pPr>
            <w:hyperlink r:id="rId24" w:history="1">
              <w:r w:rsidRPr="004407A2" w:rsidR="007056D0">
                <w:rPr>
                  <w:color w:val="0000FF"/>
                  <w:sz w:val="24"/>
                  <w:szCs w:val="24"/>
                  <w:u w:val="single"/>
                  <w:lang w:val="en-US" w:eastAsia="en-US" w:bidi="ar-SA"/>
                </w:rPr>
                <w:t>talexander@beneschlaw.com</w:t>
              </w:r>
            </w:hyperlink>
          </w:p>
          <w:p w:rsidR="00DA45C9" w:rsidRPr="004407A2" w:rsidP="002F6B37" w14:paraId="44274F1D" w14:textId="77777777">
            <w:pPr>
              <w:jc w:val="both"/>
              <w:rPr>
                <w:color w:val="0000FF"/>
                <w:sz w:val="24"/>
                <w:szCs w:val="24"/>
                <w:u w:val="single"/>
                <w:lang w:val="en-US" w:eastAsia="en-US" w:bidi="ar-SA"/>
              </w:rPr>
            </w:pPr>
            <w:hyperlink r:id="rId25" w:history="1">
              <w:r w:rsidRPr="004407A2" w:rsidR="007056D0">
                <w:rPr>
                  <w:color w:val="0000FF"/>
                  <w:sz w:val="24"/>
                  <w:szCs w:val="24"/>
                  <w:u w:val="single"/>
                  <w:lang w:val="en-US" w:eastAsia="en-US" w:bidi="ar-SA"/>
                </w:rPr>
                <w:t>Bojko@carpenterlipps.com</w:t>
              </w:r>
            </w:hyperlink>
          </w:p>
          <w:p w:rsidR="00DA45C9" w:rsidRPr="004407A2" w:rsidP="002F6B37" w14:paraId="3312F017" w14:textId="77777777">
            <w:pPr>
              <w:jc w:val="both"/>
              <w:rPr>
                <w:color w:val="0000FF"/>
                <w:sz w:val="24"/>
                <w:szCs w:val="24"/>
                <w:u w:val="single"/>
                <w:lang w:val="en-US" w:eastAsia="en-US" w:bidi="ar-SA"/>
              </w:rPr>
            </w:pPr>
            <w:r w:rsidRPr="004407A2">
              <w:rPr>
                <w:color w:val="0000FF"/>
                <w:sz w:val="24"/>
                <w:szCs w:val="24"/>
                <w:u w:val="single"/>
                <w:lang w:val="en-US" w:eastAsia="en-US" w:bidi="ar-SA"/>
              </w:rPr>
              <w:t>easley@carpenterlipps.com</w:t>
            </w:r>
          </w:p>
          <w:p w:rsidR="00DA45C9" w:rsidRPr="004407A2" w:rsidP="002F6B37" w14:paraId="7891730D" w14:textId="77777777">
            <w:pPr>
              <w:jc w:val="both"/>
              <w:rPr>
                <w:color w:val="0000FF"/>
                <w:sz w:val="24"/>
                <w:szCs w:val="24"/>
                <w:u w:val="single"/>
                <w:lang w:val="en-US" w:eastAsia="en-US" w:bidi="ar-SA"/>
              </w:rPr>
            </w:pPr>
            <w:hyperlink r:id="rId26" w:history="1">
              <w:r w:rsidRPr="004407A2" w:rsidR="007056D0">
                <w:rPr>
                  <w:color w:val="0000FF"/>
                  <w:sz w:val="24"/>
                  <w:szCs w:val="24"/>
                  <w:u w:val="single"/>
                  <w:lang w:val="en-US" w:eastAsia="en-US" w:bidi="ar-SA"/>
                </w:rPr>
                <w:t>Paul@carpenterlipps.com</w:t>
              </w:r>
            </w:hyperlink>
          </w:p>
          <w:p w:rsidR="00DA45C9" w:rsidRPr="004407A2" w:rsidP="002F6B37" w14:paraId="7EF7AB9C" w14:textId="77777777">
            <w:pPr>
              <w:jc w:val="both"/>
              <w:rPr>
                <w:color w:val="0000FF"/>
                <w:sz w:val="24"/>
                <w:szCs w:val="24"/>
                <w:u w:val="single"/>
                <w:lang w:val="en-US" w:eastAsia="en-US" w:bidi="ar-SA"/>
              </w:rPr>
            </w:pPr>
            <w:hyperlink r:id="rId27" w:history="1">
              <w:r w:rsidRPr="004407A2" w:rsidR="007056D0">
                <w:rPr>
                  <w:color w:val="0000FF"/>
                  <w:sz w:val="24"/>
                  <w:szCs w:val="24"/>
                  <w:u w:val="single"/>
                  <w:lang w:val="en-US" w:eastAsia="en-US" w:bidi="ar-SA"/>
                </w:rPr>
                <w:t>christopher.hollon@aes.com</w:t>
              </w:r>
            </w:hyperlink>
          </w:p>
          <w:p w:rsidR="00DA45C9" w:rsidRPr="004407A2" w:rsidP="002F6B37" w14:paraId="7E7F8378" w14:textId="77777777">
            <w:pPr>
              <w:jc w:val="both"/>
              <w:rPr>
                <w:sz w:val="24"/>
                <w:szCs w:val="24"/>
                <w:lang w:val="en-US" w:eastAsia="en-US" w:bidi="ar-SA"/>
              </w:rPr>
            </w:pPr>
            <w:hyperlink r:id="rId28" w:history="1">
              <w:r w:rsidRPr="004407A2" w:rsidR="007056D0">
                <w:rPr>
                  <w:color w:val="0000FF"/>
                  <w:sz w:val="24"/>
                  <w:szCs w:val="24"/>
                  <w:u w:val="single"/>
                  <w:lang w:val="en-US" w:eastAsia="en-US" w:bidi="ar-SA"/>
                </w:rPr>
                <w:t>jsharkey@ficlaw.com</w:t>
              </w:r>
            </w:hyperlink>
          </w:p>
          <w:p w:rsidR="00DA45C9" w:rsidRPr="004407A2" w:rsidP="002F6B37" w14:paraId="7CE37FE9" w14:textId="77777777">
            <w:pPr>
              <w:jc w:val="both"/>
              <w:rPr>
                <w:sz w:val="24"/>
                <w:szCs w:val="24"/>
                <w:lang w:val="en-US" w:eastAsia="en-US" w:bidi="ar-SA"/>
              </w:rPr>
            </w:pPr>
            <w:hyperlink r:id="rId29" w:history="1">
              <w:r w:rsidRPr="004407A2" w:rsidR="007056D0">
                <w:rPr>
                  <w:color w:val="0000FF"/>
                  <w:sz w:val="24"/>
                  <w:szCs w:val="24"/>
                  <w:u w:val="single"/>
                  <w:lang w:val="en-US" w:eastAsia="en-US" w:bidi="ar-SA"/>
                </w:rPr>
                <w:t>mwatt@ficlaw.com</w:t>
              </w:r>
            </w:hyperlink>
          </w:p>
          <w:p w:rsidR="00DA45C9" w:rsidRPr="004407A2" w:rsidP="002F6B37" w14:paraId="3EAF0E72" w14:textId="77777777">
            <w:pPr>
              <w:jc w:val="both"/>
              <w:rPr>
                <w:sz w:val="24"/>
                <w:szCs w:val="24"/>
                <w:lang w:val="en-US" w:eastAsia="en-US" w:bidi="ar-SA"/>
              </w:rPr>
            </w:pPr>
          </w:p>
        </w:tc>
      </w:tr>
    </w:tbl>
    <w:p w:rsidR="00C24C80" w:rsidRPr="004F7E20" w:rsidP="00AB752F" w14:paraId="7313E043" w14:textId="77777777">
      <w:pPr>
        <w:autoSpaceDE w:val="0"/>
        <w:autoSpaceDN w:val="0"/>
        <w:adjustRightInd w:val="0"/>
        <w:rPr>
          <w:b/>
          <w:u w:val="single"/>
        </w:rPr>
      </w:pPr>
    </w:p>
    <w:sectPr w:rsidSect="00CE6B0A">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1F5" w14:paraId="5981CC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60731C4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07182">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1F5" w14:paraId="455796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6B0A" w14:paraId="366898E1" w14:textId="77777777">
      <w:r>
        <w:separator/>
      </w:r>
    </w:p>
  </w:footnote>
  <w:footnote w:type="continuationSeparator" w:id="1">
    <w:p w:rsidR="00CE6B0A" w14:paraId="3AEB5B75" w14:textId="77777777">
      <w:r>
        <w:continuationSeparator/>
      </w:r>
    </w:p>
  </w:footnote>
  <w:footnote w:id="2">
    <w:p w:rsidR="00DB6774" w14:paraId="0E4BF09D" w14:textId="2C9239DE">
      <w:pPr>
        <w:pStyle w:val="FootnoteText"/>
      </w:pPr>
      <w:r>
        <w:rPr>
          <w:rStyle w:val="FootnoteReference"/>
        </w:rPr>
        <w:footnoteRef/>
      </w:r>
      <w:r>
        <w:t xml:space="preserve"> R.C. 4928.148.</w:t>
      </w:r>
      <w:r w:rsidR="004F7E20">
        <w:t xml:space="preserve"> </w:t>
      </w:r>
      <w:r>
        <w:t xml:space="preserve">The statute allows the </w:t>
      </w:r>
      <w:r w:rsidR="007C38EB">
        <w:t>u</w:t>
      </w:r>
      <w:r>
        <w:t xml:space="preserve">tilities to collect costs for two coal plants which the </w:t>
      </w:r>
      <w:r w:rsidR="00FD156A">
        <w:t>u</w:t>
      </w:r>
      <w:r>
        <w:t>tilities indirectly own and which are operated by the Ohio Valley Electric Corporation (“</w:t>
      </w:r>
      <w:r w:rsidR="00B81D25">
        <w:t>c</w:t>
      </w:r>
      <w:r>
        <w:t xml:space="preserve">oal </w:t>
      </w:r>
      <w:r w:rsidR="00B81D25">
        <w:t>p</w:t>
      </w:r>
      <w:r>
        <w:t xml:space="preserve">lant </w:t>
      </w:r>
      <w:r w:rsidR="00B81D25">
        <w:t>s</w:t>
      </w:r>
      <w:r>
        <w:t>ubsidy costs</w:t>
      </w:r>
      <w:r w:rsidR="00C810C2">
        <w:t>”</w:t>
      </w:r>
      <w:r>
        <w:t>).</w:t>
      </w:r>
    </w:p>
  </w:footnote>
  <w:footnote w:id="3">
    <w:p w:rsidR="008B6F83" w:rsidP="008B6F83" w14:paraId="63EA5AA0" w14:textId="77777777">
      <w:pPr>
        <w:pStyle w:val="FootnoteText"/>
      </w:pPr>
      <w:r>
        <w:rPr>
          <w:rStyle w:val="FootnoteReference"/>
        </w:rPr>
        <w:footnoteRef/>
      </w:r>
      <w:r>
        <w:t xml:space="preserve"> </w:t>
      </w:r>
      <w:r w:rsidRPr="004F7E20">
        <w:rPr>
          <w:color w:val="000000"/>
        </w:rPr>
        <w:t>Duke Energy Ohio (“Duke”), The Dayton Power and Light Company d/b/a AES Ohio (“DP&amp;L”), and Ohio Power Company (“AEP”) (collectively, the “</w:t>
      </w:r>
      <w:r>
        <w:rPr>
          <w:color w:val="000000"/>
        </w:rPr>
        <w:t>u</w:t>
      </w:r>
      <w:r w:rsidRPr="004F7E20">
        <w:rPr>
          <w:color w:val="000000"/>
        </w:rPr>
        <w:t>tilities”).</w:t>
      </w:r>
    </w:p>
  </w:footnote>
  <w:footnote w:id="4">
    <w:p w:rsidR="008B6F83" w14:paraId="05B74DE5" w14:textId="5FC0C9B2">
      <w:pPr>
        <w:pStyle w:val="FootnoteText"/>
      </w:pPr>
      <w:r>
        <w:rPr>
          <w:rStyle w:val="FootnoteReference"/>
        </w:rPr>
        <w:footnoteRef/>
      </w:r>
      <w:r>
        <w:t xml:space="preserve"> </w:t>
      </w:r>
      <w:r w:rsidRPr="00571DA3" w:rsidR="00B95EB1">
        <w:rPr>
          <w:i/>
          <w:iCs/>
        </w:rPr>
        <w:t>In the Matter of the OVEC Generation Purchase Rider Audits Required by R.C. 4928.148 for Duke Energy Ohio, Inc., the Dayton Power and Light Company, and AEP Ohio</w:t>
      </w:r>
      <w:r w:rsidR="00B95EB1">
        <w:rPr>
          <w:i/>
          <w:iCs/>
        </w:rPr>
        <w:t xml:space="preserve">, </w:t>
      </w:r>
      <w:r>
        <w:t>Case No. 21-477-EL-AIR, Entry (Dec. 22, 2023).</w:t>
      </w:r>
      <w:r w:rsidR="00571DA3">
        <w:t xml:space="preserve"> </w:t>
      </w:r>
    </w:p>
  </w:footnote>
  <w:footnote w:id="5">
    <w:p w:rsidR="00142F7A" w:rsidRPr="00B95EB1" w14:paraId="6EFC6094" w14:textId="07470B0B">
      <w:pPr>
        <w:pStyle w:val="FootnoteText"/>
      </w:pPr>
      <w:r>
        <w:rPr>
          <w:rStyle w:val="FootnoteReference"/>
        </w:rPr>
        <w:footnoteRef/>
      </w:r>
      <w:r>
        <w:t xml:space="preserve"> </w:t>
      </w:r>
      <w:r w:rsidR="00B95EB1">
        <w:rPr>
          <w:i/>
          <w:iCs/>
        </w:rPr>
        <w:t xml:space="preserve">See </w:t>
      </w:r>
      <w:r w:rsidR="00B95EB1">
        <w:t>Duke, DP&amp;L and AEP Motions for Protective Orders (Jan. 4, 2024).</w:t>
      </w:r>
    </w:p>
  </w:footnote>
  <w:footnote w:id="6">
    <w:p w:rsidR="006A1B01" w:rsidRPr="006A1B01" w14:paraId="41428082" w14:textId="51124771">
      <w:pPr>
        <w:pStyle w:val="FootnoteText"/>
      </w:pPr>
      <w:r>
        <w:rPr>
          <w:rStyle w:val="FootnoteReference"/>
        </w:rPr>
        <w:footnoteRef/>
      </w:r>
      <w:r>
        <w:t xml:space="preserve"> Duke Audit Report</w:t>
      </w:r>
      <w:r w:rsidR="00A037E9">
        <w:t xml:space="preserve"> (Jan. 4, 2024)</w:t>
      </w:r>
      <w:r>
        <w:t>, Attachment 1 at p. 26, Figure 9, column K.</w:t>
      </w:r>
      <w:r w:rsidR="004F7E20">
        <w:t xml:space="preserve"> </w:t>
      </w:r>
      <w:r>
        <w:rPr>
          <w:i/>
          <w:iCs/>
        </w:rPr>
        <w:t xml:space="preserve">See also </w:t>
      </w:r>
      <w:r>
        <w:t>Hearing Transcript, Vol. I</w:t>
      </w:r>
      <w:r w:rsidR="00CB406A">
        <w:t xml:space="preserve"> (Nov. 14, 2023)</w:t>
      </w:r>
      <w:r>
        <w:t xml:space="preserve"> at p. </w:t>
      </w:r>
      <w:r w:rsidR="00A037E9">
        <w:t>77, l. 20 – p. 78, l. 17.</w:t>
      </w:r>
    </w:p>
  </w:footnote>
  <w:footnote w:id="7">
    <w:p w:rsidR="006A1B01" w14:paraId="6CB5038C" w14:textId="7F27C6FD">
      <w:pPr>
        <w:pStyle w:val="FootnoteText"/>
      </w:pPr>
      <w:r>
        <w:rPr>
          <w:rStyle w:val="FootnoteReference"/>
        </w:rPr>
        <w:footnoteRef/>
      </w:r>
      <w:r>
        <w:t xml:space="preserve"> </w:t>
      </w:r>
      <w:r w:rsidR="00A037E9">
        <w:t>AES Ohio Audit Report (Jan. 4, 2024), Ex. 1 at p. 25, Figure 9, column labeled “Rider Revenue LGR.”</w:t>
      </w:r>
      <w:r w:rsidR="004F7E20">
        <w:t xml:space="preserve"> </w:t>
      </w:r>
      <w:r w:rsidR="00A037E9">
        <w:rPr>
          <w:i/>
          <w:iCs/>
        </w:rPr>
        <w:t xml:space="preserve">See also </w:t>
      </w:r>
      <w:r w:rsidR="00A037E9">
        <w:t xml:space="preserve">Hearing Transcript, Vol. I </w:t>
      </w:r>
      <w:r w:rsidR="00CB406A">
        <w:t xml:space="preserve">(Nov. 14, 2023) </w:t>
      </w:r>
      <w:r w:rsidR="00A037E9">
        <w:t>at p. 76, l. 25 – p. 77, l. 5.</w:t>
      </w:r>
    </w:p>
  </w:footnote>
  <w:footnote w:id="8">
    <w:p w:rsidR="006A1B01" w14:paraId="7BD89D6E" w14:textId="63F101D3">
      <w:pPr>
        <w:pStyle w:val="FootnoteText"/>
      </w:pPr>
      <w:r>
        <w:rPr>
          <w:rStyle w:val="FootnoteReference"/>
        </w:rPr>
        <w:footnoteRef/>
      </w:r>
      <w:r>
        <w:t xml:space="preserve"> </w:t>
      </w:r>
      <w:r w:rsidR="00A037E9">
        <w:t xml:space="preserve">AEP Audit Report (Jan. 4, 2024), Attachment A at p. </w:t>
      </w:r>
      <w:r w:rsidR="00744402">
        <w:t>28-29</w:t>
      </w:r>
      <w:r w:rsidR="00A037E9">
        <w:t xml:space="preserve">, Figure 9, column </w:t>
      </w:r>
      <w:r w:rsidR="00744402">
        <w:t>H</w:t>
      </w:r>
      <w:r w:rsidR="00A037E9">
        <w:t>.</w:t>
      </w:r>
      <w:r w:rsidR="004F7E20">
        <w:t xml:space="preserve"> </w:t>
      </w:r>
      <w:r w:rsidR="00A037E9">
        <w:rPr>
          <w:i/>
          <w:iCs/>
        </w:rPr>
        <w:t xml:space="preserve">See also </w:t>
      </w:r>
      <w:r w:rsidR="00A037E9">
        <w:t>Hearing Transcript, Vol. I</w:t>
      </w:r>
      <w:r w:rsidR="00CB406A">
        <w:t xml:space="preserve"> (Nov. 14, 2023) </w:t>
      </w:r>
      <w:r w:rsidR="00A037E9">
        <w:t>at p. 65, l. 11-21.</w:t>
      </w:r>
    </w:p>
  </w:footnote>
  <w:footnote w:id="9">
    <w:p w:rsidR="00142F7A" w14:paraId="3C43AD49" w14:textId="181B1B6F">
      <w:pPr>
        <w:pStyle w:val="FootnoteText"/>
      </w:pPr>
      <w:r>
        <w:rPr>
          <w:rStyle w:val="FootnoteReference"/>
        </w:rPr>
        <w:footnoteRef/>
      </w:r>
      <w:r>
        <w:t xml:space="preserve"> </w:t>
      </w:r>
      <w:r w:rsidRPr="008518E6" w:rsidR="00B95EB1">
        <w:rPr>
          <w:i/>
          <w:iCs/>
        </w:rPr>
        <w:t xml:space="preserve">In </w:t>
      </w:r>
      <w:r w:rsidR="00B95EB1">
        <w:rPr>
          <w:i/>
          <w:iCs/>
        </w:rPr>
        <w:t>t</w:t>
      </w:r>
      <w:r w:rsidRPr="008518E6" w:rsidR="00B95EB1">
        <w:rPr>
          <w:i/>
          <w:iCs/>
        </w:rPr>
        <w:t xml:space="preserve">he Matter </w:t>
      </w:r>
      <w:r w:rsidR="00B95EB1">
        <w:rPr>
          <w:i/>
          <w:iCs/>
        </w:rPr>
        <w:t>o</w:t>
      </w:r>
      <w:r w:rsidRPr="008518E6" w:rsidR="00B95EB1">
        <w:rPr>
          <w:i/>
          <w:iCs/>
        </w:rPr>
        <w:t xml:space="preserve">f </w:t>
      </w:r>
      <w:r w:rsidR="00B95EB1">
        <w:rPr>
          <w:i/>
          <w:iCs/>
        </w:rPr>
        <w:t>t</w:t>
      </w:r>
      <w:r w:rsidRPr="008518E6" w:rsidR="00B95EB1">
        <w:rPr>
          <w:i/>
          <w:iCs/>
        </w:rPr>
        <w:t xml:space="preserve">he Proper Procedures </w:t>
      </w:r>
      <w:r w:rsidR="00B95EB1">
        <w:rPr>
          <w:i/>
          <w:iCs/>
        </w:rPr>
        <w:t>a</w:t>
      </w:r>
      <w:r w:rsidRPr="008518E6" w:rsidR="00B95EB1">
        <w:rPr>
          <w:i/>
          <w:iCs/>
        </w:rPr>
        <w:t xml:space="preserve">nd Process </w:t>
      </w:r>
      <w:r w:rsidR="00B95EB1">
        <w:rPr>
          <w:i/>
          <w:iCs/>
        </w:rPr>
        <w:t>f</w:t>
      </w:r>
      <w:r w:rsidRPr="008518E6" w:rsidR="00B95EB1">
        <w:rPr>
          <w:i/>
          <w:iCs/>
        </w:rPr>
        <w:t xml:space="preserve">or </w:t>
      </w:r>
      <w:r w:rsidR="00B95EB1">
        <w:rPr>
          <w:i/>
          <w:iCs/>
        </w:rPr>
        <w:t>t</w:t>
      </w:r>
      <w:r w:rsidRPr="008518E6" w:rsidR="00B95EB1">
        <w:rPr>
          <w:i/>
          <w:iCs/>
        </w:rPr>
        <w:t xml:space="preserve">he Commission’s Operations </w:t>
      </w:r>
      <w:r w:rsidR="00B95EB1">
        <w:rPr>
          <w:i/>
          <w:iCs/>
        </w:rPr>
        <w:t>a</w:t>
      </w:r>
      <w:r w:rsidRPr="008518E6" w:rsidR="00B95EB1">
        <w:rPr>
          <w:i/>
          <w:iCs/>
        </w:rPr>
        <w:t xml:space="preserve">nd Proceedings During </w:t>
      </w:r>
      <w:r w:rsidR="00B95EB1">
        <w:rPr>
          <w:i/>
          <w:iCs/>
        </w:rPr>
        <w:t>t</w:t>
      </w:r>
      <w:r w:rsidRPr="008518E6" w:rsidR="00B95EB1">
        <w:rPr>
          <w:i/>
          <w:iCs/>
        </w:rPr>
        <w:t xml:space="preserve">he Declared State </w:t>
      </w:r>
      <w:r w:rsidR="00B95EB1">
        <w:rPr>
          <w:i/>
          <w:iCs/>
        </w:rPr>
        <w:t>o</w:t>
      </w:r>
      <w:r w:rsidRPr="008518E6" w:rsidR="00B95EB1">
        <w:rPr>
          <w:i/>
          <w:iCs/>
        </w:rPr>
        <w:t xml:space="preserve">f Emergency </w:t>
      </w:r>
      <w:r w:rsidR="00B95EB1">
        <w:rPr>
          <w:i/>
          <w:iCs/>
        </w:rPr>
        <w:t>a</w:t>
      </w:r>
      <w:r w:rsidRPr="008518E6" w:rsidR="00B95EB1">
        <w:rPr>
          <w:i/>
          <w:iCs/>
        </w:rPr>
        <w:t>nd Related Matters</w:t>
      </w:r>
      <w:r w:rsidR="00B95EB1">
        <w:rPr>
          <w:i/>
          <w:iCs/>
        </w:rPr>
        <w:t xml:space="preserve">, </w:t>
      </w:r>
      <w:r w:rsidR="00B95EB1">
        <w:t>Case No. 20-591-AU-UNC, Entry at ¶ 5 (March 12, 2020).</w:t>
      </w:r>
    </w:p>
  </w:footnote>
  <w:footnote w:id="10">
    <w:p w:rsidR="004E4E51" w:rsidRPr="004E4E51" w14:paraId="4D0033B1" w14:textId="147815D2">
      <w:pPr>
        <w:pStyle w:val="FootnoteText"/>
      </w:pPr>
      <w:r>
        <w:rPr>
          <w:rStyle w:val="FootnoteReference"/>
        </w:rPr>
        <w:footnoteRef/>
      </w:r>
      <w:r>
        <w:t xml:space="preserve"> Justice Louis </w:t>
      </w:r>
      <w:r w:rsidR="006F4333">
        <w:t xml:space="preserve">D. </w:t>
      </w:r>
      <w:r>
        <w:t xml:space="preserve">Brandeis, </w:t>
      </w:r>
      <w:r>
        <w:rPr>
          <w:i/>
          <w:iCs/>
        </w:rPr>
        <w:t xml:space="preserve">What Publicity Can Do, </w:t>
      </w:r>
      <w:r>
        <w:t>Harper’s Weekly (</w:t>
      </w:r>
      <w:r w:rsidR="006F4333">
        <w:t>Dec. 20, 1913).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1F5" w14:paraId="44BF66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1F5" w14:paraId="3AB0C4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1F5" w14:paraId="1B07F4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14860"/>
    <w:multiLevelType w:val="hybridMultilevel"/>
    <w:tmpl w:val="2D403774"/>
    <w:lvl w:ilvl="0">
      <w:start w:val="17"/>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1C02E4"/>
    <w:multiLevelType w:val="hybridMultilevel"/>
    <w:tmpl w:val="717E7C8A"/>
    <w:lvl w:ilvl="0">
      <w:start w:val="1"/>
      <w:numFmt w:val="decimal"/>
      <w:lvlText w:val="%1."/>
      <w:lvlJc w:val="lef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
    <w:nsid w:val="23B22B64"/>
    <w:multiLevelType w:val="hybridMultilevel"/>
    <w:tmpl w:val="865E69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8C7D2D"/>
    <w:multiLevelType w:val="hybridMultilevel"/>
    <w:tmpl w:val="ABEE3686"/>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2B422CA8"/>
    <w:multiLevelType w:val="hybridMultilevel"/>
    <w:tmpl w:val="B5089A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964513"/>
    <w:multiLevelType w:val="hybridMultilevel"/>
    <w:tmpl w:val="DF5EB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F21B84"/>
    <w:multiLevelType w:val="hybridMultilevel"/>
    <w:tmpl w:val="93B4FE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DF8119F"/>
    <w:multiLevelType w:val="hybridMultilevel"/>
    <w:tmpl w:val="4DE6D2E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708C0B85"/>
    <w:multiLevelType w:val="hybridMultilevel"/>
    <w:tmpl w:val="6C1276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DE22681"/>
    <w:multiLevelType w:val="hybridMultilevel"/>
    <w:tmpl w:val="6CBCEC5A"/>
    <w:lvl w:ilvl="0">
      <w:start w:val="6"/>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0"/>
  </w:num>
  <w:num w:numId="4">
    <w:abstractNumId w:val="7"/>
  </w:num>
  <w:num w:numId="5">
    <w:abstractNumId w:val="3"/>
  </w:num>
  <w:num w:numId="6">
    <w:abstractNumId w:val="6"/>
  </w:num>
  <w:num w:numId="7">
    <w:abstractNumId w:val="2"/>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63"/>
    <w:rsid w:val="00001124"/>
    <w:rsid w:val="000043C6"/>
    <w:rsid w:val="000057EB"/>
    <w:rsid w:val="00007560"/>
    <w:rsid w:val="000150CE"/>
    <w:rsid w:val="00024626"/>
    <w:rsid w:val="00026A5C"/>
    <w:rsid w:val="00035A05"/>
    <w:rsid w:val="00036159"/>
    <w:rsid w:val="0003627B"/>
    <w:rsid w:val="00037AA9"/>
    <w:rsid w:val="00040D08"/>
    <w:rsid w:val="000641DB"/>
    <w:rsid w:val="000653F9"/>
    <w:rsid w:val="00065A4E"/>
    <w:rsid w:val="00066C48"/>
    <w:rsid w:val="00071E26"/>
    <w:rsid w:val="00074B4F"/>
    <w:rsid w:val="000800B6"/>
    <w:rsid w:val="0008654B"/>
    <w:rsid w:val="00090963"/>
    <w:rsid w:val="000961EB"/>
    <w:rsid w:val="000A0CA4"/>
    <w:rsid w:val="000A256C"/>
    <w:rsid w:val="000C20DB"/>
    <w:rsid w:val="000C490C"/>
    <w:rsid w:val="000C65E4"/>
    <w:rsid w:val="000C7CEF"/>
    <w:rsid w:val="000E77A7"/>
    <w:rsid w:val="000F54CE"/>
    <w:rsid w:val="000F7061"/>
    <w:rsid w:val="00104C59"/>
    <w:rsid w:val="00115A78"/>
    <w:rsid w:val="00116524"/>
    <w:rsid w:val="00120E3B"/>
    <w:rsid w:val="00121B41"/>
    <w:rsid w:val="00124AEE"/>
    <w:rsid w:val="00126263"/>
    <w:rsid w:val="00137412"/>
    <w:rsid w:val="00142F7A"/>
    <w:rsid w:val="00151356"/>
    <w:rsid w:val="00154726"/>
    <w:rsid w:val="00154F1F"/>
    <w:rsid w:val="00157F61"/>
    <w:rsid w:val="00167CA1"/>
    <w:rsid w:val="00172D1E"/>
    <w:rsid w:val="00173031"/>
    <w:rsid w:val="00174D7E"/>
    <w:rsid w:val="001753CE"/>
    <w:rsid w:val="00177FD9"/>
    <w:rsid w:val="001824A1"/>
    <w:rsid w:val="001931EB"/>
    <w:rsid w:val="001932B4"/>
    <w:rsid w:val="00194EE2"/>
    <w:rsid w:val="00195540"/>
    <w:rsid w:val="001A2493"/>
    <w:rsid w:val="001A6373"/>
    <w:rsid w:val="001A690C"/>
    <w:rsid w:val="001B1270"/>
    <w:rsid w:val="001B7E6F"/>
    <w:rsid w:val="001C0294"/>
    <w:rsid w:val="001C1219"/>
    <w:rsid w:val="001C49AE"/>
    <w:rsid w:val="001C7692"/>
    <w:rsid w:val="001D2EF9"/>
    <w:rsid w:val="001E5503"/>
    <w:rsid w:val="002113C7"/>
    <w:rsid w:val="002127D3"/>
    <w:rsid w:val="00217D29"/>
    <w:rsid w:val="00224408"/>
    <w:rsid w:val="0023173C"/>
    <w:rsid w:val="0024040E"/>
    <w:rsid w:val="00245AA4"/>
    <w:rsid w:val="00250799"/>
    <w:rsid w:val="00251C79"/>
    <w:rsid w:val="00251F5A"/>
    <w:rsid w:val="00253A39"/>
    <w:rsid w:val="00256D03"/>
    <w:rsid w:val="00263128"/>
    <w:rsid w:val="0026386B"/>
    <w:rsid w:val="00264BB8"/>
    <w:rsid w:val="00273405"/>
    <w:rsid w:val="002859BE"/>
    <w:rsid w:val="00287357"/>
    <w:rsid w:val="00290A6C"/>
    <w:rsid w:val="002921B5"/>
    <w:rsid w:val="00294F1A"/>
    <w:rsid w:val="002A1327"/>
    <w:rsid w:val="002A1ABD"/>
    <w:rsid w:val="002A42C1"/>
    <w:rsid w:val="002A6313"/>
    <w:rsid w:val="002C08DC"/>
    <w:rsid w:val="002C2FA1"/>
    <w:rsid w:val="002C331A"/>
    <w:rsid w:val="002D2873"/>
    <w:rsid w:val="002D657D"/>
    <w:rsid w:val="002E1410"/>
    <w:rsid w:val="002E3CBB"/>
    <w:rsid w:val="002F0BC2"/>
    <w:rsid w:val="002F5ABF"/>
    <w:rsid w:val="002F67F8"/>
    <w:rsid w:val="002F6B37"/>
    <w:rsid w:val="002F7DB6"/>
    <w:rsid w:val="00302FED"/>
    <w:rsid w:val="00305FB3"/>
    <w:rsid w:val="00306041"/>
    <w:rsid w:val="00311914"/>
    <w:rsid w:val="0031515E"/>
    <w:rsid w:val="003275CB"/>
    <w:rsid w:val="003537E0"/>
    <w:rsid w:val="00356121"/>
    <w:rsid w:val="00361B83"/>
    <w:rsid w:val="00362924"/>
    <w:rsid w:val="00365FBD"/>
    <w:rsid w:val="00366345"/>
    <w:rsid w:val="00375C86"/>
    <w:rsid w:val="00375EA9"/>
    <w:rsid w:val="003950AB"/>
    <w:rsid w:val="0039554E"/>
    <w:rsid w:val="00395B3E"/>
    <w:rsid w:val="003A2005"/>
    <w:rsid w:val="003A3FE5"/>
    <w:rsid w:val="003A6719"/>
    <w:rsid w:val="003C02EF"/>
    <w:rsid w:val="003D4310"/>
    <w:rsid w:val="003E4C79"/>
    <w:rsid w:val="003F37A1"/>
    <w:rsid w:val="003F65DC"/>
    <w:rsid w:val="003F6C3C"/>
    <w:rsid w:val="003F7F3F"/>
    <w:rsid w:val="00400CB0"/>
    <w:rsid w:val="004210D7"/>
    <w:rsid w:val="00425390"/>
    <w:rsid w:val="004268E9"/>
    <w:rsid w:val="00426D0C"/>
    <w:rsid w:val="00435375"/>
    <w:rsid w:val="00436403"/>
    <w:rsid w:val="004407A2"/>
    <w:rsid w:val="00446517"/>
    <w:rsid w:val="004562CA"/>
    <w:rsid w:val="004605E8"/>
    <w:rsid w:val="004667CC"/>
    <w:rsid w:val="00472904"/>
    <w:rsid w:val="0048772D"/>
    <w:rsid w:val="00490375"/>
    <w:rsid w:val="00491DBC"/>
    <w:rsid w:val="00491F3B"/>
    <w:rsid w:val="004970C8"/>
    <w:rsid w:val="004A2CD7"/>
    <w:rsid w:val="004A6DD2"/>
    <w:rsid w:val="004B49CB"/>
    <w:rsid w:val="004B5CA1"/>
    <w:rsid w:val="004C26B0"/>
    <w:rsid w:val="004C6027"/>
    <w:rsid w:val="004E4E51"/>
    <w:rsid w:val="004E6D62"/>
    <w:rsid w:val="004E7269"/>
    <w:rsid w:val="004F0C02"/>
    <w:rsid w:val="004F1511"/>
    <w:rsid w:val="004F16A5"/>
    <w:rsid w:val="004F2722"/>
    <w:rsid w:val="004F7E20"/>
    <w:rsid w:val="00505A86"/>
    <w:rsid w:val="00517E82"/>
    <w:rsid w:val="0052399F"/>
    <w:rsid w:val="00523F0C"/>
    <w:rsid w:val="00531829"/>
    <w:rsid w:val="00534DFA"/>
    <w:rsid w:val="00535167"/>
    <w:rsid w:val="005404FF"/>
    <w:rsid w:val="00543D5A"/>
    <w:rsid w:val="00543E27"/>
    <w:rsid w:val="0054538C"/>
    <w:rsid w:val="00564659"/>
    <w:rsid w:val="00565AE4"/>
    <w:rsid w:val="00565AF9"/>
    <w:rsid w:val="00571DA3"/>
    <w:rsid w:val="00580C65"/>
    <w:rsid w:val="0058194F"/>
    <w:rsid w:val="00582BBA"/>
    <w:rsid w:val="00594BB9"/>
    <w:rsid w:val="00596BBB"/>
    <w:rsid w:val="005A27FE"/>
    <w:rsid w:val="005A4C8F"/>
    <w:rsid w:val="005A557C"/>
    <w:rsid w:val="005B1D9A"/>
    <w:rsid w:val="005C2B24"/>
    <w:rsid w:val="005C45C1"/>
    <w:rsid w:val="005C772C"/>
    <w:rsid w:val="005D1727"/>
    <w:rsid w:val="005D4470"/>
    <w:rsid w:val="005D6A5C"/>
    <w:rsid w:val="005D798B"/>
    <w:rsid w:val="005F07BF"/>
    <w:rsid w:val="005F2819"/>
    <w:rsid w:val="005F424C"/>
    <w:rsid w:val="005F4F7E"/>
    <w:rsid w:val="00602CD9"/>
    <w:rsid w:val="006079BD"/>
    <w:rsid w:val="00616B54"/>
    <w:rsid w:val="00616D0F"/>
    <w:rsid w:val="00617482"/>
    <w:rsid w:val="00622EAB"/>
    <w:rsid w:val="00623442"/>
    <w:rsid w:val="006246A0"/>
    <w:rsid w:val="00624FAE"/>
    <w:rsid w:val="0062683E"/>
    <w:rsid w:val="00627153"/>
    <w:rsid w:val="00631272"/>
    <w:rsid w:val="006319EA"/>
    <w:rsid w:val="00635AC6"/>
    <w:rsid w:val="00637800"/>
    <w:rsid w:val="00642F66"/>
    <w:rsid w:val="0064384B"/>
    <w:rsid w:val="006448BC"/>
    <w:rsid w:val="00654F0E"/>
    <w:rsid w:val="00665799"/>
    <w:rsid w:val="006753C0"/>
    <w:rsid w:val="00676761"/>
    <w:rsid w:val="006808EE"/>
    <w:rsid w:val="00682F92"/>
    <w:rsid w:val="006955D2"/>
    <w:rsid w:val="006A1B01"/>
    <w:rsid w:val="006A664B"/>
    <w:rsid w:val="006B5D3A"/>
    <w:rsid w:val="006B78A2"/>
    <w:rsid w:val="006C0EAA"/>
    <w:rsid w:val="006C536C"/>
    <w:rsid w:val="006E10E8"/>
    <w:rsid w:val="006E62CD"/>
    <w:rsid w:val="006F4333"/>
    <w:rsid w:val="006F5A4A"/>
    <w:rsid w:val="006F7672"/>
    <w:rsid w:val="006F7C5F"/>
    <w:rsid w:val="00702F59"/>
    <w:rsid w:val="00703CE6"/>
    <w:rsid w:val="007056D0"/>
    <w:rsid w:val="007056F6"/>
    <w:rsid w:val="00715E17"/>
    <w:rsid w:val="00716ADF"/>
    <w:rsid w:val="00723EB9"/>
    <w:rsid w:val="00724423"/>
    <w:rsid w:val="007247AF"/>
    <w:rsid w:val="0073273F"/>
    <w:rsid w:val="00740E9F"/>
    <w:rsid w:val="00742CE2"/>
    <w:rsid w:val="00744402"/>
    <w:rsid w:val="0074539C"/>
    <w:rsid w:val="00746CA7"/>
    <w:rsid w:val="00750957"/>
    <w:rsid w:val="007533AD"/>
    <w:rsid w:val="00762B25"/>
    <w:rsid w:val="007660EB"/>
    <w:rsid w:val="00770B53"/>
    <w:rsid w:val="0077330D"/>
    <w:rsid w:val="00786B64"/>
    <w:rsid w:val="007904C7"/>
    <w:rsid w:val="00796790"/>
    <w:rsid w:val="007A157E"/>
    <w:rsid w:val="007A4135"/>
    <w:rsid w:val="007A529B"/>
    <w:rsid w:val="007A7682"/>
    <w:rsid w:val="007B24CE"/>
    <w:rsid w:val="007B2B2B"/>
    <w:rsid w:val="007B2F16"/>
    <w:rsid w:val="007B51D1"/>
    <w:rsid w:val="007C38EB"/>
    <w:rsid w:val="007C3B4B"/>
    <w:rsid w:val="007D223C"/>
    <w:rsid w:val="007D495C"/>
    <w:rsid w:val="007D5414"/>
    <w:rsid w:val="007D567E"/>
    <w:rsid w:val="007D6014"/>
    <w:rsid w:val="007E1FD3"/>
    <w:rsid w:val="007E3035"/>
    <w:rsid w:val="007E5F4A"/>
    <w:rsid w:val="007F53B1"/>
    <w:rsid w:val="007F6A95"/>
    <w:rsid w:val="0081786C"/>
    <w:rsid w:val="00821032"/>
    <w:rsid w:val="00823E25"/>
    <w:rsid w:val="00830714"/>
    <w:rsid w:val="0083152D"/>
    <w:rsid w:val="00832C75"/>
    <w:rsid w:val="00833B06"/>
    <w:rsid w:val="00842E83"/>
    <w:rsid w:val="00843DE9"/>
    <w:rsid w:val="00845F7F"/>
    <w:rsid w:val="008518E6"/>
    <w:rsid w:val="00853EB0"/>
    <w:rsid w:val="0085516E"/>
    <w:rsid w:val="00855519"/>
    <w:rsid w:val="00857C5A"/>
    <w:rsid w:val="00865873"/>
    <w:rsid w:val="00870E00"/>
    <w:rsid w:val="00871FE8"/>
    <w:rsid w:val="00881802"/>
    <w:rsid w:val="008853CA"/>
    <w:rsid w:val="00886CB6"/>
    <w:rsid w:val="008903DF"/>
    <w:rsid w:val="00892FF8"/>
    <w:rsid w:val="00894B1F"/>
    <w:rsid w:val="008A04B1"/>
    <w:rsid w:val="008B10ED"/>
    <w:rsid w:val="008B5267"/>
    <w:rsid w:val="008B5DDA"/>
    <w:rsid w:val="008B62B8"/>
    <w:rsid w:val="008B6F83"/>
    <w:rsid w:val="008B743E"/>
    <w:rsid w:val="008C01BA"/>
    <w:rsid w:val="008C1389"/>
    <w:rsid w:val="008C309E"/>
    <w:rsid w:val="008D3820"/>
    <w:rsid w:val="008D6DB2"/>
    <w:rsid w:val="008D7FB6"/>
    <w:rsid w:val="008E026B"/>
    <w:rsid w:val="008E44A6"/>
    <w:rsid w:val="008E5EA6"/>
    <w:rsid w:val="008E7ADF"/>
    <w:rsid w:val="008E7D99"/>
    <w:rsid w:val="008F078E"/>
    <w:rsid w:val="008F4972"/>
    <w:rsid w:val="009000FB"/>
    <w:rsid w:val="00903937"/>
    <w:rsid w:val="00904AE2"/>
    <w:rsid w:val="00912C2D"/>
    <w:rsid w:val="00916DA2"/>
    <w:rsid w:val="0092586B"/>
    <w:rsid w:val="00927C2D"/>
    <w:rsid w:val="00930BE7"/>
    <w:rsid w:val="009408F7"/>
    <w:rsid w:val="0095147A"/>
    <w:rsid w:val="00952237"/>
    <w:rsid w:val="00957D63"/>
    <w:rsid w:val="00965F2B"/>
    <w:rsid w:val="009709B4"/>
    <w:rsid w:val="0097397E"/>
    <w:rsid w:val="00981351"/>
    <w:rsid w:val="00993F49"/>
    <w:rsid w:val="009956FE"/>
    <w:rsid w:val="00996BC4"/>
    <w:rsid w:val="009A184D"/>
    <w:rsid w:val="009A75A4"/>
    <w:rsid w:val="009C1A35"/>
    <w:rsid w:val="009D7D7B"/>
    <w:rsid w:val="009E4792"/>
    <w:rsid w:val="009E6447"/>
    <w:rsid w:val="009E7416"/>
    <w:rsid w:val="009F0B62"/>
    <w:rsid w:val="009F102B"/>
    <w:rsid w:val="009F59F4"/>
    <w:rsid w:val="009F5FDD"/>
    <w:rsid w:val="00A01BD3"/>
    <w:rsid w:val="00A037E9"/>
    <w:rsid w:val="00A05892"/>
    <w:rsid w:val="00A07182"/>
    <w:rsid w:val="00A17847"/>
    <w:rsid w:val="00A20702"/>
    <w:rsid w:val="00A2225E"/>
    <w:rsid w:val="00A3443A"/>
    <w:rsid w:val="00A410CA"/>
    <w:rsid w:val="00A423F9"/>
    <w:rsid w:val="00A5772F"/>
    <w:rsid w:val="00A6184C"/>
    <w:rsid w:val="00A73B97"/>
    <w:rsid w:val="00A75BDF"/>
    <w:rsid w:val="00A839DD"/>
    <w:rsid w:val="00A87348"/>
    <w:rsid w:val="00A910EE"/>
    <w:rsid w:val="00A91DFF"/>
    <w:rsid w:val="00AB4676"/>
    <w:rsid w:val="00AB556A"/>
    <w:rsid w:val="00AB752F"/>
    <w:rsid w:val="00AB7DD7"/>
    <w:rsid w:val="00AD0A7B"/>
    <w:rsid w:val="00AD13ED"/>
    <w:rsid w:val="00AD5D3B"/>
    <w:rsid w:val="00AE4906"/>
    <w:rsid w:val="00AF1554"/>
    <w:rsid w:val="00AF3D9E"/>
    <w:rsid w:val="00AF5442"/>
    <w:rsid w:val="00AF587E"/>
    <w:rsid w:val="00B00071"/>
    <w:rsid w:val="00B046FA"/>
    <w:rsid w:val="00B05565"/>
    <w:rsid w:val="00B05BE3"/>
    <w:rsid w:val="00B30E4C"/>
    <w:rsid w:val="00B323BB"/>
    <w:rsid w:val="00B33CBD"/>
    <w:rsid w:val="00B3531A"/>
    <w:rsid w:val="00B45467"/>
    <w:rsid w:val="00B5474E"/>
    <w:rsid w:val="00B62E8D"/>
    <w:rsid w:val="00B74840"/>
    <w:rsid w:val="00B775E8"/>
    <w:rsid w:val="00B81D25"/>
    <w:rsid w:val="00B871F5"/>
    <w:rsid w:val="00B9507F"/>
    <w:rsid w:val="00B957F4"/>
    <w:rsid w:val="00B95EB1"/>
    <w:rsid w:val="00BB1089"/>
    <w:rsid w:val="00BB15AC"/>
    <w:rsid w:val="00BB27F0"/>
    <w:rsid w:val="00BB2861"/>
    <w:rsid w:val="00BB4D6E"/>
    <w:rsid w:val="00BC0C33"/>
    <w:rsid w:val="00BC4E8A"/>
    <w:rsid w:val="00BC7381"/>
    <w:rsid w:val="00BD3EDF"/>
    <w:rsid w:val="00BD6751"/>
    <w:rsid w:val="00BE31F4"/>
    <w:rsid w:val="00BE5A1C"/>
    <w:rsid w:val="00BF4D7A"/>
    <w:rsid w:val="00BF4E23"/>
    <w:rsid w:val="00BF6056"/>
    <w:rsid w:val="00BF7267"/>
    <w:rsid w:val="00C018BF"/>
    <w:rsid w:val="00C07E02"/>
    <w:rsid w:val="00C16C9B"/>
    <w:rsid w:val="00C20241"/>
    <w:rsid w:val="00C21E21"/>
    <w:rsid w:val="00C22586"/>
    <w:rsid w:val="00C2476D"/>
    <w:rsid w:val="00C24C80"/>
    <w:rsid w:val="00C31200"/>
    <w:rsid w:val="00C31FEA"/>
    <w:rsid w:val="00C33070"/>
    <w:rsid w:val="00C46FC6"/>
    <w:rsid w:val="00C500D0"/>
    <w:rsid w:val="00C5116E"/>
    <w:rsid w:val="00C535B5"/>
    <w:rsid w:val="00C539F1"/>
    <w:rsid w:val="00C61231"/>
    <w:rsid w:val="00C62E60"/>
    <w:rsid w:val="00C66C85"/>
    <w:rsid w:val="00C66D15"/>
    <w:rsid w:val="00C73244"/>
    <w:rsid w:val="00C73BF0"/>
    <w:rsid w:val="00C74DAE"/>
    <w:rsid w:val="00C764E8"/>
    <w:rsid w:val="00C810C2"/>
    <w:rsid w:val="00C81343"/>
    <w:rsid w:val="00C82AA3"/>
    <w:rsid w:val="00C93B3D"/>
    <w:rsid w:val="00C94A14"/>
    <w:rsid w:val="00C97A9A"/>
    <w:rsid w:val="00C97FCD"/>
    <w:rsid w:val="00CB406A"/>
    <w:rsid w:val="00CB465D"/>
    <w:rsid w:val="00CB46E0"/>
    <w:rsid w:val="00CB4DEB"/>
    <w:rsid w:val="00CB664C"/>
    <w:rsid w:val="00CC07F4"/>
    <w:rsid w:val="00CC6618"/>
    <w:rsid w:val="00CC74D1"/>
    <w:rsid w:val="00CC7803"/>
    <w:rsid w:val="00CD1AB6"/>
    <w:rsid w:val="00CD22D5"/>
    <w:rsid w:val="00CD5FC4"/>
    <w:rsid w:val="00CD7DB6"/>
    <w:rsid w:val="00CE0101"/>
    <w:rsid w:val="00CE5443"/>
    <w:rsid w:val="00CE6B0A"/>
    <w:rsid w:val="00CF2098"/>
    <w:rsid w:val="00CF34BE"/>
    <w:rsid w:val="00CF55D6"/>
    <w:rsid w:val="00D01A4C"/>
    <w:rsid w:val="00D02469"/>
    <w:rsid w:val="00D05573"/>
    <w:rsid w:val="00D05FC3"/>
    <w:rsid w:val="00D11330"/>
    <w:rsid w:val="00D20F93"/>
    <w:rsid w:val="00D23A68"/>
    <w:rsid w:val="00D24FC1"/>
    <w:rsid w:val="00D25BF9"/>
    <w:rsid w:val="00D368E6"/>
    <w:rsid w:val="00D40D79"/>
    <w:rsid w:val="00D429AB"/>
    <w:rsid w:val="00D4772E"/>
    <w:rsid w:val="00D55DA0"/>
    <w:rsid w:val="00D56AA2"/>
    <w:rsid w:val="00D60B18"/>
    <w:rsid w:val="00D62764"/>
    <w:rsid w:val="00D6409A"/>
    <w:rsid w:val="00D77E4D"/>
    <w:rsid w:val="00D82724"/>
    <w:rsid w:val="00D9015C"/>
    <w:rsid w:val="00D94146"/>
    <w:rsid w:val="00D9474F"/>
    <w:rsid w:val="00D95974"/>
    <w:rsid w:val="00D9668F"/>
    <w:rsid w:val="00D96AE0"/>
    <w:rsid w:val="00DA236E"/>
    <w:rsid w:val="00DA45C9"/>
    <w:rsid w:val="00DA46DD"/>
    <w:rsid w:val="00DA487B"/>
    <w:rsid w:val="00DB6774"/>
    <w:rsid w:val="00DC1480"/>
    <w:rsid w:val="00DC30D2"/>
    <w:rsid w:val="00DD2C2E"/>
    <w:rsid w:val="00DD3BEF"/>
    <w:rsid w:val="00DE2D2E"/>
    <w:rsid w:val="00DE622A"/>
    <w:rsid w:val="00DE74E6"/>
    <w:rsid w:val="00DF36B7"/>
    <w:rsid w:val="00DF401A"/>
    <w:rsid w:val="00DF45B4"/>
    <w:rsid w:val="00E044B3"/>
    <w:rsid w:val="00E1088F"/>
    <w:rsid w:val="00E2494B"/>
    <w:rsid w:val="00E2506D"/>
    <w:rsid w:val="00E275AD"/>
    <w:rsid w:val="00E31E7A"/>
    <w:rsid w:val="00E322AC"/>
    <w:rsid w:val="00E444A6"/>
    <w:rsid w:val="00E44EC2"/>
    <w:rsid w:val="00E52A1C"/>
    <w:rsid w:val="00E53F43"/>
    <w:rsid w:val="00E544A2"/>
    <w:rsid w:val="00E55478"/>
    <w:rsid w:val="00E65A73"/>
    <w:rsid w:val="00E74822"/>
    <w:rsid w:val="00E7779F"/>
    <w:rsid w:val="00E854A2"/>
    <w:rsid w:val="00E904D3"/>
    <w:rsid w:val="00E90EEF"/>
    <w:rsid w:val="00E95173"/>
    <w:rsid w:val="00E97533"/>
    <w:rsid w:val="00EA2B04"/>
    <w:rsid w:val="00EA41D2"/>
    <w:rsid w:val="00EB6E8A"/>
    <w:rsid w:val="00EC17CA"/>
    <w:rsid w:val="00EC1A39"/>
    <w:rsid w:val="00ED0F0D"/>
    <w:rsid w:val="00ED2D93"/>
    <w:rsid w:val="00EF2A4D"/>
    <w:rsid w:val="00EF61BF"/>
    <w:rsid w:val="00F03010"/>
    <w:rsid w:val="00F07F01"/>
    <w:rsid w:val="00F21199"/>
    <w:rsid w:val="00F22FF5"/>
    <w:rsid w:val="00F2534D"/>
    <w:rsid w:val="00F300B9"/>
    <w:rsid w:val="00F33574"/>
    <w:rsid w:val="00F36DCB"/>
    <w:rsid w:val="00F373E2"/>
    <w:rsid w:val="00F645A8"/>
    <w:rsid w:val="00F6630F"/>
    <w:rsid w:val="00F67E36"/>
    <w:rsid w:val="00F7060A"/>
    <w:rsid w:val="00F71A11"/>
    <w:rsid w:val="00F7285F"/>
    <w:rsid w:val="00F73D0D"/>
    <w:rsid w:val="00F76B68"/>
    <w:rsid w:val="00F7791A"/>
    <w:rsid w:val="00F80C6C"/>
    <w:rsid w:val="00F831BF"/>
    <w:rsid w:val="00F84205"/>
    <w:rsid w:val="00F911BA"/>
    <w:rsid w:val="00F916DD"/>
    <w:rsid w:val="00F934D5"/>
    <w:rsid w:val="00F96D07"/>
    <w:rsid w:val="00FB51A5"/>
    <w:rsid w:val="00FB77BB"/>
    <w:rsid w:val="00FD156A"/>
    <w:rsid w:val="00FD1765"/>
    <w:rsid w:val="00FD1C28"/>
    <w:rsid w:val="00FD2561"/>
    <w:rsid w:val="00FD5750"/>
    <w:rsid w:val="00FE52F5"/>
    <w:rsid w:val="00FE6F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3B7BE3"/>
  <w15:docId w15:val="{C8080943-7E23-4B0E-AF5F-CE048C4A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53"/>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autoRedefine/>
    <w:qFormat/>
    <w:pPr>
      <w:keepNext/>
      <w:overflowPunct w:val="0"/>
      <w:autoSpaceDE w:val="0"/>
      <w:autoSpaceDN w:val="0"/>
      <w:adjustRightInd w:val="0"/>
      <w:spacing w:after="240" w:line="480" w:lineRule="auto"/>
      <w:ind w:left="2160" w:hanging="720"/>
      <w:textAlignment w:val="baseline"/>
      <w:outlineLvl w:val="2"/>
    </w:pPr>
    <w:rPr>
      <w:rFonts w:ascii="Times New Roman Bold" w:hAnsi="Times New Roman Bol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leftalign">
    <w:name w:val="ss_leftalign"/>
    <w:basedOn w:val="DefaultParagraphFon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link w:val="HTMLPreformatted"/>
    <w:locked/>
    <w:rPr>
      <w:rFonts w:ascii="Courier New" w:eastAsia="Courier New" w:hAnsi="Courier New" w:cs="Courier New"/>
      <w:lang w:val="en-US" w:eastAsia="en-US" w:bidi="ar-SA"/>
    </w:rPr>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character" w:customStyle="1" w:styleId="HeaderChar">
    <w:name w:val="Header Char"/>
    <w:link w:val="Header"/>
    <w:semiHidden/>
    <w:locked/>
    <w:rPr>
      <w:sz w:val="24"/>
      <w:szCs w:val="24"/>
      <w:lang w:val="en-US" w:eastAsia="en-US" w:bidi="ar-SA"/>
    </w:rPr>
  </w:style>
  <w:style w:type="paragraph" w:styleId="FootnoteText">
    <w:name w:val="footnote text"/>
    <w:aliases w:val="Car,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sid w:val="00770B53"/>
    <w:pPr>
      <w:spacing w:after="120"/>
    </w:pPr>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BodyTextIndent">
    <w:name w:val="Body Text Indent"/>
    <w:basedOn w:val="Normal"/>
    <w:link w:val="BodyTextIndentChar"/>
    <w:pPr>
      <w:spacing w:line="480" w:lineRule="auto"/>
      <w:ind w:firstLine="720"/>
    </w:pPr>
  </w:style>
  <w:style w:type="paragraph" w:customStyle="1" w:styleId="ANSWER">
    <w:name w:val="ANSWER"/>
    <w:basedOn w:val="Normal"/>
    <w:pPr>
      <w:spacing w:line="480" w:lineRule="auto"/>
      <w:ind w:left="1008" w:hanging="720"/>
    </w:pPr>
    <w:rPr>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BodyTextIndentChar">
    <w:name w:val="Body Text Indent Char"/>
    <w:link w:val="BodyTextIndent"/>
    <w:rPr>
      <w:sz w:val="24"/>
      <w:szCs w:val="24"/>
    </w:rPr>
  </w:style>
  <w:style w:type="character" w:customStyle="1" w:styleId="term1">
    <w:name w:val="term1"/>
    <w:rPr>
      <w:b/>
      <w:bCs/>
    </w:rPr>
  </w:style>
  <w:style w:type="paragraph" w:styleId="BodyText">
    <w:name w:val="Body Text"/>
    <w:basedOn w:val="Normal"/>
    <w:link w:val="BodyTextChar"/>
    <w:pPr>
      <w:spacing w:after="120"/>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E4906"/>
    <w:pPr>
      <w:spacing w:after="120"/>
      <w:ind w:left="360"/>
    </w:pPr>
    <w:rPr>
      <w:sz w:val="16"/>
      <w:szCs w:val="16"/>
    </w:rPr>
  </w:style>
  <w:style w:type="character" w:customStyle="1" w:styleId="BodyTextIndent3Char">
    <w:name w:val="Body Text Indent 3 Char"/>
    <w:link w:val="BodyTextIndent3"/>
    <w:rsid w:val="00AE4906"/>
    <w:rPr>
      <w:sz w:val="16"/>
      <w:szCs w:val="16"/>
    </w:rPr>
  </w:style>
  <w:style w:type="paragraph" w:customStyle="1" w:styleId="Default">
    <w:name w:val="Default"/>
    <w:rsid w:val="00250799"/>
    <w:pPr>
      <w:autoSpaceDE w:val="0"/>
      <w:autoSpaceDN w:val="0"/>
      <w:adjustRightInd w:val="0"/>
    </w:pPr>
    <w:rPr>
      <w:rFonts w:ascii="Verdana" w:hAnsi="Verdana" w:cs="Verdana"/>
      <w:color w:val="000000"/>
      <w:sz w:val="24"/>
      <w:szCs w:val="24"/>
    </w:rPr>
  </w:style>
  <w:style w:type="character" w:customStyle="1" w:styleId="FooterChar">
    <w:name w:val="Footer Char"/>
    <w:link w:val="Footer"/>
    <w:uiPriority w:val="99"/>
    <w:locked/>
    <w:rsid w:val="00B775E8"/>
    <w:rPr>
      <w:sz w:val="24"/>
      <w:szCs w:val="24"/>
    </w:rPr>
  </w:style>
  <w:style w:type="character" w:customStyle="1" w:styleId="FootnoteTextChar">
    <w:name w:val="Footnote Text Char"/>
    <w:aliases w:val="Car Char,Footnote Text Cha Char,Footnote Text Char Char4 Char Char,Footnote Text Char Char4 Char1 Char Char Char,Footnote Text Char2 Char,Footnote Text Char4 Char Char,Footnote Text Char4 Char1 Char Char Char,fn Char"/>
    <w:link w:val="FootnoteText"/>
    <w:uiPriority w:val="99"/>
    <w:locked/>
    <w:rsid w:val="00770B53"/>
  </w:style>
  <w:style w:type="character" w:customStyle="1" w:styleId="CommentSubjectChar">
    <w:name w:val="Comment Subject Char"/>
    <w:link w:val="CommentSubject"/>
    <w:semiHidden/>
    <w:locked/>
    <w:rsid w:val="00A05892"/>
    <w:rPr>
      <w:b/>
      <w:bCs/>
    </w:rPr>
  </w:style>
  <w:style w:type="character" w:customStyle="1" w:styleId="BodyTextChar">
    <w:name w:val="Body Text Char"/>
    <w:link w:val="BodyText"/>
    <w:rsid w:val="00770B53"/>
    <w:rPr>
      <w:sz w:val="24"/>
    </w:rPr>
  </w:style>
  <w:style w:type="character" w:customStyle="1" w:styleId="UnresolvedMention1">
    <w:name w:val="Unresolved Mention1"/>
    <w:uiPriority w:val="99"/>
    <w:semiHidden/>
    <w:unhideWhenUsed/>
    <w:rsid w:val="002113C7"/>
    <w:rPr>
      <w:color w:val="605E5C"/>
      <w:shd w:val="clear" w:color="auto" w:fill="E1DFDD"/>
    </w:rPr>
  </w:style>
  <w:style w:type="paragraph" w:styleId="ListParagraph">
    <w:name w:val="List Paragraph"/>
    <w:basedOn w:val="Normal"/>
    <w:uiPriority w:val="34"/>
    <w:qFormat/>
    <w:rsid w:val="007660EB"/>
    <w:pPr>
      <w:ind w:left="720"/>
      <w:contextualSpacing/>
    </w:pPr>
    <w:rPr>
      <w:szCs w:val="20"/>
    </w:rPr>
  </w:style>
  <w:style w:type="paragraph" w:styleId="PlainText">
    <w:name w:val="Plain Text"/>
    <w:basedOn w:val="Normal"/>
    <w:link w:val="PlainTextChar"/>
    <w:uiPriority w:val="99"/>
    <w:unhideWhenUsed/>
    <w:rsid w:val="007660EB"/>
    <w:rPr>
      <w:rFonts w:ascii="Calibri" w:eastAsia="Calibri" w:hAnsi="Calibri"/>
      <w:sz w:val="22"/>
      <w:szCs w:val="21"/>
    </w:rPr>
  </w:style>
  <w:style w:type="character" w:customStyle="1" w:styleId="PlainTextChar">
    <w:name w:val="Plain Text Char"/>
    <w:link w:val="PlainText"/>
    <w:uiPriority w:val="99"/>
    <w:rsid w:val="007660EB"/>
    <w:rPr>
      <w:rFonts w:ascii="Calibri" w:eastAsia="Calibri" w:hAnsi="Calibri"/>
      <w:sz w:val="22"/>
      <w:szCs w:val="21"/>
    </w:rPr>
  </w:style>
  <w:style w:type="paragraph" w:styleId="Revision">
    <w:name w:val="Revision"/>
    <w:hidden/>
    <w:uiPriority w:val="99"/>
    <w:semiHidden/>
    <w:rsid w:val="006F7672"/>
    <w:rPr>
      <w:sz w:val="24"/>
      <w:szCs w:val="24"/>
    </w:rPr>
  </w:style>
  <w:style w:type="character" w:customStyle="1" w:styleId="UnresolvedMention2">
    <w:name w:val="Unresolved Mention2"/>
    <w:basedOn w:val="DefaultParagraphFont"/>
    <w:rsid w:val="002F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lindgren@ohioAGO.gov" TargetMode="External" /><Relationship Id="rId11" Type="http://schemas.openxmlformats.org/officeDocument/2006/relationships/hyperlink" Target="mailto:Rocco.dascenzo@duke-energy.com" TargetMode="External" /><Relationship Id="rId12" Type="http://schemas.openxmlformats.org/officeDocument/2006/relationships/hyperlink" Target="mailto:Jeanne.kingery@duke-energy.com" TargetMode="External" /><Relationship Id="rId13" Type="http://schemas.openxmlformats.org/officeDocument/2006/relationships/hyperlink" Target="mailto:Larisa.vaysman@duke-energy.com" TargetMode="External" /><Relationship Id="rId14" Type="http://schemas.openxmlformats.org/officeDocument/2006/relationships/hyperlink" Target="mailto:elyse.akhbari@duke-energy.com" TargetMode="External" /><Relationship Id="rId15" Type="http://schemas.openxmlformats.org/officeDocument/2006/relationships/hyperlink" Target="mailto:ctavenor@theoec.org" TargetMode="External" /><Relationship Id="rId16" Type="http://schemas.openxmlformats.org/officeDocument/2006/relationships/hyperlink" Target="mailto:dproano@bakerlaw.com" TargetMode="External" /><Relationship Id="rId17" Type="http://schemas.openxmlformats.org/officeDocument/2006/relationships/hyperlink" Target="mailto:pwillison@bakerlaw.com" TargetMode="External" /><Relationship Id="rId18" Type="http://schemas.openxmlformats.org/officeDocument/2006/relationships/hyperlink" Target="mailto:megan.addison@puco.ohio.gov" TargetMode="External" /><Relationship Id="rId19" Type="http://schemas.openxmlformats.org/officeDocument/2006/relationships/hyperlink" Target="mailto:jesse.davis@puco.ohio.gov" TargetMode="External" /><Relationship Id="rId2" Type="http://schemas.openxmlformats.org/officeDocument/2006/relationships/settings" Target="settings.xml" /><Relationship Id="rId20" Type="http://schemas.openxmlformats.org/officeDocument/2006/relationships/hyperlink" Target="mailto:rdove@keglerbrown.com" TargetMode="External" /><Relationship Id="rId21" Type="http://schemas.openxmlformats.org/officeDocument/2006/relationships/hyperlink" Target="mailto:stnourse@aep.com" TargetMode="External" /><Relationship Id="rId22" Type="http://schemas.openxmlformats.org/officeDocument/2006/relationships/hyperlink" Target="mailto:matthew@msmckenzieltd.com" TargetMode="External" /><Relationship Id="rId23" Type="http://schemas.openxmlformats.org/officeDocument/2006/relationships/hyperlink" Target="mailto:trent@hubaydougherty.com" TargetMode="External" /><Relationship Id="rId24" Type="http://schemas.openxmlformats.org/officeDocument/2006/relationships/hyperlink" Target="mailto:talexander@beneschlaw.com" TargetMode="External" /><Relationship Id="rId25" Type="http://schemas.openxmlformats.org/officeDocument/2006/relationships/hyperlink" Target="mailto:bojko@carpenterlipps.com" TargetMode="External" /><Relationship Id="rId26" Type="http://schemas.openxmlformats.org/officeDocument/2006/relationships/hyperlink" Target="mailto:Paul@carpenterlipps.com" TargetMode="External" /><Relationship Id="rId27" Type="http://schemas.openxmlformats.org/officeDocument/2006/relationships/hyperlink" Target="mailto:christopher.hollon@aes.com" TargetMode="External" /><Relationship Id="rId28" Type="http://schemas.openxmlformats.org/officeDocument/2006/relationships/hyperlink" Target="mailto:jsharkey@ficlaw.com" TargetMode="External" /><Relationship Id="rId29" Type="http://schemas.openxmlformats.org/officeDocument/2006/relationships/hyperlink" Target="mailto:mwatt@ficlaw.com" TargetMode="External" /><Relationship Id="rId3" Type="http://schemas.openxmlformats.org/officeDocument/2006/relationships/webSettings" Target="webSettings.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header" Target="header3.xml" /><Relationship Id="rId35" Type="http://schemas.openxmlformats.org/officeDocument/2006/relationships/footer" Target="footer3.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alex.hickey@occ.ohio.gov" TargetMode="External" /><Relationship Id="rId9" Type="http://schemas.openxmlformats.org/officeDocument/2006/relationships/hyperlink" Target="mailto:thomas.zuehlke@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DEB7-EFFF-438A-A89C-FC9DD10F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2024-01-08T20:39:30Z</dcterms:created>
  <dcterms:modified xsi:type="dcterms:W3CDTF">2024-01-08T20:39:30Z</dcterms:modified>
</cp:coreProperties>
</file>