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941E61" w:rsidRPr="00B54B36" w:rsidP="00941E61">
      <w:pPr>
        <w:pStyle w:val="Footer"/>
        <w:tabs>
          <w:tab w:val="left" w:pos="3960"/>
          <w:tab w:val="clear" w:pos="4320"/>
          <w:tab w:val="clear" w:pos="8640"/>
        </w:tabs>
        <w:spacing w:before="240"/>
        <w:jc w:val="center"/>
        <w:rPr>
          <w:b/>
          <w:bCs/>
          <w:sz w:val="24"/>
          <w:szCs w:val="24"/>
        </w:rPr>
      </w:pPr>
      <w:bookmarkStart w:id="0" w:name="_GoBack"/>
      <w:bookmarkEnd w:id="0"/>
      <w:r w:rsidRPr="00B54B36">
        <w:rPr>
          <w:b/>
          <w:bCs/>
          <w:sz w:val="24"/>
          <w:szCs w:val="24"/>
        </w:rPr>
        <w:t>BEFORE</w:t>
      </w:r>
    </w:p>
    <w:p w:rsidR="00941E61" w:rsidRPr="00B54B36" w:rsidP="00941E61">
      <w:pPr>
        <w:pStyle w:val="HTMLPreformatted"/>
        <w:jc w:val="center"/>
        <w:rPr>
          <w:rFonts w:ascii="Times New Roman" w:hAnsi="Times New Roman" w:cs="Times New Roman"/>
          <w:sz w:val="24"/>
          <w:szCs w:val="24"/>
        </w:rPr>
      </w:pPr>
      <w:r w:rsidRPr="00B54B36">
        <w:rPr>
          <w:rFonts w:ascii="Times New Roman" w:hAnsi="Times New Roman" w:cs="Times New Roman"/>
          <w:b/>
          <w:bCs/>
          <w:sz w:val="24"/>
          <w:szCs w:val="24"/>
        </w:rPr>
        <w:t>THE PUBLIC UTILITIES COMMISSION OF OHIO</w:t>
      </w:r>
    </w:p>
    <w:p w:rsidR="00941E61" w:rsidRPr="00B54B36" w:rsidP="00941E61">
      <w:pPr>
        <w:pStyle w:val="HTMLPreformatted"/>
        <w:rPr>
          <w:rFonts w:ascii="Times New Roman" w:hAnsi="Times New Roman" w:cs="Times New Roman"/>
          <w:sz w:val="24"/>
          <w:szCs w:val="24"/>
        </w:rPr>
      </w:pPr>
    </w:p>
    <w:tbl>
      <w:tblPr>
        <w:tblW w:w="9468" w:type="dxa"/>
        <w:tblLook w:val="01E0"/>
      </w:tblPr>
      <w:tblGrid>
        <w:gridCol w:w="4698"/>
        <w:gridCol w:w="360"/>
        <w:gridCol w:w="4410"/>
      </w:tblGrid>
      <w:tr w:rsidTr="001F243B">
        <w:tblPrEx>
          <w:tblW w:w="9468" w:type="dxa"/>
          <w:tblLook w:val="01E0"/>
        </w:tblPrEx>
        <w:trPr>
          <w:trHeight w:val="807"/>
        </w:trPr>
        <w:tc>
          <w:tcPr>
            <w:tcW w:w="4698" w:type="dxa"/>
            <w:shd w:val="clear" w:color="auto" w:fill="auto"/>
          </w:tcPr>
          <w:p w:rsidR="00941E61" w:rsidRPr="00B54B36" w:rsidP="001F243B">
            <w:pPr>
              <w:pStyle w:val="HTMLPreformatted"/>
              <w:rPr>
                <w:rFonts w:ascii="Times New Roman" w:hAnsi="Times New Roman" w:cs="Times New Roman"/>
                <w:sz w:val="24"/>
                <w:szCs w:val="24"/>
              </w:rPr>
            </w:pPr>
            <w:r w:rsidRPr="00B54B36">
              <w:rPr>
                <w:rFonts w:ascii="Times New Roman" w:hAnsi="Times New Roman" w:cs="Times New Roman"/>
                <w:sz w:val="24"/>
                <w:szCs w:val="24"/>
              </w:rPr>
              <w:t>In the Matter of the Application of Vectren Energy Delivery of Ohio, Inc. for Approval to Continue Demand Side Management Program for its Residential, Commercial, and Industrial Customers.</w:t>
            </w:r>
          </w:p>
        </w:tc>
        <w:tc>
          <w:tcPr>
            <w:tcW w:w="360" w:type="dxa"/>
            <w:shd w:val="clear" w:color="auto" w:fill="auto"/>
          </w:tcPr>
          <w:p w:rsidR="00941E61" w:rsidRPr="00B54B36" w:rsidP="001F243B">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p w:rsidR="00941E61" w:rsidRPr="00B54B36" w:rsidP="001F243B">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p w:rsidR="00941E61" w:rsidRPr="00B54B36" w:rsidP="001F243B">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p w:rsidR="00941E61" w:rsidRPr="00B54B36" w:rsidP="001F243B">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p w:rsidR="00941E61" w:rsidRPr="00B54B36" w:rsidP="001F243B">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tc>
        <w:tc>
          <w:tcPr>
            <w:tcW w:w="4410" w:type="dxa"/>
            <w:shd w:val="clear" w:color="auto" w:fill="auto"/>
          </w:tcPr>
          <w:p w:rsidR="00941E61" w:rsidRPr="00B54B36" w:rsidP="001F243B">
            <w:pPr>
              <w:pStyle w:val="HTMLPreformatted"/>
              <w:rPr>
                <w:rFonts w:ascii="Times New Roman" w:hAnsi="Times New Roman" w:cs="Times New Roman"/>
                <w:sz w:val="24"/>
                <w:szCs w:val="24"/>
              </w:rPr>
            </w:pPr>
          </w:p>
          <w:p w:rsidR="00941E61" w:rsidRPr="00B54B36" w:rsidP="001F243B">
            <w:pPr>
              <w:pStyle w:val="HTMLPreformatted"/>
              <w:rPr>
                <w:rFonts w:ascii="Times New Roman" w:hAnsi="Times New Roman" w:cs="Times New Roman"/>
                <w:sz w:val="24"/>
                <w:szCs w:val="24"/>
              </w:rPr>
            </w:pPr>
          </w:p>
          <w:p w:rsidR="00941E61" w:rsidRPr="00B54B36" w:rsidP="001F243B">
            <w:pPr>
              <w:pStyle w:val="HTMLPreformatted"/>
              <w:rPr>
                <w:rFonts w:ascii="Times New Roman" w:hAnsi="Times New Roman" w:cs="Times New Roman"/>
                <w:sz w:val="24"/>
                <w:szCs w:val="24"/>
              </w:rPr>
            </w:pPr>
            <w:r w:rsidRPr="00B54B36">
              <w:rPr>
                <w:rFonts w:ascii="Times New Roman" w:hAnsi="Times New Roman" w:cs="Times New Roman"/>
                <w:sz w:val="24"/>
                <w:szCs w:val="24"/>
              </w:rPr>
              <w:t>Case No. 19-2084-GA-UNC</w:t>
            </w:r>
          </w:p>
          <w:p w:rsidR="00941E61" w:rsidRPr="00B54B36" w:rsidP="001F243B">
            <w:pPr>
              <w:pStyle w:val="HTMLPreformatted"/>
              <w:rPr>
                <w:rFonts w:ascii="Times New Roman" w:hAnsi="Times New Roman" w:cs="Times New Roman"/>
                <w:sz w:val="24"/>
                <w:szCs w:val="24"/>
              </w:rPr>
            </w:pPr>
          </w:p>
        </w:tc>
      </w:tr>
    </w:tbl>
    <w:p w:rsidR="00941E61" w:rsidRPr="00D46F5E" w:rsidP="00941E61">
      <w:pPr>
        <w:pStyle w:val="HTMLPreformatted"/>
        <w:rPr>
          <w:rFonts w:ascii="Times New Roman" w:hAnsi="Times New Roman" w:cs="Times New Roman"/>
          <w:sz w:val="24"/>
          <w:szCs w:val="24"/>
        </w:rPr>
      </w:pPr>
    </w:p>
    <w:p w:rsidR="00941E61" w:rsidRPr="00D46F5E" w:rsidP="00941E61">
      <w:pPr>
        <w:pStyle w:val="HTMLPreformatted"/>
        <w:pBdr>
          <w:top w:val="single" w:sz="12" w:space="1" w:color="auto"/>
        </w:pBdr>
        <w:rPr>
          <w:rFonts w:ascii="Times New Roman" w:hAnsi="Times New Roman" w:cs="Times New Roman"/>
          <w:sz w:val="24"/>
          <w:szCs w:val="24"/>
        </w:rPr>
      </w:pPr>
    </w:p>
    <w:p w:rsidR="00941E61" w:rsidRPr="00D46F5E" w:rsidP="00941E61">
      <w:pPr>
        <w:jc w:val="center"/>
        <w:rPr>
          <w:b/>
          <w:bCs/>
          <w:szCs w:val="24"/>
        </w:rPr>
      </w:pPr>
      <w:r>
        <w:rPr>
          <w:b/>
          <w:bCs/>
          <w:szCs w:val="24"/>
        </w:rPr>
        <w:t>INITIAL</w:t>
      </w:r>
      <w:r w:rsidRPr="00D46F5E">
        <w:rPr>
          <w:b/>
          <w:bCs/>
          <w:szCs w:val="24"/>
        </w:rPr>
        <w:t xml:space="preserve"> BRIEF</w:t>
      </w:r>
    </w:p>
    <w:p w:rsidR="00941E61" w:rsidRPr="00D46F5E" w:rsidP="00941E61">
      <w:pPr>
        <w:jc w:val="center"/>
        <w:rPr>
          <w:b/>
          <w:bCs/>
          <w:szCs w:val="24"/>
        </w:rPr>
      </w:pPr>
      <w:r w:rsidRPr="00D46F5E">
        <w:rPr>
          <w:b/>
          <w:bCs/>
          <w:szCs w:val="24"/>
        </w:rPr>
        <w:t>BY</w:t>
      </w:r>
    </w:p>
    <w:p w:rsidR="00941E61" w:rsidRPr="00D46F5E" w:rsidP="00941E61">
      <w:pPr>
        <w:jc w:val="center"/>
        <w:rPr>
          <w:b/>
          <w:bCs/>
          <w:szCs w:val="24"/>
        </w:rPr>
      </w:pPr>
      <w:r w:rsidRPr="00D46F5E">
        <w:rPr>
          <w:b/>
          <w:bCs/>
          <w:szCs w:val="24"/>
        </w:rPr>
        <w:t>THE OFFICE OF THE OHIO CONSUMERS’ COUNSEL</w:t>
      </w:r>
    </w:p>
    <w:p w:rsidR="00941E61" w:rsidRPr="00D46F5E" w:rsidP="00941E61">
      <w:pPr>
        <w:pBdr>
          <w:bottom w:val="single" w:sz="12" w:space="1" w:color="auto"/>
        </w:pBdr>
        <w:tabs>
          <w:tab w:val="left" w:pos="4320"/>
        </w:tabs>
        <w:rPr>
          <w:szCs w:val="24"/>
        </w:rPr>
      </w:pPr>
    </w:p>
    <w:p w:rsidR="00941E61" w:rsidRPr="00D46F5E" w:rsidP="00941E61">
      <w:pPr>
        <w:tabs>
          <w:tab w:val="left" w:pos="4320"/>
        </w:tabs>
        <w:rPr>
          <w:szCs w:val="24"/>
        </w:rPr>
      </w:pPr>
    </w:p>
    <w:p w:rsidR="00941E61" w:rsidP="00941E61">
      <w:pPr>
        <w:pStyle w:val="Footer"/>
        <w:tabs>
          <w:tab w:val="left" w:pos="3960"/>
          <w:tab w:val="clear" w:pos="4320"/>
          <w:tab w:val="clear" w:pos="8640"/>
        </w:tabs>
        <w:spacing w:before="240"/>
        <w:rPr>
          <w:sz w:val="24"/>
          <w:szCs w:val="24"/>
        </w:rPr>
      </w:pPr>
      <w:r>
        <w:rPr>
          <w:sz w:val="24"/>
          <w:szCs w:val="24"/>
        </w:rPr>
        <w:tab/>
      </w:r>
    </w:p>
    <w:p w:rsidR="00941E61" w:rsidP="00941E61">
      <w:pPr>
        <w:pStyle w:val="Footer"/>
        <w:tabs>
          <w:tab w:val="left" w:pos="3960"/>
          <w:tab w:val="clear" w:pos="4320"/>
          <w:tab w:val="clear" w:pos="8640"/>
        </w:tabs>
        <w:spacing w:before="240"/>
        <w:rPr>
          <w:sz w:val="24"/>
          <w:szCs w:val="24"/>
        </w:rPr>
      </w:pPr>
    </w:p>
    <w:p w:rsidR="00941E61" w:rsidRPr="00B54B36" w:rsidP="00941E61">
      <w:pPr>
        <w:pStyle w:val="Footer"/>
        <w:tabs>
          <w:tab w:val="left" w:pos="3960"/>
          <w:tab w:val="clear" w:pos="4320"/>
          <w:tab w:val="clear" w:pos="8640"/>
        </w:tabs>
        <w:spacing w:before="240"/>
        <w:rPr>
          <w:sz w:val="24"/>
          <w:szCs w:val="24"/>
        </w:rPr>
      </w:pPr>
      <w:r>
        <w:rPr>
          <w:sz w:val="24"/>
          <w:szCs w:val="24"/>
        </w:rPr>
        <w:tab/>
      </w:r>
      <w:r w:rsidRPr="00B54B36">
        <w:rPr>
          <w:sz w:val="24"/>
          <w:szCs w:val="24"/>
        </w:rPr>
        <w:t>Bruce Weston (0016973)</w:t>
      </w:r>
    </w:p>
    <w:p w:rsidR="00941E61" w:rsidRPr="00B54B36" w:rsidP="00941E61">
      <w:pPr>
        <w:tabs>
          <w:tab w:val="left" w:pos="3960"/>
        </w:tabs>
        <w:rPr>
          <w:szCs w:val="24"/>
        </w:rPr>
      </w:pPr>
      <w:r w:rsidRPr="00B54B36">
        <w:rPr>
          <w:szCs w:val="24"/>
        </w:rPr>
        <w:tab/>
        <w:t>Ohio Consumers’ Counsel</w:t>
      </w:r>
    </w:p>
    <w:p w:rsidR="00941E61" w:rsidP="00941E61">
      <w:pPr>
        <w:tabs>
          <w:tab w:val="left" w:pos="3960"/>
        </w:tabs>
        <w:rPr>
          <w:szCs w:val="24"/>
        </w:rPr>
      </w:pPr>
      <w:r w:rsidRPr="00B54B36">
        <w:rPr>
          <w:szCs w:val="24"/>
        </w:rPr>
        <w:tab/>
      </w:r>
      <w:r w:rsidRPr="00B54B36">
        <w:rPr>
          <w:szCs w:val="24"/>
        </w:rPr>
        <w:tab/>
      </w:r>
    </w:p>
    <w:p w:rsidR="00941E61" w:rsidRPr="00B54B36" w:rsidP="00941E61">
      <w:pPr>
        <w:tabs>
          <w:tab w:val="left" w:pos="3960"/>
        </w:tabs>
        <w:rPr>
          <w:szCs w:val="24"/>
        </w:rPr>
      </w:pPr>
      <w:r>
        <w:rPr>
          <w:szCs w:val="24"/>
        </w:rPr>
        <w:tab/>
      </w:r>
      <w:r w:rsidRPr="00B54B36">
        <w:rPr>
          <w:szCs w:val="24"/>
        </w:rPr>
        <w:t>Amy Botschner O’Brien (0074423)</w:t>
      </w:r>
    </w:p>
    <w:p w:rsidR="00941E61" w:rsidRPr="00B54B36" w:rsidP="00941E61">
      <w:pPr>
        <w:tabs>
          <w:tab w:val="left" w:pos="3960"/>
        </w:tabs>
        <w:rPr>
          <w:szCs w:val="24"/>
        </w:rPr>
      </w:pPr>
      <w:r w:rsidRPr="00B54B36">
        <w:rPr>
          <w:szCs w:val="24"/>
        </w:rPr>
        <w:tab/>
        <w:t>Counsel of Record</w:t>
      </w:r>
    </w:p>
    <w:p w:rsidR="00941E61" w:rsidP="00941E61">
      <w:pPr>
        <w:tabs>
          <w:tab w:val="left" w:pos="3960"/>
        </w:tabs>
        <w:ind w:firstLine="3960"/>
        <w:rPr>
          <w:szCs w:val="24"/>
        </w:rPr>
      </w:pPr>
      <w:r w:rsidRPr="00B54B36">
        <w:rPr>
          <w:szCs w:val="24"/>
        </w:rPr>
        <w:t xml:space="preserve">Ambrosia E. </w:t>
      </w:r>
      <w:r w:rsidR="00222429">
        <w:rPr>
          <w:szCs w:val="24"/>
        </w:rPr>
        <w:t>Wilson</w:t>
      </w:r>
      <w:r w:rsidRPr="00B54B36">
        <w:rPr>
          <w:szCs w:val="24"/>
        </w:rPr>
        <w:t xml:space="preserve"> (0096598)</w:t>
      </w:r>
    </w:p>
    <w:p w:rsidR="00941E61" w:rsidRPr="00B54B36" w:rsidP="00941E61">
      <w:pPr>
        <w:tabs>
          <w:tab w:val="left" w:pos="3960"/>
        </w:tabs>
        <w:ind w:firstLine="3960"/>
        <w:rPr>
          <w:szCs w:val="24"/>
        </w:rPr>
      </w:pPr>
      <w:r>
        <w:rPr>
          <w:szCs w:val="24"/>
        </w:rPr>
        <w:t>Christopher Healey (0086027)</w:t>
      </w:r>
    </w:p>
    <w:p w:rsidR="00941E61" w:rsidRPr="00B54B36" w:rsidP="00941E61">
      <w:pPr>
        <w:tabs>
          <w:tab w:val="left" w:pos="3960"/>
        </w:tabs>
        <w:ind w:firstLine="3960"/>
        <w:rPr>
          <w:szCs w:val="24"/>
        </w:rPr>
      </w:pPr>
      <w:r w:rsidRPr="00B54B36">
        <w:rPr>
          <w:szCs w:val="24"/>
        </w:rPr>
        <w:t>Assistant Consumers’ Counsel</w:t>
      </w:r>
    </w:p>
    <w:p w:rsidR="00941E61" w:rsidRPr="00B54B36" w:rsidP="00941E61">
      <w:pPr>
        <w:tabs>
          <w:tab w:val="left" w:pos="3960"/>
        </w:tabs>
        <w:rPr>
          <w:szCs w:val="24"/>
        </w:rPr>
      </w:pPr>
      <w:r w:rsidRPr="00B54B36">
        <w:rPr>
          <w:szCs w:val="24"/>
        </w:rPr>
        <w:tab/>
      </w:r>
    </w:p>
    <w:p w:rsidR="00941E61" w:rsidRPr="00B54B36" w:rsidP="00941E61">
      <w:pPr>
        <w:tabs>
          <w:tab w:val="left" w:pos="3960"/>
        </w:tabs>
        <w:rPr>
          <w:b/>
          <w:bCs/>
          <w:szCs w:val="24"/>
        </w:rPr>
      </w:pPr>
      <w:r w:rsidRPr="00B54B36">
        <w:rPr>
          <w:szCs w:val="24"/>
        </w:rPr>
        <w:tab/>
      </w:r>
      <w:r w:rsidRPr="00B54B36">
        <w:rPr>
          <w:b/>
          <w:bCs/>
          <w:szCs w:val="24"/>
        </w:rPr>
        <w:t>Office of the Ohio Consumers’ Counsel</w:t>
      </w:r>
    </w:p>
    <w:p w:rsidR="00941E61" w:rsidRPr="00B54B36" w:rsidP="00941E61">
      <w:pPr>
        <w:tabs>
          <w:tab w:val="left" w:pos="3960"/>
        </w:tabs>
        <w:rPr>
          <w:b/>
          <w:szCs w:val="24"/>
        </w:rPr>
      </w:pPr>
      <w:r w:rsidRPr="00B54B36">
        <w:rPr>
          <w:szCs w:val="24"/>
        </w:rPr>
        <w:tab/>
        <w:t>65 East State Street, 7th Floor</w:t>
      </w:r>
    </w:p>
    <w:p w:rsidR="00941E61" w:rsidRPr="00B54B36" w:rsidP="00941E61">
      <w:pPr>
        <w:tabs>
          <w:tab w:val="left" w:pos="3960"/>
        </w:tabs>
        <w:rPr>
          <w:b/>
          <w:szCs w:val="24"/>
        </w:rPr>
      </w:pPr>
      <w:r w:rsidRPr="00B54B36">
        <w:rPr>
          <w:szCs w:val="24"/>
        </w:rPr>
        <w:tab/>
        <w:t>Columbus, Ohio 43215</w:t>
      </w:r>
    </w:p>
    <w:p w:rsidR="00941E61" w:rsidRPr="00B54B36" w:rsidP="00941E61">
      <w:pPr>
        <w:tabs>
          <w:tab w:val="left" w:pos="3960"/>
        </w:tabs>
        <w:autoSpaceDE w:val="0"/>
        <w:autoSpaceDN w:val="0"/>
        <w:adjustRightInd w:val="0"/>
        <w:ind w:left="3600" w:firstLine="360"/>
        <w:rPr>
          <w:szCs w:val="24"/>
        </w:rPr>
      </w:pPr>
      <w:r w:rsidRPr="00B54B36">
        <w:rPr>
          <w:szCs w:val="24"/>
        </w:rPr>
        <w:t>Telephone [Botschner O’Brien]: (614) 466-9575</w:t>
      </w:r>
    </w:p>
    <w:p w:rsidR="00941E61" w:rsidP="00941E61">
      <w:pPr>
        <w:tabs>
          <w:tab w:val="left" w:pos="3960"/>
        </w:tabs>
        <w:autoSpaceDE w:val="0"/>
        <w:autoSpaceDN w:val="0"/>
        <w:adjustRightInd w:val="0"/>
        <w:ind w:left="3600" w:firstLine="360"/>
        <w:rPr>
          <w:szCs w:val="24"/>
        </w:rPr>
      </w:pPr>
      <w:r w:rsidRPr="00B54B36">
        <w:rPr>
          <w:szCs w:val="24"/>
        </w:rPr>
        <w:t>Telephone [</w:t>
      </w:r>
      <w:r>
        <w:rPr>
          <w:szCs w:val="24"/>
        </w:rPr>
        <w:t>Wilson</w:t>
      </w:r>
      <w:r w:rsidRPr="00B54B36">
        <w:rPr>
          <w:szCs w:val="24"/>
        </w:rPr>
        <w:t>]: (614) 466-1292</w:t>
      </w:r>
    </w:p>
    <w:p w:rsidR="00941E61" w:rsidRPr="00B54B36" w:rsidP="00941E61">
      <w:pPr>
        <w:tabs>
          <w:tab w:val="left" w:pos="3960"/>
        </w:tabs>
        <w:autoSpaceDE w:val="0"/>
        <w:autoSpaceDN w:val="0"/>
        <w:adjustRightInd w:val="0"/>
        <w:ind w:left="3600" w:firstLine="360"/>
        <w:rPr>
          <w:szCs w:val="24"/>
        </w:rPr>
      </w:pPr>
      <w:r>
        <w:rPr>
          <w:szCs w:val="24"/>
        </w:rPr>
        <w:t>Telephone [Healey]: (614) 466-9571</w:t>
      </w:r>
    </w:p>
    <w:p w:rsidR="00941E61" w:rsidRPr="00B54B36" w:rsidP="00941E61">
      <w:pPr>
        <w:tabs>
          <w:tab w:val="left" w:pos="3960"/>
        </w:tabs>
        <w:ind w:firstLine="360"/>
        <w:rPr>
          <w:rStyle w:val="Hyperlink"/>
          <w:szCs w:val="24"/>
        </w:rPr>
      </w:pPr>
      <w:r w:rsidRPr="00B54B36">
        <w:rPr>
          <w:szCs w:val="24"/>
        </w:rPr>
        <w:tab/>
      </w:r>
      <w:hyperlink r:id="rId6" w:history="1">
        <w:r w:rsidRPr="00B54B36">
          <w:rPr>
            <w:rStyle w:val="Hyperlink"/>
            <w:szCs w:val="24"/>
          </w:rPr>
          <w:t>amy.botschner.obrien@occ.ohio.gov</w:t>
        </w:r>
      </w:hyperlink>
    </w:p>
    <w:p w:rsidR="00941E61" w:rsidP="00941E61">
      <w:pPr>
        <w:tabs>
          <w:tab w:val="left" w:pos="3960"/>
        </w:tabs>
        <w:ind w:firstLine="360"/>
      </w:pPr>
      <w:r w:rsidRPr="00B54B36">
        <w:rPr>
          <w:rStyle w:val="Hyperlink"/>
          <w:szCs w:val="24"/>
          <w:u w:val="none"/>
        </w:rPr>
        <w:tab/>
      </w:r>
      <w:hyperlink r:id="rId7" w:history="1">
        <w:r w:rsidRPr="00262DD0">
          <w:rPr>
            <w:rStyle w:val="Hyperlink"/>
            <w:szCs w:val="24"/>
          </w:rPr>
          <w:t>ambrosia.wilson@occ.ohio.gov</w:t>
        </w:r>
      </w:hyperlink>
    </w:p>
    <w:p w:rsidR="00941E61" w:rsidP="00941E61">
      <w:pPr>
        <w:tabs>
          <w:tab w:val="left" w:pos="3960"/>
        </w:tabs>
        <w:ind w:firstLine="3960"/>
        <w:rPr>
          <w:rStyle w:val="Hyperlink"/>
          <w:szCs w:val="24"/>
          <w:u w:val="none"/>
        </w:rPr>
      </w:pPr>
      <w:hyperlink r:id="rId8" w:history="1">
        <w:r w:rsidRPr="00192ABA" w:rsidR="000D5C64">
          <w:rPr>
            <w:rStyle w:val="Hyperlink"/>
          </w:rPr>
          <w:t>christopher.healey@occ.ohio.gov</w:t>
        </w:r>
      </w:hyperlink>
      <w:r w:rsidR="000D5C64">
        <w:t xml:space="preserve"> </w:t>
      </w:r>
    </w:p>
    <w:p w:rsidR="00941E61" w:rsidRPr="006735F7" w:rsidP="00941E61">
      <w:pPr>
        <w:tabs>
          <w:tab w:val="left" w:pos="3960"/>
        </w:tabs>
        <w:rPr>
          <w:color w:val="0000FF"/>
          <w:szCs w:val="24"/>
        </w:rPr>
      </w:pPr>
      <w:r>
        <w:rPr>
          <w:szCs w:val="24"/>
        </w:rPr>
        <w:t>September 3, 2020</w:t>
      </w:r>
      <w:r>
        <w:rPr>
          <w:szCs w:val="24"/>
        </w:rPr>
        <w:tab/>
      </w:r>
      <w:r w:rsidRPr="00B54B36">
        <w:rPr>
          <w:szCs w:val="24"/>
        </w:rPr>
        <w:t>(willing to accept service by e-mail)</w:t>
      </w:r>
    </w:p>
    <w:p w:rsidR="0002433C" w:rsidP="002A5A45">
      <w:pPr>
        <w:pStyle w:val="Footer"/>
        <w:tabs>
          <w:tab w:val="left" w:pos="3960"/>
          <w:tab w:val="clear" w:pos="4320"/>
          <w:tab w:val="clear" w:pos="8640"/>
        </w:tabs>
        <w:spacing w:before="240"/>
        <w:jc w:val="center"/>
        <w:rPr>
          <w:b/>
          <w:bCs/>
          <w:sz w:val="24"/>
          <w:szCs w:val="24"/>
        </w:rPr>
      </w:pPr>
    </w:p>
    <w:p w:rsidR="00941E61" w:rsidP="002A5A45">
      <w:pPr>
        <w:pStyle w:val="Footer"/>
        <w:tabs>
          <w:tab w:val="left" w:pos="3960"/>
          <w:tab w:val="clear" w:pos="4320"/>
          <w:tab w:val="clear" w:pos="8640"/>
        </w:tabs>
        <w:spacing w:before="240"/>
        <w:jc w:val="center"/>
        <w:rPr>
          <w:b/>
          <w:bCs/>
          <w:sz w:val="24"/>
          <w:szCs w:val="24"/>
        </w:rPr>
      </w:pPr>
    </w:p>
    <w:p w:rsidR="00941E61" w:rsidP="002A5A45">
      <w:pPr>
        <w:pStyle w:val="Footer"/>
        <w:tabs>
          <w:tab w:val="left" w:pos="3960"/>
          <w:tab w:val="clear" w:pos="4320"/>
          <w:tab w:val="clear" w:pos="8640"/>
        </w:tabs>
        <w:spacing w:before="240"/>
        <w:jc w:val="center"/>
        <w:rPr>
          <w:b/>
          <w:bCs/>
          <w:sz w:val="24"/>
          <w:szCs w:val="24"/>
        </w:rPr>
        <w:sectPr w:rsidSect="0002433C">
          <w:footerReference w:type="default" r:id="rId9"/>
          <w:footerReference w:type="first" r:id="rId10"/>
          <w:pgSz w:w="12240" w:h="15840"/>
          <w:pgMar w:top="1440" w:right="1440" w:bottom="1440" w:left="1440" w:header="720" w:footer="720" w:gutter="0"/>
          <w:pgNumType w:start="1"/>
          <w:cols w:space="720"/>
          <w:titlePg/>
          <w:docGrid w:linePitch="326"/>
        </w:sectPr>
      </w:pPr>
    </w:p>
    <w:p w:rsidR="00DA11D1" w:rsidP="002A5A45">
      <w:pPr>
        <w:pStyle w:val="Footer"/>
        <w:tabs>
          <w:tab w:val="left" w:pos="3960"/>
          <w:tab w:val="clear" w:pos="4320"/>
          <w:tab w:val="clear" w:pos="8640"/>
        </w:tabs>
        <w:spacing w:before="240"/>
        <w:jc w:val="center"/>
        <w:rPr>
          <w:b/>
          <w:bCs/>
          <w:sz w:val="24"/>
          <w:szCs w:val="24"/>
          <w:u w:val="single"/>
        </w:rPr>
      </w:pPr>
      <w:r>
        <w:rPr>
          <w:b/>
          <w:bCs/>
          <w:sz w:val="24"/>
          <w:szCs w:val="24"/>
          <w:u w:val="single"/>
        </w:rPr>
        <w:t>TABLE OF CONTENTS</w:t>
      </w:r>
    </w:p>
    <w:p w:rsidR="00DA11D1" w:rsidP="00DA11D1">
      <w:pPr>
        <w:pStyle w:val="Footer"/>
        <w:tabs>
          <w:tab w:val="left" w:pos="3960"/>
          <w:tab w:val="clear" w:pos="4320"/>
          <w:tab w:val="clear" w:pos="8640"/>
        </w:tabs>
        <w:spacing w:after="240"/>
        <w:jc w:val="right"/>
        <w:rPr>
          <w:b/>
          <w:bCs/>
          <w:sz w:val="24"/>
          <w:szCs w:val="24"/>
        </w:rPr>
      </w:pPr>
      <w:r>
        <w:rPr>
          <w:b/>
          <w:bCs/>
          <w:sz w:val="24"/>
          <w:szCs w:val="24"/>
        </w:rPr>
        <w:t>PAGE</w:t>
      </w:r>
    </w:p>
    <w:p w:rsidR="000D5C64">
      <w:pPr>
        <w:pStyle w:val="TOC1"/>
        <w:rPr>
          <w:rFonts w:asciiTheme="minorHAnsi" w:eastAsiaTheme="minorEastAsia" w:hAnsiTheme="minorHAnsi" w:cstheme="minorBidi"/>
          <w:caps w:val="0"/>
          <w:noProof/>
          <w:sz w:val="22"/>
          <w:szCs w:val="22"/>
        </w:rPr>
      </w:pPr>
      <w:r>
        <w:rPr>
          <w:b/>
          <w:bCs/>
          <w:szCs w:val="24"/>
        </w:rPr>
        <w:fldChar w:fldCharType="begin"/>
      </w:r>
      <w:r w:rsidR="00DA11D1">
        <w:rPr>
          <w:b/>
          <w:bCs/>
          <w:szCs w:val="24"/>
        </w:rPr>
        <w:instrText xml:space="preserve"> TOC \o "1-3" \h \z \u </w:instrText>
      </w:r>
      <w:r>
        <w:rPr>
          <w:b/>
          <w:bCs/>
          <w:szCs w:val="24"/>
        </w:rPr>
        <w:fldChar w:fldCharType="separate"/>
      </w:r>
      <w:hyperlink w:anchor="_Toc50042245" w:history="1">
        <w:r w:rsidRPr="007E55B4">
          <w:rPr>
            <w:rStyle w:val="Hyperlink"/>
            <w:noProof/>
          </w:rPr>
          <w:t>I.</w:t>
        </w:r>
        <w:r>
          <w:rPr>
            <w:rFonts w:asciiTheme="minorHAnsi" w:eastAsiaTheme="minorEastAsia" w:hAnsiTheme="minorHAnsi" w:cstheme="minorBidi"/>
            <w:caps w:val="0"/>
            <w:noProof/>
            <w:sz w:val="22"/>
            <w:szCs w:val="22"/>
          </w:rPr>
          <w:tab/>
        </w:r>
        <w:r w:rsidRPr="007E55B4">
          <w:rPr>
            <w:rStyle w:val="Hyperlink"/>
            <w:noProof/>
          </w:rPr>
          <w:t>INTRODUCTION</w:t>
        </w:r>
        <w:r>
          <w:rPr>
            <w:noProof/>
            <w:webHidden/>
          </w:rPr>
          <w:tab/>
        </w:r>
        <w:r>
          <w:rPr>
            <w:noProof/>
            <w:webHidden/>
          </w:rPr>
          <w:fldChar w:fldCharType="begin"/>
        </w:r>
        <w:r>
          <w:rPr>
            <w:noProof/>
            <w:webHidden/>
          </w:rPr>
          <w:instrText xml:space="preserve"> PAGEREF _Toc50042245 \h </w:instrText>
        </w:r>
        <w:r>
          <w:rPr>
            <w:noProof/>
            <w:webHidden/>
          </w:rPr>
          <w:fldChar w:fldCharType="separate"/>
        </w:r>
        <w:r>
          <w:rPr>
            <w:noProof/>
            <w:webHidden/>
          </w:rPr>
          <w:t>1</w:t>
        </w:r>
        <w:r>
          <w:rPr>
            <w:noProof/>
            <w:webHidden/>
          </w:rPr>
          <w:fldChar w:fldCharType="end"/>
        </w:r>
      </w:hyperlink>
    </w:p>
    <w:p w:rsidR="000D5C64">
      <w:pPr>
        <w:pStyle w:val="TOC1"/>
        <w:rPr>
          <w:rFonts w:asciiTheme="minorHAnsi" w:eastAsiaTheme="minorEastAsia" w:hAnsiTheme="minorHAnsi" w:cstheme="minorBidi"/>
          <w:caps w:val="0"/>
          <w:noProof/>
          <w:sz w:val="22"/>
          <w:szCs w:val="22"/>
        </w:rPr>
      </w:pPr>
      <w:hyperlink w:anchor="_Toc50042246" w:history="1">
        <w:r w:rsidRPr="007E55B4">
          <w:rPr>
            <w:rStyle w:val="Hyperlink"/>
            <w:noProof/>
          </w:rPr>
          <w:t>II.</w:t>
        </w:r>
        <w:r>
          <w:rPr>
            <w:rFonts w:asciiTheme="minorHAnsi" w:eastAsiaTheme="minorEastAsia" w:hAnsiTheme="minorHAnsi" w:cstheme="minorBidi"/>
            <w:caps w:val="0"/>
            <w:noProof/>
            <w:sz w:val="22"/>
            <w:szCs w:val="22"/>
          </w:rPr>
          <w:tab/>
        </w:r>
        <w:r w:rsidRPr="007E55B4">
          <w:rPr>
            <w:rStyle w:val="Hyperlink"/>
            <w:noProof/>
          </w:rPr>
          <w:t>RECOMMENDATIONS</w:t>
        </w:r>
        <w:r>
          <w:rPr>
            <w:noProof/>
            <w:webHidden/>
          </w:rPr>
          <w:tab/>
        </w:r>
        <w:r>
          <w:rPr>
            <w:noProof/>
            <w:webHidden/>
          </w:rPr>
          <w:fldChar w:fldCharType="begin"/>
        </w:r>
        <w:r>
          <w:rPr>
            <w:noProof/>
            <w:webHidden/>
          </w:rPr>
          <w:instrText xml:space="preserve"> PAGEREF _Toc50042246 \h </w:instrText>
        </w:r>
        <w:r>
          <w:rPr>
            <w:noProof/>
            <w:webHidden/>
          </w:rPr>
          <w:fldChar w:fldCharType="separate"/>
        </w:r>
        <w:r>
          <w:rPr>
            <w:noProof/>
            <w:webHidden/>
          </w:rPr>
          <w:t>2</w:t>
        </w:r>
        <w:r>
          <w:rPr>
            <w:noProof/>
            <w:webHidden/>
          </w:rPr>
          <w:fldChar w:fldCharType="end"/>
        </w:r>
      </w:hyperlink>
    </w:p>
    <w:p w:rsidR="000D5C64">
      <w:pPr>
        <w:pStyle w:val="TOC2"/>
        <w:tabs>
          <w:tab w:val="left" w:pos="1440"/>
        </w:tabs>
        <w:rPr>
          <w:rFonts w:asciiTheme="minorHAnsi" w:eastAsiaTheme="minorEastAsia" w:hAnsiTheme="minorHAnsi" w:cstheme="minorBidi"/>
          <w:noProof/>
          <w:sz w:val="22"/>
          <w:szCs w:val="22"/>
        </w:rPr>
      </w:pPr>
      <w:hyperlink w:anchor="_Toc50042247" w:history="1">
        <w:r w:rsidRPr="007E55B4">
          <w:rPr>
            <w:rStyle w:val="Hyperlink"/>
            <w:noProof/>
          </w:rPr>
          <w:t>A.</w:t>
        </w:r>
        <w:r>
          <w:rPr>
            <w:rFonts w:asciiTheme="minorHAnsi" w:eastAsiaTheme="minorEastAsia" w:hAnsiTheme="minorHAnsi" w:cstheme="minorBidi"/>
            <w:noProof/>
            <w:sz w:val="22"/>
            <w:szCs w:val="22"/>
          </w:rPr>
          <w:tab/>
        </w:r>
        <w:r w:rsidRPr="007E55B4">
          <w:rPr>
            <w:rStyle w:val="Hyperlink"/>
            <w:noProof/>
          </w:rPr>
          <w:t xml:space="preserve">The Settlement does not meet the PUCO’s standard of benefits for customers </w:t>
        </w:r>
        <w:r>
          <w:rPr>
            <w:rStyle w:val="Hyperlink"/>
            <w:noProof/>
          </w:rPr>
          <w:br/>
        </w:r>
        <w:r w:rsidRPr="007E55B4">
          <w:rPr>
            <w:rStyle w:val="Hyperlink"/>
            <w:noProof/>
          </w:rPr>
          <w:t xml:space="preserve">and the public interest because it adds $17.5 million to customers’ bills for unnecessary energy efficiency programs during a time where Ohio families </w:t>
        </w:r>
        <w:r>
          <w:rPr>
            <w:rStyle w:val="Hyperlink"/>
            <w:noProof/>
          </w:rPr>
          <w:br/>
        </w:r>
        <w:r w:rsidRPr="007E55B4">
          <w:rPr>
            <w:rStyle w:val="Hyperlink"/>
            <w:noProof/>
          </w:rPr>
          <w:t>are struggling to pay for necessities.</w:t>
        </w:r>
        <w:r>
          <w:rPr>
            <w:noProof/>
            <w:webHidden/>
          </w:rPr>
          <w:tab/>
        </w:r>
        <w:r>
          <w:rPr>
            <w:noProof/>
            <w:webHidden/>
          </w:rPr>
          <w:fldChar w:fldCharType="begin"/>
        </w:r>
        <w:r>
          <w:rPr>
            <w:noProof/>
            <w:webHidden/>
          </w:rPr>
          <w:instrText xml:space="preserve"> PAGEREF _Toc50042247 \h </w:instrText>
        </w:r>
        <w:r>
          <w:rPr>
            <w:noProof/>
            <w:webHidden/>
          </w:rPr>
          <w:fldChar w:fldCharType="separate"/>
        </w:r>
        <w:r>
          <w:rPr>
            <w:noProof/>
            <w:webHidden/>
          </w:rPr>
          <w:t>2</w:t>
        </w:r>
        <w:r>
          <w:rPr>
            <w:noProof/>
            <w:webHidden/>
          </w:rPr>
          <w:fldChar w:fldCharType="end"/>
        </w:r>
      </w:hyperlink>
    </w:p>
    <w:p w:rsidR="000D5C64">
      <w:pPr>
        <w:pStyle w:val="TOC3"/>
        <w:tabs>
          <w:tab w:val="left" w:pos="2160"/>
        </w:tabs>
        <w:rPr>
          <w:rFonts w:asciiTheme="minorHAnsi" w:eastAsiaTheme="minorEastAsia" w:hAnsiTheme="minorHAnsi" w:cstheme="minorBidi"/>
          <w:noProof/>
          <w:sz w:val="22"/>
          <w:szCs w:val="22"/>
        </w:rPr>
      </w:pPr>
      <w:hyperlink w:anchor="_Toc50042248" w:history="1">
        <w:r w:rsidRPr="007E55B4">
          <w:rPr>
            <w:rStyle w:val="Hyperlink"/>
            <w:noProof/>
          </w:rPr>
          <w:t>1.</w:t>
        </w:r>
        <w:r>
          <w:rPr>
            <w:rFonts w:asciiTheme="minorHAnsi" w:eastAsiaTheme="minorEastAsia" w:hAnsiTheme="minorHAnsi" w:cstheme="minorBidi"/>
            <w:noProof/>
            <w:sz w:val="22"/>
            <w:szCs w:val="22"/>
          </w:rPr>
          <w:tab/>
        </w:r>
        <w:r w:rsidRPr="007E55B4">
          <w:rPr>
            <w:rStyle w:val="Hyperlink"/>
            <w:noProof/>
          </w:rPr>
          <w:t xml:space="preserve">Many Ohioans already were suffering from poverty and lack of access </w:t>
        </w:r>
        <w:r>
          <w:rPr>
            <w:rStyle w:val="Hyperlink"/>
            <w:noProof/>
          </w:rPr>
          <w:br/>
        </w:r>
        <w:r w:rsidRPr="007E55B4">
          <w:rPr>
            <w:rStyle w:val="Hyperlink"/>
            <w:noProof/>
          </w:rPr>
          <w:t>to adequate food in the Dayton area, even before the coronavirus emergency worsened their plight.</w:t>
        </w:r>
        <w:r>
          <w:rPr>
            <w:noProof/>
            <w:webHidden/>
          </w:rPr>
          <w:tab/>
        </w:r>
        <w:r>
          <w:rPr>
            <w:noProof/>
            <w:webHidden/>
          </w:rPr>
          <w:fldChar w:fldCharType="begin"/>
        </w:r>
        <w:r>
          <w:rPr>
            <w:noProof/>
            <w:webHidden/>
          </w:rPr>
          <w:instrText xml:space="preserve"> PAGEREF _Toc50042248 \h </w:instrText>
        </w:r>
        <w:r>
          <w:rPr>
            <w:noProof/>
            <w:webHidden/>
          </w:rPr>
          <w:fldChar w:fldCharType="separate"/>
        </w:r>
        <w:r>
          <w:rPr>
            <w:noProof/>
            <w:webHidden/>
          </w:rPr>
          <w:t>3</w:t>
        </w:r>
        <w:r>
          <w:rPr>
            <w:noProof/>
            <w:webHidden/>
          </w:rPr>
          <w:fldChar w:fldCharType="end"/>
        </w:r>
      </w:hyperlink>
    </w:p>
    <w:p w:rsidR="000D5C64">
      <w:pPr>
        <w:pStyle w:val="TOC3"/>
        <w:tabs>
          <w:tab w:val="left" w:pos="2160"/>
        </w:tabs>
        <w:rPr>
          <w:rFonts w:asciiTheme="minorHAnsi" w:eastAsiaTheme="minorEastAsia" w:hAnsiTheme="minorHAnsi" w:cstheme="minorBidi"/>
          <w:noProof/>
          <w:sz w:val="22"/>
          <w:szCs w:val="22"/>
        </w:rPr>
      </w:pPr>
      <w:hyperlink w:anchor="_Toc50042249" w:history="1">
        <w:r w:rsidRPr="007E55B4">
          <w:rPr>
            <w:rStyle w:val="Hyperlink"/>
            <w:noProof/>
          </w:rPr>
          <w:t>2.</w:t>
        </w:r>
        <w:r>
          <w:rPr>
            <w:rFonts w:asciiTheme="minorHAnsi" w:eastAsiaTheme="minorEastAsia" w:hAnsiTheme="minorHAnsi" w:cstheme="minorBidi"/>
            <w:noProof/>
            <w:sz w:val="22"/>
            <w:szCs w:val="22"/>
          </w:rPr>
          <w:tab/>
        </w:r>
        <w:r w:rsidRPr="007E55B4">
          <w:rPr>
            <w:rStyle w:val="Hyperlink"/>
            <w:noProof/>
          </w:rPr>
          <w:t xml:space="preserve">In an era of historically low natural gas prices that are expected to stay </w:t>
        </w:r>
        <w:r>
          <w:rPr>
            <w:rStyle w:val="Hyperlink"/>
            <w:noProof/>
          </w:rPr>
          <w:br/>
        </w:r>
        <w:r w:rsidRPr="007E55B4">
          <w:rPr>
            <w:rStyle w:val="Hyperlink"/>
            <w:noProof/>
          </w:rPr>
          <w:t>low for many years, the value proposition for energy efficiency has been much diminished, even before the coronavirus emergency created a greater need for bill payment assistance instead of energy efficiency.</w:t>
        </w:r>
        <w:r>
          <w:rPr>
            <w:noProof/>
            <w:webHidden/>
          </w:rPr>
          <w:tab/>
        </w:r>
        <w:r>
          <w:rPr>
            <w:noProof/>
            <w:webHidden/>
          </w:rPr>
          <w:fldChar w:fldCharType="begin"/>
        </w:r>
        <w:r>
          <w:rPr>
            <w:noProof/>
            <w:webHidden/>
          </w:rPr>
          <w:instrText xml:space="preserve"> PAGEREF _Toc50042249 \h </w:instrText>
        </w:r>
        <w:r>
          <w:rPr>
            <w:noProof/>
            <w:webHidden/>
          </w:rPr>
          <w:fldChar w:fldCharType="separate"/>
        </w:r>
        <w:r>
          <w:rPr>
            <w:noProof/>
            <w:webHidden/>
          </w:rPr>
          <w:t>4</w:t>
        </w:r>
        <w:r>
          <w:rPr>
            <w:noProof/>
            <w:webHidden/>
          </w:rPr>
          <w:fldChar w:fldCharType="end"/>
        </w:r>
      </w:hyperlink>
    </w:p>
    <w:p w:rsidR="000D5C64">
      <w:pPr>
        <w:pStyle w:val="TOC3"/>
        <w:tabs>
          <w:tab w:val="left" w:pos="2160"/>
        </w:tabs>
        <w:rPr>
          <w:rFonts w:asciiTheme="minorHAnsi" w:eastAsiaTheme="minorEastAsia" w:hAnsiTheme="minorHAnsi" w:cstheme="minorBidi"/>
          <w:noProof/>
          <w:sz w:val="22"/>
          <w:szCs w:val="22"/>
        </w:rPr>
      </w:pPr>
      <w:hyperlink w:anchor="_Toc50042250" w:history="1">
        <w:r w:rsidRPr="007E55B4">
          <w:rPr>
            <w:rStyle w:val="Hyperlink"/>
            <w:noProof/>
          </w:rPr>
          <w:t>3.</w:t>
        </w:r>
        <w:r>
          <w:rPr>
            <w:rFonts w:asciiTheme="minorHAnsi" w:eastAsiaTheme="minorEastAsia" w:hAnsiTheme="minorHAnsi" w:cstheme="minorBidi"/>
            <w:noProof/>
            <w:sz w:val="22"/>
            <w:szCs w:val="22"/>
          </w:rPr>
          <w:tab/>
        </w:r>
        <w:r w:rsidRPr="007E55B4">
          <w:rPr>
            <w:rStyle w:val="Hyperlink"/>
            <w:noProof/>
          </w:rPr>
          <w:t xml:space="preserve">The involvement of Vectren and the government in charging consumers subsidies for natural gas energy efficiency programs is not needed </w:t>
        </w:r>
        <w:r>
          <w:rPr>
            <w:rStyle w:val="Hyperlink"/>
            <w:noProof/>
          </w:rPr>
          <w:br/>
        </w:r>
        <w:r w:rsidRPr="007E55B4">
          <w:rPr>
            <w:rStyle w:val="Hyperlink"/>
            <w:noProof/>
          </w:rPr>
          <w:t>where consumers can choose energy efficiency measures in their local stores and online at competitive prices.</w:t>
        </w:r>
        <w:r>
          <w:rPr>
            <w:noProof/>
            <w:webHidden/>
          </w:rPr>
          <w:tab/>
        </w:r>
        <w:r>
          <w:rPr>
            <w:noProof/>
            <w:webHidden/>
          </w:rPr>
          <w:fldChar w:fldCharType="begin"/>
        </w:r>
        <w:r>
          <w:rPr>
            <w:noProof/>
            <w:webHidden/>
          </w:rPr>
          <w:instrText xml:space="preserve"> PAGEREF _Toc50042250 \h </w:instrText>
        </w:r>
        <w:r>
          <w:rPr>
            <w:noProof/>
            <w:webHidden/>
          </w:rPr>
          <w:fldChar w:fldCharType="separate"/>
        </w:r>
        <w:r>
          <w:rPr>
            <w:noProof/>
            <w:webHidden/>
          </w:rPr>
          <w:t>5</w:t>
        </w:r>
        <w:r>
          <w:rPr>
            <w:noProof/>
            <w:webHidden/>
          </w:rPr>
          <w:fldChar w:fldCharType="end"/>
        </w:r>
      </w:hyperlink>
    </w:p>
    <w:p w:rsidR="000D5C64">
      <w:pPr>
        <w:pStyle w:val="TOC2"/>
        <w:tabs>
          <w:tab w:val="left" w:pos="1440"/>
        </w:tabs>
        <w:rPr>
          <w:rFonts w:asciiTheme="minorHAnsi" w:eastAsiaTheme="minorEastAsia" w:hAnsiTheme="minorHAnsi" w:cstheme="minorBidi"/>
          <w:noProof/>
          <w:sz w:val="22"/>
          <w:szCs w:val="22"/>
        </w:rPr>
      </w:pPr>
      <w:hyperlink w:anchor="_Toc50042251" w:history="1">
        <w:r w:rsidRPr="007E55B4">
          <w:rPr>
            <w:rStyle w:val="Hyperlink"/>
            <w:noProof/>
          </w:rPr>
          <w:t>B.</w:t>
        </w:r>
        <w:r>
          <w:rPr>
            <w:rFonts w:asciiTheme="minorHAnsi" w:eastAsiaTheme="minorEastAsia" w:hAnsiTheme="minorHAnsi" w:cstheme="minorBidi"/>
            <w:noProof/>
            <w:sz w:val="22"/>
            <w:szCs w:val="22"/>
          </w:rPr>
          <w:tab/>
        </w:r>
        <w:r w:rsidRPr="007E55B4">
          <w:rPr>
            <w:rStyle w:val="Hyperlink"/>
            <w:noProof/>
          </w:rPr>
          <w:t xml:space="preserve">The Settlement lacks the benefit that is needed now for customers, which is </w:t>
        </w:r>
        <w:r>
          <w:rPr>
            <w:rStyle w:val="Hyperlink"/>
            <w:noProof/>
          </w:rPr>
          <w:br/>
        </w:r>
        <w:r w:rsidRPr="007E55B4">
          <w:rPr>
            <w:rStyle w:val="Hyperlink"/>
            <w:noProof/>
          </w:rPr>
          <w:t xml:space="preserve">bill-payment assistance in 2020 and 2021, rather than charging customers for </w:t>
        </w:r>
        <w:r>
          <w:rPr>
            <w:rStyle w:val="Hyperlink"/>
            <w:noProof/>
          </w:rPr>
          <w:br/>
        </w:r>
        <w:r w:rsidRPr="007E55B4">
          <w:rPr>
            <w:rStyle w:val="Hyperlink"/>
            <w:noProof/>
          </w:rPr>
          <w:t>low-income weatherization programs.</w:t>
        </w:r>
        <w:r>
          <w:rPr>
            <w:noProof/>
            <w:webHidden/>
          </w:rPr>
          <w:tab/>
        </w:r>
        <w:r>
          <w:rPr>
            <w:noProof/>
            <w:webHidden/>
          </w:rPr>
          <w:fldChar w:fldCharType="begin"/>
        </w:r>
        <w:r>
          <w:rPr>
            <w:noProof/>
            <w:webHidden/>
          </w:rPr>
          <w:instrText xml:space="preserve"> PAGEREF _Toc50042251 \h </w:instrText>
        </w:r>
        <w:r>
          <w:rPr>
            <w:noProof/>
            <w:webHidden/>
          </w:rPr>
          <w:fldChar w:fldCharType="separate"/>
        </w:r>
        <w:r>
          <w:rPr>
            <w:noProof/>
            <w:webHidden/>
          </w:rPr>
          <w:t>7</w:t>
        </w:r>
        <w:r>
          <w:rPr>
            <w:noProof/>
            <w:webHidden/>
          </w:rPr>
          <w:fldChar w:fldCharType="end"/>
        </w:r>
      </w:hyperlink>
    </w:p>
    <w:p w:rsidR="000D5C64">
      <w:pPr>
        <w:pStyle w:val="TOC3"/>
        <w:tabs>
          <w:tab w:val="left" w:pos="2160"/>
        </w:tabs>
        <w:rPr>
          <w:rFonts w:asciiTheme="minorHAnsi" w:eastAsiaTheme="minorEastAsia" w:hAnsiTheme="minorHAnsi" w:cstheme="minorBidi"/>
          <w:noProof/>
          <w:sz w:val="22"/>
          <w:szCs w:val="22"/>
        </w:rPr>
      </w:pPr>
      <w:hyperlink w:anchor="_Toc50042252" w:history="1">
        <w:r w:rsidRPr="007E55B4">
          <w:rPr>
            <w:rStyle w:val="Hyperlink"/>
            <w:noProof/>
          </w:rPr>
          <w:t>1.</w:t>
        </w:r>
        <w:r>
          <w:rPr>
            <w:rFonts w:asciiTheme="minorHAnsi" w:eastAsiaTheme="minorEastAsia" w:hAnsiTheme="minorHAnsi" w:cstheme="minorBidi"/>
            <w:noProof/>
            <w:sz w:val="22"/>
            <w:szCs w:val="22"/>
          </w:rPr>
          <w:tab/>
        </w:r>
        <w:r w:rsidRPr="007E55B4">
          <w:rPr>
            <w:rStyle w:val="Hyperlink"/>
            <w:noProof/>
          </w:rPr>
          <w:t>The best use of funds during and after the coronavirus pandemic and financial emergency is bill payment assistance.</w:t>
        </w:r>
        <w:r>
          <w:rPr>
            <w:noProof/>
            <w:webHidden/>
          </w:rPr>
          <w:tab/>
        </w:r>
        <w:r>
          <w:rPr>
            <w:noProof/>
            <w:webHidden/>
          </w:rPr>
          <w:fldChar w:fldCharType="begin"/>
        </w:r>
        <w:r>
          <w:rPr>
            <w:noProof/>
            <w:webHidden/>
          </w:rPr>
          <w:instrText xml:space="preserve"> PAGEREF _Toc50042252 \h </w:instrText>
        </w:r>
        <w:r>
          <w:rPr>
            <w:noProof/>
            <w:webHidden/>
          </w:rPr>
          <w:fldChar w:fldCharType="separate"/>
        </w:r>
        <w:r>
          <w:rPr>
            <w:noProof/>
            <w:webHidden/>
          </w:rPr>
          <w:t>7</w:t>
        </w:r>
        <w:r>
          <w:rPr>
            <w:noProof/>
            <w:webHidden/>
          </w:rPr>
          <w:fldChar w:fldCharType="end"/>
        </w:r>
      </w:hyperlink>
    </w:p>
    <w:p w:rsidR="000D5C64">
      <w:pPr>
        <w:pStyle w:val="TOC3"/>
        <w:tabs>
          <w:tab w:val="left" w:pos="2160"/>
        </w:tabs>
        <w:rPr>
          <w:rFonts w:asciiTheme="minorHAnsi" w:eastAsiaTheme="minorEastAsia" w:hAnsiTheme="minorHAnsi" w:cstheme="minorBidi"/>
          <w:noProof/>
          <w:sz w:val="22"/>
          <w:szCs w:val="22"/>
        </w:rPr>
      </w:pPr>
      <w:hyperlink w:anchor="_Toc50042253" w:history="1">
        <w:r w:rsidRPr="007E55B4">
          <w:rPr>
            <w:rStyle w:val="Hyperlink"/>
            <w:noProof/>
          </w:rPr>
          <w:t>2.</w:t>
        </w:r>
        <w:r>
          <w:rPr>
            <w:rFonts w:asciiTheme="minorHAnsi" w:eastAsiaTheme="minorEastAsia" w:hAnsiTheme="minorHAnsi" w:cstheme="minorBidi"/>
            <w:noProof/>
            <w:sz w:val="22"/>
            <w:szCs w:val="22"/>
          </w:rPr>
          <w:tab/>
        </w:r>
        <w:r w:rsidRPr="007E55B4">
          <w:rPr>
            <w:rStyle w:val="Hyperlink"/>
            <w:noProof/>
          </w:rPr>
          <w:t xml:space="preserve">OCC’s proposed bill payment assistance would provide tangible </w:t>
        </w:r>
        <w:r>
          <w:rPr>
            <w:rStyle w:val="Hyperlink"/>
            <w:noProof/>
          </w:rPr>
          <w:br/>
        </w:r>
        <w:r w:rsidRPr="007E55B4">
          <w:rPr>
            <w:rStyle w:val="Hyperlink"/>
            <w:noProof/>
          </w:rPr>
          <w:t>benefits for consumers that other available public assistance programs aren’t providing.</w:t>
        </w:r>
        <w:r>
          <w:rPr>
            <w:noProof/>
            <w:webHidden/>
          </w:rPr>
          <w:tab/>
        </w:r>
        <w:r>
          <w:rPr>
            <w:noProof/>
            <w:webHidden/>
          </w:rPr>
          <w:fldChar w:fldCharType="begin"/>
        </w:r>
        <w:r>
          <w:rPr>
            <w:noProof/>
            <w:webHidden/>
          </w:rPr>
          <w:instrText xml:space="preserve"> PAGEREF _Toc50042253 \h </w:instrText>
        </w:r>
        <w:r>
          <w:rPr>
            <w:noProof/>
            <w:webHidden/>
          </w:rPr>
          <w:fldChar w:fldCharType="separate"/>
        </w:r>
        <w:r>
          <w:rPr>
            <w:noProof/>
            <w:webHidden/>
          </w:rPr>
          <w:t>11</w:t>
        </w:r>
        <w:r>
          <w:rPr>
            <w:noProof/>
            <w:webHidden/>
          </w:rPr>
          <w:fldChar w:fldCharType="end"/>
        </w:r>
      </w:hyperlink>
    </w:p>
    <w:p w:rsidR="000D5C64">
      <w:pPr>
        <w:pStyle w:val="TOC3"/>
        <w:tabs>
          <w:tab w:val="left" w:pos="2160"/>
        </w:tabs>
        <w:rPr>
          <w:rFonts w:asciiTheme="minorHAnsi" w:eastAsiaTheme="minorEastAsia" w:hAnsiTheme="minorHAnsi" w:cstheme="minorBidi"/>
          <w:noProof/>
          <w:sz w:val="22"/>
          <w:szCs w:val="22"/>
        </w:rPr>
      </w:pPr>
      <w:hyperlink w:anchor="_Toc50042254" w:history="1">
        <w:r w:rsidRPr="007E55B4">
          <w:rPr>
            <w:rStyle w:val="Hyperlink"/>
            <w:noProof/>
          </w:rPr>
          <w:t>3.</w:t>
        </w:r>
        <w:r>
          <w:rPr>
            <w:rFonts w:asciiTheme="minorHAnsi" w:eastAsiaTheme="minorEastAsia" w:hAnsiTheme="minorHAnsi" w:cstheme="minorBidi"/>
            <w:noProof/>
            <w:sz w:val="22"/>
            <w:szCs w:val="22"/>
          </w:rPr>
          <w:tab/>
        </w:r>
        <w:r w:rsidRPr="007E55B4">
          <w:rPr>
            <w:rStyle w:val="Hyperlink"/>
            <w:noProof/>
          </w:rPr>
          <w:t xml:space="preserve">OCC’s proposed bill payment assistance program can help about 11,000 customers compared to just 334 for weatherization, using the same </w:t>
        </w:r>
        <w:r>
          <w:rPr>
            <w:rStyle w:val="Hyperlink"/>
            <w:noProof/>
          </w:rPr>
          <w:br/>
        </w:r>
        <w:r w:rsidRPr="007E55B4">
          <w:rPr>
            <w:rStyle w:val="Hyperlink"/>
            <w:noProof/>
          </w:rPr>
          <w:t>budget.</w:t>
        </w:r>
        <w:r>
          <w:rPr>
            <w:noProof/>
            <w:webHidden/>
          </w:rPr>
          <w:tab/>
        </w:r>
        <w:r>
          <w:rPr>
            <w:noProof/>
            <w:webHidden/>
          </w:rPr>
          <w:fldChar w:fldCharType="begin"/>
        </w:r>
        <w:r>
          <w:rPr>
            <w:noProof/>
            <w:webHidden/>
          </w:rPr>
          <w:instrText xml:space="preserve"> PAGEREF _Toc50042254 \h </w:instrText>
        </w:r>
        <w:r>
          <w:rPr>
            <w:noProof/>
            <w:webHidden/>
          </w:rPr>
          <w:fldChar w:fldCharType="separate"/>
        </w:r>
        <w:r>
          <w:rPr>
            <w:noProof/>
            <w:webHidden/>
          </w:rPr>
          <w:t>12</w:t>
        </w:r>
        <w:r>
          <w:rPr>
            <w:noProof/>
            <w:webHidden/>
          </w:rPr>
          <w:fldChar w:fldCharType="end"/>
        </w:r>
      </w:hyperlink>
    </w:p>
    <w:p w:rsidR="000D5C64">
      <w:pPr>
        <w:pStyle w:val="TOC3"/>
        <w:tabs>
          <w:tab w:val="left" w:pos="2160"/>
        </w:tabs>
        <w:rPr>
          <w:rFonts w:asciiTheme="minorHAnsi" w:eastAsiaTheme="minorEastAsia" w:hAnsiTheme="minorHAnsi" w:cstheme="minorBidi"/>
          <w:noProof/>
          <w:sz w:val="22"/>
          <w:szCs w:val="22"/>
        </w:rPr>
      </w:pPr>
      <w:hyperlink w:anchor="_Toc50042255" w:history="1">
        <w:r w:rsidRPr="007E55B4">
          <w:rPr>
            <w:rStyle w:val="Hyperlink"/>
            <w:noProof/>
          </w:rPr>
          <w:t>4.</w:t>
        </w:r>
        <w:r>
          <w:rPr>
            <w:rFonts w:asciiTheme="minorHAnsi" w:eastAsiaTheme="minorEastAsia" w:hAnsiTheme="minorHAnsi" w:cstheme="minorBidi"/>
            <w:noProof/>
            <w:sz w:val="22"/>
            <w:szCs w:val="22"/>
          </w:rPr>
          <w:tab/>
        </w:r>
        <w:r w:rsidRPr="007E55B4">
          <w:rPr>
            <w:rStyle w:val="Hyperlink"/>
            <w:noProof/>
          </w:rPr>
          <w:t>OCC’s proposed bill payment assistance will help PIPP customers and reduce what all other customers pay to fund PIPP.</w:t>
        </w:r>
        <w:r>
          <w:rPr>
            <w:noProof/>
            <w:webHidden/>
          </w:rPr>
          <w:tab/>
        </w:r>
        <w:r>
          <w:rPr>
            <w:noProof/>
            <w:webHidden/>
          </w:rPr>
          <w:fldChar w:fldCharType="begin"/>
        </w:r>
        <w:r>
          <w:rPr>
            <w:noProof/>
            <w:webHidden/>
          </w:rPr>
          <w:instrText xml:space="preserve"> PAGEREF _Toc50042255 \h </w:instrText>
        </w:r>
        <w:r>
          <w:rPr>
            <w:noProof/>
            <w:webHidden/>
          </w:rPr>
          <w:fldChar w:fldCharType="separate"/>
        </w:r>
        <w:r>
          <w:rPr>
            <w:noProof/>
            <w:webHidden/>
          </w:rPr>
          <w:t>12</w:t>
        </w:r>
        <w:r>
          <w:rPr>
            <w:noProof/>
            <w:webHidden/>
          </w:rPr>
          <w:fldChar w:fldCharType="end"/>
        </w:r>
      </w:hyperlink>
    </w:p>
    <w:p w:rsidR="000D5C64">
      <w:pPr>
        <w:pStyle w:val="TOC3"/>
        <w:tabs>
          <w:tab w:val="left" w:pos="2160"/>
        </w:tabs>
        <w:rPr>
          <w:rFonts w:asciiTheme="minorHAnsi" w:eastAsiaTheme="minorEastAsia" w:hAnsiTheme="minorHAnsi" w:cstheme="minorBidi"/>
          <w:noProof/>
          <w:sz w:val="22"/>
          <w:szCs w:val="22"/>
        </w:rPr>
      </w:pPr>
      <w:hyperlink w:anchor="_Toc50042256" w:history="1">
        <w:r w:rsidRPr="007E55B4">
          <w:rPr>
            <w:rStyle w:val="Hyperlink"/>
            <w:noProof/>
          </w:rPr>
          <w:t>5.</w:t>
        </w:r>
        <w:r>
          <w:rPr>
            <w:rFonts w:asciiTheme="minorHAnsi" w:eastAsiaTheme="minorEastAsia" w:hAnsiTheme="minorHAnsi" w:cstheme="minorBidi"/>
            <w:noProof/>
            <w:sz w:val="22"/>
            <w:szCs w:val="22"/>
          </w:rPr>
          <w:tab/>
        </w:r>
        <w:r w:rsidRPr="007E55B4">
          <w:rPr>
            <w:rStyle w:val="Hyperlink"/>
            <w:noProof/>
          </w:rPr>
          <w:t xml:space="preserve">Under OCC’s proposal, there would still be substantial funding available for weatherizing houses, with potential increases for weatherization at </w:t>
        </w:r>
        <w:r>
          <w:rPr>
            <w:rStyle w:val="Hyperlink"/>
            <w:noProof/>
          </w:rPr>
          <w:br/>
        </w:r>
        <w:r w:rsidRPr="007E55B4">
          <w:rPr>
            <w:rStyle w:val="Hyperlink"/>
            <w:noProof/>
          </w:rPr>
          <w:t>the expense of bill payment assistance.</w:t>
        </w:r>
        <w:r>
          <w:rPr>
            <w:noProof/>
            <w:webHidden/>
          </w:rPr>
          <w:tab/>
        </w:r>
        <w:r>
          <w:rPr>
            <w:noProof/>
            <w:webHidden/>
          </w:rPr>
          <w:fldChar w:fldCharType="begin"/>
        </w:r>
        <w:r>
          <w:rPr>
            <w:noProof/>
            <w:webHidden/>
          </w:rPr>
          <w:instrText xml:space="preserve"> PAGEREF _Toc50042256 \h </w:instrText>
        </w:r>
        <w:r>
          <w:rPr>
            <w:noProof/>
            <w:webHidden/>
          </w:rPr>
          <w:fldChar w:fldCharType="separate"/>
        </w:r>
        <w:r>
          <w:rPr>
            <w:noProof/>
            <w:webHidden/>
          </w:rPr>
          <w:t>13</w:t>
        </w:r>
        <w:r>
          <w:rPr>
            <w:noProof/>
            <w:webHidden/>
          </w:rPr>
          <w:fldChar w:fldCharType="end"/>
        </w:r>
      </w:hyperlink>
    </w:p>
    <w:p w:rsidR="000D5C64">
      <w:pPr>
        <w:pStyle w:val="TOC3"/>
        <w:tabs>
          <w:tab w:val="left" w:pos="2160"/>
        </w:tabs>
        <w:rPr>
          <w:rFonts w:asciiTheme="minorHAnsi" w:eastAsiaTheme="minorEastAsia" w:hAnsiTheme="minorHAnsi" w:cstheme="minorBidi"/>
          <w:noProof/>
          <w:sz w:val="22"/>
          <w:szCs w:val="22"/>
        </w:rPr>
      </w:pPr>
      <w:hyperlink w:anchor="_Toc50042257" w:history="1">
        <w:r w:rsidRPr="007E55B4">
          <w:rPr>
            <w:rStyle w:val="Hyperlink"/>
            <w:noProof/>
          </w:rPr>
          <w:t>6.</w:t>
        </w:r>
        <w:r>
          <w:rPr>
            <w:rFonts w:asciiTheme="minorHAnsi" w:eastAsiaTheme="minorEastAsia" w:hAnsiTheme="minorHAnsi" w:cstheme="minorBidi"/>
            <w:noProof/>
            <w:sz w:val="22"/>
            <w:szCs w:val="22"/>
          </w:rPr>
          <w:tab/>
        </w:r>
        <w:r w:rsidRPr="007E55B4">
          <w:rPr>
            <w:rStyle w:val="Hyperlink"/>
            <w:noProof/>
          </w:rPr>
          <w:t>Trying to predict the precise needs of consumers in 2022 and 2023 is impossible, so the PUCO should not predetermine, at this time, that millions of dollars be spent on weatherization in those years.</w:t>
        </w:r>
        <w:r>
          <w:rPr>
            <w:noProof/>
            <w:webHidden/>
          </w:rPr>
          <w:tab/>
        </w:r>
        <w:r>
          <w:rPr>
            <w:noProof/>
            <w:webHidden/>
          </w:rPr>
          <w:fldChar w:fldCharType="begin"/>
        </w:r>
        <w:r>
          <w:rPr>
            <w:noProof/>
            <w:webHidden/>
          </w:rPr>
          <w:instrText xml:space="preserve"> PAGEREF _Toc50042257 \h </w:instrText>
        </w:r>
        <w:r>
          <w:rPr>
            <w:noProof/>
            <w:webHidden/>
          </w:rPr>
          <w:fldChar w:fldCharType="separate"/>
        </w:r>
        <w:r>
          <w:rPr>
            <w:noProof/>
            <w:webHidden/>
          </w:rPr>
          <w:t>14</w:t>
        </w:r>
        <w:r>
          <w:rPr>
            <w:noProof/>
            <w:webHidden/>
          </w:rPr>
          <w:fldChar w:fldCharType="end"/>
        </w:r>
      </w:hyperlink>
    </w:p>
    <w:p w:rsidR="000D5C64">
      <w:pPr>
        <w:pStyle w:val="TOC2"/>
        <w:tabs>
          <w:tab w:val="left" w:pos="1440"/>
        </w:tabs>
        <w:rPr>
          <w:rFonts w:asciiTheme="minorHAnsi" w:eastAsiaTheme="minorEastAsia" w:hAnsiTheme="minorHAnsi" w:cstheme="minorBidi"/>
          <w:noProof/>
          <w:sz w:val="22"/>
          <w:szCs w:val="22"/>
        </w:rPr>
      </w:pPr>
      <w:hyperlink w:anchor="_Toc50042258" w:history="1">
        <w:r w:rsidRPr="007E55B4">
          <w:rPr>
            <w:rStyle w:val="Hyperlink"/>
            <w:noProof/>
          </w:rPr>
          <w:t>C.</w:t>
        </w:r>
        <w:r>
          <w:rPr>
            <w:rFonts w:asciiTheme="minorHAnsi" w:eastAsiaTheme="minorEastAsia" w:hAnsiTheme="minorHAnsi" w:cstheme="minorBidi"/>
            <w:noProof/>
            <w:sz w:val="22"/>
            <w:szCs w:val="22"/>
          </w:rPr>
          <w:tab/>
        </w:r>
        <w:r w:rsidRPr="007E55B4">
          <w:rPr>
            <w:rStyle w:val="Hyperlink"/>
            <w:noProof/>
          </w:rPr>
          <w:t>The Settlement violates the PUCO’s settlement standard requiring compliance with regulatory principles and practices.</w:t>
        </w:r>
        <w:r>
          <w:rPr>
            <w:noProof/>
            <w:webHidden/>
          </w:rPr>
          <w:tab/>
        </w:r>
        <w:r>
          <w:rPr>
            <w:noProof/>
            <w:webHidden/>
          </w:rPr>
          <w:fldChar w:fldCharType="begin"/>
        </w:r>
        <w:r>
          <w:rPr>
            <w:noProof/>
            <w:webHidden/>
          </w:rPr>
          <w:instrText xml:space="preserve"> PAGEREF _Toc50042258 \h </w:instrText>
        </w:r>
        <w:r>
          <w:rPr>
            <w:noProof/>
            <w:webHidden/>
          </w:rPr>
          <w:fldChar w:fldCharType="separate"/>
        </w:r>
        <w:r>
          <w:rPr>
            <w:noProof/>
            <w:webHidden/>
          </w:rPr>
          <w:t>14</w:t>
        </w:r>
        <w:r>
          <w:rPr>
            <w:noProof/>
            <w:webHidden/>
          </w:rPr>
          <w:fldChar w:fldCharType="end"/>
        </w:r>
      </w:hyperlink>
    </w:p>
    <w:p w:rsidR="000D5C64">
      <w:pPr>
        <w:pStyle w:val="TOC3"/>
        <w:tabs>
          <w:tab w:val="left" w:pos="2160"/>
        </w:tabs>
        <w:rPr>
          <w:rFonts w:asciiTheme="minorHAnsi" w:eastAsiaTheme="minorEastAsia" w:hAnsiTheme="minorHAnsi" w:cstheme="minorBidi"/>
          <w:noProof/>
          <w:sz w:val="22"/>
          <w:szCs w:val="22"/>
        </w:rPr>
      </w:pPr>
      <w:hyperlink w:anchor="_Toc50042259" w:history="1">
        <w:r w:rsidRPr="007E55B4">
          <w:rPr>
            <w:rStyle w:val="Hyperlink"/>
            <w:noProof/>
          </w:rPr>
          <w:t>1.</w:t>
        </w:r>
        <w:r>
          <w:rPr>
            <w:rFonts w:asciiTheme="minorHAnsi" w:eastAsiaTheme="minorEastAsia" w:hAnsiTheme="minorHAnsi" w:cstheme="minorBidi"/>
            <w:noProof/>
            <w:sz w:val="22"/>
            <w:szCs w:val="22"/>
          </w:rPr>
          <w:tab/>
        </w:r>
        <w:r w:rsidRPr="007E55B4">
          <w:rPr>
            <w:rStyle w:val="Hyperlink"/>
            <w:noProof/>
          </w:rPr>
          <w:t>The Settlement violates the regulatory principle requiring “reasonably priced” natural gas service for consumers.</w:t>
        </w:r>
        <w:r>
          <w:rPr>
            <w:noProof/>
            <w:webHidden/>
          </w:rPr>
          <w:tab/>
        </w:r>
        <w:r>
          <w:rPr>
            <w:noProof/>
            <w:webHidden/>
          </w:rPr>
          <w:fldChar w:fldCharType="begin"/>
        </w:r>
        <w:r>
          <w:rPr>
            <w:noProof/>
            <w:webHidden/>
          </w:rPr>
          <w:instrText xml:space="preserve"> PAGEREF _Toc50042259 \h </w:instrText>
        </w:r>
        <w:r>
          <w:rPr>
            <w:noProof/>
            <w:webHidden/>
          </w:rPr>
          <w:fldChar w:fldCharType="separate"/>
        </w:r>
        <w:r>
          <w:rPr>
            <w:noProof/>
            <w:webHidden/>
          </w:rPr>
          <w:t>14</w:t>
        </w:r>
        <w:r>
          <w:rPr>
            <w:noProof/>
            <w:webHidden/>
          </w:rPr>
          <w:fldChar w:fldCharType="end"/>
        </w:r>
      </w:hyperlink>
    </w:p>
    <w:p w:rsidR="000D5C64">
      <w:pPr>
        <w:pStyle w:val="TOC3"/>
        <w:tabs>
          <w:tab w:val="left" w:pos="2160"/>
        </w:tabs>
        <w:rPr>
          <w:rFonts w:asciiTheme="minorHAnsi" w:eastAsiaTheme="minorEastAsia" w:hAnsiTheme="minorHAnsi" w:cstheme="minorBidi"/>
          <w:noProof/>
          <w:sz w:val="22"/>
          <w:szCs w:val="22"/>
        </w:rPr>
      </w:pPr>
      <w:hyperlink w:anchor="_Toc50042260" w:history="1">
        <w:r w:rsidRPr="007E55B4">
          <w:rPr>
            <w:rStyle w:val="Hyperlink"/>
            <w:noProof/>
          </w:rPr>
          <w:t>2.</w:t>
        </w:r>
        <w:r>
          <w:rPr>
            <w:rFonts w:asciiTheme="minorHAnsi" w:eastAsiaTheme="minorEastAsia" w:hAnsiTheme="minorHAnsi" w:cstheme="minorBidi"/>
            <w:noProof/>
            <w:sz w:val="22"/>
            <w:szCs w:val="22"/>
          </w:rPr>
          <w:tab/>
        </w:r>
        <w:r w:rsidRPr="007E55B4">
          <w:rPr>
            <w:rStyle w:val="Hyperlink"/>
            <w:noProof/>
          </w:rPr>
          <w:t>The Settlement violates the regulatory principle and policy of promoting equity.</w:t>
        </w:r>
        <w:r>
          <w:rPr>
            <w:noProof/>
            <w:webHidden/>
          </w:rPr>
          <w:tab/>
        </w:r>
        <w:r>
          <w:rPr>
            <w:noProof/>
            <w:webHidden/>
          </w:rPr>
          <w:fldChar w:fldCharType="begin"/>
        </w:r>
        <w:r>
          <w:rPr>
            <w:noProof/>
            <w:webHidden/>
          </w:rPr>
          <w:instrText xml:space="preserve"> PAGEREF _Toc50042260 \h </w:instrText>
        </w:r>
        <w:r>
          <w:rPr>
            <w:noProof/>
            <w:webHidden/>
          </w:rPr>
          <w:fldChar w:fldCharType="separate"/>
        </w:r>
        <w:r>
          <w:rPr>
            <w:noProof/>
            <w:webHidden/>
          </w:rPr>
          <w:t>15</w:t>
        </w:r>
        <w:r>
          <w:rPr>
            <w:noProof/>
            <w:webHidden/>
          </w:rPr>
          <w:fldChar w:fldCharType="end"/>
        </w:r>
      </w:hyperlink>
    </w:p>
    <w:p w:rsidR="000D5C64">
      <w:pPr>
        <w:pStyle w:val="TOC1"/>
        <w:rPr>
          <w:rFonts w:asciiTheme="minorHAnsi" w:eastAsiaTheme="minorEastAsia" w:hAnsiTheme="minorHAnsi" w:cstheme="minorBidi"/>
          <w:caps w:val="0"/>
          <w:noProof/>
          <w:sz w:val="22"/>
          <w:szCs w:val="22"/>
        </w:rPr>
      </w:pPr>
      <w:hyperlink w:anchor="_Toc50042261" w:history="1">
        <w:r w:rsidRPr="007E55B4">
          <w:rPr>
            <w:rStyle w:val="Hyperlink"/>
            <w:noProof/>
          </w:rPr>
          <w:t>Iii.</w:t>
        </w:r>
        <w:r>
          <w:rPr>
            <w:rFonts w:asciiTheme="minorHAnsi" w:eastAsiaTheme="minorEastAsia" w:hAnsiTheme="minorHAnsi" w:cstheme="minorBidi"/>
            <w:caps w:val="0"/>
            <w:noProof/>
            <w:sz w:val="22"/>
            <w:szCs w:val="22"/>
          </w:rPr>
          <w:tab/>
        </w:r>
        <w:r w:rsidRPr="007E55B4">
          <w:rPr>
            <w:rStyle w:val="Hyperlink"/>
            <w:noProof/>
          </w:rPr>
          <w:t>CONCLUSION</w:t>
        </w:r>
        <w:r>
          <w:rPr>
            <w:noProof/>
            <w:webHidden/>
          </w:rPr>
          <w:tab/>
        </w:r>
        <w:r>
          <w:rPr>
            <w:noProof/>
            <w:webHidden/>
          </w:rPr>
          <w:fldChar w:fldCharType="begin"/>
        </w:r>
        <w:r>
          <w:rPr>
            <w:noProof/>
            <w:webHidden/>
          </w:rPr>
          <w:instrText xml:space="preserve"> PAGEREF _Toc50042261 \h </w:instrText>
        </w:r>
        <w:r>
          <w:rPr>
            <w:noProof/>
            <w:webHidden/>
          </w:rPr>
          <w:fldChar w:fldCharType="separate"/>
        </w:r>
        <w:r>
          <w:rPr>
            <w:noProof/>
            <w:webHidden/>
          </w:rPr>
          <w:t>15</w:t>
        </w:r>
        <w:r>
          <w:rPr>
            <w:noProof/>
            <w:webHidden/>
          </w:rPr>
          <w:fldChar w:fldCharType="end"/>
        </w:r>
      </w:hyperlink>
    </w:p>
    <w:p w:rsidR="00DA11D1" w:rsidP="002A5A45">
      <w:pPr>
        <w:pStyle w:val="Footer"/>
        <w:tabs>
          <w:tab w:val="left" w:pos="3960"/>
          <w:tab w:val="clear" w:pos="4320"/>
          <w:tab w:val="clear" w:pos="8640"/>
        </w:tabs>
        <w:spacing w:before="240"/>
        <w:jc w:val="center"/>
        <w:rPr>
          <w:b/>
          <w:bCs/>
          <w:sz w:val="24"/>
          <w:szCs w:val="24"/>
        </w:rPr>
        <w:sectPr w:rsidSect="00DA11D1">
          <w:footerReference w:type="first" r:id="rId11"/>
          <w:pgSz w:w="12240" w:h="15840"/>
          <w:pgMar w:top="1440" w:right="1440" w:bottom="1440" w:left="1440" w:header="720" w:footer="720" w:gutter="0"/>
          <w:pgNumType w:fmt="lowerRoman" w:start="1"/>
          <w:cols w:space="720"/>
          <w:titlePg/>
          <w:docGrid w:linePitch="326"/>
        </w:sectPr>
      </w:pPr>
      <w:r>
        <w:rPr>
          <w:b/>
          <w:bCs/>
          <w:sz w:val="24"/>
          <w:szCs w:val="24"/>
        </w:rPr>
        <w:fldChar w:fldCharType="end"/>
      </w:r>
    </w:p>
    <w:p w:rsidR="002A5A45" w:rsidRPr="00B54B36" w:rsidP="002A5A45">
      <w:pPr>
        <w:pStyle w:val="Footer"/>
        <w:tabs>
          <w:tab w:val="left" w:pos="3960"/>
          <w:tab w:val="clear" w:pos="4320"/>
          <w:tab w:val="clear" w:pos="8640"/>
        </w:tabs>
        <w:spacing w:before="240"/>
        <w:jc w:val="center"/>
        <w:rPr>
          <w:b/>
          <w:bCs/>
          <w:sz w:val="24"/>
          <w:szCs w:val="24"/>
        </w:rPr>
      </w:pPr>
      <w:r w:rsidRPr="00B54B36">
        <w:rPr>
          <w:b/>
          <w:bCs/>
          <w:sz w:val="24"/>
          <w:szCs w:val="24"/>
        </w:rPr>
        <w:t>BEFORE</w:t>
      </w:r>
    </w:p>
    <w:p w:rsidR="002A5A45" w:rsidRPr="00B54B36" w:rsidP="002A5A45">
      <w:pPr>
        <w:pStyle w:val="HTMLPreformatted"/>
        <w:jc w:val="center"/>
        <w:rPr>
          <w:rFonts w:ascii="Times New Roman" w:hAnsi="Times New Roman" w:cs="Times New Roman"/>
          <w:sz w:val="24"/>
          <w:szCs w:val="24"/>
        </w:rPr>
      </w:pPr>
      <w:r w:rsidRPr="00B54B36">
        <w:rPr>
          <w:rFonts w:ascii="Times New Roman" w:hAnsi="Times New Roman" w:cs="Times New Roman"/>
          <w:b/>
          <w:bCs/>
          <w:sz w:val="24"/>
          <w:szCs w:val="24"/>
        </w:rPr>
        <w:t>THE PUBLIC UTILITIES COMMISSION OF OHIO</w:t>
      </w:r>
    </w:p>
    <w:p w:rsidR="002A5A45" w:rsidRPr="00B54B36" w:rsidP="002A5A45">
      <w:pPr>
        <w:pStyle w:val="HTMLPreformatted"/>
        <w:rPr>
          <w:rFonts w:ascii="Times New Roman" w:hAnsi="Times New Roman" w:cs="Times New Roman"/>
          <w:sz w:val="24"/>
          <w:szCs w:val="24"/>
        </w:rPr>
      </w:pPr>
    </w:p>
    <w:tbl>
      <w:tblPr>
        <w:tblW w:w="9468" w:type="dxa"/>
        <w:tblLook w:val="01E0"/>
      </w:tblPr>
      <w:tblGrid>
        <w:gridCol w:w="4698"/>
        <w:gridCol w:w="360"/>
        <w:gridCol w:w="4410"/>
      </w:tblGrid>
      <w:tr w:rsidTr="0002433C">
        <w:tblPrEx>
          <w:tblW w:w="9468" w:type="dxa"/>
          <w:tblLook w:val="01E0"/>
        </w:tblPrEx>
        <w:trPr>
          <w:trHeight w:val="807"/>
        </w:trPr>
        <w:tc>
          <w:tcPr>
            <w:tcW w:w="4698" w:type="dxa"/>
            <w:shd w:val="clear" w:color="auto" w:fill="auto"/>
          </w:tcPr>
          <w:p w:rsidR="002A5A45" w:rsidRPr="00B54B36" w:rsidP="002A5A45">
            <w:pPr>
              <w:pStyle w:val="HTMLPreformatted"/>
              <w:rPr>
                <w:rFonts w:ascii="Times New Roman" w:hAnsi="Times New Roman" w:cs="Times New Roman"/>
                <w:sz w:val="24"/>
                <w:szCs w:val="24"/>
              </w:rPr>
            </w:pPr>
            <w:r w:rsidRPr="00B54B36">
              <w:rPr>
                <w:rFonts w:ascii="Times New Roman" w:hAnsi="Times New Roman" w:cs="Times New Roman"/>
                <w:sz w:val="24"/>
                <w:szCs w:val="24"/>
              </w:rPr>
              <w:t>In the Matter of the Application of Vectren Energy Delivery of Ohio, Inc. for Approval to Continue Demand Side Management Program for its Residential, Commercial, and Industrial Customers.</w:t>
            </w:r>
          </w:p>
        </w:tc>
        <w:tc>
          <w:tcPr>
            <w:tcW w:w="360" w:type="dxa"/>
            <w:shd w:val="clear" w:color="auto" w:fill="auto"/>
          </w:tcPr>
          <w:p w:rsidR="002A5A45" w:rsidRPr="00B54B36" w:rsidP="002A5A45">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p w:rsidR="002A5A45" w:rsidRPr="00B54B36" w:rsidP="002A5A45">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p w:rsidR="002A5A45" w:rsidRPr="00B54B36" w:rsidP="002A5A45">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p w:rsidR="002A5A45" w:rsidRPr="00B54B36" w:rsidP="002A5A45">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p w:rsidR="002A5A45" w:rsidRPr="00B54B36" w:rsidP="002A5A45">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tc>
        <w:tc>
          <w:tcPr>
            <w:tcW w:w="4410" w:type="dxa"/>
            <w:shd w:val="clear" w:color="auto" w:fill="auto"/>
          </w:tcPr>
          <w:p w:rsidR="002A5A45" w:rsidRPr="00B54B36" w:rsidP="002A5A45">
            <w:pPr>
              <w:pStyle w:val="HTMLPreformatted"/>
              <w:rPr>
                <w:rFonts w:ascii="Times New Roman" w:hAnsi="Times New Roman" w:cs="Times New Roman"/>
                <w:sz w:val="24"/>
                <w:szCs w:val="24"/>
              </w:rPr>
            </w:pPr>
          </w:p>
          <w:p w:rsidR="002A5A45" w:rsidRPr="00B54B36" w:rsidP="002A5A45">
            <w:pPr>
              <w:pStyle w:val="HTMLPreformatted"/>
              <w:rPr>
                <w:rFonts w:ascii="Times New Roman" w:hAnsi="Times New Roman" w:cs="Times New Roman"/>
                <w:sz w:val="24"/>
                <w:szCs w:val="24"/>
              </w:rPr>
            </w:pPr>
          </w:p>
          <w:p w:rsidR="002A5A45" w:rsidRPr="00B54B36" w:rsidP="002A5A45">
            <w:pPr>
              <w:pStyle w:val="HTMLPreformatted"/>
              <w:rPr>
                <w:rFonts w:ascii="Times New Roman" w:hAnsi="Times New Roman" w:cs="Times New Roman"/>
                <w:sz w:val="24"/>
                <w:szCs w:val="24"/>
              </w:rPr>
            </w:pPr>
            <w:r w:rsidRPr="00B54B36">
              <w:rPr>
                <w:rFonts w:ascii="Times New Roman" w:hAnsi="Times New Roman" w:cs="Times New Roman"/>
                <w:sz w:val="24"/>
                <w:szCs w:val="24"/>
              </w:rPr>
              <w:t>Case No. 19-2084-GA-UNC</w:t>
            </w:r>
          </w:p>
          <w:p w:rsidR="002A5A45" w:rsidRPr="00B54B36" w:rsidP="002A5A45">
            <w:pPr>
              <w:pStyle w:val="HTMLPreformatted"/>
              <w:rPr>
                <w:rFonts w:ascii="Times New Roman" w:hAnsi="Times New Roman" w:cs="Times New Roman"/>
                <w:sz w:val="24"/>
                <w:szCs w:val="24"/>
              </w:rPr>
            </w:pPr>
          </w:p>
        </w:tc>
      </w:tr>
    </w:tbl>
    <w:p w:rsidR="008852CC" w:rsidRPr="00D46F5E" w:rsidP="008852CC">
      <w:pPr>
        <w:pStyle w:val="HTMLPreformatted"/>
        <w:rPr>
          <w:rFonts w:ascii="Times New Roman" w:hAnsi="Times New Roman" w:cs="Times New Roman"/>
          <w:sz w:val="24"/>
          <w:szCs w:val="24"/>
        </w:rPr>
      </w:pPr>
    </w:p>
    <w:p w:rsidR="008852CC" w:rsidRPr="00D46F5E" w:rsidP="008852CC">
      <w:pPr>
        <w:pStyle w:val="HTMLPreformatted"/>
        <w:pBdr>
          <w:top w:val="single" w:sz="12" w:space="1" w:color="auto"/>
        </w:pBdr>
        <w:rPr>
          <w:rFonts w:ascii="Times New Roman" w:hAnsi="Times New Roman" w:cs="Times New Roman"/>
          <w:sz w:val="24"/>
          <w:szCs w:val="24"/>
        </w:rPr>
      </w:pPr>
    </w:p>
    <w:p w:rsidR="008852CC" w:rsidRPr="00D46F5E" w:rsidP="008852CC">
      <w:pPr>
        <w:jc w:val="center"/>
        <w:rPr>
          <w:b/>
          <w:bCs/>
          <w:szCs w:val="24"/>
        </w:rPr>
      </w:pPr>
      <w:r>
        <w:rPr>
          <w:b/>
          <w:bCs/>
          <w:szCs w:val="24"/>
        </w:rPr>
        <w:t>INITIAL</w:t>
      </w:r>
      <w:r w:rsidRPr="00D46F5E">
        <w:rPr>
          <w:b/>
          <w:bCs/>
          <w:szCs w:val="24"/>
        </w:rPr>
        <w:t xml:space="preserve"> BRIEF</w:t>
      </w:r>
    </w:p>
    <w:p w:rsidR="008852CC" w:rsidRPr="00D46F5E" w:rsidP="008852CC">
      <w:pPr>
        <w:jc w:val="center"/>
        <w:rPr>
          <w:b/>
          <w:bCs/>
          <w:szCs w:val="24"/>
        </w:rPr>
      </w:pPr>
      <w:r w:rsidRPr="00D46F5E">
        <w:rPr>
          <w:b/>
          <w:bCs/>
          <w:szCs w:val="24"/>
        </w:rPr>
        <w:t>BY</w:t>
      </w:r>
    </w:p>
    <w:p w:rsidR="008852CC" w:rsidRPr="00D46F5E" w:rsidP="008852CC">
      <w:pPr>
        <w:jc w:val="center"/>
        <w:rPr>
          <w:b/>
          <w:bCs/>
          <w:szCs w:val="24"/>
        </w:rPr>
      </w:pPr>
      <w:r w:rsidRPr="00D46F5E">
        <w:rPr>
          <w:b/>
          <w:bCs/>
          <w:szCs w:val="24"/>
        </w:rPr>
        <w:t>THE OFFICE OF THE OHIO CONSUMERS’ COUNSEL</w:t>
      </w:r>
    </w:p>
    <w:p w:rsidR="008852CC" w:rsidRPr="00D46F5E" w:rsidP="008852CC">
      <w:pPr>
        <w:pBdr>
          <w:bottom w:val="single" w:sz="12" w:space="1" w:color="auto"/>
        </w:pBdr>
        <w:tabs>
          <w:tab w:val="left" w:pos="4320"/>
        </w:tabs>
        <w:rPr>
          <w:szCs w:val="24"/>
        </w:rPr>
      </w:pPr>
    </w:p>
    <w:p w:rsidR="008852CC" w:rsidRPr="00D46F5E" w:rsidP="008852CC">
      <w:pPr>
        <w:tabs>
          <w:tab w:val="left" w:pos="4320"/>
        </w:tabs>
        <w:rPr>
          <w:szCs w:val="24"/>
        </w:rPr>
      </w:pPr>
    </w:p>
    <w:p w:rsidR="00A007B8" w:rsidRPr="00D46F5E" w:rsidP="008852CC">
      <w:pPr>
        <w:pStyle w:val="Heading1"/>
      </w:pPr>
      <w:bookmarkStart w:id="1" w:name="_Toc38958694"/>
      <w:bookmarkStart w:id="2" w:name="_Toc50042245"/>
      <w:r w:rsidRPr="00D46F5E">
        <w:t>I.</w:t>
      </w:r>
      <w:r w:rsidRPr="00D46F5E">
        <w:tab/>
        <w:t>INTRODUCTION</w:t>
      </w:r>
      <w:bookmarkEnd w:id="1"/>
      <w:bookmarkEnd w:id="2"/>
    </w:p>
    <w:p w:rsidR="003B568F" w:rsidRPr="006735F7" w:rsidP="0004208F">
      <w:pPr>
        <w:pStyle w:val="BodyTextIndent3"/>
        <w:spacing w:line="480" w:lineRule="auto"/>
        <w:rPr>
          <w:szCs w:val="24"/>
        </w:rPr>
      </w:pPr>
      <w:r>
        <w:rPr>
          <w:szCs w:val="24"/>
        </w:rPr>
        <w:t>This case offers the PUCO an opportunity to provide money to people who need it, including to people</w:t>
      </w:r>
      <w:r w:rsidR="00E07B23">
        <w:rPr>
          <w:szCs w:val="24"/>
        </w:rPr>
        <w:t xml:space="preserve"> in the Dayton area</w:t>
      </w:r>
      <w:r>
        <w:rPr>
          <w:szCs w:val="24"/>
        </w:rPr>
        <w:t xml:space="preserve"> who desperately need it for assistance paying their Vectren natural gas bills. </w:t>
      </w:r>
      <w:r w:rsidRPr="006735F7" w:rsidR="0018262C">
        <w:rPr>
          <w:szCs w:val="24"/>
        </w:rPr>
        <w:t>B</w:t>
      </w:r>
      <w:r w:rsidRPr="006735F7">
        <w:rPr>
          <w:szCs w:val="24"/>
        </w:rPr>
        <w:t xml:space="preserve">efore the coronavirus, </w:t>
      </w:r>
      <w:r>
        <w:rPr>
          <w:szCs w:val="24"/>
        </w:rPr>
        <w:t>many</w:t>
      </w:r>
      <w:r w:rsidRPr="006735F7">
        <w:rPr>
          <w:szCs w:val="24"/>
        </w:rPr>
        <w:t xml:space="preserve"> </w:t>
      </w:r>
      <w:r w:rsidRPr="006735F7" w:rsidR="00AC7C08">
        <w:rPr>
          <w:szCs w:val="24"/>
        </w:rPr>
        <w:t xml:space="preserve">people in </w:t>
      </w:r>
      <w:r>
        <w:rPr>
          <w:szCs w:val="24"/>
        </w:rPr>
        <w:t>the Dayton area</w:t>
      </w:r>
      <w:r w:rsidRPr="006735F7">
        <w:rPr>
          <w:szCs w:val="24"/>
        </w:rPr>
        <w:t xml:space="preserve"> faced financial distress and poverty, and </w:t>
      </w:r>
      <w:r>
        <w:rPr>
          <w:szCs w:val="24"/>
        </w:rPr>
        <w:t>many</w:t>
      </w:r>
      <w:r w:rsidRPr="006735F7">
        <w:rPr>
          <w:szCs w:val="24"/>
        </w:rPr>
        <w:t xml:space="preserve"> had inadequate access to food. Many of these Ohioans</w:t>
      </w:r>
      <w:r>
        <w:rPr>
          <w:szCs w:val="24"/>
        </w:rPr>
        <w:t xml:space="preserve"> </w:t>
      </w:r>
      <w:r w:rsidRPr="006735F7">
        <w:rPr>
          <w:szCs w:val="24"/>
        </w:rPr>
        <w:t xml:space="preserve">already struggled to pay their utility bills. The coronavirus </w:t>
      </w:r>
      <w:r w:rsidR="00F60C86">
        <w:rPr>
          <w:szCs w:val="24"/>
        </w:rPr>
        <w:t xml:space="preserve">pandemic </w:t>
      </w:r>
      <w:r w:rsidRPr="006735F7" w:rsidR="006735F7">
        <w:rPr>
          <w:szCs w:val="24"/>
        </w:rPr>
        <w:t>has made</w:t>
      </w:r>
      <w:r w:rsidRPr="006735F7">
        <w:rPr>
          <w:szCs w:val="24"/>
        </w:rPr>
        <w:t xml:space="preserve"> matters worse for </w:t>
      </w:r>
      <w:r w:rsidRPr="006735F7" w:rsidR="005A7B03">
        <w:rPr>
          <w:szCs w:val="24"/>
        </w:rPr>
        <w:t xml:space="preserve">many </w:t>
      </w:r>
      <w:r>
        <w:rPr>
          <w:szCs w:val="24"/>
        </w:rPr>
        <w:t>people</w:t>
      </w:r>
      <w:r w:rsidRPr="006735F7">
        <w:rPr>
          <w:szCs w:val="24"/>
        </w:rPr>
        <w:t xml:space="preserve">, and </w:t>
      </w:r>
      <w:r w:rsidRPr="006735F7" w:rsidR="0018262C">
        <w:rPr>
          <w:szCs w:val="24"/>
        </w:rPr>
        <w:t>many will</w:t>
      </w:r>
      <w:r w:rsidRPr="006735F7">
        <w:rPr>
          <w:szCs w:val="24"/>
        </w:rPr>
        <w:t xml:space="preserve"> face difficulties unlike any seen in their lifetimes.</w:t>
      </w:r>
    </w:p>
    <w:p w:rsidR="00837E03" w:rsidRPr="006735F7">
      <w:pPr>
        <w:pStyle w:val="BodyTextIndent3"/>
        <w:spacing w:line="480" w:lineRule="auto"/>
        <w:rPr>
          <w:szCs w:val="24"/>
        </w:rPr>
      </w:pPr>
      <w:r w:rsidRPr="006735F7">
        <w:rPr>
          <w:szCs w:val="24"/>
        </w:rPr>
        <w:t>The Office of the Ohio Consumers’ Cou</w:t>
      </w:r>
      <w:r w:rsidRPr="006735F7" w:rsidR="006735F7">
        <w:rPr>
          <w:szCs w:val="24"/>
        </w:rPr>
        <w:t xml:space="preserve">nsel (“OCC”) is proposing that about $1 million </w:t>
      </w:r>
      <w:r w:rsidR="00B111D4">
        <w:rPr>
          <w:szCs w:val="24"/>
        </w:rPr>
        <w:t xml:space="preserve">in </w:t>
      </w:r>
      <w:r w:rsidRPr="006735F7" w:rsidR="006735F7">
        <w:rPr>
          <w:szCs w:val="24"/>
        </w:rPr>
        <w:t xml:space="preserve">2020 and $2.2 million in 2021 </w:t>
      </w:r>
      <w:r w:rsidRPr="006735F7">
        <w:rPr>
          <w:szCs w:val="24"/>
        </w:rPr>
        <w:t xml:space="preserve">be </w:t>
      </w:r>
      <w:r w:rsidR="00B111D4">
        <w:rPr>
          <w:szCs w:val="24"/>
        </w:rPr>
        <w:t>repurposed</w:t>
      </w:r>
      <w:r w:rsidRPr="006735F7" w:rsidR="00B111D4">
        <w:rPr>
          <w:szCs w:val="24"/>
        </w:rPr>
        <w:t xml:space="preserve"> </w:t>
      </w:r>
      <w:r w:rsidRPr="006735F7">
        <w:rPr>
          <w:szCs w:val="24"/>
        </w:rPr>
        <w:t xml:space="preserve">to a new bill-payment assistance program for low and moderate income </w:t>
      </w:r>
      <w:r w:rsidR="00B111D4">
        <w:rPr>
          <w:szCs w:val="24"/>
        </w:rPr>
        <w:t>people</w:t>
      </w:r>
      <w:r w:rsidRPr="006735F7" w:rsidR="00B111D4">
        <w:rPr>
          <w:szCs w:val="24"/>
        </w:rPr>
        <w:t xml:space="preserve"> </w:t>
      </w:r>
      <w:r w:rsidRPr="006735F7">
        <w:rPr>
          <w:szCs w:val="24"/>
        </w:rPr>
        <w:t xml:space="preserve">in </w:t>
      </w:r>
      <w:r w:rsidR="00B111D4">
        <w:rPr>
          <w:szCs w:val="24"/>
        </w:rPr>
        <w:t>the Dayton</w:t>
      </w:r>
      <w:r w:rsidRPr="006735F7">
        <w:rPr>
          <w:szCs w:val="24"/>
        </w:rPr>
        <w:t xml:space="preserve"> area</w:t>
      </w:r>
      <w:r w:rsidR="00B111D4">
        <w:rPr>
          <w:szCs w:val="24"/>
        </w:rPr>
        <w:t xml:space="preserve"> (instead of using it</w:t>
      </w:r>
      <w:r w:rsidRPr="006735F7" w:rsidR="006735F7">
        <w:rPr>
          <w:szCs w:val="24"/>
        </w:rPr>
        <w:t xml:space="preserve"> for weatherization</w:t>
      </w:r>
      <w:r w:rsidR="0014330C">
        <w:rPr>
          <w:szCs w:val="24"/>
        </w:rPr>
        <w:t>)</w:t>
      </w:r>
      <w:r w:rsidR="00B111D4">
        <w:rPr>
          <w:szCs w:val="24"/>
        </w:rPr>
        <w:t>.</w:t>
      </w:r>
      <w:r w:rsidRPr="006735F7" w:rsidR="0018262C">
        <w:rPr>
          <w:szCs w:val="24"/>
        </w:rPr>
        <w:t xml:space="preserve"> </w:t>
      </w:r>
      <w:r w:rsidR="003037C4">
        <w:rPr>
          <w:szCs w:val="24"/>
        </w:rPr>
        <w:t xml:space="preserve">It does not make sense </w:t>
      </w:r>
      <w:r w:rsidR="00B111D4">
        <w:rPr>
          <w:szCs w:val="24"/>
        </w:rPr>
        <w:t xml:space="preserve">in this health crisis </w:t>
      </w:r>
      <w:r w:rsidR="003037C4">
        <w:rPr>
          <w:szCs w:val="24"/>
        </w:rPr>
        <w:t xml:space="preserve">to spend more than $2 million to weatherize </w:t>
      </w:r>
      <w:r w:rsidR="00B111D4">
        <w:rPr>
          <w:szCs w:val="24"/>
        </w:rPr>
        <w:t xml:space="preserve">a mere </w:t>
      </w:r>
      <w:r w:rsidR="003037C4">
        <w:rPr>
          <w:szCs w:val="24"/>
        </w:rPr>
        <w:t xml:space="preserve">334 homes per year </w:t>
      </w:r>
      <w:r w:rsidR="00077ABF">
        <w:rPr>
          <w:szCs w:val="24"/>
        </w:rPr>
        <w:t>when that money can instead be used</w:t>
      </w:r>
      <w:r w:rsidR="003037C4">
        <w:rPr>
          <w:szCs w:val="24"/>
        </w:rPr>
        <w:t xml:space="preserve"> to provide bill payment assistance to as many as 10,000 </w:t>
      </w:r>
      <w:r w:rsidR="00C56779">
        <w:rPr>
          <w:szCs w:val="24"/>
        </w:rPr>
        <w:t>customers</w:t>
      </w:r>
      <w:r w:rsidR="00B111D4">
        <w:rPr>
          <w:szCs w:val="24"/>
        </w:rPr>
        <w:t xml:space="preserve"> in the Dayton area</w:t>
      </w:r>
      <w:r w:rsidR="003037C4">
        <w:rPr>
          <w:szCs w:val="24"/>
        </w:rPr>
        <w:t>.</w:t>
      </w:r>
    </w:p>
    <w:p w:rsidR="000D4421" w:rsidRPr="00617C14" w:rsidP="000D4421">
      <w:pPr>
        <w:spacing w:line="480" w:lineRule="auto"/>
        <w:ind w:firstLine="720"/>
      </w:pPr>
      <w:r w:rsidRPr="006735F7">
        <w:rPr>
          <w:szCs w:val="24"/>
        </w:rPr>
        <w:t xml:space="preserve">The </w:t>
      </w:r>
      <w:r w:rsidR="00077ABF">
        <w:rPr>
          <w:szCs w:val="24"/>
        </w:rPr>
        <w:t>Settlement reached between</w:t>
      </w:r>
      <w:r w:rsidR="00FC40FE">
        <w:rPr>
          <w:szCs w:val="24"/>
        </w:rPr>
        <w:t xml:space="preserve"> Vectren, the PUCO Staff, Ohio Partners for Affordable Energy, and the Environmental Law &amp; Policy Center</w:t>
      </w:r>
      <w:r w:rsidR="00077ABF">
        <w:rPr>
          <w:szCs w:val="24"/>
        </w:rPr>
        <w:t xml:space="preserve"> </w:t>
      </w:r>
      <w:r w:rsidR="001F243B">
        <w:rPr>
          <w:szCs w:val="24"/>
        </w:rPr>
        <w:t>rejects</w:t>
      </w:r>
      <w:r w:rsidR="00077ABF">
        <w:rPr>
          <w:szCs w:val="24"/>
        </w:rPr>
        <w:t xml:space="preserve"> the repurposing that would provide relief for the neediest of the needy. On top of that, the Settlement </w:t>
      </w:r>
      <w:r w:rsidRPr="006735F7">
        <w:rPr>
          <w:szCs w:val="24"/>
        </w:rPr>
        <w:t>would require customers to pay $17.5 million</w:t>
      </w:r>
      <w:r w:rsidR="0014330C">
        <w:rPr>
          <w:szCs w:val="24"/>
        </w:rPr>
        <w:t xml:space="preserve"> in subsidies to Vectren</w:t>
      </w:r>
      <w:r w:rsidRPr="006735F7">
        <w:rPr>
          <w:szCs w:val="24"/>
        </w:rPr>
        <w:t xml:space="preserve"> over the next three years for natural gas energy efficiency programs. </w:t>
      </w:r>
      <w:r w:rsidR="0014330C">
        <w:rPr>
          <w:szCs w:val="24"/>
        </w:rPr>
        <w:t>E</w:t>
      </w:r>
      <w:r w:rsidR="0072423D">
        <w:rPr>
          <w:szCs w:val="24"/>
        </w:rPr>
        <w:t>n</w:t>
      </w:r>
      <w:r>
        <w:rPr>
          <w:szCs w:val="24"/>
        </w:rPr>
        <w:t>ergy efficiency</w:t>
      </w:r>
      <w:r w:rsidR="001F243B">
        <w:rPr>
          <w:szCs w:val="24"/>
        </w:rPr>
        <w:t xml:space="preserve"> is a good thing</w:t>
      </w:r>
      <w:r>
        <w:rPr>
          <w:szCs w:val="24"/>
        </w:rPr>
        <w:t xml:space="preserve">. </w:t>
      </w:r>
      <w:r w:rsidR="001F243B">
        <w:rPr>
          <w:szCs w:val="24"/>
        </w:rPr>
        <w:t xml:space="preserve">But energy efficiency </w:t>
      </w:r>
      <w:r w:rsidR="0014330C">
        <w:rPr>
          <w:szCs w:val="24"/>
        </w:rPr>
        <w:t>is</w:t>
      </w:r>
      <w:r w:rsidR="001F243B">
        <w:rPr>
          <w:szCs w:val="24"/>
        </w:rPr>
        <w:t xml:space="preserve"> available to consumers in local stores and online without any need for involvement by Vectren or the government. </w:t>
      </w:r>
      <w:r>
        <w:rPr>
          <w:szCs w:val="24"/>
        </w:rPr>
        <w:t>If Vectren wants to run an energy efficiency program</w:t>
      </w:r>
      <w:r w:rsidR="006738EF">
        <w:rPr>
          <w:szCs w:val="24"/>
        </w:rPr>
        <w:t xml:space="preserve"> for its </w:t>
      </w:r>
      <w:r w:rsidR="00934530">
        <w:rPr>
          <w:szCs w:val="24"/>
        </w:rPr>
        <w:t xml:space="preserve">corporate </w:t>
      </w:r>
      <w:r w:rsidR="006738EF">
        <w:rPr>
          <w:szCs w:val="24"/>
        </w:rPr>
        <w:t>sustainability efforts</w:t>
      </w:r>
      <w:r>
        <w:rPr>
          <w:szCs w:val="24"/>
        </w:rPr>
        <w:t>, it should do so</w:t>
      </w:r>
      <w:r w:rsidR="00C56779">
        <w:rPr>
          <w:szCs w:val="24"/>
        </w:rPr>
        <w:t>—</w:t>
      </w:r>
      <w:r w:rsidR="006738EF">
        <w:rPr>
          <w:szCs w:val="24"/>
        </w:rPr>
        <w:t>on its own dime</w:t>
      </w:r>
      <w:r>
        <w:rPr>
          <w:szCs w:val="24"/>
        </w:rPr>
        <w:t xml:space="preserve">. </w:t>
      </w:r>
      <w:r w:rsidR="00FC40FE">
        <w:rPr>
          <w:szCs w:val="24"/>
        </w:rPr>
        <w:t>But</w:t>
      </w:r>
      <w:r>
        <w:rPr>
          <w:szCs w:val="24"/>
        </w:rPr>
        <w:t xml:space="preserve"> Vectren should not ask its customers to pay for it.</w:t>
      </w:r>
    </w:p>
    <w:p w:rsidR="006735F7">
      <w:pPr>
        <w:pStyle w:val="BodyTextIndent3"/>
        <w:spacing w:line="480" w:lineRule="auto"/>
        <w:rPr>
          <w:szCs w:val="24"/>
        </w:rPr>
      </w:pPr>
      <w:r w:rsidRPr="006735F7">
        <w:rPr>
          <w:szCs w:val="24"/>
        </w:rPr>
        <w:t>In this time of crisis, customers need lower natural gas bills, not higher ones.</w:t>
      </w:r>
      <w:r w:rsidR="00077ABF">
        <w:rPr>
          <w:szCs w:val="24"/>
        </w:rPr>
        <w:t xml:space="preserve"> The Settlement should be rejected. </w:t>
      </w:r>
    </w:p>
    <w:p w:rsidR="0002433C" w:rsidRPr="006735F7" w:rsidP="0002433C">
      <w:pPr>
        <w:pStyle w:val="BodyTextIndent3"/>
        <w:spacing w:line="240" w:lineRule="auto"/>
        <w:rPr>
          <w:szCs w:val="24"/>
        </w:rPr>
      </w:pPr>
    </w:p>
    <w:p w:rsidR="00A007B8" w:rsidRPr="00D46F5E" w:rsidP="008852CC">
      <w:pPr>
        <w:pStyle w:val="Heading1"/>
      </w:pPr>
      <w:bookmarkStart w:id="3" w:name="_Toc38958699"/>
      <w:bookmarkStart w:id="4" w:name="_Toc50042246"/>
      <w:r w:rsidRPr="00D46F5E">
        <w:t>II.</w:t>
      </w:r>
      <w:r w:rsidRPr="00D46F5E">
        <w:tab/>
        <w:t>RECOMMENDATIONS</w:t>
      </w:r>
      <w:bookmarkEnd w:id="3"/>
      <w:bookmarkEnd w:id="4"/>
    </w:p>
    <w:p w:rsidR="00A007B8" w:rsidP="00DC2854">
      <w:pPr>
        <w:pStyle w:val="Heading2"/>
      </w:pPr>
      <w:bookmarkStart w:id="5" w:name="_Toc38958700"/>
      <w:bookmarkStart w:id="6" w:name="_Toc50042247"/>
      <w:r w:rsidRPr="00D46F5E">
        <w:t>A.</w:t>
      </w:r>
      <w:r w:rsidRPr="00D46F5E">
        <w:tab/>
      </w:r>
      <w:bookmarkEnd w:id="5"/>
      <w:r w:rsidR="003217F2">
        <w:t xml:space="preserve">The Settlement </w:t>
      </w:r>
      <w:r w:rsidR="004E53C9">
        <w:t>does not meet the PUCO</w:t>
      </w:r>
      <w:r w:rsidR="004E53C9">
        <w:rPr>
          <w:rFonts w:hint="eastAsia"/>
        </w:rPr>
        <w:t>’</w:t>
      </w:r>
      <w:r w:rsidR="004E53C9">
        <w:t xml:space="preserve">s standard of benefits for customers and the public interest </w:t>
      </w:r>
      <w:r w:rsidR="00617C14">
        <w:t>because it adds $1</w:t>
      </w:r>
      <w:r w:rsidR="005305FD">
        <w:t>7.5</w:t>
      </w:r>
      <w:r w:rsidR="00617C14">
        <w:t xml:space="preserve"> million to customers’ bills for unnecessary energy efficiency programs</w:t>
      </w:r>
      <w:r w:rsidR="00C40712">
        <w:t xml:space="preserve"> during a time where Ohio families are struggling to pay for necessities.</w:t>
      </w:r>
      <w:bookmarkEnd w:id="6"/>
    </w:p>
    <w:p w:rsidR="00617C14" w:rsidP="00617C14">
      <w:pPr>
        <w:pStyle w:val="BodyTextIndent3"/>
        <w:spacing w:line="480" w:lineRule="auto"/>
        <w:rPr>
          <w:szCs w:val="24"/>
        </w:rPr>
      </w:pPr>
      <w:r>
        <w:rPr>
          <w:szCs w:val="24"/>
        </w:rPr>
        <w:t>The Settlement is largely a wholesale adoption of Vectren’s application. The only monetary concessions that Vectren made were (1) the elimination of the request for utility profits on energ</w:t>
      </w:r>
      <w:r w:rsidR="00C56779">
        <w:rPr>
          <w:szCs w:val="24"/>
        </w:rPr>
        <w:t xml:space="preserve">y efficiency (“shared savings”), </w:t>
      </w:r>
      <w:r>
        <w:rPr>
          <w:szCs w:val="24"/>
        </w:rPr>
        <w:t xml:space="preserve">which Vectren has never gotten in the past, and (2) the elimination of a single program (the multi-family direct install program run jointly with DP&amp;L) that Vectren was unlikely to be able to run anyway because of the </w:t>
      </w:r>
      <w:r w:rsidR="00E70F03">
        <w:rPr>
          <w:szCs w:val="24"/>
        </w:rPr>
        <w:t>impending</w:t>
      </w:r>
      <w:r>
        <w:rPr>
          <w:szCs w:val="24"/>
        </w:rPr>
        <w:t xml:space="preserve"> termination of DP&amp;L’s energy efficiency programs.</w:t>
      </w:r>
      <w:r>
        <w:rPr>
          <w:rStyle w:val="FootnoteReference"/>
          <w:szCs w:val="24"/>
        </w:rPr>
        <w:footnoteReference w:id="2"/>
      </w:r>
    </w:p>
    <w:p w:rsidR="00617C14" w:rsidRPr="00617C14" w:rsidP="00617C14">
      <w:pPr>
        <w:spacing w:line="480" w:lineRule="auto"/>
        <w:ind w:firstLine="720"/>
      </w:pPr>
      <w:r>
        <w:rPr>
          <w:szCs w:val="24"/>
        </w:rPr>
        <w:t>Otherwise, the Settlement calls for customers to pay about $1</w:t>
      </w:r>
      <w:r w:rsidR="005305FD">
        <w:rPr>
          <w:szCs w:val="24"/>
        </w:rPr>
        <w:t>7.5</w:t>
      </w:r>
      <w:r>
        <w:rPr>
          <w:szCs w:val="24"/>
        </w:rPr>
        <w:t xml:space="preserve"> million from 2021 to 2023 for energy efficiency programs</w:t>
      </w:r>
      <w:r w:rsidR="005305FD">
        <w:rPr>
          <w:szCs w:val="24"/>
        </w:rPr>
        <w:t>: $6.3 million for low-income programs and $11.2 million for non-low-income programs</w:t>
      </w:r>
      <w:r>
        <w:rPr>
          <w:szCs w:val="24"/>
        </w:rPr>
        <w:t>.</w:t>
      </w:r>
      <w:r>
        <w:rPr>
          <w:rStyle w:val="FootnoteReference"/>
          <w:szCs w:val="24"/>
        </w:rPr>
        <w:footnoteReference w:id="3"/>
      </w:r>
      <w:r>
        <w:rPr>
          <w:szCs w:val="24"/>
        </w:rPr>
        <w:t xml:space="preserve"> If approved, residential customers would have no choice</w:t>
      </w:r>
      <w:r w:rsidR="00E70F03">
        <w:rPr>
          <w:szCs w:val="24"/>
        </w:rPr>
        <w:t xml:space="preserve"> about paying for these programs</w:t>
      </w:r>
      <w:r>
        <w:rPr>
          <w:szCs w:val="24"/>
        </w:rPr>
        <w:t xml:space="preserve">. </w:t>
      </w:r>
      <w:r w:rsidR="00F60C86">
        <w:rPr>
          <w:szCs w:val="24"/>
        </w:rPr>
        <w:t xml:space="preserve">Customers </w:t>
      </w:r>
      <w:r>
        <w:rPr>
          <w:szCs w:val="24"/>
        </w:rPr>
        <w:t xml:space="preserve">would be required to pay for them even if they don’t participate in the programs. </w:t>
      </w:r>
      <w:r w:rsidR="00F60C86">
        <w:rPr>
          <w:szCs w:val="24"/>
        </w:rPr>
        <w:t xml:space="preserve">Customers </w:t>
      </w:r>
      <w:r>
        <w:rPr>
          <w:szCs w:val="24"/>
        </w:rPr>
        <w:t xml:space="preserve">would be required to pay for them even if they </w:t>
      </w:r>
      <w:r w:rsidRPr="00893D0C">
        <w:rPr>
          <w:szCs w:val="24"/>
        </w:rPr>
        <w:t>can’t</w:t>
      </w:r>
      <w:r>
        <w:rPr>
          <w:szCs w:val="24"/>
        </w:rPr>
        <w:t xml:space="preserve"> participate in the programs. </w:t>
      </w:r>
      <w:r w:rsidR="00F60C86">
        <w:rPr>
          <w:szCs w:val="24"/>
        </w:rPr>
        <w:t xml:space="preserve">Customers </w:t>
      </w:r>
      <w:r>
        <w:rPr>
          <w:szCs w:val="24"/>
        </w:rPr>
        <w:t>would be required to pay them even if they can’t afford to—for example, if they are one of the many Ohioans recently unemployed as a result of the coronavirus pandemic.</w:t>
      </w:r>
      <w:r w:rsidR="00723BFB">
        <w:rPr>
          <w:szCs w:val="24"/>
        </w:rPr>
        <w:t xml:space="preserve"> </w:t>
      </w:r>
    </w:p>
    <w:p w:rsidR="00161849" w:rsidRPr="00D46F5E" w:rsidP="008852CC">
      <w:pPr>
        <w:pStyle w:val="Heading3"/>
      </w:pPr>
      <w:bookmarkStart w:id="7" w:name="_Toc38958701"/>
      <w:bookmarkStart w:id="8" w:name="_Toc50042248"/>
      <w:r w:rsidRPr="00D46F5E">
        <w:t>1.</w:t>
      </w:r>
      <w:r w:rsidRPr="00D46F5E">
        <w:tab/>
      </w:r>
      <w:bookmarkEnd w:id="7"/>
      <w:r w:rsidR="0002642D">
        <w:t xml:space="preserve">Many </w:t>
      </w:r>
      <w:r w:rsidRPr="00D46F5E" w:rsidR="00E70F03">
        <w:t xml:space="preserve">Ohioans </w:t>
      </w:r>
      <w:r w:rsidR="004E53C9">
        <w:t xml:space="preserve">already </w:t>
      </w:r>
      <w:r w:rsidRPr="00D46F5E" w:rsidR="00E70F03">
        <w:t>were suffering from poverty and lack of access to adequate food</w:t>
      </w:r>
      <w:r w:rsidR="0002642D">
        <w:t xml:space="preserve"> in the Dayton area</w:t>
      </w:r>
      <w:r w:rsidRPr="00D46F5E" w:rsidR="00E70F03">
        <w:t>, even before the coronavirus emergency</w:t>
      </w:r>
      <w:r w:rsidR="004E53C9">
        <w:t xml:space="preserve"> worsened their plight</w:t>
      </w:r>
      <w:r w:rsidRPr="00D46F5E" w:rsidR="00E70F03">
        <w:t>.</w:t>
      </w:r>
      <w:bookmarkEnd w:id="8"/>
    </w:p>
    <w:p w:rsidR="00617C14" w:rsidRPr="00D46F5E" w:rsidP="00617C14">
      <w:pPr>
        <w:pStyle w:val="BodyTextIndent3"/>
        <w:spacing w:line="480" w:lineRule="auto"/>
        <w:rPr>
          <w:szCs w:val="24"/>
        </w:rPr>
      </w:pPr>
      <w:r>
        <w:rPr>
          <w:szCs w:val="24"/>
        </w:rPr>
        <w:t>OCC witness Williams, an expert in low-income consumer issues, testified that p</w:t>
      </w:r>
      <w:r w:rsidRPr="00D46F5E">
        <w:rPr>
          <w:szCs w:val="24"/>
        </w:rPr>
        <w:t xml:space="preserve">re-coronavirus, </w:t>
      </w:r>
      <w:r>
        <w:rPr>
          <w:szCs w:val="24"/>
        </w:rPr>
        <w:t xml:space="preserve">more than 32% of Dayton, Ohio citizens </w:t>
      </w:r>
      <w:r w:rsidRPr="00D46F5E">
        <w:rPr>
          <w:szCs w:val="24"/>
        </w:rPr>
        <w:t>lived in poverty.</w:t>
      </w:r>
      <w:r>
        <w:rPr>
          <w:rStyle w:val="FootnoteReference"/>
          <w:szCs w:val="24"/>
        </w:rPr>
        <w:footnoteReference w:id="4"/>
      </w:r>
      <w:r w:rsidRPr="00D46F5E">
        <w:rPr>
          <w:szCs w:val="24"/>
        </w:rPr>
        <w:t xml:space="preserve"> And</w:t>
      </w:r>
      <w:r>
        <w:rPr>
          <w:szCs w:val="24"/>
        </w:rPr>
        <w:t xml:space="preserve"> Mr. Williams testified that</w:t>
      </w:r>
      <w:r w:rsidRPr="00D46F5E">
        <w:rPr>
          <w:szCs w:val="24"/>
        </w:rPr>
        <w:t xml:space="preserve"> </w:t>
      </w:r>
      <w:r>
        <w:rPr>
          <w:szCs w:val="24"/>
        </w:rPr>
        <w:t>17.5</w:t>
      </w:r>
      <w:r w:rsidRPr="00D46F5E">
        <w:rPr>
          <w:szCs w:val="24"/>
        </w:rPr>
        <w:t xml:space="preserve">% of Ohioans </w:t>
      </w:r>
      <w:r>
        <w:rPr>
          <w:szCs w:val="24"/>
        </w:rPr>
        <w:t xml:space="preserve">in Montgomery County </w:t>
      </w:r>
      <w:r w:rsidRPr="00D46F5E">
        <w:rPr>
          <w:szCs w:val="24"/>
        </w:rPr>
        <w:t>do not have sufficient financial resources to maintain a healthy supply of food at their household.</w:t>
      </w:r>
      <w:r>
        <w:rPr>
          <w:rStyle w:val="FootnoteReference"/>
          <w:szCs w:val="24"/>
        </w:rPr>
        <w:footnoteReference w:id="5"/>
      </w:r>
      <w:r w:rsidR="00B874C0">
        <w:rPr>
          <w:szCs w:val="24"/>
        </w:rPr>
        <w:t xml:space="preserve"> T</w:t>
      </w:r>
      <w:r w:rsidRPr="00D46F5E">
        <w:rPr>
          <w:szCs w:val="24"/>
        </w:rPr>
        <w:t xml:space="preserve">his was </w:t>
      </w:r>
      <w:r w:rsidRPr="00D46F5E">
        <w:rPr>
          <w:i/>
          <w:szCs w:val="24"/>
        </w:rPr>
        <w:t>before</w:t>
      </w:r>
      <w:r w:rsidRPr="00D46F5E">
        <w:rPr>
          <w:szCs w:val="24"/>
        </w:rPr>
        <w:t xml:space="preserve"> the coronavirus emergency—before businesses began closing in droves, and before unemployment claims in Ohio skyrocketed.</w:t>
      </w:r>
    </w:p>
    <w:p w:rsidR="00617C14" w:rsidRPr="00D46F5E" w:rsidP="00617C14">
      <w:pPr>
        <w:pStyle w:val="BodyTextIndent3"/>
        <w:spacing w:line="480" w:lineRule="auto"/>
        <w:rPr>
          <w:szCs w:val="24"/>
        </w:rPr>
      </w:pPr>
      <w:r>
        <w:rPr>
          <w:szCs w:val="24"/>
        </w:rPr>
        <w:t>As of June 2020, the Dayton-area unemployment rate was 10.7%.</w:t>
      </w:r>
      <w:r>
        <w:rPr>
          <w:rStyle w:val="FootnoteReference"/>
          <w:szCs w:val="24"/>
        </w:rPr>
        <w:footnoteReference w:id="6"/>
      </w:r>
      <w:r>
        <w:rPr>
          <w:szCs w:val="24"/>
        </w:rPr>
        <w:t xml:space="preserve"> This is more than double the June 2019 unemployment rate of 4.3%.</w:t>
      </w:r>
      <w:r>
        <w:rPr>
          <w:rStyle w:val="FootnoteReference"/>
          <w:szCs w:val="24"/>
        </w:rPr>
        <w:footnoteReference w:id="7"/>
      </w:r>
      <w:r>
        <w:rPr>
          <w:szCs w:val="24"/>
        </w:rPr>
        <w:t xml:space="preserve"> </w:t>
      </w:r>
      <w:r w:rsidRPr="00D46F5E">
        <w:rPr>
          <w:szCs w:val="24"/>
        </w:rPr>
        <w:t xml:space="preserve">This rampant unemployment has hit every county that </w:t>
      </w:r>
      <w:r>
        <w:rPr>
          <w:szCs w:val="24"/>
        </w:rPr>
        <w:t>Vectren</w:t>
      </w:r>
      <w:r w:rsidRPr="00D46F5E">
        <w:rPr>
          <w:szCs w:val="24"/>
        </w:rPr>
        <w:t xml:space="preserve"> serves.</w:t>
      </w:r>
      <w:r>
        <w:rPr>
          <w:rStyle w:val="FootnoteReference"/>
          <w:szCs w:val="24"/>
        </w:rPr>
        <w:footnoteReference w:id="8"/>
      </w:r>
    </w:p>
    <w:p w:rsidR="00617C14" w:rsidP="00617C14">
      <w:pPr>
        <w:pStyle w:val="BodyTextIndent3"/>
        <w:spacing w:line="480" w:lineRule="auto"/>
        <w:rPr>
          <w:szCs w:val="24"/>
        </w:rPr>
      </w:pPr>
      <w:r w:rsidRPr="00D46F5E">
        <w:rPr>
          <w:szCs w:val="24"/>
        </w:rPr>
        <w:t xml:space="preserve">The struggle will continue. </w:t>
      </w:r>
      <w:r>
        <w:rPr>
          <w:szCs w:val="24"/>
        </w:rPr>
        <w:t>OCC witness Williams testified to the</w:t>
      </w:r>
      <w:r w:rsidRPr="00D46F5E">
        <w:rPr>
          <w:szCs w:val="24"/>
        </w:rPr>
        <w:t xml:space="preserve"> concern that Ohio’s food insecurity problems </w:t>
      </w:r>
      <w:r>
        <w:rPr>
          <w:szCs w:val="24"/>
        </w:rPr>
        <w:t>have nearly doubled in many areas across the state due to the pandemic</w:t>
      </w:r>
      <w:r w:rsidRPr="00D46F5E">
        <w:rPr>
          <w:szCs w:val="24"/>
        </w:rPr>
        <w:t>.</w:t>
      </w:r>
      <w:r>
        <w:rPr>
          <w:rStyle w:val="FootnoteReference"/>
          <w:szCs w:val="24"/>
        </w:rPr>
        <w:footnoteReference w:id="9"/>
      </w:r>
      <w:r w:rsidRPr="00D46F5E">
        <w:rPr>
          <w:szCs w:val="24"/>
        </w:rPr>
        <w:t xml:space="preserve"> </w:t>
      </w:r>
      <w:r>
        <w:rPr>
          <w:szCs w:val="24"/>
        </w:rPr>
        <w:t>Ohio families</w:t>
      </w:r>
      <w:r w:rsidRPr="00D46F5E">
        <w:rPr>
          <w:szCs w:val="24"/>
        </w:rPr>
        <w:t xml:space="preserve"> will continue to feel the financial impacts of the virus for years, not months. As OCC witness Williams explained, “</w:t>
      </w:r>
      <w:r>
        <w:rPr>
          <w:szCs w:val="24"/>
        </w:rPr>
        <w:t>it is likely that the fallout from the coronavirus and ensuing financial emergency will extent to 2022 or even later</w:t>
      </w:r>
      <w:r w:rsidRPr="00D46F5E">
        <w:rPr>
          <w:szCs w:val="24"/>
        </w:rPr>
        <w:t>.”</w:t>
      </w:r>
      <w:r>
        <w:rPr>
          <w:rStyle w:val="FootnoteReference"/>
          <w:szCs w:val="24"/>
        </w:rPr>
        <w:footnoteReference w:id="10"/>
      </w:r>
      <w:r w:rsidRPr="00D46F5E">
        <w:rPr>
          <w:szCs w:val="24"/>
        </w:rPr>
        <w:t xml:space="preserve"> Among many other financial worries, “many Ohioans will struggle to pay their utility bills.”</w:t>
      </w:r>
      <w:r>
        <w:rPr>
          <w:rStyle w:val="FootnoteReference"/>
          <w:szCs w:val="24"/>
        </w:rPr>
        <w:footnoteReference w:id="11"/>
      </w:r>
      <w:r w:rsidRPr="00D46F5E">
        <w:rPr>
          <w:szCs w:val="24"/>
        </w:rPr>
        <w:t xml:space="preserve"> This includes customers “who have historically paid their bills in full and on time but who may be unable to continue doing so following the economic fallout of the coronavirus pandemic.”</w:t>
      </w:r>
      <w:r>
        <w:rPr>
          <w:rStyle w:val="FootnoteReference"/>
          <w:szCs w:val="24"/>
        </w:rPr>
        <w:footnoteReference w:id="12"/>
      </w:r>
    </w:p>
    <w:p w:rsidR="00561387" w:rsidP="00617C14">
      <w:pPr>
        <w:pStyle w:val="BodyTextIndent3"/>
        <w:spacing w:line="480" w:lineRule="auto"/>
        <w:rPr>
          <w:szCs w:val="24"/>
        </w:rPr>
      </w:pPr>
      <w:r w:rsidRPr="00D46F5E">
        <w:rPr>
          <w:szCs w:val="24"/>
        </w:rPr>
        <w:t>In short, many Ohioans were already struggling before the coronavirus emergency, and their struggles will increase during and after the emergency. There will also be a whole new set of Ohioans who face new and unforeseen health and financial difficulties as a result of the coronavirus emergency. The PUCO, along with other government agencies, should be looking for any and all opportunities to help these consumers.</w:t>
      </w:r>
      <w:r w:rsidR="00E70F03">
        <w:rPr>
          <w:szCs w:val="24"/>
        </w:rPr>
        <w:t xml:space="preserve"> This includes not adding millions of dollars in </w:t>
      </w:r>
      <w:r w:rsidR="00F60C86">
        <w:rPr>
          <w:szCs w:val="24"/>
        </w:rPr>
        <w:t xml:space="preserve">needless </w:t>
      </w:r>
      <w:r w:rsidR="00E70F03">
        <w:rPr>
          <w:szCs w:val="24"/>
        </w:rPr>
        <w:t>new subsidies to their natural gas bills.</w:t>
      </w:r>
    </w:p>
    <w:p w:rsidR="00E70F03" w:rsidRPr="00DC2854" w:rsidP="0002433C">
      <w:pPr>
        <w:pStyle w:val="Heading3"/>
        <w:rPr>
          <w:szCs w:val="24"/>
        </w:rPr>
      </w:pPr>
      <w:bookmarkStart w:id="9" w:name="_Toc50042249"/>
      <w:r>
        <w:rPr>
          <w:szCs w:val="24"/>
        </w:rPr>
        <w:t>2.</w:t>
      </w:r>
      <w:r>
        <w:rPr>
          <w:szCs w:val="24"/>
        </w:rPr>
        <w:tab/>
      </w:r>
      <w:r w:rsidRPr="0002433C">
        <w:t xml:space="preserve">In an era of </w:t>
      </w:r>
      <w:r w:rsidR="004E53C9">
        <w:t xml:space="preserve">historically </w:t>
      </w:r>
      <w:r w:rsidRPr="0002433C">
        <w:t xml:space="preserve">low natural gas prices that </w:t>
      </w:r>
      <w:r w:rsidR="004E53C9">
        <w:t>are</w:t>
      </w:r>
      <w:r w:rsidRPr="0002433C" w:rsidR="004E53C9">
        <w:t xml:space="preserve"> </w:t>
      </w:r>
      <w:r w:rsidRPr="0002433C">
        <w:t xml:space="preserve">expected to </w:t>
      </w:r>
      <w:r w:rsidR="0002642D">
        <w:t>stay low</w:t>
      </w:r>
      <w:r w:rsidRPr="0002433C" w:rsidR="0002642D">
        <w:t xml:space="preserve"> </w:t>
      </w:r>
      <w:r w:rsidRPr="0002433C">
        <w:t xml:space="preserve">for many years, </w:t>
      </w:r>
      <w:r w:rsidR="004E53C9">
        <w:t xml:space="preserve">the value proposition for </w:t>
      </w:r>
      <w:r w:rsidRPr="0002433C">
        <w:t xml:space="preserve">energy efficiency </w:t>
      </w:r>
      <w:r w:rsidR="004E53C9">
        <w:t>has been much diminished, even before</w:t>
      </w:r>
      <w:r w:rsidRPr="0002433C">
        <w:t xml:space="preserve"> the coronavirus emergency</w:t>
      </w:r>
      <w:r w:rsidR="004E53C9">
        <w:t xml:space="preserve"> created a greater need for bill payment assistance </w:t>
      </w:r>
      <w:r w:rsidR="004E53C9">
        <w:rPr>
          <w:rFonts w:hint="eastAsia"/>
        </w:rPr>
        <w:t>instead</w:t>
      </w:r>
      <w:r w:rsidR="004E53C9">
        <w:t xml:space="preserve"> of energy efficiency</w:t>
      </w:r>
      <w:r w:rsidRPr="0002433C">
        <w:t>.</w:t>
      </w:r>
      <w:bookmarkEnd w:id="9"/>
    </w:p>
    <w:p w:rsidR="00E70F03" w:rsidP="00E70F03">
      <w:pPr>
        <w:pStyle w:val="BodyTextIndent3"/>
        <w:spacing w:line="480" w:lineRule="auto"/>
        <w:rPr>
          <w:szCs w:val="24"/>
        </w:rPr>
      </w:pPr>
      <w:r>
        <w:rPr>
          <w:szCs w:val="24"/>
        </w:rPr>
        <w:t>As OCC witness Shutrump explained, “natural gas energy efficiency programs were initiated largely as a response to high natural gas prices.”</w:t>
      </w:r>
      <w:r>
        <w:rPr>
          <w:rStyle w:val="FootnoteReference"/>
          <w:szCs w:val="24"/>
        </w:rPr>
        <w:footnoteReference w:id="13"/>
      </w:r>
      <w:r>
        <w:rPr>
          <w:szCs w:val="24"/>
        </w:rPr>
        <w:t xml:space="preserve"> Between 2000 and 2010, natural gas prices were substantially higher than they are now—more than triple current prices at their peak.</w:t>
      </w:r>
      <w:r>
        <w:rPr>
          <w:rStyle w:val="FootnoteReference"/>
          <w:szCs w:val="24"/>
        </w:rPr>
        <w:footnoteReference w:id="14"/>
      </w:r>
      <w:r>
        <w:rPr>
          <w:szCs w:val="24"/>
        </w:rPr>
        <w:t xml:space="preserve"> As a result, natural gas energy efficiency programs made more sense than they do now. The math is simple. </w:t>
      </w:r>
      <w:r w:rsidRPr="00D46F5E">
        <w:rPr>
          <w:szCs w:val="24"/>
        </w:rPr>
        <w:t>If you reduce your usage by 1 Mcf when gas costs $14 per Mcf, you save $14. But when gas costs $3 per Mcf, you only save $3. As O</w:t>
      </w:r>
      <w:r>
        <w:rPr>
          <w:szCs w:val="24"/>
        </w:rPr>
        <w:t>CC witness Shutrump explained, “When gas prices are low, the programs are less cost-effective and the payback period for energy efficiency equipment is much longer.”</w:t>
      </w:r>
      <w:r>
        <w:rPr>
          <w:rStyle w:val="FootnoteReference"/>
          <w:szCs w:val="24"/>
        </w:rPr>
        <w:footnoteReference w:id="15"/>
      </w:r>
      <w:r>
        <w:rPr>
          <w:szCs w:val="24"/>
        </w:rPr>
        <w:t xml:space="preserve"> </w:t>
      </w:r>
    </w:p>
    <w:p w:rsidR="00E70F03" w:rsidP="00E70F03">
      <w:pPr>
        <w:pStyle w:val="BodyTextIndent3"/>
        <w:spacing w:line="480" w:lineRule="auto"/>
        <w:rPr>
          <w:szCs w:val="24"/>
        </w:rPr>
      </w:pPr>
      <w:r>
        <w:rPr>
          <w:szCs w:val="24"/>
        </w:rPr>
        <w:t xml:space="preserve">And as Ms. Shutrump further explained, gas prices are projected to stay low for the foreseeable future, with the Federal Energy Information Administration projecting prices below $4 per million BTU in its reference case for the next </w:t>
      </w:r>
      <w:r>
        <w:rPr>
          <w:i/>
          <w:szCs w:val="24"/>
        </w:rPr>
        <w:t>30 years</w:t>
      </w:r>
      <w:r>
        <w:rPr>
          <w:szCs w:val="24"/>
        </w:rPr>
        <w:t>.</w:t>
      </w:r>
      <w:r>
        <w:rPr>
          <w:rStyle w:val="FootnoteReference"/>
          <w:szCs w:val="24"/>
        </w:rPr>
        <w:footnoteReference w:id="16"/>
      </w:r>
      <w:r>
        <w:rPr>
          <w:szCs w:val="24"/>
        </w:rPr>
        <w:t xml:space="preserve"> This is consistent with the opinion of regulatory expert Kenneth Costello, who recently wrote that “the rationales for EE programs of both electric and gas utilities are less valid today than when they were first implemented” because “natural gas prices are low and expect to remain so for the next several years.”</w:t>
      </w:r>
      <w:r>
        <w:rPr>
          <w:rStyle w:val="FootnoteReference"/>
          <w:szCs w:val="24"/>
        </w:rPr>
        <w:footnoteReference w:id="17"/>
      </w:r>
    </w:p>
    <w:p w:rsidR="00E70F03" w:rsidP="00E70F03">
      <w:pPr>
        <w:pStyle w:val="BodyTextIndent3"/>
        <w:spacing w:line="480" w:lineRule="auto"/>
        <w:rPr>
          <w:szCs w:val="24"/>
        </w:rPr>
      </w:pPr>
      <w:r>
        <w:rPr>
          <w:szCs w:val="24"/>
        </w:rPr>
        <w:t xml:space="preserve">In short, natural gas energy efficiency </w:t>
      </w:r>
      <w:r w:rsidR="00F60C86">
        <w:rPr>
          <w:szCs w:val="24"/>
        </w:rPr>
        <w:t>no longer</w:t>
      </w:r>
      <w:r>
        <w:rPr>
          <w:szCs w:val="24"/>
        </w:rPr>
        <w:t xml:space="preserve"> make</w:t>
      </w:r>
      <w:r w:rsidR="00F60C86">
        <w:rPr>
          <w:szCs w:val="24"/>
        </w:rPr>
        <w:t>s</w:t>
      </w:r>
      <w:r>
        <w:rPr>
          <w:szCs w:val="24"/>
        </w:rPr>
        <w:t xml:space="preserve"> </w:t>
      </w:r>
      <w:r w:rsidR="00BA04FB">
        <w:rPr>
          <w:szCs w:val="24"/>
        </w:rPr>
        <w:t xml:space="preserve">economic </w:t>
      </w:r>
      <w:r>
        <w:rPr>
          <w:szCs w:val="24"/>
        </w:rPr>
        <w:t xml:space="preserve">sense for consumers when natural gas prices are so low—even without facing a once-in-a-lifetime </w:t>
      </w:r>
      <w:r w:rsidR="000D4421">
        <w:rPr>
          <w:szCs w:val="24"/>
        </w:rPr>
        <w:t xml:space="preserve">health and </w:t>
      </w:r>
      <w:r>
        <w:rPr>
          <w:szCs w:val="24"/>
        </w:rPr>
        <w:t xml:space="preserve">financial </w:t>
      </w:r>
      <w:r w:rsidR="00F60C86">
        <w:rPr>
          <w:szCs w:val="24"/>
        </w:rPr>
        <w:t>crisis</w:t>
      </w:r>
      <w:r>
        <w:rPr>
          <w:szCs w:val="24"/>
        </w:rPr>
        <w:t>.</w:t>
      </w:r>
    </w:p>
    <w:p w:rsidR="00E70F03" w:rsidRPr="00DC2854" w:rsidP="0002433C">
      <w:pPr>
        <w:pStyle w:val="Heading3"/>
        <w:rPr>
          <w:szCs w:val="24"/>
        </w:rPr>
      </w:pPr>
      <w:bookmarkStart w:id="10" w:name="_Toc50042250"/>
      <w:r>
        <w:rPr>
          <w:szCs w:val="24"/>
        </w:rPr>
        <w:t>3.</w:t>
      </w:r>
      <w:r>
        <w:rPr>
          <w:szCs w:val="24"/>
        </w:rPr>
        <w:tab/>
      </w:r>
      <w:r w:rsidR="004E53C9">
        <w:rPr>
          <w:szCs w:val="24"/>
        </w:rPr>
        <w:t xml:space="preserve">The involvement of Vectren and the government in charging consumers subsidies for natural gas energy efficiency </w:t>
      </w:r>
      <w:r w:rsidR="004E53C9">
        <w:rPr>
          <w:rFonts w:hint="eastAsia"/>
          <w:szCs w:val="24"/>
        </w:rPr>
        <w:t>programs</w:t>
      </w:r>
      <w:r w:rsidR="004E53C9">
        <w:rPr>
          <w:szCs w:val="24"/>
        </w:rPr>
        <w:t xml:space="preserve"> is not needed where consumers can choose energy efficiency measures in their local stores and online at competitive prices.</w:t>
      </w:r>
      <w:bookmarkEnd w:id="10"/>
    </w:p>
    <w:p w:rsidR="00E70F03" w:rsidP="00E70F03">
      <w:pPr>
        <w:pStyle w:val="BodyTextIndent3"/>
        <w:spacing w:line="480" w:lineRule="auto"/>
        <w:rPr>
          <w:szCs w:val="24"/>
        </w:rPr>
      </w:pPr>
      <w:r w:rsidRPr="00D46F5E">
        <w:rPr>
          <w:szCs w:val="24"/>
        </w:rPr>
        <w:t xml:space="preserve">In a capitalist society, competitive markets work if consumers have the right to decide how to spend their own money. In a recent article, regulatory expert Kenneth Costello challenged the belief that the government must step in and </w:t>
      </w:r>
      <w:r w:rsidRPr="00D46F5E">
        <w:rPr>
          <w:i/>
          <w:szCs w:val="24"/>
        </w:rPr>
        <w:t>require</w:t>
      </w:r>
      <w:r w:rsidRPr="00D46F5E">
        <w:rPr>
          <w:szCs w:val="24"/>
        </w:rPr>
        <w:t xml:space="preserve"> customers to pay for utility-run energy efficiency programs rather than letting customers make energy efficiency decisions for themselves in the competitive market.</w:t>
      </w:r>
      <w:r>
        <w:rPr>
          <w:rStyle w:val="FootnoteReference"/>
          <w:szCs w:val="24"/>
        </w:rPr>
        <w:footnoteReference w:id="18"/>
      </w:r>
      <w:r w:rsidRPr="00D46F5E">
        <w:rPr>
          <w:szCs w:val="24"/>
        </w:rPr>
        <w:t xml:space="preserve"> </w:t>
      </w:r>
    </w:p>
    <w:p w:rsidR="00E70F03" w:rsidRPr="00D46F5E" w:rsidP="00C56779">
      <w:pPr>
        <w:pStyle w:val="BodyTextIndent3"/>
        <w:keepNext/>
        <w:spacing w:line="480" w:lineRule="auto"/>
        <w:rPr>
          <w:szCs w:val="24"/>
        </w:rPr>
      </w:pPr>
      <w:r w:rsidRPr="00D46F5E">
        <w:rPr>
          <w:szCs w:val="24"/>
        </w:rPr>
        <w:t>According to Mr. Costello:</w:t>
      </w:r>
    </w:p>
    <w:p w:rsidR="00E70F03" w:rsidRPr="00D46F5E" w:rsidP="00E70F03">
      <w:pPr>
        <w:pStyle w:val="BodyTextIndent3"/>
        <w:spacing w:after="240" w:line="240" w:lineRule="auto"/>
        <w:ind w:left="720" w:right="720" w:firstLine="0"/>
        <w:jc w:val="both"/>
        <w:rPr>
          <w:szCs w:val="24"/>
        </w:rPr>
      </w:pPr>
      <w:r w:rsidRPr="00D46F5E">
        <w:rPr>
          <w:szCs w:val="24"/>
        </w:rPr>
        <w:t>It seems that the rationales for [energy efficiency] programs of both electric and gas utilities are less valid today that when they were first implemented. Their customers have better information on [energy efficiency] programs, and natural gas prices are low and expect to remain so for the next several years. Presumably, the most cost-effective actions have already been exploited. Thus, market failures for [energy efficiency] have decreased over time, lessening the need to have utility or government intervention to advance [energy efficiency].</w:t>
      </w:r>
    </w:p>
    <w:p w:rsidR="00E70F03" w:rsidRPr="00D46F5E" w:rsidP="00E70F03">
      <w:pPr>
        <w:pStyle w:val="BodyTextIndent3"/>
        <w:spacing w:after="240" w:line="240" w:lineRule="auto"/>
        <w:ind w:left="720" w:firstLine="0"/>
        <w:jc w:val="both"/>
        <w:rPr>
          <w:szCs w:val="24"/>
        </w:rPr>
      </w:pPr>
      <w:r w:rsidRPr="00D46F5E">
        <w:rPr>
          <w:szCs w:val="24"/>
        </w:rPr>
        <w:t>...</w:t>
      </w:r>
    </w:p>
    <w:p w:rsidR="00E70F03" w:rsidP="00763B87">
      <w:pPr>
        <w:pStyle w:val="BodyTextIndent3"/>
        <w:spacing w:after="240" w:line="240" w:lineRule="auto"/>
        <w:ind w:left="720" w:right="720" w:firstLine="0"/>
        <w:jc w:val="both"/>
        <w:rPr>
          <w:szCs w:val="24"/>
        </w:rPr>
      </w:pPr>
      <w:r w:rsidRPr="00D46F5E">
        <w:rPr>
          <w:szCs w:val="24"/>
        </w:rPr>
        <w:t>[S]ociety should rely more heavily on the marketplace to influence [energy efficiency] investments, or the role of utilities should be increasingly displaced by better-functioning market mechanisms that rely on the self-interest of individual customers to reduce their energy bills.</w:t>
      </w:r>
      <w:r>
        <w:rPr>
          <w:rStyle w:val="FootnoteReference"/>
          <w:szCs w:val="24"/>
        </w:rPr>
        <w:footnoteReference w:id="19"/>
      </w:r>
    </w:p>
    <w:p w:rsidR="00E70F03" w:rsidRPr="00D46F5E" w:rsidP="00E70F03">
      <w:pPr>
        <w:pStyle w:val="BodyTextIndent3"/>
        <w:spacing w:line="480" w:lineRule="auto"/>
        <w:rPr>
          <w:szCs w:val="24"/>
        </w:rPr>
      </w:pPr>
      <w:r w:rsidRPr="00D46F5E">
        <w:rPr>
          <w:szCs w:val="24"/>
        </w:rPr>
        <w:t>As OCC witness Shutrump explained, “there is a thriving competitive market for the provision of energy-efficient technologies, numerous manufacturers producing those technologies, and many retailers offering those technologies.”</w:t>
      </w:r>
      <w:r>
        <w:rPr>
          <w:rStyle w:val="FootnoteReference"/>
          <w:szCs w:val="24"/>
        </w:rPr>
        <w:footnoteReference w:id="20"/>
      </w:r>
      <w:r w:rsidRPr="00D46F5E">
        <w:rPr>
          <w:szCs w:val="24"/>
        </w:rPr>
        <w:t xml:space="preserve"> The market for energy efficient products has developed substantially in the last 20 years. More than 80% of Americans now recognize the Energy Star label, and there are more than 70 categories of Energy Star certified products.</w:t>
      </w:r>
      <w:r>
        <w:rPr>
          <w:rStyle w:val="FootnoteReference"/>
          <w:szCs w:val="24"/>
        </w:rPr>
        <w:footnoteReference w:id="21"/>
      </w:r>
      <w:r w:rsidRPr="00D46F5E">
        <w:rPr>
          <w:szCs w:val="24"/>
        </w:rPr>
        <w:t xml:space="preserve"> Consumers “have options to choose among a variety of energy efficient options depending on how much they choose to save and at what price.”</w:t>
      </w:r>
      <w:r>
        <w:rPr>
          <w:rStyle w:val="FootnoteReference"/>
          <w:szCs w:val="24"/>
        </w:rPr>
        <w:footnoteReference w:id="22"/>
      </w:r>
      <w:r w:rsidR="00C40712">
        <w:rPr>
          <w:szCs w:val="24"/>
        </w:rPr>
        <w:t xml:space="preserve"> In this case, the PUCO must determine whether the settlement, which provides for unnecessary subsidies</w:t>
      </w:r>
      <w:r w:rsidR="00E25523">
        <w:rPr>
          <w:szCs w:val="24"/>
        </w:rPr>
        <w:t xml:space="preserve"> and bill charges</w:t>
      </w:r>
      <w:r w:rsidR="00C40712">
        <w:rPr>
          <w:szCs w:val="24"/>
        </w:rPr>
        <w:t xml:space="preserve">, is reasonable given the market provides </w:t>
      </w:r>
      <w:r w:rsidR="00E25523">
        <w:rPr>
          <w:szCs w:val="24"/>
        </w:rPr>
        <w:t>numerous options for customers. And in fact, the settlement harms non-participating customers who desperately need the PUCO to make decisions based on the public interest during a once</w:t>
      </w:r>
      <w:r w:rsidR="001D2C0A">
        <w:rPr>
          <w:szCs w:val="24"/>
        </w:rPr>
        <w:t>-</w:t>
      </w:r>
      <w:r w:rsidR="00F16417">
        <w:rPr>
          <w:szCs w:val="24"/>
        </w:rPr>
        <w:t>in</w:t>
      </w:r>
      <w:r w:rsidR="001D2C0A">
        <w:rPr>
          <w:szCs w:val="24"/>
        </w:rPr>
        <w:t>-</w:t>
      </w:r>
      <w:r w:rsidR="00E25523">
        <w:rPr>
          <w:szCs w:val="24"/>
        </w:rPr>
        <w:t>a</w:t>
      </w:r>
      <w:r w:rsidR="001D2C0A">
        <w:rPr>
          <w:szCs w:val="24"/>
        </w:rPr>
        <w:t>-</w:t>
      </w:r>
      <w:r w:rsidR="00E25523">
        <w:rPr>
          <w:szCs w:val="24"/>
        </w:rPr>
        <w:t>lifetime pandemic</w:t>
      </w:r>
      <w:r w:rsidR="00EA3393">
        <w:rPr>
          <w:szCs w:val="24"/>
        </w:rPr>
        <w:t xml:space="preserve"> crisis</w:t>
      </w:r>
      <w:r w:rsidR="00E25523">
        <w:rPr>
          <w:szCs w:val="24"/>
        </w:rPr>
        <w:t>.</w:t>
      </w:r>
    </w:p>
    <w:p w:rsidR="00561387" w:rsidP="00E70F03">
      <w:pPr>
        <w:pStyle w:val="BodyTextIndent3"/>
        <w:spacing w:line="480" w:lineRule="auto"/>
        <w:rPr>
          <w:szCs w:val="24"/>
        </w:rPr>
      </w:pPr>
      <w:r w:rsidRPr="00D46F5E">
        <w:rPr>
          <w:szCs w:val="24"/>
        </w:rPr>
        <w:t>Mr. Costello found that when utilities hire third parties to evaluate their programs, those third parties “often yield results that are much more optimistic about energy savings than subsequent academic, peer-reviewed studies of the programs once they are in place.”</w:t>
      </w:r>
      <w:r>
        <w:rPr>
          <w:rStyle w:val="FootnoteReference"/>
          <w:szCs w:val="24"/>
        </w:rPr>
        <w:footnoteReference w:id="23"/>
      </w:r>
      <w:r w:rsidRPr="00D46F5E">
        <w:rPr>
          <w:szCs w:val="24"/>
        </w:rPr>
        <w:t xml:space="preserve"> Indeed, these academic studies “find that utilities grossly overstate energy savings from [energy efficiency] programs,” perhaps by as much as 50% or more.</w:t>
      </w:r>
      <w:r>
        <w:rPr>
          <w:rStyle w:val="FootnoteReference"/>
          <w:szCs w:val="24"/>
        </w:rPr>
        <w:footnoteReference w:id="24"/>
      </w:r>
      <w:r w:rsidRPr="00D46F5E">
        <w:rPr>
          <w:szCs w:val="24"/>
        </w:rPr>
        <w:t xml:space="preserve"> Further, benefits that do accrue </w:t>
      </w:r>
      <w:r>
        <w:rPr>
          <w:szCs w:val="24"/>
        </w:rPr>
        <w:t xml:space="preserve">result in </w:t>
      </w:r>
      <w:r w:rsidRPr="00D46F5E">
        <w:rPr>
          <w:szCs w:val="24"/>
        </w:rPr>
        <w:t>benefit</w:t>
      </w:r>
      <w:r w:rsidR="001D2C0A">
        <w:rPr>
          <w:szCs w:val="24"/>
        </w:rPr>
        <w:t>s</w:t>
      </w:r>
      <w:r>
        <w:rPr>
          <w:szCs w:val="24"/>
        </w:rPr>
        <w:t xml:space="preserve"> to</w:t>
      </w:r>
      <w:r w:rsidRPr="00D46F5E">
        <w:rPr>
          <w:szCs w:val="24"/>
        </w:rPr>
        <w:t xml:space="preserve"> “only a relatively few customers, most of whom can afford to pay for higher [energy efficiency] without any financial assistance.”</w:t>
      </w:r>
      <w:r>
        <w:rPr>
          <w:rStyle w:val="FootnoteReference"/>
          <w:szCs w:val="24"/>
        </w:rPr>
        <w:footnoteReference w:id="25"/>
      </w:r>
    </w:p>
    <w:p w:rsidR="00B874C0" w:rsidP="00E70F03">
      <w:pPr>
        <w:pStyle w:val="BodyTextIndent3"/>
        <w:spacing w:line="480" w:lineRule="auto"/>
        <w:rPr>
          <w:szCs w:val="24"/>
        </w:rPr>
      </w:pPr>
      <w:r>
        <w:rPr>
          <w:szCs w:val="24"/>
        </w:rPr>
        <w:t>It is unjust and unreasonable for customers to keep paying to subsidize natural gas utility energy efficiency programs when those same customers can go to the store and purchase energy efficient equipment without subsidies. “The market has transformed and utility involvement in offering programs is no longer needed.”</w:t>
      </w:r>
      <w:r>
        <w:rPr>
          <w:rStyle w:val="FootnoteReference"/>
          <w:szCs w:val="24"/>
        </w:rPr>
        <w:footnoteReference w:id="26"/>
      </w:r>
    </w:p>
    <w:p w:rsidR="00561387" w:rsidRPr="00DC2854" w:rsidP="0002433C">
      <w:pPr>
        <w:pStyle w:val="Heading2"/>
      </w:pPr>
      <w:bookmarkStart w:id="11" w:name="_Toc50042251"/>
      <w:r>
        <w:t>B.</w:t>
      </w:r>
      <w:r>
        <w:tab/>
      </w:r>
      <w:r w:rsidRPr="0002433C">
        <w:t xml:space="preserve">The Settlement </w:t>
      </w:r>
      <w:r w:rsidR="00050777">
        <w:t>lacks the benefit that is need</w:t>
      </w:r>
      <w:r w:rsidR="00C56779">
        <w:t xml:space="preserve">ed now for customers, which is </w:t>
      </w:r>
      <w:r w:rsidRPr="0002433C">
        <w:t>bill-payment assistance in 2020 and 2021, rather than charging customers for low-income weatherization programs.</w:t>
      </w:r>
      <w:bookmarkEnd w:id="11"/>
    </w:p>
    <w:p w:rsidR="001E4672" w:rsidRPr="001E4672" w:rsidP="0002433C">
      <w:pPr>
        <w:pStyle w:val="Heading3"/>
      </w:pPr>
      <w:bookmarkStart w:id="12" w:name="_Toc50042252"/>
      <w:r>
        <w:t>1.</w:t>
      </w:r>
      <w:r>
        <w:tab/>
      </w:r>
      <w:r w:rsidRPr="0002433C">
        <w:t>The best use of funds during and after the coronavirus pandemic and financial emergency is bill payment assistance.</w:t>
      </w:r>
      <w:bookmarkEnd w:id="12"/>
    </w:p>
    <w:p w:rsidR="00104252" w:rsidP="0004208F">
      <w:pPr>
        <w:pStyle w:val="BodyTextIndent3"/>
        <w:spacing w:line="480" w:lineRule="auto"/>
        <w:rPr>
          <w:szCs w:val="24"/>
        </w:rPr>
      </w:pPr>
      <w:r>
        <w:rPr>
          <w:szCs w:val="24"/>
        </w:rPr>
        <w:t>As OCC witness Williams explained, “Vectren consumers have an immediate need for direct bill payment assistance during the current global pandemic that far outweighs any benefits that might result from the Settlement.”</w:t>
      </w:r>
      <w:r>
        <w:rPr>
          <w:rStyle w:val="FootnoteReference"/>
          <w:szCs w:val="24"/>
        </w:rPr>
        <w:footnoteReference w:id="27"/>
      </w:r>
      <w:r w:rsidR="00CB198B">
        <w:rPr>
          <w:szCs w:val="24"/>
        </w:rPr>
        <w:t xml:space="preserve"> From March to June 2020, Vectren issued disconnection notices to more than 94,000 residential customers—nearly a third of Vectren’s residential customers.</w:t>
      </w:r>
      <w:r>
        <w:rPr>
          <w:rStyle w:val="FootnoteReference"/>
          <w:szCs w:val="24"/>
        </w:rPr>
        <w:footnoteReference w:id="28"/>
      </w:r>
      <w:r w:rsidR="00CB198B">
        <w:rPr>
          <w:szCs w:val="24"/>
        </w:rPr>
        <w:t xml:space="preserve"> These customers owed more than $54 million to Vectren.</w:t>
      </w:r>
      <w:r>
        <w:rPr>
          <w:rStyle w:val="FootnoteReference"/>
          <w:szCs w:val="24"/>
        </w:rPr>
        <w:footnoteReference w:id="29"/>
      </w:r>
      <w:r w:rsidR="00CB198B">
        <w:rPr>
          <w:szCs w:val="24"/>
        </w:rPr>
        <w:t xml:space="preserve"> To avoid disconnection, the average customer would need to pay Vectren $451.</w:t>
      </w:r>
      <w:r>
        <w:rPr>
          <w:rStyle w:val="FootnoteReference"/>
          <w:szCs w:val="24"/>
        </w:rPr>
        <w:footnoteReference w:id="30"/>
      </w:r>
    </w:p>
    <w:p w:rsidR="00CB198B" w:rsidP="0004208F">
      <w:pPr>
        <w:pStyle w:val="BodyTextIndent3"/>
        <w:spacing w:line="480" w:lineRule="auto"/>
        <w:rPr>
          <w:szCs w:val="24"/>
        </w:rPr>
      </w:pPr>
      <w:r>
        <w:rPr>
          <w:szCs w:val="24"/>
        </w:rPr>
        <w:t>Weatherization cannot help anywhere near 94,000 residential customers. To the contrary, Vectren’s weatherization program helps just 334 customers per year.</w:t>
      </w:r>
      <w:r>
        <w:rPr>
          <w:rStyle w:val="FootnoteReference"/>
          <w:szCs w:val="24"/>
        </w:rPr>
        <w:footnoteReference w:id="31"/>
      </w:r>
      <w:r>
        <w:rPr>
          <w:szCs w:val="24"/>
        </w:rPr>
        <w:t xml:space="preserve"> And weatherization is expensive. Vectren projects a cost of more than $6,200 to weatherize a single home.</w:t>
      </w:r>
      <w:r>
        <w:rPr>
          <w:rStyle w:val="FootnoteReference"/>
          <w:szCs w:val="24"/>
        </w:rPr>
        <w:footnoteReference w:id="32"/>
      </w:r>
      <w:r>
        <w:rPr>
          <w:szCs w:val="24"/>
        </w:rPr>
        <w:t xml:space="preserve"> The calculus is simple: does it make more sense to spend more than $2 million to weatherize 334 homes per year, or does it make sense to use this money to provide bill payment assistance to as many as 10,000 customers?</w:t>
      </w:r>
      <w:r>
        <w:rPr>
          <w:rStyle w:val="FootnoteReference"/>
          <w:szCs w:val="24"/>
        </w:rPr>
        <w:footnoteReference w:id="33"/>
      </w:r>
    </w:p>
    <w:p w:rsidR="00CB198B" w:rsidP="00CB198B">
      <w:pPr>
        <w:pStyle w:val="BodyTextIndent3"/>
        <w:spacing w:line="480" w:lineRule="auto"/>
        <w:rPr>
          <w:szCs w:val="24"/>
        </w:rPr>
      </w:pPr>
      <w:r w:rsidRPr="00D46F5E">
        <w:rPr>
          <w:szCs w:val="24"/>
        </w:rPr>
        <w:t>Customers need help now. Not next year</w:t>
      </w:r>
      <w:r w:rsidRPr="00D46F5E" w:rsidR="00661409">
        <w:rPr>
          <w:szCs w:val="24"/>
        </w:rPr>
        <w:t>. N</w:t>
      </w:r>
      <w:r w:rsidRPr="00D46F5E">
        <w:rPr>
          <w:szCs w:val="24"/>
        </w:rPr>
        <w:t>ot years from now</w:t>
      </w:r>
      <w:r w:rsidRPr="00D46F5E" w:rsidR="00661409">
        <w:rPr>
          <w:szCs w:val="24"/>
        </w:rPr>
        <w:t>.</w:t>
      </w:r>
      <w:r w:rsidRPr="00D46F5E">
        <w:rPr>
          <w:szCs w:val="24"/>
        </w:rPr>
        <w:t xml:space="preserve"> </w:t>
      </w:r>
      <w:r w:rsidRPr="00D46F5E" w:rsidR="00661409">
        <w:rPr>
          <w:szCs w:val="24"/>
        </w:rPr>
        <w:t>The benefits of w</w:t>
      </w:r>
      <w:r w:rsidRPr="00D46F5E">
        <w:rPr>
          <w:szCs w:val="24"/>
        </w:rPr>
        <w:t xml:space="preserve">eatherization </w:t>
      </w:r>
      <w:r w:rsidRPr="00D46F5E" w:rsidR="00661409">
        <w:rPr>
          <w:szCs w:val="24"/>
        </w:rPr>
        <w:t>are not benefits</w:t>
      </w:r>
      <w:r w:rsidR="00B1272D">
        <w:rPr>
          <w:szCs w:val="24"/>
        </w:rPr>
        <w:t xml:space="preserve"> that the customer </w:t>
      </w:r>
      <w:r w:rsidR="00A769CA">
        <w:rPr>
          <w:szCs w:val="24"/>
        </w:rPr>
        <w:t xml:space="preserve">would </w:t>
      </w:r>
      <w:r w:rsidR="00B1272D">
        <w:rPr>
          <w:szCs w:val="24"/>
        </w:rPr>
        <w:t>see right now</w:t>
      </w:r>
      <w:r w:rsidRPr="00D46F5E">
        <w:rPr>
          <w:szCs w:val="24"/>
        </w:rPr>
        <w:t xml:space="preserve">. </w:t>
      </w:r>
      <w:r w:rsidRPr="00D46F5E" w:rsidR="00284B14">
        <w:rPr>
          <w:szCs w:val="24"/>
        </w:rPr>
        <w:t xml:space="preserve">To </w:t>
      </w:r>
      <w:r w:rsidRPr="00D46F5E" w:rsidR="00C86B6D">
        <w:rPr>
          <w:szCs w:val="24"/>
        </w:rPr>
        <w:t xml:space="preserve">do the </w:t>
      </w:r>
      <w:r w:rsidR="000C202F">
        <w:rPr>
          <w:szCs w:val="24"/>
        </w:rPr>
        <w:t>greatest</w:t>
      </w:r>
      <w:r w:rsidRPr="00D46F5E" w:rsidR="000C202F">
        <w:rPr>
          <w:szCs w:val="24"/>
        </w:rPr>
        <w:t xml:space="preserve"> </w:t>
      </w:r>
      <w:r w:rsidRPr="00D46F5E" w:rsidR="00C86B6D">
        <w:rPr>
          <w:szCs w:val="24"/>
        </w:rPr>
        <w:t xml:space="preserve">good for </w:t>
      </w:r>
      <w:r w:rsidR="000C202F">
        <w:rPr>
          <w:szCs w:val="24"/>
        </w:rPr>
        <w:t>the greatest number of</w:t>
      </w:r>
      <w:r w:rsidRPr="00D46F5E" w:rsidR="00C86B6D">
        <w:rPr>
          <w:szCs w:val="24"/>
        </w:rPr>
        <w:t xml:space="preserve"> consumers </w:t>
      </w:r>
      <w:r w:rsidRPr="00D46F5E" w:rsidR="00284B14">
        <w:rPr>
          <w:szCs w:val="24"/>
        </w:rPr>
        <w:t>now, OCC proposes that money currently earmarked for weatherization</w:t>
      </w:r>
      <w:r>
        <w:rPr>
          <w:szCs w:val="24"/>
        </w:rPr>
        <w:t xml:space="preserve"> in 2020 be repurposed for bill payment assistance. This could make upwards of $1 million immediately available for customer bill payment assistance.</w:t>
      </w:r>
      <w:r>
        <w:rPr>
          <w:rStyle w:val="FootnoteReference"/>
          <w:szCs w:val="24"/>
        </w:rPr>
        <w:footnoteReference w:id="34"/>
      </w:r>
      <w:r>
        <w:rPr>
          <w:szCs w:val="24"/>
        </w:rPr>
        <w:t xml:space="preserve"> This could help</w:t>
      </w:r>
      <w:r w:rsidR="00D5300E">
        <w:rPr>
          <w:szCs w:val="24"/>
        </w:rPr>
        <w:t xml:space="preserve"> over 5,000 Vectren customers avoid disconnections right now.</w:t>
      </w:r>
      <w:r>
        <w:rPr>
          <w:rStyle w:val="FootnoteReference"/>
          <w:szCs w:val="24"/>
        </w:rPr>
        <w:footnoteReference w:id="35"/>
      </w:r>
      <w:r w:rsidR="00D5300E">
        <w:rPr>
          <w:szCs w:val="24"/>
        </w:rPr>
        <w:t xml:space="preserve"> That same money, if used for weatherization, would help perhaps 140 customers.</w:t>
      </w:r>
      <w:r>
        <w:rPr>
          <w:rStyle w:val="FootnoteReference"/>
          <w:szCs w:val="24"/>
        </w:rPr>
        <w:footnoteReference w:id="36"/>
      </w:r>
      <w:r w:rsidR="00B874C0">
        <w:rPr>
          <w:szCs w:val="24"/>
        </w:rPr>
        <w:t xml:space="preserve"> OCC similarly proposes that Vectren’s proposed weatherization funds for 2021 be repurposed for bill payment assistance.</w:t>
      </w:r>
      <w:r>
        <w:rPr>
          <w:rStyle w:val="FootnoteReference"/>
          <w:szCs w:val="24"/>
        </w:rPr>
        <w:footnoteReference w:id="37"/>
      </w:r>
    </w:p>
    <w:p w:rsidR="004107AA" w:rsidP="0004208F">
      <w:pPr>
        <w:pStyle w:val="BodyTextIndent3"/>
        <w:spacing w:line="480" w:lineRule="auto"/>
        <w:rPr>
          <w:szCs w:val="24"/>
        </w:rPr>
      </w:pPr>
      <w:r w:rsidRPr="00D46F5E">
        <w:rPr>
          <w:szCs w:val="24"/>
        </w:rPr>
        <w:t>OCC’s proposal is set forth in the expert testimony of James D. Williams. Mr. Williams is a regulatory expert with more than 24 years of experience protecting Ohio consumers.</w:t>
      </w:r>
      <w:r>
        <w:rPr>
          <w:rStyle w:val="FootnoteReference"/>
          <w:szCs w:val="24"/>
        </w:rPr>
        <w:footnoteReference w:id="38"/>
      </w:r>
      <w:r w:rsidRPr="00D46F5E">
        <w:rPr>
          <w:szCs w:val="24"/>
        </w:rPr>
        <w:t xml:space="preserve"> He is </w:t>
      </w:r>
      <w:r>
        <w:rPr>
          <w:szCs w:val="24"/>
        </w:rPr>
        <w:t>an</w:t>
      </w:r>
      <w:r w:rsidRPr="00D46F5E">
        <w:rPr>
          <w:szCs w:val="24"/>
        </w:rPr>
        <w:t xml:space="preserve"> authority on protections for low-income and non-low-income customers, bill affordability and utility bill payment assistance programs.</w:t>
      </w:r>
      <w:r>
        <w:rPr>
          <w:rStyle w:val="FootnoteReference"/>
          <w:szCs w:val="24"/>
        </w:rPr>
        <w:footnoteReference w:id="39"/>
      </w:r>
      <w:r w:rsidRPr="00D46F5E">
        <w:rPr>
          <w:szCs w:val="24"/>
        </w:rPr>
        <w:t xml:space="preserve"> He has testified as an expert witness regarding the Ohio Development Service Agency’s Universal Service Fund, which funds programs for low-income Ohioans.</w:t>
      </w:r>
      <w:r>
        <w:rPr>
          <w:rStyle w:val="FootnoteReference"/>
          <w:szCs w:val="24"/>
        </w:rPr>
        <w:footnoteReference w:id="40"/>
      </w:r>
      <w:r w:rsidRPr="00D46F5E">
        <w:rPr>
          <w:szCs w:val="24"/>
        </w:rPr>
        <w:t xml:space="preserve"> He is intimately familiar with the various types of assistance that are available to Ohio consumers. His testimony demonstrates deep knowledge of the Percentage of Income Payment Plan (“PIPP”), the Federal Low-Income Home Energy Assistance Program (“LIHEAP”), Ohio’s Home Weatherization Assistance Program (“HWAP”), the PUCO’s Winter Reconnection Order (“WRO”), payment plans available to consumers under the PUCO’s Minimum Service Standards, and utility-specific payment assistance programs.</w:t>
      </w:r>
      <w:r>
        <w:rPr>
          <w:rStyle w:val="FootnoteReference"/>
          <w:szCs w:val="24"/>
        </w:rPr>
        <w:footnoteReference w:id="41"/>
      </w:r>
      <w:r w:rsidRPr="00D46F5E">
        <w:rPr>
          <w:szCs w:val="24"/>
        </w:rPr>
        <w:t xml:space="preserve"> </w:t>
      </w:r>
    </w:p>
    <w:p w:rsidR="00696471" w:rsidP="0004208F">
      <w:pPr>
        <w:pStyle w:val="BodyTextIndent3"/>
        <w:spacing w:line="480" w:lineRule="auto"/>
        <w:rPr>
          <w:szCs w:val="24"/>
        </w:rPr>
      </w:pPr>
      <w:r w:rsidRPr="00D46F5E">
        <w:rPr>
          <w:szCs w:val="24"/>
        </w:rPr>
        <w:t xml:space="preserve">His experience makes </w:t>
      </w:r>
      <w:r w:rsidRPr="00D46F5E" w:rsidR="00AC7C08">
        <w:rPr>
          <w:szCs w:val="24"/>
        </w:rPr>
        <w:t xml:space="preserve">him </w:t>
      </w:r>
      <w:r w:rsidR="004107AA">
        <w:rPr>
          <w:szCs w:val="24"/>
        </w:rPr>
        <w:t>exceptionally</w:t>
      </w:r>
      <w:r w:rsidRPr="00D46F5E" w:rsidR="004107AA">
        <w:rPr>
          <w:szCs w:val="24"/>
        </w:rPr>
        <w:t xml:space="preserve"> </w:t>
      </w:r>
      <w:r w:rsidRPr="00D46F5E">
        <w:rPr>
          <w:szCs w:val="24"/>
        </w:rPr>
        <w:t xml:space="preserve">qualified to develop a bill payment assistance program that will maximize the benefits to residential consumers </w:t>
      </w:r>
      <w:r w:rsidRPr="00D46F5E" w:rsidR="00EA0E24">
        <w:rPr>
          <w:szCs w:val="24"/>
        </w:rPr>
        <w:t>during and after the coronavirus emergency</w:t>
      </w:r>
      <w:r w:rsidRPr="00D46F5E">
        <w:rPr>
          <w:szCs w:val="24"/>
        </w:rPr>
        <w:t>.</w:t>
      </w:r>
      <w:r w:rsidR="004107AA">
        <w:rPr>
          <w:szCs w:val="24"/>
        </w:rPr>
        <w:t xml:space="preserve"> </w:t>
      </w:r>
    </w:p>
    <w:p w:rsidR="00C754A7" w:rsidRPr="00D46F5E" w:rsidP="0004208F">
      <w:pPr>
        <w:pStyle w:val="BodyTextIndent3"/>
        <w:spacing w:line="480" w:lineRule="auto"/>
        <w:rPr>
          <w:szCs w:val="24"/>
        </w:rPr>
      </w:pPr>
      <w:r w:rsidRPr="00D46F5E">
        <w:rPr>
          <w:szCs w:val="24"/>
        </w:rPr>
        <w:t>OCC’s proposal would work as follows:</w:t>
      </w:r>
    </w:p>
    <w:p w:rsidR="00C754A7" w:rsidRPr="00D46F5E" w:rsidP="0004208F">
      <w:pPr>
        <w:pStyle w:val="BodyTextIndent3"/>
        <w:numPr>
          <w:ilvl w:val="0"/>
          <w:numId w:val="9"/>
        </w:numPr>
        <w:spacing w:after="240" w:line="240" w:lineRule="auto"/>
        <w:ind w:hanging="720"/>
        <w:rPr>
          <w:szCs w:val="24"/>
        </w:rPr>
      </w:pPr>
      <w:r w:rsidRPr="00D46F5E">
        <w:rPr>
          <w:szCs w:val="24"/>
        </w:rPr>
        <w:t>Any customer up to 300% of the Federal Poverty Guidelines would be eligible for bill payment assistance.</w:t>
      </w:r>
      <w:r>
        <w:rPr>
          <w:rStyle w:val="FootnoteReference"/>
          <w:szCs w:val="24"/>
        </w:rPr>
        <w:footnoteReference w:id="42"/>
      </w:r>
      <w:r w:rsidRPr="00D46F5E">
        <w:rPr>
          <w:szCs w:val="24"/>
        </w:rPr>
        <w:t xml:space="preserve"> </w:t>
      </w:r>
    </w:p>
    <w:p w:rsidR="00723BFB" w:rsidP="0004208F">
      <w:pPr>
        <w:pStyle w:val="BodyTextIndent3"/>
        <w:numPr>
          <w:ilvl w:val="0"/>
          <w:numId w:val="9"/>
        </w:numPr>
        <w:spacing w:after="240" w:line="240" w:lineRule="auto"/>
        <w:ind w:hanging="720"/>
        <w:rPr>
          <w:szCs w:val="24"/>
        </w:rPr>
      </w:pPr>
      <w:r w:rsidRPr="00D46F5E">
        <w:rPr>
          <w:szCs w:val="24"/>
        </w:rPr>
        <w:t>PIPP</w:t>
      </w:r>
      <w:r w:rsidRPr="00D46F5E" w:rsidR="00C754A7">
        <w:rPr>
          <w:szCs w:val="24"/>
        </w:rPr>
        <w:t xml:space="preserve"> customers could receive up to $1</w:t>
      </w:r>
      <w:r w:rsidR="00975518">
        <w:rPr>
          <w:szCs w:val="24"/>
        </w:rPr>
        <w:t>0</w:t>
      </w:r>
      <w:r w:rsidRPr="00D46F5E" w:rsidR="00C754A7">
        <w:rPr>
          <w:szCs w:val="24"/>
        </w:rPr>
        <w:t>0 and non-PIPP customers could receive up to $</w:t>
      </w:r>
      <w:r w:rsidR="00975518">
        <w:rPr>
          <w:szCs w:val="24"/>
        </w:rPr>
        <w:t>300</w:t>
      </w:r>
      <w:r w:rsidRPr="00D46F5E" w:rsidR="00C754A7">
        <w:rPr>
          <w:szCs w:val="24"/>
        </w:rPr>
        <w:t>.</w:t>
      </w:r>
      <w:r>
        <w:rPr>
          <w:rStyle w:val="FootnoteReference"/>
          <w:szCs w:val="24"/>
        </w:rPr>
        <w:footnoteReference w:id="43"/>
      </w:r>
    </w:p>
    <w:p w:rsidR="00C754A7" w:rsidRPr="00D46F5E" w:rsidP="00723BFB">
      <w:pPr>
        <w:rPr>
          <w:szCs w:val="24"/>
        </w:rPr>
      </w:pPr>
      <w:r>
        <w:rPr>
          <w:szCs w:val="24"/>
        </w:rPr>
        <w:br w:type="page"/>
      </w:r>
    </w:p>
    <w:p w:rsidR="00C754A7" w:rsidRPr="00D46F5E" w:rsidP="0004208F">
      <w:pPr>
        <w:pStyle w:val="BodyTextIndent3"/>
        <w:numPr>
          <w:ilvl w:val="0"/>
          <w:numId w:val="9"/>
        </w:numPr>
        <w:spacing w:after="240" w:line="240" w:lineRule="auto"/>
        <w:ind w:hanging="720"/>
        <w:rPr>
          <w:szCs w:val="24"/>
        </w:rPr>
      </w:pPr>
      <w:r w:rsidRPr="00D46F5E">
        <w:rPr>
          <w:szCs w:val="24"/>
        </w:rPr>
        <w:t>A customer would be eligible for bill payment assistance under OCC’s proposal once per year.</w:t>
      </w:r>
      <w:r>
        <w:rPr>
          <w:rStyle w:val="FootnoteReference"/>
          <w:szCs w:val="24"/>
        </w:rPr>
        <w:footnoteReference w:id="44"/>
      </w:r>
      <w:r w:rsidRPr="00D46F5E">
        <w:rPr>
          <w:szCs w:val="24"/>
        </w:rPr>
        <w:t xml:space="preserve"> Customers who participate in other assistance programs (HEAP, PIPP, HWAP, etc.) would also be allowed to participate in OCC’s proposed program.</w:t>
      </w:r>
      <w:r>
        <w:rPr>
          <w:rStyle w:val="FootnoteReference"/>
          <w:szCs w:val="24"/>
        </w:rPr>
        <w:footnoteReference w:id="45"/>
      </w:r>
    </w:p>
    <w:p w:rsidR="00AC6E35" w:rsidRPr="00D46F5E" w:rsidP="0004208F">
      <w:pPr>
        <w:pStyle w:val="BodyTextIndent3"/>
        <w:numPr>
          <w:ilvl w:val="0"/>
          <w:numId w:val="9"/>
        </w:numPr>
        <w:spacing w:after="240" w:line="240" w:lineRule="auto"/>
        <w:ind w:hanging="720"/>
        <w:rPr>
          <w:szCs w:val="24"/>
        </w:rPr>
      </w:pPr>
      <w:r w:rsidRPr="00D46F5E">
        <w:rPr>
          <w:szCs w:val="24"/>
        </w:rPr>
        <w:t>Customers c</w:t>
      </w:r>
      <w:r w:rsidR="00A06616">
        <w:rPr>
          <w:szCs w:val="24"/>
        </w:rPr>
        <w:t>ould</w:t>
      </w:r>
      <w:r w:rsidRPr="00D46F5E">
        <w:rPr>
          <w:szCs w:val="24"/>
        </w:rPr>
        <w:t xml:space="preserve"> participate in OCC’s </w:t>
      </w:r>
      <w:r w:rsidR="00EA3393">
        <w:rPr>
          <w:szCs w:val="24"/>
        </w:rPr>
        <w:t xml:space="preserve">recommended </w:t>
      </w:r>
      <w:r w:rsidRPr="00D46F5E">
        <w:rPr>
          <w:szCs w:val="24"/>
        </w:rPr>
        <w:t>program even if they have not received a disconnection notice.</w:t>
      </w:r>
      <w:r>
        <w:rPr>
          <w:rStyle w:val="FootnoteReference"/>
          <w:szCs w:val="24"/>
        </w:rPr>
        <w:footnoteReference w:id="46"/>
      </w:r>
      <w:r w:rsidRPr="00D46F5E">
        <w:rPr>
          <w:szCs w:val="24"/>
        </w:rPr>
        <w:t xml:space="preserve"> In contrast, this criterion must be met to obtain crisis assistance under the HEAP guidelines.</w:t>
      </w:r>
      <w:r>
        <w:rPr>
          <w:rStyle w:val="FootnoteReference"/>
          <w:szCs w:val="24"/>
        </w:rPr>
        <w:footnoteReference w:id="47"/>
      </w:r>
    </w:p>
    <w:p w:rsidR="00AC6E35" w:rsidRPr="00D46F5E" w:rsidP="0004208F">
      <w:pPr>
        <w:pStyle w:val="BodyTextIndent3"/>
        <w:numPr>
          <w:ilvl w:val="0"/>
          <w:numId w:val="9"/>
        </w:numPr>
        <w:spacing w:after="240" w:line="240" w:lineRule="auto"/>
        <w:ind w:hanging="720"/>
        <w:rPr>
          <w:szCs w:val="24"/>
        </w:rPr>
      </w:pPr>
      <w:r>
        <w:rPr>
          <w:szCs w:val="24"/>
        </w:rPr>
        <w:t>Vectren</w:t>
      </w:r>
      <w:r w:rsidRPr="00D46F5E">
        <w:rPr>
          <w:szCs w:val="24"/>
        </w:rPr>
        <w:t xml:space="preserve"> would work with OCC and other parties</w:t>
      </w:r>
      <w:r>
        <w:rPr>
          <w:rStyle w:val="FootnoteReference"/>
          <w:szCs w:val="24"/>
        </w:rPr>
        <w:footnoteReference w:id="48"/>
      </w:r>
      <w:r w:rsidRPr="00D46F5E">
        <w:rPr>
          <w:szCs w:val="24"/>
        </w:rPr>
        <w:t xml:space="preserve"> to develop a system for distributing the funds, which </w:t>
      </w:r>
      <w:r w:rsidR="00A27F65">
        <w:rPr>
          <w:szCs w:val="24"/>
        </w:rPr>
        <w:t>w</w:t>
      </w:r>
      <w:r w:rsidRPr="00D46F5E">
        <w:rPr>
          <w:szCs w:val="24"/>
        </w:rPr>
        <w:t>ould include:</w:t>
      </w:r>
    </w:p>
    <w:p w:rsidR="00A27F65" w:rsidP="00D036AA">
      <w:pPr>
        <w:pStyle w:val="BodyTextIndent3"/>
        <w:numPr>
          <w:ilvl w:val="1"/>
          <w:numId w:val="9"/>
        </w:numPr>
        <w:spacing w:after="240" w:line="240" w:lineRule="auto"/>
        <w:ind w:hanging="720"/>
        <w:rPr>
          <w:szCs w:val="24"/>
        </w:rPr>
      </w:pPr>
      <w:r>
        <w:rPr>
          <w:szCs w:val="24"/>
        </w:rPr>
        <w:t>Contacting the appropriate United Way offices to determine interest in distributing the repurposed funds. If the United Way offices are unable to distribute the funds, Dollar Energy can be contacted to arrange organizations to distribute the funds to Vectren customers in need.</w:t>
      </w:r>
      <w:r>
        <w:rPr>
          <w:rStyle w:val="FootnoteReference"/>
          <w:szCs w:val="24"/>
        </w:rPr>
        <w:footnoteReference w:id="49"/>
      </w:r>
    </w:p>
    <w:p w:rsidR="0096025E" w:rsidP="00D036AA">
      <w:pPr>
        <w:pStyle w:val="BodyTextIndent3"/>
        <w:numPr>
          <w:ilvl w:val="1"/>
          <w:numId w:val="9"/>
        </w:numPr>
        <w:spacing w:after="240" w:line="240" w:lineRule="auto"/>
        <w:ind w:hanging="720"/>
        <w:rPr>
          <w:szCs w:val="24"/>
        </w:rPr>
      </w:pPr>
      <w:r>
        <w:rPr>
          <w:szCs w:val="24"/>
        </w:rPr>
        <w:t>A standard grant application form will be used to document customer eligibility as well as the customer specific requests for assistance.</w:t>
      </w:r>
      <w:r>
        <w:rPr>
          <w:rStyle w:val="FootnoteReference"/>
          <w:szCs w:val="24"/>
        </w:rPr>
        <w:footnoteReference w:id="50"/>
      </w:r>
    </w:p>
    <w:p w:rsidR="00A27F65" w:rsidRPr="00D46F5E" w:rsidP="00D036AA">
      <w:pPr>
        <w:pStyle w:val="BodyTextIndent3"/>
        <w:numPr>
          <w:ilvl w:val="1"/>
          <w:numId w:val="9"/>
        </w:numPr>
        <w:spacing w:after="240" w:line="240" w:lineRule="auto"/>
        <w:ind w:hanging="720"/>
        <w:rPr>
          <w:szCs w:val="24"/>
        </w:rPr>
      </w:pPr>
      <w:r>
        <w:rPr>
          <w:szCs w:val="24"/>
        </w:rPr>
        <w:t>Vectren will designate contacts to process the grants from United Way and any other organizations that are distributing funds.</w:t>
      </w:r>
      <w:r>
        <w:rPr>
          <w:rStyle w:val="FootnoteReference"/>
          <w:szCs w:val="24"/>
        </w:rPr>
        <w:footnoteReference w:id="51"/>
      </w:r>
    </w:p>
    <w:p w:rsidR="00C86B6D" w:rsidRPr="00D46F5E" w:rsidP="0004208F">
      <w:pPr>
        <w:pStyle w:val="BodyTextIndent3"/>
        <w:numPr>
          <w:ilvl w:val="0"/>
          <w:numId w:val="9"/>
        </w:numPr>
        <w:spacing w:after="240" w:line="240" w:lineRule="auto"/>
        <w:ind w:hanging="720"/>
        <w:rPr>
          <w:szCs w:val="24"/>
        </w:rPr>
      </w:pPr>
      <w:r>
        <w:rPr>
          <w:szCs w:val="24"/>
        </w:rPr>
        <w:t xml:space="preserve">Vectren’s remaining weatherization funds for 2020 </w:t>
      </w:r>
      <w:r w:rsidRPr="00D46F5E">
        <w:rPr>
          <w:szCs w:val="24"/>
        </w:rPr>
        <w:t>should be repurposed immediately for this bill payment assistance program</w:t>
      </w:r>
      <w:r w:rsidR="0004693B">
        <w:rPr>
          <w:szCs w:val="24"/>
        </w:rPr>
        <w:t>, as should Vectren’s proposed charges for 2021</w:t>
      </w:r>
      <w:r w:rsidRPr="00D46F5E">
        <w:rPr>
          <w:szCs w:val="24"/>
        </w:rPr>
        <w:t>.</w:t>
      </w:r>
      <w:r>
        <w:rPr>
          <w:rStyle w:val="FootnoteReference"/>
          <w:szCs w:val="24"/>
        </w:rPr>
        <w:footnoteReference w:id="52"/>
      </w:r>
      <w:r w:rsidRPr="00D46F5E">
        <w:rPr>
          <w:szCs w:val="24"/>
        </w:rPr>
        <w:t xml:space="preserve"> </w:t>
      </w:r>
    </w:p>
    <w:p w:rsidR="00C754A7" w:rsidRPr="00D46F5E" w:rsidP="0004208F">
      <w:pPr>
        <w:pStyle w:val="BodyTextIndent3"/>
        <w:numPr>
          <w:ilvl w:val="0"/>
          <w:numId w:val="9"/>
        </w:numPr>
        <w:spacing w:after="240" w:line="240" w:lineRule="auto"/>
        <w:ind w:hanging="720"/>
        <w:rPr>
          <w:szCs w:val="24"/>
        </w:rPr>
      </w:pPr>
      <w:r w:rsidRPr="00D46F5E">
        <w:rPr>
          <w:szCs w:val="24"/>
        </w:rPr>
        <w:t xml:space="preserve">Any funds not ultimately used for OCC’s proposed program would be used to offset </w:t>
      </w:r>
      <w:r w:rsidR="00AC14BF">
        <w:rPr>
          <w:szCs w:val="24"/>
        </w:rPr>
        <w:t>Vectren’s</w:t>
      </w:r>
      <w:r w:rsidRPr="00D46F5E">
        <w:rPr>
          <w:szCs w:val="24"/>
        </w:rPr>
        <w:t xml:space="preserve"> uncollectible expense rider, which would reduce the amount that all customers</w:t>
      </w:r>
      <w:r w:rsidRPr="00D46F5E" w:rsidR="00AC6E35">
        <w:rPr>
          <w:szCs w:val="24"/>
        </w:rPr>
        <w:t xml:space="preserve"> pay when customers do not pay their utility bills.</w:t>
      </w:r>
      <w:r>
        <w:rPr>
          <w:rStyle w:val="FootnoteReference"/>
          <w:szCs w:val="24"/>
        </w:rPr>
        <w:footnoteReference w:id="53"/>
      </w:r>
    </w:p>
    <w:p w:rsidR="00F2768A" w:rsidP="0002433C">
      <w:pPr>
        <w:pStyle w:val="Heading3"/>
      </w:pPr>
      <w:bookmarkStart w:id="13" w:name="_Toc38958702"/>
      <w:bookmarkStart w:id="14" w:name="_Toc50042253"/>
      <w:r w:rsidRPr="008629EB">
        <w:t>2.</w:t>
      </w:r>
      <w:r w:rsidRPr="008629EB">
        <w:tab/>
      </w:r>
      <w:r w:rsidRPr="0002433C" w:rsidR="00AC4D1C">
        <w:t xml:space="preserve">OCC’s proposed bill payment assistance would </w:t>
      </w:r>
      <w:r w:rsidR="00C64320">
        <w:t>provide tangible benefits for consumers</w:t>
      </w:r>
      <w:r w:rsidRPr="0002433C" w:rsidR="00AC4D1C">
        <w:t xml:space="preserve"> that other available public assistance programs </w:t>
      </w:r>
      <w:r w:rsidR="00C64320">
        <w:t>aren’t providing</w:t>
      </w:r>
      <w:r w:rsidRPr="0002433C" w:rsidR="00AC4D1C">
        <w:t>.</w:t>
      </w:r>
      <w:bookmarkEnd w:id="13"/>
      <w:bookmarkEnd w:id="14"/>
    </w:p>
    <w:p w:rsidR="00F04861" w:rsidP="0004208F">
      <w:pPr>
        <w:pStyle w:val="BodyTextIndent3"/>
        <w:spacing w:line="480" w:lineRule="auto"/>
        <w:rPr>
          <w:szCs w:val="24"/>
        </w:rPr>
      </w:pPr>
      <w:r w:rsidRPr="00D46F5E">
        <w:rPr>
          <w:szCs w:val="24"/>
        </w:rPr>
        <w:t xml:space="preserve">OCC’s proposal for a new </w:t>
      </w:r>
      <w:r w:rsidR="002334E5">
        <w:rPr>
          <w:szCs w:val="24"/>
        </w:rPr>
        <w:t>Vectren</w:t>
      </w:r>
      <w:r w:rsidRPr="00D46F5E">
        <w:rPr>
          <w:szCs w:val="24"/>
        </w:rPr>
        <w:t xml:space="preserve"> bill payment assistance program </w:t>
      </w:r>
      <w:r>
        <w:rPr>
          <w:szCs w:val="24"/>
        </w:rPr>
        <w:t xml:space="preserve">is necessary because it </w:t>
      </w:r>
      <w:r w:rsidRPr="00D46F5E">
        <w:rPr>
          <w:szCs w:val="24"/>
        </w:rPr>
        <w:t>will supplement programs already in place and fill gaps</w:t>
      </w:r>
      <w:r>
        <w:rPr>
          <w:szCs w:val="24"/>
        </w:rPr>
        <w:t xml:space="preserve"> for consumers</w:t>
      </w:r>
      <w:r w:rsidRPr="00D46F5E">
        <w:rPr>
          <w:szCs w:val="24"/>
        </w:rPr>
        <w:t xml:space="preserve"> that </w:t>
      </w:r>
      <w:r w:rsidR="002334E5">
        <w:rPr>
          <w:szCs w:val="24"/>
        </w:rPr>
        <w:t>other</w:t>
      </w:r>
      <w:r w:rsidRPr="00D46F5E">
        <w:rPr>
          <w:szCs w:val="24"/>
        </w:rPr>
        <w:t xml:space="preserve"> programs do not fill.</w:t>
      </w:r>
    </w:p>
    <w:p w:rsidR="00C20999" w:rsidRPr="00D46F5E" w:rsidP="0004208F">
      <w:pPr>
        <w:pStyle w:val="BodyTextIndent3"/>
        <w:spacing w:line="480" w:lineRule="auto"/>
        <w:rPr>
          <w:szCs w:val="24"/>
        </w:rPr>
      </w:pPr>
      <w:r>
        <w:rPr>
          <w:szCs w:val="24"/>
        </w:rPr>
        <w:t>One important</w:t>
      </w:r>
      <w:r w:rsidRPr="00D46F5E">
        <w:rPr>
          <w:szCs w:val="24"/>
        </w:rPr>
        <w:t xml:space="preserve"> </w:t>
      </w:r>
      <w:r w:rsidR="00C64320">
        <w:rPr>
          <w:szCs w:val="24"/>
        </w:rPr>
        <w:t>consumer protection benefit provided</w:t>
      </w:r>
      <w:r w:rsidRPr="00D46F5E">
        <w:rPr>
          <w:szCs w:val="24"/>
        </w:rPr>
        <w:t xml:space="preserve"> by OCC’s proposal is that </w:t>
      </w:r>
      <w:r w:rsidR="00C64320">
        <w:rPr>
          <w:szCs w:val="24"/>
        </w:rPr>
        <w:t>the benefit</w:t>
      </w:r>
      <w:r w:rsidRPr="00D46F5E">
        <w:rPr>
          <w:szCs w:val="24"/>
        </w:rPr>
        <w:t xml:space="preserve"> would </w:t>
      </w:r>
      <w:r w:rsidR="006D53F3">
        <w:rPr>
          <w:szCs w:val="24"/>
        </w:rPr>
        <w:t xml:space="preserve">be </w:t>
      </w:r>
      <w:r w:rsidRPr="00D46F5E">
        <w:rPr>
          <w:szCs w:val="24"/>
        </w:rPr>
        <w:t>available to consumers up to 300% of the Federal Poverty Guidelines.</w:t>
      </w:r>
      <w:r>
        <w:rPr>
          <w:rStyle w:val="FootnoteReference"/>
          <w:szCs w:val="24"/>
        </w:rPr>
        <w:footnoteReference w:id="54"/>
      </w:r>
      <w:r w:rsidRPr="00D46F5E">
        <w:rPr>
          <w:szCs w:val="24"/>
        </w:rPr>
        <w:t xml:space="preserve"> The other primary assistance programs do not </w:t>
      </w:r>
      <w:r w:rsidR="00B1272D">
        <w:rPr>
          <w:szCs w:val="24"/>
        </w:rPr>
        <w:t>reach these customers.</w:t>
      </w:r>
      <w:r w:rsidRPr="00D46F5E">
        <w:rPr>
          <w:szCs w:val="24"/>
        </w:rPr>
        <w:t xml:space="preserve"> </w:t>
      </w:r>
      <w:r w:rsidRPr="00D46F5E" w:rsidR="0075163D">
        <w:rPr>
          <w:szCs w:val="24"/>
        </w:rPr>
        <w:t>As OCC witness Williams testified, “there are a substantial number of households with incomes above 175% of the federal poverty guidelines that have few (if any) available options for assistance in paying their gas bill.”</w:t>
      </w:r>
      <w:r>
        <w:rPr>
          <w:rStyle w:val="FootnoteReference"/>
          <w:szCs w:val="24"/>
        </w:rPr>
        <w:footnoteReference w:id="55"/>
      </w:r>
      <w:r w:rsidRPr="00D46F5E" w:rsidR="0075163D">
        <w:rPr>
          <w:szCs w:val="24"/>
        </w:rPr>
        <w:t xml:space="preserve"> </w:t>
      </w:r>
      <w:r w:rsidRPr="00D46F5E">
        <w:rPr>
          <w:szCs w:val="24"/>
        </w:rPr>
        <w:t>Ohio’s primary bill payment assistance program (the Federal LIHEAP</w:t>
      </w:r>
      <w:r w:rsidRPr="00D46F5E" w:rsidR="0075163D">
        <w:rPr>
          <w:szCs w:val="24"/>
        </w:rPr>
        <w:t xml:space="preserve"> program</w:t>
      </w:r>
      <w:r w:rsidRPr="00D46F5E">
        <w:rPr>
          <w:szCs w:val="24"/>
        </w:rPr>
        <w:t xml:space="preserve">) only assists customers </w:t>
      </w:r>
      <w:r w:rsidR="00945858">
        <w:rPr>
          <w:szCs w:val="24"/>
        </w:rPr>
        <w:t xml:space="preserve">in Ohio with incomes </w:t>
      </w:r>
      <w:r w:rsidRPr="00D46F5E">
        <w:rPr>
          <w:szCs w:val="24"/>
        </w:rPr>
        <w:t>up t</w:t>
      </w:r>
      <w:r w:rsidR="00C56779">
        <w:rPr>
          <w:szCs w:val="24"/>
        </w:rPr>
        <w:t>o 175% of the Poverty Guideline</w:t>
      </w:r>
      <w:r w:rsidRPr="00D46F5E">
        <w:rPr>
          <w:szCs w:val="24"/>
        </w:rPr>
        <w:t>.</w:t>
      </w:r>
      <w:r>
        <w:rPr>
          <w:rStyle w:val="FootnoteReference"/>
          <w:szCs w:val="24"/>
        </w:rPr>
        <w:footnoteReference w:id="56"/>
      </w:r>
      <w:r w:rsidRPr="00D46F5E">
        <w:rPr>
          <w:szCs w:val="24"/>
        </w:rPr>
        <w:t xml:space="preserve"> And Ohio’s </w:t>
      </w:r>
      <w:r w:rsidRPr="00D46F5E" w:rsidR="0075163D">
        <w:rPr>
          <w:szCs w:val="24"/>
        </w:rPr>
        <w:t>PIPP program</w:t>
      </w:r>
      <w:r w:rsidRPr="00D46F5E">
        <w:rPr>
          <w:szCs w:val="24"/>
        </w:rPr>
        <w:t xml:space="preserve"> is only available for consumers up to 150% of the Poverty Guideline.</w:t>
      </w:r>
      <w:r>
        <w:rPr>
          <w:rStyle w:val="FootnoteReference"/>
          <w:szCs w:val="24"/>
        </w:rPr>
        <w:footnoteReference w:id="57"/>
      </w:r>
    </w:p>
    <w:p w:rsidR="00257722" w:rsidP="0004208F">
      <w:pPr>
        <w:pStyle w:val="BodyTextIndent3"/>
        <w:spacing w:line="480" w:lineRule="auto"/>
        <w:rPr>
          <w:szCs w:val="24"/>
        </w:rPr>
      </w:pPr>
      <w:r w:rsidRPr="00D46F5E">
        <w:rPr>
          <w:szCs w:val="24"/>
        </w:rPr>
        <w:t xml:space="preserve">OCC’s proposal </w:t>
      </w:r>
      <w:r w:rsidR="00C64320">
        <w:rPr>
          <w:szCs w:val="24"/>
        </w:rPr>
        <w:t>provides</w:t>
      </w:r>
      <w:r w:rsidRPr="00D46F5E">
        <w:rPr>
          <w:szCs w:val="24"/>
        </w:rPr>
        <w:t xml:space="preserve"> other </w:t>
      </w:r>
      <w:r w:rsidR="00C64320">
        <w:rPr>
          <w:szCs w:val="24"/>
        </w:rPr>
        <w:t>benefits</w:t>
      </w:r>
      <w:r w:rsidRPr="00D46F5E">
        <w:rPr>
          <w:szCs w:val="24"/>
        </w:rPr>
        <w:t xml:space="preserve"> as well. For example, the HEAP summer crisis program is only available for </w:t>
      </w:r>
      <w:r w:rsidR="002334E5">
        <w:rPr>
          <w:szCs w:val="24"/>
        </w:rPr>
        <w:t xml:space="preserve">electric customers </w:t>
      </w:r>
      <w:r w:rsidRPr="00D46F5E">
        <w:rPr>
          <w:szCs w:val="24"/>
        </w:rPr>
        <w:t xml:space="preserve">and thus </w:t>
      </w:r>
      <w:r w:rsidRPr="00D46F5E" w:rsidR="00CE05E9">
        <w:rPr>
          <w:szCs w:val="24"/>
        </w:rPr>
        <w:t>does not help</w:t>
      </w:r>
      <w:r w:rsidRPr="00D46F5E">
        <w:rPr>
          <w:szCs w:val="24"/>
        </w:rPr>
        <w:t xml:space="preserve"> </w:t>
      </w:r>
      <w:r w:rsidR="002334E5">
        <w:rPr>
          <w:szCs w:val="24"/>
        </w:rPr>
        <w:t>Vectren</w:t>
      </w:r>
      <w:r w:rsidRPr="00D46F5E">
        <w:rPr>
          <w:szCs w:val="24"/>
        </w:rPr>
        <w:t xml:space="preserve"> customers.</w:t>
      </w:r>
      <w:r>
        <w:rPr>
          <w:rStyle w:val="FootnoteReference"/>
          <w:szCs w:val="24"/>
        </w:rPr>
        <w:footnoteReference w:id="58"/>
      </w:r>
      <w:r w:rsidRPr="00D46F5E">
        <w:rPr>
          <w:szCs w:val="24"/>
        </w:rPr>
        <w:t xml:space="preserve"> Under OCC’s proposal, consumers can obtain assistance with their gas bills during </w:t>
      </w:r>
      <w:r w:rsidRPr="00D46F5E" w:rsidR="00CE05E9">
        <w:rPr>
          <w:szCs w:val="24"/>
        </w:rPr>
        <w:t>warmer</w:t>
      </w:r>
      <w:r w:rsidRPr="00D46F5E">
        <w:rPr>
          <w:szCs w:val="24"/>
        </w:rPr>
        <w:t xml:space="preserve"> months</w:t>
      </w:r>
      <w:r w:rsidRPr="00D46F5E" w:rsidR="00CE05E9">
        <w:rPr>
          <w:szCs w:val="24"/>
        </w:rPr>
        <w:t xml:space="preserve"> when natural gas usage is lower, but gas bills can still be high</w:t>
      </w:r>
      <w:r w:rsidR="001E4672">
        <w:rPr>
          <w:szCs w:val="24"/>
        </w:rPr>
        <w:t>.</w:t>
      </w:r>
    </w:p>
    <w:p w:rsidR="00CF7151" w:rsidP="0004208F">
      <w:pPr>
        <w:pStyle w:val="BodyTextIndent3"/>
        <w:spacing w:line="480" w:lineRule="auto"/>
        <w:rPr>
          <w:szCs w:val="24"/>
        </w:rPr>
      </w:pPr>
      <w:r w:rsidRPr="00D46F5E">
        <w:rPr>
          <w:szCs w:val="24"/>
        </w:rPr>
        <w:t xml:space="preserve">In short, other assistance programs will </w:t>
      </w:r>
      <w:r w:rsidR="001E4672">
        <w:rPr>
          <w:szCs w:val="24"/>
        </w:rPr>
        <w:t>not be</w:t>
      </w:r>
      <w:r w:rsidRPr="00D46F5E">
        <w:rPr>
          <w:szCs w:val="24"/>
        </w:rPr>
        <w:t xml:space="preserve"> sufficient. There are many consumers who could be eligible </w:t>
      </w:r>
      <w:r w:rsidRPr="00D46F5E">
        <w:rPr>
          <w:i/>
          <w:szCs w:val="24"/>
        </w:rPr>
        <w:t>only</w:t>
      </w:r>
      <w:r w:rsidRPr="00D46F5E">
        <w:rPr>
          <w:szCs w:val="24"/>
        </w:rPr>
        <w:t xml:space="preserve"> for OCC’s proposed program, thus making it a potential lifeline for those consumers. And those consumers who </w:t>
      </w:r>
      <w:r w:rsidRPr="00D46F5E">
        <w:rPr>
          <w:i/>
          <w:szCs w:val="24"/>
        </w:rPr>
        <w:t>are</w:t>
      </w:r>
      <w:r w:rsidRPr="00D46F5E">
        <w:rPr>
          <w:szCs w:val="24"/>
        </w:rPr>
        <w:t xml:space="preserve"> eligible for other programs will need as many options as possible to stay afloat now and even after the coronavirus emergency formally ends.</w:t>
      </w:r>
    </w:p>
    <w:p w:rsidR="001E4672" w:rsidRPr="001E4672" w:rsidP="0002433C">
      <w:pPr>
        <w:pStyle w:val="Heading3"/>
        <w:rPr>
          <w:szCs w:val="24"/>
        </w:rPr>
      </w:pPr>
      <w:bookmarkStart w:id="15" w:name="_Toc50042254"/>
      <w:r>
        <w:rPr>
          <w:szCs w:val="24"/>
        </w:rPr>
        <w:t>3.</w:t>
      </w:r>
      <w:r>
        <w:rPr>
          <w:szCs w:val="24"/>
        </w:rPr>
        <w:tab/>
      </w:r>
      <w:r w:rsidRPr="0002433C">
        <w:t>OCC’s</w:t>
      </w:r>
      <w:r w:rsidR="00132A4B">
        <w:t xml:space="preserve"> proposed</w:t>
      </w:r>
      <w:r w:rsidRPr="0002433C">
        <w:t xml:space="preserve"> bill payment assistance program can help </w:t>
      </w:r>
      <w:r w:rsidR="00050777">
        <w:t xml:space="preserve">about </w:t>
      </w:r>
      <w:r w:rsidRPr="0002433C">
        <w:t>11,000 customers compared to just 334 for weatherization, using the same budget.</w:t>
      </w:r>
      <w:bookmarkEnd w:id="15"/>
    </w:p>
    <w:p w:rsidR="003C4F2B" w:rsidP="0004208F">
      <w:pPr>
        <w:pStyle w:val="BodyTextIndent3"/>
        <w:spacing w:line="480" w:lineRule="auto"/>
        <w:rPr>
          <w:szCs w:val="24"/>
        </w:rPr>
      </w:pPr>
      <w:r w:rsidRPr="00D46F5E">
        <w:rPr>
          <w:szCs w:val="24"/>
        </w:rPr>
        <w:t>Under OCC’s proposal, about $</w:t>
      </w:r>
      <w:r w:rsidR="001E4672">
        <w:rPr>
          <w:szCs w:val="24"/>
        </w:rPr>
        <w:t>2.2</w:t>
      </w:r>
      <w:r w:rsidRPr="00D46F5E">
        <w:rPr>
          <w:szCs w:val="24"/>
        </w:rPr>
        <w:t xml:space="preserve"> million in additional funding would be made available </w:t>
      </w:r>
      <w:r w:rsidR="00F16417">
        <w:rPr>
          <w:szCs w:val="24"/>
        </w:rPr>
        <w:t xml:space="preserve">in 2021, plus up to $1 million in 2020, </w:t>
      </w:r>
      <w:r w:rsidRPr="00D46F5E">
        <w:rPr>
          <w:szCs w:val="24"/>
        </w:rPr>
        <w:t>for bill payment assistance to consumers.</w:t>
      </w:r>
      <w:r>
        <w:rPr>
          <w:rStyle w:val="FootnoteReference"/>
          <w:szCs w:val="24"/>
        </w:rPr>
        <w:footnoteReference w:id="59"/>
      </w:r>
      <w:r w:rsidRPr="00D46F5E" w:rsidR="00E0021D">
        <w:rPr>
          <w:szCs w:val="24"/>
        </w:rPr>
        <w:t xml:space="preserve"> With this funding, about </w:t>
      </w:r>
      <w:r w:rsidR="001E4672">
        <w:rPr>
          <w:szCs w:val="24"/>
        </w:rPr>
        <w:t>11</w:t>
      </w:r>
      <w:r w:rsidRPr="00D46F5E" w:rsidR="00E0021D">
        <w:rPr>
          <w:szCs w:val="24"/>
        </w:rPr>
        <w:t>,000 customers per year could receive financial assistance under OCC’s proposal</w:t>
      </w:r>
      <w:r w:rsidR="001E4672">
        <w:rPr>
          <w:szCs w:val="24"/>
        </w:rPr>
        <w:t xml:space="preserve"> (assuming about $200 per customer, as explained by OCC witness Williams)</w:t>
      </w:r>
      <w:r w:rsidRPr="00D46F5E" w:rsidR="00E0021D">
        <w:rPr>
          <w:szCs w:val="24"/>
        </w:rPr>
        <w:t>.</w:t>
      </w:r>
      <w:r>
        <w:rPr>
          <w:rStyle w:val="FootnoteReference"/>
          <w:szCs w:val="24"/>
        </w:rPr>
        <w:footnoteReference w:id="60"/>
      </w:r>
      <w:r w:rsidRPr="00D46F5E" w:rsidR="00E0021D">
        <w:rPr>
          <w:szCs w:val="24"/>
        </w:rPr>
        <w:t xml:space="preserve"> In contrast, </w:t>
      </w:r>
      <w:r w:rsidR="001E4672">
        <w:rPr>
          <w:szCs w:val="24"/>
        </w:rPr>
        <w:t>Vectren’s</w:t>
      </w:r>
      <w:r w:rsidRPr="00D46F5E" w:rsidR="00E0021D">
        <w:rPr>
          <w:szCs w:val="24"/>
        </w:rPr>
        <w:t xml:space="preserve"> low-income weatherization</w:t>
      </w:r>
      <w:r w:rsidR="00257722">
        <w:rPr>
          <w:szCs w:val="24"/>
        </w:rPr>
        <w:t xml:space="preserve">, while it helps people, </w:t>
      </w:r>
      <w:r w:rsidR="001E4672">
        <w:rPr>
          <w:szCs w:val="24"/>
        </w:rPr>
        <w:t>is projected to</w:t>
      </w:r>
      <w:r w:rsidRPr="00D46F5E" w:rsidR="00E0021D">
        <w:rPr>
          <w:szCs w:val="24"/>
        </w:rPr>
        <w:t xml:space="preserve"> help</w:t>
      </w:r>
      <w:r w:rsidRPr="00D46F5E" w:rsidR="00257722">
        <w:rPr>
          <w:szCs w:val="24"/>
        </w:rPr>
        <w:t xml:space="preserve"> </w:t>
      </w:r>
      <w:r w:rsidR="001E4672">
        <w:rPr>
          <w:szCs w:val="24"/>
        </w:rPr>
        <w:t>334</w:t>
      </w:r>
      <w:r w:rsidRPr="00D46F5E" w:rsidR="00E0021D">
        <w:rPr>
          <w:szCs w:val="24"/>
        </w:rPr>
        <w:t xml:space="preserve"> customers per year.</w:t>
      </w:r>
      <w:r>
        <w:rPr>
          <w:rStyle w:val="FootnoteReference"/>
          <w:szCs w:val="24"/>
        </w:rPr>
        <w:footnoteReference w:id="61"/>
      </w:r>
      <w:r w:rsidRPr="00D46F5E" w:rsidR="00E0021D">
        <w:rPr>
          <w:szCs w:val="24"/>
        </w:rPr>
        <w:t xml:space="preserve"> </w:t>
      </w:r>
      <w:r w:rsidR="001E4672">
        <w:rPr>
          <w:szCs w:val="24"/>
        </w:rPr>
        <w:t>In fact, as a result of Vectren’s weatherization program being suspended in 2020, through June</w:t>
      </w:r>
      <w:r w:rsidR="0004693B">
        <w:rPr>
          <w:szCs w:val="24"/>
        </w:rPr>
        <w:t xml:space="preserve"> 2020</w:t>
      </w:r>
      <w:r w:rsidR="001E4672">
        <w:rPr>
          <w:szCs w:val="24"/>
        </w:rPr>
        <w:t xml:space="preserve">, Vectren </w:t>
      </w:r>
      <w:r w:rsidR="0004693B">
        <w:rPr>
          <w:szCs w:val="24"/>
        </w:rPr>
        <w:t xml:space="preserve">has </w:t>
      </w:r>
      <w:r w:rsidR="001E4672">
        <w:rPr>
          <w:szCs w:val="24"/>
        </w:rPr>
        <w:t xml:space="preserve">only weatherized 32 homes </w:t>
      </w:r>
      <w:r w:rsidR="0004693B">
        <w:rPr>
          <w:szCs w:val="24"/>
        </w:rPr>
        <w:t>this year</w:t>
      </w:r>
      <w:r w:rsidR="001E4672">
        <w:rPr>
          <w:szCs w:val="24"/>
        </w:rPr>
        <w:t>.</w:t>
      </w:r>
      <w:r>
        <w:rPr>
          <w:rStyle w:val="FootnoteReference"/>
          <w:szCs w:val="24"/>
        </w:rPr>
        <w:footnoteReference w:id="62"/>
      </w:r>
    </w:p>
    <w:p w:rsidR="00161849" w:rsidP="0004208F">
      <w:pPr>
        <w:pStyle w:val="BodyTextIndent3"/>
        <w:spacing w:line="480" w:lineRule="auto"/>
        <w:rPr>
          <w:szCs w:val="24"/>
        </w:rPr>
      </w:pPr>
      <w:r w:rsidRPr="00D46F5E">
        <w:rPr>
          <w:szCs w:val="24"/>
        </w:rPr>
        <w:t xml:space="preserve">During and after this </w:t>
      </w:r>
      <w:r w:rsidR="00257722">
        <w:rPr>
          <w:szCs w:val="24"/>
        </w:rPr>
        <w:t xml:space="preserve">formal </w:t>
      </w:r>
      <w:r w:rsidRPr="00D46F5E">
        <w:rPr>
          <w:szCs w:val="24"/>
        </w:rPr>
        <w:t xml:space="preserve">health </w:t>
      </w:r>
      <w:r w:rsidR="00257722">
        <w:rPr>
          <w:szCs w:val="24"/>
        </w:rPr>
        <w:t>emergency</w:t>
      </w:r>
      <w:r w:rsidR="00132A4B">
        <w:rPr>
          <w:szCs w:val="24"/>
        </w:rPr>
        <w:t xml:space="preserve"> and for some time thereafter</w:t>
      </w:r>
      <w:r w:rsidRPr="00D46F5E">
        <w:rPr>
          <w:szCs w:val="24"/>
        </w:rPr>
        <w:t xml:space="preserve">, many more than </w:t>
      </w:r>
      <w:r w:rsidR="001B398F">
        <w:rPr>
          <w:szCs w:val="24"/>
        </w:rPr>
        <w:t>334</w:t>
      </w:r>
      <w:r w:rsidRPr="00D46F5E">
        <w:rPr>
          <w:szCs w:val="24"/>
        </w:rPr>
        <w:t xml:space="preserve"> customers will need assistance</w:t>
      </w:r>
      <w:r w:rsidR="00257722">
        <w:rPr>
          <w:szCs w:val="24"/>
        </w:rPr>
        <w:t xml:space="preserve"> and need it for much longer than the period of the formal e</w:t>
      </w:r>
      <w:r w:rsidR="00CB5303">
        <w:rPr>
          <w:szCs w:val="24"/>
        </w:rPr>
        <w:t>m</w:t>
      </w:r>
      <w:r w:rsidR="00257722">
        <w:rPr>
          <w:szCs w:val="24"/>
        </w:rPr>
        <w:t>ergency</w:t>
      </w:r>
      <w:r w:rsidRPr="00D46F5E">
        <w:rPr>
          <w:szCs w:val="24"/>
        </w:rPr>
        <w:t xml:space="preserve">. </w:t>
      </w:r>
      <w:r w:rsidR="00CB5303">
        <w:rPr>
          <w:szCs w:val="24"/>
        </w:rPr>
        <w:t>Sadly</w:t>
      </w:r>
      <w:r w:rsidRPr="00D46F5E">
        <w:rPr>
          <w:szCs w:val="24"/>
        </w:rPr>
        <w:t xml:space="preserve">, many more than </w:t>
      </w:r>
      <w:r w:rsidR="001B398F">
        <w:rPr>
          <w:szCs w:val="24"/>
        </w:rPr>
        <w:t>11,000</w:t>
      </w:r>
      <w:r w:rsidRPr="00D46F5E">
        <w:rPr>
          <w:szCs w:val="24"/>
        </w:rPr>
        <w:t xml:space="preserve"> </w:t>
      </w:r>
      <w:r w:rsidR="00CB5303">
        <w:rPr>
          <w:szCs w:val="24"/>
        </w:rPr>
        <w:t xml:space="preserve">consumers </w:t>
      </w:r>
      <w:r w:rsidRPr="00D46F5E">
        <w:rPr>
          <w:szCs w:val="24"/>
        </w:rPr>
        <w:t xml:space="preserve">will </w:t>
      </w:r>
      <w:r w:rsidR="00CB5303">
        <w:rPr>
          <w:szCs w:val="24"/>
        </w:rPr>
        <w:t>need more</w:t>
      </w:r>
      <w:r w:rsidR="0024640A">
        <w:rPr>
          <w:szCs w:val="24"/>
        </w:rPr>
        <w:t xml:space="preserve"> assistance</w:t>
      </w:r>
      <w:r w:rsidR="00CB5303">
        <w:rPr>
          <w:szCs w:val="24"/>
        </w:rPr>
        <w:t xml:space="preserve"> </w:t>
      </w:r>
      <w:r w:rsidRPr="00D46F5E">
        <w:rPr>
          <w:szCs w:val="24"/>
        </w:rPr>
        <w:t>too. OCC’s proposal to increase the number of customers receiving benefits must be part of a more comprehensive approach to consumer assistance.</w:t>
      </w:r>
    </w:p>
    <w:p w:rsidR="000A2F64" w:rsidRPr="000A2F64" w:rsidP="0002433C">
      <w:pPr>
        <w:pStyle w:val="Heading3"/>
      </w:pPr>
      <w:bookmarkStart w:id="16" w:name="_Toc50042255"/>
      <w:r>
        <w:t>4.</w:t>
      </w:r>
      <w:r>
        <w:tab/>
      </w:r>
      <w:r w:rsidRPr="0002433C">
        <w:t>OCC’s proposed bill payment assistance will help PIPP customers and reduce what all other customers pay to fund PIPP.</w:t>
      </w:r>
      <w:bookmarkEnd w:id="16"/>
    </w:p>
    <w:p w:rsidR="000A2F64" w:rsidP="0004208F">
      <w:pPr>
        <w:pStyle w:val="BodyTextIndent3"/>
        <w:spacing w:line="480" w:lineRule="auto"/>
        <w:rPr>
          <w:szCs w:val="24"/>
        </w:rPr>
      </w:pPr>
      <w:r>
        <w:rPr>
          <w:szCs w:val="24"/>
        </w:rPr>
        <w:t>It is extremely important for PIPP customers to pay their bills in full and on time so that they can remain enrolled in the program, can take advantage of arrearage credits, and avoid building future debt.</w:t>
      </w:r>
      <w:r>
        <w:rPr>
          <w:rStyle w:val="FootnoteReference"/>
          <w:szCs w:val="24"/>
        </w:rPr>
        <w:footnoteReference w:id="63"/>
      </w:r>
      <w:r>
        <w:rPr>
          <w:szCs w:val="24"/>
        </w:rPr>
        <w:t xml:space="preserve"> </w:t>
      </w:r>
      <w:r w:rsidR="00DD1401">
        <w:rPr>
          <w:szCs w:val="24"/>
        </w:rPr>
        <w:t>The repurpose</w:t>
      </w:r>
      <w:r w:rsidR="00C64320">
        <w:rPr>
          <w:szCs w:val="24"/>
        </w:rPr>
        <w:t>d</w:t>
      </w:r>
      <w:r w:rsidR="00DD1401">
        <w:rPr>
          <w:szCs w:val="24"/>
        </w:rPr>
        <w:t xml:space="preserve"> funds can allow PIPP customers to pay their bills in full and on time.</w:t>
      </w:r>
      <w:r>
        <w:rPr>
          <w:rStyle w:val="FootnoteReference"/>
          <w:szCs w:val="24"/>
        </w:rPr>
        <w:footnoteReference w:id="64"/>
      </w:r>
      <w:r w:rsidR="00DD1401">
        <w:rPr>
          <w:szCs w:val="24"/>
        </w:rPr>
        <w:t xml:space="preserve"> Further, the repurposed funds will help avoid increases in uncollected PIPP charges, thus reducing the potential impact of future increases in what all customers pay to fund the PIPP rider as additional customers enroll in PIPP.</w:t>
      </w:r>
      <w:r>
        <w:rPr>
          <w:rStyle w:val="FootnoteReference"/>
          <w:szCs w:val="24"/>
        </w:rPr>
        <w:footnoteReference w:id="65"/>
      </w:r>
      <w:r w:rsidR="0004693B">
        <w:rPr>
          <w:szCs w:val="24"/>
        </w:rPr>
        <w:t xml:space="preserve"> This benefits PIPP customers by allowing them to stay on the program, and it benefits all customers by reducing the amount that they pay for the PIPP program.</w:t>
      </w:r>
    </w:p>
    <w:p w:rsidR="0085454A" w:rsidRPr="0085454A" w:rsidP="0002433C">
      <w:pPr>
        <w:pStyle w:val="Heading3"/>
        <w:rPr>
          <w:szCs w:val="24"/>
        </w:rPr>
      </w:pPr>
      <w:bookmarkStart w:id="17" w:name="_Toc50042256"/>
      <w:r>
        <w:rPr>
          <w:szCs w:val="24"/>
        </w:rPr>
        <w:t>5.</w:t>
      </w:r>
      <w:r>
        <w:rPr>
          <w:szCs w:val="24"/>
        </w:rPr>
        <w:tab/>
      </w:r>
      <w:r w:rsidRPr="0002433C">
        <w:t>Under OCC’s proposal, there would still be substantial funding available for weatherizing houses, with potential increases for weatherization at the expense of bill payment assistance.</w:t>
      </w:r>
      <w:bookmarkEnd w:id="17"/>
    </w:p>
    <w:p w:rsidR="00E0021D" w:rsidRPr="00D46F5E" w:rsidP="0004208F">
      <w:pPr>
        <w:pStyle w:val="BodyTextIndent3"/>
        <w:spacing w:line="480" w:lineRule="auto"/>
        <w:rPr>
          <w:szCs w:val="24"/>
        </w:rPr>
      </w:pPr>
      <w:r w:rsidRPr="00D46F5E">
        <w:rPr>
          <w:szCs w:val="24"/>
        </w:rPr>
        <w:t>OCC is not proposing an end to weatherization.</w:t>
      </w:r>
      <w:r w:rsidR="004912D0">
        <w:rPr>
          <w:szCs w:val="24"/>
        </w:rPr>
        <w:t xml:space="preserve"> Far from it.</w:t>
      </w:r>
      <w:r w:rsidRPr="00D46F5E">
        <w:rPr>
          <w:szCs w:val="24"/>
        </w:rPr>
        <w:t xml:space="preserve"> Under OCC’s proposal,</w:t>
      </w:r>
      <w:r w:rsidR="004912D0">
        <w:rPr>
          <w:szCs w:val="24"/>
        </w:rPr>
        <w:t xml:space="preserve"> if implemented,</w:t>
      </w:r>
      <w:r w:rsidRPr="00D46F5E">
        <w:rPr>
          <w:szCs w:val="24"/>
        </w:rPr>
        <w:t xml:space="preserve"> there would still be substantial funding</w:t>
      </w:r>
      <w:r w:rsidR="0085454A">
        <w:rPr>
          <w:szCs w:val="24"/>
        </w:rPr>
        <w:t xml:space="preserve"> available for weatherization in Ohio</w:t>
      </w:r>
      <w:r w:rsidRPr="00D46F5E">
        <w:rPr>
          <w:szCs w:val="24"/>
        </w:rPr>
        <w:t>.</w:t>
      </w:r>
    </w:p>
    <w:p w:rsidR="00B9099D" w:rsidP="000A2F64">
      <w:pPr>
        <w:pStyle w:val="BodyTextIndent3"/>
        <w:spacing w:line="480" w:lineRule="auto"/>
        <w:rPr>
          <w:szCs w:val="24"/>
        </w:rPr>
      </w:pPr>
      <w:r w:rsidRPr="00D46F5E">
        <w:rPr>
          <w:szCs w:val="24"/>
        </w:rPr>
        <w:t xml:space="preserve">Ohio receives a block grant from the Federal Government for the Home Energy Assistance Program (“HEAP”). Traditionally, </w:t>
      </w:r>
      <w:r w:rsidR="004912D0">
        <w:rPr>
          <w:szCs w:val="24"/>
        </w:rPr>
        <w:t xml:space="preserve">federal </w:t>
      </w:r>
      <w:r w:rsidR="007144B8">
        <w:rPr>
          <w:szCs w:val="24"/>
        </w:rPr>
        <w:t>law</w:t>
      </w:r>
      <w:r w:rsidR="004912D0">
        <w:rPr>
          <w:szCs w:val="24"/>
        </w:rPr>
        <w:t xml:space="preserve"> allow</w:t>
      </w:r>
      <w:r w:rsidR="000F4F25">
        <w:rPr>
          <w:szCs w:val="24"/>
        </w:rPr>
        <w:t>s</w:t>
      </w:r>
      <w:r w:rsidR="004912D0">
        <w:rPr>
          <w:szCs w:val="24"/>
        </w:rPr>
        <w:t xml:space="preserve"> </w:t>
      </w:r>
      <w:r w:rsidRPr="00D46F5E">
        <w:rPr>
          <w:szCs w:val="24"/>
        </w:rPr>
        <w:t xml:space="preserve">15% of this funding </w:t>
      </w:r>
      <w:r w:rsidR="004912D0">
        <w:rPr>
          <w:szCs w:val="24"/>
        </w:rPr>
        <w:t>to be</w:t>
      </w:r>
      <w:r w:rsidRPr="00D46F5E" w:rsidR="00EF6712">
        <w:rPr>
          <w:szCs w:val="24"/>
        </w:rPr>
        <w:t xml:space="preserve"> made </w:t>
      </w:r>
      <w:r w:rsidRPr="00D46F5E">
        <w:rPr>
          <w:szCs w:val="24"/>
        </w:rPr>
        <w:t>available for weatherization</w:t>
      </w:r>
      <w:r w:rsidR="0087782C">
        <w:rPr>
          <w:szCs w:val="24"/>
        </w:rPr>
        <w:t>, with the balance for bill payment assistance</w:t>
      </w:r>
      <w:r w:rsidRPr="00D46F5E">
        <w:rPr>
          <w:szCs w:val="24"/>
        </w:rPr>
        <w:t>.</w:t>
      </w:r>
      <w:r>
        <w:rPr>
          <w:rStyle w:val="FootnoteReference"/>
          <w:szCs w:val="24"/>
        </w:rPr>
        <w:footnoteReference w:id="66"/>
      </w:r>
      <w:r w:rsidR="000A2F64">
        <w:rPr>
          <w:szCs w:val="24"/>
        </w:rPr>
        <w:t xml:space="preserve"> </w:t>
      </w:r>
      <w:r w:rsidRPr="00D46F5E">
        <w:rPr>
          <w:szCs w:val="24"/>
        </w:rPr>
        <w:t xml:space="preserve">In recently passed House Bill 166, the </w:t>
      </w:r>
      <w:r w:rsidR="003C4F2B">
        <w:rPr>
          <w:szCs w:val="24"/>
        </w:rPr>
        <w:t xml:space="preserve">Ohio </w:t>
      </w:r>
      <w:r w:rsidRPr="00D46F5E">
        <w:rPr>
          <w:szCs w:val="24"/>
        </w:rPr>
        <w:t xml:space="preserve">General Assembly </w:t>
      </w:r>
      <w:r w:rsidR="0087782C">
        <w:rPr>
          <w:szCs w:val="24"/>
        </w:rPr>
        <w:t>allowed</w:t>
      </w:r>
      <w:r w:rsidRPr="00D46F5E" w:rsidR="0087782C">
        <w:rPr>
          <w:szCs w:val="24"/>
        </w:rPr>
        <w:t xml:space="preserve"> </w:t>
      </w:r>
      <w:r w:rsidRPr="00D46F5E">
        <w:rPr>
          <w:szCs w:val="24"/>
        </w:rPr>
        <w:t xml:space="preserve">the Ohio Development Services Agency to seek an increase that would </w:t>
      </w:r>
      <w:r w:rsidR="0087782C">
        <w:rPr>
          <w:szCs w:val="24"/>
        </w:rPr>
        <w:t>enable ODSA, in its discretion, to use</w:t>
      </w:r>
      <w:r w:rsidRPr="00D46F5E" w:rsidR="0087782C">
        <w:rPr>
          <w:szCs w:val="24"/>
        </w:rPr>
        <w:t xml:space="preserve"> </w:t>
      </w:r>
      <w:r w:rsidRPr="00D46F5E">
        <w:rPr>
          <w:szCs w:val="24"/>
        </w:rPr>
        <w:t xml:space="preserve">20% of </w:t>
      </w:r>
      <w:r w:rsidR="0087782C">
        <w:rPr>
          <w:szCs w:val="24"/>
        </w:rPr>
        <w:t>HEAP</w:t>
      </w:r>
      <w:r w:rsidRPr="00D46F5E" w:rsidR="0087782C">
        <w:rPr>
          <w:szCs w:val="24"/>
        </w:rPr>
        <w:t xml:space="preserve"> </w:t>
      </w:r>
      <w:r w:rsidRPr="00D46F5E">
        <w:rPr>
          <w:szCs w:val="24"/>
        </w:rPr>
        <w:t>funding for weatherization.</w:t>
      </w:r>
      <w:r>
        <w:rPr>
          <w:rStyle w:val="FootnoteReference"/>
          <w:szCs w:val="24"/>
        </w:rPr>
        <w:footnoteReference w:id="67"/>
      </w:r>
      <w:r w:rsidRPr="00D46F5E">
        <w:rPr>
          <w:szCs w:val="24"/>
        </w:rPr>
        <w:t xml:space="preserve"> </w:t>
      </w:r>
      <w:r w:rsidRPr="00D46F5E" w:rsidR="00D03CD9">
        <w:rPr>
          <w:szCs w:val="24"/>
        </w:rPr>
        <w:t>ODSA</w:t>
      </w:r>
      <w:r w:rsidR="0087782C">
        <w:rPr>
          <w:szCs w:val="24"/>
        </w:rPr>
        <w:t xml:space="preserve"> </w:t>
      </w:r>
      <w:r w:rsidR="000A2F64">
        <w:rPr>
          <w:szCs w:val="24"/>
        </w:rPr>
        <w:t xml:space="preserve">has requested </w:t>
      </w:r>
      <w:r w:rsidRPr="00D46F5E" w:rsidR="00D03CD9">
        <w:rPr>
          <w:szCs w:val="24"/>
        </w:rPr>
        <w:t xml:space="preserve">a waiver from </w:t>
      </w:r>
      <w:r w:rsidR="0087782C">
        <w:rPr>
          <w:szCs w:val="24"/>
        </w:rPr>
        <w:t xml:space="preserve">the U.S. Department of </w:t>
      </w:r>
      <w:r w:rsidRPr="00D46F5E" w:rsidR="00D03CD9">
        <w:rPr>
          <w:szCs w:val="24"/>
        </w:rPr>
        <w:t>H</w:t>
      </w:r>
      <w:r w:rsidRPr="00D46F5E" w:rsidR="00B125A7">
        <w:rPr>
          <w:szCs w:val="24"/>
        </w:rPr>
        <w:t>ealth and Human Services (“H</w:t>
      </w:r>
      <w:r w:rsidRPr="00D46F5E" w:rsidR="00D03CD9">
        <w:rPr>
          <w:szCs w:val="24"/>
        </w:rPr>
        <w:t>HS</w:t>
      </w:r>
      <w:r w:rsidRPr="00D46F5E" w:rsidR="00B125A7">
        <w:rPr>
          <w:szCs w:val="24"/>
        </w:rPr>
        <w:t>”)</w:t>
      </w:r>
      <w:r w:rsidR="0087782C">
        <w:rPr>
          <w:szCs w:val="24"/>
        </w:rPr>
        <w:t xml:space="preserve"> to use </w:t>
      </w:r>
      <w:r w:rsidR="007A636D">
        <w:rPr>
          <w:szCs w:val="24"/>
        </w:rPr>
        <w:t>20% (up from</w:t>
      </w:r>
      <w:r w:rsidR="0087782C">
        <w:rPr>
          <w:szCs w:val="24"/>
        </w:rPr>
        <w:t xml:space="preserve"> 15%</w:t>
      </w:r>
      <w:r w:rsidR="007A636D">
        <w:rPr>
          <w:szCs w:val="24"/>
        </w:rPr>
        <w:t>)</w:t>
      </w:r>
      <w:r w:rsidR="0087782C">
        <w:rPr>
          <w:szCs w:val="24"/>
        </w:rPr>
        <w:t xml:space="preserve"> of HEAP funds for weatherization</w:t>
      </w:r>
      <w:r w:rsidR="003C4F2B">
        <w:rPr>
          <w:szCs w:val="24"/>
        </w:rPr>
        <w:t>.</w:t>
      </w:r>
      <w:r>
        <w:rPr>
          <w:rStyle w:val="FootnoteReference"/>
          <w:szCs w:val="24"/>
        </w:rPr>
        <w:footnoteReference w:id="68"/>
      </w:r>
      <w:r w:rsidR="003C4F2B">
        <w:rPr>
          <w:szCs w:val="24"/>
        </w:rPr>
        <w:t xml:space="preserve"> </w:t>
      </w:r>
      <w:r w:rsidR="007B2769">
        <w:rPr>
          <w:szCs w:val="24"/>
        </w:rPr>
        <w:t>If the waiver is granted,</w:t>
      </w:r>
      <w:r w:rsidR="000A2F64">
        <w:rPr>
          <w:szCs w:val="24"/>
        </w:rPr>
        <w:t xml:space="preserve"> approximately $30 million </w:t>
      </w:r>
      <w:r w:rsidR="007B2769">
        <w:rPr>
          <w:szCs w:val="24"/>
        </w:rPr>
        <w:t xml:space="preserve">will become </w:t>
      </w:r>
      <w:r w:rsidR="000A2F64">
        <w:rPr>
          <w:szCs w:val="24"/>
        </w:rPr>
        <w:t>available in Ohio for low-income weatherization.</w:t>
      </w:r>
      <w:r w:rsidRPr="00D46F5E" w:rsidR="00D03CD9">
        <w:rPr>
          <w:szCs w:val="24"/>
        </w:rPr>
        <w:t xml:space="preserve"> </w:t>
      </w:r>
      <w:r w:rsidRPr="00D46F5E">
        <w:rPr>
          <w:szCs w:val="24"/>
        </w:rPr>
        <w:t xml:space="preserve">Any claim that OCC’s proposal would leave </w:t>
      </w:r>
      <w:r w:rsidR="00C64320">
        <w:rPr>
          <w:szCs w:val="24"/>
        </w:rPr>
        <w:t xml:space="preserve">low-income customers without </w:t>
      </w:r>
      <w:r w:rsidRPr="00D46F5E">
        <w:rPr>
          <w:szCs w:val="24"/>
        </w:rPr>
        <w:t xml:space="preserve">weatherization </w:t>
      </w:r>
      <w:r w:rsidR="00C64320">
        <w:rPr>
          <w:szCs w:val="24"/>
        </w:rPr>
        <w:t>options</w:t>
      </w:r>
      <w:r w:rsidRPr="00D46F5E">
        <w:rPr>
          <w:szCs w:val="24"/>
        </w:rPr>
        <w:t xml:space="preserve"> is therefore unfounded.</w:t>
      </w:r>
    </w:p>
    <w:p w:rsidR="003F68F1" w:rsidRPr="00F16417" w:rsidP="0002433C">
      <w:pPr>
        <w:pStyle w:val="Heading3"/>
      </w:pPr>
      <w:bookmarkStart w:id="18" w:name="_Toc50042257"/>
      <w:r>
        <w:t>6.</w:t>
      </w:r>
      <w:r>
        <w:tab/>
      </w:r>
      <w:r w:rsidRPr="0002433C" w:rsidR="00F16417">
        <w:t xml:space="preserve">Trying to predict the precise needs of consumers in 2022 and 2023 is impossible, so the PUCO should not predetermine, at this </w:t>
      </w:r>
      <w:r w:rsidR="00132A4B">
        <w:t>time</w:t>
      </w:r>
      <w:r w:rsidRPr="0002433C" w:rsidR="00F16417">
        <w:t>, that millions of dollars be spent on weatherization in those years.</w:t>
      </w:r>
      <w:bookmarkEnd w:id="18"/>
    </w:p>
    <w:p w:rsidR="003F68F1" w:rsidRPr="009B7DF1" w:rsidP="000A2F64">
      <w:pPr>
        <w:pStyle w:val="BodyTextIndent3"/>
        <w:spacing w:line="480" w:lineRule="auto"/>
        <w:rPr>
          <w:szCs w:val="24"/>
        </w:rPr>
      </w:pPr>
      <w:r>
        <w:rPr>
          <w:szCs w:val="24"/>
        </w:rPr>
        <w:t>OCC witness Williams recommends that the PUCO</w:t>
      </w:r>
      <w:r w:rsidR="008B7694">
        <w:rPr>
          <w:szCs w:val="24"/>
        </w:rPr>
        <w:t xml:space="preserve"> repurpose Vectren’s remaining 2020 weatherization funds, </w:t>
      </w:r>
      <w:r w:rsidR="0004693B">
        <w:rPr>
          <w:szCs w:val="24"/>
        </w:rPr>
        <w:t>as</w:t>
      </w:r>
      <w:r w:rsidR="00692777">
        <w:rPr>
          <w:szCs w:val="24"/>
        </w:rPr>
        <w:t xml:space="preserve"> well as</w:t>
      </w:r>
      <w:r w:rsidR="008B7694">
        <w:rPr>
          <w:szCs w:val="24"/>
        </w:rPr>
        <w:t xml:space="preserve"> its 2021 weatherization funds</w:t>
      </w:r>
      <w:r w:rsidR="00692777">
        <w:rPr>
          <w:szCs w:val="24"/>
        </w:rPr>
        <w:t>.</w:t>
      </w:r>
      <w:r>
        <w:rPr>
          <w:rStyle w:val="FootnoteReference"/>
          <w:szCs w:val="24"/>
        </w:rPr>
        <w:footnoteReference w:id="69"/>
      </w:r>
      <w:r w:rsidR="00692777">
        <w:rPr>
          <w:szCs w:val="24"/>
        </w:rPr>
        <w:t xml:space="preserve"> As he further testified, “it is likely that the fallout from the coronavirus and ensuing financial emergency will extent to 2022 or even later.”</w:t>
      </w:r>
      <w:r>
        <w:rPr>
          <w:rStyle w:val="FootnoteReference"/>
          <w:szCs w:val="24"/>
        </w:rPr>
        <w:footnoteReference w:id="70"/>
      </w:r>
      <w:r w:rsidR="00692777">
        <w:rPr>
          <w:szCs w:val="24"/>
        </w:rPr>
        <w:t xml:space="preserve"> Accordingly, he testified that any decision regarding weatherization beyond 2021 “should be delayed until an assessment is completed on the state of the coronavirus emergency in mid-2021 and the availability and level of federal funding for the Home Weatherization Assistance Program (‘HWAP’) are known.”</w:t>
      </w:r>
      <w:r>
        <w:rPr>
          <w:rStyle w:val="FootnoteReference"/>
          <w:szCs w:val="24"/>
        </w:rPr>
        <w:footnoteReference w:id="71"/>
      </w:r>
      <w:r w:rsidR="00C946B4">
        <w:rPr>
          <w:szCs w:val="24"/>
        </w:rPr>
        <w:t xml:space="preserve"> The PUCO will have better information in the future to decide what is best for consumers.</w:t>
      </w:r>
    </w:p>
    <w:p w:rsidR="00DD1401" w:rsidRPr="00DD1401" w:rsidP="0002433C">
      <w:pPr>
        <w:pStyle w:val="Heading2"/>
        <w:rPr>
          <w:szCs w:val="24"/>
        </w:rPr>
      </w:pPr>
      <w:bookmarkStart w:id="19" w:name="_Toc50042258"/>
      <w:r>
        <w:t>C</w:t>
      </w:r>
      <w:r w:rsidRPr="00D46F5E">
        <w:t>.</w:t>
      </w:r>
      <w:r w:rsidRPr="00D46F5E">
        <w:tab/>
      </w:r>
      <w:r w:rsidRPr="0002433C">
        <w:t xml:space="preserve">The Settlement violates </w:t>
      </w:r>
      <w:r w:rsidR="00050777">
        <w:t>the PUCO</w:t>
      </w:r>
      <w:r w:rsidR="00050777">
        <w:rPr>
          <w:rFonts w:hint="eastAsia"/>
        </w:rPr>
        <w:t>’</w:t>
      </w:r>
      <w:r w:rsidR="00050777">
        <w:t xml:space="preserve">s settlement standard requiring </w:t>
      </w:r>
      <w:r w:rsidR="00050777">
        <w:rPr>
          <w:rFonts w:hint="eastAsia"/>
        </w:rPr>
        <w:t>compliance</w:t>
      </w:r>
      <w:r w:rsidR="00050777">
        <w:t xml:space="preserve"> with </w:t>
      </w:r>
      <w:r w:rsidRPr="0002433C">
        <w:t>regulatory principles and practices.</w:t>
      </w:r>
      <w:bookmarkEnd w:id="19"/>
    </w:p>
    <w:p w:rsidR="009C4FAE" w:rsidP="000D5C64">
      <w:pPr>
        <w:pStyle w:val="Heading3"/>
        <w:rPr>
          <w:szCs w:val="24"/>
        </w:rPr>
      </w:pPr>
      <w:bookmarkStart w:id="20" w:name="_Toc50042259"/>
      <w:r w:rsidRPr="002F4428">
        <w:rPr>
          <w:szCs w:val="24"/>
        </w:rPr>
        <w:t>1.</w:t>
      </w:r>
      <w:r w:rsidR="00050777">
        <w:rPr>
          <w:szCs w:val="24"/>
        </w:rPr>
        <w:tab/>
      </w:r>
      <w:r w:rsidRPr="00050777" w:rsidR="00050777">
        <w:rPr>
          <w:szCs w:val="24"/>
        </w:rPr>
        <w:t xml:space="preserve">The Settlement violates the regulatory principle </w:t>
      </w:r>
      <w:r w:rsidRPr="002F4428">
        <w:t xml:space="preserve">requiring </w:t>
      </w:r>
      <w:r w:rsidR="00F25622">
        <w:t>“</w:t>
      </w:r>
      <w:r w:rsidRPr="002F4428">
        <w:t>reasonably priced</w:t>
      </w:r>
      <w:r w:rsidR="00F25622">
        <w:t>”</w:t>
      </w:r>
      <w:r w:rsidRPr="002F4428">
        <w:t xml:space="preserve"> natural gas service for consumers</w:t>
      </w:r>
      <w:r w:rsidR="00050777">
        <w:t>.</w:t>
      </w:r>
      <w:bookmarkEnd w:id="20"/>
    </w:p>
    <w:p w:rsidR="00DD1401" w:rsidP="0004208F">
      <w:pPr>
        <w:pStyle w:val="BodyTextIndent3"/>
        <w:spacing w:line="480" w:lineRule="auto"/>
        <w:rPr>
          <w:szCs w:val="24"/>
        </w:rPr>
      </w:pPr>
      <w:r>
        <w:rPr>
          <w:szCs w:val="24"/>
        </w:rPr>
        <w:t>R.C. 4929.02(A) provides that it is state policy to “promote the availability to consumers of adequate, reliable, and reasonably priced natural gas services and goods.” R.C. 4905.22 also provides that “no unjust or unreasonable charge shall be made or demanded for, or in connection with, any service....” As OCC witness Shutrump testified, “[r]easonably priced gas service cannot be achieved in 2021, 2022, and 2023 if the PUCO approves a Settlement that continues a charge for programs that are unrelated to adequate and reliable service.”</w:t>
      </w:r>
      <w:r>
        <w:rPr>
          <w:rStyle w:val="FootnoteReference"/>
          <w:szCs w:val="24"/>
        </w:rPr>
        <w:footnoteReference w:id="72"/>
      </w:r>
      <w:r>
        <w:rPr>
          <w:szCs w:val="24"/>
        </w:rPr>
        <w:t xml:space="preserve"> By rejecting the Settlement, customers would still have access to energy efficiency in the marketplace but will not have to pay subsidies for energy efficiency programs through their natural gas bills.</w:t>
      </w:r>
      <w:r>
        <w:rPr>
          <w:rStyle w:val="FootnoteReference"/>
          <w:szCs w:val="24"/>
        </w:rPr>
        <w:footnoteReference w:id="73"/>
      </w:r>
      <w:r>
        <w:rPr>
          <w:szCs w:val="24"/>
        </w:rPr>
        <w:t xml:space="preserve"> This would be consistent with state regulatory policy under R.C. 4909.02(A) and 4905.22.</w:t>
      </w:r>
    </w:p>
    <w:p w:rsidR="009C4FAE" w:rsidP="000D5C64">
      <w:pPr>
        <w:pStyle w:val="Heading3"/>
      </w:pPr>
      <w:bookmarkStart w:id="21" w:name="_Toc50042260"/>
      <w:r>
        <w:t>2.</w:t>
      </w:r>
      <w:r>
        <w:tab/>
      </w:r>
      <w:r w:rsidRPr="000D5C64">
        <w:t xml:space="preserve">The Settlement violates the regulatory principle </w:t>
      </w:r>
      <w:r w:rsidRPr="000D5C64" w:rsidR="00A72EE4">
        <w:t xml:space="preserve">and policy </w:t>
      </w:r>
      <w:r w:rsidRPr="000D5C64">
        <w:t xml:space="preserve">of </w:t>
      </w:r>
      <w:r w:rsidRPr="000D5C64" w:rsidR="00A72EE4">
        <w:t xml:space="preserve">promoting </w:t>
      </w:r>
      <w:r w:rsidRPr="000D5C64">
        <w:t>equity.</w:t>
      </w:r>
      <w:bookmarkEnd w:id="21"/>
    </w:p>
    <w:p w:rsidR="009C4FAE" w:rsidP="0004208F">
      <w:pPr>
        <w:pStyle w:val="BodyTextIndent3"/>
        <w:spacing w:line="480" w:lineRule="auto"/>
        <w:rPr>
          <w:szCs w:val="24"/>
        </w:rPr>
      </w:pPr>
      <w:r>
        <w:rPr>
          <w:szCs w:val="24"/>
        </w:rPr>
        <w:t>Good regulatory policy requires the PUCO to consider equity among consumers. The PUCO considers the impact that rates will have on a customer class “in order to promote equitable results among all utility customers.”</w:t>
      </w:r>
      <w:r>
        <w:rPr>
          <w:rStyle w:val="FootnoteReference"/>
          <w:szCs w:val="24"/>
        </w:rPr>
        <w:footnoteReference w:id="74"/>
      </w:r>
      <w:r>
        <w:rPr>
          <w:szCs w:val="24"/>
        </w:rPr>
        <w:t xml:space="preserve"> </w:t>
      </w:r>
    </w:p>
    <w:p w:rsidR="00A72EE4" w:rsidP="0004208F">
      <w:pPr>
        <w:pStyle w:val="BodyTextIndent3"/>
        <w:spacing w:line="480" w:lineRule="auto"/>
        <w:rPr>
          <w:szCs w:val="24"/>
        </w:rPr>
      </w:pPr>
      <w:r>
        <w:rPr>
          <w:szCs w:val="24"/>
        </w:rPr>
        <w:t xml:space="preserve">The Settlement fails to promote the important regulatory principle of equity. It fails to do the most good for the most people. The </w:t>
      </w:r>
      <w:r w:rsidR="009C4FAE">
        <w:rPr>
          <w:szCs w:val="24"/>
        </w:rPr>
        <w:t xml:space="preserve">lack of equity applies when assessing </w:t>
      </w:r>
      <w:r>
        <w:rPr>
          <w:szCs w:val="24"/>
        </w:rPr>
        <w:t>the low-income weatherization program as compared to using the same money for bill-payment assistance</w:t>
      </w:r>
      <w:r w:rsidR="009C4FAE">
        <w:rPr>
          <w:szCs w:val="24"/>
        </w:rPr>
        <w:t>. W</w:t>
      </w:r>
      <w:r>
        <w:rPr>
          <w:szCs w:val="24"/>
        </w:rPr>
        <w:t>eatherization helps just 334 customers per year, while bill-payment assistance can help 10,000 or more for the same budget. Bill-payment assistance does substantially more to promote equity among Vectren’s customers.</w:t>
      </w:r>
      <w:r w:rsidR="009C4FAE">
        <w:rPr>
          <w:szCs w:val="24"/>
        </w:rPr>
        <w:t xml:space="preserve"> Under the regulatory principle of equity, the PUCO should adopt OCC’s proposal for repurposing money to help the neediest of the needy.</w:t>
      </w:r>
    </w:p>
    <w:p w:rsidR="0002433C" w:rsidP="0002433C">
      <w:pPr>
        <w:pStyle w:val="BodyTextIndent3"/>
        <w:spacing w:line="240" w:lineRule="auto"/>
        <w:rPr>
          <w:szCs w:val="24"/>
        </w:rPr>
      </w:pPr>
    </w:p>
    <w:p w:rsidR="00A007B8" w:rsidRPr="00D46F5E" w:rsidP="008852CC">
      <w:pPr>
        <w:pStyle w:val="Heading1"/>
      </w:pPr>
      <w:bookmarkStart w:id="22" w:name="_Toc38958711"/>
      <w:bookmarkStart w:id="23" w:name="_Toc50042261"/>
      <w:r w:rsidRPr="00D46F5E">
        <w:t>I</w:t>
      </w:r>
      <w:r w:rsidR="00DA11D1">
        <w:t>ii</w:t>
      </w:r>
      <w:r w:rsidRPr="00D46F5E">
        <w:t>.</w:t>
      </w:r>
      <w:r w:rsidRPr="00D46F5E">
        <w:tab/>
        <w:t>CONCLUSION</w:t>
      </w:r>
      <w:bookmarkEnd w:id="22"/>
      <w:bookmarkEnd w:id="23"/>
    </w:p>
    <w:p w:rsidR="00FF7940" w:rsidP="0004208F">
      <w:pPr>
        <w:pStyle w:val="BodyTextIndent3"/>
        <w:spacing w:line="480" w:lineRule="auto"/>
        <w:rPr>
          <w:szCs w:val="24"/>
        </w:rPr>
      </w:pPr>
      <w:r>
        <w:rPr>
          <w:szCs w:val="24"/>
        </w:rPr>
        <w:t xml:space="preserve">A great many Ohioans need money and they need it now. </w:t>
      </w:r>
      <w:r w:rsidRPr="00D46F5E" w:rsidR="000549C7">
        <w:rPr>
          <w:szCs w:val="24"/>
        </w:rPr>
        <w:t xml:space="preserve">The PUCO has an opportunity to make a </w:t>
      </w:r>
      <w:r>
        <w:rPr>
          <w:szCs w:val="24"/>
        </w:rPr>
        <w:t xml:space="preserve">positive </w:t>
      </w:r>
      <w:r w:rsidRPr="00D46F5E" w:rsidR="000549C7">
        <w:rPr>
          <w:szCs w:val="24"/>
        </w:rPr>
        <w:t xml:space="preserve">difference for residential consumers right now. OCC’s bill payment assistance proposal </w:t>
      </w:r>
      <w:r>
        <w:rPr>
          <w:szCs w:val="24"/>
        </w:rPr>
        <w:t>achieves the greatest good for the greatest number of Ohio families, by repurposing consumer funds</w:t>
      </w:r>
      <w:r w:rsidRPr="00D46F5E" w:rsidR="000549C7">
        <w:rPr>
          <w:szCs w:val="24"/>
        </w:rPr>
        <w:t xml:space="preserve"> during the coronavirus emergency. </w:t>
      </w:r>
    </w:p>
    <w:p w:rsidR="0004693B" w:rsidP="0004208F">
      <w:pPr>
        <w:pStyle w:val="BodyTextIndent3"/>
        <w:spacing w:line="480" w:lineRule="auto"/>
        <w:rPr>
          <w:szCs w:val="24"/>
        </w:rPr>
      </w:pPr>
      <w:r w:rsidRPr="00D46F5E">
        <w:rPr>
          <w:szCs w:val="24"/>
        </w:rPr>
        <w:t xml:space="preserve">Customers need </w:t>
      </w:r>
      <w:r w:rsidR="00FF7940">
        <w:rPr>
          <w:szCs w:val="24"/>
        </w:rPr>
        <w:t>money to help</w:t>
      </w:r>
      <w:r w:rsidRPr="00D46F5E" w:rsidR="00FF7940">
        <w:rPr>
          <w:szCs w:val="24"/>
        </w:rPr>
        <w:t xml:space="preserve"> </w:t>
      </w:r>
      <w:r w:rsidRPr="00D46F5E">
        <w:rPr>
          <w:szCs w:val="24"/>
        </w:rPr>
        <w:t>pay their utility bills.</w:t>
      </w:r>
      <w:r w:rsidRPr="00C92364" w:rsidR="00C92364">
        <w:t xml:space="preserve"> </w:t>
      </w:r>
      <w:r w:rsidRPr="00D46F5E" w:rsidR="00C92364">
        <w:t>The best way to help Ohioans during and after the coronavirus emergency is through utility bill payment assistance</w:t>
      </w:r>
      <w:r w:rsidR="00C92364">
        <w:t xml:space="preserve"> for the many</w:t>
      </w:r>
      <w:r w:rsidRPr="00D46F5E" w:rsidR="00C92364">
        <w:t xml:space="preserve">, not </w:t>
      </w:r>
      <w:r w:rsidR="00C92364">
        <w:t>weatherization for the few</w:t>
      </w:r>
      <w:r w:rsidRPr="00D46F5E" w:rsidR="00C92364">
        <w:t>.</w:t>
      </w:r>
      <w:r w:rsidRPr="00D46F5E">
        <w:rPr>
          <w:szCs w:val="24"/>
        </w:rPr>
        <w:t xml:space="preserve"> The PUCO should </w:t>
      </w:r>
      <w:r>
        <w:rPr>
          <w:szCs w:val="24"/>
        </w:rPr>
        <w:t>reject the Settlement and (1) unburden customers from paying for unnecessary energy efficiency programs, (2) repurpose the remaining 2020 weatherization funds for bill payment assistance, (3) repurpose Vectren’s proposed 2021 weatherization funds for bill payment assistance, and (4) postpone any decision on funding for 2022 and 2023 until more is known about the state of the coronavirus and financial emergency.</w:t>
      </w:r>
    </w:p>
    <w:p w:rsidR="000549C7" w:rsidRPr="00D46F5E">
      <w:pPr>
        <w:rPr>
          <w:szCs w:val="24"/>
        </w:rPr>
      </w:pPr>
    </w:p>
    <w:p w:rsidR="006735F7" w:rsidRPr="007C6967" w:rsidP="006735F7">
      <w:pPr>
        <w:pStyle w:val="Footer"/>
        <w:tabs>
          <w:tab w:val="left" w:pos="3960"/>
          <w:tab w:val="clear" w:pos="4320"/>
          <w:tab w:val="clear" w:pos="8640"/>
        </w:tabs>
        <w:spacing w:before="240" w:after="240"/>
        <w:ind w:firstLine="3960"/>
        <w:rPr>
          <w:sz w:val="24"/>
          <w:szCs w:val="24"/>
        </w:rPr>
      </w:pPr>
      <w:r w:rsidRPr="007C6967">
        <w:rPr>
          <w:sz w:val="24"/>
          <w:szCs w:val="24"/>
        </w:rPr>
        <w:t>Respectfully submitted,</w:t>
      </w:r>
    </w:p>
    <w:p w:rsidR="006735F7" w:rsidRPr="00B54B36" w:rsidP="006735F7">
      <w:pPr>
        <w:pStyle w:val="Footer"/>
        <w:tabs>
          <w:tab w:val="left" w:pos="3960"/>
          <w:tab w:val="clear" w:pos="4320"/>
          <w:tab w:val="clear" w:pos="8640"/>
        </w:tabs>
        <w:spacing w:before="240"/>
        <w:rPr>
          <w:sz w:val="24"/>
          <w:szCs w:val="24"/>
        </w:rPr>
      </w:pPr>
      <w:r w:rsidRPr="00B54B36">
        <w:rPr>
          <w:sz w:val="24"/>
          <w:szCs w:val="24"/>
        </w:rPr>
        <w:tab/>
        <w:t>Bruce Weston (0016973)</w:t>
      </w:r>
    </w:p>
    <w:p w:rsidR="006735F7" w:rsidRPr="00B54B36" w:rsidP="006735F7">
      <w:pPr>
        <w:tabs>
          <w:tab w:val="left" w:pos="3960"/>
        </w:tabs>
        <w:rPr>
          <w:szCs w:val="24"/>
        </w:rPr>
      </w:pPr>
      <w:r w:rsidRPr="00B54B36">
        <w:rPr>
          <w:szCs w:val="24"/>
        </w:rPr>
        <w:tab/>
        <w:t>Ohio Consumers’ Counsel</w:t>
      </w:r>
    </w:p>
    <w:p w:rsidR="006735F7" w:rsidP="006735F7">
      <w:pPr>
        <w:tabs>
          <w:tab w:val="left" w:pos="3960"/>
        </w:tabs>
        <w:rPr>
          <w:szCs w:val="24"/>
        </w:rPr>
      </w:pPr>
      <w:r w:rsidRPr="00B54B36">
        <w:rPr>
          <w:szCs w:val="24"/>
        </w:rPr>
        <w:tab/>
      </w:r>
      <w:r w:rsidRPr="00B54B36">
        <w:rPr>
          <w:szCs w:val="24"/>
        </w:rPr>
        <w:tab/>
      </w:r>
    </w:p>
    <w:p w:rsidR="006735F7" w:rsidRPr="00B54B36" w:rsidP="006735F7">
      <w:pPr>
        <w:tabs>
          <w:tab w:val="left" w:pos="3960"/>
        </w:tabs>
        <w:rPr>
          <w:szCs w:val="24"/>
          <w:u w:val="single"/>
        </w:rPr>
      </w:pPr>
      <w:r>
        <w:rPr>
          <w:szCs w:val="24"/>
        </w:rPr>
        <w:tab/>
      </w:r>
      <w:r w:rsidRPr="00B54B36">
        <w:rPr>
          <w:szCs w:val="24"/>
          <w:u w:val="single"/>
        </w:rPr>
        <w:t xml:space="preserve">/s/ </w:t>
      </w:r>
      <w:r>
        <w:rPr>
          <w:i/>
          <w:iCs/>
          <w:szCs w:val="24"/>
          <w:u w:val="single"/>
        </w:rPr>
        <w:t>Christopher Healey</w:t>
      </w:r>
      <w:r w:rsidRPr="00B54B36">
        <w:rPr>
          <w:i/>
          <w:iCs/>
          <w:szCs w:val="24"/>
          <w:u w:val="single"/>
        </w:rPr>
        <w:tab/>
      </w:r>
      <w:r>
        <w:rPr>
          <w:i/>
          <w:iCs/>
          <w:szCs w:val="24"/>
          <w:u w:val="single"/>
        </w:rPr>
        <w:tab/>
      </w:r>
      <w:r>
        <w:rPr>
          <w:i/>
          <w:iCs/>
          <w:szCs w:val="24"/>
          <w:u w:val="single"/>
        </w:rPr>
        <w:tab/>
      </w:r>
    </w:p>
    <w:p w:rsidR="006735F7" w:rsidRPr="00B54B36" w:rsidP="006735F7">
      <w:pPr>
        <w:tabs>
          <w:tab w:val="left" w:pos="3960"/>
        </w:tabs>
        <w:ind w:firstLine="3960"/>
        <w:rPr>
          <w:szCs w:val="24"/>
        </w:rPr>
      </w:pPr>
      <w:r w:rsidRPr="00B54B36">
        <w:rPr>
          <w:szCs w:val="24"/>
        </w:rPr>
        <w:t>Amy Botschner O’Brien (0074423)</w:t>
      </w:r>
    </w:p>
    <w:p w:rsidR="006735F7" w:rsidRPr="00B54B36" w:rsidP="006735F7">
      <w:pPr>
        <w:tabs>
          <w:tab w:val="left" w:pos="3960"/>
        </w:tabs>
        <w:rPr>
          <w:szCs w:val="24"/>
        </w:rPr>
      </w:pPr>
      <w:r w:rsidRPr="00B54B36">
        <w:rPr>
          <w:szCs w:val="24"/>
        </w:rPr>
        <w:tab/>
        <w:t>Counsel of Record</w:t>
      </w:r>
    </w:p>
    <w:p w:rsidR="006735F7" w:rsidP="006735F7">
      <w:pPr>
        <w:tabs>
          <w:tab w:val="left" w:pos="3960"/>
        </w:tabs>
        <w:ind w:firstLine="3960"/>
        <w:rPr>
          <w:szCs w:val="24"/>
        </w:rPr>
      </w:pPr>
      <w:r w:rsidRPr="00B54B36">
        <w:rPr>
          <w:szCs w:val="24"/>
        </w:rPr>
        <w:t xml:space="preserve">Ambrosia E. </w:t>
      </w:r>
      <w:r w:rsidR="00763B87">
        <w:rPr>
          <w:szCs w:val="24"/>
        </w:rPr>
        <w:t>Wilson</w:t>
      </w:r>
      <w:r w:rsidRPr="00B54B36">
        <w:rPr>
          <w:szCs w:val="24"/>
        </w:rPr>
        <w:t xml:space="preserve"> (0096598)</w:t>
      </w:r>
    </w:p>
    <w:p w:rsidR="006735F7" w:rsidRPr="00B54B36" w:rsidP="006735F7">
      <w:pPr>
        <w:tabs>
          <w:tab w:val="left" w:pos="3960"/>
        </w:tabs>
        <w:ind w:firstLine="3960"/>
        <w:rPr>
          <w:szCs w:val="24"/>
        </w:rPr>
      </w:pPr>
      <w:r>
        <w:rPr>
          <w:szCs w:val="24"/>
        </w:rPr>
        <w:t>Christopher Healey (0086027)</w:t>
      </w:r>
    </w:p>
    <w:p w:rsidR="006735F7" w:rsidRPr="00B54B36" w:rsidP="006735F7">
      <w:pPr>
        <w:tabs>
          <w:tab w:val="left" w:pos="3960"/>
        </w:tabs>
        <w:ind w:firstLine="3960"/>
        <w:rPr>
          <w:szCs w:val="24"/>
        </w:rPr>
      </w:pPr>
      <w:r w:rsidRPr="00B54B36">
        <w:rPr>
          <w:szCs w:val="24"/>
        </w:rPr>
        <w:t>Assistant Consumers’ Counsel</w:t>
      </w:r>
    </w:p>
    <w:p w:rsidR="006735F7" w:rsidRPr="00B54B36" w:rsidP="006735F7">
      <w:pPr>
        <w:tabs>
          <w:tab w:val="left" w:pos="3960"/>
        </w:tabs>
        <w:rPr>
          <w:szCs w:val="24"/>
        </w:rPr>
      </w:pPr>
      <w:r w:rsidRPr="00B54B36">
        <w:rPr>
          <w:szCs w:val="24"/>
        </w:rPr>
        <w:tab/>
      </w:r>
    </w:p>
    <w:p w:rsidR="006735F7" w:rsidRPr="00B54B36" w:rsidP="006735F7">
      <w:pPr>
        <w:tabs>
          <w:tab w:val="left" w:pos="3960"/>
        </w:tabs>
        <w:rPr>
          <w:b/>
          <w:bCs/>
          <w:szCs w:val="24"/>
        </w:rPr>
      </w:pPr>
      <w:r w:rsidRPr="00B54B36">
        <w:rPr>
          <w:szCs w:val="24"/>
        </w:rPr>
        <w:tab/>
      </w:r>
      <w:r w:rsidRPr="00B54B36">
        <w:rPr>
          <w:b/>
          <w:bCs/>
          <w:szCs w:val="24"/>
        </w:rPr>
        <w:t>Office of the Ohio Consumers’ Counsel</w:t>
      </w:r>
    </w:p>
    <w:p w:rsidR="006735F7" w:rsidRPr="00B54B36" w:rsidP="006735F7">
      <w:pPr>
        <w:tabs>
          <w:tab w:val="left" w:pos="3960"/>
        </w:tabs>
        <w:rPr>
          <w:b/>
          <w:szCs w:val="24"/>
        </w:rPr>
      </w:pPr>
      <w:r w:rsidRPr="00B54B36">
        <w:rPr>
          <w:szCs w:val="24"/>
        </w:rPr>
        <w:tab/>
        <w:t>65 East State Street, 7th Floor</w:t>
      </w:r>
    </w:p>
    <w:p w:rsidR="006735F7" w:rsidRPr="00B54B36" w:rsidP="006735F7">
      <w:pPr>
        <w:tabs>
          <w:tab w:val="left" w:pos="3960"/>
        </w:tabs>
        <w:rPr>
          <w:b/>
          <w:szCs w:val="24"/>
        </w:rPr>
      </w:pPr>
      <w:r w:rsidRPr="00B54B36">
        <w:rPr>
          <w:szCs w:val="24"/>
        </w:rPr>
        <w:tab/>
        <w:t>Columbus, Ohio 43215</w:t>
      </w:r>
    </w:p>
    <w:p w:rsidR="006735F7" w:rsidRPr="00B54B36" w:rsidP="006735F7">
      <w:pPr>
        <w:tabs>
          <w:tab w:val="left" w:pos="3960"/>
        </w:tabs>
        <w:autoSpaceDE w:val="0"/>
        <w:autoSpaceDN w:val="0"/>
        <w:adjustRightInd w:val="0"/>
        <w:ind w:left="3600" w:firstLine="360"/>
        <w:rPr>
          <w:szCs w:val="24"/>
        </w:rPr>
      </w:pPr>
      <w:r w:rsidRPr="00B54B36">
        <w:rPr>
          <w:szCs w:val="24"/>
        </w:rPr>
        <w:t>Telephone [Botschner O’Brien]: (614) 466-9575</w:t>
      </w:r>
    </w:p>
    <w:p w:rsidR="006735F7" w:rsidP="006735F7">
      <w:pPr>
        <w:tabs>
          <w:tab w:val="left" w:pos="3960"/>
        </w:tabs>
        <w:autoSpaceDE w:val="0"/>
        <w:autoSpaceDN w:val="0"/>
        <w:adjustRightInd w:val="0"/>
        <w:ind w:left="3600" w:firstLine="360"/>
        <w:rPr>
          <w:szCs w:val="24"/>
        </w:rPr>
      </w:pPr>
      <w:r w:rsidRPr="00B54B36">
        <w:rPr>
          <w:szCs w:val="24"/>
        </w:rPr>
        <w:t>Telephone [</w:t>
      </w:r>
      <w:r>
        <w:rPr>
          <w:szCs w:val="24"/>
        </w:rPr>
        <w:t>Wilson</w:t>
      </w:r>
      <w:r w:rsidRPr="00B54B36">
        <w:rPr>
          <w:szCs w:val="24"/>
        </w:rPr>
        <w:t>]: (614) 466-1292</w:t>
      </w:r>
    </w:p>
    <w:p w:rsidR="006735F7" w:rsidRPr="00B54B36" w:rsidP="006735F7">
      <w:pPr>
        <w:tabs>
          <w:tab w:val="left" w:pos="3960"/>
        </w:tabs>
        <w:autoSpaceDE w:val="0"/>
        <w:autoSpaceDN w:val="0"/>
        <w:adjustRightInd w:val="0"/>
        <w:ind w:left="3600" w:firstLine="360"/>
        <w:rPr>
          <w:szCs w:val="24"/>
        </w:rPr>
      </w:pPr>
      <w:r>
        <w:rPr>
          <w:szCs w:val="24"/>
        </w:rPr>
        <w:t>Telephone [Healey]: (614) 466-9571</w:t>
      </w:r>
    </w:p>
    <w:p w:rsidR="006735F7" w:rsidRPr="00B54B36" w:rsidP="006735F7">
      <w:pPr>
        <w:tabs>
          <w:tab w:val="left" w:pos="3960"/>
        </w:tabs>
        <w:ind w:firstLine="360"/>
        <w:rPr>
          <w:rStyle w:val="Hyperlink"/>
          <w:szCs w:val="24"/>
        </w:rPr>
      </w:pPr>
      <w:r w:rsidRPr="00B54B36">
        <w:rPr>
          <w:szCs w:val="24"/>
        </w:rPr>
        <w:tab/>
      </w:r>
      <w:hyperlink r:id="rId6" w:history="1">
        <w:r w:rsidRPr="00B54B36">
          <w:rPr>
            <w:rStyle w:val="Hyperlink"/>
            <w:szCs w:val="24"/>
          </w:rPr>
          <w:t>amy.botschner.obrien@occ.ohio.gov</w:t>
        </w:r>
      </w:hyperlink>
    </w:p>
    <w:p w:rsidR="006735F7" w:rsidP="006735F7">
      <w:pPr>
        <w:tabs>
          <w:tab w:val="left" w:pos="3960"/>
        </w:tabs>
        <w:ind w:firstLine="360"/>
      </w:pPr>
      <w:r w:rsidRPr="00B54B36">
        <w:rPr>
          <w:rStyle w:val="Hyperlink"/>
          <w:szCs w:val="24"/>
          <w:u w:val="none"/>
        </w:rPr>
        <w:tab/>
      </w:r>
      <w:hyperlink r:id="rId7" w:history="1">
        <w:r w:rsidRPr="00262DD0">
          <w:rPr>
            <w:rStyle w:val="Hyperlink"/>
            <w:szCs w:val="24"/>
          </w:rPr>
          <w:t>ambrosia.wilson@occ.ohio.gov</w:t>
        </w:r>
      </w:hyperlink>
    </w:p>
    <w:p w:rsidR="006735F7" w:rsidP="006735F7">
      <w:pPr>
        <w:tabs>
          <w:tab w:val="left" w:pos="3960"/>
        </w:tabs>
        <w:ind w:firstLine="3960"/>
        <w:rPr>
          <w:rStyle w:val="Hyperlink"/>
          <w:szCs w:val="24"/>
          <w:u w:val="none"/>
        </w:rPr>
      </w:pPr>
      <w:hyperlink r:id="rId8" w:history="1">
        <w:r w:rsidRPr="00192ABA" w:rsidR="000D5C64">
          <w:rPr>
            <w:rStyle w:val="Hyperlink"/>
          </w:rPr>
          <w:t>christopher.healey@occ.ohio.gov</w:t>
        </w:r>
      </w:hyperlink>
      <w:r w:rsidR="000D5C64">
        <w:t xml:space="preserve"> </w:t>
      </w:r>
    </w:p>
    <w:p w:rsidR="00A044B5" w:rsidRPr="006735F7" w:rsidP="006735F7">
      <w:pPr>
        <w:tabs>
          <w:tab w:val="left" w:pos="3960"/>
        </w:tabs>
        <w:ind w:firstLine="3960"/>
        <w:rPr>
          <w:color w:val="0000FF"/>
          <w:szCs w:val="24"/>
        </w:rPr>
      </w:pPr>
      <w:r w:rsidRPr="00B54B36">
        <w:rPr>
          <w:szCs w:val="24"/>
        </w:rPr>
        <w:t>(willing to accept service by e-mail)</w:t>
      </w:r>
    </w:p>
    <w:p w:rsidR="00A044B5" w:rsidRPr="00D46F5E" w:rsidP="0004208F">
      <w:pPr>
        <w:rPr>
          <w:szCs w:val="24"/>
        </w:rPr>
      </w:pPr>
    </w:p>
    <w:p w:rsidR="00AA603E">
      <w:pPr>
        <w:rPr>
          <w:b/>
          <w:bCs/>
          <w:szCs w:val="24"/>
          <w:u w:val="single"/>
        </w:rPr>
      </w:pPr>
      <w:r>
        <w:rPr>
          <w:b/>
          <w:bCs/>
          <w:szCs w:val="24"/>
          <w:u w:val="single"/>
        </w:rPr>
        <w:br w:type="page"/>
      </w:r>
    </w:p>
    <w:p w:rsidR="00A044B5" w:rsidRPr="00D46F5E" w:rsidP="0004208F">
      <w:pPr>
        <w:jc w:val="center"/>
        <w:rPr>
          <w:b/>
          <w:bCs/>
          <w:szCs w:val="24"/>
          <w:u w:val="single"/>
        </w:rPr>
      </w:pPr>
      <w:r w:rsidRPr="00D46F5E">
        <w:rPr>
          <w:b/>
          <w:bCs/>
          <w:szCs w:val="24"/>
          <w:u w:val="single"/>
        </w:rPr>
        <w:t>CERTIFICATE OF SERVICE</w:t>
      </w:r>
    </w:p>
    <w:p w:rsidR="00A044B5" w:rsidRPr="00D46F5E" w:rsidP="0004208F">
      <w:pPr>
        <w:spacing w:line="480" w:lineRule="atLeast"/>
        <w:rPr>
          <w:szCs w:val="24"/>
        </w:rPr>
      </w:pPr>
      <w:r w:rsidRPr="00D46F5E">
        <w:rPr>
          <w:szCs w:val="24"/>
        </w:rPr>
        <w:tab/>
        <w:t>I hereby certify that a copy of th</w:t>
      </w:r>
      <w:r w:rsidRPr="00D46F5E" w:rsidR="005A0D38">
        <w:rPr>
          <w:szCs w:val="24"/>
        </w:rPr>
        <w:t xml:space="preserve">is </w:t>
      </w:r>
      <w:r w:rsidR="0004693B">
        <w:rPr>
          <w:szCs w:val="24"/>
        </w:rPr>
        <w:t>Initial</w:t>
      </w:r>
      <w:r w:rsidRPr="00D46F5E" w:rsidR="005A0D38">
        <w:rPr>
          <w:szCs w:val="24"/>
        </w:rPr>
        <w:t xml:space="preserve"> Brief </w:t>
      </w:r>
      <w:r w:rsidRPr="00D46F5E">
        <w:rPr>
          <w:szCs w:val="24"/>
        </w:rPr>
        <w:t xml:space="preserve">was served on the persons stated below </w:t>
      </w:r>
      <w:r w:rsidRPr="00D46F5E">
        <w:rPr>
          <w:i/>
          <w:szCs w:val="24"/>
        </w:rPr>
        <w:t>via</w:t>
      </w:r>
      <w:r w:rsidRPr="00D46F5E" w:rsidR="002A4912">
        <w:rPr>
          <w:szCs w:val="24"/>
        </w:rPr>
        <w:t xml:space="preserve"> electronic transmission</w:t>
      </w:r>
      <w:r w:rsidRPr="00D46F5E">
        <w:rPr>
          <w:szCs w:val="24"/>
        </w:rPr>
        <w:t xml:space="preserve">, this </w:t>
      </w:r>
      <w:r w:rsidR="0002433C">
        <w:rPr>
          <w:szCs w:val="24"/>
        </w:rPr>
        <w:t>3rd</w:t>
      </w:r>
      <w:r w:rsidRPr="00D46F5E" w:rsidR="008C6C9F">
        <w:rPr>
          <w:szCs w:val="24"/>
        </w:rPr>
        <w:t xml:space="preserve"> </w:t>
      </w:r>
      <w:r w:rsidRPr="00D46F5E">
        <w:rPr>
          <w:szCs w:val="24"/>
        </w:rPr>
        <w:t xml:space="preserve">day of </w:t>
      </w:r>
      <w:r w:rsidR="0004693B">
        <w:rPr>
          <w:szCs w:val="24"/>
        </w:rPr>
        <w:t>September</w:t>
      </w:r>
      <w:r w:rsidRPr="00D46F5E">
        <w:rPr>
          <w:szCs w:val="24"/>
        </w:rPr>
        <w:t xml:space="preserve"> 2020.</w:t>
      </w:r>
    </w:p>
    <w:p w:rsidR="00A044B5" w:rsidRPr="00D46F5E" w:rsidP="0004208F">
      <w:pPr>
        <w:spacing w:line="480" w:lineRule="atLeast"/>
        <w:rPr>
          <w:szCs w:val="24"/>
        </w:rPr>
      </w:pPr>
    </w:p>
    <w:p w:rsidR="00A044B5" w:rsidRPr="00D46F5E" w:rsidP="0004208F">
      <w:pPr>
        <w:tabs>
          <w:tab w:val="left" w:pos="4320"/>
        </w:tabs>
        <w:rPr>
          <w:i/>
          <w:iCs/>
          <w:szCs w:val="24"/>
          <w:u w:val="single"/>
        </w:rPr>
      </w:pPr>
      <w:r w:rsidRPr="00D46F5E">
        <w:rPr>
          <w:szCs w:val="24"/>
        </w:rPr>
        <w:tab/>
      </w:r>
      <w:r w:rsidRPr="00D46F5E" w:rsidR="00D57131">
        <w:rPr>
          <w:szCs w:val="24"/>
          <w:u w:val="single"/>
        </w:rPr>
        <w:t xml:space="preserve">/s/ </w:t>
      </w:r>
      <w:r w:rsidRPr="00D46F5E" w:rsidR="005A0D38">
        <w:rPr>
          <w:i/>
          <w:iCs/>
          <w:szCs w:val="24"/>
          <w:u w:val="single"/>
        </w:rPr>
        <w:t>Christopher Healey</w:t>
      </w:r>
      <w:r w:rsidRPr="00D46F5E" w:rsidR="00D57131">
        <w:rPr>
          <w:i/>
          <w:iCs/>
          <w:szCs w:val="24"/>
          <w:u w:val="single"/>
        </w:rPr>
        <w:tab/>
      </w:r>
      <w:r w:rsidRPr="00D46F5E" w:rsidR="00D57131">
        <w:rPr>
          <w:i/>
          <w:iCs/>
          <w:szCs w:val="24"/>
          <w:u w:val="single"/>
        </w:rPr>
        <w:tab/>
      </w:r>
    </w:p>
    <w:p w:rsidR="00A044B5" w:rsidRPr="00D46F5E" w:rsidP="0004208F">
      <w:pPr>
        <w:tabs>
          <w:tab w:val="left" w:pos="4320"/>
        </w:tabs>
        <w:rPr>
          <w:szCs w:val="24"/>
        </w:rPr>
      </w:pPr>
      <w:r w:rsidRPr="00D46F5E">
        <w:rPr>
          <w:szCs w:val="24"/>
        </w:rPr>
        <w:tab/>
      </w:r>
      <w:r w:rsidRPr="00D46F5E" w:rsidR="005A0D38">
        <w:rPr>
          <w:szCs w:val="24"/>
        </w:rPr>
        <w:t>Christopher Healey</w:t>
      </w:r>
    </w:p>
    <w:p w:rsidR="00A044B5" w:rsidRPr="00D46F5E" w:rsidP="0004208F">
      <w:pPr>
        <w:tabs>
          <w:tab w:val="left" w:pos="4320"/>
        </w:tabs>
        <w:rPr>
          <w:szCs w:val="24"/>
        </w:rPr>
      </w:pPr>
      <w:r w:rsidRPr="00D46F5E">
        <w:rPr>
          <w:szCs w:val="24"/>
        </w:rPr>
        <w:tab/>
        <w:t>Assistant Consumers</w:t>
      </w:r>
      <w:r w:rsidRPr="00D46F5E" w:rsidR="00DA7A21">
        <w:rPr>
          <w:szCs w:val="24"/>
        </w:rPr>
        <w:t>’</w:t>
      </w:r>
      <w:r w:rsidRPr="00D46F5E">
        <w:rPr>
          <w:szCs w:val="24"/>
        </w:rPr>
        <w:t xml:space="preserve"> Counsel</w:t>
      </w:r>
    </w:p>
    <w:p w:rsidR="00A044B5" w:rsidRPr="00D46F5E" w:rsidP="0004208F">
      <w:pPr>
        <w:pStyle w:val="CommentSubject"/>
        <w:rPr>
          <w:szCs w:val="24"/>
        </w:rPr>
      </w:pPr>
    </w:p>
    <w:p w:rsidR="00DA7A21" w:rsidRPr="00D46F5E" w:rsidP="0004208F">
      <w:pPr>
        <w:rPr>
          <w:szCs w:val="24"/>
        </w:rPr>
      </w:pPr>
      <w:r w:rsidRPr="00D46F5E">
        <w:rPr>
          <w:szCs w:val="24"/>
        </w:rPr>
        <w:t>The PUCO’s e-filing system will electronically serve notice of the filing of this document on the following parties:</w:t>
      </w:r>
    </w:p>
    <w:p w:rsidR="00A044B5" w:rsidRPr="00D46F5E" w:rsidP="0004208F">
      <w:pPr>
        <w:pStyle w:val="CommentText"/>
      </w:pPr>
    </w:p>
    <w:p w:rsidR="0002433C" w:rsidP="0002433C">
      <w:pPr>
        <w:pStyle w:val="CommentText"/>
        <w:jc w:val="center"/>
        <w:rPr>
          <w:b/>
          <w:u w:val="single"/>
        </w:rPr>
      </w:pPr>
      <w:r>
        <w:rPr>
          <w:b/>
          <w:u w:val="single"/>
        </w:rPr>
        <w:t>SERVICE LIST</w:t>
      </w:r>
    </w:p>
    <w:p w:rsidR="0002433C" w:rsidP="0002433C">
      <w:pPr>
        <w:pStyle w:val="CommentText"/>
        <w:jc w:val="center"/>
        <w:rPr>
          <w:b/>
          <w:u w:val="single"/>
        </w:rPr>
      </w:pPr>
    </w:p>
    <w:tbl>
      <w:tblPr>
        <w:tblW w:w="0" w:type="auto"/>
        <w:tblLook w:val="04A0"/>
      </w:tblPr>
      <w:tblGrid>
        <w:gridCol w:w="4428"/>
        <w:gridCol w:w="4428"/>
      </w:tblGrid>
      <w:tr w:rsidTr="001F243B">
        <w:tblPrEx>
          <w:tblW w:w="0" w:type="auto"/>
          <w:tblLook w:val="04A0"/>
        </w:tblPrEx>
        <w:tc>
          <w:tcPr>
            <w:tcW w:w="4428" w:type="dxa"/>
          </w:tcPr>
          <w:p w:rsidR="0002433C" w:rsidP="00723BFB">
            <w:pPr>
              <w:spacing w:line="256" w:lineRule="auto"/>
              <w:rPr>
                <w:rStyle w:val="Hyperlink"/>
                <w:szCs w:val="24"/>
              </w:rPr>
            </w:pPr>
            <w:hyperlink r:id="rId12" w:history="1">
              <w:r w:rsidRPr="009C156A" w:rsidR="000D5C64">
                <w:rPr>
                  <w:rStyle w:val="Hyperlink"/>
                </w:rPr>
                <w:t>w</w:t>
              </w:r>
              <w:r w:rsidRPr="009C156A" w:rsidR="000D5C64">
                <w:rPr>
                  <w:rStyle w:val="Hyperlink"/>
                  <w:szCs w:val="24"/>
                </w:rPr>
                <w:t>erner.margard@ohioattorneygeneral.gov</w:t>
              </w:r>
            </w:hyperlink>
          </w:p>
          <w:p w:rsidR="00723BFB" w:rsidP="001F243B">
            <w:pPr>
              <w:spacing w:after="160" w:line="256" w:lineRule="auto"/>
              <w:rPr>
                <w:color w:val="0000FF"/>
                <w:szCs w:val="24"/>
                <w:u w:val="single"/>
              </w:rPr>
            </w:pPr>
          </w:p>
          <w:p w:rsidR="0002433C" w:rsidP="001F243B">
            <w:pPr>
              <w:pStyle w:val="CommentText"/>
            </w:pPr>
            <w:r>
              <w:t>Attorney Examiners:</w:t>
            </w:r>
          </w:p>
          <w:p w:rsidR="0002433C" w:rsidP="001F243B">
            <w:pPr>
              <w:pStyle w:val="CommentText"/>
            </w:pPr>
          </w:p>
          <w:p w:rsidR="0002433C" w:rsidP="001F243B">
            <w:pPr>
              <w:adjustRightInd w:val="0"/>
              <w:rPr>
                <w:color w:val="0000FF"/>
                <w:szCs w:val="24"/>
                <w:u w:val="single"/>
              </w:rPr>
            </w:pPr>
            <w:r>
              <w:rPr>
                <w:color w:val="0000FF"/>
                <w:szCs w:val="24"/>
                <w:u w:val="single"/>
              </w:rPr>
              <w:t>patricia.schabo@puco.ohio.gov</w:t>
            </w:r>
          </w:p>
          <w:p w:rsidR="0002433C" w:rsidP="001F243B">
            <w:pPr>
              <w:spacing w:after="160" w:line="256" w:lineRule="auto"/>
              <w:rPr>
                <w:u w:val="single"/>
              </w:rPr>
            </w:pPr>
          </w:p>
        </w:tc>
        <w:tc>
          <w:tcPr>
            <w:tcW w:w="4428" w:type="dxa"/>
          </w:tcPr>
          <w:p w:rsidR="0002433C" w:rsidP="0002433C">
            <w:pPr>
              <w:pStyle w:val="BodyText"/>
              <w:ind w:left="614"/>
              <w:rPr>
                <w:color w:val="0000FF"/>
                <w:szCs w:val="24"/>
                <w:u w:val="single"/>
              </w:rPr>
            </w:pPr>
            <w:r>
              <w:rPr>
                <w:color w:val="0000FF"/>
                <w:szCs w:val="24"/>
                <w:u w:val="single"/>
              </w:rPr>
              <w:t>kennedy@whitt-sturtevant.com</w:t>
            </w:r>
          </w:p>
          <w:p w:rsidR="0002433C" w:rsidP="0002433C">
            <w:pPr>
              <w:pStyle w:val="BodyText"/>
              <w:ind w:left="614"/>
              <w:rPr>
                <w:color w:val="0000FF"/>
                <w:szCs w:val="24"/>
                <w:u w:val="single"/>
              </w:rPr>
            </w:pPr>
            <w:hyperlink r:id="rId13" w:history="1">
              <w:r w:rsidR="000D5C64">
                <w:rPr>
                  <w:rStyle w:val="Hyperlink"/>
                  <w:szCs w:val="24"/>
                </w:rPr>
                <w:t>fykes@whitt-sturtevant.com</w:t>
              </w:r>
            </w:hyperlink>
          </w:p>
          <w:p w:rsidR="0002433C" w:rsidP="0002433C">
            <w:pPr>
              <w:pStyle w:val="BodyText"/>
              <w:ind w:left="614"/>
              <w:rPr>
                <w:color w:val="0000FF"/>
                <w:szCs w:val="24"/>
              </w:rPr>
            </w:pPr>
            <w:hyperlink r:id="rId14" w:history="1">
              <w:r w:rsidR="000D5C64">
                <w:rPr>
                  <w:rStyle w:val="Hyperlink"/>
                  <w:szCs w:val="24"/>
                </w:rPr>
                <w:t>ccox@elpc.org</w:t>
              </w:r>
            </w:hyperlink>
          </w:p>
          <w:p w:rsidR="0002433C" w:rsidP="0002433C">
            <w:pPr>
              <w:pStyle w:val="BodyText"/>
              <w:ind w:left="614"/>
              <w:rPr>
                <w:color w:val="0000FF"/>
                <w:szCs w:val="24"/>
              </w:rPr>
            </w:pPr>
            <w:hyperlink r:id="rId15" w:history="1">
              <w:r w:rsidR="000D5C64">
                <w:rPr>
                  <w:rStyle w:val="Hyperlink"/>
                  <w:szCs w:val="24"/>
                </w:rPr>
                <w:t>rdove@keglerbrown.com</w:t>
              </w:r>
            </w:hyperlink>
          </w:p>
          <w:p w:rsidR="0002433C" w:rsidP="0002433C">
            <w:pPr>
              <w:pStyle w:val="BodyText"/>
              <w:ind w:left="614"/>
              <w:rPr>
                <w:color w:val="0000FF"/>
                <w:szCs w:val="24"/>
              </w:rPr>
            </w:pPr>
            <w:hyperlink r:id="rId16" w:history="1">
              <w:r w:rsidRPr="009C156A" w:rsidR="000D5C64">
                <w:rPr>
                  <w:rStyle w:val="Hyperlink"/>
                </w:rPr>
                <w:t>m</w:t>
              </w:r>
              <w:r w:rsidRPr="009C156A" w:rsidR="000D5C64">
                <w:rPr>
                  <w:rStyle w:val="Hyperlink"/>
                  <w:szCs w:val="24"/>
                </w:rPr>
                <w:t>ichael.nugent@igs.com</w:t>
              </w:r>
            </w:hyperlink>
          </w:p>
          <w:p w:rsidR="0002433C" w:rsidP="0002433C">
            <w:pPr>
              <w:pStyle w:val="BodyText"/>
              <w:ind w:left="614"/>
              <w:rPr>
                <w:color w:val="0000FF"/>
                <w:szCs w:val="24"/>
              </w:rPr>
            </w:pPr>
            <w:hyperlink r:id="rId17" w:history="1">
              <w:r w:rsidRPr="009C156A" w:rsidR="000D5C64">
                <w:rPr>
                  <w:rStyle w:val="Hyperlink"/>
                </w:rPr>
                <w:t>j</w:t>
              </w:r>
              <w:r w:rsidRPr="009C156A" w:rsidR="000D5C64">
                <w:rPr>
                  <w:rStyle w:val="Hyperlink"/>
                  <w:szCs w:val="24"/>
                </w:rPr>
                <w:t>oe.oliker@igs.com</w:t>
              </w:r>
            </w:hyperlink>
          </w:p>
          <w:p w:rsidR="0002433C" w:rsidP="0002433C">
            <w:pPr>
              <w:pStyle w:val="BodyText"/>
              <w:ind w:left="614"/>
              <w:rPr>
                <w:color w:val="0000FF"/>
                <w:szCs w:val="24"/>
              </w:rPr>
            </w:pPr>
            <w:hyperlink r:id="rId18" w:history="1">
              <w:r w:rsidRPr="009C156A" w:rsidR="000D5C64">
                <w:rPr>
                  <w:rStyle w:val="Hyperlink"/>
                </w:rPr>
                <w:t>b</w:t>
              </w:r>
              <w:r w:rsidRPr="009C156A" w:rsidR="000D5C64">
                <w:rPr>
                  <w:rStyle w:val="Hyperlink"/>
                  <w:szCs w:val="24"/>
                </w:rPr>
                <w:t>ethany.allen@igs.com</w:t>
              </w:r>
            </w:hyperlink>
          </w:p>
          <w:p w:rsidR="0002433C" w:rsidP="0002433C">
            <w:pPr>
              <w:pStyle w:val="BodyText"/>
              <w:ind w:left="614"/>
              <w:rPr>
                <w:color w:val="0000FF"/>
                <w:szCs w:val="24"/>
              </w:rPr>
            </w:pPr>
            <w:hyperlink r:id="rId19" w:history="1">
              <w:r w:rsidR="000D5C64">
                <w:rPr>
                  <w:rStyle w:val="Hyperlink"/>
                  <w:szCs w:val="24"/>
                </w:rPr>
                <w:t>mjsettineri@vorys.com</w:t>
              </w:r>
            </w:hyperlink>
          </w:p>
          <w:p w:rsidR="0002433C" w:rsidP="0002433C">
            <w:pPr>
              <w:pStyle w:val="BodyText"/>
              <w:ind w:left="614"/>
              <w:rPr>
                <w:color w:val="0000FF"/>
                <w:szCs w:val="24"/>
              </w:rPr>
            </w:pPr>
            <w:hyperlink r:id="rId20" w:history="1">
              <w:r w:rsidR="000D5C64">
                <w:rPr>
                  <w:rStyle w:val="Hyperlink"/>
                  <w:szCs w:val="24"/>
                </w:rPr>
                <w:t>glpetrucci@vorys.com</w:t>
              </w:r>
            </w:hyperlink>
          </w:p>
          <w:p w:rsidR="0002433C" w:rsidP="001F243B">
            <w:pPr>
              <w:pStyle w:val="BodyText"/>
              <w:rPr>
                <w:color w:val="0000FF"/>
                <w:szCs w:val="24"/>
                <w:u w:val="single"/>
              </w:rPr>
            </w:pPr>
          </w:p>
        </w:tc>
      </w:tr>
    </w:tbl>
    <w:p w:rsidR="005956C8" w:rsidRPr="00D46F5E" w:rsidP="0002433C">
      <w:pPr>
        <w:pStyle w:val="CommentText"/>
        <w:jc w:val="center"/>
        <w:rPr>
          <w:b/>
          <w:u w:val="single"/>
        </w:rPr>
      </w:pPr>
    </w:p>
    <w:sectPr w:rsidSect="0002433C">
      <w:pgSz w:w="12240" w:h="15840"/>
      <w:pgMar w:top="1440" w:right="1440" w:bottom="1440" w:left="144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8209882"/>
      <w:docPartObj>
        <w:docPartGallery w:val="Page Numbers (Bottom of Page)"/>
        <w:docPartUnique/>
      </w:docPartObj>
    </w:sdtPr>
    <w:sdtEndPr>
      <w:rPr>
        <w:sz w:val="24"/>
        <w:szCs w:val="24"/>
      </w:rPr>
    </w:sdtEndPr>
    <w:sdtContent>
      <w:p w:rsidR="009C4FAE" w:rsidRPr="00610BCA">
        <w:pPr>
          <w:pStyle w:val="Footer"/>
          <w:jc w:val="center"/>
          <w:rPr>
            <w:sz w:val="24"/>
            <w:szCs w:val="24"/>
          </w:rPr>
        </w:pPr>
        <w:r w:rsidRPr="00610BCA">
          <w:rPr>
            <w:sz w:val="24"/>
            <w:szCs w:val="24"/>
          </w:rPr>
          <w:fldChar w:fldCharType="begin"/>
        </w:r>
        <w:r w:rsidRPr="00610BCA">
          <w:rPr>
            <w:sz w:val="24"/>
            <w:szCs w:val="24"/>
          </w:rPr>
          <w:instrText xml:space="preserve"> PAGE   \* MERGEFORMAT </w:instrText>
        </w:r>
        <w:r w:rsidRPr="00610BCA">
          <w:rPr>
            <w:sz w:val="24"/>
            <w:szCs w:val="24"/>
          </w:rPr>
          <w:fldChar w:fldCharType="separate"/>
        </w:r>
        <w:r w:rsidR="00A86CF5">
          <w:rPr>
            <w:noProof/>
            <w:sz w:val="24"/>
            <w:szCs w:val="24"/>
          </w:rPr>
          <w:t>ii</w:t>
        </w:r>
        <w:r w:rsidRPr="00610BCA">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4FAE" w:rsidRPr="0002433C">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1104692"/>
      <w:docPartObj>
        <w:docPartGallery w:val="Page Numbers (Bottom of Page)"/>
        <w:docPartUnique/>
      </w:docPartObj>
    </w:sdtPr>
    <w:sdtEndPr>
      <w:rPr>
        <w:noProof/>
        <w:sz w:val="24"/>
        <w:szCs w:val="24"/>
      </w:rPr>
    </w:sdtEndPr>
    <w:sdtContent>
      <w:p w:rsidR="009C4FAE" w:rsidRPr="00DA11D1">
        <w:pPr>
          <w:pStyle w:val="Footer"/>
          <w:jc w:val="center"/>
          <w:rPr>
            <w:sz w:val="24"/>
            <w:szCs w:val="24"/>
          </w:rPr>
        </w:pPr>
        <w:r w:rsidRPr="00DA11D1">
          <w:rPr>
            <w:sz w:val="24"/>
            <w:szCs w:val="24"/>
          </w:rPr>
          <w:fldChar w:fldCharType="begin"/>
        </w:r>
        <w:r w:rsidRPr="00DA11D1">
          <w:rPr>
            <w:sz w:val="24"/>
            <w:szCs w:val="24"/>
          </w:rPr>
          <w:instrText xml:space="preserve"> PAGE   \* MERGEFORMAT </w:instrText>
        </w:r>
        <w:r w:rsidRPr="00DA11D1">
          <w:rPr>
            <w:sz w:val="24"/>
            <w:szCs w:val="24"/>
          </w:rPr>
          <w:fldChar w:fldCharType="separate"/>
        </w:r>
        <w:r w:rsidR="00A86CF5">
          <w:rPr>
            <w:noProof/>
            <w:sz w:val="24"/>
            <w:szCs w:val="24"/>
          </w:rPr>
          <w:t>i</w:t>
        </w:r>
        <w:r w:rsidRPr="00DA11D1">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3A11">
      <w:r>
        <w:separator/>
      </w:r>
    </w:p>
  </w:footnote>
  <w:footnote w:type="continuationSeparator" w:id="1">
    <w:p w:rsidR="000C3A11">
      <w:r>
        <w:continuationSeparator/>
      </w:r>
    </w:p>
  </w:footnote>
  <w:footnote w:id="2">
    <w:p w:rsidR="009C4FAE" w:rsidRPr="00723BFB" w:rsidP="00723BFB">
      <w:pPr>
        <w:pStyle w:val="FootnoteText"/>
        <w:spacing w:after="120"/>
      </w:pPr>
      <w:r w:rsidRPr="00723BFB">
        <w:rPr>
          <w:rStyle w:val="FootnoteReference"/>
        </w:rPr>
        <w:footnoteRef/>
      </w:r>
      <w:r w:rsidRPr="00723BFB">
        <w:t xml:space="preserve"> </w:t>
      </w:r>
      <w:r w:rsidRPr="00723BFB">
        <w:rPr>
          <w:i/>
          <w:iCs/>
        </w:rPr>
        <w:t>See In re Application of the Dayton Power &amp; Light Co.,</w:t>
      </w:r>
      <w:r w:rsidRPr="00723BFB">
        <w:t xml:space="preserve"> Case No. 17-1398-EL-POR, Finding &amp; Order (February 26, 2020) (ordering DP&amp;L and other electric distribution utilities to wind down their programs by December 31, 2020).</w:t>
      </w:r>
    </w:p>
  </w:footnote>
  <w:footnote w:id="3">
    <w:p w:rsidR="009C4FAE" w:rsidRPr="00723BFB" w:rsidP="00723BFB">
      <w:pPr>
        <w:pStyle w:val="FootnoteText"/>
        <w:spacing w:after="120"/>
      </w:pPr>
      <w:r w:rsidRPr="00723BFB">
        <w:rPr>
          <w:rStyle w:val="FootnoteReference"/>
        </w:rPr>
        <w:footnoteRef/>
      </w:r>
      <w:r w:rsidRPr="00723BFB">
        <w:t xml:space="preserve"> </w:t>
      </w:r>
      <w:r w:rsidRPr="00723BFB">
        <w:rPr>
          <w:i/>
          <w:iCs/>
        </w:rPr>
        <w:t>See</w:t>
      </w:r>
      <w:r w:rsidRPr="00723BFB">
        <w:t xml:space="preserve"> Application at 8, Table 1.</w:t>
      </w:r>
    </w:p>
  </w:footnote>
  <w:footnote w:id="4">
    <w:p w:rsidR="009C4FAE" w:rsidRPr="00723BFB" w:rsidP="00723BFB">
      <w:pPr>
        <w:pStyle w:val="FootnoteText"/>
        <w:spacing w:after="120"/>
      </w:pPr>
      <w:r w:rsidRPr="00723BFB">
        <w:rPr>
          <w:rStyle w:val="FootnoteReference"/>
        </w:rPr>
        <w:footnoteRef/>
      </w:r>
      <w:r w:rsidRPr="00723BFB">
        <w:t xml:space="preserve"> Williams Testimony at 9.</w:t>
      </w:r>
    </w:p>
  </w:footnote>
  <w:footnote w:id="5">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xml:space="preserve"> at 9.</w:t>
      </w:r>
    </w:p>
  </w:footnote>
  <w:footnote w:id="6">
    <w:p w:rsidR="009C4FAE" w:rsidRPr="00723BFB" w:rsidP="00723BFB">
      <w:pPr>
        <w:pStyle w:val="FootnoteText"/>
        <w:spacing w:after="120"/>
      </w:pPr>
      <w:r w:rsidRPr="00723BFB">
        <w:rPr>
          <w:rStyle w:val="FootnoteReference"/>
        </w:rPr>
        <w:footnoteRef/>
      </w:r>
      <w:r w:rsidRPr="00723BFB">
        <w:t xml:space="preserve"> Shutrump Testimony at 6.</w:t>
      </w:r>
    </w:p>
  </w:footnote>
  <w:footnote w:id="7">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6.</w:t>
      </w:r>
    </w:p>
  </w:footnote>
  <w:footnote w:id="8">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8.</w:t>
      </w:r>
    </w:p>
  </w:footnote>
  <w:footnote w:id="9">
    <w:p w:rsidR="009C4FAE" w:rsidRPr="00723BFB" w:rsidP="00723BFB">
      <w:pPr>
        <w:pStyle w:val="FootnoteText"/>
        <w:spacing w:after="120"/>
      </w:pPr>
      <w:r w:rsidRPr="00723BFB">
        <w:rPr>
          <w:rStyle w:val="FootnoteReference"/>
        </w:rPr>
        <w:footnoteRef/>
      </w:r>
      <w:r w:rsidRPr="00723BFB">
        <w:t xml:space="preserve"> Williams Testimony at 10.</w:t>
      </w:r>
    </w:p>
  </w:footnote>
  <w:footnote w:id="10">
    <w:p w:rsidR="009C4FAE" w:rsidRPr="00723BFB" w:rsidP="00723BFB">
      <w:pPr>
        <w:pStyle w:val="FootnoteText"/>
        <w:spacing w:after="120"/>
      </w:pPr>
      <w:r w:rsidRPr="00723BFB">
        <w:rPr>
          <w:rStyle w:val="FootnoteReference"/>
        </w:rPr>
        <w:footnoteRef/>
      </w:r>
      <w:r w:rsidRPr="00723BFB" w:rsidR="00A86CF5">
        <w:t xml:space="preserve"> </w:t>
      </w:r>
      <w:r w:rsidRPr="00723BFB">
        <w:rPr>
          <w:i/>
        </w:rPr>
        <w:t>Id</w:t>
      </w:r>
      <w:r w:rsidRPr="00723BFB">
        <w:t>. at 7.</w:t>
      </w:r>
    </w:p>
  </w:footnote>
  <w:footnote w:id="11">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10.</w:t>
      </w:r>
    </w:p>
  </w:footnote>
  <w:footnote w:id="12">
    <w:p w:rsidR="009C4FAE" w:rsidRPr="00723BFB" w:rsidP="00723BFB">
      <w:pPr>
        <w:pStyle w:val="FootnoteText"/>
        <w:spacing w:after="120"/>
      </w:pPr>
      <w:r w:rsidRPr="00723BFB">
        <w:rPr>
          <w:rStyle w:val="FootnoteReference"/>
        </w:rPr>
        <w:footnoteRef/>
      </w:r>
      <w:r w:rsidRPr="00723BFB">
        <w:t xml:space="preserve"> Williams Testimony at 10.</w:t>
      </w:r>
    </w:p>
  </w:footnote>
  <w:footnote w:id="13">
    <w:p w:rsidR="009C4FAE" w:rsidRPr="00723BFB" w:rsidP="00723BFB">
      <w:pPr>
        <w:pStyle w:val="FootnoteText"/>
        <w:spacing w:after="120"/>
      </w:pPr>
      <w:r w:rsidRPr="00723BFB">
        <w:rPr>
          <w:rStyle w:val="FootnoteReference"/>
        </w:rPr>
        <w:footnoteRef/>
      </w:r>
      <w:r w:rsidRPr="00723BFB">
        <w:t xml:space="preserve"> Shutrump Testimony at 11.</w:t>
      </w:r>
    </w:p>
  </w:footnote>
  <w:footnote w:id="14">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10 (graph showing natural gas prices from 2000 to 2020, plus projections to 2050).</w:t>
      </w:r>
    </w:p>
  </w:footnote>
  <w:footnote w:id="15">
    <w:p w:rsidR="009C4FAE" w:rsidRPr="00723BFB" w:rsidP="00723BFB">
      <w:pPr>
        <w:pStyle w:val="FootnoteText"/>
        <w:spacing w:after="120"/>
      </w:pPr>
      <w:r w:rsidRPr="00723BFB">
        <w:rPr>
          <w:rStyle w:val="FootnoteReference"/>
        </w:rPr>
        <w:footnoteRef/>
      </w:r>
      <w:r w:rsidRPr="00723BFB" w:rsidR="00A86CF5">
        <w:t xml:space="preserve"> </w:t>
      </w:r>
      <w:r w:rsidRPr="00723BFB" w:rsidR="00C56779">
        <w:rPr>
          <w:i/>
        </w:rPr>
        <w:t>Id</w:t>
      </w:r>
      <w:r w:rsidRPr="00723BFB" w:rsidR="00C56779">
        <w:t>.</w:t>
      </w:r>
    </w:p>
  </w:footnote>
  <w:footnote w:id="16">
    <w:p w:rsidR="009C4FAE" w:rsidRPr="00723BFB" w:rsidP="00723BFB">
      <w:pPr>
        <w:pStyle w:val="FootnoteText"/>
        <w:spacing w:after="120"/>
      </w:pPr>
      <w:r w:rsidRPr="00723BFB">
        <w:rPr>
          <w:rStyle w:val="FootnoteReference"/>
        </w:rPr>
        <w:footnoteRef/>
      </w:r>
      <w:r w:rsidRPr="00723BFB">
        <w:t xml:space="preserve"> </w:t>
      </w:r>
      <w:r w:rsidRPr="00723BFB" w:rsidR="00C56779">
        <w:rPr>
          <w:i/>
        </w:rPr>
        <w:t>Id</w:t>
      </w:r>
      <w:r w:rsidRPr="00723BFB" w:rsidR="00C56779">
        <w:t>.</w:t>
      </w:r>
    </w:p>
  </w:footnote>
  <w:footnote w:id="17">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11 (quoting Costello, Kenneth, A Cautionary Tale about Energy Efficiency Initiatives (Spring 2019)).</w:t>
      </w:r>
    </w:p>
  </w:footnote>
  <w:footnote w:id="18">
    <w:p w:rsidR="009C4FAE" w:rsidRPr="00723BFB" w:rsidP="00723BFB">
      <w:pPr>
        <w:pStyle w:val="FootnoteText"/>
        <w:spacing w:after="120"/>
      </w:pPr>
      <w:r w:rsidRPr="00723BFB">
        <w:rPr>
          <w:rStyle w:val="FootnoteReference"/>
        </w:rPr>
        <w:footnoteRef/>
      </w:r>
      <w:r w:rsidRPr="00723BFB">
        <w:t xml:space="preserve"> </w:t>
      </w:r>
      <w:r w:rsidRPr="00723BFB">
        <w:rPr>
          <w:i/>
          <w:iCs/>
        </w:rPr>
        <w:t>See</w:t>
      </w:r>
      <w:r w:rsidRPr="00723BFB">
        <w:t xml:space="preserve"> Kenneth W. Costello, A Cautionary Tale About Energy Efficiency Initiatives, attached as Attachment CLS-2 to the Shutrump Testimony.</w:t>
      </w:r>
    </w:p>
  </w:footnote>
  <w:footnote w:id="19">
    <w:p w:rsidR="009C4FAE" w:rsidRPr="00723BFB" w:rsidP="00723BFB">
      <w:pPr>
        <w:pStyle w:val="FootnoteText"/>
        <w:spacing w:after="120"/>
      </w:pPr>
      <w:r w:rsidRPr="00723BFB">
        <w:rPr>
          <w:rStyle w:val="FootnoteReference"/>
        </w:rPr>
        <w:footnoteRef/>
      </w:r>
      <w:r w:rsidRPr="00723BFB">
        <w:t xml:space="preserve"> </w:t>
      </w:r>
      <w:r w:rsidRPr="00723BFB">
        <w:rPr>
          <w:i/>
          <w:iCs/>
        </w:rPr>
        <w:t>Id</w:t>
      </w:r>
      <w:r w:rsidRPr="00723BFB">
        <w:t>. at 4.</w:t>
      </w:r>
    </w:p>
  </w:footnote>
  <w:footnote w:id="20">
    <w:p w:rsidR="009C4FAE" w:rsidRPr="00723BFB" w:rsidP="00723BFB">
      <w:pPr>
        <w:pStyle w:val="FootnoteText"/>
        <w:spacing w:after="120"/>
      </w:pPr>
      <w:r w:rsidRPr="00723BFB">
        <w:rPr>
          <w:rStyle w:val="FootnoteReference"/>
        </w:rPr>
        <w:footnoteRef/>
      </w:r>
      <w:r w:rsidRPr="00723BFB">
        <w:t xml:space="preserve"> Shutrump Testimony at 12.</w:t>
      </w:r>
    </w:p>
  </w:footnote>
  <w:footnote w:id="21">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12.</w:t>
      </w:r>
    </w:p>
  </w:footnote>
  <w:footnote w:id="22">
    <w:p w:rsidR="009C4FAE" w:rsidRPr="00723BFB" w:rsidP="00723BFB">
      <w:pPr>
        <w:pStyle w:val="FootnoteText"/>
        <w:spacing w:after="120"/>
      </w:pPr>
      <w:r w:rsidRPr="00723BFB">
        <w:rPr>
          <w:rStyle w:val="FootnoteReference"/>
        </w:rPr>
        <w:footnoteRef/>
      </w:r>
      <w:r w:rsidRPr="00723BFB" w:rsidR="00A86CF5">
        <w:rPr>
          <w:i/>
        </w:rPr>
        <w:t xml:space="preserve"> </w:t>
      </w:r>
      <w:r w:rsidRPr="00723BFB">
        <w:rPr>
          <w:i/>
        </w:rPr>
        <w:t>Id</w:t>
      </w:r>
      <w:r w:rsidRPr="00723BFB">
        <w:t>.</w:t>
      </w:r>
    </w:p>
  </w:footnote>
  <w:footnote w:id="23">
    <w:p w:rsidR="009C4FAE" w:rsidRPr="00723BFB" w:rsidP="00723BFB">
      <w:pPr>
        <w:pStyle w:val="FootnoteText"/>
        <w:spacing w:after="120"/>
      </w:pPr>
      <w:r w:rsidRPr="00723BFB">
        <w:rPr>
          <w:rStyle w:val="FootnoteReference"/>
        </w:rPr>
        <w:footnoteRef/>
      </w:r>
      <w:r w:rsidRPr="00723BFB">
        <w:t xml:space="preserve"> Costello at 2.</w:t>
      </w:r>
    </w:p>
  </w:footnote>
  <w:footnote w:id="24">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w:t>
      </w:r>
    </w:p>
  </w:footnote>
  <w:footnote w:id="25">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3.</w:t>
      </w:r>
    </w:p>
  </w:footnote>
  <w:footnote w:id="26">
    <w:p w:rsidR="009C4FAE" w:rsidRPr="00723BFB" w:rsidP="00723BFB">
      <w:pPr>
        <w:pStyle w:val="FootnoteText"/>
        <w:spacing w:after="120"/>
      </w:pPr>
      <w:r w:rsidRPr="00723BFB">
        <w:rPr>
          <w:rStyle w:val="FootnoteReference"/>
        </w:rPr>
        <w:footnoteRef/>
      </w:r>
      <w:r w:rsidRPr="00723BFB">
        <w:t xml:space="preserve"> Shutrump Testimony at 13.</w:t>
      </w:r>
    </w:p>
  </w:footnote>
  <w:footnote w:id="27">
    <w:p w:rsidR="009C4FAE" w:rsidRPr="00723BFB" w:rsidP="00723BFB">
      <w:pPr>
        <w:pStyle w:val="FootnoteText"/>
        <w:spacing w:after="120"/>
      </w:pPr>
      <w:r w:rsidRPr="00723BFB">
        <w:rPr>
          <w:rStyle w:val="FootnoteReference"/>
        </w:rPr>
        <w:footnoteRef/>
      </w:r>
      <w:r w:rsidRPr="00723BFB">
        <w:t xml:space="preserve"> Williams Testimony at 3.</w:t>
      </w:r>
    </w:p>
  </w:footnote>
  <w:footnote w:id="28">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6.</w:t>
      </w:r>
    </w:p>
  </w:footnote>
  <w:footnote w:id="29">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w:t>
      </w:r>
    </w:p>
  </w:footnote>
  <w:footnote w:id="30">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w:t>
      </w:r>
    </w:p>
  </w:footnote>
  <w:footnote w:id="31">
    <w:p w:rsidR="009C4FAE" w:rsidRPr="00723BFB" w:rsidP="00723BFB">
      <w:pPr>
        <w:pStyle w:val="FootnoteText"/>
        <w:spacing w:after="120"/>
      </w:pPr>
      <w:r w:rsidRPr="00723BFB">
        <w:rPr>
          <w:rStyle w:val="FootnoteReference"/>
        </w:rPr>
        <w:footnoteRef/>
      </w:r>
      <w:r w:rsidRPr="00723BFB">
        <w:t xml:space="preserve"> Application at 8, Table 1.</w:t>
      </w:r>
    </w:p>
  </w:footnote>
  <w:footnote w:id="32">
    <w:p w:rsidR="009C4FAE" w:rsidRPr="00723BFB" w:rsidP="00723BFB">
      <w:pPr>
        <w:pStyle w:val="FootnoteText"/>
        <w:spacing w:after="120"/>
      </w:pPr>
      <w:r w:rsidRPr="00723BFB">
        <w:rPr>
          <w:rStyle w:val="FootnoteReference"/>
        </w:rPr>
        <w:footnoteRef/>
      </w:r>
      <w:r w:rsidRPr="00723BFB">
        <w:t xml:space="preserve"> Application at 8, Table 1 ($2,102,145 in 2021 to weatherize 334 homes; $2,102,145 / 145 = $6,293).</w:t>
      </w:r>
    </w:p>
  </w:footnote>
  <w:footnote w:id="33">
    <w:p w:rsidR="009C4FAE" w:rsidRPr="00723BFB" w:rsidP="00723BFB">
      <w:pPr>
        <w:pStyle w:val="FootnoteText"/>
        <w:spacing w:after="120"/>
      </w:pPr>
      <w:r w:rsidRPr="00723BFB">
        <w:rPr>
          <w:rStyle w:val="FootnoteReference"/>
        </w:rPr>
        <w:footnoteRef/>
      </w:r>
      <w:r w:rsidRPr="00723BFB">
        <w:t xml:space="preserve"> Williams Testimony at 6-7.</w:t>
      </w:r>
    </w:p>
  </w:footnote>
  <w:footnote w:id="34">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6.</w:t>
      </w:r>
    </w:p>
  </w:footnote>
  <w:footnote w:id="35">
    <w:p w:rsidR="009C4FAE" w:rsidRPr="00723BFB" w:rsidP="00723BFB">
      <w:pPr>
        <w:pStyle w:val="FootnoteText"/>
        <w:spacing w:after="120"/>
      </w:pPr>
      <w:r w:rsidRPr="00723BFB">
        <w:rPr>
          <w:rStyle w:val="FootnoteReference"/>
        </w:rPr>
        <w:footnoteRef/>
      </w:r>
      <w:r w:rsidRPr="00723BFB">
        <w:t xml:space="preserve"> </w:t>
      </w:r>
      <w:r w:rsidRPr="00723BFB" w:rsidR="00C56779">
        <w:rPr>
          <w:i/>
        </w:rPr>
        <w:t>Id</w:t>
      </w:r>
      <w:r w:rsidRPr="00723BFB" w:rsidR="00C56779">
        <w:t>.</w:t>
      </w:r>
    </w:p>
  </w:footnote>
  <w:footnote w:id="36">
    <w:p w:rsidR="009C4FAE" w:rsidRPr="00723BFB" w:rsidP="00723BFB">
      <w:pPr>
        <w:pStyle w:val="FootnoteText"/>
        <w:spacing w:after="120"/>
      </w:pPr>
      <w:r w:rsidRPr="00723BFB">
        <w:rPr>
          <w:rStyle w:val="FootnoteReference"/>
        </w:rPr>
        <w:footnoteRef/>
      </w:r>
      <w:r w:rsidRPr="00723BFB">
        <w:t xml:space="preserve"> </w:t>
      </w:r>
      <w:r w:rsidRPr="00723BFB" w:rsidR="00C56779">
        <w:rPr>
          <w:i/>
        </w:rPr>
        <w:t>Id</w:t>
      </w:r>
      <w:r w:rsidRPr="00723BFB" w:rsidR="00C56779">
        <w:t>.</w:t>
      </w:r>
      <w:r w:rsidRPr="00723BFB">
        <w:t xml:space="preserve"> at 6-7.</w:t>
      </w:r>
    </w:p>
  </w:footnote>
  <w:footnote w:id="37">
    <w:p w:rsidR="009C4FAE" w:rsidRPr="00723BFB" w:rsidP="00723BFB">
      <w:pPr>
        <w:pStyle w:val="FootnoteText"/>
        <w:spacing w:after="120"/>
      </w:pPr>
      <w:r w:rsidRPr="00723BFB">
        <w:rPr>
          <w:rStyle w:val="FootnoteReference"/>
        </w:rPr>
        <w:footnoteRef/>
      </w:r>
      <w:r w:rsidRPr="00723BFB">
        <w:t xml:space="preserve"> </w:t>
      </w:r>
      <w:r w:rsidRPr="00723BFB">
        <w:rPr>
          <w:i/>
          <w:iCs/>
        </w:rPr>
        <w:t>Id</w:t>
      </w:r>
      <w:r w:rsidRPr="00723BFB">
        <w:t xml:space="preserve">. </w:t>
      </w:r>
    </w:p>
  </w:footnote>
  <w:footnote w:id="38">
    <w:p w:rsidR="009C4FAE" w:rsidRPr="00723BFB" w:rsidP="00723BFB">
      <w:pPr>
        <w:pStyle w:val="FootnoteText"/>
        <w:spacing w:after="120"/>
      </w:pPr>
      <w:r w:rsidRPr="00723BFB">
        <w:rPr>
          <w:rStyle w:val="FootnoteReference"/>
        </w:rPr>
        <w:footnoteRef/>
      </w:r>
      <w:r w:rsidRPr="00723BFB">
        <w:t xml:space="preserve"> Williams Testimony at 1.</w:t>
      </w:r>
    </w:p>
  </w:footnote>
  <w:footnote w:id="39">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2.</w:t>
      </w:r>
    </w:p>
  </w:footnote>
  <w:footnote w:id="40">
    <w:p w:rsidR="009C4FAE" w:rsidRPr="00723BFB" w:rsidP="00723BFB">
      <w:pPr>
        <w:pStyle w:val="FootnoteText"/>
        <w:spacing w:after="120"/>
      </w:pPr>
      <w:r w:rsidRPr="00723BFB">
        <w:rPr>
          <w:rStyle w:val="FootnoteReference"/>
        </w:rPr>
        <w:footnoteRef/>
      </w:r>
      <w:r w:rsidRPr="00723BFB">
        <w:t xml:space="preserve"> Williams Testimony, Attachment JDW-1.</w:t>
      </w:r>
    </w:p>
  </w:footnote>
  <w:footnote w:id="41">
    <w:p w:rsidR="009C4FAE" w:rsidRPr="00723BFB" w:rsidP="00723BFB">
      <w:pPr>
        <w:pStyle w:val="FootnoteText"/>
        <w:spacing w:after="120"/>
      </w:pPr>
      <w:r w:rsidRPr="00723BFB">
        <w:rPr>
          <w:rStyle w:val="FootnoteReference"/>
        </w:rPr>
        <w:footnoteRef/>
      </w:r>
      <w:r w:rsidRPr="00723BFB">
        <w:t xml:space="preserve"> </w:t>
      </w:r>
      <w:r w:rsidRPr="00723BFB">
        <w:rPr>
          <w:i/>
          <w:iCs/>
        </w:rPr>
        <w:t>See</w:t>
      </w:r>
      <w:r w:rsidRPr="00723BFB">
        <w:t xml:space="preserve"> generally Williams Testimony.</w:t>
      </w:r>
    </w:p>
  </w:footnote>
  <w:footnote w:id="42">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8, 22-23.</w:t>
      </w:r>
    </w:p>
  </w:footnote>
  <w:footnote w:id="43">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8.</w:t>
      </w:r>
    </w:p>
  </w:footnote>
  <w:footnote w:id="44">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w:t>
      </w:r>
    </w:p>
  </w:footnote>
  <w:footnote w:id="45">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9.</w:t>
      </w:r>
    </w:p>
  </w:footnote>
  <w:footnote w:id="46">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24.</w:t>
      </w:r>
    </w:p>
  </w:footnote>
  <w:footnote w:id="47">
    <w:p w:rsidR="009C4FAE" w:rsidRPr="00723BFB" w:rsidP="00723BFB">
      <w:pPr>
        <w:pStyle w:val="FootnoteText"/>
        <w:spacing w:after="120"/>
      </w:pPr>
      <w:r w:rsidRPr="00723BFB">
        <w:rPr>
          <w:rStyle w:val="FootnoteReference"/>
        </w:rPr>
        <w:footnoteRef/>
      </w:r>
      <w:r w:rsidRPr="00723BFB">
        <w:t xml:space="preserve"> </w:t>
      </w:r>
      <w:r w:rsidRPr="00723BFB" w:rsidR="00A86CF5">
        <w:rPr>
          <w:i/>
        </w:rPr>
        <w:t>Id</w:t>
      </w:r>
      <w:r w:rsidRPr="00723BFB" w:rsidR="00A86CF5">
        <w:t>.</w:t>
      </w:r>
    </w:p>
  </w:footnote>
  <w:footnote w:id="48">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26.</w:t>
      </w:r>
    </w:p>
  </w:footnote>
  <w:footnote w:id="49">
    <w:p w:rsidR="009C4FAE" w:rsidRPr="00723BFB" w:rsidP="00723BFB">
      <w:pPr>
        <w:pStyle w:val="FootnoteText"/>
        <w:spacing w:after="120"/>
      </w:pPr>
      <w:r w:rsidRPr="00723BFB">
        <w:rPr>
          <w:rStyle w:val="FootnoteReference"/>
        </w:rPr>
        <w:footnoteRef/>
      </w:r>
      <w:r w:rsidRPr="00723BFB">
        <w:t xml:space="preserve"> </w:t>
      </w:r>
      <w:r w:rsidRPr="00723BFB" w:rsidR="00A86CF5">
        <w:rPr>
          <w:i/>
        </w:rPr>
        <w:t>Id</w:t>
      </w:r>
      <w:r w:rsidRPr="00723BFB" w:rsidR="00A86CF5">
        <w:t>.</w:t>
      </w:r>
    </w:p>
  </w:footnote>
  <w:footnote w:id="50">
    <w:p w:rsidR="009C4FAE" w:rsidRPr="00723BFB" w:rsidP="00723BFB">
      <w:pPr>
        <w:pStyle w:val="FootnoteText"/>
        <w:spacing w:after="120"/>
      </w:pPr>
      <w:r w:rsidRPr="00723BFB">
        <w:rPr>
          <w:rStyle w:val="FootnoteReference"/>
        </w:rPr>
        <w:footnoteRef/>
      </w:r>
      <w:r w:rsidRPr="00723BFB">
        <w:t xml:space="preserve"> </w:t>
      </w:r>
      <w:r w:rsidRPr="00723BFB" w:rsidR="00A86CF5">
        <w:rPr>
          <w:i/>
        </w:rPr>
        <w:t>Id</w:t>
      </w:r>
      <w:r w:rsidRPr="00723BFB" w:rsidR="00A86CF5">
        <w:t>.</w:t>
      </w:r>
    </w:p>
  </w:footnote>
  <w:footnote w:id="51">
    <w:p w:rsidR="009C4FAE" w:rsidRPr="00723BFB" w:rsidP="00723BFB">
      <w:pPr>
        <w:pStyle w:val="FootnoteText"/>
        <w:spacing w:after="120"/>
      </w:pPr>
      <w:r w:rsidRPr="00723BFB">
        <w:rPr>
          <w:rStyle w:val="FootnoteReference"/>
        </w:rPr>
        <w:footnoteRef/>
      </w:r>
      <w:r w:rsidRPr="00723BFB">
        <w:t xml:space="preserve"> </w:t>
      </w:r>
      <w:r w:rsidRPr="00723BFB" w:rsidR="00A86CF5">
        <w:rPr>
          <w:i/>
        </w:rPr>
        <w:t>Id</w:t>
      </w:r>
      <w:r w:rsidRPr="00723BFB" w:rsidR="00A86CF5">
        <w:t>.</w:t>
      </w:r>
    </w:p>
  </w:footnote>
  <w:footnote w:id="52">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6.</w:t>
      </w:r>
    </w:p>
  </w:footnote>
  <w:footnote w:id="53">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9.</w:t>
      </w:r>
    </w:p>
  </w:footnote>
  <w:footnote w:id="54">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8.</w:t>
      </w:r>
    </w:p>
  </w:footnote>
  <w:footnote w:id="55">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22.</w:t>
      </w:r>
    </w:p>
  </w:footnote>
  <w:footnote w:id="56">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6.</w:t>
      </w:r>
    </w:p>
  </w:footnote>
  <w:footnote w:id="57">
    <w:p w:rsidR="009C4FAE" w:rsidRPr="00723BFB" w:rsidP="00723BFB">
      <w:pPr>
        <w:pStyle w:val="FootnoteText"/>
        <w:spacing w:after="120"/>
      </w:pPr>
      <w:r w:rsidRPr="00723BFB">
        <w:rPr>
          <w:rStyle w:val="FootnoteReference"/>
        </w:rPr>
        <w:footnoteRef/>
      </w:r>
      <w:r w:rsidRPr="00723BFB" w:rsidR="00A86CF5">
        <w:t xml:space="preserve"> </w:t>
      </w:r>
      <w:r w:rsidRPr="00723BFB">
        <w:rPr>
          <w:i/>
        </w:rPr>
        <w:t>Id</w:t>
      </w:r>
      <w:r w:rsidRPr="00723BFB">
        <w:t>. at 20.</w:t>
      </w:r>
    </w:p>
  </w:footnote>
  <w:footnote w:id="58">
    <w:p w:rsidR="009C4FAE" w:rsidRPr="00723BFB" w:rsidP="00723BFB">
      <w:pPr>
        <w:pStyle w:val="FootnoteText"/>
        <w:spacing w:after="120"/>
      </w:pPr>
      <w:r w:rsidRPr="00723BFB">
        <w:rPr>
          <w:rStyle w:val="FootnoteReference"/>
        </w:rPr>
        <w:footnoteRef/>
      </w:r>
      <w:r w:rsidRPr="00723BFB">
        <w:t xml:space="preserve"> </w:t>
      </w:r>
      <w:r w:rsidRPr="00723BFB" w:rsidR="00A86CF5">
        <w:rPr>
          <w:i/>
        </w:rPr>
        <w:t>Id</w:t>
      </w:r>
      <w:r w:rsidRPr="00723BFB" w:rsidR="00A86CF5">
        <w:t>.</w:t>
      </w:r>
      <w:r w:rsidRPr="00723BFB">
        <w:t xml:space="preserve"> at 21.</w:t>
      </w:r>
    </w:p>
  </w:footnote>
  <w:footnote w:id="59">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7.</w:t>
      </w:r>
    </w:p>
  </w:footnote>
  <w:footnote w:id="60">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6, footnote 12.</w:t>
      </w:r>
    </w:p>
  </w:footnote>
  <w:footnote w:id="61">
    <w:p w:rsidR="009C4FAE" w:rsidRPr="00723BFB" w:rsidP="00723BFB">
      <w:pPr>
        <w:pStyle w:val="FootnoteText"/>
        <w:spacing w:after="120"/>
      </w:pPr>
      <w:r w:rsidRPr="00723BFB">
        <w:rPr>
          <w:rStyle w:val="FootnoteReference"/>
        </w:rPr>
        <w:footnoteRef/>
      </w:r>
      <w:r w:rsidRPr="00723BFB">
        <w:t xml:space="preserve"> Application at 8, Table 1.</w:t>
      </w:r>
    </w:p>
  </w:footnote>
  <w:footnote w:id="62">
    <w:p w:rsidR="009C4FAE" w:rsidRPr="00723BFB" w:rsidP="00723BFB">
      <w:pPr>
        <w:pStyle w:val="FootnoteText"/>
        <w:spacing w:after="120"/>
      </w:pPr>
      <w:r w:rsidRPr="00723BFB">
        <w:rPr>
          <w:rStyle w:val="FootnoteReference"/>
        </w:rPr>
        <w:footnoteRef/>
      </w:r>
      <w:r w:rsidRPr="00723BFB">
        <w:t xml:space="preserve"> Shutrump Testimony, Attachment CLS-1 at 2.</w:t>
      </w:r>
    </w:p>
  </w:footnote>
  <w:footnote w:id="63">
    <w:p w:rsidR="009C4FAE" w:rsidRPr="00723BFB" w:rsidP="00723BFB">
      <w:pPr>
        <w:pStyle w:val="FootnoteText"/>
        <w:spacing w:after="120"/>
      </w:pPr>
      <w:r w:rsidRPr="00723BFB">
        <w:rPr>
          <w:rStyle w:val="FootnoteReference"/>
        </w:rPr>
        <w:footnoteRef/>
      </w:r>
      <w:r w:rsidRPr="00723BFB">
        <w:t xml:space="preserve"> Williams Testimony at 17.</w:t>
      </w:r>
    </w:p>
  </w:footnote>
  <w:footnote w:id="64">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17.</w:t>
      </w:r>
    </w:p>
  </w:footnote>
  <w:footnote w:id="65">
    <w:p w:rsidR="009C4FAE" w:rsidRPr="00723BFB" w:rsidP="00723BFB">
      <w:pPr>
        <w:pStyle w:val="FootnoteText"/>
        <w:spacing w:after="120"/>
      </w:pPr>
      <w:r w:rsidRPr="00723BFB">
        <w:rPr>
          <w:rStyle w:val="FootnoteReference"/>
        </w:rPr>
        <w:footnoteRef/>
      </w:r>
      <w:r w:rsidRPr="00723BFB">
        <w:t xml:space="preserve"> </w:t>
      </w:r>
      <w:r w:rsidRPr="00723BFB" w:rsidR="00A86CF5">
        <w:rPr>
          <w:i/>
        </w:rPr>
        <w:t>Id</w:t>
      </w:r>
      <w:r w:rsidRPr="00723BFB" w:rsidR="00A86CF5">
        <w:t>.</w:t>
      </w:r>
    </w:p>
  </w:footnote>
  <w:footnote w:id="66">
    <w:p w:rsidR="009C4FAE" w:rsidRPr="00723BFB" w:rsidP="00723BFB">
      <w:pPr>
        <w:pStyle w:val="FootnoteText"/>
        <w:spacing w:after="120"/>
      </w:pPr>
      <w:r w:rsidRPr="00723BFB">
        <w:rPr>
          <w:rStyle w:val="FootnoteReference"/>
        </w:rPr>
        <w:footnoteRef/>
      </w:r>
      <w:r w:rsidRPr="00723BFB">
        <w:t xml:space="preserve"> 42 U.S.C. 8624(k). </w:t>
      </w:r>
      <w:r w:rsidRPr="00723BFB">
        <w:rPr>
          <w:i/>
          <w:iCs/>
        </w:rPr>
        <w:t>See also</w:t>
      </w:r>
      <w:r w:rsidRPr="00723BFB">
        <w:t xml:space="preserve"> Williams Testimony at 26.</w:t>
      </w:r>
    </w:p>
  </w:footnote>
  <w:footnote w:id="67">
    <w:p w:rsidR="009C4FAE" w:rsidRPr="00723BFB" w:rsidP="00723BFB">
      <w:pPr>
        <w:pStyle w:val="FootnoteText"/>
        <w:spacing w:after="120"/>
      </w:pPr>
      <w:r w:rsidRPr="00723BFB">
        <w:rPr>
          <w:rStyle w:val="FootnoteReference"/>
        </w:rPr>
        <w:footnoteRef/>
      </w:r>
      <w:r w:rsidRPr="00723BFB">
        <w:t xml:space="preserve"> Williams Testimony at 26.</w:t>
      </w:r>
    </w:p>
  </w:footnote>
  <w:footnote w:id="68">
    <w:p w:rsidR="009C4FAE" w:rsidRPr="00723BFB" w:rsidP="00723BFB">
      <w:pPr>
        <w:pStyle w:val="FootnoteText"/>
        <w:spacing w:after="120"/>
      </w:pPr>
      <w:r w:rsidRPr="00723BFB">
        <w:rPr>
          <w:rStyle w:val="FootnoteReference"/>
        </w:rPr>
        <w:footnoteRef/>
      </w:r>
      <w:r w:rsidRPr="00723BFB">
        <w:t xml:space="preserve"> </w:t>
      </w:r>
      <w:r w:rsidRPr="00723BFB">
        <w:rPr>
          <w:i/>
        </w:rPr>
        <w:t>Id</w:t>
      </w:r>
      <w:r w:rsidRPr="00723BFB">
        <w:t>. at 26-27.</w:t>
      </w:r>
    </w:p>
  </w:footnote>
  <w:footnote w:id="69">
    <w:p w:rsidR="009C4FAE" w:rsidRPr="00723BFB" w:rsidP="00723BFB">
      <w:pPr>
        <w:pStyle w:val="FootnoteText"/>
        <w:spacing w:after="120"/>
      </w:pPr>
      <w:r w:rsidRPr="00723BFB">
        <w:rPr>
          <w:rStyle w:val="FootnoteReference"/>
        </w:rPr>
        <w:footnoteRef/>
      </w:r>
      <w:r w:rsidRPr="00723BFB">
        <w:t xml:space="preserve"> </w:t>
      </w:r>
      <w:r w:rsidRPr="00723BFB">
        <w:rPr>
          <w:i/>
          <w:iCs/>
        </w:rPr>
        <w:t>See</w:t>
      </w:r>
      <w:r w:rsidRPr="00723BFB">
        <w:t xml:space="preserve"> </w:t>
      </w:r>
      <w:r w:rsidRPr="00723BFB">
        <w:rPr>
          <w:i/>
        </w:rPr>
        <w:t>generally</w:t>
      </w:r>
      <w:r w:rsidRPr="00723BFB">
        <w:t xml:space="preserve"> Williams Testimony.</w:t>
      </w:r>
    </w:p>
  </w:footnote>
  <w:footnote w:id="70">
    <w:p w:rsidR="009C4FAE" w:rsidRPr="00723BFB" w:rsidP="00723BFB">
      <w:pPr>
        <w:pStyle w:val="FootnoteText"/>
        <w:spacing w:after="120"/>
      </w:pPr>
      <w:r w:rsidRPr="00723BFB">
        <w:rPr>
          <w:rStyle w:val="FootnoteReference"/>
        </w:rPr>
        <w:footnoteRef/>
      </w:r>
      <w:r w:rsidRPr="00723BFB">
        <w:t xml:space="preserve"> Williams Testimony at 7.</w:t>
      </w:r>
    </w:p>
  </w:footnote>
  <w:footnote w:id="71">
    <w:p w:rsidR="009C4FAE" w:rsidRPr="00723BFB" w:rsidP="00723BFB">
      <w:pPr>
        <w:pStyle w:val="FootnoteText"/>
        <w:spacing w:after="120"/>
      </w:pPr>
      <w:r w:rsidRPr="00723BFB">
        <w:rPr>
          <w:rStyle w:val="FootnoteReference"/>
        </w:rPr>
        <w:footnoteRef/>
      </w:r>
      <w:r w:rsidRPr="00723BFB">
        <w:t xml:space="preserve"> Williams Testimony at 7-8.</w:t>
      </w:r>
    </w:p>
  </w:footnote>
  <w:footnote w:id="72">
    <w:p w:rsidR="009C4FAE" w:rsidRPr="00723BFB" w:rsidP="00723BFB">
      <w:pPr>
        <w:pStyle w:val="FootnoteText"/>
        <w:spacing w:after="120"/>
      </w:pPr>
      <w:r w:rsidRPr="00723BFB">
        <w:rPr>
          <w:rStyle w:val="FootnoteReference"/>
        </w:rPr>
        <w:footnoteRef/>
      </w:r>
      <w:r w:rsidRPr="00723BFB">
        <w:t xml:space="preserve"> Shutrump Testimony at 14.</w:t>
      </w:r>
    </w:p>
  </w:footnote>
  <w:footnote w:id="73">
    <w:p w:rsidR="009C4FAE" w:rsidRPr="00723BFB" w:rsidP="00723BFB">
      <w:pPr>
        <w:pStyle w:val="FootnoteText"/>
        <w:spacing w:after="120"/>
      </w:pPr>
      <w:r w:rsidRPr="00723BFB">
        <w:rPr>
          <w:rStyle w:val="FootnoteReference"/>
        </w:rPr>
        <w:footnoteRef/>
      </w:r>
      <w:r w:rsidRPr="00723BFB">
        <w:t xml:space="preserve"> </w:t>
      </w:r>
      <w:r w:rsidRPr="00723BFB" w:rsidR="00A86CF5">
        <w:rPr>
          <w:i/>
        </w:rPr>
        <w:t>Id</w:t>
      </w:r>
      <w:r w:rsidRPr="00723BFB" w:rsidR="00A86CF5">
        <w:t>.</w:t>
      </w:r>
    </w:p>
  </w:footnote>
  <w:footnote w:id="74">
    <w:p w:rsidR="009C4FAE" w:rsidRPr="00723BFB" w:rsidP="00723BFB">
      <w:pPr>
        <w:pStyle w:val="FootnoteText"/>
        <w:spacing w:after="120"/>
      </w:pPr>
      <w:r w:rsidRPr="00723BFB">
        <w:rPr>
          <w:rStyle w:val="FootnoteReference"/>
        </w:rPr>
        <w:footnoteRef/>
      </w:r>
      <w:r w:rsidRPr="00723BFB">
        <w:t xml:space="preserve"> </w:t>
      </w:r>
      <w:r w:rsidRPr="00723BFB">
        <w:rPr>
          <w:i/>
        </w:rPr>
        <w:t>In re Ohio Edison Co.</w:t>
      </w:r>
      <w:r w:rsidRPr="00723BFB">
        <w:t>, Case No. 16-481-EL-UNC, Opinion &amp; Order ¶ 107 (July 17,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ADA9A98"/>
    <w:lvl w:ilvl="0">
      <w:start w:val="1"/>
      <w:numFmt w:val="decimal"/>
      <w:lvlText w:val="%1."/>
      <w:lvlJc w:val="left"/>
      <w:pPr>
        <w:tabs>
          <w:tab w:val="num" w:pos="1800"/>
        </w:tabs>
        <w:ind w:left="1800" w:hanging="360"/>
      </w:pPr>
    </w:lvl>
  </w:abstractNum>
  <w:abstractNum w:abstractNumId="1">
    <w:nsid w:val="FFFFFF7D"/>
    <w:multiLevelType w:val="singleLevel"/>
    <w:tmpl w:val="4E3CAB78"/>
    <w:lvl w:ilvl="0">
      <w:start w:val="1"/>
      <w:numFmt w:val="decimal"/>
      <w:lvlText w:val="%1."/>
      <w:lvlJc w:val="left"/>
      <w:pPr>
        <w:tabs>
          <w:tab w:val="num" w:pos="1440"/>
        </w:tabs>
        <w:ind w:left="1440" w:hanging="360"/>
      </w:pPr>
    </w:lvl>
  </w:abstractNum>
  <w:abstractNum w:abstractNumId="2">
    <w:nsid w:val="FFFFFF7E"/>
    <w:multiLevelType w:val="singleLevel"/>
    <w:tmpl w:val="7F28A3EE"/>
    <w:lvl w:ilvl="0">
      <w:start w:val="1"/>
      <w:numFmt w:val="decimal"/>
      <w:lvlText w:val="%1."/>
      <w:lvlJc w:val="left"/>
      <w:pPr>
        <w:tabs>
          <w:tab w:val="num" w:pos="1080"/>
        </w:tabs>
        <w:ind w:left="1080" w:hanging="360"/>
      </w:pPr>
    </w:lvl>
  </w:abstractNum>
  <w:abstractNum w:abstractNumId="3">
    <w:nsid w:val="FFFFFF7F"/>
    <w:multiLevelType w:val="singleLevel"/>
    <w:tmpl w:val="D2BE645C"/>
    <w:lvl w:ilvl="0">
      <w:start w:val="1"/>
      <w:numFmt w:val="decimal"/>
      <w:lvlText w:val="%1."/>
      <w:lvlJc w:val="left"/>
      <w:pPr>
        <w:tabs>
          <w:tab w:val="num" w:pos="720"/>
        </w:tabs>
        <w:ind w:left="720" w:hanging="360"/>
      </w:pPr>
    </w:lvl>
  </w:abstractNum>
  <w:abstractNum w:abstractNumId="4">
    <w:nsid w:val="FFFFFF80"/>
    <w:multiLevelType w:val="singleLevel"/>
    <w:tmpl w:val="FEB63E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0E99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534BC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87E417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D98BC1A"/>
    <w:lvl w:ilvl="0">
      <w:start w:val="1"/>
      <w:numFmt w:val="decimal"/>
      <w:lvlText w:val="%1."/>
      <w:lvlJc w:val="left"/>
      <w:pPr>
        <w:tabs>
          <w:tab w:val="num" w:pos="360"/>
        </w:tabs>
        <w:ind w:left="360" w:hanging="360"/>
      </w:pPr>
    </w:lvl>
  </w:abstractNum>
  <w:abstractNum w:abstractNumId="9">
    <w:nsid w:val="FFFFFF89"/>
    <w:multiLevelType w:val="singleLevel"/>
    <w:tmpl w:val="295E5378"/>
    <w:lvl w:ilvl="0">
      <w:start w:val="1"/>
      <w:numFmt w:val="bullet"/>
      <w:lvlText w:val=""/>
      <w:lvlJc w:val="left"/>
      <w:pPr>
        <w:tabs>
          <w:tab w:val="num" w:pos="360"/>
        </w:tabs>
        <w:ind w:left="360" w:hanging="360"/>
      </w:pPr>
      <w:rPr>
        <w:rFonts w:ascii="Symbol" w:hAnsi="Symbol" w:hint="default"/>
      </w:rPr>
    </w:lvl>
  </w:abstractNum>
  <w:abstractNum w:abstractNumId="1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9037FCD"/>
    <w:multiLevelType w:val="hybridMultilevel"/>
    <w:tmpl w:val="39FA9B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65577B7D"/>
    <w:multiLevelType w:val="hybridMultilevel"/>
    <w:tmpl w:val="7DFEE9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7">
    <w:nsid w:val="75482DEE"/>
    <w:multiLevelType w:val="hybridMultilevel"/>
    <w:tmpl w:val="29FC0594"/>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13"/>
  </w:num>
  <w:num w:numId="2">
    <w:abstractNumId w:val="11"/>
  </w:num>
  <w:num w:numId="3">
    <w:abstractNumId w:val="16"/>
  </w:num>
  <w:num w:numId="4">
    <w:abstractNumId w:val="14"/>
  </w:num>
  <w:num w:numId="5">
    <w:abstractNumId w:val="10"/>
  </w:num>
  <w:num w:numId="6">
    <w:abstractNumId w:val="18"/>
  </w:num>
  <w:num w:numId="7">
    <w:abstractNumId w:val="12"/>
  </w:num>
  <w:num w:numId="8">
    <w:abstractNumId w:val="15"/>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drawingGridHorizontalSpacing w:val="120"/>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2A4912"/>
    <w:rsid w:val="00006278"/>
    <w:rsid w:val="00010B70"/>
    <w:rsid w:val="00013C4A"/>
    <w:rsid w:val="00014314"/>
    <w:rsid w:val="0001508C"/>
    <w:rsid w:val="0001543C"/>
    <w:rsid w:val="000171D2"/>
    <w:rsid w:val="00020453"/>
    <w:rsid w:val="0002433C"/>
    <w:rsid w:val="0002642D"/>
    <w:rsid w:val="00031A04"/>
    <w:rsid w:val="00032D7F"/>
    <w:rsid w:val="0003766E"/>
    <w:rsid w:val="0004208F"/>
    <w:rsid w:val="00044622"/>
    <w:rsid w:val="0004524E"/>
    <w:rsid w:val="0004693B"/>
    <w:rsid w:val="000501D0"/>
    <w:rsid w:val="00050777"/>
    <w:rsid w:val="000549C7"/>
    <w:rsid w:val="00062A14"/>
    <w:rsid w:val="00064761"/>
    <w:rsid w:val="00065EC4"/>
    <w:rsid w:val="00077ABF"/>
    <w:rsid w:val="00082870"/>
    <w:rsid w:val="000A1A64"/>
    <w:rsid w:val="000A2F64"/>
    <w:rsid w:val="000A40F5"/>
    <w:rsid w:val="000B6CCE"/>
    <w:rsid w:val="000C202F"/>
    <w:rsid w:val="000C3A11"/>
    <w:rsid w:val="000C619A"/>
    <w:rsid w:val="000D1129"/>
    <w:rsid w:val="000D1D67"/>
    <w:rsid w:val="000D4421"/>
    <w:rsid w:val="000D5725"/>
    <w:rsid w:val="000D5C64"/>
    <w:rsid w:val="000D673E"/>
    <w:rsid w:val="000E2F3D"/>
    <w:rsid w:val="000E4ACE"/>
    <w:rsid w:val="000E5F37"/>
    <w:rsid w:val="000E703F"/>
    <w:rsid w:val="000E7779"/>
    <w:rsid w:val="000E7814"/>
    <w:rsid w:val="000E7843"/>
    <w:rsid w:val="000F4F25"/>
    <w:rsid w:val="00104252"/>
    <w:rsid w:val="00106E13"/>
    <w:rsid w:val="0012017C"/>
    <w:rsid w:val="0012580B"/>
    <w:rsid w:val="0012631F"/>
    <w:rsid w:val="00126BF2"/>
    <w:rsid w:val="00130F15"/>
    <w:rsid w:val="00132A4B"/>
    <w:rsid w:val="0013732A"/>
    <w:rsid w:val="0014330C"/>
    <w:rsid w:val="001457E1"/>
    <w:rsid w:val="001529D4"/>
    <w:rsid w:val="00153C3B"/>
    <w:rsid w:val="00155E0E"/>
    <w:rsid w:val="00161849"/>
    <w:rsid w:val="001666B1"/>
    <w:rsid w:val="001716BB"/>
    <w:rsid w:val="00177CC7"/>
    <w:rsid w:val="001814DA"/>
    <w:rsid w:val="0018262C"/>
    <w:rsid w:val="00190A1A"/>
    <w:rsid w:val="00191526"/>
    <w:rsid w:val="00192ABA"/>
    <w:rsid w:val="00193CA9"/>
    <w:rsid w:val="001944A7"/>
    <w:rsid w:val="00194737"/>
    <w:rsid w:val="001A2385"/>
    <w:rsid w:val="001B398F"/>
    <w:rsid w:val="001B5672"/>
    <w:rsid w:val="001B7F12"/>
    <w:rsid w:val="001C1614"/>
    <w:rsid w:val="001C405C"/>
    <w:rsid w:val="001D0069"/>
    <w:rsid w:val="001D0897"/>
    <w:rsid w:val="001D2C0A"/>
    <w:rsid w:val="001E4672"/>
    <w:rsid w:val="001F01C5"/>
    <w:rsid w:val="001F091A"/>
    <w:rsid w:val="001F243B"/>
    <w:rsid w:val="001F37B6"/>
    <w:rsid w:val="00203CC3"/>
    <w:rsid w:val="00203F93"/>
    <w:rsid w:val="00215F2A"/>
    <w:rsid w:val="00220311"/>
    <w:rsid w:val="00222429"/>
    <w:rsid w:val="002228AB"/>
    <w:rsid w:val="0022717F"/>
    <w:rsid w:val="002334E5"/>
    <w:rsid w:val="002348F0"/>
    <w:rsid w:val="00235DFB"/>
    <w:rsid w:val="00236223"/>
    <w:rsid w:val="00237381"/>
    <w:rsid w:val="0024640A"/>
    <w:rsid w:val="002514FB"/>
    <w:rsid w:val="002543B7"/>
    <w:rsid w:val="00257722"/>
    <w:rsid w:val="00260621"/>
    <w:rsid w:val="00262DD0"/>
    <w:rsid w:val="00264B4F"/>
    <w:rsid w:val="00264E12"/>
    <w:rsid w:val="00265CFC"/>
    <w:rsid w:val="00270856"/>
    <w:rsid w:val="00271EE2"/>
    <w:rsid w:val="002731C4"/>
    <w:rsid w:val="00273E49"/>
    <w:rsid w:val="00275DEB"/>
    <w:rsid w:val="00284B14"/>
    <w:rsid w:val="00291CA6"/>
    <w:rsid w:val="00293DEB"/>
    <w:rsid w:val="002A0563"/>
    <w:rsid w:val="002A4912"/>
    <w:rsid w:val="002A5A45"/>
    <w:rsid w:val="002D0F22"/>
    <w:rsid w:val="002D414B"/>
    <w:rsid w:val="002D5D02"/>
    <w:rsid w:val="002F3625"/>
    <w:rsid w:val="002F4428"/>
    <w:rsid w:val="002F69E4"/>
    <w:rsid w:val="002F6D93"/>
    <w:rsid w:val="0030236C"/>
    <w:rsid w:val="00302FD8"/>
    <w:rsid w:val="00303168"/>
    <w:rsid w:val="003037C4"/>
    <w:rsid w:val="003073A5"/>
    <w:rsid w:val="003075FB"/>
    <w:rsid w:val="0031242C"/>
    <w:rsid w:val="003157AE"/>
    <w:rsid w:val="003174F1"/>
    <w:rsid w:val="003217F2"/>
    <w:rsid w:val="00325867"/>
    <w:rsid w:val="0032670A"/>
    <w:rsid w:val="0033637D"/>
    <w:rsid w:val="00340433"/>
    <w:rsid w:val="00341BC2"/>
    <w:rsid w:val="00346163"/>
    <w:rsid w:val="0035289C"/>
    <w:rsid w:val="00360E18"/>
    <w:rsid w:val="0036718F"/>
    <w:rsid w:val="003712EC"/>
    <w:rsid w:val="00375FC8"/>
    <w:rsid w:val="00381E76"/>
    <w:rsid w:val="00386706"/>
    <w:rsid w:val="00387BAA"/>
    <w:rsid w:val="003A5D54"/>
    <w:rsid w:val="003B0008"/>
    <w:rsid w:val="003B568F"/>
    <w:rsid w:val="003B7CA8"/>
    <w:rsid w:val="003C1456"/>
    <w:rsid w:val="003C4F2B"/>
    <w:rsid w:val="003D2177"/>
    <w:rsid w:val="003E138D"/>
    <w:rsid w:val="003E44AB"/>
    <w:rsid w:val="003E7C65"/>
    <w:rsid w:val="003F0FBF"/>
    <w:rsid w:val="003F68F1"/>
    <w:rsid w:val="003F7DF8"/>
    <w:rsid w:val="00401FD7"/>
    <w:rsid w:val="004107AA"/>
    <w:rsid w:val="00412895"/>
    <w:rsid w:val="00431082"/>
    <w:rsid w:val="00435F91"/>
    <w:rsid w:val="004368A4"/>
    <w:rsid w:val="0043716D"/>
    <w:rsid w:val="004434A9"/>
    <w:rsid w:val="00451BB2"/>
    <w:rsid w:val="00453892"/>
    <w:rsid w:val="0046219A"/>
    <w:rsid w:val="0046364B"/>
    <w:rsid w:val="00465E57"/>
    <w:rsid w:val="00476981"/>
    <w:rsid w:val="0048060C"/>
    <w:rsid w:val="004836C6"/>
    <w:rsid w:val="004912D0"/>
    <w:rsid w:val="00491F5B"/>
    <w:rsid w:val="0049376A"/>
    <w:rsid w:val="00493CB9"/>
    <w:rsid w:val="0049435D"/>
    <w:rsid w:val="00496A0E"/>
    <w:rsid w:val="004B3863"/>
    <w:rsid w:val="004C3AB9"/>
    <w:rsid w:val="004E29E0"/>
    <w:rsid w:val="004E53C9"/>
    <w:rsid w:val="004E54BB"/>
    <w:rsid w:val="004F5562"/>
    <w:rsid w:val="005002F8"/>
    <w:rsid w:val="005013E8"/>
    <w:rsid w:val="00503756"/>
    <w:rsid w:val="005054BA"/>
    <w:rsid w:val="00505B6E"/>
    <w:rsid w:val="00507046"/>
    <w:rsid w:val="0050793F"/>
    <w:rsid w:val="00511A37"/>
    <w:rsid w:val="00511F0B"/>
    <w:rsid w:val="00512B71"/>
    <w:rsid w:val="00513F4D"/>
    <w:rsid w:val="0051520D"/>
    <w:rsid w:val="00515E10"/>
    <w:rsid w:val="00516744"/>
    <w:rsid w:val="00517A00"/>
    <w:rsid w:val="00524EB8"/>
    <w:rsid w:val="005270F0"/>
    <w:rsid w:val="005305FD"/>
    <w:rsid w:val="0053117F"/>
    <w:rsid w:val="00531F9A"/>
    <w:rsid w:val="00532571"/>
    <w:rsid w:val="00532B44"/>
    <w:rsid w:val="00540970"/>
    <w:rsid w:val="005456F4"/>
    <w:rsid w:val="00547378"/>
    <w:rsid w:val="0055107B"/>
    <w:rsid w:val="0055291A"/>
    <w:rsid w:val="005541F4"/>
    <w:rsid w:val="005544C4"/>
    <w:rsid w:val="00555763"/>
    <w:rsid w:val="00555861"/>
    <w:rsid w:val="00561387"/>
    <w:rsid w:val="00561A39"/>
    <w:rsid w:val="00563A3C"/>
    <w:rsid w:val="005660E8"/>
    <w:rsid w:val="005754BB"/>
    <w:rsid w:val="0059210E"/>
    <w:rsid w:val="005933DC"/>
    <w:rsid w:val="00594ABF"/>
    <w:rsid w:val="005956C8"/>
    <w:rsid w:val="005A0D38"/>
    <w:rsid w:val="005A6744"/>
    <w:rsid w:val="005A7B03"/>
    <w:rsid w:val="005A7F50"/>
    <w:rsid w:val="005B069E"/>
    <w:rsid w:val="005B1A52"/>
    <w:rsid w:val="005B4D76"/>
    <w:rsid w:val="005C0B33"/>
    <w:rsid w:val="005C6877"/>
    <w:rsid w:val="005C6E39"/>
    <w:rsid w:val="005D0D79"/>
    <w:rsid w:val="005D2707"/>
    <w:rsid w:val="005D40F0"/>
    <w:rsid w:val="005D637F"/>
    <w:rsid w:val="005D65F6"/>
    <w:rsid w:val="005E3D50"/>
    <w:rsid w:val="005E5B02"/>
    <w:rsid w:val="005E7C4C"/>
    <w:rsid w:val="006018D5"/>
    <w:rsid w:val="00603244"/>
    <w:rsid w:val="00606CEB"/>
    <w:rsid w:val="00610BCA"/>
    <w:rsid w:val="00613242"/>
    <w:rsid w:val="00617C14"/>
    <w:rsid w:val="0062108F"/>
    <w:rsid w:val="00622EDB"/>
    <w:rsid w:val="00633012"/>
    <w:rsid w:val="00641070"/>
    <w:rsid w:val="006447EF"/>
    <w:rsid w:val="00645095"/>
    <w:rsid w:val="006527CB"/>
    <w:rsid w:val="00661409"/>
    <w:rsid w:val="00667B4A"/>
    <w:rsid w:val="006735F7"/>
    <w:rsid w:val="0067381F"/>
    <w:rsid w:val="006738EF"/>
    <w:rsid w:val="0067666A"/>
    <w:rsid w:val="00690511"/>
    <w:rsid w:val="006919CB"/>
    <w:rsid w:val="00692777"/>
    <w:rsid w:val="00693926"/>
    <w:rsid w:val="00696471"/>
    <w:rsid w:val="006A0761"/>
    <w:rsid w:val="006A1485"/>
    <w:rsid w:val="006A4366"/>
    <w:rsid w:val="006A587C"/>
    <w:rsid w:val="006B4247"/>
    <w:rsid w:val="006C11AE"/>
    <w:rsid w:val="006C354C"/>
    <w:rsid w:val="006C52C3"/>
    <w:rsid w:val="006C5841"/>
    <w:rsid w:val="006C6045"/>
    <w:rsid w:val="006D1093"/>
    <w:rsid w:val="006D47F7"/>
    <w:rsid w:val="006D53F3"/>
    <w:rsid w:val="006D6F24"/>
    <w:rsid w:val="006E1DB4"/>
    <w:rsid w:val="006E75B4"/>
    <w:rsid w:val="006E78A8"/>
    <w:rsid w:val="006F024D"/>
    <w:rsid w:val="006F0410"/>
    <w:rsid w:val="006F6C88"/>
    <w:rsid w:val="006F7C80"/>
    <w:rsid w:val="00701ADF"/>
    <w:rsid w:val="00705740"/>
    <w:rsid w:val="00710E80"/>
    <w:rsid w:val="00711F92"/>
    <w:rsid w:val="007123F7"/>
    <w:rsid w:val="00714460"/>
    <w:rsid w:val="007144B8"/>
    <w:rsid w:val="007158AA"/>
    <w:rsid w:val="00723BFB"/>
    <w:rsid w:val="007240A7"/>
    <w:rsid w:val="0072423D"/>
    <w:rsid w:val="00727955"/>
    <w:rsid w:val="00730C0C"/>
    <w:rsid w:val="00744A23"/>
    <w:rsid w:val="0074516B"/>
    <w:rsid w:val="0075163D"/>
    <w:rsid w:val="0075404C"/>
    <w:rsid w:val="0076006A"/>
    <w:rsid w:val="00760DE9"/>
    <w:rsid w:val="007625BD"/>
    <w:rsid w:val="00763610"/>
    <w:rsid w:val="00763B87"/>
    <w:rsid w:val="007650B0"/>
    <w:rsid w:val="00766BCB"/>
    <w:rsid w:val="00770036"/>
    <w:rsid w:val="00771128"/>
    <w:rsid w:val="0078027F"/>
    <w:rsid w:val="00783DC9"/>
    <w:rsid w:val="007867F2"/>
    <w:rsid w:val="00791F59"/>
    <w:rsid w:val="00792C3D"/>
    <w:rsid w:val="007A05C9"/>
    <w:rsid w:val="007A1E1D"/>
    <w:rsid w:val="007A636D"/>
    <w:rsid w:val="007A71B8"/>
    <w:rsid w:val="007B2769"/>
    <w:rsid w:val="007B390B"/>
    <w:rsid w:val="007B59B7"/>
    <w:rsid w:val="007C311C"/>
    <w:rsid w:val="007C3749"/>
    <w:rsid w:val="007C4E89"/>
    <w:rsid w:val="007C6382"/>
    <w:rsid w:val="007C64DD"/>
    <w:rsid w:val="007C6967"/>
    <w:rsid w:val="007D5C39"/>
    <w:rsid w:val="007E0FA4"/>
    <w:rsid w:val="007E55B4"/>
    <w:rsid w:val="007E60B8"/>
    <w:rsid w:val="007F4595"/>
    <w:rsid w:val="007F6642"/>
    <w:rsid w:val="007F7B9C"/>
    <w:rsid w:val="00801F4E"/>
    <w:rsid w:val="00802759"/>
    <w:rsid w:val="0080610B"/>
    <w:rsid w:val="00812F90"/>
    <w:rsid w:val="008151BE"/>
    <w:rsid w:val="00815ED8"/>
    <w:rsid w:val="008161D3"/>
    <w:rsid w:val="00820BB7"/>
    <w:rsid w:val="00832EE2"/>
    <w:rsid w:val="00834227"/>
    <w:rsid w:val="00837E03"/>
    <w:rsid w:val="0084648F"/>
    <w:rsid w:val="00850210"/>
    <w:rsid w:val="0085454A"/>
    <w:rsid w:val="00854A85"/>
    <w:rsid w:val="008553E0"/>
    <w:rsid w:val="00855876"/>
    <w:rsid w:val="00860348"/>
    <w:rsid w:val="008613B5"/>
    <w:rsid w:val="008629EB"/>
    <w:rsid w:val="00865BF7"/>
    <w:rsid w:val="00870C2A"/>
    <w:rsid w:val="0087486A"/>
    <w:rsid w:val="008758F8"/>
    <w:rsid w:val="008775B7"/>
    <w:rsid w:val="0087782C"/>
    <w:rsid w:val="00882C6C"/>
    <w:rsid w:val="008852CC"/>
    <w:rsid w:val="00885B3C"/>
    <w:rsid w:val="008904AD"/>
    <w:rsid w:val="00893ABC"/>
    <w:rsid w:val="00893D0C"/>
    <w:rsid w:val="008A0B7B"/>
    <w:rsid w:val="008A1A9E"/>
    <w:rsid w:val="008B13BB"/>
    <w:rsid w:val="008B268A"/>
    <w:rsid w:val="008B7694"/>
    <w:rsid w:val="008C1A41"/>
    <w:rsid w:val="008C6C9F"/>
    <w:rsid w:val="008D3A4F"/>
    <w:rsid w:val="008E4B92"/>
    <w:rsid w:val="008F4272"/>
    <w:rsid w:val="008F5227"/>
    <w:rsid w:val="008F54B9"/>
    <w:rsid w:val="008F563F"/>
    <w:rsid w:val="008F7DD8"/>
    <w:rsid w:val="00902A27"/>
    <w:rsid w:val="0090453F"/>
    <w:rsid w:val="009120DD"/>
    <w:rsid w:val="00912727"/>
    <w:rsid w:val="00915304"/>
    <w:rsid w:val="00916FDE"/>
    <w:rsid w:val="0092311C"/>
    <w:rsid w:val="009243AF"/>
    <w:rsid w:val="00930D55"/>
    <w:rsid w:val="00931526"/>
    <w:rsid w:val="0093172F"/>
    <w:rsid w:val="00934058"/>
    <w:rsid w:val="00934530"/>
    <w:rsid w:val="00941E61"/>
    <w:rsid w:val="00944CA2"/>
    <w:rsid w:val="00945858"/>
    <w:rsid w:val="00946E16"/>
    <w:rsid w:val="00947363"/>
    <w:rsid w:val="009512E6"/>
    <w:rsid w:val="00952941"/>
    <w:rsid w:val="0096025E"/>
    <w:rsid w:val="00966D2A"/>
    <w:rsid w:val="00967DD2"/>
    <w:rsid w:val="00970106"/>
    <w:rsid w:val="00972F8B"/>
    <w:rsid w:val="00975518"/>
    <w:rsid w:val="009810A3"/>
    <w:rsid w:val="00992E47"/>
    <w:rsid w:val="00994AF7"/>
    <w:rsid w:val="00994D0D"/>
    <w:rsid w:val="00997B3C"/>
    <w:rsid w:val="009A1421"/>
    <w:rsid w:val="009A3EDF"/>
    <w:rsid w:val="009A62EA"/>
    <w:rsid w:val="009B25F0"/>
    <w:rsid w:val="009B2FBD"/>
    <w:rsid w:val="009B5E29"/>
    <w:rsid w:val="009B6D8B"/>
    <w:rsid w:val="009B79D5"/>
    <w:rsid w:val="009B7DF1"/>
    <w:rsid w:val="009C156A"/>
    <w:rsid w:val="009C31F6"/>
    <w:rsid w:val="009C4FAE"/>
    <w:rsid w:val="009E5F40"/>
    <w:rsid w:val="009E7A93"/>
    <w:rsid w:val="009F140C"/>
    <w:rsid w:val="009F4065"/>
    <w:rsid w:val="009F4F02"/>
    <w:rsid w:val="00A007B8"/>
    <w:rsid w:val="00A044B5"/>
    <w:rsid w:val="00A045EC"/>
    <w:rsid w:val="00A062B1"/>
    <w:rsid w:val="00A06616"/>
    <w:rsid w:val="00A07A84"/>
    <w:rsid w:val="00A135C1"/>
    <w:rsid w:val="00A20F38"/>
    <w:rsid w:val="00A23E7A"/>
    <w:rsid w:val="00A27F65"/>
    <w:rsid w:val="00A31D17"/>
    <w:rsid w:val="00A35296"/>
    <w:rsid w:val="00A352F9"/>
    <w:rsid w:val="00A37FB4"/>
    <w:rsid w:val="00A46531"/>
    <w:rsid w:val="00A47942"/>
    <w:rsid w:val="00A51EFA"/>
    <w:rsid w:val="00A5514C"/>
    <w:rsid w:val="00A659C6"/>
    <w:rsid w:val="00A661D0"/>
    <w:rsid w:val="00A67382"/>
    <w:rsid w:val="00A7279C"/>
    <w:rsid w:val="00A72EE4"/>
    <w:rsid w:val="00A741F4"/>
    <w:rsid w:val="00A742AC"/>
    <w:rsid w:val="00A746F8"/>
    <w:rsid w:val="00A769CA"/>
    <w:rsid w:val="00A82514"/>
    <w:rsid w:val="00A83D81"/>
    <w:rsid w:val="00A86CF5"/>
    <w:rsid w:val="00A92AD3"/>
    <w:rsid w:val="00A96F4A"/>
    <w:rsid w:val="00AA20BE"/>
    <w:rsid w:val="00AA2725"/>
    <w:rsid w:val="00AA603E"/>
    <w:rsid w:val="00AB2BED"/>
    <w:rsid w:val="00AB57ED"/>
    <w:rsid w:val="00AC102B"/>
    <w:rsid w:val="00AC14BF"/>
    <w:rsid w:val="00AC4D1C"/>
    <w:rsid w:val="00AC6E35"/>
    <w:rsid w:val="00AC745F"/>
    <w:rsid w:val="00AC7C08"/>
    <w:rsid w:val="00AD135E"/>
    <w:rsid w:val="00AD2ED3"/>
    <w:rsid w:val="00AD43F1"/>
    <w:rsid w:val="00AD707D"/>
    <w:rsid w:val="00AE0FF9"/>
    <w:rsid w:val="00AE437E"/>
    <w:rsid w:val="00AE7C03"/>
    <w:rsid w:val="00AF1B45"/>
    <w:rsid w:val="00AF296B"/>
    <w:rsid w:val="00AF3C6E"/>
    <w:rsid w:val="00B00E78"/>
    <w:rsid w:val="00B049C6"/>
    <w:rsid w:val="00B05031"/>
    <w:rsid w:val="00B06BF6"/>
    <w:rsid w:val="00B111D4"/>
    <w:rsid w:val="00B125A7"/>
    <w:rsid w:val="00B1272D"/>
    <w:rsid w:val="00B17A7B"/>
    <w:rsid w:val="00B23379"/>
    <w:rsid w:val="00B33274"/>
    <w:rsid w:val="00B33503"/>
    <w:rsid w:val="00B363C6"/>
    <w:rsid w:val="00B45576"/>
    <w:rsid w:val="00B537F2"/>
    <w:rsid w:val="00B54B36"/>
    <w:rsid w:val="00B600A4"/>
    <w:rsid w:val="00B61360"/>
    <w:rsid w:val="00B6367E"/>
    <w:rsid w:val="00B65ED1"/>
    <w:rsid w:val="00B72B71"/>
    <w:rsid w:val="00B763EC"/>
    <w:rsid w:val="00B827A7"/>
    <w:rsid w:val="00B8450F"/>
    <w:rsid w:val="00B874C0"/>
    <w:rsid w:val="00B9099D"/>
    <w:rsid w:val="00B962BE"/>
    <w:rsid w:val="00B96460"/>
    <w:rsid w:val="00BA04FB"/>
    <w:rsid w:val="00BA1436"/>
    <w:rsid w:val="00BA2E11"/>
    <w:rsid w:val="00BA335C"/>
    <w:rsid w:val="00BB4AB4"/>
    <w:rsid w:val="00BB680E"/>
    <w:rsid w:val="00BC28A2"/>
    <w:rsid w:val="00BC366E"/>
    <w:rsid w:val="00BC7AB9"/>
    <w:rsid w:val="00BD0BFE"/>
    <w:rsid w:val="00BF334E"/>
    <w:rsid w:val="00BF3E82"/>
    <w:rsid w:val="00BF5E77"/>
    <w:rsid w:val="00BF7C6B"/>
    <w:rsid w:val="00C025D0"/>
    <w:rsid w:val="00C06742"/>
    <w:rsid w:val="00C06CFA"/>
    <w:rsid w:val="00C0745C"/>
    <w:rsid w:val="00C115FB"/>
    <w:rsid w:val="00C14272"/>
    <w:rsid w:val="00C16D40"/>
    <w:rsid w:val="00C20243"/>
    <w:rsid w:val="00C20999"/>
    <w:rsid w:val="00C21877"/>
    <w:rsid w:val="00C23424"/>
    <w:rsid w:val="00C24B95"/>
    <w:rsid w:val="00C27107"/>
    <w:rsid w:val="00C32D8B"/>
    <w:rsid w:val="00C40712"/>
    <w:rsid w:val="00C40C11"/>
    <w:rsid w:val="00C42AD2"/>
    <w:rsid w:val="00C43CA1"/>
    <w:rsid w:val="00C45151"/>
    <w:rsid w:val="00C55938"/>
    <w:rsid w:val="00C56779"/>
    <w:rsid w:val="00C61F95"/>
    <w:rsid w:val="00C6286A"/>
    <w:rsid w:val="00C64067"/>
    <w:rsid w:val="00C64320"/>
    <w:rsid w:val="00C66259"/>
    <w:rsid w:val="00C66A74"/>
    <w:rsid w:val="00C6776A"/>
    <w:rsid w:val="00C7251D"/>
    <w:rsid w:val="00C754A7"/>
    <w:rsid w:val="00C82538"/>
    <w:rsid w:val="00C86B6D"/>
    <w:rsid w:val="00C872E6"/>
    <w:rsid w:val="00C910AC"/>
    <w:rsid w:val="00C92364"/>
    <w:rsid w:val="00C946B4"/>
    <w:rsid w:val="00C97D03"/>
    <w:rsid w:val="00CA18CB"/>
    <w:rsid w:val="00CA3F81"/>
    <w:rsid w:val="00CA431D"/>
    <w:rsid w:val="00CA7DFE"/>
    <w:rsid w:val="00CB00D0"/>
    <w:rsid w:val="00CB198B"/>
    <w:rsid w:val="00CB21FC"/>
    <w:rsid w:val="00CB4A26"/>
    <w:rsid w:val="00CB5303"/>
    <w:rsid w:val="00CC2813"/>
    <w:rsid w:val="00CD477D"/>
    <w:rsid w:val="00CE05E9"/>
    <w:rsid w:val="00CE0A3F"/>
    <w:rsid w:val="00CE0D48"/>
    <w:rsid w:val="00CE4EC5"/>
    <w:rsid w:val="00CF0F84"/>
    <w:rsid w:val="00CF6A91"/>
    <w:rsid w:val="00CF7151"/>
    <w:rsid w:val="00D036AA"/>
    <w:rsid w:val="00D03CD9"/>
    <w:rsid w:val="00D05442"/>
    <w:rsid w:val="00D14528"/>
    <w:rsid w:val="00D2310E"/>
    <w:rsid w:val="00D25E5C"/>
    <w:rsid w:val="00D34432"/>
    <w:rsid w:val="00D42005"/>
    <w:rsid w:val="00D46F5E"/>
    <w:rsid w:val="00D513F3"/>
    <w:rsid w:val="00D52AF0"/>
    <w:rsid w:val="00D5300E"/>
    <w:rsid w:val="00D55177"/>
    <w:rsid w:val="00D557D7"/>
    <w:rsid w:val="00D57131"/>
    <w:rsid w:val="00D57504"/>
    <w:rsid w:val="00D605D3"/>
    <w:rsid w:val="00D65ACC"/>
    <w:rsid w:val="00D74BAB"/>
    <w:rsid w:val="00D77046"/>
    <w:rsid w:val="00D779A7"/>
    <w:rsid w:val="00D822B4"/>
    <w:rsid w:val="00D84DB1"/>
    <w:rsid w:val="00D909BF"/>
    <w:rsid w:val="00D94172"/>
    <w:rsid w:val="00D95F35"/>
    <w:rsid w:val="00DA11D1"/>
    <w:rsid w:val="00DA1D85"/>
    <w:rsid w:val="00DA616B"/>
    <w:rsid w:val="00DA7A21"/>
    <w:rsid w:val="00DB32B4"/>
    <w:rsid w:val="00DC2854"/>
    <w:rsid w:val="00DC5ED8"/>
    <w:rsid w:val="00DC63A4"/>
    <w:rsid w:val="00DD1401"/>
    <w:rsid w:val="00DD5699"/>
    <w:rsid w:val="00DD57D3"/>
    <w:rsid w:val="00DE2C58"/>
    <w:rsid w:val="00DE3BDA"/>
    <w:rsid w:val="00DF11CB"/>
    <w:rsid w:val="00DF60D6"/>
    <w:rsid w:val="00E0021D"/>
    <w:rsid w:val="00E01427"/>
    <w:rsid w:val="00E05DF7"/>
    <w:rsid w:val="00E0644F"/>
    <w:rsid w:val="00E07B23"/>
    <w:rsid w:val="00E100B5"/>
    <w:rsid w:val="00E11029"/>
    <w:rsid w:val="00E11CD2"/>
    <w:rsid w:val="00E13634"/>
    <w:rsid w:val="00E21AC7"/>
    <w:rsid w:val="00E25523"/>
    <w:rsid w:val="00E25BDA"/>
    <w:rsid w:val="00E272FF"/>
    <w:rsid w:val="00E2769F"/>
    <w:rsid w:val="00E276A3"/>
    <w:rsid w:val="00E3020A"/>
    <w:rsid w:val="00E327E2"/>
    <w:rsid w:val="00E358DC"/>
    <w:rsid w:val="00E40230"/>
    <w:rsid w:val="00E4062B"/>
    <w:rsid w:val="00E42BFB"/>
    <w:rsid w:val="00E43B75"/>
    <w:rsid w:val="00E444D2"/>
    <w:rsid w:val="00E4547D"/>
    <w:rsid w:val="00E47CFE"/>
    <w:rsid w:val="00E50789"/>
    <w:rsid w:val="00E51CC6"/>
    <w:rsid w:val="00E55383"/>
    <w:rsid w:val="00E70388"/>
    <w:rsid w:val="00E70F03"/>
    <w:rsid w:val="00E75130"/>
    <w:rsid w:val="00E75D2C"/>
    <w:rsid w:val="00E80690"/>
    <w:rsid w:val="00E80B70"/>
    <w:rsid w:val="00E86FD4"/>
    <w:rsid w:val="00E92DBF"/>
    <w:rsid w:val="00EA0E24"/>
    <w:rsid w:val="00EA3393"/>
    <w:rsid w:val="00EA4A15"/>
    <w:rsid w:val="00EB4B0C"/>
    <w:rsid w:val="00EC26E0"/>
    <w:rsid w:val="00EC320C"/>
    <w:rsid w:val="00ED1C88"/>
    <w:rsid w:val="00ED23E6"/>
    <w:rsid w:val="00ED435F"/>
    <w:rsid w:val="00EE01F8"/>
    <w:rsid w:val="00EE3C54"/>
    <w:rsid w:val="00EE573E"/>
    <w:rsid w:val="00EF0C6F"/>
    <w:rsid w:val="00EF3AD6"/>
    <w:rsid w:val="00EF4F17"/>
    <w:rsid w:val="00EF6712"/>
    <w:rsid w:val="00F04861"/>
    <w:rsid w:val="00F121DC"/>
    <w:rsid w:val="00F1341B"/>
    <w:rsid w:val="00F13BC9"/>
    <w:rsid w:val="00F16417"/>
    <w:rsid w:val="00F164D7"/>
    <w:rsid w:val="00F22113"/>
    <w:rsid w:val="00F25622"/>
    <w:rsid w:val="00F26404"/>
    <w:rsid w:val="00F2768A"/>
    <w:rsid w:val="00F34ADD"/>
    <w:rsid w:val="00F37DCC"/>
    <w:rsid w:val="00F4152D"/>
    <w:rsid w:val="00F42F69"/>
    <w:rsid w:val="00F44431"/>
    <w:rsid w:val="00F53C36"/>
    <w:rsid w:val="00F60C86"/>
    <w:rsid w:val="00F62DB5"/>
    <w:rsid w:val="00F656B2"/>
    <w:rsid w:val="00F661B9"/>
    <w:rsid w:val="00F7066B"/>
    <w:rsid w:val="00F75C39"/>
    <w:rsid w:val="00F77E76"/>
    <w:rsid w:val="00F803E1"/>
    <w:rsid w:val="00F83B55"/>
    <w:rsid w:val="00F87C97"/>
    <w:rsid w:val="00F96225"/>
    <w:rsid w:val="00FA12E3"/>
    <w:rsid w:val="00FB0CC8"/>
    <w:rsid w:val="00FC3ABC"/>
    <w:rsid w:val="00FC40FE"/>
    <w:rsid w:val="00FC5A51"/>
    <w:rsid w:val="00FD12B3"/>
    <w:rsid w:val="00FD424A"/>
    <w:rsid w:val="00FE05A8"/>
    <w:rsid w:val="00FE335F"/>
    <w:rsid w:val="00FF6EF4"/>
    <w:rsid w:val="00FF7940"/>
    <w:rsid w:val="28597017"/>
    <w:rsid w:val="2ABD11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E61"/>
    <w:rPr>
      <w:sz w:val="24"/>
    </w:rPr>
  </w:style>
  <w:style w:type="paragraph" w:styleId="Heading1">
    <w:name w:val="heading 1"/>
    <w:basedOn w:val="Normal"/>
    <w:next w:val="Normal"/>
    <w:autoRedefine/>
    <w:qFormat/>
    <w:rsid w:val="008852CC"/>
    <w:pPr>
      <w:keepNext/>
      <w:spacing w:after="240"/>
      <w:outlineLvl w:val="0"/>
    </w:pPr>
    <w:rPr>
      <w:rFonts w:ascii="Times New Roman Bold" w:hAnsi="Times New Roman Bold"/>
      <w:b/>
      <w:caps/>
      <w:szCs w:val="24"/>
    </w:rPr>
  </w:style>
  <w:style w:type="paragraph" w:styleId="Heading2">
    <w:name w:val="heading 2"/>
    <w:basedOn w:val="Normal"/>
    <w:next w:val="Normal"/>
    <w:autoRedefine/>
    <w:qFormat/>
    <w:rsid w:val="00DC2854"/>
    <w:pPr>
      <w:keepNext/>
      <w:keepLines/>
      <w:tabs>
        <w:tab w:val="left" w:pos="4320"/>
      </w:tabs>
      <w:spacing w:after="240"/>
      <w:ind w:left="1440" w:hanging="720"/>
      <w:outlineLvl w:val="1"/>
    </w:pPr>
    <w:rPr>
      <w:rFonts w:ascii="Times New Roman Bold" w:hAnsi="Times New Roman Bold"/>
      <w:b/>
    </w:rPr>
  </w:style>
  <w:style w:type="paragraph" w:styleId="Heading3">
    <w:name w:val="heading 3"/>
    <w:basedOn w:val="Normal"/>
    <w:next w:val="Normal"/>
    <w:autoRedefine/>
    <w:qFormat/>
    <w:rsid w:val="008852CC"/>
    <w:pPr>
      <w:keepNext/>
      <w:spacing w:after="240"/>
      <w:ind w:left="2160" w:hanging="720"/>
      <w:outlineLvl w:val="2"/>
    </w:pPr>
    <w:rPr>
      <w:rFonts w:ascii="Times New Roman Bold" w:hAnsi="Times New Roman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E86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E86FD4"/>
    <w:pPr>
      <w:tabs>
        <w:tab w:val="center" w:pos="4320"/>
        <w:tab w:val="right" w:pos="8640"/>
      </w:tabs>
    </w:pPr>
    <w:rPr>
      <w:sz w:val="20"/>
    </w:rPr>
  </w:style>
  <w:style w:type="character" w:styleId="Hyperlink">
    <w:name w:val="Hyperlink"/>
    <w:uiPriority w:val="99"/>
    <w:rsid w:val="00E86FD4"/>
    <w:rPr>
      <w:color w:val="0000FF"/>
      <w:u w:val="single"/>
    </w:rPr>
  </w:style>
  <w:style w:type="paragraph" w:styleId="FootnoteText">
    <w:name w:val="footnote text"/>
    <w:basedOn w:val="Normal"/>
    <w:link w:val="FootnoteTextChar"/>
    <w:semiHidden/>
    <w:rsid w:val="00E86FD4"/>
    <w:rPr>
      <w:sz w:val="20"/>
    </w:rPr>
  </w:style>
  <w:style w:type="character" w:styleId="FootnoteReference">
    <w:name w:val="footnote reference"/>
    <w:semiHidden/>
    <w:rsid w:val="00E86FD4"/>
    <w:rPr>
      <w:vertAlign w:val="superscript"/>
    </w:rPr>
  </w:style>
  <w:style w:type="paragraph" w:styleId="BodyTextIndent">
    <w:name w:val="Body Text Indent"/>
    <w:basedOn w:val="Normal"/>
    <w:link w:val="BodyTextIndentChar"/>
    <w:rsid w:val="00E86FD4"/>
    <w:pPr>
      <w:spacing w:line="480" w:lineRule="auto"/>
      <w:ind w:firstLine="720"/>
    </w:pPr>
  </w:style>
  <w:style w:type="paragraph" w:styleId="BodyTextIndent3">
    <w:name w:val="Body Text Indent 3"/>
    <w:basedOn w:val="Normal"/>
    <w:link w:val="BodyTextIndent3Char"/>
    <w:rsid w:val="00E86FD4"/>
    <w:pPr>
      <w:spacing w:line="480" w:lineRule="atLeast"/>
      <w:ind w:firstLine="720"/>
    </w:pPr>
  </w:style>
  <w:style w:type="paragraph" w:styleId="BodyTextIndent2">
    <w:name w:val="Body Text Indent 2"/>
    <w:basedOn w:val="Normal"/>
    <w:rsid w:val="00E86FD4"/>
    <w:pPr>
      <w:tabs>
        <w:tab w:val="left" w:pos="720"/>
      </w:tabs>
      <w:spacing w:before="240" w:after="240"/>
      <w:ind w:left="1464" w:hanging="744"/>
    </w:pPr>
  </w:style>
  <w:style w:type="character" w:styleId="PageNumber">
    <w:name w:val="page number"/>
    <w:basedOn w:val="DefaultParagraphFont"/>
    <w:rsid w:val="00E86FD4"/>
  </w:style>
  <w:style w:type="paragraph" w:styleId="BodyText">
    <w:name w:val="Body Text"/>
    <w:basedOn w:val="Normal"/>
    <w:link w:val="BodyTextChar"/>
    <w:rsid w:val="00E86FD4"/>
    <w:pPr>
      <w:jc w:val="both"/>
    </w:pPr>
  </w:style>
  <w:style w:type="paragraph" w:styleId="BlockText">
    <w:name w:val="Block Text"/>
    <w:basedOn w:val="Normal"/>
    <w:rsid w:val="00E86FD4"/>
    <w:pPr>
      <w:ind w:left="1440" w:right="720"/>
    </w:pPr>
  </w:style>
  <w:style w:type="paragraph" w:styleId="EndnoteText">
    <w:name w:val="endnote text"/>
    <w:basedOn w:val="Normal"/>
    <w:semiHidden/>
    <w:rsid w:val="00E86FD4"/>
    <w:rPr>
      <w:sz w:val="20"/>
    </w:rPr>
  </w:style>
  <w:style w:type="character" w:styleId="EndnoteReference">
    <w:name w:val="endnote reference"/>
    <w:semiHidden/>
    <w:rsid w:val="00E86FD4"/>
    <w:rPr>
      <w:vertAlign w:val="superscript"/>
    </w:rPr>
  </w:style>
  <w:style w:type="paragraph" w:styleId="BodyText2">
    <w:name w:val="Body Text 2"/>
    <w:basedOn w:val="Normal"/>
    <w:rsid w:val="00E86FD4"/>
    <w:pPr>
      <w:spacing w:line="480" w:lineRule="auto"/>
      <w:ind w:right="1440"/>
    </w:pPr>
  </w:style>
  <w:style w:type="paragraph" w:styleId="Header">
    <w:name w:val="header"/>
    <w:basedOn w:val="Normal"/>
    <w:rsid w:val="00E86FD4"/>
    <w:pPr>
      <w:tabs>
        <w:tab w:val="center" w:pos="4320"/>
        <w:tab w:val="right" w:pos="8640"/>
      </w:tabs>
    </w:pPr>
  </w:style>
  <w:style w:type="paragraph" w:styleId="BalloonText">
    <w:name w:val="Balloon Text"/>
    <w:basedOn w:val="Normal"/>
    <w:semiHidden/>
    <w:rsid w:val="00E86FD4"/>
    <w:rPr>
      <w:rFonts w:ascii="Lucida Grande" w:hAnsi="Lucida Grande"/>
      <w:sz w:val="18"/>
      <w:szCs w:val="18"/>
    </w:rPr>
  </w:style>
  <w:style w:type="character" w:styleId="CommentReference">
    <w:name w:val="annotation reference"/>
    <w:semiHidden/>
    <w:rsid w:val="00E86FD4"/>
    <w:rPr>
      <w:sz w:val="18"/>
    </w:rPr>
  </w:style>
  <w:style w:type="paragraph" w:styleId="CommentText">
    <w:name w:val="annotation text"/>
    <w:basedOn w:val="Normal"/>
    <w:link w:val="CommentTextChar"/>
    <w:semiHidden/>
    <w:rsid w:val="00E86FD4"/>
    <w:rPr>
      <w:szCs w:val="24"/>
    </w:rPr>
  </w:style>
  <w:style w:type="paragraph" w:styleId="CommentSubject">
    <w:name w:val="annotation subject"/>
    <w:basedOn w:val="CommentText"/>
    <w:next w:val="CommentText"/>
    <w:semiHidden/>
    <w:rsid w:val="00E86FD4"/>
    <w:rPr>
      <w:szCs w:val="20"/>
    </w:rPr>
  </w:style>
  <w:style w:type="character" w:styleId="FollowedHyperlink">
    <w:name w:val="FollowedHyperlink"/>
    <w:rsid w:val="00E86FD4"/>
    <w:rPr>
      <w:color w:val="800080"/>
      <w:u w:val="single"/>
    </w:rPr>
  </w:style>
  <w:style w:type="character" w:customStyle="1" w:styleId="term1">
    <w:name w:val="term1"/>
    <w:rsid w:val="00E86FD4"/>
    <w:rPr>
      <w:b/>
      <w:bCs/>
    </w:rPr>
  </w:style>
  <w:style w:type="table" w:styleId="TableGrid">
    <w:name w:val="Table Grid"/>
    <w:basedOn w:val="TableNormal"/>
    <w:rsid w:val="00E86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E86FD4"/>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946E16"/>
    <w:rPr>
      <w:color w:val="605E5C"/>
      <w:shd w:val="clear" w:color="auto" w:fill="E1DFDD"/>
    </w:rPr>
  </w:style>
  <w:style w:type="character" w:customStyle="1" w:styleId="FooterChar">
    <w:name w:val="Footer Char"/>
    <w:basedOn w:val="DefaultParagraphFont"/>
    <w:link w:val="Footer"/>
    <w:uiPriority w:val="99"/>
    <w:rsid w:val="00DA7A21"/>
  </w:style>
  <w:style w:type="character" w:customStyle="1" w:styleId="BodyTextChar">
    <w:name w:val="Body Text Char"/>
    <w:basedOn w:val="DefaultParagraphFont"/>
    <w:link w:val="BodyText"/>
    <w:rsid w:val="005956C8"/>
    <w:rPr>
      <w:sz w:val="24"/>
    </w:rPr>
  </w:style>
  <w:style w:type="character" w:customStyle="1" w:styleId="CommentTextChar">
    <w:name w:val="Comment Text Char"/>
    <w:basedOn w:val="DefaultParagraphFont"/>
    <w:link w:val="CommentText"/>
    <w:semiHidden/>
    <w:rsid w:val="005956C8"/>
    <w:rPr>
      <w:sz w:val="24"/>
      <w:szCs w:val="24"/>
    </w:rPr>
  </w:style>
  <w:style w:type="character" w:customStyle="1" w:styleId="UnresolvedMention2">
    <w:name w:val="Unresolved Mention2"/>
    <w:basedOn w:val="DefaultParagraphFont"/>
    <w:uiPriority w:val="99"/>
    <w:semiHidden/>
    <w:unhideWhenUsed/>
    <w:rsid w:val="00C64067"/>
    <w:rPr>
      <w:color w:val="605E5C"/>
      <w:shd w:val="clear" w:color="auto" w:fill="E1DFDD"/>
    </w:rPr>
  </w:style>
  <w:style w:type="character" w:customStyle="1" w:styleId="UnresolvedMention3">
    <w:name w:val="Unresolved Mention3"/>
    <w:basedOn w:val="DefaultParagraphFont"/>
    <w:uiPriority w:val="99"/>
    <w:semiHidden/>
    <w:unhideWhenUsed/>
    <w:rsid w:val="00912727"/>
    <w:rPr>
      <w:color w:val="605E5C"/>
      <w:shd w:val="clear" w:color="auto" w:fill="E1DFDD"/>
    </w:rPr>
  </w:style>
  <w:style w:type="character" w:customStyle="1" w:styleId="UnresolvedMention4">
    <w:name w:val="Unresolved Mention4"/>
    <w:basedOn w:val="DefaultParagraphFont"/>
    <w:uiPriority w:val="99"/>
    <w:semiHidden/>
    <w:unhideWhenUsed/>
    <w:rsid w:val="00EF6712"/>
    <w:rPr>
      <w:color w:val="605E5C"/>
      <w:shd w:val="clear" w:color="auto" w:fill="E1DFDD"/>
    </w:rPr>
  </w:style>
  <w:style w:type="paragraph" w:styleId="TOC1">
    <w:name w:val="toc 1"/>
    <w:basedOn w:val="Normal"/>
    <w:next w:val="Normal"/>
    <w:autoRedefine/>
    <w:uiPriority w:val="39"/>
    <w:unhideWhenUsed/>
    <w:qFormat/>
    <w:rsid w:val="00DA11D1"/>
    <w:pPr>
      <w:tabs>
        <w:tab w:val="decimal" w:leader="dot" w:pos="9360"/>
      </w:tabs>
      <w:spacing w:after="240"/>
      <w:ind w:left="720" w:hanging="720"/>
    </w:pPr>
    <w:rPr>
      <w:caps/>
    </w:rPr>
  </w:style>
  <w:style w:type="character" w:customStyle="1" w:styleId="BodyTextIndentChar">
    <w:name w:val="Body Text Indent Char"/>
    <w:basedOn w:val="DefaultParagraphFont"/>
    <w:link w:val="BodyTextIndent"/>
    <w:rsid w:val="008852CC"/>
    <w:rPr>
      <w:sz w:val="24"/>
    </w:rPr>
  </w:style>
  <w:style w:type="paragraph" w:styleId="TOC2">
    <w:name w:val="toc 2"/>
    <w:basedOn w:val="Normal"/>
    <w:next w:val="Normal"/>
    <w:autoRedefine/>
    <w:uiPriority w:val="39"/>
    <w:unhideWhenUsed/>
    <w:qFormat/>
    <w:rsid w:val="00DD5699"/>
    <w:pPr>
      <w:tabs>
        <w:tab w:val="decimal" w:leader="dot" w:pos="9360"/>
      </w:tabs>
      <w:spacing w:after="240"/>
      <w:ind w:left="1440" w:hanging="720"/>
    </w:pPr>
  </w:style>
  <w:style w:type="paragraph" w:styleId="TOC3">
    <w:name w:val="toc 3"/>
    <w:basedOn w:val="Normal"/>
    <w:next w:val="Normal"/>
    <w:autoRedefine/>
    <w:uiPriority w:val="39"/>
    <w:unhideWhenUsed/>
    <w:qFormat/>
    <w:rsid w:val="00DD5699"/>
    <w:pPr>
      <w:tabs>
        <w:tab w:val="decimal" w:leader="dot" w:pos="9360"/>
      </w:tabs>
      <w:spacing w:after="240"/>
      <w:ind w:left="2160" w:hanging="720"/>
    </w:pPr>
  </w:style>
  <w:style w:type="character" w:customStyle="1" w:styleId="UnresolvedMention5">
    <w:name w:val="Unresolved Mention5"/>
    <w:basedOn w:val="DefaultParagraphFont"/>
    <w:uiPriority w:val="99"/>
    <w:semiHidden/>
    <w:unhideWhenUsed/>
    <w:rsid w:val="006C354C"/>
    <w:rPr>
      <w:color w:val="605E5C"/>
      <w:shd w:val="clear" w:color="auto" w:fill="E1DFDD"/>
    </w:rPr>
  </w:style>
  <w:style w:type="character" w:customStyle="1" w:styleId="FootnoteTextChar">
    <w:name w:val="Footnote Text Char"/>
    <w:basedOn w:val="DefaultParagraphFont"/>
    <w:link w:val="FootnoteText"/>
    <w:semiHidden/>
    <w:rsid w:val="001944A7"/>
  </w:style>
  <w:style w:type="character" w:customStyle="1" w:styleId="BodyTextIndent3Char">
    <w:name w:val="Body Text Indent 3 Char"/>
    <w:basedOn w:val="DefaultParagraphFont"/>
    <w:link w:val="BodyTextIndent3"/>
    <w:rsid w:val="001944A7"/>
    <w:rPr>
      <w:sz w:val="24"/>
    </w:rPr>
  </w:style>
  <w:style w:type="character" w:customStyle="1" w:styleId="HTMLPreformattedChar">
    <w:name w:val="HTML Preformatted Char"/>
    <w:basedOn w:val="DefaultParagraphFont"/>
    <w:link w:val="HTMLPreformatted"/>
    <w:rsid w:val="002A5A45"/>
    <w:rPr>
      <w:rFonts w:ascii="Courier New" w:eastAsia="Courier New" w:hAnsi="Courier New" w:cs="Courier New"/>
    </w:rPr>
  </w:style>
  <w:style w:type="character" w:customStyle="1" w:styleId="UnresolvedMention6">
    <w:name w:val="Unresolved Mention6"/>
    <w:basedOn w:val="DefaultParagraphFont"/>
    <w:uiPriority w:val="99"/>
    <w:semiHidden/>
    <w:unhideWhenUsed/>
    <w:rsid w:val="00723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yperlink" Target="mailto:werner.margard@ohioattorneygeneral.gov" TargetMode="External" /><Relationship Id="rId13" Type="http://schemas.openxmlformats.org/officeDocument/2006/relationships/hyperlink" Target="mailto:fykes@whitt-sturtevant.com" TargetMode="External" /><Relationship Id="rId14" Type="http://schemas.openxmlformats.org/officeDocument/2006/relationships/hyperlink" Target="mailto:ccox@elpc.org" TargetMode="External" /><Relationship Id="rId15" Type="http://schemas.openxmlformats.org/officeDocument/2006/relationships/hyperlink" Target="mailto:rdove@keglerbrown.com" TargetMode="External" /><Relationship Id="rId16" Type="http://schemas.openxmlformats.org/officeDocument/2006/relationships/hyperlink" Target="mailto:michael.nugent@igs.com" TargetMode="External" /><Relationship Id="rId17" Type="http://schemas.openxmlformats.org/officeDocument/2006/relationships/hyperlink" Target="mailto:joe.oliker@igs.com" TargetMode="External" /><Relationship Id="rId18" Type="http://schemas.openxmlformats.org/officeDocument/2006/relationships/hyperlink" Target="mailto:bethany.allen@igs.com" TargetMode="External" /><Relationship Id="rId19" Type="http://schemas.openxmlformats.org/officeDocument/2006/relationships/hyperlink" Target="mailto:mjsettineri@vorys.com" TargetMode="External" /><Relationship Id="rId2" Type="http://schemas.openxmlformats.org/officeDocument/2006/relationships/settings" Target="settings.xml" /><Relationship Id="rId20" Type="http://schemas.openxmlformats.org/officeDocument/2006/relationships/hyperlink" Target="mailto:glpetrucci@vorys.com"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y.botschner.obrien@occ.ohio.gov" TargetMode="External" /><Relationship Id="rId7" Type="http://schemas.openxmlformats.org/officeDocument/2006/relationships/hyperlink" Target="mailto:ambrosia.wilson@occ.ohio.gov" TargetMode="External" /><Relationship Id="rId8" Type="http://schemas.openxmlformats.org/officeDocument/2006/relationships/hyperlink" Target="mailto:christopher.healey@occ.ohio.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FCC74-4766-420A-990E-D60E50A3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4654</Words>
  <Characters>26534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Vectren Initial Brief 19-2084_8_27_20.mrw.dfs  (00146411.DOCX;1)</vt:lpstr>
    </vt:vector>
  </TitlesOfParts>
  <Company/>
  <LinksUpToDate>false</LinksUpToDate>
  <CharactersWithSpaces>31126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2020-09-03T20:18:44Z</dcterms:created>
  <dcterms:modified xsi:type="dcterms:W3CDTF">2020-09-03T20:18:44Z</dcterms:modified>
</cp:coreProperties>
</file>