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4169DC" w:rsidRPr="00423400" w:rsidP="004169DC" w14:paraId="099B7C5E" w14:textId="77777777">
      <w:pPr>
        <w:pStyle w:val="HTMLPreformatted"/>
        <w:jc w:val="center"/>
        <w:rPr>
          <w:rFonts w:ascii="Times New Roman" w:hAnsi="Times New Roman" w:cs="Times New Roman"/>
          <w:b/>
          <w:bCs/>
          <w:sz w:val="24"/>
          <w:szCs w:val="24"/>
        </w:rPr>
      </w:pPr>
      <w:r w:rsidRPr="00423400">
        <w:rPr>
          <w:rFonts w:ascii="Times New Roman" w:hAnsi="Times New Roman" w:cs="Times New Roman"/>
          <w:b/>
          <w:bCs/>
          <w:sz w:val="24"/>
          <w:szCs w:val="24"/>
        </w:rPr>
        <w:t>BEFORE</w:t>
      </w:r>
    </w:p>
    <w:p w:rsidR="004169DC" w:rsidRPr="00423400" w:rsidP="004169DC" w14:paraId="2CFED9E6" w14:textId="77777777">
      <w:pPr>
        <w:pStyle w:val="HTMLPreformatted"/>
        <w:jc w:val="center"/>
        <w:rPr>
          <w:rFonts w:ascii="Times New Roman" w:hAnsi="Times New Roman" w:cs="Times New Roman"/>
          <w:sz w:val="24"/>
          <w:szCs w:val="24"/>
        </w:rPr>
      </w:pPr>
      <w:r w:rsidRPr="00423400">
        <w:rPr>
          <w:rFonts w:ascii="Times New Roman" w:hAnsi="Times New Roman" w:cs="Times New Roman"/>
          <w:b/>
          <w:bCs/>
          <w:sz w:val="24"/>
          <w:szCs w:val="24"/>
        </w:rPr>
        <w:t>THE PUBLIC UTILITIES COMMISSION OF OHIO</w:t>
      </w:r>
    </w:p>
    <w:p w:rsidR="004169DC" w:rsidRPr="00423400" w:rsidP="004169DC" w14:paraId="47FA056D" w14:textId="77777777">
      <w:pPr>
        <w:pStyle w:val="HTMLPreformatted"/>
        <w:rPr>
          <w:rFonts w:ascii="Times New Roman" w:hAnsi="Times New Roman" w:cs="Times New Roman"/>
          <w:sz w:val="24"/>
          <w:szCs w:val="24"/>
        </w:rPr>
      </w:pPr>
    </w:p>
    <w:tbl>
      <w:tblPr>
        <w:tblW w:w="9092" w:type="dxa"/>
        <w:tblInd w:w="0" w:type="dxa"/>
        <w:tblCellMar>
          <w:top w:w="0" w:type="dxa"/>
          <w:left w:w="108" w:type="dxa"/>
          <w:bottom w:w="0" w:type="dxa"/>
          <w:right w:w="108" w:type="dxa"/>
        </w:tblCellMar>
        <w:tblLook w:val="01E0"/>
      </w:tblPr>
      <w:tblGrid>
        <w:gridCol w:w="4596"/>
        <w:gridCol w:w="296"/>
        <w:gridCol w:w="4200"/>
      </w:tblGrid>
      <w:tr w14:paraId="5552F3F2" w14:textId="77777777" w:rsidTr="00E65281">
        <w:tblPrEx>
          <w:tblW w:w="9092" w:type="dxa"/>
          <w:tblInd w:w="0" w:type="dxa"/>
          <w:tblCellMar>
            <w:top w:w="0" w:type="dxa"/>
            <w:left w:w="108" w:type="dxa"/>
            <w:bottom w:w="0" w:type="dxa"/>
            <w:right w:w="108" w:type="dxa"/>
          </w:tblCellMar>
          <w:tblLook w:val="01E0"/>
        </w:tblPrEx>
        <w:trPr>
          <w:trHeight w:val="807"/>
        </w:trPr>
        <w:tc>
          <w:tcPr>
            <w:tcW w:w="4596" w:type="dxa"/>
            <w:shd w:val="clear" w:color="auto" w:fill="auto"/>
          </w:tcPr>
          <w:p w:rsidR="004169DC" w:rsidRPr="00423400" w:rsidP="00E65281" w14:paraId="5DAEFB4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23400">
              <w:rPr>
                <w:rFonts w:ascii="Times New Roman" w:eastAsia="Courier New" w:hAnsi="Times New Roman" w:cs="Times New Roman"/>
                <w:sz w:val="24"/>
                <w:szCs w:val="24"/>
                <w:lang w:val="en-US" w:eastAsia="en-US" w:bidi="ar-SA"/>
              </w:rPr>
              <w:t>In the Matter of the Application of the Dayton Power and Light Company to Increase its Rates for Electric Distribution.</w:t>
            </w:r>
          </w:p>
          <w:p w:rsidR="004169DC" w:rsidRPr="00423400" w:rsidP="00E65281" w14:paraId="1CEA434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4169DC" w:rsidRPr="00423400" w:rsidP="00E65281" w14:paraId="62240A5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23400">
              <w:rPr>
                <w:rFonts w:ascii="Times New Roman" w:eastAsia="Courier New" w:hAnsi="Times New Roman" w:cs="Times New Roman"/>
                <w:sz w:val="24"/>
                <w:szCs w:val="24"/>
                <w:lang w:val="en-US" w:eastAsia="en-US" w:bidi="ar-SA"/>
              </w:rPr>
              <w:t>In the Matter of the Application of the Dayton Power and Light Company for Accounting Authority.</w:t>
            </w:r>
          </w:p>
          <w:p w:rsidR="004169DC" w:rsidRPr="00423400" w:rsidP="00E65281" w14:paraId="1BAE1FC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4169DC" w:rsidRPr="00423400" w:rsidP="00E65281" w14:paraId="0206ADA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23400">
              <w:rPr>
                <w:rFonts w:ascii="Times New Roman" w:eastAsia="Courier New" w:hAnsi="Times New Roman" w:cs="Times New Roman"/>
                <w:sz w:val="24"/>
                <w:szCs w:val="24"/>
                <w:lang w:val="en-US" w:eastAsia="en-US" w:bidi="ar-SA"/>
              </w:rPr>
              <w:t>In the Matter of the Application of Dayton Power and Light Company for Approval of Revised Tariffs.</w:t>
            </w:r>
          </w:p>
        </w:tc>
        <w:tc>
          <w:tcPr>
            <w:tcW w:w="296" w:type="dxa"/>
            <w:shd w:val="clear" w:color="auto" w:fill="auto"/>
          </w:tcPr>
          <w:p w:rsidR="004169DC" w:rsidRPr="00423400" w:rsidP="00E65281" w14:paraId="5541942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23400">
              <w:rPr>
                <w:rFonts w:ascii="Times New Roman" w:eastAsia="Courier New" w:hAnsi="Times New Roman" w:cs="Times New Roman"/>
                <w:sz w:val="24"/>
                <w:szCs w:val="24"/>
                <w:lang w:val="en-US" w:eastAsia="en-US" w:bidi="ar-SA"/>
              </w:rPr>
              <w:t>)</w:t>
            </w:r>
          </w:p>
          <w:p w:rsidR="004169DC" w:rsidRPr="00423400" w:rsidP="00E65281" w14:paraId="4FDD488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23400">
              <w:rPr>
                <w:rFonts w:ascii="Times New Roman" w:eastAsia="Courier New" w:hAnsi="Times New Roman" w:cs="Times New Roman"/>
                <w:sz w:val="24"/>
                <w:szCs w:val="24"/>
                <w:lang w:val="en-US" w:eastAsia="en-US" w:bidi="ar-SA"/>
              </w:rPr>
              <w:t>)</w:t>
            </w:r>
          </w:p>
          <w:p w:rsidR="004169DC" w:rsidRPr="00423400" w:rsidP="00E65281" w14:paraId="773441E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23400">
              <w:rPr>
                <w:rFonts w:ascii="Times New Roman" w:eastAsia="Courier New" w:hAnsi="Times New Roman" w:cs="Times New Roman"/>
                <w:sz w:val="24"/>
                <w:szCs w:val="24"/>
                <w:lang w:val="en-US" w:eastAsia="en-US" w:bidi="ar-SA"/>
              </w:rPr>
              <w:t>)</w:t>
            </w:r>
          </w:p>
          <w:p w:rsidR="004169DC" w:rsidRPr="00423400" w:rsidP="00E65281" w14:paraId="2AD1131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4169DC" w:rsidRPr="00423400" w:rsidP="00E65281" w14:paraId="31D6EB1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23400">
              <w:rPr>
                <w:rFonts w:ascii="Times New Roman" w:eastAsia="Courier New" w:hAnsi="Times New Roman" w:cs="Times New Roman"/>
                <w:sz w:val="24"/>
                <w:szCs w:val="24"/>
                <w:lang w:val="en-US" w:eastAsia="en-US" w:bidi="ar-SA"/>
              </w:rPr>
              <w:t>)</w:t>
            </w:r>
          </w:p>
          <w:p w:rsidR="004169DC" w:rsidRPr="00423400" w:rsidP="00E65281" w14:paraId="1D04D97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23400">
              <w:rPr>
                <w:rFonts w:ascii="Times New Roman" w:eastAsia="Courier New" w:hAnsi="Times New Roman" w:cs="Times New Roman"/>
                <w:sz w:val="24"/>
                <w:szCs w:val="24"/>
                <w:lang w:val="en-US" w:eastAsia="en-US" w:bidi="ar-SA"/>
              </w:rPr>
              <w:t>)</w:t>
            </w:r>
          </w:p>
          <w:p w:rsidR="004169DC" w:rsidRPr="00423400" w:rsidP="00E65281" w14:paraId="5E17B8D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23400">
              <w:rPr>
                <w:rFonts w:ascii="Times New Roman" w:eastAsia="Courier New" w:hAnsi="Times New Roman" w:cs="Times New Roman"/>
                <w:sz w:val="24"/>
                <w:szCs w:val="24"/>
                <w:lang w:val="en-US" w:eastAsia="en-US" w:bidi="ar-SA"/>
              </w:rPr>
              <w:t>)</w:t>
            </w:r>
          </w:p>
          <w:p w:rsidR="004169DC" w:rsidRPr="00423400" w:rsidP="00E65281" w14:paraId="4F1A1D2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4169DC" w:rsidRPr="00423400" w:rsidP="00E65281" w14:paraId="37DDBC0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23400">
              <w:rPr>
                <w:rFonts w:ascii="Times New Roman" w:eastAsia="Courier New" w:hAnsi="Times New Roman" w:cs="Times New Roman"/>
                <w:sz w:val="24"/>
                <w:szCs w:val="24"/>
                <w:lang w:val="en-US" w:eastAsia="en-US" w:bidi="ar-SA"/>
              </w:rPr>
              <w:t>)</w:t>
            </w:r>
          </w:p>
          <w:p w:rsidR="004169DC" w:rsidRPr="00423400" w:rsidP="00E65281" w14:paraId="50836EB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23400">
              <w:rPr>
                <w:rFonts w:ascii="Times New Roman" w:eastAsia="Courier New" w:hAnsi="Times New Roman" w:cs="Times New Roman"/>
                <w:sz w:val="24"/>
                <w:szCs w:val="24"/>
                <w:lang w:val="en-US" w:eastAsia="en-US" w:bidi="ar-SA"/>
              </w:rPr>
              <w:t>)</w:t>
            </w:r>
          </w:p>
          <w:p w:rsidR="004169DC" w:rsidRPr="00423400" w:rsidP="00E65281" w14:paraId="5D3AA32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23400">
              <w:rPr>
                <w:rFonts w:ascii="Times New Roman" w:eastAsia="Courier New" w:hAnsi="Times New Roman" w:cs="Times New Roman"/>
                <w:sz w:val="24"/>
                <w:szCs w:val="24"/>
                <w:lang w:val="en-US" w:eastAsia="en-US" w:bidi="ar-SA"/>
              </w:rPr>
              <w:t>)</w:t>
            </w:r>
          </w:p>
        </w:tc>
        <w:tc>
          <w:tcPr>
            <w:tcW w:w="4200" w:type="dxa"/>
            <w:shd w:val="clear" w:color="auto" w:fill="auto"/>
          </w:tcPr>
          <w:p w:rsidR="004169DC" w:rsidRPr="00423400" w:rsidP="00E65281" w14:paraId="2D926FC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4169DC" w:rsidRPr="00423400" w:rsidP="00E65281" w14:paraId="65D7FAB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23400">
              <w:rPr>
                <w:rFonts w:ascii="Times New Roman" w:eastAsia="Courier New" w:hAnsi="Times New Roman" w:cs="Times New Roman"/>
                <w:sz w:val="24"/>
                <w:szCs w:val="24"/>
                <w:lang w:val="en-US" w:eastAsia="en-US" w:bidi="ar-SA"/>
              </w:rPr>
              <w:t>Case No. 20-1651-EL-AIR</w:t>
            </w:r>
          </w:p>
          <w:p w:rsidR="004169DC" w:rsidRPr="00423400" w:rsidP="00E65281" w14:paraId="29BB1AC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4169DC" w:rsidRPr="00423400" w:rsidP="00E65281" w14:paraId="09FDF56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4169DC" w:rsidRPr="00423400" w:rsidP="00E65281" w14:paraId="6EBCD02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4169DC" w:rsidRPr="00423400" w:rsidP="00E65281" w14:paraId="5C8A508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23400">
              <w:rPr>
                <w:rFonts w:ascii="Times New Roman" w:eastAsia="Courier New" w:hAnsi="Times New Roman" w:cs="Times New Roman"/>
                <w:sz w:val="24"/>
                <w:szCs w:val="24"/>
                <w:lang w:val="en-US" w:eastAsia="en-US" w:bidi="ar-SA"/>
              </w:rPr>
              <w:t>Case No. 20-1652-EL-AAM</w:t>
            </w:r>
          </w:p>
          <w:p w:rsidR="004169DC" w:rsidRPr="00423400" w:rsidP="00E65281" w14:paraId="4140BF6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4169DC" w:rsidRPr="00423400" w:rsidP="00E65281" w14:paraId="6BFAF91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4169DC" w:rsidRPr="00423400" w:rsidP="00E65281" w14:paraId="163346D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4169DC" w:rsidRPr="00423400" w:rsidP="00E65281" w14:paraId="4832863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23400">
              <w:rPr>
                <w:rFonts w:ascii="Times New Roman" w:eastAsia="Courier New" w:hAnsi="Times New Roman" w:cs="Times New Roman"/>
                <w:sz w:val="24"/>
                <w:szCs w:val="24"/>
                <w:lang w:val="en-US" w:eastAsia="en-US" w:bidi="ar-SA"/>
              </w:rPr>
              <w:t>Case No. 20-1653-EL-ATA</w:t>
            </w:r>
          </w:p>
        </w:tc>
      </w:tr>
    </w:tbl>
    <w:p w:rsidR="004169DC" w:rsidRPr="00423400" w:rsidP="004169DC" w14:paraId="6A656533" w14:textId="77777777">
      <w:pPr>
        <w:pStyle w:val="HTMLPreformatted"/>
        <w:rPr>
          <w:rFonts w:ascii="Times New Roman" w:hAnsi="Times New Roman" w:cs="Times New Roman"/>
          <w:sz w:val="24"/>
          <w:szCs w:val="24"/>
        </w:rPr>
      </w:pPr>
      <w:r w:rsidRPr="00423400">
        <w:rPr>
          <w:rFonts w:ascii="Times New Roman" w:hAnsi="Times New Roman" w:cs="Times New Roman"/>
          <w:sz w:val="24"/>
          <w:szCs w:val="24"/>
        </w:rPr>
        <w:tab/>
      </w:r>
    </w:p>
    <w:p w:rsidR="004169DC" w:rsidRPr="00423400" w:rsidP="004169DC" w14:paraId="4EE85102" w14:textId="77777777">
      <w:pPr>
        <w:pStyle w:val="HTMLPreformatted"/>
        <w:pBdr>
          <w:top w:val="single" w:sz="12" w:space="1" w:color="auto"/>
        </w:pBdr>
        <w:rPr>
          <w:rFonts w:ascii="Times New Roman" w:hAnsi="Times New Roman" w:cs="Times New Roman"/>
          <w:sz w:val="24"/>
          <w:szCs w:val="24"/>
        </w:rPr>
      </w:pPr>
    </w:p>
    <w:p w:rsidR="004169DC" w:rsidRPr="00423400" w:rsidP="004169DC" w14:paraId="4178A0C1" w14:textId="77777777">
      <w:pPr>
        <w:spacing w:after="0"/>
        <w:jc w:val="center"/>
        <w:rPr>
          <w:rFonts w:cs="Times New Roman"/>
          <w:b/>
          <w:bCs/>
          <w:szCs w:val="24"/>
        </w:rPr>
      </w:pPr>
      <w:r w:rsidRPr="00423400">
        <w:rPr>
          <w:rFonts w:cs="Times New Roman"/>
          <w:b/>
          <w:bCs/>
          <w:szCs w:val="24"/>
        </w:rPr>
        <w:t>CONSUMER PROTECTION BRIEF</w:t>
      </w:r>
    </w:p>
    <w:p w:rsidR="004169DC" w:rsidRPr="00423400" w:rsidP="004169DC" w14:paraId="4BBBDC96" w14:textId="77777777">
      <w:pPr>
        <w:spacing w:after="0"/>
        <w:jc w:val="center"/>
        <w:rPr>
          <w:rFonts w:cs="Times New Roman"/>
          <w:b/>
          <w:bCs/>
          <w:szCs w:val="24"/>
        </w:rPr>
      </w:pPr>
      <w:r w:rsidRPr="00423400">
        <w:rPr>
          <w:rFonts w:cs="Times New Roman"/>
          <w:b/>
          <w:bCs/>
          <w:szCs w:val="24"/>
        </w:rPr>
        <w:t>BY</w:t>
      </w:r>
    </w:p>
    <w:p w:rsidR="004169DC" w:rsidRPr="00423400" w:rsidP="004169DC" w14:paraId="010A437B" w14:textId="77777777">
      <w:pPr>
        <w:spacing w:after="0"/>
        <w:jc w:val="center"/>
        <w:rPr>
          <w:rFonts w:cs="Times New Roman"/>
          <w:b/>
          <w:bCs/>
          <w:szCs w:val="24"/>
        </w:rPr>
      </w:pPr>
      <w:r w:rsidRPr="00423400">
        <w:rPr>
          <w:rFonts w:cs="Times New Roman"/>
          <w:b/>
          <w:bCs/>
          <w:szCs w:val="24"/>
        </w:rPr>
        <w:t>OFFICE OF THE OHIO CONSUMERS’ COUNSEL</w:t>
      </w:r>
    </w:p>
    <w:p w:rsidR="004169DC" w:rsidRPr="00423400" w:rsidP="004169DC" w14:paraId="01CB8920" w14:textId="77777777">
      <w:pPr>
        <w:pBdr>
          <w:bottom w:val="single" w:sz="12" w:space="1" w:color="auto"/>
        </w:pBdr>
        <w:tabs>
          <w:tab w:val="left" w:pos="4320"/>
        </w:tabs>
        <w:rPr>
          <w:rFonts w:cs="Times New Roman"/>
          <w:szCs w:val="24"/>
        </w:rPr>
      </w:pPr>
    </w:p>
    <w:p w:rsidR="004169DC" w:rsidRPr="00423400" w:rsidP="004169DC" w14:paraId="78583005" w14:textId="77777777">
      <w:pPr>
        <w:pStyle w:val="ListParagraph"/>
        <w:spacing w:line="240" w:lineRule="auto"/>
        <w:ind w:left="4320"/>
        <w:rPr>
          <w:rFonts w:cs="Times New Roman"/>
          <w:szCs w:val="24"/>
        </w:rPr>
      </w:pPr>
    </w:p>
    <w:p w:rsidR="004169DC" w:rsidRPr="00423400" w:rsidP="004169DC" w14:paraId="6A371946" w14:textId="77777777">
      <w:pPr>
        <w:pStyle w:val="ListParagraph"/>
        <w:spacing w:line="240" w:lineRule="auto"/>
        <w:ind w:left="4320"/>
        <w:rPr>
          <w:rFonts w:cs="Times New Roman"/>
          <w:szCs w:val="24"/>
        </w:rPr>
      </w:pPr>
    </w:p>
    <w:p w:rsidR="004169DC" w:rsidRPr="00423400" w:rsidP="004169DC" w14:paraId="5ED181D9" w14:textId="77777777">
      <w:pPr>
        <w:pStyle w:val="ListParagraph"/>
        <w:spacing w:line="240" w:lineRule="auto"/>
        <w:ind w:left="4320"/>
        <w:rPr>
          <w:rFonts w:cs="Times New Roman"/>
          <w:szCs w:val="24"/>
        </w:rPr>
      </w:pPr>
      <w:r w:rsidRPr="00423400">
        <w:rPr>
          <w:rFonts w:cs="Times New Roman"/>
          <w:szCs w:val="24"/>
        </w:rPr>
        <w:t xml:space="preserve">Bruce Weston (0016973) </w:t>
      </w:r>
      <w:r w:rsidRPr="00423400">
        <w:rPr>
          <w:rFonts w:cs="Times New Roman"/>
          <w:szCs w:val="24"/>
        </w:rPr>
        <w:br/>
        <w:t xml:space="preserve">Ohio Consumers’ Counsel </w:t>
      </w:r>
      <w:r w:rsidRPr="00423400">
        <w:rPr>
          <w:rFonts w:cs="Times New Roman"/>
          <w:szCs w:val="24"/>
        </w:rPr>
        <w:br/>
      </w:r>
    </w:p>
    <w:p w:rsidR="00AE0C46" w:rsidRPr="00423400" w:rsidP="00AE0C46" w14:paraId="266F3F7F" w14:textId="77777777">
      <w:pPr>
        <w:pStyle w:val="ListParagraph"/>
        <w:spacing w:line="240" w:lineRule="auto"/>
        <w:ind w:left="4320"/>
        <w:rPr>
          <w:rFonts w:cs="Times New Roman"/>
          <w:szCs w:val="24"/>
        </w:rPr>
      </w:pPr>
      <w:r w:rsidRPr="00423400">
        <w:rPr>
          <w:rFonts w:cs="Times New Roman"/>
          <w:szCs w:val="24"/>
        </w:rPr>
        <w:t xml:space="preserve">John Finnigan (0018689) </w:t>
      </w:r>
      <w:r w:rsidRPr="00423400">
        <w:rPr>
          <w:rFonts w:cs="Times New Roman"/>
          <w:szCs w:val="24"/>
        </w:rPr>
        <w:br/>
        <w:t xml:space="preserve">Counsel of Record </w:t>
      </w:r>
      <w:r w:rsidRPr="00423400">
        <w:rPr>
          <w:rFonts w:cs="Times New Roman"/>
          <w:szCs w:val="24"/>
        </w:rPr>
        <w:br/>
        <w:t xml:space="preserve">Ambrosia E. Wilson (0096598) </w:t>
      </w:r>
      <w:r w:rsidRPr="00423400">
        <w:rPr>
          <w:rFonts w:cs="Times New Roman"/>
          <w:szCs w:val="24"/>
        </w:rPr>
        <w:br/>
        <w:t xml:space="preserve">Assistant Consumers' Counsel </w:t>
      </w:r>
    </w:p>
    <w:p w:rsidR="00AE0C46" w:rsidRPr="00423400" w:rsidP="00AE0C46" w14:paraId="14E3A090" w14:textId="77777777">
      <w:pPr>
        <w:pStyle w:val="ListParagraph"/>
        <w:spacing w:line="240" w:lineRule="auto"/>
        <w:ind w:left="4320"/>
        <w:rPr>
          <w:rFonts w:cs="Times New Roman"/>
          <w:szCs w:val="24"/>
        </w:rPr>
      </w:pPr>
    </w:p>
    <w:p w:rsidR="00AE0C46" w:rsidRPr="00423400" w:rsidP="00AE0C46" w14:paraId="7B937B57" w14:textId="77777777">
      <w:pPr>
        <w:pStyle w:val="ListParagraph"/>
        <w:spacing w:line="240" w:lineRule="auto"/>
        <w:ind w:left="4320"/>
        <w:rPr>
          <w:rFonts w:cs="Times New Roman"/>
          <w:szCs w:val="24"/>
        </w:rPr>
      </w:pPr>
      <w:r w:rsidRPr="00423400">
        <w:rPr>
          <w:rFonts w:cs="Times New Roman"/>
          <w:b/>
          <w:bCs/>
          <w:szCs w:val="24"/>
        </w:rPr>
        <w:t>Office of the Ohio Consumers' Counsel</w:t>
      </w:r>
    </w:p>
    <w:p w:rsidR="00AE0C46" w:rsidRPr="00423400" w:rsidP="00AE0C46" w14:paraId="63EFC04C" w14:textId="77777777">
      <w:pPr>
        <w:pStyle w:val="ListParagraph"/>
        <w:spacing w:line="240" w:lineRule="auto"/>
        <w:ind w:left="4320"/>
        <w:rPr>
          <w:rFonts w:cs="Times New Roman"/>
          <w:szCs w:val="24"/>
        </w:rPr>
      </w:pPr>
      <w:r w:rsidRPr="00423400">
        <w:rPr>
          <w:rFonts w:cs="Times New Roman"/>
          <w:szCs w:val="24"/>
        </w:rPr>
        <w:t xml:space="preserve">65 East State Street, Suite 700 </w:t>
      </w:r>
      <w:r w:rsidRPr="00423400">
        <w:rPr>
          <w:rFonts w:cs="Times New Roman"/>
          <w:szCs w:val="24"/>
        </w:rPr>
        <w:br/>
        <w:t xml:space="preserve">Columbus, Ohio 43215 </w:t>
      </w:r>
      <w:r w:rsidRPr="00423400">
        <w:rPr>
          <w:rFonts w:cs="Times New Roman"/>
          <w:szCs w:val="24"/>
        </w:rPr>
        <w:br/>
        <w:t xml:space="preserve">Telephone [Finnigan]: (614) 466-9585 </w:t>
      </w:r>
    </w:p>
    <w:p w:rsidR="00AE0C46" w:rsidRPr="00423400" w:rsidP="00AE0C46" w14:paraId="7FB12203" w14:textId="77777777">
      <w:pPr>
        <w:pStyle w:val="ListParagraph"/>
        <w:spacing w:line="240" w:lineRule="auto"/>
        <w:ind w:left="4320"/>
        <w:rPr>
          <w:rFonts w:cs="Times New Roman"/>
          <w:szCs w:val="24"/>
        </w:rPr>
      </w:pPr>
      <w:r w:rsidRPr="00423400">
        <w:rPr>
          <w:rFonts w:cs="Times New Roman"/>
          <w:szCs w:val="24"/>
        </w:rPr>
        <w:t xml:space="preserve">Telephone [Wilson]: (614) 466-1292 </w:t>
      </w:r>
      <w:hyperlink r:id="rId6" w:history="1">
        <w:r w:rsidRPr="00423400">
          <w:rPr>
            <w:rStyle w:val="Hyperlink"/>
            <w:rFonts w:cs="Times New Roman"/>
            <w:color w:val="0000FF"/>
            <w:szCs w:val="24"/>
          </w:rPr>
          <w:t>john.finnigan@occ.ohio.gov</w:t>
        </w:r>
      </w:hyperlink>
      <w:r w:rsidRPr="00423400">
        <w:rPr>
          <w:rFonts w:cs="Times New Roman"/>
          <w:color w:val="0000FF"/>
          <w:szCs w:val="24"/>
        </w:rPr>
        <w:t xml:space="preserve"> </w:t>
      </w:r>
      <w:hyperlink r:id="rId7" w:history="1">
        <w:r w:rsidRPr="00423400">
          <w:rPr>
            <w:rStyle w:val="Hyperlink"/>
            <w:rFonts w:cs="Times New Roman"/>
            <w:color w:val="0000FF"/>
            <w:szCs w:val="24"/>
          </w:rPr>
          <w:t>ambrosia.wilson@occ.ohio.gov</w:t>
        </w:r>
      </w:hyperlink>
      <w:r w:rsidRPr="00423400">
        <w:rPr>
          <w:rFonts w:cs="Times New Roman"/>
          <w:szCs w:val="24"/>
        </w:rPr>
        <w:t xml:space="preserve"> </w:t>
      </w:r>
    </w:p>
    <w:p w:rsidR="004169DC" w:rsidRPr="00423400" w:rsidP="004169DC" w14:paraId="4972B757" w14:textId="77777777">
      <w:pPr>
        <w:spacing w:line="240" w:lineRule="auto"/>
        <w:rPr>
          <w:rFonts w:cs="Times New Roman"/>
          <w:szCs w:val="24"/>
        </w:rPr>
      </w:pPr>
      <w:r w:rsidRPr="00423400">
        <w:rPr>
          <w:rFonts w:cs="Times New Roman"/>
          <w:szCs w:val="24"/>
        </w:rPr>
        <w:t>March 4, 2022</w:t>
      </w:r>
      <w:r w:rsidRPr="00423400">
        <w:rPr>
          <w:rFonts w:cs="Times New Roman"/>
          <w:szCs w:val="24"/>
        </w:rPr>
        <w:tab/>
      </w:r>
      <w:r w:rsidRPr="00423400">
        <w:rPr>
          <w:rFonts w:cs="Times New Roman"/>
          <w:szCs w:val="24"/>
        </w:rPr>
        <w:tab/>
      </w:r>
      <w:r w:rsidRPr="00423400">
        <w:rPr>
          <w:rFonts w:cs="Times New Roman"/>
          <w:szCs w:val="24"/>
        </w:rPr>
        <w:tab/>
      </w:r>
      <w:r w:rsidRPr="00423400">
        <w:rPr>
          <w:rFonts w:cs="Times New Roman"/>
          <w:szCs w:val="24"/>
        </w:rPr>
        <w:tab/>
      </w:r>
      <w:r w:rsidRPr="00423400">
        <w:rPr>
          <w:rFonts w:cs="Times New Roman"/>
          <w:szCs w:val="24"/>
        </w:rPr>
        <w:tab/>
        <w:t>(willing to accept service by e-mail)</w:t>
      </w:r>
    </w:p>
    <w:p w:rsidR="004169DC" w:rsidRPr="00423400" w:rsidP="004169DC" w14:paraId="50F04DF6" w14:textId="77777777">
      <w:pPr>
        <w:pStyle w:val="Heading1"/>
        <w:numPr>
          <w:ilvl w:val="0"/>
          <w:numId w:val="0"/>
        </w:numPr>
        <w:rPr>
          <w:rFonts w:cs="Times New Roman"/>
          <w:b/>
          <w:bCs/>
          <w:szCs w:val="24"/>
        </w:rPr>
      </w:pPr>
    </w:p>
    <w:p w:rsidR="004169DC" w:rsidRPr="00423400" w:rsidP="004169DC" w14:paraId="2DEBA98A" w14:textId="77777777">
      <w:pPr>
        <w:rPr>
          <w:rFonts w:cs="Times New Roman"/>
          <w:szCs w:val="24"/>
        </w:rPr>
      </w:pPr>
    </w:p>
    <w:p w:rsidR="004169DC" w:rsidRPr="00423400" w:rsidP="004169DC" w14:paraId="44D3DE70" w14:textId="77777777">
      <w:pPr>
        <w:rPr>
          <w:rFonts w:cs="Times New Roman"/>
          <w:szCs w:val="24"/>
        </w:rPr>
        <w:sectPr w:rsidSect="0011134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p>
    <w:p w:rsidR="00F33489" w:rsidRPr="00423400" w:rsidP="002E1E3C" w14:paraId="0F093739" w14:textId="77777777">
      <w:pPr>
        <w:pStyle w:val="HTMLPreformatted"/>
        <w:jc w:val="center"/>
        <w:rPr>
          <w:rFonts w:ascii="Times New Roman" w:hAnsi="Times New Roman" w:cs="Times New Roman"/>
          <w:b/>
          <w:bCs/>
          <w:sz w:val="24"/>
          <w:szCs w:val="24"/>
          <w:u w:val="single"/>
        </w:rPr>
      </w:pPr>
      <w:r w:rsidRPr="00423400">
        <w:rPr>
          <w:rFonts w:ascii="Times New Roman" w:hAnsi="Times New Roman" w:cs="Times New Roman"/>
          <w:b/>
          <w:bCs/>
          <w:sz w:val="24"/>
          <w:szCs w:val="24"/>
          <w:u w:val="single"/>
        </w:rPr>
        <w:t>TABLE OF CONTENTS</w:t>
      </w:r>
    </w:p>
    <w:p w:rsidR="00F33489" w:rsidRPr="00423400" w:rsidP="002E1E3C" w14:paraId="6F983296" w14:textId="77777777">
      <w:pPr>
        <w:pStyle w:val="HTMLPreformatted"/>
        <w:jc w:val="center"/>
        <w:rPr>
          <w:rFonts w:ascii="Times New Roman" w:hAnsi="Times New Roman" w:cs="Times New Roman"/>
          <w:b/>
          <w:bCs/>
          <w:sz w:val="24"/>
          <w:szCs w:val="24"/>
        </w:rPr>
      </w:pPr>
    </w:p>
    <w:p w:rsidR="00F33489" w:rsidRPr="00423400" w:rsidP="00F33489" w14:paraId="3CD99D21" w14:textId="77777777">
      <w:pPr>
        <w:pStyle w:val="HTMLPreformatted"/>
        <w:jc w:val="right"/>
        <w:rPr>
          <w:rFonts w:ascii="Times New Roman" w:hAnsi="Times New Roman" w:cs="Times New Roman"/>
          <w:b/>
          <w:bCs/>
          <w:sz w:val="24"/>
          <w:szCs w:val="24"/>
        </w:rPr>
      </w:pPr>
      <w:r w:rsidRPr="00423400">
        <w:rPr>
          <w:rFonts w:ascii="Times New Roman" w:hAnsi="Times New Roman" w:cs="Times New Roman"/>
          <w:b/>
          <w:bCs/>
          <w:sz w:val="24"/>
          <w:szCs w:val="24"/>
        </w:rPr>
        <w:t>PAGE</w:t>
      </w:r>
    </w:p>
    <w:p w:rsidR="00F01A92" w:rsidRPr="00423400" w:rsidP="00F33489" w14:paraId="036DBF8D" w14:textId="77777777">
      <w:pPr>
        <w:pStyle w:val="HTMLPreformatted"/>
        <w:jc w:val="right"/>
        <w:rPr>
          <w:rFonts w:ascii="Times New Roman" w:hAnsi="Times New Roman" w:cs="Times New Roman"/>
          <w:b/>
          <w:bCs/>
          <w:sz w:val="24"/>
          <w:szCs w:val="24"/>
        </w:rPr>
      </w:pPr>
    </w:p>
    <w:p w:rsidR="00943677" w:rsidRPr="00943677" w14:paraId="245A3F6B" w14:textId="77777777">
      <w:pPr>
        <w:pStyle w:val="TOC1"/>
        <w:rPr>
          <w:rFonts w:asciiTheme="minorHAnsi" w:eastAsiaTheme="minorEastAsia" w:hAnsiTheme="minorHAnsi"/>
          <w:noProof/>
          <w:sz w:val="22"/>
        </w:rPr>
      </w:pPr>
      <w:r w:rsidRPr="00943677">
        <w:rPr>
          <w:rFonts w:cs="Times New Roman"/>
          <w:szCs w:val="24"/>
        </w:rPr>
        <w:fldChar w:fldCharType="begin"/>
      </w:r>
      <w:r w:rsidRPr="00943677">
        <w:rPr>
          <w:rFonts w:cs="Times New Roman"/>
          <w:szCs w:val="24"/>
        </w:rPr>
        <w:instrText xml:space="preserve"> TOC \o "1-3" \h \z \u </w:instrText>
      </w:r>
      <w:r w:rsidRPr="00943677">
        <w:rPr>
          <w:rFonts w:cs="Times New Roman"/>
          <w:szCs w:val="24"/>
        </w:rPr>
        <w:fldChar w:fldCharType="separate"/>
      </w:r>
      <w:hyperlink w:anchor="_Toc97298187" w:history="1">
        <w:r w:rsidRPr="00943677">
          <w:rPr>
            <w:rStyle w:val="Hyperlink"/>
            <w:rFonts w:cs="Times New Roman"/>
            <w:noProof/>
          </w:rPr>
          <w:t>I.</w:t>
        </w:r>
        <w:r w:rsidRPr="00943677">
          <w:rPr>
            <w:rFonts w:asciiTheme="minorHAnsi" w:eastAsiaTheme="minorEastAsia" w:hAnsiTheme="minorHAnsi"/>
            <w:noProof/>
            <w:sz w:val="22"/>
          </w:rPr>
          <w:tab/>
        </w:r>
        <w:r w:rsidRPr="00943677">
          <w:rPr>
            <w:rStyle w:val="Hyperlink"/>
            <w:rFonts w:cs="Times New Roman"/>
            <w:noProof/>
          </w:rPr>
          <w:t>INTRODUCTION</w:t>
        </w:r>
        <w:r w:rsidRPr="00943677">
          <w:rPr>
            <w:noProof/>
            <w:webHidden/>
          </w:rPr>
          <w:tab/>
        </w:r>
        <w:r w:rsidRPr="00943677">
          <w:rPr>
            <w:noProof/>
            <w:webHidden/>
          </w:rPr>
          <w:fldChar w:fldCharType="begin"/>
        </w:r>
        <w:r w:rsidRPr="00943677">
          <w:rPr>
            <w:noProof/>
            <w:webHidden/>
          </w:rPr>
          <w:instrText xml:space="preserve"> PAGEREF _Toc97298187 \h </w:instrText>
        </w:r>
        <w:r w:rsidRPr="00943677">
          <w:rPr>
            <w:noProof/>
            <w:webHidden/>
          </w:rPr>
          <w:fldChar w:fldCharType="separate"/>
        </w:r>
        <w:r w:rsidRPr="00943677">
          <w:rPr>
            <w:noProof/>
            <w:webHidden/>
          </w:rPr>
          <w:t>1</w:t>
        </w:r>
        <w:r w:rsidRPr="00943677">
          <w:rPr>
            <w:noProof/>
            <w:webHidden/>
          </w:rPr>
          <w:fldChar w:fldCharType="end"/>
        </w:r>
      </w:hyperlink>
    </w:p>
    <w:p w:rsidR="00943677" w:rsidRPr="00943677" w14:paraId="353FB261" w14:textId="77777777">
      <w:pPr>
        <w:pStyle w:val="TOC1"/>
        <w:rPr>
          <w:rFonts w:asciiTheme="minorHAnsi" w:eastAsiaTheme="minorEastAsia" w:hAnsiTheme="minorHAnsi"/>
          <w:noProof/>
          <w:sz w:val="22"/>
        </w:rPr>
      </w:pPr>
      <w:hyperlink w:anchor="_Toc97298188" w:history="1">
        <w:r w:rsidRPr="00943677" w:rsidR="00223796">
          <w:rPr>
            <w:rStyle w:val="Hyperlink"/>
            <w:rFonts w:cs="Times New Roman"/>
            <w:noProof/>
          </w:rPr>
          <w:t>II.</w:t>
        </w:r>
        <w:r w:rsidRPr="00943677" w:rsidR="00223796">
          <w:rPr>
            <w:rFonts w:asciiTheme="minorHAnsi" w:eastAsiaTheme="minorEastAsia" w:hAnsiTheme="minorHAnsi"/>
            <w:noProof/>
            <w:sz w:val="22"/>
          </w:rPr>
          <w:tab/>
        </w:r>
        <w:r w:rsidRPr="00943677" w:rsidR="00223796">
          <w:rPr>
            <w:rStyle w:val="Hyperlink"/>
            <w:rFonts w:cs="Times New Roman"/>
            <w:noProof/>
          </w:rPr>
          <w:t>BACKGROUND</w:t>
        </w:r>
        <w:r w:rsidRPr="00943677" w:rsidR="00223796">
          <w:rPr>
            <w:noProof/>
            <w:webHidden/>
          </w:rPr>
          <w:tab/>
        </w:r>
        <w:r w:rsidRPr="00943677" w:rsidR="00223796">
          <w:rPr>
            <w:noProof/>
            <w:webHidden/>
          </w:rPr>
          <w:fldChar w:fldCharType="begin"/>
        </w:r>
        <w:r w:rsidRPr="00943677" w:rsidR="00223796">
          <w:rPr>
            <w:noProof/>
            <w:webHidden/>
          </w:rPr>
          <w:instrText xml:space="preserve"> PAGEREF _Toc97298188 \h </w:instrText>
        </w:r>
        <w:r w:rsidRPr="00943677" w:rsidR="00223796">
          <w:rPr>
            <w:noProof/>
            <w:webHidden/>
          </w:rPr>
          <w:fldChar w:fldCharType="separate"/>
        </w:r>
        <w:r w:rsidRPr="00943677" w:rsidR="00223796">
          <w:rPr>
            <w:noProof/>
            <w:webHidden/>
          </w:rPr>
          <w:t>2</w:t>
        </w:r>
        <w:r w:rsidRPr="00943677" w:rsidR="00223796">
          <w:rPr>
            <w:noProof/>
            <w:webHidden/>
          </w:rPr>
          <w:fldChar w:fldCharType="end"/>
        </w:r>
      </w:hyperlink>
    </w:p>
    <w:p w:rsidR="00943677" w:rsidRPr="00943677" w14:paraId="67AB0A27" w14:textId="77777777">
      <w:pPr>
        <w:pStyle w:val="TOC2"/>
        <w:tabs>
          <w:tab w:val="left" w:pos="1440"/>
        </w:tabs>
        <w:rPr>
          <w:rFonts w:asciiTheme="minorHAnsi" w:eastAsiaTheme="minorEastAsia" w:hAnsiTheme="minorHAnsi"/>
          <w:noProof/>
          <w:sz w:val="22"/>
        </w:rPr>
      </w:pPr>
      <w:hyperlink w:anchor="_Toc97298189" w:history="1">
        <w:r w:rsidRPr="00943677" w:rsidR="00223796">
          <w:rPr>
            <w:rStyle w:val="Hyperlink"/>
            <w:noProof/>
          </w:rPr>
          <w:t>A.</w:t>
        </w:r>
        <w:r w:rsidRPr="00943677" w:rsidR="00223796">
          <w:rPr>
            <w:rFonts w:asciiTheme="minorHAnsi" w:eastAsiaTheme="minorEastAsia" w:hAnsiTheme="minorHAnsi"/>
            <w:noProof/>
            <w:sz w:val="22"/>
          </w:rPr>
          <w:tab/>
        </w:r>
        <w:r w:rsidRPr="00943677" w:rsidR="00223796">
          <w:rPr>
            <w:rStyle w:val="Hyperlink"/>
            <w:noProof/>
          </w:rPr>
          <w:t>The ESP I Settlement.</w:t>
        </w:r>
        <w:r w:rsidRPr="00943677" w:rsidR="00223796">
          <w:rPr>
            <w:noProof/>
            <w:webHidden/>
          </w:rPr>
          <w:tab/>
        </w:r>
        <w:r w:rsidRPr="00943677" w:rsidR="00223796">
          <w:rPr>
            <w:noProof/>
            <w:webHidden/>
          </w:rPr>
          <w:fldChar w:fldCharType="begin"/>
        </w:r>
        <w:r w:rsidRPr="00943677" w:rsidR="00223796">
          <w:rPr>
            <w:noProof/>
            <w:webHidden/>
          </w:rPr>
          <w:instrText xml:space="preserve"> PAGEREF _Toc97298189 \h </w:instrText>
        </w:r>
        <w:r w:rsidRPr="00943677" w:rsidR="00223796">
          <w:rPr>
            <w:noProof/>
            <w:webHidden/>
          </w:rPr>
          <w:fldChar w:fldCharType="separate"/>
        </w:r>
        <w:r w:rsidRPr="00943677" w:rsidR="00223796">
          <w:rPr>
            <w:noProof/>
            <w:webHidden/>
          </w:rPr>
          <w:t>2</w:t>
        </w:r>
        <w:r w:rsidRPr="00943677" w:rsidR="00223796">
          <w:rPr>
            <w:noProof/>
            <w:webHidden/>
          </w:rPr>
          <w:fldChar w:fldCharType="end"/>
        </w:r>
      </w:hyperlink>
    </w:p>
    <w:p w:rsidR="00943677" w:rsidRPr="00943677" w14:paraId="27B16EFC" w14:textId="77777777">
      <w:pPr>
        <w:pStyle w:val="TOC2"/>
        <w:tabs>
          <w:tab w:val="left" w:pos="1440"/>
        </w:tabs>
        <w:rPr>
          <w:rFonts w:asciiTheme="minorHAnsi" w:eastAsiaTheme="minorEastAsia" w:hAnsiTheme="minorHAnsi"/>
          <w:noProof/>
          <w:sz w:val="22"/>
        </w:rPr>
      </w:pPr>
      <w:hyperlink w:anchor="_Toc97298190" w:history="1">
        <w:r w:rsidRPr="00943677" w:rsidR="00223796">
          <w:rPr>
            <w:rStyle w:val="Hyperlink"/>
            <w:noProof/>
          </w:rPr>
          <w:t>B.</w:t>
        </w:r>
        <w:r w:rsidRPr="00943677" w:rsidR="00223796">
          <w:rPr>
            <w:rFonts w:asciiTheme="minorHAnsi" w:eastAsiaTheme="minorEastAsia" w:hAnsiTheme="minorHAnsi"/>
            <w:noProof/>
            <w:sz w:val="22"/>
          </w:rPr>
          <w:tab/>
        </w:r>
        <w:r w:rsidRPr="00943677" w:rsidR="00223796">
          <w:rPr>
            <w:rStyle w:val="Hyperlink"/>
            <w:noProof/>
          </w:rPr>
          <w:t>The ESP I Extension allowed DP&amp;L to continue charging consumers for “stability.”</w:t>
        </w:r>
        <w:r w:rsidRPr="00943677" w:rsidR="00223796">
          <w:rPr>
            <w:noProof/>
            <w:webHidden/>
          </w:rPr>
          <w:tab/>
        </w:r>
        <w:r w:rsidRPr="00943677" w:rsidR="00223796">
          <w:rPr>
            <w:noProof/>
            <w:webHidden/>
          </w:rPr>
          <w:fldChar w:fldCharType="begin"/>
        </w:r>
        <w:r w:rsidRPr="00943677" w:rsidR="00223796">
          <w:rPr>
            <w:noProof/>
            <w:webHidden/>
          </w:rPr>
          <w:instrText xml:space="preserve"> PAGEREF _Toc97298190 \h </w:instrText>
        </w:r>
        <w:r w:rsidRPr="00943677" w:rsidR="00223796">
          <w:rPr>
            <w:noProof/>
            <w:webHidden/>
          </w:rPr>
          <w:fldChar w:fldCharType="separate"/>
        </w:r>
        <w:r w:rsidRPr="00943677" w:rsidR="00223796">
          <w:rPr>
            <w:noProof/>
            <w:webHidden/>
          </w:rPr>
          <w:t>3</w:t>
        </w:r>
        <w:r w:rsidRPr="00943677" w:rsidR="00223796">
          <w:rPr>
            <w:noProof/>
            <w:webHidden/>
          </w:rPr>
          <w:fldChar w:fldCharType="end"/>
        </w:r>
      </w:hyperlink>
    </w:p>
    <w:p w:rsidR="00943677" w:rsidRPr="00943677" w14:paraId="5CFB73D7" w14:textId="77777777">
      <w:pPr>
        <w:pStyle w:val="TOC2"/>
        <w:tabs>
          <w:tab w:val="left" w:pos="1440"/>
        </w:tabs>
        <w:rPr>
          <w:rFonts w:asciiTheme="minorHAnsi" w:eastAsiaTheme="minorEastAsia" w:hAnsiTheme="minorHAnsi"/>
          <w:noProof/>
          <w:sz w:val="22"/>
        </w:rPr>
      </w:pPr>
      <w:hyperlink w:anchor="_Toc97298191" w:history="1">
        <w:r w:rsidRPr="00943677" w:rsidR="00223796">
          <w:rPr>
            <w:rStyle w:val="Hyperlink"/>
            <w:noProof/>
          </w:rPr>
          <w:t>C.</w:t>
        </w:r>
        <w:r w:rsidRPr="00943677" w:rsidR="00223796">
          <w:rPr>
            <w:rFonts w:asciiTheme="minorHAnsi" w:eastAsiaTheme="minorEastAsia" w:hAnsiTheme="minorHAnsi"/>
            <w:noProof/>
            <w:sz w:val="22"/>
          </w:rPr>
          <w:tab/>
        </w:r>
        <w:r w:rsidRPr="00943677" w:rsidR="00223796">
          <w:rPr>
            <w:rStyle w:val="Hyperlink"/>
            <w:noProof/>
          </w:rPr>
          <w:t>ESP II, Withdrawal of ESP II, and Return to ESP I, with the Stability Charge to Consumers Continuing.</w:t>
        </w:r>
        <w:r w:rsidRPr="00943677" w:rsidR="00223796">
          <w:rPr>
            <w:noProof/>
            <w:webHidden/>
          </w:rPr>
          <w:tab/>
        </w:r>
        <w:r w:rsidRPr="00943677" w:rsidR="00223796">
          <w:rPr>
            <w:noProof/>
            <w:webHidden/>
          </w:rPr>
          <w:fldChar w:fldCharType="begin"/>
        </w:r>
        <w:r w:rsidRPr="00943677" w:rsidR="00223796">
          <w:rPr>
            <w:noProof/>
            <w:webHidden/>
          </w:rPr>
          <w:instrText xml:space="preserve"> PAGEREF _Toc97298191 \h </w:instrText>
        </w:r>
        <w:r w:rsidRPr="00943677" w:rsidR="00223796">
          <w:rPr>
            <w:noProof/>
            <w:webHidden/>
          </w:rPr>
          <w:fldChar w:fldCharType="separate"/>
        </w:r>
        <w:r w:rsidRPr="00943677" w:rsidR="00223796">
          <w:rPr>
            <w:noProof/>
            <w:webHidden/>
          </w:rPr>
          <w:t>5</w:t>
        </w:r>
        <w:r w:rsidRPr="00943677" w:rsidR="00223796">
          <w:rPr>
            <w:noProof/>
            <w:webHidden/>
          </w:rPr>
          <w:fldChar w:fldCharType="end"/>
        </w:r>
      </w:hyperlink>
    </w:p>
    <w:p w:rsidR="00943677" w:rsidRPr="00943677" w14:paraId="3597E515" w14:textId="77777777">
      <w:pPr>
        <w:pStyle w:val="TOC2"/>
        <w:tabs>
          <w:tab w:val="left" w:pos="1440"/>
        </w:tabs>
        <w:rPr>
          <w:rFonts w:asciiTheme="minorHAnsi" w:eastAsiaTheme="minorEastAsia" w:hAnsiTheme="minorHAnsi"/>
          <w:noProof/>
          <w:sz w:val="22"/>
        </w:rPr>
      </w:pPr>
      <w:hyperlink w:anchor="_Toc97298192" w:history="1">
        <w:r w:rsidRPr="00943677" w:rsidR="00223796">
          <w:rPr>
            <w:rStyle w:val="Hyperlink"/>
            <w:noProof/>
          </w:rPr>
          <w:t>D.</w:t>
        </w:r>
        <w:r w:rsidRPr="00943677" w:rsidR="00223796">
          <w:rPr>
            <w:rFonts w:asciiTheme="minorHAnsi" w:eastAsiaTheme="minorEastAsia" w:hAnsiTheme="minorHAnsi"/>
            <w:noProof/>
            <w:sz w:val="22"/>
          </w:rPr>
          <w:tab/>
        </w:r>
        <w:r w:rsidRPr="00943677" w:rsidR="00223796">
          <w:rPr>
            <w:rStyle w:val="Hyperlink"/>
            <w:noProof/>
          </w:rPr>
          <w:t>ESP III, Withdrawal of ESP III, and Second Return to ESP I, with the Stability Charge to Consumers Continuing.</w:t>
        </w:r>
        <w:r w:rsidRPr="00943677" w:rsidR="00223796">
          <w:rPr>
            <w:noProof/>
            <w:webHidden/>
          </w:rPr>
          <w:tab/>
        </w:r>
        <w:r w:rsidRPr="00943677" w:rsidR="00223796">
          <w:rPr>
            <w:noProof/>
            <w:webHidden/>
          </w:rPr>
          <w:fldChar w:fldCharType="begin"/>
        </w:r>
        <w:r w:rsidRPr="00943677" w:rsidR="00223796">
          <w:rPr>
            <w:noProof/>
            <w:webHidden/>
          </w:rPr>
          <w:instrText xml:space="preserve"> PAGEREF _Toc97298192 \h </w:instrText>
        </w:r>
        <w:r w:rsidRPr="00943677" w:rsidR="00223796">
          <w:rPr>
            <w:noProof/>
            <w:webHidden/>
          </w:rPr>
          <w:fldChar w:fldCharType="separate"/>
        </w:r>
        <w:r w:rsidRPr="00943677" w:rsidR="00223796">
          <w:rPr>
            <w:noProof/>
            <w:webHidden/>
          </w:rPr>
          <w:t>6</w:t>
        </w:r>
        <w:r w:rsidRPr="00943677" w:rsidR="00223796">
          <w:rPr>
            <w:noProof/>
            <w:webHidden/>
          </w:rPr>
          <w:fldChar w:fldCharType="end"/>
        </w:r>
      </w:hyperlink>
    </w:p>
    <w:p w:rsidR="00943677" w:rsidRPr="00943677" w14:paraId="1F3C38A3" w14:textId="77777777">
      <w:pPr>
        <w:pStyle w:val="TOC2"/>
        <w:tabs>
          <w:tab w:val="left" w:pos="1440"/>
        </w:tabs>
        <w:rPr>
          <w:rFonts w:asciiTheme="minorHAnsi" w:eastAsiaTheme="minorEastAsia" w:hAnsiTheme="minorHAnsi"/>
          <w:noProof/>
          <w:sz w:val="22"/>
        </w:rPr>
      </w:pPr>
      <w:hyperlink w:anchor="_Toc97298193" w:history="1">
        <w:r w:rsidRPr="00943677" w:rsidR="00223796">
          <w:rPr>
            <w:rStyle w:val="Hyperlink"/>
            <w:noProof/>
          </w:rPr>
          <w:t>E.</w:t>
        </w:r>
        <w:r w:rsidRPr="00943677" w:rsidR="00223796">
          <w:rPr>
            <w:rFonts w:asciiTheme="minorHAnsi" w:eastAsiaTheme="minorEastAsia" w:hAnsiTheme="minorHAnsi"/>
            <w:noProof/>
            <w:sz w:val="22"/>
          </w:rPr>
          <w:tab/>
        </w:r>
        <w:r w:rsidRPr="00943677" w:rsidR="00223796">
          <w:rPr>
            <w:rStyle w:val="Hyperlink"/>
            <w:noProof/>
          </w:rPr>
          <w:t xml:space="preserve">The 2020 Rate Case, where DP&amp;L’s Commitment to Consumers to </w:t>
        </w:r>
        <w:r w:rsidRPr="00943677" w:rsidR="00223796">
          <w:rPr>
            <w:rStyle w:val="Hyperlink"/>
            <w:noProof/>
          </w:rPr>
          <w:br/>
          <w:t>Freeze Rates is Broken.</w:t>
        </w:r>
        <w:r w:rsidRPr="00943677" w:rsidR="00223796">
          <w:rPr>
            <w:noProof/>
            <w:webHidden/>
          </w:rPr>
          <w:tab/>
        </w:r>
        <w:r w:rsidRPr="00943677" w:rsidR="00223796">
          <w:rPr>
            <w:noProof/>
            <w:webHidden/>
          </w:rPr>
          <w:fldChar w:fldCharType="begin"/>
        </w:r>
        <w:r w:rsidRPr="00943677" w:rsidR="00223796">
          <w:rPr>
            <w:noProof/>
            <w:webHidden/>
          </w:rPr>
          <w:instrText xml:space="preserve"> PAGEREF _Toc97298193 \h </w:instrText>
        </w:r>
        <w:r w:rsidRPr="00943677" w:rsidR="00223796">
          <w:rPr>
            <w:noProof/>
            <w:webHidden/>
          </w:rPr>
          <w:fldChar w:fldCharType="separate"/>
        </w:r>
        <w:r w:rsidRPr="00943677" w:rsidR="00223796">
          <w:rPr>
            <w:noProof/>
            <w:webHidden/>
          </w:rPr>
          <w:t>8</w:t>
        </w:r>
        <w:r w:rsidRPr="00943677" w:rsidR="00223796">
          <w:rPr>
            <w:noProof/>
            <w:webHidden/>
          </w:rPr>
          <w:fldChar w:fldCharType="end"/>
        </w:r>
      </w:hyperlink>
    </w:p>
    <w:p w:rsidR="00943677" w:rsidRPr="00943677" w14:paraId="64558F2B" w14:textId="77777777">
      <w:pPr>
        <w:pStyle w:val="TOC1"/>
        <w:rPr>
          <w:rFonts w:asciiTheme="minorHAnsi" w:eastAsiaTheme="minorEastAsia" w:hAnsiTheme="minorHAnsi"/>
          <w:noProof/>
          <w:sz w:val="22"/>
        </w:rPr>
      </w:pPr>
      <w:hyperlink w:anchor="_Toc97298194" w:history="1">
        <w:r w:rsidRPr="00943677" w:rsidR="00223796">
          <w:rPr>
            <w:rStyle w:val="Hyperlink"/>
            <w:rFonts w:cs="Times New Roman"/>
            <w:noProof/>
          </w:rPr>
          <w:t>III.</w:t>
        </w:r>
        <w:r w:rsidRPr="00943677" w:rsidR="00223796">
          <w:rPr>
            <w:rFonts w:asciiTheme="minorHAnsi" w:eastAsiaTheme="minorEastAsia" w:hAnsiTheme="minorHAnsi"/>
            <w:noProof/>
            <w:sz w:val="22"/>
          </w:rPr>
          <w:tab/>
        </w:r>
        <w:r w:rsidRPr="00943677" w:rsidR="00223796">
          <w:rPr>
            <w:rStyle w:val="Hyperlink"/>
            <w:rFonts w:cs="Times New Roman"/>
            <w:noProof/>
          </w:rPr>
          <w:t>DP&amp;L’s APPLICATION TO INCREASE RATES SHOULD BE DISMISSED OR STAYED UNTIL ESP I EXPIRES.</w:t>
        </w:r>
        <w:r w:rsidRPr="00943677" w:rsidR="00223796">
          <w:rPr>
            <w:noProof/>
            <w:webHidden/>
          </w:rPr>
          <w:tab/>
        </w:r>
        <w:r w:rsidRPr="00943677" w:rsidR="00223796">
          <w:rPr>
            <w:noProof/>
            <w:webHidden/>
          </w:rPr>
          <w:fldChar w:fldCharType="begin"/>
        </w:r>
        <w:r w:rsidRPr="00943677" w:rsidR="00223796">
          <w:rPr>
            <w:noProof/>
            <w:webHidden/>
          </w:rPr>
          <w:instrText xml:space="preserve"> PAGEREF _Toc97298194 \h </w:instrText>
        </w:r>
        <w:r w:rsidRPr="00943677" w:rsidR="00223796">
          <w:rPr>
            <w:noProof/>
            <w:webHidden/>
          </w:rPr>
          <w:fldChar w:fldCharType="separate"/>
        </w:r>
        <w:r w:rsidRPr="00943677" w:rsidR="00223796">
          <w:rPr>
            <w:noProof/>
            <w:webHidden/>
          </w:rPr>
          <w:t>9</w:t>
        </w:r>
        <w:r w:rsidRPr="00943677" w:rsidR="00223796">
          <w:rPr>
            <w:noProof/>
            <w:webHidden/>
          </w:rPr>
          <w:fldChar w:fldCharType="end"/>
        </w:r>
      </w:hyperlink>
    </w:p>
    <w:p w:rsidR="00943677" w:rsidRPr="00943677" w14:paraId="4162492D" w14:textId="77777777">
      <w:pPr>
        <w:pStyle w:val="TOC2"/>
        <w:tabs>
          <w:tab w:val="left" w:pos="1440"/>
        </w:tabs>
        <w:rPr>
          <w:rFonts w:asciiTheme="minorHAnsi" w:eastAsiaTheme="minorEastAsia" w:hAnsiTheme="minorHAnsi"/>
          <w:noProof/>
          <w:sz w:val="22"/>
        </w:rPr>
      </w:pPr>
      <w:hyperlink w:anchor="_Toc97298195" w:history="1">
        <w:r w:rsidRPr="00943677" w:rsidR="00223796">
          <w:rPr>
            <w:rStyle w:val="Hyperlink"/>
            <w:noProof/>
          </w:rPr>
          <w:t>A.</w:t>
        </w:r>
        <w:r w:rsidRPr="00943677" w:rsidR="00223796">
          <w:rPr>
            <w:rFonts w:asciiTheme="minorHAnsi" w:eastAsiaTheme="minorEastAsia" w:hAnsiTheme="minorHAnsi"/>
            <w:noProof/>
            <w:sz w:val="22"/>
          </w:rPr>
          <w:tab/>
        </w:r>
        <w:r w:rsidRPr="00943677" w:rsidR="00223796">
          <w:rPr>
            <w:rStyle w:val="Hyperlink"/>
            <w:noProof/>
          </w:rPr>
          <w:t>DP&amp;L’s application is unlawful under R.C. 4928.143(C)(2)(b), as interpreted by the PUCO. The PUCO must enforce the terms of ESP I in their entirety, including the Rate Freeze (of DP&amp;L’s base rates at the level approved in the 2015 base rate case), which is an agreed-upon consumer protection.</w:t>
        </w:r>
        <w:r w:rsidRPr="00943677" w:rsidR="00223796">
          <w:rPr>
            <w:noProof/>
            <w:webHidden/>
          </w:rPr>
          <w:tab/>
        </w:r>
        <w:r w:rsidRPr="00943677" w:rsidR="00223796">
          <w:rPr>
            <w:noProof/>
            <w:webHidden/>
          </w:rPr>
          <w:fldChar w:fldCharType="begin"/>
        </w:r>
        <w:r w:rsidRPr="00943677" w:rsidR="00223796">
          <w:rPr>
            <w:noProof/>
            <w:webHidden/>
          </w:rPr>
          <w:instrText xml:space="preserve"> PAGEREF _Toc97298195 \h </w:instrText>
        </w:r>
        <w:r w:rsidRPr="00943677" w:rsidR="00223796">
          <w:rPr>
            <w:noProof/>
            <w:webHidden/>
          </w:rPr>
          <w:fldChar w:fldCharType="separate"/>
        </w:r>
        <w:r w:rsidRPr="00943677" w:rsidR="00223796">
          <w:rPr>
            <w:noProof/>
            <w:webHidden/>
          </w:rPr>
          <w:t>9</w:t>
        </w:r>
        <w:r w:rsidRPr="00943677" w:rsidR="00223796">
          <w:rPr>
            <w:noProof/>
            <w:webHidden/>
          </w:rPr>
          <w:fldChar w:fldCharType="end"/>
        </w:r>
      </w:hyperlink>
    </w:p>
    <w:p w:rsidR="00943677" w:rsidRPr="00943677" w14:paraId="729E140B" w14:textId="77777777">
      <w:pPr>
        <w:pStyle w:val="TOC1"/>
        <w:rPr>
          <w:rFonts w:asciiTheme="minorHAnsi" w:eastAsiaTheme="minorEastAsia" w:hAnsiTheme="minorHAnsi"/>
          <w:noProof/>
          <w:sz w:val="22"/>
        </w:rPr>
      </w:pPr>
      <w:hyperlink w:anchor="_Toc97298196" w:history="1">
        <w:r w:rsidRPr="00943677" w:rsidR="00223796">
          <w:rPr>
            <w:rStyle w:val="Hyperlink"/>
            <w:rFonts w:cs="Times New Roman"/>
            <w:noProof/>
          </w:rPr>
          <w:t>IV.</w:t>
        </w:r>
        <w:r w:rsidRPr="00943677" w:rsidR="00223796">
          <w:rPr>
            <w:rFonts w:asciiTheme="minorHAnsi" w:eastAsiaTheme="minorEastAsia" w:hAnsiTheme="minorHAnsi"/>
            <w:noProof/>
            <w:sz w:val="22"/>
          </w:rPr>
          <w:tab/>
        </w:r>
        <w:r w:rsidRPr="00943677" w:rsidR="00223796">
          <w:rPr>
            <w:rStyle w:val="Hyperlink"/>
            <w:rFonts w:cs="Times New Roman"/>
            <w:noProof/>
          </w:rPr>
          <w:t>RATE FREEZE AND REVENUE REQUIREMENT</w:t>
        </w:r>
        <w:r w:rsidRPr="00943677" w:rsidR="00223796">
          <w:rPr>
            <w:noProof/>
            <w:webHidden/>
          </w:rPr>
          <w:tab/>
        </w:r>
        <w:r w:rsidRPr="00943677" w:rsidR="00223796">
          <w:rPr>
            <w:noProof/>
            <w:webHidden/>
          </w:rPr>
          <w:fldChar w:fldCharType="begin"/>
        </w:r>
        <w:r w:rsidRPr="00943677" w:rsidR="00223796">
          <w:rPr>
            <w:noProof/>
            <w:webHidden/>
          </w:rPr>
          <w:instrText xml:space="preserve"> PAGEREF _Toc97298196 \h </w:instrText>
        </w:r>
        <w:r w:rsidRPr="00943677" w:rsidR="00223796">
          <w:rPr>
            <w:noProof/>
            <w:webHidden/>
          </w:rPr>
          <w:fldChar w:fldCharType="separate"/>
        </w:r>
        <w:r w:rsidRPr="00943677" w:rsidR="00223796">
          <w:rPr>
            <w:noProof/>
            <w:webHidden/>
          </w:rPr>
          <w:t>12</w:t>
        </w:r>
        <w:r w:rsidRPr="00943677" w:rsidR="00223796">
          <w:rPr>
            <w:noProof/>
            <w:webHidden/>
          </w:rPr>
          <w:fldChar w:fldCharType="end"/>
        </w:r>
      </w:hyperlink>
    </w:p>
    <w:p w:rsidR="00943677" w:rsidRPr="00943677" w14:paraId="3573DBE3" w14:textId="77777777">
      <w:pPr>
        <w:pStyle w:val="TOC2"/>
        <w:tabs>
          <w:tab w:val="left" w:pos="1440"/>
        </w:tabs>
        <w:rPr>
          <w:rFonts w:asciiTheme="minorHAnsi" w:eastAsiaTheme="minorEastAsia" w:hAnsiTheme="minorHAnsi"/>
          <w:noProof/>
          <w:sz w:val="22"/>
        </w:rPr>
      </w:pPr>
      <w:hyperlink w:anchor="_Toc97298197" w:history="1">
        <w:r w:rsidRPr="00943677" w:rsidR="00223796">
          <w:rPr>
            <w:rStyle w:val="Hyperlink"/>
            <w:noProof/>
          </w:rPr>
          <w:t>A.</w:t>
        </w:r>
        <w:r w:rsidRPr="00943677" w:rsidR="00223796">
          <w:rPr>
            <w:rFonts w:asciiTheme="minorHAnsi" w:eastAsiaTheme="minorEastAsia" w:hAnsiTheme="minorHAnsi"/>
            <w:noProof/>
            <w:sz w:val="22"/>
          </w:rPr>
          <w:tab/>
        </w:r>
        <w:r w:rsidRPr="00943677" w:rsidR="00223796">
          <w:rPr>
            <w:rStyle w:val="Hyperlink"/>
            <w:noProof/>
          </w:rPr>
          <w:t>To protect consumers, if the PUCO does not dismiss DP&amp;L’s Application (which it should), then the PUCO should enforce the distribution rate freeze (no rate increase) that DP&amp;L agreed to as part of a settlement in its ESP I case. But if the PUCO grants an increase, it should be capped at $43.3 and stayed until the expiration of ESP I.</w:t>
        </w:r>
        <w:r w:rsidRPr="00943677" w:rsidR="00223796">
          <w:rPr>
            <w:noProof/>
            <w:webHidden/>
          </w:rPr>
          <w:tab/>
        </w:r>
        <w:r w:rsidRPr="00943677" w:rsidR="00223796">
          <w:rPr>
            <w:noProof/>
            <w:webHidden/>
          </w:rPr>
          <w:fldChar w:fldCharType="begin"/>
        </w:r>
        <w:r w:rsidRPr="00943677" w:rsidR="00223796">
          <w:rPr>
            <w:noProof/>
            <w:webHidden/>
          </w:rPr>
          <w:instrText xml:space="preserve"> PAGEREF _Toc97298197 \h </w:instrText>
        </w:r>
        <w:r w:rsidRPr="00943677" w:rsidR="00223796">
          <w:rPr>
            <w:noProof/>
            <w:webHidden/>
          </w:rPr>
          <w:fldChar w:fldCharType="separate"/>
        </w:r>
        <w:r w:rsidRPr="00943677" w:rsidR="00223796">
          <w:rPr>
            <w:noProof/>
            <w:webHidden/>
          </w:rPr>
          <w:t>13</w:t>
        </w:r>
        <w:r w:rsidRPr="00943677" w:rsidR="00223796">
          <w:rPr>
            <w:noProof/>
            <w:webHidden/>
          </w:rPr>
          <w:fldChar w:fldCharType="end"/>
        </w:r>
      </w:hyperlink>
    </w:p>
    <w:p w:rsidR="00943677" w:rsidRPr="00943677" w14:paraId="38C770E7" w14:textId="77777777">
      <w:pPr>
        <w:pStyle w:val="TOC1"/>
        <w:rPr>
          <w:rFonts w:asciiTheme="minorHAnsi" w:eastAsiaTheme="minorEastAsia" w:hAnsiTheme="minorHAnsi"/>
          <w:noProof/>
          <w:sz w:val="22"/>
        </w:rPr>
      </w:pPr>
      <w:hyperlink w:anchor="_Toc97298198" w:history="1">
        <w:r w:rsidRPr="00943677" w:rsidR="00223796">
          <w:rPr>
            <w:rStyle w:val="Hyperlink"/>
            <w:rFonts w:cs="Times New Roman"/>
            <w:noProof/>
          </w:rPr>
          <w:t>V.</w:t>
        </w:r>
        <w:r w:rsidRPr="00943677" w:rsidR="00223796">
          <w:rPr>
            <w:rFonts w:asciiTheme="minorHAnsi" w:eastAsiaTheme="minorEastAsia" w:hAnsiTheme="minorHAnsi"/>
            <w:noProof/>
            <w:sz w:val="22"/>
          </w:rPr>
          <w:tab/>
        </w:r>
        <w:r w:rsidRPr="00943677" w:rsidR="00223796">
          <w:rPr>
            <w:rStyle w:val="Hyperlink"/>
            <w:rFonts w:cs="Times New Roman"/>
            <w:noProof/>
          </w:rPr>
          <w:t>OCC’s RECOMMENDED CHANGES TO RATE BASE</w:t>
        </w:r>
        <w:r w:rsidRPr="00943677" w:rsidR="00223796">
          <w:rPr>
            <w:noProof/>
            <w:webHidden/>
          </w:rPr>
          <w:tab/>
        </w:r>
        <w:r w:rsidRPr="00943677" w:rsidR="00223796">
          <w:rPr>
            <w:noProof/>
            <w:webHidden/>
          </w:rPr>
          <w:fldChar w:fldCharType="begin"/>
        </w:r>
        <w:r w:rsidRPr="00943677" w:rsidR="00223796">
          <w:rPr>
            <w:noProof/>
            <w:webHidden/>
          </w:rPr>
          <w:instrText xml:space="preserve"> PAGEREF _Toc97298198 \h </w:instrText>
        </w:r>
        <w:r w:rsidRPr="00943677" w:rsidR="00223796">
          <w:rPr>
            <w:noProof/>
            <w:webHidden/>
          </w:rPr>
          <w:fldChar w:fldCharType="separate"/>
        </w:r>
        <w:r w:rsidRPr="00943677" w:rsidR="00223796">
          <w:rPr>
            <w:noProof/>
            <w:webHidden/>
          </w:rPr>
          <w:t>18</w:t>
        </w:r>
        <w:r w:rsidRPr="00943677" w:rsidR="00223796">
          <w:rPr>
            <w:noProof/>
            <w:webHidden/>
          </w:rPr>
          <w:fldChar w:fldCharType="end"/>
        </w:r>
      </w:hyperlink>
    </w:p>
    <w:p w:rsidR="00943677" w:rsidRPr="00943677" w14:paraId="564314CD" w14:textId="77777777">
      <w:pPr>
        <w:pStyle w:val="TOC2"/>
        <w:tabs>
          <w:tab w:val="left" w:pos="1440"/>
        </w:tabs>
        <w:rPr>
          <w:rFonts w:asciiTheme="minorHAnsi" w:eastAsiaTheme="minorEastAsia" w:hAnsiTheme="minorHAnsi"/>
          <w:noProof/>
          <w:sz w:val="22"/>
        </w:rPr>
      </w:pPr>
      <w:hyperlink w:anchor="_Toc97298199" w:history="1">
        <w:r w:rsidRPr="00943677" w:rsidR="00223796">
          <w:rPr>
            <w:rStyle w:val="Hyperlink"/>
            <w:noProof/>
          </w:rPr>
          <w:t>A.</w:t>
        </w:r>
        <w:r w:rsidRPr="00943677" w:rsidR="00223796">
          <w:rPr>
            <w:rFonts w:asciiTheme="minorHAnsi" w:eastAsiaTheme="minorEastAsia" w:hAnsiTheme="minorHAnsi"/>
            <w:noProof/>
            <w:sz w:val="22"/>
          </w:rPr>
          <w:tab/>
        </w:r>
        <w:r w:rsidRPr="00943677" w:rsidR="00223796">
          <w:rPr>
            <w:rStyle w:val="Hyperlink"/>
            <w:noProof/>
          </w:rPr>
          <w:t>To protect consumers from paying higher rates that are not just and reasonable, the PUCO should require DP&amp;L to remove capitalized incentive compensation from Plant in Service.</w:t>
        </w:r>
        <w:r w:rsidRPr="00943677" w:rsidR="00223796">
          <w:rPr>
            <w:noProof/>
            <w:webHidden/>
          </w:rPr>
          <w:tab/>
        </w:r>
        <w:r w:rsidRPr="00943677" w:rsidR="00223796">
          <w:rPr>
            <w:noProof/>
            <w:webHidden/>
          </w:rPr>
          <w:fldChar w:fldCharType="begin"/>
        </w:r>
        <w:r w:rsidRPr="00943677" w:rsidR="00223796">
          <w:rPr>
            <w:noProof/>
            <w:webHidden/>
          </w:rPr>
          <w:instrText xml:space="preserve"> PAGEREF _Toc97298199 \h </w:instrText>
        </w:r>
        <w:r w:rsidRPr="00943677" w:rsidR="00223796">
          <w:rPr>
            <w:noProof/>
            <w:webHidden/>
          </w:rPr>
          <w:fldChar w:fldCharType="separate"/>
        </w:r>
        <w:r w:rsidRPr="00943677" w:rsidR="00223796">
          <w:rPr>
            <w:noProof/>
            <w:webHidden/>
          </w:rPr>
          <w:t>18</w:t>
        </w:r>
        <w:r w:rsidRPr="00943677" w:rsidR="00223796">
          <w:rPr>
            <w:noProof/>
            <w:webHidden/>
          </w:rPr>
          <w:fldChar w:fldCharType="end"/>
        </w:r>
      </w:hyperlink>
    </w:p>
    <w:p w:rsidR="00943677" w:rsidRPr="00943677" w14:paraId="6681CFDE" w14:textId="77777777">
      <w:pPr>
        <w:pStyle w:val="TOC2"/>
        <w:tabs>
          <w:tab w:val="left" w:pos="1440"/>
        </w:tabs>
        <w:rPr>
          <w:rFonts w:asciiTheme="minorHAnsi" w:eastAsiaTheme="minorEastAsia" w:hAnsiTheme="minorHAnsi"/>
          <w:noProof/>
          <w:sz w:val="22"/>
        </w:rPr>
      </w:pPr>
      <w:hyperlink w:anchor="_Toc97298200" w:history="1">
        <w:r w:rsidRPr="00943677" w:rsidR="00223796">
          <w:rPr>
            <w:rStyle w:val="Hyperlink"/>
            <w:noProof/>
          </w:rPr>
          <w:t>B.</w:t>
        </w:r>
        <w:r w:rsidRPr="00943677" w:rsidR="00223796">
          <w:rPr>
            <w:rFonts w:asciiTheme="minorHAnsi" w:eastAsiaTheme="minorEastAsia" w:hAnsiTheme="minorHAnsi"/>
            <w:noProof/>
            <w:sz w:val="22"/>
          </w:rPr>
          <w:tab/>
        </w:r>
        <w:r w:rsidRPr="00943677" w:rsidR="00223796">
          <w:rPr>
            <w:rStyle w:val="Hyperlink"/>
            <w:noProof/>
          </w:rPr>
          <w:t xml:space="preserve">To protect consumers from paying higher rates, the PUCO should make a plant in service adjustment to exclude $16.8 million in improper capitalized storm costs from rate base and should make depreciation </w:t>
        </w:r>
        <w:r w:rsidRPr="00943677" w:rsidR="00223796">
          <w:rPr>
            <w:rStyle w:val="Hyperlink"/>
            <w:noProof/>
          </w:rPr>
          <w:t>reserve adjustments based on OCC’s recommended storm cost and capitalized incentive adjustments.</w:t>
        </w:r>
        <w:r w:rsidRPr="00943677" w:rsidR="00223796">
          <w:rPr>
            <w:noProof/>
            <w:webHidden/>
          </w:rPr>
          <w:tab/>
        </w:r>
        <w:r w:rsidRPr="00943677" w:rsidR="00223796">
          <w:rPr>
            <w:noProof/>
            <w:webHidden/>
          </w:rPr>
          <w:fldChar w:fldCharType="begin"/>
        </w:r>
        <w:r w:rsidRPr="00943677" w:rsidR="00223796">
          <w:rPr>
            <w:noProof/>
            <w:webHidden/>
          </w:rPr>
          <w:instrText xml:space="preserve"> PAGEREF _Toc97298200 \h </w:instrText>
        </w:r>
        <w:r w:rsidRPr="00943677" w:rsidR="00223796">
          <w:rPr>
            <w:noProof/>
            <w:webHidden/>
          </w:rPr>
          <w:fldChar w:fldCharType="separate"/>
        </w:r>
        <w:r w:rsidRPr="00943677" w:rsidR="00223796">
          <w:rPr>
            <w:noProof/>
            <w:webHidden/>
          </w:rPr>
          <w:t>20</w:t>
        </w:r>
        <w:r w:rsidRPr="00943677" w:rsidR="00223796">
          <w:rPr>
            <w:noProof/>
            <w:webHidden/>
          </w:rPr>
          <w:fldChar w:fldCharType="end"/>
        </w:r>
      </w:hyperlink>
    </w:p>
    <w:p w:rsidR="00943677" w:rsidRPr="00943677" w14:paraId="1D1057DC" w14:textId="77777777">
      <w:pPr>
        <w:pStyle w:val="TOC1"/>
        <w:rPr>
          <w:rFonts w:asciiTheme="minorHAnsi" w:eastAsiaTheme="minorEastAsia" w:hAnsiTheme="minorHAnsi"/>
          <w:noProof/>
          <w:sz w:val="22"/>
        </w:rPr>
      </w:pPr>
      <w:hyperlink w:anchor="_Toc97298201" w:history="1">
        <w:r w:rsidRPr="00943677" w:rsidR="00223796">
          <w:rPr>
            <w:rStyle w:val="Hyperlink"/>
            <w:rFonts w:cs="Times New Roman"/>
            <w:noProof/>
          </w:rPr>
          <w:t>VI.</w:t>
        </w:r>
        <w:r w:rsidRPr="00943677" w:rsidR="00223796">
          <w:rPr>
            <w:rFonts w:asciiTheme="minorHAnsi" w:eastAsiaTheme="minorEastAsia" w:hAnsiTheme="minorHAnsi"/>
            <w:noProof/>
            <w:sz w:val="22"/>
          </w:rPr>
          <w:tab/>
        </w:r>
        <w:r w:rsidRPr="00943677" w:rsidR="00223796">
          <w:rPr>
            <w:rStyle w:val="Hyperlink"/>
            <w:rFonts w:cs="Times New Roman"/>
            <w:noProof/>
          </w:rPr>
          <w:t>OCC’s RECOMMENDED CHANGES TO OPERATING INCOME</w:t>
        </w:r>
        <w:r w:rsidRPr="00943677" w:rsidR="00223796">
          <w:rPr>
            <w:noProof/>
            <w:webHidden/>
          </w:rPr>
          <w:tab/>
        </w:r>
        <w:r w:rsidRPr="00943677" w:rsidR="00223796">
          <w:rPr>
            <w:noProof/>
            <w:webHidden/>
          </w:rPr>
          <w:fldChar w:fldCharType="begin"/>
        </w:r>
        <w:r w:rsidRPr="00943677" w:rsidR="00223796">
          <w:rPr>
            <w:noProof/>
            <w:webHidden/>
          </w:rPr>
          <w:instrText xml:space="preserve"> PAGEREF _Toc97298201 \h </w:instrText>
        </w:r>
        <w:r w:rsidRPr="00943677" w:rsidR="00223796">
          <w:rPr>
            <w:noProof/>
            <w:webHidden/>
          </w:rPr>
          <w:fldChar w:fldCharType="separate"/>
        </w:r>
        <w:r w:rsidRPr="00943677" w:rsidR="00223796">
          <w:rPr>
            <w:noProof/>
            <w:webHidden/>
          </w:rPr>
          <w:t>22</w:t>
        </w:r>
        <w:r w:rsidRPr="00943677" w:rsidR="00223796">
          <w:rPr>
            <w:noProof/>
            <w:webHidden/>
          </w:rPr>
          <w:fldChar w:fldCharType="end"/>
        </w:r>
      </w:hyperlink>
    </w:p>
    <w:p w:rsidR="00943677" w:rsidRPr="00943677" w14:paraId="17074F18" w14:textId="77777777">
      <w:pPr>
        <w:pStyle w:val="TOC2"/>
        <w:tabs>
          <w:tab w:val="left" w:pos="1440"/>
        </w:tabs>
        <w:rPr>
          <w:rFonts w:asciiTheme="minorHAnsi" w:eastAsiaTheme="minorEastAsia" w:hAnsiTheme="minorHAnsi"/>
          <w:noProof/>
          <w:sz w:val="22"/>
        </w:rPr>
      </w:pPr>
      <w:hyperlink w:anchor="_Toc97298202" w:history="1">
        <w:r w:rsidRPr="00943677" w:rsidR="00223796">
          <w:rPr>
            <w:rStyle w:val="Hyperlink"/>
            <w:noProof/>
          </w:rPr>
          <w:t>A.</w:t>
        </w:r>
        <w:r w:rsidRPr="00943677" w:rsidR="00223796">
          <w:rPr>
            <w:rFonts w:asciiTheme="minorHAnsi" w:eastAsiaTheme="minorEastAsia" w:hAnsiTheme="minorHAnsi"/>
            <w:noProof/>
            <w:sz w:val="22"/>
          </w:rPr>
          <w:tab/>
        </w:r>
        <w:r w:rsidRPr="00943677" w:rsidR="00223796">
          <w:rPr>
            <w:rStyle w:val="Hyperlink"/>
            <w:noProof/>
          </w:rPr>
          <w:t>To protect consumers, the PUCO should reject PUCO Staff’s recommendation that only the $14,534 associated with dues and memberships be removed from test year expenses, when instead, at least $241,572 should be removed from test year operations and management (“O&amp;M”) expenses.</w:t>
        </w:r>
        <w:r w:rsidRPr="00943677" w:rsidR="00223796">
          <w:rPr>
            <w:noProof/>
            <w:webHidden/>
          </w:rPr>
          <w:tab/>
        </w:r>
        <w:r w:rsidRPr="00943677" w:rsidR="00223796">
          <w:rPr>
            <w:noProof/>
            <w:webHidden/>
          </w:rPr>
          <w:fldChar w:fldCharType="begin"/>
        </w:r>
        <w:r w:rsidRPr="00943677" w:rsidR="00223796">
          <w:rPr>
            <w:noProof/>
            <w:webHidden/>
          </w:rPr>
          <w:instrText xml:space="preserve"> PAGEREF _Toc97298202 \h </w:instrText>
        </w:r>
        <w:r w:rsidRPr="00943677" w:rsidR="00223796">
          <w:rPr>
            <w:noProof/>
            <w:webHidden/>
          </w:rPr>
          <w:fldChar w:fldCharType="separate"/>
        </w:r>
        <w:r w:rsidRPr="00943677" w:rsidR="00223796">
          <w:rPr>
            <w:noProof/>
            <w:webHidden/>
          </w:rPr>
          <w:t>22</w:t>
        </w:r>
        <w:r w:rsidRPr="00943677" w:rsidR="00223796">
          <w:rPr>
            <w:noProof/>
            <w:webHidden/>
          </w:rPr>
          <w:fldChar w:fldCharType="end"/>
        </w:r>
      </w:hyperlink>
    </w:p>
    <w:p w:rsidR="00943677" w:rsidRPr="00943677" w14:paraId="0E71F9BA" w14:textId="77777777">
      <w:pPr>
        <w:pStyle w:val="TOC2"/>
        <w:tabs>
          <w:tab w:val="left" w:pos="1440"/>
        </w:tabs>
        <w:rPr>
          <w:rFonts w:asciiTheme="minorHAnsi" w:eastAsiaTheme="minorEastAsia" w:hAnsiTheme="minorHAnsi"/>
          <w:noProof/>
          <w:sz w:val="22"/>
        </w:rPr>
      </w:pPr>
      <w:hyperlink w:anchor="_Toc97298203" w:history="1">
        <w:r w:rsidRPr="00943677" w:rsidR="00223796">
          <w:rPr>
            <w:rStyle w:val="Hyperlink"/>
            <w:noProof/>
          </w:rPr>
          <w:t>B.</w:t>
        </w:r>
        <w:r w:rsidRPr="00943677" w:rsidR="00223796">
          <w:rPr>
            <w:rFonts w:asciiTheme="minorHAnsi" w:eastAsiaTheme="minorEastAsia" w:hAnsiTheme="minorHAnsi"/>
            <w:noProof/>
            <w:sz w:val="22"/>
          </w:rPr>
          <w:tab/>
        </w:r>
        <w:r w:rsidRPr="00943677" w:rsidR="00223796">
          <w:rPr>
            <w:rStyle w:val="Hyperlink"/>
            <w:noProof/>
          </w:rPr>
          <w:t>To protect consumers from paying higher rates, the PUCO should require DP&amp;L to make depreciation expense adjustments based on OCC’s recommended storm cost and capitalized incentive adjustments.</w:t>
        </w:r>
        <w:r w:rsidRPr="00943677" w:rsidR="00223796">
          <w:rPr>
            <w:noProof/>
            <w:webHidden/>
          </w:rPr>
          <w:tab/>
        </w:r>
        <w:r w:rsidRPr="00943677" w:rsidR="00223796">
          <w:rPr>
            <w:noProof/>
            <w:webHidden/>
          </w:rPr>
          <w:fldChar w:fldCharType="begin"/>
        </w:r>
        <w:r w:rsidRPr="00943677" w:rsidR="00223796">
          <w:rPr>
            <w:noProof/>
            <w:webHidden/>
          </w:rPr>
          <w:instrText xml:space="preserve"> PAGEREF _Toc97298203 \h </w:instrText>
        </w:r>
        <w:r w:rsidRPr="00943677" w:rsidR="00223796">
          <w:rPr>
            <w:noProof/>
            <w:webHidden/>
          </w:rPr>
          <w:fldChar w:fldCharType="separate"/>
        </w:r>
        <w:r w:rsidRPr="00943677" w:rsidR="00223796">
          <w:rPr>
            <w:noProof/>
            <w:webHidden/>
          </w:rPr>
          <w:t>23</w:t>
        </w:r>
        <w:r w:rsidRPr="00943677" w:rsidR="00223796">
          <w:rPr>
            <w:noProof/>
            <w:webHidden/>
          </w:rPr>
          <w:fldChar w:fldCharType="end"/>
        </w:r>
      </w:hyperlink>
    </w:p>
    <w:p w:rsidR="00943677" w:rsidRPr="00943677" w14:paraId="45861C47" w14:textId="77777777">
      <w:pPr>
        <w:pStyle w:val="TOC2"/>
        <w:tabs>
          <w:tab w:val="left" w:pos="1440"/>
        </w:tabs>
        <w:rPr>
          <w:rFonts w:asciiTheme="minorHAnsi" w:eastAsiaTheme="minorEastAsia" w:hAnsiTheme="minorHAnsi"/>
          <w:noProof/>
          <w:sz w:val="22"/>
        </w:rPr>
      </w:pPr>
      <w:hyperlink w:anchor="_Toc97298204" w:history="1">
        <w:r w:rsidRPr="00943677" w:rsidR="00223796">
          <w:rPr>
            <w:rStyle w:val="Hyperlink"/>
            <w:noProof/>
          </w:rPr>
          <w:t>C.</w:t>
        </w:r>
        <w:r w:rsidRPr="00943677" w:rsidR="00223796">
          <w:rPr>
            <w:rFonts w:asciiTheme="minorHAnsi" w:eastAsiaTheme="minorEastAsia" w:hAnsiTheme="minorHAnsi"/>
            <w:noProof/>
            <w:sz w:val="22"/>
          </w:rPr>
          <w:tab/>
        </w:r>
        <w:r w:rsidRPr="00943677" w:rsidR="00223796">
          <w:rPr>
            <w:rStyle w:val="Hyperlink"/>
            <w:noProof/>
          </w:rPr>
          <w:t>To protect consumers from paying higher rates, the PUCO should reject the PUCO Staff’s adjustment to decrease test year operating income revenues.</w:t>
        </w:r>
        <w:r w:rsidRPr="00943677" w:rsidR="00223796">
          <w:rPr>
            <w:noProof/>
            <w:webHidden/>
          </w:rPr>
          <w:tab/>
        </w:r>
        <w:r w:rsidRPr="00943677" w:rsidR="00223796">
          <w:rPr>
            <w:noProof/>
            <w:webHidden/>
          </w:rPr>
          <w:fldChar w:fldCharType="begin"/>
        </w:r>
        <w:r w:rsidRPr="00943677" w:rsidR="00223796">
          <w:rPr>
            <w:noProof/>
            <w:webHidden/>
          </w:rPr>
          <w:instrText xml:space="preserve"> PAGEREF _Toc97298204 \h </w:instrText>
        </w:r>
        <w:r w:rsidRPr="00943677" w:rsidR="00223796">
          <w:rPr>
            <w:noProof/>
            <w:webHidden/>
          </w:rPr>
          <w:fldChar w:fldCharType="separate"/>
        </w:r>
        <w:r w:rsidRPr="00943677" w:rsidR="00223796">
          <w:rPr>
            <w:noProof/>
            <w:webHidden/>
          </w:rPr>
          <w:t>23</w:t>
        </w:r>
        <w:r w:rsidRPr="00943677" w:rsidR="00223796">
          <w:rPr>
            <w:noProof/>
            <w:webHidden/>
          </w:rPr>
          <w:fldChar w:fldCharType="end"/>
        </w:r>
      </w:hyperlink>
    </w:p>
    <w:p w:rsidR="00943677" w:rsidRPr="00943677" w14:paraId="44F7A31D" w14:textId="77777777">
      <w:pPr>
        <w:pStyle w:val="TOC2"/>
        <w:tabs>
          <w:tab w:val="left" w:pos="1440"/>
        </w:tabs>
        <w:rPr>
          <w:rFonts w:asciiTheme="minorHAnsi" w:eastAsiaTheme="minorEastAsia" w:hAnsiTheme="minorHAnsi"/>
          <w:noProof/>
          <w:sz w:val="22"/>
        </w:rPr>
      </w:pPr>
      <w:hyperlink w:anchor="_Toc97298205" w:history="1">
        <w:r w:rsidRPr="00943677" w:rsidR="00223796">
          <w:rPr>
            <w:rStyle w:val="Hyperlink"/>
            <w:noProof/>
          </w:rPr>
          <w:t>D.</w:t>
        </w:r>
        <w:r w:rsidRPr="00943677" w:rsidR="00223796">
          <w:rPr>
            <w:rFonts w:asciiTheme="minorHAnsi" w:eastAsiaTheme="minorEastAsia" w:hAnsiTheme="minorHAnsi"/>
            <w:noProof/>
            <w:sz w:val="22"/>
          </w:rPr>
          <w:tab/>
        </w:r>
        <w:r w:rsidRPr="00943677" w:rsidR="00223796">
          <w:rPr>
            <w:rStyle w:val="Hyperlink"/>
            <w:noProof/>
          </w:rPr>
          <w:t xml:space="preserve">To protect consumers from paying higher rates, the PUCO should require DP&amp;L to adjust the unadjusted test year expenses to remove $952,488 </w:t>
        </w:r>
        <w:r w:rsidRPr="00943677" w:rsidR="00223796">
          <w:rPr>
            <w:rStyle w:val="Hyperlink"/>
            <w:noProof/>
          </w:rPr>
          <w:br/>
          <w:t xml:space="preserve">in travel and entertainment savings arising from the coronavirus </w:t>
        </w:r>
        <w:r w:rsidRPr="00943677" w:rsidR="00223796">
          <w:rPr>
            <w:rStyle w:val="Hyperlink"/>
            <w:noProof/>
          </w:rPr>
          <w:br/>
          <w:t>pandemic.</w:t>
        </w:r>
        <w:r w:rsidRPr="00943677" w:rsidR="00223796">
          <w:rPr>
            <w:noProof/>
            <w:webHidden/>
          </w:rPr>
          <w:tab/>
        </w:r>
        <w:r w:rsidRPr="00943677" w:rsidR="00223796">
          <w:rPr>
            <w:noProof/>
            <w:webHidden/>
          </w:rPr>
          <w:fldChar w:fldCharType="begin"/>
        </w:r>
        <w:r w:rsidRPr="00943677" w:rsidR="00223796">
          <w:rPr>
            <w:noProof/>
            <w:webHidden/>
          </w:rPr>
          <w:instrText xml:space="preserve"> PAGEREF _Toc97298205 \h </w:instrText>
        </w:r>
        <w:r w:rsidRPr="00943677" w:rsidR="00223796">
          <w:rPr>
            <w:noProof/>
            <w:webHidden/>
          </w:rPr>
          <w:fldChar w:fldCharType="separate"/>
        </w:r>
        <w:r w:rsidRPr="00943677" w:rsidR="00223796">
          <w:rPr>
            <w:noProof/>
            <w:webHidden/>
          </w:rPr>
          <w:t>25</w:t>
        </w:r>
        <w:r w:rsidRPr="00943677" w:rsidR="00223796">
          <w:rPr>
            <w:noProof/>
            <w:webHidden/>
          </w:rPr>
          <w:fldChar w:fldCharType="end"/>
        </w:r>
      </w:hyperlink>
    </w:p>
    <w:p w:rsidR="00943677" w:rsidRPr="00943677" w14:paraId="6B3968C6" w14:textId="77777777">
      <w:pPr>
        <w:pStyle w:val="TOC2"/>
        <w:tabs>
          <w:tab w:val="left" w:pos="1440"/>
        </w:tabs>
        <w:rPr>
          <w:rFonts w:asciiTheme="minorHAnsi" w:eastAsiaTheme="minorEastAsia" w:hAnsiTheme="minorHAnsi"/>
          <w:noProof/>
          <w:sz w:val="22"/>
        </w:rPr>
      </w:pPr>
      <w:hyperlink w:anchor="_Toc97298206" w:history="1">
        <w:r w:rsidRPr="00943677" w:rsidR="00223796">
          <w:rPr>
            <w:rStyle w:val="Hyperlink"/>
            <w:noProof/>
          </w:rPr>
          <w:t>E.</w:t>
        </w:r>
        <w:r w:rsidRPr="00943677" w:rsidR="00223796">
          <w:rPr>
            <w:rFonts w:asciiTheme="minorHAnsi" w:eastAsiaTheme="minorEastAsia" w:hAnsiTheme="minorHAnsi"/>
            <w:noProof/>
            <w:sz w:val="22"/>
          </w:rPr>
          <w:tab/>
        </w:r>
        <w:r w:rsidRPr="00943677" w:rsidR="00223796">
          <w:rPr>
            <w:rStyle w:val="Hyperlink"/>
            <w:noProof/>
          </w:rPr>
          <w:t>To protect consumers from paying higher rates, the PUCO should reject the PUCO Staff’s recommended $1.8 million increase in the baseline expense for vegetation management without any analysis or support and without any requirement for DP&amp;L to improve reliability.</w:t>
        </w:r>
        <w:r w:rsidRPr="00943677" w:rsidR="00223796">
          <w:rPr>
            <w:noProof/>
            <w:webHidden/>
          </w:rPr>
          <w:tab/>
        </w:r>
        <w:r w:rsidRPr="00943677" w:rsidR="00223796">
          <w:rPr>
            <w:noProof/>
            <w:webHidden/>
          </w:rPr>
          <w:fldChar w:fldCharType="begin"/>
        </w:r>
        <w:r w:rsidRPr="00943677" w:rsidR="00223796">
          <w:rPr>
            <w:noProof/>
            <w:webHidden/>
          </w:rPr>
          <w:instrText xml:space="preserve"> PAGEREF _Toc97298206 \h </w:instrText>
        </w:r>
        <w:r w:rsidRPr="00943677" w:rsidR="00223796">
          <w:rPr>
            <w:noProof/>
            <w:webHidden/>
          </w:rPr>
          <w:fldChar w:fldCharType="separate"/>
        </w:r>
        <w:r w:rsidRPr="00943677" w:rsidR="00223796">
          <w:rPr>
            <w:noProof/>
            <w:webHidden/>
          </w:rPr>
          <w:t>26</w:t>
        </w:r>
        <w:r w:rsidRPr="00943677" w:rsidR="00223796">
          <w:rPr>
            <w:noProof/>
            <w:webHidden/>
          </w:rPr>
          <w:fldChar w:fldCharType="end"/>
        </w:r>
      </w:hyperlink>
    </w:p>
    <w:p w:rsidR="00943677" w:rsidRPr="00943677" w14:paraId="14755A96" w14:textId="77777777">
      <w:pPr>
        <w:pStyle w:val="TOC2"/>
        <w:tabs>
          <w:tab w:val="left" w:pos="1440"/>
        </w:tabs>
        <w:rPr>
          <w:rFonts w:asciiTheme="minorHAnsi" w:eastAsiaTheme="minorEastAsia" w:hAnsiTheme="minorHAnsi"/>
          <w:noProof/>
          <w:sz w:val="22"/>
        </w:rPr>
      </w:pPr>
      <w:hyperlink w:anchor="_Toc97298207" w:history="1">
        <w:r w:rsidRPr="00943677" w:rsidR="00223796">
          <w:rPr>
            <w:rStyle w:val="Hyperlink"/>
            <w:noProof/>
          </w:rPr>
          <w:t>F.</w:t>
        </w:r>
        <w:r w:rsidRPr="00943677" w:rsidR="00223796">
          <w:rPr>
            <w:rFonts w:asciiTheme="minorHAnsi" w:eastAsiaTheme="minorEastAsia" w:hAnsiTheme="minorHAnsi"/>
            <w:noProof/>
            <w:sz w:val="22"/>
          </w:rPr>
          <w:tab/>
        </w:r>
        <w:r w:rsidRPr="00943677" w:rsidR="00223796">
          <w:rPr>
            <w:rStyle w:val="Hyperlink"/>
            <w:noProof/>
          </w:rPr>
          <w:t xml:space="preserve">To protect consumers from paying higher rates, the PUCO should reject the PUCO Staff’s recommendation that consumers pay $2.75 million </w:t>
        </w:r>
        <w:r w:rsidRPr="00943677" w:rsidR="00223796">
          <w:rPr>
            <w:rStyle w:val="Hyperlink"/>
            <w:noProof/>
          </w:rPr>
          <w:br/>
          <w:t>per year for DP&amp;L’s deferred vegetation management expenses.</w:t>
        </w:r>
        <w:r w:rsidRPr="00943677" w:rsidR="00223796">
          <w:rPr>
            <w:noProof/>
            <w:webHidden/>
          </w:rPr>
          <w:tab/>
        </w:r>
        <w:r w:rsidRPr="00943677" w:rsidR="00223796">
          <w:rPr>
            <w:noProof/>
            <w:webHidden/>
          </w:rPr>
          <w:fldChar w:fldCharType="begin"/>
        </w:r>
        <w:r w:rsidRPr="00943677" w:rsidR="00223796">
          <w:rPr>
            <w:noProof/>
            <w:webHidden/>
          </w:rPr>
          <w:instrText xml:space="preserve"> PAGEREF _Toc97298207 \h </w:instrText>
        </w:r>
        <w:r w:rsidRPr="00943677" w:rsidR="00223796">
          <w:rPr>
            <w:noProof/>
            <w:webHidden/>
          </w:rPr>
          <w:fldChar w:fldCharType="separate"/>
        </w:r>
        <w:r w:rsidRPr="00943677" w:rsidR="00223796">
          <w:rPr>
            <w:noProof/>
            <w:webHidden/>
          </w:rPr>
          <w:t>31</w:t>
        </w:r>
        <w:r w:rsidRPr="00943677" w:rsidR="00223796">
          <w:rPr>
            <w:noProof/>
            <w:webHidden/>
          </w:rPr>
          <w:fldChar w:fldCharType="end"/>
        </w:r>
      </w:hyperlink>
    </w:p>
    <w:p w:rsidR="00943677" w:rsidRPr="00943677" w14:paraId="7520DA45" w14:textId="77777777">
      <w:pPr>
        <w:pStyle w:val="TOC2"/>
        <w:tabs>
          <w:tab w:val="left" w:pos="1440"/>
        </w:tabs>
        <w:rPr>
          <w:rFonts w:asciiTheme="minorHAnsi" w:eastAsiaTheme="minorEastAsia" w:hAnsiTheme="minorHAnsi"/>
          <w:noProof/>
          <w:sz w:val="22"/>
        </w:rPr>
      </w:pPr>
      <w:hyperlink w:anchor="_Toc97298208" w:history="1">
        <w:r w:rsidRPr="00943677" w:rsidR="00223796">
          <w:rPr>
            <w:rStyle w:val="Hyperlink"/>
            <w:noProof/>
          </w:rPr>
          <w:t>G.</w:t>
        </w:r>
        <w:r w:rsidRPr="00943677" w:rsidR="00223796">
          <w:rPr>
            <w:rFonts w:asciiTheme="minorHAnsi" w:eastAsiaTheme="minorEastAsia" w:hAnsiTheme="minorHAnsi"/>
            <w:noProof/>
            <w:sz w:val="22"/>
          </w:rPr>
          <w:tab/>
        </w:r>
        <w:r w:rsidRPr="00943677" w:rsidR="00223796">
          <w:rPr>
            <w:rStyle w:val="Hyperlink"/>
            <w:noProof/>
          </w:rPr>
          <w:t xml:space="preserve">To protect consumers from paying higher rates, the PUCO should reject the PUCO Staff’s recommendation that DP&amp;L be allowed to defer up to $5 million in vegetation management expenses, which could be charged </w:t>
        </w:r>
        <w:r w:rsidRPr="00943677" w:rsidR="00223796">
          <w:rPr>
            <w:rStyle w:val="Hyperlink"/>
            <w:noProof/>
          </w:rPr>
          <w:br/>
          <w:t>to consumers later.</w:t>
        </w:r>
        <w:r w:rsidRPr="00943677" w:rsidR="00223796">
          <w:rPr>
            <w:noProof/>
            <w:webHidden/>
          </w:rPr>
          <w:tab/>
        </w:r>
        <w:r w:rsidRPr="00943677" w:rsidR="00223796">
          <w:rPr>
            <w:noProof/>
            <w:webHidden/>
          </w:rPr>
          <w:fldChar w:fldCharType="begin"/>
        </w:r>
        <w:r w:rsidRPr="00943677" w:rsidR="00223796">
          <w:rPr>
            <w:noProof/>
            <w:webHidden/>
          </w:rPr>
          <w:instrText xml:space="preserve"> PAGEREF _Toc97298208 \h </w:instrText>
        </w:r>
        <w:r w:rsidRPr="00943677" w:rsidR="00223796">
          <w:rPr>
            <w:noProof/>
            <w:webHidden/>
          </w:rPr>
          <w:fldChar w:fldCharType="separate"/>
        </w:r>
        <w:r w:rsidRPr="00943677" w:rsidR="00223796">
          <w:rPr>
            <w:noProof/>
            <w:webHidden/>
          </w:rPr>
          <w:t>32</w:t>
        </w:r>
        <w:r w:rsidRPr="00943677" w:rsidR="00223796">
          <w:rPr>
            <w:noProof/>
            <w:webHidden/>
          </w:rPr>
          <w:fldChar w:fldCharType="end"/>
        </w:r>
      </w:hyperlink>
    </w:p>
    <w:p w:rsidR="00943677" w:rsidRPr="00943677" w14:paraId="08628899" w14:textId="77777777">
      <w:pPr>
        <w:pStyle w:val="TOC1"/>
        <w:rPr>
          <w:rFonts w:asciiTheme="minorHAnsi" w:eastAsiaTheme="minorEastAsia" w:hAnsiTheme="minorHAnsi"/>
          <w:noProof/>
          <w:sz w:val="22"/>
        </w:rPr>
      </w:pPr>
      <w:hyperlink w:anchor="_Toc97298209" w:history="1">
        <w:r w:rsidRPr="00943677" w:rsidR="00223796">
          <w:rPr>
            <w:rStyle w:val="Hyperlink"/>
            <w:rFonts w:cs="Times New Roman"/>
            <w:noProof/>
          </w:rPr>
          <w:t>VII.</w:t>
        </w:r>
        <w:r w:rsidRPr="00943677" w:rsidR="00223796">
          <w:rPr>
            <w:rFonts w:asciiTheme="minorHAnsi" w:eastAsiaTheme="minorEastAsia" w:hAnsiTheme="minorHAnsi"/>
            <w:noProof/>
            <w:sz w:val="22"/>
          </w:rPr>
          <w:tab/>
        </w:r>
        <w:r w:rsidRPr="00943677" w:rsidR="00223796">
          <w:rPr>
            <w:rStyle w:val="Hyperlink"/>
            <w:rFonts w:cs="Times New Roman"/>
            <w:noProof/>
          </w:rPr>
          <w:t>OCC’s RECOMMENDED CHANGES TO RATE OF RETURN</w:t>
        </w:r>
        <w:r w:rsidRPr="00943677" w:rsidR="00223796">
          <w:rPr>
            <w:noProof/>
            <w:webHidden/>
          </w:rPr>
          <w:tab/>
        </w:r>
        <w:r w:rsidRPr="00943677" w:rsidR="00223796">
          <w:rPr>
            <w:noProof/>
            <w:webHidden/>
          </w:rPr>
          <w:fldChar w:fldCharType="begin"/>
        </w:r>
        <w:r w:rsidRPr="00943677" w:rsidR="00223796">
          <w:rPr>
            <w:noProof/>
            <w:webHidden/>
          </w:rPr>
          <w:instrText xml:space="preserve"> PAGEREF _Toc97298209 \h </w:instrText>
        </w:r>
        <w:r w:rsidRPr="00943677" w:rsidR="00223796">
          <w:rPr>
            <w:noProof/>
            <w:webHidden/>
          </w:rPr>
          <w:fldChar w:fldCharType="separate"/>
        </w:r>
        <w:r w:rsidRPr="00943677" w:rsidR="00223796">
          <w:rPr>
            <w:noProof/>
            <w:webHidden/>
          </w:rPr>
          <w:t>34</w:t>
        </w:r>
        <w:r w:rsidRPr="00943677" w:rsidR="00223796">
          <w:rPr>
            <w:noProof/>
            <w:webHidden/>
          </w:rPr>
          <w:fldChar w:fldCharType="end"/>
        </w:r>
      </w:hyperlink>
    </w:p>
    <w:p w:rsidR="00943677" w:rsidRPr="00943677" w14:paraId="471F0F0D" w14:textId="77777777">
      <w:pPr>
        <w:pStyle w:val="TOC2"/>
        <w:tabs>
          <w:tab w:val="left" w:pos="1440"/>
        </w:tabs>
        <w:rPr>
          <w:rFonts w:asciiTheme="minorHAnsi" w:eastAsiaTheme="minorEastAsia" w:hAnsiTheme="minorHAnsi"/>
          <w:noProof/>
          <w:sz w:val="22"/>
        </w:rPr>
      </w:pPr>
      <w:hyperlink w:anchor="_Toc97298210" w:history="1">
        <w:r w:rsidRPr="00943677" w:rsidR="00223796">
          <w:rPr>
            <w:rStyle w:val="Hyperlink"/>
            <w:noProof/>
          </w:rPr>
          <w:t>A.</w:t>
        </w:r>
        <w:r w:rsidRPr="00943677" w:rsidR="00223796">
          <w:rPr>
            <w:rFonts w:asciiTheme="minorHAnsi" w:eastAsiaTheme="minorEastAsia" w:hAnsiTheme="minorHAnsi"/>
            <w:noProof/>
            <w:sz w:val="22"/>
          </w:rPr>
          <w:tab/>
        </w:r>
        <w:r w:rsidRPr="00943677" w:rsidR="00223796">
          <w:rPr>
            <w:rStyle w:val="Hyperlink"/>
            <w:noProof/>
          </w:rPr>
          <w:t>To protect consumers from paying higher rates, the PUCO should reject DP&amp;L’s and the PUCO Staff’s recommended capital structure.</w:t>
        </w:r>
        <w:r w:rsidRPr="00943677" w:rsidR="00223796">
          <w:rPr>
            <w:noProof/>
            <w:webHidden/>
          </w:rPr>
          <w:tab/>
        </w:r>
        <w:r w:rsidRPr="00943677" w:rsidR="00223796">
          <w:rPr>
            <w:noProof/>
            <w:webHidden/>
          </w:rPr>
          <w:fldChar w:fldCharType="begin"/>
        </w:r>
        <w:r w:rsidRPr="00943677" w:rsidR="00223796">
          <w:rPr>
            <w:noProof/>
            <w:webHidden/>
          </w:rPr>
          <w:instrText xml:space="preserve"> PAGEREF _Toc97298210 \h </w:instrText>
        </w:r>
        <w:r w:rsidRPr="00943677" w:rsidR="00223796">
          <w:rPr>
            <w:noProof/>
            <w:webHidden/>
          </w:rPr>
          <w:fldChar w:fldCharType="separate"/>
        </w:r>
        <w:r w:rsidRPr="00943677" w:rsidR="00223796">
          <w:rPr>
            <w:noProof/>
            <w:webHidden/>
          </w:rPr>
          <w:t>34</w:t>
        </w:r>
        <w:r w:rsidRPr="00943677" w:rsidR="00223796">
          <w:rPr>
            <w:noProof/>
            <w:webHidden/>
          </w:rPr>
          <w:fldChar w:fldCharType="end"/>
        </w:r>
      </w:hyperlink>
    </w:p>
    <w:p w:rsidR="00943677" w:rsidRPr="00943677" w14:paraId="0D914BC7" w14:textId="77777777">
      <w:pPr>
        <w:pStyle w:val="TOC2"/>
        <w:tabs>
          <w:tab w:val="left" w:pos="1440"/>
        </w:tabs>
        <w:rPr>
          <w:rFonts w:asciiTheme="minorHAnsi" w:eastAsiaTheme="minorEastAsia" w:hAnsiTheme="minorHAnsi"/>
          <w:noProof/>
          <w:sz w:val="22"/>
        </w:rPr>
      </w:pPr>
      <w:hyperlink w:anchor="_Toc97298211" w:history="1">
        <w:r w:rsidRPr="00943677" w:rsidR="00223796">
          <w:rPr>
            <w:rStyle w:val="Hyperlink"/>
            <w:noProof/>
          </w:rPr>
          <w:t>B.</w:t>
        </w:r>
        <w:r w:rsidRPr="00943677" w:rsidR="00223796">
          <w:rPr>
            <w:rFonts w:asciiTheme="minorHAnsi" w:eastAsiaTheme="minorEastAsia" w:hAnsiTheme="minorHAnsi"/>
            <w:noProof/>
            <w:sz w:val="22"/>
          </w:rPr>
          <w:tab/>
        </w:r>
        <w:r w:rsidRPr="00943677" w:rsidR="00223796">
          <w:rPr>
            <w:rStyle w:val="Hyperlink"/>
            <w:noProof/>
          </w:rPr>
          <w:t xml:space="preserve">To protect consumers from paying higher rates, the PUCO should reject PUCO Staff’s and DP&amp;L’s reliance on </w:t>
        </w:r>
        <w:r w:rsidRPr="00943677" w:rsidR="00223796">
          <w:rPr>
            <w:rStyle w:val="Hyperlink"/>
            <w:i/>
            <w:iCs/>
            <w:noProof/>
          </w:rPr>
          <w:t>Value Line</w:t>
        </w:r>
        <w:r w:rsidRPr="00943677" w:rsidR="00223796">
          <w:rPr>
            <w:rStyle w:val="Hyperlink"/>
            <w:noProof/>
          </w:rPr>
          <w:t xml:space="preserve"> as a source for beta estimates to use in its CAPM without consideration of other sources as a check on the reasonableness of </w:t>
        </w:r>
        <w:r w:rsidRPr="00943677" w:rsidR="00223796">
          <w:rPr>
            <w:rStyle w:val="Hyperlink"/>
            <w:i/>
            <w:iCs/>
            <w:noProof/>
          </w:rPr>
          <w:t>Value Line’s</w:t>
        </w:r>
        <w:r w:rsidRPr="00943677" w:rsidR="00223796">
          <w:rPr>
            <w:rStyle w:val="Hyperlink"/>
            <w:noProof/>
          </w:rPr>
          <w:t xml:space="preserve"> betas. The PUCO Staff’s and DP&amp;L’s beta estimates are abnormally high, are being heavily influenced by market volatility experienced in 2020 as a result of the anomalous event of the pandemic caused by COVID-19, and do not necessarily capture investor expectations.</w:t>
        </w:r>
        <w:r w:rsidRPr="00943677" w:rsidR="00223796">
          <w:rPr>
            <w:noProof/>
            <w:webHidden/>
          </w:rPr>
          <w:tab/>
        </w:r>
        <w:r w:rsidRPr="00943677" w:rsidR="00223796">
          <w:rPr>
            <w:noProof/>
            <w:webHidden/>
          </w:rPr>
          <w:fldChar w:fldCharType="begin"/>
        </w:r>
        <w:r w:rsidRPr="00943677" w:rsidR="00223796">
          <w:rPr>
            <w:noProof/>
            <w:webHidden/>
          </w:rPr>
          <w:instrText xml:space="preserve"> PAGEREF _Toc97298211 \h </w:instrText>
        </w:r>
        <w:r w:rsidRPr="00943677" w:rsidR="00223796">
          <w:rPr>
            <w:noProof/>
            <w:webHidden/>
          </w:rPr>
          <w:fldChar w:fldCharType="separate"/>
        </w:r>
        <w:r w:rsidRPr="00943677" w:rsidR="00223796">
          <w:rPr>
            <w:noProof/>
            <w:webHidden/>
          </w:rPr>
          <w:t>36</w:t>
        </w:r>
        <w:r w:rsidRPr="00943677" w:rsidR="00223796">
          <w:rPr>
            <w:noProof/>
            <w:webHidden/>
          </w:rPr>
          <w:fldChar w:fldCharType="end"/>
        </w:r>
      </w:hyperlink>
    </w:p>
    <w:p w:rsidR="00943677" w:rsidRPr="00943677" w14:paraId="1A14D3E8" w14:textId="77777777">
      <w:pPr>
        <w:pStyle w:val="TOC2"/>
        <w:tabs>
          <w:tab w:val="left" w:pos="1440"/>
        </w:tabs>
        <w:rPr>
          <w:rFonts w:asciiTheme="minorHAnsi" w:eastAsiaTheme="minorEastAsia" w:hAnsiTheme="minorHAnsi"/>
          <w:noProof/>
          <w:sz w:val="22"/>
        </w:rPr>
      </w:pPr>
      <w:hyperlink w:anchor="_Toc97298212" w:history="1">
        <w:r w:rsidRPr="00943677" w:rsidR="00223796">
          <w:rPr>
            <w:rStyle w:val="Hyperlink"/>
            <w:noProof/>
          </w:rPr>
          <w:t>C.</w:t>
        </w:r>
        <w:r w:rsidRPr="00943677" w:rsidR="00223796">
          <w:rPr>
            <w:rFonts w:asciiTheme="minorHAnsi" w:eastAsiaTheme="minorEastAsia" w:hAnsiTheme="minorHAnsi"/>
            <w:noProof/>
            <w:sz w:val="22"/>
          </w:rPr>
          <w:tab/>
        </w:r>
        <w:r w:rsidRPr="00943677" w:rsidR="00223796">
          <w:rPr>
            <w:rStyle w:val="Hyperlink"/>
            <w:noProof/>
          </w:rPr>
          <w:t>To protect consumers from paying higher rates, the PUCO should reject the PUCO Staff’s and DP&amp;L’s flawed DCF analyses.</w:t>
        </w:r>
        <w:r w:rsidRPr="00943677" w:rsidR="00223796">
          <w:rPr>
            <w:noProof/>
            <w:webHidden/>
          </w:rPr>
          <w:tab/>
        </w:r>
        <w:r w:rsidRPr="00943677" w:rsidR="00223796">
          <w:rPr>
            <w:noProof/>
            <w:webHidden/>
          </w:rPr>
          <w:fldChar w:fldCharType="begin"/>
        </w:r>
        <w:r w:rsidRPr="00943677" w:rsidR="00223796">
          <w:rPr>
            <w:noProof/>
            <w:webHidden/>
          </w:rPr>
          <w:instrText xml:space="preserve"> PAGEREF _Toc97298212 \h </w:instrText>
        </w:r>
        <w:r w:rsidRPr="00943677" w:rsidR="00223796">
          <w:rPr>
            <w:noProof/>
            <w:webHidden/>
          </w:rPr>
          <w:fldChar w:fldCharType="separate"/>
        </w:r>
        <w:r w:rsidRPr="00943677" w:rsidR="00223796">
          <w:rPr>
            <w:noProof/>
            <w:webHidden/>
          </w:rPr>
          <w:t>45</w:t>
        </w:r>
        <w:r w:rsidRPr="00943677" w:rsidR="00223796">
          <w:rPr>
            <w:noProof/>
            <w:webHidden/>
          </w:rPr>
          <w:fldChar w:fldCharType="end"/>
        </w:r>
      </w:hyperlink>
    </w:p>
    <w:p w:rsidR="00943677" w:rsidRPr="00943677" w14:paraId="2C12311E" w14:textId="77777777">
      <w:pPr>
        <w:pStyle w:val="TOC2"/>
        <w:tabs>
          <w:tab w:val="left" w:pos="1440"/>
        </w:tabs>
        <w:rPr>
          <w:rFonts w:asciiTheme="minorHAnsi" w:eastAsiaTheme="minorEastAsia" w:hAnsiTheme="minorHAnsi"/>
          <w:noProof/>
          <w:sz w:val="22"/>
        </w:rPr>
      </w:pPr>
      <w:hyperlink w:anchor="_Toc97298213" w:history="1">
        <w:r w:rsidRPr="00943677" w:rsidR="00223796">
          <w:rPr>
            <w:rStyle w:val="Hyperlink"/>
            <w:noProof/>
          </w:rPr>
          <w:t>D.</w:t>
        </w:r>
        <w:r w:rsidRPr="00943677" w:rsidR="00223796">
          <w:rPr>
            <w:rFonts w:asciiTheme="minorHAnsi" w:eastAsiaTheme="minorEastAsia" w:hAnsiTheme="minorHAnsi"/>
            <w:noProof/>
            <w:sz w:val="22"/>
          </w:rPr>
          <w:tab/>
        </w:r>
        <w:r w:rsidRPr="00943677" w:rsidR="00223796">
          <w:rPr>
            <w:rStyle w:val="Hyperlink"/>
            <w:noProof/>
          </w:rPr>
          <w:t>To protect consumers from paying higher rates, the PUCO should reject the PUCO Staff’s and DP&amp;L’s inappropriate increase to the ROE by allowing an adjustment for equity issuance and other costs.</w:t>
        </w:r>
        <w:r w:rsidRPr="00943677" w:rsidR="00223796">
          <w:rPr>
            <w:noProof/>
            <w:webHidden/>
          </w:rPr>
          <w:tab/>
        </w:r>
        <w:r w:rsidRPr="00943677" w:rsidR="00223796">
          <w:rPr>
            <w:noProof/>
            <w:webHidden/>
          </w:rPr>
          <w:fldChar w:fldCharType="begin"/>
        </w:r>
        <w:r w:rsidRPr="00943677" w:rsidR="00223796">
          <w:rPr>
            <w:noProof/>
            <w:webHidden/>
          </w:rPr>
          <w:instrText xml:space="preserve"> PAGEREF _Toc97298213 \h </w:instrText>
        </w:r>
        <w:r w:rsidRPr="00943677" w:rsidR="00223796">
          <w:rPr>
            <w:noProof/>
            <w:webHidden/>
          </w:rPr>
          <w:fldChar w:fldCharType="separate"/>
        </w:r>
        <w:r w:rsidRPr="00943677" w:rsidR="00223796">
          <w:rPr>
            <w:noProof/>
            <w:webHidden/>
          </w:rPr>
          <w:t>49</w:t>
        </w:r>
        <w:r w:rsidRPr="00943677" w:rsidR="00223796">
          <w:rPr>
            <w:noProof/>
            <w:webHidden/>
          </w:rPr>
          <w:fldChar w:fldCharType="end"/>
        </w:r>
      </w:hyperlink>
    </w:p>
    <w:p w:rsidR="00943677" w:rsidRPr="00943677" w14:paraId="50F30A76" w14:textId="77777777">
      <w:pPr>
        <w:pStyle w:val="TOC2"/>
        <w:tabs>
          <w:tab w:val="left" w:pos="1440"/>
        </w:tabs>
        <w:rPr>
          <w:rFonts w:asciiTheme="minorHAnsi" w:eastAsiaTheme="minorEastAsia" w:hAnsiTheme="minorHAnsi"/>
          <w:noProof/>
          <w:sz w:val="22"/>
        </w:rPr>
      </w:pPr>
      <w:hyperlink w:anchor="_Toc97298214" w:history="1">
        <w:r w:rsidRPr="00943677" w:rsidR="00223796">
          <w:rPr>
            <w:rStyle w:val="Hyperlink"/>
            <w:noProof/>
          </w:rPr>
          <w:t>E.</w:t>
        </w:r>
        <w:r w:rsidRPr="00943677" w:rsidR="00223796">
          <w:rPr>
            <w:rFonts w:asciiTheme="minorHAnsi" w:eastAsiaTheme="minorEastAsia" w:hAnsiTheme="minorHAnsi"/>
            <w:noProof/>
            <w:sz w:val="22"/>
          </w:rPr>
          <w:tab/>
        </w:r>
        <w:r w:rsidRPr="00943677" w:rsidR="00223796">
          <w:rPr>
            <w:rStyle w:val="Hyperlink"/>
            <w:noProof/>
          </w:rPr>
          <w:t>To protect consumers from paying higher rates, the PUCO should reject DP&amp;L’s flotation cost adjustment in its requested return.</w:t>
        </w:r>
        <w:r w:rsidRPr="00943677" w:rsidR="00223796">
          <w:rPr>
            <w:noProof/>
            <w:webHidden/>
          </w:rPr>
          <w:tab/>
        </w:r>
        <w:r w:rsidRPr="00943677" w:rsidR="00223796">
          <w:rPr>
            <w:noProof/>
            <w:webHidden/>
          </w:rPr>
          <w:fldChar w:fldCharType="begin"/>
        </w:r>
        <w:r w:rsidRPr="00943677" w:rsidR="00223796">
          <w:rPr>
            <w:noProof/>
            <w:webHidden/>
          </w:rPr>
          <w:instrText xml:space="preserve"> PAGEREF _Toc97298214 \h </w:instrText>
        </w:r>
        <w:r w:rsidRPr="00943677" w:rsidR="00223796">
          <w:rPr>
            <w:noProof/>
            <w:webHidden/>
          </w:rPr>
          <w:fldChar w:fldCharType="separate"/>
        </w:r>
        <w:r w:rsidRPr="00943677" w:rsidR="00223796">
          <w:rPr>
            <w:noProof/>
            <w:webHidden/>
          </w:rPr>
          <w:t>55</w:t>
        </w:r>
        <w:r w:rsidRPr="00943677" w:rsidR="00223796">
          <w:rPr>
            <w:noProof/>
            <w:webHidden/>
          </w:rPr>
          <w:fldChar w:fldCharType="end"/>
        </w:r>
      </w:hyperlink>
    </w:p>
    <w:p w:rsidR="00943677" w:rsidRPr="00943677" w14:paraId="16E54469" w14:textId="77777777">
      <w:pPr>
        <w:pStyle w:val="TOC2"/>
        <w:tabs>
          <w:tab w:val="left" w:pos="1440"/>
        </w:tabs>
        <w:rPr>
          <w:rFonts w:asciiTheme="minorHAnsi" w:eastAsiaTheme="minorEastAsia" w:hAnsiTheme="minorHAnsi"/>
          <w:noProof/>
          <w:sz w:val="22"/>
        </w:rPr>
      </w:pPr>
      <w:hyperlink w:anchor="_Toc97298215" w:history="1">
        <w:r w:rsidRPr="00943677" w:rsidR="00223796">
          <w:rPr>
            <w:rStyle w:val="Hyperlink"/>
            <w:noProof/>
          </w:rPr>
          <w:t>F.</w:t>
        </w:r>
        <w:r w:rsidRPr="00943677" w:rsidR="00223796">
          <w:rPr>
            <w:rFonts w:asciiTheme="minorHAnsi" w:eastAsiaTheme="minorEastAsia" w:hAnsiTheme="minorHAnsi"/>
            <w:noProof/>
            <w:sz w:val="22"/>
          </w:rPr>
          <w:tab/>
        </w:r>
        <w:r w:rsidRPr="00943677" w:rsidR="00223796">
          <w:rPr>
            <w:rStyle w:val="Hyperlink"/>
            <w:noProof/>
          </w:rPr>
          <w:t xml:space="preserve">To protect consumers from paying higher rates, an expected earnings analysis is not a reasonable method for estimating a fair ROE for </w:t>
        </w:r>
        <w:r w:rsidRPr="00943677" w:rsidR="00223796">
          <w:rPr>
            <w:rStyle w:val="Hyperlink"/>
            <w:noProof/>
          </w:rPr>
          <w:br/>
          <w:t>DP&amp;L.</w:t>
        </w:r>
        <w:r w:rsidRPr="00943677" w:rsidR="00223796">
          <w:rPr>
            <w:noProof/>
            <w:webHidden/>
          </w:rPr>
          <w:tab/>
        </w:r>
        <w:r w:rsidRPr="00943677" w:rsidR="00223796">
          <w:rPr>
            <w:noProof/>
            <w:webHidden/>
          </w:rPr>
          <w:fldChar w:fldCharType="begin"/>
        </w:r>
        <w:r w:rsidRPr="00943677" w:rsidR="00223796">
          <w:rPr>
            <w:noProof/>
            <w:webHidden/>
          </w:rPr>
          <w:instrText xml:space="preserve"> PAGEREF _Toc97298215 \h </w:instrText>
        </w:r>
        <w:r w:rsidRPr="00943677" w:rsidR="00223796">
          <w:rPr>
            <w:noProof/>
            <w:webHidden/>
          </w:rPr>
          <w:fldChar w:fldCharType="separate"/>
        </w:r>
        <w:r w:rsidRPr="00943677" w:rsidR="00223796">
          <w:rPr>
            <w:noProof/>
            <w:webHidden/>
          </w:rPr>
          <w:t>56</w:t>
        </w:r>
        <w:r w:rsidRPr="00943677" w:rsidR="00223796">
          <w:rPr>
            <w:noProof/>
            <w:webHidden/>
          </w:rPr>
          <w:fldChar w:fldCharType="end"/>
        </w:r>
      </w:hyperlink>
    </w:p>
    <w:p w:rsidR="00943677" w:rsidRPr="00943677" w14:paraId="747E2710" w14:textId="77777777">
      <w:pPr>
        <w:pStyle w:val="TOC2"/>
        <w:tabs>
          <w:tab w:val="left" w:pos="1440"/>
        </w:tabs>
        <w:rPr>
          <w:rFonts w:asciiTheme="minorHAnsi" w:eastAsiaTheme="minorEastAsia" w:hAnsiTheme="minorHAnsi"/>
          <w:noProof/>
          <w:sz w:val="22"/>
        </w:rPr>
      </w:pPr>
      <w:hyperlink w:anchor="_Toc97298216" w:history="1">
        <w:r w:rsidRPr="00943677" w:rsidR="00223796">
          <w:rPr>
            <w:rStyle w:val="Hyperlink"/>
            <w:noProof/>
          </w:rPr>
          <w:t>G.</w:t>
        </w:r>
        <w:r w:rsidRPr="00943677" w:rsidR="00223796">
          <w:rPr>
            <w:rFonts w:asciiTheme="minorHAnsi" w:eastAsiaTheme="minorEastAsia" w:hAnsiTheme="minorHAnsi"/>
            <w:noProof/>
            <w:sz w:val="22"/>
          </w:rPr>
          <w:tab/>
        </w:r>
        <w:r w:rsidRPr="00943677" w:rsidR="00223796">
          <w:rPr>
            <w:rStyle w:val="Hyperlink"/>
            <w:noProof/>
          </w:rPr>
          <w:t>To protect consumers from paying higher rates, the PUCO should reject DP&amp;L’s utility equity risk premium.</w:t>
        </w:r>
        <w:r w:rsidRPr="00943677" w:rsidR="00223796">
          <w:rPr>
            <w:noProof/>
            <w:webHidden/>
          </w:rPr>
          <w:tab/>
        </w:r>
        <w:r w:rsidRPr="00943677" w:rsidR="00223796">
          <w:rPr>
            <w:noProof/>
            <w:webHidden/>
          </w:rPr>
          <w:fldChar w:fldCharType="begin"/>
        </w:r>
        <w:r w:rsidRPr="00943677" w:rsidR="00223796">
          <w:rPr>
            <w:noProof/>
            <w:webHidden/>
          </w:rPr>
          <w:instrText xml:space="preserve"> PAGEREF _Toc97298216 \h </w:instrText>
        </w:r>
        <w:r w:rsidRPr="00943677" w:rsidR="00223796">
          <w:rPr>
            <w:noProof/>
            <w:webHidden/>
          </w:rPr>
          <w:fldChar w:fldCharType="separate"/>
        </w:r>
        <w:r w:rsidRPr="00943677" w:rsidR="00223796">
          <w:rPr>
            <w:noProof/>
            <w:webHidden/>
          </w:rPr>
          <w:t>61</w:t>
        </w:r>
        <w:r w:rsidRPr="00943677" w:rsidR="00223796">
          <w:rPr>
            <w:noProof/>
            <w:webHidden/>
          </w:rPr>
          <w:fldChar w:fldCharType="end"/>
        </w:r>
      </w:hyperlink>
    </w:p>
    <w:p w:rsidR="00943677" w:rsidRPr="00943677" w14:paraId="26AD967D" w14:textId="77777777">
      <w:pPr>
        <w:pStyle w:val="TOC2"/>
        <w:tabs>
          <w:tab w:val="left" w:pos="1440"/>
        </w:tabs>
        <w:rPr>
          <w:rFonts w:asciiTheme="minorHAnsi" w:eastAsiaTheme="minorEastAsia" w:hAnsiTheme="minorHAnsi"/>
          <w:noProof/>
          <w:sz w:val="22"/>
        </w:rPr>
      </w:pPr>
      <w:hyperlink w:anchor="_Toc97298217" w:history="1">
        <w:r w:rsidRPr="00943677" w:rsidR="00223796">
          <w:rPr>
            <w:rStyle w:val="Hyperlink"/>
            <w:noProof/>
          </w:rPr>
          <w:t>H.</w:t>
        </w:r>
        <w:r w:rsidRPr="00943677" w:rsidR="00223796">
          <w:rPr>
            <w:rFonts w:asciiTheme="minorHAnsi" w:eastAsiaTheme="minorEastAsia" w:hAnsiTheme="minorHAnsi"/>
            <w:noProof/>
            <w:sz w:val="22"/>
          </w:rPr>
          <w:tab/>
        </w:r>
        <w:r w:rsidRPr="00943677" w:rsidR="00223796">
          <w:rPr>
            <w:rStyle w:val="Hyperlink"/>
            <w:noProof/>
          </w:rPr>
          <w:t xml:space="preserve">To protect consumers from paying higher rates, the PUCO should reject the PUCO Staff’s recommended rate of return range of 7.05% to 7.59% because it is too high and would result in unjust and unreasonable rates </w:t>
        </w:r>
        <w:r w:rsidRPr="00943677" w:rsidR="00223796">
          <w:rPr>
            <w:rStyle w:val="Hyperlink"/>
            <w:noProof/>
          </w:rPr>
          <w:br/>
          <w:t>for consumers.</w:t>
        </w:r>
        <w:r w:rsidRPr="00943677" w:rsidR="00223796">
          <w:rPr>
            <w:noProof/>
            <w:webHidden/>
          </w:rPr>
          <w:tab/>
        </w:r>
        <w:r w:rsidRPr="00943677" w:rsidR="00223796">
          <w:rPr>
            <w:noProof/>
            <w:webHidden/>
          </w:rPr>
          <w:fldChar w:fldCharType="begin"/>
        </w:r>
        <w:r w:rsidRPr="00943677" w:rsidR="00223796">
          <w:rPr>
            <w:noProof/>
            <w:webHidden/>
          </w:rPr>
          <w:instrText xml:space="preserve"> PAGEREF _Toc97298217 \h </w:instrText>
        </w:r>
        <w:r w:rsidRPr="00943677" w:rsidR="00223796">
          <w:rPr>
            <w:noProof/>
            <w:webHidden/>
          </w:rPr>
          <w:fldChar w:fldCharType="separate"/>
        </w:r>
        <w:r w:rsidRPr="00943677" w:rsidR="00223796">
          <w:rPr>
            <w:noProof/>
            <w:webHidden/>
          </w:rPr>
          <w:t>62</w:t>
        </w:r>
        <w:r w:rsidRPr="00943677" w:rsidR="00223796">
          <w:rPr>
            <w:noProof/>
            <w:webHidden/>
          </w:rPr>
          <w:fldChar w:fldCharType="end"/>
        </w:r>
      </w:hyperlink>
    </w:p>
    <w:p w:rsidR="00943677" w:rsidRPr="00943677" w14:paraId="6C72EEAF" w14:textId="77777777">
      <w:pPr>
        <w:pStyle w:val="TOC1"/>
        <w:rPr>
          <w:rFonts w:asciiTheme="minorHAnsi" w:eastAsiaTheme="minorEastAsia" w:hAnsiTheme="minorHAnsi"/>
          <w:noProof/>
          <w:sz w:val="22"/>
        </w:rPr>
      </w:pPr>
      <w:hyperlink w:anchor="_Toc97298218" w:history="1">
        <w:r w:rsidRPr="00943677" w:rsidR="00223796">
          <w:rPr>
            <w:rStyle w:val="Hyperlink"/>
            <w:noProof/>
          </w:rPr>
          <w:t>VIII.</w:t>
        </w:r>
        <w:r w:rsidRPr="00943677" w:rsidR="00223796">
          <w:rPr>
            <w:rFonts w:asciiTheme="minorHAnsi" w:eastAsiaTheme="minorEastAsia" w:hAnsiTheme="minorHAnsi"/>
            <w:noProof/>
            <w:sz w:val="22"/>
          </w:rPr>
          <w:tab/>
        </w:r>
        <w:r w:rsidRPr="00943677" w:rsidR="00223796">
          <w:rPr>
            <w:rStyle w:val="Hyperlink"/>
            <w:noProof/>
          </w:rPr>
          <w:t>OCC’s RECOMMENDED CHANGES TO DP&amp;L’s RATES AND TARIFFS</w:t>
        </w:r>
        <w:r w:rsidRPr="00943677" w:rsidR="00223796">
          <w:rPr>
            <w:noProof/>
            <w:webHidden/>
          </w:rPr>
          <w:tab/>
        </w:r>
        <w:r w:rsidRPr="00943677" w:rsidR="00223796">
          <w:rPr>
            <w:noProof/>
            <w:webHidden/>
          </w:rPr>
          <w:fldChar w:fldCharType="begin"/>
        </w:r>
        <w:r w:rsidRPr="00943677" w:rsidR="00223796">
          <w:rPr>
            <w:noProof/>
            <w:webHidden/>
          </w:rPr>
          <w:instrText xml:space="preserve"> PAGEREF _Toc97298218 \h </w:instrText>
        </w:r>
        <w:r w:rsidRPr="00943677" w:rsidR="00223796">
          <w:rPr>
            <w:noProof/>
            <w:webHidden/>
          </w:rPr>
          <w:fldChar w:fldCharType="separate"/>
        </w:r>
        <w:r w:rsidRPr="00943677" w:rsidR="00223796">
          <w:rPr>
            <w:noProof/>
            <w:webHidden/>
          </w:rPr>
          <w:t>63</w:t>
        </w:r>
        <w:r w:rsidRPr="00943677" w:rsidR="00223796">
          <w:rPr>
            <w:noProof/>
            <w:webHidden/>
          </w:rPr>
          <w:fldChar w:fldCharType="end"/>
        </w:r>
      </w:hyperlink>
    </w:p>
    <w:p w:rsidR="00943677" w:rsidRPr="00943677" w14:paraId="103B8F09" w14:textId="77777777">
      <w:pPr>
        <w:pStyle w:val="TOC2"/>
        <w:tabs>
          <w:tab w:val="left" w:pos="1440"/>
        </w:tabs>
        <w:rPr>
          <w:rFonts w:asciiTheme="minorHAnsi" w:eastAsiaTheme="minorEastAsia" w:hAnsiTheme="minorHAnsi"/>
          <w:noProof/>
          <w:sz w:val="22"/>
        </w:rPr>
      </w:pPr>
      <w:hyperlink w:anchor="_Toc97298219" w:history="1">
        <w:r w:rsidRPr="00943677" w:rsidR="00223796">
          <w:rPr>
            <w:rStyle w:val="Hyperlink"/>
            <w:noProof/>
          </w:rPr>
          <w:t>A.</w:t>
        </w:r>
        <w:r w:rsidRPr="00943677" w:rsidR="00223796">
          <w:rPr>
            <w:rFonts w:asciiTheme="minorHAnsi" w:eastAsiaTheme="minorEastAsia" w:hAnsiTheme="minorHAnsi"/>
            <w:noProof/>
            <w:sz w:val="22"/>
          </w:rPr>
          <w:tab/>
        </w:r>
        <w:r w:rsidRPr="00943677" w:rsidR="00223796">
          <w:rPr>
            <w:rStyle w:val="Hyperlink"/>
            <w:noProof/>
          </w:rPr>
          <w:t xml:space="preserve">To protect consumers from paying higher rates that are unjust and unreasonable, the PUCO should reject the PUCO Staff’s recommendation to allocate 66.70% of base distribution charges to residential </w:t>
        </w:r>
        <w:r w:rsidRPr="00943677" w:rsidR="00223796">
          <w:rPr>
            <w:rStyle w:val="Hyperlink"/>
            <w:noProof/>
          </w:rPr>
          <w:br/>
          <w:t>consumers.</w:t>
        </w:r>
        <w:r w:rsidRPr="00943677" w:rsidR="00223796">
          <w:rPr>
            <w:noProof/>
            <w:webHidden/>
          </w:rPr>
          <w:tab/>
        </w:r>
        <w:r w:rsidRPr="00943677" w:rsidR="00223796">
          <w:rPr>
            <w:noProof/>
            <w:webHidden/>
          </w:rPr>
          <w:fldChar w:fldCharType="begin"/>
        </w:r>
        <w:r w:rsidRPr="00943677" w:rsidR="00223796">
          <w:rPr>
            <w:noProof/>
            <w:webHidden/>
          </w:rPr>
          <w:instrText xml:space="preserve"> PAGEREF _Toc97298219 \h </w:instrText>
        </w:r>
        <w:r w:rsidRPr="00943677" w:rsidR="00223796">
          <w:rPr>
            <w:noProof/>
            <w:webHidden/>
          </w:rPr>
          <w:fldChar w:fldCharType="separate"/>
        </w:r>
        <w:r w:rsidRPr="00943677" w:rsidR="00223796">
          <w:rPr>
            <w:noProof/>
            <w:webHidden/>
          </w:rPr>
          <w:t>63</w:t>
        </w:r>
        <w:r w:rsidRPr="00943677" w:rsidR="00223796">
          <w:rPr>
            <w:noProof/>
            <w:webHidden/>
          </w:rPr>
          <w:fldChar w:fldCharType="end"/>
        </w:r>
      </w:hyperlink>
    </w:p>
    <w:p w:rsidR="00943677" w:rsidRPr="00943677" w14:paraId="57EB0FA1" w14:textId="77777777">
      <w:pPr>
        <w:pStyle w:val="TOC2"/>
        <w:tabs>
          <w:tab w:val="left" w:pos="1440"/>
        </w:tabs>
        <w:rPr>
          <w:rFonts w:asciiTheme="minorHAnsi" w:eastAsiaTheme="minorEastAsia" w:hAnsiTheme="minorHAnsi"/>
          <w:noProof/>
          <w:sz w:val="22"/>
        </w:rPr>
      </w:pPr>
      <w:hyperlink w:anchor="_Toc97298220" w:history="1">
        <w:r w:rsidRPr="00943677" w:rsidR="00223796">
          <w:rPr>
            <w:rStyle w:val="Hyperlink"/>
            <w:noProof/>
          </w:rPr>
          <w:t>B.</w:t>
        </w:r>
        <w:r w:rsidRPr="00943677" w:rsidR="00223796">
          <w:rPr>
            <w:rFonts w:asciiTheme="minorHAnsi" w:eastAsiaTheme="minorEastAsia" w:hAnsiTheme="minorHAnsi"/>
            <w:noProof/>
            <w:sz w:val="22"/>
          </w:rPr>
          <w:tab/>
        </w:r>
        <w:r w:rsidRPr="00943677" w:rsidR="00223796">
          <w:rPr>
            <w:rStyle w:val="Hyperlink"/>
            <w:noProof/>
          </w:rPr>
          <w:t xml:space="preserve">To protect consumers from paying higher rates that are unjust and unreasonable, the PUCO should reject the PUCO Staff’s too high recommended customer charge of $9.75 because it includes charges for line transformers, uses an unreasonably high carrying cost of 26.35%, </w:t>
        </w:r>
        <w:r w:rsidRPr="00943677" w:rsidR="00223796">
          <w:rPr>
            <w:rStyle w:val="Hyperlink"/>
            <w:noProof/>
          </w:rPr>
          <w:br/>
          <w:t>and violates the regulatory principle of gradualism. A more reasonable customer charge would be no greater than $8.25.</w:t>
        </w:r>
        <w:r w:rsidRPr="00943677" w:rsidR="00223796">
          <w:rPr>
            <w:noProof/>
            <w:webHidden/>
          </w:rPr>
          <w:tab/>
        </w:r>
        <w:r w:rsidRPr="00943677" w:rsidR="00223796">
          <w:rPr>
            <w:noProof/>
            <w:webHidden/>
          </w:rPr>
          <w:fldChar w:fldCharType="begin"/>
        </w:r>
        <w:r w:rsidRPr="00943677" w:rsidR="00223796">
          <w:rPr>
            <w:noProof/>
            <w:webHidden/>
          </w:rPr>
          <w:instrText xml:space="preserve"> PAGEREF _Toc97298220 \h </w:instrText>
        </w:r>
        <w:r w:rsidRPr="00943677" w:rsidR="00223796">
          <w:rPr>
            <w:noProof/>
            <w:webHidden/>
          </w:rPr>
          <w:fldChar w:fldCharType="separate"/>
        </w:r>
        <w:r w:rsidRPr="00943677" w:rsidR="00223796">
          <w:rPr>
            <w:noProof/>
            <w:webHidden/>
          </w:rPr>
          <w:t>66</w:t>
        </w:r>
        <w:r w:rsidRPr="00943677" w:rsidR="00223796">
          <w:rPr>
            <w:noProof/>
            <w:webHidden/>
          </w:rPr>
          <w:fldChar w:fldCharType="end"/>
        </w:r>
      </w:hyperlink>
    </w:p>
    <w:p w:rsidR="00943677" w:rsidRPr="00943677" w14:paraId="6FC378A4" w14:textId="77777777">
      <w:pPr>
        <w:pStyle w:val="TOC1"/>
        <w:rPr>
          <w:rFonts w:asciiTheme="minorHAnsi" w:eastAsiaTheme="minorEastAsia" w:hAnsiTheme="minorHAnsi"/>
          <w:noProof/>
          <w:sz w:val="22"/>
        </w:rPr>
      </w:pPr>
      <w:hyperlink w:anchor="_Toc97298221" w:history="1">
        <w:r w:rsidRPr="00943677" w:rsidR="00223796">
          <w:rPr>
            <w:rStyle w:val="Hyperlink"/>
            <w:rFonts w:cs="Times New Roman"/>
            <w:noProof/>
          </w:rPr>
          <w:t>IX.</w:t>
        </w:r>
        <w:r w:rsidRPr="00943677" w:rsidR="00223796">
          <w:rPr>
            <w:rFonts w:asciiTheme="minorHAnsi" w:eastAsiaTheme="minorEastAsia" w:hAnsiTheme="minorHAnsi"/>
            <w:noProof/>
            <w:sz w:val="22"/>
          </w:rPr>
          <w:tab/>
        </w:r>
        <w:r w:rsidRPr="00943677" w:rsidR="00223796">
          <w:rPr>
            <w:rStyle w:val="Hyperlink"/>
            <w:rFonts w:cs="Times New Roman"/>
            <w:noProof/>
          </w:rPr>
          <w:t>OCC’s RECOMMENDATIONS TO SERVICE MONITORING AND ENFORCEMENT</w:t>
        </w:r>
        <w:r w:rsidRPr="00943677" w:rsidR="00223796">
          <w:rPr>
            <w:noProof/>
            <w:webHidden/>
          </w:rPr>
          <w:tab/>
        </w:r>
        <w:r w:rsidRPr="00943677" w:rsidR="00223796">
          <w:rPr>
            <w:noProof/>
            <w:webHidden/>
          </w:rPr>
          <w:fldChar w:fldCharType="begin"/>
        </w:r>
        <w:r w:rsidRPr="00943677" w:rsidR="00223796">
          <w:rPr>
            <w:noProof/>
            <w:webHidden/>
          </w:rPr>
          <w:instrText xml:space="preserve"> PAGEREF _Toc97298221 \h </w:instrText>
        </w:r>
        <w:r w:rsidRPr="00943677" w:rsidR="00223796">
          <w:rPr>
            <w:noProof/>
            <w:webHidden/>
          </w:rPr>
          <w:fldChar w:fldCharType="separate"/>
        </w:r>
        <w:r w:rsidRPr="00943677" w:rsidR="00223796">
          <w:rPr>
            <w:noProof/>
            <w:webHidden/>
          </w:rPr>
          <w:t>69</w:t>
        </w:r>
        <w:r w:rsidRPr="00943677" w:rsidR="00223796">
          <w:rPr>
            <w:noProof/>
            <w:webHidden/>
          </w:rPr>
          <w:fldChar w:fldCharType="end"/>
        </w:r>
      </w:hyperlink>
    </w:p>
    <w:p w:rsidR="00943677" w:rsidRPr="00943677" w14:paraId="38F80DA9" w14:textId="77777777">
      <w:pPr>
        <w:pStyle w:val="TOC2"/>
        <w:tabs>
          <w:tab w:val="left" w:pos="1440"/>
        </w:tabs>
        <w:rPr>
          <w:rFonts w:asciiTheme="minorHAnsi" w:eastAsiaTheme="minorEastAsia" w:hAnsiTheme="minorHAnsi"/>
          <w:noProof/>
          <w:sz w:val="22"/>
        </w:rPr>
      </w:pPr>
      <w:hyperlink w:anchor="_Toc97298222" w:history="1">
        <w:r w:rsidRPr="00943677" w:rsidR="00223796">
          <w:rPr>
            <w:rStyle w:val="Hyperlink"/>
            <w:noProof/>
          </w:rPr>
          <w:t>A.</w:t>
        </w:r>
        <w:r w:rsidRPr="00943677" w:rsidR="00223796">
          <w:rPr>
            <w:rFonts w:asciiTheme="minorHAnsi" w:eastAsiaTheme="minorEastAsia" w:hAnsiTheme="minorHAnsi"/>
            <w:noProof/>
            <w:sz w:val="22"/>
          </w:rPr>
          <w:tab/>
        </w:r>
        <w:r w:rsidRPr="00943677" w:rsidR="00223796">
          <w:rPr>
            <w:rStyle w:val="Hyperlink"/>
            <w:noProof/>
          </w:rPr>
          <w:t>To protect consumers from inadequate service quality, the PUCO should apply financial penalties for DP&amp;L’s failure to comply with the minimum PUCO distribution reliability standards in 2019 and 2020 enumerated in O.A.C. 4901:1-10-10(E).</w:t>
        </w:r>
        <w:r w:rsidRPr="00943677" w:rsidR="00223796">
          <w:rPr>
            <w:noProof/>
            <w:webHidden/>
          </w:rPr>
          <w:tab/>
        </w:r>
        <w:r w:rsidRPr="00943677" w:rsidR="00223796">
          <w:rPr>
            <w:noProof/>
            <w:webHidden/>
          </w:rPr>
          <w:fldChar w:fldCharType="begin"/>
        </w:r>
        <w:r w:rsidRPr="00943677" w:rsidR="00223796">
          <w:rPr>
            <w:noProof/>
            <w:webHidden/>
          </w:rPr>
          <w:instrText xml:space="preserve"> PAGEREF _Toc97298222 \h </w:instrText>
        </w:r>
        <w:r w:rsidRPr="00943677" w:rsidR="00223796">
          <w:rPr>
            <w:noProof/>
            <w:webHidden/>
          </w:rPr>
          <w:fldChar w:fldCharType="separate"/>
        </w:r>
        <w:r w:rsidRPr="00943677" w:rsidR="00223796">
          <w:rPr>
            <w:noProof/>
            <w:webHidden/>
          </w:rPr>
          <w:t>69</w:t>
        </w:r>
        <w:r w:rsidRPr="00943677" w:rsidR="00223796">
          <w:rPr>
            <w:noProof/>
            <w:webHidden/>
          </w:rPr>
          <w:fldChar w:fldCharType="end"/>
        </w:r>
      </w:hyperlink>
    </w:p>
    <w:p w:rsidR="00943677" w:rsidRPr="00943677" w14:paraId="1F30DD65" w14:textId="77777777">
      <w:pPr>
        <w:pStyle w:val="TOC1"/>
        <w:rPr>
          <w:rFonts w:asciiTheme="minorHAnsi" w:eastAsiaTheme="minorEastAsia" w:hAnsiTheme="minorHAnsi"/>
          <w:noProof/>
          <w:sz w:val="22"/>
        </w:rPr>
      </w:pPr>
      <w:hyperlink w:anchor="_Toc97298223" w:history="1">
        <w:r w:rsidRPr="00943677" w:rsidR="00223796">
          <w:rPr>
            <w:rStyle w:val="Hyperlink"/>
            <w:rFonts w:cs="Times New Roman"/>
            <w:noProof/>
          </w:rPr>
          <w:t>X.</w:t>
        </w:r>
        <w:r w:rsidRPr="00943677" w:rsidR="00223796">
          <w:rPr>
            <w:rFonts w:asciiTheme="minorHAnsi" w:eastAsiaTheme="minorEastAsia" w:hAnsiTheme="minorHAnsi"/>
            <w:noProof/>
            <w:sz w:val="22"/>
          </w:rPr>
          <w:tab/>
        </w:r>
        <w:r w:rsidRPr="00943677" w:rsidR="00223796">
          <w:rPr>
            <w:rStyle w:val="Hyperlink"/>
            <w:rFonts w:cs="Times New Roman"/>
            <w:noProof/>
          </w:rPr>
          <w:t>SUMMARY OF OCC’S RECOMMENDED ADJUSTMENTS</w:t>
        </w:r>
        <w:r w:rsidRPr="00943677" w:rsidR="00223796">
          <w:rPr>
            <w:noProof/>
            <w:webHidden/>
          </w:rPr>
          <w:tab/>
        </w:r>
        <w:r w:rsidRPr="00943677" w:rsidR="00223796">
          <w:rPr>
            <w:noProof/>
            <w:webHidden/>
          </w:rPr>
          <w:fldChar w:fldCharType="begin"/>
        </w:r>
        <w:r w:rsidRPr="00943677" w:rsidR="00223796">
          <w:rPr>
            <w:noProof/>
            <w:webHidden/>
          </w:rPr>
          <w:instrText xml:space="preserve"> PAGEREF _Toc97298223 \h </w:instrText>
        </w:r>
        <w:r w:rsidRPr="00943677" w:rsidR="00223796">
          <w:rPr>
            <w:noProof/>
            <w:webHidden/>
          </w:rPr>
          <w:fldChar w:fldCharType="separate"/>
        </w:r>
        <w:r w:rsidRPr="00943677" w:rsidR="00223796">
          <w:rPr>
            <w:noProof/>
            <w:webHidden/>
          </w:rPr>
          <w:t>74</w:t>
        </w:r>
        <w:r w:rsidRPr="00943677" w:rsidR="00223796">
          <w:rPr>
            <w:noProof/>
            <w:webHidden/>
          </w:rPr>
          <w:fldChar w:fldCharType="end"/>
        </w:r>
      </w:hyperlink>
    </w:p>
    <w:p w:rsidR="00943677" w:rsidRPr="00943677" w14:paraId="30AA2CBB" w14:textId="77777777">
      <w:pPr>
        <w:pStyle w:val="TOC1"/>
        <w:rPr>
          <w:rFonts w:asciiTheme="minorHAnsi" w:eastAsiaTheme="minorEastAsia" w:hAnsiTheme="minorHAnsi"/>
          <w:noProof/>
          <w:sz w:val="22"/>
        </w:rPr>
      </w:pPr>
      <w:hyperlink w:anchor="_Toc97298224" w:history="1">
        <w:r w:rsidRPr="00943677" w:rsidR="00223796">
          <w:rPr>
            <w:rStyle w:val="Hyperlink"/>
            <w:noProof/>
          </w:rPr>
          <w:t>XI.</w:t>
        </w:r>
        <w:r w:rsidRPr="00943677" w:rsidR="00223796">
          <w:rPr>
            <w:rFonts w:asciiTheme="minorHAnsi" w:eastAsiaTheme="minorEastAsia" w:hAnsiTheme="minorHAnsi"/>
            <w:noProof/>
            <w:sz w:val="22"/>
          </w:rPr>
          <w:tab/>
        </w:r>
        <w:r w:rsidRPr="00943677" w:rsidR="00223796">
          <w:rPr>
            <w:rStyle w:val="Hyperlink"/>
            <w:noProof/>
          </w:rPr>
          <w:t>CONCLUSION</w:t>
        </w:r>
        <w:r w:rsidRPr="00943677" w:rsidR="00223796">
          <w:rPr>
            <w:noProof/>
            <w:webHidden/>
          </w:rPr>
          <w:tab/>
        </w:r>
        <w:r w:rsidRPr="00943677" w:rsidR="00223796">
          <w:rPr>
            <w:noProof/>
            <w:webHidden/>
          </w:rPr>
          <w:fldChar w:fldCharType="begin"/>
        </w:r>
        <w:r w:rsidRPr="00943677" w:rsidR="00223796">
          <w:rPr>
            <w:noProof/>
            <w:webHidden/>
          </w:rPr>
          <w:instrText xml:space="preserve"> PAGEREF _Toc97298224 \h </w:instrText>
        </w:r>
        <w:r w:rsidRPr="00943677" w:rsidR="00223796">
          <w:rPr>
            <w:noProof/>
            <w:webHidden/>
          </w:rPr>
          <w:fldChar w:fldCharType="separate"/>
        </w:r>
        <w:r w:rsidRPr="00943677" w:rsidR="00223796">
          <w:rPr>
            <w:noProof/>
            <w:webHidden/>
          </w:rPr>
          <w:t>75</w:t>
        </w:r>
        <w:r w:rsidRPr="00943677" w:rsidR="00223796">
          <w:rPr>
            <w:noProof/>
            <w:webHidden/>
          </w:rPr>
          <w:fldChar w:fldCharType="end"/>
        </w:r>
      </w:hyperlink>
    </w:p>
    <w:p w:rsidR="00F01A92" w:rsidRPr="00423400" w:rsidP="0012105E" w14:paraId="0B82CEE3" w14:textId="77777777">
      <w:pPr>
        <w:pStyle w:val="HTMLPreformatted"/>
        <w:jc w:val="right"/>
        <w:rPr>
          <w:rFonts w:ascii="Times New Roman" w:hAnsi="Times New Roman" w:eastAsiaTheme="minorEastAsia" w:cs="Times New Roman"/>
          <w:noProof/>
          <w:sz w:val="24"/>
          <w:szCs w:val="24"/>
        </w:rPr>
      </w:pPr>
      <w:r w:rsidRPr="00943677">
        <w:rPr>
          <w:rFonts w:ascii="Times New Roman" w:hAnsi="Times New Roman" w:cs="Times New Roman"/>
          <w:sz w:val="24"/>
          <w:szCs w:val="24"/>
        </w:rPr>
        <w:fldChar w:fldCharType="end"/>
      </w:r>
      <w:r w:rsidRPr="00423400">
        <w:rPr>
          <w:rFonts w:eastAsiaTheme="minorHAnsi" w:cs="Times New Roman"/>
          <w:b/>
          <w:bCs/>
          <w:szCs w:val="24"/>
        </w:rPr>
        <w:fldChar w:fldCharType="begin"/>
      </w:r>
      <w:r w:rsidRPr="00423400" w:rsidR="001713D4">
        <w:rPr>
          <w:rFonts w:cs="Times New Roman"/>
          <w:b/>
          <w:bCs/>
          <w:szCs w:val="24"/>
        </w:rPr>
        <w:instrText xml:space="preserve"> TOC \o "1-3" \h \z \u </w:instrText>
      </w:r>
      <w:r w:rsidRPr="00423400">
        <w:rPr>
          <w:rFonts w:eastAsiaTheme="minorHAnsi" w:cs="Times New Roman"/>
          <w:b/>
          <w:bCs/>
          <w:szCs w:val="24"/>
        </w:rPr>
        <w:fldChar w:fldCharType="separate"/>
      </w:r>
    </w:p>
    <w:p w:rsidR="001713D4" w:rsidRPr="00423400" w14:paraId="3447A2D9" w14:textId="77777777">
      <w:pPr>
        <w:pStyle w:val="TOC3"/>
        <w:tabs>
          <w:tab w:val="left" w:pos="2160"/>
        </w:tabs>
        <w:rPr>
          <w:rFonts w:eastAsiaTheme="minorEastAsia" w:cs="Times New Roman"/>
          <w:noProof/>
          <w:szCs w:val="24"/>
        </w:rPr>
      </w:pPr>
    </w:p>
    <w:p w:rsidR="00F33489" w:rsidRPr="00423400" w:rsidP="00F33489" w14:paraId="3B3F2424" w14:textId="77777777">
      <w:pPr>
        <w:pStyle w:val="HTMLPreformatted"/>
        <w:jc w:val="right"/>
        <w:rPr>
          <w:rFonts w:ascii="Times New Roman" w:hAnsi="Times New Roman" w:cs="Times New Roman"/>
          <w:b/>
          <w:bCs/>
          <w:sz w:val="24"/>
          <w:szCs w:val="24"/>
        </w:rPr>
      </w:pPr>
      <w:r w:rsidRPr="00423400">
        <w:rPr>
          <w:rFonts w:ascii="Times New Roman" w:hAnsi="Times New Roman" w:cs="Times New Roman"/>
          <w:b/>
          <w:bCs/>
          <w:sz w:val="24"/>
          <w:szCs w:val="24"/>
        </w:rPr>
        <w:fldChar w:fldCharType="end"/>
      </w:r>
    </w:p>
    <w:p w:rsidR="00F33489" w:rsidRPr="00423400" w:rsidP="00F33489" w14:paraId="005A5399" w14:textId="77777777">
      <w:pPr>
        <w:pStyle w:val="HTMLPreformatted"/>
        <w:jc w:val="right"/>
        <w:rPr>
          <w:rFonts w:ascii="Times New Roman" w:hAnsi="Times New Roman" w:cs="Times New Roman"/>
          <w:b/>
          <w:bCs/>
          <w:sz w:val="24"/>
          <w:szCs w:val="24"/>
        </w:rPr>
      </w:pPr>
    </w:p>
    <w:p w:rsidR="00F33489" w:rsidRPr="00423400" w:rsidP="00F33489" w14:paraId="2445B1E2" w14:textId="77777777">
      <w:pPr>
        <w:pStyle w:val="HTMLPreformatted"/>
        <w:jc w:val="right"/>
        <w:rPr>
          <w:rFonts w:ascii="Times New Roman" w:hAnsi="Times New Roman" w:cs="Times New Roman"/>
          <w:b/>
          <w:bCs/>
          <w:sz w:val="24"/>
          <w:szCs w:val="24"/>
        </w:rPr>
      </w:pPr>
    </w:p>
    <w:p w:rsidR="00F33489" w:rsidRPr="00423400" w:rsidP="00F33489" w14:paraId="20C5DF68" w14:textId="77777777">
      <w:pPr>
        <w:pStyle w:val="HTMLPreformatted"/>
        <w:jc w:val="right"/>
        <w:rPr>
          <w:rFonts w:ascii="Times New Roman" w:hAnsi="Times New Roman" w:cs="Times New Roman"/>
          <w:b/>
          <w:bCs/>
          <w:sz w:val="24"/>
          <w:szCs w:val="24"/>
        </w:rPr>
        <w:sectPr w:rsidSect="00111344">
          <w:footerReference w:type="default" r:id="rId14"/>
          <w:pgSz w:w="12240" w:h="15840"/>
          <w:pgMar w:top="1440" w:right="1800" w:bottom="1440" w:left="1800" w:header="720" w:footer="720" w:gutter="0"/>
          <w:pgNumType w:fmt="lowerRoman" w:start="1"/>
          <w:cols w:space="720"/>
          <w:docGrid w:linePitch="360"/>
        </w:sectPr>
      </w:pPr>
    </w:p>
    <w:p w:rsidR="002E1E3C" w:rsidRPr="00423400" w:rsidP="002E1E3C" w14:paraId="62185266" w14:textId="77777777">
      <w:pPr>
        <w:pStyle w:val="HTMLPreformatted"/>
        <w:jc w:val="center"/>
        <w:rPr>
          <w:rFonts w:ascii="Times New Roman" w:hAnsi="Times New Roman" w:cs="Times New Roman"/>
          <w:b/>
          <w:bCs/>
          <w:sz w:val="24"/>
          <w:szCs w:val="24"/>
        </w:rPr>
      </w:pPr>
      <w:r w:rsidRPr="00423400">
        <w:rPr>
          <w:rFonts w:ascii="Times New Roman" w:hAnsi="Times New Roman" w:cs="Times New Roman"/>
          <w:b/>
          <w:bCs/>
          <w:sz w:val="24"/>
          <w:szCs w:val="24"/>
        </w:rPr>
        <w:t>BEFORE</w:t>
      </w:r>
    </w:p>
    <w:p w:rsidR="002E1E3C" w:rsidRPr="00423400" w:rsidP="002E1E3C" w14:paraId="5A1E070B" w14:textId="77777777">
      <w:pPr>
        <w:pStyle w:val="HTMLPreformatted"/>
        <w:jc w:val="center"/>
        <w:rPr>
          <w:rFonts w:ascii="Times New Roman" w:hAnsi="Times New Roman" w:cs="Times New Roman"/>
          <w:sz w:val="24"/>
          <w:szCs w:val="24"/>
        </w:rPr>
      </w:pPr>
      <w:r w:rsidRPr="00423400">
        <w:rPr>
          <w:rFonts w:ascii="Times New Roman" w:hAnsi="Times New Roman" w:cs="Times New Roman"/>
          <w:b/>
          <w:bCs/>
          <w:sz w:val="24"/>
          <w:szCs w:val="24"/>
        </w:rPr>
        <w:t>THE PUBLIC UTILITIES COMMISSION OF OHIO</w:t>
      </w:r>
    </w:p>
    <w:p w:rsidR="002E1E3C" w:rsidRPr="00423400" w:rsidP="002E1E3C" w14:paraId="4D0111BA" w14:textId="77777777">
      <w:pPr>
        <w:pStyle w:val="HTMLPreformatted"/>
        <w:rPr>
          <w:rFonts w:ascii="Times New Roman" w:hAnsi="Times New Roman" w:cs="Times New Roman"/>
          <w:sz w:val="24"/>
          <w:szCs w:val="24"/>
        </w:rPr>
      </w:pPr>
    </w:p>
    <w:tbl>
      <w:tblPr>
        <w:tblW w:w="9450" w:type="dxa"/>
        <w:tblInd w:w="0" w:type="dxa"/>
        <w:tblCellMar>
          <w:top w:w="0" w:type="dxa"/>
          <w:left w:w="108" w:type="dxa"/>
          <w:bottom w:w="0" w:type="dxa"/>
          <w:right w:w="108" w:type="dxa"/>
        </w:tblCellMar>
        <w:tblLook w:val="01E0"/>
      </w:tblPr>
      <w:tblGrid>
        <w:gridCol w:w="4596"/>
        <w:gridCol w:w="296"/>
        <w:gridCol w:w="4558"/>
      </w:tblGrid>
      <w:tr w14:paraId="08180D9C" w14:textId="77777777" w:rsidTr="00B60B67">
        <w:tblPrEx>
          <w:tblW w:w="9450" w:type="dxa"/>
          <w:tblInd w:w="0" w:type="dxa"/>
          <w:tblCellMar>
            <w:top w:w="0" w:type="dxa"/>
            <w:left w:w="108" w:type="dxa"/>
            <w:bottom w:w="0" w:type="dxa"/>
            <w:right w:w="108" w:type="dxa"/>
          </w:tblCellMar>
          <w:tblLook w:val="01E0"/>
        </w:tblPrEx>
        <w:trPr>
          <w:trHeight w:val="807"/>
        </w:trPr>
        <w:tc>
          <w:tcPr>
            <w:tcW w:w="4596" w:type="dxa"/>
            <w:shd w:val="clear" w:color="auto" w:fill="auto"/>
          </w:tcPr>
          <w:p w:rsidR="002E1E3C" w:rsidRPr="00423400" w:rsidP="00E65281" w14:paraId="3D11F98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23400">
              <w:rPr>
                <w:rFonts w:ascii="Times New Roman" w:eastAsia="Courier New" w:hAnsi="Times New Roman" w:cs="Times New Roman"/>
                <w:sz w:val="24"/>
                <w:szCs w:val="24"/>
                <w:lang w:val="en-US" w:eastAsia="en-US" w:bidi="ar-SA"/>
              </w:rPr>
              <w:t>In the Matter of the Application of the Dayton Power and Light Company to Increase its Rates for Electric Distribution.</w:t>
            </w:r>
          </w:p>
          <w:p w:rsidR="002E1E3C" w:rsidRPr="00423400" w:rsidP="00E65281" w14:paraId="759E1AD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2E1E3C" w:rsidRPr="00423400" w:rsidP="00E65281" w14:paraId="4D78746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23400">
              <w:rPr>
                <w:rFonts w:ascii="Times New Roman" w:eastAsia="Courier New" w:hAnsi="Times New Roman" w:cs="Times New Roman"/>
                <w:sz w:val="24"/>
                <w:szCs w:val="24"/>
                <w:lang w:val="en-US" w:eastAsia="en-US" w:bidi="ar-SA"/>
              </w:rPr>
              <w:t>In the Matter of the Application of the Dayton Power and Light Company for Accounting Authority.</w:t>
            </w:r>
          </w:p>
          <w:p w:rsidR="002E1E3C" w:rsidRPr="00423400" w:rsidP="00E65281" w14:paraId="2117A75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2E1E3C" w:rsidRPr="00423400" w:rsidP="00E65281" w14:paraId="237C308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23400">
              <w:rPr>
                <w:rFonts w:ascii="Times New Roman" w:eastAsia="Courier New" w:hAnsi="Times New Roman" w:cs="Times New Roman"/>
                <w:sz w:val="24"/>
                <w:szCs w:val="24"/>
                <w:lang w:val="en-US" w:eastAsia="en-US" w:bidi="ar-SA"/>
              </w:rPr>
              <w:t>In the Matter of the Application of Dayton Power and Light Company for Approval of Revised Tariffs.</w:t>
            </w:r>
          </w:p>
        </w:tc>
        <w:tc>
          <w:tcPr>
            <w:tcW w:w="296" w:type="dxa"/>
            <w:shd w:val="clear" w:color="auto" w:fill="auto"/>
          </w:tcPr>
          <w:p w:rsidR="002E1E3C" w:rsidRPr="00423400" w:rsidP="00E65281" w14:paraId="6E5E055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23400">
              <w:rPr>
                <w:rFonts w:ascii="Times New Roman" w:eastAsia="Courier New" w:hAnsi="Times New Roman" w:cs="Times New Roman"/>
                <w:sz w:val="24"/>
                <w:szCs w:val="24"/>
                <w:lang w:val="en-US" w:eastAsia="en-US" w:bidi="ar-SA"/>
              </w:rPr>
              <w:t>)</w:t>
            </w:r>
          </w:p>
          <w:p w:rsidR="002E1E3C" w:rsidRPr="00423400" w:rsidP="00E65281" w14:paraId="28003FE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23400">
              <w:rPr>
                <w:rFonts w:ascii="Times New Roman" w:eastAsia="Courier New" w:hAnsi="Times New Roman" w:cs="Times New Roman"/>
                <w:sz w:val="24"/>
                <w:szCs w:val="24"/>
                <w:lang w:val="en-US" w:eastAsia="en-US" w:bidi="ar-SA"/>
              </w:rPr>
              <w:t>)</w:t>
            </w:r>
          </w:p>
          <w:p w:rsidR="002E1E3C" w:rsidRPr="00423400" w:rsidP="00E65281" w14:paraId="2C9FBA6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23400">
              <w:rPr>
                <w:rFonts w:ascii="Times New Roman" w:eastAsia="Courier New" w:hAnsi="Times New Roman" w:cs="Times New Roman"/>
                <w:sz w:val="24"/>
                <w:szCs w:val="24"/>
                <w:lang w:val="en-US" w:eastAsia="en-US" w:bidi="ar-SA"/>
              </w:rPr>
              <w:t>)</w:t>
            </w:r>
          </w:p>
          <w:p w:rsidR="002E1E3C" w:rsidRPr="00423400" w:rsidP="00E65281" w14:paraId="06BF2AE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2E1E3C" w:rsidRPr="00423400" w:rsidP="00E65281" w14:paraId="6EDDDB2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23400">
              <w:rPr>
                <w:rFonts w:ascii="Times New Roman" w:eastAsia="Courier New" w:hAnsi="Times New Roman" w:cs="Times New Roman"/>
                <w:sz w:val="24"/>
                <w:szCs w:val="24"/>
                <w:lang w:val="en-US" w:eastAsia="en-US" w:bidi="ar-SA"/>
              </w:rPr>
              <w:t>)</w:t>
            </w:r>
          </w:p>
          <w:p w:rsidR="002E1E3C" w:rsidRPr="00423400" w:rsidP="00E65281" w14:paraId="502E1F7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23400">
              <w:rPr>
                <w:rFonts w:ascii="Times New Roman" w:eastAsia="Courier New" w:hAnsi="Times New Roman" w:cs="Times New Roman"/>
                <w:sz w:val="24"/>
                <w:szCs w:val="24"/>
                <w:lang w:val="en-US" w:eastAsia="en-US" w:bidi="ar-SA"/>
              </w:rPr>
              <w:t>)</w:t>
            </w:r>
          </w:p>
          <w:p w:rsidR="002E1E3C" w:rsidRPr="00423400" w:rsidP="00E65281" w14:paraId="147A1B6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23400">
              <w:rPr>
                <w:rFonts w:ascii="Times New Roman" w:eastAsia="Courier New" w:hAnsi="Times New Roman" w:cs="Times New Roman"/>
                <w:sz w:val="24"/>
                <w:szCs w:val="24"/>
                <w:lang w:val="en-US" w:eastAsia="en-US" w:bidi="ar-SA"/>
              </w:rPr>
              <w:t>)</w:t>
            </w:r>
          </w:p>
          <w:p w:rsidR="002E1E3C" w:rsidRPr="00423400" w:rsidP="00E65281" w14:paraId="2B7B26D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2E1E3C" w:rsidRPr="00423400" w:rsidP="00E65281" w14:paraId="2E8D3AA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23400">
              <w:rPr>
                <w:rFonts w:ascii="Times New Roman" w:eastAsia="Courier New" w:hAnsi="Times New Roman" w:cs="Times New Roman"/>
                <w:sz w:val="24"/>
                <w:szCs w:val="24"/>
                <w:lang w:val="en-US" w:eastAsia="en-US" w:bidi="ar-SA"/>
              </w:rPr>
              <w:t>)</w:t>
            </w:r>
          </w:p>
          <w:p w:rsidR="002E1E3C" w:rsidRPr="00423400" w:rsidP="00E65281" w14:paraId="7B0FF5E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23400">
              <w:rPr>
                <w:rFonts w:ascii="Times New Roman" w:eastAsia="Courier New" w:hAnsi="Times New Roman" w:cs="Times New Roman"/>
                <w:sz w:val="24"/>
                <w:szCs w:val="24"/>
                <w:lang w:val="en-US" w:eastAsia="en-US" w:bidi="ar-SA"/>
              </w:rPr>
              <w:t>)</w:t>
            </w:r>
          </w:p>
          <w:p w:rsidR="002E1E3C" w:rsidRPr="00423400" w:rsidP="00E65281" w14:paraId="2E58911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23400">
              <w:rPr>
                <w:rFonts w:ascii="Times New Roman" w:eastAsia="Courier New" w:hAnsi="Times New Roman" w:cs="Times New Roman"/>
                <w:sz w:val="24"/>
                <w:szCs w:val="24"/>
                <w:lang w:val="en-US" w:eastAsia="en-US" w:bidi="ar-SA"/>
              </w:rPr>
              <w:t>)</w:t>
            </w:r>
          </w:p>
        </w:tc>
        <w:tc>
          <w:tcPr>
            <w:tcW w:w="4558" w:type="dxa"/>
            <w:shd w:val="clear" w:color="auto" w:fill="auto"/>
          </w:tcPr>
          <w:p w:rsidR="002E1E3C" w:rsidRPr="00423400" w:rsidP="00E65281" w14:paraId="16C28C1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2E1E3C" w:rsidRPr="00423400" w:rsidP="00E65281" w14:paraId="4085812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23400">
              <w:rPr>
                <w:rFonts w:ascii="Times New Roman" w:eastAsia="Courier New" w:hAnsi="Times New Roman" w:cs="Times New Roman"/>
                <w:sz w:val="24"/>
                <w:szCs w:val="24"/>
                <w:lang w:val="en-US" w:eastAsia="en-US" w:bidi="ar-SA"/>
              </w:rPr>
              <w:t>Case No. 20-1651-EL-AIR</w:t>
            </w:r>
          </w:p>
          <w:p w:rsidR="002E1E3C" w:rsidRPr="00423400" w:rsidP="00E65281" w14:paraId="5CB7DE5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2E1E3C" w:rsidRPr="00423400" w:rsidP="00E65281" w14:paraId="14D9025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2E1E3C" w:rsidRPr="00423400" w:rsidP="00E65281" w14:paraId="643BF54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2E1E3C" w:rsidRPr="00423400" w:rsidP="00E65281" w14:paraId="6B3CD88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23400">
              <w:rPr>
                <w:rFonts w:ascii="Times New Roman" w:eastAsia="Courier New" w:hAnsi="Times New Roman" w:cs="Times New Roman"/>
                <w:sz w:val="24"/>
                <w:szCs w:val="24"/>
                <w:lang w:val="en-US" w:eastAsia="en-US" w:bidi="ar-SA"/>
              </w:rPr>
              <w:t>Case No. 20-1652-EL-AAM</w:t>
            </w:r>
          </w:p>
          <w:p w:rsidR="002E1E3C" w:rsidRPr="00423400" w:rsidP="00E65281" w14:paraId="184B1D3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2E1E3C" w:rsidRPr="00423400" w:rsidP="00E65281" w14:paraId="14AD8C8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2E1E3C" w:rsidRPr="00423400" w:rsidP="00E65281" w14:paraId="60F5931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2E1E3C" w:rsidRPr="00423400" w:rsidP="00E65281" w14:paraId="481927C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23400">
              <w:rPr>
                <w:rFonts w:ascii="Times New Roman" w:eastAsia="Courier New" w:hAnsi="Times New Roman" w:cs="Times New Roman"/>
                <w:sz w:val="24"/>
                <w:szCs w:val="24"/>
                <w:lang w:val="en-US" w:eastAsia="en-US" w:bidi="ar-SA"/>
              </w:rPr>
              <w:t>Case No. 20-1653-EL-ATA</w:t>
            </w:r>
          </w:p>
        </w:tc>
      </w:tr>
    </w:tbl>
    <w:p w:rsidR="00D95886" w:rsidRPr="00423400" w:rsidP="00D95886" w14:paraId="1DCEC702" w14:textId="77777777">
      <w:pPr>
        <w:pStyle w:val="HTMLPreformatted"/>
        <w:rPr>
          <w:rFonts w:ascii="Times New Roman" w:hAnsi="Times New Roman" w:cs="Times New Roman"/>
          <w:sz w:val="24"/>
          <w:szCs w:val="24"/>
        </w:rPr>
      </w:pPr>
      <w:r w:rsidRPr="00423400">
        <w:rPr>
          <w:rFonts w:ascii="Times New Roman" w:hAnsi="Times New Roman" w:cs="Times New Roman"/>
          <w:sz w:val="24"/>
          <w:szCs w:val="24"/>
        </w:rPr>
        <w:tab/>
      </w:r>
    </w:p>
    <w:p w:rsidR="00D95886" w:rsidRPr="00423400" w:rsidP="00D95886" w14:paraId="20B54715" w14:textId="77777777">
      <w:pPr>
        <w:pStyle w:val="HTMLPreformatted"/>
        <w:pBdr>
          <w:top w:val="single" w:sz="12" w:space="1" w:color="auto"/>
        </w:pBdr>
        <w:rPr>
          <w:rFonts w:ascii="Times New Roman" w:hAnsi="Times New Roman" w:cs="Times New Roman"/>
          <w:sz w:val="24"/>
          <w:szCs w:val="24"/>
        </w:rPr>
      </w:pPr>
    </w:p>
    <w:p w:rsidR="00D95886" w:rsidRPr="00423400" w:rsidP="00D95886" w14:paraId="6574C2AC" w14:textId="77777777">
      <w:pPr>
        <w:spacing w:after="0"/>
        <w:jc w:val="center"/>
        <w:rPr>
          <w:rFonts w:cs="Times New Roman"/>
          <w:b/>
          <w:bCs/>
          <w:szCs w:val="24"/>
        </w:rPr>
      </w:pPr>
      <w:r w:rsidRPr="00423400">
        <w:rPr>
          <w:rFonts w:cs="Times New Roman"/>
          <w:b/>
          <w:bCs/>
          <w:szCs w:val="24"/>
        </w:rPr>
        <w:t>CONSUMER PROTECTION BRIEF</w:t>
      </w:r>
    </w:p>
    <w:p w:rsidR="00D95886" w:rsidRPr="00423400" w:rsidP="007D4B56" w14:paraId="4B5D3CB7" w14:textId="77777777">
      <w:pPr>
        <w:spacing w:after="0"/>
        <w:jc w:val="center"/>
        <w:rPr>
          <w:rFonts w:cs="Times New Roman"/>
          <w:b/>
          <w:bCs/>
          <w:szCs w:val="24"/>
        </w:rPr>
      </w:pPr>
      <w:r w:rsidRPr="00423400">
        <w:rPr>
          <w:rFonts w:cs="Times New Roman"/>
          <w:b/>
          <w:bCs/>
          <w:szCs w:val="24"/>
        </w:rPr>
        <w:t>BY</w:t>
      </w:r>
    </w:p>
    <w:p w:rsidR="00D95886" w:rsidRPr="00423400" w:rsidP="00D95886" w14:paraId="52EF1876" w14:textId="77777777">
      <w:pPr>
        <w:spacing w:after="0"/>
        <w:jc w:val="center"/>
        <w:rPr>
          <w:rFonts w:cs="Times New Roman"/>
          <w:b/>
          <w:bCs/>
          <w:szCs w:val="24"/>
        </w:rPr>
      </w:pPr>
      <w:r w:rsidRPr="00423400">
        <w:rPr>
          <w:rFonts w:cs="Times New Roman"/>
          <w:b/>
          <w:bCs/>
          <w:szCs w:val="24"/>
        </w:rPr>
        <w:t>OFFICE OF THE OHIO CONSUMERS’ COUNSEL</w:t>
      </w:r>
    </w:p>
    <w:p w:rsidR="00D95886" w:rsidRPr="00423400" w:rsidP="00D95886" w14:paraId="398A5ADB" w14:textId="77777777">
      <w:pPr>
        <w:pBdr>
          <w:bottom w:val="single" w:sz="12" w:space="1" w:color="auto"/>
        </w:pBdr>
        <w:tabs>
          <w:tab w:val="left" w:pos="4320"/>
        </w:tabs>
        <w:rPr>
          <w:rFonts w:cs="Times New Roman"/>
          <w:szCs w:val="24"/>
        </w:rPr>
      </w:pPr>
    </w:p>
    <w:p w:rsidR="008344F2" w:rsidRPr="00423400" w:rsidP="008B40F3" w14:paraId="0BCC644B" w14:textId="77777777">
      <w:pPr>
        <w:pStyle w:val="Heading1"/>
        <w:rPr>
          <w:rFonts w:cs="Times New Roman"/>
          <w:b/>
          <w:bCs/>
          <w:szCs w:val="24"/>
        </w:rPr>
      </w:pPr>
      <w:bookmarkStart w:id="0" w:name="_Toc96960342"/>
      <w:bookmarkStart w:id="1" w:name="_Toc96960384"/>
      <w:bookmarkStart w:id="2" w:name="_Toc97298187"/>
      <w:r w:rsidRPr="00423400">
        <w:rPr>
          <w:rFonts w:cs="Times New Roman"/>
          <w:b/>
          <w:bCs/>
          <w:szCs w:val="24"/>
        </w:rPr>
        <w:t>INTRODUCTION</w:t>
      </w:r>
      <w:bookmarkEnd w:id="0"/>
      <w:bookmarkEnd w:id="1"/>
      <w:bookmarkEnd w:id="2"/>
    </w:p>
    <w:p w:rsidR="007B1BA8" w:rsidP="00920925" w14:paraId="3B3057D4" w14:textId="77777777">
      <w:pPr>
        <w:spacing w:before="240" w:after="0" w:line="480" w:lineRule="auto"/>
        <w:ind w:firstLine="720"/>
        <w:rPr>
          <w:rFonts w:cs="Times New Roman"/>
          <w:szCs w:val="24"/>
        </w:rPr>
      </w:pPr>
      <w:r w:rsidRPr="00423400">
        <w:rPr>
          <w:rFonts w:cs="Times New Roman"/>
          <w:szCs w:val="24"/>
        </w:rPr>
        <w:t>Dayton Power and Light Company (“DP&amp;L”</w:t>
      </w:r>
      <w:r w:rsidR="00C75F9D">
        <w:rPr>
          <w:rFonts w:cs="Times New Roman"/>
          <w:szCs w:val="24"/>
        </w:rPr>
        <w:t xml:space="preserve"> or “AES”</w:t>
      </w:r>
      <w:r w:rsidRPr="00423400">
        <w:rPr>
          <w:rFonts w:cs="Times New Roman"/>
          <w:szCs w:val="24"/>
        </w:rPr>
        <w:t>) seeks to charge its consumers an additional $120.8 million per year for electric distribution service.</w:t>
      </w:r>
      <w:r>
        <w:rPr>
          <w:rStyle w:val="FootnoteReference"/>
          <w:rFonts w:cs="Times New Roman"/>
          <w:szCs w:val="24"/>
        </w:rPr>
        <w:footnoteReference w:id="2"/>
      </w:r>
      <w:r w:rsidRPr="00423400">
        <w:rPr>
          <w:rFonts w:cs="Times New Roman"/>
          <w:szCs w:val="24"/>
        </w:rPr>
        <w:t xml:space="preserve"> The </w:t>
      </w:r>
      <w:r w:rsidR="00C75F9D">
        <w:rPr>
          <w:rFonts w:cs="Times New Roman"/>
          <w:szCs w:val="24"/>
        </w:rPr>
        <w:t>PUCO</w:t>
      </w:r>
      <w:r w:rsidRPr="00423400">
        <w:rPr>
          <w:rFonts w:cs="Times New Roman"/>
          <w:szCs w:val="24"/>
        </w:rPr>
        <w:t xml:space="preserve"> Staff </w:t>
      </w:r>
      <w:r w:rsidR="00C75F9D">
        <w:rPr>
          <w:rFonts w:cs="Times New Roman"/>
          <w:szCs w:val="24"/>
        </w:rPr>
        <w:t>would give DP&amp;L about half of that rate increase.</w:t>
      </w:r>
      <w:r w:rsidR="00920925">
        <w:rPr>
          <w:rFonts w:cs="Times New Roman"/>
          <w:szCs w:val="24"/>
        </w:rPr>
        <w:t xml:space="preserve"> </w:t>
      </w:r>
      <w:r w:rsidRPr="00423400">
        <w:rPr>
          <w:rFonts w:cs="Times New Roman"/>
          <w:szCs w:val="24"/>
        </w:rPr>
        <w:t xml:space="preserve">But </w:t>
      </w:r>
      <w:r w:rsidR="00C75F9D">
        <w:rPr>
          <w:rFonts w:cs="Times New Roman"/>
          <w:szCs w:val="24"/>
        </w:rPr>
        <w:t xml:space="preserve">Dayton-area </w:t>
      </w:r>
      <w:r w:rsidRPr="00423400">
        <w:rPr>
          <w:rFonts w:cs="Times New Roman"/>
          <w:szCs w:val="24"/>
        </w:rPr>
        <w:t xml:space="preserve">consumers should not </w:t>
      </w:r>
      <w:r w:rsidR="00C75F9D">
        <w:rPr>
          <w:rFonts w:cs="Times New Roman"/>
          <w:szCs w:val="24"/>
        </w:rPr>
        <w:t>be charge</w:t>
      </w:r>
      <w:r w:rsidR="00766165">
        <w:rPr>
          <w:rFonts w:cs="Times New Roman"/>
          <w:szCs w:val="24"/>
        </w:rPr>
        <w:t>d</w:t>
      </w:r>
      <w:r w:rsidRPr="00423400">
        <w:rPr>
          <w:rFonts w:cs="Times New Roman"/>
          <w:szCs w:val="24"/>
        </w:rPr>
        <w:t xml:space="preserve"> a </w:t>
      </w:r>
      <w:r w:rsidR="00766165">
        <w:rPr>
          <w:rFonts w:cs="Times New Roman"/>
          <w:szCs w:val="24"/>
        </w:rPr>
        <w:t>penny</w:t>
      </w:r>
      <w:r w:rsidRPr="00423400">
        <w:rPr>
          <w:rFonts w:cs="Times New Roman"/>
          <w:szCs w:val="24"/>
        </w:rPr>
        <w:t xml:space="preserve"> more</w:t>
      </w:r>
      <w:r w:rsidR="00766165">
        <w:rPr>
          <w:rFonts w:cs="Times New Roman"/>
          <w:szCs w:val="24"/>
        </w:rPr>
        <w:t xml:space="preserve"> for their electric service. That’s because DP&amp;L agreed, in a 2009 settlement, to </w:t>
      </w:r>
      <w:r w:rsidR="00F27BB9">
        <w:rPr>
          <w:rFonts w:cs="Times New Roman"/>
          <w:szCs w:val="24"/>
        </w:rPr>
        <w:t>freeze electric rates while it is chargin</w:t>
      </w:r>
      <w:r w:rsidR="0073385D">
        <w:rPr>
          <w:rFonts w:cs="Times New Roman"/>
          <w:szCs w:val="24"/>
        </w:rPr>
        <w:t>g</w:t>
      </w:r>
      <w:r w:rsidR="00F27BB9">
        <w:rPr>
          <w:rFonts w:cs="Times New Roman"/>
          <w:szCs w:val="24"/>
        </w:rPr>
        <w:t xml:space="preserve"> consumers ($79 million annually) for so-called “stability</w:t>
      </w:r>
      <w:r w:rsidR="0073385D">
        <w:rPr>
          <w:rFonts w:cs="Times New Roman"/>
          <w:szCs w:val="24"/>
        </w:rPr>
        <w:t xml:space="preserve">.” For consumer protection and justice, the PUCO should make DP&amp;L keep its word and </w:t>
      </w:r>
      <w:r w:rsidR="00BA542D">
        <w:rPr>
          <w:rFonts w:cs="Times New Roman"/>
          <w:szCs w:val="24"/>
        </w:rPr>
        <w:t>freeze rates.</w:t>
      </w:r>
      <w:r w:rsidR="00284581">
        <w:rPr>
          <w:rFonts w:cs="Times New Roman"/>
          <w:szCs w:val="24"/>
        </w:rPr>
        <w:t xml:space="preserve"> </w:t>
      </w:r>
      <w:r w:rsidR="00BA542D">
        <w:rPr>
          <w:rFonts w:cs="Times New Roman"/>
          <w:szCs w:val="24"/>
        </w:rPr>
        <w:t>There should be no electric rate increase in the Dayton area</w:t>
      </w:r>
      <w:r w:rsidR="00284581">
        <w:rPr>
          <w:rFonts w:cs="Times New Roman"/>
          <w:szCs w:val="24"/>
        </w:rPr>
        <w:t xml:space="preserve">. </w:t>
      </w:r>
    </w:p>
    <w:p w:rsidR="007B1BA8" w:rsidP="007B1BA8" w14:paraId="48A63DE7" w14:textId="77777777">
      <w:pPr>
        <w:spacing w:after="0" w:line="480" w:lineRule="auto"/>
        <w:ind w:firstLine="720"/>
        <w:rPr>
          <w:rFonts w:cs="Times New Roman"/>
          <w:szCs w:val="24"/>
        </w:rPr>
      </w:pPr>
      <w:r>
        <w:rPr>
          <w:rFonts w:cs="Times New Roman"/>
          <w:szCs w:val="24"/>
        </w:rPr>
        <w:t>In this regard the PUCO should have already</w:t>
      </w:r>
      <w:r w:rsidRPr="00423400" w:rsidR="00467FFB">
        <w:rPr>
          <w:rFonts w:cs="Times New Roman"/>
          <w:szCs w:val="24"/>
        </w:rPr>
        <w:t xml:space="preserve"> granted </w:t>
      </w:r>
      <w:r>
        <w:rPr>
          <w:rFonts w:cs="Times New Roman"/>
          <w:szCs w:val="24"/>
        </w:rPr>
        <w:t>the Ohio Consumers’ Counsel</w:t>
      </w:r>
      <w:r w:rsidR="0012372F">
        <w:rPr>
          <w:rFonts w:cs="Times New Roman"/>
          <w:szCs w:val="24"/>
        </w:rPr>
        <w:t xml:space="preserve"> m</w:t>
      </w:r>
      <w:r w:rsidRPr="00423400" w:rsidR="00467FFB">
        <w:rPr>
          <w:rFonts w:cs="Times New Roman"/>
          <w:szCs w:val="24"/>
        </w:rPr>
        <w:t xml:space="preserve">otion to </w:t>
      </w:r>
      <w:r w:rsidR="0012372F">
        <w:rPr>
          <w:rFonts w:cs="Times New Roman"/>
          <w:szCs w:val="24"/>
        </w:rPr>
        <w:t>d</w:t>
      </w:r>
      <w:r w:rsidRPr="00423400" w:rsidR="00467FFB">
        <w:rPr>
          <w:rFonts w:cs="Times New Roman"/>
          <w:szCs w:val="24"/>
        </w:rPr>
        <w:t>ismiss</w:t>
      </w:r>
      <w:r w:rsidR="0012372F">
        <w:rPr>
          <w:rFonts w:cs="Times New Roman"/>
          <w:szCs w:val="24"/>
        </w:rPr>
        <w:t xml:space="preserve"> DP&amp;L’s rate increase case</w:t>
      </w:r>
      <w:r w:rsidRPr="00423400" w:rsidR="00754C0D">
        <w:rPr>
          <w:rFonts w:cs="Times New Roman"/>
          <w:szCs w:val="24"/>
        </w:rPr>
        <w:t>.</w:t>
      </w:r>
      <w:r>
        <w:rPr>
          <w:rStyle w:val="FootnoteReference"/>
          <w:rFonts w:cs="Times New Roman"/>
          <w:szCs w:val="24"/>
        </w:rPr>
        <w:footnoteReference w:id="3"/>
      </w:r>
      <w:r w:rsidRPr="00423400" w:rsidR="00754C0D">
        <w:rPr>
          <w:rFonts w:cs="Times New Roman"/>
          <w:szCs w:val="24"/>
        </w:rPr>
        <w:t xml:space="preserve"> </w:t>
      </w:r>
      <w:r w:rsidR="008C7E81">
        <w:rPr>
          <w:rFonts w:cs="Times New Roman"/>
          <w:szCs w:val="24"/>
        </w:rPr>
        <w:t xml:space="preserve">That would have spared the PUCO and parties, including OCC, from expending considerable resources over the last year to processing DP&amp;L’s application. </w:t>
      </w:r>
    </w:p>
    <w:p w:rsidR="00DE563D" w:rsidP="007B1BA8" w14:paraId="2CA19140" w14:textId="77777777">
      <w:pPr>
        <w:spacing w:after="0" w:line="480" w:lineRule="auto"/>
        <w:ind w:firstLine="720"/>
        <w:rPr>
          <w:rFonts w:cs="Times New Roman"/>
          <w:szCs w:val="24"/>
        </w:rPr>
      </w:pPr>
      <w:r>
        <w:rPr>
          <w:rFonts w:cs="Times New Roman"/>
          <w:szCs w:val="24"/>
        </w:rPr>
        <w:t>If the PUCO fails to make DP&amp;L comply with its 2009 settlement agreement, by dismissing this case or ordering a rate freeze</w:t>
      </w:r>
      <w:r w:rsidRPr="003B712C">
        <w:rPr>
          <w:rFonts w:cs="Times New Roman"/>
          <w:szCs w:val="24"/>
        </w:rPr>
        <w:t xml:space="preserve">, </w:t>
      </w:r>
      <w:r>
        <w:rPr>
          <w:rFonts w:cs="Times New Roman"/>
          <w:szCs w:val="24"/>
        </w:rPr>
        <w:t xml:space="preserve">then </w:t>
      </w:r>
      <w:r w:rsidRPr="00AD4C18">
        <w:rPr>
          <w:rFonts w:cs="Times New Roman"/>
          <w:szCs w:val="24"/>
        </w:rPr>
        <w:t>OCC makes the following recommendation</w:t>
      </w:r>
      <w:r>
        <w:rPr>
          <w:rFonts w:cs="Times New Roman"/>
          <w:szCs w:val="24"/>
        </w:rPr>
        <w:t xml:space="preserve"> (without waiving any rights).</w:t>
      </w:r>
      <w:r w:rsidRPr="00AD4C18">
        <w:rPr>
          <w:rFonts w:cs="Times New Roman"/>
          <w:szCs w:val="24"/>
        </w:rPr>
        <w:t xml:space="preserve"> </w:t>
      </w:r>
      <w:r>
        <w:rPr>
          <w:rFonts w:cs="Times New Roman"/>
          <w:szCs w:val="24"/>
        </w:rPr>
        <w:t xml:space="preserve">The PUCO should limit any rate increase for Dayton-area consumers to </w:t>
      </w:r>
      <w:r w:rsidRPr="00471EA3">
        <w:rPr>
          <w:rFonts w:cs="Times New Roman"/>
          <w:szCs w:val="24"/>
        </w:rPr>
        <w:t>$43.3 million</w:t>
      </w:r>
      <w:r>
        <w:rPr>
          <w:rFonts w:cs="Times New Roman"/>
          <w:szCs w:val="24"/>
        </w:rPr>
        <w:t xml:space="preserve"> or less</w:t>
      </w:r>
      <w:r w:rsidRPr="00471EA3">
        <w:rPr>
          <w:rFonts w:cs="Times New Roman"/>
          <w:szCs w:val="24"/>
        </w:rPr>
        <w:t>.</w:t>
      </w:r>
    </w:p>
    <w:p w:rsidR="00111344" w:rsidRPr="0095528A" w:rsidP="00111344" w14:paraId="4D4DFEEB" w14:textId="77777777">
      <w:pPr>
        <w:spacing w:after="0" w:line="240" w:lineRule="auto"/>
        <w:ind w:firstLine="720"/>
        <w:rPr>
          <w:rFonts w:cs="Times New Roman"/>
          <w:szCs w:val="24"/>
        </w:rPr>
      </w:pPr>
    </w:p>
    <w:p w:rsidR="00F955D3" w:rsidRPr="00423400" w:rsidP="00D94C8C" w14:paraId="44395FD4" w14:textId="77777777">
      <w:pPr>
        <w:pStyle w:val="Heading1"/>
        <w:spacing w:before="0" w:after="240"/>
        <w:rPr>
          <w:rFonts w:cs="Times New Roman"/>
          <w:b/>
          <w:bCs/>
          <w:szCs w:val="24"/>
        </w:rPr>
      </w:pPr>
      <w:bookmarkStart w:id="3" w:name="_Toc97298188"/>
      <w:bookmarkStart w:id="4" w:name="_Toc96960343"/>
      <w:bookmarkStart w:id="5" w:name="_Toc96960385"/>
      <w:r w:rsidRPr="00423400">
        <w:rPr>
          <w:rFonts w:cs="Times New Roman"/>
          <w:b/>
          <w:bCs/>
          <w:szCs w:val="24"/>
        </w:rPr>
        <w:t>BACKGROUND</w:t>
      </w:r>
      <w:bookmarkEnd w:id="3"/>
    </w:p>
    <w:p w:rsidR="00F955D3" w:rsidRPr="00423400" w:rsidP="0012105E" w14:paraId="681E156A" w14:textId="77777777">
      <w:pPr>
        <w:pStyle w:val="Heading2"/>
      </w:pPr>
      <w:bookmarkStart w:id="6" w:name="_Toc97298189"/>
      <w:r w:rsidRPr="00423400">
        <w:rPr>
          <w:color w:val="auto"/>
          <w:sz w:val="24"/>
          <w:szCs w:val="24"/>
        </w:rPr>
        <w:t>The ESP I Settlement.</w:t>
      </w:r>
      <w:bookmarkEnd w:id="6"/>
    </w:p>
    <w:p w:rsidR="00F955D3" w:rsidRPr="00423400" w:rsidP="0012105E" w14:paraId="652875B2" w14:textId="77777777">
      <w:pPr>
        <w:spacing w:before="240" w:after="0" w:line="480" w:lineRule="auto"/>
        <w:ind w:firstLine="720"/>
        <w:rPr>
          <w:rFonts w:cs="Times New Roman"/>
          <w:szCs w:val="24"/>
        </w:rPr>
      </w:pPr>
      <w:r w:rsidRPr="00423400">
        <w:rPr>
          <w:rFonts w:cs="Times New Roman"/>
          <w:szCs w:val="24"/>
        </w:rPr>
        <w:t xml:space="preserve">In </w:t>
      </w:r>
      <w:r w:rsidR="0039476A">
        <w:rPr>
          <w:rFonts w:cs="Times New Roman"/>
          <w:szCs w:val="24"/>
        </w:rPr>
        <w:t>the</w:t>
      </w:r>
      <w:r w:rsidRPr="00423400">
        <w:rPr>
          <w:rFonts w:cs="Times New Roman"/>
          <w:szCs w:val="24"/>
        </w:rPr>
        <w:t xml:space="preserve"> first </w:t>
      </w:r>
      <w:r w:rsidR="0039476A">
        <w:rPr>
          <w:rFonts w:cs="Times New Roman"/>
          <w:szCs w:val="24"/>
        </w:rPr>
        <w:t xml:space="preserve">Dayton-area </w:t>
      </w:r>
      <w:r w:rsidRPr="00423400">
        <w:rPr>
          <w:rFonts w:cs="Times New Roman"/>
          <w:szCs w:val="24"/>
        </w:rPr>
        <w:t>electric security plan case, DP&amp;L, OCC, the PUCO Staff, and other</w:t>
      </w:r>
      <w:r w:rsidRPr="00423400" w:rsidR="00CD72D9">
        <w:rPr>
          <w:rFonts w:cs="Times New Roman"/>
          <w:szCs w:val="24"/>
        </w:rPr>
        <w:t xml:space="preserve"> </w:t>
      </w:r>
      <w:r w:rsidRPr="00423400">
        <w:rPr>
          <w:rFonts w:cs="Times New Roman"/>
          <w:szCs w:val="24"/>
        </w:rPr>
        <w:t>intervenors signed</w:t>
      </w:r>
      <w:r w:rsidRPr="00423400" w:rsidR="00CD72D9">
        <w:rPr>
          <w:rFonts w:cs="Times New Roman"/>
          <w:szCs w:val="24"/>
        </w:rPr>
        <w:t xml:space="preserve"> </w:t>
      </w:r>
      <w:r w:rsidRPr="00423400">
        <w:rPr>
          <w:rFonts w:cs="Times New Roman"/>
          <w:szCs w:val="24"/>
        </w:rPr>
        <w:t>a</w:t>
      </w:r>
      <w:r w:rsidRPr="00423400" w:rsidR="00CD72D9">
        <w:rPr>
          <w:rFonts w:cs="Times New Roman"/>
          <w:szCs w:val="24"/>
        </w:rPr>
        <w:t xml:space="preserve"> </w:t>
      </w:r>
      <w:r w:rsidRPr="00423400">
        <w:rPr>
          <w:rFonts w:cs="Times New Roman"/>
          <w:szCs w:val="24"/>
        </w:rPr>
        <w:t>settlement.</w:t>
      </w:r>
      <w:r>
        <w:rPr>
          <w:rStyle w:val="FootnoteReference"/>
          <w:rFonts w:cs="Times New Roman"/>
          <w:szCs w:val="24"/>
        </w:rPr>
        <w:footnoteReference w:id="4"/>
      </w:r>
      <w:r w:rsidRPr="00423400" w:rsidR="00CD72D9">
        <w:rPr>
          <w:rFonts w:cs="Times New Roman"/>
          <w:szCs w:val="24"/>
        </w:rPr>
        <w:t xml:space="preserve"> </w:t>
      </w:r>
      <w:r w:rsidRPr="00423400">
        <w:rPr>
          <w:rFonts w:cs="Times New Roman"/>
          <w:szCs w:val="24"/>
        </w:rPr>
        <w:t>Under</w:t>
      </w:r>
      <w:r w:rsidRPr="00423400" w:rsidR="00CD72D9">
        <w:rPr>
          <w:rFonts w:cs="Times New Roman"/>
          <w:szCs w:val="24"/>
        </w:rPr>
        <w:t xml:space="preserve"> </w:t>
      </w:r>
      <w:r w:rsidRPr="00423400">
        <w:rPr>
          <w:rFonts w:cs="Times New Roman"/>
          <w:szCs w:val="24"/>
        </w:rPr>
        <w:t>this</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w:t>
      </w:r>
      <w:r w:rsidRPr="00423400" w:rsidR="00CD72D9">
        <w:rPr>
          <w:rFonts w:cs="Times New Roman"/>
          <w:szCs w:val="24"/>
        </w:rPr>
        <w:t xml:space="preserve"> </w:t>
      </w:r>
      <w:r w:rsidRPr="00423400">
        <w:rPr>
          <w:rFonts w:cs="Times New Roman"/>
          <w:szCs w:val="24"/>
        </w:rPr>
        <w:t>Settlement,</w:t>
      </w:r>
      <w:r w:rsidRPr="00423400" w:rsidR="00CD72D9">
        <w:rPr>
          <w:rFonts w:cs="Times New Roman"/>
          <w:szCs w:val="24"/>
        </w:rPr>
        <w:t xml:space="preserve"> </w:t>
      </w:r>
      <w:r w:rsidRPr="00423400">
        <w:rPr>
          <w:rFonts w:cs="Times New Roman"/>
          <w:szCs w:val="24"/>
        </w:rPr>
        <w:t>DP&amp;L’s</w:t>
      </w:r>
      <w:r w:rsidRPr="00423400" w:rsidR="00CD72D9">
        <w:rPr>
          <w:rFonts w:cs="Times New Roman"/>
          <w:szCs w:val="24"/>
        </w:rPr>
        <w:t xml:space="preserve"> </w:t>
      </w:r>
      <w:r w:rsidRPr="00423400">
        <w:rPr>
          <w:rFonts w:cs="Times New Roman"/>
          <w:szCs w:val="24"/>
        </w:rPr>
        <w:t>first</w:t>
      </w:r>
      <w:r w:rsidRPr="00423400" w:rsidR="00CD72D9">
        <w:rPr>
          <w:rFonts w:cs="Times New Roman"/>
          <w:szCs w:val="24"/>
        </w:rPr>
        <w:t xml:space="preserve"> </w:t>
      </w:r>
      <w:r w:rsidRPr="00423400">
        <w:rPr>
          <w:rFonts w:cs="Times New Roman"/>
          <w:szCs w:val="24"/>
        </w:rPr>
        <w:t>electric</w:t>
      </w:r>
      <w:r w:rsidRPr="00423400" w:rsidR="00CD72D9">
        <w:rPr>
          <w:rFonts w:cs="Times New Roman"/>
          <w:szCs w:val="24"/>
        </w:rPr>
        <w:t xml:space="preserve"> </w:t>
      </w:r>
      <w:r w:rsidRPr="00423400">
        <w:rPr>
          <w:rFonts w:cs="Times New Roman"/>
          <w:szCs w:val="24"/>
        </w:rPr>
        <w:t>security</w:t>
      </w:r>
      <w:r w:rsidRPr="00423400" w:rsidR="00CD72D9">
        <w:rPr>
          <w:rFonts w:cs="Times New Roman"/>
          <w:szCs w:val="24"/>
        </w:rPr>
        <w:t xml:space="preserve"> </w:t>
      </w:r>
      <w:r w:rsidRPr="00423400">
        <w:rPr>
          <w:rFonts w:cs="Times New Roman"/>
          <w:szCs w:val="24"/>
        </w:rPr>
        <w:t>plan</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 was</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be</w:t>
      </w:r>
      <w:r w:rsidRPr="00423400" w:rsidR="00CD72D9">
        <w:rPr>
          <w:rFonts w:cs="Times New Roman"/>
          <w:szCs w:val="24"/>
        </w:rPr>
        <w:t xml:space="preserve"> </w:t>
      </w:r>
      <w:r w:rsidRPr="00423400">
        <w:rPr>
          <w:rFonts w:cs="Times New Roman"/>
          <w:szCs w:val="24"/>
        </w:rPr>
        <w:t>in</w:t>
      </w:r>
      <w:r w:rsidRPr="00423400" w:rsidR="00CD72D9">
        <w:rPr>
          <w:rFonts w:cs="Times New Roman"/>
          <w:szCs w:val="24"/>
        </w:rPr>
        <w:t xml:space="preserve"> </w:t>
      </w:r>
      <w:r w:rsidRPr="00423400">
        <w:rPr>
          <w:rFonts w:cs="Times New Roman"/>
          <w:szCs w:val="24"/>
        </w:rPr>
        <w:t>effect</w:t>
      </w:r>
      <w:r w:rsidRPr="00423400" w:rsidR="00CD72D9">
        <w:rPr>
          <w:rFonts w:cs="Times New Roman"/>
          <w:szCs w:val="24"/>
        </w:rPr>
        <w:t xml:space="preserve"> </w:t>
      </w:r>
      <w:r w:rsidRPr="00423400">
        <w:rPr>
          <w:rFonts w:cs="Times New Roman"/>
          <w:szCs w:val="24"/>
        </w:rPr>
        <w:t>until</w:t>
      </w:r>
      <w:r w:rsidRPr="00423400" w:rsidR="00CD72D9">
        <w:rPr>
          <w:rFonts w:cs="Times New Roman"/>
          <w:szCs w:val="24"/>
        </w:rPr>
        <w:t xml:space="preserve"> </w:t>
      </w:r>
      <w:r w:rsidRPr="00423400">
        <w:rPr>
          <w:rFonts w:cs="Times New Roman"/>
          <w:szCs w:val="24"/>
        </w:rPr>
        <w:t>December</w:t>
      </w:r>
      <w:r w:rsidRPr="00423400" w:rsidR="00CD72D9">
        <w:rPr>
          <w:rFonts w:cs="Times New Roman"/>
          <w:szCs w:val="24"/>
        </w:rPr>
        <w:t xml:space="preserve"> </w:t>
      </w:r>
      <w:r w:rsidRPr="00423400">
        <w:rPr>
          <w:rFonts w:cs="Times New Roman"/>
          <w:szCs w:val="24"/>
        </w:rPr>
        <w:t>31,</w:t>
      </w:r>
      <w:r w:rsidRPr="00423400" w:rsidR="00CD72D9">
        <w:rPr>
          <w:rFonts w:cs="Times New Roman"/>
          <w:szCs w:val="24"/>
        </w:rPr>
        <w:t xml:space="preserve"> </w:t>
      </w:r>
      <w:r w:rsidRPr="00423400">
        <w:rPr>
          <w:rFonts w:cs="Times New Roman"/>
          <w:szCs w:val="24"/>
        </w:rPr>
        <w:t>2012.</w:t>
      </w:r>
      <w:r>
        <w:rPr>
          <w:rStyle w:val="FootnoteReference"/>
          <w:rFonts w:cs="Times New Roman"/>
          <w:szCs w:val="24"/>
        </w:rPr>
        <w:footnoteReference w:id="5"/>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w:t>
      </w:r>
      <w:r w:rsidRPr="00423400" w:rsidR="00CD72D9">
        <w:rPr>
          <w:rFonts w:cs="Times New Roman"/>
          <w:szCs w:val="24"/>
        </w:rPr>
        <w:t xml:space="preserve"> </w:t>
      </w:r>
      <w:r w:rsidRPr="00423400">
        <w:rPr>
          <w:rFonts w:cs="Times New Roman"/>
          <w:szCs w:val="24"/>
        </w:rPr>
        <w:t>Settlement</w:t>
      </w:r>
      <w:r w:rsidRPr="00423400" w:rsidR="00CD72D9">
        <w:rPr>
          <w:rFonts w:cs="Times New Roman"/>
          <w:szCs w:val="24"/>
        </w:rPr>
        <w:t xml:space="preserve"> </w:t>
      </w:r>
      <w:r w:rsidRPr="00423400">
        <w:rPr>
          <w:rFonts w:cs="Times New Roman"/>
          <w:szCs w:val="24"/>
        </w:rPr>
        <w:t>likewise</w:t>
      </w:r>
      <w:r w:rsidRPr="00423400" w:rsidR="00CD72D9">
        <w:rPr>
          <w:rFonts w:cs="Times New Roman"/>
          <w:szCs w:val="24"/>
        </w:rPr>
        <w:t xml:space="preserve"> </w:t>
      </w:r>
      <w:r w:rsidRPr="00423400">
        <w:rPr>
          <w:rFonts w:cs="Times New Roman"/>
          <w:szCs w:val="24"/>
        </w:rPr>
        <w:t>provided</w:t>
      </w:r>
      <w:r w:rsidRPr="00423400" w:rsidR="00CD72D9">
        <w:rPr>
          <w:rFonts w:cs="Times New Roman"/>
          <w:szCs w:val="24"/>
        </w:rPr>
        <w:t xml:space="preserve"> </w:t>
      </w:r>
      <w:r w:rsidRPr="00423400">
        <w:rPr>
          <w:rFonts w:cs="Times New Roman"/>
          <w:szCs w:val="24"/>
        </w:rPr>
        <w:t>that certain</w:t>
      </w:r>
      <w:r w:rsidRPr="00423400" w:rsidR="00CD72D9">
        <w:rPr>
          <w:rFonts w:cs="Times New Roman"/>
          <w:szCs w:val="24"/>
        </w:rPr>
        <w:t xml:space="preserve"> </w:t>
      </w:r>
      <w:r w:rsidRPr="00423400">
        <w:rPr>
          <w:rFonts w:cs="Times New Roman"/>
          <w:szCs w:val="24"/>
        </w:rPr>
        <w:t>rates</w:t>
      </w:r>
      <w:r w:rsidRPr="00423400" w:rsidR="00CD72D9">
        <w:rPr>
          <w:rFonts w:cs="Times New Roman"/>
          <w:szCs w:val="24"/>
        </w:rPr>
        <w:t xml:space="preserve"> </w:t>
      </w:r>
      <w:r w:rsidRPr="00423400">
        <w:rPr>
          <w:rFonts w:cs="Times New Roman"/>
          <w:szCs w:val="24"/>
        </w:rPr>
        <w:t>and</w:t>
      </w:r>
      <w:r w:rsidRPr="00423400" w:rsidR="00CD72D9">
        <w:rPr>
          <w:rFonts w:cs="Times New Roman"/>
          <w:szCs w:val="24"/>
        </w:rPr>
        <w:t xml:space="preserve"> </w:t>
      </w:r>
      <w:r w:rsidRPr="00423400">
        <w:rPr>
          <w:rFonts w:cs="Times New Roman"/>
          <w:szCs w:val="24"/>
        </w:rPr>
        <w:t>terms</w:t>
      </w:r>
      <w:r w:rsidRPr="00423400" w:rsidR="00CD72D9">
        <w:rPr>
          <w:rFonts w:cs="Times New Roman"/>
          <w:szCs w:val="24"/>
        </w:rPr>
        <w:t xml:space="preserve"> </w:t>
      </w:r>
      <w:r w:rsidRPr="00423400">
        <w:rPr>
          <w:rFonts w:cs="Times New Roman"/>
          <w:szCs w:val="24"/>
        </w:rPr>
        <w:t>would</w:t>
      </w:r>
      <w:r w:rsidRPr="00423400" w:rsidR="00CD72D9">
        <w:rPr>
          <w:rFonts w:cs="Times New Roman"/>
          <w:szCs w:val="24"/>
        </w:rPr>
        <w:t xml:space="preserve"> </w:t>
      </w:r>
      <w:r w:rsidRPr="00423400">
        <w:rPr>
          <w:rFonts w:cs="Times New Roman"/>
          <w:szCs w:val="24"/>
        </w:rPr>
        <w:t>continue</w:t>
      </w:r>
      <w:r w:rsidRPr="00423400" w:rsidR="00CD72D9">
        <w:rPr>
          <w:rFonts w:cs="Times New Roman"/>
          <w:szCs w:val="24"/>
        </w:rPr>
        <w:t xml:space="preserve"> </w:t>
      </w:r>
      <w:r w:rsidRPr="00423400">
        <w:rPr>
          <w:rFonts w:cs="Times New Roman"/>
          <w:szCs w:val="24"/>
        </w:rPr>
        <w:t>through</w:t>
      </w:r>
      <w:r w:rsidRPr="00423400" w:rsidR="00CD72D9">
        <w:rPr>
          <w:rFonts w:cs="Times New Roman"/>
          <w:szCs w:val="24"/>
        </w:rPr>
        <w:t xml:space="preserve"> </w:t>
      </w:r>
      <w:r w:rsidRPr="00423400">
        <w:rPr>
          <w:rFonts w:cs="Times New Roman"/>
          <w:szCs w:val="24"/>
        </w:rPr>
        <w:t>December</w:t>
      </w:r>
      <w:r w:rsidRPr="00423400" w:rsidR="00CD72D9">
        <w:rPr>
          <w:rFonts w:cs="Times New Roman"/>
          <w:szCs w:val="24"/>
        </w:rPr>
        <w:t xml:space="preserve"> </w:t>
      </w:r>
      <w:r w:rsidRPr="00423400">
        <w:rPr>
          <w:rFonts w:cs="Times New Roman"/>
          <w:szCs w:val="24"/>
        </w:rPr>
        <w:t>31,</w:t>
      </w:r>
      <w:r w:rsidRPr="00423400" w:rsidR="00CD72D9">
        <w:rPr>
          <w:rFonts w:cs="Times New Roman"/>
          <w:szCs w:val="24"/>
        </w:rPr>
        <w:t xml:space="preserve"> </w:t>
      </w:r>
      <w:r w:rsidRPr="00423400">
        <w:rPr>
          <w:rFonts w:cs="Times New Roman"/>
          <w:szCs w:val="24"/>
        </w:rPr>
        <w:t>2012.</w:t>
      </w:r>
      <w:r w:rsidRPr="00423400" w:rsidR="00CD72D9">
        <w:rPr>
          <w:rFonts w:cs="Times New Roman"/>
          <w:szCs w:val="24"/>
        </w:rPr>
        <w:t xml:space="preserve"> </w:t>
      </w:r>
      <w:r w:rsidRPr="00423400">
        <w:rPr>
          <w:rFonts w:cs="Times New Roman"/>
          <w:szCs w:val="24"/>
        </w:rPr>
        <w:t>Two</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these</w:t>
      </w:r>
      <w:r w:rsidRPr="00423400" w:rsidR="00CD72D9">
        <w:rPr>
          <w:rFonts w:cs="Times New Roman"/>
          <w:szCs w:val="24"/>
        </w:rPr>
        <w:t xml:space="preserve"> </w:t>
      </w:r>
      <w:r w:rsidRPr="00423400">
        <w:rPr>
          <w:rFonts w:cs="Times New Roman"/>
          <w:szCs w:val="24"/>
        </w:rPr>
        <w:t>provisions</w:t>
      </w:r>
      <w:r w:rsidRPr="00423400" w:rsidR="00CD72D9">
        <w:rPr>
          <w:rFonts w:cs="Times New Roman"/>
          <w:szCs w:val="24"/>
        </w:rPr>
        <w:t xml:space="preserve"> </w:t>
      </w:r>
      <w:r w:rsidRPr="00423400">
        <w:rPr>
          <w:rFonts w:cs="Times New Roman"/>
          <w:szCs w:val="24"/>
        </w:rPr>
        <w:t>are relevant</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current</w:t>
      </w:r>
      <w:r w:rsidRPr="00423400" w:rsidR="00CD72D9">
        <w:rPr>
          <w:rFonts w:cs="Times New Roman"/>
          <w:szCs w:val="24"/>
        </w:rPr>
        <w:t xml:space="preserve"> </w:t>
      </w:r>
      <w:r w:rsidRPr="00423400">
        <w:rPr>
          <w:rFonts w:cs="Times New Roman"/>
          <w:szCs w:val="24"/>
        </w:rPr>
        <w:t>case.</w:t>
      </w:r>
    </w:p>
    <w:p w:rsidR="00F955D3" w:rsidRPr="00423400" w:rsidP="00F955D3" w14:paraId="5C3826F9" w14:textId="77777777">
      <w:pPr>
        <w:spacing w:after="0" w:line="480" w:lineRule="auto"/>
        <w:ind w:firstLine="720"/>
        <w:rPr>
          <w:rFonts w:cs="Times New Roman"/>
          <w:szCs w:val="24"/>
        </w:rPr>
      </w:pPr>
      <w:r w:rsidRPr="00423400">
        <w:rPr>
          <w:rFonts w:cs="Times New Roman"/>
          <w:szCs w:val="24"/>
        </w:rPr>
        <w:t>First,</w:t>
      </w:r>
      <w:r w:rsidRPr="00423400" w:rsidR="00CD72D9">
        <w:rPr>
          <w:rFonts w:cs="Times New Roman"/>
          <w:szCs w:val="24"/>
        </w:rPr>
        <w:t xml:space="preserve"> </w:t>
      </w:r>
      <w:r w:rsidRPr="00423400">
        <w:rPr>
          <w:rFonts w:cs="Times New Roman"/>
          <w:szCs w:val="24"/>
        </w:rPr>
        <w:t>under</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w:t>
      </w:r>
      <w:r w:rsidRPr="00423400" w:rsidR="00CD72D9">
        <w:rPr>
          <w:rFonts w:cs="Times New Roman"/>
          <w:szCs w:val="24"/>
        </w:rPr>
        <w:t xml:space="preserve"> </w:t>
      </w:r>
      <w:r w:rsidRPr="00423400">
        <w:rPr>
          <w:rFonts w:cs="Times New Roman"/>
          <w:szCs w:val="24"/>
        </w:rPr>
        <w:t>Settlement,</w:t>
      </w:r>
      <w:r w:rsidRPr="00423400" w:rsidR="00CD72D9">
        <w:rPr>
          <w:rFonts w:cs="Times New Roman"/>
          <w:szCs w:val="24"/>
        </w:rPr>
        <w:t xml:space="preserve"> </w:t>
      </w:r>
      <w:r w:rsidRPr="00423400">
        <w:rPr>
          <w:rFonts w:cs="Times New Roman"/>
          <w:szCs w:val="24"/>
        </w:rPr>
        <w:t>DP&amp;L</w:t>
      </w:r>
      <w:r w:rsidRPr="00423400" w:rsidR="00CD72D9">
        <w:rPr>
          <w:rFonts w:cs="Times New Roman"/>
          <w:szCs w:val="24"/>
        </w:rPr>
        <w:t xml:space="preserve"> </w:t>
      </w:r>
      <w:r w:rsidRPr="00423400">
        <w:rPr>
          <w:rFonts w:cs="Times New Roman"/>
          <w:szCs w:val="24"/>
        </w:rPr>
        <w:t>was</w:t>
      </w:r>
      <w:r w:rsidRPr="00423400" w:rsidR="00CD72D9">
        <w:rPr>
          <w:rFonts w:cs="Times New Roman"/>
          <w:szCs w:val="24"/>
        </w:rPr>
        <w:t xml:space="preserve"> </w:t>
      </w:r>
      <w:r w:rsidRPr="00423400">
        <w:rPr>
          <w:rFonts w:cs="Times New Roman"/>
          <w:szCs w:val="24"/>
        </w:rPr>
        <w:t>allowed</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continue</w:t>
      </w:r>
      <w:r w:rsidRPr="00423400" w:rsidR="00CD72D9">
        <w:rPr>
          <w:rFonts w:cs="Times New Roman"/>
          <w:szCs w:val="24"/>
        </w:rPr>
        <w:t xml:space="preserve"> </w:t>
      </w:r>
      <w:r w:rsidRPr="00423400">
        <w:rPr>
          <w:rFonts w:cs="Times New Roman"/>
          <w:szCs w:val="24"/>
        </w:rPr>
        <w:t>charging</w:t>
      </w:r>
      <w:r w:rsidRPr="00423400" w:rsidR="00CD72D9">
        <w:rPr>
          <w:rFonts w:cs="Times New Roman"/>
          <w:szCs w:val="24"/>
        </w:rPr>
        <w:t xml:space="preserve"> </w:t>
      </w:r>
      <w:r w:rsidRPr="00423400">
        <w:rPr>
          <w:rFonts w:cs="Times New Roman"/>
          <w:szCs w:val="24"/>
        </w:rPr>
        <w:t>consumers under</w:t>
      </w:r>
      <w:r w:rsidRPr="00423400" w:rsidR="00CD72D9">
        <w:rPr>
          <w:rFonts w:cs="Times New Roman"/>
          <w:szCs w:val="24"/>
        </w:rPr>
        <w:t xml:space="preserve"> </w:t>
      </w:r>
      <w:r w:rsidRPr="00423400">
        <w:rPr>
          <w:rFonts w:cs="Times New Roman"/>
          <w:szCs w:val="24"/>
        </w:rPr>
        <w:t>its</w:t>
      </w:r>
      <w:r w:rsidRPr="00423400" w:rsidR="00CD72D9">
        <w:rPr>
          <w:rFonts w:cs="Times New Roman"/>
          <w:szCs w:val="24"/>
        </w:rPr>
        <w:t xml:space="preserve"> </w:t>
      </w:r>
      <w:r w:rsidRPr="00423400">
        <w:rPr>
          <w:rFonts w:cs="Times New Roman"/>
          <w:szCs w:val="24"/>
        </w:rPr>
        <w:t>Rate</w:t>
      </w:r>
      <w:r w:rsidRPr="00423400" w:rsidR="00CD72D9">
        <w:rPr>
          <w:rFonts w:cs="Times New Roman"/>
          <w:szCs w:val="24"/>
        </w:rPr>
        <w:t xml:space="preserve"> </w:t>
      </w:r>
      <w:r w:rsidRPr="00423400">
        <w:rPr>
          <w:rFonts w:cs="Times New Roman"/>
          <w:szCs w:val="24"/>
        </w:rPr>
        <w:t>Stabilization</w:t>
      </w:r>
      <w:r w:rsidRPr="00423400" w:rsidR="00CD72D9">
        <w:rPr>
          <w:rFonts w:cs="Times New Roman"/>
          <w:szCs w:val="24"/>
        </w:rPr>
        <w:t xml:space="preserve"> </w:t>
      </w:r>
      <w:r w:rsidRPr="00423400">
        <w:rPr>
          <w:rFonts w:cs="Times New Roman"/>
          <w:szCs w:val="24"/>
        </w:rPr>
        <w:t>Charge</w:t>
      </w:r>
      <w:r w:rsidRPr="00423400" w:rsidR="00CD72D9">
        <w:rPr>
          <w:rFonts w:cs="Times New Roman"/>
          <w:szCs w:val="24"/>
        </w:rPr>
        <w:t xml:space="preserve"> </w:t>
      </w:r>
      <w:r w:rsidRPr="00423400">
        <w:rPr>
          <w:rFonts w:cs="Times New Roman"/>
          <w:szCs w:val="24"/>
        </w:rPr>
        <w:t>or</w:t>
      </w:r>
      <w:r w:rsidRPr="00423400" w:rsidR="00CD72D9">
        <w:rPr>
          <w:rFonts w:cs="Times New Roman"/>
          <w:szCs w:val="24"/>
        </w:rPr>
        <w:t xml:space="preserve"> </w:t>
      </w:r>
      <w:r w:rsidRPr="00423400">
        <w:rPr>
          <w:rFonts w:cs="Times New Roman"/>
          <w:szCs w:val="24"/>
        </w:rPr>
        <w:t>“RSC”</w:t>
      </w:r>
      <w:r w:rsidRPr="00423400" w:rsidR="00CD72D9">
        <w:rPr>
          <w:rFonts w:cs="Times New Roman"/>
          <w:szCs w:val="24"/>
        </w:rPr>
        <w:t xml:space="preserve"> </w:t>
      </w:r>
      <w:r w:rsidRPr="00423400">
        <w:rPr>
          <w:rFonts w:cs="Times New Roman"/>
          <w:szCs w:val="24"/>
        </w:rPr>
        <w:t>through</w:t>
      </w:r>
      <w:r w:rsidRPr="00423400" w:rsidR="00CD72D9">
        <w:rPr>
          <w:rFonts w:cs="Times New Roman"/>
          <w:szCs w:val="24"/>
        </w:rPr>
        <w:t xml:space="preserve"> </w:t>
      </w:r>
      <w:r w:rsidRPr="00423400">
        <w:rPr>
          <w:rFonts w:cs="Times New Roman"/>
          <w:szCs w:val="24"/>
        </w:rPr>
        <w:t>December</w:t>
      </w:r>
      <w:r w:rsidRPr="00423400" w:rsidR="00CD72D9">
        <w:rPr>
          <w:rFonts w:cs="Times New Roman"/>
          <w:szCs w:val="24"/>
        </w:rPr>
        <w:t xml:space="preserve"> </w:t>
      </w:r>
      <w:r w:rsidRPr="00423400">
        <w:rPr>
          <w:rFonts w:cs="Times New Roman"/>
          <w:szCs w:val="24"/>
        </w:rPr>
        <w:t>31,</w:t>
      </w:r>
      <w:r w:rsidRPr="00423400" w:rsidR="00CD72D9">
        <w:rPr>
          <w:rFonts w:cs="Times New Roman"/>
          <w:szCs w:val="24"/>
        </w:rPr>
        <w:t xml:space="preserve"> </w:t>
      </w:r>
      <w:r w:rsidRPr="00423400">
        <w:rPr>
          <w:rFonts w:cs="Times New Roman"/>
          <w:szCs w:val="24"/>
        </w:rPr>
        <w:t>2012.</w:t>
      </w:r>
      <w:r>
        <w:rPr>
          <w:rStyle w:val="FootnoteReference"/>
          <w:rFonts w:cs="Times New Roman"/>
          <w:szCs w:val="24"/>
        </w:rPr>
        <w:footnoteReference w:id="6"/>
      </w:r>
      <w:r w:rsidRPr="00423400" w:rsidR="00CD72D9">
        <w:rPr>
          <w:rFonts w:cs="Times New Roman"/>
          <w:szCs w:val="24"/>
        </w:rPr>
        <w:t xml:space="preserve"> </w:t>
      </w:r>
      <w:r w:rsidRPr="00423400">
        <w:rPr>
          <w:rFonts w:cs="Times New Roman"/>
          <w:szCs w:val="24"/>
        </w:rPr>
        <w:t>DP&amp;L</w:t>
      </w:r>
      <w:r w:rsidRPr="00423400" w:rsidR="00CD72D9">
        <w:rPr>
          <w:rFonts w:cs="Times New Roman"/>
          <w:szCs w:val="24"/>
        </w:rPr>
        <w:t xml:space="preserve"> </w:t>
      </w:r>
      <w:r w:rsidRPr="00423400">
        <w:rPr>
          <w:rFonts w:cs="Times New Roman"/>
          <w:szCs w:val="24"/>
        </w:rPr>
        <w:t>consumers</w:t>
      </w:r>
      <w:r w:rsidRPr="00423400" w:rsidR="00CD72D9">
        <w:rPr>
          <w:rFonts w:cs="Times New Roman"/>
          <w:szCs w:val="24"/>
        </w:rPr>
        <w:t xml:space="preserve"> </w:t>
      </w:r>
      <w:r w:rsidRPr="00423400">
        <w:rPr>
          <w:rFonts w:cs="Times New Roman"/>
          <w:szCs w:val="24"/>
        </w:rPr>
        <w:t>are paying</w:t>
      </w:r>
      <w:r w:rsidRPr="00423400" w:rsidR="00CD72D9">
        <w:rPr>
          <w:rFonts w:cs="Times New Roman"/>
          <w:szCs w:val="24"/>
        </w:rPr>
        <w:t xml:space="preserve"> </w:t>
      </w:r>
      <w:r w:rsidRPr="00423400">
        <w:rPr>
          <w:rFonts w:cs="Times New Roman"/>
          <w:szCs w:val="24"/>
        </w:rPr>
        <w:t>that</w:t>
      </w:r>
      <w:r w:rsidRPr="00423400" w:rsidR="00CD72D9">
        <w:rPr>
          <w:rFonts w:cs="Times New Roman"/>
          <w:szCs w:val="24"/>
        </w:rPr>
        <w:t xml:space="preserve"> </w:t>
      </w:r>
      <w:r w:rsidRPr="00423400">
        <w:rPr>
          <w:rFonts w:cs="Times New Roman"/>
          <w:szCs w:val="24"/>
        </w:rPr>
        <w:t>Rate</w:t>
      </w:r>
      <w:r w:rsidRPr="00423400" w:rsidR="00CD72D9">
        <w:rPr>
          <w:rFonts w:cs="Times New Roman"/>
          <w:szCs w:val="24"/>
        </w:rPr>
        <w:t xml:space="preserve"> </w:t>
      </w:r>
      <w:r w:rsidRPr="00423400">
        <w:rPr>
          <w:rFonts w:cs="Times New Roman"/>
          <w:szCs w:val="24"/>
        </w:rPr>
        <w:t>Stabilization</w:t>
      </w:r>
      <w:r w:rsidRPr="00423400" w:rsidR="00CD72D9">
        <w:rPr>
          <w:rFonts w:cs="Times New Roman"/>
          <w:szCs w:val="24"/>
        </w:rPr>
        <w:t xml:space="preserve"> </w:t>
      </w:r>
      <w:r w:rsidR="00065AC0">
        <w:rPr>
          <w:rFonts w:cs="Times New Roman"/>
          <w:szCs w:val="24"/>
        </w:rPr>
        <w:t>C</w:t>
      </w:r>
      <w:r w:rsidRPr="00423400">
        <w:rPr>
          <w:rFonts w:cs="Times New Roman"/>
          <w:szCs w:val="24"/>
        </w:rPr>
        <w:t>harge</w:t>
      </w:r>
      <w:r w:rsidRPr="00423400" w:rsidR="00CD72D9">
        <w:rPr>
          <w:rFonts w:cs="Times New Roman"/>
          <w:szCs w:val="24"/>
        </w:rPr>
        <w:t xml:space="preserve"> </w:t>
      </w:r>
      <w:r w:rsidRPr="00423400">
        <w:rPr>
          <w:rFonts w:cs="Times New Roman"/>
          <w:szCs w:val="24"/>
        </w:rPr>
        <w:t>today</w:t>
      </w:r>
      <w:r w:rsidRPr="00423400" w:rsidR="00CD72D9">
        <w:rPr>
          <w:rFonts w:cs="Times New Roman"/>
          <w:szCs w:val="24"/>
        </w:rPr>
        <w:t xml:space="preserve"> </w:t>
      </w:r>
      <w:r w:rsidRPr="00423400">
        <w:rPr>
          <w:rFonts w:cs="Times New Roman"/>
          <w:szCs w:val="24"/>
        </w:rPr>
        <w:t>under</w:t>
      </w:r>
      <w:r w:rsidRPr="00423400" w:rsidR="00CD72D9">
        <w:rPr>
          <w:rFonts w:cs="Times New Roman"/>
          <w:szCs w:val="24"/>
        </w:rPr>
        <w:t xml:space="preserve"> </w:t>
      </w:r>
      <w:r w:rsidRPr="00423400">
        <w:rPr>
          <w:rFonts w:cs="Times New Roman"/>
          <w:szCs w:val="24"/>
        </w:rPr>
        <w:t>DP&amp;L’s</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w:t>
      </w:r>
      <w:r w:rsidRPr="00423400" w:rsidR="00CD72D9">
        <w:rPr>
          <w:rFonts w:cs="Times New Roman"/>
          <w:szCs w:val="24"/>
        </w:rPr>
        <w:t xml:space="preserve"> </w:t>
      </w:r>
      <w:r w:rsidRPr="00423400">
        <w:rPr>
          <w:rFonts w:cs="Times New Roman"/>
          <w:szCs w:val="24"/>
        </w:rPr>
        <w:t>which</w:t>
      </w:r>
      <w:r w:rsidRPr="00423400" w:rsidR="00CD72D9">
        <w:rPr>
          <w:rFonts w:cs="Times New Roman"/>
          <w:szCs w:val="24"/>
        </w:rPr>
        <w:t xml:space="preserve"> </w:t>
      </w:r>
      <w:r w:rsidRPr="00423400">
        <w:rPr>
          <w:rFonts w:cs="Times New Roman"/>
          <w:szCs w:val="24"/>
        </w:rPr>
        <w:t>was</w:t>
      </w:r>
      <w:r w:rsidRPr="00423400" w:rsidR="00CD72D9">
        <w:rPr>
          <w:rFonts w:cs="Times New Roman"/>
          <w:szCs w:val="24"/>
        </w:rPr>
        <w:t xml:space="preserve"> </w:t>
      </w:r>
      <w:r w:rsidRPr="00423400">
        <w:rPr>
          <w:rFonts w:cs="Times New Roman"/>
          <w:szCs w:val="24"/>
        </w:rPr>
        <w:t>reinitiated December</w:t>
      </w:r>
      <w:r w:rsidRPr="00423400" w:rsidR="00CD72D9">
        <w:rPr>
          <w:rFonts w:cs="Times New Roman"/>
          <w:szCs w:val="24"/>
        </w:rPr>
        <w:t xml:space="preserve"> </w:t>
      </w:r>
      <w:r w:rsidRPr="00423400">
        <w:rPr>
          <w:rFonts w:cs="Times New Roman"/>
          <w:szCs w:val="24"/>
        </w:rPr>
        <w:t>19,</w:t>
      </w:r>
      <w:r w:rsidRPr="00423400" w:rsidR="00CD72D9">
        <w:rPr>
          <w:rFonts w:cs="Times New Roman"/>
          <w:szCs w:val="24"/>
        </w:rPr>
        <w:t xml:space="preserve"> </w:t>
      </w:r>
      <w:r w:rsidRPr="00423400">
        <w:rPr>
          <w:rFonts w:cs="Times New Roman"/>
          <w:szCs w:val="24"/>
        </w:rPr>
        <w:t>2019.</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date,</w:t>
      </w:r>
      <w:r w:rsidRPr="00423400" w:rsidR="00CD72D9">
        <w:rPr>
          <w:rFonts w:cs="Times New Roman"/>
          <w:szCs w:val="24"/>
        </w:rPr>
        <w:t xml:space="preserve"> </w:t>
      </w:r>
      <w:r w:rsidRPr="00423400">
        <w:rPr>
          <w:rFonts w:cs="Times New Roman"/>
          <w:szCs w:val="24"/>
        </w:rPr>
        <w:t>DP&amp;L</w:t>
      </w:r>
      <w:r w:rsidRPr="00423400" w:rsidR="00CD72D9">
        <w:rPr>
          <w:rFonts w:cs="Times New Roman"/>
          <w:szCs w:val="24"/>
        </w:rPr>
        <w:t xml:space="preserve"> </w:t>
      </w:r>
      <w:r w:rsidRPr="00423400">
        <w:rPr>
          <w:rFonts w:cs="Times New Roman"/>
          <w:szCs w:val="24"/>
        </w:rPr>
        <w:t>consumers</w:t>
      </w:r>
      <w:r w:rsidRPr="00423400" w:rsidR="00CD72D9">
        <w:rPr>
          <w:rFonts w:cs="Times New Roman"/>
          <w:szCs w:val="24"/>
        </w:rPr>
        <w:t xml:space="preserve"> </w:t>
      </w:r>
      <w:r w:rsidRPr="00423400">
        <w:rPr>
          <w:rFonts w:cs="Times New Roman"/>
          <w:szCs w:val="24"/>
        </w:rPr>
        <w:t>have</w:t>
      </w:r>
      <w:r w:rsidRPr="00423400" w:rsidR="00CD72D9">
        <w:rPr>
          <w:rFonts w:cs="Times New Roman"/>
          <w:szCs w:val="24"/>
        </w:rPr>
        <w:t xml:space="preserve"> </w:t>
      </w:r>
      <w:r w:rsidRPr="00423400">
        <w:rPr>
          <w:rFonts w:cs="Times New Roman"/>
          <w:szCs w:val="24"/>
        </w:rPr>
        <w:t>paid</w:t>
      </w:r>
      <w:r w:rsidRPr="00423400" w:rsidR="00CD72D9">
        <w:rPr>
          <w:rFonts w:cs="Times New Roman"/>
          <w:szCs w:val="24"/>
        </w:rPr>
        <w:t xml:space="preserve"> </w:t>
      </w:r>
      <w:r w:rsidRPr="00423400">
        <w:rPr>
          <w:rFonts w:cs="Times New Roman"/>
          <w:szCs w:val="24"/>
        </w:rPr>
        <w:t>more</w:t>
      </w:r>
      <w:r w:rsidRPr="00423400" w:rsidR="00CD72D9">
        <w:rPr>
          <w:rFonts w:cs="Times New Roman"/>
          <w:szCs w:val="24"/>
        </w:rPr>
        <w:t xml:space="preserve"> </w:t>
      </w:r>
      <w:r w:rsidRPr="00423400">
        <w:rPr>
          <w:rFonts w:cs="Times New Roman"/>
          <w:szCs w:val="24"/>
        </w:rPr>
        <w:t>than</w:t>
      </w:r>
      <w:r w:rsidRPr="00423400" w:rsidR="00CD72D9">
        <w:rPr>
          <w:rFonts w:cs="Times New Roman"/>
          <w:szCs w:val="24"/>
        </w:rPr>
        <w:t xml:space="preserve"> </w:t>
      </w:r>
      <w:r w:rsidRPr="00144351">
        <w:rPr>
          <w:rFonts w:cs="Times New Roman"/>
          <w:szCs w:val="24"/>
        </w:rPr>
        <w:t>a</w:t>
      </w:r>
      <w:r w:rsidRPr="00144351" w:rsidR="00CD72D9">
        <w:rPr>
          <w:rFonts w:cs="Times New Roman"/>
          <w:szCs w:val="24"/>
        </w:rPr>
        <w:t xml:space="preserve"> </w:t>
      </w:r>
      <w:r w:rsidRPr="00144351">
        <w:rPr>
          <w:rFonts w:cs="Times New Roman"/>
          <w:szCs w:val="24"/>
        </w:rPr>
        <w:t>half</w:t>
      </w:r>
      <w:r w:rsidRPr="00144351" w:rsidR="00CD72D9">
        <w:rPr>
          <w:rFonts w:cs="Times New Roman"/>
          <w:szCs w:val="24"/>
        </w:rPr>
        <w:t xml:space="preserve"> </w:t>
      </w:r>
      <w:r w:rsidRPr="00144351">
        <w:rPr>
          <w:rFonts w:cs="Times New Roman"/>
          <w:szCs w:val="24"/>
        </w:rPr>
        <w:t>billion</w:t>
      </w:r>
      <w:r w:rsidRPr="00144351" w:rsidR="00CD72D9">
        <w:rPr>
          <w:rFonts w:cs="Times New Roman"/>
          <w:szCs w:val="24"/>
        </w:rPr>
        <w:t xml:space="preserve"> </w:t>
      </w:r>
      <w:r w:rsidRPr="00144351">
        <w:rPr>
          <w:rFonts w:cs="Times New Roman"/>
          <w:szCs w:val="24"/>
        </w:rPr>
        <w:t>dollars</w:t>
      </w:r>
      <w:r w:rsidRPr="00423400" w:rsidR="00CD72D9">
        <w:rPr>
          <w:rFonts w:cs="Times New Roman"/>
          <w:szCs w:val="24"/>
        </w:rPr>
        <w:t xml:space="preserve"> </w:t>
      </w:r>
      <w:r w:rsidRPr="00423400">
        <w:rPr>
          <w:rFonts w:cs="Times New Roman"/>
          <w:szCs w:val="24"/>
        </w:rPr>
        <w:t xml:space="preserve">in </w:t>
      </w:r>
      <w:r w:rsidR="001B332E">
        <w:rPr>
          <w:rFonts w:cs="Times New Roman"/>
          <w:szCs w:val="24"/>
        </w:rPr>
        <w:t xml:space="preserve">so-called </w:t>
      </w:r>
      <w:r w:rsidR="00623680">
        <w:rPr>
          <w:rFonts w:cs="Times New Roman"/>
          <w:szCs w:val="24"/>
        </w:rPr>
        <w:t>“</w:t>
      </w:r>
      <w:r w:rsidRPr="00423400">
        <w:rPr>
          <w:rFonts w:cs="Times New Roman"/>
          <w:szCs w:val="24"/>
        </w:rPr>
        <w:t>stability</w:t>
      </w:r>
      <w:r w:rsidR="00623680">
        <w:rPr>
          <w:rFonts w:cs="Times New Roman"/>
          <w:szCs w:val="24"/>
        </w:rPr>
        <w:t>”</w:t>
      </w:r>
      <w:r w:rsidRPr="00423400" w:rsidR="00CD72D9">
        <w:rPr>
          <w:rFonts w:cs="Times New Roman"/>
          <w:szCs w:val="24"/>
        </w:rPr>
        <w:t xml:space="preserve"> </w:t>
      </w:r>
      <w:r w:rsidRPr="00423400">
        <w:rPr>
          <w:rFonts w:cs="Times New Roman"/>
          <w:szCs w:val="24"/>
        </w:rPr>
        <w:t>charges</w:t>
      </w:r>
      <w:r w:rsidRPr="00423400" w:rsidR="00CD72D9">
        <w:rPr>
          <w:rFonts w:cs="Times New Roman"/>
          <w:szCs w:val="24"/>
        </w:rPr>
        <w:t xml:space="preserve"> </w:t>
      </w:r>
      <w:r w:rsidRPr="00423400">
        <w:rPr>
          <w:rFonts w:cs="Times New Roman"/>
          <w:szCs w:val="24"/>
        </w:rPr>
        <w:t>under</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001B332E">
        <w:rPr>
          <w:rFonts w:cs="Times New Roman"/>
          <w:szCs w:val="24"/>
        </w:rPr>
        <w:t>I</w:t>
      </w:r>
      <w:r w:rsidRPr="00423400">
        <w:rPr>
          <w:rFonts w:cs="Times New Roman"/>
          <w:szCs w:val="24"/>
        </w:rPr>
        <w:t>.</w:t>
      </w:r>
      <w:r w:rsidRPr="00423400" w:rsidR="00CD72D9">
        <w:rPr>
          <w:rFonts w:cs="Times New Roman"/>
          <w:szCs w:val="24"/>
        </w:rPr>
        <w:t xml:space="preserve"> </w:t>
      </w:r>
      <w:r w:rsidRPr="00423400">
        <w:rPr>
          <w:rFonts w:cs="Times New Roman"/>
          <w:szCs w:val="24"/>
        </w:rPr>
        <w:t>With</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recent</w:t>
      </w:r>
      <w:r w:rsidRPr="00423400" w:rsidR="00CD72D9">
        <w:rPr>
          <w:rFonts w:cs="Times New Roman"/>
          <w:szCs w:val="24"/>
        </w:rPr>
        <w:t xml:space="preserve"> </w:t>
      </w:r>
      <w:r w:rsidRPr="00423400">
        <w:rPr>
          <w:rFonts w:cs="Times New Roman"/>
          <w:szCs w:val="24"/>
        </w:rPr>
        <w:t>PUCO-approved</w:t>
      </w:r>
      <w:r w:rsidRPr="00423400" w:rsidR="00CD72D9">
        <w:rPr>
          <w:rFonts w:cs="Times New Roman"/>
          <w:szCs w:val="24"/>
        </w:rPr>
        <w:t xml:space="preserve"> </w:t>
      </w:r>
      <w:r w:rsidRPr="00423400">
        <w:rPr>
          <w:rFonts w:cs="Times New Roman"/>
          <w:szCs w:val="24"/>
        </w:rPr>
        <w:t>settlement</w:t>
      </w:r>
      <w:r w:rsidRPr="00423400" w:rsidR="00CD72D9">
        <w:rPr>
          <w:rFonts w:cs="Times New Roman"/>
          <w:szCs w:val="24"/>
        </w:rPr>
        <w:t xml:space="preserve"> </w:t>
      </w:r>
      <w:r w:rsidRPr="00423400">
        <w:rPr>
          <w:rFonts w:cs="Times New Roman"/>
          <w:szCs w:val="24"/>
        </w:rPr>
        <w:t>(opposed</w:t>
      </w:r>
      <w:r w:rsidRPr="00423400" w:rsidR="00CD72D9">
        <w:rPr>
          <w:rFonts w:cs="Times New Roman"/>
          <w:szCs w:val="24"/>
        </w:rPr>
        <w:t xml:space="preserve"> </w:t>
      </w:r>
      <w:r w:rsidRPr="00423400">
        <w:rPr>
          <w:rFonts w:cs="Times New Roman"/>
          <w:szCs w:val="24"/>
        </w:rPr>
        <w:t>by</w:t>
      </w:r>
      <w:r w:rsidRPr="00423400" w:rsidR="00CD72D9">
        <w:rPr>
          <w:rFonts w:cs="Times New Roman"/>
          <w:szCs w:val="24"/>
        </w:rPr>
        <w:t xml:space="preserve"> </w:t>
      </w:r>
      <w:r w:rsidRPr="00423400">
        <w:rPr>
          <w:rFonts w:cs="Times New Roman"/>
          <w:szCs w:val="24"/>
        </w:rPr>
        <w:t>OCC), DP&amp;L customers</w:t>
      </w:r>
      <w:r w:rsidRPr="00423400" w:rsidR="00CD72D9">
        <w:rPr>
          <w:rFonts w:cs="Times New Roman"/>
          <w:szCs w:val="24"/>
        </w:rPr>
        <w:t xml:space="preserve"> </w:t>
      </w:r>
      <w:r w:rsidRPr="00423400">
        <w:rPr>
          <w:rFonts w:cs="Times New Roman"/>
          <w:szCs w:val="24"/>
        </w:rPr>
        <w:t>can</w:t>
      </w:r>
      <w:r w:rsidRPr="00423400" w:rsidR="00CD72D9">
        <w:rPr>
          <w:rFonts w:cs="Times New Roman"/>
          <w:szCs w:val="24"/>
        </w:rPr>
        <w:t xml:space="preserve"> </w:t>
      </w:r>
      <w:r w:rsidRPr="00423400">
        <w:rPr>
          <w:rFonts w:cs="Times New Roman"/>
          <w:szCs w:val="24"/>
        </w:rPr>
        <w:t>be</w:t>
      </w:r>
      <w:r w:rsidRPr="00423400" w:rsidR="00CD72D9">
        <w:rPr>
          <w:rFonts w:cs="Times New Roman"/>
          <w:szCs w:val="24"/>
        </w:rPr>
        <w:t xml:space="preserve"> </w:t>
      </w:r>
      <w:r w:rsidRPr="00423400">
        <w:rPr>
          <w:rFonts w:cs="Times New Roman"/>
          <w:szCs w:val="24"/>
        </w:rPr>
        <w:t>expected</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pay</w:t>
      </w:r>
      <w:r w:rsidRPr="00423400" w:rsidR="00CD72D9">
        <w:rPr>
          <w:rFonts w:cs="Times New Roman"/>
          <w:szCs w:val="24"/>
        </w:rPr>
        <w:t xml:space="preserve"> </w:t>
      </w:r>
      <w:r w:rsidRPr="00423400">
        <w:rPr>
          <w:rFonts w:cs="Times New Roman"/>
          <w:szCs w:val="24"/>
        </w:rPr>
        <w:t>$79</w:t>
      </w:r>
      <w:r w:rsidRPr="00423400" w:rsidR="00CD72D9">
        <w:rPr>
          <w:rFonts w:cs="Times New Roman"/>
          <w:szCs w:val="24"/>
        </w:rPr>
        <w:t xml:space="preserve"> </w:t>
      </w:r>
      <w:r w:rsidRPr="00423400">
        <w:rPr>
          <w:rFonts w:cs="Times New Roman"/>
          <w:szCs w:val="24"/>
        </w:rPr>
        <w:t>million</w:t>
      </w:r>
      <w:r w:rsidRPr="00423400" w:rsidR="00CD72D9">
        <w:rPr>
          <w:rFonts w:cs="Times New Roman"/>
          <w:szCs w:val="24"/>
        </w:rPr>
        <w:t xml:space="preserve"> </w:t>
      </w:r>
      <w:r w:rsidRPr="00423400">
        <w:rPr>
          <w:rFonts w:cs="Times New Roman"/>
          <w:szCs w:val="24"/>
        </w:rPr>
        <w:t>per</w:t>
      </w:r>
      <w:r w:rsidRPr="00423400" w:rsidR="00CD72D9">
        <w:rPr>
          <w:rFonts w:cs="Times New Roman"/>
          <w:szCs w:val="24"/>
        </w:rPr>
        <w:t xml:space="preserve"> </w:t>
      </w:r>
      <w:r w:rsidRPr="00423400">
        <w:rPr>
          <w:rFonts w:cs="Times New Roman"/>
          <w:szCs w:val="24"/>
        </w:rPr>
        <w:t>year</w:t>
      </w:r>
      <w:r w:rsidRPr="00423400" w:rsidR="00CD72D9">
        <w:rPr>
          <w:rFonts w:cs="Times New Roman"/>
          <w:szCs w:val="24"/>
        </w:rPr>
        <w:t xml:space="preserve"> </w:t>
      </w:r>
      <w:r w:rsidRPr="00423400">
        <w:rPr>
          <w:rFonts w:cs="Times New Roman"/>
          <w:szCs w:val="24"/>
        </w:rPr>
        <w:t>in</w:t>
      </w:r>
      <w:r w:rsidRPr="00423400" w:rsidR="00CD72D9">
        <w:rPr>
          <w:rFonts w:cs="Times New Roman"/>
          <w:szCs w:val="24"/>
        </w:rPr>
        <w:t xml:space="preserve"> </w:t>
      </w:r>
      <w:r w:rsidRPr="00423400">
        <w:rPr>
          <w:rFonts w:cs="Times New Roman"/>
          <w:szCs w:val="24"/>
        </w:rPr>
        <w:t>stabilization</w:t>
      </w:r>
      <w:r w:rsidRPr="00423400" w:rsidR="00CD72D9">
        <w:rPr>
          <w:rFonts w:cs="Times New Roman"/>
          <w:szCs w:val="24"/>
        </w:rPr>
        <w:t xml:space="preserve"> </w:t>
      </w:r>
      <w:r w:rsidRPr="00423400">
        <w:rPr>
          <w:rFonts w:cs="Times New Roman"/>
          <w:szCs w:val="24"/>
        </w:rPr>
        <w:t>charges</w:t>
      </w:r>
      <w:r w:rsidRPr="00423400" w:rsidR="00CD72D9">
        <w:rPr>
          <w:rFonts w:cs="Times New Roman"/>
          <w:szCs w:val="24"/>
        </w:rPr>
        <w:t xml:space="preserve"> </w:t>
      </w:r>
      <w:r w:rsidRPr="00423400">
        <w:rPr>
          <w:rFonts w:cs="Times New Roman"/>
          <w:szCs w:val="24"/>
        </w:rPr>
        <w:t>through 2024</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supposed</w:t>
      </w:r>
      <w:r w:rsidRPr="00423400" w:rsidR="00CD72D9">
        <w:rPr>
          <w:rFonts w:cs="Times New Roman"/>
          <w:szCs w:val="24"/>
        </w:rPr>
        <w:t xml:space="preserve"> </w:t>
      </w:r>
      <w:r w:rsidRPr="00423400">
        <w:rPr>
          <w:rFonts w:cs="Times New Roman"/>
          <w:szCs w:val="24"/>
        </w:rPr>
        <w:t>end</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w:t>
      </w:r>
      <w:r w:rsidRPr="00423400" w:rsidR="00CD72D9">
        <w:rPr>
          <w:rFonts w:cs="Times New Roman"/>
          <w:szCs w:val="24"/>
        </w:rPr>
        <w:t xml:space="preserve"> </w:t>
      </w:r>
    </w:p>
    <w:p w:rsidR="00F955D3" w:rsidRPr="00423400" w:rsidP="00F955D3" w14:paraId="713BFB37" w14:textId="77777777">
      <w:pPr>
        <w:spacing w:after="0" w:line="480" w:lineRule="auto"/>
        <w:ind w:firstLine="720"/>
        <w:rPr>
          <w:rFonts w:cs="Times New Roman"/>
          <w:szCs w:val="24"/>
        </w:rPr>
      </w:pPr>
      <w:r w:rsidRPr="00423400">
        <w:rPr>
          <w:rFonts w:cs="Times New Roman"/>
          <w:szCs w:val="24"/>
        </w:rPr>
        <w:t>Second,</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w:t>
      </w:r>
      <w:r w:rsidRPr="00423400" w:rsidR="00CD72D9">
        <w:rPr>
          <w:rFonts w:cs="Times New Roman"/>
          <w:szCs w:val="24"/>
        </w:rPr>
        <w:t xml:space="preserve"> </w:t>
      </w:r>
      <w:r w:rsidRPr="00423400">
        <w:rPr>
          <w:rFonts w:cs="Times New Roman"/>
          <w:szCs w:val="24"/>
        </w:rPr>
        <w:t>Settlement</w:t>
      </w:r>
      <w:r w:rsidRPr="00423400" w:rsidR="00CD72D9">
        <w:rPr>
          <w:rFonts w:cs="Times New Roman"/>
          <w:szCs w:val="24"/>
        </w:rPr>
        <w:t xml:space="preserve"> </w:t>
      </w:r>
      <w:r w:rsidRPr="00423400">
        <w:rPr>
          <w:rFonts w:cs="Times New Roman"/>
          <w:szCs w:val="24"/>
        </w:rPr>
        <w:t>provides</w:t>
      </w:r>
      <w:r w:rsidRPr="00423400" w:rsidR="00CD72D9">
        <w:rPr>
          <w:rFonts w:cs="Times New Roman"/>
          <w:szCs w:val="24"/>
        </w:rPr>
        <w:t xml:space="preserve"> </w:t>
      </w:r>
      <w:r w:rsidRPr="00423400">
        <w:rPr>
          <w:rFonts w:cs="Times New Roman"/>
          <w:szCs w:val="24"/>
        </w:rPr>
        <w:t>that</w:t>
      </w:r>
      <w:r w:rsidRPr="00423400" w:rsidR="00CD72D9">
        <w:rPr>
          <w:rFonts w:cs="Times New Roman"/>
          <w:szCs w:val="24"/>
        </w:rPr>
        <w:t xml:space="preserve"> </w:t>
      </w:r>
      <w:r w:rsidRPr="00423400">
        <w:rPr>
          <w:rFonts w:cs="Times New Roman"/>
          <w:szCs w:val="24"/>
        </w:rPr>
        <w:t>“DP&amp;L’s</w:t>
      </w:r>
      <w:r w:rsidRPr="00423400" w:rsidR="00CD72D9">
        <w:rPr>
          <w:rFonts w:cs="Times New Roman"/>
          <w:szCs w:val="24"/>
        </w:rPr>
        <w:t xml:space="preserve"> </w:t>
      </w:r>
      <w:r w:rsidRPr="00423400">
        <w:rPr>
          <w:rFonts w:cs="Times New Roman"/>
          <w:szCs w:val="24"/>
        </w:rPr>
        <w:t>distribution</w:t>
      </w:r>
      <w:r w:rsidRPr="00423400" w:rsidR="00CD72D9">
        <w:rPr>
          <w:rFonts w:cs="Times New Roman"/>
          <w:szCs w:val="24"/>
        </w:rPr>
        <w:t xml:space="preserve"> </w:t>
      </w:r>
      <w:r w:rsidRPr="00423400">
        <w:rPr>
          <w:rFonts w:cs="Times New Roman"/>
          <w:szCs w:val="24"/>
        </w:rPr>
        <w:t>base</w:t>
      </w:r>
      <w:r w:rsidRPr="00423400" w:rsidR="00CD72D9">
        <w:rPr>
          <w:rFonts w:cs="Times New Roman"/>
          <w:szCs w:val="24"/>
        </w:rPr>
        <w:t xml:space="preserve"> </w:t>
      </w:r>
      <w:r w:rsidRPr="00423400">
        <w:rPr>
          <w:rFonts w:cs="Times New Roman"/>
          <w:szCs w:val="24"/>
        </w:rPr>
        <w:t>rates</w:t>
      </w:r>
      <w:r w:rsidRPr="00423400" w:rsidR="00CD72D9">
        <w:rPr>
          <w:rFonts w:cs="Times New Roman"/>
          <w:szCs w:val="24"/>
        </w:rPr>
        <w:t xml:space="preserve"> </w:t>
      </w:r>
      <w:r w:rsidRPr="00423400">
        <w:rPr>
          <w:rFonts w:cs="Times New Roman"/>
          <w:szCs w:val="24"/>
        </w:rPr>
        <w:t>will</w:t>
      </w:r>
      <w:r w:rsidRPr="00423400" w:rsidR="00CD72D9">
        <w:rPr>
          <w:rFonts w:cs="Times New Roman"/>
          <w:szCs w:val="24"/>
        </w:rPr>
        <w:t xml:space="preserve"> </w:t>
      </w:r>
      <w:r w:rsidRPr="00423400">
        <w:rPr>
          <w:rFonts w:cs="Times New Roman"/>
          <w:szCs w:val="24"/>
        </w:rPr>
        <w:t>be frozen</w:t>
      </w:r>
      <w:r w:rsidRPr="00423400" w:rsidR="00CD72D9">
        <w:rPr>
          <w:rFonts w:cs="Times New Roman"/>
          <w:szCs w:val="24"/>
        </w:rPr>
        <w:t xml:space="preserve"> </w:t>
      </w:r>
      <w:r w:rsidRPr="00423400">
        <w:rPr>
          <w:rFonts w:cs="Times New Roman"/>
          <w:szCs w:val="24"/>
        </w:rPr>
        <w:t>through</w:t>
      </w:r>
      <w:r w:rsidRPr="00423400" w:rsidR="00CD72D9">
        <w:rPr>
          <w:rFonts w:cs="Times New Roman"/>
          <w:szCs w:val="24"/>
        </w:rPr>
        <w:t xml:space="preserve"> </w:t>
      </w:r>
      <w:r w:rsidRPr="00423400">
        <w:rPr>
          <w:rFonts w:cs="Times New Roman"/>
          <w:szCs w:val="24"/>
        </w:rPr>
        <w:t>December</w:t>
      </w:r>
      <w:r w:rsidRPr="00423400" w:rsidR="00CD72D9">
        <w:rPr>
          <w:rFonts w:cs="Times New Roman"/>
          <w:szCs w:val="24"/>
        </w:rPr>
        <w:t xml:space="preserve"> </w:t>
      </w:r>
      <w:r w:rsidRPr="00423400">
        <w:rPr>
          <w:rFonts w:cs="Times New Roman"/>
          <w:szCs w:val="24"/>
        </w:rPr>
        <w:t>31,</w:t>
      </w:r>
      <w:r w:rsidRPr="00423400" w:rsidR="00CD72D9">
        <w:rPr>
          <w:rFonts w:cs="Times New Roman"/>
          <w:szCs w:val="24"/>
        </w:rPr>
        <w:t xml:space="preserve"> </w:t>
      </w:r>
      <w:r w:rsidRPr="00423400">
        <w:rPr>
          <w:rFonts w:cs="Times New Roman"/>
          <w:szCs w:val="24"/>
        </w:rPr>
        <w:t>2012.”</w:t>
      </w:r>
      <w:r>
        <w:rPr>
          <w:rStyle w:val="FootnoteReference"/>
          <w:rFonts w:cs="Times New Roman"/>
          <w:szCs w:val="24"/>
        </w:rPr>
        <w:footnoteReference w:id="7"/>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only</w:t>
      </w:r>
      <w:r w:rsidRPr="00423400" w:rsidR="00CD72D9">
        <w:rPr>
          <w:rFonts w:cs="Times New Roman"/>
          <w:szCs w:val="24"/>
        </w:rPr>
        <w:t xml:space="preserve"> </w:t>
      </w:r>
      <w:r w:rsidRPr="00423400">
        <w:rPr>
          <w:rFonts w:cs="Times New Roman"/>
          <w:szCs w:val="24"/>
        </w:rPr>
        <w:t>exceptions</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rate</w:t>
      </w:r>
      <w:r w:rsidRPr="00423400" w:rsidR="00CD72D9">
        <w:rPr>
          <w:rFonts w:cs="Times New Roman"/>
          <w:szCs w:val="24"/>
        </w:rPr>
        <w:t xml:space="preserve"> </w:t>
      </w:r>
      <w:r w:rsidRPr="00423400">
        <w:rPr>
          <w:rFonts w:cs="Times New Roman"/>
          <w:szCs w:val="24"/>
        </w:rPr>
        <w:t>freeze</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“Rate</w:t>
      </w:r>
      <w:r w:rsidRPr="00423400" w:rsidR="00CD72D9">
        <w:rPr>
          <w:rFonts w:cs="Times New Roman"/>
          <w:szCs w:val="24"/>
        </w:rPr>
        <w:t xml:space="preserve"> </w:t>
      </w:r>
      <w:r w:rsidRPr="00423400">
        <w:rPr>
          <w:rFonts w:cs="Times New Roman"/>
          <w:szCs w:val="24"/>
        </w:rPr>
        <w:t>Freeze”) are</w:t>
      </w:r>
      <w:r w:rsidRPr="00423400" w:rsidR="00CD72D9">
        <w:rPr>
          <w:rFonts w:cs="Times New Roman"/>
          <w:szCs w:val="24"/>
        </w:rPr>
        <w:t xml:space="preserve"> </w:t>
      </w:r>
      <w:r w:rsidRPr="00423400">
        <w:rPr>
          <w:rFonts w:cs="Times New Roman"/>
          <w:szCs w:val="24"/>
        </w:rPr>
        <w:t>(i)</w:t>
      </w:r>
      <w:r w:rsidRPr="00423400" w:rsidR="00CD72D9">
        <w:rPr>
          <w:rFonts w:cs="Times New Roman"/>
          <w:szCs w:val="24"/>
        </w:rPr>
        <w:t xml:space="preserve"> </w:t>
      </w:r>
      <w:r w:rsidRPr="00423400">
        <w:rPr>
          <w:rFonts w:cs="Times New Roman"/>
          <w:szCs w:val="24"/>
        </w:rPr>
        <w:t>DP&amp;L</w:t>
      </w:r>
      <w:r w:rsidRPr="00423400" w:rsidR="00CD72D9">
        <w:rPr>
          <w:rFonts w:cs="Times New Roman"/>
          <w:szCs w:val="24"/>
        </w:rPr>
        <w:t xml:space="preserve"> </w:t>
      </w:r>
      <w:r w:rsidRPr="00423400">
        <w:rPr>
          <w:rFonts w:cs="Times New Roman"/>
          <w:szCs w:val="24"/>
        </w:rPr>
        <w:t>could</w:t>
      </w:r>
      <w:r w:rsidRPr="00423400" w:rsidR="00CD72D9">
        <w:rPr>
          <w:rFonts w:cs="Times New Roman"/>
          <w:szCs w:val="24"/>
        </w:rPr>
        <w:t xml:space="preserve"> </w:t>
      </w:r>
      <w:r w:rsidRPr="00423400">
        <w:rPr>
          <w:rFonts w:cs="Times New Roman"/>
          <w:szCs w:val="24"/>
        </w:rPr>
        <w:t>seek</w:t>
      </w:r>
      <w:r w:rsidRPr="00423400" w:rsidR="00CD72D9">
        <w:rPr>
          <w:rFonts w:cs="Times New Roman"/>
          <w:szCs w:val="24"/>
        </w:rPr>
        <w:t xml:space="preserve"> </w:t>
      </w:r>
      <w:r w:rsidRPr="00423400">
        <w:rPr>
          <w:rFonts w:cs="Times New Roman"/>
          <w:szCs w:val="24"/>
        </w:rPr>
        <w:t>emergency</w:t>
      </w:r>
      <w:r w:rsidRPr="00423400" w:rsidR="00CD72D9">
        <w:rPr>
          <w:rFonts w:cs="Times New Roman"/>
          <w:szCs w:val="24"/>
        </w:rPr>
        <w:t xml:space="preserve"> </w:t>
      </w:r>
      <w:r w:rsidRPr="00423400">
        <w:rPr>
          <w:rFonts w:cs="Times New Roman"/>
          <w:szCs w:val="24"/>
        </w:rPr>
        <w:t>rate</w:t>
      </w:r>
      <w:r w:rsidRPr="00423400" w:rsidR="00CD72D9">
        <w:rPr>
          <w:rFonts w:cs="Times New Roman"/>
          <w:szCs w:val="24"/>
        </w:rPr>
        <w:t xml:space="preserve"> </w:t>
      </w:r>
      <w:r w:rsidRPr="00423400">
        <w:rPr>
          <w:rFonts w:cs="Times New Roman"/>
          <w:szCs w:val="24"/>
        </w:rPr>
        <w:t>relief</w:t>
      </w:r>
      <w:r w:rsidRPr="00423400" w:rsidR="00CD72D9">
        <w:rPr>
          <w:rFonts w:cs="Times New Roman"/>
          <w:szCs w:val="24"/>
        </w:rPr>
        <w:t xml:space="preserve"> </w:t>
      </w:r>
      <w:r w:rsidRPr="00423400">
        <w:rPr>
          <w:rFonts w:cs="Times New Roman"/>
          <w:szCs w:val="24"/>
        </w:rPr>
        <w:t>under</w:t>
      </w:r>
      <w:r w:rsidRPr="00423400" w:rsidR="00CD72D9">
        <w:rPr>
          <w:rFonts w:cs="Times New Roman"/>
          <w:szCs w:val="24"/>
        </w:rPr>
        <w:t xml:space="preserve"> </w:t>
      </w:r>
      <w:r w:rsidRPr="00423400">
        <w:rPr>
          <w:rFonts w:cs="Times New Roman"/>
          <w:szCs w:val="24"/>
        </w:rPr>
        <w:t>R.C.</w:t>
      </w:r>
      <w:r w:rsidRPr="00423400" w:rsidR="00CD72D9">
        <w:rPr>
          <w:rFonts w:cs="Times New Roman"/>
          <w:szCs w:val="24"/>
        </w:rPr>
        <w:t xml:space="preserve"> </w:t>
      </w:r>
      <w:r w:rsidRPr="00423400">
        <w:rPr>
          <w:rFonts w:cs="Times New Roman"/>
          <w:szCs w:val="24"/>
        </w:rPr>
        <w:t>4909.16,</w:t>
      </w:r>
      <w:r w:rsidRPr="00423400" w:rsidR="00CD72D9">
        <w:rPr>
          <w:rFonts w:cs="Times New Roman"/>
          <w:szCs w:val="24"/>
        </w:rPr>
        <w:t xml:space="preserve"> </w:t>
      </w:r>
      <w:r w:rsidRPr="00423400">
        <w:rPr>
          <w:rFonts w:cs="Times New Roman"/>
          <w:szCs w:val="24"/>
        </w:rPr>
        <w:t>(ii)</w:t>
      </w:r>
      <w:r w:rsidRPr="00423400" w:rsidR="00CD72D9">
        <w:rPr>
          <w:rFonts w:cs="Times New Roman"/>
          <w:szCs w:val="24"/>
        </w:rPr>
        <w:t xml:space="preserve"> </w:t>
      </w:r>
      <w:r w:rsidRPr="00423400">
        <w:rPr>
          <w:rFonts w:cs="Times New Roman"/>
          <w:szCs w:val="24"/>
        </w:rPr>
        <w:t>DP&amp;L</w:t>
      </w:r>
      <w:r w:rsidRPr="00423400" w:rsidR="00CD72D9">
        <w:rPr>
          <w:rFonts w:cs="Times New Roman"/>
          <w:szCs w:val="24"/>
        </w:rPr>
        <w:t xml:space="preserve"> </w:t>
      </w:r>
      <w:r w:rsidRPr="00423400">
        <w:rPr>
          <w:rFonts w:cs="Times New Roman"/>
          <w:szCs w:val="24"/>
        </w:rPr>
        <w:t>could</w:t>
      </w:r>
      <w:r w:rsidRPr="00423400" w:rsidR="00CD72D9">
        <w:rPr>
          <w:rFonts w:cs="Times New Roman"/>
          <w:szCs w:val="24"/>
        </w:rPr>
        <w:t xml:space="preserve"> </w:t>
      </w:r>
      <w:r w:rsidRPr="00423400">
        <w:rPr>
          <w:rFonts w:cs="Times New Roman"/>
          <w:szCs w:val="24"/>
        </w:rPr>
        <w:t>seek</w:t>
      </w:r>
      <w:r w:rsidRPr="00423400" w:rsidR="00CD72D9">
        <w:rPr>
          <w:rFonts w:cs="Times New Roman"/>
          <w:szCs w:val="24"/>
        </w:rPr>
        <w:t xml:space="preserve"> </w:t>
      </w:r>
      <w:r w:rsidRPr="00423400">
        <w:rPr>
          <w:rFonts w:cs="Times New Roman"/>
          <w:szCs w:val="24"/>
        </w:rPr>
        <w:t>PUCO approval</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a</w:t>
      </w:r>
      <w:r w:rsidRPr="00423400" w:rsidR="00CD72D9">
        <w:rPr>
          <w:rFonts w:cs="Times New Roman"/>
          <w:szCs w:val="24"/>
        </w:rPr>
        <w:t xml:space="preserve"> </w:t>
      </w:r>
      <w:r w:rsidRPr="00423400">
        <w:rPr>
          <w:rFonts w:cs="Times New Roman"/>
          <w:szCs w:val="24"/>
        </w:rPr>
        <w:t>rider</w:t>
      </w:r>
      <w:r w:rsidRPr="00423400" w:rsidR="00CD72D9">
        <w:rPr>
          <w:rFonts w:cs="Times New Roman"/>
          <w:szCs w:val="24"/>
        </w:rPr>
        <w:t xml:space="preserve"> </w:t>
      </w:r>
      <w:r w:rsidRPr="00423400">
        <w:rPr>
          <w:rFonts w:cs="Times New Roman"/>
          <w:szCs w:val="24"/>
        </w:rPr>
        <w:t>for</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“cost</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complying</w:t>
      </w:r>
      <w:r w:rsidRPr="00423400" w:rsidR="00CD72D9">
        <w:rPr>
          <w:rFonts w:cs="Times New Roman"/>
          <w:szCs w:val="24"/>
        </w:rPr>
        <w:t xml:space="preserve"> </w:t>
      </w:r>
      <w:r w:rsidRPr="00423400">
        <w:rPr>
          <w:rFonts w:cs="Times New Roman"/>
          <w:szCs w:val="24"/>
        </w:rPr>
        <w:t>with</w:t>
      </w:r>
      <w:r w:rsidRPr="00423400" w:rsidR="00CD72D9">
        <w:rPr>
          <w:rFonts w:cs="Times New Roman"/>
          <w:szCs w:val="24"/>
        </w:rPr>
        <w:t xml:space="preserve"> </w:t>
      </w:r>
      <w:r w:rsidRPr="00423400">
        <w:rPr>
          <w:rFonts w:cs="Times New Roman"/>
          <w:szCs w:val="24"/>
        </w:rPr>
        <w:t>changes</w:t>
      </w:r>
      <w:r w:rsidRPr="00423400" w:rsidR="00CD72D9">
        <w:rPr>
          <w:rFonts w:cs="Times New Roman"/>
          <w:szCs w:val="24"/>
        </w:rPr>
        <w:t xml:space="preserve"> </w:t>
      </w:r>
      <w:r w:rsidRPr="00423400">
        <w:rPr>
          <w:rFonts w:cs="Times New Roman"/>
          <w:szCs w:val="24"/>
        </w:rPr>
        <w:t>in</w:t>
      </w:r>
      <w:r w:rsidRPr="00423400" w:rsidR="00CD72D9">
        <w:rPr>
          <w:rFonts w:cs="Times New Roman"/>
          <w:szCs w:val="24"/>
        </w:rPr>
        <w:t xml:space="preserve"> </w:t>
      </w:r>
      <w:r w:rsidRPr="00423400">
        <w:rPr>
          <w:rFonts w:cs="Times New Roman"/>
          <w:szCs w:val="24"/>
        </w:rPr>
        <w:t>tax</w:t>
      </w:r>
      <w:r w:rsidRPr="00423400" w:rsidR="00CD72D9">
        <w:rPr>
          <w:rFonts w:cs="Times New Roman"/>
          <w:szCs w:val="24"/>
        </w:rPr>
        <w:t xml:space="preserve"> </w:t>
      </w:r>
      <w:r w:rsidRPr="00423400">
        <w:rPr>
          <w:rFonts w:cs="Times New Roman"/>
          <w:szCs w:val="24"/>
        </w:rPr>
        <w:t>or</w:t>
      </w:r>
      <w:r w:rsidRPr="00423400" w:rsidR="00CD72D9">
        <w:rPr>
          <w:rFonts w:cs="Times New Roman"/>
          <w:szCs w:val="24"/>
        </w:rPr>
        <w:t xml:space="preserve"> </w:t>
      </w:r>
      <w:r w:rsidRPr="00423400">
        <w:rPr>
          <w:rFonts w:cs="Times New Roman"/>
          <w:szCs w:val="24"/>
        </w:rPr>
        <w:t>regulatory</w:t>
      </w:r>
      <w:r w:rsidRPr="00423400" w:rsidR="00CD72D9">
        <w:rPr>
          <w:rFonts w:cs="Times New Roman"/>
          <w:szCs w:val="24"/>
        </w:rPr>
        <w:t xml:space="preserve"> </w:t>
      </w:r>
      <w:r w:rsidRPr="00423400">
        <w:rPr>
          <w:rFonts w:cs="Times New Roman"/>
          <w:szCs w:val="24"/>
        </w:rPr>
        <w:t>laws</w:t>
      </w:r>
      <w:r w:rsidRPr="00423400" w:rsidR="00CD72D9">
        <w:rPr>
          <w:rFonts w:cs="Times New Roman"/>
          <w:szCs w:val="24"/>
        </w:rPr>
        <w:t xml:space="preserve"> </w:t>
      </w:r>
      <w:r w:rsidRPr="00423400">
        <w:rPr>
          <w:rFonts w:cs="Times New Roman"/>
          <w:szCs w:val="24"/>
        </w:rPr>
        <w:t>and regulations</w:t>
      </w:r>
      <w:r w:rsidRPr="00423400" w:rsidR="00CD72D9">
        <w:rPr>
          <w:rFonts w:cs="Times New Roman"/>
          <w:szCs w:val="24"/>
        </w:rPr>
        <w:t xml:space="preserve"> </w:t>
      </w:r>
      <w:r w:rsidRPr="00423400">
        <w:rPr>
          <w:rFonts w:cs="Times New Roman"/>
          <w:szCs w:val="24"/>
        </w:rPr>
        <w:t>effective</w:t>
      </w:r>
      <w:r w:rsidRPr="00423400" w:rsidR="00CD72D9">
        <w:rPr>
          <w:rFonts w:cs="Times New Roman"/>
          <w:szCs w:val="24"/>
        </w:rPr>
        <w:t xml:space="preserve"> </w:t>
      </w:r>
      <w:r w:rsidRPr="00423400">
        <w:rPr>
          <w:rFonts w:cs="Times New Roman"/>
          <w:szCs w:val="24"/>
        </w:rPr>
        <w:t>after</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date”</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settlement,</w:t>
      </w:r>
      <w:r w:rsidRPr="00423400" w:rsidR="00CD72D9">
        <w:rPr>
          <w:rFonts w:cs="Times New Roman"/>
          <w:szCs w:val="24"/>
        </w:rPr>
        <w:t xml:space="preserve"> </w:t>
      </w:r>
      <w:r w:rsidRPr="00423400">
        <w:rPr>
          <w:rFonts w:cs="Times New Roman"/>
          <w:szCs w:val="24"/>
        </w:rPr>
        <w:t>and</w:t>
      </w:r>
      <w:r w:rsidRPr="00423400" w:rsidR="00CD72D9">
        <w:rPr>
          <w:rFonts w:cs="Times New Roman"/>
          <w:szCs w:val="24"/>
        </w:rPr>
        <w:t xml:space="preserve"> </w:t>
      </w:r>
      <w:r w:rsidRPr="00423400">
        <w:rPr>
          <w:rFonts w:cs="Times New Roman"/>
          <w:szCs w:val="24"/>
        </w:rPr>
        <w:t>(iii)</w:t>
      </w:r>
      <w:r w:rsidRPr="00423400" w:rsidR="00CD72D9">
        <w:rPr>
          <w:rFonts w:cs="Times New Roman"/>
          <w:szCs w:val="24"/>
        </w:rPr>
        <w:t xml:space="preserve"> </w:t>
      </w:r>
      <w:r w:rsidRPr="00423400">
        <w:rPr>
          <w:rFonts w:cs="Times New Roman"/>
          <w:szCs w:val="24"/>
        </w:rPr>
        <w:t>DP&amp;L</w:t>
      </w:r>
      <w:r w:rsidRPr="00423400" w:rsidR="00CD72D9">
        <w:rPr>
          <w:rFonts w:cs="Times New Roman"/>
          <w:szCs w:val="24"/>
        </w:rPr>
        <w:t xml:space="preserve"> </w:t>
      </w:r>
      <w:r w:rsidRPr="00423400">
        <w:rPr>
          <w:rFonts w:cs="Times New Roman"/>
          <w:szCs w:val="24"/>
        </w:rPr>
        <w:t>could</w:t>
      </w:r>
      <w:r w:rsidRPr="00423400" w:rsidR="00CD72D9">
        <w:rPr>
          <w:rFonts w:cs="Times New Roman"/>
          <w:szCs w:val="24"/>
        </w:rPr>
        <w:t xml:space="preserve"> </w:t>
      </w:r>
      <w:r w:rsidRPr="00423400">
        <w:rPr>
          <w:rFonts w:cs="Times New Roman"/>
          <w:szCs w:val="24"/>
        </w:rPr>
        <w:t>seek</w:t>
      </w:r>
      <w:r w:rsidRPr="00423400" w:rsidR="00CD72D9">
        <w:rPr>
          <w:rFonts w:cs="Times New Roman"/>
          <w:szCs w:val="24"/>
        </w:rPr>
        <w:t xml:space="preserve"> </w:t>
      </w:r>
      <w:r w:rsidRPr="00423400">
        <w:rPr>
          <w:rFonts w:cs="Times New Roman"/>
          <w:szCs w:val="24"/>
        </w:rPr>
        <w:t>approval</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a rider</w:t>
      </w:r>
      <w:r w:rsidRPr="00423400" w:rsidR="00CD72D9">
        <w:rPr>
          <w:rFonts w:cs="Times New Roman"/>
          <w:szCs w:val="24"/>
        </w:rPr>
        <w:t xml:space="preserve"> </w:t>
      </w:r>
      <w:r w:rsidRPr="00423400">
        <w:rPr>
          <w:rFonts w:cs="Times New Roman"/>
          <w:szCs w:val="24"/>
        </w:rPr>
        <w:t>for</w:t>
      </w:r>
      <w:r w:rsidRPr="00423400" w:rsidR="00CD72D9">
        <w:rPr>
          <w:rFonts w:cs="Times New Roman"/>
          <w:szCs w:val="24"/>
        </w:rPr>
        <w:t xml:space="preserve"> </w:t>
      </w:r>
      <w:r w:rsidRPr="00423400">
        <w:rPr>
          <w:rFonts w:cs="Times New Roman"/>
          <w:szCs w:val="24"/>
        </w:rPr>
        <w:t>storm</w:t>
      </w:r>
      <w:r w:rsidRPr="00423400" w:rsidR="00CD72D9">
        <w:rPr>
          <w:rFonts w:cs="Times New Roman"/>
          <w:szCs w:val="24"/>
        </w:rPr>
        <w:t xml:space="preserve"> </w:t>
      </w:r>
      <w:r w:rsidRPr="00423400">
        <w:rPr>
          <w:rFonts w:cs="Times New Roman"/>
          <w:szCs w:val="24"/>
        </w:rPr>
        <w:t>damage</w:t>
      </w:r>
      <w:r w:rsidRPr="00423400" w:rsidR="00CD72D9">
        <w:rPr>
          <w:rFonts w:cs="Times New Roman"/>
          <w:szCs w:val="24"/>
        </w:rPr>
        <w:t xml:space="preserve"> </w:t>
      </w:r>
      <w:r w:rsidRPr="00423400">
        <w:rPr>
          <w:rFonts w:cs="Times New Roman"/>
          <w:szCs w:val="24"/>
        </w:rPr>
        <w:t>costs.</w:t>
      </w:r>
      <w:r>
        <w:rPr>
          <w:rStyle w:val="FootnoteReference"/>
          <w:rFonts w:cs="Times New Roman"/>
          <w:szCs w:val="24"/>
        </w:rPr>
        <w:footnoteReference w:id="8"/>
      </w:r>
      <w:r w:rsidRPr="00423400">
        <w:rPr>
          <w:rFonts w:cs="Times New Roman"/>
          <w:szCs w:val="24"/>
        </w:rPr>
        <w:t xml:space="preserve"> </w:t>
      </w:r>
    </w:p>
    <w:p w:rsidR="00F955D3" w:rsidRPr="00423400" w:rsidP="00F955D3" w14:paraId="2521683D" w14:textId="77777777">
      <w:pPr>
        <w:spacing w:after="0" w:line="480" w:lineRule="auto"/>
        <w:ind w:left="1440" w:hanging="720"/>
        <w:rPr>
          <w:rFonts w:cs="Times New Roman"/>
          <w:b/>
          <w:bCs/>
          <w:szCs w:val="24"/>
        </w:rPr>
      </w:pPr>
      <w:r w:rsidRPr="00423400">
        <w:rPr>
          <w:rFonts w:cs="Times New Roman"/>
          <w:szCs w:val="24"/>
        </w:rPr>
        <w:t>The</w:t>
      </w:r>
      <w:r w:rsidRPr="00423400" w:rsidR="00CD72D9">
        <w:rPr>
          <w:rFonts w:cs="Times New Roman"/>
          <w:szCs w:val="24"/>
        </w:rPr>
        <w:t xml:space="preserve"> </w:t>
      </w:r>
      <w:r w:rsidRPr="00423400">
        <w:rPr>
          <w:rFonts w:cs="Times New Roman"/>
          <w:szCs w:val="24"/>
        </w:rPr>
        <w:t>PUCO approved</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sidR="00F74F53">
        <w:rPr>
          <w:rFonts w:cs="Times New Roman"/>
          <w:szCs w:val="24"/>
        </w:rPr>
        <w:t>I</w:t>
      </w:r>
      <w:r w:rsidRPr="00423400" w:rsidR="00CD72D9">
        <w:rPr>
          <w:rFonts w:cs="Times New Roman"/>
          <w:szCs w:val="24"/>
        </w:rPr>
        <w:t xml:space="preserve"> </w:t>
      </w:r>
      <w:r w:rsidRPr="00423400">
        <w:rPr>
          <w:rFonts w:cs="Times New Roman"/>
          <w:szCs w:val="24"/>
        </w:rPr>
        <w:t>Settlement</w:t>
      </w:r>
      <w:r w:rsidRPr="00423400" w:rsidR="00CD72D9">
        <w:rPr>
          <w:rFonts w:cs="Times New Roman"/>
          <w:szCs w:val="24"/>
        </w:rPr>
        <w:t xml:space="preserve"> </w:t>
      </w:r>
      <w:r w:rsidRPr="00423400">
        <w:rPr>
          <w:rFonts w:cs="Times New Roman"/>
          <w:szCs w:val="24"/>
        </w:rPr>
        <w:t>without</w:t>
      </w:r>
      <w:r w:rsidRPr="00423400" w:rsidR="00CD72D9">
        <w:rPr>
          <w:rFonts w:cs="Times New Roman"/>
          <w:szCs w:val="24"/>
        </w:rPr>
        <w:t xml:space="preserve"> </w:t>
      </w:r>
      <w:r w:rsidRPr="00423400">
        <w:rPr>
          <w:rFonts w:cs="Times New Roman"/>
          <w:szCs w:val="24"/>
        </w:rPr>
        <w:t>modification.</w:t>
      </w:r>
      <w:r>
        <w:rPr>
          <w:rStyle w:val="FootnoteReference"/>
          <w:rFonts w:cs="Times New Roman"/>
          <w:szCs w:val="24"/>
        </w:rPr>
        <w:footnoteReference w:id="9"/>
      </w:r>
    </w:p>
    <w:p w:rsidR="00F955D3" w:rsidRPr="00423400" w:rsidP="0012105E" w14:paraId="0DA8BE5C" w14:textId="77777777">
      <w:pPr>
        <w:pStyle w:val="Heading2"/>
        <w:ind w:left="1440" w:hanging="720"/>
        <w:rPr>
          <w:color w:val="auto"/>
        </w:rPr>
      </w:pPr>
      <w:bookmarkStart w:id="7" w:name="_Toc97298190"/>
      <w:r w:rsidRPr="00423400">
        <w:rPr>
          <w:color w:val="auto"/>
          <w:sz w:val="24"/>
          <w:szCs w:val="24"/>
        </w:rPr>
        <w:t xml:space="preserve">The ESP I Extension allowed DP&amp;L to continue charging consumers for </w:t>
      </w:r>
      <w:r w:rsidR="00D87209">
        <w:rPr>
          <w:color w:val="auto"/>
          <w:sz w:val="24"/>
          <w:szCs w:val="24"/>
        </w:rPr>
        <w:t>“</w:t>
      </w:r>
      <w:r w:rsidRPr="00423400">
        <w:rPr>
          <w:color w:val="auto"/>
          <w:sz w:val="24"/>
          <w:szCs w:val="24"/>
        </w:rPr>
        <w:t>stability.</w:t>
      </w:r>
      <w:r w:rsidR="00D87209">
        <w:rPr>
          <w:color w:val="auto"/>
          <w:sz w:val="24"/>
          <w:szCs w:val="24"/>
        </w:rPr>
        <w:t>”</w:t>
      </w:r>
      <w:bookmarkEnd w:id="7"/>
    </w:p>
    <w:p w:rsidR="00F955D3" w:rsidRPr="00423400" w:rsidP="00F955D3" w14:paraId="1D9B8CDE" w14:textId="77777777">
      <w:pPr>
        <w:spacing w:before="240" w:after="0" w:line="480" w:lineRule="auto"/>
        <w:ind w:firstLine="720"/>
        <w:rPr>
          <w:rFonts w:cs="Times New Roman"/>
          <w:szCs w:val="24"/>
        </w:rPr>
      </w:pPr>
      <w:r w:rsidRPr="00423400">
        <w:rPr>
          <w:rFonts w:cs="Times New Roman"/>
          <w:szCs w:val="24"/>
        </w:rPr>
        <w:t>As</w:t>
      </w:r>
      <w:r w:rsidRPr="00423400" w:rsidR="00CD72D9">
        <w:rPr>
          <w:rFonts w:cs="Times New Roman"/>
          <w:szCs w:val="24"/>
        </w:rPr>
        <w:t xml:space="preserve"> </w:t>
      </w:r>
      <w:r w:rsidRPr="00423400">
        <w:rPr>
          <w:rFonts w:cs="Times New Roman"/>
          <w:szCs w:val="24"/>
        </w:rPr>
        <w:t>required</w:t>
      </w:r>
      <w:r w:rsidRPr="00423400" w:rsidR="00CD72D9">
        <w:rPr>
          <w:rFonts w:cs="Times New Roman"/>
          <w:szCs w:val="24"/>
        </w:rPr>
        <w:t xml:space="preserve"> </w:t>
      </w:r>
      <w:r w:rsidRPr="00423400">
        <w:rPr>
          <w:rFonts w:cs="Times New Roman"/>
          <w:szCs w:val="24"/>
        </w:rPr>
        <w:t>by</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sidR="00F74F53">
        <w:rPr>
          <w:rFonts w:cs="Times New Roman"/>
          <w:szCs w:val="24"/>
        </w:rPr>
        <w:t>I</w:t>
      </w:r>
      <w:r w:rsidRPr="00423400" w:rsidR="00CD72D9">
        <w:rPr>
          <w:rFonts w:cs="Times New Roman"/>
          <w:szCs w:val="24"/>
        </w:rPr>
        <w:t xml:space="preserve"> </w:t>
      </w:r>
      <w:r w:rsidRPr="00423400">
        <w:rPr>
          <w:rFonts w:cs="Times New Roman"/>
          <w:szCs w:val="24"/>
        </w:rPr>
        <w:t>Settlement,</w:t>
      </w:r>
      <w:r w:rsidRPr="00423400" w:rsidR="00CD72D9">
        <w:rPr>
          <w:rFonts w:cs="Times New Roman"/>
          <w:szCs w:val="24"/>
        </w:rPr>
        <w:t xml:space="preserve"> </w:t>
      </w:r>
      <w:r w:rsidRPr="00423400">
        <w:rPr>
          <w:rFonts w:cs="Times New Roman"/>
          <w:szCs w:val="24"/>
        </w:rPr>
        <w:t>on</w:t>
      </w:r>
      <w:r w:rsidRPr="00423400" w:rsidR="00CD72D9">
        <w:rPr>
          <w:rFonts w:cs="Times New Roman"/>
          <w:szCs w:val="24"/>
        </w:rPr>
        <w:t xml:space="preserve"> </w:t>
      </w:r>
      <w:r w:rsidRPr="00423400">
        <w:rPr>
          <w:rFonts w:cs="Times New Roman"/>
          <w:szCs w:val="24"/>
        </w:rPr>
        <w:t>March</w:t>
      </w:r>
      <w:r w:rsidRPr="00423400" w:rsidR="00CD72D9">
        <w:rPr>
          <w:rFonts w:cs="Times New Roman"/>
          <w:szCs w:val="24"/>
        </w:rPr>
        <w:t xml:space="preserve"> </w:t>
      </w:r>
      <w:r w:rsidRPr="00423400">
        <w:rPr>
          <w:rFonts w:cs="Times New Roman"/>
          <w:szCs w:val="24"/>
        </w:rPr>
        <w:t>30,</w:t>
      </w:r>
      <w:r w:rsidRPr="00423400" w:rsidR="00CD72D9">
        <w:rPr>
          <w:rFonts w:cs="Times New Roman"/>
          <w:szCs w:val="24"/>
        </w:rPr>
        <w:t xml:space="preserve"> </w:t>
      </w:r>
      <w:r w:rsidRPr="00423400">
        <w:rPr>
          <w:rFonts w:cs="Times New Roman"/>
          <w:szCs w:val="24"/>
        </w:rPr>
        <w:t>2012,</w:t>
      </w:r>
      <w:r w:rsidRPr="00423400" w:rsidR="00CD72D9">
        <w:rPr>
          <w:rFonts w:cs="Times New Roman"/>
          <w:szCs w:val="24"/>
        </w:rPr>
        <w:t xml:space="preserve"> </w:t>
      </w:r>
      <w:r w:rsidRPr="00423400">
        <w:rPr>
          <w:rFonts w:cs="Times New Roman"/>
          <w:szCs w:val="24"/>
        </w:rPr>
        <w:t>DP&amp;L</w:t>
      </w:r>
      <w:r w:rsidRPr="00423400" w:rsidR="00CD72D9">
        <w:rPr>
          <w:rFonts w:cs="Times New Roman"/>
          <w:szCs w:val="24"/>
        </w:rPr>
        <w:t xml:space="preserve"> </w:t>
      </w:r>
      <w:r w:rsidRPr="00423400">
        <w:rPr>
          <w:rFonts w:cs="Times New Roman"/>
          <w:szCs w:val="24"/>
        </w:rPr>
        <w:t>filed</w:t>
      </w:r>
      <w:r w:rsidRPr="00423400" w:rsidR="00CD72D9">
        <w:rPr>
          <w:rFonts w:cs="Times New Roman"/>
          <w:szCs w:val="24"/>
        </w:rPr>
        <w:t xml:space="preserve"> </w:t>
      </w:r>
      <w:r w:rsidRPr="00423400">
        <w:rPr>
          <w:rFonts w:cs="Times New Roman"/>
          <w:szCs w:val="24"/>
        </w:rPr>
        <w:t>an</w:t>
      </w:r>
      <w:r w:rsidRPr="00423400" w:rsidR="00CD72D9">
        <w:rPr>
          <w:rFonts w:cs="Times New Roman"/>
          <w:szCs w:val="24"/>
        </w:rPr>
        <w:t xml:space="preserve"> </w:t>
      </w:r>
      <w:r w:rsidRPr="00423400">
        <w:rPr>
          <w:rFonts w:cs="Times New Roman"/>
          <w:szCs w:val="24"/>
        </w:rPr>
        <w:t>application</w:t>
      </w:r>
      <w:r w:rsidRPr="00423400" w:rsidR="00CD72D9">
        <w:rPr>
          <w:rFonts w:cs="Times New Roman"/>
          <w:szCs w:val="24"/>
        </w:rPr>
        <w:t xml:space="preserve"> </w:t>
      </w:r>
      <w:r w:rsidRPr="00423400">
        <w:rPr>
          <w:rFonts w:cs="Times New Roman"/>
          <w:szCs w:val="24"/>
        </w:rPr>
        <w:t>for</w:t>
      </w:r>
      <w:r w:rsidRPr="00423400" w:rsidR="00CD72D9">
        <w:rPr>
          <w:rFonts w:cs="Times New Roman"/>
          <w:szCs w:val="24"/>
        </w:rPr>
        <w:t xml:space="preserve"> </w:t>
      </w:r>
      <w:r w:rsidRPr="00423400">
        <w:rPr>
          <w:rFonts w:cs="Times New Roman"/>
          <w:szCs w:val="24"/>
        </w:rPr>
        <w:t>a market</w:t>
      </w:r>
      <w:r w:rsidRPr="00423400" w:rsidR="00CD72D9">
        <w:rPr>
          <w:rFonts w:cs="Times New Roman"/>
          <w:szCs w:val="24"/>
        </w:rPr>
        <w:t xml:space="preserve"> </w:t>
      </w:r>
      <w:r w:rsidRPr="00423400">
        <w:rPr>
          <w:rFonts w:cs="Times New Roman"/>
          <w:szCs w:val="24"/>
        </w:rPr>
        <w:t>rate</w:t>
      </w:r>
      <w:r w:rsidRPr="00423400" w:rsidR="00CD72D9">
        <w:rPr>
          <w:rFonts w:cs="Times New Roman"/>
          <w:szCs w:val="24"/>
        </w:rPr>
        <w:t xml:space="preserve"> </w:t>
      </w:r>
      <w:r w:rsidRPr="00423400">
        <w:rPr>
          <w:rFonts w:cs="Times New Roman"/>
          <w:szCs w:val="24"/>
        </w:rPr>
        <w:t xml:space="preserve">offer </w:t>
      </w:r>
      <w:r w:rsidRPr="00423400" w:rsidR="003B113C">
        <w:rPr>
          <w:rFonts w:cs="Times New Roman"/>
          <w:szCs w:val="24"/>
        </w:rPr>
        <w:t>(“MRO”)</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replace</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sidR="00F74F53">
        <w:rPr>
          <w:rFonts w:cs="Times New Roman"/>
          <w:szCs w:val="24"/>
        </w:rPr>
        <w:t>I</w:t>
      </w:r>
      <w:r w:rsidRPr="00423400">
        <w:rPr>
          <w:rFonts w:cs="Times New Roman"/>
          <w:szCs w:val="24"/>
        </w:rPr>
        <w:t>.</w:t>
      </w:r>
      <w:r>
        <w:rPr>
          <w:rStyle w:val="FootnoteReference"/>
          <w:rFonts w:cs="Times New Roman"/>
          <w:szCs w:val="24"/>
        </w:rPr>
        <w:footnoteReference w:id="10"/>
      </w:r>
      <w:r w:rsidRPr="00423400" w:rsidR="00CD72D9">
        <w:rPr>
          <w:rFonts w:cs="Times New Roman"/>
          <w:szCs w:val="24"/>
        </w:rPr>
        <w:t xml:space="preserve"> </w:t>
      </w:r>
      <w:r w:rsidRPr="00423400">
        <w:rPr>
          <w:rFonts w:cs="Times New Roman"/>
          <w:szCs w:val="24"/>
        </w:rPr>
        <w:t>Before</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PUCO</w:t>
      </w:r>
      <w:r w:rsidRPr="00423400" w:rsidR="00CD72D9">
        <w:rPr>
          <w:rFonts w:cs="Times New Roman"/>
          <w:szCs w:val="24"/>
        </w:rPr>
        <w:t xml:space="preserve"> </w:t>
      </w:r>
      <w:r w:rsidRPr="00423400">
        <w:rPr>
          <w:rFonts w:cs="Times New Roman"/>
          <w:szCs w:val="24"/>
        </w:rPr>
        <w:t>could</w:t>
      </w:r>
      <w:r w:rsidRPr="00423400" w:rsidR="00CD72D9">
        <w:rPr>
          <w:rFonts w:cs="Times New Roman"/>
          <w:szCs w:val="24"/>
        </w:rPr>
        <w:t xml:space="preserve"> </w:t>
      </w:r>
      <w:r w:rsidRPr="00423400">
        <w:rPr>
          <w:rFonts w:cs="Times New Roman"/>
          <w:szCs w:val="24"/>
        </w:rPr>
        <w:t>rule</w:t>
      </w:r>
      <w:r w:rsidRPr="00423400" w:rsidR="00CD72D9">
        <w:rPr>
          <w:rFonts w:cs="Times New Roman"/>
          <w:szCs w:val="24"/>
        </w:rPr>
        <w:t xml:space="preserve"> </w:t>
      </w:r>
      <w:r w:rsidRPr="00423400">
        <w:rPr>
          <w:rFonts w:cs="Times New Roman"/>
          <w:szCs w:val="24"/>
        </w:rPr>
        <w:t>on</w:t>
      </w:r>
      <w:r w:rsidRPr="00423400" w:rsidR="00CD72D9">
        <w:rPr>
          <w:rFonts w:cs="Times New Roman"/>
          <w:szCs w:val="24"/>
        </w:rPr>
        <w:t xml:space="preserve"> </w:t>
      </w:r>
      <w:r w:rsidRPr="00423400">
        <w:rPr>
          <w:rFonts w:cs="Times New Roman"/>
          <w:szCs w:val="24"/>
        </w:rPr>
        <w:t>that</w:t>
      </w:r>
      <w:r w:rsidRPr="00423400" w:rsidR="00CD72D9">
        <w:rPr>
          <w:rFonts w:cs="Times New Roman"/>
          <w:szCs w:val="24"/>
        </w:rPr>
        <w:t xml:space="preserve"> </w:t>
      </w:r>
      <w:r w:rsidRPr="00423400">
        <w:rPr>
          <w:rFonts w:cs="Times New Roman"/>
          <w:szCs w:val="24"/>
        </w:rPr>
        <w:t>application,</w:t>
      </w:r>
      <w:r w:rsidRPr="00423400" w:rsidR="00CD72D9">
        <w:rPr>
          <w:rFonts w:cs="Times New Roman"/>
          <w:szCs w:val="24"/>
        </w:rPr>
        <w:t xml:space="preserve"> </w:t>
      </w:r>
      <w:r w:rsidRPr="00423400">
        <w:rPr>
          <w:rFonts w:cs="Times New Roman"/>
          <w:szCs w:val="24"/>
        </w:rPr>
        <w:t>however, DP&amp;L withdrew</w:t>
      </w:r>
      <w:r w:rsidRPr="00423400" w:rsidR="00CD72D9">
        <w:rPr>
          <w:rFonts w:cs="Times New Roman"/>
          <w:szCs w:val="24"/>
        </w:rPr>
        <w:t xml:space="preserve"> </w:t>
      </w:r>
      <w:r w:rsidRPr="00423400">
        <w:rPr>
          <w:rFonts w:cs="Times New Roman"/>
          <w:szCs w:val="24"/>
        </w:rPr>
        <w:t>it.</w:t>
      </w:r>
      <w:r>
        <w:rPr>
          <w:rStyle w:val="FootnoteReference"/>
          <w:rFonts w:cs="Times New Roman"/>
          <w:szCs w:val="24"/>
        </w:rPr>
        <w:footnoteReference w:id="11"/>
      </w:r>
      <w:r w:rsidRPr="00423400" w:rsidR="00CD72D9">
        <w:rPr>
          <w:rFonts w:cs="Times New Roman"/>
          <w:szCs w:val="24"/>
        </w:rPr>
        <w:t xml:space="preserve"> </w:t>
      </w:r>
      <w:r w:rsidRPr="00423400">
        <w:rPr>
          <w:rFonts w:cs="Times New Roman"/>
          <w:szCs w:val="24"/>
        </w:rPr>
        <w:t>At</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same</w:t>
      </w:r>
      <w:r w:rsidRPr="00423400" w:rsidR="00CD72D9">
        <w:rPr>
          <w:rFonts w:cs="Times New Roman"/>
          <w:szCs w:val="24"/>
        </w:rPr>
        <w:t xml:space="preserve"> </w:t>
      </w:r>
      <w:r w:rsidRPr="00423400">
        <w:rPr>
          <w:rFonts w:cs="Times New Roman"/>
          <w:szCs w:val="24"/>
        </w:rPr>
        <w:t>time,</w:t>
      </w:r>
      <w:r w:rsidRPr="00423400" w:rsidR="00CD72D9">
        <w:rPr>
          <w:rFonts w:cs="Times New Roman"/>
          <w:szCs w:val="24"/>
        </w:rPr>
        <w:t xml:space="preserve"> </w:t>
      </w:r>
      <w:r w:rsidRPr="00423400">
        <w:rPr>
          <w:rFonts w:cs="Times New Roman"/>
          <w:szCs w:val="24"/>
        </w:rPr>
        <w:t>DP&amp;L</w:t>
      </w:r>
      <w:r w:rsidRPr="00423400" w:rsidR="00CD72D9">
        <w:rPr>
          <w:rFonts w:cs="Times New Roman"/>
          <w:szCs w:val="24"/>
        </w:rPr>
        <w:t xml:space="preserve"> </w:t>
      </w:r>
      <w:r w:rsidRPr="00423400">
        <w:rPr>
          <w:rFonts w:cs="Times New Roman"/>
          <w:szCs w:val="24"/>
        </w:rPr>
        <w:t>notified</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PUCO</w:t>
      </w:r>
      <w:r w:rsidRPr="00423400" w:rsidR="00CD72D9">
        <w:rPr>
          <w:rFonts w:cs="Times New Roman"/>
          <w:szCs w:val="24"/>
        </w:rPr>
        <w:t xml:space="preserve"> </w:t>
      </w:r>
      <w:r w:rsidRPr="00423400">
        <w:rPr>
          <w:rFonts w:cs="Times New Roman"/>
          <w:szCs w:val="24"/>
        </w:rPr>
        <w:t>and</w:t>
      </w:r>
      <w:r w:rsidRPr="00423400" w:rsidR="00CD72D9">
        <w:rPr>
          <w:rFonts w:cs="Times New Roman"/>
          <w:szCs w:val="24"/>
        </w:rPr>
        <w:t xml:space="preserve"> </w:t>
      </w:r>
      <w:r w:rsidRPr="00423400">
        <w:rPr>
          <w:rFonts w:cs="Times New Roman"/>
          <w:szCs w:val="24"/>
        </w:rPr>
        <w:t>parties</w:t>
      </w:r>
      <w:r w:rsidRPr="00423400" w:rsidR="00CD72D9">
        <w:rPr>
          <w:rFonts w:cs="Times New Roman"/>
          <w:szCs w:val="24"/>
        </w:rPr>
        <w:t xml:space="preserve"> </w:t>
      </w:r>
      <w:r w:rsidRPr="00423400">
        <w:rPr>
          <w:rFonts w:cs="Times New Roman"/>
          <w:szCs w:val="24"/>
        </w:rPr>
        <w:t>that</w:t>
      </w:r>
      <w:r w:rsidRPr="00423400" w:rsidR="00CD72D9">
        <w:rPr>
          <w:rFonts w:cs="Times New Roman"/>
          <w:szCs w:val="24"/>
        </w:rPr>
        <w:t xml:space="preserve"> </w:t>
      </w:r>
      <w:r w:rsidRPr="00423400">
        <w:rPr>
          <w:rFonts w:cs="Times New Roman"/>
          <w:szCs w:val="24"/>
        </w:rPr>
        <w:t>it</w:t>
      </w:r>
      <w:r w:rsidRPr="00423400" w:rsidR="00CD72D9">
        <w:rPr>
          <w:rFonts w:cs="Times New Roman"/>
          <w:szCs w:val="24"/>
        </w:rPr>
        <w:t xml:space="preserve"> </w:t>
      </w:r>
      <w:r w:rsidRPr="00423400">
        <w:rPr>
          <w:rFonts w:cs="Times New Roman"/>
          <w:szCs w:val="24"/>
        </w:rPr>
        <w:t>intended</w:t>
      </w:r>
      <w:r w:rsidRPr="00423400" w:rsidR="00CD72D9">
        <w:rPr>
          <w:rFonts w:cs="Times New Roman"/>
          <w:szCs w:val="24"/>
        </w:rPr>
        <w:t xml:space="preserve"> </w:t>
      </w:r>
      <w:r w:rsidRPr="00423400">
        <w:rPr>
          <w:rFonts w:cs="Times New Roman"/>
          <w:szCs w:val="24"/>
        </w:rPr>
        <w:t>to file</w:t>
      </w:r>
      <w:r w:rsidRPr="00423400" w:rsidR="00CD72D9">
        <w:rPr>
          <w:rFonts w:cs="Times New Roman"/>
          <w:szCs w:val="24"/>
        </w:rPr>
        <w:t xml:space="preserve"> </w:t>
      </w:r>
      <w:r w:rsidRPr="00423400">
        <w:rPr>
          <w:rFonts w:cs="Times New Roman"/>
          <w:szCs w:val="24"/>
        </w:rPr>
        <w:t>an</w:t>
      </w:r>
      <w:r w:rsidRPr="00423400" w:rsidR="00CD72D9">
        <w:rPr>
          <w:rFonts w:cs="Times New Roman"/>
          <w:szCs w:val="24"/>
        </w:rPr>
        <w:t xml:space="preserve"> </w:t>
      </w:r>
      <w:r w:rsidRPr="00423400">
        <w:rPr>
          <w:rFonts w:cs="Times New Roman"/>
          <w:szCs w:val="24"/>
        </w:rPr>
        <w:t>application</w:t>
      </w:r>
      <w:r w:rsidRPr="00423400" w:rsidR="00CD72D9">
        <w:rPr>
          <w:rFonts w:cs="Times New Roman"/>
          <w:szCs w:val="24"/>
        </w:rPr>
        <w:t xml:space="preserve"> </w:t>
      </w:r>
      <w:r w:rsidRPr="00423400">
        <w:rPr>
          <w:rFonts w:cs="Times New Roman"/>
          <w:szCs w:val="24"/>
        </w:rPr>
        <w:t>for</w:t>
      </w:r>
      <w:r w:rsidRPr="00423400" w:rsidR="00CD72D9">
        <w:rPr>
          <w:rFonts w:cs="Times New Roman"/>
          <w:szCs w:val="24"/>
        </w:rPr>
        <w:t xml:space="preserve"> </w:t>
      </w:r>
      <w:r w:rsidRPr="00423400">
        <w:rPr>
          <w:rFonts w:cs="Times New Roman"/>
          <w:szCs w:val="24"/>
        </w:rPr>
        <w:t>an</w:t>
      </w:r>
      <w:r w:rsidRPr="00423400" w:rsidR="00CD72D9">
        <w:rPr>
          <w:rFonts w:cs="Times New Roman"/>
          <w:szCs w:val="24"/>
        </w:rPr>
        <w:t xml:space="preserve"> </w:t>
      </w:r>
      <w:r w:rsidRPr="00423400">
        <w:rPr>
          <w:rFonts w:cs="Times New Roman"/>
          <w:szCs w:val="24"/>
        </w:rPr>
        <w:t>electric</w:t>
      </w:r>
      <w:r w:rsidRPr="00423400" w:rsidR="00CD72D9">
        <w:rPr>
          <w:rFonts w:cs="Times New Roman"/>
          <w:szCs w:val="24"/>
        </w:rPr>
        <w:t xml:space="preserve"> </w:t>
      </w:r>
      <w:r w:rsidRPr="00423400">
        <w:rPr>
          <w:rFonts w:cs="Times New Roman"/>
          <w:szCs w:val="24"/>
        </w:rPr>
        <w:t>security</w:t>
      </w:r>
      <w:r w:rsidRPr="00423400" w:rsidR="00CD72D9">
        <w:rPr>
          <w:rFonts w:cs="Times New Roman"/>
          <w:szCs w:val="24"/>
        </w:rPr>
        <w:t xml:space="preserve"> </w:t>
      </w:r>
      <w:r w:rsidRPr="00423400">
        <w:rPr>
          <w:rFonts w:cs="Times New Roman"/>
          <w:szCs w:val="24"/>
        </w:rPr>
        <w:t>plan</w:t>
      </w:r>
      <w:r w:rsidRPr="00423400" w:rsidR="00CD72D9">
        <w:rPr>
          <w:rFonts w:cs="Times New Roman"/>
          <w:szCs w:val="24"/>
        </w:rPr>
        <w:t xml:space="preserve"> </w:t>
      </w:r>
      <w:r w:rsidRPr="00423400">
        <w:rPr>
          <w:rFonts w:cs="Times New Roman"/>
          <w:szCs w:val="24"/>
        </w:rPr>
        <w:t>by</w:t>
      </w:r>
      <w:r w:rsidRPr="00423400" w:rsidR="00CD72D9">
        <w:rPr>
          <w:rFonts w:cs="Times New Roman"/>
          <w:szCs w:val="24"/>
        </w:rPr>
        <w:t xml:space="preserve"> </w:t>
      </w:r>
      <w:r w:rsidRPr="00423400">
        <w:rPr>
          <w:rFonts w:cs="Times New Roman"/>
          <w:szCs w:val="24"/>
        </w:rPr>
        <w:t>October</w:t>
      </w:r>
      <w:r w:rsidRPr="00423400" w:rsidR="00CD72D9">
        <w:rPr>
          <w:rFonts w:cs="Times New Roman"/>
          <w:szCs w:val="24"/>
        </w:rPr>
        <w:t xml:space="preserve"> </w:t>
      </w:r>
      <w:r w:rsidRPr="00423400">
        <w:rPr>
          <w:rFonts w:cs="Times New Roman"/>
          <w:szCs w:val="24"/>
        </w:rPr>
        <w:t>8,</w:t>
      </w:r>
      <w:r w:rsidRPr="00423400" w:rsidR="00CD72D9">
        <w:rPr>
          <w:rFonts w:cs="Times New Roman"/>
          <w:szCs w:val="24"/>
        </w:rPr>
        <w:t xml:space="preserve"> </w:t>
      </w:r>
      <w:r w:rsidRPr="00423400">
        <w:rPr>
          <w:rFonts w:cs="Times New Roman"/>
          <w:szCs w:val="24"/>
        </w:rPr>
        <w:t>2012.</w:t>
      </w:r>
      <w:r>
        <w:rPr>
          <w:rStyle w:val="FootnoteReference"/>
          <w:rFonts w:cs="Times New Roman"/>
          <w:szCs w:val="24"/>
        </w:rPr>
        <w:footnoteReference w:id="12"/>
      </w:r>
      <w:r w:rsidRPr="00423400">
        <w:rPr>
          <w:rFonts w:cs="Times New Roman"/>
          <w:szCs w:val="24"/>
        </w:rPr>
        <w:t xml:space="preserve"> </w:t>
      </w:r>
    </w:p>
    <w:p w:rsidR="00F955D3" w:rsidRPr="00423400" w:rsidP="00F955D3" w14:paraId="7377D206" w14:textId="77777777">
      <w:pPr>
        <w:spacing w:after="0" w:line="480" w:lineRule="auto"/>
        <w:ind w:firstLine="720"/>
        <w:rPr>
          <w:rFonts w:cs="Times New Roman"/>
          <w:szCs w:val="24"/>
        </w:rPr>
      </w:pPr>
      <w:r w:rsidRPr="00423400">
        <w:rPr>
          <w:rFonts w:cs="Times New Roman"/>
          <w:szCs w:val="24"/>
        </w:rPr>
        <w:t>DP&amp;L’s</w:t>
      </w:r>
      <w:r w:rsidRPr="00423400" w:rsidR="00CD72D9">
        <w:rPr>
          <w:rFonts w:cs="Times New Roman"/>
          <w:szCs w:val="24"/>
        </w:rPr>
        <w:t xml:space="preserve"> </w:t>
      </w:r>
      <w:r w:rsidRPr="00423400">
        <w:rPr>
          <w:rFonts w:cs="Times New Roman"/>
          <w:szCs w:val="24"/>
        </w:rPr>
        <w:t>withdrawal</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its</w:t>
      </w:r>
      <w:r w:rsidRPr="00423400" w:rsidR="00CD72D9">
        <w:rPr>
          <w:rFonts w:cs="Times New Roman"/>
          <w:szCs w:val="24"/>
        </w:rPr>
        <w:t xml:space="preserve"> </w:t>
      </w:r>
      <w:r w:rsidRPr="00423400">
        <w:rPr>
          <w:rFonts w:cs="Times New Roman"/>
          <w:szCs w:val="24"/>
        </w:rPr>
        <w:t>MRO</w:t>
      </w:r>
      <w:r w:rsidRPr="00423400" w:rsidR="00CD72D9">
        <w:rPr>
          <w:rFonts w:cs="Times New Roman"/>
          <w:szCs w:val="24"/>
        </w:rPr>
        <w:t xml:space="preserve"> </w:t>
      </w:r>
      <w:r w:rsidRPr="00423400">
        <w:rPr>
          <w:rFonts w:cs="Times New Roman"/>
          <w:szCs w:val="24"/>
        </w:rPr>
        <w:t>application</w:t>
      </w:r>
      <w:r w:rsidRPr="00423400" w:rsidR="00CD72D9">
        <w:rPr>
          <w:rFonts w:cs="Times New Roman"/>
          <w:szCs w:val="24"/>
        </w:rPr>
        <w:t xml:space="preserve"> </w:t>
      </w:r>
      <w:r w:rsidRPr="00423400">
        <w:rPr>
          <w:rFonts w:cs="Times New Roman"/>
          <w:szCs w:val="24"/>
        </w:rPr>
        <w:t>occurred</w:t>
      </w:r>
      <w:r w:rsidRPr="00423400" w:rsidR="00CD72D9">
        <w:rPr>
          <w:rFonts w:cs="Times New Roman"/>
          <w:szCs w:val="24"/>
        </w:rPr>
        <w:t xml:space="preserve"> </w:t>
      </w:r>
      <w:r w:rsidRPr="00423400">
        <w:rPr>
          <w:rFonts w:cs="Times New Roman"/>
          <w:szCs w:val="24"/>
        </w:rPr>
        <w:t>on</w:t>
      </w:r>
      <w:r w:rsidRPr="00423400" w:rsidR="00CD72D9">
        <w:rPr>
          <w:rFonts w:cs="Times New Roman"/>
          <w:szCs w:val="24"/>
        </w:rPr>
        <w:t xml:space="preserve"> </w:t>
      </w:r>
      <w:r w:rsidRPr="00423400">
        <w:rPr>
          <w:rFonts w:cs="Times New Roman"/>
          <w:szCs w:val="24"/>
        </w:rPr>
        <w:t>September</w:t>
      </w:r>
      <w:r w:rsidRPr="00423400" w:rsidR="00CD72D9">
        <w:rPr>
          <w:rFonts w:cs="Times New Roman"/>
          <w:szCs w:val="24"/>
        </w:rPr>
        <w:t xml:space="preserve"> </w:t>
      </w:r>
      <w:r w:rsidRPr="00423400">
        <w:rPr>
          <w:rFonts w:cs="Times New Roman"/>
          <w:szCs w:val="24"/>
        </w:rPr>
        <w:t>7,</w:t>
      </w:r>
      <w:r w:rsidRPr="00423400" w:rsidR="00CD72D9">
        <w:rPr>
          <w:rFonts w:cs="Times New Roman"/>
          <w:szCs w:val="24"/>
        </w:rPr>
        <w:t xml:space="preserve"> </w:t>
      </w:r>
      <w:r w:rsidRPr="00423400">
        <w:rPr>
          <w:rFonts w:cs="Times New Roman"/>
          <w:szCs w:val="24"/>
        </w:rPr>
        <w:t>2012,</w:t>
      </w:r>
      <w:r w:rsidRPr="00423400" w:rsidR="00CD72D9">
        <w:rPr>
          <w:rFonts w:cs="Times New Roman"/>
          <w:szCs w:val="24"/>
        </w:rPr>
        <w:t xml:space="preserve"> </w:t>
      </w:r>
      <w:r w:rsidRPr="00423400">
        <w:rPr>
          <w:rFonts w:cs="Times New Roman"/>
          <w:szCs w:val="24"/>
        </w:rPr>
        <w:t>less</w:t>
      </w:r>
      <w:r w:rsidRPr="00423400" w:rsidR="00CD72D9">
        <w:rPr>
          <w:rFonts w:cs="Times New Roman"/>
          <w:szCs w:val="24"/>
        </w:rPr>
        <w:t xml:space="preserve"> </w:t>
      </w:r>
      <w:r w:rsidRPr="00423400">
        <w:rPr>
          <w:rFonts w:cs="Times New Roman"/>
          <w:szCs w:val="24"/>
        </w:rPr>
        <w:t>than four</w:t>
      </w:r>
      <w:r w:rsidRPr="00423400" w:rsidR="00CD72D9">
        <w:rPr>
          <w:rFonts w:cs="Times New Roman"/>
          <w:szCs w:val="24"/>
        </w:rPr>
        <w:t xml:space="preserve"> </w:t>
      </w:r>
      <w:r w:rsidRPr="00423400">
        <w:rPr>
          <w:rFonts w:cs="Times New Roman"/>
          <w:szCs w:val="24"/>
        </w:rPr>
        <w:t>months</w:t>
      </w:r>
      <w:r w:rsidRPr="00423400" w:rsidR="00CD72D9">
        <w:rPr>
          <w:rFonts w:cs="Times New Roman"/>
          <w:szCs w:val="24"/>
        </w:rPr>
        <w:t xml:space="preserve"> </w:t>
      </w:r>
      <w:r w:rsidRPr="00423400">
        <w:rPr>
          <w:rFonts w:cs="Times New Roman"/>
          <w:szCs w:val="24"/>
        </w:rPr>
        <w:t>before</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December</w:t>
      </w:r>
      <w:r w:rsidRPr="00423400" w:rsidR="00CD72D9">
        <w:rPr>
          <w:rFonts w:cs="Times New Roman"/>
          <w:szCs w:val="24"/>
        </w:rPr>
        <w:t xml:space="preserve"> </w:t>
      </w:r>
      <w:r w:rsidRPr="00423400">
        <w:rPr>
          <w:rFonts w:cs="Times New Roman"/>
          <w:szCs w:val="24"/>
        </w:rPr>
        <w:t>31,</w:t>
      </w:r>
      <w:r w:rsidRPr="00423400" w:rsidR="00CD72D9">
        <w:rPr>
          <w:rFonts w:cs="Times New Roman"/>
          <w:szCs w:val="24"/>
        </w:rPr>
        <w:t xml:space="preserve"> </w:t>
      </w:r>
      <w:r w:rsidRPr="00423400" w:rsidR="00712C33">
        <w:rPr>
          <w:rFonts w:cs="Times New Roman"/>
          <w:szCs w:val="24"/>
        </w:rPr>
        <w:t>2012,</w:t>
      </w:r>
      <w:r w:rsidRPr="00423400" w:rsidR="00CD72D9">
        <w:rPr>
          <w:rFonts w:cs="Times New Roman"/>
          <w:szCs w:val="24"/>
        </w:rPr>
        <w:t xml:space="preserve"> </w:t>
      </w:r>
      <w:r w:rsidRPr="00423400">
        <w:rPr>
          <w:rFonts w:cs="Times New Roman"/>
          <w:szCs w:val="24"/>
        </w:rPr>
        <w:t>expiration</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w:t>
      </w:r>
      <w:r w:rsidRPr="00423400" w:rsidR="00CD72D9">
        <w:rPr>
          <w:rFonts w:cs="Times New Roman"/>
          <w:szCs w:val="24"/>
        </w:rPr>
        <w:t xml:space="preserve"> </w:t>
      </w:r>
      <w:r w:rsidRPr="00423400">
        <w:rPr>
          <w:rFonts w:cs="Times New Roman"/>
          <w:szCs w:val="24"/>
        </w:rPr>
        <w:t>At</w:t>
      </w:r>
      <w:r w:rsidRPr="00423400" w:rsidR="00CD72D9">
        <w:rPr>
          <w:rFonts w:cs="Times New Roman"/>
          <w:szCs w:val="24"/>
        </w:rPr>
        <w:t xml:space="preserve"> </w:t>
      </w:r>
      <w:r w:rsidRPr="00423400">
        <w:rPr>
          <w:rFonts w:cs="Times New Roman"/>
          <w:szCs w:val="24"/>
        </w:rPr>
        <w:t>this</w:t>
      </w:r>
      <w:r w:rsidRPr="00423400" w:rsidR="00CD72D9">
        <w:rPr>
          <w:rFonts w:cs="Times New Roman"/>
          <w:szCs w:val="24"/>
        </w:rPr>
        <w:t xml:space="preserve"> </w:t>
      </w:r>
      <w:r w:rsidRPr="00423400">
        <w:rPr>
          <w:rFonts w:cs="Times New Roman"/>
          <w:szCs w:val="24"/>
        </w:rPr>
        <w:t>point,</w:t>
      </w:r>
      <w:r w:rsidRPr="00423400" w:rsidR="00CD72D9">
        <w:rPr>
          <w:rFonts w:cs="Times New Roman"/>
          <w:szCs w:val="24"/>
        </w:rPr>
        <w:t xml:space="preserve"> </w:t>
      </w:r>
      <w:r w:rsidRPr="00423400">
        <w:rPr>
          <w:rFonts w:cs="Times New Roman"/>
          <w:szCs w:val="24"/>
        </w:rPr>
        <w:t>it</w:t>
      </w:r>
      <w:r w:rsidRPr="00423400" w:rsidR="00CD72D9">
        <w:rPr>
          <w:rFonts w:cs="Times New Roman"/>
          <w:szCs w:val="24"/>
        </w:rPr>
        <w:t xml:space="preserve"> </w:t>
      </w:r>
      <w:r w:rsidRPr="00423400">
        <w:rPr>
          <w:rFonts w:cs="Times New Roman"/>
          <w:szCs w:val="24"/>
        </w:rPr>
        <w:t>became</w:t>
      </w:r>
      <w:r w:rsidRPr="00423400" w:rsidR="00CD72D9">
        <w:rPr>
          <w:rFonts w:cs="Times New Roman"/>
          <w:szCs w:val="24"/>
        </w:rPr>
        <w:t xml:space="preserve"> </w:t>
      </w:r>
      <w:r w:rsidRPr="00423400">
        <w:rPr>
          <w:rFonts w:cs="Times New Roman"/>
          <w:szCs w:val="24"/>
        </w:rPr>
        <w:t>clear that</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PUCO</w:t>
      </w:r>
      <w:r w:rsidRPr="00423400" w:rsidR="00CD72D9">
        <w:rPr>
          <w:rFonts w:cs="Times New Roman"/>
          <w:szCs w:val="24"/>
        </w:rPr>
        <w:t xml:space="preserve"> </w:t>
      </w:r>
      <w:r w:rsidRPr="00423400">
        <w:rPr>
          <w:rFonts w:cs="Times New Roman"/>
          <w:szCs w:val="24"/>
        </w:rPr>
        <w:t>would</w:t>
      </w:r>
      <w:r w:rsidRPr="00423400" w:rsidR="00CD72D9">
        <w:rPr>
          <w:rFonts w:cs="Times New Roman"/>
          <w:szCs w:val="24"/>
        </w:rPr>
        <w:t xml:space="preserve"> </w:t>
      </w:r>
      <w:r w:rsidRPr="00423400">
        <w:rPr>
          <w:rFonts w:cs="Times New Roman"/>
          <w:szCs w:val="24"/>
        </w:rPr>
        <w:t>not</w:t>
      </w:r>
      <w:r w:rsidRPr="00423400" w:rsidR="00CD72D9">
        <w:rPr>
          <w:rFonts w:cs="Times New Roman"/>
          <w:szCs w:val="24"/>
        </w:rPr>
        <w:t xml:space="preserve"> </w:t>
      </w:r>
      <w:r w:rsidRPr="00423400">
        <w:rPr>
          <w:rFonts w:cs="Times New Roman"/>
          <w:szCs w:val="24"/>
        </w:rPr>
        <w:t>be</w:t>
      </w:r>
      <w:r w:rsidRPr="00423400" w:rsidR="00CD72D9">
        <w:rPr>
          <w:rFonts w:cs="Times New Roman"/>
          <w:szCs w:val="24"/>
        </w:rPr>
        <w:t xml:space="preserve"> </w:t>
      </w:r>
      <w:r w:rsidRPr="00423400">
        <w:rPr>
          <w:rFonts w:cs="Times New Roman"/>
          <w:szCs w:val="24"/>
        </w:rPr>
        <w:t>able</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approve</w:t>
      </w:r>
      <w:r w:rsidRPr="00423400" w:rsidR="00CD72D9">
        <w:rPr>
          <w:rFonts w:cs="Times New Roman"/>
          <w:szCs w:val="24"/>
        </w:rPr>
        <w:t xml:space="preserve"> </w:t>
      </w:r>
      <w:r w:rsidRPr="00423400">
        <w:rPr>
          <w:rFonts w:cs="Times New Roman"/>
          <w:szCs w:val="24"/>
        </w:rPr>
        <w:t>an</w:t>
      </w:r>
      <w:r w:rsidRPr="00423400" w:rsidR="00CD72D9">
        <w:rPr>
          <w:rFonts w:cs="Times New Roman"/>
          <w:szCs w:val="24"/>
        </w:rPr>
        <w:t xml:space="preserve"> </w:t>
      </w:r>
      <w:r w:rsidRPr="00423400">
        <w:rPr>
          <w:rFonts w:cs="Times New Roman"/>
          <w:szCs w:val="24"/>
        </w:rPr>
        <w:t>MRO</w:t>
      </w:r>
      <w:r w:rsidRPr="00423400" w:rsidR="00CD72D9">
        <w:rPr>
          <w:rFonts w:cs="Times New Roman"/>
          <w:szCs w:val="24"/>
        </w:rPr>
        <w:t xml:space="preserve"> </w:t>
      </w:r>
      <w:r w:rsidRPr="00423400">
        <w:rPr>
          <w:rFonts w:cs="Times New Roman"/>
          <w:szCs w:val="24"/>
        </w:rPr>
        <w:t>or</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replace</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w:t>
      </w:r>
      <w:r w:rsidRPr="00423400" w:rsidR="00CD72D9">
        <w:rPr>
          <w:rFonts w:cs="Times New Roman"/>
          <w:szCs w:val="24"/>
        </w:rPr>
        <w:t xml:space="preserve"> </w:t>
      </w:r>
      <w:r w:rsidRPr="00423400">
        <w:rPr>
          <w:rFonts w:cs="Times New Roman"/>
          <w:szCs w:val="24"/>
        </w:rPr>
        <w:t>before</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 xml:space="preserve">I expired. </w:t>
      </w:r>
    </w:p>
    <w:p w:rsidR="00F955D3" w:rsidRPr="00423400" w:rsidP="00F955D3" w14:paraId="56C124EB" w14:textId="77777777">
      <w:pPr>
        <w:spacing w:after="0" w:line="480" w:lineRule="auto"/>
        <w:ind w:firstLine="720"/>
        <w:rPr>
          <w:rFonts w:cs="Times New Roman"/>
          <w:szCs w:val="24"/>
        </w:rPr>
      </w:pPr>
      <w:r w:rsidRPr="00423400">
        <w:rPr>
          <w:rFonts w:cs="Times New Roman"/>
          <w:szCs w:val="24"/>
        </w:rPr>
        <w:t>Recognizing</w:t>
      </w:r>
      <w:r w:rsidRPr="00423400" w:rsidR="00CD72D9">
        <w:rPr>
          <w:rFonts w:cs="Times New Roman"/>
          <w:szCs w:val="24"/>
        </w:rPr>
        <w:t xml:space="preserve"> </w:t>
      </w:r>
      <w:r w:rsidRPr="00423400">
        <w:rPr>
          <w:rFonts w:cs="Times New Roman"/>
          <w:szCs w:val="24"/>
        </w:rPr>
        <w:t>this,</w:t>
      </w:r>
      <w:r w:rsidRPr="00423400" w:rsidR="00CD72D9">
        <w:rPr>
          <w:rFonts w:cs="Times New Roman"/>
          <w:szCs w:val="24"/>
        </w:rPr>
        <w:t xml:space="preserve"> </w:t>
      </w:r>
      <w:r w:rsidRPr="00423400">
        <w:rPr>
          <w:rFonts w:cs="Times New Roman"/>
          <w:szCs w:val="24"/>
        </w:rPr>
        <w:t>OCC</w:t>
      </w:r>
      <w:r w:rsidRPr="00423400" w:rsidR="00CD72D9">
        <w:rPr>
          <w:rFonts w:cs="Times New Roman"/>
          <w:szCs w:val="24"/>
        </w:rPr>
        <w:t xml:space="preserve"> </w:t>
      </w:r>
      <w:r w:rsidRPr="00423400">
        <w:rPr>
          <w:rFonts w:cs="Times New Roman"/>
          <w:szCs w:val="24"/>
        </w:rPr>
        <w:t>and</w:t>
      </w:r>
      <w:r w:rsidRPr="00423400" w:rsidR="00CD72D9">
        <w:rPr>
          <w:rFonts w:cs="Times New Roman"/>
          <w:szCs w:val="24"/>
        </w:rPr>
        <w:t xml:space="preserve"> </w:t>
      </w:r>
      <w:r w:rsidRPr="00423400">
        <w:rPr>
          <w:rFonts w:cs="Times New Roman"/>
          <w:szCs w:val="24"/>
        </w:rPr>
        <w:t>other</w:t>
      </w:r>
      <w:r w:rsidRPr="00423400" w:rsidR="00CD72D9">
        <w:rPr>
          <w:rFonts w:cs="Times New Roman"/>
          <w:szCs w:val="24"/>
        </w:rPr>
        <w:t xml:space="preserve"> </w:t>
      </w:r>
      <w:r w:rsidRPr="00423400">
        <w:rPr>
          <w:rFonts w:cs="Times New Roman"/>
          <w:szCs w:val="24"/>
        </w:rPr>
        <w:t>intervenors</w:t>
      </w:r>
      <w:r w:rsidRPr="00423400" w:rsidR="00CD72D9">
        <w:rPr>
          <w:rFonts w:cs="Times New Roman"/>
          <w:szCs w:val="24"/>
        </w:rPr>
        <w:t xml:space="preserve"> </w:t>
      </w:r>
      <w:r w:rsidRPr="00423400">
        <w:rPr>
          <w:rFonts w:cs="Times New Roman"/>
          <w:szCs w:val="24"/>
        </w:rPr>
        <w:t>filed</w:t>
      </w:r>
      <w:r w:rsidRPr="00423400" w:rsidR="00CD72D9">
        <w:rPr>
          <w:rFonts w:cs="Times New Roman"/>
          <w:szCs w:val="24"/>
        </w:rPr>
        <w:t xml:space="preserve"> </w:t>
      </w:r>
      <w:r w:rsidRPr="00423400">
        <w:rPr>
          <w:rFonts w:cs="Times New Roman"/>
          <w:szCs w:val="24"/>
        </w:rPr>
        <w:t>a</w:t>
      </w:r>
      <w:r w:rsidRPr="00423400" w:rsidR="00CD72D9">
        <w:rPr>
          <w:rFonts w:cs="Times New Roman"/>
          <w:szCs w:val="24"/>
        </w:rPr>
        <w:t xml:space="preserve"> </w:t>
      </w:r>
      <w:r w:rsidRPr="00423400">
        <w:rPr>
          <w:rFonts w:cs="Times New Roman"/>
          <w:szCs w:val="24"/>
        </w:rPr>
        <w:t>joint</w:t>
      </w:r>
      <w:r w:rsidRPr="00423400" w:rsidR="00CD72D9">
        <w:rPr>
          <w:rFonts w:cs="Times New Roman"/>
          <w:szCs w:val="24"/>
        </w:rPr>
        <w:t xml:space="preserve"> </w:t>
      </w:r>
      <w:r w:rsidRPr="00423400">
        <w:rPr>
          <w:rFonts w:cs="Times New Roman"/>
          <w:szCs w:val="24"/>
        </w:rPr>
        <w:t>motion</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enforce</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terms</w:t>
      </w:r>
      <w:r w:rsidRPr="00423400" w:rsidR="00CD72D9">
        <w:rPr>
          <w:rFonts w:cs="Times New Roman"/>
          <w:szCs w:val="24"/>
        </w:rPr>
        <w:t xml:space="preserve"> </w:t>
      </w:r>
      <w:r w:rsidRPr="00423400">
        <w:rPr>
          <w:rFonts w:cs="Times New Roman"/>
          <w:szCs w:val="24"/>
        </w:rPr>
        <w:t>of ESP</w:t>
      </w:r>
      <w:r w:rsidRPr="00423400" w:rsidR="00CD72D9">
        <w:rPr>
          <w:rFonts w:cs="Times New Roman"/>
          <w:szCs w:val="24"/>
        </w:rPr>
        <w:t xml:space="preserve"> </w:t>
      </w:r>
      <w:r w:rsidRPr="00423400">
        <w:rPr>
          <w:rFonts w:cs="Times New Roman"/>
          <w:szCs w:val="24"/>
        </w:rPr>
        <w:t>I.</w:t>
      </w:r>
      <w:r>
        <w:rPr>
          <w:rStyle w:val="FootnoteReference"/>
          <w:rFonts w:cs="Times New Roman"/>
          <w:szCs w:val="24"/>
        </w:rPr>
        <w:footnoteReference w:id="13"/>
      </w:r>
      <w:r w:rsidRPr="00423400" w:rsidR="00CD72D9">
        <w:rPr>
          <w:rFonts w:cs="Times New Roman"/>
          <w:szCs w:val="24"/>
        </w:rPr>
        <w:t xml:space="preserve"> </w:t>
      </w:r>
      <w:r w:rsidRPr="00423400">
        <w:rPr>
          <w:rFonts w:cs="Times New Roman"/>
          <w:szCs w:val="24"/>
        </w:rPr>
        <w:t>In</w:t>
      </w:r>
      <w:r w:rsidRPr="00423400" w:rsidR="00CD72D9">
        <w:rPr>
          <w:rFonts w:cs="Times New Roman"/>
          <w:szCs w:val="24"/>
        </w:rPr>
        <w:t xml:space="preserve"> </w:t>
      </w:r>
      <w:r w:rsidRPr="00423400">
        <w:rPr>
          <w:rFonts w:cs="Times New Roman"/>
          <w:szCs w:val="24"/>
        </w:rPr>
        <w:t>that</w:t>
      </w:r>
      <w:r w:rsidRPr="00423400" w:rsidR="00CD72D9">
        <w:rPr>
          <w:rFonts w:cs="Times New Roman"/>
          <w:szCs w:val="24"/>
        </w:rPr>
        <w:t xml:space="preserve"> </w:t>
      </w:r>
      <w:r w:rsidRPr="00423400">
        <w:rPr>
          <w:rFonts w:cs="Times New Roman"/>
          <w:szCs w:val="24"/>
        </w:rPr>
        <w:t>motion,</w:t>
      </w:r>
      <w:r w:rsidRPr="00423400" w:rsidR="00CD72D9">
        <w:rPr>
          <w:rFonts w:cs="Times New Roman"/>
          <w:szCs w:val="24"/>
        </w:rPr>
        <w:t xml:space="preserve"> </w:t>
      </w:r>
      <w:r w:rsidRPr="00423400">
        <w:rPr>
          <w:rFonts w:cs="Times New Roman"/>
          <w:szCs w:val="24"/>
        </w:rPr>
        <w:t>intervenors</w:t>
      </w:r>
      <w:r w:rsidRPr="00423400" w:rsidR="00CD72D9">
        <w:rPr>
          <w:rFonts w:cs="Times New Roman"/>
          <w:szCs w:val="24"/>
        </w:rPr>
        <w:t xml:space="preserve"> </w:t>
      </w:r>
      <w:r w:rsidRPr="00423400">
        <w:rPr>
          <w:rFonts w:cs="Times New Roman"/>
          <w:szCs w:val="24"/>
        </w:rPr>
        <w:t>noted</w:t>
      </w:r>
      <w:r w:rsidRPr="00423400" w:rsidR="00CD72D9">
        <w:rPr>
          <w:rFonts w:cs="Times New Roman"/>
          <w:szCs w:val="24"/>
        </w:rPr>
        <w:t xml:space="preserve"> </w:t>
      </w:r>
      <w:r w:rsidRPr="00423400">
        <w:rPr>
          <w:rFonts w:cs="Times New Roman"/>
          <w:szCs w:val="24"/>
        </w:rPr>
        <w:t>that</w:t>
      </w:r>
      <w:r w:rsidRPr="00423400" w:rsidR="00CD72D9">
        <w:rPr>
          <w:rFonts w:cs="Times New Roman"/>
          <w:szCs w:val="24"/>
        </w:rPr>
        <w:t xml:space="preserve"> </w:t>
      </w:r>
      <w:r w:rsidRPr="00423400">
        <w:rPr>
          <w:rFonts w:cs="Times New Roman"/>
          <w:szCs w:val="24"/>
        </w:rPr>
        <w:t>under</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plain</w:t>
      </w:r>
      <w:r w:rsidRPr="00423400" w:rsidR="00CD72D9">
        <w:rPr>
          <w:rFonts w:cs="Times New Roman"/>
          <w:szCs w:val="24"/>
        </w:rPr>
        <w:t xml:space="preserve"> </w:t>
      </w:r>
      <w:r w:rsidRPr="00423400">
        <w:rPr>
          <w:rFonts w:cs="Times New Roman"/>
          <w:szCs w:val="24"/>
        </w:rPr>
        <w:t>language</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w:t>
      </w:r>
      <w:r w:rsidRPr="00423400" w:rsidR="00CD72D9">
        <w:rPr>
          <w:rFonts w:cs="Times New Roman"/>
          <w:szCs w:val="24"/>
        </w:rPr>
        <w:t xml:space="preserve"> </w:t>
      </w:r>
      <w:r w:rsidRPr="00423400">
        <w:rPr>
          <w:rFonts w:cs="Times New Roman"/>
          <w:szCs w:val="24"/>
        </w:rPr>
        <w:t>Settlement, the</w:t>
      </w:r>
      <w:r w:rsidRPr="00423400" w:rsidR="00CD72D9">
        <w:rPr>
          <w:rFonts w:cs="Times New Roman"/>
          <w:szCs w:val="24"/>
        </w:rPr>
        <w:t xml:space="preserve"> </w:t>
      </w:r>
      <w:r w:rsidRPr="00423400">
        <w:rPr>
          <w:rFonts w:cs="Times New Roman"/>
          <w:szCs w:val="24"/>
        </w:rPr>
        <w:t>RSC</w:t>
      </w:r>
      <w:r w:rsidRPr="00423400" w:rsidR="00CD72D9">
        <w:rPr>
          <w:rFonts w:cs="Times New Roman"/>
          <w:szCs w:val="24"/>
        </w:rPr>
        <w:t xml:space="preserve"> </w:t>
      </w:r>
      <w:r w:rsidRPr="00423400">
        <w:rPr>
          <w:rFonts w:cs="Times New Roman"/>
          <w:szCs w:val="24"/>
        </w:rPr>
        <w:t>was</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expire</w:t>
      </w:r>
      <w:r w:rsidRPr="00423400" w:rsidR="00CD72D9">
        <w:rPr>
          <w:rFonts w:cs="Times New Roman"/>
          <w:szCs w:val="24"/>
        </w:rPr>
        <w:t xml:space="preserve"> </w:t>
      </w:r>
      <w:r w:rsidRPr="00423400">
        <w:rPr>
          <w:rFonts w:cs="Times New Roman"/>
          <w:szCs w:val="24"/>
        </w:rPr>
        <w:t>on</w:t>
      </w:r>
      <w:r w:rsidRPr="00423400" w:rsidR="00CD72D9">
        <w:rPr>
          <w:rFonts w:cs="Times New Roman"/>
          <w:szCs w:val="24"/>
        </w:rPr>
        <w:t xml:space="preserve"> </w:t>
      </w:r>
      <w:r w:rsidRPr="00423400">
        <w:rPr>
          <w:rFonts w:cs="Times New Roman"/>
          <w:szCs w:val="24"/>
        </w:rPr>
        <w:t>December</w:t>
      </w:r>
      <w:r w:rsidRPr="00423400" w:rsidR="00CD72D9">
        <w:rPr>
          <w:rFonts w:cs="Times New Roman"/>
          <w:szCs w:val="24"/>
        </w:rPr>
        <w:t xml:space="preserve"> </w:t>
      </w:r>
      <w:r w:rsidRPr="00423400">
        <w:rPr>
          <w:rFonts w:cs="Times New Roman"/>
          <w:szCs w:val="24"/>
        </w:rPr>
        <w:t>31,</w:t>
      </w:r>
      <w:r w:rsidRPr="00423400" w:rsidR="00CD72D9">
        <w:rPr>
          <w:rFonts w:cs="Times New Roman"/>
          <w:szCs w:val="24"/>
        </w:rPr>
        <w:t xml:space="preserve"> </w:t>
      </w:r>
      <w:r w:rsidRPr="00423400">
        <w:rPr>
          <w:rFonts w:cs="Times New Roman"/>
          <w:szCs w:val="24"/>
        </w:rPr>
        <w:t>2012.</w:t>
      </w:r>
      <w:r w:rsidRPr="00423400" w:rsidR="00CD72D9">
        <w:rPr>
          <w:rFonts w:cs="Times New Roman"/>
          <w:szCs w:val="24"/>
        </w:rPr>
        <w:t xml:space="preserve"> </w:t>
      </w:r>
      <w:r w:rsidRPr="00423400">
        <w:rPr>
          <w:rFonts w:cs="Times New Roman"/>
          <w:szCs w:val="24"/>
        </w:rPr>
        <w:t>(Same</w:t>
      </w:r>
      <w:r w:rsidRPr="00423400" w:rsidR="00CD72D9">
        <w:rPr>
          <w:rFonts w:cs="Times New Roman"/>
          <w:szCs w:val="24"/>
        </w:rPr>
        <w:t xml:space="preserve"> </w:t>
      </w:r>
      <w:r w:rsidRPr="00423400">
        <w:rPr>
          <w:rFonts w:cs="Times New Roman"/>
          <w:szCs w:val="24"/>
        </w:rPr>
        <w:t>for</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rate</w:t>
      </w:r>
      <w:r w:rsidRPr="00423400" w:rsidR="00CD72D9">
        <w:rPr>
          <w:rFonts w:cs="Times New Roman"/>
          <w:szCs w:val="24"/>
        </w:rPr>
        <w:t xml:space="preserve"> </w:t>
      </w:r>
      <w:r w:rsidRPr="00423400">
        <w:rPr>
          <w:rFonts w:cs="Times New Roman"/>
          <w:szCs w:val="24"/>
        </w:rPr>
        <w:t>freeze.)</w:t>
      </w:r>
      <w:r w:rsidRPr="00423400" w:rsidR="00CD72D9">
        <w:rPr>
          <w:rFonts w:cs="Times New Roman"/>
          <w:szCs w:val="24"/>
        </w:rPr>
        <w:t xml:space="preserve"> </w:t>
      </w:r>
      <w:r w:rsidRPr="00423400">
        <w:rPr>
          <w:rFonts w:cs="Times New Roman"/>
          <w:szCs w:val="24"/>
        </w:rPr>
        <w:t>Accordingly,</w:t>
      </w:r>
      <w:r w:rsidRPr="00423400" w:rsidR="00CD72D9">
        <w:rPr>
          <w:rFonts w:cs="Times New Roman"/>
          <w:szCs w:val="24"/>
        </w:rPr>
        <w:t xml:space="preserve"> </w:t>
      </w:r>
      <w:r w:rsidRPr="00423400">
        <w:rPr>
          <w:rFonts w:cs="Times New Roman"/>
          <w:szCs w:val="24"/>
        </w:rPr>
        <w:t>the intervenors</w:t>
      </w:r>
      <w:r w:rsidRPr="00423400" w:rsidR="00CD72D9">
        <w:rPr>
          <w:rFonts w:cs="Times New Roman"/>
          <w:szCs w:val="24"/>
        </w:rPr>
        <w:t xml:space="preserve"> </w:t>
      </w:r>
      <w:r w:rsidRPr="00423400">
        <w:rPr>
          <w:rFonts w:cs="Times New Roman"/>
          <w:szCs w:val="24"/>
        </w:rPr>
        <w:t>argued</w:t>
      </w:r>
      <w:r w:rsidRPr="00423400" w:rsidR="00CD72D9">
        <w:rPr>
          <w:rFonts w:cs="Times New Roman"/>
          <w:szCs w:val="24"/>
        </w:rPr>
        <w:t xml:space="preserve"> </w:t>
      </w:r>
      <w:r w:rsidRPr="00423400">
        <w:rPr>
          <w:rFonts w:cs="Times New Roman"/>
          <w:szCs w:val="24"/>
        </w:rPr>
        <w:t>that</w:t>
      </w:r>
      <w:r w:rsidRPr="00423400" w:rsidR="00CD72D9">
        <w:rPr>
          <w:rFonts w:cs="Times New Roman"/>
          <w:szCs w:val="24"/>
        </w:rPr>
        <w:t xml:space="preserve"> </w:t>
      </w:r>
      <w:r w:rsidRPr="00423400">
        <w:rPr>
          <w:rFonts w:cs="Times New Roman"/>
          <w:szCs w:val="24"/>
        </w:rPr>
        <w:t>if</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w:t>
      </w:r>
      <w:r w:rsidRPr="00423400" w:rsidR="00CD72D9">
        <w:rPr>
          <w:rFonts w:cs="Times New Roman"/>
          <w:szCs w:val="24"/>
        </w:rPr>
        <w:t xml:space="preserve"> </w:t>
      </w:r>
      <w:r w:rsidRPr="00423400">
        <w:rPr>
          <w:rFonts w:cs="Times New Roman"/>
          <w:szCs w:val="24"/>
        </w:rPr>
        <w:t>were</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continue</w:t>
      </w:r>
      <w:r w:rsidRPr="00423400" w:rsidR="00CD72D9">
        <w:rPr>
          <w:rFonts w:cs="Times New Roman"/>
          <w:szCs w:val="24"/>
        </w:rPr>
        <w:t xml:space="preserve"> </w:t>
      </w:r>
      <w:r w:rsidRPr="00423400">
        <w:rPr>
          <w:rFonts w:cs="Times New Roman"/>
          <w:szCs w:val="24"/>
        </w:rPr>
        <w:t>beyond</w:t>
      </w:r>
      <w:r w:rsidRPr="00423400" w:rsidR="00CD72D9">
        <w:rPr>
          <w:rFonts w:cs="Times New Roman"/>
          <w:szCs w:val="24"/>
        </w:rPr>
        <w:t xml:space="preserve"> </w:t>
      </w:r>
      <w:r w:rsidRPr="00423400">
        <w:rPr>
          <w:rFonts w:cs="Times New Roman"/>
          <w:szCs w:val="24"/>
        </w:rPr>
        <w:t>that</w:t>
      </w:r>
      <w:r w:rsidRPr="00423400" w:rsidR="00CD72D9">
        <w:rPr>
          <w:rFonts w:cs="Times New Roman"/>
          <w:szCs w:val="24"/>
        </w:rPr>
        <w:t xml:space="preserve"> </w:t>
      </w:r>
      <w:r w:rsidRPr="00423400">
        <w:rPr>
          <w:rFonts w:cs="Times New Roman"/>
          <w:szCs w:val="24"/>
        </w:rPr>
        <w:t>date</w:t>
      </w:r>
      <w:r w:rsidRPr="00423400" w:rsidR="00CD72D9">
        <w:rPr>
          <w:rFonts w:cs="Times New Roman"/>
          <w:szCs w:val="24"/>
        </w:rPr>
        <w:t xml:space="preserve"> </w:t>
      </w:r>
      <w:r w:rsidRPr="00423400">
        <w:rPr>
          <w:rFonts w:cs="Times New Roman"/>
          <w:szCs w:val="24"/>
        </w:rPr>
        <w:t>(as</w:t>
      </w:r>
      <w:r w:rsidRPr="00423400" w:rsidR="00CD72D9">
        <w:rPr>
          <w:rFonts w:cs="Times New Roman"/>
          <w:szCs w:val="24"/>
        </w:rPr>
        <w:t xml:space="preserve"> </w:t>
      </w:r>
      <w:r w:rsidRPr="00423400">
        <w:rPr>
          <w:rFonts w:cs="Times New Roman"/>
          <w:szCs w:val="24"/>
        </w:rPr>
        <w:t>a</w:t>
      </w:r>
      <w:r w:rsidRPr="00423400" w:rsidR="00CD72D9">
        <w:rPr>
          <w:rFonts w:cs="Times New Roman"/>
          <w:szCs w:val="24"/>
        </w:rPr>
        <w:t xml:space="preserve"> </w:t>
      </w:r>
      <w:r w:rsidRPr="00423400">
        <w:rPr>
          <w:rFonts w:cs="Times New Roman"/>
          <w:szCs w:val="24"/>
        </w:rPr>
        <w:t>result</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there</w:t>
      </w:r>
      <w:r w:rsidRPr="00423400" w:rsidR="00CD72D9">
        <w:rPr>
          <w:rFonts w:cs="Times New Roman"/>
          <w:szCs w:val="24"/>
        </w:rPr>
        <w:t xml:space="preserve"> </w:t>
      </w:r>
      <w:r w:rsidRPr="00423400">
        <w:rPr>
          <w:rFonts w:cs="Times New Roman"/>
          <w:szCs w:val="24"/>
        </w:rPr>
        <w:t>not</w:t>
      </w:r>
      <w:r w:rsidRPr="00423400" w:rsidR="00CD72D9">
        <w:rPr>
          <w:rFonts w:cs="Times New Roman"/>
          <w:szCs w:val="24"/>
        </w:rPr>
        <w:t xml:space="preserve"> </w:t>
      </w:r>
      <w:r w:rsidRPr="00423400">
        <w:rPr>
          <w:rFonts w:cs="Times New Roman"/>
          <w:szCs w:val="24"/>
        </w:rPr>
        <w:t>being a</w:t>
      </w:r>
      <w:r w:rsidRPr="00423400" w:rsidR="00CD72D9">
        <w:rPr>
          <w:rFonts w:cs="Times New Roman"/>
          <w:szCs w:val="24"/>
        </w:rPr>
        <w:t xml:space="preserve"> </w:t>
      </w:r>
      <w:r w:rsidRPr="00423400">
        <w:rPr>
          <w:rFonts w:cs="Times New Roman"/>
          <w:szCs w:val="24"/>
        </w:rPr>
        <w:t>new</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or</w:t>
      </w:r>
      <w:r w:rsidRPr="00423400" w:rsidR="00CD72D9">
        <w:rPr>
          <w:rFonts w:cs="Times New Roman"/>
          <w:szCs w:val="24"/>
        </w:rPr>
        <w:t xml:space="preserve"> </w:t>
      </w:r>
      <w:r w:rsidRPr="00423400">
        <w:rPr>
          <w:rFonts w:cs="Times New Roman"/>
          <w:szCs w:val="24"/>
        </w:rPr>
        <w:t>MRO to replace</w:t>
      </w:r>
      <w:r w:rsidRPr="00423400" w:rsidR="00CD72D9">
        <w:rPr>
          <w:rFonts w:cs="Times New Roman"/>
          <w:szCs w:val="24"/>
        </w:rPr>
        <w:t xml:space="preserve"> </w:t>
      </w:r>
      <w:r w:rsidRPr="00423400">
        <w:rPr>
          <w:rFonts w:cs="Times New Roman"/>
          <w:szCs w:val="24"/>
        </w:rPr>
        <w:t>it),</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PUCO</w:t>
      </w:r>
      <w:r w:rsidRPr="00423400" w:rsidR="00CD72D9">
        <w:rPr>
          <w:rFonts w:cs="Times New Roman"/>
          <w:szCs w:val="24"/>
        </w:rPr>
        <w:t xml:space="preserve"> </w:t>
      </w:r>
      <w:r w:rsidRPr="00423400">
        <w:rPr>
          <w:rFonts w:cs="Times New Roman"/>
          <w:szCs w:val="24"/>
        </w:rPr>
        <w:t>“should</w:t>
      </w:r>
      <w:r w:rsidRPr="00423400" w:rsidR="00CD72D9">
        <w:rPr>
          <w:rFonts w:cs="Times New Roman"/>
          <w:szCs w:val="24"/>
        </w:rPr>
        <w:t xml:space="preserve"> </w:t>
      </w:r>
      <w:r w:rsidRPr="00423400">
        <w:rPr>
          <w:rFonts w:cs="Times New Roman"/>
          <w:szCs w:val="24"/>
        </w:rPr>
        <w:t>promptly</w:t>
      </w:r>
      <w:r w:rsidRPr="00423400" w:rsidR="00CD72D9">
        <w:rPr>
          <w:rFonts w:cs="Times New Roman"/>
          <w:szCs w:val="24"/>
        </w:rPr>
        <w:t xml:space="preserve"> </w:t>
      </w:r>
      <w:r w:rsidRPr="00423400">
        <w:rPr>
          <w:rFonts w:cs="Times New Roman"/>
          <w:szCs w:val="24"/>
        </w:rPr>
        <w:t>identify</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provisions</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 that</w:t>
      </w:r>
      <w:r w:rsidRPr="00423400" w:rsidR="00CD72D9">
        <w:rPr>
          <w:rFonts w:cs="Times New Roman"/>
          <w:szCs w:val="24"/>
        </w:rPr>
        <w:t xml:space="preserve"> </w:t>
      </w:r>
      <w:r w:rsidRPr="00423400">
        <w:rPr>
          <w:rFonts w:cs="Times New Roman"/>
          <w:szCs w:val="24"/>
        </w:rPr>
        <w:t>cease</w:t>
      </w:r>
      <w:r w:rsidRPr="00423400" w:rsidR="00CD72D9">
        <w:rPr>
          <w:rFonts w:cs="Times New Roman"/>
          <w:szCs w:val="24"/>
        </w:rPr>
        <w:t xml:space="preserve"> </w:t>
      </w:r>
      <w:r w:rsidRPr="00423400">
        <w:rPr>
          <w:rFonts w:cs="Times New Roman"/>
          <w:szCs w:val="24"/>
        </w:rPr>
        <w:t>as</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December</w:t>
      </w:r>
      <w:r w:rsidRPr="00423400" w:rsidR="00CD72D9">
        <w:rPr>
          <w:rFonts w:cs="Times New Roman"/>
          <w:szCs w:val="24"/>
        </w:rPr>
        <w:t xml:space="preserve"> </w:t>
      </w:r>
      <w:r w:rsidRPr="00423400">
        <w:rPr>
          <w:rFonts w:cs="Times New Roman"/>
          <w:szCs w:val="24"/>
        </w:rPr>
        <w:t>31,</w:t>
      </w:r>
      <w:r w:rsidRPr="00423400" w:rsidR="00CD72D9">
        <w:rPr>
          <w:rFonts w:cs="Times New Roman"/>
          <w:szCs w:val="24"/>
        </w:rPr>
        <w:t xml:space="preserve"> </w:t>
      </w:r>
      <w:r w:rsidRPr="00423400">
        <w:rPr>
          <w:rFonts w:cs="Times New Roman"/>
          <w:szCs w:val="24"/>
        </w:rPr>
        <w:t>2012</w:t>
      </w:r>
      <w:r w:rsidRPr="00423400" w:rsidR="00CD72D9">
        <w:rPr>
          <w:rFonts w:cs="Times New Roman"/>
          <w:szCs w:val="24"/>
        </w:rPr>
        <w:t xml:space="preserve"> </w:t>
      </w:r>
      <w:r w:rsidRPr="00423400">
        <w:rPr>
          <w:rFonts w:cs="Times New Roman"/>
          <w:szCs w:val="24"/>
        </w:rPr>
        <w:t>and</w:t>
      </w:r>
      <w:r w:rsidRPr="00423400" w:rsidR="00CD72D9">
        <w:rPr>
          <w:rFonts w:cs="Times New Roman"/>
          <w:szCs w:val="24"/>
        </w:rPr>
        <w:t xml:space="preserve"> </w:t>
      </w:r>
      <w:r w:rsidRPr="00423400">
        <w:rPr>
          <w:rFonts w:cs="Times New Roman"/>
          <w:szCs w:val="24"/>
        </w:rPr>
        <w:t>thereafter</w:t>
      </w:r>
      <w:r w:rsidRPr="00423400" w:rsidR="00CD72D9">
        <w:rPr>
          <w:rFonts w:cs="Times New Roman"/>
          <w:szCs w:val="24"/>
        </w:rPr>
        <w:t xml:space="preserve"> </w:t>
      </w:r>
      <w:r w:rsidRPr="00423400">
        <w:rPr>
          <w:rFonts w:cs="Times New Roman"/>
          <w:szCs w:val="24"/>
        </w:rPr>
        <w:t>no</w:t>
      </w:r>
      <w:r w:rsidRPr="00423400" w:rsidR="00CD72D9">
        <w:rPr>
          <w:rFonts w:cs="Times New Roman"/>
          <w:szCs w:val="24"/>
        </w:rPr>
        <w:t xml:space="preserve"> </w:t>
      </w:r>
      <w:r w:rsidRPr="00423400">
        <w:rPr>
          <w:rFonts w:cs="Times New Roman"/>
          <w:szCs w:val="24"/>
        </w:rPr>
        <w:t>longer</w:t>
      </w:r>
      <w:r w:rsidRPr="00423400" w:rsidR="00CD72D9">
        <w:rPr>
          <w:rFonts w:cs="Times New Roman"/>
          <w:szCs w:val="24"/>
        </w:rPr>
        <w:t xml:space="preserve"> </w:t>
      </w:r>
      <w:r w:rsidRPr="00423400">
        <w:rPr>
          <w:rFonts w:cs="Times New Roman"/>
          <w:szCs w:val="24"/>
        </w:rPr>
        <w:t>apply</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determine</w:t>
      </w:r>
      <w:r w:rsidRPr="00423400" w:rsidR="00CD72D9">
        <w:rPr>
          <w:rFonts w:cs="Times New Roman"/>
          <w:szCs w:val="24"/>
        </w:rPr>
        <w:t xml:space="preserve"> </w:t>
      </w:r>
      <w:r w:rsidRPr="00423400">
        <w:rPr>
          <w:rFonts w:cs="Times New Roman"/>
          <w:szCs w:val="24"/>
        </w:rPr>
        <w:t>electric</w:t>
      </w:r>
      <w:r w:rsidRPr="00423400" w:rsidR="00CD72D9">
        <w:rPr>
          <w:rFonts w:cs="Times New Roman"/>
          <w:szCs w:val="24"/>
        </w:rPr>
        <w:t xml:space="preserve"> </w:t>
      </w:r>
      <w:r w:rsidRPr="00423400">
        <w:rPr>
          <w:rFonts w:cs="Times New Roman"/>
          <w:szCs w:val="24"/>
        </w:rPr>
        <w:t>bills</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 customers.”</w:t>
      </w:r>
      <w:r>
        <w:rPr>
          <w:rStyle w:val="FootnoteReference"/>
          <w:rFonts w:cs="Times New Roman"/>
          <w:szCs w:val="24"/>
        </w:rPr>
        <w:footnoteReference w:id="14"/>
      </w:r>
      <w:r w:rsidRPr="00423400" w:rsidR="00CD72D9">
        <w:rPr>
          <w:rFonts w:cs="Times New Roman"/>
          <w:szCs w:val="24"/>
        </w:rPr>
        <w:t xml:space="preserve"> </w:t>
      </w:r>
      <w:r w:rsidRPr="00423400">
        <w:rPr>
          <w:rFonts w:cs="Times New Roman"/>
          <w:szCs w:val="24"/>
        </w:rPr>
        <w:t>More</w:t>
      </w:r>
      <w:r w:rsidRPr="00423400" w:rsidR="00CD72D9">
        <w:rPr>
          <w:rFonts w:cs="Times New Roman"/>
          <w:szCs w:val="24"/>
        </w:rPr>
        <w:t xml:space="preserve"> </w:t>
      </w:r>
      <w:r w:rsidRPr="00423400">
        <w:rPr>
          <w:rFonts w:cs="Times New Roman"/>
          <w:szCs w:val="24"/>
        </w:rPr>
        <w:t>specifically,</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parties</w:t>
      </w:r>
      <w:r w:rsidRPr="00423400" w:rsidR="00CD72D9">
        <w:rPr>
          <w:rFonts w:cs="Times New Roman"/>
          <w:szCs w:val="24"/>
        </w:rPr>
        <w:t xml:space="preserve"> </w:t>
      </w:r>
      <w:r w:rsidRPr="00423400">
        <w:rPr>
          <w:rFonts w:cs="Times New Roman"/>
          <w:szCs w:val="24"/>
        </w:rPr>
        <w:t>argued</w:t>
      </w:r>
      <w:r w:rsidRPr="00423400" w:rsidR="00CD72D9">
        <w:rPr>
          <w:rFonts w:cs="Times New Roman"/>
          <w:szCs w:val="24"/>
        </w:rPr>
        <w:t xml:space="preserve"> </w:t>
      </w:r>
      <w:r w:rsidRPr="00423400">
        <w:rPr>
          <w:rFonts w:cs="Times New Roman"/>
          <w:szCs w:val="24"/>
        </w:rPr>
        <w:t>that</w:t>
      </w:r>
      <w:r w:rsidRPr="00423400" w:rsidR="00CD72D9">
        <w:rPr>
          <w:rFonts w:cs="Times New Roman"/>
          <w:szCs w:val="24"/>
        </w:rPr>
        <w:t xml:space="preserve"> </w:t>
      </w:r>
      <w:r w:rsidR="00043E6C">
        <w:rPr>
          <w:rFonts w:cs="Times New Roman"/>
          <w:szCs w:val="24"/>
        </w:rPr>
        <w:t xml:space="preserve">the </w:t>
      </w:r>
      <w:r w:rsidRPr="00423400">
        <w:rPr>
          <w:rFonts w:cs="Times New Roman"/>
          <w:szCs w:val="24"/>
        </w:rPr>
        <w:t>PUCO,</w:t>
      </w:r>
      <w:r w:rsidRPr="00423400" w:rsidR="00CD72D9">
        <w:rPr>
          <w:rFonts w:cs="Times New Roman"/>
          <w:szCs w:val="24"/>
        </w:rPr>
        <w:t xml:space="preserve"> </w:t>
      </w:r>
      <w:r w:rsidRPr="00423400">
        <w:rPr>
          <w:rFonts w:cs="Times New Roman"/>
          <w:szCs w:val="24"/>
        </w:rPr>
        <w:t>consistent</w:t>
      </w:r>
      <w:r w:rsidRPr="00423400" w:rsidR="00CD72D9">
        <w:rPr>
          <w:rFonts w:cs="Times New Roman"/>
          <w:szCs w:val="24"/>
        </w:rPr>
        <w:t xml:space="preserve"> </w:t>
      </w:r>
      <w:r w:rsidRPr="00423400">
        <w:rPr>
          <w:rFonts w:cs="Times New Roman"/>
          <w:szCs w:val="24"/>
        </w:rPr>
        <w:t>with</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terms</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the ESP</w:t>
      </w:r>
      <w:r w:rsidRPr="00423400" w:rsidR="00CD72D9">
        <w:rPr>
          <w:rFonts w:cs="Times New Roman"/>
          <w:szCs w:val="24"/>
        </w:rPr>
        <w:t xml:space="preserve"> </w:t>
      </w:r>
      <w:r w:rsidRPr="00423400">
        <w:rPr>
          <w:rFonts w:cs="Times New Roman"/>
          <w:szCs w:val="24"/>
        </w:rPr>
        <w:t>I</w:t>
      </w:r>
      <w:r w:rsidRPr="00423400" w:rsidR="00CD72D9">
        <w:rPr>
          <w:rFonts w:cs="Times New Roman"/>
          <w:szCs w:val="24"/>
        </w:rPr>
        <w:t xml:space="preserve"> </w:t>
      </w:r>
      <w:r w:rsidRPr="00423400">
        <w:rPr>
          <w:rFonts w:cs="Times New Roman"/>
          <w:szCs w:val="24"/>
        </w:rPr>
        <w:t>Settlement,</w:t>
      </w:r>
      <w:r w:rsidRPr="00423400" w:rsidR="00CD72D9">
        <w:rPr>
          <w:rFonts w:cs="Times New Roman"/>
          <w:szCs w:val="24"/>
        </w:rPr>
        <w:t xml:space="preserve"> </w:t>
      </w:r>
      <w:r w:rsidRPr="00423400">
        <w:rPr>
          <w:rFonts w:cs="Times New Roman"/>
          <w:szCs w:val="24"/>
        </w:rPr>
        <w:t>should</w:t>
      </w:r>
      <w:r w:rsidRPr="00423400" w:rsidR="00CD72D9">
        <w:rPr>
          <w:rFonts w:cs="Times New Roman"/>
          <w:szCs w:val="24"/>
        </w:rPr>
        <w:t xml:space="preserve"> </w:t>
      </w:r>
      <w:r w:rsidRPr="00423400">
        <w:rPr>
          <w:rFonts w:cs="Times New Roman"/>
          <w:szCs w:val="24"/>
        </w:rPr>
        <w:t>“direct</w:t>
      </w:r>
      <w:r w:rsidRPr="00423400" w:rsidR="00CD72D9">
        <w:rPr>
          <w:rFonts w:cs="Times New Roman"/>
          <w:szCs w:val="24"/>
        </w:rPr>
        <w:t xml:space="preserve"> </w:t>
      </w:r>
      <w:r w:rsidRPr="00423400">
        <w:rPr>
          <w:rFonts w:cs="Times New Roman"/>
          <w:szCs w:val="24"/>
        </w:rPr>
        <w:t>DP&amp;L</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refile</w:t>
      </w:r>
      <w:r w:rsidRPr="00423400" w:rsidR="00CD72D9">
        <w:rPr>
          <w:rFonts w:cs="Times New Roman"/>
          <w:szCs w:val="24"/>
        </w:rPr>
        <w:t xml:space="preserve"> </w:t>
      </w:r>
      <w:r w:rsidRPr="00423400">
        <w:rPr>
          <w:rFonts w:cs="Times New Roman"/>
          <w:szCs w:val="24"/>
        </w:rPr>
        <w:t>its</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w:t>
      </w:r>
      <w:r w:rsidRPr="00423400" w:rsidR="00CD72D9">
        <w:rPr>
          <w:rFonts w:cs="Times New Roman"/>
          <w:szCs w:val="24"/>
        </w:rPr>
        <w:t xml:space="preserve"> </w:t>
      </w:r>
      <w:r w:rsidRPr="00423400">
        <w:rPr>
          <w:rFonts w:cs="Times New Roman"/>
          <w:szCs w:val="24"/>
        </w:rPr>
        <w:t>tariffs</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remove</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RSC</w:t>
      </w:r>
      <w:r w:rsidRPr="00423400" w:rsidR="00CD72D9">
        <w:rPr>
          <w:rFonts w:cs="Times New Roman"/>
          <w:szCs w:val="24"/>
        </w:rPr>
        <w:t xml:space="preserve"> </w:t>
      </w:r>
      <w:r w:rsidRPr="00423400">
        <w:rPr>
          <w:rFonts w:cs="Times New Roman"/>
          <w:szCs w:val="24"/>
        </w:rPr>
        <w:t>effective</w:t>
      </w:r>
      <w:r w:rsidRPr="00423400" w:rsidR="00CD72D9">
        <w:rPr>
          <w:rFonts w:cs="Times New Roman"/>
          <w:szCs w:val="24"/>
        </w:rPr>
        <w:t xml:space="preserve"> </w:t>
      </w:r>
      <w:r w:rsidRPr="00423400">
        <w:rPr>
          <w:rFonts w:cs="Times New Roman"/>
          <w:szCs w:val="24"/>
        </w:rPr>
        <w:t>for service</w:t>
      </w:r>
      <w:r w:rsidRPr="00423400" w:rsidR="00CD72D9">
        <w:rPr>
          <w:rFonts w:cs="Times New Roman"/>
          <w:szCs w:val="24"/>
        </w:rPr>
        <w:t xml:space="preserve"> </w:t>
      </w:r>
      <w:r w:rsidRPr="00423400">
        <w:rPr>
          <w:rFonts w:cs="Times New Roman"/>
          <w:szCs w:val="24"/>
        </w:rPr>
        <w:t>rendered</w:t>
      </w:r>
      <w:r w:rsidRPr="00423400" w:rsidR="00CD72D9">
        <w:rPr>
          <w:rFonts w:cs="Times New Roman"/>
          <w:szCs w:val="24"/>
        </w:rPr>
        <w:t xml:space="preserve"> </w:t>
      </w:r>
      <w:r w:rsidRPr="00423400">
        <w:rPr>
          <w:rFonts w:cs="Times New Roman"/>
          <w:szCs w:val="24"/>
        </w:rPr>
        <w:t>on</w:t>
      </w:r>
      <w:r w:rsidRPr="00423400" w:rsidR="00CD72D9">
        <w:rPr>
          <w:rFonts w:cs="Times New Roman"/>
          <w:szCs w:val="24"/>
        </w:rPr>
        <w:t xml:space="preserve"> </w:t>
      </w:r>
      <w:r w:rsidRPr="00423400">
        <w:rPr>
          <w:rFonts w:cs="Times New Roman"/>
          <w:szCs w:val="24"/>
        </w:rPr>
        <w:t>or</w:t>
      </w:r>
      <w:r w:rsidRPr="00423400" w:rsidR="00CD72D9">
        <w:rPr>
          <w:rFonts w:cs="Times New Roman"/>
          <w:szCs w:val="24"/>
        </w:rPr>
        <w:t xml:space="preserve"> </w:t>
      </w:r>
      <w:r w:rsidRPr="00423400">
        <w:rPr>
          <w:rFonts w:cs="Times New Roman"/>
          <w:szCs w:val="24"/>
        </w:rPr>
        <w:t>after</w:t>
      </w:r>
      <w:r w:rsidRPr="00423400" w:rsidR="00CD72D9">
        <w:rPr>
          <w:rFonts w:cs="Times New Roman"/>
          <w:szCs w:val="24"/>
        </w:rPr>
        <w:t xml:space="preserve"> </w:t>
      </w:r>
      <w:r w:rsidRPr="00423400">
        <w:rPr>
          <w:rFonts w:cs="Times New Roman"/>
          <w:szCs w:val="24"/>
        </w:rPr>
        <w:t>January</w:t>
      </w:r>
      <w:r w:rsidRPr="00423400" w:rsidR="00CD72D9">
        <w:rPr>
          <w:rFonts w:cs="Times New Roman"/>
          <w:szCs w:val="24"/>
        </w:rPr>
        <w:t xml:space="preserve"> </w:t>
      </w:r>
      <w:r w:rsidRPr="00423400">
        <w:rPr>
          <w:rFonts w:cs="Times New Roman"/>
          <w:szCs w:val="24"/>
        </w:rPr>
        <w:t>1,</w:t>
      </w:r>
      <w:r w:rsidRPr="00423400" w:rsidR="00CD72D9">
        <w:rPr>
          <w:rFonts w:cs="Times New Roman"/>
          <w:szCs w:val="24"/>
        </w:rPr>
        <w:t xml:space="preserve"> </w:t>
      </w:r>
      <w:r w:rsidRPr="00423400">
        <w:rPr>
          <w:rFonts w:cs="Times New Roman"/>
          <w:szCs w:val="24"/>
        </w:rPr>
        <w:t>2013.”</w:t>
      </w:r>
      <w:r>
        <w:rPr>
          <w:rStyle w:val="FootnoteReference"/>
          <w:rFonts w:cs="Times New Roman"/>
          <w:szCs w:val="24"/>
        </w:rPr>
        <w:footnoteReference w:id="15"/>
      </w:r>
      <w:r w:rsidRPr="00423400">
        <w:rPr>
          <w:rFonts w:cs="Times New Roman"/>
          <w:szCs w:val="24"/>
        </w:rPr>
        <w:t xml:space="preserve"> </w:t>
      </w:r>
    </w:p>
    <w:p w:rsidR="00F955D3" w:rsidRPr="00423400" w:rsidP="00F955D3" w14:paraId="4AB22536" w14:textId="77777777">
      <w:pPr>
        <w:spacing w:after="0" w:line="480" w:lineRule="auto"/>
        <w:ind w:firstLine="720"/>
        <w:rPr>
          <w:rFonts w:cs="Times New Roman"/>
          <w:szCs w:val="24"/>
        </w:rPr>
      </w:pPr>
      <w:r w:rsidRPr="00423400">
        <w:rPr>
          <w:rFonts w:cs="Times New Roman"/>
          <w:szCs w:val="24"/>
        </w:rPr>
        <w:t>DP&amp;L opposed</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Joint</w:t>
      </w:r>
      <w:r w:rsidRPr="00423400" w:rsidR="00CD72D9">
        <w:rPr>
          <w:rFonts w:cs="Times New Roman"/>
          <w:szCs w:val="24"/>
        </w:rPr>
        <w:t xml:space="preserve"> </w:t>
      </w:r>
      <w:r w:rsidRPr="00423400">
        <w:rPr>
          <w:rFonts w:cs="Times New Roman"/>
          <w:szCs w:val="24"/>
        </w:rPr>
        <w:t>Motion.</w:t>
      </w:r>
      <w:r>
        <w:rPr>
          <w:rStyle w:val="FootnoteReference"/>
          <w:rFonts w:cs="Times New Roman"/>
          <w:szCs w:val="24"/>
        </w:rPr>
        <w:footnoteReference w:id="16"/>
      </w:r>
      <w:r w:rsidRPr="00423400" w:rsidR="00CD72D9">
        <w:rPr>
          <w:rFonts w:cs="Times New Roman"/>
          <w:szCs w:val="24"/>
        </w:rPr>
        <w:t xml:space="preserve"> </w:t>
      </w:r>
      <w:r w:rsidRPr="00423400">
        <w:rPr>
          <w:rFonts w:cs="Times New Roman"/>
          <w:szCs w:val="24"/>
        </w:rPr>
        <w:t>DP&amp;L</w:t>
      </w:r>
      <w:r w:rsidRPr="00423400" w:rsidR="00CD72D9">
        <w:rPr>
          <w:rFonts w:cs="Times New Roman"/>
          <w:szCs w:val="24"/>
        </w:rPr>
        <w:t xml:space="preserve"> </w:t>
      </w:r>
      <w:r w:rsidRPr="00423400">
        <w:rPr>
          <w:rFonts w:cs="Times New Roman"/>
          <w:szCs w:val="24"/>
        </w:rPr>
        <w:t>argued</w:t>
      </w:r>
      <w:r w:rsidRPr="00423400" w:rsidR="00CD72D9">
        <w:rPr>
          <w:rFonts w:cs="Times New Roman"/>
          <w:szCs w:val="24"/>
        </w:rPr>
        <w:t xml:space="preserve"> </w:t>
      </w:r>
      <w:r w:rsidRPr="00423400">
        <w:rPr>
          <w:rFonts w:cs="Times New Roman"/>
          <w:szCs w:val="24"/>
        </w:rPr>
        <w:t>that</w:t>
      </w:r>
      <w:r w:rsidRPr="00423400" w:rsidR="00CD72D9">
        <w:rPr>
          <w:rFonts w:cs="Times New Roman"/>
          <w:szCs w:val="24"/>
        </w:rPr>
        <w:t xml:space="preserve"> </w:t>
      </w:r>
      <w:r w:rsidRPr="00423400">
        <w:rPr>
          <w:rFonts w:cs="Times New Roman"/>
          <w:szCs w:val="24"/>
        </w:rPr>
        <w:t>under</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w:t>
      </w:r>
      <w:r w:rsidRPr="00423400" w:rsidR="00CD72D9">
        <w:rPr>
          <w:rFonts w:cs="Times New Roman"/>
          <w:szCs w:val="24"/>
        </w:rPr>
        <w:t xml:space="preserve"> </w:t>
      </w:r>
      <w:r w:rsidRPr="00423400">
        <w:rPr>
          <w:rFonts w:cs="Times New Roman"/>
          <w:szCs w:val="24"/>
        </w:rPr>
        <w:t>Settlement,</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 was</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continue</w:t>
      </w:r>
      <w:r w:rsidRPr="00423400" w:rsidR="00CD72D9">
        <w:rPr>
          <w:rFonts w:cs="Times New Roman"/>
          <w:szCs w:val="24"/>
        </w:rPr>
        <w:t xml:space="preserve"> </w:t>
      </w:r>
      <w:r w:rsidRPr="00423400">
        <w:rPr>
          <w:rFonts w:cs="Times New Roman"/>
          <w:szCs w:val="24"/>
        </w:rPr>
        <w:t>through</w:t>
      </w:r>
      <w:r w:rsidRPr="00423400" w:rsidR="00CD72D9">
        <w:rPr>
          <w:rFonts w:cs="Times New Roman"/>
          <w:szCs w:val="24"/>
        </w:rPr>
        <w:t xml:space="preserve"> </w:t>
      </w:r>
      <w:r w:rsidRPr="00423400">
        <w:rPr>
          <w:rFonts w:cs="Times New Roman"/>
          <w:szCs w:val="24"/>
        </w:rPr>
        <w:t>December</w:t>
      </w:r>
      <w:r w:rsidRPr="00423400" w:rsidR="00CD72D9">
        <w:rPr>
          <w:rFonts w:cs="Times New Roman"/>
          <w:szCs w:val="24"/>
        </w:rPr>
        <w:t xml:space="preserve"> </w:t>
      </w:r>
      <w:r w:rsidRPr="00423400">
        <w:rPr>
          <w:rFonts w:cs="Times New Roman"/>
          <w:szCs w:val="24"/>
        </w:rPr>
        <w:t>31,</w:t>
      </w:r>
      <w:r w:rsidRPr="00423400" w:rsidR="00CD72D9">
        <w:rPr>
          <w:rFonts w:cs="Times New Roman"/>
          <w:szCs w:val="24"/>
        </w:rPr>
        <w:t xml:space="preserve"> </w:t>
      </w:r>
      <w:r w:rsidRPr="00423400">
        <w:rPr>
          <w:rFonts w:cs="Times New Roman"/>
          <w:szCs w:val="24"/>
        </w:rPr>
        <w:t>2012,</w:t>
      </w:r>
      <w:r w:rsidRPr="00423400" w:rsidR="00CD72D9">
        <w:rPr>
          <w:rFonts w:cs="Times New Roman"/>
          <w:szCs w:val="24"/>
        </w:rPr>
        <w:t xml:space="preserve"> </w:t>
      </w:r>
      <w:r w:rsidRPr="00423400">
        <w:rPr>
          <w:rFonts w:cs="Times New Roman"/>
          <w:szCs w:val="24"/>
        </w:rPr>
        <w:t>and</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RSC</w:t>
      </w:r>
      <w:r w:rsidRPr="00423400" w:rsidR="00CD72D9">
        <w:rPr>
          <w:rFonts w:cs="Times New Roman"/>
          <w:szCs w:val="24"/>
        </w:rPr>
        <w:t xml:space="preserve"> </w:t>
      </w:r>
      <w:r w:rsidRPr="00423400">
        <w:rPr>
          <w:rFonts w:cs="Times New Roman"/>
          <w:szCs w:val="24"/>
        </w:rPr>
        <w:t>was</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continue</w:t>
      </w:r>
      <w:r w:rsidRPr="00423400" w:rsidR="00CD72D9">
        <w:rPr>
          <w:rFonts w:cs="Times New Roman"/>
          <w:szCs w:val="24"/>
        </w:rPr>
        <w:t xml:space="preserve"> </w:t>
      </w:r>
      <w:r w:rsidRPr="00423400">
        <w:rPr>
          <w:rFonts w:cs="Times New Roman"/>
          <w:szCs w:val="24"/>
        </w:rPr>
        <w:t>through</w:t>
      </w:r>
      <w:r w:rsidRPr="00423400" w:rsidR="00CD72D9">
        <w:rPr>
          <w:rFonts w:cs="Times New Roman"/>
          <w:szCs w:val="24"/>
        </w:rPr>
        <w:t xml:space="preserve"> </w:t>
      </w:r>
      <w:r w:rsidRPr="00423400">
        <w:rPr>
          <w:rFonts w:cs="Times New Roman"/>
          <w:szCs w:val="24"/>
        </w:rPr>
        <w:t>December</w:t>
      </w:r>
      <w:r w:rsidRPr="00423400" w:rsidR="00CD72D9">
        <w:rPr>
          <w:rFonts w:cs="Times New Roman"/>
          <w:szCs w:val="24"/>
        </w:rPr>
        <w:t xml:space="preserve"> </w:t>
      </w:r>
      <w:r w:rsidRPr="00423400">
        <w:rPr>
          <w:rFonts w:cs="Times New Roman"/>
          <w:szCs w:val="24"/>
        </w:rPr>
        <w:t>31, 2012,</w:t>
      </w:r>
      <w:r w:rsidRPr="00423400" w:rsidR="00CD72D9">
        <w:rPr>
          <w:rFonts w:cs="Times New Roman"/>
          <w:szCs w:val="24"/>
        </w:rPr>
        <w:t xml:space="preserve"> </w:t>
      </w:r>
      <w:r w:rsidRPr="00423400">
        <w:rPr>
          <w:rFonts w:cs="Times New Roman"/>
          <w:szCs w:val="24"/>
        </w:rPr>
        <w:t>so</w:t>
      </w:r>
      <w:r w:rsidRPr="00423400" w:rsidR="00CD72D9">
        <w:rPr>
          <w:rFonts w:cs="Times New Roman"/>
          <w:szCs w:val="24"/>
        </w:rPr>
        <w:t xml:space="preserve"> </w:t>
      </w:r>
      <w:r w:rsidRPr="00423400">
        <w:rPr>
          <w:rFonts w:cs="Times New Roman"/>
          <w:szCs w:val="24"/>
        </w:rPr>
        <w:t>any</w:t>
      </w:r>
      <w:r w:rsidRPr="00423400" w:rsidR="00CD72D9">
        <w:rPr>
          <w:rFonts w:cs="Times New Roman"/>
          <w:szCs w:val="24"/>
        </w:rPr>
        <w:t xml:space="preserve"> </w:t>
      </w:r>
      <w:r w:rsidRPr="00423400">
        <w:rPr>
          <w:rFonts w:cs="Times New Roman"/>
          <w:szCs w:val="24"/>
        </w:rPr>
        <w:t>extension</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w:t>
      </w:r>
      <w:r w:rsidRPr="00423400" w:rsidR="00CD72D9">
        <w:rPr>
          <w:rFonts w:cs="Times New Roman"/>
          <w:szCs w:val="24"/>
        </w:rPr>
        <w:t xml:space="preserve"> </w:t>
      </w:r>
      <w:r w:rsidRPr="00423400">
        <w:rPr>
          <w:rFonts w:cs="Times New Roman"/>
          <w:szCs w:val="24"/>
        </w:rPr>
        <w:t>necessarily</w:t>
      </w:r>
      <w:r w:rsidRPr="00423400" w:rsidR="00CD72D9">
        <w:rPr>
          <w:rFonts w:cs="Times New Roman"/>
          <w:szCs w:val="24"/>
        </w:rPr>
        <w:t xml:space="preserve"> </w:t>
      </w:r>
      <w:r w:rsidRPr="00423400">
        <w:rPr>
          <w:rFonts w:cs="Times New Roman"/>
          <w:szCs w:val="24"/>
        </w:rPr>
        <w:t>meant</w:t>
      </w:r>
      <w:r w:rsidRPr="00423400" w:rsidR="00CD72D9">
        <w:rPr>
          <w:rFonts w:cs="Times New Roman"/>
          <w:szCs w:val="24"/>
        </w:rPr>
        <w:t xml:space="preserve"> </w:t>
      </w:r>
      <w:r w:rsidRPr="00423400">
        <w:rPr>
          <w:rFonts w:cs="Times New Roman"/>
          <w:szCs w:val="24"/>
        </w:rPr>
        <w:t>that</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RSC</w:t>
      </w:r>
      <w:r w:rsidRPr="00423400" w:rsidR="00CD72D9">
        <w:rPr>
          <w:rFonts w:cs="Times New Roman"/>
          <w:szCs w:val="24"/>
        </w:rPr>
        <w:t xml:space="preserve"> </w:t>
      </w:r>
      <w:r w:rsidRPr="00423400">
        <w:rPr>
          <w:rFonts w:cs="Times New Roman"/>
          <w:szCs w:val="24"/>
        </w:rPr>
        <w:t>would</w:t>
      </w:r>
      <w:r w:rsidRPr="00423400" w:rsidR="00CD72D9">
        <w:rPr>
          <w:rFonts w:cs="Times New Roman"/>
          <w:szCs w:val="24"/>
        </w:rPr>
        <w:t xml:space="preserve"> </w:t>
      </w:r>
      <w:r w:rsidRPr="00423400">
        <w:rPr>
          <w:rFonts w:cs="Times New Roman"/>
          <w:szCs w:val="24"/>
        </w:rPr>
        <w:t>continue</w:t>
      </w:r>
      <w:r w:rsidRPr="00423400" w:rsidR="00CD72D9">
        <w:rPr>
          <w:rFonts w:cs="Times New Roman"/>
          <w:szCs w:val="24"/>
        </w:rPr>
        <w:t xml:space="preserve"> </w:t>
      </w:r>
      <w:r w:rsidRPr="00423400">
        <w:rPr>
          <w:rFonts w:cs="Times New Roman"/>
          <w:szCs w:val="24"/>
        </w:rPr>
        <w:t>as</w:t>
      </w:r>
      <w:r w:rsidRPr="00423400" w:rsidR="00CD72D9">
        <w:rPr>
          <w:rFonts w:cs="Times New Roman"/>
          <w:szCs w:val="24"/>
        </w:rPr>
        <w:t xml:space="preserve"> </w:t>
      </w:r>
      <w:r w:rsidRPr="00423400">
        <w:rPr>
          <w:rFonts w:cs="Times New Roman"/>
          <w:szCs w:val="24"/>
        </w:rPr>
        <w:t>well.</w:t>
      </w:r>
      <w:r>
        <w:rPr>
          <w:rStyle w:val="FootnoteReference"/>
          <w:rFonts w:cs="Times New Roman"/>
          <w:szCs w:val="24"/>
        </w:rPr>
        <w:footnoteReference w:id="17"/>
      </w:r>
      <w:r w:rsidRPr="00423400">
        <w:rPr>
          <w:rFonts w:cs="Times New Roman"/>
          <w:szCs w:val="24"/>
        </w:rPr>
        <w:t xml:space="preserve"> </w:t>
      </w:r>
    </w:p>
    <w:p w:rsidR="00F955D3" w:rsidRPr="00423400" w:rsidP="00F955D3" w14:paraId="2F4A5A4A" w14:textId="77777777">
      <w:pPr>
        <w:spacing w:after="0" w:line="480" w:lineRule="auto"/>
        <w:ind w:firstLine="720"/>
        <w:rPr>
          <w:rFonts w:cs="Times New Roman"/>
          <w:szCs w:val="24"/>
        </w:rPr>
      </w:pPr>
      <w:r w:rsidRPr="00423400">
        <w:rPr>
          <w:rFonts w:cs="Times New Roman"/>
          <w:szCs w:val="24"/>
        </w:rPr>
        <w:t>The</w:t>
      </w:r>
      <w:r w:rsidRPr="00423400" w:rsidR="00CD72D9">
        <w:rPr>
          <w:rFonts w:cs="Times New Roman"/>
          <w:szCs w:val="24"/>
        </w:rPr>
        <w:t xml:space="preserve"> </w:t>
      </w:r>
      <w:r w:rsidRPr="00423400">
        <w:rPr>
          <w:rFonts w:cs="Times New Roman"/>
          <w:szCs w:val="24"/>
        </w:rPr>
        <w:t>PUCO agreed</w:t>
      </w:r>
      <w:r w:rsidRPr="00423400" w:rsidR="00CD72D9">
        <w:rPr>
          <w:rFonts w:cs="Times New Roman"/>
          <w:szCs w:val="24"/>
        </w:rPr>
        <w:t xml:space="preserve"> </w:t>
      </w:r>
      <w:r w:rsidRPr="00423400">
        <w:rPr>
          <w:rFonts w:cs="Times New Roman"/>
          <w:szCs w:val="24"/>
        </w:rPr>
        <w:t>with</w:t>
      </w:r>
      <w:r w:rsidRPr="00423400" w:rsidR="00CD72D9">
        <w:rPr>
          <w:rFonts w:cs="Times New Roman"/>
          <w:szCs w:val="24"/>
        </w:rPr>
        <w:t xml:space="preserve"> </w:t>
      </w:r>
      <w:r w:rsidRPr="00423400">
        <w:rPr>
          <w:rFonts w:cs="Times New Roman"/>
          <w:szCs w:val="24"/>
        </w:rPr>
        <w:t>DP&amp;L</w:t>
      </w:r>
      <w:r w:rsidRPr="00423400" w:rsidR="00CD72D9">
        <w:rPr>
          <w:rFonts w:cs="Times New Roman"/>
          <w:szCs w:val="24"/>
        </w:rPr>
        <w:t xml:space="preserve"> </w:t>
      </w:r>
      <w:r w:rsidRPr="00423400">
        <w:rPr>
          <w:rFonts w:cs="Times New Roman"/>
          <w:szCs w:val="24"/>
        </w:rPr>
        <w:t>and</w:t>
      </w:r>
      <w:r w:rsidRPr="00423400" w:rsidR="00CD72D9">
        <w:rPr>
          <w:rFonts w:cs="Times New Roman"/>
          <w:szCs w:val="24"/>
        </w:rPr>
        <w:t xml:space="preserve"> </w:t>
      </w:r>
      <w:r w:rsidRPr="00423400">
        <w:rPr>
          <w:rFonts w:cs="Times New Roman"/>
          <w:szCs w:val="24"/>
        </w:rPr>
        <w:t>denied</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Joint</w:t>
      </w:r>
      <w:r w:rsidRPr="00423400" w:rsidR="00CD72D9">
        <w:rPr>
          <w:rFonts w:cs="Times New Roman"/>
          <w:szCs w:val="24"/>
        </w:rPr>
        <w:t xml:space="preserve"> </w:t>
      </w:r>
      <w:r w:rsidRPr="00423400">
        <w:rPr>
          <w:rFonts w:cs="Times New Roman"/>
          <w:szCs w:val="24"/>
        </w:rPr>
        <w:t>Motion.</w:t>
      </w:r>
      <w:r>
        <w:rPr>
          <w:rStyle w:val="FootnoteReference"/>
          <w:rFonts w:cs="Times New Roman"/>
          <w:szCs w:val="24"/>
        </w:rPr>
        <w:footnoteReference w:id="18"/>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PUCO</w:t>
      </w:r>
      <w:r w:rsidRPr="00423400" w:rsidR="00CD72D9">
        <w:rPr>
          <w:rFonts w:cs="Times New Roman"/>
          <w:szCs w:val="24"/>
        </w:rPr>
        <w:t xml:space="preserve"> </w:t>
      </w:r>
      <w:r w:rsidRPr="00423400">
        <w:rPr>
          <w:rFonts w:cs="Times New Roman"/>
          <w:szCs w:val="24"/>
        </w:rPr>
        <w:t>was</w:t>
      </w:r>
      <w:r w:rsidRPr="00423400" w:rsidR="00CD72D9">
        <w:rPr>
          <w:rFonts w:cs="Times New Roman"/>
          <w:szCs w:val="24"/>
        </w:rPr>
        <w:t xml:space="preserve"> </w:t>
      </w:r>
      <w:r w:rsidRPr="00423400">
        <w:rPr>
          <w:rFonts w:cs="Times New Roman"/>
          <w:szCs w:val="24"/>
        </w:rPr>
        <w:t>not convinced</w:t>
      </w:r>
      <w:r w:rsidRPr="00423400" w:rsidR="00CD72D9">
        <w:rPr>
          <w:rFonts w:cs="Times New Roman"/>
          <w:szCs w:val="24"/>
        </w:rPr>
        <w:t xml:space="preserve"> </w:t>
      </w:r>
      <w:r w:rsidRPr="00423400">
        <w:rPr>
          <w:rFonts w:cs="Times New Roman"/>
          <w:szCs w:val="24"/>
        </w:rPr>
        <w:t>by</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joint</w:t>
      </w:r>
      <w:r w:rsidRPr="00423400" w:rsidR="00CD72D9">
        <w:rPr>
          <w:rFonts w:cs="Times New Roman"/>
          <w:szCs w:val="24"/>
        </w:rPr>
        <w:t xml:space="preserve"> </w:t>
      </w:r>
      <w:r w:rsidRPr="00423400">
        <w:rPr>
          <w:rFonts w:cs="Times New Roman"/>
          <w:szCs w:val="24"/>
        </w:rPr>
        <w:t>movants’</w:t>
      </w:r>
      <w:r w:rsidRPr="00423400" w:rsidR="00CD72D9">
        <w:rPr>
          <w:rFonts w:cs="Times New Roman"/>
          <w:szCs w:val="24"/>
        </w:rPr>
        <w:t xml:space="preserve"> </w:t>
      </w:r>
      <w:r w:rsidRPr="00423400">
        <w:rPr>
          <w:rFonts w:cs="Times New Roman"/>
          <w:szCs w:val="24"/>
        </w:rPr>
        <w:t>argument</w:t>
      </w:r>
      <w:r w:rsidRPr="00423400" w:rsidR="00CD72D9">
        <w:rPr>
          <w:rFonts w:cs="Times New Roman"/>
          <w:szCs w:val="24"/>
        </w:rPr>
        <w:t xml:space="preserve"> </w:t>
      </w:r>
      <w:r w:rsidRPr="00423400">
        <w:rPr>
          <w:rFonts w:cs="Times New Roman"/>
          <w:szCs w:val="24"/>
        </w:rPr>
        <w:t>that</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RSC</w:t>
      </w:r>
      <w:r w:rsidRPr="00423400" w:rsidR="00CD72D9">
        <w:rPr>
          <w:rFonts w:cs="Times New Roman"/>
          <w:szCs w:val="24"/>
        </w:rPr>
        <w:t xml:space="preserve"> </w:t>
      </w:r>
      <w:r w:rsidRPr="00423400">
        <w:rPr>
          <w:rFonts w:cs="Times New Roman"/>
          <w:szCs w:val="24"/>
        </w:rPr>
        <w:t>was</w:t>
      </w:r>
      <w:r w:rsidRPr="00423400" w:rsidR="00CD72D9">
        <w:rPr>
          <w:rFonts w:cs="Times New Roman"/>
          <w:szCs w:val="24"/>
        </w:rPr>
        <w:t xml:space="preserve"> </w:t>
      </w:r>
      <w:r w:rsidRPr="00423400">
        <w:rPr>
          <w:rFonts w:cs="Times New Roman"/>
          <w:szCs w:val="24"/>
        </w:rPr>
        <w:t>required</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end</w:t>
      </w:r>
      <w:r w:rsidRPr="00423400" w:rsidR="00CD72D9">
        <w:rPr>
          <w:rFonts w:cs="Times New Roman"/>
          <w:szCs w:val="24"/>
        </w:rPr>
        <w:t xml:space="preserve"> </w:t>
      </w:r>
      <w:r w:rsidRPr="00423400">
        <w:rPr>
          <w:rFonts w:cs="Times New Roman"/>
          <w:szCs w:val="24"/>
        </w:rPr>
        <w:t>because</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 Settlement</w:t>
      </w:r>
      <w:r w:rsidRPr="00423400" w:rsidR="00CD72D9">
        <w:rPr>
          <w:rFonts w:cs="Times New Roman"/>
          <w:szCs w:val="24"/>
        </w:rPr>
        <w:t xml:space="preserve"> </w:t>
      </w:r>
      <w:r w:rsidRPr="00423400">
        <w:rPr>
          <w:rFonts w:cs="Times New Roman"/>
          <w:szCs w:val="24"/>
        </w:rPr>
        <w:t>specifically</w:t>
      </w:r>
      <w:r w:rsidRPr="00423400" w:rsidR="00CD72D9">
        <w:rPr>
          <w:rFonts w:cs="Times New Roman"/>
          <w:szCs w:val="24"/>
        </w:rPr>
        <w:t xml:space="preserve"> </w:t>
      </w:r>
      <w:r w:rsidRPr="00423400">
        <w:rPr>
          <w:rFonts w:cs="Times New Roman"/>
          <w:szCs w:val="24"/>
        </w:rPr>
        <w:t>referenced</w:t>
      </w:r>
      <w:r w:rsidRPr="00423400" w:rsidR="00CD72D9">
        <w:rPr>
          <w:rFonts w:cs="Times New Roman"/>
          <w:szCs w:val="24"/>
        </w:rPr>
        <w:t xml:space="preserve"> </w:t>
      </w:r>
      <w:r w:rsidRPr="00423400">
        <w:rPr>
          <w:rFonts w:cs="Times New Roman"/>
          <w:szCs w:val="24"/>
        </w:rPr>
        <w:t>a</w:t>
      </w:r>
      <w:r w:rsidRPr="00423400" w:rsidR="00CD72D9">
        <w:rPr>
          <w:rFonts w:cs="Times New Roman"/>
          <w:szCs w:val="24"/>
        </w:rPr>
        <w:t xml:space="preserve"> </w:t>
      </w:r>
      <w:r w:rsidRPr="00423400">
        <w:rPr>
          <w:rFonts w:cs="Times New Roman"/>
          <w:szCs w:val="24"/>
        </w:rPr>
        <w:t>December</w:t>
      </w:r>
      <w:r w:rsidRPr="00423400" w:rsidR="00CD72D9">
        <w:rPr>
          <w:rFonts w:cs="Times New Roman"/>
          <w:szCs w:val="24"/>
        </w:rPr>
        <w:t xml:space="preserve"> </w:t>
      </w:r>
      <w:r w:rsidRPr="00423400">
        <w:rPr>
          <w:rFonts w:cs="Times New Roman"/>
          <w:szCs w:val="24"/>
        </w:rPr>
        <w:t>31,</w:t>
      </w:r>
      <w:r w:rsidRPr="00423400" w:rsidR="00CD72D9">
        <w:rPr>
          <w:rFonts w:cs="Times New Roman"/>
          <w:szCs w:val="24"/>
        </w:rPr>
        <w:t xml:space="preserve"> </w:t>
      </w:r>
      <w:r w:rsidRPr="00423400" w:rsidR="00115D08">
        <w:rPr>
          <w:rFonts w:cs="Times New Roman"/>
          <w:szCs w:val="24"/>
        </w:rPr>
        <w:t>2012,</w:t>
      </w:r>
      <w:r w:rsidRPr="00423400" w:rsidR="00CD72D9">
        <w:rPr>
          <w:rFonts w:cs="Times New Roman"/>
          <w:szCs w:val="24"/>
        </w:rPr>
        <w:t xml:space="preserve"> </w:t>
      </w:r>
      <w:r w:rsidRPr="00423400">
        <w:rPr>
          <w:rFonts w:cs="Times New Roman"/>
          <w:szCs w:val="24"/>
        </w:rPr>
        <w:t>termination</w:t>
      </w:r>
      <w:r w:rsidRPr="00423400" w:rsidR="00CD72D9">
        <w:rPr>
          <w:rFonts w:cs="Times New Roman"/>
          <w:szCs w:val="24"/>
        </w:rPr>
        <w:t xml:space="preserve"> </w:t>
      </w:r>
      <w:r w:rsidRPr="00423400">
        <w:rPr>
          <w:rFonts w:cs="Times New Roman"/>
          <w:szCs w:val="24"/>
        </w:rPr>
        <w:t>date.</w:t>
      </w:r>
      <w:r w:rsidRPr="00423400" w:rsidR="00CD72D9">
        <w:rPr>
          <w:rFonts w:cs="Times New Roman"/>
          <w:szCs w:val="24"/>
        </w:rPr>
        <w:t xml:space="preserve"> </w:t>
      </w:r>
      <w:r w:rsidRPr="00423400">
        <w:rPr>
          <w:rFonts w:cs="Times New Roman"/>
          <w:szCs w:val="24"/>
        </w:rPr>
        <w:t>Instead,</w:t>
      </w:r>
      <w:r w:rsidRPr="00423400" w:rsidR="00CD72D9">
        <w:rPr>
          <w:rFonts w:cs="Times New Roman"/>
          <w:szCs w:val="24"/>
        </w:rPr>
        <w:t xml:space="preserve"> </w:t>
      </w:r>
      <w:r w:rsidRPr="00423400">
        <w:rPr>
          <w:rFonts w:cs="Times New Roman"/>
          <w:szCs w:val="24"/>
        </w:rPr>
        <w:t>it</w:t>
      </w:r>
      <w:r w:rsidRPr="00423400" w:rsidR="00CD72D9">
        <w:rPr>
          <w:rFonts w:cs="Times New Roman"/>
          <w:szCs w:val="24"/>
        </w:rPr>
        <w:t xml:space="preserve"> </w:t>
      </w:r>
      <w:r w:rsidRPr="00423400">
        <w:rPr>
          <w:rFonts w:cs="Times New Roman"/>
          <w:szCs w:val="24"/>
        </w:rPr>
        <w:t>ruled,</w:t>
      </w:r>
      <w:r w:rsidRPr="00423400" w:rsidR="00CD72D9">
        <w:rPr>
          <w:rFonts w:cs="Times New Roman"/>
          <w:szCs w:val="24"/>
        </w:rPr>
        <w:t xml:space="preserve"> </w:t>
      </w:r>
      <w:r w:rsidRPr="00423400">
        <w:rPr>
          <w:rFonts w:cs="Times New Roman"/>
          <w:szCs w:val="24"/>
        </w:rPr>
        <w:t>“As one</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provisions,</w:t>
      </w:r>
      <w:r w:rsidRPr="00423400" w:rsidR="00CD72D9">
        <w:rPr>
          <w:rFonts w:cs="Times New Roman"/>
          <w:szCs w:val="24"/>
        </w:rPr>
        <w:t xml:space="preserve"> </w:t>
      </w:r>
      <w:r w:rsidRPr="00423400">
        <w:rPr>
          <w:rFonts w:cs="Times New Roman"/>
          <w:szCs w:val="24"/>
        </w:rPr>
        <w:t>terms,</w:t>
      </w:r>
      <w:r w:rsidRPr="00423400" w:rsidR="00CD72D9">
        <w:rPr>
          <w:rFonts w:cs="Times New Roman"/>
          <w:szCs w:val="24"/>
        </w:rPr>
        <w:t xml:space="preserve"> </w:t>
      </w:r>
      <w:r w:rsidRPr="00423400">
        <w:rPr>
          <w:rFonts w:cs="Times New Roman"/>
          <w:szCs w:val="24"/>
        </w:rPr>
        <w:t>or</w:t>
      </w:r>
      <w:r w:rsidRPr="00423400" w:rsidR="00CD72D9">
        <w:rPr>
          <w:rFonts w:cs="Times New Roman"/>
          <w:szCs w:val="24"/>
        </w:rPr>
        <w:t xml:space="preserve"> </w:t>
      </w:r>
      <w:r w:rsidRPr="00423400">
        <w:rPr>
          <w:rFonts w:cs="Times New Roman"/>
          <w:szCs w:val="24"/>
        </w:rPr>
        <w:t>conditions</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current</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RSC</w:t>
      </w:r>
      <w:r w:rsidRPr="00423400" w:rsidR="00CD72D9">
        <w:rPr>
          <w:rFonts w:cs="Times New Roman"/>
          <w:szCs w:val="24"/>
        </w:rPr>
        <w:t xml:space="preserve"> </w:t>
      </w:r>
      <w:r w:rsidRPr="00423400">
        <w:rPr>
          <w:rFonts w:cs="Times New Roman"/>
          <w:szCs w:val="24"/>
        </w:rPr>
        <w:t>should</w:t>
      </w:r>
      <w:r w:rsidRPr="00423400" w:rsidR="00CD72D9">
        <w:rPr>
          <w:rFonts w:cs="Times New Roman"/>
          <w:szCs w:val="24"/>
        </w:rPr>
        <w:t xml:space="preserve"> </w:t>
      </w:r>
      <w:r w:rsidRPr="00423400">
        <w:rPr>
          <w:rFonts w:cs="Times New Roman"/>
          <w:szCs w:val="24"/>
        </w:rPr>
        <w:t>continue</w:t>
      </w:r>
      <w:r w:rsidRPr="00423400" w:rsidR="00CD72D9">
        <w:rPr>
          <w:rFonts w:cs="Times New Roman"/>
          <w:szCs w:val="24"/>
        </w:rPr>
        <w:t xml:space="preserve"> </w:t>
      </w:r>
      <w:r w:rsidRPr="00423400">
        <w:rPr>
          <w:rFonts w:cs="Times New Roman"/>
          <w:szCs w:val="24"/>
        </w:rPr>
        <w:t>with</w:t>
      </w:r>
      <w:r w:rsidRPr="00423400" w:rsidR="00CD72D9">
        <w:rPr>
          <w:rFonts w:cs="Times New Roman"/>
          <w:szCs w:val="24"/>
        </w:rPr>
        <w:t xml:space="preserve"> </w:t>
      </w:r>
      <w:r w:rsidRPr="00423400">
        <w:rPr>
          <w:rFonts w:cs="Times New Roman"/>
          <w:szCs w:val="24"/>
        </w:rPr>
        <w:t>the ESP</w:t>
      </w:r>
      <w:r w:rsidRPr="00423400" w:rsidR="00CD72D9">
        <w:rPr>
          <w:rFonts w:cs="Times New Roman"/>
          <w:szCs w:val="24"/>
        </w:rPr>
        <w:t xml:space="preserve"> </w:t>
      </w:r>
      <w:r w:rsidRPr="00423400">
        <w:rPr>
          <w:rFonts w:cs="Times New Roman"/>
          <w:szCs w:val="24"/>
        </w:rPr>
        <w:t>until</w:t>
      </w:r>
      <w:r w:rsidRPr="00423400" w:rsidR="00CD72D9">
        <w:rPr>
          <w:rFonts w:cs="Times New Roman"/>
          <w:szCs w:val="24"/>
        </w:rPr>
        <w:t xml:space="preserve"> </w:t>
      </w:r>
      <w:r w:rsidRPr="00423400">
        <w:rPr>
          <w:rFonts w:cs="Times New Roman"/>
          <w:szCs w:val="24"/>
        </w:rPr>
        <w:t>a</w:t>
      </w:r>
      <w:r w:rsidRPr="00423400" w:rsidR="00CD72D9">
        <w:rPr>
          <w:rFonts w:cs="Times New Roman"/>
          <w:szCs w:val="24"/>
        </w:rPr>
        <w:t xml:space="preserve"> </w:t>
      </w:r>
      <w:r w:rsidRPr="00423400">
        <w:rPr>
          <w:rFonts w:cs="Times New Roman"/>
          <w:szCs w:val="24"/>
        </w:rPr>
        <w:t>subsequent</w:t>
      </w:r>
      <w:r w:rsidRPr="00423400" w:rsidR="00CD72D9">
        <w:rPr>
          <w:rFonts w:cs="Times New Roman"/>
          <w:szCs w:val="24"/>
        </w:rPr>
        <w:t xml:space="preserve"> </w:t>
      </w:r>
      <w:r w:rsidRPr="00423400">
        <w:rPr>
          <w:rFonts w:cs="Times New Roman"/>
          <w:szCs w:val="24"/>
        </w:rPr>
        <w:t>standard</w:t>
      </w:r>
      <w:r w:rsidRPr="00423400" w:rsidR="00CD72D9">
        <w:rPr>
          <w:rFonts w:cs="Times New Roman"/>
          <w:szCs w:val="24"/>
        </w:rPr>
        <w:t xml:space="preserve"> </w:t>
      </w:r>
      <w:r w:rsidRPr="00423400">
        <w:rPr>
          <w:rFonts w:cs="Times New Roman"/>
          <w:szCs w:val="24"/>
        </w:rPr>
        <w:t>service</w:t>
      </w:r>
      <w:r w:rsidRPr="00423400" w:rsidR="00CD72D9">
        <w:rPr>
          <w:rFonts w:cs="Times New Roman"/>
          <w:szCs w:val="24"/>
        </w:rPr>
        <w:t xml:space="preserve"> </w:t>
      </w:r>
      <w:r w:rsidRPr="00423400">
        <w:rPr>
          <w:rFonts w:cs="Times New Roman"/>
          <w:szCs w:val="24"/>
        </w:rPr>
        <w:t>offer</w:t>
      </w:r>
      <w:r w:rsidRPr="00423400" w:rsidR="00CD72D9">
        <w:rPr>
          <w:rFonts w:cs="Times New Roman"/>
          <w:szCs w:val="24"/>
        </w:rPr>
        <w:t xml:space="preserve"> </w:t>
      </w:r>
      <w:r w:rsidRPr="00423400">
        <w:rPr>
          <w:rFonts w:cs="Times New Roman"/>
          <w:szCs w:val="24"/>
        </w:rPr>
        <w:t>is</w:t>
      </w:r>
      <w:r w:rsidRPr="00423400" w:rsidR="00CD72D9">
        <w:rPr>
          <w:rFonts w:cs="Times New Roman"/>
          <w:szCs w:val="24"/>
        </w:rPr>
        <w:t xml:space="preserve"> </w:t>
      </w:r>
      <w:r w:rsidRPr="00423400">
        <w:rPr>
          <w:rFonts w:cs="Times New Roman"/>
          <w:szCs w:val="24"/>
        </w:rPr>
        <w:t>authorized.”</w:t>
      </w:r>
      <w:r>
        <w:rPr>
          <w:rStyle w:val="FootnoteReference"/>
          <w:rFonts w:cs="Times New Roman"/>
          <w:szCs w:val="24"/>
        </w:rPr>
        <w:footnoteReference w:id="19"/>
      </w:r>
      <w:r w:rsidRPr="00423400" w:rsidR="00CD72D9">
        <w:rPr>
          <w:rFonts w:cs="Times New Roman"/>
          <w:szCs w:val="24"/>
        </w:rPr>
        <w:t xml:space="preserve"> </w:t>
      </w:r>
      <w:r w:rsidRPr="00423400">
        <w:rPr>
          <w:rFonts w:cs="Times New Roman"/>
          <w:szCs w:val="24"/>
        </w:rPr>
        <w:t>As</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PUCO</w:t>
      </w:r>
      <w:r w:rsidRPr="00423400" w:rsidR="00CD72D9">
        <w:rPr>
          <w:rFonts w:cs="Times New Roman"/>
          <w:szCs w:val="24"/>
        </w:rPr>
        <w:t xml:space="preserve"> </w:t>
      </w:r>
      <w:r w:rsidRPr="00423400">
        <w:rPr>
          <w:rFonts w:cs="Times New Roman"/>
          <w:szCs w:val="24"/>
        </w:rPr>
        <w:t>itself</w:t>
      </w:r>
      <w:r w:rsidRPr="00423400" w:rsidR="00CD72D9">
        <w:rPr>
          <w:rFonts w:cs="Times New Roman"/>
          <w:szCs w:val="24"/>
        </w:rPr>
        <w:t xml:space="preserve"> </w:t>
      </w:r>
      <w:r w:rsidRPr="00423400">
        <w:rPr>
          <w:rFonts w:cs="Times New Roman"/>
          <w:szCs w:val="24"/>
        </w:rPr>
        <w:t>had</w:t>
      </w:r>
      <w:r w:rsidRPr="00423400" w:rsidR="00CD72D9">
        <w:rPr>
          <w:rFonts w:cs="Times New Roman"/>
          <w:szCs w:val="24"/>
        </w:rPr>
        <w:t xml:space="preserve"> </w:t>
      </w:r>
      <w:r w:rsidRPr="00423400">
        <w:rPr>
          <w:rFonts w:cs="Times New Roman"/>
          <w:szCs w:val="24"/>
        </w:rPr>
        <w:t>previously ruled,</w:t>
      </w:r>
      <w:r w:rsidRPr="00423400" w:rsidR="00CD72D9">
        <w:rPr>
          <w:rFonts w:cs="Times New Roman"/>
          <w:szCs w:val="24"/>
        </w:rPr>
        <w:t xml:space="preserve"> </w:t>
      </w:r>
      <w:r w:rsidRPr="00423400">
        <w:rPr>
          <w:rFonts w:cs="Times New Roman"/>
          <w:szCs w:val="24"/>
        </w:rPr>
        <w:t>when</w:t>
      </w:r>
      <w:r w:rsidRPr="00423400" w:rsidR="00CD72D9">
        <w:rPr>
          <w:rFonts w:cs="Times New Roman"/>
          <w:szCs w:val="24"/>
        </w:rPr>
        <w:t xml:space="preserve"> </w:t>
      </w:r>
      <w:r w:rsidRPr="00423400">
        <w:rPr>
          <w:rFonts w:cs="Times New Roman"/>
          <w:szCs w:val="24"/>
        </w:rPr>
        <w:t>a</w:t>
      </w:r>
      <w:r w:rsidRPr="00423400" w:rsidR="00CD72D9">
        <w:rPr>
          <w:rFonts w:cs="Times New Roman"/>
          <w:szCs w:val="24"/>
        </w:rPr>
        <w:t xml:space="preserve"> </w:t>
      </w:r>
      <w:r w:rsidRPr="00423400">
        <w:rPr>
          <w:rFonts w:cs="Times New Roman"/>
          <w:szCs w:val="24"/>
        </w:rPr>
        <w:t>utility</w:t>
      </w:r>
      <w:r w:rsidRPr="00423400" w:rsidR="00CD72D9">
        <w:rPr>
          <w:rFonts w:cs="Times New Roman"/>
          <w:szCs w:val="24"/>
        </w:rPr>
        <w:t xml:space="preserve"> </w:t>
      </w:r>
      <w:r w:rsidRPr="00423400">
        <w:rPr>
          <w:rFonts w:cs="Times New Roman"/>
          <w:szCs w:val="24"/>
        </w:rPr>
        <w:t>withdraws</w:t>
      </w:r>
      <w:r w:rsidRPr="00423400" w:rsidR="00CD72D9">
        <w:rPr>
          <w:rFonts w:cs="Times New Roman"/>
          <w:szCs w:val="24"/>
        </w:rPr>
        <w:t xml:space="preserve"> </w:t>
      </w:r>
      <w:r w:rsidRPr="00423400">
        <w:rPr>
          <w:rFonts w:cs="Times New Roman"/>
          <w:szCs w:val="24"/>
        </w:rPr>
        <w:t>from</w:t>
      </w:r>
      <w:r w:rsidRPr="00423400" w:rsidR="00CD72D9">
        <w:rPr>
          <w:rFonts w:cs="Times New Roman"/>
          <w:szCs w:val="24"/>
        </w:rPr>
        <w:t xml:space="preserve"> </w:t>
      </w:r>
      <w:r w:rsidRPr="00423400">
        <w:rPr>
          <w:rFonts w:cs="Times New Roman"/>
          <w:szCs w:val="24"/>
        </w:rPr>
        <w:t>an</w:t>
      </w:r>
      <w:r w:rsidRPr="00423400" w:rsidR="00CD72D9">
        <w:rPr>
          <w:rFonts w:cs="Times New Roman"/>
          <w:szCs w:val="24"/>
        </w:rPr>
        <w:t xml:space="preserve"> </w:t>
      </w:r>
      <w:r w:rsidRPr="00423400">
        <w:rPr>
          <w:rFonts w:cs="Times New Roman"/>
          <w:szCs w:val="24"/>
        </w:rPr>
        <w:t>electric</w:t>
      </w:r>
      <w:r w:rsidRPr="00423400" w:rsidR="00CD72D9">
        <w:rPr>
          <w:rFonts w:cs="Times New Roman"/>
          <w:szCs w:val="24"/>
        </w:rPr>
        <w:t xml:space="preserve"> </w:t>
      </w:r>
      <w:r w:rsidRPr="00423400">
        <w:rPr>
          <w:rFonts w:cs="Times New Roman"/>
          <w:szCs w:val="24"/>
        </w:rPr>
        <w:t>security</w:t>
      </w:r>
      <w:r w:rsidRPr="00423400" w:rsidR="00CD72D9">
        <w:rPr>
          <w:rFonts w:cs="Times New Roman"/>
          <w:szCs w:val="24"/>
        </w:rPr>
        <w:t xml:space="preserve"> </w:t>
      </w:r>
      <w:r w:rsidRPr="00423400">
        <w:rPr>
          <w:rFonts w:cs="Times New Roman"/>
          <w:szCs w:val="24"/>
        </w:rPr>
        <w:t>plan</w:t>
      </w:r>
      <w:r w:rsidRPr="00423400" w:rsidR="00CD72D9">
        <w:rPr>
          <w:rFonts w:cs="Times New Roman"/>
          <w:szCs w:val="24"/>
        </w:rPr>
        <w:t xml:space="preserve"> </w:t>
      </w:r>
      <w:r w:rsidRPr="00423400">
        <w:rPr>
          <w:rFonts w:cs="Times New Roman"/>
          <w:szCs w:val="24"/>
        </w:rPr>
        <w:t>and</w:t>
      </w:r>
      <w:r w:rsidRPr="00423400" w:rsidR="00CD72D9">
        <w:rPr>
          <w:rFonts w:cs="Times New Roman"/>
          <w:szCs w:val="24"/>
        </w:rPr>
        <w:t xml:space="preserve"> </w:t>
      </w:r>
      <w:r w:rsidRPr="00423400">
        <w:rPr>
          <w:rFonts w:cs="Times New Roman"/>
          <w:szCs w:val="24"/>
        </w:rPr>
        <w:t>reverts</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its</w:t>
      </w:r>
      <w:r w:rsidRPr="00423400" w:rsidR="00CD72D9">
        <w:rPr>
          <w:rFonts w:cs="Times New Roman"/>
          <w:szCs w:val="24"/>
        </w:rPr>
        <w:t xml:space="preserve"> </w:t>
      </w:r>
      <w:r w:rsidRPr="00423400">
        <w:rPr>
          <w:rFonts w:cs="Times New Roman"/>
          <w:szCs w:val="24"/>
        </w:rPr>
        <w:t>previous</w:t>
      </w:r>
      <w:r w:rsidRPr="00423400" w:rsidR="00CD72D9">
        <w:rPr>
          <w:rFonts w:cs="Times New Roman"/>
          <w:szCs w:val="24"/>
        </w:rPr>
        <w:t xml:space="preserve"> </w:t>
      </w:r>
      <w:r w:rsidRPr="00423400">
        <w:rPr>
          <w:rFonts w:cs="Times New Roman"/>
          <w:szCs w:val="24"/>
        </w:rPr>
        <w:t>one, “The</w:t>
      </w:r>
      <w:r w:rsidRPr="00423400" w:rsidR="00CD72D9">
        <w:rPr>
          <w:rFonts w:cs="Times New Roman"/>
          <w:szCs w:val="24"/>
        </w:rPr>
        <w:t xml:space="preserve"> </w:t>
      </w:r>
      <w:r w:rsidRPr="00423400">
        <w:rPr>
          <w:rFonts w:cs="Times New Roman"/>
          <w:szCs w:val="24"/>
        </w:rPr>
        <w:t>Commission</w:t>
      </w:r>
      <w:r w:rsidRPr="00423400" w:rsidR="00CD72D9">
        <w:rPr>
          <w:rFonts w:cs="Times New Roman"/>
          <w:szCs w:val="24"/>
        </w:rPr>
        <w:t xml:space="preserve"> </w:t>
      </w:r>
      <w:r w:rsidRPr="00423400">
        <w:rPr>
          <w:rFonts w:cs="Times New Roman"/>
          <w:szCs w:val="24"/>
        </w:rPr>
        <w:t>cannot</w:t>
      </w:r>
      <w:r w:rsidRPr="00423400" w:rsidR="00CD72D9">
        <w:rPr>
          <w:rFonts w:cs="Times New Roman"/>
          <w:szCs w:val="24"/>
        </w:rPr>
        <w:t xml:space="preserve"> </w:t>
      </w:r>
      <w:r w:rsidRPr="00423400">
        <w:rPr>
          <w:rFonts w:cs="Times New Roman"/>
          <w:szCs w:val="24"/>
        </w:rPr>
        <w:t>arbitrarily</w:t>
      </w:r>
      <w:r w:rsidRPr="00423400" w:rsidR="00CD72D9">
        <w:rPr>
          <w:rFonts w:cs="Times New Roman"/>
          <w:szCs w:val="24"/>
        </w:rPr>
        <w:t xml:space="preserve"> </w:t>
      </w:r>
      <w:r w:rsidRPr="00423400">
        <w:rPr>
          <w:rFonts w:cs="Times New Roman"/>
          <w:szCs w:val="24"/>
        </w:rPr>
        <w:t>choose</w:t>
      </w:r>
      <w:r w:rsidRPr="00423400" w:rsidR="00CD72D9">
        <w:rPr>
          <w:rFonts w:cs="Times New Roman"/>
          <w:szCs w:val="24"/>
        </w:rPr>
        <w:t xml:space="preserve"> </w:t>
      </w:r>
      <w:r w:rsidRPr="00423400">
        <w:rPr>
          <w:rFonts w:cs="Times New Roman"/>
          <w:szCs w:val="24"/>
        </w:rPr>
        <w:t>some</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various</w:t>
      </w:r>
      <w:r w:rsidRPr="00423400" w:rsidR="00CD72D9">
        <w:rPr>
          <w:rFonts w:cs="Times New Roman"/>
          <w:szCs w:val="24"/>
        </w:rPr>
        <w:t xml:space="preserve"> </w:t>
      </w:r>
      <w:r w:rsidRPr="00423400">
        <w:rPr>
          <w:rFonts w:cs="Times New Roman"/>
          <w:szCs w:val="24"/>
        </w:rPr>
        <w:t>provisions</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to continue</w:t>
      </w:r>
      <w:r w:rsidRPr="00423400" w:rsidR="00CD72D9">
        <w:rPr>
          <w:rFonts w:cs="Times New Roman"/>
          <w:szCs w:val="24"/>
        </w:rPr>
        <w:t xml:space="preserve"> </w:t>
      </w:r>
      <w:r w:rsidRPr="00423400">
        <w:rPr>
          <w:rFonts w:cs="Times New Roman"/>
          <w:szCs w:val="24"/>
        </w:rPr>
        <w:t>after</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termination</w:t>
      </w:r>
      <w:r w:rsidRPr="00423400" w:rsidR="00CD72D9">
        <w:rPr>
          <w:rFonts w:cs="Times New Roman"/>
          <w:szCs w:val="24"/>
        </w:rPr>
        <w:t xml:space="preserve"> </w:t>
      </w:r>
      <w:r w:rsidRPr="00423400">
        <w:rPr>
          <w:rFonts w:cs="Times New Roman"/>
          <w:szCs w:val="24"/>
        </w:rPr>
        <w:t>date</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and</w:t>
      </w:r>
      <w:r w:rsidRPr="00423400" w:rsidR="00CD72D9">
        <w:rPr>
          <w:rFonts w:cs="Times New Roman"/>
          <w:szCs w:val="24"/>
        </w:rPr>
        <w:t xml:space="preserve"> </w:t>
      </w:r>
      <w:r w:rsidRPr="00423400">
        <w:rPr>
          <w:rFonts w:cs="Times New Roman"/>
          <w:szCs w:val="24"/>
        </w:rPr>
        <w:t>choose</w:t>
      </w:r>
      <w:r w:rsidRPr="00423400" w:rsidR="00CD72D9">
        <w:rPr>
          <w:rFonts w:cs="Times New Roman"/>
          <w:szCs w:val="24"/>
        </w:rPr>
        <w:t xml:space="preserve"> </w:t>
      </w:r>
      <w:r w:rsidRPr="00423400">
        <w:rPr>
          <w:rFonts w:cs="Times New Roman"/>
          <w:szCs w:val="24"/>
        </w:rPr>
        <w:t>other</w:t>
      </w:r>
      <w:r w:rsidRPr="00423400" w:rsidR="00CD72D9">
        <w:rPr>
          <w:rFonts w:cs="Times New Roman"/>
          <w:szCs w:val="24"/>
        </w:rPr>
        <w:t xml:space="preserve"> </w:t>
      </w:r>
      <w:r w:rsidRPr="00423400">
        <w:rPr>
          <w:rFonts w:cs="Times New Roman"/>
          <w:szCs w:val="24"/>
        </w:rPr>
        <w:t>provisions</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not</w:t>
      </w:r>
      <w:r w:rsidRPr="00423400" w:rsidR="00CD72D9">
        <w:rPr>
          <w:rFonts w:cs="Times New Roman"/>
          <w:szCs w:val="24"/>
        </w:rPr>
        <w:t xml:space="preserve"> </w:t>
      </w:r>
      <w:r w:rsidRPr="00423400">
        <w:rPr>
          <w:rFonts w:cs="Times New Roman"/>
          <w:szCs w:val="24"/>
        </w:rPr>
        <w:t>to continue.”</w:t>
      </w:r>
      <w:r>
        <w:rPr>
          <w:rStyle w:val="FootnoteReference"/>
          <w:rFonts w:cs="Times New Roman"/>
          <w:szCs w:val="24"/>
        </w:rPr>
        <w:footnoteReference w:id="20"/>
      </w:r>
    </w:p>
    <w:p w:rsidR="00F955D3" w:rsidRPr="00423400" w:rsidP="0012105E" w14:paraId="5276A245" w14:textId="77777777">
      <w:pPr>
        <w:pStyle w:val="Heading2"/>
        <w:ind w:left="1440" w:hanging="720"/>
        <w:rPr>
          <w:color w:val="auto"/>
        </w:rPr>
      </w:pPr>
      <w:bookmarkStart w:id="8" w:name="_Toc97298191"/>
      <w:r w:rsidRPr="00423400">
        <w:rPr>
          <w:color w:val="auto"/>
          <w:sz w:val="24"/>
          <w:szCs w:val="24"/>
        </w:rPr>
        <w:t>ESP</w:t>
      </w:r>
      <w:r w:rsidRPr="00423400" w:rsidR="00CD72D9">
        <w:rPr>
          <w:color w:val="auto"/>
          <w:sz w:val="24"/>
          <w:szCs w:val="24"/>
        </w:rPr>
        <w:t xml:space="preserve"> </w:t>
      </w:r>
      <w:r w:rsidRPr="00423400" w:rsidR="00D51294">
        <w:rPr>
          <w:color w:val="auto"/>
          <w:sz w:val="24"/>
          <w:szCs w:val="24"/>
        </w:rPr>
        <w:t>II</w:t>
      </w:r>
      <w:r w:rsidRPr="00423400">
        <w:rPr>
          <w:color w:val="auto"/>
          <w:sz w:val="24"/>
          <w:szCs w:val="24"/>
        </w:rPr>
        <w:t>,</w:t>
      </w:r>
      <w:r w:rsidRPr="00423400" w:rsidR="00CD72D9">
        <w:rPr>
          <w:color w:val="auto"/>
          <w:sz w:val="24"/>
          <w:szCs w:val="24"/>
        </w:rPr>
        <w:t xml:space="preserve"> </w:t>
      </w:r>
      <w:r w:rsidRPr="00423400">
        <w:rPr>
          <w:color w:val="auto"/>
          <w:sz w:val="24"/>
          <w:szCs w:val="24"/>
        </w:rPr>
        <w:t>Withdrawal</w:t>
      </w:r>
      <w:r w:rsidRPr="00423400" w:rsidR="00CD72D9">
        <w:rPr>
          <w:color w:val="auto"/>
          <w:sz w:val="24"/>
          <w:szCs w:val="24"/>
        </w:rPr>
        <w:t xml:space="preserve"> </w:t>
      </w:r>
      <w:r w:rsidRPr="00423400">
        <w:rPr>
          <w:color w:val="auto"/>
          <w:sz w:val="24"/>
          <w:szCs w:val="24"/>
        </w:rPr>
        <w:t>of</w:t>
      </w:r>
      <w:r w:rsidRPr="00423400" w:rsidR="00CD72D9">
        <w:rPr>
          <w:color w:val="auto"/>
          <w:sz w:val="24"/>
          <w:szCs w:val="24"/>
        </w:rPr>
        <w:t xml:space="preserve"> </w:t>
      </w:r>
      <w:r w:rsidRPr="00423400">
        <w:rPr>
          <w:color w:val="auto"/>
          <w:sz w:val="24"/>
          <w:szCs w:val="24"/>
        </w:rPr>
        <w:t>ESP</w:t>
      </w:r>
      <w:r w:rsidRPr="00423400" w:rsidR="00CD72D9">
        <w:rPr>
          <w:color w:val="auto"/>
          <w:sz w:val="24"/>
          <w:szCs w:val="24"/>
        </w:rPr>
        <w:t xml:space="preserve"> </w:t>
      </w:r>
      <w:r w:rsidRPr="00423400" w:rsidR="00D51294">
        <w:rPr>
          <w:color w:val="auto"/>
          <w:sz w:val="24"/>
          <w:szCs w:val="24"/>
        </w:rPr>
        <w:t>II</w:t>
      </w:r>
      <w:r w:rsidRPr="00423400">
        <w:rPr>
          <w:color w:val="auto"/>
          <w:sz w:val="24"/>
          <w:szCs w:val="24"/>
        </w:rPr>
        <w:t>,</w:t>
      </w:r>
      <w:r w:rsidRPr="00423400" w:rsidR="00CD72D9">
        <w:rPr>
          <w:color w:val="auto"/>
          <w:sz w:val="24"/>
          <w:szCs w:val="24"/>
        </w:rPr>
        <w:t xml:space="preserve"> </w:t>
      </w:r>
      <w:r w:rsidRPr="00423400">
        <w:rPr>
          <w:color w:val="auto"/>
          <w:sz w:val="24"/>
          <w:szCs w:val="24"/>
        </w:rPr>
        <w:t>and</w:t>
      </w:r>
      <w:r w:rsidRPr="00423400" w:rsidR="00CD72D9">
        <w:rPr>
          <w:color w:val="auto"/>
          <w:sz w:val="24"/>
          <w:szCs w:val="24"/>
        </w:rPr>
        <w:t xml:space="preserve"> </w:t>
      </w:r>
      <w:r w:rsidRPr="00423400">
        <w:rPr>
          <w:color w:val="auto"/>
          <w:sz w:val="24"/>
          <w:szCs w:val="24"/>
        </w:rPr>
        <w:t>Return</w:t>
      </w:r>
      <w:r w:rsidRPr="00423400" w:rsidR="00CD72D9">
        <w:rPr>
          <w:color w:val="auto"/>
          <w:sz w:val="24"/>
          <w:szCs w:val="24"/>
        </w:rPr>
        <w:t xml:space="preserve"> </w:t>
      </w:r>
      <w:r w:rsidRPr="00423400">
        <w:rPr>
          <w:color w:val="auto"/>
          <w:sz w:val="24"/>
          <w:szCs w:val="24"/>
        </w:rPr>
        <w:t>to</w:t>
      </w:r>
      <w:r w:rsidRPr="00423400" w:rsidR="00CD72D9">
        <w:rPr>
          <w:color w:val="auto"/>
          <w:sz w:val="24"/>
          <w:szCs w:val="24"/>
        </w:rPr>
        <w:t xml:space="preserve"> </w:t>
      </w:r>
      <w:r w:rsidRPr="00423400">
        <w:rPr>
          <w:color w:val="auto"/>
          <w:sz w:val="24"/>
          <w:szCs w:val="24"/>
        </w:rPr>
        <w:t>ESP</w:t>
      </w:r>
      <w:r w:rsidRPr="00423400" w:rsidR="00CD72D9">
        <w:rPr>
          <w:color w:val="auto"/>
          <w:sz w:val="24"/>
          <w:szCs w:val="24"/>
        </w:rPr>
        <w:t xml:space="preserve"> </w:t>
      </w:r>
      <w:r w:rsidRPr="00423400" w:rsidR="00D51294">
        <w:rPr>
          <w:color w:val="auto"/>
          <w:sz w:val="24"/>
          <w:szCs w:val="24"/>
        </w:rPr>
        <w:t>I</w:t>
      </w:r>
      <w:r w:rsidRPr="00423400">
        <w:rPr>
          <w:color w:val="auto"/>
          <w:sz w:val="24"/>
          <w:szCs w:val="24"/>
        </w:rPr>
        <w:t>,</w:t>
      </w:r>
      <w:r w:rsidRPr="00423400" w:rsidR="00CD72D9">
        <w:rPr>
          <w:color w:val="auto"/>
          <w:sz w:val="24"/>
          <w:szCs w:val="24"/>
        </w:rPr>
        <w:t xml:space="preserve"> </w:t>
      </w:r>
      <w:r w:rsidRPr="00423400">
        <w:rPr>
          <w:color w:val="auto"/>
          <w:sz w:val="24"/>
          <w:szCs w:val="24"/>
        </w:rPr>
        <w:t>with</w:t>
      </w:r>
      <w:r w:rsidRPr="00423400" w:rsidR="00CD72D9">
        <w:rPr>
          <w:color w:val="auto"/>
          <w:sz w:val="24"/>
          <w:szCs w:val="24"/>
        </w:rPr>
        <w:t xml:space="preserve"> </w:t>
      </w:r>
      <w:r w:rsidRPr="00423400">
        <w:rPr>
          <w:color w:val="auto"/>
          <w:sz w:val="24"/>
          <w:szCs w:val="24"/>
        </w:rPr>
        <w:t>the</w:t>
      </w:r>
      <w:r w:rsidRPr="00423400" w:rsidR="00CD72D9">
        <w:rPr>
          <w:color w:val="auto"/>
          <w:sz w:val="24"/>
          <w:szCs w:val="24"/>
        </w:rPr>
        <w:t xml:space="preserve"> </w:t>
      </w:r>
      <w:r w:rsidRPr="00423400">
        <w:rPr>
          <w:color w:val="auto"/>
          <w:sz w:val="24"/>
          <w:szCs w:val="24"/>
        </w:rPr>
        <w:t>Stability</w:t>
      </w:r>
      <w:r w:rsidRPr="00423400" w:rsidR="00CD72D9">
        <w:rPr>
          <w:color w:val="auto"/>
          <w:sz w:val="24"/>
          <w:szCs w:val="24"/>
        </w:rPr>
        <w:t xml:space="preserve"> </w:t>
      </w:r>
      <w:r w:rsidRPr="00423400">
        <w:rPr>
          <w:color w:val="auto"/>
          <w:sz w:val="24"/>
          <w:szCs w:val="24"/>
        </w:rPr>
        <w:t>Charge to</w:t>
      </w:r>
      <w:r w:rsidRPr="00423400" w:rsidR="00CD72D9">
        <w:rPr>
          <w:color w:val="auto"/>
          <w:sz w:val="24"/>
          <w:szCs w:val="24"/>
        </w:rPr>
        <w:t xml:space="preserve"> </w:t>
      </w:r>
      <w:r w:rsidRPr="00423400">
        <w:rPr>
          <w:color w:val="auto"/>
          <w:sz w:val="24"/>
          <w:szCs w:val="24"/>
        </w:rPr>
        <w:t>Consumers</w:t>
      </w:r>
      <w:r w:rsidRPr="00423400" w:rsidR="00CD72D9">
        <w:rPr>
          <w:color w:val="auto"/>
          <w:sz w:val="24"/>
          <w:szCs w:val="24"/>
        </w:rPr>
        <w:t xml:space="preserve"> </w:t>
      </w:r>
      <w:r w:rsidRPr="00423400">
        <w:rPr>
          <w:color w:val="auto"/>
          <w:sz w:val="24"/>
          <w:szCs w:val="24"/>
        </w:rPr>
        <w:t>Continuing.</w:t>
      </w:r>
      <w:bookmarkEnd w:id="8"/>
    </w:p>
    <w:p w:rsidR="00F955D3" w:rsidRPr="00423400" w:rsidP="00F955D3" w14:paraId="2C3C25A8" w14:textId="77777777">
      <w:pPr>
        <w:spacing w:before="240" w:after="0" w:line="480" w:lineRule="auto"/>
        <w:ind w:firstLine="720"/>
        <w:rPr>
          <w:rFonts w:cs="Times New Roman"/>
          <w:szCs w:val="24"/>
        </w:rPr>
      </w:pPr>
      <w:r w:rsidRPr="00423400">
        <w:rPr>
          <w:rFonts w:cs="Times New Roman"/>
          <w:szCs w:val="24"/>
        </w:rPr>
        <w:t>Following</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extension</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w:t>
      </w:r>
      <w:r w:rsidRPr="00423400" w:rsidR="00CD72D9">
        <w:rPr>
          <w:rFonts w:cs="Times New Roman"/>
          <w:szCs w:val="24"/>
        </w:rPr>
        <w:t xml:space="preserve"> </w:t>
      </w:r>
      <w:r w:rsidRPr="00423400">
        <w:rPr>
          <w:rFonts w:cs="Times New Roman"/>
          <w:szCs w:val="24"/>
        </w:rPr>
        <w:t>beyond</w:t>
      </w:r>
      <w:r w:rsidRPr="00423400" w:rsidR="00CD72D9">
        <w:rPr>
          <w:rFonts w:cs="Times New Roman"/>
          <w:szCs w:val="24"/>
        </w:rPr>
        <w:t xml:space="preserve"> </w:t>
      </w:r>
      <w:r w:rsidRPr="00423400">
        <w:rPr>
          <w:rFonts w:cs="Times New Roman"/>
          <w:szCs w:val="24"/>
        </w:rPr>
        <w:t>its</w:t>
      </w:r>
      <w:r w:rsidRPr="00423400" w:rsidR="00CD72D9">
        <w:rPr>
          <w:rFonts w:cs="Times New Roman"/>
          <w:szCs w:val="24"/>
        </w:rPr>
        <w:t xml:space="preserve"> </w:t>
      </w:r>
      <w:r w:rsidRPr="00423400">
        <w:rPr>
          <w:rFonts w:cs="Times New Roman"/>
          <w:szCs w:val="24"/>
        </w:rPr>
        <w:t>original</w:t>
      </w:r>
      <w:r w:rsidRPr="00423400" w:rsidR="00CD72D9">
        <w:rPr>
          <w:rFonts w:cs="Times New Roman"/>
          <w:szCs w:val="24"/>
        </w:rPr>
        <w:t xml:space="preserve"> </w:t>
      </w:r>
      <w:r w:rsidRPr="00423400">
        <w:rPr>
          <w:rFonts w:cs="Times New Roman"/>
          <w:szCs w:val="24"/>
        </w:rPr>
        <w:t>December</w:t>
      </w:r>
      <w:r w:rsidRPr="00423400" w:rsidR="00CD72D9">
        <w:rPr>
          <w:rFonts w:cs="Times New Roman"/>
          <w:szCs w:val="24"/>
        </w:rPr>
        <w:t xml:space="preserve"> </w:t>
      </w:r>
      <w:r w:rsidRPr="00423400">
        <w:rPr>
          <w:rFonts w:cs="Times New Roman"/>
          <w:szCs w:val="24"/>
        </w:rPr>
        <w:t>31,</w:t>
      </w:r>
      <w:r w:rsidRPr="00423400" w:rsidR="00CD72D9">
        <w:rPr>
          <w:rFonts w:cs="Times New Roman"/>
          <w:szCs w:val="24"/>
        </w:rPr>
        <w:t xml:space="preserve"> </w:t>
      </w:r>
      <w:r w:rsidRPr="00423400" w:rsidR="00242823">
        <w:rPr>
          <w:rFonts w:cs="Times New Roman"/>
          <w:szCs w:val="24"/>
        </w:rPr>
        <w:t>2012,</w:t>
      </w:r>
      <w:r w:rsidRPr="00423400" w:rsidR="00CD72D9">
        <w:rPr>
          <w:rFonts w:cs="Times New Roman"/>
          <w:szCs w:val="24"/>
        </w:rPr>
        <w:t xml:space="preserve"> </w:t>
      </w:r>
      <w:r w:rsidRPr="00423400">
        <w:rPr>
          <w:rFonts w:cs="Times New Roman"/>
          <w:szCs w:val="24"/>
        </w:rPr>
        <w:t>end</w:t>
      </w:r>
      <w:r w:rsidRPr="00423400" w:rsidR="00CD72D9">
        <w:rPr>
          <w:rFonts w:cs="Times New Roman"/>
          <w:szCs w:val="24"/>
        </w:rPr>
        <w:t xml:space="preserve"> </w:t>
      </w:r>
      <w:r w:rsidRPr="00423400">
        <w:rPr>
          <w:rFonts w:cs="Times New Roman"/>
          <w:szCs w:val="24"/>
        </w:rPr>
        <w:t>date,</w:t>
      </w:r>
      <w:r w:rsidRPr="00423400" w:rsidR="00CD72D9">
        <w:rPr>
          <w:rFonts w:cs="Times New Roman"/>
          <w:szCs w:val="24"/>
        </w:rPr>
        <w:t xml:space="preserve"> </w:t>
      </w:r>
      <w:r w:rsidRPr="00423400">
        <w:rPr>
          <w:rFonts w:cs="Times New Roman"/>
          <w:szCs w:val="24"/>
        </w:rPr>
        <w:t>the PUCO approved</w:t>
      </w:r>
      <w:r w:rsidRPr="00423400" w:rsidR="00CD72D9">
        <w:rPr>
          <w:rFonts w:cs="Times New Roman"/>
          <w:szCs w:val="24"/>
        </w:rPr>
        <w:t xml:space="preserve"> </w:t>
      </w:r>
      <w:r w:rsidRPr="00423400">
        <w:rPr>
          <w:rFonts w:cs="Times New Roman"/>
          <w:szCs w:val="24"/>
        </w:rPr>
        <w:t>DP&amp;L’s</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II</w:t>
      </w:r>
      <w:r w:rsidRPr="00423400" w:rsidR="00CD72D9">
        <w:rPr>
          <w:rFonts w:cs="Times New Roman"/>
          <w:szCs w:val="24"/>
        </w:rPr>
        <w:t xml:space="preserve"> </w:t>
      </w:r>
      <w:r w:rsidRPr="00423400">
        <w:rPr>
          <w:rFonts w:cs="Times New Roman"/>
          <w:szCs w:val="24"/>
        </w:rPr>
        <w:t>on</w:t>
      </w:r>
      <w:r w:rsidRPr="00423400" w:rsidR="00CD72D9">
        <w:rPr>
          <w:rFonts w:cs="Times New Roman"/>
          <w:szCs w:val="24"/>
        </w:rPr>
        <w:t xml:space="preserve"> </w:t>
      </w:r>
      <w:r w:rsidRPr="00423400">
        <w:rPr>
          <w:rFonts w:cs="Times New Roman"/>
          <w:szCs w:val="24"/>
        </w:rPr>
        <w:t>September</w:t>
      </w:r>
      <w:r w:rsidRPr="00423400" w:rsidR="00CD72D9">
        <w:rPr>
          <w:rFonts w:cs="Times New Roman"/>
          <w:szCs w:val="24"/>
        </w:rPr>
        <w:t xml:space="preserve"> </w:t>
      </w:r>
      <w:r w:rsidRPr="00423400">
        <w:rPr>
          <w:rFonts w:cs="Times New Roman"/>
          <w:szCs w:val="24"/>
        </w:rPr>
        <w:t>4,</w:t>
      </w:r>
      <w:r w:rsidRPr="00423400" w:rsidR="00CD72D9">
        <w:rPr>
          <w:rFonts w:cs="Times New Roman"/>
          <w:szCs w:val="24"/>
        </w:rPr>
        <w:t xml:space="preserve"> </w:t>
      </w:r>
      <w:r w:rsidRPr="00423400">
        <w:rPr>
          <w:rFonts w:cs="Times New Roman"/>
          <w:szCs w:val="24"/>
        </w:rPr>
        <w:t>2013.</w:t>
      </w:r>
      <w:r>
        <w:rPr>
          <w:rStyle w:val="FootnoteReference"/>
          <w:rFonts w:cs="Times New Roman"/>
          <w:szCs w:val="24"/>
        </w:rPr>
        <w:footnoteReference w:id="21"/>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II</w:t>
      </w:r>
      <w:r w:rsidRPr="00423400" w:rsidR="00CD72D9">
        <w:rPr>
          <w:rFonts w:cs="Times New Roman"/>
          <w:szCs w:val="24"/>
        </w:rPr>
        <w:t xml:space="preserve"> </w:t>
      </w:r>
      <w:r w:rsidRPr="00423400">
        <w:rPr>
          <w:rFonts w:cs="Times New Roman"/>
          <w:szCs w:val="24"/>
        </w:rPr>
        <w:t>included</w:t>
      </w:r>
      <w:r w:rsidRPr="00423400" w:rsidR="00CD72D9">
        <w:rPr>
          <w:rFonts w:cs="Times New Roman"/>
          <w:szCs w:val="24"/>
        </w:rPr>
        <w:t xml:space="preserve"> </w:t>
      </w:r>
      <w:r w:rsidRPr="00423400">
        <w:rPr>
          <w:rFonts w:cs="Times New Roman"/>
          <w:szCs w:val="24"/>
        </w:rPr>
        <w:t>charges</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consumers to</w:t>
      </w:r>
      <w:r w:rsidRPr="00423400" w:rsidR="00CD72D9">
        <w:rPr>
          <w:rFonts w:cs="Times New Roman"/>
          <w:szCs w:val="24"/>
        </w:rPr>
        <w:t xml:space="preserve"> </w:t>
      </w:r>
      <w:r w:rsidRPr="00423400">
        <w:rPr>
          <w:rFonts w:cs="Times New Roman"/>
          <w:szCs w:val="24"/>
        </w:rPr>
        <w:t>subsidize</w:t>
      </w:r>
      <w:r w:rsidRPr="00423400" w:rsidR="00CD72D9">
        <w:rPr>
          <w:rFonts w:cs="Times New Roman"/>
          <w:szCs w:val="24"/>
        </w:rPr>
        <w:t xml:space="preserve"> </w:t>
      </w:r>
      <w:r w:rsidRPr="00423400">
        <w:rPr>
          <w:rFonts w:cs="Times New Roman"/>
          <w:szCs w:val="24"/>
        </w:rPr>
        <w:t>DP&amp;L</w:t>
      </w:r>
      <w:r w:rsidRPr="00423400" w:rsidR="00CD72D9">
        <w:rPr>
          <w:rFonts w:cs="Times New Roman"/>
          <w:szCs w:val="24"/>
        </w:rPr>
        <w:t xml:space="preserve"> </w:t>
      </w:r>
      <w:r w:rsidRPr="00423400">
        <w:rPr>
          <w:rFonts w:cs="Times New Roman"/>
          <w:szCs w:val="24"/>
        </w:rPr>
        <w:t>called</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“Service</w:t>
      </w:r>
      <w:r w:rsidRPr="00423400" w:rsidR="00CD72D9">
        <w:rPr>
          <w:rFonts w:cs="Times New Roman"/>
          <w:szCs w:val="24"/>
        </w:rPr>
        <w:t xml:space="preserve"> </w:t>
      </w:r>
      <w:r w:rsidRPr="00423400">
        <w:rPr>
          <w:rFonts w:cs="Times New Roman"/>
          <w:szCs w:val="24"/>
        </w:rPr>
        <w:t>Stability</w:t>
      </w:r>
      <w:r w:rsidRPr="00423400" w:rsidR="00CD72D9">
        <w:rPr>
          <w:rFonts w:cs="Times New Roman"/>
          <w:szCs w:val="24"/>
        </w:rPr>
        <w:t xml:space="preserve"> </w:t>
      </w:r>
      <w:r w:rsidRPr="00423400">
        <w:rPr>
          <w:rFonts w:cs="Times New Roman"/>
          <w:szCs w:val="24"/>
        </w:rPr>
        <w:t>Rider,”</w:t>
      </w:r>
      <w:r w:rsidRPr="00423400" w:rsidR="00CD72D9">
        <w:rPr>
          <w:rFonts w:cs="Times New Roman"/>
          <w:szCs w:val="24"/>
        </w:rPr>
        <w:t xml:space="preserve"> </w:t>
      </w:r>
      <w:r w:rsidRPr="00423400">
        <w:rPr>
          <w:rFonts w:cs="Times New Roman"/>
          <w:szCs w:val="24"/>
        </w:rPr>
        <w:t>similar</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Rate</w:t>
      </w:r>
      <w:r w:rsidRPr="00423400" w:rsidR="00CD72D9">
        <w:rPr>
          <w:rFonts w:cs="Times New Roman"/>
          <w:szCs w:val="24"/>
        </w:rPr>
        <w:t xml:space="preserve"> </w:t>
      </w:r>
      <w:r w:rsidRPr="00423400">
        <w:rPr>
          <w:rFonts w:cs="Times New Roman"/>
          <w:szCs w:val="24"/>
        </w:rPr>
        <w:t>Stabilization</w:t>
      </w:r>
      <w:r w:rsidRPr="00423400" w:rsidR="00CD72D9">
        <w:rPr>
          <w:rFonts w:cs="Times New Roman"/>
          <w:szCs w:val="24"/>
        </w:rPr>
        <w:t xml:space="preserve"> </w:t>
      </w:r>
      <w:r w:rsidRPr="00423400">
        <w:rPr>
          <w:rFonts w:cs="Times New Roman"/>
          <w:szCs w:val="24"/>
        </w:rPr>
        <w:t>Charge that</w:t>
      </w:r>
      <w:r w:rsidRPr="00423400" w:rsidR="00CD72D9">
        <w:rPr>
          <w:rFonts w:cs="Times New Roman"/>
          <w:szCs w:val="24"/>
        </w:rPr>
        <w:t xml:space="preserve"> </w:t>
      </w:r>
      <w:r w:rsidRPr="00423400">
        <w:rPr>
          <w:rFonts w:cs="Times New Roman"/>
          <w:szCs w:val="24"/>
        </w:rPr>
        <w:t>parties</w:t>
      </w:r>
      <w:r w:rsidRPr="00423400" w:rsidR="00CD72D9">
        <w:rPr>
          <w:rFonts w:cs="Times New Roman"/>
          <w:szCs w:val="24"/>
        </w:rPr>
        <w:t xml:space="preserve"> </w:t>
      </w:r>
      <w:r w:rsidRPr="00423400">
        <w:rPr>
          <w:rFonts w:cs="Times New Roman"/>
          <w:szCs w:val="24"/>
        </w:rPr>
        <w:t>had</w:t>
      </w:r>
      <w:r w:rsidRPr="00423400" w:rsidR="00CD72D9">
        <w:rPr>
          <w:rFonts w:cs="Times New Roman"/>
          <w:szCs w:val="24"/>
        </w:rPr>
        <w:t xml:space="preserve"> </w:t>
      </w:r>
      <w:r w:rsidRPr="00423400">
        <w:rPr>
          <w:rFonts w:cs="Times New Roman"/>
          <w:szCs w:val="24"/>
        </w:rPr>
        <w:t>agreed</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under</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w:t>
      </w:r>
      <w:r w:rsidRPr="00423400" w:rsidR="00CD72D9">
        <w:rPr>
          <w:rFonts w:cs="Times New Roman"/>
          <w:szCs w:val="24"/>
        </w:rPr>
        <w:t xml:space="preserve"> </w:t>
      </w:r>
      <w:r w:rsidRPr="00423400">
        <w:rPr>
          <w:rFonts w:cs="Times New Roman"/>
          <w:szCs w:val="24"/>
        </w:rPr>
        <w:t>OCC</w:t>
      </w:r>
      <w:r w:rsidRPr="00423400" w:rsidR="00CD72D9">
        <w:rPr>
          <w:rFonts w:cs="Times New Roman"/>
          <w:szCs w:val="24"/>
        </w:rPr>
        <w:t xml:space="preserve"> </w:t>
      </w:r>
      <w:r w:rsidRPr="00423400">
        <w:rPr>
          <w:rFonts w:cs="Times New Roman"/>
          <w:szCs w:val="24"/>
        </w:rPr>
        <w:t>applied</w:t>
      </w:r>
      <w:r w:rsidRPr="00423400" w:rsidR="00CD72D9">
        <w:rPr>
          <w:rFonts w:cs="Times New Roman"/>
          <w:szCs w:val="24"/>
        </w:rPr>
        <w:t xml:space="preserve"> </w:t>
      </w:r>
      <w:r w:rsidRPr="00423400">
        <w:rPr>
          <w:rFonts w:cs="Times New Roman"/>
          <w:szCs w:val="24"/>
        </w:rPr>
        <w:t>for</w:t>
      </w:r>
      <w:r w:rsidRPr="00423400" w:rsidR="00CD72D9">
        <w:rPr>
          <w:rFonts w:cs="Times New Roman"/>
          <w:szCs w:val="24"/>
        </w:rPr>
        <w:t xml:space="preserve"> </w:t>
      </w:r>
      <w:r w:rsidRPr="00423400">
        <w:rPr>
          <w:rFonts w:cs="Times New Roman"/>
          <w:szCs w:val="24"/>
        </w:rPr>
        <w:t>rehearing</w:t>
      </w:r>
      <w:r w:rsidRPr="00423400" w:rsidR="00CD72D9">
        <w:rPr>
          <w:rFonts w:cs="Times New Roman"/>
          <w:szCs w:val="24"/>
        </w:rPr>
        <w:t xml:space="preserve"> </w:t>
      </w:r>
      <w:r w:rsidRPr="00423400">
        <w:rPr>
          <w:rFonts w:cs="Times New Roman"/>
          <w:szCs w:val="24"/>
        </w:rPr>
        <w:t>and</w:t>
      </w:r>
      <w:r w:rsidRPr="00423400" w:rsidR="00CD72D9">
        <w:rPr>
          <w:rFonts w:cs="Times New Roman"/>
          <w:szCs w:val="24"/>
        </w:rPr>
        <w:t xml:space="preserve"> </w:t>
      </w:r>
      <w:r w:rsidRPr="00423400">
        <w:rPr>
          <w:rFonts w:cs="Times New Roman"/>
          <w:szCs w:val="24"/>
        </w:rPr>
        <w:t>ultimately</w:t>
      </w:r>
      <w:r w:rsidRPr="00423400" w:rsidR="00CD72D9">
        <w:rPr>
          <w:rFonts w:cs="Times New Roman"/>
          <w:szCs w:val="24"/>
        </w:rPr>
        <w:t xml:space="preserve"> </w:t>
      </w:r>
      <w:r w:rsidRPr="00423400">
        <w:rPr>
          <w:rFonts w:cs="Times New Roman"/>
          <w:szCs w:val="24"/>
        </w:rPr>
        <w:t>appealed</w:t>
      </w:r>
      <w:r w:rsidRPr="00423400" w:rsidR="00CD72D9">
        <w:rPr>
          <w:rFonts w:cs="Times New Roman"/>
          <w:szCs w:val="24"/>
        </w:rPr>
        <w:t xml:space="preserve"> </w:t>
      </w:r>
      <w:r w:rsidRPr="00423400">
        <w:rPr>
          <w:rFonts w:cs="Times New Roman"/>
          <w:szCs w:val="24"/>
        </w:rPr>
        <w:t>that ruling</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Ohio</w:t>
      </w:r>
      <w:r w:rsidRPr="00423400" w:rsidR="00CD72D9">
        <w:rPr>
          <w:rFonts w:cs="Times New Roman"/>
          <w:szCs w:val="24"/>
        </w:rPr>
        <w:t xml:space="preserve"> </w:t>
      </w:r>
      <w:r w:rsidRPr="00423400">
        <w:rPr>
          <w:rFonts w:cs="Times New Roman"/>
          <w:szCs w:val="24"/>
        </w:rPr>
        <w:t>Supreme</w:t>
      </w:r>
      <w:r w:rsidRPr="00423400" w:rsidR="00CD72D9">
        <w:rPr>
          <w:rFonts w:cs="Times New Roman"/>
          <w:szCs w:val="24"/>
        </w:rPr>
        <w:t xml:space="preserve"> </w:t>
      </w:r>
      <w:r w:rsidRPr="00423400">
        <w:rPr>
          <w:rFonts w:cs="Times New Roman"/>
          <w:szCs w:val="24"/>
        </w:rPr>
        <w:t>Court.</w:t>
      </w:r>
      <w:r>
        <w:rPr>
          <w:rStyle w:val="FootnoteReference"/>
          <w:rFonts w:cs="Times New Roman"/>
          <w:szCs w:val="24"/>
        </w:rPr>
        <w:footnoteReference w:id="22"/>
      </w:r>
      <w:r w:rsidRPr="00423400" w:rsidR="00CD72D9">
        <w:rPr>
          <w:rFonts w:cs="Times New Roman"/>
          <w:szCs w:val="24"/>
        </w:rPr>
        <w:t xml:space="preserve"> </w:t>
      </w:r>
      <w:r w:rsidRPr="00423400">
        <w:rPr>
          <w:rFonts w:cs="Times New Roman"/>
          <w:szCs w:val="24"/>
        </w:rPr>
        <w:t>OCC’s</w:t>
      </w:r>
      <w:r w:rsidRPr="00423400" w:rsidR="00CD72D9">
        <w:rPr>
          <w:rFonts w:cs="Times New Roman"/>
          <w:szCs w:val="24"/>
        </w:rPr>
        <w:t xml:space="preserve"> </w:t>
      </w:r>
      <w:r w:rsidRPr="00423400">
        <w:rPr>
          <w:rFonts w:cs="Times New Roman"/>
          <w:szCs w:val="24"/>
        </w:rPr>
        <w:t>primary</w:t>
      </w:r>
      <w:r w:rsidRPr="00423400" w:rsidR="00CD72D9">
        <w:rPr>
          <w:rFonts w:cs="Times New Roman"/>
          <w:szCs w:val="24"/>
        </w:rPr>
        <w:t xml:space="preserve"> </w:t>
      </w:r>
      <w:r w:rsidRPr="00423400">
        <w:rPr>
          <w:rFonts w:cs="Times New Roman"/>
          <w:szCs w:val="24"/>
        </w:rPr>
        <w:t>challenge</w:t>
      </w:r>
      <w:r w:rsidRPr="00423400" w:rsidR="00CD72D9">
        <w:rPr>
          <w:rFonts w:cs="Times New Roman"/>
          <w:szCs w:val="24"/>
        </w:rPr>
        <w:t xml:space="preserve"> </w:t>
      </w:r>
      <w:r w:rsidRPr="00423400">
        <w:rPr>
          <w:rFonts w:cs="Times New Roman"/>
          <w:szCs w:val="24"/>
        </w:rPr>
        <w:t>was</w:t>
      </w:r>
      <w:r w:rsidRPr="00423400" w:rsidR="00CD72D9">
        <w:rPr>
          <w:rFonts w:cs="Times New Roman"/>
          <w:szCs w:val="24"/>
        </w:rPr>
        <w:t xml:space="preserve"> </w:t>
      </w:r>
      <w:r w:rsidRPr="00423400">
        <w:rPr>
          <w:rFonts w:cs="Times New Roman"/>
          <w:szCs w:val="24"/>
        </w:rPr>
        <w:t>that</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Service</w:t>
      </w:r>
      <w:r w:rsidRPr="00423400" w:rsidR="00CD72D9">
        <w:rPr>
          <w:rFonts w:cs="Times New Roman"/>
          <w:szCs w:val="24"/>
        </w:rPr>
        <w:t xml:space="preserve"> </w:t>
      </w:r>
      <w:r w:rsidRPr="00423400">
        <w:rPr>
          <w:rFonts w:cs="Times New Roman"/>
          <w:szCs w:val="24"/>
        </w:rPr>
        <w:t>Stability Rider</w:t>
      </w:r>
      <w:r w:rsidRPr="00423400" w:rsidR="00CD72D9">
        <w:rPr>
          <w:rFonts w:cs="Times New Roman"/>
          <w:szCs w:val="24"/>
        </w:rPr>
        <w:t xml:space="preserve"> </w:t>
      </w:r>
      <w:r w:rsidRPr="00423400">
        <w:rPr>
          <w:rFonts w:cs="Times New Roman"/>
          <w:szCs w:val="24"/>
        </w:rPr>
        <w:t>was</w:t>
      </w:r>
      <w:r w:rsidRPr="00423400" w:rsidR="00CD72D9">
        <w:rPr>
          <w:rFonts w:cs="Times New Roman"/>
          <w:szCs w:val="24"/>
        </w:rPr>
        <w:t xml:space="preserve"> </w:t>
      </w:r>
      <w:r w:rsidRPr="00423400">
        <w:rPr>
          <w:rFonts w:cs="Times New Roman"/>
          <w:szCs w:val="24"/>
        </w:rPr>
        <w:t>unlawful.</w:t>
      </w:r>
      <w:r>
        <w:rPr>
          <w:rStyle w:val="FootnoteReference"/>
          <w:rFonts w:cs="Times New Roman"/>
          <w:szCs w:val="24"/>
        </w:rPr>
        <w:footnoteReference w:id="23"/>
      </w:r>
      <w:r w:rsidRPr="00423400">
        <w:rPr>
          <w:rFonts w:cs="Times New Roman"/>
          <w:szCs w:val="24"/>
        </w:rPr>
        <w:t xml:space="preserve"> </w:t>
      </w:r>
    </w:p>
    <w:p w:rsidR="00F955D3" w:rsidRPr="00423400" w:rsidP="00F955D3" w14:paraId="1A7D69C9" w14:textId="77777777">
      <w:pPr>
        <w:spacing w:after="0" w:line="480" w:lineRule="auto"/>
        <w:ind w:firstLine="720"/>
        <w:rPr>
          <w:rFonts w:cs="Times New Roman"/>
          <w:szCs w:val="24"/>
        </w:rPr>
      </w:pPr>
      <w:r w:rsidRPr="00423400">
        <w:rPr>
          <w:rFonts w:cs="Times New Roman"/>
          <w:szCs w:val="24"/>
        </w:rPr>
        <w:t>OCC’s</w:t>
      </w:r>
      <w:r w:rsidRPr="00423400" w:rsidR="00CD72D9">
        <w:rPr>
          <w:rFonts w:cs="Times New Roman"/>
          <w:szCs w:val="24"/>
        </w:rPr>
        <w:t xml:space="preserve"> </w:t>
      </w:r>
      <w:r w:rsidRPr="00423400">
        <w:rPr>
          <w:rFonts w:cs="Times New Roman"/>
          <w:szCs w:val="24"/>
        </w:rPr>
        <w:t>appeal</w:t>
      </w:r>
      <w:r w:rsidRPr="00423400" w:rsidR="00CD72D9">
        <w:rPr>
          <w:rFonts w:cs="Times New Roman"/>
          <w:szCs w:val="24"/>
        </w:rPr>
        <w:t xml:space="preserve"> </w:t>
      </w:r>
      <w:r w:rsidRPr="00423400">
        <w:rPr>
          <w:rFonts w:cs="Times New Roman"/>
          <w:szCs w:val="24"/>
        </w:rPr>
        <w:t>succeeded,</w:t>
      </w:r>
      <w:r w:rsidRPr="00423400" w:rsidR="00CD72D9">
        <w:rPr>
          <w:rFonts w:cs="Times New Roman"/>
          <w:szCs w:val="24"/>
        </w:rPr>
        <w:t xml:space="preserve"> </w:t>
      </w:r>
      <w:r w:rsidRPr="00423400">
        <w:rPr>
          <w:rFonts w:cs="Times New Roman"/>
          <w:szCs w:val="24"/>
        </w:rPr>
        <w:t>with</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Supreme</w:t>
      </w:r>
      <w:r w:rsidRPr="00423400" w:rsidR="00CD72D9">
        <w:rPr>
          <w:rFonts w:cs="Times New Roman"/>
          <w:szCs w:val="24"/>
        </w:rPr>
        <w:t xml:space="preserve"> </w:t>
      </w:r>
      <w:r w:rsidRPr="00423400">
        <w:rPr>
          <w:rFonts w:cs="Times New Roman"/>
          <w:szCs w:val="24"/>
        </w:rPr>
        <w:t>Court</w:t>
      </w:r>
      <w:r w:rsidRPr="00423400" w:rsidR="00CD72D9">
        <w:rPr>
          <w:rFonts w:cs="Times New Roman"/>
          <w:szCs w:val="24"/>
        </w:rPr>
        <w:t xml:space="preserve"> </w:t>
      </w:r>
      <w:r w:rsidRPr="00423400">
        <w:rPr>
          <w:rFonts w:cs="Times New Roman"/>
          <w:szCs w:val="24"/>
        </w:rPr>
        <w:t>reversing</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PUCO’s</w:t>
      </w:r>
      <w:r w:rsidRPr="00423400" w:rsidR="00CD72D9">
        <w:rPr>
          <w:rFonts w:cs="Times New Roman"/>
          <w:szCs w:val="24"/>
        </w:rPr>
        <w:t xml:space="preserve"> </w:t>
      </w:r>
      <w:r w:rsidRPr="00423400">
        <w:rPr>
          <w:rFonts w:cs="Times New Roman"/>
          <w:szCs w:val="24"/>
        </w:rPr>
        <w:t>ruling.</w:t>
      </w:r>
      <w:r>
        <w:rPr>
          <w:rStyle w:val="FootnoteReference"/>
          <w:rFonts w:cs="Times New Roman"/>
          <w:szCs w:val="24"/>
        </w:rPr>
        <w:footnoteReference w:id="24"/>
      </w:r>
      <w:r w:rsidRPr="00423400" w:rsidR="00CD72D9">
        <w:rPr>
          <w:rFonts w:cs="Times New Roman"/>
          <w:szCs w:val="24"/>
        </w:rPr>
        <w:t xml:space="preserve"> </w:t>
      </w:r>
      <w:r w:rsidRPr="00423400">
        <w:rPr>
          <w:rFonts w:cs="Times New Roman"/>
          <w:szCs w:val="24"/>
        </w:rPr>
        <w:t>In response</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Supreme</w:t>
      </w:r>
      <w:r w:rsidRPr="00423400" w:rsidR="00CD72D9">
        <w:rPr>
          <w:rFonts w:cs="Times New Roman"/>
          <w:szCs w:val="24"/>
        </w:rPr>
        <w:t xml:space="preserve"> </w:t>
      </w:r>
      <w:r w:rsidRPr="00423400">
        <w:rPr>
          <w:rFonts w:cs="Times New Roman"/>
          <w:szCs w:val="24"/>
        </w:rPr>
        <w:t>Court</w:t>
      </w:r>
      <w:r w:rsidRPr="00423400" w:rsidR="00CD72D9">
        <w:rPr>
          <w:rFonts w:cs="Times New Roman"/>
          <w:szCs w:val="24"/>
        </w:rPr>
        <w:t xml:space="preserve"> </w:t>
      </w:r>
      <w:r w:rsidRPr="00423400">
        <w:rPr>
          <w:rFonts w:cs="Times New Roman"/>
          <w:szCs w:val="24"/>
        </w:rPr>
        <w:t>ruling</w:t>
      </w:r>
      <w:r w:rsidRPr="00423400" w:rsidR="00CD72D9">
        <w:rPr>
          <w:rFonts w:cs="Times New Roman"/>
          <w:szCs w:val="24"/>
        </w:rPr>
        <w:t xml:space="preserve"> </w:t>
      </w:r>
      <w:r w:rsidRPr="00423400">
        <w:rPr>
          <w:rFonts w:cs="Times New Roman"/>
          <w:szCs w:val="24"/>
        </w:rPr>
        <w:t>stopping</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stability</w:t>
      </w:r>
      <w:r w:rsidRPr="00423400" w:rsidR="00CD72D9">
        <w:rPr>
          <w:rFonts w:cs="Times New Roman"/>
          <w:szCs w:val="24"/>
        </w:rPr>
        <w:t xml:space="preserve"> </w:t>
      </w:r>
      <w:r w:rsidRPr="00423400">
        <w:rPr>
          <w:rFonts w:cs="Times New Roman"/>
          <w:szCs w:val="24"/>
        </w:rPr>
        <w:t>charge,</w:t>
      </w:r>
      <w:r w:rsidRPr="00423400" w:rsidR="00CD72D9">
        <w:rPr>
          <w:rFonts w:cs="Times New Roman"/>
          <w:szCs w:val="24"/>
        </w:rPr>
        <w:t xml:space="preserve"> </w:t>
      </w:r>
      <w:r w:rsidRPr="00423400">
        <w:rPr>
          <w:rFonts w:cs="Times New Roman"/>
          <w:szCs w:val="24"/>
        </w:rPr>
        <w:t>DP&amp;L</w:t>
      </w:r>
      <w:r w:rsidRPr="00423400" w:rsidR="00CD72D9">
        <w:rPr>
          <w:rFonts w:cs="Times New Roman"/>
          <w:szCs w:val="24"/>
        </w:rPr>
        <w:t xml:space="preserve"> </w:t>
      </w:r>
      <w:r w:rsidRPr="00423400">
        <w:rPr>
          <w:rFonts w:cs="Times New Roman"/>
          <w:szCs w:val="24"/>
        </w:rPr>
        <w:t>moved</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withdraw from</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II</w:t>
      </w:r>
      <w:r w:rsidRPr="00423400" w:rsidR="00CD72D9">
        <w:rPr>
          <w:rFonts w:cs="Times New Roman"/>
          <w:szCs w:val="24"/>
        </w:rPr>
        <w:t xml:space="preserve"> </w:t>
      </w:r>
      <w:r w:rsidRPr="00423400">
        <w:rPr>
          <w:rFonts w:cs="Times New Roman"/>
          <w:szCs w:val="24"/>
        </w:rPr>
        <w:t>and</w:t>
      </w:r>
      <w:r w:rsidRPr="00423400" w:rsidR="00CD72D9">
        <w:rPr>
          <w:rFonts w:cs="Times New Roman"/>
          <w:szCs w:val="24"/>
        </w:rPr>
        <w:t xml:space="preserve"> </w:t>
      </w:r>
      <w:r w:rsidRPr="00423400">
        <w:rPr>
          <w:rFonts w:cs="Times New Roman"/>
          <w:szCs w:val="24"/>
        </w:rPr>
        <w:t>revert</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w:t>
      </w:r>
      <w:r>
        <w:rPr>
          <w:rStyle w:val="FootnoteReference"/>
          <w:rFonts w:cs="Times New Roman"/>
          <w:szCs w:val="24"/>
        </w:rPr>
        <w:footnoteReference w:id="25"/>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PUCO</w:t>
      </w:r>
      <w:r w:rsidRPr="00423400" w:rsidR="00CD72D9">
        <w:rPr>
          <w:rFonts w:cs="Times New Roman"/>
          <w:szCs w:val="24"/>
        </w:rPr>
        <w:t xml:space="preserve"> </w:t>
      </w:r>
      <w:r w:rsidRPr="00423400">
        <w:rPr>
          <w:rFonts w:cs="Times New Roman"/>
          <w:szCs w:val="24"/>
        </w:rPr>
        <w:t>granted</w:t>
      </w:r>
      <w:r w:rsidRPr="00423400" w:rsidR="00CD72D9">
        <w:rPr>
          <w:rFonts w:cs="Times New Roman"/>
          <w:szCs w:val="24"/>
        </w:rPr>
        <w:t xml:space="preserve"> </w:t>
      </w:r>
      <w:r w:rsidRPr="00423400">
        <w:rPr>
          <w:rFonts w:cs="Times New Roman"/>
          <w:szCs w:val="24"/>
        </w:rPr>
        <w:t>DP&amp;L’s</w:t>
      </w:r>
      <w:r w:rsidRPr="00423400" w:rsidR="00CD72D9">
        <w:rPr>
          <w:rFonts w:cs="Times New Roman"/>
          <w:szCs w:val="24"/>
        </w:rPr>
        <w:t xml:space="preserve"> </w:t>
      </w:r>
      <w:r w:rsidRPr="00423400">
        <w:rPr>
          <w:rFonts w:cs="Times New Roman"/>
          <w:szCs w:val="24"/>
        </w:rPr>
        <w:t>request</w:t>
      </w:r>
      <w:r w:rsidRPr="00423400" w:rsidR="00CD72D9">
        <w:rPr>
          <w:rFonts w:cs="Times New Roman"/>
          <w:szCs w:val="24"/>
        </w:rPr>
        <w:t xml:space="preserve"> </w:t>
      </w:r>
      <w:r w:rsidRPr="00423400">
        <w:rPr>
          <w:rFonts w:cs="Times New Roman"/>
          <w:szCs w:val="24"/>
        </w:rPr>
        <w:t>on</w:t>
      </w:r>
      <w:r w:rsidRPr="00423400" w:rsidR="00CD72D9">
        <w:rPr>
          <w:rFonts w:cs="Times New Roman"/>
          <w:szCs w:val="24"/>
        </w:rPr>
        <w:t xml:space="preserve"> </w:t>
      </w:r>
      <w:r w:rsidRPr="00423400">
        <w:rPr>
          <w:rFonts w:cs="Times New Roman"/>
          <w:szCs w:val="24"/>
        </w:rPr>
        <w:t>August</w:t>
      </w:r>
      <w:r w:rsidRPr="00423400" w:rsidR="00CD72D9">
        <w:rPr>
          <w:rFonts w:cs="Times New Roman"/>
          <w:szCs w:val="24"/>
        </w:rPr>
        <w:t xml:space="preserve"> </w:t>
      </w:r>
      <w:r w:rsidRPr="00423400">
        <w:rPr>
          <w:rFonts w:cs="Times New Roman"/>
          <w:szCs w:val="24"/>
        </w:rPr>
        <w:t>26,</w:t>
      </w:r>
      <w:r w:rsidRPr="00423400" w:rsidR="00CD72D9">
        <w:rPr>
          <w:rFonts w:cs="Times New Roman"/>
          <w:szCs w:val="24"/>
        </w:rPr>
        <w:t xml:space="preserve"> </w:t>
      </w:r>
      <w:r w:rsidRPr="00423400">
        <w:rPr>
          <w:rFonts w:cs="Times New Roman"/>
          <w:szCs w:val="24"/>
        </w:rPr>
        <w:t>2016,</w:t>
      </w:r>
      <w:r w:rsidRPr="00423400" w:rsidR="00CD72D9">
        <w:rPr>
          <w:rFonts w:cs="Times New Roman"/>
          <w:szCs w:val="24"/>
        </w:rPr>
        <w:t xml:space="preserve"> </w:t>
      </w:r>
      <w:r w:rsidRPr="00423400">
        <w:rPr>
          <w:rFonts w:cs="Times New Roman"/>
          <w:szCs w:val="24"/>
        </w:rPr>
        <w:t>over OCC’s</w:t>
      </w:r>
      <w:r w:rsidRPr="00423400" w:rsidR="00CD72D9">
        <w:rPr>
          <w:rFonts w:cs="Times New Roman"/>
          <w:szCs w:val="24"/>
        </w:rPr>
        <w:t xml:space="preserve"> </w:t>
      </w:r>
      <w:r w:rsidRPr="00423400">
        <w:rPr>
          <w:rFonts w:cs="Times New Roman"/>
          <w:szCs w:val="24"/>
        </w:rPr>
        <w:t>objections,</w:t>
      </w:r>
      <w:r w:rsidRPr="00423400" w:rsidR="00CD72D9">
        <w:rPr>
          <w:rFonts w:cs="Times New Roman"/>
          <w:szCs w:val="24"/>
        </w:rPr>
        <w:t xml:space="preserve"> </w:t>
      </w:r>
      <w:r w:rsidRPr="00423400">
        <w:rPr>
          <w:rFonts w:cs="Times New Roman"/>
          <w:szCs w:val="24"/>
        </w:rPr>
        <w:t>and</w:t>
      </w:r>
      <w:r w:rsidRPr="00423400" w:rsidR="00CD72D9">
        <w:rPr>
          <w:rFonts w:cs="Times New Roman"/>
          <w:szCs w:val="24"/>
        </w:rPr>
        <w:t xml:space="preserve"> </w:t>
      </w:r>
      <w:r w:rsidRPr="00423400">
        <w:rPr>
          <w:rFonts w:cs="Times New Roman"/>
          <w:szCs w:val="24"/>
        </w:rPr>
        <w:t>allowed</w:t>
      </w:r>
      <w:r w:rsidRPr="00423400" w:rsidR="00CD72D9">
        <w:rPr>
          <w:rFonts w:cs="Times New Roman"/>
          <w:szCs w:val="24"/>
        </w:rPr>
        <w:t xml:space="preserve"> </w:t>
      </w:r>
      <w:r w:rsidRPr="00423400">
        <w:rPr>
          <w:rFonts w:cs="Times New Roman"/>
          <w:szCs w:val="24"/>
        </w:rPr>
        <w:t>DP&amp;L</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again</w:t>
      </w:r>
      <w:r w:rsidRPr="00423400" w:rsidR="00CD72D9">
        <w:rPr>
          <w:rFonts w:cs="Times New Roman"/>
          <w:szCs w:val="24"/>
        </w:rPr>
        <w:t xml:space="preserve"> </w:t>
      </w:r>
      <w:r w:rsidRPr="00423400">
        <w:rPr>
          <w:rFonts w:cs="Times New Roman"/>
          <w:szCs w:val="24"/>
        </w:rPr>
        <w:t>charge</w:t>
      </w:r>
      <w:r w:rsidRPr="00423400" w:rsidR="00CD72D9">
        <w:rPr>
          <w:rFonts w:cs="Times New Roman"/>
          <w:szCs w:val="24"/>
        </w:rPr>
        <w:t xml:space="preserve"> </w:t>
      </w:r>
      <w:r w:rsidRPr="00423400">
        <w:rPr>
          <w:rFonts w:cs="Times New Roman"/>
          <w:szCs w:val="24"/>
        </w:rPr>
        <w:t>consumers</w:t>
      </w:r>
      <w:r w:rsidRPr="00423400" w:rsidR="00CD72D9">
        <w:rPr>
          <w:rFonts w:cs="Times New Roman"/>
          <w:szCs w:val="24"/>
        </w:rPr>
        <w:t xml:space="preserve"> </w:t>
      </w:r>
      <w:r w:rsidRPr="00423400">
        <w:rPr>
          <w:rFonts w:cs="Times New Roman"/>
          <w:szCs w:val="24"/>
        </w:rPr>
        <w:t>under</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terms</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sidR="001D0D22">
        <w:rPr>
          <w:rFonts w:cs="Times New Roman"/>
          <w:szCs w:val="24"/>
        </w:rPr>
        <w:t>I</w:t>
      </w:r>
      <w:r w:rsidRPr="00423400">
        <w:rPr>
          <w:rFonts w:cs="Times New Roman"/>
          <w:szCs w:val="24"/>
        </w:rPr>
        <w:t>, including</w:t>
      </w:r>
      <w:r w:rsidRPr="00423400" w:rsidR="00CD72D9">
        <w:rPr>
          <w:rFonts w:cs="Times New Roman"/>
          <w:szCs w:val="24"/>
        </w:rPr>
        <w:t xml:space="preserve"> </w:t>
      </w:r>
      <w:r w:rsidRPr="00423400">
        <w:rPr>
          <w:rFonts w:cs="Times New Roman"/>
          <w:szCs w:val="24"/>
        </w:rPr>
        <w:t>reviving</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Rate</w:t>
      </w:r>
      <w:r w:rsidRPr="00423400" w:rsidR="00CD72D9">
        <w:rPr>
          <w:rFonts w:cs="Times New Roman"/>
          <w:szCs w:val="24"/>
        </w:rPr>
        <w:t xml:space="preserve"> </w:t>
      </w:r>
      <w:r w:rsidRPr="00423400">
        <w:rPr>
          <w:rFonts w:cs="Times New Roman"/>
          <w:szCs w:val="24"/>
        </w:rPr>
        <w:t>Stabilization</w:t>
      </w:r>
      <w:r w:rsidRPr="00423400" w:rsidR="00CD72D9">
        <w:rPr>
          <w:rFonts w:cs="Times New Roman"/>
          <w:szCs w:val="24"/>
        </w:rPr>
        <w:t xml:space="preserve"> </w:t>
      </w:r>
      <w:r w:rsidRPr="00423400">
        <w:rPr>
          <w:rFonts w:cs="Times New Roman"/>
          <w:szCs w:val="24"/>
        </w:rPr>
        <w:t>Charge.</w:t>
      </w:r>
      <w:r>
        <w:rPr>
          <w:rStyle w:val="FootnoteReference"/>
          <w:rFonts w:cs="Times New Roman"/>
          <w:szCs w:val="24"/>
        </w:rPr>
        <w:footnoteReference w:id="26"/>
      </w:r>
    </w:p>
    <w:p w:rsidR="00F955D3" w:rsidRPr="00423400" w:rsidP="0012105E" w14:paraId="58500FFF" w14:textId="77777777">
      <w:pPr>
        <w:pStyle w:val="Heading2"/>
        <w:ind w:left="1440" w:hanging="720"/>
        <w:rPr>
          <w:color w:val="auto"/>
        </w:rPr>
      </w:pPr>
      <w:bookmarkStart w:id="9" w:name="_Toc97298192"/>
      <w:r w:rsidRPr="00423400">
        <w:rPr>
          <w:color w:val="auto"/>
          <w:sz w:val="24"/>
          <w:szCs w:val="24"/>
        </w:rPr>
        <w:t>ESP</w:t>
      </w:r>
      <w:r w:rsidRPr="00423400" w:rsidR="00CD72D9">
        <w:rPr>
          <w:color w:val="auto"/>
          <w:sz w:val="24"/>
          <w:szCs w:val="24"/>
        </w:rPr>
        <w:t xml:space="preserve"> </w:t>
      </w:r>
      <w:r w:rsidRPr="00423400">
        <w:rPr>
          <w:color w:val="auto"/>
          <w:sz w:val="24"/>
          <w:szCs w:val="24"/>
        </w:rPr>
        <w:t>III,</w:t>
      </w:r>
      <w:r w:rsidRPr="00423400" w:rsidR="00CD72D9">
        <w:rPr>
          <w:color w:val="auto"/>
          <w:sz w:val="24"/>
          <w:szCs w:val="24"/>
        </w:rPr>
        <w:t xml:space="preserve"> </w:t>
      </w:r>
      <w:r w:rsidRPr="00423400">
        <w:rPr>
          <w:color w:val="auto"/>
          <w:sz w:val="24"/>
          <w:szCs w:val="24"/>
        </w:rPr>
        <w:t>Withdrawal</w:t>
      </w:r>
      <w:r w:rsidRPr="00423400" w:rsidR="00CD72D9">
        <w:rPr>
          <w:color w:val="auto"/>
          <w:sz w:val="24"/>
          <w:szCs w:val="24"/>
        </w:rPr>
        <w:t xml:space="preserve"> </w:t>
      </w:r>
      <w:r w:rsidRPr="00423400">
        <w:rPr>
          <w:color w:val="auto"/>
          <w:sz w:val="24"/>
          <w:szCs w:val="24"/>
        </w:rPr>
        <w:t>of</w:t>
      </w:r>
      <w:r w:rsidRPr="00423400" w:rsidR="00CD72D9">
        <w:rPr>
          <w:color w:val="auto"/>
          <w:sz w:val="24"/>
          <w:szCs w:val="24"/>
        </w:rPr>
        <w:t xml:space="preserve"> </w:t>
      </w:r>
      <w:r w:rsidRPr="00423400">
        <w:rPr>
          <w:color w:val="auto"/>
          <w:sz w:val="24"/>
          <w:szCs w:val="24"/>
        </w:rPr>
        <w:t>ESP</w:t>
      </w:r>
      <w:r w:rsidRPr="00423400" w:rsidR="00CD72D9">
        <w:rPr>
          <w:color w:val="auto"/>
          <w:sz w:val="24"/>
          <w:szCs w:val="24"/>
        </w:rPr>
        <w:t xml:space="preserve"> </w:t>
      </w:r>
      <w:r w:rsidRPr="00423400">
        <w:rPr>
          <w:color w:val="auto"/>
          <w:sz w:val="24"/>
          <w:szCs w:val="24"/>
        </w:rPr>
        <w:t>III,</w:t>
      </w:r>
      <w:r w:rsidRPr="00423400" w:rsidR="00CD72D9">
        <w:rPr>
          <w:color w:val="auto"/>
          <w:sz w:val="24"/>
          <w:szCs w:val="24"/>
        </w:rPr>
        <w:t xml:space="preserve"> </w:t>
      </w:r>
      <w:r w:rsidRPr="00423400">
        <w:rPr>
          <w:color w:val="auto"/>
          <w:sz w:val="24"/>
          <w:szCs w:val="24"/>
        </w:rPr>
        <w:t>and</w:t>
      </w:r>
      <w:r w:rsidRPr="00423400" w:rsidR="00CD72D9">
        <w:rPr>
          <w:color w:val="auto"/>
          <w:sz w:val="24"/>
          <w:szCs w:val="24"/>
        </w:rPr>
        <w:t xml:space="preserve"> </w:t>
      </w:r>
      <w:r w:rsidRPr="00423400">
        <w:rPr>
          <w:color w:val="auto"/>
          <w:sz w:val="24"/>
          <w:szCs w:val="24"/>
        </w:rPr>
        <w:t>Second</w:t>
      </w:r>
      <w:r w:rsidRPr="00423400" w:rsidR="00CD72D9">
        <w:rPr>
          <w:color w:val="auto"/>
          <w:sz w:val="24"/>
          <w:szCs w:val="24"/>
        </w:rPr>
        <w:t xml:space="preserve"> </w:t>
      </w:r>
      <w:r w:rsidRPr="00423400">
        <w:rPr>
          <w:color w:val="auto"/>
          <w:sz w:val="24"/>
          <w:szCs w:val="24"/>
        </w:rPr>
        <w:t>Return</w:t>
      </w:r>
      <w:r w:rsidRPr="00423400" w:rsidR="00CD72D9">
        <w:rPr>
          <w:color w:val="auto"/>
          <w:sz w:val="24"/>
          <w:szCs w:val="24"/>
        </w:rPr>
        <w:t xml:space="preserve"> </w:t>
      </w:r>
      <w:r w:rsidRPr="00423400">
        <w:rPr>
          <w:color w:val="auto"/>
          <w:sz w:val="24"/>
          <w:szCs w:val="24"/>
        </w:rPr>
        <w:t>to</w:t>
      </w:r>
      <w:r w:rsidRPr="00423400" w:rsidR="00CD72D9">
        <w:rPr>
          <w:color w:val="auto"/>
          <w:sz w:val="24"/>
          <w:szCs w:val="24"/>
        </w:rPr>
        <w:t xml:space="preserve"> </w:t>
      </w:r>
      <w:r w:rsidRPr="00423400">
        <w:rPr>
          <w:color w:val="auto"/>
          <w:sz w:val="24"/>
          <w:szCs w:val="24"/>
        </w:rPr>
        <w:t>ESP</w:t>
      </w:r>
      <w:r w:rsidRPr="00423400" w:rsidR="00CD72D9">
        <w:rPr>
          <w:color w:val="auto"/>
          <w:sz w:val="24"/>
          <w:szCs w:val="24"/>
        </w:rPr>
        <w:t xml:space="preserve"> </w:t>
      </w:r>
      <w:r w:rsidRPr="00423400">
        <w:rPr>
          <w:color w:val="auto"/>
          <w:sz w:val="24"/>
          <w:szCs w:val="24"/>
        </w:rPr>
        <w:t>I,</w:t>
      </w:r>
      <w:r w:rsidRPr="00423400" w:rsidR="00CD72D9">
        <w:rPr>
          <w:color w:val="auto"/>
          <w:sz w:val="24"/>
          <w:szCs w:val="24"/>
        </w:rPr>
        <w:t xml:space="preserve"> </w:t>
      </w:r>
      <w:r w:rsidRPr="00423400">
        <w:rPr>
          <w:color w:val="auto"/>
          <w:sz w:val="24"/>
          <w:szCs w:val="24"/>
        </w:rPr>
        <w:t>with</w:t>
      </w:r>
      <w:r w:rsidRPr="00423400" w:rsidR="00CD72D9">
        <w:rPr>
          <w:color w:val="auto"/>
          <w:sz w:val="24"/>
          <w:szCs w:val="24"/>
        </w:rPr>
        <w:t xml:space="preserve"> </w:t>
      </w:r>
      <w:r w:rsidRPr="00423400">
        <w:rPr>
          <w:color w:val="auto"/>
          <w:sz w:val="24"/>
          <w:szCs w:val="24"/>
        </w:rPr>
        <w:t>the</w:t>
      </w:r>
      <w:r w:rsidRPr="00423400" w:rsidR="00CD72D9">
        <w:rPr>
          <w:color w:val="auto"/>
          <w:sz w:val="24"/>
          <w:szCs w:val="24"/>
        </w:rPr>
        <w:t xml:space="preserve"> </w:t>
      </w:r>
      <w:r w:rsidRPr="00423400">
        <w:rPr>
          <w:color w:val="auto"/>
          <w:sz w:val="24"/>
          <w:szCs w:val="24"/>
        </w:rPr>
        <w:t>Stability Charge</w:t>
      </w:r>
      <w:r w:rsidRPr="00423400" w:rsidR="00CD72D9">
        <w:rPr>
          <w:color w:val="auto"/>
          <w:sz w:val="24"/>
          <w:szCs w:val="24"/>
        </w:rPr>
        <w:t xml:space="preserve"> </w:t>
      </w:r>
      <w:r w:rsidRPr="00423400">
        <w:rPr>
          <w:color w:val="auto"/>
          <w:sz w:val="24"/>
          <w:szCs w:val="24"/>
        </w:rPr>
        <w:t>to</w:t>
      </w:r>
      <w:r w:rsidRPr="00423400" w:rsidR="00CD72D9">
        <w:rPr>
          <w:color w:val="auto"/>
          <w:sz w:val="24"/>
          <w:szCs w:val="24"/>
        </w:rPr>
        <w:t xml:space="preserve"> </w:t>
      </w:r>
      <w:r w:rsidRPr="00423400">
        <w:rPr>
          <w:color w:val="auto"/>
          <w:sz w:val="24"/>
          <w:szCs w:val="24"/>
        </w:rPr>
        <w:t>Consumers</w:t>
      </w:r>
      <w:r w:rsidRPr="00423400" w:rsidR="00CD72D9">
        <w:rPr>
          <w:color w:val="auto"/>
          <w:sz w:val="24"/>
          <w:szCs w:val="24"/>
        </w:rPr>
        <w:t xml:space="preserve"> </w:t>
      </w:r>
      <w:r w:rsidRPr="00423400">
        <w:rPr>
          <w:color w:val="auto"/>
          <w:sz w:val="24"/>
          <w:szCs w:val="24"/>
        </w:rPr>
        <w:t>Continuing.</w:t>
      </w:r>
      <w:bookmarkEnd w:id="9"/>
    </w:p>
    <w:p w:rsidR="00F955D3" w:rsidRPr="00423400" w:rsidP="00F955D3" w14:paraId="12828A86" w14:textId="77777777">
      <w:pPr>
        <w:spacing w:before="240" w:after="0" w:line="480" w:lineRule="auto"/>
        <w:ind w:firstLine="720"/>
        <w:rPr>
          <w:rFonts w:cs="Times New Roman"/>
          <w:szCs w:val="24"/>
        </w:rPr>
      </w:pPr>
      <w:r w:rsidRPr="00423400">
        <w:rPr>
          <w:rFonts w:cs="Times New Roman"/>
          <w:szCs w:val="24"/>
        </w:rPr>
        <w:t>In</w:t>
      </w:r>
      <w:r w:rsidRPr="00423400" w:rsidR="00CD72D9">
        <w:rPr>
          <w:rFonts w:cs="Times New Roman"/>
          <w:szCs w:val="24"/>
        </w:rPr>
        <w:t xml:space="preserve"> </w:t>
      </w:r>
      <w:r w:rsidRPr="00423400">
        <w:rPr>
          <w:rFonts w:cs="Times New Roman"/>
          <w:szCs w:val="24"/>
        </w:rPr>
        <w:t>early</w:t>
      </w:r>
      <w:r w:rsidRPr="00423400" w:rsidR="00CD72D9">
        <w:rPr>
          <w:rFonts w:cs="Times New Roman"/>
          <w:szCs w:val="24"/>
        </w:rPr>
        <w:t xml:space="preserve"> </w:t>
      </w:r>
      <w:r w:rsidRPr="00423400">
        <w:rPr>
          <w:rFonts w:cs="Times New Roman"/>
          <w:szCs w:val="24"/>
        </w:rPr>
        <w:t>2016,</w:t>
      </w:r>
      <w:r w:rsidRPr="00423400" w:rsidR="00CD72D9">
        <w:rPr>
          <w:rFonts w:cs="Times New Roman"/>
          <w:szCs w:val="24"/>
        </w:rPr>
        <w:t xml:space="preserve"> </w:t>
      </w:r>
      <w:r w:rsidRPr="00423400">
        <w:rPr>
          <w:rFonts w:cs="Times New Roman"/>
          <w:szCs w:val="24"/>
        </w:rPr>
        <w:t>DP&amp;L</w:t>
      </w:r>
      <w:r w:rsidRPr="00423400" w:rsidR="00CD72D9">
        <w:rPr>
          <w:rFonts w:cs="Times New Roman"/>
          <w:szCs w:val="24"/>
        </w:rPr>
        <w:t xml:space="preserve"> </w:t>
      </w:r>
      <w:r w:rsidRPr="00423400">
        <w:rPr>
          <w:rFonts w:cs="Times New Roman"/>
          <w:szCs w:val="24"/>
        </w:rPr>
        <w:t>filed</w:t>
      </w:r>
      <w:r w:rsidRPr="00423400" w:rsidR="00CD72D9">
        <w:rPr>
          <w:rFonts w:cs="Times New Roman"/>
          <w:szCs w:val="24"/>
        </w:rPr>
        <w:t xml:space="preserve"> </w:t>
      </w:r>
      <w:r w:rsidRPr="00423400">
        <w:rPr>
          <w:rFonts w:cs="Times New Roman"/>
          <w:szCs w:val="24"/>
        </w:rPr>
        <w:t>an</w:t>
      </w:r>
      <w:r w:rsidRPr="00423400" w:rsidR="00CD72D9">
        <w:rPr>
          <w:rFonts w:cs="Times New Roman"/>
          <w:szCs w:val="24"/>
        </w:rPr>
        <w:t xml:space="preserve"> </w:t>
      </w:r>
      <w:r w:rsidRPr="00423400">
        <w:rPr>
          <w:rFonts w:cs="Times New Roman"/>
          <w:szCs w:val="24"/>
        </w:rPr>
        <w:t>application</w:t>
      </w:r>
      <w:r w:rsidRPr="00423400" w:rsidR="00CD72D9">
        <w:rPr>
          <w:rFonts w:cs="Times New Roman"/>
          <w:szCs w:val="24"/>
        </w:rPr>
        <w:t xml:space="preserve"> </w:t>
      </w:r>
      <w:r w:rsidRPr="00423400">
        <w:rPr>
          <w:rFonts w:cs="Times New Roman"/>
          <w:szCs w:val="24"/>
        </w:rPr>
        <w:t>for</w:t>
      </w:r>
      <w:r w:rsidRPr="00423400" w:rsidR="00CD72D9">
        <w:rPr>
          <w:rFonts w:cs="Times New Roman"/>
          <w:szCs w:val="24"/>
        </w:rPr>
        <w:t xml:space="preserve"> </w:t>
      </w:r>
      <w:r w:rsidRPr="00423400">
        <w:rPr>
          <w:rFonts w:cs="Times New Roman"/>
          <w:szCs w:val="24"/>
        </w:rPr>
        <w:t>a</w:t>
      </w:r>
      <w:r w:rsidRPr="00423400" w:rsidR="00CD72D9">
        <w:rPr>
          <w:rFonts w:cs="Times New Roman"/>
          <w:szCs w:val="24"/>
        </w:rPr>
        <w:t xml:space="preserve"> </w:t>
      </w:r>
      <w:r w:rsidRPr="00423400">
        <w:rPr>
          <w:rFonts w:cs="Times New Roman"/>
          <w:szCs w:val="24"/>
        </w:rPr>
        <w:t>new</w:t>
      </w:r>
      <w:r w:rsidRPr="00423400" w:rsidR="00CD72D9">
        <w:rPr>
          <w:rFonts w:cs="Times New Roman"/>
          <w:szCs w:val="24"/>
        </w:rPr>
        <w:t xml:space="preserve"> </w:t>
      </w:r>
      <w:r w:rsidRPr="00423400">
        <w:rPr>
          <w:rFonts w:cs="Times New Roman"/>
          <w:szCs w:val="24"/>
        </w:rPr>
        <w:t>electric</w:t>
      </w:r>
      <w:r w:rsidRPr="00423400" w:rsidR="00CD72D9">
        <w:rPr>
          <w:rFonts w:cs="Times New Roman"/>
          <w:szCs w:val="24"/>
        </w:rPr>
        <w:t xml:space="preserve"> </w:t>
      </w:r>
      <w:r w:rsidRPr="00423400">
        <w:rPr>
          <w:rFonts w:cs="Times New Roman"/>
          <w:szCs w:val="24"/>
        </w:rPr>
        <w:t>security</w:t>
      </w:r>
      <w:r w:rsidRPr="00423400" w:rsidR="00CD72D9">
        <w:rPr>
          <w:rFonts w:cs="Times New Roman"/>
          <w:szCs w:val="24"/>
        </w:rPr>
        <w:t xml:space="preserve"> </w:t>
      </w:r>
      <w:r w:rsidRPr="00423400">
        <w:rPr>
          <w:rFonts w:cs="Times New Roman"/>
          <w:szCs w:val="24"/>
        </w:rPr>
        <w:t>plan</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III).</w:t>
      </w:r>
      <w:r>
        <w:rPr>
          <w:rStyle w:val="FootnoteReference"/>
          <w:rFonts w:cs="Times New Roman"/>
          <w:szCs w:val="24"/>
        </w:rPr>
        <w:footnoteReference w:id="27"/>
      </w:r>
      <w:r w:rsidRPr="00423400" w:rsidR="00CD72D9">
        <w:rPr>
          <w:rFonts w:cs="Times New Roman"/>
          <w:szCs w:val="24"/>
        </w:rPr>
        <w:t xml:space="preserve"> </w:t>
      </w:r>
      <w:r w:rsidRPr="00423400">
        <w:rPr>
          <w:rFonts w:cs="Times New Roman"/>
          <w:szCs w:val="24"/>
        </w:rPr>
        <w:t>Over the</w:t>
      </w:r>
      <w:r w:rsidRPr="00423400" w:rsidR="00CD72D9">
        <w:rPr>
          <w:rFonts w:cs="Times New Roman"/>
          <w:szCs w:val="24"/>
        </w:rPr>
        <w:t xml:space="preserve"> </w:t>
      </w:r>
      <w:r w:rsidRPr="00423400">
        <w:rPr>
          <w:rFonts w:cs="Times New Roman"/>
          <w:szCs w:val="24"/>
        </w:rPr>
        <w:t>objection</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numerous</w:t>
      </w:r>
      <w:r w:rsidRPr="00423400" w:rsidR="00CD72D9">
        <w:rPr>
          <w:rFonts w:cs="Times New Roman"/>
          <w:szCs w:val="24"/>
        </w:rPr>
        <w:t xml:space="preserve"> </w:t>
      </w:r>
      <w:r w:rsidRPr="00423400">
        <w:rPr>
          <w:rFonts w:cs="Times New Roman"/>
          <w:szCs w:val="24"/>
        </w:rPr>
        <w:t>parties,</w:t>
      </w:r>
      <w:r w:rsidRPr="00423400" w:rsidR="00CD72D9">
        <w:rPr>
          <w:rFonts w:cs="Times New Roman"/>
          <w:szCs w:val="24"/>
        </w:rPr>
        <w:t xml:space="preserve"> </w:t>
      </w:r>
      <w:r w:rsidRPr="00423400">
        <w:rPr>
          <w:rFonts w:cs="Times New Roman"/>
          <w:szCs w:val="24"/>
        </w:rPr>
        <w:t>including</w:t>
      </w:r>
      <w:r w:rsidRPr="00423400" w:rsidR="00CD72D9">
        <w:rPr>
          <w:rFonts w:cs="Times New Roman"/>
          <w:szCs w:val="24"/>
        </w:rPr>
        <w:t xml:space="preserve"> </w:t>
      </w:r>
      <w:r w:rsidRPr="00423400">
        <w:rPr>
          <w:rFonts w:cs="Times New Roman"/>
          <w:szCs w:val="24"/>
        </w:rPr>
        <w:t>OCC,</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PUCO</w:t>
      </w:r>
      <w:r w:rsidRPr="00423400" w:rsidR="00CD72D9">
        <w:rPr>
          <w:rFonts w:cs="Times New Roman"/>
          <w:szCs w:val="24"/>
        </w:rPr>
        <w:t xml:space="preserve"> </w:t>
      </w:r>
      <w:r w:rsidRPr="00423400">
        <w:rPr>
          <w:rFonts w:cs="Times New Roman"/>
          <w:szCs w:val="24"/>
        </w:rPr>
        <w:t>approved</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III.</w:t>
      </w:r>
      <w:r>
        <w:rPr>
          <w:rStyle w:val="FootnoteReference"/>
          <w:rFonts w:cs="Times New Roman"/>
          <w:szCs w:val="24"/>
        </w:rPr>
        <w:footnoteReference w:id="28"/>
      </w:r>
      <w:r w:rsidRPr="00423400" w:rsidR="00CD72D9">
        <w:rPr>
          <w:rFonts w:cs="Times New Roman"/>
          <w:szCs w:val="24"/>
        </w:rPr>
        <w:t xml:space="preserve"> </w:t>
      </w:r>
      <w:r w:rsidRPr="00423400">
        <w:rPr>
          <w:rFonts w:cs="Times New Roman"/>
          <w:szCs w:val="24"/>
        </w:rPr>
        <w:t>Like</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w:t>
      </w:r>
      <w:r w:rsidRPr="00423400" w:rsidR="00CD72D9">
        <w:rPr>
          <w:rFonts w:cs="Times New Roman"/>
          <w:szCs w:val="24"/>
        </w:rPr>
        <w:t xml:space="preserve"> </w:t>
      </w:r>
      <w:r w:rsidRPr="00423400">
        <w:rPr>
          <w:rFonts w:cs="Times New Roman"/>
          <w:szCs w:val="24"/>
        </w:rPr>
        <w:t>and ESP</w:t>
      </w:r>
      <w:r w:rsidRPr="00423400" w:rsidR="00CD72D9">
        <w:rPr>
          <w:rFonts w:cs="Times New Roman"/>
          <w:szCs w:val="24"/>
        </w:rPr>
        <w:t xml:space="preserve"> </w:t>
      </w:r>
      <w:r w:rsidRPr="00423400">
        <w:rPr>
          <w:rFonts w:cs="Times New Roman"/>
          <w:szCs w:val="24"/>
        </w:rPr>
        <w:t>II,</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III included</w:t>
      </w:r>
      <w:r w:rsidRPr="00423400" w:rsidR="00CD72D9">
        <w:rPr>
          <w:rFonts w:cs="Times New Roman"/>
          <w:szCs w:val="24"/>
        </w:rPr>
        <w:t xml:space="preserve"> </w:t>
      </w:r>
      <w:r w:rsidRPr="00423400">
        <w:rPr>
          <w:rFonts w:cs="Times New Roman"/>
          <w:szCs w:val="24"/>
        </w:rPr>
        <w:t>a</w:t>
      </w:r>
      <w:r w:rsidRPr="00423400" w:rsidR="00CD72D9">
        <w:rPr>
          <w:rFonts w:cs="Times New Roman"/>
          <w:szCs w:val="24"/>
        </w:rPr>
        <w:t xml:space="preserve"> </w:t>
      </w:r>
      <w:r w:rsidRPr="00423400">
        <w:rPr>
          <w:rFonts w:cs="Times New Roman"/>
          <w:szCs w:val="24"/>
        </w:rPr>
        <w:t>subsidy</w:t>
      </w:r>
      <w:r w:rsidRPr="00423400" w:rsidR="00CD72D9">
        <w:rPr>
          <w:rFonts w:cs="Times New Roman"/>
          <w:szCs w:val="24"/>
        </w:rPr>
        <w:t xml:space="preserve"> </w:t>
      </w:r>
      <w:r w:rsidRPr="00423400">
        <w:rPr>
          <w:rFonts w:cs="Times New Roman"/>
          <w:szCs w:val="24"/>
        </w:rPr>
        <w:t>charge</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consumers,</w:t>
      </w:r>
      <w:r w:rsidRPr="00423400" w:rsidR="00CD72D9">
        <w:rPr>
          <w:rFonts w:cs="Times New Roman"/>
          <w:szCs w:val="24"/>
        </w:rPr>
        <w:t xml:space="preserve"> </w:t>
      </w:r>
      <w:r w:rsidRPr="00423400">
        <w:rPr>
          <w:rFonts w:cs="Times New Roman"/>
          <w:szCs w:val="24"/>
        </w:rPr>
        <w:t>this</w:t>
      </w:r>
      <w:r w:rsidRPr="00423400" w:rsidR="00CD72D9">
        <w:rPr>
          <w:rFonts w:cs="Times New Roman"/>
          <w:szCs w:val="24"/>
        </w:rPr>
        <w:t xml:space="preserve"> </w:t>
      </w:r>
      <w:r w:rsidRPr="00423400">
        <w:rPr>
          <w:rFonts w:cs="Times New Roman"/>
          <w:szCs w:val="24"/>
        </w:rPr>
        <w:t>time</w:t>
      </w:r>
      <w:r w:rsidRPr="00423400" w:rsidR="00CD72D9">
        <w:rPr>
          <w:rFonts w:cs="Times New Roman"/>
          <w:szCs w:val="24"/>
        </w:rPr>
        <w:t xml:space="preserve"> </w:t>
      </w:r>
      <w:r w:rsidRPr="00423400">
        <w:rPr>
          <w:rFonts w:cs="Times New Roman"/>
          <w:szCs w:val="24"/>
        </w:rPr>
        <w:t>called</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“Distribution Modernization</w:t>
      </w:r>
      <w:r w:rsidRPr="00423400" w:rsidR="00CD72D9">
        <w:rPr>
          <w:rFonts w:cs="Times New Roman"/>
          <w:szCs w:val="24"/>
        </w:rPr>
        <w:t xml:space="preserve"> </w:t>
      </w:r>
      <w:r w:rsidRPr="00423400">
        <w:rPr>
          <w:rFonts w:cs="Times New Roman"/>
          <w:szCs w:val="24"/>
        </w:rPr>
        <w:t>Rider”</w:t>
      </w:r>
      <w:r w:rsidRPr="00423400" w:rsidR="00CD72D9">
        <w:rPr>
          <w:rFonts w:cs="Times New Roman"/>
          <w:szCs w:val="24"/>
        </w:rPr>
        <w:t xml:space="preserve"> </w:t>
      </w:r>
      <w:r w:rsidRPr="00423400">
        <w:rPr>
          <w:rFonts w:cs="Times New Roman"/>
          <w:szCs w:val="24"/>
        </w:rPr>
        <w:t>or</w:t>
      </w:r>
      <w:r w:rsidRPr="00423400" w:rsidR="00CD72D9">
        <w:rPr>
          <w:rFonts w:cs="Times New Roman"/>
          <w:szCs w:val="24"/>
        </w:rPr>
        <w:t xml:space="preserve"> </w:t>
      </w:r>
      <w:r w:rsidRPr="00423400">
        <w:rPr>
          <w:rFonts w:cs="Times New Roman"/>
          <w:szCs w:val="24"/>
        </w:rPr>
        <w:t>“DMR.”</w:t>
      </w:r>
      <w:r>
        <w:rPr>
          <w:rStyle w:val="FootnoteReference"/>
          <w:rFonts w:cs="Times New Roman"/>
          <w:szCs w:val="24"/>
        </w:rPr>
        <w:footnoteReference w:id="29"/>
      </w:r>
      <w:r w:rsidRPr="00423400">
        <w:rPr>
          <w:rFonts w:cs="Times New Roman"/>
          <w:szCs w:val="24"/>
        </w:rPr>
        <w:t xml:space="preserve"> </w:t>
      </w:r>
    </w:p>
    <w:p w:rsidR="00F955D3" w:rsidRPr="00423400" w:rsidP="0012105E" w14:paraId="3508E4D6" w14:textId="77777777">
      <w:pPr>
        <w:spacing w:after="0" w:line="480" w:lineRule="auto"/>
        <w:ind w:firstLine="720"/>
        <w:rPr>
          <w:rFonts w:cs="Times New Roman"/>
          <w:szCs w:val="24"/>
        </w:rPr>
      </w:pPr>
      <w:r w:rsidRPr="00423400">
        <w:rPr>
          <w:rFonts w:cs="Times New Roman"/>
          <w:szCs w:val="24"/>
        </w:rPr>
        <w:t>Before</w:t>
      </w:r>
      <w:r w:rsidRPr="00423400" w:rsidR="00CD72D9">
        <w:rPr>
          <w:rFonts w:cs="Times New Roman"/>
          <w:szCs w:val="24"/>
        </w:rPr>
        <w:t xml:space="preserve"> </w:t>
      </w:r>
      <w:r w:rsidRPr="00423400">
        <w:rPr>
          <w:rFonts w:cs="Times New Roman"/>
          <w:szCs w:val="24"/>
        </w:rPr>
        <w:t>approving</w:t>
      </w:r>
      <w:r w:rsidRPr="00423400" w:rsidR="00CD72D9">
        <w:rPr>
          <w:rFonts w:cs="Times New Roman"/>
          <w:szCs w:val="24"/>
        </w:rPr>
        <w:t xml:space="preserve"> </w:t>
      </w:r>
      <w:r w:rsidRPr="00423400">
        <w:rPr>
          <w:rFonts w:cs="Times New Roman"/>
          <w:szCs w:val="24"/>
        </w:rPr>
        <w:t>DP&amp;L’s</w:t>
      </w:r>
      <w:r w:rsidRPr="00423400" w:rsidR="00CD72D9">
        <w:rPr>
          <w:rFonts w:cs="Times New Roman"/>
          <w:szCs w:val="24"/>
        </w:rPr>
        <w:t xml:space="preserve"> </w:t>
      </w:r>
      <w:r w:rsidRPr="00423400">
        <w:rPr>
          <w:rFonts w:cs="Times New Roman"/>
          <w:szCs w:val="24"/>
        </w:rPr>
        <w:t>DMR,</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PUCO</w:t>
      </w:r>
      <w:r w:rsidRPr="00423400" w:rsidR="00CD72D9">
        <w:rPr>
          <w:rFonts w:cs="Times New Roman"/>
          <w:szCs w:val="24"/>
        </w:rPr>
        <w:t xml:space="preserve"> </w:t>
      </w:r>
      <w:r w:rsidRPr="00423400">
        <w:rPr>
          <w:rFonts w:cs="Times New Roman"/>
          <w:szCs w:val="24"/>
        </w:rPr>
        <w:t>had</w:t>
      </w:r>
      <w:r w:rsidRPr="00423400" w:rsidR="00CD72D9">
        <w:rPr>
          <w:rFonts w:cs="Times New Roman"/>
          <w:szCs w:val="24"/>
        </w:rPr>
        <w:t xml:space="preserve"> </w:t>
      </w:r>
      <w:r w:rsidRPr="00423400">
        <w:rPr>
          <w:rFonts w:cs="Times New Roman"/>
          <w:szCs w:val="24"/>
        </w:rPr>
        <w:t>approved</w:t>
      </w:r>
      <w:r w:rsidRPr="00423400" w:rsidR="00CD72D9">
        <w:rPr>
          <w:rFonts w:cs="Times New Roman"/>
          <w:szCs w:val="24"/>
        </w:rPr>
        <w:t xml:space="preserve"> </w:t>
      </w:r>
      <w:r w:rsidRPr="00423400">
        <w:rPr>
          <w:rFonts w:cs="Times New Roman"/>
          <w:szCs w:val="24"/>
        </w:rPr>
        <w:t>a</w:t>
      </w:r>
      <w:r w:rsidRPr="00423400" w:rsidR="00CD72D9">
        <w:rPr>
          <w:rFonts w:cs="Times New Roman"/>
          <w:szCs w:val="24"/>
        </w:rPr>
        <w:t xml:space="preserve"> </w:t>
      </w:r>
      <w:r w:rsidRPr="00423400">
        <w:rPr>
          <w:rFonts w:cs="Times New Roman"/>
          <w:szCs w:val="24"/>
        </w:rPr>
        <w:t>substantially</w:t>
      </w:r>
      <w:r w:rsidRPr="00423400" w:rsidR="00CD72D9">
        <w:rPr>
          <w:rFonts w:cs="Times New Roman"/>
          <w:szCs w:val="24"/>
        </w:rPr>
        <w:t xml:space="preserve"> </w:t>
      </w:r>
      <w:r w:rsidRPr="00423400">
        <w:rPr>
          <w:rFonts w:cs="Times New Roman"/>
          <w:szCs w:val="24"/>
        </w:rPr>
        <w:t>identical</w:t>
      </w:r>
      <w:r w:rsidRPr="00423400" w:rsidR="00CD72D9">
        <w:rPr>
          <w:rFonts w:cs="Times New Roman"/>
          <w:szCs w:val="24"/>
        </w:rPr>
        <w:t xml:space="preserve"> </w:t>
      </w:r>
      <w:r w:rsidRPr="00423400">
        <w:rPr>
          <w:rFonts w:cs="Times New Roman"/>
          <w:szCs w:val="24"/>
        </w:rPr>
        <w:t>DMR for</w:t>
      </w:r>
      <w:r w:rsidRPr="00423400" w:rsidR="00CD72D9">
        <w:rPr>
          <w:rFonts w:cs="Times New Roman"/>
          <w:szCs w:val="24"/>
        </w:rPr>
        <w:t xml:space="preserve"> </w:t>
      </w:r>
      <w:r w:rsidRPr="00423400">
        <w:rPr>
          <w:rFonts w:cs="Times New Roman"/>
          <w:szCs w:val="24"/>
        </w:rPr>
        <w:t>FirstEnergy</w:t>
      </w:r>
      <w:r w:rsidRPr="00423400" w:rsidR="00CD72D9">
        <w:rPr>
          <w:rFonts w:cs="Times New Roman"/>
          <w:szCs w:val="24"/>
        </w:rPr>
        <w:t xml:space="preserve"> </w:t>
      </w:r>
      <w:r w:rsidRPr="00423400">
        <w:rPr>
          <w:rFonts w:cs="Times New Roman"/>
          <w:szCs w:val="24"/>
        </w:rPr>
        <w:t>in</w:t>
      </w:r>
      <w:r w:rsidRPr="00423400" w:rsidR="00CD72D9">
        <w:rPr>
          <w:rFonts w:cs="Times New Roman"/>
          <w:szCs w:val="24"/>
        </w:rPr>
        <w:t xml:space="preserve"> </w:t>
      </w:r>
      <w:r w:rsidRPr="00423400">
        <w:rPr>
          <w:rFonts w:cs="Times New Roman"/>
          <w:szCs w:val="24"/>
        </w:rPr>
        <w:t>its</w:t>
      </w:r>
      <w:r w:rsidRPr="00423400" w:rsidR="00CD72D9">
        <w:rPr>
          <w:rFonts w:cs="Times New Roman"/>
          <w:szCs w:val="24"/>
        </w:rPr>
        <w:t xml:space="preserve"> </w:t>
      </w:r>
      <w:r w:rsidRPr="00423400">
        <w:rPr>
          <w:rFonts w:cs="Times New Roman"/>
          <w:szCs w:val="24"/>
        </w:rPr>
        <w:t>electric</w:t>
      </w:r>
      <w:r w:rsidRPr="00423400" w:rsidR="00CD72D9">
        <w:rPr>
          <w:rFonts w:cs="Times New Roman"/>
          <w:szCs w:val="24"/>
        </w:rPr>
        <w:t xml:space="preserve"> </w:t>
      </w:r>
      <w:r w:rsidRPr="00423400">
        <w:rPr>
          <w:rFonts w:cs="Times New Roman"/>
          <w:szCs w:val="24"/>
        </w:rPr>
        <w:t>security</w:t>
      </w:r>
      <w:r w:rsidRPr="00423400" w:rsidR="00CD72D9">
        <w:rPr>
          <w:rFonts w:cs="Times New Roman"/>
          <w:szCs w:val="24"/>
        </w:rPr>
        <w:t xml:space="preserve"> </w:t>
      </w:r>
      <w:r w:rsidRPr="00423400">
        <w:rPr>
          <w:rFonts w:cs="Times New Roman"/>
          <w:szCs w:val="24"/>
        </w:rPr>
        <w:t>plan</w:t>
      </w:r>
      <w:r w:rsidRPr="00423400" w:rsidR="00CD72D9">
        <w:rPr>
          <w:rFonts w:cs="Times New Roman"/>
          <w:szCs w:val="24"/>
        </w:rPr>
        <w:t xml:space="preserve"> </w:t>
      </w:r>
      <w:r w:rsidRPr="00423400">
        <w:rPr>
          <w:rFonts w:cs="Times New Roman"/>
          <w:szCs w:val="24"/>
        </w:rPr>
        <w:t>proceeding.</w:t>
      </w:r>
      <w:r>
        <w:rPr>
          <w:rStyle w:val="FootnoteReference"/>
          <w:rFonts w:cs="Times New Roman"/>
          <w:szCs w:val="24"/>
        </w:rPr>
        <w:footnoteReference w:id="30"/>
      </w:r>
      <w:r w:rsidRPr="00423400" w:rsidR="00CD72D9">
        <w:rPr>
          <w:rFonts w:cs="Times New Roman"/>
          <w:szCs w:val="24"/>
        </w:rPr>
        <w:t xml:space="preserve"> </w:t>
      </w:r>
      <w:r w:rsidRPr="00423400">
        <w:rPr>
          <w:rFonts w:cs="Times New Roman"/>
          <w:szCs w:val="24"/>
        </w:rPr>
        <w:t>OCC</w:t>
      </w:r>
      <w:r w:rsidRPr="00423400" w:rsidR="00CD72D9">
        <w:rPr>
          <w:rFonts w:cs="Times New Roman"/>
          <w:szCs w:val="24"/>
        </w:rPr>
        <w:t xml:space="preserve"> </w:t>
      </w:r>
      <w:r w:rsidRPr="00423400">
        <w:rPr>
          <w:rFonts w:cs="Times New Roman"/>
          <w:szCs w:val="24"/>
        </w:rPr>
        <w:t>and</w:t>
      </w:r>
      <w:r w:rsidRPr="00423400" w:rsidR="00CD72D9">
        <w:rPr>
          <w:rFonts w:cs="Times New Roman"/>
          <w:szCs w:val="24"/>
        </w:rPr>
        <w:t xml:space="preserve"> </w:t>
      </w:r>
      <w:r w:rsidRPr="00423400">
        <w:rPr>
          <w:rFonts w:cs="Times New Roman"/>
          <w:szCs w:val="24"/>
        </w:rPr>
        <w:t>other</w:t>
      </w:r>
      <w:r w:rsidRPr="00423400" w:rsidR="00CD72D9">
        <w:rPr>
          <w:rFonts w:cs="Times New Roman"/>
          <w:szCs w:val="24"/>
        </w:rPr>
        <w:t xml:space="preserve"> </w:t>
      </w:r>
      <w:r w:rsidRPr="00423400">
        <w:rPr>
          <w:rFonts w:cs="Times New Roman"/>
          <w:szCs w:val="24"/>
        </w:rPr>
        <w:t>parties</w:t>
      </w:r>
      <w:r w:rsidRPr="00423400" w:rsidR="00CD72D9">
        <w:rPr>
          <w:rFonts w:cs="Times New Roman"/>
          <w:szCs w:val="24"/>
        </w:rPr>
        <w:t xml:space="preserve"> </w:t>
      </w:r>
      <w:r w:rsidRPr="00423400">
        <w:rPr>
          <w:rFonts w:cs="Times New Roman"/>
          <w:szCs w:val="24"/>
        </w:rPr>
        <w:t>appealed</w:t>
      </w:r>
      <w:r w:rsidRPr="00423400" w:rsidR="00CD72D9">
        <w:rPr>
          <w:rFonts w:cs="Times New Roman"/>
          <w:szCs w:val="24"/>
        </w:rPr>
        <w:t xml:space="preserve"> </w:t>
      </w:r>
      <w:r w:rsidRPr="00423400">
        <w:rPr>
          <w:rFonts w:cs="Times New Roman"/>
          <w:szCs w:val="24"/>
        </w:rPr>
        <w:t>that ruling</w:t>
      </w:r>
      <w:r w:rsidRPr="00423400" w:rsidR="00CD72D9">
        <w:rPr>
          <w:rFonts w:cs="Times New Roman"/>
          <w:szCs w:val="24"/>
        </w:rPr>
        <w:t xml:space="preserve"> </w:t>
      </w:r>
      <w:r w:rsidRPr="00423400">
        <w:rPr>
          <w:rFonts w:cs="Times New Roman"/>
          <w:szCs w:val="24"/>
        </w:rPr>
        <w:t>and</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Ohio</w:t>
      </w:r>
      <w:r w:rsidRPr="00423400" w:rsidR="00CD72D9">
        <w:rPr>
          <w:rFonts w:cs="Times New Roman"/>
          <w:szCs w:val="24"/>
        </w:rPr>
        <w:t xml:space="preserve"> </w:t>
      </w:r>
      <w:r w:rsidRPr="00423400">
        <w:rPr>
          <w:rFonts w:cs="Times New Roman"/>
          <w:szCs w:val="24"/>
        </w:rPr>
        <w:t>Supreme</w:t>
      </w:r>
      <w:r w:rsidRPr="00423400" w:rsidR="00CD72D9">
        <w:rPr>
          <w:rFonts w:cs="Times New Roman"/>
          <w:szCs w:val="24"/>
        </w:rPr>
        <w:t xml:space="preserve"> </w:t>
      </w:r>
      <w:r w:rsidRPr="00423400">
        <w:rPr>
          <w:rFonts w:cs="Times New Roman"/>
          <w:szCs w:val="24"/>
        </w:rPr>
        <w:t>Court</w:t>
      </w:r>
      <w:r w:rsidRPr="00423400" w:rsidR="00CD72D9">
        <w:rPr>
          <w:rFonts w:cs="Times New Roman"/>
          <w:szCs w:val="24"/>
        </w:rPr>
        <w:t xml:space="preserve"> </w:t>
      </w:r>
      <w:r w:rsidRPr="00423400">
        <w:rPr>
          <w:rFonts w:cs="Times New Roman"/>
          <w:szCs w:val="24"/>
        </w:rPr>
        <w:t>ruled</w:t>
      </w:r>
      <w:r w:rsidRPr="00423400" w:rsidR="00CD72D9">
        <w:rPr>
          <w:rFonts w:cs="Times New Roman"/>
          <w:szCs w:val="24"/>
        </w:rPr>
        <w:t xml:space="preserve"> </w:t>
      </w:r>
      <w:r w:rsidRPr="00423400">
        <w:rPr>
          <w:rFonts w:cs="Times New Roman"/>
          <w:szCs w:val="24"/>
        </w:rPr>
        <w:t>that</w:t>
      </w:r>
      <w:r w:rsidRPr="00423400" w:rsidR="00CD72D9">
        <w:rPr>
          <w:rFonts w:cs="Times New Roman"/>
          <w:szCs w:val="24"/>
        </w:rPr>
        <w:t xml:space="preserve"> </w:t>
      </w:r>
      <w:r w:rsidRPr="00423400">
        <w:rPr>
          <w:rFonts w:cs="Times New Roman"/>
          <w:szCs w:val="24"/>
        </w:rPr>
        <w:t>FirstEnergy’s</w:t>
      </w:r>
      <w:r w:rsidRPr="00423400" w:rsidR="00CD72D9">
        <w:rPr>
          <w:rFonts w:cs="Times New Roman"/>
          <w:szCs w:val="24"/>
        </w:rPr>
        <w:t xml:space="preserve"> </w:t>
      </w:r>
      <w:r w:rsidRPr="00423400">
        <w:rPr>
          <w:rFonts w:cs="Times New Roman"/>
          <w:szCs w:val="24"/>
        </w:rPr>
        <w:t>DMR</w:t>
      </w:r>
      <w:r w:rsidRPr="00423400" w:rsidR="00CD72D9">
        <w:rPr>
          <w:rFonts w:cs="Times New Roman"/>
          <w:szCs w:val="24"/>
        </w:rPr>
        <w:t xml:space="preserve"> </w:t>
      </w:r>
      <w:r w:rsidRPr="00423400">
        <w:rPr>
          <w:rFonts w:cs="Times New Roman"/>
          <w:szCs w:val="24"/>
        </w:rPr>
        <w:t>was</w:t>
      </w:r>
      <w:r w:rsidRPr="00423400" w:rsidR="00CD72D9">
        <w:rPr>
          <w:rFonts w:cs="Times New Roman"/>
          <w:szCs w:val="24"/>
        </w:rPr>
        <w:t xml:space="preserve"> </w:t>
      </w:r>
      <w:r w:rsidRPr="00423400">
        <w:rPr>
          <w:rFonts w:cs="Times New Roman"/>
          <w:szCs w:val="24"/>
        </w:rPr>
        <w:t>unlawful.</w:t>
      </w:r>
      <w:r>
        <w:rPr>
          <w:rStyle w:val="FootnoteReference"/>
          <w:rFonts w:cs="Times New Roman"/>
          <w:szCs w:val="24"/>
        </w:rPr>
        <w:footnoteReference w:id="31"/>
      </w:r>
    </w:p>
    <w:p w:rsidR="00F955D3" w:rsidRPr="00423400" w:rsidP="00F955D3" w14:paraId="313FBB63" w14:textId="77777777">
      <w:pPr>
        <w:spacing w:after="0" w:line="480" w:lineRule="auto"/>
        <w:ind w:firstLine="720"/>
        <w:rPr>
          <w:rFonts w:cs="Times New Roman"/>
          <w:szCs w:val="24"/>
        </w:rPr>
      </w:pPr>
      <w:r w:rsidRPr="00423400">
        <w:rPr>
          <w:rFonts w:cs="Times New Roman"/>
          <w:szCs w:val="24"/>
        </w:rPr>
        <w:t>Citing</w:t>
      </w:r>
      <w:r w:rsidRPr="00423400" w:rsidR="00CD72D9">
        <w:rPr>
          <w:rFonts w:cs="Times New Roman"/>
          <w:szCs w:val="24"/>
        </w:rPr>
        <w:t xml:space="preserve"> </w:t>
      </w:r>
      <w:r w:rsidRPr="00423400">
        <w:rPr>
          <w:rFonts w:cs="Times New Roman"/>
          <w:szCs w:val="24"/>
        </w:rPr>
        <w:t>this</w:t>
      </w:r>
      <w:r w:rsidR="007B3415">
        <w:rPr>
          <w:rFonts w:cs="Times New Roman"/>
          <w:szCs w:val="24"/>
        </w:rPr>
        <w:t xml:space="preserve"> Ohio</w:t>
      </w:r>
      <w:r w:rsidRPr="00423400" w:rsidR="00CD72D9">
        <w:rPr>
          <w:rFonts w:cs="Times New Roman"/>
          <w:szCs w:val="24"/>
        </w:rPr>
        <w:t xml:space="preserve"> </w:t>
      </w:r>
      <w:r w:rsidRPr="00423400">
        <w:rPr>
          <w:rFonts w:cs="Times New Roman"/>
          <w:szCs w:val="24"/>
        </w:rPr>
        <w:t>Supreme</w:t>
      </w:r>
      <w:r w:rsidRPr="00423400" w:rsidR="00CD72D9">
        <w:rPr>
          <w:rFonts w:cs="Times New Roman"/>
          <w:szCs w:val="24"/>
        </w:rPr>
        <w:t xml:space="preserve"> </w:t>
      </w:r>
      <w:r w:rsidRPr="00423400">
        <w:rPr>
          <w:rFonts w:cs="Times New Roman"/>
          <w:szCs w:val="24"/>
        </w:rPr>
        <w:t>Court</w:t>
      </w:r>
      <w:r w:rsidRPr="00423400" w:rsidR="00CD72D9">
        <w:rPr>
          <w:rFonts w:cs="Times New Roman"/>
          <w:szCs w:val="24"/>
        </w:rPr>
        <w:t xml:space="preserve"> </w:t>
      </w:r>
      <w:r w:rsidRPr="00423400">
        <w:rPr>
          <w:rFonts w:cs="Times New Roman"/>
          <w:szCs w:val="24"/>
        </w:rPr>
        <w:t>precedent</w:t>
      </w:r>
      <w:r w:rsidRPr="00423400" w:rsidR="00CD72D9">
        <w:rPr>
          <w:rFonts w:cs="Times New Roman"/>
          <w:szCs w:val="24"/>
        </w:rPr>
        <w:t xml:space="preserve"> </w:t>
      </w:r>
      <w:r w:rsidRPr="00423400">
        <w:rPr>
          <w:rFonts w:cs="Times New Roman"/>
          <w:szCs w:val="24"/>
        </w:rPr>
        <w:t>and</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substantial</w:t>
      </w:r>
      <w:r w:rsidRPr="00423400" w:rsidR="00CD72D9">
        <w:rPr>
          <w:rFonts w:cs="Times New Roman"/>
          <w:szCs w:val="24"/>
        </w:rPr>
        <w:t xml:space="preserve"> </w:t>
      </w:r>
      <w:r w:rsidRPr="00423400">
        <w:rPr>
          <w:rFonts w:cs="Times New Roman"/>
          <w:szCs w:val="24"/>
        </w:rPr>
        <w:t>similarity</w:t>
      </w:r>
      <w:r w:rsidRPr="00423400" w:rsidR="00CD72D9">
        <w:rPr>
          <w:rFonts w:cs="Times New Roman"/>
          <w:szCs w:val="24"/>
        </w:rPr>
        <w:t xml:space="preserve"> </w:t>
      </w:r>
      <w:r w:rsidRPr="00423400">
        <w:rPr>
          <w:rFonts w:cs="Times New Roman"/>
          <w:szCs w:val="24"/>
        </w:rPr>
        <w:t>between</w:t>
      </w:r>
      <w:r w:rsidRPr="00423400" w:rsidR="00CD72D9">
        <w:rPr>
          <w:rFonts w:cs="Times New Roman"/>
          <w:szCs w:val="24"/>
        </w:rPr>
        <w:t xml:space="preserve"> </w:t>
      </w:r>
      <w:r w:rsidRPr="00423400">
        <w:rPr>
          <w:rFonts w:cs="Times New Roman"/>
          <w:szCs w:val="24"/>
        </w:rPr>
        <w:t>FirstEnergy’s and</w:t>
      </w:r>
      <w:r w:rsidRPr="00423400" w:rsidR="00CD72D9">
        <w:rPr>
          <w:rFonts w:cs="Times New Roman"/>
          <w:szCs w:val="24"/>
        </w:rPr>
        <w:t xml:space="preserve"> </w:t>
      </w:r>
      <w:r w:rsidRPr="00423400">
        <w:rPr>
          <w:rFonts w:cs="Times New Roman"/>
          <w:szCs w:val="24"/>
        </w:rPr>
        <w:t>DP&amp;L’s</w:t>
      </w:r>
      <w:r w:rsidRPr="00423400" w:rsidR="00CD72D9">
        <w:rPr>
          <w:rFonts w:cs="Times New Roman"/>
          <w:szCs w:val="24"/>
        </w:rPr>
        <w:t xml:space="preserve"> </w:t>
      </w:r>
      <w:r w:rsidRPr="00423400">
        <w:rPr>
          <w:rFonts w:cs="Times New Roman"/>
          <w:szCs w:val="24"/>
        </w:rPr>
        <w:t>Distribution</w:t>
      </w:r>
      <w:r w:rsidRPr="00423400" w:rsidR="00CD72D9">
        <w:rPr>
          <w:rFonts w:cs="Times New Roman"/>
          <w:szCs w:val="24"/>
        </w:rPr>
        <w:t xml:space="preserve"> </w:t>
      </w:r>
      <w:r w:rsidRPr="00423400">
        <w:rPr>
          <w:rFonts w:cs="Times New Roman"/>
          <w:szCs w:val="24"/>
        </w:rPr>
        <w:t>Modernization</w:t>
      </w:r>
      <w:r w:rsidRPr="00423400" w:rsidR="00CD72D9">
        <w:rPr>
          <w:rFonts w:cs="Times New Roman"/>
          <w:szCs w:val="24"/>
        </w:rPr>
        <w:t xml:space="preserve"> </w:t>
      </w:r>
      <w:r w:rsidRPr="00423400">
        <w:rPr>
          <w:rFonts w:cs="Times New Roman"/>
          <w:szCs w:val="24"/>
        </w:rPr>
        <w:t>Riders,</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PUCO</w:t>
      </w:r>
      <w:r w:rsidRPr="00423400" w:rsidR="00CD72D9">
        <w:rPr>
          <w:rFonts w:cs="Times New Roman"/>
          <w:szCs w:val="24"/>
        </w:rPr>
        <w:t xml:space="preserve"> </w:t>
      </w:r>
      <w:r w:rsidRPr="00423400">
        <w:rPr>
          <w:rFonts w:cs="Times New Roman"/>
          <w:szCs w:val="24"/>
        </w:rPr>
        <w:t>modified</w:t>
      </w:r>
      <w:r w:rsidRPr="00423400" w:rsidR="00CD72D9">
        <w:rPr>
          <w:rFonts w:cs="Times New Roman"/>
          <w:szCs w:val="24"/>
        </w:rPr>
        <w:t xml:space="preserve"> </w:t>
      </w:r>
      <w:r w:rsidRPr="00423400">
        <w:rPr>
          <w:rFonts w:cs="Times New Roman"/>
          <w:szCs w:val="24"/>
        </w:rPr>
        <w:t>DP&amp;L’s</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III,</w:t>
      </w:r>
      <w:r w:rsidRPr="00423400" w:rsidR="00CD72D9">
        <w:rPr>
          <w:rFonts w:cs="Times New Roman"/>
          <w:szCs w:val="24"/>
        </w:rPr>
        <w:t xml:space="preserve"> </w:t>
      </w:r>
      <w:r w:rsidRPr="00423400">
        <w:rPr>
          <w:rFonts w:cs="Times New Roman"/>
          <w:szCs w:val="24"/>
        </w:rPr>
        <w:t>removing charges</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consumers</w:t>
      </w:r>
      <w:r w:rsidRPr="00423400" w:rsidR="00CD72D9">
        <w:rPr>
          <w:rFonts w:cs="Times New Roman"/>
          <w:szCs w:val="24"/>
        </w:rPr>
        <w:t xml:space="preserve"> </w:t>
      </w:r>
      <w:r w:rsidRPr="00423400">
        <w:rPr>
          <w:rFonts w:cs="Times New Roman"/>
          <w:szCs w:val="24"/>
        </w:rPr>
        <w:t>under</w:t>
      </w:r>
      <w:r w:rsidRPr="00423400" w:rsidR="00CD72D9">
        <w:rPr>
          <w:rFonts w:cs="Times New Roman"/>
          <w:szCs w:val="24"/>
        </w:rPr>
        <w:t xml:space="preserve"> </w:t>
      </w:r>
      <w:r w:rsidRPr="00423400">
        <w:rPr>
          <w:rFonts w:cs="Times New Roman"/>
          <w:szCs w:val="24"/>
        </w:rPr>
        <w:t>DP&amp;L’s</w:t>
      </w:r>
      <w:r w:rsidRPr="00423400" w:rsidR="00CD72D9">
        <w:rPr>
          <w:rFonts w:cs="Times New Roman"/>
          <w:szCs w:val="24"/>
        </w:rPr>
        <w:t xml:space="preserve"> </w:t>
      </w:r>
      <w:r w:rsidRPr="00423400">
        <w:rPr>
          <w:rFonts w:cs="Times New Roman"/>
          <w:szCs w:val="24"/>
        </w:rPr>
        <w:t>DMR.</w:t>
      </w:r>
      <w:r>
        <w:rPr>
          <w:rStyle w:val="FootnoteReference"/>
          <w:rFonts w:cs="Times New Roman"/>
          <w:szCs w:val="24"/>
        </w:rPr>
        <w:footnoteReference w:id="32"/>
      </w:r>
      <w:r w:rsidRPr="00423400">
        <w:rPr>
          <w:rFonts w:cs="Times New Roman"/>
          <w:szCs w:val="24"/>
        </w:rPr>
        <w:t xml:space="preserve"> </w:t>
      </w:r>
    </w:p>
    <w:p w:rsidR="00F955D3" w:rsidRPr="00423400" w:rsidP="00F955D3" w14:paraId="7504900A" w14:textId="77777777">
      <w:pPr>
        <w:spacing w:after="0" w:line="480" w:lineRule="auto"/>
        <w:ind w:firstLine="720"/>
        <w:rPr>
          <w:rFonts w:cs="Times New Roman"/>
          <w:szCs w:val="24"/>
        </w:rPr>
      </w:pPr>
      <w:r w:rsidRPr="00423400">
        <w:rPr>
          <w:rFonts w:cs="Times New Roman"/>
          <w:szCs w:val="24"/>
        </w:rPr>
        <w:t>In</w:t>
      </w:r>
      <w:r w:rsidRPr="00423400" w:rsidR="00CD72D9">
        <w:rPr>
          <w:rFonts w:cs="Times New Roman"/>
          <w:szCs w:val="24"/>
        </w:rPr>
        <w:t xml:space="preserve"> </w:t>
      </w:r>
      <w:r w:rsidRPr="00423400">
        <w:rPr>
          <w:rFonts w:cs="Times New Roman"/>
          <w:szCs w:val="24"/>
        </w:rPr>
        <w:t>response,</w:t>
      </w:r>
      <w:r w:rsidRPr="00423400" w:rsidR="00CD72D9">
        <w:rPr>
          <w:rFonts w:cs="Times New Roman"/>
          <w:szCs w:val="24"/>
        </w:rPr>
        <w:t xml:space="preserve"> </w:t>
      </w:r>
      <w:r w:rsidRPr="00423400">
        <w:rPr>
          <w:rFonts w:cs="Times New Roman"/>
          <w:szCs w:val="24"/>
        </w:rPr>
        <w:t>DP&amp;L</w:t>
      </w:r>
      <w:r w:rsidRPr="00423400" w:rsidR="00CD72D9">
        <w:rPr>
          <w:rFonts w:cs="Times New Roman"/>
          <w:szCs w:val="24"/>
        </w:rPr>
        <w:t xml:space="preserve"> </w:t>
      </w:r>
      <w:r w:rsidRPr="00423400">
        <w:rPr>
          <w:rFonts w:cs="Times New Roman"/>
          <w:szCs w:val="24"/>
        </w:rPr>
        <w:t>almost</w:t>
      </w:r>
      <w:r w:rsidRPr="00423400" w:rsidR="00CD72D9">
        <w:rPr>
          <w:rFonts w:cs="Times New Roman"/>
          <w:szCs w:val="24"/>
        </w:rPr>
        <w:t xml:space="preserve"> </w:t>
      </w:r>
      <w:r w:rsidRPr="00423400">
        <w:rPr>
          <w:rFonts w:cs="Times New Roman"/>
          <w:szCs w:val="24"/>
        </w:rPr>
        <w:t>immediately</w:t>
      </w:r>
      <w:r w:rsidRPr="00423400" w:rsidR="00CD72D9">
        <w:rPr>
          <w:rFonts w:cs="Times New Roman"/>
          <w:szCs w:val="24"/>
        </w:rPr>
        <w:t xml:space="preserve"> </w:t>
      </w:r>
      <w:r w:rsidRPr="00423400">
        <w:rPr>
          <w:rFonts w:cs="Times New Roman"/>
          <w:szCs w:val="24"/>
        </w:rPr>
        <w:t>filed</w:t>
      </w:r>
      <w:r w:rsidRPr="00423400" w:rsidR="00CD72D9">
        <w:rPr>
          <w:rFonts w:cs="Times New Roman"/>
          <w:szCs w:val="24"/>
        </w:rPr>
        <w:t xml:space="preserve"> </w:t>
      </w:r>
      <w:r w:rsidRPr="00423400">
        <w:rPr>
          <w:rFonts w:cs="Times New Roman"/>
          <w:szCs w:val="24"/>
        </w:rPr>
        <w:t>a</w:t>
      </w:r>
      <w:r w:rsidRPr="00423400" w:rsidR="00CD72D9">
        <w:rPr>
          <w:rFonts w:cs="Times New Roman"/>
          <w:szCs w:val="24"/>
        </w:rPr>
        <w:t xml:space="preserve"> </w:t>
      </w:r>
      <w:r w:rsidRPr="00423400">
        <w:rPr>
          <w:rFonts w:cs="Times New Roman"/>
          <w:szCs w:val="24"/>
        </w:rPr>
        <w:t>notice</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withdrawal</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III,</w:t>
      </w:r>
      <w:r w:rsidRPr="00423400" w:rsidR="00CD72D9">
        <w:rPr>
          <w:rFonts w:cs="Times New Roman"/>
          <w:szCs w:val="24"/>
        </w:rPr>
        <w:t xml:space="preserve"> </w:t>
      </w:r>
      <w:r w:rsidRPr="00423400">
        <w:rPr>
          <w:rFonts w:cs="Times New Roman"/>
          <w:szCs w:val="24"/>
        </w:rPr>
        <w:t>seeking PUCO approval</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again</w:t>
      </w:r>
      <w:r w:rsidRPr="00423400" w:rsidR="00CD72D9">
        <w:rPr>
          <w:rFonts w:cs="Times New Roman"/>
          <w:szCs w:val="24"/>
        </w:rPr>
        <w:t xml:space="preserve"> </w:t>
      </w:r>
      <w:r w:rsidRPr="00423400">
        <w:rPr>
          <w:rFonts w:cs="Times New Roman"/>
          <w:szCs w:val="24"/>
        </w:rPr>
        <w:t>revert</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w:t>
      </w:r>
      <w:r w:rsidRPr="00423400" w:rsidR="00CD72D9">
        <w:rPr>
          <w:rFonts w:cs="Times New Roman"/>
          <w:szCs w:val="24"/>
        </w:rPr>
        <w:t xml:space="preserve"> </w:t>
      </w:r>
      <w:r w:rsidRPr="00423400">
        <w:rPr>
          <w:rFonts w:cs="Times New Roman"/>
          <w:szCs w:val="24"/>
        </w:rPr>
        <w:t>(a</w:t>
      </w:r>
      <w:r w:rsidRPr="00423400" w:rsidR="00CD72D9">
        <w:rPr>
          <w:rFonts w:cs="Times New Roman"/>
          <w:szCs w:val="24"/>
        </w:rPr>
        <w:t xml:space="preserve"> </w:t>
      </w:r>
      <w:r w:rsidRPr="00423400">
        <w:rPr>
          <w:rFonts w:cs="Times New Roman"/>
          <w:szCs w:val="24"/>
        </w:rPr>
        <w:t>second</w:t>
      </w:r>
      <w:r w:rsidRPr="00423400" w:rsidR="00CD72D9">
        <w:rPr>
          <w:rFonts w:cs="Times New Roman"/>
          <w:szCs w:val="24"/>
        </w:rPr>
        <w:t xml:space="preserve"> </w:t>
      </w:r>
      <w:r w:rsidRPr="00423400">
        <w:rPr>
          <w:rFonts w:cs="Times New Roman"/>
          <w:szCs w:val="24"/>
        </w:rPr>
        <w:t>time</w:t>
      </w:r>
      <w:r w:rsidRPr="00423400" w:rsidR="00CD72D9">
        <w:rPr>
          <w:rFonts w:cs="Times New Roman"/>
          <w:szCs w:val="24"/>
        </w:rPr>
        <w:t xml:space="preserve"> </w:t>
      </w:r>
      <w:r w:rsidRPr="00423400">
        <w:rPr>
          <w:rFonts w:cs="Times New Roman"/>
          <w:szCs w:val="24"/>
        </w:rPr>
        <w:t>in</w:t>
      </w:r>
      <w:r w:rsidRPr="00423400" w:rsidR="00CD72D9">
        <w:rPr>
          <w:rFonts w:cs="Times New Roman"/>
          <w:szCs w:val="24"/>
        </w:rPr>
        <w:t xml:space="preserve"> </w:t>
      </w:r>
      <w:r w:rsidRPr="00423400">
        <w:rPr>
          <w:rFonts w:cs="Times New Roman"/>
          <w:szCs w:val="24"/>
        </w:rPr>
        <w:t>three</w:t>
      </w:r>
      <w:r w:rsidRPr="00423400" w:rsidR="00CD72D9">
        <w:rPr>
          <w:rFonts w:cs="Times New Roman"/>
          <w:szCs w:val="24"/>
        </w:rPr>
        <w:t xml:space="preserve"> </w:t>
      </w:r>
      <w:r w:rsidRPr="00423400">
        <w:rPr>
          <w:rFonts w:cs="Times New Roman"/>
          <w:szCs w:val="24"/>
        </w:rPr>
        <w:t>years),</w:t>
      </w:r>
      <w:r w:rsidRPr="00423400" w:rsidR="00CD72D9">
        <w:rPr>
          <w:rFonts w:cs="Times New Roman"/>
          <w:szCs w:val="24"/>
        </w:rPr>
        <w:t xml:space="preserve"> </w:t>
      </w:r>
      <w:r w:rsidRPr="00423400">
        <w:rPr>
          <w:rFonts w:cs="Times New Roman"/>
          <w:szCs w:val="24"/>
        </w:rPr>
        <w:t>including</w:t>
      </w:r>
      <w:r w:rsidRPr="00423400" w:rsidR="00CD72D9">
        <w:rPr>
          <w:rFonts w:cs="Times New Roman"/>
          <w:szCs w:val="24"/>
        </w:rPr>
        <w:t xml:space="preserve"> </w:t>
      </w:r>
      <w:r w:rsidRPr="00423400">
        <w:rPr>
          <w:rFonts w:cs="Times New Roman"/>
          <w:szCs w:val="24"/>
        </w:rPr>
        <w:t>charges</w:t>
      </w:r>
      <w:r w:rsidRPr="00423400" w:rsidR="00CD72D9">
        <w:rPr>
          <w:rFonts w:cs="Times New Roman"/>
          <w:szCs w:val="24"/>
        </w:rPr>
        <w:t xml:space="preserve"> </w:t>
      </w:r>
      <w:r w:rsidRPr="00423400">
        <w:rPr>
          <w:rFonts w:cs="Times New Roman"/>
          <w:szCs w:val="24"/>
        </w:rPr>
        <w:t>to consumers</w:t>
      </w:r>
      <w:r w:rsidRPr="00423400" w:rsidR="00CD72D9">
        <w:rPr>
          <w:rFonts w:cs="Times New Roman"/>
          <w:szCs w:val="24"/>
        </w:rPr>
        <w:t xml:space="preserve"> </w:t>
      </w:r>
      <w:r w:rsidRPr="00423400">
        <w:rPr>
          <w:rFonts w:cs="Times New Roman"/>
          <w:szCs w:val="24"/>
        </w:rPr>
        <w:t>for</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Rate</w:t>
      </w:r>
      <w:r w:rsidRPr="00423400" w:rsidR="00CD72D9">
        <w:rPr>
          <w:rFonts w:cs="Times New Roman"/>
          <w:szCs w:val="24"/>
        </w:rPr>
        <w:t xml:space="preserve"> </w:t>
      </w:r>
      <w:r w:rsidRPr="00423400">
        <w:rPr>
          <w:rFonts w:cs="Times New Roman"/>
          <w:szCs w:val="24"/>
        </w:rPr>
        <w:t>Stabilization</w:t>
      </w:r>
      <w:r w:rsidRPr="00423400" w:rsidR="00CD72D9">
        <w:rPr>
          <w:rFonts w:cs="Times New Roman"/>
          <w:szCs w:val="24"/>
        </w:rPr>
        <w:t xml:space="preserve"> </w:t>
      </w:r>
      <w:r w:rsidRPr="00423400">
        <w:rPr>
          <w:rFonts w:cs="Times New Roman"/>
          <w:szCs w:val="24"/>
        </w:rPr>
        <w:t>Charge.</w:t>
      </w:r>
      <w:r>
        <w:rPr>
          <w:rStyle w:val="FootnoteReference"/>
          <w:rFonts w:cs="Times New Roman"/>
          <w:szCs w:val="24"/>
        </w:rPr>
        <w:footnoteReference w:id="33"/>
      </w:r>
      <w:r w:rsidRPr="00423400" w:rsidR="00CD72D9">
        <w:rPr>
          <w:rFonts w:cs="Times New Roman"/>
          <w:szCs w:val="24"/>
        </w:rPr>
        <w:t xml:space="preserve"> </w:t>
      </w:r>
      <w:r w:rsidRPr="00423400">
        <w:rPr>
          <w:rFonts w:cs="Times New Roman"/>
          <w:szCs w:val="24"/>
        </w:rPr>
        <w:t>OCC</w:t>
      </w:r>
      <w:r w:rsidRPr="00423400" w:rsidR="00CD72D9">
        <w:rPr>
          <w:rFonts w:cs="Times New Roman"/>
          <w:szCs w:val="24"/>
        </w:rPr>
        <w:t xml:space="preserve"> </w:t>
      </w:r>
      <w:r w:rsidRPr="00423400">
        <w:rPr>
          <w:rFonts w:cs="Times New Roman"/>
          <w:szCs w:val="24"/>
        </w:rPr>
        <w:t>and</w:t>
      </w:r>
      <w:r w:rsidRPr="00423400" w:rsidR="00CD72D9">
        <w:rPr>
          <w:rFonts w:cs="Times New Roman"/>
          <w:szCs w:val="24"/>
        </w:rPr>
        <w:t xml:space="preserve"> </w:t>
      </w:r>
      <w:r w:rsidRPr="00423400">
        <w:rPr>
          <w:rFonts w:cs="Times New Roman"/>
          <w:szCs w:val="24"/>
        </w:rPr>
        <w:t>others</w:t>
      </w:r>
      <w:r w:rsidRPr="00423400" w:rsidR="00CD72D9">
        <w:rPr>
          <w:rFonts w:cs="Times New Roman"/>
          <w:szCs w:val="24"/>
        </w:rPr>
        <w:t xml:space="preserve"> </w:t>
      </w:r>
      <w:r w:rsidRPr="00423400">
        <w:rPr>
          <w:rFonts w:cs="Times New Roman"/>
          <w:szCs w:val="24"/>
        </w:rPr>
        <w:t>opposed</w:t>
      </w:r>
      <w:r w:rsidRPr="00423400" w:rsidR="00CD72D9">
        <w:rPr>
          <w:rFonts w:cs="Times New Roman"/>
          <w:szCs w:val="24"/>
        </w:rPr>
        <w:t xml:space="preserve"> </w:t>
      </w:r>
      <w:r w:rsidRPr="00423400">
        <w:rPr>
          <w:rFonts w:cs="Times New Roman"/>
          <w:szCs w:val="24"/>
        </w:rPr>
        <w:t>DP&amp;L’s</w:t>
      </w:r>
      <w:r w:rsidRPr="00423400" w:rsidR="00CD72D9">
        <w:rPr>
          <w:rFonts w:cs="Times New Roman"/>
          <w:szCs w:val="24"/>
        </w:rPr>
        <w:t xml:space="preserve"> </w:t>
      </w:r>
      <w:r w:rsidRPr="00423400">
        <w:rPr>
          <w:rFonts w:cs="Times New Roman"/>
          <w:szCs w:val="24"/>
        </w:rPr>
        <w:t>attempt</w:t>
      </w:r>
      <w:r w:rsidRPr="00423400" w:rsidR="00CD72D9">
        <w:rPr>
          <w:rFonts w:cs="Times New Roman"/>
          <w:szCs w:val="24"/>
        </w:rPr>
        <w:t xml:space="preserve"> </w:t>
      </w:r>
      <w:r w:rsidRPr="00423400">
        <w:rPr>
          <w:rFonts w:cs="Times New Roman"/>
          <w:szCs w:val="24"/>
        </w:rPr>
        <w:t>to again</w:t>
      </w:r>
      <w:r w:rsidRPr="00423400" w:rsidR="00CD72D9">
        <w:rPr>
          <w:rFonts w:cs="Times New Roman"/>
          <w:szCs w:val="24"/>
        </w:rPr>
        <w:t xml:space="preserve"> </w:t>
      </w:r>
      <w:r w:rsidRPr="00423400">
        <w:rPr>
          <w:rFonts w:cs="Times New Roman"/>
          <w:szCs w:val="24"/>
        </w:rPr>
        <w:t>revert</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w:t>
      </w:r>
      <w:r>
        <w:rPr>
          <w:rStyle w:val="FootnoteReference"/>
          <w:rFonts w:cs="Times New Roman"/>
          <w:szCs w:val="24"/>
        </w:rPr>
        <w:footnoteReference w:id="34"/>
      </w:r>
      <w:r w:rsidRPr="00423400">
        <w:rPr>
          <w:rFonts w:cs="Times New Roman"/>
          <w:szCs w:val="24"/>
        </w:rPr>
        <w:t xml:space="preserve"> </w:t>
      </w:r>
    </w:p>
    <w:p w:rsidR="00F955D3" w:rsidRPr="00423400" w:rsidP="00F955D3" w14:paraId="4B16CFFC" w14:textId="77777777">
      <w:pPr>
        <w:spacing w:after="0" w:line="480" w:lineRule="auto"/>
        <w:ind w:firstLine="720"/>
        <w:rPr>
          <w:rFonts w:cs="Times New Roman"/>
          <w:szCs w:val="24"/>
        </w:rPr>
      </w:pPr>
      <w:r w:rsidRPr="00423400">
        <w:rPr>
          <w:rFonts w:cs="Times New Roman"/>
          <w:szCs w:val="24"/>
        </w:rPr>
        <w:t>The</w:t>
      </w:r>
      <w:r w:rsidRPr="00423400" w:rsidR="00CD72D9">
        <w:rPr>
          <w:rFonts w:cs="Times New Roman"/>
          <w:szCs w:val="24"/>
        </w:rPr>
        <w:t xml:space="preserve"> </w:t>
      </w:r>
      <w:r w:rsidRPr="00423400">
        <w:rPr>
          <w:rFonts w:cs="Times New Roman"/>
          <w:szCs w:val="24"/>
        </w:rPr>
        <w:t>PUCO granted</w:t>
      </w:r>
      <w:r w:rsidRPr="00423400" w:rsidR="00CD72D9">
        <w:rPr>
          <w:rFonts w:cs="Times New Roman"/>
          <w:szCs w:val="24"/>
        </w:rPr>
        <w:t xml:space="preserve"> </w:t>
      </w:r>
      <w:r w:rsidRPr="00423400">
        <w:rPr>
          <w:rFonts w:cs="Times New Roman"/>
          <w:szCs w:val="24"/>
        </w:rPr>
        <w:t>DP&amp;L’s</w:t>
      </w:r>
      <w:r w:rsidRPr="00423400" w:rsidR="00CD72D9">
        <w:rPr>
          <w:rFonts w:cs="Times New Roman"/>
          <w:szCs w:val="24"/>
        </w:rPr>
        <w:t xml:space="preserve"> </w:t>
      </w:r>
      <w:r w:rsidRPr="00423400">
        <w:rPr>
          <w:rFonts w:cs="Times New Roman"/>
          <w:szCs w:val="24"/>
        </w:rPr>
        <w:t>request</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revert</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w:t>
      </w:r>
      <w:r>
        <w:rPr>
          <w:rStyle w:val="FootnoteReference"/>
          <w:rFonts w:cs="Times New Roman"/>
          <w:szCs w:val="24"/>
        </w:rPr>
        <w:footnoteReference w:id="35"/>
      </w:r>
      <w:r w:rsidRPr="00423400" w:rsidR="00CD72D9">
        <w:rPr>
          <w:rFonts w:cs="Times New Roman"/>
          <w:szCs w:val="24"/>
        </w:rPr>
        <w:t xml:space="preserve"> </w:t>
      </w:r>
      <w:r w:rsidRPr="00423400">
        <w:rPr>
          <w:rFonts w:cs="Times New Roman"/>
          <w:szCs w:val="24"/>
        </w:rPr>
        <w:t>Thus,</w:t>
      </w:r>
      <w:r w:rsidRPr="00423400" w:rsidR="00CD72D9">
        <w:rPr>
          <w:rFonts w:cs="Times New Roman"/>
          <w:szCs w:val="24"/>
        </w:rPr>
        <w:t xml:space="preserve"> </w:t>
      </w:r>
      <w:r w:rsidRPr="00423400">
        <w:rPr>
          <w:rFonts w:cs="Times New Roman"/>
          <w:szCs w:val="24"/>
        </w:rPr>
        <w:t>as</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December</w:t>
      </w:r>
      <w:r w:rsidRPr="00423400" w:rsidR="00CD72D9">
        <w:rPr>
          <w:rFonts w:cs="Times New Roman"/>
          <w:szCs w:val="24"/>
        </w:rPr>
        <w:t xml:space="preserve"> </w:t>
      </w:r>
      <w:r w:rsidRPr="00423400">
        <w:rPr>
          <w:rFonts w:cs="Times New Roman"/>
          <w:szCs w:val="24"/>
        </w:rPr>
        <w:t>19,</w:t>
      </w:r>
      <w:r w:rsidRPr="00423400" w:rsidR="00CD72D9">
        <w:rPr>
          <w:rFonts w:cs="Times New Roman"/>
          <w:szCs w:val="24"/>
        </w:rPr>
        <w:t xml:space="preserve"> </w:t>
      </w:r>
      <w:r w:rsidRPr="00423400">
        <w:rPr>
          <w:rFonts w:cs="Times New Roman"/>
          <w:szCs w:val="24"/>
        </w:rPr>
        <w:t>2019, DP&amp;L once</w:t>
      </w:r>
      <w:r w:rsidRPr="00423400" w:rsidR="00CD72D9">
        <w:rPr>
          <w:rFonts w:cs="Times New Roman"/>
          <w:szCs w:val="24"/>
        </w:rPr>
        <w:t xml:space="preserve"> </w:t>
      </w:r>
      <w:r w:rsidRPr="00423400">
        <w:rPr>
          <w:rFonts w:cs="Times New Roman"/>
          <w:szCs w:val="24"/>
        </w:rPr>
        <w:t>again</w:t>
      </w:r>
      <w:r w:rsidRPr="00423400" w:rsidR="00CD72D9">
        <w:rPr>
          <w:rFonts w:cs="Times New Roman"/>
          <w:szCs w:val="24"/>
        </w:rPr>
        <w:t xml:space="preserve"> </w:t>
      </w:r>
      <w:r w:rsidRPr="00423400">
        <w:rPr>
          <w:rFonts w:cs="Times New Roman"/>
          <w:szCs w:val="24"/>
        </w:rPr>
        <w:t>began</w:t>
      </w:r>
      <w:r w:rsidRPr="00423400" w:rsidR="00CD72D9">
        <w:rPr>
          <w:rFonts w:cs="Times New Roman"/>
          <w:szCs w:val="24"/>
        </w:rPr>
        <w:t xml:space="preserve"> </w:t>
      </w:r>
      <w:r w:rsidRPr="00423400">
        <w:rPr>
          <w:rFonts w:cs="Times New Roman"/>
          <w:szCs w:val="24"/>
        </w:rPr>
        <w:t>charging</w:t>
      </w:r>
      <w:r w:rsidRPr="00423400" w:rsidR="00CD72D9">
        <w:rPr>
          <w:rFonts w:cs="Times New Roman"/>
          <w:szCs w:val="24"/>
        </w:rPr>
        <w:t xml:space="preserve"> </w:t>
      </w:r>
      <w:r w:rsidRPr="00423400">
        <w:rPr>
          <w:rFonts w:cs="Times New Roman"/>
          <w:szCs w:val="24"/>
        </w:rPr>
        <w:t>consumers</w:t>
      </w:r>
      <w:r w:rsidRPr="00423400" w:rsidR="00CD72D9">
        <w:rPr>
          <w:rFonts w:cs="Times New Roman"/>
          <w:szCs w:val="24"/>
        </w:rPr>
        <w:t xml:space="preserve"> </w:t>
      </w:r>
      <w:r w:rsidRPr="00423400">
        <w:rPr>
          <w:rFonts w:cs="Times New Roman"/>
          <w:szCs w:val="24"/>
        </w:rPr>
        <w:t>for</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Rate</w:t>
      </w:r>
      <w:r w:rsidRPr="00423400" w:rsidR="00CD72D9">
        <w:rPr>
          <w:rFonts w:cs="Times New Roman"/>
          <w:szCs w:val="24"/>
        </w:rPr>
        <w:t xml:space="preserve"> </w:t>
      </w:r>
      <w:r w:rsidRPr="00423400">
        <w:rPr>
          <w:rFonts w:cs="Times New Roman"/>
          <w:szCs w:val="24"/>
        </w:rPr>
        <w:t>Stabilization</w:t>
      </w:r>
      <w:r w:rsidRPr="00423400" w:rsidR="00CD72D9">
        <w:rPr>
          <w:rFonts w:cs="Times New Roman"/>
          <w:szCs w:val="24"/>
        </w:rPr>
        <w:t xml:space="preserve"> </w:t>
      </w:r>
      <w:r w:rsidRPr="00423400">
        <w:rPr>
          <w:rFonts w:cs="Times New Roman"/>
          <w:szCs w:val="24"/>
        </w:rPr>
        <w:t>Charge—that</w:t>
      </w:r>
      <w:r w:rsidRPr="00423400" w:rsidR="00CD72D9">
        <w:rPr>
          <w:rFonts w:cs="Times New Roman"/>
          <w:szCs w:val="24"/>
        </w:rPr>
        <w:t xml:space="preserve"> </w:t>
      </w:r>
      <w:r w:rsidRPr="00423400">
        <w:rPr>
          <w:rFonts w:cs="Times New Roman"/>
          <w:szCs w:val="24"/>
        </w:rPr>
        <w:t>very</w:t>
      </w:r>
      <w:r w:rsidRPr="00423400" w:rsidR="00CD72D9">
        <w:rPr>
          <w:rFonts w:cs="Times New Roman"/>
          <w:szCs w:val="24"/>
        </w:rPr>
        <w:t xml:space="preserve"> </w:t>
      </w:r>
      <w:r w:rsidRPr="00423400">
        <w:rPr>
          <w:rFonts w:cs="Times New Roman"/>
          <w:szCs w:val="24"/>
        </w:rPr>
        <w:t>same charge</w:t>
      </w:r>
      <w:r w:rsidRPr="00423400" w:rsidR="00CD72D9">
        <w:rPr>
          <w:rFonts w:cs="Times New Roman"/>
          <w:szCs w:val="24"/>
        </w:rPr>
        <w:t xml:space="preserve"> </w:t>
      </w:r>
      <w:r w:rsidRPr="00423400">
        <w:rPr>
          <w:rFonts w:cs="Times New Roman"/>
          <w:szCs w:val="24"/>
        </w:rPr>
        <w:t>that</w:t>
      </w:r>
      <w:r w:rsidRPr="00423400" w:rsidR="00CD72D9">
        <w:rPr>
          <w:rFonts w:cs="Times New Roman"/>
          <w:szCs w:val="24"/>
        </w:rPr>
        <w:t xml:space="preserve"> </w:t>
      </w:r>
      <w:r w:rsidRPr="00423400">
        <w:rPr>
          <w:rFonts w:cs="Times New Roman"/>
          <w:szCs w:val="24"/>
        </w:rPr>
        <w:t>DP&amp;L</w:t>
      </w:r>
      <w:r w:rsidRPr="00423400" w:rsidR="00CD72D9">
        <w:rPr>
          <w:rFonts w:cs="Times New Roman"/>
          <w:szCs w:val="24"/>
        </w:rPr>
        <w:t xml:space="preserve"> </w:t>
      </w:r>
      <w:r w:rsidRPr="00423400">
        <w:rPr>
          <w:rFonts w:cs="Times New Roman"/>
          <w:szCs w:val="24"/>
        </w:rPr>
        <w:t>and</w:t>
      </w:r>
      <w:r w:rsidRPr="00423400" w:rsidR="00CD72D9">
        <w:rPr>
          <w:rFonts w:cs="Times New Roman"/>
          <w:szCs w:val="24"/>
        </w:rPr>
        <w:t xml:space="preserve"> </w:t>
      </w:r>
      <w:r w:rsidRPr="00423400">
        <w:rPr>
          <w:rFonts w:cs="Times New Roman"/>
          <w:szCs w:val="24"/>
        </w:rPr>
        <w:t>OCC</w:t>
      </w:r>
      <w:r w:rsidRPr="00423400" w:rsidR="00CD72D9">
        <w:rPr>
          <w:rFonts w:cs="Times New Roman"/>
          <w:szCs w:val="24"/>
        </w:rPr>
        <w:t xml:space="preserve"> </w:t>
      </w:r>
      <w:r w:rsidRPr="00423400">
        <w:rPr>
          <w:rFonts w:cs="Times New Roman"/>
          <w:szCs w:val="24"/>
        </w:rPr>
        <w:t>agreed</w:t>
      </w:r>
      <w:r w:rsidRPr="00423400" w:rsidR="00CD72D9">
        <w:rPr>
          <w:rFonts w:cs="Times New Roman"/>
          <w:szCs w:val="24"/>
        </w:rPr>
        <w:t xml:space="preserve"> </w:t>
      </w:r>
      <w:r w:rsidRPr="00423400">
        <w:rPr>
          <w:rFonts w:cs="Times New Roman"/>
          <w:szCs w:val="24"/>
        </w:rPr>
        <w:t>would</w:t>
      </w:r>
      <w:r w:rsidRPr="00423400" w:rsidR="00CD72D9">
        <w:rPr>
          <w:rFonts w:cs="Times New Roman"/>
          <w:szCs w:val="24"/>
        </w:rPr>
        <w:t xml:space="preserve"> </w:t>
      </w:r>
      <w:r w:rsidRPr="00423400">
        <w:rPr>
          <w:rFonts w:cs="Times New Roman"/>
          <w:szCs w:val="24"/>
        </w:rPr>
        <w:t>expire</w:t>
      </w:r>
      <w:r w:rsidRPr="00423400" w:rsidR="00CD72D9">
        <w:rPr>
          <w:rFonts w:cs="Times New Roman"/>
          <w:szCs w:val="24"/>
        </w:rPr>
        <w:t xml:space="preserve"> </w:t>
      </w:r>
      <w:r w:rsidRPr="00423400">
        <w:rPr>
          <w:rFonts w:cs="Times New Roman"/>
          <w:szCs w:val="24"/>
        </w:rPr>
        <w:t>December</w:t>
      </w:r>
      <w:r w:rsidRPr="00423400" w:rsidR="00CD72D9">
        <w:rPr>
          <w:rFonts w:cs="Times New Roman"/>
          <w:szCs w:val="24"/>
        </w:rPr>
        <w:t xml:space="preserve"> </w:t>
      </w:r>
      <w:r w:rsidRPr="00423400">
        <w:rPr>
          <w:rFonts w:cs="Times New Roman"/>
          <w:szCs w:val="24"/>
        </w:rPr>
        <w:t>31,</w:t>
      </w:r>
      <w:r w:rsidRPr="00423400" w:rsidR="00CD72D9">
        <w:rPr>
          <w:rFonts w:cs="Times New Roman"/>
          <w:szCs w:val="24"/>
        </w:rPr>
        <w:t xml:space="preserve"> </w:t>
      </w:r>
      <w:r w:rsidRPr="00423400">
        <w:rPr>
          <w:rFonts w:cs="Times New Roman"/>
          <w:szCs w:val="24"/>
        </w:rPr>
        <w:t>2012.</w:t>
      </w:r>
    </w:p>
    <w:p w:rsidR="00F955D3" w:rsidRPr="00423400" w:rsidP="00F955D3" w14:paraId="4535D63B" w14:textId="77777777">
      <w:pPr>
        <w:spacing w:after="0" w:line="480" w:lineRule="auto"/>
        <w:ind w:firstLine="720"/>
        <w:rPr>
          <w:rFonts w:cs="Times New Roman"/>
          <w:szCs w:val="24"/>
        </w:rPr>
      </w:pPr>
      <w:r w:rsidRPr="00423400">
        <w:rPr>
          <w:rFonts w:cs="Times New Roman"/>
          <w:szCs w:val="24"/>
        </w:rPr>
        <w:t>OCC and</w:t>
      </w:r>
      <w:r w:rsidRPr="00423400" w:rsidR="00CD72D9">
        <w:rPr>
          <w:rFonts w:cs="Times New Roman"/>
          <w:szCs w:val="24"/>
        </w:rPr>
        <w:t xml:space="preserve"> </w:t>
      </w:r>
      <w:r w:rsidRPr="00423400">
        <w:rPr>
          <w:rFonts w:cs="Times New Roman"/>
          <w:szCs w:val="24"/>
        </w:rPr>
        <w:t>others</w:t>
      </w:r>
      <w:r w:rsidRPr="00423400" w:rsidR="00CD72D9">
        <w:rPr>
          <w:rFonts w:cs="Times New Roman"/>
          <w:szCs w:val="24"/>
        </w:rPr>
        <w:t xml:space="preserve"> </w:t>
      </w:r>
      <w:r w:rsidRPr="00423400">
        <w:rPr>
          <w:rFonts w:cs="Times New Roman"/>
          <w:szCs w:val="24"/>
        </w:rPr>
        <w:t>applied</w:t>
      </w:r>
      <w:r w:rsidRPr="00423400" w:rsidR="00CD72D9">
        <w:rPr>
          <w:rFonts w:cs="Times New Roman"/>
          <w:szCs w:val="24"/>
        </w:rPr>
        <w:t xml:space="preserve"> </w:t>
      </w:r>
      <w:r w:rsidRPr="00423400">
        <w:rPr>
          <w:rFonts w:cs="Times New Roman"/>
          <w:szCs w:val="24"/>
        </w:rPr>
        <w:t>for</w:t>
      </w:r>
      <w:r w:rsidRPr="00423400" w:rsidR="00CD72D9">
        <w:rPr>
          <w:rFonts w:cs="Times New Roman"/>
          <w:szCs w:val="24"/>
        </w:rPr>
        <w:t xml:space="preserve"> </w:t>
      </w:r>
      <w:r w:rsidRPr="00423400">
        <w:rPr>
          <w:rFonts w:cs="Times New Roman"/>
          <w:szCs w:val="24"/>
        </w:rPr>
        <w:t>rehearing,</w:t>
      </w:r>
      <w:r w:rsidRPr="00423400" w:rsidR="00CD72D9">
        <w:rPr>
          <w:rFonts w:cs="Times New Roman"/>
          <w:szCs w:val="24"/>
        </w:rPr>
        <w:t xml:space="preserve"> </w:t>
      </w:r>
      <w:r w:rsidRPr="00423400">
        <w:rPr>
          <w:rFonts w:cs="Times New Roman"/>
          <w:szCs w:val="24"/>
        </w:rPr>
        <w:t>challenging</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PUCO’s</w:t>
      </w:r>
      <w:r w:rsidRPr="00423400" w:rsidR="00CD72D9">
        <w:rPr>
          <w:rFonts w:cs="Times New Roman"/>
          <w:szCs w:val="24"/>
        </w:rPr>
        <w:t xml:space="preserve"> </w:t>
      </w:r>
      <w:r w:rsidRPr="00423400">
        <w:rPr>
          <w:rFonts w:cs="Times New Roman"/>
          <w:szCs w:val="24"/>
        </w:rPr>
        <w:t>ruling</w:t>
      </w:r>
      <w:r w:rsidRPr="00423400" w:rsidR="00CD72D9">
        <w:rPr>
          <w:rFonts w:cs="Times New Roman"/>
          <w:szCs w:val="24"/>
        </w:rPr>
        <w:t xml:space="preserve"> </w:t>
      </w:r>
      <w:r w:rsidRPr="00423400">
        <w:rPr>
          <w:rFonts w:cs="Times New Roman"/>
          <w:szCs w:val="24"/>
        </w:rPr>
        <w:t>that</w:t>
      </w:r>
      <w:r w:rsidRPr="00423400" w:rsidR="00CD72D9">
        <w:rPr>
          <w:rFonts w:cs="Times New Roman"/>
          <w:szCs w:val="24"/>
        </w:rPr>
        <w:t xml:space="preserve"> </w:t>
      </w:r>
      <w:r w:rsidRPr="00423400">
        <w:rPr>
          <w:rFonts w:cs="Times New Roman"/>
          <w:szCs w:val="24"/>
        </w:rPr>
        <w:t>DP&amp;L</w:t>
      </w:r>
      <w:r w:rsidRPr="00423400" w:rsidR="00CD72D9">
        <w:rPr>
          <w:rFonts w:cs="Times New Roman"/>
          <w:szCs w:val="24"/>
        </w:rPr>
        <w:t xml:space="preserve"> </w:t>
      </w:r>
      <w:r w:rsidRPr="00423400">
        <w:rPr>
          <w:rFonts w:cs="Times New Roman"/>
          <w:szCs w:val="24"/>
        </w:rPr>
        <w:t>could revert</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w:t>
      </w:r>
      <w:r w:rsidRPr="00423400" w:rsidR="00CD72D9">
        <w:rPr>
          <w:rFonts w:cs="Times New Roman"/>
          <w:szCs w:val="24"/>
        </w:rPr>
        <w:t xml:space="preserve"> </w:t>
      </w:r>
      <w:r w:rsidRPr="00423400">
        <w:rPr>
          <w:rFonts w:cs="Times New Roman"/>
          <w:szCs w:val="24"/>
        </w:rPr>
        <w:t>and</w:t>
      </w:r>
      <w:r w:rsidRPr="00423400" w:rsidR="00CD72D9">
        <w:rPr>
          <w:rFonts w:cs="Times New Roman"/>
          <w:szCs w:val="24"/>
        </w:rPr>
        <w:t xml:space="preserve"> </w:t>
      </w:r>
      <w:r w:rsidRPr="00423400">
        <w:rPr>
          <w:rFonts w:cs="Times New Roman"/>
          <w:szCs w:val="24"/>
        </w:rPr>
        <w:t>again</w:t>
      </w:r>
      <w:r w:rsidRPr="00423400" w:rsidR="00CD72D9">
        <w:rPr>
          <w:rFonts w:cs="Times New Roman"/>
          <w:szCs w:val="24"/>
        </w:rPr>
        <w:t xml:space="preserve"> </w:t>
      </w:r>
      <w:r w:rsidRPr="00423400">
        <w:rPr>
          <w:rFonts w:cs="Times New Roman"/>
          <w:szCs w:val="24"/>
        </w:rPr>
        <w:t>charge</w:t>
      </w:r>
      <w:r w:rsidRPr="00423400" w:rsidR="00CD72D9">
        <w:rPr>
          <w:rFonts w:cs="Times New Roman"/>
          <w:szCs w:val="24"/>
        </w:rPr>
        <w:t xml:space="preserve"> </w:t>
      </w:r>
      <w:r w:rsidRPr="00423400">
        <w:rPr>
          <w:rFonts w:cs="Times New Roman"/>
          <w:szCs w:val="24"/>
        </w:rPr>
        <w:t>consumers</w:t>
      </w:r>
      <w:r w:rsidRPr="00423400" w:rsidR="00CD72D9">
        <w:rPr>
          <w:rFonts w:cs="Times New Roman"/>
          <w:szCs w:val="24"/>
        </w:rPr>
        <w:t xml:space="preserve"> </w:t>
      </w:r>
      <w:r w:rsidRPr="00423400">
        <w:rPr>
          <w:rFonts w:cs="Times New Roman"/>
          <w:szCs w:val="24"/>
        </w:rPr>
        <w:t>under</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Rate</w:t>
      </w:r>
      <w:r w:rsidRPr="00423400" w:rsidR="00CD72D9">
        <w:rPr>
          <w:rFonts w:cs="Times New Roman"/>
          <w:szCs w:val="24"/>
        </w:rPr>
        <w:t xml:space="preserve"> </w:t>
      </w:r>
      <w:r w:rsidRPr="00423400">
        <w:rPr>
          <w:rFonts w:cs="Times New Roman"/>
          <w:szCs w:val="24"/>
        </w:rPr>
        <w:t>Stabilization</w:t>
      </w:r>
      <w:r w:rsidRPr="00423400" w:rsidR="00CD72D9">
        <w:rPr>
          <w:rFonts w:cs="Times New Roman"/>
          <w:szCs w:val="24"/>
        </w:rPr>
        <w:t xml:space="preserve"> </w:t>
      </w:r>
      <w:r w:rsidRPr="00423400">
        <w:rPr>
          <w:rFonts w:cs="Times New Roman"/>
          <w:szCs w:val="24"/>
        </w:rPr>
        <w:t>Charge.</w:t>
      </w:r>
      <w:r>
        <w:rPr>
          <w:rStyle w:val="FootnoteReference"/>
          <w:rFonts w:cs="Times New Roman"/>
          <w:szCs w:val="24"/>
        </w:rPr>
        <w:footnoteReference w:id="36"/>
      </w:r>
      <w:r w:rsidRPr="00423400" w:rsidR="00CD72D9">
        <w:rPr>
          <w:rFonts w:cs="Times New Roman"/>
          <w:szCs w:val="24"/>
        </w:rPr>
        <w:t xml:space="preserve"> </w:t>
      </w:r>
      <w:r w:rsidRPr="00423400">
        <w:rPr>
          <w:rFonts w:cs="Times New Roman"/>
          <w:szCs w:val="24"/>
        </w:rPr>
        <w:t>Among</w:t>
      </w:r>
      <w:r w:rsidRPr="00423400" w:rsidR="00CD72D9">
        <w:rPr>
          <w:rFonts w:cs="Times New Roman"/>
          <w:szCs w:val="24"/>
        </w:rPr>
        <w:t xml:space="preserve"> </w:t>
      </w:r>
      <w:r w:rsidRPr="00423400">
        <w:rPr>
          <w:rFonts w:cs="Times New Roman"/>
          <w:szCs w:val="24"/>
        </w:rPr>
        <w:t>other things,</w:t>
      </w:r>
      <w:r w:rsidRPr="00423400" w:rsidR="00CD72D9">
        <w:rPr>
          <w:rFonts w:cs="Times New Roman"/>
          <w:szCs w:val="24"/>
        </w:rPr>
        <w:t xml:space="preserve"> </w:t>
      </w:r>
      <w:r w:rsidRPr="00423400">
        <w:rPr>
          <w:rFonts w:cs="Times New Roman"/>
          <w:szCs w:val="24"/>
        </w:rPr>
        <w:t>OCC</w:t>
      </w:r>
      <w:r w:rsidRPr="00423400" w:rsidR="00CD72D9">
        <w:rPr>
          <w:rFonts w:cs="Times New Roman"/>
          <w:szCs w:val="24"/>
        </w:rPr>
        <w:t xml:space="preserve"> </w:t>
      </w:r>
      <w:r w:rsidRPr="00423400">
        <w:rPr>
          <w:rFonts w:cs="Times New Roman"/>
          <w:szCs w:val="24"/>
        </w:rPr>
        <w:t>argued</w:t>
      </w:r>
      <w:r w:rsidRPr="00423400" w:rsidR="00CD72D9">
        <w:rPr>
          <w:rFonts w:cs="Times New Roman"/>
          <w:szCs w:val="24"/>
        </w:rPr>
        <w:t xml:space="preserve"> </w:t>
      </w:r>
      <w:r w:rsidRPr="00423400">
        <w:rPr>
          <w:rFonts w:cs="Times New Roman"/>
          <w:szCs w:val="24"/>
        </w:rPr>
        <w:t>in</w:t>
      </w:r>
      <w:r w:rsidRPr="00423400" w:rsidR="00CD72D9">
        <w:rPr>
          <w:rFonts w:cs="Times New Roman"/>
          <w:szCs w:val="24"/>
        </w:rPr>
        <w:t xml:space="preserve"> </w:t>
      </w:r>
      <w:r w:rsidRPr="00423400">
        <w:rPr>
          <w:rFonts w:cs="Times New Roman"/>
          <w:szCs w:val="24"/>
        </w:rPr>
        <w:t>its</w:t>
      </w:r>
      <w:r w:rsidRPr="00423400" w:rsidR="00CD72D9">
        <w:rPr>
          <w:rFonts w:cs="Times New Roman"/>
          <w:szCs w:val="24"/>
        </w:rPr>
        <w:t xml:space="preserve"> </w:t>
      </w:r>
      <w:r w:rsidRPr="00423400">
        <w:rPr>
          <w:rFonts w:cs="Times New Roman"/>
          <w:szCs w:val="24"/>
        </w:rPr>
        <w:t>application</w:t>
      </w:r>
      <w:r w:rsidRPr="00423400" w:rsidR="00CD72D9">
        <w:rPr>
          <w:rFonts w:cs="Times New Roman"/>
          <w:szCs w:val="24"/>
        </w:rPr>
        <w:t xml:space="preserve"> </w:t>
      </w:r>
      <w:r w:rsidRPr="00423400">
        <w:rPr>
          <w:rFonts w:cs="Times New Roman"/>
          <w:szCs w:val="24"/>
        </w:rPr>
        <w:t>for</w:t>
      </w:r>
      <w:r w:rsidRPr="00423400" w:rsidR="00CD72D9">
        <w:rPr>
          <w:rFonts w:cs="Times New Roman"/>
          <w:szCs w:val="24"/>
        </w:rPr>
        <w:t xml:space="preserve"> </w:t>
      </w:r>
      <w:r w:rsidRPr="00423400">
        <w:rPr>
          <w:rFonts w:cs="Times New Roman"/>
          <w:szCs w:val="24"/>
        </w:rPr>
        <w:t>rehearing</w:t>
      </w:r>
      <w:r w:rsidRPr="00423400" w:rsidR="00CD72D9">
        <w:rPr>
          <w:rFonts w:cs="Times New Roman"/>
          <w:szCs w:val="24"/>
        </w:rPr>
        <w:t xml:space="preserve"> </w:t>
      </w:r>
      <w:r w:rsidRPr="00423400">
        <w:rPr>
          <w:rFonts w:cs="Times New Roman"/>
          <w:szCs w:val="24"/>
        </w:rPr>
        <w:t>that</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PUCO</w:t>
      </w:r>
      <w:r w:rsidRPr="00423400" w:rsidR="00CD72D9">
        <w:rPr>
          <w:rFonts w:cs="Times New Roman"/>
          <w:szCs w:val="24"/>
        </w:rPr>
        <w:t xml:space="preserve"> </w:t>
      </w:r>
      <w:r w:rsidRPr="00423400">
        <w:rPr>
          <w:rFonts w:cs="Times New Roman"/>
          <w:szCs w:val="24"/>
        </w:rPr>
        <w:t>erred</w:t>
      </w:r>
      <w:r w:rsidRPr="00423400" w:rsidR="00CD72D9">
        <w:rPr>
          <w:rFonts w:cs="Times New Roman"/>
          <w:szCs w:val="24"/>
        </w:rPr>
        <w:t xml:space="preserve"> </w:t>
      </w:r>
      <w:r w:rsidRPr="00423400">
        <w:rPr>
          <w:rFonts w:cs="Times New Roman"/>
          <w:szCs w:val="24"/>
        </w:rPr>
        <w:t>by</w:t>
      </w:r>
      <w:r w:rsidRPr="00423400" w:rsidR="00CD72D9">
        <w:rPr>
          <w:rFonts w:cs="Times New Roman"/>
          <w:szCs w:val="24"/>
        </w:rPr>
        <w:t xml:space="preserve"> </w:t>
      </w:r>
      <w:r w:rsidRPr="00423400">
        <w:rPr>
          <w:rFonts w:cs="Times New Roman"/>
          <w:szCs w:val="24"/>
        </w:rPr>
        <w:t>failing</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continue</w:t>
      </w:r>
      <w:r w:rsidRPr="00423400" w:rsidR="00CD72D9">
        <w:rPr>
          <w:rFonts w:cs="Times New Roman"/>
          <w:szCs w:val="24"/>
        </w:rPr>
        <w:t xml:space="preserve"> </w:t>
      </w:r>
      <w:r w:rsidRPr="00423400">
        <w:rPr>
          <w:rFonts w:cs="Times New Roman"/>
          <w:szCs w:val="24"/>
        </w:rPr>
        <w:t>the rate</w:t>
      </w:r>
      <w:r w:rsidRPr="00423400" w:rsidR="00CD72D9">
        <w:rPr>
          <w:rFonts w:cs="Times New Roman"/>
          <w:szCs w:val="24"/>
        </w:rPr>
        <w:t xml:space="preserve"> </w:t>
      </w:r>
      <w:r w:rsidRPr="00423400">
        <w:rPr>
          <w:rFonts w:cs="Times New Roman"/>
          <w:szCs w:val="24"/>
        </w:rPr>
        <w:t>freeze</w:t>
      </w:r>
      <w:r w:rsidRPr="00423400" w:rsidR="00CD72D9">
        <w:rPr>
          <w:rFonts w:cs="Times New Roman"/>
          <w:szCs w:val="24"/>
        </w:rPr>
        <w:t xml:space="preserve"> </w:t>
      </w:r>
      <w:r w:rsidRPr="00423400">
        <w:rPr>
          <w:rFonts w:cs="Times New Roman"/>
          <w:szCs w:val="24"/>
        </w:rPr>
        <w:t>that</w:t>
      </w:r>
      <w:r w:rsidRPr="00423400" w:rsidR="00CD72D9">
        <w:rPr>
          <w:rFonts w:cs="Times New Roman"/>
          <w:szCs w:val="24"/>
        </w:rPr>
        <w:t xml:space="preserve"> </w:t>
      </w:r>
      <w:r w:rsidRPr="00423400">
        <w:rPr>
          <w:rFonts w:cs="Times New Roman"/>
          <w:szCs w:val="24"/>
        </w:rPr>
        <w:t>was</w:t>
      </w:r>
      <w:r w:rsidRPr="00423400" w:rsidR="00CD72D9">
        <w:rPr>
          <w:rFonts w:cs="Times New Roman"/>
          <w:szCs w:val="24"/>
        </w:rPr>
        <w:t xml:space="preserve"> </w:t>
      </w:r>
      <w:r w:rsidRPr="00423400">
        <w:rPr>
          <w:rFonts w:cs="Times New Roman"/>
          <w:szCs w:val="24"/>
        </w:rPr>
        <w:t>part</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w:t>
      </w:r>
      <w:r>
        <w:rPr>
          <w:rStyle w:val="FootnoteReference"/>
          <w:rFonts w:cs="Times New Roman"/>
          <w:szCs w:val="24"/>
        </w:rPr>
        <w:footnoteReference w:id="37"/>
      </w:r>
      <w:r w:rsidRPr="00423400" w:rsidR="00CD72D9">
        <w:rPr>
          <w:rFonts w:cs="Times New Roman"/>
          <w:szCs w:val="24"/>
        </w:rPr>
        <w:t xml:space="preserve"> </w:t>
      </w:r>
      <w:r w:rsidRPr="00423400">
        <w:rPr>
          <w:rFonts w:cs="Times New Roman"/>
          <w:szCs w:val="24"/>
        </w:rPr>
        <w:t>As</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PUCO</w:t>
      </w:r>
      <w:r w:rsidRPr="00423400" w:rsidR="00CD72D9">
        <w:rPr>
          <w:rFonts w:cs="Times New Roman"/>
          <w:szCs w:val="24"/>
        </w:rPr>
        <w:t xml:space="preserve"> </w:t>
      </w:r>
      <w:r w:rsidRPr="00423400">
        <w:rPr>
          <w:rFonts w:cs="Times New Roman"/>
          <w:szCs w:val="24"/>
        </w:rPr>
        <w:t>itself</w:t>
      </w:r>
      <w:r w:rsidRPr="00423400" w:rsidR="00CD72D9">
        <w:rPr>
          <w:rFonts w:cs="Times New Roman"/>
          <w:szCs w:val="24"/>
        </w:rPr>
        <w:t xml:space="preserve"> </w:t>
      </w:r>
      <w:r w:rsidRPr="00423400">
        <w:rPr>
          <w:rFonts w:cs="Times New Roman"/>
          <w:szCs w:val="24"/>
        </w:rPr>
        <w:t>had</w:t>
      </w:r>
      <w:r w:rsidRPr="00423400" w:rsidR="00CD72D9">
        <w:rPr>
          <w:rFonts w:cs="Times New Roman"/>
          <w:szCs w:val="24"/>
        </w:rPr>
        <w:t xml:space="preserve"> </w:t>
      </w:r>
      <w:r w:rsidRPr="00423400">
        <w:rPr>
          <w:rFonts w:cs="Times New Roman"/>
          <w:szCs w:val="24"/>
        </w:rPr>
        <w:t>previously</w:t>
      </w:r>
      <w:r w:rsidRPr="00423400" w:rsidR="00CD72D9">
        <w:rPr>
          <w:rFonts w:cs="Times New Roman"/>
          <w:szCs w:val="24"/>
        </w:rPr>
        <w:t xml:space="preserve"> </w:t>
      </w:r>
      <w:r w:rsidRPr="00423400">
        <w:rPr>
          <w:rFonts w:cs="Times New Roman"/>
          <w:szCs w:val="24"/>
        </w:rPr>
        <w:t>ruled,</w:t>
      </w:r>
      <w:r w:rsidRPr="00423400" w:rsidR="00CD72D9">
        <w:rPr>
          <w:rFonts w:cs="Times New Roman"/>
          <w:szCs w:val="24"/>
        </w:rPr>
        <w:t xml:space="preserve"> </w:t>
      </w:r>
      <w:r w:rsidRPr="00423400">
        <w:rPr>
          <w:rFonts w:cs="Times New Roman"/>
          <w:szCs w:val="24"/>
        </w:rPr>
        <w:t>when</w:t>
      </w:r>
      <w:r w:rsidRPr="00423400" w:rsidR="00CD72D9">
        <w:rPr>
          <w:rFonts w:cs="Times New Roman"/>
          <w:szCs w:val="24"/>
        </w:rPr>
        <w:t xml:space="preserve"> </w:t>
      </w:r>
      <w:r w:rsidRPr="00423400">
        <w:rPr>
          <w:rFonts w:cs="Times New Roman"/>
          <w:szCs w:val="24"/>
        </w:rPr>
        <w:t>a</w:t>
      </w:r>
      <w:r w:rsidRPr="00423400" w:rsidR="00CD72D9">
        <w:rPr>
          <w:rFonts w:cs="Times New Roman"/>
          <w:szCs w:val="24"/>
        </w:rPr>
        <w:t xml:space="preserve"> </w:t>
      </w:r>
      <w:r w:rsidRPr="00423400">
        <w:rPr>
          <w:rFonts w:cs="Times New Roman"/>
          <w:szCs w:val="24"/>
        </w:rPr>
        <w:t>utility withdraws</w:t>
      </w:r>
      <w:r w:rsidRPr="00423400" w:rsidR="00CD72D9">
        <w:rPr>
          <w:rFonts w:cs="Times New Roman"/>
          <w:szCs w:val="24"/>
        </w:rPr>
        <w:t xml:space="preserve"> </w:t>
      </w:r>
      <w:r w:rsidRPr="00423400">
        <w:rPr>
          <w:rFonts w:cs="Times New Roman"/>
          <w:szCs w:val="24"/>
        </w:rPr>
        <w:t>from</w:t>
      </w:r>
      <w:r w:rsidRPr="00423400" w:rsidR="00CD72D9">
        <w:rPr>
          <w:rFonts w:cs="Times New Roman"/>
          <w:szCs w:val="24"/>
        </w:rPr>
        <w:t xml:space="preserve"> </w:t>
      </w:r>
      <w:r w:rsidRPr="00423400">
        <w:rPr>
          <w:rFonts w:cs="Times New Roman"/>
          <w:szCs w:val="24"/>
        </w:rPr>
        <w:t>an</w:t>
      </w:r>
      <w:r w:rsidRPr="00423400" w:rsidR="00CD72D9">
        <w:rPr>
          <w:rFonts w:cs="Times New Roman"/>
          <w:szCs w:val="24"/>
        </w:rPr>
        <w:t xml:space="preserve"> </w:t>
      </w:r>
      <w:r w:rsidRPr="00423400">
        <w:rPr>
          <w:rFonts w:cs="Times New Roman"/>
          <w:szCs w:val="24"/>
        </w:rPr>
        <w:t>electric</w:t>
      </w:r>
      <w:r w:rsidRPr="00423400" w:rsidR="00CD72D9">
        <w:rPr>
          <w:rFonts w:cs="Times New Roman"/>
          <w:szCs w:val="24"/>
        </w:rPr>
        <w:t xml:space="preserve"> </w:t>
      </w:r>
      <w:r w:rsidRPr="00423400">
        <w:rPr>
          <w:rFonts w:cs="Times New Roman"/>
          <w:szCs w:val="24"/>
        </w:rPr>
        <w:t>security</w:t>
      </w:r>
      <w:r w:rsidRPr="00423400" w:rsidR="00CD72D9">
        <w:rPr>
          <w:rFonts w:cs="Times New Roman"/>
          <w:szCs w:val="24"/>
        </w:rPr>
        <w:t xml:space="preserve"> </w:t>
      </w:r>
      <w:r w:rsidRPr="00423400">
        <w:rPr>
          <w:rFonts w:cs="Times New Roman"/>
          <w:szCs w:val="24"/>
        </w:rPr>
        <w:t>plan</w:t>
      </w:r>
      <w:r w:rsidRPr="00423400" w:rsidR="00CD72D9">
        <w:rPr>
          <w:rFonts w:cs="Times New Roman"/>
          <w:szCs w:val="24"/>
        </w:rPr>
        <w:t xml:space="preserve"> </w:t>
      </w:r>
      <w:r w:rsidRPr="00423400">
        <w:rPr>
          <w:rFonts w:cs="Times New Roman"/>
          <w:szCs w:val="24"/>
        </w:rPr>
        <w:t>and</w:t>
      </w:r>
      <w:r w:rsidRPr="00423400" w:rsidR="00CD72D9">
        <w:rPr>
          <w:rFonts w:cs="Times New Roman"/>
          <w:szCs w:val="24"/>
        </w:rPr>
        <w:t xml:space="preserve"> </w:t>
      </w:r>
      <w:r w:rsidRPr="00423400">
        <w:rPr>
          <w:rFonts w:cs="Times New Roman"/>
          <w:szCs w:val="24"/>
        </w:rPr>
        <w:t>reverts</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its</w:t>
      </w:r>
      <w:r w:rsidRPr="00423400" w:rsidR="00CD72D9">
        <w:rPr>
          <w:rFonts w:cs="Times New Roman"/>
          <w:szCs w:val="24"/>
        </w:rPr>
        <w:t xml:space="preserve"> </w:t>
      </w:r>
      <w:r w:rsidRPr="00423400">
        <w:rPr>
          <w:rFonts w:cs="Times New Roman"/>
          <w:szCs w:val="24"/>
        </w:rPr>
        <w:t>previous</w:t>
      </w:r>
      <w:r w:rsidRPr="00423400" w:rsidR="00CD72D9">
        <w:rPr>
          <w:rFonts w:cs="Times New Roman"/>
          <w:szCs w:val="24"/>
        </w:rPr>
        <w:t xml:space="preserve"> </w:t>
      </w:r>
      <w:r w:rsidRPr="00423400">
        <w:rPr>
          <w:rFonts w:cs="Times New Roman"/>
          <w:szCs w:val="24"/>
        </w:rPr>
        <w:t>one,</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Commission cannot</w:t>
      </w:r>
      <w:r w:rsidRPr="00423400" w:rsidR="00CD72D9">
        <w:rPr>
          <w:rFonts w:cs="Times New Roman"/>
          <w:szCs w:val="24"/>
        </w:rPr>
        <w:t xml:space="preserve"> </w:t>
      </w:r>
      <w:r w:rsidRPr="00423400">
        <w:rPr>
          <w:rFonts w:cs="Times New Roman"/>
          <w:szCs w:val="24"/>
        </w:rPr>
        <w:t>arbitrarily</w:t>
      </w:r>
      <w:r w:rsidRPr="00423400" w:rsidR="00CD72D9">
        <w:rPr>
          <w:rFonts w:cs="Times New Roman"/>
          <w:szCs w:val="24"/>
        </w:rPr>
        <w:t xml:space="preserve"> </w:t>
      </w:r>
      <w:r w:rsidRPr="00423400">
        <w:rPr>
          <w:rFonts w:cs="Times New Roman"/>
          <w:szCs w:val="24"/>
        </w:rPr>
        <w:t>choose</w:t>
      </w:r>
      <w:r w:rsidRPr="00423400" w:rsidR="00CD72D9">
        <w:rPr>
          <w:rFonts w:cs="Times New Roman"/>
          <w:szCs w:val="24"/>
        </w:rPr>
        <w:t xml:space="preserve"> </w:t>
      </w:r>
      <w:r w:rsidRPr="00423400">
        <w:rPr>
          <w:rFonts w:cs="Times New Roman"/>
          <w:szCs w:val="24"/>
        </w:rPr>
        <w:t>some</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various</w:t>
      </w:r>
      <w:r w:rsidRPr="00423400" w:rsidR="00CD72D9">
        <w:rPr>
          <w:rFonts w:cs="Times New Roman"/>
          <w:szCs w:val="24"/>
        </w:rPr>
        <w:t xml:space="preserve"> </w:t>
      </w:r>
      <w:r w:rsidRPr="00423400">
        <w:rPr>
          <w:rFonts w:cs="Times New Roman"/>
          <w:szCs w:val="24"/>
        </w:rPr>
        <w:t>provisions</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continue</w:t>
      </w:r>
      <w:r w:rsidRPr="00423400" w:rsidR="00CD72D9">
        <w:rPr>
          <w:rFonts w:cs="Times New Roman"/>
          <w:szCs w:val="24"/>
        </w:rPr>
        <w:t xml:space="preserve"> </w:t>
      </w:r>
      <w:r w:rsidRPr="00423400">
        <w:rPr>
          <w:rFonts w:cs="Times New Roman"/>
          <w:szCs w:val="24"/>
        </w:rPr>
        <w:t>after</w:t>
      </w:r>
      <w:r w:rsidRPr="00423400" w:rsidR="00CD72D9">
        <w:rPr>
          <w:rFonts w:cs="Times New Roman"/>
          <w:szCs w:val="24"/>
        </w:rPr>
        <w:t xml:space="preserve"> </w:t>
      </w:r>
      <w:r w:rsidRPr="00423400">
        <w:rPr>
          <w:rFonts w:cs="Times New Roman"/>
          <w:szCs w:val="24"/>
        </w:rPr>
        <w:t>the termination</w:t>
      </w:r>
      <w:r w:rsidRPr="00423400" w:rsidR="00CD72D9">
        <w:rPr>
          <w:rFonts w:cs="Times New Roman"/>
          <w:szCs w:val="24"/>
        </w:rPr>
        <w:t xml:space="preserve"> </w:t>
      </w:r>
      <w:r w:rsidRPr="00423400">
        <w:rPr>
          <w:rFonts w:cs="Times New Roman"/>
          <w:szCs w:val="24"/>
        </w:rPr>
        <w:t>date</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and</w:t>
      </w:r>
      <w:r w:rsidRPr="00423400" w:rsidR="00CD72D9">
        <w:rPr>
          <w:rFonts w:cs="Times New Roman"/>
          <w:szCs w:val="24"/>
        </w:rPr>
        <w:t xml:space="preserve"> </w:t>
      </w:r>
      <w:r w:rsidRPr="00423400">
        <w:rPr>
          <w:rFonts w:cs="Times New Roman"/>
          <w:szCs w:val="24"/>
        </w:rPr>
        <w:t>choose</w:t>
      </w:r>
      <w:r w:rsidRPr="00423400" w:rsidR="00CD72D9">
        <w:rPr>
          <w:rFonts w:cs="Times New Roman"/>
          <w:szCs w:val="24"/>
        </w:rPr>
        <w:t xml:space="preserve"> </w:t>
      </w:r>
      <w:r w:rsidRPr="00423400">
        <w:rPr>
          <w:rFonts w:cs="Times New Roman"/>
          <w:szCs w:val="24"/>
        </w:rPr>
        <w:t>other</w:t>
      </w:r>
      <w:r w:rsidRPr="00423400" w:rsidR="00CD72D9">
        <w:rPr>
          <w:rFonts w:cs="Times New Roman"/>
          <w:szCs w:val="24"/>
        </w:rPr>
        <w:t xml:space="preserve"> </w:t>
      </w:r>
      <w:r w:rsidRPr="00423400">
        <w:rPr>
          <w:rFonts w:cs="Times New Roman"/>
          <w:szCs w:val="24"/>
        </w:rPr>
        <w:t>provisions</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not</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continue.”</w:t>
      </w:r>
      <w:r>
        <w:rPr>
          <w:rStyle w:val="FootnoteReference"/>
          <w:rFonts w:cs="Times New Roman"/>
          <w:szCs w:val="24"/>
        </w:rPr>
        <w:footnoteReference w:id="38"/>
      </w:r>
    </w:p>
    <w:p w:rsidR="00F955D3" w:rsidRPr="00423400" w:rsidP="00F955D3" w14:paraId="3D686D8D" w14:textId="77777777">
      <w:pPr>
        <w:spacing w:after="0" w:line="480" w:lineRule="auto"/>
        <w:ind w:firstLine="720"/>
        <w:rPr>
          <w:rFonts w:cs="Times New Roman"/>
          <w:szCs w:val="24"/>
        </w:rPr>
      </w:pPr>
      <w:r w:rsidRPr="00423400">
        <w:rPr>
          <w:rFonts w:cs="Times New Roman"/>
          <w:szCs w:val="24"/>
        </w:rPr>
        <w:t>The</w:t>
      </w:r>
      <w:r w:rsidRPr="00423400" w:rsidR="00CD72D9">
        <w:rPr>
          <w:rFonts w:cs="Times New Roman"/>
          <w:szCs w:val="24"/>
        </w:rPr>
        <w:t xml:space="preserve"> </w:t>
      </w:r>
      <w:r w:rsidRPr="00423400">
        <w:rPr>
          <w:rFonts w:cs="Times New Roman"/>
          <w:szCs w:val="24"/>
        </w:rPr>
        <w:t>PUCO denied</w:t>
      </w:r>
      <w:r w:rsidRPr="00423400" w:rsidR="00CD72D9">
        <w:rPr>
          <w:rFonts w:cs="Times New Roman"/>
          <w:szCs w:val="24"/>
        </w:rPr>
        <w:t xml:space="preserve"> </w:t>
      </w:r>
      <w:r w:rsidRPr="00423400">
        <w:rPr>
          <w:rFonts w:cs="Times New Roman"/>
          <w:szCs w:val="24"/>
        </w:rPr>
        <w:t>OCC’s</w:t>
      </w:r>
      <w:r w:rsidRPr="00423400" w:rsidR="00CD72D9">
        <w:rPr>
          <w:rFonts w:cs="Times New Roman"/>
          <w:szCs w:val="24"/>
        </w:rPr>
        <w:t xml:space="preserve"> </w:t>
      </w:r>
      <w:r w:rsidRPr="00423400">
        <w:rPr>
          <w:rFonts w:cs="Times New Roman"/>
          <w:szCs w:val="24"/>
        </w:rPr>
        <w:t>application</w:t>
      </w:r>
      <w:r w:rsidRPr="00423400" w:rsidR="00CD72D9">
        <w:rPr>
          <w:rFonts w:cs="Times New Roman"/>
          <w:szCs w:val="24"/>
        </w:rPr>
        <w:t xml:space="preserve"> </w:t>
      </w:r>
      <w:r w:rsidRPr="00423400">
        <w:rPr>
          <w:rFonts w:cs="Times New Roman"/>
          <w:szCs w:val="24"/>
        </w:rPr>
        <w:t>for</w:t>
      </w:r>
      <w:r w:rsidRPr="00423400" w:rsidR="00CD72D9">
        <w:rPr>
          <w:rFonts w:cs="Times New Roman"/>
          <w:szCs w:val="24"/>
        </w:rPr>
        <w:t xml:space="preserve"> </w:t>
      </w:r>
      <w:r w:rsidRPr="00423400">
        <w:rPr>
          <w:rFonts w:cs="Times New Roman"/>
          <w:szCs w:val="24"/>
        </w:rPr>
        <w:t>rehearing.</w:t>
      </w:r>
      <w:r>
        <w:rPr>
          <w:rStyle w:val="FootnoteReference"/>
          <w:rFonts w:cs="Times New Roman"/>
          <w:szCs w:val="24"/>
        </w:rPr>
        <w:footnoteReference w:id="39"/>
      </w:r>
      <w:r w:rsidRPr="00423400" w:rsidR="00CD72D9">
        <w:rPr>
          <w:rFonts w:cs="Times New Roman"/>
          <w:szCs w:val="24"/>
        </w:rPr>
        <w:t xml:space="preserve"> </w:t>
      </w:r>
      <w:r w:rsidRPr="00423400">
        <w:rPr>
          <w:rFonts w:cs="Times New Roman"/>
          <w:szCs w:val="24"/>
        </w:rPr>
        <w:t>According</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PUCO,</w:t>
      </w:r>
      <w:r w:rsidRPr="00423400" w:rsidR="00CD72D9">
        <w:rPr>
          <w:rFonts w:cs="Times New Roman"/>
          <w:szCs w:val="24"/>
        </w:rPr>
        <w:t xml:space="preserve"> </w:t>
      </w:r>
      <w:r w:rsidRPr="00423400">
        <w:rPr>
          <w:rFonts w:cs="Times New Roman"/>
          <w:szCs w:val="24"/>
        </w:rPr>
        <w:t>OCC should</w:t>
      </w:r>
      <w:r w:rsidRPr="00423400" w:rsidR="00CD72D9">
        <w:rPr>
          <w:rFonts w:cs="Times New Roman"/>
          <w:szCs w:val="24"/>
        </w:rPr>
        <w:t xml:space="preserve"> </w:t>
      </w:r>
      <w:r w:rsidRPr="00423400">
        <w:rPr>
          <w:rFonts w:cs="Times New Roman"/>
          <w:szCs w:val="24"/>
        </w:rPr>
        <w:t>have</w:t>
      </w:r>
      <w:r w:rsidRPr="00423400" w:rsidR="00CD72D9">
        <w:rPr>
          <w:rFonts w:cs="Times New Roman"/>
          <w:szCs w:val="24"/>
        </w:rPr>
        <w:t xml:space="preserve"> </w:t>
      </w:r>
      <w:r w:rsidRPr="00423400">
        <w:rPr>
          <w:rFonts w:cs="Times New Roman"/>
          <w:szCs w:val="24"/>
        </w:rPr>
        <w:t>raised</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issue</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rate</w:t>
      </w:r>
      <w:r w:rsidRPr="00423400" w:rsidR="00CD72D9">
        <w:rPr>
          <w:rFonts w:cs="Times New Roman"/>
          <w:szCs w:val="24"/>
        </w:rPr>
        <w:t xml:space="preserve"> </w:t>
      </w:r>
      <w:r w:rsidRPr="00423400">
        <w:rPr>
          <w:rFonts w:cs="Times New Roman"/>
          <w:szCs w:val="24"/>
        </w:rPr>
        <w:t>freeze</w:t>
      </w:r>
      <w:r w:rsidRPr="00423400" w:rsidR="00CD72D9">
        <w:rPr>
          <w:rFonts w:cs="Times New Roman"/>
          <w:szCs w:val="24"/>
        </w:rPr>
        <w:t xml:space="preserve"> </w:t>
      </w:r>
      <w:r w:rsidRPr="00423400">
        <w:rPr>
          <w:rFonts w:cs="Times New Roman"/>
          <w:szCs w:val="24"/>
        </w:rPr>
        <w:t>in</w:t>
      </w:r>
      <w:r w:rsidRPr="00423400" w:rsidR="00CD72D9">
        <w:rPr>
          <w:rFonts w:cs="Times New Roman"/>
          <w:szCs w:val="24"/>
        </w:rPr>
        <w:t xml:space="preserve"> </w:t>
      </w:r>
      <w:r w:rsidRPr="00423400">
        <w:rPr>
          <w:rFonts w:cs="Times New Roman"/>
          <w:szCs w:val="24"/>
        </w:rPr>
        <w:t>DP&amp;L’s</w:t>
      </w:r>
      <w:r w:rsidRPr="00423400" w:rsidR="00CD72D9">
        <w:rPr>
          <w:rFonts w:cs="Times New Roman"/>
          <w:szCs w:val="24"/>
        </w:rPr>
        <w:t xml:space="preserve"> </w:t>
      </w:r>
      <w:r w:rsidRPr="00423400">
        <w:rPr>
          <w:rFonts w:cs="Times New Roman"/>
          <w:szCs w:val="24"/>
        </w:rPr>
        <w:t>2015</w:t>
      </w:r>
      <w:r w:rsidRPr="00423400" w:rsidR="00CD72D9">
        <w:rPr>
          <w:rFonts w:cs="Times New Roman"/>
          <w:szCs w:val="24"/>
        </w:rPr>
        <w:t xml:space="preserve"> </w:t>
      </w:r>
      <w:r w:rsidRPr="00423400">
        <w:rPr>
          <w:rFonts w:cs="Times New Roman"/>
          <w:szCs w:val="24"/>
        </w:rPr>
        <w:t>base</w:t>
      </w:r>
      <w:r w:rsidRPr="00423400" w:rsidR="00CD72D9">
        <w:rPr>
          <w:rFonts w:cs="Times New Roman"/>
          <w:szCs w:val="24"/>
        </w:rPr>
        <w:t xml:space="preserve"> </w:t>
      </w:r>
      <w:r w:rsidRPr="00423400">
        <w:rPr>
          <w:rFonts w:cs="Times New Roman"/>
          <w:szCs w:val="24"/>
        </w:rPr>
        <w:t>distribution</w:t>
      </w:r>
      <w:r w:rsidRPr="00423400" w:rsidR="00CD72D9">
        <w:rPr>
          <w:rFonts w:cs="Times New Roman"/>
          <w:szCs w:val="24"/>
        </w:rPr>
        <w:t xml:space="preserve"> </w:t>
      </w:r>
      <w:r w:rsidRPr="00423400">
        <w:rPr>
          <w:rFonts w:cs="Times New Roman"/>
          <w:szCs w:val="24"/>
        </w:rPr>
        <w:t>rate</w:t>
      </w:r>
      <w:r w:rsidRPr="00423400" w:rsidR="00CD72D9">
        <w:rPr>
          <w:rFonts w:cs="Times New Roman"/>
          <w:szCs w:val="24"/>
        </w:rPr>
        <w:t xml:space="preserve"> </w:t>
      </w:r>
      <w:r w:rsidRPr="00423400">
        <w:rPr>
          <w:rFonts w:cs="Times New Roman"/>
          <w:szCs w:val="24"/>
        </w:rPr>
        <w:t>case,</w:t>
      </w:r>
      <w:r w:rsidRPr="00423400" w:rsidR="00CD72D9">
        <w:rPr>
          <w:rFonts w:cs="Times New Roman"/>
          <w:szCs w:val="24"/>
        </w:rPr>
        <w:t xml:space="preserve"> </w:t>
      </w:r>
      <w:r w:rsidRPr="00423400">
        <w:rPr>
          <w:rFonts w:cs="Times New Roman"/>
          <w:szCs w:val="24"/>
        </w:rPr>
        <w:t>Case No.</w:t>
      </w:r>
      <w:r w:rsidRPr="00423400" w:rsidR="00CD72D9">
        <w:rPr>
          <w:rFonts w:cs="Times New Roman"/>
          <w:szCs w:val="24"/>
        </w:rPr>
        <w:t xml:space="preserve"> </w:t>
      </w:r>
      <w:r w:rsidRPr="00423400">
        <w:rPr>
          <w:rFonts w:cs="Times New Roman"/>
          <w:szCs w:val="24"/>
        </w:rPr>
        <w:t>15-1830-EL-SSO.</w:t>
      </w:r>
      <w:r>
        <w:rPr>
          <w:rStyle w:val="FootnoteReference"/>
          <w:rFonts w:cs="Times New Roman"/>
          <w:szCs w:val="24"/>
        </w:rPr>
        <w:footnoteReference w:id="40"/>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w:t>
      </w:r>
      <w:r w:rsidRPr="00423400" w:rsidR="00CD72D9">
        <w:rPr>
          <w:rFonts w:cs="Times New Roman"/>
          <w:szCs w:val="24"/>
        </w:rPr>
        <w:t xml:space="preserve"> </w:t>
      </w:r>
      <w:r w:rsidRPr="00423400">
        <w:rPr>
          <w:rFonts w:cs="Times New Roman"/>
          <w:szCs w:val="24"/>
        </w:rPr>
        <w:t>was</w:t>
      </w:r>
      <w:r w:rsidRPr="00423400" w:rsidR="00CD72D9">
        <w:rPr>
          <w:rFonts w:cs="Times New Roman"/>
          <w:szCs w:val="24"/>
        </w:rPr>
        <w:t xml:space="preserve"> </w:t>
      </w:r>
      <w:r w:rsidRPr="00423400">
        <w:rPr>
          <w:rFonts w:cs="Times New Roman"/>
          <w:szCs w:val="24"/>
        </w:rPr>
        <w:t>in</w:t>
      </w:r>
      <w:r w:rsidRPr="00423400" w:rsidR="00CD72D9">
        <w:rPr>
          <w:rFonts w:cs="Times New Roman"/>
          <w:szCs w:val="24"/>
        </w:rPr>
        <w:t xml:space="preserve"> </w:t>
      </w:r>
      <w:r w:rsidRPr="00423400">
        <w:rPr>
          <w:rFonts w:cs="Times New Roman"/>
          <w:szCs w:val="24"/>
        </w:rPr>
        <w:t>effect</w:t>
      </w:r>
      <w:r w:rsidRPr="00423400" w:rsidR="00CD72D9">
        <w:rPr>
          <w:rFonts w:cs="Times New Roman"/>
          <w:szCs w:val="24"/>
        </w:rPr>
        <w:t xml:space="preserve"> </w:t>
      </w:r>
      <w:r w:rsidRPr="00423400">
        <w:rPr>
          <w:rFonts w:cs="Times New Roman"/>
          <w:szCs w:val="24"/>
        </w:rPr>
        <w:t>from</w:t>
      </w:r>
      <w:r w:rsidRPr="00423400" w:rsidR="00CD72D9">
        <w:rPr>
          <w:rFonts w:cs="Times New Roman"/>
          <w:szCs w:val="24"/>
        </w:rPr>
        <w:t xml:space="preserve"> </w:t>
      </w:r>
      <w:r w:rsidRPr="00423400">
        <w:rPr>
          <w:rFonts w:cs="Times New Roman"/>
          <w:szCs w:val="24"/>
        </w:rPr>
        <w:t>September</w:t>
      </w:r>
      <w:r w:rsidRPr="00423400" w:rsidR="00CD72D9">
        <w:rPr>
          <w:rFonts w:cs="Times New Roman"/>
          <w:szCs w:val="24"/>
        </w:rPr>
        <w:t xml:space="preserve"> </w:t>
      </w:r>
      <w:r w:rsidRPr="00423400">
        <w:rPr>
          <w:rFonts w:cs="Times New Roman"/>
          <w:szCs w:val="24"/>
        </w:rPr>
        <w:t>1,</w:t>
      </w:r>
      <w:r w:rsidRPr="00423400" w:rsidR="00CD72D9">
        <w:rPr>
          <w:rFonts w:cs="Times New Roman"/>
          <w:szCs w:val="24"/>
        </w:rPr>
        <w:t xml:space="preserve"> </w:t>
      </w:r>
      <w:r w:rsidRPr="00423400">
        <w:rPr>
          <w:rFonts w:cs="Times New Roman"/>
          <w:szCs w:val="24"/>
        </w:rPr>
        <w:t>2016</w:t>
      </w:r>
      <w:r w:rsidRPr="00423400" w:rsidR="00CD72D9">
        <w:rPr>
          <w:rFonts w:cs="Times New Roman"/>
          <w:szCs w:val="24"/>
        </w:rPr>
        <w:t xml:space="preserve"> </w:t>
      </w:r>
      <w:r w:rsidRPr="00423400">
        <w:rPr>
          <w:rFonts w:cs="Times New Roman"/>
          <w:szCs w:val="24"/>
        </w:rPr>
        <w:t>(when</w:t>
      </w:r>
      <w:r w:rsidRPr="00423400" w:rsidR="00CD72D9">
        <w:rPr>
          <w:rFonts w:cs="Times New Roman"/>
          <w:szCs w:val="24"/>
        </w:rPr>
        <w:t xml:space="preserve"> </w:t>
      </w:r>
      <w:r w:rsidRPr="00423400">
        <w:rPr>
          <w:rFonts w:cs="Times New Roman"/>
          <w:szCs w:val="24"/>
        </w:rPr>
        <w:t>DP&amp;L</w:t>
      </w:r>
      <w:r w:rsidRPr="00423400" w:rsidR="00CD72D9">
        <w:rPr>
          <w:rFonts w:cs="Times New Roman"/>
          <w:szCs w:val="24"/>
        </w:rPr>
        <w:t xml:space="preserve"> </w:t>
      </w:r>
      <w:r w:rsidRPr="00423400">
        <w:rPr>
          <w:rFonts w:cs="Times New Roman"/>
          <w:szCs w:val="24"/>
        </w:rPr>
        <w:t>withdrew from</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II)</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October</w:t>
      </w:r>
      <w:r w:rsidRPr="00423400" w:rsidR="00CD72D9">
        <w:rPr>
          <w:rFonts w:cs="Times New Roman"/>
          <w:szCs w:val="24"/>
        </w:rPr>
        <w:t xml:space="preserve"> </w:t>
      </w:r>
      <w:r w:rsidRPr="00423400">
        <w:rPr>
          <w:rFonts w:cs="Times New Roman"/>
          <w:szCs w:val="24"/>
        </w:rPr>
        <w:t>31,</w:t>
      </w:r>
      <w:r w:rsidRPr="00423400" w:rsidR="00CD72D9">
        <w:rPr>
          <w:rFonts w:cs="Times New Roman"/>
          <w:szCs w:val="24"/>
        </w:rPr>
        <w:t xml:space="preserve"> </w:t>
      </w:r>
      <w:r w:rsidRPr="00423400">
        <w:rPr>
          <w:rFonts w:cs="Times New Roman"/>
          <w:szCs w:val="24"/>
        </w:rPr>
        <w:t>2017</w:t>
      </w:r>
      <w:r w:rsidRPr="00423400" w:rsidR="00CD72D9">
        <w:rPr>
          <w:rFonts w:cs="Times New Roman"/>
          <w:szCs w:val="24"/>
        </w:rPr>
        <w:t xml:space="preserve"> </w:t>
      </w:r>
      <w:r w:rsidRPr="00423400">
        <w:rPr>
          <w:rFonts w:cs="Times New Roman"/>
          <w:szCs w:val="24"/>
        </w:rPr>
        <w:t>(when</w:t>
      </w:r>
      <w:r w:rsidRPr="00423400" w:rsidR="00CD72D9">
        <w:rPr>
          <w:rFonts w:cs="Times New Roman"/>
          <w:szCs w:val="24"/>
        </w:rPr>
        <w:t xml:space="preserve"> </w:t>
      </w:r>
      <w:r w:rsidRPr="00423400">
        <w:rPr>
          <w:rFonts w:cs="Times New Roman"/>
          <w:szCs w:val="24"/>
        </w:rPr>
        <w:t>ESP III</w:t>
      </w:r>
      <w:r w:rsidRPr="00423400" w:rsidR="00CD72D9">
        <w:rPr>
          <w:rFonts w:cs="Times New Roman"/>
          <w:szCs w:val="24"/>
        </w:rPr>
        <w:t xml:space="preserve"> </w:t>
      </w:r>
      <w:r w:rsidRPr="00423400">
        <w:rPr>
          <w:rFonts w:cs="Times New Roman"/>
          <w:szCs w:val="24"/>
        </w:rPr>
        <w:t>became</w:t>
      </w:r>
      <w:r w:rsidRPr="00423400" w:rsidR="00CD72D9">
        <w:rPr>
          <w:rFonts w:cs="Times New Roman"/>
          <w:szCs w:val="24"/>
        </w:rPr>
        <w:t xml:space="preserve"> </w:t>
      </w:r>
      <w:r w:rsidRPr="00423400">
        <w:rPr>
          <w:rFonts w:cs="Times New Roman"/>
          <w:szCs w:val="24"/>
        </w:rPr>
        <w:t>effective),</w:t>
      </w:r>
      <w:r w:rsidRPr="00423400" w:rsidR="00CD72D9">
        <w:rPr>
          <w:rFonts w:cs="Times New Roman"/>
          <w:szCs w:val="24"/>
        </w:rPr>
        <w:t xml:space="preserve"> </w:t>
      </w:r>
      <w:r w:rsidRPr="00423400">
        <w:rPr>
          <w:rFonts w:cs="Times New Roman"/>
          <w:szCs w:val="24"/>
        </w:rPr>
        <w:t>and</w:t>
      </w:r>
      <w:r w:rsidRPr="00423400" w:rsidR="00CD72D9">
        <w:rPr>
          <w:rFonts w:cs="Times New Roman"/>
          <w:szCs w:val="24"/>
        </w:rPr>
        <w:t xml:space="preserve"> </w:t>
      </w:r>
      <w:r w:rsidRPr="00423400">
        <w:rPr>
          <w:rFonts w:cs="Times New Roman"/>
          <w:szCs w:val="24"/>
        </w:rPr>
        <w:t>during</w:t>
      </w:r>
      <w:r w:rsidRPr="00423400" w:rsidR="00CD72D9">
        <w:rPr>
          <w:rFonts w:cs="Times New Roman"/>
          <w:szCs w:val="24"/>
        </w:rPr>
        <w:t xml:space="preserve"> </w:t>
      </w:r>
      <w:r w:rsidRPr="00423400">
        <w:rPr>
          <w:rFonts w:cs="Times New Roman"/>
          <w:szCs w:val="24"/>
        </w:rPr>
        <w:t>that</w:t>
      </w:r>
      <w:r w:rsidRPr="00423400" w:rsidR="00CD72D9">
        <w:rPr>
          <w:rFonts w:cs="Times New Roman"/>
          <w:szCs w:val="24"/>
        </w:rPr>
        <w:t xml:space="preserve"> </w:t>
      </w:r>
      <w:r w:rsidRPr="00423400">
        <w:rPr>
          <w:rFonts w:cs="Times New Roman"/>
          <w:szCs w:val="24"/>
        </w:rPr>
        <w:t>time,</w:t>
      </w:r>
      <w:r w:rsidRPr="00423400" w:rsidR="00CD72D9">
        <w:rPr>
          <w:rFonts w:cs="Times New Roman"/>
          <w:szCs w:val="24"/>
        </w:rPr>
        <w:t xml:space="preserve"> </w:t>
      </w:r>
      <w:r w:rsidRPr="00423400">
        <w:rPr>
          <w:rFonts w:cs="Times New Roman"/>
          <w:szCs w:val="24"/>
        </w:rPr>
        <w:t>DP&amp;L’s 2015</w:t>
      </w:r>
      <w:r w:rsidRPr="00423400" w:rsidR="00CD72D9">
        <w:rPr>
          <w:rFonts w:cs="Times New Roman"/>
          <w:szCs w:val="24"/>
        </w:rPr>
        <w:t xml:space="preserve"> </w:t>
      </w:r>
      <w:r w:rsidRPr="00423400">
        <w:rPr>
          <w:rFonts w:cs="Times New Roman"/>
          <w:szCs w:val="24"/>
        </w:rPr>
        <w:t>rate</w:t>
      </w:r>
      <w:r w:rsidRPr="00423400" w:rsidR="00CD72D9">
        <w:rPr>
          <w:rFonts w:cs="Times New Roman"/>
          <w:szCs w:val="24"/>
        </w:rPr>
        <w:t xml:space="preserve"> </w:t>
      </w:r>
      <w:r w:rsidRPr="00423400">
        <w:rPr>
          <w:rFonts w:cs="Times New Roman"/>
          <w:szCs w:val="24"/>
        </w:rPr>
        <w:t>case</w:t>
      </w:r>
      <w:r w:rsidRPr="00423400" w:rsidR="00CD72D9">
        <w:rPr>
          <w:rFonts w:cs="Times New Roman"/>
          <w:szCs w:val="24"/>
        </w:rPr>
        <w:t xml:space="preserve"> </w:t>
      </w:r>
      <w:r w:rsidRPr="00423400">
        <w:rPr>
          <w:rFonts w:cs="Times New Roman"/>
          <w:szCs w:val="24"/>
        </w:rPr>
        <w:t>was</w:t>
      </w:r>
      <w:r w:rsidRPr="00423400" w:rsidR="00CD72D9">
        <w:rPr>
          <w:rFonts w:cs="Times New Roman"/>
          <w:szCs w:val="24"/>
        </w:rPr>
        <w:t xml:space="preserve"> </w:t>
      </w:r>
      <w:r w:rsidRPr="00423400">
        <w:rPr>
          <w:rFonts w:cs="Times New Roman"/>
          <w:szCs w:val="24"/>
        </w:rPr>
        <w:t>pending.</w:t>
      </w:r>
      <w:r>
        <w:rPr>
          <w:rStyle w:val="FootnoteReference"/>
          <w:rFonts w:cs="Times New Roman"/>
          <w:szCs w:val="24"/>
        </w:rPr>
        <w:footnoteReference w:id="41"/>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PUCO</w:t>
      </w:r>
      <w:r w:rsidRPr="00423400" w:rsidR="00CD72D9">
        <w:rPr>
          <w:rFonts w:cs="Times New Roman"/>
          <w:szCs w:val="24"/>
        </w:rPr>
        <w:t xml:space="preserve"> </w:t>
      </w:r>
      <w:r w:rsidRPr="00423400">
        <w:rPr>
          <w:rFonts w:cs="Times New Roman"/>
          <w:szCs w:val="24"/>
        </w:rPr>
        <w:t>further</w:t>
      </w:r>
      <w:r w:rsidRPr="00423400" w:rsidR="00CD72D9">
        <w:rPr>
          <w:rFonts w:cs="Times New Roman"/>
          <w:szCs w:val="24"/>
        </w:rPr>
        <w:t xml:space="preserve"> </w:t>
      </w:r>
      <w:r w:rsidRPr="00423400">
        <w:rPr>
          <w:rFonts w:cs="Times New Roman"/>
          <w:szCs w:val="24"/>
        </w:rPr>
        <w:t>reasoned</w:t>
      </w:r>
      <w:r w:rsidRPr="00423400" w:rsidR="00CD72D9">
        <w:rPr>
          <w:rFonts w:cs="Times New Roman"/>
          <w:szCs w:val="24"/>
        </w:rPr>
        <w:t xml:space="preserve"> </w:t>
      </w:r>
      <w:r w:rsidRPr="00423400">
        <w:rPr>
          <w:rFonts w:cs="Times New Roman"/>
          <w:szCs w:val="24"/>
        </w:rPr>
        <w:t>that,</w:t>
      </w:r>
      <w:r w:rsidRPr="00423400" w:rsidR="00CD72D9">
        <w:rPr>
          <w:rFonts w:cs="Times New Roman"/>
          <w:szCs w:val="24"/>
        </w:rPr>
        <w:t xml:space="preserve"> </w:t>
      </w:r>
      <w:r w:rsidRPr="00423400">
        <w:rPr>
          <w:rFonts w:cs="Times New Roman"/>
          <w:szCs w:val="24"/>
        </w:rPr>
        <w:t>having</w:t>
      </w:r>
      <w:r w:rsidRPr="00423400" w:rsidR="00CD72D9">
        <w:rPr>
          <w:rFonts w:cs="Times New Roman"/>
          <w:szCs w:val="24"/>
        </w:rPr>
        <w:t xml:space="preserve"> </w:t>
      </w:r>
      <w:r w:rsidRPr="00423400">
        <w:rPr>
          <w:rFonts w:cs="Times New Roman"/>
          <w:szCs w:val="24"/>
        </w:rPr>
        <w:t>approved</w:t>
      </w:r>
      <w:r w:rsidRPr="00423400" w:rsidR="00CD72D9">
        <w:rPr>
          <w:rFonts w:cs="Times New Roman"/>
          <w:szCs w:val="24"/>
        </w:rPr>
        <w:t xml:space="preserve"> </w:t>
      </w:r>
      <w:r w:rsidRPr="00423400">
        <w:rPr>
          <w:rFonts w:cs="Times New Roman"/>
          <w:szCs w:val="24"/>
        </w:rPr>
        <w:t>new</w:t>
      </w:r>
      <w:r w:rsidRPr="00423400" w:rsidR="00CD72D9">
        <w:rPr>
          <w:rFonts w:cs="Times New Roman"/>
          <w:szCs w:val="24"/>
        </w:rPr>
        <w:t xml:space="preserve"> </w:t>
      </w:r>
      <w:r w:rsidRPr="00423400">
        <w:rPr>
          <w:rFonts w:cs="Times New Roman"/>
          <w:szCs w:val="24"/>
        </w:rPr>
        <w:t>base</w:t>
      </w:r>
      <w:r w:rsidRPr="00423400" w:rsidR="00CD72D9">
        <w:rPr>
          <w:rFonts w:cs="Times New Roman"/>
          <w:szCs w:val="24"/>
        </w:rPr>
        <w:t xml:space="preserve"> </w:t>
      </w:r>
      <w:r w:rsidRPr="00423400">
        <w:rPr>
          <w:rFonts w:cs="Times New Roman"/>
          <w:szCs w:val="24"/>
        </w:rPr>
        <w:t>rates in</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2015</w:t>
      </w:r>
      <w:r w:rsidRPr="00423400" w:rsidR="00CD72D9">
        <w:rPr>
          <w:rFonts w:cs="Times New Roman"/>
          <w:szCs w:val="24"/>
        </w:rPr>
        <w:t xml:space="preserve"> </w:t>
      </w:r>
      <w:r w:rsidRPr="00423400">
        <w:rPr>
          <w:rFonts w:cs="Times New Roman"/>
          <w:szCs w:val="24"/>
        </w:rPr>
        <w:t>rate</w:t>
      </w:r>
      <w:r w:rsidRPr="00423400" w:rsidR="00CD72D9">
        <w:rPr>
          <w:rFonts w:cs="Times New Roman"/>
          <w:szCs w:val="24"/>
        </w:rPr>
        <w:t xml:space="preserve"> </w:t>
      </w:r>
      <w:r w:rsidRPr="00423400">
        <w:rPr>
          <w:rFonts w:cs="Times New Roman"/>
          <w:szCs w:val="24"/>
        </w:rPr>
        <w:t>case,</w:t>
      </w:r>
      <w:r w:rsidRPr="00423400" w:rsidR="00CD72D9">
        <w:rPr>
          <w:rFonts w:cs="Times New Roman"/>
          <w:szCs w:val="24"/>
        </w:rPr>
        <w:t xml:space="preserve"> </w:t>
      </w:r>
      <w:r w:rsidRPr="00423400">
        <w:rPr>
          <w:rFonts w:cs="Times New Roman"/>
          <w:szCs w:val="24"/>
        </w:rPr>
        <w:t>it</w:t>
      </w:r>
      <w:r w:rsidRPr="00423400" w:rsidR="00CD72D9">
        <w:rPr>
          <w:rFonts w:cs="Times New Roman"/>
          <w:szCs w:val="24"/>
        </w:rPr>
        <w:t xml:space="preserve"> </w:t>
      </w:r>
      <w:r w:rsidRPr="00423400">
        <w:rPr>
          <w:rFonts w:cs="Times New Roman"/>
          <w:szCs w:val="24"/>
        </w:rPr>
        <w:t>would</w:t>
      </w:r>
      <w:r w:rsidRPr="00423400" w:rsidR="00CD72D9">
        <w:rPr>
          <w:rFonts w:cs="Times New Roman"/>
          <w:szCs w:val="24"/>
        </w:rPr>
        <w:t xml:space="preserve"> </w:t>
      </w:r>
      <w:r w:rsidRPr="00423400">
        <w:rPr>
          <w:rFonts w:cs="Times New Roman"/>
          <w:szCs w:val="24"/>
        </w:rPr>
        <w:t>not</w:t>
      </w:r>
      <w:r w:rsidRPr="00423400" w:rsidR="00CD72D9">
        <w:rPr>
          <w:rFonts w:cs="Times New Roman"/>
          <w:szCs w:val="24"/>
        </w:rPr>
        <w:t xml:space="preserve"> </w:t>
      </w:r>
      <w:r w:rsidRPr="00423400">
        <w:rPr>
          <w:rFonts w:cs="Times New Roman"/>
          <w:szCs w:val="24"/>
        </w:rPr>
        <w:t>be</w:t>
      </w:r>
      <w:r w:rsidRPr="00423400" w:rsidR="00CD72D9">
        <w:rPr>
          <w:rFonts w:cs="Times New Roman"/>
          <w:szCs w:val="24"/>
        </w:rPr>
        <w:t xml:space="preserve"> </w:t>
      </w:r>
      <w:r w:rsidRPr="00423400">
        <w:rPr>
          <w:rFonts w:cs="Times New Roman"/>
          <w:szCs w:val="24"/>
        </w:rPr>
        <w:t>possible</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revert</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base</w:t>
      </w:r>
      <w:r w:rsidRPr="00423400" w:rsidR="00CD72D9">
        <w:rPr>
          <w:rFonts w:cs="Times New Roman"/>
          <w:szCs w:val="24"/>
        </w:rPr>
        <w:t xml:space="preserve"> </w:t>
      </w:r>
      <w:r w:rsidRPr="00423400">
        <w:rPr>
          <w:rFonts w:cs="Times New Roman"/>
          <w:szCs w:val="24"/>
        </w:rPr>
        <w:t>rates</w:t>
      </w:r>
      <w:r w:rsidRPr="00423400" w:rsidR="00CD72D9">
        <w:rPr>
          <w:rFonts w:cs="Times New Roman"/>
          <w:szCs w:val="24"/>
        </w:rPr>
        <w:t xml:space="preserve"> </w:t>
      </w:r>
      <w:r w:rsidRPr="00423400">
        <w:rPr>
          <w:rFonts w:cs="Times New Roman"/>
          <w:szCs w:val="24"/>
        </w:rPr>
        <w:t>that</w:t>
      </w:r>
      <w:r w:rsidRPr="00423400" w:rsidR="00CD72D9">
        <w:rPr>
          <w:rFonts w:cs="Times New Roman"/>
          <w:szCs w:val="24"/>
        </w:rPr>
        <w:t xml:space="preserve"> </w:t>
      </w:r>
      <w:r w:rsidRPr="00423400">
        <w:rPr>
          <w:rFonts w:cs="Times New Roman"/>
          <w:szCs w:val="24"/>
        </w:rPr>
        <w:t>were</w:t>
      </w:r>
      <w:r w:rsidRPr="00423400" w:rsidR="00CD72D9">
        <w:rPr>
          <w:rFonts w:cs="Times New Roman"/>
          <w:szCs w:val="24"/>
        </w:rPr>
        <w:t xml:space="preserve"> </w:t>
      </w:r>
      <w:r w:rsidRPr="00423400">
        <w:rPr>
          <w:rFonts w:cs="Times New Roman"/>
          <w:szCs w:val="24"/>
        </w:rPr>
        <w:t>in</w:t>
      </w:r>
      <w:r w:rsidRPr="00423400" w:rsidR="00CD72D9">
        <w:rPr>
          <w:rFonts w:cs="Times New Roman"/>
          <w:szCs w:val="24"/>
        </w:rPr>
        <w:t xml:space="preserve"> </w:t>
      </w:r>
      <w:r w:rsidRPr="00423400">
        <w:rPr>
          <w:rFonts w:cs="Times New Roman"/>
          <w:szCs w:val="24"/>
        </w:rPr>
        <w:t>effect</w:t>
      </w:r>
      <w:r w:rsidRPr="00423400" w:rsidR="00CD72D9">
        <w:rPr>
          <w:rFonts w:cs="Times New Roman"/>
          <w:szCs w:val="24"/>
        </w:rPr>
        <w:t xml:space="preserve"> </w:t>
      </w:r>
      <w:r w:rsidRPr="00423400">
        <w:rPr>
          <w:rFonts w:cs="Times New Roman"/>
          <w:szCs w:val="24"/>
        </w:rPr>
        <w:t>at</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time ESP</w:t>
      </w:r>
      <w:r w:rsidRPr="00423400" w:rsidR="00CD72D9">
        <w:rPr>
          <w:rFonts w:cs="Times New Roman"/>
          <w:szCs w:val="24"/>
        </w:rPr>
        <w:t xml:space="preserve"> </w:t>
      </w:r>
      <w:r w:rsidRPr="00423400">
        <w:rPr>
          <w:rFonts w:cs="Times New Roman"/>
          <w:szCs w:val="24"/>
        </w:rPr>
        <w:t>I</w:t>
      </w:r>
      <w:r w:rsidRPr="00423400" w:rsidR="00CD72D9">
        <w:rPr>
          <w:rFonts w:cs="Times New Roman"/>
          <w:szCs w:val="24"/>
        </w:rPr>
        <w:t xml:space="preserve"> </w:t>
      </w:r>
      <w:r w:rsidRPr="00423400">
        <w:rPr>
          <w:rFonts w:cs="Times New Roman"/>
          <w:szCs w:val="24"/>
        </w:rPr>
        <w:t>was</w:t>
      </w:r>
      <w:r w:rsidRPr="00423400" w:rsidR="00CD72D9">
        <w:rPr>
          <w:rFonts w:cs="Times New Roman"/>
          <w:szCs w:val="24"/>
        </w:rPr>
        <w:t xml:space="preserve"> </w:t>
      </w:r>
      <w:r w:rsidRPr="00423400">
        <w:rPr>
          <w:rFonts w:cs="Times New Roman"/>
          <w:szCs w:val="24"/>
        </w:rPr>
        <w:t>approved.</w:t>
      </w:r>
      <w:r>
        <w:rPr>
          <w:rStyle w:val="FootnoteReference"/>
          <w:rFonts w:cs="Times New Roman"/>
          <w:szCs w:val="24"/>
        </w:rPr>
        <w:footnoteReference w:id="42"/>
      </w:r>
    </w:p>
    <w:p w:rsidR="00F955D3" w:rsidRPr="00423400" w:rsidP="0012105E" w14:paraId="6A3F8513" w14:textId="77777777">
      <w:pPr>
        <w:pStyle w:val="Heading2"/>
        <w:ind w:left="1440" w:hanging="720"/>
        <w:rPr>
          <w:color w:val="auto"/>
        </w:rPr>
      </w:pPr>
      <w:bookmarkStart w:id="10" w:name="_Toc97298193"/>
      <w:r w:rsidRPr="00423400">
        <w:rPr>
          <w:color w:val="auto"/>
          <w:sz w:val="24"/>
          <w:szCs w:val="24"/>
        </w:rPr>
        <w:t>The</w:t>
      </w:r>
      <w:r w:rsidRPr="00423400" w:rsidR="00CD72D9">
        <w:rPr>
          <w:color w:val="auto"/>
          <w:sz w:val="24"/>
          <w:szCs w:val="24"/>
        </w:rPr>
        <w:t xml:space="preserve"> </w:t>
      </w:r>
      <w:r w:rsidRPr="00423400">
        <w:rPr>
          <w:color w:val="auto"/>
          <w:sz w:val="24"/>
          <w:szCs w:val="24"/>
        </w:rPr>
        <w:t>2020</w:t>
      </w:r>
      <w:r w:rsidRPr="00423400" w:rsidR="00CD72D9">
        <w:rPr>
          <w:color w:val="auto"/>
          <w:sz w:val="24"/>
          <w:szCs w:val="24"/>
        </w:rPr>
        <w:t xml:space="preserve"> </w:t>
      </w:r>
      <w:r w:rsidRPr="00423400">
        <w:rPr>
          <w:color w:val="auto"/>
          <w:sz w:val="24"/>
          <w:szCs w:val="24"/>
        </w:rPr>
        <w:t>Rate</w:t>
      </w:r>
      <w:r w:rsidRPr="00423400" w:rsidR="00CD72D9">
        <w:rPr>
          <w:color w:val="auto"/>
          <w:sz w:val="24"/>
          <w:szCs w:val="24"/>
        </w:rPr>
        <w:t xml:space="preserve"> </w:t>
      </w:r>
      <w:r w:rsidRPr="00423400">
        <w:rPr>
          <w:color w:val="auto"/>
          <w:sz w:val="24"/>
          <w:szCs w:val="24"/>
        </w:rPr>
        <w:t>Case,</w:t>
      </w:r>
      <w:r w:rsidRPr="00423400" w:rsidR="00CD72D9">
        <w:rPr>
          <w:color w:val="auto"/>
          <w:sz w:val="24"/>
          <w:szCs w:val="24"/>
        </w:rPr>
        <w:t xml:space="preserve"> </w:t>
      </w:r>
      <w:r w:rsidRPr="00423400">
        <w:rPr>
          <w:color w:val="auto"/>
          <w:sz w:val="24"/>
          <w:szCs w:val="24"/>
        </w:rPr>
        <w:t>where</w:t>
      </w:r>
      <w:r w:rsidRPr="00423400" w:rsidR="00CD72D9">
        <w:rPr>
          <w:color w:val="auto"/>
          <w:sz w:val="24"/>
          <w:szCs w:val="24"/>
        </w:rPr>
        <w:t xml:space="preserve"> </w:t>
      </w:r>
      <w:r w:rsidRPr="00423400">
        <w:rPr>
          <w:color w:val="auto"/>
          <w:sz w:val="24"/>
          <w:szCs w:val="24"/>
        </w:rPr>
        <w:t>DP&amp;L’s</w:t>
      </w:r>
      <w:r w:rsidRPr="00423400" w:rsidR="00CD72D9">
        <w:rPr>
          <w:color w:val="auto"/>
          <w:sz w:val="24"/>
          <w:szCs w:val="24"/>
        </w:rPr>
        <w:t xml:space="preserve"> </w:t>
      </w:r>
      <w:r w:rsidRPr="00423400">
        <w:rPr>
          <w:color w:val="auto"/>
          <w:sz w:val="24"/>
          <w:szCs w:val="24"/>
        </w:rPr>
        <w:t>Commitment</w:t>
      </w:r>
      <w:r w:rsidRPr="00423400" w:rsidR="00CD72D9">
        <w:rPr>
          <w:color w:val="auto"/>
          <w:sz w:val="24"/>
          <w:szCs w:val="24"/>
        </w:rPr>
        <w:t xml:space="preserve"> </w:t>
      </w:r>
      <w:r w:rsidRPr="00423400">
        <w:rPr>
          <w:color w:val="auto"/>
          <w:sz w:val="24"/>
          <w:szCs w:val="24"/>
        </w:rPr>
        <w:t>to</w:t>
      </w:r>
      <w:r w:rsidRPr="00423400" w:rsidR="00CD72D9">
        <w:rPr>
          <w:color w:val="auto"/>
          <w:sz w:val="24"/>
          <w:szCs w:val="24"/>
        </w:rPr>
        <w:t xml:space="preserve"> </w:t>
      </w:r>
      <w:r w:rsidRPr="00423400">
        <w:rPr>
          <w:color w:val="auto"/>
          <w:sz w:val="24"/>
          <w:szCs w:val="24"/>
        </w:rPr>
        <w:t>Consumers</w:t>
      </w:r>
      <w:r w:rsidRPr="00423400" w:rsidR="00CD72D9">
        <w:rPr>
          <w:color w:val="auto"/>
          <w:sz w:val="24"/>
          <w:szCs w:val="24"/>
        </w:rPr>
        <w:t xml:space="preserve"> </w:t>
      </w:r>
      <w:r w:rsidRPr="00423400">
        <w:rPr>
          <w:color w:val="auto"/>
          <w:sz w:val="24"/>
          <w:szCs w:val="24"/>
        </w:rPr>
        <w:t>to</w:t>
      </w:r>
      <w:r w:rsidRPr="00423400" w:rsidR="00CD72D9">
        <w:rPr>
          <w:color w:val="auto"/>
          <w:sz w:val="24"/>
          <w:szCs w:val="24"/>
        </w:rPr>
        <w:t xml:space="preserve"> </w:t>
      </w:r>
      <w:r w:rsidRPr="00423400">
        <w:rPr>
          <w:color w:val="auto"/>
          <w:sz w:val="24"/>
          <w:szCs w:val="24"/>
        </w:rPr>
        <w:t>Freeze Rates</w:t>
      </w:r>
      <w:r w:rsidRPr="00423400" w:rsidR="00CD72D9">
        <w:rPr>
          <w:color w:val="auto"/>
          <w:sz w:val="24"/>
          <w:szCs w:val="24"/>
        </w:rPr>
        <w:t xml:space="preserve"> </w:t>
      </w:r>
      <w:r w:rsidRPr="00423400">
        <w:rPr>
          <w:color w:val="auto"/>
          <w:sz w:val="24"/>
          <w:szCs w:val="24"/>
        </w:rPr>
        <w:t>is</w:t>
      </w:r>
      <w:r w:rsidRPr="00423400" w:rsidR="00CD72D9">
        <w:rPr>
          <w:color w:val="auto"/>
          <w:sz w:val="24"/>
          <w:szCs w:val="24"/>
        </w:rPr>
        <w:t xml:space="preserve"> </w:t>
      </w:r>
      <w:r w:rsidRPr="00423400">
        <w:rPr>
          <w:color w:val="auto"/>
          <w:sz w:val="24"/>
          <w:szCs w:val="24"/>
        </w:rPr>
        <w:t>Broken.</w:t>
      </w:r>
      <w:bookmarkEnd w:id="10"/>
    </w:p>
    <w:p w:rsidR="00F955D3" w:rsidP="00F955D3" w14:paraId="21E1155A" w14:textId="77777777">
      <w:pPr>
        <w:spacing w:before="240" w:after="0" w:line="480" w:lineRule="auto"/>
        <w:ind w:firstLine="720"/>
        <w:rPr>
          <w:rFonts w:cs="Times New Roman"/>
          <w:szCs w:val="24"/>
        </w:rPr>
      </w:pPr>
      <w:r w:rsidRPr="00423400">
        <w:rPr>
          <w:rFonts w:cs="Times New Roman"/>
          <w:szCs w:val="24"/>
        </w:rPr>
        <w:t>DP&amp;L initiated</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above-captioned</w:t>
      </w:r>
      <w:r w:rsidRPr="00423400" w:rsidR="00CD72D9">
        <w:rPr>
          <w:rFonts w:cs="Times New Roman"/>
          <w:szCs w:val="24"/>
        </w:rPr>
        <w:t xml:space="preserve"> </w:t>
      </w:r>
      <w:r w:rsidRPr="00423400">
        <w:rPr>
          <w:rFonts w:cs="Times New Roman"/>
          <w:szCs w:val="24"/>
        </w:rPr>
        <w:t>rate</w:t>
      </w:r>
      <w:r w:rsidRPr="00423400" w:rsidR="00CD72D9">
        <w:rPr>
          <w:rFonts w:cs="Times New Roman"/>
          <w:szCs w:val="24"/>
        </w:rPr>
        <w:t xml:space="preserve"> </w:t>
      </w:r>
      <w:r w:rsidRPr="00423400">
        <w:rPr>
          <w:rFonts w:cs="Times New Roman"/>
          <w:szCs w:val="24"/>
        </w:rPr>
        <w:t>case</w:t>
      </w:r>
      <w:r w:rsidRPr="00423400" w:rsidR="00CD72D9">
        <w:rPr>
          <w:rFonts w:cs="Times New Roman"/>
          <w:szCs w:val="24"/>
        </w:rPr>
        <w:t xml:space="preserve"> </w:t>
      </w:r>
      <w:r w:rsidRPr="00423400">
        <w:rPr>
          <w:rFonts w:cs="Times New Roman"/>
          <w:szCs w:val="24"/>
        </w:rPr>
        <w:t>with</w:t>
      </w:r>
      <w:r w:rsidRPr="00423400" w:rsidR="00CD72D9">
        <w:rPr>
          <w:rFonts w:cs="Times New Roman"/>
          <w:szCs w:val="24"/>
        </w:rPr>
        <w:t xml:space="preserve"> </w:t>
      </w:r>
      <w:r w:rsidRPr="00423400">
        <w:rPr>
          <w:rFonts w:cs="Times New Roman"/>
          <w:szCs w:val="24"/>
        </w:rPr>
        <w:t>a</w:t>
      </w:r>
      <w:r w:rsidRPr="00423400" w:rsidR="00CD72D9">
        <w:rPr>
          <w:rFonts w:cs="Times New Roman"/>
          <w:szCs w:val="24"/>
        </w:rPr>
        <w:t xml:space="preserve"> </w:t>
      </w:r>
      <w:r w:rsidRPr="00423400">
        <w:rPr>
          <w:rFonts w:cs="Times New Roman"/>
          <w:szCs w:val="24"/>
        </w:rPr>
        <w:t>notice</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intent</w:t>
      </w:r>
      <w:r w:rsidRPr="00423400" w:rsidR="00CD72D9">
        <w:rPr>
          <w:rFonts w:cs="Times New Roman"/>
          <w:szCs w:val="24"/>
        </w:rPr>
        <w:t xml:space="preserve"> </w:t>
      </w:r>
      <w:r w:rsidRPr="00423400">
        <w:rPr>
          <w:rFonts w:cs="Times New Roman"/>
          <w:szCs w:val="24"/>
        </w:rPr>
        <w:t>on</w:t>
      </w:r>
      <w:r w:rsidRPr="00423400" w:rsidR="00CD72D9">
        <w:rPr>
          <w:rFonts w:cs="Times New Roman"/>
          <w:szCs w:val="24"/>
        </w:rPr>
        <w:t xml:space="preserve"> </w:t>
      </w:r>
      <w:r w:rsidRPr="00423400">
        <w:rPr>
          <w:rFonts w:cs="Times New Roman"/>
          <w:szCs w:val="24"/>
        </w:rPr>
        <w:t>October</w:t>
      </w:r>
      <w:r w:rsidRPr="00423400" w:rsidR="00CD72D9">
        <w:rPr>
          <w:rFonts w:cs="Times New Roman"/>
          <w:szCs w:val="24"/>
        </w:rPr>
        <w:t xml:space="preserve"> </w:t>
      </w:r>
      <w:r w:rsidRPr="00423400">
        <w:rPr>
          <w:rFonts w:cs="Times New Roman"/>
          <w:szCs w:val="24"/>
        </w:rPr>
        <w:t>30,</w:t>
      </w:r>
      <w:r w:rsidRPr="00423400" w:rsidR="00CD72D9">
        <w:rPr>
          <w:rFonts w:cs="Times New Roman"/>
          <w:szCs w:val="24"/>
        </w:rPr>
        <w:t xml:space="preserve"> </w:t>
      </w:r>
      <w:r w:rsidRPr="00423400" w:rsidR="00A76F9D">
        <w:rPr>
          <w:rFonts w:cs="Times New Roman"/>
          <w:szCs w:val="24"/>
        </w:rPr>
        <w:t>2020,</w:t>
      </w:r>
      <w:r w:rsidRPr="00423400">
        <w:rPr>
          <w:rFonts w:cs="Times New Roman"/>
          <w:szCs w:val="24"/>
        </w:rPr>
        <w:t xml:space="preserve"> and</w:t>
      </w:r>
      <w:r w:rsidRPr="00423400" w:rsidR="00CD72D9">
        <w:rPr>
          <w:rFonts w:cs="Times New Roman"/>
          <w:szCs w:val="24"/>
        </w:rPr>
        <w:t xml:space="preserve"> </w:t>
      </w:r>
      <w:r w:rsidRPr="00423400">
        <w:rPr>
          <w:rFonts w:cs="Times New Roman"/>
          <w:szCs w:val="24"/>
        </w:rPr>
        <w:t>its</w:t>
      </w:r>
      <w:r w:rsidRPr="00423400" w:rsidR="00CD72D9">
        <w:rPr>
          <w:rFonts w:cs="Times New Roman"/>
          <w:szCs w:val="24"/>
        </w:rPr>
        <w:t xml:space="preserve"> </w:t>
      </w:r>
      <w:r w:rsidRPr="00423400">
        <w:rPr>
          <w:rFonts w:cs="Times New Roman"/>
          <w:szCs w:val="24"/>
        </w:rPr>
        <w:t>application</w:t>
      </w:r>
      <w:r w:rsidRPr="00423400" w:rsidR="00CD72D9">
        <w:rPr>
          <w:rFonts w:cs="Times New Roman"/>
          <w:szCs w:val="24"/>
        </w:rPr>
        <w:t xml:space="preserve"> </w:t>
      </w:r>
      <w:r w:rsidRPr="00423400">
        <w:rPr>
          <w:rFonts w:cs="Times New Roman"/>
          <w:szCs w:val="24"/>
        </w:rPr>
        <w:t>on</w:t>
      </w:r>
      <w:r w:rsidRPr="00423400" w:rsidR="00CD72D9">
        <w:rPr>
          <w:rFonts w:cs="Times New Roman"/>
          <w:szCs w:val="24"/>
        </w:rPr>
        <w:t xml:space="preserve"> </w:t>
      </w:r>
      <w:r w:rsidRPr="00423400">
        <w:rPr>
          <w:rFonts w:cs="Times New Roman"/>
          <w:szCs w:val="24"/>
        </w:rPr>
        <w:t>November</w:t>
      </w:r>
      <w:r w:rsidRPr="00423400" w:rsidR="00CD72D9">
        <w:rPr>
          <w:rFonts w:cs="Times New Roman"/>
          <w:szCs w:val="24"/>
        </w:rPr>
        <w:t xml:space="preserve"> </w:t>
      </w:r>
      <w:r w:rsidRPr="00423400">
        <w:rPr>
          <w:rFonts w:cs="Times New Roman"/>
          <w:szCs w:val="24"/>
        </w:rPr>
        <w:t>30,</w:t>
      </w:r>
      <w:r w:rsidRPr="00423400" w:rsidR="00CD72D9">
        <w:rPr>
          <w:rFonts w:cs="Times New Roman"/>
          <w:szCs w:val="24"/>
        </w:rPr>
        <w:t xml:space="preserve"> </w:t>
      </w:r>
      <w:r w:rsidRPr="00423400">
        <w:rPr>
          <w:rFonts w:cs="Times New Roman"/>
          <w:szCs w:val="24"/>
        </w:rPr>
        <w:t>2020.</w:t>
      </w:r>
      <w:r w:rsidRPr="00423400" w:rsidR="00CD72D9">
        <w:rPr>
          <w:rFonts w:cs="Times New Roman"/>
          <w:szCs w:val="24"/>
        </w:rPr>
        <w:t xml:space="preserve"> </w:t>
      </w:r>
      <w:r w:rsidRPr="00423400">
        <w:rPr>
          <w:rFonts w:cs="Times New Roman"/>
          <w:szCs w:val="24"/>
        </w:rPr>
        <w:t>DP&amp;L</w:t>
      </w:r>
      <w:r w:rsidRPr="00423400" w:rsidR="00CD72D9">
        <w:rPr>
          <w:rFonts w:cs="Times New Roman"/>
          <w:szCs w:val="24"/>
        </w:rPr>
        <w:t xml:space="preserve"> </w:t>
      </w:r>
      <w:r w:rsidRPr="00423400">
        <w:rPr>
          <w:rFonts w:cs="Times New Roman"/>
          <w:szCs w:val="24"/>
        </w:rPr>
        <w:t>seeks</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charge</w:t>
      </w:r>
      <w:r w:rsidRPr="00423400" w:rsidR="00CD72D9">
        <w:rPr>
          <w:rFonts w:cs="Times New Roman"/>
          <w:szCs w:val="24"/>
        </w:rPr>
        <w:t xml:space="preserve"> </w:t>
      </w:r>
      <w:r w:rsidRPr="00423400">
        <w:rPr>
          <w:rFonts w:cs="Times New Roman"/>
          <w:szCs w:val="24"/>
        </w:rPr>
        <w:t>its</w:t>
      </w:r>
      <w:r w:rsidRPr="00423400" w:rsidR="00CD72D9">
        <w:rPr>
          <w:rFonts w:cs="Times New Roman"/>
          <w:szCs w:val="24"/>
        </w:rPr>
        <w:t xml:space="preserve"> </w:t>
      </w:r>
      <w:r w:rsidRPr="00423400">
        <w:rPr>
          <w:rFonts w:cs="Times New Roman"/>
          <w:szCs w:val="24"/>
        </w:rPr>
        <w:t>consumers</w:t>
      </w:r>
      <w:r w:rsidRPr="00423400" w:rsidR="00CD72D9">
        <w:rPr>
          <w:rFonts w:cs="Times New Roman"/>
          <w:szCs w:val="24"/>
        </w:rPr>
        <w:t xml:space="preserve"> </w:t>
      </w:r>
      <w:r w:rsidRPr="00423400">
        <w:rPr>
          <w:rFonts w:cs="Times New Roman"/>
          <w:szCs w:val="24"/>
        </w:rPr>
        <w:t>an</w:t>
      </w:r>
      <w:r w:rsidRPr="00423400" w:rsidR="00CD72D9">
        <w:rPr>
          <w:rFonts w:cs="Times New Roman"/>
          <w:szCs w:val="24"/>
        </w:rPr>
        <w:t xml:space="preserve"> </w:t>
      </w:r>
      <w:r w:rsidRPr="00423400">
        <w:rPr>
          <w:rFonts w:cs="Times New Roman"/>
          <w:szCs w:val="24"/>
        </w:rPr>
        <w:t>additional $121</w:t>
      </w:r>
      <w:r w:rsidRPr="00423400" w:rsidR="00CD72D9">
        <w:rPr>
          <w:rFonts w:cs="Times New Roman"/>
          <w:szCs w:val="24"/>
        </w:rPr>
        <w:t xml:space="preserve"> </w:t>
      </w:r>
      <w:r w:rsidRPr="00423400">
        <w:rPr>
          <w:rFonts w:cs="Times New Roman"/>
          <w:szCs w:val="24"/>
        </w:rPr>
        <w:t>million</w:t>
      </w:r>
      <w:r w:rsidRPr="00423400" w:rsidR="00CD72D9">
        <w:rPr>
          <w:rFonts w:cs="Times New Roman"/>
          <w:szCs w:val="24"/>
        </w:rPr>
        <w:t xml:space="preserve"> </w:t>
      </w:r>
      <w:r w:rsidRPr="00423400">
        <w:rPr>
          <w:rFonts w:cs="Times New Roman"/>
          <w:szCs w:val="24"/>
        </w:rPr>
        <w:t>annually.</w:t>
      </w:r>
      <w:r w:rsidRPr="00423400" w:rsidR="00CD72D9">
        <w:rPr>
          <w:rFonts w:cs="Times New Roman"/>
          <w:szCs w:val="24"/>
        </w:rPr>
        <w:t xml:space="preserve"> </w:t>
      </w:r>
      <w:r w:rsidRPr="00423400">
        <w:rPr>
          <w:rFonts w:cs="Times New Roman"/>
          <w:szCs w:val="24"/>
        </w:rPr>
        <w:t>Since</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time</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its</w:t>
      </w:r>
      <w:r w:rsidRPr="00423400" w:rsidR="00CD72D9">
        <w:rPr>
          <w:rFonts w:cs="Times New Roman"/>
          <w:szCs w:val="24"/>
        </w:rPr>
        <w:t xml:space="preserve"> </w:t>
      </w:r>
      <w:r w:rsidRPr="00423400">
        <w:rPr>
          <w:rFonts w:cs="Times New Roman"/>
          <w:szCs w:val="24"/>
        </w:rPr>
        <w:t>application,</w:t>
      </w:r>
      <w:r w:rsidRPr="00423400" w:rsidR="00CD72D9">
        <w:rPr>
          <w:rFonts w:cs="Times New Roman"/>
          <w:szCs w:val="24"/>
        </w:rPr>
        <w:t xml:space="preserve"> </w:t>
      </w:r>
      <w:r w:rsidRPr="00423400">
        <w:rPr>
          <w:rFonts w:cs="Times New Roman"/>
          <w:szCs w:val="24"/>
        </w:rPr>
        <w:t>and</w:t>
      </w:r>
      <w:r w:rsidRPr="00423400" w:rsidR="00CD72D9">
        <w:rPr>
          <w:rFonts w:cs="Times New Roman"/>
          <w:szCs w:val="24"/>
        </w:rPr>
        <w:t xml:space="preserve"> </w:t>
      </w:r>
      <w:r w:rsidRPr="00423400">
        <w:rPr>
          <w:rFonts w:cs="Times New Roman"/>
          <w:szCs w:val="24"/>
        </w:rPr>
        <w:t>continuing</w:t>
      </w:r>
      <w:r w:rsidRPr="00423400" w:rsidR="00CD72D9">
        <w:rPr>
          <w:rFonts w:cs="Times New Roman"/>
          <w:szCs w:val="24"/>
        </w:rPr>
        <w:t xml:space="preserve"> </w:t>
      </w:r>
      <w:r w:rsidRPr="00423400">
        <w:rPr>
          <w:rFonts w:cs="Times New Roman"/>
          <w:szCs w:val="24"/>
        </w:rPr>
        <w:t>through</w:t>
      </w:r>
      <w:r w:rsidRPr="00423400" w:rsidR="00CD72D9">
        <w:rPr>
          <w:rFonts w:cs="Times New Roman"/>
          <w:szCs w:val="24"/>
        </w:rPr>
        <w:t xml:space="preserve"> </w:t>
      </w:r>
      <w:r w:rsidRPr="00423400">
        <w:rPr>
          <w:rFonts w:cs="Times New Roman"/>
          <w:szCs w:val="24"/>
        </w:rPr>
        <w:t>today,</w:t>
      </w:r>
      <w:r w:rsidRPr="00423400" w:rsidR="00CD72D9">
        <w:rPr>
          <w:rFonts w:cs="Times New Roman"/>
          <w:szCs w:val="24"/>
        </w:rPr>
        <w:t xml:space="preserve"> </w:t>
      </w:r>
      <w:r w:rsidRPr="00423400">
        <w:rPr>
          <w:rFonts w:cs="Times New Roman"/>
          <w:szCs w:val="24"/>
        </w:rPr>
        <w:t>DP&amp;L</w:t>
      </w:r>
      <w:r w:rsidRPr="00423400" w:rsidR="00CD72D9">
        <w:rPr>
          <w:rFonts w:cs="Times New Roman"/>
          <w:szCs w:val="24"/>
        </w:rPr>
        <w:t xml:space="preserve"> </w:t>
      </w:r>
      <w:r w:rsidRPr="00423400">
        <w:rPr>
          <w:rFonts w:cs="Times New Roman"/>
          <w:szCs w:val="24"/>
        </w:rPr>
        <w:t>has been</w:t>
      </w:r>
      <w:r w:rsidRPr="00423400" w:rsidR="00CD72D9">
        <w:rPr>
          <w:rFonts w:cs="Times New Roman"/>
          <w:szCs w:val="24"/>
        </w:rPr>
        <w:t xml:space="preserve"> </w:t>
      </w:r>
      <w:r w:rsidRPr="00423400">
        <w:rPr>
          <w:rFonts w:cs="Times New Roman"/>
          <w:szCs w:val="24"/>
        </w:rPr>
        <w:t>operating</w:t>
      </w:r>
      <w:r w:rsidRPr="00423400" w:rsidR="00CD72D9">
        <w:rPr>
          <w:rFonts w:cs="Times New Roman"/>
          <w:szCs w:val="24"/>
        </w:rPr>
        <w:t xml:space="preserve"> </w:t>
      </w:r>
      <w:r w:rsidRPr="00423400">
        <w:rPr>
          <w:rFonts w:cs="Times New Roman"/>
          <w:szCs w:val="24"/>
        </w:rPr>
        <w:t>under</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terms</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 Consistent</w:t>
      </w:r>
      <w:r w:rsidRPr="00423400" w:rsidR="00CD72D9">
        <w:rPr>
          <w:rFonts w:cs="Times New Roman"/>
          <w:szCs w:val="24"/>
        </w:rPr>
        <w:t xml:space="preserve"> </w:t>
      </w:r>
      <w:r w:rsidRPr="00423400">
        <w:rPr>
          <w:rFonts w:cs="Times New Roman"/>
          <w:szCs w:val="24"/>
        </w:rPr>
        <w:t>with</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PUCO’s</w:t>
      </w:r>
      <w:r w:rsidRPr="00423400" w:rsidR="00CD72D9">
        <w:rPr>
          <w:rFonts w:cs="Times New Roman"/>
          <w:szCs w:val="24"/>
        </w:rPr>
        <w:t xml:space="preserve"> </w:t>
      </w:r>
      <w:r w:rsidRPr="00423400">
        <w:rPr>
          <w:rFonts w:cs="Times New Roman"/>
          <w:szCs w:val="24"/>
        </w:rPr>
        <w:t>instruction</w:t>
      </w:r>
      <w:r w:rsidRPr="00423400" w:rsidR="00CD72D9">
        <w:rPr>
          <w:rFonts w:cs="Times New Roman"/>
          <w:szCs w:val="24"/>
        </w:rPr>
        <w:t xml:space="preserve"> </w:t>
      </w:r>
      <w:r w:rsidRPr="00423400">
        <w:rPr>
          <w:rFonts w:cs="Times New Roman"/>
          <w:szCs w:val="24"/>
        </w:rPr>
        <w:t>in</w:t>
      </w:r>
      <w:r w:rsidRPr="00423400" w:rsidR="00CD72D9">
        <w:rPr>
          <w:rFonts w:cs="Times New Roman"/>
          <w:szCs w:val="24"/>
        </w:rPr>
        <w:t xml:space="preserve"> </w:t>
      </w:r>
      <w:r w:rsidRPr="00423400">
        <w:rPr>
          <w:rFonts w:cs="Times New Roman"/>
          <w:szCs w:val="24"/>
        </w:rPr>
        <w:t>Case</w:t>
      </w:r>
      <w:r w:rsidRPr="00423400" w:rsidR="00CD72D9">
        <w:rPr>
          <w:rFonts w:cs="Times New Roman"/>
          <w:szCs w:val="24"/>
        </w:rPr>
        <w:t xml:space="preserve"> </w:t>
      </w:r>
      <w:r w:rsidRPr="00423400">
        <w:rPr>
          <w:rFonts w:cs="Times New Roman"/>
          <w:szCs w:val="24"/>
        </w:rPr>
        <w:t>No.</w:t>
      </w:r>
      <w:r w:rsidRPr="00423400" w:rsidR="00CD72D9">
        <w:rPr>
          <w:rFonts w:cs="Times New Roman"/>
          <w:szCs w:val="24"/>
        </w:rPr>
        <w:t xml:space="preserve"> </w:t>
      </w:r>
      <w:r w:rsidRPr="00423400">
        <w:rPr>
          <w:rFonts w:cs="Times New Roman"/>
          <w:szCs w:val="24"/>
        </w:rPr>
        <w:t>08-1094-EL-SSO</w:t>
      </w:r>
      <w:r w:rsidRPr="00423400" w:rsidR="00CD72D9">
        <w:rPr>
          <w:rFonts w:cs="Times New Roman"/>
          <w:szCs w:val="24"/>
        </w:rPr>
        <w:t xml:space="preserve"> </w:t>
      </w:r>
      <w:r w:rsidRPr="00423400">
        <w:rPr>
          <w:rFonts w:cs="Times New Roman"/>
          <w:szCs w:val="24"/>
        </w:rPr>
        <w:t>that</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proper place</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enforce</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rate</w:t>
      </w:r>
      <w:r w:rsidRPr="00423400" w:rsidR="00CD72D9">
        <w:rPr>
          <w:rFonts w:cs="Times New Roman"/>
          <w:szCs w:val="24"/>
        </w:rPr>
        <w:t xml:space="preserve"> </w:t>
      </w:r>
      <w:r w:rsidRPr="00423400">
        <w:rPr>
          <w:rFonts w:cs="Times New Roman"/>
          <w:szCs w:val="24"/>
        </w:rPr>
        <w:t>freeze</w:t>
      </w:r>
      <w:r w:rsidRPr="00423400" w:rsidR="00CD72D9">
        <w:rPr>
          <w:rFonts w:cs="Times New Roman"/>
          <w:szCs w:val="24"/>
        </w:rPr>
        <w:t xml:space="preserve"> </w:t>
      </w:r>
      <w:r w:rsidRPr="00423400">
        <w:rPr>
          <w:rFonts w:cs="Times New Roman"/>
          <w:szCs w:val="24"/>
        </w:rPr>
        <w:t>is</w:t>
      </w:r>
      <w:r w:rsidRPr="00423400" w:rsidR="00CD72D9">
        <w:rPr>
          <w:rFonts w:cs="Times New Roman"/>
          <w:szCs w:val="24"/>
        </w:rPr>
        <w:t xml:space="preserve"> </w:t>
      </w:r>
      <w:r w:rsidRPr="00423400">
        <w:rPr>
          <w:rFonts w:cs="Times New Roman"/>
          <w:szCs w:val="24"/>
        </w:rPr>
        <w:t>a</w:t>
      </w:r>
      <w:r w:rsidRPr="00423400" w:rsidR="00CD72D9">
        <w:rPr>
          <w:rFonts w:cs="Times New Roman"/>
          <w:szCs w:val="24"/>
        </w:rPr>
        <w:t xml:space="preserve"> </w:t>
      </w:r>
      <w:r w:rsidRPr="00423400">
        <w:rPr>
          <w:rFonts w:cs="Times New Roman"/>
          <w:szCs w:val="24"/>
        </w:rPr>
        <w:t>base</w:t>
      </w:r>
      <w:r w:rsidRPr="00423400" w:rsidR="00CD72D9">
        <w:rPr>
          <w:rFonts w:cs="Times New Roman"/>
          <w:szCs w:val="24"/>
        </w:rPr>
        <w:t xml:space="preserve"> </w:t>
      </w:r>
      <w:r w:rsidRPr="00423400">
        <w:rPr>
          <w:rFonts w:cs="Times New Roman"/>
          <w:szCs w:val="24"/>
        </w:rPr>
        <w:t>rate</w:t>
      </w:r>
      <w:r w:rsidRPr="00423400" w:rsidR="00CD72D9">
        <w:rPr>
          <w:rFonts w:cs="Times New Roman"/>
          <w:szCs w:val="24"/>
        </w:rPr>
        <w:t xml:space="preserve"> </w:t>
      </w:r>
      <w:r w:rsidRPr="00423400">
        <w:rPr>
          <w:rFonts w:cs="Times New Roman"/>
          <w:szCs w:val="24"/>
        </w:rPr>
        <w:t>case,</w:t>
      </w:r>
      <w:r w:rsidRPr="00423400" w:rsidR="00CD72D9">
        <w:rPr>
          <w:rFonts w:cs="Times New Roman"/>
          <w:szCs w:val="24"/>
        </w:rPr>
        <w:t xml:space="preserve"> </w:t>
      </w:r>
      <w:r w:rsidRPr="00423400">
        <w:rPr>
          <w:rFonts w:cs="Times New Roman"/>
          <w:szCs w:val="24"/>
        </w:rPr>
        <w:t>OCC</w:t>
      </w:r>
      <w:r w:rsidRPr="00423400" w:rsidR="00CD72D9">
        <w:rPr>
          <w:rFonts w:cs="Times New Roman"/>
          <w:szCs w:val="24"/>
        </w:rPr>
        <w:t xml:space="preserve"> </w:t>
      </w:r>
      <w:r w:rsidRPr="00423400">
        <w:rPr>
          <w:rFonts w:cs="Times New Roman"/>
          <w:szCs w:val="24"/>
        </w:rPr>
        <w:t>now</w:t>
      </w:r>
      <w:r w:rsidRPr="00423400" w:rsidR="00CD72D9">
        <w:rPr>
          <w:rFonts w:cs="Times New Roman"/>
          <w:szCs w:val="24"/>
        </w:rPr>
        <w:t xml:space="preserve"> </w:t>
      </w:r>
      <w:r w:rsidRPr="00423400">
        <w:rPr>
          <w:rFonts w:cs="Times New Roman"/>
          <w:szCs w:val="24"/>
        </w:rPr>
        <w:t>seeks</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enforce</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Rate</w:t>
      </w:r>
      <w:r w:rsidRPr="00423400" w:rsidR="00CD72D9">
        <w:rPr>
          <w:rFonts w:cs="Times New Roman"/>
          <w:szCs w:val="24"/>
        </w:rPr>
        <w:t xml:space="preserve"> </w:t>
      </w:r>
      <w:r w:rsidRPr="00423400">
        <w:rPr>
          <w:rFonts w:cs="Times New Roman"/>
          <w:szCs w:val="24"/>
        </w:rPr>
        <w:t>Freeze</w:t>
      </w:r>
      <w:r w:rsidRPr="00423400" w:rsidR="00CD72D9">
        <w:rPr>
          <w:rFonts w:cs="Times New Roman"/>
          <w:szCs w:val="24"/>
        </w:rPr>
        <w:t xml:space="preserve"> </w:t>
      </w:r>
      <w:r w:rsidRPr="00423400">
        <w:rPr>
          <w:rFonts w:cs="Times New Roman"/>
          <w:szCs w:val="24"/>
        </w:rPr>
        <w:t>in this</w:t>
      </w:r>
      <w:r w:rsidRPr="00423400" w:rsidR="00CD72D9">
        <w:rPr>
          <w:rFonts w:cs="Times New Roman"/>
          <w:szCs w:val="24"/>
        </w:rPr>
        <w:t xml:space="preserve"> </w:t>
      </w:r>
      <w:r w:rsidRPr="00423400">
        <w:rPr>
          <w:rFonts w:cs="Times New Roman"/>
          <w:szCs w:val="24"/>
        </w:rPr>
        <w:t>base</w:t>
      </w:r>
      <w:r w:rsidRPr="00423400" w:rsidR="00CD72D9">
        <w:rPr>
          <w:rFonts w:cs="Times New Roman"/>
          <w:szCs w:val="24"/>
        </w:rPr>
        <w:t xml:space="preserve"> </w:t>
      </w:r>
      <w:r w:rsidRPr="00423400">
        <w:rPr>
          <w:rFonts w:cs="Times New Roman"/>
          <w:szCs w:val="24"/>
        </w:rPr>
        <w:t>rate</w:t>
      </w:r>
      <w:r w:rsidRPr="00423400" w:rsidR="00CD72D9">
        <w:rPr>
          <w:rFonts w:cs="Times New Roman"/>
          <w:szCs w:val="24"/>
        </w:rPr>
        <w:t xml:space="preserve"> </w:t>
      </w:r>
      <w:r w:rsidRPr="00423400">
        <w:rPr>
          <w:rFonts w:cs="Times New Roman"/>
          <w:szCs w:val="24"/>
        </w:rPr>
        <w:t>case.</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w:t>
      </w:r>
      <w:r w:rsidRPr="00423400" w:rsidR="00CD72D9">
        <w:rPr>
          <w:rFonts w:cs="Times New Roman"/>
          <w:szCs w:val="24"/>
        </w:rPr>
        <w:t xml:space="preserve"> </w:t>
      </w:r>
      <w:r w:rsidRPr="00423400">
        <w:rPr>
          <w:rFonts w:cs="Times New Roman"/>
          <w:szCs w:val="24"/>
        </w:rPr>
        <w:t>is</w:t>
      </w:r>
      <w:r w:rsidRPr="00423400" w:rsidR="00CD72D9">
        <w:rPr>
          <w:rFonts w:cs="Times New Roman"/>
          <w:szCs w:val="24"/>
        </w:rPr>
        <w:t xml:space="preserve"> </w:t>
      </w:r>
      <w:r w:rsidRPr="00423400">
        <w:rPr>
          <w:rFonts w:cs="Times New Roman"/>
          <w:szCs w:val="24"/>
        </w:rPr>
        <w:t>currently</w:t>
      </w:r>
      <w:r w:rsidRPr="00423400" w:rsidR="00CD72D9">
        <w:rPr>
          <w:rFonts w:cs="Times New Roman"/>
          <w:szCs w:val="24"/>
        </w:rPr>
        <w:t xml:space="preserve"> </w:t>
      </w:r>
      <w:r w:rsidRPr="00423400">
        <w:rPr>
          <w:rFonts w:cs="Times New Roman"/>
          <w:szCs w:val="24"/>
        </w:rPr>
        <w:t>in</w:t>
      </w:r>
      <w:r w:rsidRPr="00423400" w:rsidR="00CD72D9">
        <w:rPr>
          <w:rFonts w:cs="Times New Roman"/>
          <w:szCs w:val="24"/>
        </w:rPr>
        <w:t xml:space="preserve"> </w:t>
      </w:r>
      <w:r w:rsidRPr="00423400">
        <w:rPr>
          <w:rFonts w:cs="Times New Roman"/>
          <w:szCs w:val="24"/>
        </w:rPr>
        <w:t>effect.</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w:t>
      </w:r>
      <w:r w:rsidRPr="00423400" w:rsidR="00CD72D9">
        <w:rPr>
          <w:rFonts w:cs="Times New Roman"/>
          <w:szCs w:val="24"/>
        </w:rPr>
        <w:t xml:space="preserve"> </w:t>
      </w:r>
      <w:r w:rsidRPr="00423400">
        <w:rPr>
          <w:rFonts w:cs="Times New Roman"/>
          <w:szCs w:val="24"/>
        </w:rPr>
        <w:t>says</w:t>
      </w:r>
      <w:r w:rsidRPr="00423400" w:rsidR="00CD72D9">
        <w:rPr>
          <w:rFonts w:cs="Times New Roman"/>
          <w:szCs w:val="24"/>
        </w:rPr>
        <w:t xml:space="preserve"> </w:t>
      </w:r>
      <w:r w:rsidRPr="00423400">
        <w:rPr>
          <w:rFonts w:cs="Times New Roman"/>
          <w:szCs w:val="24"/>
        </w:rPr>
        <w:t>that</w:t>
      </w:r>
      <w:r w:rsidRPr="00423400" w:rsidR="00CD72D9">
        <w:rPr>
          <w:rFonts w:cs="Times New Roman"/>
          <w:szCs w:val="24"/>
        </w:rPr>
        <w:t xml:space="preserve"> </w:t>
      </w:r>
      <w:r w:rsidRPr="00423400">
        <w:rPr>
          <w:rFonts w:cs="Times New Roman"/>
          <w:szCs w:val="24"/>
        </w:rPr>
        <w:t>for</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duration</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w:t>
      </w:r>
      <w:r w:rsidRPr="00423400" w:rsidR="00CD72D9">
        <w:rPr>
          <w:rFonts w:cs="Times New Roman"/>
          <w:szCs w:val="24"/>
        </w:rPr>
        <w:t xml:space="preserve"> </w:t>
      </w:r>
      <w:r w:rsidRPr="00423400">
        <w:rPr>
          <w:rFonts w:cs="Times New Roman"/>
          <w:szCs w:val="24"/>
        </w:rPr>
        <w:t>a distribution</w:t>
      </w:r>
      <w:r w:rsidRPr="00423400" w:rsidR="00CD72D9">
        <w:rPr>
          <w:rFonts w:cs="Times New Roman"/>
          <w:szCs w:val="24"/>
        </w:rPr>
        <w:t xml:space="preserve"> </w:t>
      </w:r>
      <w:r w:rsidRPr="00423400">
        <w:rPr>
          <w:rFonts w:cs="Times New Roman"/>
          <w:szCs w:val="24"/>
        </w:rPr>
        <w:t>rate</w:t>
      </w:r>
      <w:r w:rsidRPr="00423400" w:rsidR="00CD72D9">
        <w:rPr>
          <w:rFonts w:cs="Times New Roman"/>
          <w:szCs w:val="24"/>
        </w:rPr>
        <w:t xml:space="preserve"> </w:t>
      </w:r>
      <w:r w:rsidRPr="00423400">
        <w:rPr>
          <w:rFonts w:cs="Times New Roman"/>
          <w:szCs w:val="24"/>
        </w:rPr>
        <w:t>freeze</w:t>
      </w:r>
      <w:r w:rsidRPr="00423400" w:rsidR="00CD72D9">
        <w:rPr>
          <w:rFonts w:cs="Times New Roman"/>
          <w:szCs w:val="24"/>
        </w:rPr>
        <w:t xml:space="preserve"> </w:t>
      </w:r>
      <w:r w:rsidRPr="00423400">
        <w:rPr>
          <w:rFonts w:cs="Times New Roman"/>
          <w:szCs w:val="24"/>
        </w:rPr>
        <w:t>shall</w:t>
      </w:r>
      <w:r w:rsidRPr="00423400" w:rsidR="00CD72D9">
        <w:rPr>
          <w:rFonts w:cs="Times New Roman"/>
          <w:szCs w:val="24"/>
        </w:rPr>
        <w:t xml:space="preserve"> </w:t>
      </w:r>
      <w:r w:rsidRPr="00423400">
        <w:rPr>
          <w:rFonts w:cs="Times New Roman"/>
          <w:szCs w:val="24"/>
        </w:rPr>
        <w:t>be</w:t>
      </w:r>
      <w:r w:rsidRPr="00423400" w:rsidR="00CD72D9">
        <w:rPr>
          <w:rFonts w:cs="Times New Roman"/>
          <w:szCs w:val="24"/>
        </w:rPr>
        <w:t xml:space="preserve"> </w:t>
      </w:r>
      <w:r w:rsidRPr="00423400">
        <w:rPr>
          <w:rFonts w:cs="Times New Roman"/>
          <w:szCs w:val="24"/>
        </w:rPr>
        <w:t>in</w:t>
      </w:r>
      <w:r w:rsidRPr="00423400" w:rsidR="00CD72D9">
        <w:rPr>
          <w:rFonts w:cs="Times New Roman"/>
          <w:szCs w:val="24"/>
        </w:rPr>
        <w:t xml:space="preserve"> </w:t>
      </w:r>
      <w:r w:rsidRPr="00423400">
        <w:rPr>
          <w:rFonts w:cs="Times New Roman"/>
          <w:szCs w:val="24"/>
        </w:rPr>
        <w:t>effect.</w:t>
      </w:r>
      <w:r w:rsidRPr="00423400" w:rsidR="00CD72D9">
        <w:rPr>
          <w:rFonts w:cs="Times New Roman"/>
          <w:szCs w:val="24"/>
        </w:rPr>
        <w:t xml:space="preserve"> </w:t>
      </w:r>
      <w:r w:rsidRPr="00423400">
        <w:rPr>
          <w:rFonts w:cs="Times New Roman"/>
          <w:szCs w:val="24"/>
        </w:rPr>
        <w:t>Enforcing</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Rate</w:t>
      </w:r>
      <w:r w:rsidRPr="00423400" w:rsidR="00CD72D9">
        <w:rPr>
          <w:rFonts w:cs="Times New Roman"/>
          <w:szCs w:val="24"/>
        </w:rPr>
        <w:t xml:space="preserve"> </w:t>
      </w:r>
      <w:r w:rsidRPr="00423400">
        <w:rPr>
          <w:rFonts w:cs="Times New Roman"/>
          <w:szCs w:val="24"/>
        </w:rPr>
        <w:t>Freeze</w:t>
      </w:r>
      <w:r w:rsidRPr="00423400" w:rsidR="00CD72D9">
        <w:rPr>
          <w:rFonts w:cs="Times New Roman"/>
          <w:szCs w:val="24"/>
        </w:rPr>
        <w:t xml:space="preserve"> </w:t>
      </w:r>
      <w:r w:rsidRPr="00423400">
        <w:rPr>
          <w:rFonts w:cs="Times New Roman"/>
          <w:szCs w:val="24"/>
        </w:rPr>
        <w:t>means</w:t>
      </w:r>
      <w:r w:rsidRPr="00423400" w:rsidR="00CD72D9">
        <w:rPr>
          <w:rFonts w:cs="Times New Roman"/>
          <w:szCs w:val="24"/>
        </w:rPr>
        <w:t xml:space="preserve"> </w:t>
      </w:r>
      <w:r w:rsidRPr="00423400">
        <w:rPr>
          <w:rFonts w:cs="Times New Roman"/>
          <w:szCs w:val="24"/>
        </w:rPr>
        <w:t>that</w:t>
      </w:r>
      <w:r w:rsidRPr="00423400" w:rsidR="00CD72D9">
        <w:rPr>
          <w:rFonts w:cs="Times New Roman"/>
          <w:szCs w:val="24"/>
        </w:rPr>
        <w:t xml:space="preserve"> </w:t>
      </w:r>
      <w:r w:rsidRPr="00423400">
        <w:rPr>
          <w:rFonts w:cs="Times New Roman"/>
          <w:szCs w:val="24"/>
        </w:rPr>
        <w:t>DP&amp;L’s</w:t>
      </w:r>
      <w:r w:rsidRPr="00423400" w:rsidR="00CD72D9">
        <w:rPr>
          <w:rFonts w:cs="Times New Roman"/>
          <w:szCs w:val="24"/>
        </w:rPr>
        <w:t xml:space="preserve"> </w:t>
      </w:r>
      <w:r w:rsidRPr="00423400">
        <w:rPr>
          <w:rFonts w:cs="Times New Roman"/>
          <w:szCs w:val="24"/>
        </w:rPr>
        <w:t>rates</w:t>
      </w:r>
      <w:r w:rsidRPr="00423400" w:rsidR="00CD72D9">
        <w:rPr>
          <w:rFonts w:cs="Times New Roman"/>
          <w:szCs w:val="24"/>
        </w:rPr>
        <w:t xml:space="preserve"> </w:t>
      </w:r>
      <w:r w:rsidRPr="00423400">
        <w:rPr>
          <w:rFonts w:cs="Times New Roman"/>
          <w:szCs w:val="24"/>
        </w:rPr>
        <w:t>should</w:t>
      </w:r>
      <w:r w:rsidRPr="00423400" w:rsidR="00CD72D9">
        <w:rPr>
          <w:rFonts w:cs="Times New Roman"/>
          <w:szCs w:val="24"/>
        </w:rPr>
        <w:t xml:space="preserve"> </w:t>
      </w:r>
      <w:r w:rsidRPr="00423400">
        <w:rPr>
          <w:rFonts w:cs="Times New Roman"/>
          <w:szCs w:val="24"/>
        </w:rPr>
        <w:t>remain</w:t>
      </w:r>
      <w:r w:rsidRPr="00423400" w:rsidR="00CD72D9">
        <w:rPr>
          <w:rFonts w:cs="Times New Roman"/>
          <w:szCs w:val="24"/>
        </w:rPr>
        <w:t xml:space="preserve"> </w:t>
      </w:r>
      <w:r w:rsidRPr="00423400">
        <w:rPr>
          <w:rFonts w:cs="Times New Roman"/>
          <w:szCs w:val="24"/>
        </w:rPr>
        <w:t>at</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level</w:t>
      </w:r>
      <w:r w:rsidRPr="00423400" w:rsidR="00CD72D9">
        <w:rPr>
          <w:rFonts w:cs="Times New Roman"/>
          <w:szCs w:val="24"/>
        </w:rPr>
        <w:t xml:space="preserve"> </w:t>
      </w:r>
      <w:r w:rsidRPr="00423400">
        <w:rPr>
          <w:rFonts w:cs="Times New Roman"/>
          <w:szCs w:val="24"/>
        </w:rPr>
        <w:t>established in</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2015</w:t>
      </w:r>
      <w:r w:rsidRPr="00423400" w:rsidR="00CD72D9">
        <w:rPr>
          <w:rFonts w:cs="Times New Roman"/>
          <w:szCs w:val="24"/>
        </w:rPr>
        <w:t xml:space="preserve"> </w:t>
      </w:r>
      <w:r w:rsidRPr="00423400">
        <w:rPr>
          <w:rFonts w:cs="Times New Roman"/>
          <w:szCs w:val="24"/>
        </w:rPr>
        <w:t>rate</w:t>
      </w:r>
      <w:r w:rsidRPr="00423400" w:rsidR="00CD72D9">
        <w:rPr>
          <w:rFonts w:cs="Times New Roman"/>
          <w:szCs w:val="24"/>
        </w:rPr>
        <w:t xml:space="preserve"> </w:t>
      </w:r>
      <w:r w:rsidRPr="00423400">
        <w:rPr>
          <w:rFonts w:cs="Times New Roman"/>
          <w:szCs w:val="24"/>
        </w:rPr>
        <w:t>case.</w:t>
      </w:r>
      <w:r w:rsidRPr="00423400" w:rsidR="00CD72D9">
        <w:rPr>
          <w:rFonts w:cs="Times New Roman"/>
          <w:szCs w:val="24"/>
        </w:rPr>
        <w:t xml:space="preserve"> </w:t>
      </w:r>
      <w:r w:rsidRPr="00423400">
        <w:rPr>
          <w:rFonts w:cs="Times New Roman"/>
          <w:szCs w:val="24"/>
        </w:rPr>
        <w:t>DP&amp;L</w:t>
      </w:r>
      <w:r w:rsidRPr="00423400" w:rsidR="00CD72D9">
        <w:rPr>
          <w:rFonts w:cs="Times New Roman"/>
          <w:szCs w:val="24"/>
        </w:rPr>
        <w:t xml:space="preserve"> </w:t>
      </w:r>
      <w:r w:rsidRPr="00423400">
        <w:rPr>
          <w:rFonts w:cs="Times New Roman"/>
          <w:szCs w:val="24"/>
        </w:rPr>
        <w:t>is</w:t>
      </w:r>
      <w:r w:rsidRPr="00423400" w:rsidR="00CD72D9">
        <w:rPr>
          <w:rFonts w:cs="Times New Roman"/>
          <w:szCs w:val="24"/>
        </w:rPr>
        <w:t xml:space="preserve"> </w:t>
      </w:r>
      <w:r w:rsidRPr="00423400">
        <w:rPr>
          <w:rFonts w:cs="Times New Roman"/>
          <w:szCs w:val="24"/>
        </w:rPr>
        <w:t>not</w:t>
      </w:r>
      <w:r w:rsidRPr="00423400" w:rsidR="00CD72D9">
        <w:rPr>
          <w:rFonts w:cs="Times New Roman"/>
          <w:szCs w:val="24"/>
        </w:rPr>
        <w:t xml:space="preserve"> </w:t>
      </w:r>
      <w:r w:rsidRPr="00423400">
        <w:rPr>
          <w:rFonts w:cs="Times New Roman"/>
          <w:szCs w:val="24"/>
        </w:rPr>
        <w:t>entitled</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a</w:t>
      </w:r>
      <w:r w:rsidRPr="00423400" w:rsidR="00CD72D9">
        <w:rPr>
          <w:rFonts w:cs="Times New Roman"/>
          <w:szCs w:val="24"/>
        </w:rPr>
        <w:t xml:space="preserve"> </w:t>
      </w:r>
      <w:r w:rsidRPr="00423400">
        <w:rPr>
          <w:rFonts w:cs="Times New Roman"/>
          <w:szCs w:val="24"/>
        </w:rPr>
        <w:t>$121</w:t>
      </w:r>
      <w:r w:rsidRPr="00423400" w:rsidR="00CD72D9">
        <w:rPr>
          <w:rFonts w:cs="Times New Roman"/>
          <w:szCs w:val="24"/>
        </w:rPr>
        <w:t xml:space="preserve"> </w:t>
      </w:r>
      <w:r w:rsidRPr="00423400">
        <w:rPr>
          <w:rFonts w:cs="Times New Roman"/>
          <w:szCs w:val="24"/>
        </w:rPr>
        <w:t>million</w:t>
      </w:r>
      <w:r w:rsidRPr="00423400" w:rsidR="00CD72D9">
        <w:rPr>
          <w:rFonts w:cs="Times New Roman"/>
          <w:szCs w:val="24"/>
        </w:rPr>
        <w:t xml:space="preserve"> </w:t>
      </w:r>
      <w:r w:rsidRPr="00423400">
        <w:rPr>
          <w:rFonts w:cs="Times New Roman"/>
          <w:szCs w:val="24"/>
        </w:rPr>
        <w:t>rate</w:t>
      </w:r>
      <w:r w:rsidRPr="00423400" w:rsidR="00CD72D9">
        <w:rPr>
          <w:rFonts w:cs="Times New Roman"/>
          <w:szCs w:val="24"/>
        </w:rPr>
        <w:t xml:space="preserve"> </w:t>
      </w:r>
      <w:r w:rsidRPr="00423400">
        <w:rPr>
          <w:rFonts w:cs="Times New Roman"/>
          <w:szCs w:val="24"/>
        </w:rPr>
        <w:t>increase,</w:t>
      </w:r>
      <w:r w:rsidRPr="00423400" w:rsidR="00CD72D9">
        <w:rPr>
          <w:rFonts w:cs="Times New Roman"/>
          <w:szCs w:val="24"/>
        </w:rPr>
        <w:t xml:space="preserve"> </w:t>
      </w:r>
      <w:r w:rsidRPr="00423400">
        <w:rPr>
          <w:rFonts w:cs="Times New Roman"/>
          <w:szCs w:val="24"/>
        </w:rPr>
        <w:t>or</w:t>
      </w:r>
      <w:r w:rsidRPr="00423400" w:rsidR="00CD72D9">
        <w:rPr>
          <w:rFonts w:cs="Times New Roman"/>
          <w:szCs w:val="24"/>
        </w:rPr>
        <w:t xml:space="preserve"> </w:t>
      </w:r>
      <w:r w:rsidRPr="00423400">
        <w:rPr>
          <w:rFonts w:cs="Times New Roman"/>
          <w:szCs w:val="24"/>
        </w:rPr>
        <w:t>a</w:t>
      </w:r>
      <w:r w:rsidRPr="00423400" w:rsidR="00CD72D9">
        <w:rPr>
          <w:rFonts w:cs="Times New Roman"/>
          <w:szCs w:val="24"/>
        </w:rPr>
        <w:t xml:space="preserve"> </w:t>
      </w:r>
      <w:r w:rsidRPr="00423400">
        <w:rPr>
          <w:rFonts w:cs="Times New Roman"/>
          <w:szCs w:val="24"/>
        </w:rPr>
        <w:t>rate</w:t>
      </w:r>
      <w:r w:rsidRPr="00423400" w:rsidR="00CD72D9">
        <w:rPr>
          <w:rFonts w:cs="Times New Roman"/>
          <w:szCs w:val="24"/>
        </w:rPr>
        <w:t xml:space="preserve"> </w:t>
      </w:r>
      <w:r w:rsidRPr="00423400">
        <w:rPr>
          <w:rFonts w:cs="Times New Roman"/>
          <w:szCs w:val="24"/>
        </w:rPr>
        <w:t>increase</w:t>
      </w:r>
      <w:r w:rsidRPr="00423400" w:rsidR="00CD72D9">
        <w:rPr>
          <w:rFonts w:cs="Times New Roman"/>
          <w:szCs w:val="24"/>
        </w:rPr>
        <w:t xml:space="preserve"> </w:t>
      </w:r>
      <w:r w:rsidRPr="00423400">
        <w:rPr>
          <w:rFonts w:cs="Times New Roman"/>
          <w:szCs w:val="24"/>
        </w:rPr>
        <w:t>of any</w:t>
      </w:r>
      <w:r w:rsidRPr="00423400" w:rsidR="00CD72D9">
        <w:rPr>
          <w:rFonts w:cs="Times New Roman"/>
          <w:szCs w:val="24"/>
        </w:rPr>
        <w:t xml:space="preserve"> </w:t>
      </w:r>
      <w:r w:rsidRPr="00423400">
        <w:rPr>
          <w:rFonts w:cs="Times New Roman"/>
          <w:szCs w:val="24"/>
        </w:rPr>
        <w:t>other</w:t>
      </w:r>
      <w:r w:rsidRPr="00423400" w:rsidR="00CD72D9">
        <w:rPr>
          <w:rFonts w:cs="Times New Roman"/>
          <w:szCs w:val="24"/>
        </w:rPr>
        <w:t xml:space="preserve"> </w:t>
      </w:r>
      <w:r w:rsidRPr="00423400">
        <w:rPr>
          <w:rFonts w:cs="Times New Roman"/>
          <w:szCs w:val="24"/>
        </w:rPr>
        <w:t>amount</w:t>
      </w:r>
      <w:r w:rsidRPr="00423400" w:rsidR="0020454E">
        <w:rPr>
          <w:rFonts w:cs="Times New Roman"/>
          <w:szCs w:val="24"/>
        </w:rPr>
        <w:t xml:space="preserve"> while ESP I is in effect</w:t>
      </w:r>
      <w:r w:rsidRPr="00423400">
        <w:rPr>
          <w:rFonts w:cs="Times New Roman"/>
          <w:szCs w:val="24"/>
        </w:rPr>
        <w:t>.</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PUCO</w:t>
      </w:r>
      <w:r w:rsidRPr="00423400" w:rsidR="00CD72D9">
        <w:rPr>
          <w:rFonts w:cs="Times New Roman"/>
          <w:szCs w:val="24"/>
        </w:rPr>
        <w:t xml:space="preserve"> </w:t>
      </w:r>
      <w:r w:rsidRPr="00423400">
        <w:rPr>
          <w:rFonts w:cs="Times New Roman"/>
          <w:szCs w:val="24"/>
        </w:rPr>
        <w:t>should</w:t>
      </w:r>
      <w:r w:rsidRPr="00423400" w:rsidR="00CD72D9">
        <w:rPr>
          <w:rFonts w:cs="Times New Roman"/>
          <w:szCs w:val="24"/>
        </w:rPr>
        <w:t xml:space="preserve"> </w:t>
      </w:r>
      <w:r w:rsidRPr="00423400">
        <w:rPr>
          <w:rFonts w:cs="Times New Roman"/>
          <w:szCs w:val="24"/>
        </w:rPr>
        <w:t>deny</w:t>
      </w:r>
      <w:r w:rsidRPr="00423400" w:rsidR="00CD72D9">
        <w:rPr>
          <w:rFonts w:cs="Times New Roman"/>
          <w:szCs w:val="24"/>
        </w:rPr>
        <w:t xml:space="preserve"> </w:t>
      </w:r>
      <w:r w:rsidRPr="00423400" w:rsidR="00EA5359">
        <w:rPr>
          <w:rFonts w:cs="Times New Roman"/>
          <w:szCs w:val="24"/>
        </w:rPr>
        <w:t>DP&amp;L any rate increase</w:t>
      </w:r>
      <w:r w:rsidRPr="00423400">
        <w:rPr>
          <w:rFonts w:cs="Times New Roman"/>
          <w:szCs w:val="24"/>
        </w:rPr>
        <w:t xml:space="preserve"> for</w:t>
      </w:r>
      <w:r w:rsidRPr="00423400" w:rsidR="00CD72D9">
        <w:rPr>
          <w:rFonts w:cs="Times New Roman"/>
          <w:szCs w:val="24"/>
        </w:rPr>
        <w:t xml:space="preserve"> </w:t>
      </w:r>
      <w:r w:rsidRPr="00423400">
        <w:rPr>
          <w:rFonts w:cs="Times New Roman"/>
          <w:szCs w:val="24"/>
        </w:rPr>
        <w:t>as</w:t>
      </w:r>
      <w:r w:rsidRPr="00423400" w:rsidR="00CD72D9">
        <w:rPr>
          <w:rFonts w:cs="Times New Roman"/>
          <w:szCs w:val="24"/>
        </w:rPr>
        <w:t xml:space="preserve"> </w:t>
      </w:r>
      <w:r w:rsidRPr="00423400">
        <w:rPr>
          <w:rFonts w:cs="Times New Roman"/>
          <w:szCs w:val="24"/>
        </w:rPr>
        <w:t>long</w:t>
      </w:r>
      <w:r w:rsidRPr="00423400" w:rsidR="00CD72D9">
        <w:rPr>
          <w:rFonts w:cs="Times New Roman"/>
          <w:szCs w:val="24"/>
        </w:rPr>
        <w:t xml:space="preserve"> </w:t>
      </w:r>
      <w:r w:rsidRPr="00423400">
        <w:rPr>
          <w:rFonts w:cs="Times New Roman"/>
          <w:szCs w:val="24"/>
        </w:rPr>
        <w:t>as</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w:t>
      </w:r>
      <w:r w:rsidRPr="00423400" w:rsidR="00CD72D9">
        <w:rPr>
          <w:rFonts w:cs="Times New Roman"/>
          <w:szCs w:val="24"/>
        </w:rPr>
        <w:t xml:space="preserve"> </w:t>
      </w:r>
      <w:r w:rsidRPr="00423400">
        <w:rPr>
          <w:rFonts w:cs="Times New Roman"/>
          <w:szCs w:val="24"/>
        </w:rPr>
        <w:t>remains</w:t>
      </w:r>
      <w:r w:rsidRPr="00423400" w:rsidR="00CD72D9">
        <w:rPr>
          <w:rFonts w:cs="Times New Roman"/>
          <w:szCs w:val="24"/>
        </w:rPr>
        <w:t xml:space="preserve"> </w:t>
      </w:r>
      <w:r w:rsidRPr="00423400">
        <w:rPr>
          <w:rFonts w:cs="Times New Roman"/>
          <w:szCs w:val="24"/>
        </w:rPr>
        <w:t>effective.</w:t>
      </w:r>
    </w:p>
    <w:p w:rsidR="00111344" w:rsidRPr="00423400" w:rsidP="00111344" w14:paraId="52FCE34E" w14:textId="77777777">
      <w:pPr>
        <w:spacing w:after="0" w:line="240" w:lineRule="auto"/>
        <w:ind w:firstLine="720"/>
        <w:rPr>
          <w:rFonts w:cs="Times New Roman"/>
          <w:szCs w:val="24"/>
        </w:rPr>
      </w:pPr>
    </w:p>
    <w:p w:rsidR="009E5B89" w:rsidRPr="00423400" w:rsidP="0012105E" w14:paraId="4AA8F75C" w14:textId="77777777">
      <w:pPr>
        <w:pStyle w:val="Heading1"/>
        <w:spacing w:before="0" w:after="240"/>
        <w:ind w:left="720" w:hanging="720"/>
        <w:rPr>
          <w:rFonts w:cs="Times New Roman"/>
          <w:b/>
          <w:bCs/>
          <w:szCs w:val="24"/>
        </w:rPr>
      </w:pPr>
      <w:bookmarkStart w:id="11" w:name="_Toc97298194"/>
      <w:r w:rsidRPr="00423400">
        <w:rPr>
          <w:rFonts w:cs="Times New Roman"/>
          <w:b/>
          <w:bCs/>
          <w:szCs w:val="24"/>
        </w:rPr>
        <w:t>DP&amp;L’s</w:t>
      </w:r>
      <w:r w:rsidRPr="00423400" w:rsidR="00FB425D">
        <w:rPr>
          <w:rFonts w:cs="Times New Roman"/>
          <w:b/>
          <w:bCs/>
          <w:szCs w:val="24"/>
        </w:rPr>
        <w:t xml:space="preserve"> APPLICATION </w:t>
      </w:r>
      <w:r w:rsidRPr="00423400">
        <w:rPr>
          <w:rFonts w:cs="Times New Roman"/>
          <w:b/>
          <w:bCs/>
          <w:szCs w:val="24"/>
        </w:rPr>
        <w:t xml:space="preserve">TO INCREASE RATES </w:t>
      </w:r>
      <w:r w:rsidRPr="00423400" w:rsidR="00FB425D">
        <w:rPr>
          <w:rFonts w:cs="Times New Roman"/>
          <w:b/>
          <w:bCs/>
          <w:szCs w:val="24"/>
        </w:rPr>
        <w:t xml:space="preserve">SHOULD BE DISMISSED </w:t>
      </w:r>
      <w:r w:rsidRPr="00423400" w:rsidR="00E2051B">
        <w:rPr>
          <w:rFonts w:cs="Times New Roman"/>
          <w:b/>
          <w:bCs/>
          <w:szCs w:val="24"/>
        </w:rPr>
        <w:t xml:space="preserve">OR STAYED </w:t>
      </w:r>
      <w:r w:rsidRPr="00423400" w:rsidR="00FB425D">
        <w:rPr>
          <w:rFonts w:cs="Times New Roman"/>
          <w:b/>
          <w:bCs/>
          <w:szCs w:val="24"/>
        </w:rPr>
        <w:t>UNTIL ESP I EXPIRES</w:t>
      </w:r>
      <w:r w:rsidRPr="00423400">
        <w:rPr>
          <w:rFonts w:cs="Times New Roman"/>
          <w:b/>
          <w:bCs/>
          <w:szCs w:val="24"/>
        </w:rPr>
        <w:t>.</w:t>
      </w:r>
      <w:bookmarkEnd w:id="11"/>
    </w:p>
    <w:p w:rsidR="00F777C3" w:rsidRPr="00423400" w:rsidP="00F777C3" w14:paraId="4F265DF6" w14:textId="77777777">
      <w:pPr>
        <w:pStyle w:val="Heading2"/>
        <w:ind w:left="1440" w:hanging="720"/>
        <w:rPr>
          <w:szCs w:val="24"/>
        </w:rPr>
      </w:pPr>
      <w:bookmarkStart w:id="12" w:name="_Toc97298195"/>
      <w:r w:rsidRPr="00423400">
        <w:rPr>
          <w:color w:val="auto"/>
          <w:sz w:val="24"/>
          <w:szCs w:val="24"/>
        </w:rPr>
        <w:t>DP&amp;L’s</w:t>
      </w:r>
      <w:r w:rsidRPr="00423400" w:rsidR="00CD72D9">
        <w:rPr>
          <w:color w:val="auto"/>
          <w:sz w:val="24"/>
          <w:szCs w:val="24"/>
        </w:rPr>
        <w:t xml:space="preserve"> </w:t>
      </w:r>
      <w:r w:rsidRPr="00423400">
        <w:rPr>
          <w:color w:val="auto"/>
          <w:sz w:val="24"/>
          <w:szCs w:val="24"/>
        </w:rPr>
        <w:t>application</w:t>
      </w:r>
      <w:r w:rsidRPr="00423400" w:rsidR="00CD72D9">
        <w:rPr>
          <w:color w:val="auto"/>
          <w:sz w:val="24"/>
          <w:szCs w:val="24"/>
        </w:rPr>
        <w:t xml:space="preserve"> </w:t>
      </w:r>
      <w:r w:rsidRPr="00423400">
        <w:rPr>
          <w:color w:val="auto"/>
          <w:sz w:val="24"/>
          <w:szCs w:val="24"/>
        </w:rPr>
        <w:t>is</w:t>
      </w:r>
      <w:r w:rsidRPr="00423400" w:rsidR="00CD72D9">
        <w:rPr>
          <w:color w:val="auto"/>
          <w:sz w:val="24"/>
          <w:szCs w:val="24"/>
        </w:rPr>
        <w:t xml:space="preserve"> </w:t>
      </w:r>
      <w:r w:rsidRPr="00423400">
        <w:rPr>
          <w:color w:val="auto"/>
          <w:sz w:val="24"/>
          <w:szCs w:val="24"/>
        </w:rPr>
        <w:t>unlawful</w:t>
      </w:r>
      <w:r w:rsidRPr="00423400" w:rsidR="00CD72D9">
        <w:rPr>
          <w:color w:val="auto"/>
          <w:sz w:val="24"/>
          <w:szCs w:val="24"/>
        </w:rPr>
        <w:t xml:space="preserve"> </w:t>
      </w:r>
      <w:r w:rsidRPr="00423400">
        <w:rPr>
          <w:color w:val="auto"/>
          <w:sz w:val="24"/>
          <w:szCs w:val="24"/>
        </w:rPr>
        <w:t>under</w:t>
      </w:r>
      <w:r w:rsidRPr="00423400" w:rsidR="00CD72D9">
        <w:rPr>
          <w:color w:val="auto"/>
          <w:sz w:val="24"/>
          <w:szCs w:val="24"/>
        </w:rPr>
        <w:t xml:space="preserve"> </w:t>
      </w:r>
      <w:r w:rsidRPr="00423400">
        <w:rPr>
          <w:color w:val="auto"/>
          <w:sz w:val="24"/>
          <w:szCs w:val="24"/>
        </w:rPr>
        <w:t>R.C.</w:t>
      </w:r>
      <w:r w:rsidRPr="00423400" w:rsidR="00CD72D9">
        <w:rPr>
          <w:color w:val="auto"/>
          <w:sz w:val="24"/>
          <w:szCs w:val="24"/>
        </w:rPr>
        <w:t xml:space="preserve"> </w:t>
      </w:r>
      <w:r w:rsidRPr="00423400">
        <w:rPr>
          <w:color w:val="auto"/>
          <w:sz w:val="24"/>
          <w:szCs w:val="24"/>
        </w:rPr>
        <w:t>4928.143(C)(2)(b),</w:t>
      </w:r>
      <w:r w:rsidRPr="00423400" w:rsidR="00CD72D9">
        <w:rPr>
          <w:color w:val="auto"/>
          <w:sz w:val="24"/>
          <w:szCs w:val="24"/>
        </w:rPr>
        <w:t xml:space="preserve"> </w:t>
      </w:r>
      <w:r w:rsidRPr="00423400">
        <w:rPr>
          <w:color w:val="auto"/>
          <w:sz w:val="24"/>
          <w:szCs w:val="24"/>
        </w:rPr>
        <w:t>as</w:t>
      </w:r>
      <w:r w:rsidRPr="00423400" w:rsidR="00CD72D9">
        <w:rPr>
          <w:color w:val="auto"/>
          <w:sz w:val="24"/>
          <w:szCs w:val="24"/>
        </w:rPr>
        <w:t xml:space="preserve"> </w:t>
      </w:r>
      <w:r w:rsidRPr="00423400">
        <w:rPr>
          <w:color w:val="auto"/>
          <w:sz w:val="24"/>
          <w:szCs w:val="24"/>
        </w:rPr>
        <w:t>interpreted by</w:t>
      </w:r>
      <w:r w:rsidRPr="00423400" w:rsidR="00CD72D9">
        <w:rPr>
          <w:color w:val="auto"/>
          <w:sz w:val="24"/>
          <w:szCs w:val="24"/>
        </w:rPr>
        <w:t xml:space="preserve"> </w:t>
      </w:r>
      <w:r w:rsidRPr="00423400">
        <w:rPr>
          <w:color w:val="auto"/>
          <w:sz w:val="24"/>
          <w:szCs w:val="24"/>
        </w:rPr>
        <w:t>the</w:t>
      </w:r>
      <w:r w:rsidRPr="00423400" w:rsidR="00CD72D9">
        <w:rPr>
          <w:color w:val="auto"/>
          <w:sz w:val="24"/>
          <w:szCs w:val="24"/>
        </w:rPr>
        <w:t xml:space="preserve"> </w:t>
      </w:r>
      <w:r w:rsidRPr="00423400">
        <w:rPr>
          <w:color w:val="auto"/>
          <w:sz w:val="24"/>
          <w:szCs w:val="24"/>
        </w:rPr>
        <w:t>PUCO.</w:t>
      </w:r>
      <w:r w:rsidRPr="00423400" w:rsidR="00CD72D9">
        <w:rPr>
          <w:color w:val="auto"/>
          <w:sz w:val="24"/>
          <w:szCs w:val="24"/>
        </w:rPr>
        <w:t xml:space="preserve"> </w:t>
      </w:r>
      <w:r w:rsidRPr="00423400">
        <w:rPr>
          <w:color w:val="auto"/>
          <w:sz w:val="24"/>
          <w:szCs w:val="24"/>
        </w:rPr>
        <w:t>The</w:t>
      </w:r>
      <w:r w:rsidRPr="00423400" w:rsidR="00CD72D9">
        <w:rPr>
          <w:color w:val="auto"/>
          <w:sz w:val="24"/>
          <w:szCs w:val="24"/>
        </w:rPr>
        <w:t xml:space="preserve"> </w:t>
      </w:r>
      <w:r w:rsidRPr="00423400">
        <w:rPr>
          <w:color w:val="auto"/>
          <w:sz w:val="24"/>
          <w:szCs w:val="24"/>
        </w:rPr>
        <w:t>PUCO must enforce</w:t>
      </w:r>
      <w:r w:rsidRPr="00423400" w:rsidR="00CD72D9">
        <w:rPr>
          <w:color w:val="auto"/>
          <w:sz w:val="24"/>
          <w:szCs w:val="24"/>
        </w:rPr>
        <w:t xml:space="preserve"> </w:t>
      </w:r>
      <w:r w:rsidRPr="00423400">
        <w:rPr>
          <w:color w:val="auto"/>
          <w:sz w:val="24"/>
          <w:szCs w:val="24"/>
        </w:rPr>
        <w:t>the</w:t>
      </w:r>
      <w:r w:rsidRPr="00423400" w:rsidR="00CD72D9">
        <w:rPr>
          <w:color w:val="auto"/>
          <w:sz w:val="24"/>
          <w:szCs w:val="24"/>
        </w:rPr>
        <w:t xml:space="preserve"> </w:t>
      </w:r>
      <w:r w:rsidRPr="00423400">
        <w:rPr>
          <w:color w:val="auto"/>
          <w:sz w:val="24"/>
          <w:szCs w:val="24"/>
        </w:rPr>
        <w:t>terms</w:t>
      </w:r>
      <w:r w:rsidRPr="00423400" w:rsidR="00CD72D9">
        <w:rPr>
          <w:color w:val="auto"/>
          <w:sz w:val="24"/>
          <w:szCs w:val="24"/>
        </w:rPr>
        <w:t xml:space="preserve"> </w:t>
      </w:r>
      <w:r w:rsidRPr="00423400">
        <w:rPr>
          <w:color w:val="auto"/>
          <w:sz w:val="24"/>
          <w:szCs w:val="24"/>
        </w:rPr>
        <w:t>of</w:t>
      </w:r>
      <w:r w:rsidRPr="00423400" w:rsidR="00CD72D9">
        <w:rPr>
          <w:color w:val="auto"/>
          <w:sz w:val="24"/>
          <w:szCs w:val="24"/>
        </w:rPr>
        <w:t xml:space="preserve"> </w:t>
      </w:r>
      <w:r w:rsidRPr="00423400">
        <w:rPr>
          <w:color w:val="auto"/>
          <w:sz w:val="24"/>
          <w:szCs w:val="24"/>
        </w:rPr>
        <w:t>ESP</w:t>
      </w:r>
      <w:r w:rsidRPr="00423400" w:rsidR="00CD72D9">
        <w:rPr>
          <w:color w:val="auto"/>
          <w:sz w:val="24"/>
          <w:szCs w:val="24"/>
        </w:rPr>
        <w:t xml:space="preserve"> </w:t>
      </w:r>
      <w:r w:rsidRPr="00423400">
        <w:rPr>
          <w:color w:val="auto"/>
          <w:sz w:val="24"/>
          <w:szCs w:val="24"/>
        </w:rPr>
        <w:t>I</w:t>
      </w:r>
      <w:r w:rsidRPr="00423400" w:rsidR="00CD72D9">
        <w:rPr>
          <w:color w:val="auto"/>
          <w:sz w:val="24"/>
          <w:szCs w:val="24"/>
        </w:rPr>
        <w:t xml:space="preserve"> </w:t>
      </w:r>
      <w:r w:rsidRPr="00423400">
        <w:rPr>
          <w:color w:val="auto"/>
          <w:sz w:val="24"/>
          <w:szCs w:val="24"/>
        </w:rPr>
        <w:t>in</w:t>
      </w:r>
      <w:r w:rsidRPr="00423400" w:rsidR="00CD72D9">
        <w:rPr>
          <w:color w:val="auto"/>
          <w:sz w:val="24"/>
          <w:szCs w:val="24"/>
        </w:rPr>
        <w:t xml:space="preserve"> </w:t>
      </w:r>
      <w:r w:rsidRPr="00423400">
        <w:rPr>
          <w:color w:val="auto"/>
          <w:sz w:val="24"/>
          <w:szCs w:val="24"/>
        </w:rPr>
        <w:t>their</w:t>
      </w:r>
      <w:r w:rsidRPr="00423400" w:rsidR="00CD72D9">
        <w:rPr>
          <w:color w:val="auto"/>
          <w:sz w:val="24"/>
          <w:szCs w:val="24"/>
        </w:rPr>
        <w:t xml:space="preserve"> </w:t>
      </w:r>
      <w:r w:rsidRPr="00423400">
        <w:rPr>
          <w:color w:val="auto"/>
          <w:sz w:val="24"/>
          <w:szCs w:val="24"/>
        </w:rPr>
        <w:t>entirety, including</w:t>
      </w:r>
      <w:r w:rsidRPr="00423400" w:rsidR="00CD72D9">
        <w:rPr>
          <w:color w:val="auto"/>
          <w:sz w:val="24"/>
          <w:szCs w:val="24"/>
        </w:rPr>
        <w:t xml:space="preserve"> </w:t>
      </w:r>
      <w:r w:rsidRPr="00423400">
        <w:rPr>
          <w:color w:val="auto"/>
          <w:sz w:val="24"/>
          <w:szCs w:val="24"/>
        </w:rPr>
        <w:t>the</w:t>
      </w:r>
      <w:r w:rsidRPr="00423400" w:rsidR="00CD72D9">
        <w:rPr>
          <w:color w:val="auto"/>
          <w:sz w:val="24"/>
          <w:szCs w:val="24"/>
        </w:rPr>
        <w:t xml:space="preserve"> </w:t>
      </w:r>
      <w:r w:rsidRPr="00423400">
        <w:rPr>
          <w:color w:val="auto"/>
          <w:sz w:val="24"/>
          <w:szCs w:val="24"/>
        </w:rPr>
        <w:t>Rate</w:t>
      </w:r>
      <w:r w:rsidRPr="00423400" w:rsidR="00CD72D9">
        <w:rPr>
          <w:color w:val="auto"/>
          <w:sz w:val="24"/>
          <w:szCs w:val="24"/>
        </w:rPr>
        <w:t xml:space="preserve"> </w:t>
      </w:r>
      <w:r w:rsidRPr="00423400">
        <w:rPr>
          <w:color w:val="auto"/>
          <w:sz w:val="24"/>
          <w:szCs w:val="24"/>
        </w:rPr>
        <w:t>Freeze (of DP&amp;L’s base rates at the level approved in the 2015 base rate case),</w:t>
      </w:r>
      <w:r w:rsidRPr="00423400" w:rsidR="00CD72D9">
        <w:rPr>
          <w:color w:val="auto"/>
          <w:sz w:val="24"/>
          <w:szCs w:val="24"/>
        </w:rPr>
        <w:t xml:space="preserve"> </w:t>
      </w:r>
      <w:r w:rsidRPr="00423400">
        <w:rPr>
          <w:color w:val="auto"/>
          <w:sz w:val="24"/>
          <w:szCs w:val="24"/>
        </w:rPr>
        <w:t>which</w:t>
      </w:r>
      <w:r w:rsidRPr="00423400" w:rsidR="00CD72D9">
        <w:rPr>
          <w:color w:val="auto"/>
          <w:sz w:val="24"/>
          <w:szCs w:val="24"/>
        </w:rPr>
        <w:t xml:space="preserve"> </w:t>
      </w:r>
      <w:r w:rsidRPr="00423400">
        <w:rPr>
          <w:color w:val="auto"/>
          <w:sz w:val="24"/>
          <w:szCs w:val="24"/>
        </w:rPr>
        <w:t>is</w:t>
      </w:r>
      <w:r w:rsidRPr="00423400" w:rsidR="00CD72D9">
        <w:rPr>
          <w:color w:val="auto"/>
          <w:sz w:val="24"/>
          <w:szCs w:val="24"/>
        </w:rPr>
        <w:t xml:space="preserve"> </w:t>
      </w:r>
      <w:r w:rsidRPr="00423400">
        <w:rPr>
          <w:color w:val="auto"/>
          <w:sz w:val="24"/>
          <w:szCs w:val="24"/>
        </w:rPr>
        <w:t>an</w:t>
      </w:r>
      <w:r w:rsidRPr="00423400" w:rsidR="00CD72D9">
        <w:rPr>
          <w:color w:val="auto"/>
          <w:sz w:val="24"/>
          <w:szCs w:val="24"/>
        </w:rPr>
        <w:t xml:space="preserve"> </w:t>
      </w:r>
      <w:r w:rsidRPr="00423400">
        <w:rPr>
          <w:color w:val="auto"/>
          <w:sz w:val="24"/>
          <w:szCs w:val="24"/>
        </w:rPr>
        <w:t>agreed-upon</w:t>
      </w:r>
      <w:r w:rsidRPr="00423400" w:rsidR="00CD72D9">
        <w:rPr>
          <w:color w:val="auto"/>
          <w:sz w:val="24"/>
          <w:szCs w:val="24"/>
        </w:rPr>
        <w:t xml:space="preserve"> </w:t>
      </w:r>
      <w:r w:rsidRPr="00423400">
        <w:rPr>
          <w:color w:val="auto"/>
          <w:sz w:val="24"/>
          <w:szCs w:val="24"/>
        </w:rPr>
        <w:t>consumer</w:t>
      </w:r>
      <w:r w:rsidRPr="00423400" w:rsidR="00CD72D9">
        <w:rPr>
          <w:color w:val="auto"/>
          <w:sz w:val="24"/>
          <w:szCs w:val="24"/>
        </w:rPr>
        <w:t xml:space="preserve"> </w:t>
      </w:r>
      <w:r w:rsidRPr="00423400">
        <w:rPr>
          <w:color w:val="auto"/>
          <w:sz w:val="24"/>
          <w:szCs w:val="24"/>
        </w:rPr>
        <w:t>protection.</w:t>
      </w:r>
      <w:bookmarkEnd w:id="12"/>
    </w:p>
    <w:p w:rsidR="00E43B05" w:rsidRPr="00423400" w:rsidP="00E43B05" w14:paraId="0DEF8288" w14:textId="77777777">
      <w:pPr>
        <w:spacing w:before="240" w:after="0" w:line="480" w:lineRule="auto"/>
        <w:ind w:firstLine="720"/>
        <w:rPr>
          <w:rFonts w:cs="Times New Roman"/>
          <w:szCs w:val="24"/>
        </w:rPr>
      </w:pPr>
      <w:r w:rsidRPr="00423400">
        <w:rPr>
          <w:rFonts w:cs="Times New Roman"/>
          <w:szCs w:val="24"/>
        </w:rPr>
        <w:t xml:space="preserve">To protect consumers, the PUCO should enforce the terms of ESP I in their entirely, including the Rate Freeze, which is an agreed-upon consumer protection. The PUCO should deny or dismiss DP&amp;L’s application for an increase until the expiration of ESP I. </w:t>
      </w:r>
      <w:r w:rsidRPr="00423400" w:rsidR="008D1346">
        <w:rPr>
          <w:rFonts w:cs="Times New Roman"/>
          <w:szCs w:val="24"/>
        </w:rPr>
        <w:t>At a</w:t>
      </w:r>
      <w:r w:rsidRPr="00423400" w:rsidR="00CD72D9">
        <w:rPr>
          <w:rFonts w:cs="Times New Roman"/>
          <w:szCs w:val="24"/>
        </w:rPr>
        <w:t xml:space="preserve"> </w:t>
      </w:r>
      <w:r w:rsidRPr="00423400" w:rsidR="008D1346">
        <w:rPr>
          <w:rFonts w:cs="Times New Roman"/>
          <w:szCs w:val="24"/>
        </w:rPr>
        <w:t xml:space="preserve">minimum, any increase granted by the PUCO should be stayed </w:t>
      </w:r>
      <w:r w:rsidRPr="00423400" w:rsidR="001D566A">
        <w:rPr>
          <w:rFonts w:cs="Times New Roman"/>
          <w:szCs w:val="24"/>
        </w:rPr>
        <w:t xml:space="preserve">until ESP I expires. </w:t>
      </w:r>
      <w:r w:rsidRPr="00423400">
        <w:rPr>
          <w:rFonts w:cs="Times New Roman"/>
          <w:szCs w:val="24"/>
        </w:rPr>
        <w:t>To do otherwise violates the settlement agreement in ESP I, the PUCO’s</w:t>
      </w:r>
      <w:r w:rsidRPr="00423400" w:rsidR="00CD72D9">
        <w:rPr>
          <w:rFonts w:cs="Times New Roman"/>
          <w:szCs w:val="24"/>
        </w:rPr>
        <w:t xml:space="preserve"> </w:t>
      </w:r>
      <w:r w:rsidRPr="00423400">
        <w:rPr>
          <w:rFonts w:cs="Times New Roman"/>
          <w:szCs w:val="24"/>
        </w:rPr>
        <w:t>rulings</w:t>
      </w:r>
      <w:r w:rsidRPr="00423400" w:rsidR="00CD72D9">
        <w:rPr>
          <w:rFonts w:cs="Times New Roman"/>
          <w:szCs w:val="24"/>
        </w:rPr>
        <w:t xml:space="preserve"> </w:t>
      </w:r>
      <w:r w:rsidRPr="00423400">
        <w:rPr>
          <w:rFonts w:cs="Times New Roman"/>
          <w:szCs w:val="24"/>
        </w:rPr>
        <w:t>on</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continuation</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DP&amp;L</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sidR="001D566A">
        <w:rPr>
          <w:rFonts w:cs="Times New Roman"/>
          <w:szCs w:val="24"/>
        </w:rPr>
        <w:t>I</w:t>
      </w:r>
      <w:r w:rsidRPr="00423400">
        <w:rPr>
          <w:rFonts w:cs="Times New Roman"/>
          <w:szCs w:val="24"/>
        </w:rPr>
        <w:t>,</w:t>
      </w:r>
      <w:r w:rsidRPr="00423400" w:rsidR="00CD72D9">
        <w:rPr>
          <w:rFonts w:cs="Times New Roman"/>
          <w:szCs w:val="24"/>
        </w:rPr>
        <w:t xml:space="preserve"> </w:t>
      </w:r>
      <w:r w:rsidRPr="00423400">
        <w:rPr>
          <w:rFonts w:cs="Times New Roman"/>
          <w:szCs w:val="24"/>
        </w:rPr>
        <w:t>and</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PUCO’s</w:t>
      </w:r>
      <w:r w:rsidRPr="00423400" w:rsidR="00CD72D9">
        <w:rPr>
          <w:rFonts w:cs="Times New Roman"/>
          <w:szCs w:val="24"/>
        </w:rPr>
        <w:t xml:space="preserve"> </w:t>
      </w:r>
      <w:r w:rsidRPr="00423400">
        <w:rPr>
          <w:rFonts w:cs="Times New Roman"/>
          <w:szCs w:val="24"/>
        </w:rPr>
        <w:t>interpretation</w:t>
      </w:r>
      <w:r w:rsidRPr="00423400" w:rsidR="00CD72D9">
        <w:rPr>
          <w:rFonts w:cs="Times New Roman"/>
          <w:szCs w:val="24"/>
        </w:rPr>
        <w:t xml:space="preserve"> </w:t>
      </w:r>
      <w:r w:rsidRPr="00423400">
        <w:rPr>
          <w:rFonts w:cs="Times New Roman"/>
          <w:szCs w:val="24"/>
        </w:rPr>
        <w:t xml:space="preserve">of 4928.143(C)(2)(b). </w:t>
      </w:r>
    </w:p>
    <w:p w:rsidR="00F777C3" w:rsidRPr="00423400" w:rsidP="0012105E" w14:paraId="386F5EEB" w14:textId="5B96A875">
      <w:pPr>
        <w:spacing w:after="0" w:line="480" w:lineRule="auto"/>
        <w:ind w:firstLine="720"/>
        <w:rPr>
          <w:rFonts w:cs="Times New Roman"/>
          <w:szCs w:val="24"/>
        </w:rPr>
      </w:pPr>
      <w:r w:rsidRPr="00423400">
        <w:rPr>
          <w:rFonts w:cs="Times New Roman"/>
          <w:szCs w:val="24"/>
        </w:rPr>
        <w:t>OCC incorporates all arguments made in its Motion to Dismiss and Reply in Support of its Motion to Di</w:t>
      </w:r>
      <w:r w:rsidRPr="00423400" w:rsidR="00EB53C1">
        <w:rPr>
          <w:rFonts w:cs="Times New Roman"/>
          <w:szCs w:val="24"/>
        </w:rPr>
        <w:t>s</w:t>
      </w:r>
      <w:r w:rsidRPr="00423400">
        <w:rPr>
          <w:rFonts w:cs="Times New Roman"/>
          <w:szCs w:val="24"/>
        </w:rPr>
        <w:t>m</w:t>
      </w:r>
      <w:r w:rsidRPr="00423400" w:rsidR="00EB53C1">
        <w:rPr>
          <w:rFonts w:cs="Times New Roman"/>
          <w:szCs w:val="24"/>
        </w:rPr>
        <w:t>i</w:t>
      </w:r>
      <w:r w:rsidRPr="00423400">
        <w:rPr>
          <w:rFonts w:cs="Times New Roman"/>
          <w:szCs w:val="24"/>
        </w:rPr>
        <w:t>ss DP&amp;L’s Application for a Rate Increase</w:t>
      </w:r>
      <w:r w:rsidRPr="00423400" w:rsidR="000C2159">
        <w:rPr>
          <w:rFonts w:cs="Times New Roman"/>
          <w:szCs w:val="24"/>
        </w:rPr>
        <w:t xml:space="preserve"> to the extent they are not specifically included</w:t>
      </w:r>
      <w:r w:rsidRPr="00423400">
        <w:rPr>
          <w:rFonts w:cs="Times New Roman"/>
          <w:szCs w:val="24"/>
        </w:rPr>
        <w:t xml:space="preserve"> </w:t>
      </w:r>
      <w:r w:rsidRPr="00423400" w:rsidR="00EB53C1">
        <w:rPr>
          <w:rFonts w:cs="Times New Roman"/>
          <w:szCs w:val="24"/>
        </w:rPr>
        <w:t>herein.</w:t>
      </w:r>
      <w:r>
        <w:rPr>
          <w:rStyle w:val="FootnoteReference"/>
          <w:rFonts w:cs="Times New Roman"/>
          <w:szCs w:val="24"/>
        </w:rPr>
        <w:footnoteReference w:id="43"/>
      </w:r>
      <w:r w:rsidRPr="00423400" w:rsidR="00EB53C1">
        <w:rPr>
          <w:rFonts w:cs="Times New Roman"/>
          <w:szCs w:val="24"/>
        </w:rPr>
        <w:t xml:space="preserve"> And specifically, a</w:t>
      </w:r>
      <w:r w:rsidRPr="00423400">
        <w:rPr>
          <w:rFonts w:cs="Times New Roman"/>
          <w:szCs w:val="24"/>
        </w:rPr>
        <w:t>s</w:t>
      </w:r>
      <w:r w:rsidRPr="00423400" w:rsidR="00CD72D9">
        <w:rPr>
          <w:rFonts w:cs="Times New Roman"/>
          <w:szCs w:val="24"/>
        </w:rPr>
        <w:t xml:space="preserve"> </w:t>
      </w:r>
      <w:r w:rsidRPr="00423400">
        <w:rPr>
          <w:rFonts w:cs="Times New Roman"/>
          <w:szCs w:val="24"/>
        </w:rPr>
        <w:t>discussed,</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w:t>
      </w:r>
      <w:r w:rsidRPr="00423400" w:rsidR="00CD72D9">
        <w:rPr>
          <w:rFonts w:cs="Times New Roman"/>
          <w:szCs w:val="24"/>
        </w:rPr>
        <w:t xml:space="preserve"> </w:t>
      </w:r>
      <w:r w:rsidRPr="00423400">
        <w:rPr>
          <w:rFonts w:cs="Times New Roman"/>
          <w:szCs w:val="24"/>
        </w:rPr>
        <w:t>Settlement</w:t>
      </w:r>
      <w:r w:rsidRPr="00423400" w:rsidR="00CD72D9">
        <w:rPr>
          <w:rFonts w:cs="Times New Roman"/>
          <w:szCs w:val="24"/>
        </w:rPr>
        <w:t xml:space="preserve"> </w:t>
      </w:r>
      <w:r w:rsidRPr="00423400">
        <w:rPr>
          <w:rFonts w:cs="Times New Roman"/>
          <w:szCs w:val="24"/>
        </w:rPr>
        <w:t>(which</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PUCO</w:t>
      </w:r>
      <w:r w:rsidRPr="00423400" w:rsidR="00CD72D9">
        <w:rPr>
          <w:rFonts w:cs="Times New Roman"/>
          <w:szCs w:val="24"/>
        </w:rPr>
        <w:t xml:space="preserve"> </w:t>
      </w:r>
      <w:r w:rsidRPr="00423400">
        <w:rPr>
          <w:rFonts w:cs="Times New Roman"/>
          <w:szCs w:val="24"/>
        </w:rPr>
        <w:t>approved)</w:t>
      </w:r>
      <w:r w:rsidRPr="00423400" w:rsidR="00CD72D9">
        <w:rPr>
          <w:rFonts w:cs="Times New Roman"/>
          <w:szCs w:val="24"/>
        </w:rPr>
        <w:t xml:space="preserve"> </w:t>
      </w:r>
      <w:r w:rsidRPr="00423400">
        <w:rPr>
          <w:rFonts w:cs="Times New Roman"/>
          <w:szCs w:val="24"/>
        </w:rPr>
        <w:t>states</w:t>
      </w:r>
      <w:r w:rsidRPr="00423400" w:rsidR="00CD72D9">
        <w:rPr>
          <w:rFonts w:cs="Times New Roman"/>
          <w:szCs w:val="24"/>
        </w:rPr>
        <w:t xml:space="preserve"> </w:t>
      </w:r>
      <w:r w:rsidRPr="00423400">
        <w:rPr>
          <w:rFonts w:cs="Times New Roman"/>
          <w:szCs w:val="24"/>
        </w:rPr>
        <w:t>that</w:t>
      </w:r>
      <w:r w:rsidRPr="00423400" w:rsidR="00CD72D9">
        <w:rPr>
          <w:rFonts w:cs="Times New Roman"/>
          <w:szCs w:val="24"/>
        </w:rPr>
        <w:t xml:space="preserve"> </w:t>
      </w:r>
      <w:r w:rsidRPr="00423400">
        <w:rPr>
          <w:rFonts w:cs="Times New Roman"/>
          <w:szCs w:val="24"/>
        </w:rPr>
        <w:t>“DP&amp;L’s distribution</w:t>
      </w:r>
      <w:r w:rsidRPr="00423400" w:rsidR="00CD72D9">
        <w:rPr>
          <w:rFonts w:cs="Times New Roman"/>
          <w:szCs w:val="24"/>
        </w:rPr>
        <w:t xml:space="preserve"> </w:t>
      </w:r>
      <w:r w:rsidRPr="00423400">
        <w:rPr>
          <w:rFonts w:cs="Times New Roman"/>
          <w:szCs w:val="24"/>
        </w:rPr>
        <w:t>base</w:t>
      </w:r>
      <w:r w:rsidRPr="00423400" w:rsidR="00CD72D9">
        <w:rPr>
          <w:rFonts w:cs="Times New Roman"/>
          <w:szCs w:val="24"/>
        </w:rPr>
        <w:t xml:space="preserve"> </w:t>
      </w:r>
      <w:r w:rsidRPr="00423400">
        <w:rPr>
          <w:rFonts w:cs="Times New Roman"/>
          <w:szCs w:val="24"/>
        </w:rPr>
        <w:t>rates</w:t>
      </w:r>
      <w:r w:rsidRPr="00423400" w:rsidR="00CD72D9">
        <w:rPr>
          <w:rFonts w:cs="Times New Roman"/>
          <w:szCs w:val="24"/>
        </w:rPr>
        <w:t xml:space="preserve"> </w:t>
      </w:r>
      <w:r w:rsidRPr="00423400">
        <w:rPr>
          <w:rFonts w:cs="Times New Roman"/>
          <w:szCs w:val="24"/>
        </w:rPr>
        <w:t>will</w:t>
      </w:r>
      <w:r w:rsidRPr="00423400" w:rsidR="00CD72D9">
        <w:rPr>
          <w:rFonts w:cs="Times New Roman"/>
          <w:szCs w:val="24"/>
        </w:rPr>
        <w:t xml:space="preserve"> </w:t>
      </w:r>
      <w:r w:rsidRPr="00423400">
        <w:rPr>
          <w:rFonts w:cs="Times New Roman"/>
          <w:szCs w:val="24"/>
        </w:rPr>
        <w:t>be</w:t>
      </w:r>
      <w:r w:rsidRPr="00423400" w:rsidR="00CD72D9">
        <w:rPr>
          <w:rFonts w:cs="Times New Roman"/>
          <w:szCs w:val="24"/>
        </w:rPr>
        <w:t xml:space="preserve"> </w:t>
      </w:r>
      <w:r w:rsidRPr="00423400">
        <w:rPr>
          <w:rFonts w:cs="Times New Roman"/>
          <w:szCs w:val="24"/>
        </w:rPr>
        <w:t>frozen”</w:t>
      </w:r>
      <w:r w:rsidRPr="00423400" w:rsidR="00CD72D9">
        <w:rPr>
          <w:rFonts w:cs="Times New Roman"/>
          <w:szCs w:val="24"/>
        </w:rPr>
        <w:t xml:space="preserve"> </w:t>
      </w:r>
      <w:r w:rsidRPr="00423400">
        <w:rPr>
          <w:rFonts w:cs="Times New Roman"/>
          <w:szCs w:val="24"/>
        </w:rPr>
        <w:t>throughout</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term</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w:t>
      </w:r>
      <w:r>
        <w:rPr>
          <w:rStyle w:val="FootnoteReference"/>
          <w:rFonts w:cs="Times New Roman"/>
          <w:szCs w:val="24"/>
        </w:rPr>
        <w:footnoteReference w:id="44"/>
      </w:r>
      <w:r w:rsidRPr="00423400" w:rsidR="00CD72D9">
        <w:rPr>
          <w:rFonts w:cs="Times New Roman"/>
          <w:szCs w:val="24"/>
        </w:rPr>
        <w:t xml:space="preserve"> </w:t>
      </w:r>
      <w:r w:rsidRPr="00423400">
        <w:rPr>
          <w:rFonts w:cs="Times New Roman"/>
          <w:szCs w:val="24"/>
        </w:rPr>
        <w:t>DP&amp;L’s base</w:t>
      </w:r>
      <w:r w:rsidRPr="00423400" w:rsidR="00CD72D9">
        <w:rPr>
          <w:rFonts w:cs="Times New Roman"/>
          <w:szCs w:val="24"/>
        </w:rPr>
        <w:t xml:space="preserve"> </w:t>
      </w:r>
      <w:r w:rsidRPr="00423400">
        <w:rPr>
          <w:rFonts w:cs="Times New Roman"/>
          <w:szCs w:val="24"/>
        </w:rPr>
        <w:t>rates</w:t>
      </w:r>
      <w:r w:rsidRPr="00423400" w:rsidR="00CD72D9">
        <w:rPr>
          <w:rFonts w:cs="Times New Roman"/>
          <w:szCs w:val="24"/>
        </w:rPr>
        <w:t xml:space="preserve"> </w:t>
      </w:r>
      <w:r w:rsidRPr="00423400">
        <w:rPr>
          <w:rFonts w:cs="Times New Roman"/>
          <w:szCs w:val="24"/>
        </w:rPr>
        <w:t>were</w:t>
      </w:r>
      <w:r w:rsidRPr="00423400" w:rsidR="00CD72D9">
        <w:rPr>
          <w:rFonts w:cs="Times New Roman"/>
          <w:szCs w:val="24"/>
        </w:rPr>
        <w:t xml:space="preserve"> </w:t>
      </w:r>
      <w:r w:rsidRPr="00423400">
        <w:rPr>
          <w:rFonts w:cs="Times New Roman"/>
          <w:szCs w:val="24"/>
        </w:rPr>
        <w:t>increased</w:t>
      </w:r>
      <w:r w:rsidRPr="00423400" w:rsidR="00CD72D9">
        <w:rPr>
          <w:rFonts w:cs="Times New Roman"/>
          <w:szCs w:val="24"/>
        </w:rPr>
        <w:t xml:space="preserve"> </w:t>
      </w:r>
      <w:r w:rsidRPr="00423400">
        <w:rPr>
          <w:rFonts w:cs="Times New Roman"/>
          <w:szCs w:val="24"/>
        </w:rPr>
        <w:t>in</w:t>
      </w:r>
      <w:r w:rsidRPr="00423400" w:rsidR="00CD72D9">
        <w:rPr>
          <w:rFonts w:cs="Times New Roman"/>
          <w:szCs w:val="24"/>
        </w:rPr>
        <w:t xml:space="preserve"> </w:t>
      </w:r>
      <w:r w:rsidRPr="00423400">
        <w:rPr>
          <w:rFonts w:cs="Times New Roman"/>
          <w:szCs w:val="24"/>
        </w:rPr>
        <w:t>2018</w:t>
      </w:r>
      <w:r w:rsidRPr="00423400" w:rsidR="00CD72D9">
        <w:rPr>
          <w:rFonts w:cs="Times New Roman"/>
          <w:szCs w:val="24"/>
        </w:rPr>
        <w:t xml:space="preserve"> </w:t>
      </w:r>
      <w:r w:rsidRPr="00423400">
        <w:rPr>
          <w:rFonts w:cs="Times New Roman"/>
          <w:szCs w:val="24"/>
        </w:rPr>
        <w:t>at</w:t>
      </w:r>
      <w:r w:rsidRPr="00423400" w:rsidR="00CD72D9">
        <w:rPr>
          <w:rFonts w:cs="Times New Roman"/>
          <w:szCs w:val="24"/>
        </w:rPr>
        <w:t xml:space="preserve"> </w:t>
      </w:r>
      <w:r w:rsidRPr="00423400">
        <w:rPr>
          <w:rFonts w:cs="Times New Roman"/>
          <w:szCs w:val="24"/>
        </w:rPr>
        <w:t>a</w:t>
      </w:r>
      <w:r w:rsidRPr="00423400" w:rsidR="00CD72D9">
        <w:rPr>
          <w:rFonts w:cs="Times New Roman"/>
          <w:szCs w:val="24"/>
        </w:rPr>
        <w:t xml:space="preserve"> </w:t>
      </w:r>
      <w:r w:rsidRPr="00423400">
        <w:rPr>
          <w:rFonts w:cs="Times New Roman"/>
          <w:szCs w:val="24"/>
        </w:rPr>
        <w:t>time</w:t>
      </w:r>
      <w:r w:rsidRPr="00423400" w:rsidR="00CD72D9">
        <w:rPr>
          <w:rFonts w:cs="Times New Roman"/>
          <w:szCs w:val="24"/>
        </w:rPr>
        <w:t xml:space="preserve"> </w:t>
      </w:r>
      <w:r w:rsidRPr="00423400">
        <w:rPr>
          <w:rFonts w:cs="Times New Roman"/>
          <w:szCs w:val="24"/>
        </w:rPr>
        <w:t>when</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III,</w:t>
      </w:r>
      <w:r w:rsidRPr="00423400" w:rsidR="00CD72D9">
        <w:rPr>
          <w:rFonts w:cs="Times New Roman"/>
          <w:szCs w:val="24"/>
        </w:rPr>
        <w:t xml:space="preserve"> </w:t>
      </w:r>
      <w:r w:rsidRPr="00423400">
        <w:rPr>
          <w:rFonts w:cs="Times New Roman"/>
          <w:szCs w:val="24"/>
        </w:rPr>
        <w:t>as</w:t>
      </w:r>
      <w:r w:rsidRPr="00423400" w:rsidR="00CD72D9">
        <w:rPr>
          <w:rFonts w:cs="Times New Roman"/>
          <w:szCs w:val="24"/>
        </w:rPr>
        <w:t xml:space="preserve"> </w:t>
      </w:r>
      <w:r w:rsidRPr="00423400">
        <w:rPr>
          <w:rFonts w:cs="Times New Roman"/>
          <w:szCs w:val="24"/>
        </w:rPr>
        <w:t>opposed</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w:t>
      </w:r>
      <w:r w:rsidRPr="00423400" w:rsidR="00CD72D9">
        <w:rPr>
          <w:rFonts w:cs="Times New Roman"/>
          <w:szCs w:val="24"/>
        </w:rPr>
        <w:t xml:space="preserve"> </w:t>
      </w:r>
      <w:r w:rsidRPr="00423400">
        <w:rPr>
          <w:rFonts w:cs="Times New Roman"/>
          <w:szCs w:val="24"/>
        </w:rPr>
        <w:t>was</w:t>
      </w:r>
      <w:r w:rsidRPr="00423400" w:rsidR="00CD72D9">
        <w:rPr>
          <w:rFonts w:cs="Times New Roman"/>
          <w:szCs w:val="24"/>
        </w:rPr>
        <w:t xml:space="preserve"> </w:t>
      </w:r>
      <w:r w:rsidRPr="00423400">
        <w:rPr>
          <w:rFonts w:cs="Times New Roman"/>
          <w:szCs w:val="24"/>
        </w:rPr>
        <w:t>in</w:t>
      </w:r>
      <w:r w:rsidRPr="00423400" w:rsidR="00CD72D9">
        <w:rPr>
          <w:rFonts w:cs="Times New Roman"/>
          <w:szCs w:val="24"/>
        </w:rPr>
        <w:t xml:space="preserve"> </w:t>
      </w:r>
      <w:r w:rsidRPr="00423400">
        <w:rPr>
          <w:rFonts w:cs="Times New Roman"/>
          <w:szCs w:val="24"/>
        </w:rPr>
        <w:t>effect.</w:t>
      </w:r>
      <w:r w:rsidRPr="00423400" w:rsidR="00CD72D9">
        <w:rPr>
          <w:rFonts w:cs="Times New Roman"/>
          <w:szCs w:val="24"/>
        </w:rPr>
        <w:t xml:space="preserve"> </w:t>
      </w:r>
      <w:r w:rsidRPr="00423400">
        <w:rPr>
          <w:rFonts w:cs="Times New Roman"/>
          <w:szCs w:val="24"/>
        </w:rPr>
        <w:t>OCC concedes that</w:t>
      </w:r>
      <w:r w:rsidRPr="00423400" w:rsidR="00CD72D9">
        <w:rPr>
          <w:rFonts w:cs="Times New Roman"/>
          <w:szCs w:val="24"/>
        </w:rPr>
        <w:t xml:space="preserve"> </w:t>
      </w:r>
      <w:r w:rsidRPr="00423400">
        <w:rPr>
          <w:rFonts w:cs="Times New Roman"/>
          <w:szCs w:val="24"/>
        </w:rPr>
        <w:t>it</w:t>
      </w:r>
      <w:r w:rsidRPr="00423400" w:rsidR="00CD72D9">
        <w:rPr>
          <w:rFonts w:cs="Times New Roman"/>
          <w:szCs w:val="24"/>
        </w:rPr>
        <w:t xml:space="preserve"> </w:t>
      </w:r>
      <w:r w:rsidRPr="00423400">
        <w:rPr>
          <w:rFonts w:cs="Times New Roman"/>
          <w:szCs w:val="24"/>
        </w:rPr>
        <w:t>would</w:t>
      </w:r>
      <w:r w:rsidRPr="00423400" w:rsidR="00CD72D9">
        <w:rPr>
          <w:rFonts w:cs="Times New Roman"/>
          <w:szCs w:val="24"/>
        </w:rPr>
        <w:t xml:space="preserve"> </w:t>
      </w:r>
      <w:r w:rsidRPr="00423400">
        <w:rPr>
          <w:rFonts w:cs="Times New Roman"/>
          <w:szCs w:val="24"/>
        </w:rPr>
        <w:t>be</w:t>
      </w:r>
      <w:r w:rsidRPr="00423400" w:rsidR="00CD72D9">
        <w:rPr>
          <w:rFonts w:cs="Times New Roman"/>
          <w:szCs w:val="24"/>
        </w:rPr>
        <w:t xml:space="preserve"> </w:t>
      </w:r>
      <w:r w:rsidRPr="00423400">
        <w:rPr>
          <w:rFonts w:cs="Times New Roman"/>
          <w:szCs w:val="24"/>
        </w:rPr>
        <w:t>impractical</w:t>
      </w:r>
      <w:r w:rsidRPr="00423400" w:rsidR="00CD72D9">
        <w:rPr>
          <w:rFonts w:cs="Times New Roman"/>
          <w:szCs w:val="24"/>
        </w:rPr>
        <w:t xml:space="preserve"> </w:t>
      </w:r>
      <w:r w:rsidRPr="00423400">
        <w:rPr>
          <w:rFonts w:cs="Times New Roman"/>
          <w:szCs w:val="24"/>
        </w:rPr>
        <w:t>(and</w:t>
      </w:r>
      <w:r w:rsidRPr="00423400" w:rsidR="00CD72D9">
        <w:rPr>
          <w:rFonts w:cs="Times New Roman"/>
          <w:szCs w:val="24"/>
        </w:rPr>
        <w:t xml:space="preserve"> </w:t>
      </w:r>
      <w:r w:rsidRPr="00423400">
        <w:rPr>
          <w:rFonts w:cs="Times New Roman"/>
          <w:szCs w:val="24"/>
        </w:rPr>
        <w:t>potentially</w:t>
      </w:r>
      <w:r w:rsidRPr="00423400" w:rsidR="00CD72D9">
        <w:rPr>
          <w:rFonts w:cs="Times New Roman"/>
          <w:szCs w:val="24"/>
        </w:rPr>
        <w:t xml:space="preserve"> </w:t>
      </w:r>
      <w:r w:rsidRPr="00423400">
        <w:rPr>
          <w:rFonts w:cs="Times New Roman"/>
          <w:szCs w:val="24"/>
        </w:rPr>
        <w:t>unlawful)</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undo</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2018</w:t>
      </w:r>
      <w:r w:rsidRPr="00423400" w:rsidR="00CD72D9">
        <w:rPr>
          <w:rFonts w:cs="Times New Roman"/>
          <w:szCs w:val="24"/>
        </w:rPr>
        <w:t xml:space="preserve"> </w:t>
      </w:r>
      <w:r w:rsidRPr="00423400">
        <w:rPr>
          <w:rFonts w:cs="Times New Roman"/>
          <w:szCs w:val="24"/>
        </w:rPr>
        <w:t>rate</w:t>
      </w:r>
      <w:r w:rsidRPr="00423400" w:rsidR="00CD72D9">
        <w:rPr>
          <w:rFonts w:cs="Times New Roman"/>
          <w:szCs w:val="24"/>
        </w:rPr>
        <w:t xml:space="preserve"> </w:t>
      </w:r>
      <w:r w:rsidRPr="00423400">
        <w:rPr>
          <w:rFonts w:cs="Times New Roman"/>
          <w:szCs w:val="24"/>
        </w:rPr>
        <w:t>increase. But</w:t>
      </w:r>
      <w:r w:rsidRPr="00423400" w:rsidR="00CD72D9">
        <w:rPr>
          <w:rFonts w:cs="Times New Roman"/>
          <w:szCs w:val="24"/>
        </w:rPr>
        <w:t xml:space="preserve"> </w:t>
      </w:r>
      <w:r w:rsidRPr="00423400">
        <w:rPr>
          <w:rFonts w:cs="Times New Roman"/>
          <w:szCs w:val="24"/>
        </w:rPr>
        <w:t>it</w:t>
      </w:r>
      <w:r w:rsidRPr="00423400" w:rsidR="00CD72D9">
        <w:rPr>
          <w:rFonts w:cs="Times New Roman"/>
          <w:szCs w:val="24"/>
        </w:rPr>
        <w:t xml:space="preserve"> </w:t>
      </w:r>
      <w:r w:rsidRPr="00423400">
        <w:rPr>
          <w:rFonts w:cs="Times New Roman"/>
          <w:szCs w:val="24"/>
        </w:rPr>
        <w:t>is</w:t>
      </w:r>
      <w:r w:rsidRPr="00423400" w:rsidR="00CD72D9">
        <w:rPr>
          <w:rFonts w:cs="Times New Roman"/>
          <w:szCs w:val="24"/>
        </w:rPr>
        <w:t xml:space="preserve"> </w:t>
      </w:r>
      <w:r w:rsidRPr="00423400">
        <w:rPr>
          <w:rFonts w:cs="Times New Roman"/>
          <w:szCs w:val="24"/>
        </w:rPr>
        <w:t>neither</w:t>
      </w:r>
      <w:r w:rsidRPr="00423400" w:rsidR="00CD72D9">
        <w:rPr>
          <w:rFonts w:cs="Times New Roman"/>
          <w:szCs w:val="24"/>
        </w:rPr>
        <w:t xml:space="preserve"> </w:t>
      </w:r>
      <w:r w:rsidRPr="00423400">
        <w:rPr>
          <w:rFonts w:cs="Times New Roman"/>
          <w:szCs w:val="24"/>
        </w:rPr>
        <w:t>impractical</w:t>
      </w:r>
      <w:r w:rsidRPr="00423400" w:rsidR="00CD72D9">
        <w:rPr>
          <w:rFonts w:cs="Times New Roman"/>
          <w:szCs w:val="24"/>
        </w:rPr>
        <w:t xml:space="preserve"> </w:t>
      </w:r>
      <w:r w:rsidRPr="00423400">
        <w:rPr>
          <w:rFonts w:cs="Times New Roman"/>
          <w:szCs w:val="24"/>
        </w:rPr>
        <w:t>nor</w:t>
      </w:r>
      <w:r w:rsidRPr="00423400" w:rsidR="00CD72D9">
        <w:rPr>
          <w:rFonts w:cs="Times New Roman"/>
          <w:szCs w:val="24"/>
        </w:rPr>
        <w:t xml:space="preserve"> </w:t>
      </w:r>
      <w:r w:rsidRPr="00423400">
        <w:rPr>
          <w:rFonts w:cs="Times New Roman"/>
          <w:szCs w:val="24"/>
        </w:rPr>
        <w:t>unlawful</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enforce</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Rate</w:t>
      </w:r>
      <w:r w:rsidRPr="00423400" w:rsidR="00CD72D9">
        <w:rPr>
          <w:rFonts w:cs="Times New Roman"/>
          <w:szCs w:val="24"/>
        </w:rPr>
        <w:t xml:space="preserve"> </w:t>
      </w:r>
      <w:r w:rsidRPr="00423400">
        <w:rPr>
          <w:rFonts w:cs="Times New Roman"/>
          <w:szCs w:val="24"/>
        </w:rPr>
        <w:t>Freeze</w:t>
      </w:r>
      <w:r w:rsidRPr="00423400" w:rsidR="00CD72D9">
        <w:rPr>
          <w:rFonts w:cs="Times New Roman"/>
          <w:szCs w:val="24"/>
        </w:rPr>
        <w:t xml:space="preserve"> </w:t>
      </w:r>
      <w:r w:rsidRPr="00423400">
        <w:rPr>
          <w:rFonts w:cs="Times New Roman"/>
          <w:szCs w:val="24"/>
        </w:rPr>
        <w:t>by</w:t>
      </w:r>
      <w:r w:rsidRPr="00423400" w:rsidR="00CD72D9">
        <w:rPr>
          <w:rFonts w:cs="Times New Roman"/>
          <w:szCs w:val="24"/>
        </w:rPr>
        <w:t xml:space="preserve"> </w:t>
      </w:r>
      <w:r w:rsidRPr="00423400">
        <w:rPr>
          <w:rFonts w:cs="Times New Roman"/>
          <w:szCs w:val="24"/>
        </w:rPr>
        <w:t>prohibiting</w:t>
      </w:r>
      <w:r w:rsidRPr="00423400" w:rsidR="00CD72D9">
        <w:rPr>
          <w:rFonts w:cs="Times New Roman"/>
          <w:szCs w:val="24"/>
        </w:rPr>
        <w:t xml:space="preserve"> </w:t>
      </w:r>
      <w:r w:rsidRPr="00423400">
        <w:rPr>
          <w:rFonts w:cs="Times New Roman"/>
          <w:szCs w:val="24"/>
        </w:rPr>
        <w:t>DP&amp;L from</w:t>
      </w:r>
      <w:r w:rsidRPr="00423400" w:rsidR="00CD72D9">
        <w:rPr>
          <w:rFonts w:cs="Times New Roman"/>
          <w:szCs w:val="24"/>
        </w:rPr>
        <w:t xml:space="preserve"> </w:t>
      </w:r>
      <w:r w:rsidRPr="00423400">
        <w:rPr>
          <w:rFonts w:cs="Times New Roman"/>
          <w:szCs w:val="24"/>
        </w:rPr>
        <w:t>increasing</w:t>
      </w:r>
      <w:r w:rsidRPr="00423400" w:rsidR="00CD72D9">
        <w:rPr>
          <w:rFonts w:cs="Times New Roman"/>
          <w:szCs w:val="24"/>
        </w:rPr>
        <w:t xml:space="preserve"> </w:t>
      </w:r>
      <w:r w:rsidRPr="00423400">
        <w:rPr>
          <w:rFonts w:cs="Times New Roman"/>
          <w:szCs w:val="24"/>
        </w:rPr>
        <w:t>its</w:t>
      </w:r>
      <w:r w:rsidRPr="00423400" w:rsidR="00CD72D9">
        <w:rPr>
          <w:rFonts w:cs="Times New Roman"/>
          <w:szCs w:val="24"/>
        </w:rPr>
        <w:t xml:space="preserve"> </w:t>
      </w:r>
      <w:r w:rsidRPr="00423400">
        <w:rPr>
          <w:rFonts w:cs="Times New Roman"/>
          <w:szCs w:val="24"/>
        </w:rPr>
        <w:t>base</w:t>
      </w:r>
      <w:r w:rsidRPr="00423400" w:rsidR="00CD72D9">
        <w:rPr>
          <w:rFonts w:cs="Times New Roman"/>
          <w:szCs w:val="24"/>
        </w:rPr>
        <w:t xml:space="preserve"> </w:t>
      </w:r>
      <w:r w:rsidRPr="00423400">
        <w:rPr>
          <w:rFonts w:cs="Times New Roman"/>
          <w:szCs w:val="24"/>
        </w:rPr>
        <w:t>rates</w:t>
      </w:r>
      <w:r w:rsidRPr="00423400" w:rsidR="00CD72D9">
        <w:rPr>
          <w:rFonts w:cs="Times New Roman"/>
          <w:szCs w:val="24"/>
        </w:rPr>
        <w:t xml:space="preserve"> </w:t>
      </w:r>
      <w:r w:rsidRPr="00423400">
        <w:rPr>
          <w:rFonts w:cs="Times New Roman"/>
          <w:szCs w:val="24"/>
        </w:rPr>
        <w:t>above</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level</w:t>
      </w:r>
      <w:r w:rsidRPr="00423400" w:rsidR="00CD72D9">
        <w:rPr>
          <w:rFonts w:cs="Times New Roman"/>
          <w:szCs w:val="24"/>
        </w:rPr>
        <w:t xml:space="preserve"> </w:t>
      </w:r>
      <w:r w:rsidRPr="00423400">
        <w:rPr>
          <w:rFonts w:cs="Times New Roman"/>
          <w:szCs w:val="24"/>
        </w:rPr>
        <w:t>approved</w:t>
      </w:r>
      <w:r w:rsidRPr="00423400" w:rsidR="00CD72D9">
        <w:rPr>
          <w:rFonts w:cs="Times New Roman"/>
          <w:szCs w:val="24"/>
        </w:rPr>
        <w:t xml:space="preserve"> </w:t>
      </w:r>
      <w:r w:rsidRPr="00423400">
        <w:rPr>
          <w:rFonts w:cs="Times New Roman"/>
          <w:szCs w:val="24"/>
        </w:rPr>
        <w:t>in</w:t>
      </w:r>
      <w:r w:rsidRPr="00423400" w:rsidR="00CD72D9">
        <w:rPr>
          <w:rFonts w:cs="Times New Roman"/>
          <w:szCs w:val="24"/>
        </w:rPr>
        <w:t xml:space="preserve"> </w:t>
      </w:r>
      <w:r w:rsidRPr="00423400">
        <w:rPr>
          <w:rFonts w:cs="Times New Roman"/>
          <w:szCs w:val="24"/>
        </w:rPr>
        <w:t>2018</w:t>
      </w:r>
      <w:r w:rsidRPr="00423400" w:rsidR="00CD72D9">
        <w:rPr>
          <w:rFonts w:cs="Times New Roman"/>
          <w:szCs w:val="24"/>
        </w:rPr>
        <w:t xml:space="preserve"> </w:t>
      </w:r>
      <w:r w:rsidRPr="00423400">
        <w:rPr>
          <w:rFonts w:cs="Times New Roman"/>
          <w:szCs w:val="24"/>
        </w:rPr>
        <w:t>at</w:t>
      </w:r>
      <w:r w:rsidRPr="00423400" w:rsidR="00CD72D9">
        <w:rPr>
          <w:rFonts w:cs="Times New Roman"/>
          <w:szCs w:val="24"/>
        </w:rPr>
        <w:t xml:space="preserve"> </w:t>
      </w:r>
      <w:r w:rsidRPr="00423400">
        <w:rPr>
          <w:rFonts w:cs="Times New Roman"/>
          <w:szCs w:val="24"/>
        </w:rPr>
        <w:t>this</w:t>
      </w:r>
      <w:r w:rsidRPr="00423400" w:rsidR="00CD72D9">
        <w:rPr>
          <w:rFonts w:cs="Times New Roman"/>
          <w:szCs w:val="24"/>
        </w:rPr>
        <w:t xml:space="preserve"> </w:t>
      </w:r>
      <w:r w:rsidRPr="00423400">
        <w:rPr>
          <w:rFonts w:cs="Times New Roman"/>
          <w:szCs w:val="24"/>
        </w:rPr>
        <w:t>time.</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contrary,</w:t>
      </w:r>
      <w:r w:rsidRPr="00423400" w:rsidR="00CD72D9">
        <w:rPr>
          <w:rFonts w:cs="Times New Roman"/>
          <w:szCs w:val="24"/>
        </w:rPr>
        <w:t xml:space="preserve"> </w:t>
      </w:r>
      <w:r w:rsidRPr="00423400">
        <w:rPr>
          <w:rFonts w:cs="Times New Roman"/>
          <w:szCs w:val="24"/>
        </w:rPr>
        <w:t>the PUCO’s</w:t>
      </w:r>
      <w:r w:rsidRPr="00423400" w:rsidR="00CD72D9">
        <w:rPr>
          <w:rFonts w:cs="Times New Roman"/>
          <w:szCs w:val="24"/>
        </w:rPr>
        <w:t xml:space="preserve"> </w:t>
      </w:r>
      <w:r w:rsidRPr="00423400">
        <w:rPr>
          <w:rFonts w:cs="Times New Roman"/>
          <w:szCs w:val="24"/>
        </w:rPr>
        <w:t>interpretation</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R.C.</w:t>
      </w:r>
      <w:r w:rsidRPr="00423400" w:rsidR="00CD72D9">
        <w:rPr>
          <w:rFonts w:cs="Times New Roman"/>
          <w:szCs w:val="24"/>
        </w:rPr>
        <w:t xml:space="preserve"> </w:t>
      </w:r>
      <w:r w:rsidRPr="00423400">
        <w:rPr>
          <w:rFonts w:cs="Times New Roman"/>
          <w:szCs w:val="24"/>
        </w:rPr>
        <w:t>4928.143(C)(2)(b)—that</w:t>
      </w:r>
      <w:r w:rsidRPr="00423400" w:rsidR="00CD72D9">
        <w:rPr>
          <w:rFonts w:cs="Times New Roman"/>
          <w:szCs w:val="24"/>
        </w:rPr>
        <w:t xml:space="preserve"> </w:t>
      </w:r>
      <w:r w:rsidRPr="00423400">
        <w:rPr>
          <w:rFonts w:cs="Times New Roman"/>
          <w:szCs w:val="24"/>
        </w:rPr>
        <w:t>a</w:t>
      </w:r>
      <w:r w:rsidRPr="00423400" w:rsidR="00CD72D9">
        <w:rPr>
          <w:rFonts w:cs="Times New Roman"/>
          <w:szCs w:val="24"/>
        </w:rPr>
        <w:t xml:space="preserve"> </w:t>
      </w:r>
      <w:r w:rsidRPr="00423400">
        <w:rPr>
          <w:rFonts w:cs="Times New Roman"/>
          <w:szCs w:val="24"/>
        </w:rPr>
        <w:t>utility</w:t>
      </w:r>
      <w:r w:rsidRPr="00423400" w:rsidR="00CD72D9">
        <w:rPr>
          <w:rFonts w:cs="Times New Roman"/>
          <w:szCs w:val="24"/>
        </w:rPr>
        <w:t xml:space="preserve"> </w:t>
      </w:r>
      <w:r w:rsidRPr="00423400">
        <w:rPr>
          <w:rFonts w:cs="Times New Roman"/>
          <w:szCs w:val="24"/>
        </w:rPr>
        <w:t>reverts</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its</w:t>
      </w:r>
      <w:r w:rsidRPr="00423400" w:rsidR="00CD72D9">
        <w:rPr>
          <w:rFonts w:cs="Times New Roman"/>
          <w:szCs w:val="24"/>
        </w:rPr>
        <w:t xml:space="preserve"> </w:t>
      </w:r>
      <w:r w:rsidRPr="00423400">
        <w:rPr>
          <w:rFonts w:cs="Times New Roman"/>
          <w:szCs w:val="24"/>
        </w:rPr>
        <w:t>most</w:t>
      </w:r>
      <w:r w:rsidRPr="00423400" w:rsidR="00CD72D9">
        <w:rPr>
          <w:rFonts w:cs="Times New Roman"/>
          <w:szCs w:val="24"/>
        </w:rPr>
        <w:t xml:space="preserve"> </w:t>
      </w:r>
      <w:r w:rsidRPr="00423400">
        <w:rPr>
          <w:rFonts w:cs="Times New Roman"/>
          <w:szCs w:val="24"/>
        </w:rPr>
        <w:t>recent</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in its</w:t>
      </w:r>
      <w:r w:rsidRPr="00423400" w:rsidR="00CD72D9">
        <w:rPr>
          <w:rFonts w:cs="Times New Roman"/>
          <w:szCs w:val="24"/>
        </w:rPr>
        <w:t xml:space="preserve"> </w:t>
      </w:r>
      <w:r w:rsidRPr="00423400">
        <w:rPr>
          <w:rFonts w:cs="Times New Roman"/>
          <w:szCs w:val="24"/>
        </w:rPr>
        <w:t>entirety—compels</w:t>
      </w:r>
      <w:r w:rsidRPr="00423400" w:rsidR="00CD72D9">
        <w:rPr>
          <w:rFonts w:cs="Times New Roman"/>
          <w:szCs w:val="24"/>
        </w:rPr>
        <w:t xml:space="preserve"> </w:t>
      </w:r>
      <w:r w:rsidRPr="00423400">
        <w:rPr>
          <w:rFonts w:cs="Times New Roman"/>
          <w:szCs w:val="24"/>
        </w:rPr>
        <w:t>such</w:t>
      </w:r>
      <w:r w:rsidRPr="00423400" w:rsidR="00CD72D9">
        <w:rPr>
          <w:rFonts w:cs="Times New Roman"/>
          <w:szCs w:val="24"/>
        </w:rPr>
        <w:t xml:space="preserve"> </w:t>
      </w:r>
      <w:r w:rsidRPr="00423400">
        <w:rPr>
          <w:rFonts w:cs="Times New Roman"/>
          <w:szCs w:val="24"/>
        </w:rPr>
        <w:t>a</w:t>
      </w:r>
      <w:r w:rsidRPr="00423400" w:rsidR="00CD72D9">
        <w:rPr>
          <w:rFonts w:cs="Times New Roman"/>
          <w:szCs w:val="24"/>
        </w:rPr>
        <w:t xml:space="preserve"> </w:t>
      </w:r>
      <w:r w:rsidRPr="00423400">
        <w:rPr>
          <w:rFonts w:cs="Times New Roman"/>
          <w:szCs w:val="24"/>
        </w:rPr>
        <w:t>conclusion.</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PUCO</w:t>
      </w:r>
      <w:r w:rsidRPr="00423400" w:rsidR="00CD72D9">
        <w:rPr>
          <w:rFonts w:cs="Times New Roman"/>
          <w:szCs w:val="24"/>
        </w:rPr>
        <w:t xml:space="preserve"> </w:t>
      </w:r>
      <w:r w:rsidRPr="00423400">
        <w:rPr>
          <w:rFonts w:cs="Times New Roman"/>
          <w:szCs w:val="24"/>
        </w:rPr>
        <w:t>must</w:t>
      </w:r>
      <w:r w:rsidRPr="00423400" w:rsidR="00CD72D9">
        <w:rPr>
          <w:rFonts w:cs="Times New Roman"/>
          <w:szCs w:val="24"/>
        </w:rPr>
        <w:t xml:space="preserve"> </w:t>
      </w:r>
      <w:r w:rsidRPr="00423400">
        <w:rPr>
          <w:rFonts w:cs="Times New Roman"/>
          <w:szCs w:val="24"/>
        </w:rPr>
        <w:t>freeze</w:t>
      </w:r>
      <w:r w:rsidRPr="00423400" w:rsidR="00CD72D9">
        <w:rPr>
          <w:rFonts w:cs="Times New Roman"/>
          <w:szCs w:val="24"/>
        </w:rPr>
        <w:t xml:space="preserve"> </w:t>
      </w:r>
      <w:r w:rsidRPr="00423400">
        <w:rPr>
          <w:rFonts w:cs="Times New Roman"/>
          <w:szCs w:val="24"/>
        </w:rPr>
        <w:t>DP&amp;L’s</w:t>
      </w:r>
      <w:r w:rsidRPr="00423400" w:rsidR="00CD72D9">
        <w:rPr>
          <w:rFonts w:cs="Times New Roman"/>
          <w:szCs w:val="24"/>
        </w:rPr>
        <w:t xml:space="preserve"> </w:t>
      </w:r>
      <w:r w:rsidRPr="00423400">
        <w:rPr>
          <w:rFonts w:cs="Times New Roman"/>
          <w:szCs w:val="24"/>
        </w:rPr>
        <w:t>base</w:t>
      </w:r>
      <w:r w:rsidRPr="00423400" w:rsidR="00CD72D9">
        <w:rPr>
          <w:rFonts w:cs="Times New Roman"/>
          <w:szCs w:val="24"/>
        </w:rPr>
        <w:t xml:space="preserve"> </w:t>
      </w:r>
      <w:r w:rsidRPr="00423400">
        <w:rPr>
          <w:rFonts w:cs="Times New Roman"/>
          <w:szCs w:val="24"/>
        </w:rPr>
        <w:t>rates</w:t>
      </w:r>
      <w:r w:rsidRPr="00423400" w:rsidR="00CD72D9">
        <w:rPr>
          <w:rFonts w:cs="Times New Roman"/>
          <w:szCs w:val="24"/>
        </w:rPr>
        <w:t xml:space="preserve"> </w:t>
      </w:r>
      <w:r w:rsidRPr="00423400">
        <w:rPr>
          <w:rFonts w:cs="Times New Roman"/>
          <w:szCs w:val="24"/>
        </w:rPr>
        <w:t>at</w:t>
      </w:r>
      <w:r w:rsidRPr="00423400" w:rsidR="00CD72D9">
        <w:rPr>
          <w:rFonts w:cs="Times New Roman"/>
          <w:szCs w:val="24"/>
        </w:rPr>
        <w:t xml:space="preserve"> </w:t>
      </w:r>
      <w:r w:rsidRPr="00423400">
        <w:rPr>
          <w:rFonts w:cs="Times New Roman"/>
          <w:szCs w:val="24"/>
        </w:rPr>
        <w:t>whatever level</w:t>
      </w:r>
      <w:r w:rsidRPr="00423400" w:rsidR="00CD72D9">
        <w:rPr>
          <w:rFonts w:cs="Times New Roman"/>
          <w:szCs w:val="24"/>
        </w:rPr>
        <w:t xml:space="preserve"> </w:t>
      </w:r>
      <w:r w:rsidRPr="00423400">
        <w:rPr>
          <w:rFonts w:cs="Times New Roman"/>
          <w:szCs w:val="24"/>
        </w:rPr>
        <w:t>they</w:t>
      </w:r>
      <w:r w:rsidRPr="00423400" w:rsidR="00CD72D9">
        <w:rPr>
          <w:rFonts w:cs="Times New Roman"/>
          <w:szCs w:val="24"/>
        </w:rPr>
        <w:t xml:space="preserve"> </w:t>
      </w:r>
      <w:r w:rsidRPr="00423400">
        <w:rPr>
          <w:rFonts w:cs="Times New Roman"/>
          <w:szCs w:val="24"/>
        </w:rPr>
        <w:t>were</w:t>
      </w:r>
      <w:r w:rsidRPr="00423400" w:rsidR="00CD72D9">
        <w:rPr>
          <w:rFonts w:cs="Times New Roman"/>
          <w:szCs w:val="24"/>
        </w:rPr>
        <w:t xml:space="preserve"> </w:t>
      </w:r>
      <w:r w:rsidRPr="00423400">
        <w:rPr>
          <w:rFonts w:cs="Times New Roman"/>
          <w:szCs w:val="24"/>
        </w:rPr>
        <w:t>set</w:t>
      </w:r>
      <w:r w:rsidRPr="00423400" w:rsidR="00CD72D9">
        <w:rPr>
          <w:rFonts w:cs="Times New Roman"/>
          <w:szCs w:val="24"/>
        </w:rPr>
        <w:t xml:space="preserve"> </w:t>
      </w:r>
      <w:r w:rsidRPr="00423400">
        <w:rPr>
          <w:rFonts w:cs="Times New Roman"/>
          <w:szCs w:val="24"/>
        </w:rPr>
        <w:t>at</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time</w:t>
      </w:r>
      <w:r w:rsidRPr="00423400" w:rsidR="00CD72D9">
        <w:rPr>
          <w:rFonts w:cs="Times New Roman"/>
          <w:szCs w:val="24"/>
        </w:rPr>
        <w:t xml:space="preserve"> </w:t>
      </w:r>
      <w:r w:rsidRPr="00423400">
        <w:rPr>
          <w:rFonts w:cs="Times New Roman"/>
          <w:szCs w:val="24"/>
        </w:rPr>
        <w:t>DP&amp;L</w:t>
      </w:r>
      <w:r w:rsidRPr="00423400" w:rsidR="00CD72D9">
        <w:rPr>
          <w:rFonts w:cs="Times New Roman"/>
          <w:szCs w:val="24"/>
        </w:rPr>
        <w:t xml:space="preserve"> </w:t>
      </w:r>
      <w:r w:rsidRPr="00423400">
        <w:rPr>
          <w:rFonts w:cs="Times New Roman"/>
          <w:szCs w:val="24"/>
        </w:rPr>
        <w:t>reverted</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w:t>
      </w:r>
      <w:r w:rsidRPr="00423400" w:rsidR="00CD72D9">
        <w:rPr>
          <w:rFonts w:cs="Times New Roman"/>
          <w:szCs w:val="24"/>
        </w:rPr>
        <w:t xml:space="preserve"> </w:t>
      </w:r>
      <w:r w:rsidRPr="00423400">
        <w:rPr>
          <w:rFonts w:cs="Times New Roman"/>
          <w:szCs w:val="24"/>
        </w:rPr>
        <w:t>As</w:t>
      </w:r>
      <w:r w:rsidRPr="00423400" w:rsidR="00CD72D9">
        <w:rPr>
          <w:rFonts w:cs="Times New Roman"/>
          <w:szCs w:val="24"/>
        </w:rPr>
        <w:t xml:space="preserve"> </w:t>
      </w:r>
      <w:r w:rsidRPr="00423400">
        <w:rPr>
          <w:rFonts w:cs="Times New Roman"/>
          <w:szCs w:val="24"/>
        </w:rPr>
        <w:t>discussed,</w:t>
      </w:r>
      <w:r w:rsidRPr="00423400" w:rsidR="00CD72D9">
        <w:rPr>
          <w:rFonts w:cs="Times New Roman"/>
          <w:szCs w:val="24"/>
        </w:rPr>
        <w:t xml:space="preserve"> </w:t>
      </w:r>
      <w:r w:rsidRPr="00423400">
        <w:rPr>
          <w:rFonts w:cs="Times New Roman"/>
          <w:szCs w:val="24"/>
        </w:rPr>
        <w:t>DP&amp;L</w:t>
      </w:r>
      <w:r w:rsidRPr="00423400" w:rsidR="00CD72D9">
        <w:rPr>
          <w:rFonts w:cs="Times New Roman"/>
          <w:szCs w:val="24"/>
        </w:rPr>
        <w:t xml:space="preserve"> </w:t>
      </w:r>
      <w:r w:rsidRPr="00423400">
        <w:rPr>
          <w:rFonts w:cs="Times New Roman"/>
          <w:szCs w:val="24"/>
        </w:rPr>
        <w:t>reverted</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 in</w:t>
      </w:r>
      <w:r w:rsidRPr="00423400" w:rsidR="00CD72D9">
        <w:rPr>
          <w:rFonts w:cs="Times New Roman"/>
          <w:szCs w:val="24"/>
        </w:rPr>
        <w:t xml:space="preserve"> </w:t>
      </w:r>
      <w:r w:rsidRPr="00423400">
        <w:rPr>
          <w:rFonts w:cs="Times New Roman"/>
          <w:szCs w:val="24"/>
        </w:rPr>
        <w:t>December</w:t>
      </w:r>
      <w:r w:rsidRPr="00423400" w:rsidR="00CD72D9">
        <w:rPr>
          <w:rFonts w:cs="Times New Roman"/>
          <w:szCs w:val="24"/>
        </w:rPr>
        <w:t xml:space="preserve"> </w:t>
      </w:r>
      <w:r w:rsidRPr="00423400">
        <w:rPr>
          <w:rFonts w:cs="Times New Roman"/>
          <w:szCs w:val="24"/>
        </w:rPr>
        <w:t>2019.</w:t>
      </w:r>
      <w:r w:rsidRPr="00423400" w:rsidR="00CD72D9">
        <w:rPr>
          <w:rFonts w:cs="Times New Roman"/>
          <w:szCs w:val="24"/>
        </w:rPr>
        <w:t xml:space="preserve"> </w:t>
      </w:r>
      <w:r w:rsidRPr="00423400">
        <w:rPr>
          <w:rFonts w:cs="Times New Roman"/>
          <w:szCs w:val="24"/>
        </w:rPr>
        <w:t>At</w:t>
      </w:r>
      <w:r w:rsidRPr="00423400" w:rsidR="00CD72D9">
        <w:rPr>
          <w:rFonts w:cs="Times New Roman"/>
          <w:szCs w:val="24"/>
        </w:rPr>
        <w:t xml:space="preserve"> </w:t>
      </w:r>
      <w:r w:rsidRPr="00423400">
        <w:rPr>
          <w:rFonts w:cs="Times New Roman"/>
          <w:szCs w:val="24"/>
        </w:rPr>
        <w:t>that</w:t>
      </w:r>
      <w:r w:rsidRPr="00423400" w:rsidR="00CD72D9">
        <w:rPr>
          <w:rFonts w:cs="Times New Roman"/>
          <w:szCs w:val="24"/>
        </w:rPr>
        <w:t xml:space="preserve"> </w:t>
      </w:r>
      <w:r w:rsidRPr="00423400">
        <w:rPr>
          <w:rFonts w:cs="Times New Roman"/>
          <w:szCs w:val="24"/>
        </w:rPr>
        <w:t>time,</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base</w:t>
      </w:r>
      <w:r w:rsidRPr="00423400" w:rsidR="00CD72D9">
        <w:rPr>
          <w:rFonts w:cs="Times New Roman"/>
          <w:szCs w:val="24"/>
        </w:rPr>
        <w:t xml:space="preserve"> </w:t>
      </w:r>
      <w:r w:rsidRPr="00423400">
        <w:rPr>
          <w:rFonts w:cs="Times New Roman"/>
          <w:szCs w:val="24"/>
        </w:rPr>
        <w:t>rates</w:t>
      </w:r>
      <w:r w:rsidRPr="00423400" w:rsidR="00CD72D9">
        <w:rPr>
          <w:rFonts w:cs="Times New Roman"/>
          <w:szCs w:val="24"/>
        </w:rPr>
        <w:t xml:space="preserve"> </w:t>
      </w:r>
      <w:r w:rsidRPr="00423400">
        <w:rPr>
          <w:rFonts w:cs="Times New Roman"/>
          <w:szCs w:val="24"/>
        </w:rPr>
        <w:t>approved</w:t>
      </w:r>
      <w:r w:rsidRPr="00423400" w:rsidR="00CD72D9">
        <w:rPr>
          <w:rFonts w:cs="Times New Roman"/>
          <w:szCs w:val="24"/>
        </w:rPr>
        <w:t xml:space="preserve"> </w:t>
      </w:r>
      <w:r w:rsidRPr="00423400">
        <w:rPr>
          <w:rFonts w:cs="Times New Roman"/>
          <w:szCs w:val="24"/>
        </w:rPr>
        <w:t>in</w:t>
      </w:r>
      <w:r w:rsidRPr="00423400" w:rsidR="00CD72D9">
        <w:rPr>
          <w:rFonts w:cs="Times New Roman"/>
          <w:szCs w:val="24"/>
        </w:rPr>
        <w:t xml:space="preserve"> </w:t>
      </w:r>
      <w:r w:rsidRPr="00423400">
        <w:rPr>
          <w:rFonts w:cs="Times New Roman"/>
          <w:szCs w:val="24"/>
        </w:rPr>
        <w:t>2018</w:t>
      </w:r>
      <w:r w:rsidRPr="00423400" w:rsidR="00CD72D9">
        <w:rPr>
          <w:rFonts w:cs="Times New Roman"/>
          <w:szCs w:val="24"/>
        </w:rPr>
        <w:t xml:space="preserve"> </w:t>
      </w:r>
      <w:r w:rsidRPr="00423400">
        <w:rPr>
          <w:rFonts w:cs="Times New Roman"/>
          <w:szCs w:val="24"/>
        </w:rPr>
        <w:t>were</w:t>
      </w:r>
      <w:r w:rsidRPr="00423400" w:rsidR="00CD72D9">
        <w:rPr>
          <w:rFonts w:cs="Times New Roman"/>
          <w:szCs w:val="24"/>
        </w:rPr>
        <w:t xml:space="preserve"> </w:t>
      </w:r>
      <w:r w:rsidRPr="00423400">
        <w:rPr>
          <w:rFonts w:cs="Times New Roman"/>
          <w:szCs w:val="24"/>
        </w:rPr>
        <w:t>in</w:t>
      </w:r>
      <w:r w:rsidRPr="00423400" w:rsidR="00CD72D9">
        <w:rPr>
          <w:rFonts w:cs="Times New Roman"/>
          <w:szCs w:val="24"/>
        </w:rPr>
        <w:t xml:space="preserve"> </w:t>
      </w:r>
      <w:r w:rsidRPr="00423400">
        <w:rPr>
          <w:rFonts w:cs="Times New Roman"/>
          <w:szCs w:val="24"/>
        </w:rPr>
        <w:t>effect.</w:t>
      </w:r>
      <w:r w:rsidRPr="00423400" w:rsidR="00CD72D9">
        <w:rPr>
          <w:rFonts w:cs="Times New Roman"/>
          <w:szCs w:val="24"/>
        </w:rPr>
        <w:t xml:space="preserve"> </w:t>
      </w:r>
      <w:r w:rsidRPr="00423400">
        <w:rPr>
          <w:rFonts w:cs="Times New Roman"/>
          <w:szCs w:val="24"/>
        </w:rPr>
        <w:t>Thus,</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PUCO is</w:t>
      </w:r>
      <w:r w:rsidRPr="00423400" w:rsidR="00CD72D9">
        <w:rPr>
          <w:rFonts w:cs="Times New Roman"/>
          <w:szCs w:val="24"/>
        </w:rPr>
        <w:t xml:space="preserve"> </w:t>
      </w:r>
      <w:r w:rsidRPr="00423400">
        <w:rPr>
          <w:rFonts w:cs="Times New Roman"/>
          <w:szCs w:val="24"/>
        </w:rPr>
        <w:t>required</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enforce</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Rate</w:t>
      </w:r>
      <w:r w:rsidRPr="00423400" w:rsidR="00CD72D9">
        <w:rPr>
          <w:rFonts w:cs="Times New Roman"/>
          <w:szCs w:val="24"/>
        </w:rPr>
        <w:t xml:space="preserve"> </w:t>
      </w:r>
      <w:r w:rsidRPr="00423400">
        <w:rPr>
          <w:rFonts w:cs="Times New Roman"/>
          <w:szCs w:val="24"/>
        </w:rPr>
        <w:t>Freeze</w:t>
      </w:r>
      <w:r w:rsidRPr="00423400" w:rsidR="00CD72D9">
        <w:rPr>
          <w:rFonts w:cs="Times New Roman"/>
          <w:szCs w:val="24"/>
        </w:rPr>
        <w:t xml:space="preserve"> </w:t>
      </w:r>
      <w:r w:rsidRPr="00423400">
        <w:rPr>
          <w:rFonts w:cs="Times New Roman"/>
          <w:szCs w:val="24"/>
        </w:rPr>
        <w:t>by</w:t>
      </w:r>
      <w:r w:rsidRPr="00423400" w:rsidR="00CD72D9">
        <w:rPr>
          <w:rFonts w:cs="Times New Roman"/>
          <w:szCs w:val="24"/>
        </w:rPr>
        <w:t xml:space="preserve"> </w:t>
      </w:r>
      <w:r w:rsidRPr="00423400">
        <w:rPr>
          <w:rFonts w:cs="Times New Roman"/>
          <w:szCs w:val="24"/>
        </w:rPr>
        <w:t>keeping</w:t>
      </w:r>
      <w:r w:rsidRPr="00423400" w:rsidR="00CD72D9">
        <w:rPr>
          <w:rFonts w:cs="Times New Roman"/>
          <w:szCs w:val="24"/>
        </w:rPr>
        <w:t xml:space="preserve"> </w:t>
      </w:r>
      <w:r w:rsidRPr="00423400">
        <w:rPr>
          <w:rFonts w:cs="Times New Roman"/>
          <w:szCs w:val="24"/>
        </w:rPr>
        <w:t>base</w:t>
      </w:r>
      <w:r w:rsidRPr="00423400" w:rsidR="00CD72D9">
        <w:rPr>
          <w:rFonts w:cs="Times New Roman"/>
          <w:szCs w:val="24"/>
        </w:rPr>
        <w:t xml:space="preserve"> </w:t>
      </w:r>
      <w:r w:rsidRPr="00423400">
        <w:rPr>
          <w:rFonts w:cs="Times New Roman"/>
          <w:szCs w:val="24"/>
        </w:rPr>
        <w:t>rates</w:t>
      </w:r>
      <w:r w:rsidRPr="00423400" w:rsidR="00CD72D9">
        <w:rPr>
          <w:rFonts w:cs="Times New Roman"/>
          <w:szCs w:val="24"/>
        </w:rPr>
        <w:t xml:space="preserve"> </w:t>
      </w:r>
      <w:r w:rsidRPr="00423400">
        <w:rPr>
          <w:rFonts w:cs="Times New Roman"/>
          <w:szCs w:val="24"/>
        </w:rPr>
        <w:t>at</w:t>
      </w:r>
      <w:r w:rsidRPr="00423400" w:rsidR="00CD72D9">
        <w:rPr>
          <w:rFonts w:cs="Times New Roman"/>
          <w:szCs w:val="24"/>
        </w:rPr>
        <w:t xml:space="preserve"> </w:t>
      </w:r>
      <w:r w:rsidRPr="00423400">
        <w:rPr>
          <w:rFonts w:cs="Times New Roman"/>
          <w:szCs w:val="24"/>
        </w:rPr>
        <w:t>2018</w:t>
      </w:r>
      <w:r w:rsidRPr="00423400" w:rsidR="00CD72D9">
        <w:rPr>
          <w:rFonts w:cs="Times New Roman"/>
          <w:szCs w:val="24"/>
        </w:rPr>
        <w:t xml:space="preserve"> </w:t>
      </w:r>
      <w:r w:rsidRPr="00423400">
        <w:rPr>
          <w:rFonts w:cs="Times New Roman"/>
          <w:szCs w:val="24"/>
        </w:rPr>
        <w:t>levels</w:t>
      </w:r>
      <w:r w:rsidRPr="00423400" w:rsidR="00CD72D9">
        <w:rPr>
          <w:rFonts w:cs="Times New Roman"/>
          <w:szCs w:val="24"/>
        </w:rPr>
        <w:t xml:space="preserve"> </w:t>
      </w:r>
      <w:r w:rsidRPr="00423400">
        <w:rPr>
          <w:rFonts w:cs="Times New Roman"/>
          <w:szCs w:val="24"/>
        </w:rPr>
        <w:t>for</w:t>
      </w:r>
      <w:r w:rsidRPr="00423400" w:rsidR="00CD72D9">
        <w:rPr>
          <w:rFonts w:cs="Times New Roman"/>
          <w:szCs w:val="24"/>
        </w:rPr>
        <w:t xml:space="preserve"> </w:t>
      </w:r>
      <w:r w:rsidRPr="00423400">
        <w:rPr>
          <w:rFonts w:cs="Times New Roman"/>
          <w:szCs w:val="24"/>
        </w:rPr>
        <w:t>as</w:t>
      </w:r>
      <w:r w:rsidRPr="00423400" w:rsidR="00CD72D9">
        <w:rPr>
          <w:rFonts w:cs="Times New Roman"/>
          <w:szCs w:val="24"/>
        </w:rPr>
        <w:t xml:space="preserve"> </w:t>
      </w:r>
      <w:r w:rsidRPr="00423400">
        <w:rPr>
          <w:rFonts w:cs="Times New Roman"/>
          <w:szCs w:val="24"/>
        </w:rPr>
        <w:t>long</w:t>
      </w:r>
      <w:r w:rsidRPr="00423400" w:rsidR="00CD72D9">
        <w:rPr>
          <w:rFonts w:cs="Times New Roman"/>
          <w:szCs w:val="24"/>
        </w:rPr>
        <w:t xml:space="preserve"> </w:t>
      </w:r>
      <w:r w:rsidRPr="00423400">
        <w:rPr>
          <w:rFonts w:cs="Times New Roman"/>
          <w:szCs w:val="24"/>
        </w:rPr>
        <w:t>as</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Pr>
          <w:rFonts w:cs="Times New Roman"/>
          <w:szCs w:val="24"/>
        </w:rPr>
        <w:t>I</w:t>
      </w:r>
      <w:r w:rsidRPr="00423400">
        <w:rPr>
          <w:rFonts w:cs="Times New Roman"/>
          <w:szCs w:val="24"/>
        </w:rPr>
        <w:t xml:space="preserve"> remains</w:t>
      </w:r>
      <w:r w:rsidRPr="00423400" w:rsidR="00CD72D9">
        <w:rPr>
          <w:rFonts w:cs="Times New Roman"/>
          <w:szCs w:val="24"/>
        </w:rPr>
        <w:t xml:space="preserve"> </w:t>
      </w:r>
      <w:r w:rsidRPr="00423400">
        <w:rPr>
          <w:rFonts w:cs="Times New Roman"/>
          <w:szCs w:val="24"/>
        </w:rPr>
        <w:t>in</w:t>
      </w:r>
      <w:r w:rsidRPr="00423400" w:rsidR="00CD72D9">
        <w:rPr>
          <w:rFonts w:cs="Times New Roman"/>
          <w:szCs w:val="24"/>
        </w:rPr>
        <w:t xml:space="preserve"> </w:t>
      </w:r>
      <w:r w:rsidRPr="00423400">
        <w:rPr>
          <w:rFonts w:cs="Times New Roman"/>
          <w:szCs w:val="24"/>
        </w:rPr>
        <w:t xml:space="preserve">effect. </w:t>
      </w:r>
    </w:p>
    <w:p w:rsidR="00F777C3" w:rsidRPr="00423400" w:rsidP="00F777C3" w14:paraId="23992A1A" w14:textId="77777777">
      <w:pPr>
        <w:spacing w:after="0" w:line="480" w:lineRule="auto"/>
        <w:ind w:firstLine="720"/>
        <w:rPr>
          <w:rFonts w:cs="Times New Roman"/>
          <w:szCs w:val="24"/>
        </w:rPr>
      </w:pPr>
      <w:r w:rsidRPr="00423400">
        <w:rPr>
          <w:rFonts w:cs="Times New Roman"/>
          <w:szCs w:val="24"/>
        </w:rPr>
        <w:t>Under</w:t>
      </w:r>
      <w:r w:rsidRPr="00423400" w:rsidR="00CD72D9">
        <w:rPr>
          <w:rFonts w:cs="Times New Roman"/>
          <w:szCs w:val="24"/>
        </w:rPr>
        <w:t xml:space="preserve"> </w:t>
      </w:r>
      <w:r w:rsidRPr="00423400">
        <w:rPr>
          <w:rFonts w:cs="Times New Roman"/>
          <w:szCs w:val="24"/>
        </w:rPr>
        <w:t>R.C.</w:t>
      </w:r>
      <w:r w:rsidRPr="00423400" w:rsidR="00CD72D9">
        <w:rPr>
          <w:rFonts w:cs="Times New Roman"/>
          <w:szCs w:val="24"/>
        </w:rPr>
        <w:t xml:space="preserve"> </w:t>
      </w:r>
      <w:r w:rsidRPr="00423400">
        <w:rPr>
          <w:rFonts w:cs="Times New Roman"/>
          <w:szCs w:val="24"/>
        </w:rPr>
        <w:t>4928.143(C)(2)(b),</w:t>
      </w:r>
      <w:r w:rsidRPr="00423400" w:rsidR="00CD72D9">
        <w:rPr>
          <w:rFonts w:cs="Times New Roman"/>
          <w:szCs w:val="24"/>
        </w:rPr>
        <w:t xml:space="preserve"> </w:t>
      </w:r>
      <w:r w:rsidRPr="00423400">
        <w:rPr>
          <w:rFonts w:cs="Times New Roman"/>
          <w:szCs w:val="24"/>
        </w:rPr>
        <w:t>if</w:t>
      </w:r>
      <w:r w:rsidRPr="00423400" w:rsidR="00CD72D9">
        <w:rPr>
          <w:rFonts w:cs="Times New Roman"/>
          <w:szCs w:val="24"/>
        </w:rPr>
        <w:t xml:space="preserve"> </w:t>
      </w:r>
      <w:r w:rsidRPr="00423400">
        <w:rPr>
          <w:rFonts w:cs="Times New Roman"/>
          <w:szCs w:val="24"/>
        </w:rPr>
        <w:t>a</w:t>
      </w:r>
      <w:r w:rsidRPr="00423400" w:rsidR="00CD72D9">
        <w:rPr>
          <w:rFonts w:cs="Times New Roman"/>
          <w:szCs w:val="24"/>
        </w:rPr>
        <w:t xml:space="preserve"> </w:t>
      </w:r>
      <w:r w:rsidRPr="00423400">
        <w:rPr>
          <w:rFonts w:cs="Times New Roman"/>
          <w:szCs w:val="24"/>
        </w:rPr>
        <w:t>utility</w:t>
      </w:r>
      <w:r w:rsidRPr="00423400" w:rsidR="00CD72D9">
        <w:rPr>
          <w:rFonts w:cs="Times New Roman"/>
          <w:szCs w:val="24"/>
        </w:rPr>
        <w:t xml:space="preserve"> </w:t>
      </w:r>
      <w:r w:rsidRPr="00423400">
        <w:rPr>
          <w:rFonts w:cs="Times New Roman"/>
          <w:szCs w:val="24"/>
        </w:rPr>
        <w:t>withdraws</w:t>
      </w:r>
      <w:r w:rsidRPr="00423400" w:rsidR="00CD72D9">
        <w:rPr>
          <w:rFonts w:cs="Times New Roman"/>
          <w:szCs w:val="24"/>
        </w:rPr>
        <w:t xml:space="preserve"> </w:t>
      </w:r>
      <w:r w:rsidRPr="00423400">
        <w:rPr>
          <w:rFonts w:cs="Times New Roman"/>
          <w:szCs w:val="24"/>
        </w:rPr>
        <w:t>from</w:t>
      </w:r>
      <w:r w:rsidRPr="00423400" w:rsidR="00CD72D9">
        <w:rPr>
          <w:rFonts w:cs="Times New Roman"/>
          <w:szCs w:val="24"/>
        </w:rPr>
        <w:t xml:space="preserve"> </w:t>
      </w:r>
      <w:r w:rsidRPr="00423400">
        <w:rPr>
          <w:rFonts w:cs="Times New Roman"/>
          <w:szCs w:val="24"/>
        </w:rPr>
        <w:t>its</w:t>
      </w:r>
      <w:r w:rsidRPr="00423400" w:rsidR="00CD72D9">
        <w:rPr>
          <w:rFonts w:cs="Times New Roman"/>
          <w:szCs w:val="24"/>
        </w:rPr>
        <w:t xml:space="preserve"> </w:t>
      </w:r>
      <w:r w:rsidRPr="00423400">
        <w:rPr>
          <w:rFonts w:cs="Times New Roman"/>
          <w:szCs w:val="24"/>
        </w:rPr>
        <w:t>electric</w:t>
      </w:r>
      <w:r w:rsidRPr="00423400" w:rsidR="00CD72D9">
        <w:rPr>
          <w:rFonts w:cs="Times New Roman"/>
          <w:szCs w:val="24"/>
        </w:rPr>
        <w:t xml:space="preserve"> </w:t>
      </w:r>
      <w:r w:rsidRPr="00423400">
        <w:rPr>
          <w:rFonts w:cs="Times New Roman"/>
          <w:szCs w:val="24"/>
        </w:rPr>
        <w:t>security</w:t>
      </w:r>
      <w:r w:rsidRPr="00423400" w:rsidR="00CD72D9">
        <w:rPr>
          <w:rFonts w:cs="Times New Roman"/>
          <w:szCs w:val="24"/>
        </w:rPr>
        <w:t xml:space="preserve"> </w:t>
      </w:r>
      <w:r w:rsidRPr="00423400">
        <w:rPr>
          <w:rFonts w:cs="Times New Roman"/>
          <w:szCs w:val="24"/>
        </w:rPr>
        <w:t>plan,</w:t>
      </w:r>
      <w:r w:rsidRPr="00423400" w:rsidR="00CD72D9">
        <w:rPr>
          <w:rFonts w:cs="Times New Roman"/>
          <w:szCs w:val="24"/>
        </w:rPr>
        <w:t xml:space="preserve"> </w:t>
      </w:r>
      <w:r w:rsidRPr="00423400">
        <w:rPr>
          <w:rFonts w:cs="Times New Roman"/>
          <w:szCs w:val="24"/>
        </w:rPr>
        <w:t>the PUCO “shall</w:t>
      </w:r>
      <w:r w:rsidRPr="00423400" w:rsidR="00CD72D9">
        <w:rPr>
          <w:rFonts w:cs="Times New Roman"/>
          <w:szCs w:val="24"/>
        </w:rPr>
        <w:t xml:space="preserve"> </w:t>
      </w:r>
      <w:r w:rsidRPr="00423400">
        <w:rPr>
          <w:rFonts w:cs="Times New Roman"/>
          <w:szCs w:val="24"/>
        </w:rPr>
        <w:t>issue</w:t>
      </w:r>
      <w:r w:rsidRPr="00423400" w:rsidR="00CD72D9">
        <w:rPr>
          <w:rFonts w:cs="Times New Roman"/>
          <w:szCs w:val="24"/>
        </w:rPr>
        <w:t xml:space="preserve"> </w:t>
      </w:r>
      <w:r w:rsidRPr="00423400">
        <w:rPr>
          <w:rFonts w:cs="Times New Roman"/>
          <w:szCs w:val="24"/>
        </w:rPr>
        <w:t>such</w:t>
      </w:r>
      <w:r w:rsidRPr="00423400" w:rsidR="00CD72D9">
        <w:rPr>
          <w:rFonts w:cs="Times New Roman"/>
          <w:szCs w:val="24"/>
        </w:rPr>
        <w:t xml:space="preserve"> </w:t>
      </w:r>
      <w:r w:rsidRPr="00423400">
        <w:rPr>
          <w:rFonts w:cs="Times New Roman"/>
          <w:szCs w:val="24"/>
        </w:rPr>
        <w:t>order</w:t>
      </w:r>
      <w:r w:rsidRPr="00423400" w:rsidR="00CD72D9">
        <w:rPr>
          <w:rFonts w:cs="Times New Roman"/>
          <w:szCs w:val="24"/>
        </w:rPr>
        <w:t xml:space="preserve"> </w:t>
      </w:r>
      <w:r w:rsidRPr="00423400">
        <w:rPr>
          <w:rFonts w:cs="Times New Roman"/>
          <w:szCs w:val="24"/>
        </w:rPr>
        <w:t>as</w:t>
      </w:r>
      <w:r w:rsidRPr="00423400" w:rsidR="00CD72D9">
        <w:rPr>
          <w:rFonts w:cs="Times New Roman"/>
          <w:szCs w:val="24"/>
        </w:rPr>
        <w:t xml:space="preserve"> </w:t>
      </w:r>
      <w:r w:rsidRPr="00423400">
        <w:rPr>
          <w:rFonts w:cs="Times New Roman"/>
          <w:szCs w:val="24"/>
        </w:rPr>
        <w:t>is</w:t>
      </w:r>
      <w:r w:rsidRPr="00423400" w:rsidR="00CD72D9">
        <w:rPr>
          <w:rFonts w:cs="Times New Roman"/>
          <w:szCs w:val="24"/>
        </w:rPr>
        <w:t xml:space="preserve"> </w:t>
      </w:r>
      <w:r w:rsidRPr="00423400">
        <w:rPr>
          <w:rFonts w:cs="Times New Roman"/>
          <w:szCs w:val="24"/>
        </w:rPr>
        <w:t>necessary</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continue</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provisions,</w:t>
      </w:r>
      <w:r w:rsidRPr="00423400" w:rsidR="00CD72D9">
        <w:rPr>
          <w:rFonts w:cs="Times New Roman"/>
          <w:szCs w:val="24"/>
        </w:rPr>
        <w:t xml:space="preserve"> </w:t>
      </w:r>
      <w:r w:rsidRPr="00423400">
        <w:rPr>
          <w:rFonts w:cs="Times New Roman"/>
          <w:szCs w:val="24"/>
        </w:rPr>
        <w:t>terms,</w:t>
      </w:r>
      <w:r w:rsidRPr="00423400" w:rsidR="00CD72D9">
        <w:rPr>
          <w:rFonts w:cs="Times New Roman"/>
          <w:szCs w:val="24"/>
        </w:rPr>
        <w:t xml:space="preserve"> </w:t>
      </w:r>
      <w:r w:rsidRPr="00423400">
        <w:rPr>
          <w:rFonts w:cs="Times New Roman"/>
          <w:szCs w:val="24"/>
        </w:rPr>
        <w:t>and</w:t>
      </w:r>
      <w:r w:rsidRPr="00423400" w:rsidR="00CD72D9">
        <w:rPr>
          <w:rFonts w:cs="Times New Roman"/>
          <w:szCs w:val="24"/>
        </w:rPr>
        <w:t xml:space="preserve"> </w:t>
      </w:r>
      <w:r w:rsidRPr="00423400">
        <w:rPr>
          <w:rFonts w:cs="Times New Roman"/>
          <w:szCs w:val="24"/>
        </w:rPr>
        <w:t>conditions</w:t>
      </w:r>
      <w:r w:rsidRPr="00423400" w:rsidR="00CD72D9">
        <w:rPr>
          <w:rFonts w:cs="Times New Roman"/>
          <w:szCs w:val="24"/>
        </w:rPr>
        <w:t xml:space="preserve"> </w:t>
      </w:r>
      <w:r w:rsidRPr="00423400">
        <w:rPr>
          <w:rFonts w:cs="Times New Roman"/>
          <w:szCs w:val="24"/>
        </w:rPr>
        <w:t>of the</w:t>
      </w:r>
      <w:r w:rsidRPr="00423400" w:rsidR="00CD72D9">
        <w:rPr>
          <w:rFonts w:cs="Times New Roman"/>
          <w:szCs w:val="24"/>
        </w:rPr>
        <w:t xml:space="preserve"> </w:t>
      </w:r>
      <w:r w:rsidRPr="00423400">
        <w:rPr>
          <w:rFonts w:cs="Times New Roman"/>
          <w:szCs w:val="24"/>
        </w:rPr>
        <w:t>utility’s</w:t>
      </w:r>
      <w:r w:rsidRPr="00423400" w:rsidR="00CD72D9">
        <w:rPr>
          <w:rFonts w:cs="Times New Roman"/>
          <w:szCs w:val="24"/>
        </w:rPr>
        <w:t xml:space="preserve"> </w:t>
      </w:r>
      <w:r w:rsidRPr="00423400">
        <w:rPr>
          <w:rFonts w:cs="Times New Roman"/>
          <w:szCs w:val="24"/>
        </w:rPr>
        <w:t>most</w:t>
      </w:r>
      <w:r w:rsidRPr="00423400" w:rsidR="00CD72D9">
        <w:rPr>
          <w:rFonts w:cs="Times New Roman"/>
          <w:szCs w:val="24"/>
        </w:rPr>
        <w:t xml:space="preserve"> </w:t>
      </w:r>
      <w:r w:rsidRPr="00423400">
        <w:rPr>
          <w:rFonts w:cs="Times New Roman"/>
          <w:szCs w:val="24"/>
        </w:rPr>
        <w:t>recent</w:t>
      </w:r>
      <w:r w:rsidRPr="00423400" w:rsidR="00CD72D9">
        <w:rPr>
          <w:rFonts w:cs="Times New Roman"/>
          <w:szCs w:val="24"/>
        </w:rPr>
        <w:t xml:space="preserve"> </w:t>
      </w:r>
      <w:r w:rsidRPr="00423400">
        <w:rPr>
          <w:rFonts w:cs="Times New Roman"/>
          <w:szCs w:val="24"/>
        </w:rPr>
        <w:t>standard</w:t>
      </w:r>
      <w:r w:rsidRPr="00423400" w:rsidR="00CD72D9">
        <w:rPr>
          <w:rFonts w:cs="Times New Roman"/>
          <w:szCs w:val="24"/>
        </w:rPr>
        <w:t xml:space="preserve"> </w:t>
      </w:r>
      <w:r w:rsidRPr="00423400">
        <w:rPr>
          <w:rFonts w:cs="Times New Roman"/>
          <w:szCs w:val="24"/>
        </w:rPr>
        <w:t>service</w:t>
      </w:r>
      <w:r w:rsidRPr="00423400" w:rsidR="00CD72D9">
        <w:rPr>
          <w:rFonts w:cs="Times New Roman"/>
          <w:szCs w:val="24"/>
        </w:rPr>
        <w:t xml:space="preserve"> </w:t>
      </w:r>
      <w:r w:rsidRPr="00423400">
        <w:rPr>
          <w:rFonts w:cs="Times New Roman"/>
          <w:szCs w:val="24"/>
        </w:rPr>
        <w:t>offer...until a</w:t>
      </w:r>
      <w:r w:rsidRPr="00423400" w:rsidR="00CD72D9">
        <w:rPr>
          <w:rFonts w:cs="Times New Roman"/>
          <w:szCs w:val="24"/>
        </w:rPr>
        <w:t xml:space="preserve"> </w:t>
      </w:r>
      <w:r w:rsidRPr="00423400">
        <w:rPr>
          <w:rFonts w:cs="Times New Roman"/>
          <w:szCs w:val="24"/>
        </w:rPr>
        <w:t>subsequent</w:t>
      </w:r>
      <w:r w:rsidRPr="00423400" w:rsidR="00CD72D9">
        <w:rPr>
          <w:rFonts w:cs="Times New Roman"/>
          <w:szCs w:val="24"/>
        </w:rPr>
        <w:t xml:space="preserve"> </w:t>
      </w:r>
      <w:r w:rsidRPr="00423400">
        <w:rPr>
          <w:rFonts w:cs="Times New Roman"/>
          <w:szCs w:val="24"/>
        </w:rPr>
        <w:t>offer</w:t>
      </w:r>
      <w:r w:rsidRPr="00423400" w:rsidR="00CD72D9">
        <w:rPr>
          <w:rFonts w:cs="Times New Roman"/>
          <w:szCs w:val="24"/>
        </w:rPr>
        <w:t xml:space="preserve"> </w:t>
      </w:r>
      <w:r w:rsidRPr="00423400">
        <w:rPr>
          <w:rFonts w:cs="Times New Roman"/>
          <w:szCs w:val="24"/>
        </w:rPr>
        <w:t>is</w:t>
      </w:r>
      <w:r w:rsidRPr="00423400" w:rsidR="00CD72D9">
        <w:rPr>
          <w:rFonts w:cs="Times New Roman"/>
          <w:szCs w:val="24"/>
        </w:rPr>
        <w:t xml:space="preserve"> </w:t>
      </w:r>
      <w:r w:rsidRPr="00423400">
        <w:rPr>
          <w:rFonts w:cs="Times New Roman"/>
          <w:szCs w:val="24"/>
        </w:rPr>
        <w:t>authorized</w:t>
      </w:r>
      <w:r w:rsidRPr="00423400" w:rsidR="00CD72D9">
        <w:rPr>
          <w:rFonts w:cs="Times New Roman"/>
          <w:szCs w:val="24"/>
        </w:rPr>
        <w:t xml:space="preserve"> </w:t>
      </w:r>
      <w:r w:rsidRPr="00423400">
        <w:rPr>
          <w:rFonts w:cs="Times New Roman"/>
          <w:szCs w:val="24"/>
        </w:rPr>
        <w:t>pursuant to</w:t>
      </w:r>
      <w:r w:rsidRPr="00423400" w:rsidR="00CD72D9">
        <w:rPr>
          <w:rFonts w:cs="Times New Roman"/>
          <w:szCs w:val="24"/>
        </w:rPr>
        <w:t xml:space="preserve"> </w:t>
      </w:r>
      <w:r w:rsidRPr="00423400">
        <w:rPr>
          <w:rFonts w:cs="Times New Roman"/>
          <w:szCs w:val="24"/>
        </w:rPr>
        <w:t>this</w:t>
      </w:r>
      <w:r w:rsidRPr="00423400" w:rsidR="00CD72D9">
        <w:rPr>
          <w:rFonts w:cs="Times New Roman"/>
          <w:szCs w:val="24"/>
        </w:rPr>
        <w:t xml:space="preserve"> </w:t>
      </w:r>
      <w:r w:rsidRPr="00423400">
        <w:rPr>
          <w:rFonts w:cs="Times New Roman"/>
          <w:szCs w:val="24"/>
        </w:rPr>
        <w:t>section</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section</w:t>
      </w:r>
      <w:r w:rsidRPr="00423400" w:rsidR="00CD72D9">
        <w:rPr>
          <w:rFonts w:cs="Times New Roman"/>
          <w:szCs w:val="24"/>
        </w:rPr>
        <w:t xml:space="preserve"> </w:t>
      </w:r>
      <w:r w:rsidRPr="00423400">
        <w:rPr>
          <w:rFonts w:cs="Times New Roman"/>
          <w:szCs w:val="24"/>
        </w:rPr>
        <w:t>4928.142</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Revised</w:t>
      </w:r>
      <w:r w:rsidRPr="00423400" w:rsidR="00CD72D9">
        <w:rPr>
          <w:rFonts w:cs="Times New Roman"/>
          <w:szCs w:val="24"/>
        </w:rPr>
        <w:t xml:space="preserve"> </w:t>
      </w:r>
      <w:r w:rsidRPr="00423400">
        <w:rPr>
          <w:rFonts w:cs="Times New Roman"/>
          <w:szCs w:val="24"/>
        </w:rPr>
        <w:t>Code.”</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PUCO</w:t>
      </w:r>
      <w:r w:rsidRPr="00423400" w:rsidR="00CD72D9">
        <w:rPr>
          <w:rFonts w:cs="Times New Roman"/>
          <w:szCs w:val="24"/>
        </w:rPr>
        <w:t xml:space="preserve"> </w:t>
      </w:r>
      <w:r w:rsidRPr="00423400">
        <w:rPr>
          <w:rFonts w:cs="Times New Roman"/>
          <w:szCs w:val="24"/>
        </w:rPr>
        <w:t>has</w:t>
      </w:r>
      <w:r w:rsidRPr="00423400" w:rsidR="00CD72D9">
        <w:rPr>
          <w:rFonts w:cs="Times New Roman"/>
          <w:szCs w:val="24"/>
        </w:rPr>
        <w:t xml:space="preserve"> </w:t>
      </w:r>
      <w:r w:rsidRPr="00423400">
        <w:rPr>
          <w:rFonts w:cs="Times New Roman"/>
          <w:szCs w:val="24"/>
        </w:rPr>
        <w:t>interpreted</w:t>
      </w:r>
      <w:r w:rsidRPr="00423400" w:rsidR="00CD72D9">
        <w:rPr>
          <w:rFonts w:cs="Times New Roman"/>
          <w:szCs w:val="24"/>
        </w:rPr>
        <w:t xml:space="preserve"> </w:t>
      </w:r>
      <w:r w:rsidRPr="00423400">
        <w:rPr>
          <w:rFonts w:cs="Times New Roman"/>
          <w:szCs w:val="24"/>
        </w:rPr>
        <w:t>this</w:t>
      </w:r>
      <w:r w:rsidRPr="00423400" w:rsidR="00CD72D9">
        <w:rPr>
          <w:rFonts w:cs="Times New Roman"/>
          <w:szCs w:val="24"/>
        </w:rPr>
        <w:t xml:space="preserve"> </w:t>
      </w:r>
      <w:r w:rsidRPr="00423400">
        <w:rPr>
          <w:rFonts w:cs="Times New Roman"/>
          <w:szCs w:val="24"/>
        </w:rPr>
        <w:t>statute to</w:t>
      </w:r>
      <w:r w:rsidRPr="00423400" w:rsidR="00CD72D9">
        <w:rPr>
          <w:rFonts w:cs="Times New Roman"/>
          <w:szCs w:val="24"/>
        </w:rPr>
        <w:t xml:space="preserve"> </w:t>
      </w:r>
      <w:r w:rsidRPr="00423400">
        <w:rPr>
          <w:rFonts w:cs="Times New Roman"/>
          <w:szCs w:val="24"/>
        </w:rPr>
        <w:t>mean</w:t>
      </w:r>
      <w:r w:rsidRPr="00423400" w:rsidR="00CD72D9">
        <w:rPr>
          <w:rFonts w:cs="Times New Roman"/>
          <w:szCs w:val="24"/>
        </w:rPr>
        <w:t xml:space="preserve"> </w:t>
      </w:r>
      <w:r w:rsidRPr="00423400">
        <w:rPr>
          <w:rFonts w:cs="Times New Roman"/>
          <w:szCs w:val="24"/>
        </w:rPr>
        <w:t>that</w:t>
      </w:r>
      <w:r w:rsidRPr="00423400" w:rsidR="00CD72D9">
        <w:rPr>
          <w:rFonts w:cs="Times New Roman"/>
          <w:szCs w:val="24"/>
        </w:rPr>
        <w:t xml:space="preserve"> </w:t>
      </w:r>
      <w:r w:rsidRPr="00423400">
        <w:rPr>
          <w:rFonts w:cs="Times New Roman"/>
          <w:szCs w:val="24"/>
        </w:rPr>
        <w:t>when</w:t>
      </w:r>
      <w:r w:rsidRPr="00423400" w:rsidR="00CD72D9">
        <w:rPr>
          <w:rFonts w:cs="Times New Roman"/>
          <w:szCs w:val="24"/>
        </w:rPr>
        <w:t xml:space="preserve"> </w:t>
      </w:r>
      <w:r w:rsidRPr="00423400">
        <w:rPr>
          <w:rFonts w:cs="Times New Roman"/>
          <w:szCs w:val="24"/>
        </w:rPr>
        <w:t>a</w:t>
      </w:r>
      <w:r w:rsidRPr="00423400" w:rsidR="00CD72D9">
        <w:rPr>
          <w:rFonts w:cs="Times New Roman"/>
          <w:szCs w:val="24"/>
        </w:rPr>
        <w:t xml:space="preserve"> </w:t>
      </w:r>
      <w:r w:rsidRPr="00423400">
        <w:rPr>
          <w:rFonts w:cs="Times New Roman"/>
          <w:szCs w:val="24"/>
        </w:rPr>
        <w:t>utility</w:t>
      </w:r>
      <w:r w:rsidRPr="00423400" w:rsidR="00CD72D9">
        <w:rPr>
          <w:rFonts w:cs="Times New Roman"/>
          <w:szCs w:val="24"/>
        </w:rPr>
        <w:t xml:space="preserve"> </w:t>
      </w:r>
      <w:r w:rsidRPr="00423400">
        <w:rPr>
          <w:rFonts w:cs="Times New Roman"/>
          <w:szCs w:val="24"/>
        </w:rPr>
        <w:t>withdraws</w:t>
      </w:r>
      <w:r w:rsidRPr="00423400" w:rsidR="00CD72D9">
        <w:rPr>
          <w:rFonts w:cs="Times New Roman"/>
          <w:szCs w:val="24"/>
        </w:rPr>
        <w:t xml:space="preserve"> </w:t>
      </w:r>
      <w:r w:rsidRPr="00423400">
        <w:rPr>
          <w:rFonts w:cs="Times New Roman"/>
          <w:szCs w:val="24"/>
        </w:rPr>
        <w:t>from</w:t>
      </w:r>
      <w:r w:rsidRPr="00423400" w:rsidR="00CD72D9">
        <w:rPr>
          <w:rFonts w:cs="Times New Roman"/>
          <w:szCs w:val="24"/>
        </w:rPr>
        <w:t xml:space="preserve"> </w:t>
      </w:r>
      <w:r w:rsidRPr="00423400">
        <w:rPr>
          <w:rFonts w:cs="Times New Roman"/>
          <w:szCs w:val="24"/>
        </w:rPr>
        <w:t>its</w:t>
      </w:r>
      <w:r w:rsidRPr="00423400" w:rsidR="00CD72D9">
        <w:rPr>
          <w:rFonts w:cs="Times New Roman"/>
          <w:szCs w:val="24"/>
        </w:rPr>
        <w:t xml:space="preserve"> </w:t>
      </w:r>
      <w:r w:rsidRPr="00423400">
        <w:rPr>
          <w:rFonts w:cs="Times New Roman"/>
          <w:szCs w:val="24"/>
        </w:rPr>
        <w:t>current</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it</w:t>
      </w:r>
      <w:r w:rsidRPr="00423400" w:rsidR="00CD72D9">
        <w:rPr>
          <w:rFonts w:cs="Times New Roman"/>
          <w:szCs w:val="24"/>
        </w:rPr>
        <w:t xml:space="preserve"> </w:t>
      </w:r>
      <w:r w:rsidRPr="00423400">
        <w:rPr>
          <w:rFonts w:cs="Times New Roman"/>
          <w:szCs w:val="24"/>
        </w:rPr>
        <w:t>reverts</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its</w:t>
      </w:r>
      <w:r w:rsidRPr="00423400" w:rsidR="00CD72D9">
        <w:rPr>
          <w:rFonts w:cs="Times New Roman"/>
          <w:szCs w:val="24"/>
        </w:rPr>
        <w:t xml:space="preserve"> </w:t>
      </w:r>
      <w:r w:rsidRPr="00423400">
        <w:rPr>
          <w:rFonts w:cs="Times New Roman"/>
          <w:szCs w:val="24"/>
        </w:rPr>
        <w:t>previous</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in</w:t>
      </w:r>
      <w:r w:rsidRPr="00423400" w:rsidR="00CD72D9">
        <w:rPr>
          <w:rFonts w:cs="Times New Roman"/>
          <w:szCs w:val="24"/>
        </w:rPr>
        <w:t xml:space="preserve"> </w:t>
      </w:r>
      <w:r w:rsidRPr="00423400">
        <w:rPr>
          <w:rFonts w:cs="Times New Roman"/>
          <w:szCs w:val="24"/>
        </w:rPr>
        <w:t>its entirety.</w:t>
      </w:r>
      <w:r>
        <w:rPr>
          <w:rStyle w:val="FootnoteReference"/>
          <w:rFonts w:cs="Times New Roman"/>
          <w:szCs w:val="24"/>
        </w:rPr>
        <w:footnoteReference w:id="45"/>
      </w:r>
      <w:r w:rsidRPr="00423400">
        <w:rPr>
          <w:rFonts w:cs="Times New Roman"/>
          <w:szCs w:val="24"/>
        </w:rPr>
        <w:t xml:space="preserve"> </w:t>
      </w:r>
    </w:p>
    <w:p w:rsidR="00F777C3" w:rsidRPr="00423400" w:rsidP="00F777C3" w14:paraId="45F0DAEC" w14:textId="77777777">
      <w:pPr>
        <w:spacing w:after="0" w:line="480" w:lineRule="auto"/>
        <w:ind w:firstLine="720"/>
        <w:rPr>
          <w:rFonts w:cs="Times New Roman"/>
          <w:szCs w:val="24"/>
        </w:rPr>
      </w:pPr>
      <w:r w:rsidRPr="00423400">
        <w:rPr>
          <w:rFonts w:cs="Times New Roman"/>
          <w:szCs w:val="24"/>
        </w:rPr>
        <w:t>When</w:t>
      </w:r>
      <w:r w:rsidRPr="00423400" w:rsidR="00CD72D9">
        <w:rPr>
          <w:rFonts w:cs="Times New Roman"/>
          <w:szCs w:val="24"/>
        </w:rPr>
        <w:t xml:space="preserve"> </w:t>
      </w:r>
      <w:r w:rsidRPr="00423400">
        <w:rPr>
          <w:rFonts w:cs="Times New Roman"/>
          <w:szCs w:val="24"/>
        </w:rPr>
        <w:t>DP&amp;L withdrew</w:t>
      </w:r>
      <w:r w:rsidRPr="00423400" w:rsidR="00CD72D9">
        <w:rPr>
          <w:rFonts w:cs="Times New Roman"/>
          <w:szCs w:val="24"/>
        </w:rPr>
        <w:t xml:space="preserve"> </w:t>
      </w:r>
      <w:r w:rsidRPr="00423400">
        <w:rPr>
          <w:rFonts w:cs="Times New Roman"/>
          <w:szCs w:val="24"/>
        </w:rPr>
        <w:t>from</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II</w:t>
      </w:r>
      <w:r w:rsidRPr="00423400" w:rsidR="00CD72D9">
        <w:rPr>
          <w:rFonts w:cs="Times New Roman"/>
          <w:szCs w:val="24"/>
        </w:rPr>
        <w:t xml:space="preserve"> </w:t>
      </w:r>
      <w:r w:rsidRPr="00423400">
        <w:rPr>
          <w:rFonts w:cs="Times New Roman"/>
          <w:szCs w:val="24"/>
        </w:rPr>
        <w:t>and</w:t>
      </w:r>
      <w:r w:rsidRPr="00423400" w:rsidR="00CD72D9">
        <w:rPr>
          <w:rFonts w:cs="Times New Roman"/>
          <w:szCs w:val="24"/>
        </w:rPr>
        <w:t xml:space="preserve"> </w:t>
      </w:r>
      <w:r w:rsidRPr="00423400">
        <w:rPr>
          <w:rFonts w:cs="Times New Roman"/>
          <w:szCs w:val="24"/>
        </w:rPr>
        <w:t>reverted</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PUCO</w:t>
      </w:r>
      <w:r w:rsidRPr="00423400" w:rsidR="00CD72D9">
        <w:rPr>
          <w:rFonts w:cs="Times New Roman"/>
          <w:szCs w:val="24"/>
        </w:rPr>
        <w:t xml:space="preserve"> </w:t>
      </w:r>
      <w:r w:rsidRPr="00423400">
        <w:rPr>
          <w:rFonts w:cs="Times New Roman"/>
          <w:szCs w:val="24"/>
        </w:rPr>
        <w:t>found</w:t>
      </w:r>
      <w:r w:rsidRPr="00423400" w:rsidR="00CD72D9">
        <w:rPr>
          <w:rFonts w:cs="Times New Roman"/>
          <w:szCs w:val="24"/>
        </w:rPr>
        <w:t xml:space="preserve"> </w:t>
      </w:r>
      <w:r w:rsidRPr="00423400">
        <w:rPr>
          <w:rFonts w:cs="Times New Roman"/>
          <w:szCs w:val="24"/>
        </w:rPr>
        <w:t>that</w:t>
      </w:r>
      <w:r w:rsidRPr="00423400" w:rsidR="00CD72D9">
        <w:rPr>
          <w:rFonts w:cs="Times New Roman"/>
          <w:szCs w:val="24"/>
        </w:rPr>
        <w:t xml:space="preserve"> </w:t>
      </w:r>
      <w:r w:rsidRPr="00423400">
        <w:rPr>
          <w:rFonts w:cs="Times New Roman"/>
          <w:szCs w:val="24"/>
        </w:rPr>
        <w:t>DP&amp;L was</w:t>
      </w:r>
      <w:r w:rsidRPr="00423400" w:rsidR="00CD72D9">
        <w:rPr>
          <w:rFonts w:cs="Times New Roman"/>
          <w:szCs w:val="24"/>
        </w:rPr>
        <w:t xml:space="preserve"> </w:t>
      </w:r>
      <w:r w:rsidRPr="00423400">
        <w:rPr>
          <w:rFonts w:cs="Times New Roman"/>
          <w:szCs w:val="24"/>
        </w:rPr>
        <w:t>required</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continue</w:t>
      </w:r>
      <w:r w:rsidRPr="00423400" w:rsidR="00CD72D9">
        <w:rPr>
          <w:rFonts w:cs="Times New Roman"/>
          <w:szCs w:val="24"/>
        </w:rPr>
        <w:t xml:space="preserve"> </w:t>
      </w:r>
      <w:r w:rsidRPr="00423400">
        <w:rPr>
          <w:rFonts w:cs="Times New Roman"/>
          <w:szCs w:val="24"/>
        </w:rPr>
        <w:t>charges</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consumers</w:t>
      </w:r>
      <w:r w:rsidRPr="00423400" w:rsidR="00CD72D9">
        <w:rPr>
          <w:rFonts w:cs="Times New Roman"/>
          <w:szCs w:val="24"/>
        </w:rPr>
        <w:t xml:space="preserve"> </w:t>
      </w:r>
      <w:r w:rsidRPr="00423400">
        <w:rPr>
          <w:rFonts w:cs="Times New Roman"/>
          <w:szCs w:val="24"/>
        </w:rPr>
        <w:t>(which</w:t>
      </w:r>
      <w:r w:rsidRPr="00423400" w:rsidR="00CD72D9">
        <w:rPr>
          <w:rFonts w:cs="Times New Roman"/>
          <w:szCs w:val="24"/>
        </w:rPr>
        <w:t xml:space="preserve"> </w:t>
      </w:r>
      <w:r w:rsidRPr="00423400">
        <w:rPr>
          <w:rFonts w:cs="Times New Roman"/>
          <w:szCs w:val="24"/>
        </w:rPr>
        <w:t>included</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Rate</w:t>
      </w:r>
      <w:r w:rsidRPr="00423400" w:rsidR="00CD72D9">
        <w:rPr>
          <w:rFonts w:cs="Times New Roman"/>
          <w:szCs w:val="24"/>
        </w:rPr>
        <w:t xml:space="preserve"> </w:t>
      </w:r>
      <w:r w:rsidRPr="00423400">
        <w:rPr>
          <w:rFonts w:cs="Times New Roman"/>
          <w:szCs w:val="24"/>
        </w:rPr>
        <w:t>Stabilization</w:t>
      </w:r>
      <w:r w:rsidRPr="00423400" w:rsidR="00CD72D9">
        <w:rPr>
          <w:rFonts w:cs="Times New Roman"/>
          <w:szCs w:val="24"/>
        </w:rPr>
        <w:t xml:space="preserve"> </w:t>
      </w:r>
      <w:r w:rsidRPr="00423400">
        <w:rPr>
          <w:rFonts w:cs="Times New Roman"/>
          <w:szCs w:val="24"/>
        </w:rPr>
        <w:t>Charge) because</w:t>
      </w:r>
      <w:r w:rsidRPr="00423400" w:rsidR="00CD72D9">
        <w:rPr>
          <w:rFonts w:cs="Times New Roman"/>
          <w:szCs w:val="24"/>
        </w:rPr>
        <w:t xml:space="preserve"> </w:t>
      </w:r>
      <w:r w:rsidRPr="00423400">
        <w:rPr>
          <w:rFonts w:cs="Times New Roman"/>
          <w:szCs w:val="24"/>
        </w:rPr>
        <w:t>those</w:t>
      </w:r>
      <w:r w:rsidRPr="00423400" w:rsidR="00CD72D9">
        <w:rPr>
          <w:rFonts w:cs="Times New Roman"/>
          <w:szCs w:val="24"/>
        </w:rPr>
        <w:t xml:space="preserve"> </w:t>
      </w:r>
      <w:r w:rsidRPr="00423400">
        <w:rPr>
          <w:rFonts w:cs="Times New Roman"/>
          <w:szCs w:val="24"/>
        </w:rPr>
        <w:t>charges</w:t>
      </w:r>
      <w:r w:rsidRPr="00423400" w:rsidR="00CD72D9">
        <w:rPr>
          <w:rFonts w:cs="Times New Roman"/>
          <w:szCs w:val="24"/>
        </w:rPr>
        <w:t xml:space="preserve"> </w:t>
      </w:r>
      <w:r w:rsidRPr="00423400">
        <w:rPr>
          <w:rFonts w:cs="Times New Roman"/>
          <w:szCs w:val="24"/>
        </w:rPr>
        <w:t>were</w:t>
      </w:r>
      <w:r w:rsidRPr="00423400" w:rsidR="00CD72D9">
        <w:rPr>
          <w:rFonts w:cs="Times New Roman"/>
          <w:szCs w:val="24"/>
        </w:rPr>
        <w:t xml:space="preserve"> </w:t>
      </w:r>
      <w:r w:rsidRPr="00423400">
        <w:rPr>
          <w:rFonts w:cs="Times New Roman"/>
          <w:szCs w:val="24"/>
        </w:rPr>
        <w:t>part</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Commission</w:t>
      </w:r>
      <w:r w:rsidRPr="00423400" w:rsidR="00CD72D9">
        <w:rPr>
          <w:rFonts w:cs="Times New Roman"/>
          <w:szCs w:val="24"/>
        </w:rPr>
        <w:t xml:space="preserve"> </w:t>
      </w:r>
      <w:r w:rsidRPr="00423400">
        <w:rPr>
          <w:rFonts w:cs="Times New Roman"/>
          <w:szCs w:val="24"/>
        </w:rPr>
        <w:t>cannot</w:t>
      </w:r>
      <w:r w:rsidRPr="00423400" w:rsidR="00CD72D9">
        <w:rPr>
          <w:rFonts w:cs="Times New Roman"/>
          <w:szCs w:val="24"/>
        </w:rPr>
        <w:t xml:space="preserve"> </w:t>
      </w:r>
      <w:r w:rsidRPr="00423400">
        <w:rPr>
          <w:rFonts w:cs="Times New Roman"/>
          <w:szCs w:val="24"/>
        </w:rPr>
        <w:t>arbitrarily</w:t>
      </w:r>
      <w:r w:rsidRPr="00423400" w:rsidR="00CD72D9">
        <w:rPr>
          <w:rFonts w:cs="Times New Roman"/>
          <w:szCs w:val="24"/>
        </w:rPr>
        <w:t xml:space="preserve"> </w:t>
      </w:r>
      <w:r w:rsidRPr="00423400">
        <w:rPr>
          <w:rFonts w:cs="Times New Roman"/>
          <w:szCs w:val="24"/>
        </w:rPr>
        <w:t>choose</w:t>
      </w:r>
      <w:r w:rsidRPr="00423400" w:rsidR="00CD72D9">
        <w:rPr>
          <w:rFonts w:cs="Times New Roman"/>
          <w:szCs w:val="24"/>
        </w:rPr>
        <w:t xml:space="preserve"> </w:t>
      </w:r>
      <w:r w:rsidRPr="00423400">
        <w:rPr>
          <w:rFonts w:cs="Times New Roman"/>
          <w:szCs w:val="24"/>
        </w:rPr>
        <w:t>some</w:t>
      </w:r>
      <w:r w:rsidRPr="00423400" w:rsidR="00CD72D9">
        <w:rPr>
          <w:rFonts w:cs="Times New Roman"/>
          <w:szCs w:val="24"/>
        </w:rPr>
        <w:t xml:space="preserve"> </w:t>
      </w:r>
      <w:r w:rsidRPr="00423400">
        <w:rPr>
          <w:rFonts w:cs="Times New Roman"/>
          <w:szCs w:val="24"/>
        </w:rPr>
        <w:t>of the</w:t>
      </w:r>
      <w:r w:rsidRPr="00423400" w:rsidR="00CD72D9">
        <w:rPr>
          <w:rFonts w:cs="Times New Roman"/>
          <w:szCs w:val="24"/>
        </w:rPr>
        <w:t xml:space="preserve"> </w:t>
      </w:r>
      <w:r w:rsidRPr="00423400">
        <w:rPr>
          <w:rFonts w:cs="Times New Roman"/>
          <w:szCs w:val="24"/>
        </w:rPr>
        <w:t>various</w:t>
      </w:r>
      <w:r w:rsidRPr="00423400" w:rsidR="00CD72D9">
        <w:rPr>
          <w:rFonts w:cs="Times New Roman"/>
          <w:szCs w:val="24"/>
        </w:rPr>
        <w:t xml:space="preserve"> </w:t>
      </w:r>
      <w:r w:rsidRPr="00423400">
        <w:rPr>
          <w:rFonts w:cs="Times New Roman"/>
          <w:szCs w:val="24"/>
        </w:rPr>
        <w:t>provisions</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continue</w:t>
      </w:r>
      <w:r w:rsidRPr="00423400" w:rsidR="00CD72D9">
        <w:rPr>
          <w:rFonts w:cs="Times New Roman"/>
          <w:szCs w:val="24"/>
        </w:rPr>
        <w:t xml:space="preserve"> </w:t>
      </w:r>
      <w:r w:rsidRPr="00423400">
        <w:rPr>
          <w:rFonts w:cs="Times New Roman"/>
          <w:szCs w:val="24"/>
        </w:rPr>
        <w:t>after</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termination</w:t>
      </w:r>
      <w:r w:rsidRPr="00423400" w:rsidR="00CD72D9">
        <w:rPr>
          <w:rFonts w:cs="Times New Roman"/>
          <w:szCs w:val="24"/>
        </w:rPr>
        <w:t xml:space="preserve"> </w:t>
      </w:r>
      <w:r w:rsidRPr="00423400">
        <w:rPr>
          <w:rFonts w:cs="Times New Roman"/>
          <w:szCs w:val="24"/>
        </w:rPr>
        <w:t>date</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and</w:t>
      </w:r>
      <w:r w:rsidRPr="00423400" w:rsidR="00CD72D9">
        <w:rPr>
          <w:rFonts w:cs="Times New Roman"/>
          <w:szCs w:val="24"/>
        </w:rPr>
        <w:t xml:space="preserve"> </w:t>
      </w:r>
      <w:r w:rsidRPr="00423400">
        <w:rPr>
          <w:rFonts w:cs="Times New Roman"/>
          <w:szCs w:val="24"/>
        </w:rPr>
        <w:t>choose other</w:t>
      </w:r>
      <w:r w:rsidRPr="00423400" w:rsidR="00CD72D9">
        <w:rPr>
          <w:rFonts w:cs="Times New Roman"/>
          <w:szCs w:val="24"/>
        </w:rPr>
        <w:t xml:space="preserve"> </w:t>
      </w:r>
      <w:r w:rsidRPr="00423400">
        <w:rPr>
          <w:rFonts w:cs="Times New Roman"/>
          <w:szCs w:val="24"/>
        </w:rPr>
        <w:t>provisions</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not</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continue.”</w:t>
      </w:r>
      <w:r>
        <w:rPr>
          <w:rStyle w:val="FootnoteReference"/>
          <w:rFonts w:cs="Times New Roman"/>
          <w:szCs w:val="24"/>
        </w:rPr>
        <w:footnoteReference w:id="46"/>
      </w:r>
      <w:r w:rsidRPr="00423400">
        <w:rPr>
          <w:rFonts w:cs="Times New Roman"/>
          <w:szCs w:val="24"/>
        </w:rPr>
        <w:t xml:space="preserve"> </w:t>
      </w:r>
    </w:p>
    <w:p w:rsidR="00F777C3" w:rsidRPr="00423400" w:rsidP="00F777C3" w14:paraId="440B6168" w14:textId="77777777">
      <w:pPr>
        <w:spacing w:after="0" w:line="480" w:lineRule="auto"/>
        <w:ind w:firstLine="720"/>
        <w:rPr>
          <w:rFonts w:cs="Times New Roman"/>
          <w:szCs w:val="24"/>
        </w:rPr>
      </w:pPr>
      <w:r w:rsidRPr="00423400">
        <w:rPr>
          <w:rFonts w:cs="Times New Roman"/>
          <w:szCs w:val="24"/>
        </w:rPr>
        <w:t>When</w:t>
      </w:r>
      <w:r w:rsidRPr="00423400" w:rsidR="00CD72D9">
        <w:rPr>
          <w:rFonts w:cs="Times New Roman"/>
          <w:szCs w:val="24"/>
        </w:rPr>
        <w:t xml:space="preserve"> </w:t>
      </w:r>
      <w:r w:rsidRPr="00423400">
        <w:rPr>
          <w:rFonts w:cs="Times New Roman"/>
          <w:szCs w:val="24"/>
        </w:rPr>
        <w:t>DP&amp;L withdrew</w:t>
      </w:r>
      <w:r w:rsidRPr="00423400" w:rsidR="00CD72D9">
        <w:rPr>
          <w:rFonts w:cs="Times New Roman"/>
          <w:szCs w:val="24"/>
        </w:rPr>
        <w:t xml:space="preserve"> </w:t>
      </w:r>
      <w:r w:rsidRPr="00423400">
        <w:rPr>
          <w:rFonts w:cs="Times New Roman"/>
          <w:szCs w:val="24"/>
        </w:rPr>
        <w:t>from</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III</w:t>
      </w:r>
      <w:r w:rsidRPr="00423400" w:rsidR="00CD72D9">
        <w:rPr>
          <w:rFonts w:cs="Times New Roman"/>
          <w:szCs w:val="24"/>
        </w:rPr>
        <w:t xml:space="preserve"> </w:t>
      </w:r>
      <w:r w:rsidRPr="00423400">
        <w:rPr>
          <w:rFonts w:cs="Times New Roman"/>
          <w:szCs w:val="24"/>
        </w:rPr>
        <w:t>and</w:t>
      </w:r>
      <w:r w:rsidRPr="00423400" w:rsidR="00CD72D9">
        <w:rPr>
          <w:rFonts w:cs="Times New Roman"/>
          <w:szCs w:val="24"/>
        </w:rPr>
        <w:t xml:space="preserve"> </w:t>
      </w:r>
      <w:r w:rsidRPr="00423400">
        <w:rPr>
          <w:rFonts w:cs="Times New Roman"/>
          <w:szCs w:val="24"/>
        </w:rPr>
        <w:t>reverted</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PUCO</w:t>
      </w:r>
      <w:r w:rsidRPr="00423400" w:rsidR="00CD72D9">
        <w:rPr>
          <w:rFonts w:cs="Times New Roman"/>
          <w:szCs w:val="24"/>
        </w:rPr>
        <w:t xml:space="preserve"> </w:t>
      </w:r>
      <w:r w:rsidRPr="00423400">
        <w:rPr>
          <w:rFonts w:cs="Times New Roman"/>
          <w:szCs w:val="24"/>
        </w:rPr>
        <w:t>again</w:t>
      </w:r>
      <w:r w:rsidRPr="00423400" w:rsidR="00CD72D9">
        <w:rPr>
          <w:rFonts w:cs="Times New Roman"/>
          <w:szCs w:val="24"/>
        </w:rPr>
        <w:t xml:space="preserve"> </w:t>
      </w:r>
      <w:r w:rsidRPr="00423400">
        <w:rPr>
          <w:rFonts w:cs="Times New Roman"/>
          <w:szCs w:val="24"/>
        </w:rPr>
        <w:t>found</w:t>
      </w:r>
      <w:r w:rsidRPr="00423400" w:rsidR="00CD72D9">
        <w:rPr>
          <w:rFonts w:cs="Times New Roman"/>
          <w:szCs w:val="24"/>
        </w:rPr>
        <w:t xml:space="preserve"> </w:t>
      </w:r>
      <w:r w:rsidRPr="00423400">
        <w:rPr>
          <w:rFonts w:cs="Times New Roman"/>
          <w:szCs w:val="24"/>
        </w:rPr>
        <w:t>that</w:t>
      </w:r>
      <w:r w:rsidRPr="00423400" w:rsidR="00CD72D9">
        <w:rPr>
          <w:rFonts w:cs="Times New Roman"/>
          <w:szCs w:val="24"/>
        </w:rPr>
        <w:t xml:space="preserve"> </w:t>
      </w:r>
      <w:r w:rsidRPr="00423400">
        <w:rPr>
          <w:rFonts w:cs="Times New Roman"/>
          <w:szCs w:val="24"/>
        </w:rPr>
        <w:t>it was</w:t>
      </w:r>
      <w:r w:rsidRPr="00423400" w:rsidR="00CD72D9">
        <w:rPr>
          <w:rFonts w:cs="Times New Roman"/>
          <w:szCs w:val="24"/>
        </w:rPr>
        <w:t xml:space="preserve"> </w:t>
      </w:r>
      <w:r w:rsidRPr="00423400">
        <w:rPr>
          <w:rFonts w:cs="Times New Roman"/>
          <w:szCs w:val="24"/>
        </w:rPr>
        <w:t>required</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continue</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w:t>
      </w:r>
      <w:r w:rsidRPr="00423400" w:rsidR="00CD72D9">
        <w:rPr>
          <w:rFonts w:cs="Times New Roman"/>
          <w:szCs w:val="24"/>
        </w:rPr>
        <w:t xml:space="preserve"> </w:t>
      </w:r>
      <w:r w:rsidRPr="00423400">
        <w:rPr>
          <w:rFonts w:cs="Times New Roman"/>
          <w:szCs w:val="24"/>
        </w:rPr>
        <w:t>without</w:t>
      </w:r>
      <w:r w:rsidRPr="00423400" w:rsidR="00CD72D9">
        <w:rPr>
          <w:rFonts w:cs="Times New Roman"/>
          <w:szCs w:val="24"/>
        </w:rPr>
        <w:t xml:space="preserve"> </w:t>
      </w:r>
      <w:r w:rsidRPr="00423400">
        <w:rPr>
          <w:rFonts w:cs="Times New Roman"/>
          <w:szCs w:val="24"/>
        </w:rPr>
        <w:t>modification.</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PUCO</w:t>
      </w:r>
      <w:r w:rsidRPr="00423400" w:rsidR="00CD72D9">
        <w:rPr>
          <w:rFonts w:cs="Times New Roman"/>
          <w:szCs w:val="24"/>
        </w:rPr>
        <w:t xml:space="preserve"> </w:t>
      </w:r>
      <w:r w:rsidRPr="00423400">
        <w:rPr>
          <w:rFonts w:cs="Times New Roman"/>
          <w:szCs w:val="24"/>
        </w:rPr>
        <w:t>rejected</w:t>
      </w:r>
      <w:r w:rsidRPr="00423400" w:rsidR="00CD72D9">
        <w:rPr>
          <w:rFonts w:cs="Times New Roman"/>
          <w:szCs w:val="24"/>
        </w:rPr>
        <w:t xml:space="preserve"> </w:t>
      </w:r>
      <w:r w:rsidRPr="00423400">
        <w:rPr>
          <w:rFonts w:cs="Times New Roman"/>
          <w:szCs w:val="24"/>
        </w:rPr>
        <w:t>arguments</w:t>
      </w:r>
      <w:r w:rsidRPr="00423400" w:rsidR="00CD72D9">
        <w:rPr>
          <w:rFonts w:cs="Times New Roman"/>
          <w:szCs w:val="24"/>
        </w:rPr>
        <w:t xml:space="preserve"> </w:t>
      </w:r>
      <w:r w:rsidRPr="00423400">
        <w:rPr>
          <w:rFonts w:cs="Times New Roman"/>
          <w:szCs w:val="24"/>
        </w:rPr>
        <w:t>that</w:t>
      </w:r>
      <w:r w:rsidRPr="00423400" w:rsidR="00CD72D9">
        <w:rPr>
          <w:rFonts w:cs="Times New Roman"/>
          <w:szCs w:val="24"/>
        </w:rPr>
        <w:t xml:space="preserve"> </w:t>
      </w:r>
      <w:r w:rsidRPr="00423400">
        <w:rPr>
          <w:rFonts w:cs="Times New Roman"/>
          <w:szCs w:val="24"/>
        </w:rPr>
        <w:t>the RSC</w:t>
      </w:r>
      <w:r w:rsidRPr="00423400" w:rsidR="00CD72D9">
        <w:rPr>
          <w:rFonts w:cs="Times New Roman"/>
          <w:szCs w:val="24"/>
        </w:rPr>
        <w:t xml:space="preserve"> </w:t>
      </w:r>
      <w:r w:rsidRPr="00423400">
        <w:rPr>
          <w:rFonts w:cs="Times New Roman"/>
          <w:szCs w:val="24"/>
        </w:rPr>
        <w:t>should</w:t>
      </w:r>
      <w:r w:rsidRPr="00423400" w:rsidR="00CD72D9">
        <w:rPr>
          <w:rFonts w:cs="Times New Roman"/>
          <w:szCs w:val="24"/>
        </w:rPr>
        <w:t xml:space="preserve"> </w:t>
      </w:r>
      <w:r w:rsidRPr="00423400">
        <w:rPr>
          <w:rFonts w:cs="Times New Roman"/>
          <w:szCs w:val="24"/>
        </w:rPr>
        <w:t>not</w:t>
      </w:r>
      <w:r w:rsidRPr="00423400" w:rsidR="00CD72D9">
        <w:rPr>
          <w:rFonts w:cs="Times New Roman"/>
          <w:szCs w:val="24"/>
        </w:rPr>
        <w:t xml:space="preserve"> </w:t>
      </w:r>
      <w:r w:rsidRPr="00423400">
        <w:rPr>
          <w:rFonts w:cs="Times New Roman"/>
          <w:szCs w:val="24"/>
        </w:rPr>
        <w:t>continue.</w:t>
      </w:r>
      <w:r>
        <w:rPr>
          <w:rStyle w:val="FootnoteReference"/>
          <w:rFonts w:cs="Times New Roman"/>
          <w:szCs w:val="24"/>
        </w:rPr>
        <w:footnoteReference w:id="47"/>
      </w:r>
      <w:r w:rsidRPr="00423400">
        <w:rPr>
          <w:rFonts w:cs="Times New Roman"/>
          <w:szCs w:val="24"/>
        </w:rPr>
        <w:t xml:space="preserve"> The</w:t>
      </w:r>
      <w:r w:rsidRPr="00423400" w:rsidR="00CD72D9">
        <w:rPr>
          <w:rFonts w:cs="Times New Roman"/>
          <w:szCs w:val="24"/>
        </w:rPr>
        <w:t xml:space="preserve"> </w:t>
      </w:r>
      <w:r w:rsidRPr="00423400">
        <w:rPr>
          <w:rFonts w:cs="Times New Roman"/>
          <w:szCs w:val="24"/>
        </w:rPr>
        <w:t>PUCO</w:t>
      </w:r>
      <w:r w:rsidRPr="00423400" w:rsidR="00CD72D9">
        <w:rPr>
          <w:rFonts w:cs="Times New Roman"/>
          <w:szCs w:val="24"/>
        </w:rPr>
        <w:t xml:space="preserve"> </w:t>
      </w:r>
      <w:r w:rsidRPr="00423400">
        <w:rPr>
          <w:rFonts w:cs="Times New Roman"/>
          <w:szCs w:val="24"/>
        </w:rPr>
        <w:t>rejected</w:t>
      </w:r>
      <w:r w:rsidRPr="00423400" w:rsidR="00CD72D9">
        <w:rPr>
          <w:rFonts w:cs="Times New Roman"/>
          <w:szCs w:val="24"/>
        </w:rPr>
        <w:t xml:space="preserve"> </w:t>
      </w:r>
      <w:r w:rsidRPr="00423400">
        <w:rPr>
          <w:rFonts w:cs="Times New Roman"/>
          <w:szCs w:val="24"/>
        </w:rPr>
        <w:t>arguments</w:t>
      </w:r>
      <w:r w:rsidRPr="00423400" w:rsidR="00CD72D9">
        <w:rPr>
          <w:rFonts w:cs="Times New Roman"/>
          <w:szCs w:val="24"/>
        </w:rPr>
        <w:t xml:space="preserve"> </w:t>
      </w:r>
      <w:r w:rsidRPr="00423400">
        <w:rPr>
          <w:rFonts w:cs="Times New Roman"/>
          <w:szCs w:val="24"/>
        </w:rPr>
        <w:t>that</w:t>
      </w:r>
      <w:r w:rsidRPr="00423400" w:rsidR="00CD72D9">
        <w:rPr>
          <w:rFonts w:cs="Times New Roman"/>
          <w:szCs w:val="24"/>
        </w:rPr>
        <w:t xml:space="preserve"> </w:t>
      </w:r>
      <w:r w:rsidRPr="00423400">
        <w:rPr>
          <w:rFonts w:cs="Times New Roman"/>
          <w:szCs w:val="24"/>
        </w:rPr>
        <w:t>DP&amp;L</w:t>
      </w:r>
      <w:r w:rsidRPr="00423400" w:rsidR="00CD72D9">
        <w:rPr>
          <w:rFonts w:cs="Times New Roman"/>
          <w:szCs w:val="24"/>
        </w:rPr>
        <w:t xml:space="preserve"> </w:t>
      </w:r>
      <w:r w:rsidRPr="00423400">
        <w:rPr>
          <w:rFonts w:cs="Times New Roman"/>
          <w:szCs w:val="24"/>
        </w:rPr>
        <w:t>should</w:t>
      </w:r>
      <w:r w:rsidRPr="00423400" w:rsidR="00CD72D9">
        <w:rPr>
          <w:rFonts w:cs="Times New Roman"/>
          <w:szCs w:val="24"/>
        </w:rPr>
        <w:t xml:space="preserve"> </w:t>
      </w:r>
      <w:r w:rsidRPr="00423400">
        <w:rPr>
          <w:rFonts w:cs="Times New Roman"/>
          <w:szCs w:val="24"/>
        </w:rPr>
        <w:t>be</w:t>
      </w:r>
      <w:r w:rsidRPr="00423400" w:rsidR="00CD72D9">
        <w:rPr>
          <w:rFonts w:cs="Times New Roman"/>
          <w:szCs w:val="24"/>
        </w:rPr>
        <w:t xml:space="preserve"> </w:t>
      </w:r>
      <w:r w:rsidRPr="00423400">
        <w:rPr>
          <w:rFonts w:cs="Times New Roman"/>
          <w:szCs w:val="24"/>
        </w:rPr>
        <w:t>allowed</w:t>
      </w:r>
      <w:r w:rsidRPr="00423400" w:rsidR="00CD72D9">
        <w:rPr>
          <w:rFonts w:cs="Times New Roman"/>
          <w:szCs w:val="24"/>
        </w:rPr>
        <w:t xml:space="preserve"> </w:t>
      </w:r>
      <w:r w:rsidRPr="00423400">
        <w:rPr>
          <w:rFonts w:cs="Times New Roman"/>
          <w:szCs w:val="24"/>
        </w:rPr>
        <w:t>to continue</w:t>
      </w:r>
      <w:r w:rsidRPr="00423400" w:rsidR="00CD72D9">
        <w:rPr>
          <w:rFonts w:cs="Times New Roman"/>
          <w:szCs w:val="24"/>
        </w:rPr>
        <w:t xml:space="preserve"> </w:t>
      </w:r>
      <w:r w:rsidRPr="00423400">
        <w:rPr>
          <w:rFonts w:cs="Times New Roman"/>
          <w:szCs w:val="24"/>
        </w:rPr>
        <w:t>charging</w:t>
      </w:r>
      <w:r w:rsidRPr="00423400" w:rsidR="00CD72D9">
        <w:rPr>
          <w:rFonts w:cs="Times New Roman"/>
          <w:szCs w:val="24"/>
        </w:rPr>
        <w:t xml:space="preserve"> </w:t>
      </w:r>
      <w:r w:rsidRPr="00423400">
        <w:rPr>
          <w:rFonts w:cs="Times New Roman"/>
          <w:szCs w:val="24"/>
        </w:rPr>
        <w:t>consumers</w:t>
      </w:r>
      <w:r w:rsidRPr="00423400" w:rsidR="00CD72D9">
        <w:rPr>
          <w:rFonts w:cs="Times New Roman"/>
          <w:szCs w:val="24"/>
        </w:rPr>
        <w:t xml:space="preserve"> </w:t>
      </w:r>
      <w:r w:rsidRPr="00423400">
        <w:rPr>
          <w:rFonts w:cs="Times New Roman"/>
          <w:szCs w:val="24"/>
        </w:rPr>
        <w:t>under</w:t>
      </w:r>
      <w:r w:rsidRPr="00423400" w:rsidR="00CD72D9">
        <w:rPr>
          <w:rFonts w:cs="Times New Roman"/>
          <w:szCs w:val="24"/>
        </w:rPr>
        <w:t xml:space="preserve"> </w:t>
      </w:r>
      <w:r w:rsidRPr="00423400">
        <w:rPr>
          <w:rFonts w:cs="Times New Roman"/>
          <w:szCs w:val="24"/>
        </w:rPr>
        <w:t>various</w:t>
      </w:r>
      <w:r w:rsidRPr="00423400" w:rsidR="00CD72D9">
        <w:rPr>
          <w:rFonts w:cs="Times New Roman"/>
          <w:szCs w:val="24"/>
        </w:rPr>
        <w:t xml:space="preserve"> </w:t>
      </w:r>
      <w:r w:rsidRPr="00423400">
        <w:rPr>
          <w:rFonts w:cs="Times New Roman"/>
          <w:szCs w:val="24"/>
        </w:rPr>
        <w:t>riders</w:t>
      </w:r>
      <w:r w:rsidRPr="00423400" w:rsidR="00CD72D9">
        <w:rPr>
          <w:rFonts w:cs="Times New Roman"/>
          <w:szCs w:val="24"/>
        </w:rPr>
        <w:t xml:space="preserve"> </w:t>
      </w:r>
      <w:r w:rsidRPr="00423400">
        <w:rPr>
          <w:rFonts w:cs="Times New Roman"/>
          <w:szCs w:val="24"/>
        </w:rPr>
        <w:t>because</w:t>
      </w:r>
      <w:r w:rsidRPr="00423400" w:rsidR="00CD72D9">
        <w:rPr>
          <w:rFonts w:cs="Times New Roman"/>
          <w:szCs w:val="24"/>
        </w:rPr>
        <w:t xml:space="preserve"> </w:t>
      </w:r>
      <w:r w:rsidRPr="00423400">
        <w:rPr>
          <w:rFonts w:cs="Times New Roman"/>
          <w:szCs w:val="24"/>
        </w:rPr>
        <w:t>they</w:t>
      </w:r>
      <w:r w:rsidRPr="00423400" w:rsidR="00CD72D9">
        <w:rPr>
          <w:rFonts w:cs="Times New Roman"/>
          <w:szCs w:val="24"/>
        </w:rPr>
        <w:t xml:space="preserve"> </w:t>
      </w:r>
      <w:r w:rsidRPr="00423400">
        <w:rPr>
          <w:rFonts w:cs="Times New Roman"/>
          <w:szCs w:val="24"/>
        </w:rPr>
        <w:t>were</w:t>
      </w:r>
      <w:r w:rsidRPr="00423400" w:rsidR="00CD72D9">
        <w:rPr>
          <w:rFonts w:cs="Times New Roman"/>
          <w:szCs w:val="24"/>
        </w:rPr>
        <w:t xml:space="preserve"> </w:t>
      </w:r>
      <w:r w:rsidRPr="00423400">
        <w:rPr>
          <w:rFonts w:cs="Times New Roman"/>
          <w:szCs w:val="24"/>
        </w:rPr>
        <w:t>approved</w:t>
      </w:r>
      <w:r w:rsidRPr="00423400" w:rsidR="00CD72D9">
        <w:rPr>
          <w:rFonts w:cs="Times New Roman"/>
          <w:szCs w:val="24"/>
        </w:rPr>
        <w:t xml:space="preserve"> </w:t>
      </w:r>
      <w:r w:rsidRPr="00423400">
        <w:rPr>
          <w:rFonts w:cs="Times New Roman"/>
          <w:szCs w:val="24"/>
        </w:rPr>
        <w:t>in</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III</w:t>
      </w:r>
      <w:r w:rsidRPr="00423400" w:rsidR="00CD72D9">
        <w:rPr>
          <w:rFonts w:cs="Times New Roman"/>
          <w:szCs w:val="24"/>
        </w:rPr>
        <w:t xml:space="preserve"> </w:t>
      </w:r>
      <w:r w:rsidRPr="00423400">
        <w:rPr>
          <w:rFonts w:cs="Times New Roman"/>
          <w:szCs w:val="24"/>
        </w:rPr>
        <w:t>and</w:t>
      </w:r>
      <w:r w:rsidRPr="00423400" w:rsidR="00CD72D9">
        <w:rPr>
          <w:rFonts w:cs="Times New Roman"/>
          <w:szCs w:val="24"/>
        </w:rPr>
        <w:t xml:space="preserve"> </w:t>
      </w:r>
      <w:r w:rsidRPr="00423400">
        <w:rPr>
          <w:rFonts w:cs="Times New Roman"/>
          <w:szCs w:val="24"/>
        </w:rPr>
        <w:t>thus were</w:t>
      </w:r>
      <w:r w:rsidRPr="00423400" w:rsidR="00CD72D9">
        <w:rPr>
          <w:rFonts w:cs="Times New Roman"/>
          <w:szCs w:val="24"/>
        </w:rPr>
        <w:t xml:space="preserve"> </w:t>
      </w:r>
      <w:r w:rsidRPr="00423400">
        <w:rPr>
          <w:rFonts w:cs="Times New Roman"/>
          <w:szCs w:val="24"/>
        </w:rPr>
        <w:t>not</w:t>
      </w:r>
      <w:r w:rsidRPr="00423400" w:rsidR="00CD72D9">
        <w:rPr>
          <w:rFonts w:cs="Times New Roman"/>
          <w:szCs w:val="24"/>
        </w:rPr>
        <w:t xml:space="preserve"> </w:t>
      </w:r>
      <w:r w:rsidRPr="00423400">
        <w:rPr>
          <w:rFonts w:cs="Times New Roman"/>
          <w:szCs w:val="24"/>
        </w:rPr>
        <w:t>part</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w:t>
      </w:r>
      <w:r>
        <w:rPr>
          <w:rStyle w:val="FootnoteReference"/>
          <w:rFonts w:cs="Times New Roman"/>
          <w:szCs w:val="24"/>
        </w:rPr>
        <w:footnoteReference w:id="48"/>
      </w:r>
      <w:r w:rsidRPr="00423400" w:rsidR="00CD72D9">
        <w:rPr>
          <w:rFonts w:cs="Times New Roman"/>
          <w:szCs w:val="24"/>
        </w:rPr>
        <w:t xml:space="preserve"> </w:t>
      </w:r>
      <w:r w:rsidRPr="00423400">
        <w:rPr>
          <w:rFonts w:cs="Times New Roman"/>
          <w:szCs w:val="24"/>
        </w:rPr>
        <w:t>And</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PUCO</w:t>
      </w:r>
      <w:r w:rsidRPr="00423400" w:rsidR="00CD72D9">
        <w:rPr>
          <w:rFonts w:cs="Times New Roman"/>
          <w:szCs w:val="24"/>
        </w:rPr>
        <w:t xml:space="preserve"> </w:t>
      </w:r>
      <w:r w:rsidRPr="00423400">
        <w:rPr>
          <w:rFonts w:cs="Times New Roman"/>
          <w:szCs w:val="24"/>
        </w:rPr>
        <w:t>rejected</w:t>
      </w:r>
      <w:r w:rsidRPr="00423400" w:rsidR="00CD72D9">
        <w:rPr>
          <w:rFonts w:cs="Times New Roman"/>
          <w:szCs w:val="24"/>
        </w:rPr>
        <w:t xml:space="preserve"> </w:t>
      </w:r>
      <w:r w:rsidRPr="00423400">
        <w:rPr>
          <w:rFonts w:cs="Times New Roman"/>
          <w:szCs w:val="24"/>
        </w:rPr>
        <w:t>arguments</w:t>
      </w:r>
      <w:r w:rsidRPr="00423400" w:rsidR="00CD72D9">
        <w:rPr>
          <w:rFonts w:cs="Times New Roman"/>
          <w:szCs w:val="24"/>
        </w:rPr>
        <w:t xml:space="preserve"> </w:t>
      </w:r>
      <w:r w:rsidRPr="00423400">
        <w:rPr>
          <w:rFonts w:cs="Times New Roman"/>
          <w:szCs w:val="24"/>
        </w:rPr>
        <w:t>that</w:t>
      </w:r>
      <w:r w:rsidRPr="00423400" w:rsidR="00CD72D9">
        <w:rPr>
          <w:rFonts w:cs="Times New Roman"/>
          <w:szCs w:val="24"/>
        </w:rPr>
        <w:t xml:space="preserve"> </w:t>
      </w:r>
      <w:r w:rsidRPr="00423400">
        <w:rPr>
          <w:rFonts w:cs="Times New Roman"/>
          <w:szCs w:val="24"/>
        </w:rPr>
        <w:t>certain</w:t>
      </w:r>
      <w:r w:rsidRPr="00423400" w:rsidR="00CD72D9">
        <w:rPr>
          <w:rFonts w:cs="Times New Roman"/>
          <w:szCs w:val="24"/>
        </w:rPr>
        <w:t xml:space="preserve"> </w:t>
      </w:r>
      <w:r w:rsidRPr="00423400">
        <w:rPr>
          <w:rFonts w:cs="Times New Roman"/>
          <w:szCs w:val="24"/>
        </w:rPr>
        <w:t>“economic development”</w:t>
      </w:r>
      <w:r w:rsidRPr="00423400" w:rsidR="00CD72D9">
        <w:rPr>
          <w:rFonts w:cs="Times New Roman"/>
          <w:szCs w:val="24"/>
        </w:rPr>
        <w:t xml:space="preserve"> </w:t>
      </w:r>
      <w:r w:rsidRPr="00423400">
        <w:rPr>
          <w:rFonts w:cs="Times New Roman"/>
          <w:szCs w:val="24"/>
        </w:rPr>
        <w:t>payments</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signatory</w:t>
      </w:r>
      <w:r w:rsidRPr="00423400" w:rsidR="00CD72D9">
        <w:rPr>
          <w:rFonts w:cs="Times New Roman"/>
          <w:szCs w:val="24"/>
        </w:rPr>
        <w:t xml:space="preserve"> </w:t>
      </w:r>
      <w:r w:rsidRPr="00423400">
        <w:rPr>
          <w:rFonts w:cs="Times New Roman"/>
          <w:szCs w:val="24"/>
        </w:rPr>
        <w:t>parties</w:t>
      </w:r>
      <w:r w:rsidRPr="00423400" w:rsidR="00CD72D9">
        <w:rPr>
          <w:rFonts w:cs="Times New Roman"/>
          <w:szCs w:val="24"/>
        </w:rPr>
        <w:t xml:space="preserve"> </w:t>
      </w:r>
      <w:r w:rsidRPr="00423400">
        <w:rPr>
          <w:rFonts w:cs="Times New Roman"/>
          <w:szCs w:val="24"/>
        </w:rPr>
        <w:t>in</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III</w:t>
      </w:r>
      <w:r w:rsidRPr="00423400" w:rsidR="00CD72D9">
        <w:rPr>
          <w:rFonts w:cs="Times New Roman"/>
          <w:szCs w:val="24"/>
        </w:rPr>
        <w:t xml:space="preserve"> </w:t>
      </w:r>
      <w:r w:rsidRPr="00423400">
        <w:rPr>
          <w:rFonts w:cs="Times New Roman"/>
          <w:szCs w:val="24"/>
        </w:rPr>
        <w:t>should</w:t>
      </w:r>
      <w:r w:rsidRPr="00423400" w:rsidR="00CD72D9">
        <w:rPr>
          <w:rFonts w:cs="Times New Roman"/>
          <w:szCs w:val="24"/>
        </w:rPr>
        <w:t xml:space="preserve"> </w:t>
      </w:r>
      <w:r w:rsidRPr="00423400">
        <w:rPr>
          <w:rFonts w:cs="Times New Roman"/>
          <w:szCs w:val="24"/>
        </w:rPr>
        <w:t>continue</w:t>
      </w:r>
      <w:r w:rsidRPr="00423400" w:rsidR="00CD72D9">
        <w:rPr>
          <w:rFonts w:cs="Times New Roman"/>
          <w:szCs w:val="24"/>
        </w:rPr>
        <w:t xml:space="preserve"> </w:t>
      </w:r>
      <w:r w:rsidRPr="00423400">
        <w:rPr>
          <w:rFonts w:cs="Times New Roman"/>
          <w:szCs w:val="24"/>
        </w:rPr>
        <w:t>because</w:t>
      </w:r>
      <w:r w:rsidRPr="00423400" w:rsidR="00CD72D9">
        <w:rPr>
          <w:rFonts w:cs="Times New Roman"/>
          <w:szCs w:val="24"/>
        </w:rPr>
        <w:t xml:space="preserve"> </w:t>
      </w:r>
      <w:r w:rsidRPr="00423400">
        <w:rPr>
          <w:rFonts w:cs="Times New Roman"/>
          <w:szCs w:val="24"/>
        </w:rPr>
        <w:t>they</w:t>
      </w:r>
      <w:r w:rsidRPr="00423400" w:rsidR="00CD72D9">
        <w:rPr>
          <w:rFonts w:cs="Times New Roman"/>
          <w:szCs w:val="24"/>
        </w:rPr>
        <w:t xml:space="preserve"> </w:t>
      </w:r>
      <w:r w:rsidRPr="00423400">
        <w:rPr>
          <w:rFonts w:cs="Times New Roman"/>
          <w:szCs w:val="24"/>
        </w:rPr>
        <w:t>were</w:t>
      </w:r>
      <w:r w:rsidRPr="00423400" w:rsidR="00CD72D9">
        <w:rPr>
          <w:rFonts w:cs="Times New Roman"/>
          <w:szCs w:val="24"/>
        </w:rPr>
        <w:t xml:space="preserve"> </w:t>
      </w:r>
      <w:r w:rsidRPr="00423400">
        <w:rPr>
          <w:rFonts w:cs="Times New Roman"/>
          <w:szCs w:val="24"/>
        </w:rPr>
        <w:t>not</w:t>
      </w:r>
      <w:r w:rsidRPr="00423400" w:rsidR="00CD72D9">
        <w:rPr>
          <w:rFonts w:cs="Times New Roman"/>
          <w:szCs w:val="24"/>
        </w:rPr>
        <w:t xml:space="preserve"> </w:t>
      </w:r>
      <w:r w:rsidRPr="00423400">
        <w:rPr>
          <w:rFonts w:cs="Times New Roman"/>
          <w:szCs w:val="24"/>
        </w:rPr>
        <w:t>part of</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w:t>
      </w:r>
      <w:r w:rsidRPr="00423400" w:rsidR="00CD72D9">
        <w:rPr>
          <w:rFonts w:cs="Times New Roman"/>
          <w:szCs w:val="24"/>
        </w:rPr>
        <w:t xml:space="preserve"> </w:t>
      </w:r>
      <w:r w:rsidRPr="00423400">
        <w:rPr>
          <w:rFonts w:cs="Times New Roman"/>
          <w:szCs w:val="24"/>
        </w:rPr>
        <w:t>either.</w:t>
      </w:r>
      <w:r>
        <w:rPr>
          <w:rStyle w:val="FootnoteReference"/>
          <w:rFonts w:cs="Times New Roman"/>
          <w:szCs w:val="24"/>
        </w:rPr>
        <w:footnoteReference w:id="49"/>
      </w:r>
      <w:r w:rsidRPr="00423400">
        <w:rPr>
          <w:rFonts w:cs="Times New Roman"/>
          <w:szCs w:val="24"/>
        </w:rPr>
        <w:t xml:space="preserve"> </w:t>
      </w:r>
    </w:p>
    <w:p w:rsidR="00B61C75" w:rsidRPr="00423400" w:rsidP="00F777C3" w14:paraId="03A4AC2D" w14:textId="77777777">
      <w:pPr>
        <w:spacing w:after="0" w:line="480" w:lineRule="auto"/>
        <w:ind w:firstLine="720"/>
        <w:rPr>
          <w:rFonts w:cs="Times New Roman"/>
          <w:szCs w:val="24"/>
        </w:rPr>
      </w:pPr>
      <w:r w:rsidRPr="00423400">
        <w:rPr>
          <w:rFonts w:cs="Times New Roman"/>
          <w:szCs w:val="24"/>
        </w:rPr>
        <w:t>There</w:t>
      </w:r>
      <w:r w:rsidRPr="00423400" w:rsidR="00CD72D9">
        <w:rPr>
          <w:rFonts w:cs="Times New Roman"/>
          <w:szCs w:val="24"/>
        </w:rPr>
        <w:t xml:space="preserve"> </w:t>
      </w:r>
      <w:r w:rsidRPr="00423400">
        <w:rPr>
          <w:rFonts w:cs="Times New Roman"/>
          <w:szCs w:val="24"/>
        </w:rPr>
        <w:t>can</w:t>
      </w:r>
      <w:r w:rsidRPr="00423400" w:rsidR="00CD72D9">
        <w:rPr>
          <w:rFonts w:cs="Times New Roman"/>
          <w:szCs w:val="24"/>
        </w:rPr>
        <w:t xml:space="preserve"> </w:t>
      </w:r>
      <w:r w:rsidRPr="00423400">
        <w:rPr>
          <w:rFonts w:cs="Times New Roman"/>
          <w:szCs w:val="24"/>
        </w:rPr>
        <w:t>be</w:t>
      </w:r>
      <w:r w:rsidRPr="00423400" w:rsidR="00CD72D9">
        <w:rPr>
          <w:rFonts w:cs="Times New Roman"/>
          <w:szCs w:val="24"/>
        </w:rPr>
        <w:t xml:space="preserve"> </w:t>
      </w:r>
      <w:r w:rsidRPr="00423400">
        <w:rPr>
          <w:rFonts w:cs="Times New Roman"/>
          <w:szCs w:val="24"/>
        </w:rPr>
        <w:t>no</w:t>
      </w:r>
      <w:r w:rsidRPr="00423400" w:rsidR="00CD72D9">
        <w:rPr>
          <w:rFonts w:cs="Times New Roman"/>
          <w:szCs w:val="24"/>
        </w:rPr>
        <w:t xml:space="preserve"> </w:t>
      </w:r>
      <w:r w:rsidRPr="00423400">
        <w:rPr>
          <w:rFonts w:cs="Times New Roman"/>
          <w:szCs w:val="24"/>
        </w:rPr>
        <w:t>dispute</w:t>
      </w:r>
      <w:r w:rsidRPr="00423400" w:rsidR="00CD72D9">
        <w:rPr>
          <w:rFonts w:cs="Times New Roman"/>
          <w:szCs w:val="24"/>
        </w:rPr>
        <w:t xml:space="preserve"> </w:t>
      </w:r>
      <w:r w:rsidRPr="00423400">
        <w:rPr>
          <w:rFonts w:cs="Times New Roman"/>
          <w:szCs w:val="24"/>
        </w:rPr>
        <w:t>that</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Rate</w:t>
      </w:r>
      <w:r w:rsidRPr="00423400" w:rsidR="00CD72D9">
        <w:rPr>
          <w:rFonts w:cs="Times New Roman"/>
          <w:szCs w:val="24"/>
        </w:rPr>
        <w:t xml:space="preserve"> </w:t>
      </w:r>
      <w:r w:rsidRPr="00423400">
        <w:rPr>
          <w:rFonts w:cs="Times New Roman"/>
          <w:szCs w:val="24"/>
        </w:rPr>
        <w:t>Freeze</w:t>
      </w:r>
      <w:r w:rsidRPr="00423400" w:rsidR="00CD72D9">
        <w:rPr>
          <w:rFonts w:cs="Times New Roman"/>
          <w:szCs w:val="24"/>
        </w:rPr>
        <w:t xml:space="preserve"> </w:t>
      </w:r>
      <w:r w:rsidRPr="00423400">
        <w:rPr>
          <w:rFonts w:cs="Times New Roman"/>
          <w:szCs w:val="24"/>
        </w:rPr>
        <w:t>was</w:t>
      </w:r>
      <w:r w:rsidRPr="00423400" w:rsidR="00CD72D9">
        <w:rPr>
          <w:rFonts w:cs="Times New Roman"/>
          <w:szCs w:val="24"/>
        </w:rPr>
        <w:t xml:space="preserve"> </w:t>
      </w:r>
      <w:r w:rsidRPr="00423400">
        <w:rPr>
          <w:rFonts w:cs="Times New Roman"/>
          <w:szCs w:val="24"/>
        </w:rPr>
        <w:t>part</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w:t>
      </w:r>
      <w:r w:rsidRPr="00423400" w:rsidR="00CD72D9">
        <w:rPr>
          <w:rFonts w:cs="Times New Roman"/>
          <w:szCs w:val="24"/>
        </w:rPr>
        <w:t xml:space="preserve"> </w:t>
      </w:r>
      <w:r w:rsidRPr="00423400">
        <w:rPr>
          <w:rFonts w:cs="Times New Roman"/>
          <w:szCs w:val="24"/>
        </w:rPr>
        <w:t>Settlement states,</w:t>
      </w:r>
      <w:r w:rsidRPr="00423400" w:rsidR="00CD72D9">
        <w:rPr>
          <w:rFonts w:cs="Times New Roman"/>
          <w:szCs w:val="24"/>
        </w:rPr>
        <w:t xml:space="preserve"> </w:t>
      </w:r>
      <w:r w:rsidRPr="00423400">
        <w:rPr>
          <w:rFonts w:cs="Times New Roman"/>
          <w:szCs w:val="24"/>
        </w:rPr>
        <w:t>“DP&amp;L’s</w:t>
      </w:r>
      <w:r w:rsidRPr="00423400" w:rsidR="00CD72D9">
        <w:rPr>
          <w:rFonts w:cs="Times New Roman"/>
          <w:szCs w:val="24"/>
        </w:rPr>
        <w:t xml:space="preserve"> </w:t>
      </w:r>
      <w:r w:rsidRPr="00423400">
        <w:rPr>
          <w:rFonts w:cs="Times New Roman"/>
          <w:szCs w:val="24"/>
        </w:rPr>
        <w:t>distribution</w:t>
      </w:r>
      <w:r w:rsidRPr="00423400" w:rsidR="00CD72D9">
        <w:rPr>
          <w:rFonts w:cs="Times New Roman"/>
          <w:szCs w:val="24"/>
        </w:rPr>
        <w:t xml:space="preserve"> </w:t>
      </w:r>
      <w:r w:rsidRPr="00423400">
        <w:rPr>
          <w:rFonts w:cs="Times New Roman"/>
          <w:szCs w:val="24"/>
        </w:rPr>
        <w:t>rates</w:t>
      </w:r>
      <w:r w:rsidRPr="00423400" w:rsidR="00CD72D9">
        <w:rPr>
          <w:rFonts w:cs="Times New Roman"/>
          <w:szCs w:val="24"/>
        </w:rPr>
        <w:t xml:space="preserve"> </w:t>
      </w:r>
      <w:r w:rsidRPr="00423400">
        <w:rPr>
          <w:rFonts w:cs="Times New Roman"/>
          <w:szCs w:val="24"/>
        </w:rPr>
        <w:t>will</w:t>
      </w:r>
      <w:r w:rsidRPr="00423400" w:rsidR="00CD72D9">
        <w:rPr>
          <w:rFonts w:cs="Times New Roman"/>
          <w:szCs w:val="24"/>
        </w:rPr>
        <w:t xml:space="preserve"> </w:t>
      </w:r>
      <w:r w:rsidRPr="00423400">
        <w:rPr>
          <w:rFonts w:cs="Times New Roman"/>
          <w:szCs w:val="24"/>
        </w:rPr>
        <w:t>be</w:t>
      </w:r>
      <w:r w:rsidRPr="00423400" w:rsidR="00CD72D9">
        <w:rPr>
          <w:rFonts w:cs="Times New Roman"/>
          <w:szCs w:val="24"/>
        </w:rPr>
        <w:t xml:space="preserve"> </w:t>
      </w:r>
      <w:r w:rsidRPr="00423400">
        <w:rPr>
          <w:rFonts w:cs="Times New Roman"/>
          <w:szCs w:val="24"/>
        </w:rPr>
        <w:t>frozen</w:t>
      </w:r>
      <w:r w:rsidRPr="00423400" w:rsidR="00CD72D9">
        <w:rPr>
          <w:rFonts w:cs="Times New Roman"/>
          <w:szCs w:val="24"/>
        </w:rPr>
        <w:t xml:space="preserve"> </w:t>
      </w:r>
      <w:r w:rsidRPr="00423400">
        <w:rPr>
          <w:rFonts w:cs="Times New Roman"/>
          <w:szCs w:val="24"/>
        </w:rPr>
        <w:t>through</w:t>
      </w:r>
      <w:r w:rsidRPr="00423400" w:rsidR="00CD72D9">
        <w:rPr>
          <w:rFonts w:cs="Times New Roman"/>
          <w:szCs w:val="24"/>
        </w:rPr>
        <w:t xml:space="preserve"> </w:t>
      </w:r>
      <w:r w:rsidRPr="00423400">
        <w:rPr>
          <w:rFonts w:cs="Times New Roman"/>
          <w:szCs w:val="24"/>
        </w:rPr>
        <w:t>December</w:t>
      </w:r>
      <w:r w:rsidRPr="00423400" w:rsidR="00CD72D9">
        <w:rPr>
          <w:rFonts w:cs="Times New Roman"/>
          <w:szCs w:val="24"/>
        </w:rPr>
        <w:t xml:space="preserve"> </w:t>
      </w:r>
      <w:r w:rsidRPr="00423400">
        <w:rPr>
          <w:rFonts w:cs="Times New Roman"/>
          <w:szCs w:val="24"/>
        </w:rPr>
        <w:t>31,</w:t>
      </w:r>
      <w:r w:rsidRPr="00423400" w:rsidR="00CD72D9">
        <w:rPr>
          <w:rFonts w:cs="Times New Roman"/>
          <w:szCs w:val="24"/>
        </w:rPr>
        <w:t xml:space="preserve"> </w:t>
      </w:r>
      <w:r w:rsidRPr="00423400">
        <w:rPr>
          <w:rFonts w:cs="Times New Roman"/>
          <w:szCs w:val="24"/>
        </w:rPr>
        <w:t>2012,”</w:t>
      </w:r>
      <w:r w:rsidRPr="00423400" w:rsidR="00CD72D9">
        <w:rPr>
          <w:rFonts w:cs="Times New Roman"/>
          <w:szCs w:val="24"/>
        </w:rPr>
        <w:t xml:space="preserve"> </w:t>
      </w:r>
      <w:r w:rsidRPr="00423400">
        <w:rPr>
          <w:rFonts w:cs="Times New Roman"/>
          <w:szCs w:val="24"/>
        </w:rPr>
        <w:t>which</w:t>
      </w:r>
      <w:r w:rsidRPr="00423400" w:rsidR="00CD72D9">
        <w:rPr>
          <w:rFonts w:cs="Times New Roman"/>
          <w:szCs w:val="24"/>
        </w:rPr>
        <w:t xml:space="preserve"> </w:t>
      </w:r>
      <w:r w:rsidRPr="00423400">
        <w:rPr>
          <w:rFonts w:cs="Times New Roman"/>
          <w:szCs w:val="24"/>
        </w:rPr>
        <w:t>was</w:t>
      </w:r>
      <w:r w:rsidRPr="00423400" w:rsidR="00CD72D9">
        <w:rPr>
          <w:rFonts w:cs="Times New Roman"/>
          <w:szCs w:val="24"/>
        </w:rPr>
        <w:t xml:space="preserve"> </w:t>
      </w:r>
      <w:r w:rsidRPr="00423400">
        <w:rPr>
          <w:rFonts w:cs="Times New Roman"/>
          <w:szCs w:val="24"/>
        </w:rPr>
        <w:t>the original</w:t>
      </w:r>
      <w:r w:rsidRPr="00423400" w:rsidR="00CD72D9">
        <w:rPr>
          <w:rFonts w:cs="Times New Roman"/>
          <w:szCs w:val="24"/>
        </w:rPr>
        <w:t xml:space="preserve"> </w:t>
      </w:r>
      <w:r w:rsidRPr="00423400">
        <w:rPr>
          <w:rFonts w:cs="Times New Roman"/>
          <w:szCs w:val="24"/>
        </w:rPr>
        <w:t>termination</w:t>
      </w:r>
      <w:r w:rsidRPr="00423400" w:rsidR="00CD72D9">
        <w:rPr>
          <w:rFonts w:cs="Times New Roman"/>
          <w:szCs w:val="24"/>
        </w:rPr>
        <w:t xml:space="preserve"> </w:t>
      </w:r>
      <w:r w:rsidRPr="00423400">
        <w:rPr>
          <w:rFonts w:cs="Times New Roman"/>
          <w:szCs w:val="24"/>
        </w:rPr>
        <w:t>date</w:t>
      </w:r>
      <w:r w:rsidRPr="00423400" w:rsidR="00CD72D9">
        <w:rPr>
          <w:rFonts w:cs="Times New Roman"/>
          <w:szCs w:val="24"/>
        </w:rPr>
        <w:t xml:space="preserve"> </w:t>
      </w:r>
      <w:r w:rsidRPr="00423400">
        <w:rPr>
          <w:rFonts w:cs="Times New Roman"/>
          <w:szCs w:val="24"/>
        </w:rPr>
        <w:t>for</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w:t>
      </w:r>
      <w:r>
        <w:rPr>
          <w:rStyle w:val="FootnoteReference"/>
          <w:rFonts w:cs="Times New Roman"/>
          <w:szCs w:val="24"/>
        </w:rPr>
        <w:footnoteReference w:id="50"/>
      </w:r>
      <w:r w:rsidRPr="00423400" w:rsidR="00CD72D9">
        <w:rPr>
          <w:rFonts w:cs="Times New Roman"/>
          <w:szCs w:val="24"/>
        </w:rPr>
        <w:t xml:space="preserve"> </w:t>
      </w:r>
      <w:r w:rsidRPr="00423400">
        <w:rPr>
          <w:rFonts w:cs="Times New Roman"/>
          <w:szCs w:val="24"/>
        </w:rPr>
        <w:t>And</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PUCO</w:t>
      </w:r>
      <w:r w:rsidRPr="00423400" w:rsidR="00CD72D9">
        <w:rPr>
          <w:rFonts w:cs="Times New Roman"/>
          <w:szCs w:val="24"/>
        </w:rPr>
        <w:t xml:space="preserve"> </w:t>
      </w:r>
      <w:r w:rsidRPr="00423400">
        <w:rPr>
          <w:rFonts w:cs="Times New Roman"/>
          <w:szCs w:val="24"/>
        </w:rPr>
        <w:t>has</w:t>
      </w:r>
      <w:r w:rsidRPr="00423400" w:rsidR="00CD72D9">
        <w:rPr>
          <w:rFonts w:cs="Times New Roman"/>
          <w:szCs w:val="24"/>
        </w:rPr>
        <w:t xml:space="preserve"> </w:t>
      </w:r>
      <w:r w:rsidRPr="00423400">
        <w:rPr>
          <w:rFonts w:cs="Times New Roman"/>
          <w:szCs w:val="24"/>
        </w:rPr>
        <w:t>already</w:t>
      </w:r>
      <w:r w:rsidRPr="00423400" w:rsidR="00CD72D9">
        <w:rPr>
          <w:rFonts w:cs="Times New Roman"/>
          <w:szCs w:val="24"/>
        </w:rPr>
        <w:t xml:space="preserve"> </w:t>
      </w:r>
      <w:r w:rsidRPr="00423400">
        <w:rPr>
          <w:rFonts w:cs="Times New Roman"/>
          <w:szCs w:val="24"/>
        </w:rPr>
        <w:t>ruled</w:t>
      </w:r>
      <w:r w:rsidRPr="00423400" w:rsidR="00CD72D9">
        <w:rPr>
          <w:rFonts w:cs="Times New Roman"/>
          <w:szCs w:val="24"/>
        </w:rPr>
        <w:t xml:space="preserve"> </w:t>
      </w:r>
      <w:r w:rsidRPr="00423400">
        <w:rPr>
          <w:rFonts w:cs="Times New Roman"/>
          <w:szCs w:val="24"/>
        </w:rPr>
        <w:t>that</w:t>
      </w:r>
      <w:r w:rsidRPr="00423400" w:rsidR="00CD72D9">
        <w:rPr>
          <w:rFonts w:cs="Times New Roman"/>
          <w:szCs w:val="24"/>
        </w:rPr>
        <w:t xml:space="preserve"> </w:t>
      </w:r>
      <w:r w:rsidRPr="00423400">
        <w:rPr>
          <w:rFonts w:cs="Times New Roman"/>
          <w:szCs w:val="24"/>
        </w:rPr>
        <w:t>when</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w:t>
      </w:r>
      <w:r w:rsidRPr="00423400" w:rsidR="00CD72D9">
        <w:rPr>
          <w:rFonts w:cs="Times New Roman"/>
          <w:szCs w:val="24"/>
        </w:rPr>
        <w:t xml:space="preserve"> </w:t>
      </w:r>
      <w:r w:rsidRPr="00423400">
        <w:rPr>
          <w:rFonts w:cs="Times New Roman"/>
          <w:szCs w:val="24"/>
        </w:rPr>
        <w:t>was extended</w:t>
      </w:r>
      <w:r w:rsidRPr="00423400" w:rsidR="00CD72D9">
        <w:rPr>
          <w:rFonts w:cs="Times New Roman"/>
          <w:szCs w:val="24"/>
        </w:rPr>
        <w:t xml:space="preserve"> </w:t>
      </w:r>
      <w:r w:rsidRPr="00423400">
        <w:rPr>
          <w:rFonts w:cs="Times New Roman"/>
          <w:szCs w:val="24"/>
        </w:rPr>
        <w:t>beyond</w:t>
      </w:r>
      <w:r w:rsidRPr="00423400" w:rsidR="00CD72D9">
        <w:rPr>
          <w:rFonts w:cs="Times New Roman"/>
          <w:szCs w:val="24"/>
        </w:rPr>
        <w:t xml:space="preserve"> </w:t>
      </w:r>
      <w:r w:rsidRPr="00423400">
        <w:rPr>
          <w:rFonts w:cs="Times New Roman"/>
          <w:szCs w:val="24"/>
        </w:rPr>
        <w:t>December</w:t>
      </w:r>
      <w:r w:rsidRPr="00423400" w:rsidR="00CD72D9">
        <w:rPr>
          <w:rFonts w:cs="Times New Roman"/>
          <w:szCs w:val="24"/>
        </w:rPr>
        <w:t xml:space="preserve"> </w:t>
      </w:r>
      <w:r w:rsidRPr="00423400">
        <w:rPr>
          <w:rFonts w:cs="Times New Roman"/>
          <w:szCs w:val="24"/>
        </w:rPr>
        <w:t>31,</w:t>
      </w:r>
      <w:r w:rsidRPr="00423400" w:rsidR="00CD72D9">
        <w:rPr>
          <w:rFonts w:cs="Times New Roman"/>
          <w:szCs w:val="24"/>
        </w:rPr>
        <w:t xml:space="preserve"> </w:t>
      </w:r>
      <w:r w:rsidRPr="00423400">
        <w:rPr>
          <w:rFonts w:cs="Times New Roman"/>
          <w:szCs w:val="24"/>
        </w:rPr>
        <w:t>2012,</w:t>
      </w:r>
      <w:r w:rsidRPr="00423400" w:rsidR="00CD72D9">
        <w:rPr>
          <w:rFonts w:cs="Times New Roman"/>
          <w:szCs w:val="24"/>
        </w:rPr>
        <w:t xml:space="preserve"> </w:t>
      </w:r>
      <w:r w:rsidRPr="00423400">
        <w:rPr>
          <w:rFonts w:cs="Times New Roman"/>
          <w:szCs w:val="24"/>
        </w:rPr>
        <w:t>its</w:t>
      </w:r>
      <w:r w:rsidRPr="00423400" w:rsidR="00CD72D9">
        <w:rPr>
          <w:rFonts w:cs="Times New Roman"/>
          <w:szCs w:val="24"/>
        </w:rPr>
        <w:t xml:space="preserve"> </w:t>
      </w:r>
      <w:r w:rsidRPr="00423400">
        <w:rPr>
          <w:rFonts w:cs="Times New Roman"/>
          <w:szCs w:val="24"/>
        </w:rPr>
        <w:t>provisions</w:t>
      </w:r>
      <w:r w:rsidRPr="00423400" w:rsidR="00CD72D9">
        <w:rPr>
          <w:rFonts w:cs="Times New Roman"/>
          <w:szCs w:val="24"/>
        </w:rPr>
        <w:t xml:space="preserve"> </w:t>
      </w:r>
      <w:r w:rsidRPr="00423400">
        <w:rPr>
          <w:rFonts w:cs="Times New Roman"/>
          <w:szCs w:val="24"/>
        </w:rPr>
        <w:t>were</w:t>
      </w:r>
      <w:r w:rsidRPr="00423400" w:rsidR="00CD72D9">
        <w:rPr>
          <w:rFonts w:cs="Times New Roman"/>
          <w:szCs w:val="24"/>
        </w:rPr>
        <w:t xml:space="preserve"> </w:t>
      </w:r>
      <w:r w:rsidRPr="00423400">
        <w:rPr>
          <w:rFonts w:cs="Times New Roman"/>
          <w:szCs w:val="24"/>
        </w:rPr>
        <w:t>extended,</w:t>
      </w:r>
      <w:r>
        <w:rPr>
          <w:rStyle w:val="FootnoteReference"/>
          <w:rFonts w:cs="Times New Roman"/>
          <w:szCs w:val="24"/>
        </w:rPr>
        <w:footnoteReference w:id="51"/>
      </w:r>
      <w:r w:rsidRPr="00423400" w:rsidR="00CD72D9">
        <w:rPr>
          <w:rFonts w:cs="Times New Roman"/>
          <w:szCs w:val="24"/>
        </w:rPr>
        <w:t xml:space="preserve"> </w:t>
      </w:r>
      <w:r w:rsidRPr="00423400">
        <w:rPr>
          <w:rFonts w:cs="Times New Roman"/>
          <w:szCs w:val="24"/>
        </w:rPr>
        <w:t>so</w:t>
      </w:r>
      <w:r w:rsidRPr="00423400" w:rsidR="00CD72D9">
        <w:rPr>
          <w:rFonts w:cs="Times New Roman"/>
          <w:szCs w:val="24"/>
        </w:rPr>
        <w:t xml:space="preserve"> </w:t>
      </w:r>
      <w:r w:rsidRPr="00423400">
        <w:rPr>
          <w:rFonts w:cs="Times New Roman"/>
          <w:szCs w:val="24"/>
        </w:rPr>
        <w:t>that</w:t>
      </w:r>
      <w:r w:rsidRPr="00423400" w:rsidR="00CD72D9">
        <w:rPr>
          <w:rFonts w:cs="Times New Roman"/>
          <w:szCs w:val="24"/>
        </w:rPr>
        <w:t xml:space="preserve"> </w:t>
      </w:r>
      <w:r w:rsidRPr="00423400">
        <w:rPr>
          <w:rFonts w:cs="Times New Roman"/>
          <w:szCs w:val="24"/>
        </w:rPr>
        <w:t>would</w:t>
      </w:r>
      <w:r w:rsidRPr="00423400" w:rsidR="00CD72D9">
        <w:rPr>
          <w:rFonts w:cs="Times New Roman"/>
          <w:szCs w:val="24"/>
        </w:rPr>
        <w:t xml:space="preserve"> </w:t>
      </w:r>
      <w:r w:rsidRPr="00423400">
        <w:rPr>
          <w:rFonts w:cs="Times New Roman"/>
          <w:szCs w:val="24"/>
        </w:rPr>
        <w:t>include</w:t>
      </w:r>
      <w:r w:rsidRPr="00423400" w:rsidR="00CD72D9">
        <w:rPr>
          <w:rFonts w:cs="Times New Roman"/>
          <w:szCs w:val="24"/>
        </w:rPr>
        <w:t xml:space="preserve"> </w:t>
      </w:r>
      <w:r w:rsidRPr="00423400">
        <w:rPr>
          <w:rFonts w:cs="Times New Roman"/>
          <w:szCs w:val="24"/>
        </w:rPr>
        <w:t>the Rate</w:t>
      </w:r>
      <w:r w:rsidRPr="00423400" w:rsidR="00CD72D9">
        <w:rPr>
          <w:rFonts w:cs="Times New Roman"/>
          <w:szCs w:val="24"/>
        </w:rPr>
        <w:t xml:space="preserve"> </w:t>
      </w:r>
      <w:r w:rsidRPr="00423400">
        <w:rPr>
          <w:rFonts w:cs="Times New Roman"/>
          <w:szCs w:val="24"/>
        </w:rPr>
        <w:t>Freeze.</w:t>
      </w:r>
      <w:r w:rsidRPr="00423400" w:rsidR="00CD72D9">
        <w:rPr>
          <w:rFonts w:cs="Times New Roman"/>
          <w:szCs w:val="24"/>
        </w:rPr>
        <w:t xml:space="preserve"> </w:t>
      </w:r>
    </w:p>
    <w:p w:rsidR="00FB425D" w:rsidP="001B7B0D" w14:paraId="5F6DE235" w14:textId="77777777">
      <w:pPr>
        <w:spacing w:after="0" w:line="480" w:lineRule="auto"/>
        <w:ind w:firstLine="720"/>
        <w:rPr>
          <w:rFonts w:cs="Times New Roman"/>
          <w:szCs w:val="24"/>
        </w:rPr>
      </w:pPr>
      <w:r w:rsidRPr="00423400">
        <w:rPr>
          <w:rFonts w:cs="Times New Roman"/>
          <w:szCs w:val="24"/>
        </w:rPr>
        <w:t>The PUCO acknowledged in i</w:t>
      </w:r>
      <w:r w:rsidRPr="00423400" w:rsidR="00827E74">
        <w:rPr>
          <w:rFonts w:cs="Times New Roman"/>
          <w:szCs w:val="24"/>
        </w:rPr>
        <w:t>t</w:t>
      </w:r>
      <w:r w:rsidRPr="00423400">
        <w:rPr>
          <w:rFonts w:cs="Times New Roman"/>
          <w:szCs w:val="24"/>
        </w:rPr>
        <w:t xml:space="preserve">s </w:t>
      </w:r>
      <w:r w:rsidRPr="00423400" w:rsidR="00DC2BE0">
        <w:rPr>
          <w:rFonts w:cs="Times New Roman"/>
          <w:szCs w:val="24"/>
        </w:rPr>
        <w:t>Entry</w:t>
      </w:r>
      <w:r w:rsidRPr="00423400">
        <w:rPr>
          <w:rFonts w:cs="Times New Roman"/>
          <w:szCs w:val="24"/>
        </w:rPr>
        <w:t xml:space="preserve"> denying OCC</w:t>
      </w:r>
      <w:r w:rsidRPr="00423400" w:rsidR="00827E74">
        <w:rPr>
          <w:rFonts w:cs="Times New Roman"/>
          <w:szCs w:val="24"/>
        </w:rPr>
        <w:t>’</w:t>
      </w:r>
      <w:r w:rsidRPr="00423400">
        <w:rPr>
          <w:rFonts w:cs="Times New Roman"/>
          <w:szCs w:val="24"/>
        </w:rPr>
        <w:t xml:space="preserve">s Motion to Dismiss that </w:t>
      </w:r>
      <w:r w:rsidRPr="00423400" w:rsidR="00827E74">
        <w:rPr>
          <w:rFonts w:cs="Times New Roman"/>
          <w:szCs w:val="24"/>
        </w:rPr>
        <w:t>although DP&amp;L is not precluded from filing an application for an increase in</w:t>
      </w:r>
      <w:r w:rsidRPr="00423400" w:rsidR="00943A96">
        <w:rPr>
          <w:rFonts w:cs="Times New Roman"/>
          <w:szCs w:val="24"/>
        </w:rPr>
        <w:t xml:space="preserve"> </w:t>
      </w:r>
      <w:r w:rsidRPr="00423400" w:rsidR="00827E74">
        <w:rPr>
          <w:rFonts w:cs="Times New Roman"/>
          <w:szCs w:val="24"/>
        </w:rPr>
        <w:t>rates</w:t>
      </w:r>
      <w:r w:rsidRPr="00423400" w:rsidR="00943A96">
        <w:rPr>
          <w:rFonts w:cs="Times New Roman"/>
          <w:szCs w:val="24"/>
        </w:rPr>
        <w:t>, implementation</w:t>
      </w:r>
      <w:r w:rsidRPr="00423400" w:rsidR="00CD72D9">
        <w:rPr>
          <w:rFonts w:cs="Times New Roman"/>
          <w:szCs w:val="24"/>
        </w:rPr>
        <w:t xml:space="preserve"> </w:t>
      </w:r>
      <w:r w:rsidRPr="00423400" w:rsidR="00943A96">
        <w:rPr>
          <w:rFonts w:cs="Times New Roman"/>
          <w:szCs w:val="24"/>
        </w:rPr>
        <w:t>of</w:t>
      </w:r>
      <w:r w:rsidRPr="00423400" w:rsidR="00CD72D9">
        <w:rPr>
          <w:rFonts w:cs="Times New Roman"/>
          <w:szCs w:val="24"/>
        </w:rPr>
        <w:t xml:space="preserve"> </w:t>
      </w:r>
      <w:r w:rsidRPr="00423400" w:rsidR="00943A96">
        <w:rPr>
          <w:rFonts w:cs="Times New Roman"/>
          <w:szCs w:val="24"/>
        </w:rPr>
        <w:t>any rate</w:t>
      </w:r>
      <w:r w:rsidRPr="00423400" w:rsidR="00CD72D9">
        <w:rPr>
          <w:rFonts w:cs="Times New Roman"/>
          <w:szCs w:val="24"/>
        </w:rPr>
        <w:t xml:space="preserve"> </w:t>
      </w:r>
      <w:r w:rsidRPr="00423400" w:rsidR="00943A96">
        <w:rPr>
          <w:rFonts w:cs="Times New Roman"/>
          <w:szCs w:val="24"/>
        </w:rPr>
        <w:t>changes</w:t>
      </w:r>
      <w:r w:rsidRPr="00423400" w:rsidR="00CD72D9">
        <w:rPr>
          <w:rFonts w:cs="Times New Roman"/>
          <w:szCs w:val="24"/>
        </w:rPr>
        <w:t xml:space="preserve"> </w:t>
      </w:r>
      <w:r w:rsidRPr="00423400" w:rsidR="00943A96">
        <w:rPr>
          <w:rFonts w:cs="Times New Roman"/>
          <w:szCs w:val="24"/>
        </w:rPr>
        <w:t>in</w:t>
      </w:r>
      <w:r w:rsidRPr="00423400" w:rsidR="00CD72D9">
        <w:rPr>
          <w:rFonts w:cs="Times New Roman"/>
          <w:szCs w:val="24"/>
        </w:rPr>
        <w:t xml:space="preserve"> </w:t>
      </w:r>
      <w:r w:rsidRPr="00423400" w:rsidR="00943A96">
        <w:rPr>
          <w:rFonts w:cs="Times New Roman"/>
          <w:szCs w:val="24"/>
        </w:rPr>
        <w:t>the</w:t>
      </w:r>
      <w:r w:rsidRPr="00423400" w:rsidR="00CD72D9">
        <w:rPr>
          <w:rFonts w:cs="Times New Roman"/>
          <w:szCs w:val="24"/>
        </w:rPr>
        <w:t xml:space="preserve"> </w:t>
      </w:r>
      <w:r w:rsidRPr="00423400" w:rsidR="00943A96">
        <w:rPr>
          <w:rFonts w:cs="Times New Roman"/>
          <w:szCs w:val="24"/>
        </w:rPr>
        <w:t>case</w:t>
      </w:r>
      <w:r w:rsidRPr="00423400" w:rsidR="00CD72D9">
        <w:rPr>
          <w:rFonts w:cs="Times New Roman"/>
          <w:szCs w:val="24"/>
        </w:rPr>
        <w:t xml:space="preserve"> </w:t>
      </w:r>
      <w:r w:rsidRPr="00423400" w:rsidR="00943A96">
        <w:rPr>
          <w:rFonts w:cs="Times New Roman"/>
          <w:szCs w:val="24"/>
        </w:rPr>
        <w:t>may, subject to the</w:t>
      </w:r>
      <w:r w:rsidRPr="00423400" w:rsidR="00CD72D9">
        <w:rPr>
          <w:rFonts w:cs="Times New Roman"/>
          <w:szCs w:val="24"/>
        </w:rPr>
        <w:t xml:space="preserve"> </w:t>
      </w:r>
      <w:r w:rsidRPr="00423400" w:rsidR="00943A96">
        <w:rPr>
          <w:rFonts w:cs="Times New Roman"/>
          <w:szCs w:val="24"/>
        </w:rPr>
        <w:t>remaining outstanding</w:t>
      </w:r>
      <w:r w:rsidRPr="00423400" w:rsidR="00CD72D9">
        <w:rPr>
          <w:rFonts w:cs="Times New Roman"/>
          <w:szCs w:val="24"/>
        </w:rPr>
        <w:t xml:space="preserve"> </w:t>
      </w:r>
      <w:r w:rsidRPr="00423400" w:rsidR="00943A96">
        <w:rPr>
          <w:rFonts w:cs="Times New Roman"/>
          <w:szCs w:val="24"/>
        </w:rPr>
        <w:t>legal</w:t>
      </w:r>
      <w:r w:rsidRPr="00423400" w:rsidR="00CD72D9">
        <w:rPr>
          <w:rFonts w:cs="Times New Roman"/>
          <w:szCs w:val="24"/>
        </w:rPr>
        <w:t xml:space="preserve"> </w:t>
      </w:r>
      <w:r w:rsidRPr="00423400" w:rsidR="00943A96">
        <w:rPr>
          <w:rFonts w:cs="Times New Roman"/>
          <w:szCs w:val="24"/>
        </w:rPr>
        <w:t>arguments</w:t>
      </w:r>
      <w:r w:rsidRPr="00423400" w:rsidR="00CD72D9">
        <w:rPr>
          <w:rFonts w:cs="Times New Roman"/>
          <w:szCs w:val="24"/>
        </w:rPr>
        <w:t xml:space="preserve"> </w:t>
      </w:r>
      <w:r w:rsidRPr="00423400" w:rsidR="00943A96">
        <w:rPr>
          <w:rFonts w:cs="Times New Roman"/>
          <w:szCs w:val="24"/>
        </w:rPr>
        <w:t>of</w:t>
      </w:r>
      <w:r w:rsidRPr="00423400" w:rsidR="00CD72D9">
        <w:rPr>
          <w:rFonts w:cs="Times New Roman"/>
          <w:szCs w:val="24"/>
        </w:rPr>
        <w:t xml:space="preserve"> </w:t>
      </w:r>
      <w:r w:rsidRPr="00423400" w:rsidR="00943A96">
        <w:rPr>
          <w:rFonts w:cs="Times New Roman"/>
          <w:szCs w:val="24"/>
        </w:rPr>
        <w:t>the</w:t>
      </w:r>
      <w:r w:rsidRPr="00423400" w:rsidR="00CD72D9">
        <w:rPr>
          <w:rFonts w:cs="Times New Roman"/>
          <w:szCs w:val="24"/>
        </w:rPr>
        <w:t xml:space="preserve"> </w:t>
      </w:r>
      <w:r w:rsidRPr="00423400" w:rsidR="00943A96">
        <w:rPr>
          <w:rFonts w:cs="Times New Roman"/>
          <w:szCs w:val="24"/>
        </w:rPr>
        <w:t>parties,</w:t>
      </w:r>
      <w:r w:rsidRPr="00423400" w:rsidR="00CD72D9">
        <w:rPr>
          <w:rFonts w:cs="Times New Roman"/>
          <w:szCs w:val="24"/>
        </w:rPr>
        <w:t xml:space="preserve"> </w:t>
      </w:r>
      <w:r w:rsidRPr="00423400" w:rsidR="00943A96">
        <w:rPr>
          <w:rFonts w:cs="Times New Roman"/>
          <w:szCs w:val="24"/>
        </w:rPr>
        <w:t>be stayed</w:t>
      </w:r>
      <w:r w:rsidRPr="00423400" w:rsidR="00CD72D9">
        <w:rPr>
          <w:rFonts w:cs="Times New Roman"/>
          <w:szCs w:val="24"/>
        </w:rPr>
        <w:t xml:space="preserve"> </w:t>
      </w:r>
      <w:r w:rsidRPr="00423400" w:rsidR="00943A96">
        <w:rPr>
          <w:rFonts w:cs="Times New Roman"/>
          <w:szCs w:val="24"/>
        </w:rPr>
        <w:t>as</w:t>
      </w:r>
      <w:r w:rsidRPr="00423400" w:rsidR="00CD72D9">
        <w:rPr>
          <w:rFonts w:cs="Times New Roman"/>
          <w:szCs w:val="24"/>
        </w:rPr>
        <w:t xml:space="preserve"> </w:t>
      </w:r>
      <w:r w:rsidRPr="00423400" w:rsidR="00943A96">
        <w:rPr>
          <w:rFonts w:cs="Times New Roman"/>
          <w:szCs w:val="24"/>
        </w:rPr>
        <w:t>part</w:t>
      </w:r>
      <w:r w:rsidRPr="00423400" w:rsidR="00CD72D9">
        <w:rPr>
          <w:rFonts w:cs="Times New Roman"/>
          <w:szCs w:val="24"/>
        </w:rPr>
        <w:t xml:space="preserve"> </w:t>
      </w:r>
      <w:r w:rsidRPr="00423400" w:rsidR="00943A96">
        <w:rPr>
          <w:rFonts w:cs="Times New Roman"/>
          <w:szCs w:val="24"/>
        </w:rPr>
        <w:t>of</w:t>
      </w:r>
      <w:r w:rsidRPr="00423400" w:rsidR="00CD72D9">
        <w:rPr>
          <w:rFonts w:cs="Times New Roman"/>
          <w:szCs w:val="24"/>
        </w:rPr>
        <w:t xml:space="preserve"> </w:t>
      </w:r>
      <w:r w:rsidRPr="00423400" w:rsidR="00943A96">
        <w:rPr>
          <w:rFonts w:cs="Times New Roman"/>
          <w:szCs w:val="24"/>
        </w:rPr>
        <w:t>our determination</w:t>
      </w:r>
      <w:r w:rsidRPr="00423400" w:rsidR="00CD72D9">
        <w:rPr>
          <w:rFonts w:cs="Times New Roman"/>
          <w:szCs w:val="24"/>
        </w:rPr>
        <w:t xml:space="preserve"> </w:t>
      </w:r>
      <w:r w:rsidRPr="00423400" w:rsidR="00943A96">
        <w:rPr>
          <w:rFonts w:cs="Times New Roman"/>
          <w:szCs w:val="24"/>
        </w:rPr>
        <w:t>in</w:t>
      </w:r>
      <w:r w:rsidRPr="00423400" w:rsidR="00CD72D9">
        <w:rPr>
          <w:rFonts w:cs="Times New Roman"/>
          <w:szCs w:val="24"/>
        </w:rPr>
        <w:t xml:space="preserve"> </w:t>
      </w:r>
      <w:r w:rsidRPr="00423400" w:rsidR="00943A96">
        <w:rPr>
          <w:rFonts w:cs="Times New Roman"/>
          <w:szCs w:val="24"/>
        </w:rPr>
        <w:t>this</w:t>
      </w:r>
      <w:r w:rsidRPr="00423400" w:rsidR="00CD72D9">
        <w:rPr>
          <w:rFonts w:cs="Times New Roman"/>
          <w:szCs w:val="24"/>
        </w:rPr>
        <w:t xml:space="preserve"> </w:t>
      </w:r>
      <w:r w:rsidRPr="00423400" w:rsidR="00943A96">
        <w:rPr>
          <w:rFonts w:cs="Times New Roman"/>
          <w:szCs w:val="24"/>
        </w:rPr>
        <w:t>case.</w:t>
      </w:r>
      <w:r>
        <w:rPr>
          <w:rStyle w:val="FootnoteReference"/>
          <w:rFonts w:cs="Times New Roman"/>
          <w:szCs w:val="24"/>
        </w:rPr>
        <w:footnoteReference w:id="52"/>
      </w:r>
      <w:r w:rsidRPr="00423400" w:rsidR="00CD72D9">
        <w:rPr>
          <w:rFonts w:cs="Times New Roman"/>
          <w:szCs w:val="24"/>
        </w:rPr>
        <w:t xml:space="preserve"> </w:t>
      </w:r>
      <w:r w:rsidRPr="00423400" w:rsidR="00F777C3">
        <w:rPr>
          <w:rFonts w:cs="Times New Roman"/>
          <w:szCs w:val="24"/>
        </w:rPr>
        <w:t>Therefore,</w:t>
      </w:r>
      <w:r w:rsidRPr="00423400" w:rsidR="00CD72D9">
        <w:rPr>
          <w:rFonts w:cs="Times New Roman"/>
          <w:szCs w:val="24"/>
        </w:rPr>
        <w:t xml:space="preserve"> </w:t>
      </w:r>
      <w:r w:rsidRPr="00423400" w:rsidR="00E2051B">
        <w:rPr>
          <w:rFonts w:cs="Times New Roman"/>
          <w:szCs w:val="24"/>
        </w:rPr>
        <w:t xml:space="preserve">if the PUCO grants </w:t>
      </w:r>
      <w:r w:rsidRPr="00423400" w:rsidR="00F777C3">
        <w:rPr>
          <w:rFonts w:cs="Times New Roman"/>
          <w:szCs w:val="24"/>
        </w:rPr>
        <w:t>DP&amp;L’s</w:t>
      </w:r>
      <w:r w:rsidRPr="00423400" w:rsidR="00CD72D9">
        <w:rPr>
          <w:rFonts w:cs="Times New Roman"/>
          <w:szCs w:val="24"/>
        </w:rPr>
        <w:t xml:space="preserve"> </w:t>
      </w:r>
      <w:r w:rsidRPr="00423400" w:rsidR="00F777C3">
        <w:rPr>
          <w:rFonts w:cs="Times New Roman"/>
          <w:szCs w:val="24"/>
        </w:rPr>
        <w:t>application</w:t>
      </w:r>
      <w:r w:rsidRPr="00423400" w:rsidR="00CD72D9">
        <w:rPr>
          <w:rFonts w:cs="Times New Roman"/>
          <w:szCs w:val="24"/>
        </w:rPr>
        <w:t xml:space="preserve"> </w:t>
      </w:r>
      <w:r w:rsidRPr="00423400" w:rsidR="00F777C3">
        <w:rPr>
          <w:rFonts w:cs="Times New Roman"/>
          <w:szCs w:val="24"/>
        </w:rPr>
        <w:t>to</w:t>
      </w:r>
      <w:r w:rsidRPr="00423400" w:rsidR="00CD72D9">
        <w:rPr>
          <w:rFonts w:cs="Times New Roman"/>
          <w:szCs w:val="24"/>
        </w:rPr>
        <w:t xml:space="preserve"> </w:t>
      </w:r>
      <w:r w:rsidRPr="00423400" w:rsidR="00F777C3">
        <w:rPr>
          <w:rFonts w:cs="Times New Roman"/>
          <w:szCs w:val="24"/>
        </w:rPr>
        <w:t>increase</w:t>
      </w:r>
      <w:r w:rsidRPr="00423400" w:rsidR="00CD72D9">
        <w:rPr>
          <w:rFonts w:cs="Times New Roman"/>
          <w:szCs w:val="24"/>
        </w:rPr>
        <w:t xml:space="preserve"> </w:t>
      </w:r>
      <w:r w:rsidRPr="00423400" w:rsidR="00F777C3">
        <w:rPr>
          <w:rFonts w:cs="Times New Roman"/>
          <w:szCs w:val="24"/>
        </w:rPr>
        <w:t xml:space="preserve">rates </w:t>
      </w:r>
      <w:r w:rsidRPr="00423400" w:rsidR="00E2051B">
        <w:rPr>
          <w:rFonts w:cs="Times New Roman"/>
          <w:szCs w:val="24"/>
        </w:rPr>
        <w:t xml:space="preserve">(which it shouldn’t), then the rate increase should be stayed </w:t>
      </w:r>
      <w:r w:rsidRPr="00423400" w:rsidR="00F777C3">
        <w:rPr>
          <w:rFonts w:cs="Times New Roman"/>
          <w:szCs w:val="24"/>
        </w:rPr>
        <w:t>until the expiration of ESP I.</w:t>
      </w:r>
    </w:p>
    <w:p w:rsidR="00111344" w:rsidRPr="00423400" w:rsidP="00111344" w14:paraId="158BFD5F" w14:textId="77777777">
      <w:pPr>
        <w:spacing w:after="0" w:line="240" w:lineRule="auto"/>
        <w:ind w:firstLine="720"/>
      </w:pPr>
    </w:p>
    <w:p w:rsidR="00D002D3" w:rsidRPr="00423400" w:rsidP="00D002D3" w14:paraId="3683F17D" w14:textId="77777777">
      <w:pPr>
        <w:pStyle w:val="Heading1"/>
        <w:spacing w:before="0" w:after="240"/>
        <w:rPr>
          <w:rFonts w:cs="Times New Roman"/>
          <w:b/>
          <w:bCs/>
          <w:szCs w:val="24"/>
        </w:rPr>
      </w:pPr>
      <w:bookmarkStart w:id="13" w:name="_Toc97298196"/>
      <w:r w:rsidRPr="00423400">
        <w:rPr>
          <w:rFonts w:cs="Times New Roman"/>
          <w:b/>
          <w:bCs/>
          <w:szCs w:val="24"/>
        </w:rPr>
        <w:t xml:space="preserve">RATE FREEZE AND </w:t>
      </w:r>
      <w:r w:rsidRPr="00423400" w:rsidR="0057302F">
        <w:rPr>
          <w:rFonts w:cs="Times New Roman"/>
          <w:b/>
          <w:bCs/>
          <w:szCs w:val="24"/>
        </w:rPr>
        <w:t>REVENUE REQUIREMENT</w:t>
      </w:r>
      <w:bookmarkEnd w:id="4"/>
      <w:bookmarkEnd w:id="5"/>
      <w:bookmarkEnd w:id="13"/>
    </w:p>
    <w:p w:rsidR="0012300B" w:rsidRPr="00423400" w14:paraId="7ED4294A" w14:textId="77777777">
      <w:pPr>
        <w:spacing w:after="0" w:line="480" w:lineRule="auto"/>
        <w:ind w:firstLine="720"/>
        <w:rPr>
          <w:rFonts w:cs="Times New Roman"/>
          <w:szCs w:val="24"/>
        </w:rPr>
      </w:pPr>
      <w:r w:rsidRPr="00423400">
        <w:rPr>
          <w:rFonts w:cs="Times New Roman"/>
          <w:szCs w:val="24"/>
        </w:rPr>
        <w:t>The PUCO should not approve</w:t>
      </w:r>
      <w:r w:rsidRPr="00423400" w:rsidR="009A348F">
        <w:rPr>
          <w:rFonts w:cs="Times New Roman"/>
          <w:szCs w:val="24"/>
        </w:rPr>
        <w:t xml:space="preserve"> DP&amp;L’s application </w:t>
      </w:r>
      <w:r w:rsidRPr="00423400">
        <w:rPr>
          <w:rFonts w:cs="Times New Roman"/>
          <w:szCs w:val="24"/>
        </w:rPr>
        <w:t>to increase rates while ESP I is in effect</w:t>
      </w:r>
      <w:r w:rsidRPr="00423400" w:rsidR="00AF26D4">
        <w:rPr>
          <w:rFonts w:cs="Times New Roman"/>
          <w:szCs w:val="24"/>
        </w:rPr>
        <w:t xml:space="preserve"> (and if it does, then </w:t>
      </w:r>
      <w:r w:rsidRPr="00423400" w:rsidR="008B6ACC">
        <w:rPr>
          <w:rFonts w:cs="Times New Roman"/>
          <w:szCs w:val="24"/>
        </w:rPr>
        <w:t>any</w:t>
      </w:r>
      <w:r w:rsidRPr="00423400" w:rsidR="00AF26D4">
        <w:rPr>
          <w:rFonts w:cs="Times New Roman"/>
          <w:szCs w:val="24"/>
        </w:rPr>
        <w:t xml:space="preserve"> increase</w:t>
      </w:r>
      <w:r w:rsidRPr="00423400" w:rsidR="008B6ACC">
        <w:rPr>
          <w:rFonts w:cs="Times New Roman"/>
          <w:szCs w:val="24"/>
        </w:rPr>
        <w:t xml:space="preserve"> to base rates</w:t>
      </w:r>
      <w:r w:rsidRPr="00423400" w:rsidR="00AF26D4">
        <w:rPr>
          <w:rFonts w:cs="Times New Roman"/>
          <w:szCs w:val="24"/>
        </w:rPr>
        <w:t xml:space="preserve"> should be stayed until ESP I expires)</w:t>
      </w:r>
      <w:r w:rsidRPr="00423400" w:rsidR="008B6ACC">
        <w:rPr>
          <w:rFonts w:cs="Times New Roman"/>
          <w:szCs w:val="24"/>
        </w:rPr>
        <w:t xml:space="preserve">. Additionally, if a base rate increase is </w:t>
      </w:r>
      <w:r w:rsidR="00A60A22">
        <w:rPr>
          <w:rFonts w:cs="Times New Roman"/>
          <w:szCs w:val="24"/>
        </w:rPr>
        <w:t>approved</w:t>
      </w:r>
      <w:r w:rsidRPr="00423400" w:rsidR="008B6ACC">
        <w:rPr>
          <w:rFonts w:cs="Times New Roman"/>
          <w:szCs w:val="24"/>
        </w:rPr>
        <w:t xml:space="preserve"> by the PUCO, then the </w:t>
      </w:r>
      <w:r w:rsidRPr="00423400" w:rsidR="00062C51">
        <w:rPr>
          <w:rFonts w:cs="Times New Roman"/>
          <w:szCs w:val="24"/>
        </w:rPr>
        <w:t xml:space="preserve">PUCO should </w:t>
      </w:r>
      <w:r w:rsidRPr="00423400" w:rsidR="00D002D3">
        <w:rPr>
          <w:rFonts w:cs="Times New Roman"/>
          <w:szCs w:val="24"/>
        </w:rPr>
        <w:t>adopt OCC’s proposed changes to rate base, operating income, and rate of return.</w:t>
      </w:r>
      <w:r w:rsidRPr="00423400" w:rsidR="00CD72D9">
        <w:rPr>
          <w:rFonts w:cs="Times New Roman"/>
          <w:szCs w:val="24"/>
        </w:rPr>
        <w:t xml:space="preserve"> </w:t>
      </w:r>
      <w:r w:rsidRPr="00423400">
        <w:rPr>
          <w:rFonts w:cs="Times New Roman"/>
          <w:szCs w:val="24"/>
        </w:rPr>
        <w:t xml:space="preserve">OCC’s recommended base rate increase is $43.3 million, and that increase should be stayed until DP&amp;L’s ESP </w:t>
      </w:r>
      <w:r w:rsidR="00A60A22">
        <w:rPr>
          <w:rFonts w:cs="Times New Roman"/>
          <w:szCs w:val="24"/>
        </w:rPr>
        <w:t>I</w:t>
      </w:r>
      <w:r w:rsidRPr="00423400">
        <w:rPr>
          <w:rFonts w:cs="Times New Roman"/>
          <w:szCs w:val="24"/>
        </w:rPr>
        <w:t xml:space="preserve"> expires. </w:t>
      </w:r>
    </w:p>
    <w:p w:rsidR="00D002D3" w:rsidRPr="00423400" w:rsidP="0012105E" w14:paraId="2C40F6C4" w14:textId="77777777">
      <w:pPr>
        <w:spacing w:after="0" w:line="480" w:lineRule="auto"/>
        <w:ind w:firstLine="720"/>
        <w:rPr>
          <w:rFonts w:cs="Times New Roman"/>
          <w:szCs w:val="24"/>
        </w:rPr>
      </w:pPr>
      <w:r w:rsidRPr="00423400">
        <w:rPr>
          <w:rFonts w:cs="Times New Roman"/>
          <w:szCs w:val="24"/>
        </w:rPr>
        <w:t xml:space="preserve">The PUCO should find the PUCO Staff’s recommended rate increase of $61,115,418 to $66,665,151 is too high for consumers and would result in consumers paying unjust and unreasonable rates under R.C. 4905.22, 4909.15, 4909.154, 4909.17, and 4909.18. </w:t>
      </w:r>
      <w:r w:rsidRPr="00423400" w:rsidR="0012300B">
        <w:rPr>
          <w:rFonts w:cs="Times New Roman"/>
          <w:szCs w:val="24"/>
        </w:rPr>
        <w:t>Again</w:t>
      </w:r>
      <w:r w:rsidRPr="00423400">
        <w:rPr>
          <w:rFonts w:cs="Times New Roman"/>
          <w:szCs w:val="24"/>
        </w:rPr>
        <w:t>, if any increase is approved, it should be stayed until the expiration of ESP I and should not exceed $43.3 million as calculated by OCC’s expert witness Mr. Ross Willis.</w:t>
      </w:r>
      <w:r>
        <w:rPr>
          <w:rStyle w:val="FootnoteReference"/>
          <w:rFonts w:cs="Times New Roman"/>
          <w:szCs w:val="24"/>
        </w:rPr>
        <w:footnoteReference w:id="53"/>
      </w:r>
      <w:r w:rsidRPr="00423400">
        <w:rPr>
          <w:rFonts w:cs="Times New Roman"/>
          <w:szCs w:val="24"/>
        </w:rPr>
        <w:t xml:space="preserve"> </w:t>
      </w:r>
    </w:p>
    <w:p w:rsidR="0052436D" w:rsidRPr="00423400" w:rsidP="0012105E" w14:paraId="534792D8" w14:textId="77777777">
      <w:pPr>
        <w:pStyle w:val="Heading2"/>
        <w:ind w:left="1440" w:hanging="720"/>
        <w:rPr>
          <w:color w:val="auto"/>
          <w:sz w:val="24"/>
          <w:szCs w:val="24"/>
        </w:rPr>
      </w:pPr>
      <w:bookmarkStart w:id="14" w:name="_Toc97198568"/>
      <w:bookmarkStart w:id="15" w:name="_Toc96960344"/>
      <w:bookmarkStart w:id="16" w:name="_Toc96960386"/>
      <w:bookmarkStart w:id="17" w:name="_Toc97298197"/>
      <w:bookmarkEnd w:id="14"/>
      <w:r w:rsidRPr="00423400">
        <w:rPr>
          <w:color w:val="auto"/>
          <w:sz w:val="24"/>
          <w:szCs w:val="24"/>
        </w:rPr>
        <w:t xml:space="preserve">To protect consumers, </w:t>
      </w:r>
      <w:r w:rsidRPr="00423400" w:rsidR="005D411E">
        <w:rPr>
          <w:color w:val="auto"/>
          <w:sz w:val="24"/>
          <w:szCs w:val="24"/>
        </w:rPr>
        <w:t>if the PUCO does not dismiss DP&amp;L’s Application</w:t>
      </w:r>
      <w:r w:rsidRPr="00423400" w:rsidR="0012300B">
        <w:rPr>
          <w:color w:val="auto"/>
          <w:sz w:val="24"/>
          <w:szCs w:val="24"/>
        </w:rPr>
        <w:t xml:space="preserve"> (which it should)</w:t>
      </w:r>
      <w:r w:rsidRPr="00423400" w:rsidR="005D411E">
        <w:rPr>
          <w:color w:val="auto"/>
          <w:sz w:val="24"/>
          <w:szCs w:val="24"/>
        </w:rPr>
        <w:t xml:space="preserve">, then </w:t>
      </w:r>
      <w:r w:rsidRPr="00423400">
        <w:rPr>
          <w:color w:val="auto"/>
          <w:sz w:val="24"/>
          <w:szCs w:val="24"/>
        </w:rPr>
        <w:t xml:space="preserve">the PUCO should enforce the distribution rate freeze (no rate increase) that </w:t>
      </w:r>
      <w:r w:rsidRPr="00423400" w:rsidR="00CE3C4C">
        <w:rPr>
          <w:color w:val="auto"/>
          <w:sz w:val="24"/>
          <w:szCs w:val="24"/>
        </w:rPr>
        <w:t>DP&amp;L</w:t>
      </w:r>
      <w:r w:rsidRPr="00423400">
        <w:rPr>
          <w:color w:val="auto"/>
          <w:sz w:val="24"/>
          <w:szCs w:val="24"/>
        </w:rPr>
        <w:t xml:space="preserve"> agreed to as part of a settlement in its ESP </w:t>
      </w:r>
      <w:r w:rsidRPr="00423400" w:rsidR="00E17AF6">
        <w:rPr>
          <w:color w:val="auto"/>
          <w:sz w:val="24"/>
          <w:szCs w:val="24"/>
        </w:rPr>
        <w:t>I</w:t>
      </w:r>
      <w:r w:rsidRPr="00423400">
        <w:rPr>
          <w:color w:val="auto"/>
          <w:sz w:val="24"/>
          <w:szCs w:val="24"/>
        </w:rPr>
        <w:t xml:space="preserve"> case</w:t>
      </w:r>
      <w:r w:rsidRPr="00423400" w:rsidR="0012300B">
        <w:rPr>
          <w:color w:val="auto"/>
          <w:sz w:val="24"/>
          <w:szCs w:val="24"/>
        </w:rPr>
        <w:t xml:space="preserve">. </w:t>
      </w:r>
      <w:bookmarkEnd w:id="15"/>
      <w:bookmarkEnd w:id="16"/>
      <w:r w:rsidRPr="00423400" w:rsidR="0003107D">
        <w:rPr>
          <w:color w:val="auto"/>
          <w:sz w:val="24"/>
          <w:szCs w:val="24"/>
        </w:rPr>
        <w:t>But if the PUCO grants an increase, it should be capped at $43.3 and stayed until the expiration of ESP I.</w:t>
      </w:r>
      <w:bookmarkEnd w:id="17"/>
    </w:p>
    <w:p w:rsidR="00D002D3" w:rsidRPr="00423400" w:rsidP="0012105E" w14:paraId="7BD959E8" w14:textId="77777777">
      <w:pPr>
        <w:spacing w:before="240" w:after="0" w:line="480" w:lineRule="auto"/>
        <w:ind w:firstLine="720"/>
        <w:rPr>
          <w:rFonts w:cs="Times New Roman"/>
          <w:szCs w:val="24"/>
        </w:rPr>
      </w:pPr>
      <w:r w:rsidRPr="00423400">
        <w:rPr>
          <w:rFonts w:cs="Times New Roman"/>
          <w:szCs w:val="24"/>
        </w:rPr>
        <w:t>The</w:t>
      </w:r>
      <w:r w:rsidRPr="00423400" w:rsidR="00CD72D9">
        <w:rPr>
          <w:rFonts w:cs="Times New Roman"/>
          <w:szCs w:val="24"/>
        </w:rPr>
        <w:t xml:space="preserve"> </w:t>
      </w:r>
      <w:r w:rsidRPr="00423400">
        <w:rPr>
          <w:rFonts w:cs="Times New Roman"/>
          <w:szCs w:val="24"/>
        </w:rPr>
        <w:t>PUCO</w:t>
      </w:r>
      <w:r w:rsidRPr="00423400" w:rsidR="00CD72D9">
        <w:rPr>
          <w:rFonts w:cs="Times New Roman"/>
          <w:szCs w:val="24"/>
        </w:rPr>
        <w:t xml:space="preserve"> </w:t>
      </w:r>
      <w:r w:rsidRPr="00423400">
        <w:rPr>
          <w:rFonts w:cs="Times New Roman"/>
          <w:szCs w:val="24"/>
        </w:rPr>
        <w:t>should</w:t>
      </w:r>
      <w:r w:rsidRPr="00423400" w:rsidR="00CD72D9">
        <w:rPr>
          <w:rFonts w:cs="Times New Roman"/>
          <w:szCs w:val="24"/>
        </w:rPr>
        <w:t xml:space="preserve"> </w:t>
      </w:r>
      <w:r w:rsidRPr="00423400">
        <w:rPr>
          <w:rFonts w:cs="Times New Roman"/>
          <w:szCs w:val="24"/>
        </w:rPr>
        <w:t>enforce</w:t>
      </w:r>
      <w:r w:rsidRPr="00423400" w:rsidR="00CD72D9">
        <w:rPr>
          <w:rFonts w:cs="Times New Roman"/>
          <w:szCs w:val="24"/>
        </w:rPr>
        <w:t xml:space="preserve"> </w:t>
      </w:r>
      <w:r w:rsidRPr="00423400">
        <w:rPr>
          <w:rFonts w:cs="Times New Roman"/>
          <w:szCs w:val="24"/>
        </w:rPr>
        <w:t>this</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w:t>
      </w:r>
      <w:r w:rsidRPr="00423400" w:rsidR="00CD72D9">
        <w:rPr>
          <w:rFonts w:cs="Times New Roman"/>
          <w:szCs w:val="24"/>
        </w:rPr>
        <w:t xml:space="preserve"> </w:t>
      </w:r>
      <w:r w:rsidRPr="00423400">
        <w:rPr>
          <w:rFonts w:cs="Times New Roman"/>
          <w:szCs w:val="24"/>
        </w:rPr>
        <w:t>rate</w:t>
      </w:r>
      <w:r w:rsidRPr="00423400" w:rsidR="00CD72D9">
        <w:rPr>
          <w:rFonts w:cs="Times New Roman"/>
          <w:szCs w:val="24"/>
        </w:rPr>
        <w:t xml:space="preserve"> </w:t>
      </w:r>
      <w:r w:rsidRPr="00423400">
        <w:rPr>
          <w:rFonts w:cs="Times New Roman"/>
          <w:szCs w:val="24"/>
        </w:rPr>
        <w:t>freeze</w:t>
      </w:r>
      <w:r w:rsidRPr="00423400" w:rsidR="00CD72D9">
        <w:rPr>
          <w:rFonts w:cs="Times New Roman"/>
          <w:szCs w:val="24"/>
        </w:rPr>
        <w:t xml:space="preserve"> </w:t>
      </w:r>
      <w:r w:rsidRPr="00423400">
        <w:rPr>
          <w:rFonts w:cs="Times New Roman"/>
          <w:szCs w:val="24"/>
        </w:rPr>
        <w:t>for</w:t>
      </w:r>
      <w:r w:rsidRPr="00423400" w:rsidR="00CD72D9">
        <w:rPr>
          <w:rFonts w:cs="Times New Roman"/>
          <w:szCs w:val="24"/>
        </w:rPr>
        <w:t xml:space="preserve"> </w:t>
      </w:r>
      <w:r w:rsidRPr="00423400">
        <w:rPr>
          <w:rFonts w:cs="Times New Roman"/>
          <w:szCs w:val="24"/>
        </w:rPr>
        <w:t>Dayton-area</w:t>
      </w:r>
      <w:r w:rsidRPr="00423400" w:rsidR="00CD72D9">
        <w:rPr>
          <w:rFonts w:cs="Times New Roman"/>
          <w:szCs w:val="24"/>
        </w:rPr>
        <w:t xml:space="preserve"> </w:t>
      </w:r>
      <w:r w:rsidRPr="00423400">
        <w:rPr>
          <w:rFonts w:cs="Times New Roman"/>
          <w:szCs w:val="24"/>
        </w:rPr>
        <w:t>consumers—meaning no rate increase</w:t>
      </w:r>
      <w:r w:rsidRPr="00423400" w:rsidR="004128D9">
        <w:rPr>
          <w:rFonts w:cs="Times New Roman"/>
          <w:szCs w:val="24"/>
        </w:rPr>
        <w:t xml:space="preserve"> to consumers while DP&amp;L is under ESP I and is collecting a stability charge</w:t>
      </w:r>
      <w:r w:rsidRPr="00423400">
        <w:rPr>
          <w:rFonts w:cs="Times New Roman"/>
          <w:szCs w:val="24"/>
        </w:rPr>
        <w:t>—just</w:t>
      </w:r>
      <w:r w:rsidRPr="00423400" w:rsidR="00CD72D9">
        <w:rPr>
          <w:rFonts w:cs="Times New Roman"/>
          <w:szCs w:val="24"/>
        </w:rPr>
        <w:t xml:space="preserve"> </w:t>
      </w:r>
      <w:r w:rsidRPr="00423400">
        <w:rPr>
          <w:rFonts w:cs="Times New Roman"/>
          <w:szCs w:val="24"/>
        </w:rPr>
        <w:t>as</w:t>
      </w:r>
      <w:r w:rsidRPr="00423400" w:rsidR="00CD72D9">
        <w:rPr>
          <w:rFonts w:cs="Times New Roman"/>
          <w:szCs w:val="24"/>
        </w:rPr>
        <w:t xml:space="preserve"> </w:t>
      </w:r>
      <w:r w:rsidRPr="00423400">
        <w:rPr>
          <w:rFonts w:cs="Times New Roman"/>
          <w:szCs w:val="24"/>
        </w:rPr>
        <w:t>it</w:t>
      </w:r>
      <w:r w:rsidRPr="00423400" w:rsidR="00CD72D9">
        <w:rPr>
          <w:rFonts w:cs="Times New Roman"/>
          <w:szCs w:val="24"/>
        </w:rPr>
        <w:t xml:space="preserve"> </w:t>
      </w:r>
      <w:r w:rsidRPr="00423400">
        <w:rPr>
          <w:rFonts w:cs="Times New Roman"/>
          <w:szCs w:val="24"/>
        </w:rPr>
        <w:t>has enforced</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other</w:t>
      </w:r>
      <w:r w:rsidRPr="00423400" w:rsidR="00CD72D9">
        <w:rPr>
          <w:rFonts w:cs="Times New Roman"/>
          <w:szCs w:val="24"/>
        </w:rPr>
        <w:t xml:space="preserve"> </w:t>
      </w:r>
      <w:r w:rsidRPr="00423400">
        <w:rPr>
          <w:rFonts w:cs="Times New Roman"/>
          <w:szCs w:val="24"/>
        </w:rPr>
        <w:t>provisions</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settlement</w:t>
      </w:r>
      <w:r w:rsidRPr="00423400" w:rsidR="00CD72D9">
        <w:rPr>
          <w:rFonts w:cs="Times New Roman"/>
          <w:szCs w:val="24"/>
        </w:rPr>
        <w:t xml:space="preserve"> </w:t>
      </w:r>
      <w:r w:rsidRPr="00423400">
        <w:rPr>
          <w:rFonts w:cs="Times New Roman"/>
          <w:szCs w:val="24"/>
        </w:rPr>
        <w:t>reached</w:t>
      </w:r>
      <w:r w:rsidRPr="00423400" w:rsidR="00CD72D9">
        <w:rPr>
          <w:rFonts w:cs="Times New Roman"/>
          <w:szCs w:val="24"/>
        </w:rPr>
        <w:t xml:space="preserve"> </w:t>
      </w:r>
      <w:r w:rsidRPr="00423400">
        <w:rPr>
          <w:rFonts w:cs="Times New Roman"/>
          <w:szCs w:val="24"/>
        </w:rPr>
        <w:t>in</w:t>
      </w:r>
      <w:r w:rsidRPr="00423400" w:rsidR="00CD72D9">
        <w:rPr>
          <w:rFonts w:cs="Times New Roman"/>
          <w:szCs w:val="24"/>
        </w:rPr>
        <w:t xml:space="preserve"> </w:t>
      </w:r>
      <w:r w:rsidRPr="00423400">
        <w:rPr>
          <w:rFonts w:cs="Times New Roman"/>
          <w:szCs w:val="24"/>
        </w:rPr>
        <w:t>DP&amp;L’s</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I</w:t>
      </w:r>
      <w:r w:rsidRPr="00423400" w:rsidR="00460922">
        <w:rPr>
          <w:rFonts w:cs="Times New Roman"/>
          <w:szCs w:val="24"/>
        </w:rPr>
        <w:t xml:space="preserve"> </w:t>
      </w:r>
      <w:r w:rsidRPr="00423400">
        <w:rPr>
          <w:rFonts w:cs="Times New Roman"/>
          <w:szCs w:val="24"/>
        </w:rPr>
        <w:t>that DP&amp;L agreed to as part of a settlement with OCC, the PUCO Staff, and other</w:t>
      </w:r>
      <w:r w:rsidR="005C0073">
        <w:rPr>
          <w:rFonts w:cs="Times New Roman"/>
          <w:szCs w:val="24"/>
        </w:rPr>
        <w:t>s</w:t>
      </w:r>
      <w:r w:rsidRPr="00423400">
        <w:rPr>
          <w:rFonts w:cs="Times New Roman"/>
          <w:szCs w:val="24"/>
        </w:rPr>
        <w:t xml:space="preserve"> in its ESP I case.</w:t>
      </w:r>
      <w:r>
        <w:rPr>
          <w:rStyle w:val="FootnoteReference"/>
          <w:rFonts w:cs="Times New Roman"/>
          <w:szCs w:val="24"/>
        </w:rPr>
        <w:footnoteReference w:id="54"/>
      </w:r>
      <w:r w:rsidRPr="00423400">
        <w:rPr>
          <w:rFonts w:cs="Times New Roman"/>
          <w:szCs w:val="24"/>
        </w:rPr>
        <w:t xml:space="preserve"> ESP I is currently in effect because DP&amp;L unilaterally chose to revert back to ESP </w:t>
      </w:r>
      <w:r w:rsidRPr="00423400" w:rsidR="00E7314F">
        <w:rPr>
          <w:rFonts w:cs="Times New Roman"/>
          <w:szCs w:val="24"/>
        </w:rPr>
        <w:t>I</w:t>
      </w:r>
      <w:r w:rsidRPr="00423400">
        <w:rPr>
          <w:rFonts w:cs="Times New Roman"/>
          <w:szCs w:val="24"/>
        </w:rPr>
        <w:t xml:space="preserve"> after the PUCO stopped charging DP&amp;L consumers for DP&amp;L’s so called distribution modernization rider,</w:t>
      </w:r>
      <w:r>
        <w:rPr>
          <w:rStyle w:val="FootnoteReference"/>
          <w:rFonts w:cs="Times New Roman"/>
          <w:szCs w:val="24"/>
        </w:rPr>
        <w:footnoteReference w:id="55"/>
      </w:r>
      <w:r w:rsidRPr="00423400">
        <w:rPr>
          <w:rFonts w:cs="Times New Roman"/>
          <w:szCs w:val="24"/>
        </w:rPr>
        <w:t xml:space="preserve"> and the settlement requires a base distribution rate freeze for the duration of ESP I. Allowing</w:t>
      </w:r>
      <w:r w:rsidRPr="00423400" w:rsidR="00CD72D9">
        <w:rPr>
          <w:rFonts w:cs="Times New Roman"/>
          <w:szCs w:val="24"/>
        </w:rPr>
        <w:t xml:space="preserve"> </w:t>
      </w:r>
      <w:r w:rsidRPr="00423400">
        <w:rPr>
          <w:rFonts w:cs="Times New Roman"/>
          <w:szCs w:val="24"/>
        </w:rPr>
        <w:t>a</w:t>
      </w:r>
      <w:r w:rsidRPr="00423400" w:rsidR="00CD72D9">
        <w:rPr>
          <w:rFonts w:cs="Times New Roman"/>
          <w:szCs w:val="24"/>
        </w:rPr>
        <w:t xml:space="preserve"> </w:t>
      </w:r>
      <w:r w:rsidRPr="00423400">
        <w:rPr>
          <w:rFonts w:cs="Times New Roman"/>
          <w:szCs w:val="24"/>
        </w:rPr>
        <w:t>distribution</w:t>
      </w:r>
      <w:r w:rsidRPr="00423400" w:rsidR="00CD72D9">
        <w:rPr>
          <w:rFonts w:cs="Times New Roman"/>
          <w:szCs w:val="24"/>
        </w:rPr>
        <w:t xml:space="preserve"> </w:t>
      </w:r>
      <w:r w:rsidRPr="00423400">
        <w:rPr>
          <w:rFonts w:cs="Times New Roman"/>
          <w:szCs w:val="24"/>
        </w:rPr>
        <w:t>rate increase</w:t>
      </w:r>
      <w:r w:rsidRPr="00423400" w:rsidR="00CD72D9">
        <w:rPr>
          <w:rFonts w:cs="Times New Roman"/>
          <w:szCs w:val="24"/>
        </w:rPr>
        <w:t xml:space="preserve"> </w:t>
      </w:r>
      <w:r w:rsidRPr="00423400">
        <w:rPr>
          <w:rFonts w:cs="Times New Roman"/>
          <w:szCs w:val="24"/>
        </w:rPr>
        <w:t>when</w:t>
      </w:r>
      <w:r w:rsidRPr="00423400" w:rsidR="00CD72D9">
        <w:rPr>
          <w:rFonts w:cs="Times New Roman"/>
          <w:szCs w:val="24"/>
        </w:rPr>
        <w:t xml:space="preserve"> </w:t>
      </w:r>
      <w:r w:rsidRPr="00423400">
        <w:rPr>
          <w:rFonts w:cs="Times New Roman"/>
          <w:szCs w:val="24"/>
        </w:rPr>
        <w:t>DP&amp;L</w:t>
      </w:r>
      <w:r w:rsidRPr="00423400" w:rsidR="00CD72D9">
        <w:rPr>
          <w:rFonts w:cs="Times New Roman"/>
          <w:szCs w:val="24"/>
        </w:rPr>
        <w:t xml:space="preserve"> </w:t>
      </w:r>
      <w:r w:rsidRPr="00423400">
        <w:rPr>
          <w:rFonts w:cs="Times New Roman"/>
          <w:szCs w:val="24"/>
        </w:rPr>
        <w:t>committed</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a</w:t>
      </w:r>
      <w:r w:rsidRPr="00423400" w:rsidR="00CD72D9">
        <w:rPr>
          <w:rFonts w:cs="Times New Roman"/>
          <w:szCs w:val="24"/>
        </w:rPr>
        <w:t xml:space="preserve"> </w:t>
      </w:r>
      <w:r w:rsidRPr="00423400">
        <w:rPr>
          <w:rFonts w:cs="Times New Roman"/>
          <w:szCs w:val="24"/>
        </w:rPr>
        <w:t>rate</w:t>
      </w:r>
      <w:r w:rsidRPr="00423400" w:rsidR="00CD72D9">
        <w:rPr>
          <w:rFonts w:cs="Times New Roman"/>
          <w:szCs w:val="24"/>
        </w:rPr>
        <w:t xml:space="preserve"> </w:t>
      </w:r>
      <w:r w:rsidRPr="00423400">
        <w:rPr>
          <w:rFonts w:cs="Times New Roman"/>
          <w:szCs w:val="24"/>
        </w:rPr>
        <w:t>freeze</w:t>
      </w:r>
      <w:r w:rsidRPr="00423400" w:rsidR="00CD72D9">
        <w:rPr>
          <w:rFonts w:cs="Times New Roman"/>
          <w:szCs w:val="24"/>
        </w:rPr>
        <w:t xml:space="preserve"> </w:t>
      </w:r>
      <w:r w:rsidRPr="00423400">
        <w:rPr>
          <w:rFonts w:cs="Times New Roman"/>
          <w:szCs w:val="24"/>
        </w:rPr>
        <w:t>during</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sidR="00A00E9E">
        <w:rPr>
          <w:rFonts w:cs="Times New Roman"/>
          <w:szCs w:val="24"/>
        </w:rPr>
        <w:t>I</w:t>
      </w:r>
      <w:r w:rsidRPr="00423400" w:rsidR="00CD72D9">
        <w:rPr>
          <w:rFonts w:cs="Times New Roman"/>
          <w:szCs w:val="24"/>
        </w:rPr>
        <w:t xml:space="preserve"> </w:t>
      </w:r>
      <w:r w:rsidRPr="00423400">
        <w:rPr>
          <w:rFonts w:cs="Times New Roman"/>
          <w:szCs w:val="24"/>
        </w:rPr>
        <w:t>violates</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settlement</w:t>
      </w:r>
      <w:r w:rsidRPr="00423400" w:rsidR="00CD72D9">
        <w:rPr>
          <w:rFonts w:cs="Times New Roman"/>
          <w:szCs w:val="24"/>
        </w:rPr>
        <w:t xml:space="preserve"> </w:t>
      </w:r>
      <w:r w:rsidRPr="00423400">
        <w:rPr>
          <w:rFonts w:cs="Times New Roman"/>
          <w:szCs w:val="24"/>
        </w:rPr>
        <w:t>agreement,</w:t>
      </w:r>
      <w:r w:rsidRPr="00423400" w:rsidR="00CD72D9">
        <w:rPr>
          <w:rFonts w:cs="Times New Roman"/>
          <w:szCs w:val="24"/>
        </w:rPr>
        <w:t xml:space="preserve"> </w:t>
      </w:r>
      <w:r w:rsidRPr="00423400">
        <w:rPr>
          <w:rFonts w:cs="Times New Roman"/>
          <w:szCs w:val="24"/>
        </w:rPr>
        <w:t>the PUCO’s</w:t>
      </w:r>
      <w:r w:rsidRPr="00423400" w:rsidR="00CD72D9">
        <w:rPr>
          <w:rFonts w:cs="Times New Roman"/>
          <w:szCs w:val="24"/>
        </w:rPr>
        <w:t xml:space="preserve"> </w:t>
      </w:r>
      <w:r w:rsidRPr="00423400">
        <w:rPr>
          <w:rFonts w:cs="Times New Roman"/>
          <w:szCs w:val="24"/>
        </w:rPr>
        <w:t>rulings</w:t>
      </w:r>
      <w:r w:rsidRPr="00423400" w:rsidR="00CD72D9">
        <w:rPr>
          <w:rFonts w:cs="Times New Roman"/>
          <w:szCs w:val="24"/>
        </w:rPr>
        <w:t xml:space="preserve"> </w:t>
      </w:r>
      <w:r w:rsidRPr="00423400">
        <w:rPr>
          <w:rFonts w:cs="Times New Roman"/>
          <w:szCs w:val="24"/>
        </w:rPr>
        <w:t>on</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continuation</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DP&amp;L</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sidR="008310EB">
        <w:rPr>
          <w:rFonts w:cs="Times New Roman"/>
          <w:szCs w:val="24"/>
        </w:rPr>
        <w:t>I</w:t>
      </w:r>
      <w:r w:rsidRPr="00423400">
        <w:rPr>
          <w:rFonts w:cs="Times New Roman"/>
          <w:szCs w:val="24"/>
        </w:rPr>
        <w:t>,</w:t>
      </w:r>
      <w:r w:rsidRPr="00423400" w:rsidR="00CD72D9">
        <w:rPr>
          <w:rFonts w:cs="Times New Roman"/>
          <w:szCs w:val="24"/>
        </w:rPr>
        <w:t xml:space="preserve"> </w:t>
      </w:r>
      <w:r w:rsidRPr="00423400">
        <w:rPr>
          <w:rFonts w:cs="Times New Roman"/>
          <w:szCs w:val="24"/>
        </w:rPr>
        <w:t>and</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PUCO’s</w:t>
      </w:r>
      <w:r w:rsidRPr="00423400" w:rsidR="00CD72D9">
        <w:rPr>
          <w:rFonts w:cs="Times New Roman"/>
          <w:szCs w:val="24"/>
        </w:rPr>
        <w:t xml:space="preserve"> </w:t>
      </w:r>
      <w:r w:rsidRPr="00423400">
        <w:rPr>
          <w:rFonts w:cs="Times New Roman"/>
          <w:szCs w:val="24"/>
        </w:rPr>
        <w:t>interpretation</w:t>
      </w:r>
      <w:r w:rsidRPr="00423400" w:rsidR="00CD72D9">
        <w:rPr>
          <w:rFonts w:cs="Times New Roman"/>
          <w:szCs w:val="24"/>
        </w:rPr>
        <w:t xml:space="preserve"> </w:t>
      </w:r>
      <w:r w:rsidRPr="00423400">
        <w:rPr>
          <w:rFonts w:cs="Times New Roman"/>
          <w:szCs w:val="24"/>
        </w:rPr>
        <w:t>of 4928.143(C)(2)(b).</w:t>
      </w:r>
    </w:p>
    <w:p w:rsidR="00490126" w:rsidRPr="00423400" w:rsidP="0095528A" w14:paraId="5C5B19A2" w14:textId="77777777">
      <w:pPr>
        <w:spacing w:after="0" w:line="480" w:lineRule="auto"/>
        <w:ind w:firstLine="720"/>
        <w:rPr>
          <w:rFonts w:cs="Times New Roman"/>
          <w:szCs w:val="24"/>
        </w:rPr>
      </w:pPr>
      <w:r w:rsidRPr="00423400">
        <w:rPr>
          <w:rFonts w:cs="Times New Roman"/>
          <w:szCs w:val="24"/>
        </w:rPr>
        <w:t>DP&amp;L wants</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charge</w:t>
      </w:r>
      <w:r w:rsidRPr="00423400" w:rsidR="00CD72D9">
        <w:rPr>
          <w:rFonts w:cs="Times New Roman"/>
          <w:szCs w:val="24"/>
        </w:rPr>
        <w:t xml:space="preserve"> </w:t>
      </w:r>
      <w:r w:rsidRPr="00423400">
        <w:rPr>
          <w:rFonts w:cs="Times New Roman"/>
          <w:szCs w:val="24"/>
        </w:rPr>
        <w:t>consumers</w:t>
      </w:r>
      <w:r w:rsidRPr="00423400" w:rsidR="00CD72D9">
        <w:rPr>
          <w:rFonts w:cs="Times New Roman"/>
          <w:szCs w:val="24"/>
        </w:rPr>
        <w:t xml:space="preserve"> </w:t>
      </w:r>
      <w:r w:rsidRPr="00423400">
        <w:rPr>
          <w:rFonts w:cs="Times New Roman"/>
          <w:szCs w:val="24"/>
        </w:rPr>
        <w:t>an</w:t>
      </w:r>
      <w:r w:rsidRPr="00423400" w:rsidR="00CD72D9">
        <w:rPr>
          <w:rFonts w:cs="Times New Roman"/>
          <w:szCs w:val="24"/>
        </w:rPr>
        <w:t xml:space="preserve"> </w:t>
      </w:r>
      <w:r w:rsidRPr="00423400">
        <w:rPr>
          <w:rFonts w:cs="Times New Roman"/>
          <w:szCs w:val="24"/>
        </w:rPr>
        <w:t>additional</w:t>
      </w:r>
      <w:r w:rsidRPr="00423400" w:rsidR="00CD72D9">
        <w:rPr>
          <w:rFonts w:cs="Times New Roman"/>
          <w:szCs w:val="24"/>
        </w:rPr>
        <w:t xml:space="preserve"> </w:t>
      </w:r>
      <w:r w:rsidRPr="00423400">
        <w:rPr>
          <w:rFonts w:cs="Times New Roman"/>
          <w:szCs w:val="24"/>
        </w:rPr>
        <w:t>$121</w:t>
      </w:r>
      <w:r w:rsidRPr="00423400" w:rsidR="00CD72D9">
        <w:rPr>
          <w:rFonts w:cs="Times New Roman"/>
          <w:szCs w:val="24"/>
        </w:rPr>
        <w:t xml:space="preserve"> </w:t>
      </w:r>
      <w:r w:rsidRPr="00423400">
        <w:rPr>
          <w:rFonts w:cs="Times New Roman"/>
          <w:szCs w:val="24"/>
        </w:rPr>
        <w:t>million</w:t>
      </w:r>
      <w:r w:rsidRPr="00423400" w:rsidR="00CD72D9">
        <w:rPr>
          <w:rFonts w:cs="Times New Roman"/>
          <w:szCs w:val="24"/>
        </w:rPr>
        <w:t xml:space="preserve"> </w:t>
      </w:r>
      <w:r w:rsidRPr="00423400">
        <w:rPr>
          <w:rFonts w:cs="Times New Roman"/>
          <w:szCs w:val="24"/>
        </w:rPr>
        <w:t>per</w:t>
      </w:r>
      <w:r w:rsidRPr="00423400" w:rsidR="00CD72D9">
        <w:rPr>
          <w:rFonts w:cs="Times New Roman"/>
          <w:szCs w:val="24"/>
        </w:rPr>
        <w:t xml:space="preserve"> </w:t>
      </w:r>
      <w:r w:rsidRPr="00423400">
        <w:rPr>
          <w:rFonts w:cs="Times New Roman"/>
          <w:szCs w:val="24"/>
        </w:rPr>
        <w:t>year</w:t>
      </w:r>
      <w:r w:rsidRPr="00423400" w:rsidR="00CD72D9">
        <w:rPr>
          <w:rFonts w:cs="Times New Roman"/>
          <w:szCs w:val="24"/>
        </w:rPr>
        <w:t xml:space="preserve"> </w:t>
      </w:r>
      <w:r w:rsidRPr="00423400">
        <w:rPr>
          <w:rFonts w:cs="Times New Roman"/>
          <w:szCs w:val="24"/>
        </w:rPr>
        <w:t>for</w:t>
      </w:r>
      <w:r w:rsidRPr="00423400" w:rsidR="00CD72D9">
        <w:rPr>
          <w:rFonts w:cs="Times New Roman"/>
          <w:szCs w:val="24"/>
        </w:rPr>
        <w:t xml:space="preserve"> </w:t>
      </w:r>
      <w:r w:rsidRPr="00423400">
        <w:rPr>
          <w:rFonts w:cs="Times New Roman"/>
          <w:szCs w:val="24"/>
        </w:rPr>
        <w:t>base distribution</w:t>
      </w:r>
      <w:r w:rsidRPr="00423400" w:rsidR="00CD72D9">
        <w:rPr>
          <w:rFonts w:cs="Times New Roman"/>
          <w:szCs w:val="24"/>
        </w:rPr>
        <w:t xml:space="preserve"> </w:t>
      </w:r>
      <w:r w:rsidRPr="00423400">
        <w:rPr>
          <w:rFonts w:cs="Times New Roman"/>
          <w:szCs w:val="24"/>
        </w:rPr>
        <w:t>service.</w:t>
      </w:r>
      <w:r>
        <w:rPr>
          <w:rStyle w:val="FootnoteReference"/>
          <w:rFonts w:cs="Times New Roman"/>
          <w:szCs w:val="24"/>
        </w:rPr>
        <w:footnoteReference w:id="56"/>
      </w:r>
      <w:r w:rsidRPr="00423400" w:rsidR="00CD72D9">
        <w:rPr>
          <w:rFonts w:cs="Times New Roman"/>
          <w:szCs w:val="24"/>
        </w:rPr>
        <w:t xml:space="preserve"> </w:t>
      </w:r>
      <w:r w:rsidRPr="00423400">
        <w:rPr>
          <w:rFonts w:cs="Times New Roman"/>
          <w:szCs w:val="24"/>
        </w:rPr>
        <w:t>But</w:t>
      </w:r>
      <w:r w:rsidRPr="00423400" w:rsidR="00CD72D9">
        <w:rPr>
          <w:rFonts w:cs="Times New Roman"/>
          <w:szCs w:val="24"/>
        </w:rPr>
        <w:t xml:space="preserve"> </w:t>
      </w:r>
      <w:r w:rsidRPr="00423400">
        <w:rPr>
          <w:rFonts w:cs="Times New Roman"/>
          <w:szCs w:val="24"/>
        </w:rPr>
        <w:t>DP&amp;L</w:t>
      </w:r>
      <w:r w:rsidRPr="00423400" w:rsidR="00CD72D9">
        <w:rPr>
          <w:rFonts w:cs="Times New Roman"/>
          <w:szCs w:val="24"/>
        </w:rPr>
        <w:t xml:space="preserve"> </w:t>
      </w:r>
      <w:r w:rsidRPr="00423400">
        <w:rPr>
          <w:rFonts w:cs="Times New Roman"/>
          <w:szCs w:val="24"/>
        </w:rPr>
        <w:t>is</w:t>
      </w:r>
      <w:r w:rsidRPr="00423400" w:rsidR="00CD72D9">
        <w:rPr>
          <w:rFonts w:cs="Times New Roman"/>
          <w:szCs w:val="24"/>
        </w:rPr>
        <w:t xml:space="preserve"> </w:t>
      </w:r>
      <w:r w:rsidRPr="00423400">
        <w:rPr>
          <w:rFonts w:cs="Times New Roman"/>
          <w:szCs w:val="24"/>
        </w:rPr>
        <w:t>prohibited</w:t>
      </w:r>
      <w:r w:rsidRPr="00423400" w:rsidR="00CD72D9">
        <w:rPr>
          <w:rFonts w:cs="Times New Roman"/>
          <w:szCs w:val="24"/>
        </w:rPr>
        <w:t xml:space="preserve"> </w:t>
      </w:r>
      <w:r w:rsidRPr="00423400">
        <w:rPr>
          <w:rFonts w:cs="Times New Roman"/>
          <w:szCs w:val="24"/>
        </w:rPr>
        <w:t>from</w:t>
      </w:r>
      <w:r w:rsidRPr="00423400" w:rsidR="00CD72D9">
        <w:rPr>
          <w:rFonts w:cs="Times New Roman"/>
          <w:szCs w:val="24"/>
        </w:rPr>
        <w:t xml:space="preserve"> </w:t>
      </w:r>
      <w:r w:rsidRPr="00423400">
        <w:rPr>
          <w:rFonts w:cs="Times New Roman"/>
          <w:szCs w:val="24"/>
        </w:rPr>
        <w:t>increasing</w:t>
      </w:r>
      <w:r w:rsidRPr="00423400" w:rsidR="00CD72D9">
        <w:rPr>
          <w:rFonts w:cs="Times New Roman"/>
          <w:szCs w:val="24"/>
        </w:rPr>
        <w:t xml:space="preserve"> </w:t>
      </w:r>
      <w:r w:rsidRPr="00423400">
        <w:rPr>
          <w:rFonts w:cs="Times New Roman"/>
          <w:szCs w:val="24"/>
        </w:rPr>
        <w:t>base</w:t>
      </w:r>
      <w:r w:rsidRPr="00423400" w:rsidR="00CD72D9">
        <w:rPr>
          <w:rFonts w:cs="Times New Roman"/>
          <w:szCs w:val="24"/>
        </w:rPr>
        <w:t xml:space="preserve"> </w:t>
      </w:r>
      <w:r w:rsidRPr="00423400">
        <w:rPr>
          <w:rFonts w:cs="Times New Roman"/>
          <w:szCs w:val="24"/>
        </w:rPr>
        <w:t>rates</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its</w:t>
      </w:r>
      <w:r w:rsidRPr="00423400" w:rsidR="00CD72D9">
        <w:rPr>
          <w:rFonts w:cs="Times New Roman"/>
          <w:szCs w:val="24"/>
        </w:rPr>
        <w:t xml:space="preserve"> </w:t>
      </w:r>
      <w:r w:rsidRPr="00423400">
        <w:rPr>
          <w:rFonts w:cs="Times New Roman"/>
          <w:szCs w:val="24"/>
        </w:rPr>
        <w:t>consumers</w:t>
      </w:r>
      <w:r w:rsidRPr="00423400" w:rsidR="00CD72D9">
        <w:rPr>
          <w:rFonts w:cs="Times New Roman"/>
          <w:szCs w:val="24"/>
        </w:rPr>
        <w:t xml:space="preserve"> </w:t>
      </w:r>
      <w:r w:rsidRPr="00423400">
        <w:rPr>
          <w:rFonts w:cs="Times New Roman"/>
          <w:szCs w:val="24"/>
        </w:rPr>
        <w:t>by $121</w:t>
      </w:r>
      <w:r w:rsidRPr="00423400" w:rsidR="00CD72D9">
        <w:rPr>
          <w:rFonts w:cs="Times New Roman"/>
          <w:szCs w:val="24"/>
        </w:rPr>
        <w:t xml:space="preserve"> </w:t>
      </w:r>
      <w:r w:rsidRPr="00423400">
        <w:rPr>
          <w:rFonts w:cs="Times New Roman"/>
          <w:szCs w:val="24"/>
        </w:rPr>
        <w:t>million—or</w:t>
      </w:r>
      <w:r w:rsidRPr="00423400" w:rsidR="00CD72D9">
        <w:rPr>
          <w:rFonts w:cs="Times New Roman"/>
          <w:szCs w:val="24"/>
        </w:rPr>
        <w:t xml:space="preserve"> </w:t>
      </w:r>
      <w:r w:rsidRPr="00423400">
        <w:rPr>
          <w:rFonts w:cs="Times New Roman"/>
          <w:szCs w:val="24"/>
        </w:rPr>
        <w:t>any</w:t>
      </w:r>
      <w:r w:rsidRPr="00423400" w:rsidR="00CD72D9">
        <w:rPr>
          <w:rFonts w:cs="Times New Roman"/>
          <w:szCs w:val="24"/>
        </w:rPr>
        <w:t xml:space="preserve"> </w:t>
      </w:r>
      <w:r w:rsidRPr="00423400">
        <w:rPr>
          <w:rFonts w:cs="Times New Roman"/>
          <w:szCs w:val="24"/>
        </w:rPr>
        <w:t>other</w:t>
      </w:r>
      <w:r w:rsidRPr="00423400" w:rsidR="00CD72D9">
        <w:rPr>
          <w:rFonts w:cs="Times New Roman"/>
          <w:szCs w:val="24"/>
        </w:rPr>
        <w:t xml:space="preserve"> </w:t>
      </w:r>
      <w:r w:rsidRPr="00423400">
        <w:rPr>
          <w:rFonts w:cs="Times New Roman"/>
          <w:szCs w:val="24"/>
        </w:rPr>
        <w:t>amount—because</w:t>
      </w:r>
      <w:r w:rsidRPr="00423400" w:rsidR="00CD72D9">
        <w:rPr>
          <w:rFonts w:cs="Times New Roman"/>
          <w:szCs w:val="24"/>
        </w:rPr>
        <w:t xml:space="preserve"> </w:t>
      </w:r>
      <w:r w:rsidRPr="00423400">
        <w:rPr>
          <w:rFonts w:cs="Times New Roman"/>
          <w:szCs w:val="24"/>
        </w:rPr>
        <w:t>it</w:t>
      </w:r>
      <w:r w:rsidRPr="00423400" w:rsidR="00CD72D9">
        <w:rPr>
          <w:rFonts w:cs="Times New Roman"/>
          <w:szCs w:val="24"/>
        </w:rPr>
        <w:t xml:space="preserve"> </w:t>
      </w:r>
      <w:r w:rsidRPr="00423400">
        <w:rPr>
          <w:rFonts w:cs="Times New Roman"/>
          <w:szCs w:val="24"/>
        </w:rPr>
        <w:t>agreed</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freeze</w:t>
      </w:r>
      <w:r w:rsidRPr="00423400" w:rsidR="00CD72D9">
        <w:rPr>
          <w:rFonts w:cs="Times New Roman"/>
          <w:szCs w:val="24"/>
        </w:rPr>
        <w:t xml:space="preserve"> </w:t>
      </w:r>
      <w:r w:rsidRPr="00423400">
        <w:rPr>
          <w:rFonts w:cs="Times New Roman"/>
          <w:szCs w:val="24"/>
        </w:rPr>
        <w:t>base</w:t>
      </w:r>
      <w:r w:rsidRPr="00423400" w:rsidR="00CD72D9">
        <w:rPr>
          <w:rFonts w:cs="Times New Roman"/>
          <w:szCs w:val="24"/>
        </w:rPr>
        <w:t xml:space="preserve"> </w:t>
      </w:r>
      <w:r w:rsidRPr="00423400">
        <w:rPr>
          <w:rFonts w:cs="Times New Roman"/>
          <w:szCs w:val="24"/>
        </w:rPr>
        <w:t>distribution</w:t>
      </w:r>
      <w:r w:rsidRPr="00423400" w:rsidR="00CD72D9">
        <w:rPr>
          <w:rFonts w:cs="Times New Roman"/>
          <w:szCs w:val="24"/>
        </w:rPr>
        <w:t xml:space="preserve"> </w:t>
      </w:r>
      <w:r w:rsidRPr="00423400">
        <w:rPr>
          <w:rFonts w:cs="Times New Roman"/>
          <w:szCs w:val="24"/>
        </w:rPr>
        <w:t>rates</w:t>
      </w:r>
      <w:r w:rsidRPr="00423400" w:rsidR="00CD72D9">
        <w:rPr>
          <w:rFonts w:cs="Times New Roman"/>
          <w:szCs w:val="24"/>
        </w:rPr>
        <w:t xml:space="preserve"> </w:t>
      </w:r>
      <w:r w:rsidRPr="00423400">
        <w:rPr>
          <w:rFonts w:cs="Times New Roman"/>
          <w:szCs w:val="24"/>
        </w:rPr>
        <w:t>in</w:t>
      </w:r>
      <w:r w:rsidRPr="00423400" w:rsidR="00CD72D9">
        <w:rPr>
          <w:rFonts w:cs="Times New Roman"/>
          <w:szCs w:val="24"/>
        </w:rPr>
        <w:t xml:space="preserve"> </w:t>
      </w:r>
      <w:r w:rsidRPr="00423400">
        <w:rPr>
          <w:rFonts w:cs="Times New Roman"/>
          <w:szCs w:val="24"/>
        </w:rPr>
        <w:t>a</w:t>
      </w:r>
      <w:r w:rsidRPr="00423400" w:rsidR="00CD72D9">
        <w:rPr>
          <w:rFonts w:cs="Times New Roman"/>
          <w:szCs w:val="24"/>
        </w:rPr>
        <w:t xml:space="preserve"> </w:t>
      </w:r>
      <w:r w:rsidRPr="00423400">
        <w:rPr>
          <w:rFonts w:cs="Times New Roman"/>
          <w:szCs w:val="24"/>
        </w:rPr>
        <w:t>2009 PUCO-approved</w:t>
      </w:r>
      <w:r w:rsidRPr="00423400" w:rsidR="00CD72D9">
        <w:rPr>
          <w:rFonts w:cs="Times New Roman"/>
          <w:szCs w:val="24"/>
        </w:rPr>
        <w:t xml:space="preserve"> </w:t>
      </w:r>
      <w:r w:rsidRPr="00423400">
        <w:rPr>
          <w:rFonts w:cs="Times New Roman"/>
          <w:szCs w:val="24"/>
        </w:rPr>
        <w:t>settlement</w:t>
      </w:r>
      <w:r w:rsidRPr="00423400" w:rsidR="00FC7974">
        <w:rPr>
          <w:rFonts w:cs="Times New Roman"/>
          <w:szCs w:val="24"/>
        </w:rPr>
        <w:t xml:space="preserve"> that DP&amp;L agreed to as part of a settlement with OCC, the PUCO Staff and others in its ESP I case.</w:t>
      </w:r>
      <w:r>
        <w:rPr>
          <w:rStyle w:val="FootnoteReference"/>
          <w:rFonts w:cs="Times New Roman"/>
          <w:szCs w:val="24"/>
        </w:rPr>
        <w:footnoteReference w:id="57"/>
      </w:r>
      <w:r w:rsidRPr="00423400" w:rsidR="00CD72D9">
        <w:rPr>
          <w:rFonts w:cs="Times New Roman"/>
          <w:szCs w:val="24"/>
        </w:rPr>
        <w:t xml:space="preserve"> </w:t>
      </w:r>
      <w:r w:rsidRPr="00423400">
        <w:rPr>
          <w:rFonts w:cs="Times New Roman"/>
          <w:szCs w:val="24"/>
        </w:rPr>
        <w:t>DP&amp;L</w:t>
      </w:r>
      <w:r w:rsidRPr="00423400" w:rsidR="00CD72D9">
        <w:rPr>
          <w:rFonts w:cs="Times New Roman"/>
          <w:szCs w:val="24"/>
        </w:rPr>
        <w:t xml:space="preserve"> </w:t>
      </w:r>
      <w:r w:rsidRPr="00423400">
        <w:rPr>
          <w:rFonts w:cs="Times New Roman"/>
          <w:szCs w:val="24"/>
        </w:rPr>
        <w:t>is</w:t>
      </w:r>
      <w:r w:rsidRPr="00423400" w:rsidR="00CD72D9">
        <w:rPr>
          <w:rFonts w:cs="Times New Roman"/>
          <w:szCs w:val="24"/>
        </w:rPr>
        <w:t xml:space="preserve"> </w:t>
      </w:r>
      <w:r w:rsidRPr="00423400">
        <w:rPr>
          <w:rFonts w:cs="Times New Roman"/>
          <w:szCs w:val="24"/>
        </w:rPr>
        <w:t>currently</w:t>
      </w:r>
      <w:r w:rsidRPr="00423400" w:rsidR="00CD72D9">
        <w:rPr>
          <w:rFonts w:cs="Times New Roman"/>
          <w:szCs w:val="24"/>
        </w:rPr>
        <w:t xml:space="preserve"> </w:t>
      </w:r>
      <w:r w:rsidRPr="00423400">
        <w:rPr>
          <w:rFonts w:cs="Times New Roman"/>
          <w:szCs w:val="24"/>
        </w:rPr>
        <w:t>operating</w:t>
      </w:r>
      <w:r w:rsidRPr="00423400" w:rsidR="00CD72D9">
        <w:rPr>
          <w:rFonts w:cs="Times New Roman"/>
          <w:szCs w:val="24"/>
        </w:rPr>
        <w:t xml:space="preserve"> </w:t>
      </w:r>
      <w:r w:rsidRPr="00423400">
        <w:rPr>
          <w:rFonts w:cs="Times New Roman"/>
          <w:szCs w:val="24"/>
        </w:rPr>
        <w:t>under</w:t>
      </w:r>
      <w:r w:rsidRPr="00423400" w:rsidR="00CD72D9">
        <w:rPr>
          <w:rFonts w:cs="Times New Roman"/>
          <w:szCs w:val="24"/>
        </w:rPr>
        <w:t xml:space="preserve"> </w:t>
      </w:r>
      <w:r w:rsidRPr="00423400">
        <w:rPr>
          <w:rFonts w:cs="Times New Roman"/>
          <w:szCs w:val="24"/>
        </w:rPr>
        <w:t>that</w:t>
      </w:r>
      <w:r w:rsidRPr="00423400" w:rsidR="00CD72D9">
        <w:rPr>
          <w:rFonts w:cs="Times New Roman"/>
          <w:szCs w:val="24"/>
        </w:rPr>
        <w:t xml:space="preserve"> </w:t>
      </w:r>
      <w:r w:rsidRPr="00423400">
        <w:rPr>
          <w:rFonts w:cs="Times New Roman"/>
          <w:szCs w:val="24"/>
        </w:rPr>
        <w:t>settlement,</w:t>
      </w:r>
      <w:r w:rsidRPr="00423400" w:rsidR="00CD72D9">
        <w:rPr>
          <w:rFonts w:cs="Times New Roman"/>
          <w:szCs w:val="24"/>
        </w:rPr>
        <w:t xml:space="preserve"> </w:t>
      </w:r>
      <w:r w:rsidRPr="00423400">
        <w:rPr>
          <w:rFonts w:cs="Times New Roman"/>
          <w:szCs w:val="24"/>
        </w:rPr>
        <w:t>which</w:t>
      </w:r>
      <w:r w:rsidRPr="00423400" w:rsidR="00CD72D9">
        <w:rPr>
          <w:rFonts w:cs="Times New Roman"/>
          <w:szCs w:val="24"/>
        </w:rPr>
        <w:t xml:space="preserve"> </w:t>
      </w:r>
      <w:r w:rsidRPr="00423400">
        <w:rPr>
          <w:rFonts w:cs="Times New Roman"/>
          <w:szCs w:val="24"/>
        </w:rPr>
        <w:t>sets</w:t>
      </w:r>
      <w:r w:rsidRPr="00423400" w:rsidR="00CD72D9">
        <w:rPr>
          <w:rFonts w:cs="Times New Roman"/>
          <w:szCs w:val="24"/>
        </w:rPr>
        <w:t xml:space="preserve"> </w:t>
      </w:r>
      <w:r w:rsidRPr="00423400">
        <w:rPr>
          <w:rFonts w:cs="Times New Roman"/>
          <w:szCs w:val="24"/>
        </w:rPr>
        <w:t>the terms</w:t>
      </w:r>
      <w:r w:rsidRPr="00423400" w:rsidR="00CD72D9">
        <w:rPr>
          <w:rFonts w:cs="Times New Roman"/>
          <w:szCs w:val="24"/>
        </w:rPr>
        <w:t xml:space="preserve"> </w:t>
      </w:r>
      <w:r w:rsidRPr="00423400">
        <w:rPr>
          <w:rFonts w:cs="Times New Roman"/>
          <w:szCs w:val="24"/>
        </w:rPr>
        <w:t>for</w:t>
      </w:r>
      <w:r w:rsidRPr="00423400" w:rsidR="00CD72D9">
        <w:rPr>
          <w:rFonts w:cs="Times New Roman"/>
          <w:szCs w:val="24"/>
        </w:rPr>
        <w:t xml:space="preserve"> </w:t>
      </w:r>
      <w:r w:rsidRPr="00423400">
        <w:rPr>
          <w:rFonts w:cs="Times New Roman"/>
          <w:szCs w:val="24"/>
        </w:rPr>
        <w:t>DP&amp;L’s</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sidR="00CF0141">
        <w:rPr>
          <w:rFonts w:cs="Times New Roman"/>
          <w:szCs w:val="24"/>
        </w:rPr>
        <w:t>I</w:t>
      </w:r>
      <w:r w:rsidRPr="00423400">
        <w:rPr>
          <w:rFonts w:cs="Times New Roman"/>
          <w:szCs w:val="24"/>
        </w:rPr>
        <w:t>.</w:t>
      </w:r>
      <w:r w:rsidRPr="00423400" w:rsidR="00CD72D9">
        <w:rPr>
          <w:rFonts w:cs="Times New Roman"/>
          <w:szCs w:val="24"/>
        </w:rPr>
        <w:t xml:space="preserve"> </w:t>
      </w:r>
      <w:r w:rsidRPr="00423400">
        <w:rPr>
          <w:rFonts w:cs="Times New Roman"/>
          <w:szCs w:val="24"/>
        </w:rPr>
        <w:t>DP&amp;L unilaterally</w:t>
      </w:r>
      <w:r w:rsidRPr="00423400" w:rsidR="00CD72D9">
        <w:rPr>
          <w:rFonts w:cs="Times New Roman"/>
          <w:szCs w:val="24"/>
        </w:rPr>
        <w:t xml:space="preserve"> </w:t>
      </w:r>
      <w:r w:rsidRPr="00423400">
        <w:rPr>
          <w:rFonts w:cs="Times New Roman"/>
          <w:szCs w:val="24"/>
        </w:rPr>
        <w:t>decided</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revert</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sidR="00CF0141">
        <w:rPr>
          <w:rFonts w:cs="Times New Roman"/>
          <w:szCs w:val="24"/>
        </w:rPr>
        <w:t>I</w:t>
      </w:r>
      <w:r w:rsidRPr="00423400">
        <w:rPr>
          <w:rFonts w:cs="Times New Roman"/>
          <w:szCs w:val="24"/>
        </w:rPr>
        <w:t>.</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sidR="00CF0141">
        <w:rPr>
          <w:rFonts w:cs="Times New Roman"/>
          <w:szCs w:val="24"/>
        </w:rPr>
        <w:t>I</w:t>
      </w:r>
      <w:r w:rsidRPr="00423400" w:rsidR="00CD72D9">
        <w:rPr>
          <w:rFonts w:cs="Times New Roman"/>
          <w:szCs w:val="24"/>
        </w:rPr>
        <w:t xml:space="preserve"> </w:t>
      </w:r>
      <w:r w:rsidRPr="00423400">
        <w:rPr>
          <w:rFonts w:cs="Times New Roman"/>
          <w:szCs w:val="24"/>
        </w:rPr>
        <w:t>is</w:t>
      </w:r>
      <w:r w:rsidRPr="00423400" w:rsidR="00CD72D9">
        <w:rPr>
          <w:rFonts w:cs="Times New Roman"/>
          <w:szCs w:val="24"/>
        </w:rPr>
        <w:t xml:space="preserve"> </w:t>
      </w:r>
      <w:r w:rsidRPr="00423400">
        <w:rPr>
          <w:rFonts w:cs="Times New Roman"/>
          <w:szCs w:val="24"/>
        </w:rPr>
        <w:t>currently</w:t>
      </w:r>
      <w:r w:rsidRPr="00423400" w:rsidR="00CD72D9">
        <w:rPr>
          <w:rFonts w:cs="Times New Roman"/>
          <w:szCs w:val="24"/>
        </w:rPr>
        <w:t xml:space="preserve"> </w:t>
      </w:r>
      <w:r w:rsidRPr="00423400">
        <w:rPr>
          <w:rFonts w:cs="Times New Roman"/>
          <w:szCs w:val="24"/>
        </w:rPr>
        <w:t>in effect</w:t>
      </w:r>
      <w:r w:rsidRPr="00423400" w:rsidR="00CD72D9">
        <w:rPr>
          <w:rFonts w:cs="Times New Roman"/>
          <w:szCs w:val="24"/>
        </w:rPr>
        <w:t xml:space="preserve"> </w:t>
      </w:r>
      <w:r w:rsidRPr="00423400">
        <w:rPr>
          <w:rFonts w:cs="Times New Roman"/>
          <w:szCs w:val="24"/>
        </w:rPr>
        <w:t>and</w:t>
      </w:r>
      <w:r w:rsidRPr="00423400" w:rsidR="00CD72D9">
        <w:rPr>
          <w:rFonts w:cs="Times New Roman"/>
          <w:szCs w:val="24"/>
        </w:rPr>
        <w:t xml:space="preserve"> </w:t>
      </w:r>
      <w:r w:rsidRPr="00423400">
        <w:rPr>
          <w:rFonts w:cs="Times New Roman"/>
          <w:szCs w:val="24"/>
        </w:rPr>
        <w:t>expected</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be</w:t>
      </w:r>
      <w:r w:rsidRPr="00423400" w:rsidR="00CD72D9">
        <w:rPr>
          <w:rFonts w:cs="Times New Roman"/>
          <w:szCs w:val="24"/>
        </w:rPr>
        <w:t xml:space="preserve"> </w:t>
      </w:r>
      <w:r w:rsidRPr="00423400">
        <w:rPr>
          <w:rFonts w:cs="Times New Roman"/>
          <w:szCs w:val="24"/>
        </w:rPr>
        <w:t>in</w:t>
      </w:r>
      <w:r w:rsidRPr="00423400" w:rsidR="00CD72D9">
        <w:rPr>
          <w:rFonts w:cs="Times New Roman"/>
          <w:szCs w:val="24"/>
        </w:rPr>
        <w:t xml:space="preserve"> </w:t>
      </w:r>
      <w:r w:rsidRPr="00423400">
        <w:rPr>
          <w:rFonts w:cs="Times New Roman"/>
          <w:szCs w:val="24"/>
        </w:rPr>
        <w:t>effect</w:t>
      </w:r>
      <w:r w:rsidRPr="00423400" w:rsidR="00CD72D9">
        <w:rPr>
          <w:rFonts w:cs="Times New Roman"/>
          <w:szCs w:val="24"/>
        </w:rPr>
        <w:t xml:space="preserve"> </w:t>
      </w:r>
      <w:r w:rsidRPr="00423400">
        <w:rPr>
          <w:rFonts w:cs="Times New Roman"/>
          <w:szCs w:val="24"/>
        </w:rPr>
        <w:t>for</w:t>
      </w:r>
      <w:r w:rsidRPr="00423400" w:rsidR="00CD72D9">
        <w:rPr>
          <w:rFonts w:cs="Times New Roman"/>
          <w:szCs w:val="24"/>
        </w:rPr>
        <w:t xml:space="preserve"> </w:t>
      </w:r>
      <w:r w:rsidRPr="00423400">
        <w:rPr>
          <w:rFonts w:cs="Times New Roman"/>
          <w:szCs w:val="24"/>
        </w:rPr>
        <w:t>at</w:t>
      </w:r>
      <w:r w:rsidRPr="00423400" w:rsidR="00CD72D9">
        <w:rPr>
          <w:rFonts w:cs="Times New Roman"/>
          <w:szCs w:val="24"/>
        </w:rPr>
        <w:t xml:space="preserve"> </w:t>
      </w:r>
      <w:r w:rsidRPr="00423400">
        <w:rPr>
          <w:rFonts w:cs="Times New Roman"/>
          <w:szCs w:val="24"/>
        </w:rPr>
        <w:t>least</w:t>
      </w:r>
      <w:r w:rsidRPr="00423400" w:rsidR="00CD72D9">
        <w:rPr>
          <w:rFonts w:cs="Times New Roman"/>
          <w:szCs w:val="24"/>
        </w:rPr>
        <w:t xml:space="preserve"> </w:t>
      </w:r>
      <w:r w:rsidRPr="00423400">
        <w:rPr>
          <w:rFonts w:cs="Times New Roman"/>
          <w:szCs w:val="24"/>
        </w:rPr>
        <w:t>three</w:t>
      </w:r>
      <w:r w:rsidRPr="00423400" w:rsidR="00CD72D9">
        <w:rPr>
          <w:rFonts w:cs="Times New Roman"/>
          <w:szCs w:val="24"/>
        </w:rPr>
        <w:t xml:space="preserve"> </w:t>
      </w:r>
      <w:r w:rsidRPr="00423400">
        <w:rPr>
          <w:rFonts w:cs="Times New Roman"/>
          <w:szCs w:val="24"/>
        </w:rPr>
        <w:t>more</w:t>
      </w:r>
      <w:r w:rsidRPr="00423400" w:rsidR="00CD72D9">
        <w:rPr>
          <w:rFonts w:cs="Times New Roman"/>
          <w:szCs w:val="24"/>
        </w:rPr>
        <w:t xml:space="preserve"> </w:t>
      </w:r>
      <w:r w:rsidRPr="00423400">
        <w:rPr>
          <w:rFonts w:cs="Times New Roman"/>
          <w:szCs w:val="24"/>
        </w:rPr>
        <w:t>years.</w:t>
      </w:r>
    </w:p>
    <w:p w:rsidR="00876048" w:rsidP="00CA4F12" w14:paraId="2DF33B89" w14:textId="77777777">
      <w:pPr>
        <w:spacing w:after="0" w:line="480" w:lineRule="auto"/>
        <w:ind w:firstLine="720"/>
        <w:rPr>
          <w:rFonts w:cs="Times New Roman"/>
          <w:szCs w:val="24"/>
        </w:rPr>
      </w:pPr>
      <w:r w:rsidRPr="00423400">
        <w:rPr>
          <w:rFonts w:cs="Times New Roman"/>
          <w:szCs w:val="24"/>
        </w:rPr>
        <w:t>The PUCO Staff, however, recommends a revenue increase to DP&amp;L consumers. The lower bound increase that the PUCO Staff recommends is $61,115,418 and the upper bound increase is $66,665,151.</w:t>
      </w:r>
      <w:r>
        <w:rPr>
          <w:rStyle w:val="FootnoteReference"/>
          <w:rFonts w:cs="Times New Roman"/>
          <w:szCs w:val="24"/>
        </w:rPr>
        <w:footnoteReference w:id="58"/>
      </w:r>
      <w:r w:rsidRPr="00423400">
        <w:rPr>
          <w:rFonts w:cs="Times New Roman"/>
          <w:szCs w:val="24"/>
        </w:rPr>
        <w:t xml:space="preserve"> </w:t>
      </w:r>
      <w:r w:rsidRPr="00423400" w:rsidR="009061F2">
        <w:rPr>
          <w:rFonts w:cs="Times New Roman"/>
          <w:szCs w:val="24"/>
        </w:rPr>
        <w:t>T</w:t>
      </w:r>
      <w:r w:rsidRPr="00423400">
        <w:rPr>
          <w:rFonts w:cs="Times New Roman"/>
          <w:szCs w:val="24"/>
        </w:rPr>
        <w:t xml:space="preserve">he PUCO Staff recommendation of a revenue increase </w:t>
      </w:r>
      <w:r w:rsidRPr="00423400" w:rsidR="001F1C7C">
        <w:rPr>
          <w:rFonts w:cs="Times New Roman"/>
          <w:szCs w:val="24"/>
        </w:rPr>
        <w:t>for</w:t>
      </w:r>
      <w:r w:rsidRPr="00423400">
        <w:rPr>
          <w:rFonts w:cs="Times New Roman"/>
          <w:szCs w:val="24"/>
        </w:rPr>
        <w:t xml:space="preserve"> </w:t>
      </w:r>
      <w:r w:rsidRPr="00423400" w:rsidR="00CE3C4C">
        <w:rPr>
          <w:rFonts w:cs="Times New Roman"/>
          <w:szCs w:val="24"/>
        </w:rPr>
        <w:t>DP&amp;L’s</w:t>
      </w:r>
      <w:r w:rsidRPr="00423400">
        <w:rPr>
          <w:rFonts w:cs="Times New Roman"/>
          <w:szCs w:val="24"/>
        </w:rPr>
        <w:t xml:space="preserve"> consumers</w:t>
      </w:r>
      <w:r w:rsidRPr="00423400" w:rsidR="009061F2">
        <w:rPr>
          <w:rFonts w:cs="Times New Roman"/>
          <w:szCs w:val="24"/>
        </w:rPr>
        <w:t xml:space="preserve"> now while DP&amp;L is under ESP I should be rejected.</w:t>
      </w:r>
      <w:r w:rsidRPr="00423400">
        <w:rPr>
          <w:rFonts w:cs="Times New Roman"/>
          <w:szCs w:val="24"/>
        </w:rPr>
        <w:t xml:space="preserve"> Instead, to protect consumers, the PUCO should adopt the recommendation of OCC’s expert witness, Mr. Ross Willis. </w:t>
      </w:r>
    </w:p>
    <w:p w:rsidR="00302589" w:rsidRPr="00423400" w:rsidP="00CA4F12" w14:paraId="673FCEE2" w14:textId="77777777">
      <w:pPr>
        <w:spacing w:after="0" w:line="480" w:lineRule="auto"/>
        <w:ind w:firstLine="720"/>
        <w:rPr>
          <w:szCs w:val="24"/>
        </w:rPr>
      </w:pPr>
      <w:r w:rsidRPr="00423400">
        <w:rPr>
          <w:rFonts w:cs="Times New Roman"/>
          <w:szCs w:val="24"/>
        </w:rPr>
        <w:t xml:space="preserve">Mr. Willis recommends that rates to </w:t>
      </w:r>
      <w:r w:rsidRPr="00423400" w:rsidR="001555F7">
        <w:rPr>
          <w:rFonts w:cs="Times New Roman"/>
          <w:szCs w:val="24"/>
        </w:rPr>
        <w:t>DP&amp;L</w:t>
      </w:r>
      <w:r w:rsidRPr="00423400" w:rsidR="006F62C5">
        <w:rPr>
          <w:rFonts w:cs="Times New Roman"/>
          <w:szCs w:val="24"/>
        </w:rPr>
        <w:t xml:space="preserve"> residential</w:t>
      </w:r>
      <w:r w:rsidRPr="00423400">
        <w:rPr>
          <w:rFonts w:cs="Times New Roman"/>
          <w:szCs w:val="24"/>
        </w:rPr>
        <w:t xml:space="preserve"> consumers be frozen at the current levels as supported in OCC’s August 5, 2021, Motion to Dismiss DP&amp;L’s Application for a Rate Increase.</w:t>
      </w:r>
      <w:r>
        <w:rPr>
          <w:rStyle w:val="FootnoteReference"/>
          <w:rFonts w:cs="Times New Roman"/>
          <w:szCs w:val="24"/>
        </w:rPr>
        <w:footnoteReference w:id="59"/>
      </w:r>
      <w:r w:rsidRPr="00423400">
        <w:rPr>
          <w:rFonts w:cs="Times New Roman"/>
          <w:szCs w:val="24"/>
        </w:rPr>
        <w:t xml:space="preserve"> This recommendation is consistent with the settlement that </w:t>
      </w:r>
      <w:r w:rsidRPr="00423400" w:rsidR="000425F4">
        <w:rPr>
          <w:rFonts w:cs="Times New Roman"/>
          <w:szCs w:val="24"/>
        </w:rPr>
        <w:t>DP&amp;L</w:t>
      </w:r>
      <w:r w:rsidRPr="00423400">
        <w:rPr>
          <w:rFonts w:cs="Times New Roman"/>
          <w:szCs w:val="24"/>
        </w:rPr>
        <w:t xml:space="preserve"> previously agreed to as part of ESP I.</w:t>
      </w:r>
      <w:r>
        <w:rPr>
          <w:rStyle w:val="FootnoteReference"/>
          <w:rFonts w:cs="Times New Roman"/>
          <w:szCs w:val="24"/>
        </w:rPr>
        <w:footnoteReference w:id="60"/>
      </w:r>
      <w:r w:rsidRPr="00423400">
        <w:rPr>
          <w:rFonts w:cs="Times New Roman"/>
          <w:szCs w:val="24"/>
        </w:rPr>
        <w:t xml:space="preserve"> </w:t>
      </w:r>
      <w:r w:rsidRPr="00423400">
        <w:rPr>
          <w:szCs w:val="24"/>
        </w:rPr>
        <w:t>And it is consistent with the PUCO rulings that “the Commission cannot arbitrarily choose some of the various provisions of the ESP to continue after the termination date of the ESP and choose other provisions of the ESP not to continue.”</w:t>
      </w:r>
      <w:r w:rsidRPr="00423400" w:rsidR="00CD72D9">
        <w:rPr>
          <w:szCs w:val="24"/>
        </w:rPr>
        <w:t xml:space="preserve"> </w:t>
      </w:r>
      <w:r w:rsidRPr="00423400">
        <w:rPr>
          <w:i/>
          <w:iCs/>
          <w:szCs w:val="24"/>
        </w:rPr>
        <w:t>In re Application of Dayton Power &amp; Light Co. for Approval of its Market Rate offer,</w:t>
      </w:r>
      <w:r w:rsidRPr="00423400">
        <w:rPr>
          <w:szCs w:val="24"/>
        </w:rPr>
        <w:t xml:space="preserve"> Case No. 12-426-EL-SS), Entry on Rehearing at </w:t>
      </w:r>
      <w:r w:rsidRPr="00423400">
        <w:rPr>
          <w:rFonts w:cs="Times New Roman"/>
          <w:szCs w:val="24"/>
        </w:rPr>
        <w:t>¶</w:t>
      </w:r>
      <w:r w:rsidRPr="00423400">
        <w:rPr>
          <w:szCs w:val="24"/>
        </w:rPr>
        <w:t>10 (Feb. 19, 2013).</w:t>
      </w:r>
      <w:r w:rsidRPr="00423400" w:rsidR="00CD72D9">
        <w:rPr>
          <w:szCs w:val="24"/>
        </w:rPr>
        <w:t xml:space="preserve"> </w:t>
      </w:r>
    </w:p>
    <w:p w:rsidR="0052436D" w:rsidRPr="00423400" w:rsidP="00CA4F12" w14:paraId="15F0A552" w14:textId="77777777">
      <w:pPr>
        <w:spacing w:after="0" w:line="480" w:lineRule="auto"/>
        <w:ind w:firstLine="720"/>
        <w:rPr>
          <w:rFonts w:cs="Times New Roman"/>
          <w:szCs w:val="24"/>
        </w:rPr>
      </w:pPr>
      <w:r w:rsidRPr="00423400">
        <w:rPr>
          <w:rFonts w:cs="Times New Roman"/>
          <w:szCs w:val="24"/>
        </w:rPr>
        <w:t>However, if any increase is approved, it should be stayed until the expiration of ESP I and should not exceed $43.3 million as calculated by OCC’s expert witness Mr. Ross Willis.</w:t>
      </w:r>
      <w:r>
        <w:rPr>
          <w:rStyle w:val="FootnoteReference"/>
          <w:rFonts w:cs="Times New Roman"/>
          <w:szCs w:val="24"/>
        </w:rPr>
        <w:footnoteReference w:id="61"/>
      </w:r>
      <w:r w:rsidRPr="00423400">
        <w:rPr>
          <w:rFonts w:cs="Times New Roman"/>
          <w:szCs w:val="24"/>
        </w:rPr>
        <w:t xml:space="preserve"> Mr. Willis’s calculations are shown in the table </w:t>
      </w:r>
      <w:r w:rsidRPr="00423400" w:rsidR="000142FB">
        <w:rPr>
          <w:rFonts w:cs="Times New Roman"/>
          <w:szCs w:val="24"/>
        </w:rPr>
        <w:t>below</w:t>
      </w:r>
      <w:r w:rsidRPr="004D17C2" w:rsidR="004D17C2">
        <w:rPr>
          <w:rFonts w:cs="Times New Roman"/>
          <w:szCs w:val="24"/>
        </w:rPr>
        <w:t>—</w:t>
      </w:r>
      <w:r w:rsidRPr="00423400">
        <w:rPr>
          <w:rFonts w:cs="Times New Roman"/>
          <w:szCs w:val="24"/>
        </w:rPr>
        <w:t>which was attached to his testimony as WRW Schedule A-1.</w:t>
      </w:r>
    </w:p>
    <w:p w:rsidR="008533D2" w:rsidRPr="00423400" w:rsidP="004D17C2" w14:paraId="4C02FFDF" w14:textId="77777777">
      <w:pPr>
        <w:spacing w:after="0" w:line="480" w:lineRule="auto"/>
        <w:jc w:val="center"/>
        <w:rPr>
          <w:rFonts w:cs="Times New Roman"/>
          <w:szCs w:val="24"/>
        </w:rPr>
      </w:pPr>
      <w:r w:rsidRPr="00423400">
        <w:rPr>
          <w:rFonts w:cs="Times New Roman"/>
          <w:noProof/>
          <w:szCs w:val="24"/>
        </w:rPr>
        <w:drawing>
          <wp:inline distT="0" distB="0" distL="0" distR="0">
            <wp:extent cx="5715000" cy="38430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798667" name="Picture 1"/>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5715000" cy="3843020"/>
                    </a:xfrm>
                    <a:prstGeom prst="rect">
                      <a:avLst/>
                    </a:prstGeom>
                    <a:noFill/>
                    <a:ln>
                      <a:noFill/>
                    </a:ln>
                  </pic:spPr>
                </pic:pic>
              </a:graphicData>
            </a:graphic>
          </wp:inline>
        </w:drawing>
      </w:r>
    </w:p>
    <w:p w:rsidR="009B4D86" w:rsidRPr="00423400" w:rsidP="00CC3111" w14:paraId="2A1EF9FC" w14:textId="77777777">
      <w:pPr>
        <w:spacing w:after="0" w:line="480" w:lineRule="auto"/>
        <w:ind w:firstLine="720"/>
        <w:rPr>
          <w:rFonts w:cs="Times New Roman"/>
          <w:szCs w:val="24"/>
        </w:rPr>
      </w:pPr>
      <w:r w:rsidRPr="00423400">
        <w:rPr>
          <w:rFonts w:cs="Times New Roman"/>
          <w:szCs w:val="24"/>
        </w:rPr>
        <w:t xml:space="preserve">When </w:t>
      </w:r>
      <w:r w:rsidRPr="00423400" w:rsidR="001555F7">
        <w:rPr>
          <w:rFonts w:cs="Times New Roman"/>
          <w:szCs w:val="24"/>
        </w:rPr>
        <w:t>DP&amp;L</w:t>
      </w:r>
      <w:r w:rsidRPr="00423400">
        <w:rPr>
          <w:rFonts w:cs="Times New Roman"/>
          <w:szCs w:val="24"/>
        </w:rPr>
        <w:t xml:space="preserve"> reverted to ESP I in late 2019, the PUCO allowed </w:t>
      </w:r>
      <w:r w:rsidRPr="00423400" w:rsidR="001555F7">
        <w:rPr>
          <w:rFonts w:cs="Times New Roman"/>
          <w:szCs w:val="24"/>
        </w:rPr>
        <w:t>DP&amp;L</w:t>
      </w:r>
      <w:r w:rsidRPr="00423400">
        <w:rPr>
          <w:rFonts w:cs="Times New Roman"/>
          <w:szCs w:val="24"/>
        </w:rPr>
        <w:t xml:space="preserve"> to begin charging consumers, for the third time, more than $75 million per year under its so-called “Rate Stabilization Charge” or “RSC.”</w:t>
      </w:r>
      <w:r>
        <w:rPr>
          <w:rStyle w:val="FootnoteReference"/>
          <w:rFonts w:cs="Times New Roman"/>
          <w:szCs w:val="24"/>
        </w:rPr>
        <w:footnoteReference w:id="62"/>
      </w:r>
      <w:r w:rsidRPr="00423400">
        <w:rPr>
          <w:rFonts w:cs="Times New Roman"/>
          <w:szCs w:val="24"/>
        </w:rPr>
        <w:t xml:space="preserve"> OCC opposed (and continues to oppose) the Rate Stabilization Charge as an unlawful charge to consumers. But if the PUCO is going to allow DP&amp;L to continue to charge consumers under the Rate Stabilization Charge because it was included in the ESP I settlement, then the PUCO should also enforce the other terms of the ESP I settlement, including the distribution rate freeze.</w:t>
      </w:r>
      <w:r>
        <w:rPr>
          <w:rStyle w:val="FootnoteReference"/>
          <w:rFonts w:cs="Times New Roman"/>
          <w:szCs w:val="24"/>
        </w:rPr>
        <w:footnoteReference w:id="63"/>
      </w:r>
      <w:r w:rsidRPr="00423400">
        <w:rPr>
          <w:rFonts w:cs="Times New Roman"/>
          <w:szCs w:val="24"/>
        </w:rPr>
        <w:t xml:space="preserve"> It would be unjust and unreasonable for DP&amp;L to benefit from charging consumers millions for the Rate Stabilization Charge but to simultaneously allow DP&amp;L to avoid its commitment to a distribution rate freeze.</w:t>
      </w:r>
      <w:r>
        <w:rPr>
          <w:rStyle w:val="FootnoteReference"/>
          <w:rFonts w:cs="Times New Roman"/>
          <w:szCs w:val="24"/>
        </w:rPr>
        <w:footnoteReference w:id="64"/>
      </w:r>
    </w:p>
    <w:p w:rsidR="00B63355" w:rsidRPr="00423400" w:rsidP="00195B72" w14:paraId="01690893" w14:textId="77777777">
      <w:pPr>
        <w:spacing w:after="0" w:line="480" w:lineRule="auto"/>
        <w:ind w:firstLine="720"/>
        <w:rPr>
          <w:rFonts w:cs="Times New Roman"/>
          <w:szCs w:val="24"/>
        </w:rPr>
      </w:pPr>
      <w:r w:rsidRPr="00423400">
        <w:rPr>
          <w:rFonts w:cs="Times New Roman"/>
          <w:szCs w:val="24"/>
        </w:rPr>
        <w:t>After the hearing</w:t>
      </w:r>
      <w:r w:rsidRPr="00423400" w:rsidR="003728D3">
        <w:rPr>
          <w:rFonts w:cs="Times New Roman"/>
          <w:szCs w:val="24"/>
        </w:rPr>
        <w:t xml:space="preserve"> in this case</w:t>
      </w:r>
      <w:r w:rsidRPr="00423400">
        <w:rPr>
          <w:rFonts w:cs="Times New Roman"/>
          <w:szCs w:val="24"/>
        </w:rPr>
        <w:t xml:space="preserve">, </w:t>
      </w:r>
      <w:r w:rsidRPr="00423400" w:rsidR="005F16B4">
        <w:rPr>
          <w:rFonts w:cs="Times New Roman"/>
          <w:szCs w:val="24"/>
        </w:rPr>
        <w:t>DP&amp;L filed rebuttal testimony to attempt to rebut OCC</w:t>
      </w:r>
      <w:r w:rsidRPr="00423400" w:rsidR="00E54BB4">
        <w:rPr>
          <w:rFonts w:cs="Times New Roman"/>
          <w:szCs w:val="24"/>
        </w:rPr>
        <w:t>’</w:t>
      </w:r>
      <w:r w:rsidRPr="00423400" w:rsidR="005F16B4">
        <w:rPr>
          <w:rFonts w:cs="Times New Roman"/>
          <w:szCs w:val="24"/>
        </w:rPr>
        <w:t>s witness Mr. Willi</w:t>
      </w:r>
      <w:r w:rsidRPr="00423400" w:rsidR="00E54BB4">
        <w:rPr>
          <w:rFonts w:cs="Times New Roman"/>
          <w:szCs w:val="24"/>
        </w:rPr>
        <w:t xml:space="preserve">s’s recommendation that </w:t>
      </w:r>
      <w:r w:rsidRPr="00423400" w:rsidR="00C45CCD">
        <w:rPr>
          <w:rFonts w:cs="Times New Roman"/>
          <w:szCs w:val="24"/>
        </w:rPr>
        <w:t xml:space="preserve">the PUCO should </w:t>
      </w:r>
      <w:r w:rsidRPr="00423400" w:rsidR="009F2979">
        <w:rPr>
          <w:rFonts w:cs="Times New Roman"/>
          <w:szCs w:val="24"/>
        </w:rPr>
        <w:t>freeze DP&amp;L’s distribution rates at their current level.</w:t>
      </w:r>
      <w:r>
        <w:rPr>
          <w:rStyle w:val="FootnoteReference"/>
          <w:rFonts w:cs="Times New Roman"/>
          <w:szCs w:val="24"/>
        </w:rPr>
        <w:footnoteReference w:id="65"/>
      </w:r>
      <w:r w:rsidRPr="00423400" w:rsidR="00E54BB4">
        <w:rPr>
          <w:rFonts w:cs="Times New Roman"/>
          <w:szCs w:val="24"/>
        </w:rPr>
        <w:t xml:space="preserve"> </w:t>
      </w:r>
      <w:r w:rsidRPr="00423400" w:rsidR="003728D3">
        <w:rPr>
          <w:rFonts w:cs="Times New Roman"/>
          <w:szCs w:val="24"/>
        </w:rPr>
        <w:t xml:space="preserve">DP&amp;L witness </w:t>
      </w:r>
      <w:r w:rsidRPr="00423400" w:rsidR="00010636">
        <w:rPr>
          <w:rFonts w:cs="Times New Roman"/>
          <w:szCs w:val="24"/>
        </w:rPr>
        <w:t>Ms. Storm indicated that “freezing</w:t>
      </w:r>
      <w:r w:rsidRPr="00423400" w:rsidR="00B60B67">
        <w:rPr>
          <w:rFonts w:cs="Times New Roman"/>
          <w:szCs w:val="24"/>
        </w:rPr>
        <w:t xml:space="preserve"> </w:t>
      </w:r>
      <w:r w:rsidRPr="00423400" w:rsidR="00010636">
        <w:rPr>
          <w:rFonts w:cs="Times New Roman"/>
          <w:szCs w:val="24"/>
        </w:rPr>
        <w:t>AES</w:t>
      </w:r>
      <w:r w:rsidRPr="00423400" w:rsidR="00B60B67">
        <w:rPr>
          <w:rFonts w:cs="Times New Roman"/>
          <w:szCs w:val="24"/>
        </w:rPr>
        <w:t xml:space="preserve"> </w:t>
      </w:r>
      <w:r w:rsidRPr="00423400" w:rsidR="00010636">
        <w:rPr>
          <w:rFonts w:cs="Times New Roman"/>
          <w:szCs w:val="24"/>
        </w:rPr>
        <w:t>Ohio's</w:t>
      </w:r>
      <w:r w:rsidRPr="00423400" w:rsidR="00B60B67">
        <w:rPr>
          <w:rFonts w:cs="Times New Roman"/>
          <w:szCs w:val="24"/>
        </w:rPr>
        <w:t xml:space="preserve"> </w:t>
      </w:r>
      <w:r w:rsidRPr="00423400" w:rsidR="00010636">
        <w:rPr>
          <w:rFonts w:cs="Times New Roman"/>
          <w:szCs w:val="24"/>
        </w:rPr>
        <w:t>distribution</w:t>
      </w:r>
      <w:r w:rsidRPr="00423400" w:rsidR="00B60B67">
        <w:rPr>
          <w:rFonts w:cs="Times New Roman"/>
          <w:szCs w:val="24"/>
        </w:rPr>
        <w:t xml:space="preserve"> </w:t>
      </w:r>
      <w:r w:rsidRPr="00423400" w:rsidR="00010636">
        <w:rPr>
          <w:rFonts w:cs="Times New Roman"/>
          <w:szCs w:val="24"/>
        </w:rPr>
        <w:t>rates</w:t>
      </w:r>
      <w:r w:rsidRPr="00423400" w:rsidR="00B60B67">
        <w:rPr>
          <w:rFonts w:cs="Times New Roman"/>
          <w:szCs w:val="24"/>
        </w:rPr>
        <w:t xml:space="preserve"> </w:t>
      </w:r>
      <w:r w:rsidRPr="00423400" w:rsidR="00010636">
        <w:rPr>
          <w:rFonts w:cs="Times New Roman"/>
          <w:szCs w:val="24"/>
        </w:rPr>
        <w:t>at their</w:t>
      </w:r>
      <w:r w:rsidRPr="00423400" w:rsidR="00B60B67">
        <w:rPr>
          <w:rFonts w:cs="Times New Roman"/>
          <w:szCs w:val="24"/>
        </w:rPr>
        <w:t xml:space="preserve"> </w:t>
      </w:r>
      <w:r w:rsidRPr="00423400" w:rsidR="00010636">
        <w:rPr>
          <w:rFonts w:cs="Times New Roman"/>
          <w:szCs w:val="24"/>
        </w:rPr>
        <w:t>current level</w:t>
      </w:r>
      <w:r w:rsidRPr="00423400" w:rsidR="00B60B67">
        <w:rPr>
          <w:rFonts w:cs="Times New Roman"/>
          <w:szCs w:val="24"/>
        </w:rPr>
        <w:t xml:space="preserve"> </w:t>
      </w:r>
      <w:r w:rsidRPr="00423400" w:rsidR="00010636">
        <w:rPr>
          <w:rFonts w:cs="Times New Roman"/>
          <w:szCs w:val="24"/>
        </w:rPr>
        <w:t>would have</w:t>
      </w:r>
      <w:r w:rsidRPr="00423400" w:rsidR="00B60B67">
        <w:rPr>
          <w:rFonts w:cs="Times New Roman"/>
          <w:szCs w:val="24"/>
        </w:rPr>
        <w:t xml:space="preserve"> </w:t>
      </w:r>
      <w:r w:rsidRPr="00423400" w:rsidR="00010636">
        <w:rPr>
          <w:rFonts w:cs="Times New Roman"/>
          <w:szCs w:val="24"/>
        </w:rPr>
        <w:t>a</w:t>
      </w:r>
      <w:r w:rsidRPr="00423400" w:rsidR="00B60B67">
        <w:rPr>
          <w:rFonts w:cs="Times New Roman"/>
          <w:szCs w:val="24"/>
        </w:rPr>
        <w:t xml:space="preserve"> </w:t>
      </w:r>
      <w:r w:rsidRPr="00423400" w:rsidR="00010636">
        <w:rPr>
          <w:rFonts w:cs="Times New Roman"/>
          <w:szCs w:val="24"/>
        </w:rPr>
        <w:t>negative</w:t>
      </w:r>
      <w:r w:rsidRPr="00423400" w:rsidR="00B60B67">
        <w:rPr>
          <w:rFonts w:cs="Times New Roman"/>
          <w:szCs w:val="24"/>
        </w:rPr>
        <w:t xml:space="preserve"> </w:t>
      </w:r>
      <w:r w:rsidRPr="00423400" w:rsidR="00010636">
        <w:rPr>
          <w:rFonts w:cs="Times New Roman"/>
          <w:szCs w:val="24"/>
        </w:rPr>
        <w:t>effect</w:t>
      </w:r>
      <w:r w:rsidRPr="00423400" w:rsidR="00B60B67">
        <w:rPr>
          <w:rFonts w:cs="Times New Roman"/>
          <w:szCs w:val="24"/>
        </w:rPr>
        <w:t xml:space="preserve"> </w:t>
      </w:r>
      <w:r w:rsidRPr="00423400" w:rsidR="00010636">
        <w:rPr>
          <w:rFonts w:cs="Times New Roman"/>
          <w:szCs w:val="24"/>
        </w:rPr>
        <w:t>on</w:t>
      </w:r>
      <w:r w:rsidRPr="00423400" w:rsidR="00B60B67">
        <w:rPr>
          <w:rFonts w:cs="Times New Roman"/>
          <w:szCs w:val="24"/>
        </w:rPr>
        <w:t xml:space="preserve"> </w:t>
      </w:r>
      <w:r w:rsidRPr="00423400" w:rsidR="00010636">
        <w:rPr>
          <w:rFonts w:cs="Times New Roman"/>
          <w:szCs w:val="24"/>
        </w:rPr>
        <w:t>AES</w:t>
      </w:r>
      <w:r w:rsidRPr="00423400" w:rsidR="00B60B67">
        <w:rPr>
          <w:rFonts w:cs="Times New Roman"/>
          <w:szCs w:val="24"/>
        </w:rPr>
        <w:t xml:space="preserve"> </w:t>
      </w:r>
      <w:r w:rsidRPr="00423400" w:rsidR="00010636">
        <w:rPr>
          <w:rFonts w:cs="Times New Roman"/>
          <w:szCs w:val="24"/>
        </w:rPr>
        <w:t>Ohio's</w:t>
      </w:r>
      <w:r w:rsidRPr="00423400" w:rsidR="00B60B67">
        <w:rPr>
          <w:rFonts w:cs="Times New Roman"/>
          <w:szCs w:val="24"/>
        </w:rPr>
        <w:t xml:space="preserve"> </w:t>
      </w:r>
      <w:r w:rsidRPr="00423400" w:rsidR="00010636">
        <w:rPr>
          <w:rFonts w:cs="Times New Roman"/>
          <w:szCs w:val="24"/>
        </w:rPr>
        <w:t>ability to provide</w:t>
      </w:r>
      <w:r w:rsidRPr="00423400" w:rsidR="00B60B67">
        <w:rPr>
          <w:rFonts w:cs="Times New Roman"/>
          <w:szCs w:val="24"/>
        </w:rPr>
        <w:t xml:space="preserve"> </w:t>
      </w:r>
      <w:r w:rsidRPr="00423400" w:rsidR="00010636">
        <w:rPr>
          <w:rFonts w:cs="Times New Roman"/>
          <w:szCs w:val="24"/>
        </w:rPr>
        <w:t>service</w:t>
      </w:r>
      <w:r w:rsidRPr="00423400" w:rsidR="00B60B67">
        <w:rPr>
          <w:rFonts w:cs="Times New Roman"/>
          <w:szCs w:val="24"/>
        </w:rPr>
        <w:t xml:space="preserve"> </w:t>
      </w:r>
      <w:r w:rsidRPr="00423400" w:rsidR="00010636">
        <w:rPr>
          <w:rFonts w:cs="Times New Roman"/>
          <w:szCs w:val="24"/>
        </w:rPr>
        <w:t>by forcing the Company to reduce</w:t>
      </w:r>
      <w:r w:rsidRPr="00423400" w:rsidR="00B60B67">
        <w:rPr>
          <w:rFonts w:cs="Times New Roman"/>
          <w:szCs w:val="24"/>
        </w:rPr>
        <w:t xml:space="preserve"> </w:t>
      </w:r>
      <w:r w:rsidRPr="00423400" w:rsidR="00010636">
        <w:rPr>
          <w:rFonts w:cs="Times New Roman"/>
          <w:szCs w:val="24"/>
        </w:rPr>
        <w:t>spending</w:t>
      </w:r>
      <w:r w:rsidRPr="00423400" w:rsidR="00B60B67">
        <w:rPr>
          <w:rFonts w:cs="Times New Roman"/>
          <w:szCs w:val="24"/>
        </w:rPr>
        <w:t xml:space="preserve"> </w:t>
      </w:r>
      <w:r w:rsidRPr="00423400" w:rsidR="00010636">
        <w:rPr>
          <w:rFonts w:cs="Times New Roman"/>
          <w:szCs w:val="24"/>
        </w:rPr>
        <w:t>to</w:t>
      </w:r>
      <w:r w:rsidRPr="00423400" w:rsidR="00B60B67">
        <w:rPr>
          <w:rFonts w:cs="Times New Roman"/>
          <w:szCs w:val="24"/>
        </w:rPr>
        <w:t xml:space="preserve"> </w:t>
      </w:r>
      <w:r w:rsidRPr="00423400" w:rsidR="00010636">
        <w:rPr>
          <w:rFonts w:cs="Times New Roman"/>
          <w:szCs w:val="24"/>
        </w:rPr>
        <w:t>levels</w:t>
      </w:r>
      <w:r w:rsidRPr="00423400" w:rsidR="00B60B67">
        <w:rPr>
          <w:rFonts w:cs="Times New Roman"/>
          <w:szCs w:val="24"/>
        </w:rPr>
        <w:t xml:space="preserve"> </w:t>
      </w:r>
      <w:r w:rsidRPr="00423400" w:rsidR="00010636">
        <w:rPr>
          <w:rFonts w:cs="Times New Roman"/>
          <w:szCs w:val="24"/>
        </w:rPr>
        <w:t>that</w:t>
      </w:r>
      <w:r w:rsidRPr="00423400" w:rsidR="00B60B67">
        <w:rPr>
          <w:rFonts w:cs="Times New Roman"/>
          <w:szCs w:val="24"/>
        </w:rPr>
        <w:t xml:space="preserve"> </w:t>
      </w:r>
      <w:r w:rsidRPr="00423400" w:rsidR="00010636">
        <w:rPr>
          <w:rFonts w:cs="Times New Roman"/>
          <w:szCs w:val="24"/>
        </w:rPr>
        <w:t>may</w:t>
      </w:r>
      <w:r w:rsidRPr="00423400" w:rsidR="00B60B67">
        <w:rPr>
          <w:rFonts w:cs="Times New Roman"/>
          <w:szCs w:val="24"/>
        </w:rPr>
        <w:t xml:space="preserve"> </w:t>
      </w:r>
      <w:r w:rsidRPr="00423400" w:rsidR="00010636">
        <w:rPr>
          <w:rFonts w:cs="Times New Roman"/>
          <w:szCs w:val="24"/>
        </w:rPr>
        <w:t>not maintain</w:t>
      </w:r>
      <w:r w:rsidRPr="00423400" w:rsidR="00B60B67">
        <w:rPr>
          <w:rFonts w:cs="Times New Roman"/>
          <w:szCs w:val="24"/>
        </w:rPr>
        <w:t xml:space="preserve"> </w:t>
      </w:r>
      <w:r w:rsidRPr="00423400" w:rsidR="00010636">
        <w:rPr>
          <w:rFonts w:cs="Times New Roman"/>
          <w:szCs w:val="24"/>
        </w:rPr>
        <w:t>compliance,</w:t>
      </w:r>
      <w:r w:rsidRPr="00423400" w:rsidR="00B60B67">
        <w:rPr>
          <w:rFonts w:cs="Times New Roman"/>
          <w:szCs w:val="24"/>
        </w:rPr>
        <w:t xml:space="preserve"> </w:t>
      </w:r>
      <w:r w:rsidRPr="00423400" w:rsidR="00010636">
        <w:rPr>
          <w:rFonts w:cs="Times New Roman"/>
          <w:szCs w:val="24"/>
        </w:rPr>
        <w:t>proactive maintenance,</w:t>
      </w:r>
      <w:r w:rsidRPr="00423400" w:rsidR="00B60B67">
        <w:rPr>
          <w:rFonts w:cs="Times New Roman"/>
          <w:szCs w:val="24"/>
        </w:rPr>
        <w:t xml:space="preserve"> </w:t>
      </w:r>
      <w:r w:rsidRPr="00423400" w:rsidR="00010636">
        <w:rPr>
          <w:rFonts w:cs="Times New Roman"/>
          <w:szCs w:val="24"/>
        </w:rPr>
        <w:t>or</w:t>
      </w:r>
      <w:r w:rsidRPr="00423400" w:rsidR="00B60B67">
        <w:rPr>
          <w:rFonts w:cs="Times New Roman"/>
          <w:szCs w:val="24"/>
        </w:rPr>
        <w:t xml:space="preserve"> </w:t>
      </w:r>
      <w:r w:rsidRPr="00423400" w:rsidR="00010636">
        <w:rPr>
          <w:rFonts w:cs="Times New Roman"/>
          <w:szCs w:val="24"/>
        </w:rPr>
        <w:t>line clearance.”</w:t>
      </w:r>
      <w:r>
        <w:rPr>
          <w:rStyle w:val="FootnoteReference"/>
          <w:rFonts w:cs="Times New Roman"/>
          <w:szCs w:val="24"/>
        </w:rPr>
        <w:footnoteReference w:id="66"/>
      </w:r>
      <w:r w:rsidRPr="00423400" w:rsidR="00010636">
        <w:rPr>
          <w:rFonts w:cs="Times New Roman"/>
          <w:szCs w:val="24"/>
        </w:rPr>
        <w:t xml:space="preserve"> But Ms</w:t>
      </w:r>
      <w:r w:rsidRPr="00423400" w:rsidR="00157627">
        <w:rPr>
          <w:rFonts w:cs="Times New Roman"/>
          <w:szCs w:val="24"/>
        </w:rPr>
        <w:t xml:space="preserve">. Storm </w:t>
      </w:r>
      <w:r w:rsidRPr="00423400" w:rsidR="001B7681">
        <w:rPr>
          <w:rFonts w:cs="Times New Roman"/>
          <w:szCs w:val="24"/>
        </w:rPr>
        <w:t xml:space="preserve">misses the point. DP&amp;L is </w:t>
      </w:r>
      <w:r w:rsidRPr="00423400" w:rsidR="001B7681">
        <w:rPr>
          <w:rFonts w:cs="Times New Roman"/>
          <w:i/>
          <w:iCs/>
          <w:szCs w:val="24"/>
        </w:rPr>
        <w:t xml:space="preserve">required </w:t>
      </w:r>
      <w:r w:rsidRPr="00423400" w:rsidR="001B7681">
        <w:rPr>
          <w:rFonts w:cs="Times New Roman"/>
          <w:szCs w:val="24"/>
        </w:rPr>
        <w:t>to provide safe, adequate, and reliable service to consumers</w:t>
      </w:r>
      <w:r w:rsidRPr="00423400" w:rsidR="00E546C1">
        <w:rPr>
          <w:rFonts w:cs="Times New Roman"/>
          <w:szCs w:val="24"/>
        </w:rPr>
        <w:t>.</w:t>
      </w:r>
      <w:r w:rsidRPr="00423400" w:rsidR="001B7681">
        <w:rPr>
          <w:rFonts w:cs="Times New Roman"/>
          <w:szCs w:val="24"/>
        </w:rPr>
        <w:t xml:space="preserve"> </w:t>
      </w:r>
      <w:r w:rsidRPr="00423400" w:rsidR="0087754F">
        <w:rPr>
          <w:rFonts w:cs="Times New Roman"/>
          <w:szCs w:val="24"/>
        </w:rPr>
        <w:t>And this requirement stands r</w:t>
      </w:r>
      <w:r w:rsidRPr="00423400" w:rsidR="001B7681">
        <w:rPr>
          <w:rFonts w:cs="Times New Roman"/>
          <w:szCs w:val="24"/>
        </w:rPr>
        <w:t xml:space="preserve">egardless of whether </w:t>
      </w:r>
      <w:r w:rsidRPr="00423400" w:rsidR="0087754F">
        <w:rPr>
          <w:rFonts w:cs="Times New Roman"/>
          <w:szCs w:val="24"/>
        </w:rPr>
        <w:t>DP&amp;L receives</w:t>
      </w:r>
      <w:r w:rsidRPr="00423400" w:rsidR="001B7681">
        <w:rPr>
          <w:rFonts w:cs="Times New Roman"/>
          <w:szCs w:val="24"/>
        </w:rPr>
        <w:t xml:space="preserve"> rate increases.</w:t>
      </w:r>
      <w:r w:rsidRPr="00423400" w:rsidR="00CD72D9">
        <w:rPr>
          <w:rFonts w:cs="Times New Roman"/>
          <w:szCs w:val="24"/>
        </w:rPr>
        <w:t xml:space="preserve"> </w:t>
      </w:r>
      <w:r w:rsidRPr="00423400" w:rsidR="00EA141C">
        <w:rPr>
          <w:i/>
          <w:iCs/>
          <w:szCs w:val="24"/>
        </w:rPr>
        <w:t>See</w:t>
      </w:r>
      <w:r w:rsidRPr="00423400" w:rsidR="00EA141C">
        <w:rPr>
          <w:szCs w:val="24"/>
        </w:rPr>
        <w:t xml:space="preserve"> R.C. 4905.22 (“every public utility shall furnish necessary and adequate service and facilities***.”)</w:t>
      </w:r>
      <w:r w:rsidR="00125AA2">
        <w:rPr>
          <w:szCs w:val="24"/>
        </w:rPr>
        <w:t>.</w:t>
      </w:r>
      <w:r w:rsidRPr="00423400" w:rsidR="00EA141C">
        <w:rPr>
          <w:szCs w:val="24"/>
        </w:rPr>
        <w:t xml:space="preserve"> </w:t>
      </w:r>
      <w:r w:rsidRPr="00423400" w:rsidR="0077506C">
        <w:rPr>
          <w:rFonts w:cs="Times New Roman"/>
          <w:szCs w:val="24"/>
        </w:rPr>
        <w:t xml:space="preserve">And Ms. Storm admitted in her testimony that this </w:t>
      </w:r>
      <w:r w:rsidRPr="00423400" w:rsidR="009A3DA9">
        <w:rPr>
          <w:rFonts w:cs="Times New Roman"/>
          <w:szCs w:val="24"/>
        </w:rPr>
        <w:t>is entirely within the control of DP&amp;L.</w:t>
      </w:r>
      <w:r w:rsidRPr="00423400" w:rsidR="00CD72D9">
        <w:rPr>
          <w:rFonts w:cs="Times New Roman"/>
          <w:szCs w:val="24"/>
        </w:rPr>
        <w:t xml:space="preserve"> </w:t>
      </w:r>
      <w:r w:rsidRPr="00423400" w:rsidR="009A3DA9">
        <w:rPr>
          <w:rFonts w:cs="Times New Roman"/>
          <w:szCs w:val="24"/>
        </w:rPr>
        <w:t>In her testimony, s</w:t>
      </w:r>
      <w:r w:rsidRPr="00423400" w:rsidR="00761D58">
        <w:rPr>
          <w:rFonts w:cs="Times New Roman"/>
          <w:szCs w:val="24"/>
        </w:rPr>
        <w:t>he claimed this</w:t>
      </w:r>
      <w:r w:rsidRPr="00423400" w:rsidR="0077506C">
        <w:rPr>
          <w:rFonts w:cs="Times New Roman"/>
          <w:szCs w:val="24"/>
        </w:rPr>
        <w:t xml:space="preserve"> would require DP&amp;L to reduce operation and maintenance</w:t>
      </w:r>
      <w:r w:rsidRPr="00423400" w:rsidR="00B60B67">
        <w:rPr>
          <w:rFonts w:cs="Times New Roman"/>
          <w:szCs w:val="24"/>
        </w:rPr>
        <w:t xml:space="preserve"> </w:t>
      </w:r>
      <w:r w:rsidRPr="00423400" w:rsidR="0077506C">
        <w:rPr>
          <w:rFonts w:cs="Times New Roman"/>
          <w:szCs w:val="24"/>
        </w:rPr>
        <w:t>("O&amp;M") expenses</w:t>
      </w:r>
      <w:r w:rsidRPr="00423400" w:rsidR="00B60B67">
        <w:rPr>
          <w:rFonts w:cs="Times New Roman"/>
          <w:szCs w:val="24"/>
        </w:rPr>
        <w:t xml:space="preserve"> </w:t>
      </w:r>
      <w:r w:rsidRPr="00423400" w:rsidR="0077506C">
        <w:rPr>
          <w:rFonts w:cs="Times New Roman"/>
          <w:szCs w:val="24"/>
        </w:rPr>
        <w:t>by</w:t>
      </w:r>
      <w:r w:rsidRPr="00423400" w:rsidR="00B60B67">
        <w:rPr>
          <w:rFonts w:cs="Times New Roman"/>
          <w:szCs w:val="24"/>
        </w:rPr>
        <w:t xml:space="preserve"> </w:t>
      </w:r>
      <w:r w:rsidRPr="00423400" w:rsidR="0077506C">
        <w:rPr>
          <w:rFonts w:cs="Times New Roman"/>
          <w:szCs w:val="24"/>
        </w:rPr>
        <w:t>over</w:t>
      </w:r>
      <w:r w:rsidRPr="00423400" w:rsidR="00B60B67">
        <w:rPr>
          <w:rFonts w:cs="Times New Roman"/>
          <w:szCs w:val="24"/>
        </w:rPr>
        <w:t xml:space="preserve"> </w:t>
      </w:r>
      <w:r w:rsidRPr="00423400" w:rsidR="0077506C">
        <w:rPr>
          <w:rFonts w:cs="Times New Roman"/>
          <w:szCs w:val="24"/>
        </w:rPr>
        <w:t>$25</w:t>
      </w:r>
      <w:r w:rsidRPr="00423400" w:rsidR="00B60B67">
        <w:rPr>
          <w:rFonts w:cs="Times New Roman"/>
          <w:szCs w:val="24"/>
        </w:rPr>
        <w:t xml:space="preserve"> </w:t>
      </w:r>
      <w:r w:rsidRPr="00423400" w:rsidR="0077506C">
        <w:rPr>
          <w:rFonts w:cs="Times New Roman"/>
          <w:szCs w:val="24"/>
        </w:rPr>
        <w:t>million</w:t>
      </w:r>
      <w:r w:rsidRPr="00423400" w:rsidR="00B60B67">
        <w:rPr>
          <w:rFonts w:cs="Times New Roman"/>
          <w:szCs w:val="24"/>
        </w:rPr>
        <w:t xml:space="preserve"> </w:t>
      </w:r>
      <w:r w:rsidRPr="00423400" w:rsidR="0077506C">
        <w:rPr>
          <w:rFonts w:cs="Times New Roman"/>
          <w:szCs w:val="24"/>
        </w:rPr>
        <w:t>for</w:t>
      </w:r>
      <w:r w:rsidRPr="00423400" w:rsidR="00B60B67">
        <w:rPr>
          <w:rFonts w:cs="Times New Roman"/>
          <w:szCs w:val="24"/>
        </w:rPr>
        <w:t xml:space="preserve"> </w:t>
      </w:r>
      <w:r w:rsidRPr="00423400" w:rsidR="0077506C">
        <w:rPr>
          <w:rFonts w:cs="Times New Roman"/>
          <w:szCs w:val="24"/>
        </w:rPr>
        <w:t>2022-2024</w:t>
      </w:r>
      <w:r w:rsidRPr="00423400" w:rsidR="00B60B67">
        <w:rPr>
          <w:rFonts w:cs="Times New Roman"/>
          <w:szCs w:val="24"/>
        </w:rPr>
        <w:t xml:space="preserve"> </w:t>
      </w:r>
      <w:r w:rsidRPr="00423400" w:rsidR="0077506C">
        <w:rPr>
          <w:rFonts w:cs="Times New Roman"/>
          <w:szCs w:val="24"/>
        </w:rPr>
        <w:t>and</w:t>
      </w:r>
      <w:r w:rsidRPr="00423400" w:rsidR="00B60B67">
        <w:rPr>
          <w:rFonts w:cs="Times New Roman"/>
          <w:szCs w:val="24"/>
        </w:rPr>
        <w:t xml:space="preserve"> </w:t>
      </w:r>
      <w:r w:rsidRPr="00423400" w:rsidR="0077506C">
        <w:rPr>
          <w:rFonts w:cs="Times New Roman"/>
          <w:szCs w:val="24"/>
        </w:rPr>
        <w:t>reduce</w:t>
      </w:r>
      <w:r w:rsidRPr="00423400" w:rsidR="00B60B67">
        <w:rPr>
          <w:rFonts w:cs="Times New Roman"/>
          <w:szCs w:val="24"/>
        </w:rPr>
        <w:t xml:space="preserve"> </w:t>
      </w:r>
      <w:r w:rsidRPr="00423400" w:rsidR="0077506C">
        <w:rPr>
          <w:rFonts w:cs="Times New Roman"/>
          <w:szCs w:val="24"/>
        </w:rPr>
        <w:t>capital</w:t>
      </w:r>
      <w:r w:rsidRPr="00423400" w:rsidR="00B60B67">
        <w:rPr>
          <w:rFonts w:cs="Times New Roman"/>
          <w:szCs w:val="24"/>
        </w:rPr>
        <w:t xml:space="preserve"> </w:t>
      </w:r>
      <w:r w:rsidRPr="00423400" w:rsidR="0077506C">
        <w:rPr>
          <w:rFonts w:cs="Times New Roman"/>
          <w:szCs w:val="24"/>
        </w:rPr>
        <w:t>spending by</w:t>
      </w:r>
      <w:r w:rsidRPr="00423400" w:rsidR="00B60B67">
        <w:rPr>
          <w:rFonts w:cs="Times New Roman"/>
          <w:szCs w:val="24"/>
        </w:rPr>
        <w:t xml:space="preserve"> </w:t>
      </w:r>
      <w:r w:rsidRPr="00423400" w:rsidR="0077506C">
        <w:rPr>
          <w:rFonts w:cs="Times New Roman"/>
          <w:szCs w:val="24"/>
        </w:rPr>
        <w:t>more than $120</w:t>
      </w:r>
      <w:r w:rsidRPr="00423400" w:rsidR="00B60B67">
        <w:rPr>
          <w:rFonts w:cs="Times New Roman"/>
          <w:szCs w:val="24"/>
        </w:rPr>
        <w:t xml:space="preserve"> </w:t>
      </w:r>
      <w:r w:rsidRPr="00423400" w:rsidR="0077506C">
        <w:rPr>
          <w:rFonts w:cs="Times New Roman"/>
          <w:szCs w:val="24"/>
        </w:rPr>
        <w:t>million</w:t>
      </w:r>
      <w:r w:rsidRPr="00423400" w:rsidR="00B60B67">
        <w:rPr>
          <w:rFonts w:cs="Times New Roman"/>
          <w:szCs w:val="24"/>
        </w:rPr>
        <w:t xml:space="preserve"> </w:t>
      </w:r>
      <w:r w:rsidRPr="00423400" w:rsidR="0077506C">
        <w:rPr>
          <w:rFonts w:cs="Times New Roman"/>
          <w:szCs w:val="24"/>
        </w:rPr>
        <w:t>for</w:t>
      </w:r>
      <w:r w:rsidRPr="00423400" w:rsidR="00B60B67">
        <w:rPr>
          <w:rFonts w:cs="Times New Roman"/>
          <w:szCs w:val="24"/>
        </w:rPr>
        <w:t xml:space="preserve"> </w:t>
      </w:r>
      <w:r w:rsidRPr="00423400" w:rsidR="0077506C">
        <w:rPr>
          <w:rFonts w:cs="Times New Roman"/>
          <w:szCs w:val="24"/>
        </w:rPr>
        <w:t>the</w:t>
      </w:r>
      <w:r w:rsidRPr="00423400" w:rsidR="00B60B67">
        <w:rPr>
          <w:rFonts w:cs="Times New Roman"/>
          <w:szCs w:val="24"/>
        </w:rPr>
        <w:t xml:space="preserve"> </w:t>
      </w:r>
      <w:r w:rsidRPr="00423400" w:rsidR="0077506C">
        <w:rPr>
          <w:rFonts w:cs="Times New Roman"/>
          <w:szCs w:val="24"/>
        </w:rPr>
        <w:t>same</w:t>
      </w:r>
      <w:r w:rsidRPr="00423400" w:rsidR="00B60B67">
        <w:rPr>
          <w:rFonts w:cs="Times New Roman"/>
          <w:szCs w:val="24"/>
        </w:rPr>
        <w:t xml:space="preserve"> </w:t>
      </w:r>
      <w:r w:rsidRPr="00423400" w:rsidR="0077506C">
        <w:rPr>
          <w:rFonts w:cs="Times New Roman"/>
          <w:szCs w:val="24"/>
        </w:rPr>
        <w:t>period.</w:t>
      </w:r>
      <w:r>
        <w:rPr>
          <w:rStyle w:val="FootnoteReference"/>
          <w:rFonts w:cs="Times New Roman"/>
          <w:szCs w:val="24"/>
        </w:rPr>
        <w:footnoteReference w:id="67"/>
      </w:r>
      <w:r w:rsidRPr="00423400" w:rsidR="00B60B67">
        <w:rPr>
          <w:rFonts w:cs="Times New Roman"/>
          <w:szCs w:val="24"/>
        </w:rPr>
        <w:t xml:space="preserve"> </w:t>
      </w:r>
      <w:r w:rsidRPr="00423400" w:rsidR="00761D58">
        <w:rPr>
          <w:rFonts w:cs="Times New Roman"/>
          <w:szCs w:val="24"/>
        </w:rPr>
        <w:t xml:space="preserve">At hearing, however, she admitted that </w:t>
      </w:r>
      <w:r w:rsidRPr="00423400" w:rsidR="009D600D">
        <w:rPr>
          <w:rFonts w:cs="Times New Roman"/>
          <w:szCs w:val="24"/>
        </w:rPr>
        <w:t>DP&amp;L</w:t>
      </w:r>
      <w:r w:rsidRPr="00423400" w:rsidR="00761D58">
        <w:rPr>
          <w:rFonts w:cs="Times New Roman"/>
          <w:szCs w:val="24"/>
        </w:rPr>
        <w:t xml:space="preserve"> would need to revise its budget if the PUCO rejects the rate increase, and there could be other available sources of funding for O&amp;M expenses.</w:t>
      </w:r>
      <w:r>
        <w:rPr>
          <w:rStyle w:val="FootnoteReference"/>
          <w:rFonts w:cs="Times New Roman"/>
          <w:szCs w:val="24"/>
        </w:rPr>
        <w:footnoteReference w:id="68"/>
      </w:r>
      <w:r w:rsidRPr="00423400" w:rsidR="00761D58">
        <w:rPr>
          <w:rFonts w:cs="Times New Roman"/>
          <w:szCs w:val="24"/>
        </w:rPr>
        <w:t xml:space="preserve"> </w:t>
      </w:r>
    </w:p>
    <w:p w:rsidR="00D32959" w:rsidRPr="00423400" w:rsidP="00195B72" w14:paraId="357AA294" w14:textId="77777777">
      <w:pPr>
        <w:spacing w:after="0" w:line="480" w:lineRule="auto"/>
        <w:ind w:firstLine="720"/>
        <w:rPr>
          <w:szCs w:val="24"/>
        </w:rPr>
      </w:pPr>
      <w:r w:rsidRPr="00423400">
        <w:rPr>
          <w:rFonts w:cs="Times New Roman"/>
          <w:szCs w:val="24"/>
        </w:rPr>
        <w:t xml:space="preserve">DP&amp;L’s </w:t>
      </w:r>
      <w:r w:rsidRPr="00423400" w:rsidR="009A3DA9">
        <w:rPr>
          <w:rFonts w:cs="Times New Roman"/>
          <w:szCs w:val="24"/>
        </w:rPr>
        <w:t>desire to make more profits</w:t>
      </w:r>
      <w:r w:rsidRPr="00423400" w:rsidR="00CD72D9">
        <w:rPr>
          <w:rFonts w:cs="Times New Roman"/>
          <w:szCs w:val="24"/>
        </w:rPr>
        <w:t xml:space="preserve"> </w:t>
      </w:r>
      <w:r w:rsidRPr="00423400">
        <w:rPr>
          <w:rFonts w:cs="Times New Roman"/>
          <w:szCs w:val="24"/>
        </w:rPr>
        <w:t xml:space="preserve">should not result in a rate increase for consumers. DP&amp;L controls its spending. DP&amp;L controls when it comes in for a rate case. DP&amp;L controls the fact that it withdrew from ESP III and reverted to ESP I. ESP I contains a rate freeze. </w:t>
      </w:r>
      <w:r w:rsidRPr="00423400" w:rsidR="00902373">
        <w:rPr>
          <w:rFonts w:cs="Times New Roman"/>
          <w:szCs w:val="24"/>
        </w:rPr>
        <w:t>The PUCO should not permit DP&amp;L to cherry-pick provisions of ESP I because it does not like the rate freeze.</w:t>
      </w:r>
      <w:r w:rsidRPr="00423400" w:rsidR="005E5BF0">
        <w:rPr>
          <w:rFonts w:cs="Times New Roman"/>
          <w:szCs w:val="24"/>
        </w:rPr>
        <w:t xml:space="preserve"> </w:t>
      </w:r>
      <w:r w:rsidR="00A50557">
        <w:rPr>
          <w:rFonts w:cs="Times New Roman"/>
          <w:szCs w:val="24"/>
        </w:rPr>
        <w:t xml:space="preserve">And </w:t>
      </w:r>
      <w:r w:rsidRPr="00423400" w:rsidR="005E5BF0">
        <w:rPr>
          <w:rFonts w:cs="Times New Roman"/>
          <w:szCs w:val="24"/>
        </w:rPr>
        <w:t>DP&amp;L is far from broke</w:t>
      </w:r>
      <w:r w:rsidRPr="00423400" w:rsidR="00F85CD2">
        <w:rPr>
          <w:rFonts w:cs="Times New Roman"/>
          <w:szCs w:val="24"/>
        </w:rPr>
        <w:t>.</w:t>
      </w:r>
      <w:r w:rsidR="00A50557">
        <w:rPr>
          <w:rFonts w:cs="Times New Roman"/>
          <w:szCs w:val="24"/>
        </w:rPr>
        <w:t xml:space="preserve"> </w:t>
      </w:r>
      <w:r w:rsidRPr="00423400" w:rsidR="00BE5994">
        <w:rPr>
          <w:rFonts w:cs="Times New Roman"/>
          <w:szCs w:val="24"/>
        </w:rPr>
        <w:t>DP&amp;L is collecting</w:t>
      </w:r>
      <w:r w:rsidRPr="00423400" w:rsidR="00CD72D9">
        <w:rPr>
          <w:rFonts w:cs="Times New Roman"/>
          <w:szCs w:val="24"/>
        </w:rPr>
        <w:t xml:space="preserve"> </w:t>
      </w:r>
      <w:r w:rsidRPr="00423400" w:rsidR="00BE5994">
        <w:rPr>
          <w:rFonts w:cs="Times New Roman"/>
          <w:szCs w:val="24"/>
        </w:rPr>
        <w:t xml:space="preserve">a </w:t>
      </w:r>
      <w:r w:rsidRPr="00423400" w:rsidR="003626DE">
        <w:rPr>
          <w:rFonts w:cs="Times New Roman"/>
          <w:szCs w:val="24"/>
        </w:rPr>
        <w:t xml:space="preserve">$79 million </w:t>
      </w:r>
      <w:r w:rsidRPr="00423400" w:rsidR="00BE5994">
        <w:rPr>
          <w:rFonts w:cs="Times New Roman"/>
          <w:szCs w:val="24"/>
        </w:rPr>
        <w:t>per year non-cost based stability/</w:t>
      </w:r>
      <w:r w:rsidR="001764B5">
        <w:rPr>
          <w:rFonts w:cs="Times New Roman"/>
          <w:szCs w:val="24"/>
        </w:rPr>
        <w:t>provider of last resort (“</w:t>
      </w:r>
      <w:r w:rsidRPr="00423400" w:rsidR="00BE5994">
        <w:rPr>
          <w:rFonts w:cs="Times New Roman"/>
          <w:szCs w:val="24"/>
        </w:rPr>
        <w:t>POLR</w:t>
      </w:r>
      <w:r w:rsidR="001764B5">
        <w:rPr>
          <w:rFonts w:cs="Times New Roman"/>
          <w:szCs w:val="24"/>
        </w:rPr>
        <w:t>”)</w:t>
      </w:r>
      <w:r w:rsidRPr="00423400" w:rsidR="00BE5994">
        <w:rPr>
          <w:rFonts w:cs="Times New Roman"/>
          <w:szCs w:val="24"/>
        </w:rPr>
        <w:t xml:space="preserve"> charge from Dayton-area consumers until its next electric security plan is in place</w:t>
      </w:r>
      <w:r w:rsidRPr="00423400" w:rsidR="00AE40F2">
        <w:rPr>
          <w:rFonts w:cs="Times New Roman"/>
          <w:szCs w:val="24"/>
        </w:rPr>
        <w:t>. And DP&amp;L has produced no evidence, in this case (or others) that justifies that revenue collection from consumers.</w:t>
      </w:r>
      <w:r w:rsidRPr="00423400" w:rsidR="00CF57E2">
        <w:rPr>
          <w:rFonts w:cs="Times New Roman"/>
          <w:szCs w:val="24"/>
        </w:rPr>
        <w:t xml:space="preserve"> DP&amp;L is not the only party suffering </w:t>
      </w:r>
      <w:r w:rsidRPr="00423400" w:rsidR="003F1076">
        <w:rPr>
          <w:rFonts w:cs="Times New Roman"/>
          <w:szCs w:val="24"/>
        </w:rPr>
        <w:t xml:space="preserve">financial </w:t>
      </w:r>
      <w:r w:rsidRPr="00423400" w:rsidR="00CF57E2">
        <w:rPr>
          <w:rFonts w:cs="Times New Roman"/>
          <w:szCs w:val="24"/>
        </w:rPr>
        <w:t xml:space="preserve">difficulties. Consumers are suffering as </w:t>
      </w:r>
      <w:r w:rsidRPr="00423400" w:rsidR="000C326D">
        <w:rPr>
          <w:rFonts w:cs="Times New Roman"/>
          <w:szCs w:val="24"/>
        </w:rPr>
        <w:t>well</w:t>
      </w:r>
      <w:r w:rsidRPr="00423400" w:rsidR="00C16826">
        <w:rPr>
          <w:rFonts w:cs="Times New Roman"/>
          <w:szCs w:val="24"/>
        </w:rPr>
        <w:t xml:space="preserve"> resu</w:t>
      </w:r>
      <w:r w:rsidRPr="00423400" w:rsidR="00F80EED">
        <w:rPr>
          <w:rFonts w:cs="Times New Roman"/>
          <w:szCs w:val="24"/>
        </w:rPr>
        <w:t>lting</w:t>
      </w:r>
      <w:r w:rsidR="008C1345">
        <w:rPr>
          <w:rFonts w:cs="Times New Roman"/>
          <w:szCs w:val="24"/>
        </w:rPr>
        <w:t xml:space="preserve"> </w:t>
      </w:r>
      <w:r w:rsidRPr="00423400" w:rsidR="00C16826">
        <w:rPr>
          <w:rFonts w:cs="Times New Roman"/>
          <w:szCs w:val="24"/>
        </w:rPr>
        <w:t>from the ongoing coronavirus pandemic</w:t>
      </w:r>
      <w:r w:rsidRPr="00423400" w:rsidR="000C326D">
        <w:rPr>
          <w:rFonts w:cs="Times New Roman"/>
          <w:szCs w:val="24"/>
        </w:rPr>
        <w:t>. Consumers that cannot afford their service will be disconnected</w:t>
      </w:r>
      <w:r w:rsidR="008C1345">
        <w:rPr>
          <w:rFonts w:cs="Times New Roman"/>
          <w:szCs w:val="24"/>
        </w:rPr>
        <w:t>,</w:t>
      </w:r>
      <w:r w:rsidRPr="00423400" w:rsidR="003626DE">
        <w:rPr>
          <w:rFonts w:cs="Times New Roman"/>
          <w:szCs w:val="24"/>
        </w:rPr>
        <w:t xml:space="preserve"> </w:t>
      </w:r>
      <w:r w:rsidRPr="00423400" w:rsidR="000C326D">
        <w:rPr>
          <w:szCs w:val="24"/>
        </w:rPr>
        <w:t>and DP&amp;L will lose even more revenue. It is mutually beneficial for DP&amp;L to work with the money they have to maintain service than to raise rates to the extent that disconnections increase.</w:t>
      </w:r>
    </w:p>
    <w:p w:rsidR="00111344" w:rsidP="008E1B1D" w14:paraId="3CBBE3EE" w14:textId="77777777">
      <w:pPr>
        <w:widowControl w:val="0"/>
        <w:spacing w:after="0" w:line="480" w:lineRule="auto"/>
        <w:ind w:firstLine="720"/>
        <w:rPr>
          <w:rFonts w:cs="Times New Roman"/>
          <w:szCs w:val="24"/>
        </w:rPr>
      </w:pPr>
      <w:r w:rsidRPr="00423400">
        <w:rPr>
          <w:rFonts w:cs="Times New Roman"/>
          <w:szCs w:val="24"/>
        </w:rPr>
        <w:t>For consumer protection, the PUCO should not adopt</w:t>
      </w:r>
      <w:r w:rsidRPr="00423400" w:rsidR="005220BD">
        <w:rPr>
          <w:rFonts w:cs="Times New Roman"/>
          <w:szCs w:val="24"/>
        </w:rPr>
        <w:t xml:space="preserve"> the</w:t>
      </w:r>
      <w:r w:rsidRPr="00423400">
        <w:rPr>
          <w:rFonts w:cs="Times New Roman"/>
          <w:szCs w:val="24"/>
        </w:rPr>
        <w:t xml:space="preserve"> PUCO Staff’s recommended rate increase, and should instead, enforce the distribution rate freeze that </w:t>
      </w:r>
      <w:r w:rsidRPr="00423400" w:rsidR="00761D58">
        <w:rPr>
          <w:rFonts w:cs="Times New Roman"/>
          <w:szCs w:val="24"/>
        </w:rPr>
        <w:t xml:space="preserve">DP&amp;L </w:t>
      </w:r>
      <w:r w:rsidRPr="00423400">
        <w:rPr>
          <w:rFonts w:cs="Times New Roman"/>
          <w:szCs w:val="24"/>
        </w:rPr>
        <w:t>agreed to in ESP I</w:t>
      </w:r>
      <w:r w:rsidRPr="00423400" w:rsidR="00FB3731">
        <w:rPr>
          <w:rFonts w:cs="Times New Roman"/>
          <w:szCs w:val="24"/>
        </w:rPr>
        <w:t xml:space="preserve"> as recommended by OCC’s expert, Mr. Willis</w:t>
      </w:r>
      <w:r w:rsidRPr="00423400">
        <w:rPr>
          <w:rFonts w:cs="Times New Roman"/>
          <w:szCs w:val="24"/>
        </w:rPr>
        <w:t>.</w:t>
      </w:r>
      <w:r w:rsidRPr="00423400" w:rsidR="008533D2">
        <w:rPr>
          <w:rFonts w:cs="Times New Roman"/>
          <w:szCs w:val="24"/>
        </w:rPr>
        <w:t xml:space="preserve"> But, if the PUCO does </w:t>
      </w:r>
      <w:r w:rsidRPr="00423400" w:rsidR="00573A3E">
        <w:rPr>
          <w:rFonts w:cs="Times New Roman"/>
          <w:szCs w:val="24"/>
        </w:rPr>
        <w:t xml:space="preserve">approve </w:t>
      </w:r>
      <w:r w:rsidRPr="00423400" w:rsidR="008533D2">
        <w:rPr>
          <w:rFonts w:cs="Times New Roman"/>
          <w:szCs w:val="24"/>
        </w:rPr>
        <w:t>an increase</w:t>
      </w:r>
      <w:r w:rsidRPr="00423400" w:rsidR="00573A3E">
        <w:rPr>
          <w:rFonts w:cs="Times New Roman"/>
          <w:szCs w:val="24"/>
        </w:rPr>
        <w:t>,</w:t>
      </w:r>
      <w:r w:rsidRPr="00423400" w:rsidR="008533D2">
        <w:rPr>
          <w:rFonts w:cs="Times New Roman"/>
          <w:szCs w:val="24"/>
        </w:rPr>
        <w:t xml:space="preserve"> it should be stayed until the expiration of ESP I and should not exceed $43.3 million</w:t>
      </w:r>
      <w:r w:rsidR="008E1B1D">
        <w:rPr>
          <w:rFonts w:cs="Times New Roman"/>
          <w:szCs w:val="24"/>
        </w:rPr>
        <w:t>.</w:t>
      </w:r>
    </w:p>
    <w:p w:rsidR="00111344" w14:paraId="0F23F070" w14:textId="77777777">
      <w:pPr>
        <w:rPr>
          <w:rFonts w:cs="Times New Roman"/>
          <w:szCs w:val="24"/>
        </w:rPr>
      </w:pPr>
      <w:r>
        <w:rPr>
          <w:rFonts w:cs="Times New Roman"/>
          <w:szCs w:val="24"/>
        </w:rPr>
        <w:br w:type="page"/>
      </w:r>
    </w:p>
    <w:p w:rsidR="0025218A" w:rsidRPr="00423400" w:rsidP="00454D7A" w14:paraId="70CBBD65" w14:textId="77777777">
      <w:pPr>
        <w:pStyle w:val="Heading1"/>
        <w:keepNext w:val="0"/>
        <w:keepLines w:val="0"/>
        <w:widowControl w:val="0"/>
        <w:spacing w:after="240"/>
        <w:rPr>
          <w:rFonts w:cs="Times New Roman"/>
          <w:b/>
          <w:bCs/>
          <w:szCs w:val="24"/>
        </w:rPr>
      </w:pPr>
      <w:bookmarkStart w:id="18" w:name="_Toc96960349"/>
      <w:bookmarkStart w:id="19" w:name="_Toc96960391"/>
      <w:bookmarkStart w:id="20" w:name="_Toc97298198"/>
      <w:r w:rsidRPr="00423400">
        <w:rPr>
          <w:rFonts w:cs="Times New Roman"/>
          <w:b/>
          <w:bCs/>
          <w:szCs w:val="24"/>
        </w:rPr>
        <w:t xml:space="preserve">OCC’s RECOMMENDED CHANGES TO </w:t>
      </w:r>
      <w:r w:rsidRPr="00423400" w:rsidR="0030065F">
        <w:rPr>
          <w:rFonts w:cs="Times New Roman"/>
          <w:b/>
          <w:bCs/>
          <w:szCs w:val="24"/>
        </w:rPr>
        <w:t>RATE BASE</w:t>
      </w:r>
      <w:bookmarkEnd w:id="18"/>
      <w:bookmarkEnd w:id="19"/>
      <w:bookmarkEnd w:id="20"/>
    </w:p>
    <w:p w:rsidR="00C72FB9" w:rsidRPr="00423400" w:rsidP="0012105E" w14:paraId="532DBB2F" w14:textId="77777777">
      <w:pPr>
        <w:pStyle w:val="Heading2"/>
        <w:ind w:left="1440" w:hanging="720"/>
        <w:rPr>
          <w:color w:val="auto"/>
          <w:sz w:val="24"/>
          <w:szCs w:val="24"/>
        </w:rPr>
      </w:pPr>
      <w:bookmarkStart w:id="21" w:name="_Toc96960350"/>
      <w:bookmarkStart w:id="22" w:name="_Toc96960392"/>
      <w:bookmarkStart w:id="23" w:name="_Toc97298199"/>
      <w:r w:rsidRPr="00423400">
        <w:rPr>
          <w:color w:val="auto"/>
          <w:sz w:val="24"/>
          <w:szCs w:val="24"/>
        </w:rPr>
        <w:t>T</w:t>
      </w:r>
      <w:r w:rsidRPr="00423400" w:rsidR="005B6FBC">
        <w:rPr>
          <w:color w:val="auto"/>
          <w:sz w:val="24"/>
          <w:szCs w:val="24"/>
        </w:rPr>
        <w:t>o</w:t>
      </w:r>
      <w:r w:rsidRPr="00423400">
        <w:rPr>
          <w:color w:val="auto"/>
          <w:sz w:val="24"/>
          <w:szCs w:val="24"/>
        </w:rPr>
        <w:t xml:space="preserve"> pr</w:t>
      </w:r>
      <w:r w:rsidRPr="00423400" w:rsidR="005B6FBC">
        <w:rPr>
          <w:color w:val="auto"/>
          <w:sz w:val="24"/>
          <w:szCs w:val="24"/>
        </w:rPr>
        <w:t>ot</w:t>
      </w:r>
      <w:r w:rsidRPr="00423400">
        <w:rPr>
          <w:color w:val="auto"/>
          <w:sz w:val="24"/>
          <w:szCs w:val="24"/>
        </w:rPr>
        <w:t>ect consumers</w:t>
      </w:r>
      <w:r w:rsidRPr="00423400" w:rsidR="005B6FBC">
        <w:rPr>
          <w:color w:val="auto"/>
          <w:sz w:val="24"/>
          <w:szCs w:val="24"/>
        </w:rPr>
        <w:t xml:space="preserve"> </w:t>
      </w:r>
      <w:r w:rsidRPr="00423400" w:rsidR="00751FF8">
        <w:rPr>
          <w:color w:val="auto"/>
          <w:sz w:val="24"/>
          <w:szCs w:val="24"/>
        </w:rPr>
        <w:t>from paying higher rates</w:t>
      </w:r>
      <w:r w:rsidRPr="00423400" w:rsidR="006203CE">
        <w:rPr>
          <w:color w:val="auto"/>
          <w:sz w:val="24"/>
          <w:szCs w:val="24"/>
        </w:rPr>
        <w:t xml:space="preserve"> that are not just and reasonable</w:t>
      </w:r>
      <w:r w:rsidRPr="00423400">
        <w:rPr>
          <w:color w:val="auto"/>
          <w:sz w:val="24"/>
          <w:szCs w:val="24"/>
        </w:rPr>
        <w:t xml:space="preserve">, the PUCO </w:t>
      </w:r>
      <w:r w:rsidRPr="00423400" w:rsidR="002858B3">
        <w:rPr>
          <w:color w:val="auto"/>
          <w:sz w:val="24"/>
          <w:szCs w:val="24"/>
        </w:rPr>
        <w:t xml:space="preserve">should </w:t>
      </w:r>
      <w:r w:rsidRPr="00423400" w:rsidR="005B6FBC">
        <w:rPr>
          <w:color w:val="auto"/>
          <w:sz w:val="24"/>
          <w:szCs w:val="24"/>
        </w:rPr>
        <w:t xml:space="preserve">require </w:t>
      </w:r>
      <w:r w:rsidRPr="00423400" w:rsidR="001E413E">
        <w:rPr>
          <w:color w:val="auto"/>
          <w:sz w:val="24"/>
          <w:szCs w:val="24"/>
        </w:rPr>
        <w:t>DP&amp;L</w:t>
      </w:r>
      <w:r w:rsidRPr="00423400" w:rsidR="005B6FBC">
        <w:rPr>
          <w:color w:val="auto"/>
          <w:sz w:val="24"/>
          <w:szCs w:val="24"/>
        </w:rPr>
        <w:t xml:space="preserve"> to remove </w:t>
      </w:r>
      <w:r w:rsidRPr="00423400" w:rsidR="00144BD8">
        <w:rPr>
          <w:color w:val="auto"/>
          <w:sz w:val="24"/>
          <w:szCs w:val="24"/>
        </w:rPr>
        <w:t xml:space="preserve">capitalized incentive compensation </w:t>
      </w:r>
      <w:r w:rsidRPr="00423400" w:rsidR="00751FF8">
        <w:rPr>
          <w:color w:val="auto"/>
          <w:sz w:val="24"/>
          <w:szCs w:val="24"/>
        </w:rPr>
        <w:t>from</w:t>
      </w:r>
      <w:r w:rsidRPr="00423400" w:rsidR="00144BD8">
        <w:rPr>
          <w:color w:val="auto"/>
          <w:sz w:val="24"/>
          <w:szCs w:val="24"/>
        </w:rPr>
        <w:t xml:space="preserve"> Plant </w:t>
      </w:r>
      <w:r w:rsidRPr="00423400" w:rsidR="00796109">
        <w:rPr>
          <w:color w:val="auto"/>
          <w:sz w:val="24"/>
          <w:szCs w:val="24"/>
        </w:rPr>
        <w:t>in</w:t>
      </w:r>
      <w:r w:rsidRPr="00423400" w:rsidR="00144BD8">
        <w:rPr>
          <w:color w:val="auto"/>
          <w:sz w:val="24"/>
          <w:szCs w:val="24"/>
        </w:rPr>
        <w:t xml:space="preserve"> Service.</w:t>
      </w:r>
      <w:bookmarkEnd w:id="21"/>
      <w:bookmarkEnd w:id="22"/>
      <w:bookmarkEnd w:id="23"/>
      <w:r w:rsidRPr="00423400" w:rsidR="00144BD8">
        <w:rPr>
          <w:color w:val="auto"/>
          <w:sz w:val="24"/>
          <w:szCs w:val="24"/>
        </w:rPr>
        <w:t xml:space="preserve"> </w:t>
      </w:r>
    </w:p>
    <w:p w:rsidR="00B96EEA" w:rsidRPr="00423400" w:rsidP="0012105E" w14:paraId="1C72DEB5" w14:textId="77777777">
      <w:pPr>
        <w:spacing w:before="240" w:after="0" w:line="480" w:lineRule="auto"/>
        <w:ind w:firstLine="720"/>
        <w:rPr>
          <w:rFonts w:cs="Times New Roman"/>
          <w:bCs/>
          <w:iCs/>
          <w:szCs w:val="24"/>
        </w:rPr>
      </w:pPr>
      <w:r w:rsidRPr="00423400">
        <w:rPr>
          <w:rFonts w:cs="Times New Roman"/>
          <w:szCs w:val="24"/>
        </w:rPr>
        <w:t xml:space="preserve">OCC is opposed to </w:t>
      </w:r>
      <w:r w:rsidRPr="00423400" w:rsidR="00541420">
        <w:rPr>
          <w:rFonts w:cs="Times New Roman"/>
          <w:szCs w:val="24"/>
        </w:rPr>
        <w:t xml:space="preserve">consumer charges for earnings based incentive compensation. </w:t>
      </w:r>
      <w:r w:rsidRPr="00423400" w:rsidR="0009096A">
        <w:rPr>
          <w:rFonts w:cs="Times New Roman"/>
          <w:bCs/>
          <w:iCs/>
          <w:szCs w:val="24"/>
        </w:rPr>
        <w:t>The</w:t>
      </w:r>
      <w:r w:rsidRPr="00423400" w:rsidR="00906888">
        <w:rPr>
          <w:rFonts w:cs="Times New Roman"/>
          <w:bCs/>
          <w:iCs/>
          <w:szCs w:val="24"/>
        </w:rPr>
        <w:t xml:space="preserve"> PUCO Staff recommended that starting with the PUCO’s Opinion and Order in this case and going forward, that DP&amp;L exclude from base rates all capitalized earnings-based incentive compensation.</w:t>
      </w:r>
      <w:r>
        <w:rPr>
          <w:rStyle w:val="FootnoteReference"/>
          <w:rFonts w:cs="Times New Roman"/>
          <w:bCs/>
          <w:iCs/>
          <w:szCs w:val="24"/>
        </w:rPr>
        <w:footnoteReference w:id="69"/>
      </w:r>
      <w:r w:rsidRPr="00423400" w:rsidR="00906888">
        <w:rPr>
          <w:rFonts w:cs="Times New Roman"/>
          <w:bCs/>
          <w:iCs/>
          <w:szCs w:val="24"/>
        </w:rPr>
        <w:t xml:space="preserve"> </w:t>
      </w:r>
      <w:r w:rsidRPr="00423400" w:rsidR="00B11CB2">
        <w:rPr>
          <w:rFonts w:cs="Times New Roman"/>
          <w:bCs/>
          <w:iCs/>
          <w:szCs w:val="24"/>
        </w:rPr>
        <w:t xml:space="preserve">And at the hearing, Staff witness Mr. </w:t>
      </w:r>
      <w:r w:rsidRPr="00423400" w:rsidR="009C4A2E">
        <w:rPr>
          <w:rFonts w:cs="Times New Roman"/>
          <w:bCs/>
          <w:iCs/>
          <w:szCs w:val="24"/>
        </w:rPr>
        <w:t xml:space="preserve">Lipthratt confirmed that </w:t>
      </w:r>
      <w:r w:rsidRPr="00423400" w:rsidR="00C03228">
        <w:rPr>
          <w:rFonts w:cs="Times New Roman"/>
          <w:bCs/>
          <w:iCs/>
          <w:szCs w:val="24"/>
        </w:rPr>
        <w:t>earnings based incentive compensation tends to benefit shareholders more than consumers</w:t>
      </w:r>
      <w:r w:rsidRPr="00423400" w:rsidR="00B06BB9">
        <w:rPr>
          <w:rFonts w:cs="Times New Roman"/>
          <w:bCs/>
          <w:iCs/>
          <w:szCs w:val="24"/>
        </w:rPr>
        <w:t>.</w:t>
      </w:r>
      <w:r>
        <w:rPr>
          <w:rStyle w:val="FootnoteReference"/>
          <w:rFonts w:cs="Times New Roman"/>
          <w:bCs/>
          <w:iCs/>
          <w:szCs w:val="24"/>
        </w:rPr>
        <w:footnoteReference w:id="70"/>
      </w:r>
      <w:r w:rsidRPr="00423400" w:rsidR="00656A41">
        <w:rPr>
          <w:rFonts w:cs="Times New Roman"/>
          <w:bCs/>
          <w:iCs/>
          <w:szCs w:val="24"/>
        </w:rPr>
        <w:t xml:space="preserve"> </w:t>
      </w:r>
      <w:r w:rsidRPr="00423400" w:rsidR="00B06BB9">
        <w:rPr>
          <w:rFonts w:cs="Times New Roman"/>
          <w:bCs/>
          <w:iCs/>
          <w:szCs w:val="24"/>
        </w:rPr>
        <w:t xml:space="preserve">But </w:t>
      </w:r>
      <w:r w:rsidRPr="00423400" w:rsidR="0009096A">
        <w:rPr>
          <w:rFonts w:cs="Times New Roman"/>
          <w:bCs/>
          <w:iCs/>
          <w:szCs w:val="24"/>
        </w:rPr>
        <w:t xml:space="preserve">OCC’s expert Mr. Ross Willis testified that </w:t>
      </w:r>
      <w:r w:rsidRPr="00423400" w:rsidR="00906888">
        <w:rPr>
          <w:rFonts w:cs="Times New Roman"/>
          <w:bCs/>
          <w:iCs/>
          <w:szCs w:val="24"/>
        </w:rPr>
        <w:t>Staff did not exclude any such capitalized earnings-based incentive compensation from rate base in this case.</w:t>
      </w:r>
      <w:r>
        <w:rPr>
          <w:rStyle w:val="FootnoteReference"/>
          <w:rFonts w:cs="Times New Roman"/>
          <w:bCs/>
          <w:iCs/>
          <w:szCs w:val="24"/>
        </w:rPr>
        <w:footnoteReference w:id="71"/>
      </w:r>
      <w:r w:rsidRPr="00423400" w:rsidR="00906888">
        <w:rPr>
          <w:rFonts w:cs="Times New Roman"/>
          <w:bCs/>
          <w:iCs/>
          <w:szCs w:val="24"/>
        </w:rPr>
        <w:t xml:space="preserve"> If this is not removed from rate base, then consumers will be paying for shareholder costs charged to rate base, which would be unjust and unreasonable.</w:t>
      </w:r>
      <w:r>
        <w:rPr>
          <w:rStyle w:val="FootnoteReference"/>
          <w:rFonts w:cs="Times New Roman"/>
          <w:bCs/>
          <w:iCs/>
          <w:szCs w:val="24"/>
        </w:rPr>
        <w:footnoteReference w:id="72"/>
      </w:r>
      <w:r w:rsidRPr="00423400" w:rsidR="009C5F0D">
        <w:rPr>
          <w:rFonts w:cs="Times New Roman"/>
          <w:bCs/>
          <w:iCs/>
          <w:szCs w:val="24"/>
        </w:rPr>
        <w:t xml:space="preserve"> </w:t>
      </w:r>
    </w:p>
    <w:p w:rsidR="00644F85" w:rsidRPr="00423400" w:rsidP="00344A7E" w14:paraId="7DD6770E" w14:textId="77777777">
      <w:pPr>
        <w:spacing w:after="0" w:line="480" w:lineRule="auto"/>
        <w:ind w:firstLine="720"/>
        <w:rPr>
          <w:rFonts w:cs="Times New Roman"/>
          <w:bCs/>
          <w:iCs/>
          <w:szCs w:val="24"/>
        </w:rPr>
      </w:pPr>
      <w:r w:rsidRPr="00423400">
        <w:rPr>
          <w:rFonts w:cs="Times New Roman"/>
          <w:bCs/>
          <w:iCs/>
          <w:szCs w:val="24"/>
        </w:rPr>
        <w:t>Unfortunately</w:t>
      </w:r>
      <w:r w:rsidRPr="00423400" w:rsidR="004A3598">
        <w:rPr>
          <w:rFonts w:cs="Times New Roman"/>
          <w:bCs/>
          <w:iCs/>
          <w:szCs w:val="24"/>
        </w:rPr>
        <w:t xml:space="preserve"> for consumers</w:t>
      </w:r>
      <w:r w:rsidRPr="00423400">
        <w:rPr>
          <w:rFonts w:cs="Times New Roman"/>
          <w:bCs/>
          <w:iCs/>
          <w:szCs w:val="24"/>
        </w:rPr>
        <w:t xml:space="preserve">, it has not been possible to determine the amount of </w:t>
      </w:r>
      <w:r w:rsidRPr="00423400" w:rsidR="004A3598">
        <w:rPr>
          <w:rFonts w:cs="Times New Roman"/>
          <w:bCs/>
          <w:iCs/>
          <w:szCs w:val="24"/>
        </w:rPr>
        <w:t>capitalized</w:t>
      </w:r>
      <w:r w:rsidRPr="00423400">
        <w:rPr>
          <w:rFonts w:cs="Times New Roman"/>
          <w:bCs/>
          <w:iCs/>
          <w:szCs w:val="24"/>
        </w:rPr>
        <w:t xml:space="preserve"> earnings-based incentive </w:t>
      </w:r>
      <w:r w:rsidRPr="00423400" w:rsidR="004A3598">
        <w:rPr>
          <w:rFonts w:cs="Times New Roman"/>
          <w:bCs/>
          <w:iCs/>
          <w:szCs w:val="24"/>
        </w:rPr>
        <w:t>compensation</w:t>
      </w:r>
      <w:r w:rsidRPr="00423400">
        <w:rPr>
          <w:rFonts w:cs="Times New Roman"/>
          <w:bCs/>
          <w:iCs/>
          <w:szCs w:val="24"/>
        </w:rPr>
        <w:t xml:space="preserve"> included in rate base that consumer pay for.</w:t>
      </w:r>
      <w:r>
        <w:rPr>
          <w:rStyle w:val="FootnoteReference"/>
          <w:rFonts w:cs="Times New Roman"/>
          <w:bCs/>
          <w:iCs/>
          <w:szCs w:val="24"/>
        </w:rPr>
        <w:footnoteReference w:id="73"/>
      </w:r>
      <w:r w:rsidRPr="00423400">
        <w:rPr>
          <w:rFonts w:cs="Times New Roman"/>
          <w:bCs/>
          <w:iCs/>
          <w:szCs w:val="24"/>
        </w:rPr>
        <w:t xml:space="preserve"> OCC’s expert witness Mr. Willis could only determine that </w:t>
      </w:r>
      <w:r w:rsidRPr="00423400" w:rsidR="004A3598">
        <w:rPr>
          <w:rFonts w:cs="Times New Roman"/>
          <w:bCs/>
          <w:iCs/>
          <w:szCs w:val="24"/>
        </w:rPr>
        <w:t>some cash bonus’ that were part of capitalized storm costs.</w:t>
      </w:r>
      <w:r>
        <w:rPr>
          <w:rStyle w:val="FootnoteReference"/>
          <w:rFonts w:cs="Times New Roman"/>
          <w:bCs/>
          <w:iCs/>
          <w:szCs w:val="24"/>
        </w:rPr>
        <w:footnoteReference w:id="74"/>
      </w:r>
      <w:r w:rsidRPr="00423400" w:rsidR="004A3598">
        <w:rPr>
          <w:rFonts w:cs="Times New Roman"/>
          <w:bCs/>
          <w:iCs/>
          <w:szCs w:val="24"/>
        </w:rPr>
        <w:t xml:space="preserve"> </w:t>
      </w:r>
      <w:r w:rsidRPr="00423400" w:rsidR="001E413E">
        <w:rPr>
          <w:rFonts w:cs="Times New Roman"/>
          <w:bCs/>
          <w:iCs/>
          <w:szCs w:val="24"/>
        </w:rPr>
        <w:t>Mr.</w:t>
      </w:r>
      <w:r w:rsidRPr="00423400" w:rsidR="00B96EEA">
        <w:rPr>
          <w:rFonts w:cs="Times New Roman"/>
          <w:bCs/>
          <w:iCs/>
          <w:szCs w:val="24"/>
        </w:rPr>
        <w:t xml:space="preserve"> Willis </w:t>
      </w:r>
      <w:r w:rsidRPr="00423400" w:rsidR="004A3598">
        <w:rPr>
          <w:rFonts w:cs="Times New Roman"/>
          <w:bCs/>
          <w:iCs/>
          <w:szCs w:val="24"/>
        </w:rPr>
        <w:t>attempted through discovery to obtain the information necessary to determine the amount of earning-based capitalized incentive compensation in rate base since the date certain (September 30, 2015) in the last rate case (Case No. 15-1830-EL-AIR), but DP&amp;L was either unwilling or unable to provide it.</w:t>
      </w:r>
      <w:r>
        <w:rPr>
          <w:rStyle w:val="FootnoteReference"/>
          <w:rFonts w:cs="Times New Roman"/>
          <w:bCs/>
          <w:iCs/>
          <w:szCs w:val="24"/>
        </w:rPr>
        <w:footnoteReference w:id="75"/>
      </w:r>
      <w:r w:rsidRPr="00423400" w:rsidR="004A3598">
        <w:rPr>
          <w:rFonts w:cs="Times New Roman"/>
          <w:bCs/>
          <w:iCs/>
          <w:szCs w:val="24"/>
        </w:rPr>
        <w:t xml:space="preserve"> </w:t>
      </w:r>
    </w:p>
    <w:p w:rsidR="00B04D96" w:rsidRPr="00423400" w:rsidP="00212529" w14:paraId="27A241DC" w14:textId="77777777">
      <w:pPr>
        <w:spacing w:after="0" w:line="480" w:lineRule="auto"/>
        <w:ind w:firstLine="720"/>
        <w:rPr>
          <w:rFonts w:cs="Times New Roman"/>
          <w:bCs/>
          <w:iCs/>
          <w:szCs w:val="24"/>
        </w:rPr>
      </w:pPr>
      <w:r w:rsidRPr="00423400">
        <w:rPr>
          <w:rFonts w:cs="Times New Roman"/>
          <w:bCs/>
          <w:iCs/>
          <w:szCs w:val="24"/>
        </w:rPr>
        <w:t>DP&amp;L has both short-term and long-term incentive compensation plans that includes cash bonuses, stock-based awards, and restricted stock awards.</w:t>
      </w:r>
      <w:r>
        <w:rPr>
          <w:rStyle w:val="FootnoteReference"/>
          <w:rFonts w:cs="Times New Roman"/>
          <w:bCs/>
          <w:iCs/>
          <w:szCs w:val="24"/>
        </w:rPr>
        <w:footnoteReference w:id="76"/>
      </w:r>
      <w:r w:rsidRPr="00423400">
        <w:rPr>
          <w:rFonts w:cs="Times New Roman"/>
          <w:bCs/>
          <w:iCs/>
          <w:szCs w:val="24"/>
        </w:rPr>
        <w:t xml:space="preserve"> </w:t>
      </w:r>
      <w:r w:rsidRPr="00423400" w:rsidR="00263347">
        <w:rPr>
          <w:rFonts w:cs="Times New Roman"/>
          <w:bCs/>
          <w:iCs/>
          <w:szCs w:val="24"/>
        </w:rPr>
        <w:t>OCC recommends the PUCO require DP&amp;L to identify the amount of earning-based capitalized incentive compensation for its employees included in rate base since the date certain in the last rate case and exclude it from the revenue requirement. DP&amp;L has capitalized approximately $156 million since the last rate case and should be required to identify the total amount of financial incentives it is asking consumers to pay for.</w:t>
      </w:r>
      <w:r>
        <w:rPr>
          <w:rStyle w:val="FootnoteReference"/>
          <w:rFonts w:cs="Times New Roman"/>
          <w:bCs/>
          <w:iCs/>
          <w:szCs w:val="24"/>
        </w:rPr>
        <w:footnoteReference w:id="77"/>
      </w:r>
      <w:r w:rsidRPr="00423400" w:rsidR="00263347">
        <w:rPr>
          <w:rFonts w:cs="Times New Roman"/>
          <w:bCs/>
          <w:iCs/>
          <w:szCs w:val="24"/>
        </w:rPr>
        <w:t xml:space="preserve"> </w:t>
      </w:r>
      <w:r w:rsidRPr="00423400" w:rsidR="00344A7E">
        <w:rPr>
          <w:rFonts w:cs="Times New Roman"/>
          <w:bCs/>
          <w:iCs/>
          <w:szCs w:val="24"/>
        </w:rPr>
        <w:t>Mr. Willis recommends that b</w:t>
      </w:r>
      <w:r w:rsidRPr="00423400" w:rsidR="00263347">
        <w:rPr>
          <w:rFonts w:cs="Times New Roman"/>
          <w:bCs/>
          <w:iCs/>
          <w:szCs w:val="24"/>
        </w:rPr>
        <w:t>ased on PUCO precedent, financial incentive compensation is not necessary in the provision of electric service to consumers and, if awarded to employees, should be paid for by shareholders, not consumers.</w:t>
      </w:r>
      <w:r>
        <w:rPr>
          <w:rStyle w:val="FootnoteReference"/>
          <w:rFonts w:cs="Times New Roman"/>
          <w:bCs/>
          <w:iCs/>
          <w:szCs w:val="24"/>
        </w:rPr>
        <w:footnoteReference w:id="78"/>
      </w:r>
    </w:p>
    <w:p w:rsidR="00212529" w:rsidRPr="00423400" w:rsidP="001F25A1" w14:paraId="16C54C72" w14:textId="77777777">
      <w:pPr>
        <w:spacing w:after="0" w:line="480" w:lineRule="auto"/>
        <w:ind w:firstLine="720"/>
        <w:rPr>
          <w:rFonts w:cs="Times New Roman"/>
          <w:bCs/>
          <w:iCs/>
          <w:szCs w:val="24"/>
        </w:rPr>
      </w:pPr>
      <w:r w:rsidRPr="00423400">
        <w:rPr>
          <w:rFonts w:cs="Times New Roman"/>
          <w:bCs/>
          <w:iCs/>
          <w:szCs w:val="24"/>
        </w:rPr>
        <w:t>In its Opinion and Order in Case Numbers 17-38-EL-RDR and 18-230-EL-RDR, the PUCO concluded that, “the Commission has previously addressed the issue of incentive compensation in a number of rate cases and rider proceedings.</w:t>
      </w:r>
      <w:r>
        <w:rPr>
          <w:rStyle w:val="FootnoteReference"/>
          <w:rFonts w:cs="Times New Roman"/>
          <w:bCs/>
          <w:iCs/>
          <w:szCs w:val="24"/>
        </w:rPr>
        <w:footnoteReference w:id="79"/>
      </w:r>
      <w:r w:rsidRPr="00423400">
        <w:rPr>
          <w:rFonts w:cs="Times New Roman"/>
          <w:bCs/>
          <w:iCs/>
          <w:szCs w:val="24"/>
        </w:rPr>
        <w:t xml:space="preserve"> In these prior cases, the </w:t>
      </w:r>
      <w:r w:rsidRPr="00423400" w:rsidR="00CD7B89">
        <w:rPr>
          <w:rFonts w:cs="Times New Roman"/>
          <w:bCs/>
          <w:iCs/>
          <w:szCs w:val="24"/>
        </w:rPr>
        <w:t>PUCO</w:t>
      </w:r>
      <w:r w:rsidRPr="00423400">
        <w:rPr>
          <w:rFonts w:cs="Times New Roman"/>
          <w:bCs/>
          <w:iCs/>
          <w:szCs w:val="24"/>
        </w:rPr>
        <w:t xml:space="preserve"> has concluded that, to the extent that a public utility awards financial incentives to its employees for achieving financial goals, shareholders are the primary beneficiary and, therefore, that portion of the incentive compensation should not be collected from consumers.</w:t>
      </w:r>
      <w:r>
        <w:rPr>
          <w:rStyle w:val="FootnoteReference"/>
          <w:rFonts w:cs="Times New Roman"/>
          <w:bCs/>
          <w:iCs/>
          <w:szCs w:val="24"/>
        </w:rPr>
        <w:footnoteReference w:id="80"/>
      </w:r>
      <w:r w:rsidRPr="00423400" w:rsidR="00B60B67">
        <w:rPr>
          <w:rFonts w:cs="Times New Roman"/>
          <w:bCs/>
          <w:iCs/>
          <w:szCs w:val="24"/>
        </w:rPr>
        <w:t xml:space="preserve"> </w:t>
      </w:r>
      <w:r w:rsidRPr="00423400" w:rsidR="00E71B11">
        <w:rPr>
          <w:rFonts w:cs="Times New Roman"/>
          <w:bCs/>
          <w:iCs/>
          <w:szCs w:val="24"/>
        </w:rPr>
        <w:t>In the present case, the PUCO should follow this established precedent and exclude this item from base rates.</w:t>
      </w:r>
    </w:p>
    <w:p w:rsidR="00D71DB7" w:rsidRPr="00423400" w:rsidP="00E33EE0" w14:paraId="2A127BBF" w14:textId="77777777">
      <w:pPr>
        <w:spacing w:after="0" w:line="480" w:lineRule="auto"/>
        <w:ind w:firstLine="720"/>
        <w:rPr>
          <w:rFonts w:cs="Times New Roman"/>
          <w:szCs w:val="24"/>
        </w:rPr>
      </w:pPr>
      <w:r w:rsidRPr="00423400">
        <w:rPr>
          <w:rFonts w:cs="Times New Roman"/>
          <w:bCs/>
          <w:iCs/>
          <w:szCs w:val="24"/>
        </w:rPr>
        <w:t>To protect consumers from paying higher rates that are not just and reasonable, t</w:t>
      </w:r>
      <w:r w:rsidRPr="00423400" w:rsidR="00CD7B89">
        <w:rPr>
          <w:rFonts w:cs="Times New Roman"/>
          <w:bCs/>
          <w:iCs/>
          <w:szCs w:val="24"/>
        </w:rPr>
        <w:t xml:space="preserve">he PUCO should </w:t>
      </w:r>
      <w:r w:rsidRPr="00423400" w:rsidR="00D51601">
        <w:rPr>
          <w:rFonts w:cs="Times New Roman"/>
          <w:bCs/>
          <w:iCs/>
          <w:szCs w:val="24"/>
        </w:rPr>
        <w:t>st</w:t>
      </w:r>
      <w:r w:rsidRPr="00423400" w:rsidR="009339A7">
        <w:rPr>
          <w:rFonts w:cs="Times New Roman"/>
          <w:bCs/>
          <w:iCs/>
          <w:szCs w:val="24"/>
        </w:rPr>
        <w:t>a</w:t>
      </w:r>
      <w:r w:rsidRPr="00423400" w:rsidR="00D51601">
        <w:rPr>
          <w:rFonts w:cs="Times New Roman"/>
          <w:bCs/>
          <w:iCs/>
          <w:szCs w:val="24"/>
        </w:rPr>
        <w:t xml:space="preserve">y consistent with its precedent in this case </w:t>
      </w:r>
      <w:r w:rsidR="00960F42">
        <w:rPr>
          <w:rFonts w:cs="Times New Roman"/>
          <w:bCs/>
          <w:iCs/>
          <w:szCs w:val="24"/>
        </w:rPr>
        <w:t xml:space="preserve">(and others) </w:t>
      </w:r>
      <w:r w:rsidRPr="00423400" w:rsidR="00D51601">
        <w:rPr>
          <w:rFonts w:cs="Times New Roman"/>
          <w:bCs/>
          <w:iCs/>
          <w:szCs w:val="24"/>
        </w:rPr>
        <w:t>and disallow any performance</w:t>
      </w:r>
      <w:r w:rsidRPr="00423400" w:rsidR="00E71B11">
        <w:rPr>
          <w:rFonts w:cs="Times New Roman"/>
          <w:bCs/>
          <w:iCs/>
          <w:szCs w:val="24"/>
        </w:rPr>
        <w:t>-</w:t>
      </w:r>
      <w:r w:rsidRPr="00423400" w:rsidR="00D51601">
        <w:rPr>
          <w:rFonts w:cs="Times New Roman"/>
          <w:bCs/>
          <w:iCs/>
          <w:szCs w:val="24"/>
        </w:rPr>
        <w:t>based incentive compensation charges to consumers. This cost should be borne by the shareholders who directly benefit from incentive compensation, not consumers.</w:t>
      </w:r>
    </w:p>
    <w:p w:rsidR="00C72FB9" w:rsidRPr="00423400" w:rsidP="0012105E" w14:paraId="2222090F" w14:textId="77777777">
      <w:pPr>
        <w:pStyle w:val="Heading2"/>
        <w:ind w:left="1440" w:hanging="720"/>
        <w:rPr>
          <w:color w:val="auto"/>
          <w:sz w:val="24"/>
          <w:szCs w:val="24"/>
        </w:rPr>
      </w:pPr>
      <w:bookmarkStart w:id="24" w:name="_Toc96960351"/>
      <w:bookmarkStart w:id="25" w:name="_Toc96960393"/>
      <w:bookmarkStart w:id="26" w:name="_Toc97298200"/>
      <w:r w:rsidRPr="00423400">
        <w:rPr>
          <w:color w:val="auto"/>
          <w:sz w:val="24"/>
          <w:szCs w:val="24"/>
        </w:rPr>
        <w:t xml:space="preserve">To protect consumers from paying higher rates, the PUCO </w:t>
      </w:r>
      <w:r w:rsidRPr="00423400" w:rsidR="009F6B8E">
        <w:rPr>
          <w:color w:val="auto"/>
          <w:sz w:val="24"/>
          <w:szCs w:val="24"/>
        </w:rPr>
        <w:t xml:space="preserve">should </w:t>
      </w:r>
      <w:r w:rsidRPr="00423400" w:rsidR="00144BD8">
        <w:rPr>
          <w:color w:val="auto"/>
          <w:sz w:val="24"/>
          <w:szCs w:val="24"/>
        </w:rPr>
        <w:t>mak</w:t>
      </w:r>
      <w:r w:rsidRPr="00423400" w:rsidR="009F6B8E">
        <w:rPr>
          <w:color w:val="auto"/>
          <w:sz w:val="24"/>
          <w:szCs w:val="24"/>
        </w:rPr>
        <w:t>e</w:t>
      </w:r>
      <w:r w:rsidRPr="00423400" w:rsidR="00144BD8">
        <w:rPr>
          <w:color w:val="auto"/>
          <w:sz w:val="24"/>
          <w:szCs w:val="24"/>
        </w:rPr>
        <w:t xml:space="preserve"> a plant in service adjustment to exclude $16.8 million in improper capitalized storm costs</w:t>
      </w:r>
      <w:r w:rsidRPr="00423400" w:rsidR="009F6B8E">
        <w:rPr>
          <w:color w:val="auto"/>
          <w:sz w:val="24"/>
          <w:szCs w:val="24"/>
        </w:rPr>
        <w:t xml:space="preserve"> from rate base</w:t>
      </w:r>
      <w:r w:rsidRPr="00423400" w:rsidR="00BE17BE">
        <w:rPr>
          <w:color w:val="auto"/>
          <w:sz w:val="24"/>
          <w:szCs w:val="24"/>
        </w:rPr>
        <w:t xml:space="preserve"> and should make depreciation reserve adjustments based on OCC’s recommended storm cost and capitalized incentive adjustments</w:t>
      </w:r>
      <w:r w:rsidRPr="00423400" w:rsidR="00144BD8">
        <w:rPr>
          <w:color w:val="auto"/>
          <w:sz w:val="24"/>
          <w:szCs w:val="24"/>
        </w:rPr>
        <w:t>.</w:t>
      </w:r>
      <w:bookmarkEnd w:id="24"/>
      <w:bookmarkEnd w:id="25"/>
      <w:bookmarkEnd w:id="26"/>
      <w:r w:rsidRPr="00423400" w:rsidR="00144BD8">
        <w:rPr>
          <w:color w:val="auto"/>
          <w:sz w:val="24"/>
          <w:szCs w:val="24"/>
        </w:rPr>
        <w:t xml:space="preserve"> </w:t>
      </w:r>
    </w:p>
    <w:p w:rsidR="00A273AC" w:rsidRPr="00423400" w:rsidP="0012105E" w14:paraId="0EC2408C" w14:textId="77777777">
      <w:pPr>
        <w:spacing w:before="240" w:after="0" w:line="480" w:lineRule="auto"/>
        <w:ind w:firstLine="720"/>
        <w:rPr>
          <w:rFonts w:cs="Times New Roman"/>
          <w:szCs w:val="24"/>
        </w:rPr>
      </w:pPr>
      <w:r w:rsidRPr="00423400">
        <w:rPr>
          <w:rFonts w:cs="Times New Roman"/>
          <w:szCs w:val="24"/>
        </w:rPr>
        <w:t>Consumers should not pay for capitalized storm costs. The PUCO Staff failed to address capitalized storm cost</w:t>
      </w:r>
      <w:r w:rsidR="009B5F0A">
        <w:rPr>
          <w:rFonts w:cs="Times New Roman"/>
          <w:szCs w:val="24"/>
        </w:rPr>
        <w:t>s</w:t>
      </w:r>
      <w:r w:rsidRPr="00423400">
        <w:rPr>
          <w:rFonts w:cs="Times New Roman"/>
          <w:szCs w:val="24"/>
        </w:rPr>
        <w:t xml:space="preserve"> that are either inappropriate for collection from consumers altogether or inappropriate for inclusion in rate base.</w:t>
      </w:r>
      <w:r>
        <w:rPr>
          <w:rStyle w:val="FootnoteReference"/>
          <w:rFonts w:cs="Times New Roman"/>
          <w:szCs w:val="24"/>
        </w:rPr>
        <w:footnoteReference w:id="81"/>
      </w:r>
      <w:r w:rsidRPr="00423400">
        <w:rPr>
          <w:rFonts w:cs="Times New Roman"/>
          <w:szCs w:val="24"/>
        </w:rPr>
        <w:t xml:space="preserve"> Since date certain in the last rate case, DP&amp;L recorded 19 major storms and booked to plant in service $28.9 million in storm costs.</w:t>
      </w:r>
      <w:r>
        <w:rPr>
          <w:rStyle w:val="FootnoteReference"/>
          <w:rFonts w:cs="Times New Roman"/>
          <w:szCs w:val="24"/>
        </w:rPr>
        <w:footnoteReference w:id="82"/>
      </w:r>
      <w:r w:rsidRPr="00423400">
        <w:rPr>
          <w:rFonts w:cs="Times New Roman"/>
          <w:szCs w:val="24"/>
        </w:rPr>
        <w:t xml:space="preserve"> OCC</w:t>
      </w:r>
      <w:r w:rsidRPr="00423400" w:rsidR="005945A0">
        <w:rPr>
          <w:rFonts w:cs="Times New Roman"/>
          <w:szCs w:val="24"/>
        </w:rPr>
        <w:t>’s expert, Mr. Willis</w:t>
      </w:r>
      <w:r w:rsidRPr="00423400">
        <w:rPr>
          <w:rFonts w:cs="Times New Roman"/>
          <w:szCs w:val="24"/>
        </w:rPr>
        <w:t xml:space="preserve"> recommends an adjustment of $16.8 million to remove administrative and general overheads, operation and maintenance expenses, cash bonuses, meals, picnics and parties, travel, and office supplies that do not qualify for rate base, rate of return recovery.</w:t>
      </w:r>
      <w:r>
        <w:rPr>
          <w:rStyle w:val="FootnoteReference"/>
          <w:rFonts w:cs="Times New Roman"/>
          <w:szCs w:val="24"/>
        </w:rPr>
        <w:footnoteReference w:id="83"/>
      </w:r>
      <w:r w:rsidRPr="00423400">
        <w:rPr>
          <w:rFonts w:cs="Times New Roman"/>
          <w:szCs w:val="24"/>
        </w:rPr>
        <w:t xml:space="preserve"> </w:t>
      </w:r>
    </w:p>
    <w:p w:rsidR="00202D3E" w:rsidRPr="00423400" w:rsidP="00461FEA" w14:paraId="4D32E1E6" w14:textId="77777777">
      <w:pPr>
        <w:spacing w:after="0" w:line="480" w:lineRule="auto"/>
        <w:rPr>
          <w:rFonts w:cs="Times New Roman"/>
          <w:szCs w:val="24"/>
        </w:rPr>
      </w:pPr>
      <w:r w:rsidRPr="00423400">
        <w:rPr>
          <w:rFonts w:cs="Times New Roman"/>
          <w:szCs w:val="24"/>
        </w:rPr>
        <w:tab/>
        <w:t xml:space="preserve">Capitalized costs such as cash bonuses and picnics and parties should be excluded from the revenue requirement altogether as they </w:t>
      </w:r>
      <w:r w:rsidRPr="00423400">
        <w:rPr>
          <w:rFonts w:cs="Times New Roman"/>
          <w:bCs/>
          <w:iCs/>
          <w:szCs w:val="24"/>
        </w:rPr>
        <w:t>are not necessary in the provision of electric service to consumers and should be paid for by shareholders, not consumers.</w:t>
      </w:r>
      <w:r>
        <w:rPr>
          <w:rStyle w:val="FootnoteReference"/>
          <w:rFonts w:cs="Times New Roman"/>
          <w:bCs/>
          <w:iCs/>
          <w:szCs w:val="24"/>
        </w:rPr>
        <w:footnoteReference w:id="84"/>
      </w:r>
      <w:r w:rsidRPr="00423400">
        <w:rPr>
          <w:rFonts w:cs="Times New Roman"/>
          <w:bCs/>
          <w:iCs/>
          <w:szCs w:val="24"/>
        </w:rPr>
        <w:t xml:space="preserve"> </w:t>
      </w:r>
      <w:r w:rsidRPr="00423400">
        <w:rPr>
          <w:rFonts w:cs="Times New Roman"/>
          <w:szCs w:val="24"/>
        </w:rPr>
        <w:t>The other items identified above would be more appropriate for recovery in the Storm Cost Rider (if at all) as an operating expense and not included in rate base and collected through a return on and return of capital.</w:t>
      </w:r>
      <w:r>
        <w:rPr>
          <w:rStyle w:val="FootnoteReference"/>
          <w:rFonts w:cs="Times New Roman"/>
          <w:szCs w:val="24"/>
        </w:rPr>
        <w:footnoteReference w:id="85"/>
      </w:r>
      <w:r w:rsidRPr="00423400">
        <w:rPr>
          <w:rFonts w:cs="Times New Roman"/>
          <w:szCs w:val="24"/>
        </w:rPr>
        <w:t xml:space="preserve"> </w:t>
      </w:r>
    </w:p>
    <w:p w:rsidR="006E24BC" w:rsidRPr="00423400" w:rsidP="00D84AB4" w14:paraId="34110062" w14:textId="77777777">
      <w:pPr>
        <w:spacing w:after="0" w:line="480" w:lineRule="auto"/>
        <w:ind w:firstLine="720"/>
        <w:rPr>
          <w:rFonts w:cs="Times New Roman"/>
          <w:szCs w:val="24"/>
        </w:rPr>
      </w:pPr>
      <w:r w:rsidRPr="00423400">
        <w:rPr>
          <w:rFonts w:cs="Times New Roman"/>
          <w:szCs w:val="24"/>
        </w:rPr>
        <w:t xml:space="preserve">The PUCO should also adjust DP&amp;L’s depreciation reserve and depreciation expenses. According to Mr. Willis, DP&amp;L’s depreciation reserve should be reduced by ($485,717) resulting from the plant in service adjustment to exclude the capitalized storm costs </w:t>
      </w:r>
      <w:r w:rsidRPr="00423400" w:rsidR="00461FEA">
        <w:rPr>
          <w:rFonts w:cs="Times New Roman"/>
          <w:szCs w:val="24"/>
        </w:rPr>
        <w:t>he</w:t>
      </w:r>
      <w:r w:rsidRPr="00423400">
        <w:rPr>
          <w:rFonts w:cs="Times New Roman"/>
          <w:szCs w:val="24"/>
        </w:rPr>
        <w:t xml:space="preserve"> recommended. Depreciation reserve will also need to be further reduced once the capitalized incentives are identified and removed from plant-in-service.</w:t>
      </w:r>
      <w:r>
        <w:rPr>
          <w:rStyle w:val="FootnoteReference"/>
          <w:rFonts w:cs="Times New Roman"/>
          <w:szCs w:val="24"/>
        </w:rPr>
        <w:footnoteReference w:id="86"/>
      </w:r>
    </w:p>
    <w:p w:rsidR="00322B96" w:rsidP="0012105E" w14:paraId="0B48828D" w14:textId="77777777">
      <w:pPr>
        <w:spacing w:after="0" w:line="480" w:lineRule="auto"/>
        <w:rPr>
          <w:rFonts w:cs="Times New Roman"/>
          <w:szCs w:val="24"/>
        </w:rPr>
      </w:pPr>
      <w:r w:rsidRPr="00423400">
        <w:rPr>
          <w:rFonts w:cs="Times New Roman"/>
          <w:szCs w:val="24"/>
        </w:rPr>
        <w:tab/>
        <w:t>To protect consumers from paying higher rates the PUCO should remove $16.8 million in improperly capitalized storm costs from rate base.</w:t>
      </w:r>
    </w:p>
    <w:p w:rsidR="00322B96" w14:paraId="77C5119E" w14:textId="77777777">
      <w:pPr>
        <w:rPr>
          <w:rFonts w:cs="Times New Roman"/>
          <w:szCs w:val="24"/>
        </w:rPr>
      </w:pPr>
      <w:r>
        <w:rPr>
          <w:rFonts w:cs="Times New Roman"/>
          <w:szCs w:val="24"/>
        </w:rPr>
        <w:br w:type="page"/>
      </w:r>
    </w:p>
    <w:p w:rsidR="00A24D25" w:rsidRPr="00423400" w:rsidP="00454D7A" w14:paraId="5E41D5A7" w14:textId="77777777">
      <w:pPr>
        <w:pStyle w:val="Heading1"/>
        <w:keepNext w:val="0"/>
        <w:keepLines w:val="0"/>
        <w:widowControl w:val="0"/>
        <w:spacing w:after="240"/>
        <w:rPr>
          <w:rFonts w:cs="Times New Roman"/>
          <w:b/>
          <w:bCs/>
          <w:szCs w:val="24"/>
        </w:rPr>
      </w:pPr>
      <w:bookmarkStart w:id="27" w:name="_Toc96960352"/>
      <w:bookmarkStart w:id="28" w:name="_Toc96960394"/>
      <w:bookmarkStart w:id="29" w:name="_Toc97298201"/>
      <w:r w:rsidRPr="00423400">
        <w:rPr>
          <w:rFonts w:cs="Times New Roman"/>
          <w:b/>
          <w:bCs/>
          <w:szCs w:val="24"/>
        </w:rPr>
        <w:t xml:space="preserve">OCC’s RECOMMENDED CHANGES TO </w:t>
      </w:r>
      <w:r w:rsidRPr="00423400" w:rsidR="005E7E9F">
        <w:rPr>
          <w:rFonts w:cs="Times New Roman"/>
          <w:b/>
          <w:bCs/>
          <w:szCs w:val="24"/>
        </w:rPr>
        <w:t>OPERATING INCOME</w:t>
      </w:r>
      <w:bookmarkEnd w:id="27"/>
      <w:bookmarkEnd w:id="28"/>
      <w:bookmarkEnd w:id="29"/>
    </w:p>
    <w:p w:rsidR="00C72FB9" w:rsidRPr="00423400" w:rsidP="0012105E" w14:paraId="1EAE603B" w14:textId="77777777">
      <w:pPr>
        <w:pStyle w:val="Heading2"/>
        <w:ind w:left="1440" w:hanging="720"/>
        <w:rPr>
          <w:color w:val="auto"/>
          <w:sz w:val="24"/>
          <w:szCs w:val="24"/>
        </w:rPr>
      </w:pPr>
      <w:bookmarkStart w:id="30" w:name="_Toc96960353"/>
      <w:bookmarkStart w:id="31" w:name="_Toc96960395"/>
      <w:bookmarkStart w:id="32" w:name="_Toc97298202"/>
      <w:r w:rsidRPr="00423400">
        <w:rPr>
          <w:color w:val="auto"/>
          <w:sz w:val="24"/>
          <w:szCs w:val="24"/>
        </w:rPr>
        <w:t xml:space="preserve">To protect consumers, </w:t>
      </w:r>
      <w:r w:rsidRPr="00423400" w:rsidR="00107FA5">
        <w:rPr>
          <w:color w:val="auto"/>
          <w:sz w:val="24"/>
          <w:szCs w:val="24"/>
        </w:rPr>
        <w:t>the PUCO should reject PUCO Staff</w:t>
      </w:r>
      <w:r w:rsidRPr="00423400" w:rsidR="005D302E">
        <w:rPr>
          <w:color w:val="auto"/>
          <w:sz w:val="24"/>
          <w:szCs w:val="24"/>
        </w:rPr>
        <w:t>’s recommendation that</w:t>
      </w:r>
      <w:r w:rsidRPr="00423400" w:rsidR="00AA07C9">
        <w:rPr>
          <w:color w:val="auto"/>
          <w:sz w:val="24"/>
          <w:szCs w:val="24"/>
        </w:rPr>
        <w:t xml:space="preserve"> only </w:t>
      </w:r>
      <w:r w:rsidRPr="00423400" w:rsidR="005D302E">
        <w:rPr>
          <w:color w:val="auto"/>
          <w:sz w:val="24"/>
          <w:szCs w:val="24"/>
        </w:rPr>
        <w:t xml:space="preserve">the </w:t>
      </w:r>
      <w:r w:rsidRPr="00423400" w:rsidR="00AA07C9">
        <w:rPr>
          <w:color w:val="auto"/>
          <w:sz w:val="24"/>
          <w:szCs w:val="24"/>
        </w:rPr>
        <w:t xml:space="preserve">$14,534 associated with dues and memberships be removed from test year expenses, when instead, at least $241,572 should be removed from test year </w:t>
      </w:r>
      <w:r w:rsidRPr="00423400" w:rsidR="00C93FA7">
        <w:rPr>
          <w:color w:val="auto"/>
          <w:sz w:val="24"/>
          <w:szCs w:val="24"/>
        </w:rPr>
        <w:t>operations and management (“O&amp;M”)</w:t>
      </w:r>
      <w:r w:rsidRPr="00423400" w:rsidR="00AA07C9">
        <w:rPr>
          <w:color w:val="auto"/>
          <w:sz w:val="24"/>
          <w:szCs w:val="24"/>
        </w:rPr>
        <w:t xml:space="preserve"> expenses.</w:t>
      </w:r>
      <w:bookmarkEnd w:id="30"/>
      <w:bookmarkEnd w:id="31"/>
      <w:bookmarkEnd w:id="32"/>
      <w:r w:rsidRPr="00423400" w:rsidR="00AA07C9">
        <w:rPr>
          <w:color w:val="auto"/>
          <w:sz w:val="24"/>
          <w:szCs w:val="24"/>
        </w:rPr>
        <w:t xml:space="preserve"> </w:t>
      </w:r>
    </w:p>
    <w:p w:rsidR="00F24EF4" w:rsidRPr="00423400" w:rsidP="0012105E" w14:paraId="22AE74E0" w14:textId="77777777">
      <w:pPr>
        <w:spacing w:before="240" w:after="0" w:line="480" w:lineRule="auto"/>
        <w:ind w:firstLine="720"/>
        <w:rPr>
          <w:rFonts w:cs="Times New Roman"/>
          <w:szCs w:val="24"/>
        </w:rPr>
      </w:pPr>
      <w:r w:rsidRPr="00423400">
        <w:rPr>
          <w:rFonts w:cs="Times New Roman"/>
          <w:szCs w:val="24"/>
        </w:rPr>
        <w:t xml:space="preserve">Consumers should not be forced to </w:t>
      </w:r>
      <w:r w:rsidRPr="00423400" w:rsidR="00613AA2">
        <w:rPr>
          <w:rFonts w:cs="Times New Roman"/>
          <w:szCs w:val="24"/>
        </w:rPr>
        <w:t xml:space="preserve">pay for </w:t>
      </w:r>
      <w:r w:rsidRPr="00423400" w:rsidR="005601BC">
        <w:rPr>
          <w:rFonts w:cs="Times New Roman"/>
          <w:szCs w:val="24"/>
        </w:rPr>
        <w:t>DP&amp;L’s</w:t>
      </w:r>
      <w:r w:rsidRPr="00423400" w:rsidR="00613AA2">
        <w:rPr>
          <w:rFonts w:cs="Times New Roman"/>
          <w:szCs w:val="24"/>
        </w:rPr>
        <w:t xml:space="preserve"> trade association dues and memberships. </w:t>
      </w:r>
      <w:r w:rsidRPr="00423400" w:rsidR="00F45566">
        <w:rPr>
          <w:rFonts w:cs="Times New Roman"/>
          <w:szCs w:val="24"/>
        </w:rPr>
        <w:t xml:space="preserve">OCC’s expert </w:t>
      </w:r>
      <w:r w:rsidRPr="00423400" w:rsidR="008651F6">
        <w:rPr>
          <w:rFonts w:cs="Times New Roman"/>
          <w:szCs w:val="24"/>
        </w:rPr>
        <w:t xml:space="preserve">Mr. Willis </w:t>
      </w:r>
      <w:r w:rsidRPr="00423400" w:rsidR="00F45566">
        <w:rPr>
          <w:rFonts w:cs="Times New Roman"/>
          <w:szCs w:val="24"/>
        </w:rPr>
        <w:t xml:space="preserve">testified that </w:t>
      </w:r>
      <w:r w:rsidRPr="00423400" w:rsidR="00301338">
        <w:rPr>
          <w:rFonts w:cs="Times New Roman"/>
          <w:szCs w:val="24"/>
        </w:rPr>
        <w:t xml:space="preserve">the PUCO Staff excluded </w:t>
      </w:r>
      <w:r w:rsidRPr="00423400">
        <w:rPr>
          <w:rFonts w:cs="Times New Roman"/>
          <w:szCs w:val="24"/>
        </w:rPr>
        <w:t xml:space="preserve">$14,535 associated with trade association dues and memberships from </w:t>
      </w:r>
      <w:r w:rsidRPr="00423400" w:rsidR="000D2DB2">
        <w:rPr>
          <w:rFonts w:cs="Times New Roman"/>
          <w:szCs w:val="24"/>
        </w:rPr>
        <w:t xml:space="preserve">DP&amp;L’s </w:t>
      </w:r>
      <w:r w:rsidRPr="00423400">
        <w:rPr>
          <w:rFonts w:cs="Times New Roman"/>
          <w:szCs w:val="24"/>
        </w:rPr>
        <w:t>test year expenses</w:t>
      </w:r>
      <w:r w:rsidRPr="00423400" w:rsidR="000D2DB2">
        <w:rPr>
          <w:rFonts w:cs="Times New Roman"/>
          <w:szCs w:val="24"/>
        </w:rPr>
        <w:t xml:space="preserve"> because they were not proper to collect from consumers</w:t>
      </w:r>
      <w:r w:rsidRPr="00423400">
        <w:rPr>
          <w:rFonts w:cs="Times New Roman"/>
          <w:szCs w:val="24"/>
        </w:rPr>
        <w:t>.</w:t>
      </w:r>
      <w:r>
        <w:rPr>
          <w:rStyle w:val="FootnoteReference"/>
          <w:rFonts w:cs="Times New Roman"/>
          <w:szCs w:val="24"/>
        </w:rPr>
        <w:footnoteReference w:id="87"/>
      </w:r>
      <w:r w:rsidRPr="00423400">
        <w:rPr>
          <w:rFonts w:cs="Times New Roman"/>
          <w:szCs w:val="24"/>
        </w:rPr>
        <w:t xml:space="preserve"> </w:t>
      </w:r>
      <w:r w:rsidRPr="00423400" w:rsidR="00501196">
        <w:rPr>
          <w:rFonts w:cs="Times New Roman"/>
          <w:szCs w:val="24"/>
        </w:rPr>
        <w:t>Mr. Willis also testified that t</w:t>
      </w:r>
      <w:r w:rsidRPr="00423400">
        <w:rPr>
          <w:rFonts w:cs="Times New Roman"/>
          <w:szCs w:val="24"/>
        </w:rPr>
        <w:t>he PUCO Staff indicated that consumers should not be required to pay for them, and recovery in rates is inappropriate</w:t>
      </w:r>
      <w:r w:rsidRPr="00423400" w:rsidR="00F45566">
        <w:rPr>
          <w:rFonts w:cs="Times New Roman"/>
          <w:szCs w:val="24"/>
        </w:rPr>
        <w:t>.</w:t>
      </w:r>
      <w:r>
        <w:rPr>
          <w:rStyle w:val="FootnoteReference"/>
          <w:rFonts w:cs="Times New Roman"/>
          <w:szCs w:val="24"/>
        </w:rPr>
        <w:footnoteReference w:id="88"/>
      </w:r>
      <w:r w:rsidRPr="00423400">
        <w:rPr>
          <w:rFonts w:cs="Times New Roman"/>
          <w:szCs w:val="24"/>
        </w:rPr>
        <w:t xml:space="preserve"> </w:t>
      </w:r>
      <w:r w:rsidRPr="00423400" w:rsidR="005D0C73">
        <w:rPr>
          <w:rFonts w:cs="Times New Roman"/>
          <w:szCs w:val="24"/>
        </w:rPr>
        <w:t>And more concerning, Mr. Willis noted that t</w:t>
      </w:r>
      <w:r w:rsidRPr="00423400">
        <w:rPr>
          <w:rFonts w:cs="Times New Roman"/>
          <w:szCs w:val="24"/>
        </w:rPr>
        <w:t>he PUCO Staff Report</w:t>
      </w:r>
      <w:r w:rsidRPr="00423400" w:rsidR="00B60B67">
        <w:rPr>
          <w:rFonts w:cs="Times New Roman"/>
          <w:szCs w:val="24"/>
        </w:rPr>
        <w:t xml:space="preserve"> </w:t>
      </w:r>
      <w:r w:rsidRPr="00423400">
        <w:rPr>
          <w:rFonts w:cs="Times New Roman"/>
          <w:szCs w:val="24"/>
        </w:rPr>
        <w:t>identified a portion of the Edison Electric Institute (EEI) dues attributable to lobbying expense.</w:t>
      </w:r>
      <w:r>
        <w:rPr>
          <w:rStyle w:val="FootnoteReference"/>
          <w:rFonts w:cs="Times New Roman"/>
          <w:szCs w:val="24"/>
        </w:rPr>
        <w:footnoteReference w:id="89"/>
      </w:r>
      <w:r w:rsidRPr="00423400">
        <w:rPr>
          <w:rFonts w:cs="Times New Roman"/>
          <w:szCs w:val="24"/>
        </w:rPr>
        <w:t xml:space="preserve"> </w:t>
      </w:r>
    </w:p>
    <w:p w:rsidR="00F01A92" w:rsidRPr="00423400" w:rsidP="0012105E" w14:paraId="19C68D1E" w14:textId="77777777">
      <w:pPr>
        <w:spacing w:line="480" w:lineRule="auto"/>
        <w:rPr>
          <w:rFonts w:cs="Times New Roman"/>
          <w:szCs w:val="24"/>
        </w:rPr>
      </w:pPr>
      <w:r w:rsidRPr="00423400">
        <w:rPr>
          <w:rFonts w:cs="Times New Roman"/>
          <w:szCs w:val="24"/>
        </w:rPr>
        <w:tab/>
        <w:t>While OCC agrees with the PUCO Staff’s rational</w:t>
      </w:r>
      <w:r w:rsidRPr="00423400" w:rsidR="00CF3902">
        <w:rPr>
          <w:rFonts w:cs="Times New Roman"/>
          <w:szCs w:val="24"/>
        </w:rPr>
        <w:t>e</w:t>
      </w:r>
      <w:r w:rsidRPr="00423400">
        <w:rPr>
          <w:rFonts w:cs="Times New Roman"/>
          <w:szCs w:val="24"/>
        </w:rPr>
        <w:t xml:space="preserve"> for excluding these expenses, the PUCO Staff did not go far enough. OCC recommends reducing test year operating expenses by $241,572, as DP&amp;L has failed to meet its burden of proof that these expenses are ordinary and necessary in the provision of electric service to consumers</w:t>
      </w:r>
      <w:r w:rsidRPr="00423400" w:rsidR="00E56DD9">
        <w:rPr>
          <w:rFonts w:cs="Times New Roman"/>
          <w:szCs w:val="24"/>
        </w:rPr>
        <w:t>.</w:t>
      </w:r>
      <w:r>
        <w:rPr>
          <w:rStyle w:val="FootnoteReference"/>
          <w:rFonts w:cs="Times New Roman"/>
          <w:szCs w:val="24"/>
        </w:rPr>
        <w:footnoteReference w:id="90"/>
      </w:r>
    </w:p>
    <w:p w:rsidR="00C72FB9" w:rsidRPr="00423400" w:rsidP="0012105E" w14:paraId="71208645" w14:textId="77777777">
      <w:pPr>
        <w:pStyle w:val="Heading2"/>
        <w:ind w:left="1440" w:hanging="720"/>
        <w:rPr>
          <w:color w:val="auto"/>
          <w:sz w:val="24"/>
          <w:szCs w:val="24"/>
        </w:rPr>
      </w:pPr>
      <w:bookmarkStart w:id="33" w:name="_Toc96960354"/>
      <w:bookmarkStart w:id="34" w:name="_Toc96960396"/>
      <w:bookmarkStart w:id="35" w:name="_Toc97298203"/>
      <w:r w:rsidRPr="00423400">
        <w:rPr>
          <w:color w:val="auto"/>
          <w:sz w:val="24"/>
          <w:szCs w:val="24"/>
        </w:rPr>
        <w:t>To protect consumers from paying higher rates</w:t>
      </w:r>
      <w:r w:rsidRPr="00423400" w:rsidR="00D570A5">
        <w:rPr>
          <w:color w:val="auto"/>
          <w:sz w:val="24"/>
          <w:szCs w:val="24"/>
        </w:rPr>
        <w:t xml:space="preserve">, the PUCO should require </w:t>
      </w:r>
      <w:r w:rsidRPr="00423400" w:rsidR="005601BC">
        <w:rPr>
          <w:color w:val="auto"/>
          <w:sz w:val="24"/>
          <w:szCs w:val="24"/>
        </w:rPr>
        <w:t>DP&amp;L</w:t>
      </w:r>
      <w:r w:rsidRPr="00423400" w:rsidR="00D570A5">
        <w:rPr>
          <w:color w:val="auto"/>
          <w:sz w:val="24"/>
          <w:szCs w:val="24"/>
        </w:rPr>
        <w:t xml:space="preserve"> to make </w:t>
      </w:r>
      <w:r w:rsidRPr="00423400" w:rsidR="00AA07C9">
        <w:rPr>
          <w:color w:val="auto"/>
          <w:sz w:val="24"/>
          <w:szCs w:val="24"/>
        </w:rPr>
        <w:t>depreciation expense adjustments based</w:t>
      </w:r>
      <w:r w:rsidRPr="00423400" w:rsidR="00B60B67">
        <w:rPr>
          <w:color w:val="auto"/>
          <w:sz w:val="24"/>
          <w:szCs w:val="24"/>
        </w:rPr>
        <w:t xml:space="preserve"> </w:t>
      </w:r>
      <w:r w:rsidRPr="00423400" w:rsidR="00AA07C9">
        <w:rPr>
          <w:color w:val="auto"/>
          <w:sz w:val="24"/>
          <w:szCs w:val="24"/>
        </w:rPr>
        <w:t>on</w:t>
      </w:r>
      <w:r w:rsidRPr="00423400" w:rsidR="00B60B67">
        <w:rPr>
          <w:color w:val="auto"/>
          <w:sz w:val="24"/>
          <w:szCs w:val="24"/>
        </w:rPr>
        <w:t xml:space="preserve"> </w:t>
      </w:r>
      <w:r w:rsidRPr="00423400" w:rsidR="00AA07C9">
        <w:rPr>
          <w:color w:val="auto"/>
          <w:sz w:val="24"/>
          <w:szCs w:val="24"/>
        </w:rPr>
        <w:t>OCC’s</w:t>
      </w:r>
      <w:r w:rsidRPr="00423400" w:rsidR="00B60B67">
        <w:rPr>
          <w:color w:val="auto"/>
          <w:sz w:val="24"/>
          <w:szCs w:val="24"/>
        </w:rPr>
        <w:t xml:space="preserve"> </w:t>
      </w:r>
      <w:r w:rsidRPr="00423400" w:rsidR="00AA07C9">
        <w:rPr>
          <w:color w:val="auto"/>
          <w:sz w:val="24"/>
          <w:szCs w:val="24"/>
        </w:rPr>
        <w:t>recommended</w:t>
      </w:r>
      <w:r w:rsidRPr="00423400" w:rsidR="00B60B67">
        <w:rPr>
          <w:color w:val="auto"/>
          <w:sz w:val="24"/>
          <w:szCs w:val="24"/>
        </w:rPr>
        <w:t xml:space="preserve"> </w:t>
      </w:r>
      <w:r w:rsidRPr="00423400" w:rsidR="00AA07C9">
        <w:rPr>
          <w:color w:val="auto"/>
          <w:sz w:val="24"/>
          <w:szCs w:val="24"/>
        </w:rPr>
        <w:t>storm</w:t>
      </w:r>
      <w:r w:rsidRPr="00423400" w:rsidR="00B60B67">
        <w:rPr>
          <w:color w:val="auto"/>
          <w:sz w:val="24"/>
          <w:szCs w:val="24"/>
        </w:rPr>
        <w:t xml:space="preserve"> </w:t>
      </w:r>
      <w:r w:rsidRPr="00423400" w:rsidR="00AA07C9">
        <w:rPr>
          <w:color w:val="auto"/>
          <w:sz w:val="24"/>
          <w:szCs w:val="24"/>
        </w:rPr>
        <w:t>cost</w:t>
      </w:r>
      <w:r w:rsidRPr="00423400" w:rsidR="00B60B67">
        <w:rPr>
          <w:color w:val="auto"/>
          <w:sz w:val="24"/>
          <w:szCs w:val="24"/>
        </w:rPr>
        <w:t xml:space="preserve"> </w:t>
      </w:r>
      <w:r w:rsidRPr="00423400" w:rsidR="00AA07C9">
        <w:rPr>
          <w:color w:val="auto"/>
          <w:sz w:val="24"/>
          <w:szCs w:val="24"/>
        </w:rPr>
        <w:t>and</w:t>
      </w:r>
      <w:r w:rsidRPr="00423400" w:rsidR="00B60B67">
        <w:rPr>
          <w:color w:val="auto"/>
          <w:sz w:val="24"/>
          <w:szCs w:val="24"/>
        </w:rPr>
        <w:t xml:space="preserve"> </w:t>
      </w:r>
      <w:r w:rsidRPr="00423400" w:rsidR="00AA07C9">
        <w:rPr>
          <w:color w:val="auto"/>
          <w:sz w:val="24"/>
          <w:szCs w:val="24"/>
        </w:rPr>
        <w:t>capitalized</w:t>
      </w:r>
      <w:r w:rsidRPr="00423400" w:rsidR="00B60B67">
        <w:rPr>
          <w:color w:val="auto"/>
          <w:sz w:val="24"/>
          <w:szCs w:val="24"/>
        </w:rPr>
        <w:t xml:space="preserve"> </w:t>
      </w:r>
      <w:r w:rsidRPr="00423400" w:rsidR="00AA07C9">
        <w:rPr>
          <w:color w:val="auto"/>
          <w:sz w:val="24"/>
          <w:szCs w:val="24"/>
        </w:rPr>
        <w:t>incentive adjustments.</w:t>
      </w:r>
      <w:bookmarkEnd w:id="33"/>
      <w:bookmarkEnd w:id="34"/>
      <w:bookmarkEnd w:id="35"/>
      <w:r w:rsidRPr="00423400" w:rsidR="00AA07C9">
        <w:rPr>
          <w:color w:val="auto"/>
          <w:sz w:val="24"/>
          <w:szCs w:val="24"/>
        </w:rPr>
        <w:t xml:space="preserve"> </w:t>
      </w:r>
    </w:p>
    <w:p w:rsidR="006A16D8" w:rsidRPr="00423400" w:rsidP="0012105E" w14:paraId="07CC051F" w14:textId="77777777">
      <w:pPr>
        <w:spacing w:before="240" w:after="0" w:line="480" w:lineRule="auto"/>
        <w:ind w:firstLine="720"/>
        <w:rPr>
          <w:rFonts w:cs="Times New Roman"/>
          <w:szCs w:val="24"/>
        </w:rPr>
      </w:pPr>
      <w:r w:rsidRPr="00423400">
        <w:rPr>
          <w:rFonts w:cs="Times New Roman"/>
          <w:szCs w:val="24"/>
        </w:rPr>
        <w:t xml:space="preserve">The PUCO should require DP&amp;L to adjust depreciation expense based on OCC’s recommended storm cost and capitalized incentive adjustments. </w:t>
      </w:r>
      <w:r w:rsidRPr="00423400" w:rsidR="00B159E5">
        <w:rPr>
          <w:rFonts w:cs="Times New Roman"/>
          <w:szCs w:val="24"/>
        </w:rPr>
        <w:t xml:space="preserve">OCC recommends an adjustment to reduce depreciation expense by ($218,428) associated with the capitalized storm cost adjustment </w:t>
      </w:r>
      <w:r w:rsidRPr="00423400" w:rsidR="00247963">
        <w:rPr>
          <w:rFonts w:cs="Times New Roman"/>
          <w:szCs w:val="24"/>
        </w:rPr>
        <w:t xml:space="preserve">as discussed </w:t>
      </w:r>
      <w:r w:rsidR="005441BE">
        <w:rPr>
          <w:rFonts w:cs="Times New Roman"/>
          <w:szCs w:val="24"/>
        </w:rPr>
        <w:t>above</w:t>
      </w:r>
      <w:r w:rsidRPr="00423400" w:rsidR="00935F90">
        <w:rPr>
          <w:rFonts w:cs="Times New Roman"/>
          <w:szCs w:val="24"/>
        </w:rPr>
        <w:t>.</w:t>
      </w:r>
      <w:r>
        <w:rPr>
          <w:rStyle w:val="FootnoteReference"/>
          <w:rFonts w:cs="Times New Roman"/>
          <w:szCs w:val="24"/>
        </w:rPr>
        <w:footnoteReference w:id="91"/>
      </w:r>
      <w:r w:rsidRPr="00423400" w:rsidR="00B159E5">
        <w:rPr>
          <w:rFonts w:cs="Times New Roman"/>
          <w:szCs w:val="24"/>
        </w:rPr>
        <w:t xml:space="preserve"> </w:t>
      </w:r>
      <w:r w:rsidRPr="00423400">
        <w:rPr>
          <w:rFonts w:cs="Times New Roman"/>
          <w:szCs w:val="24"/>
        </w:rPr>
        <w:t>Additionally, d</w:t>
      </w:r>
      <w:r w:rsidRPr="00423400" w:rsidR="00B159E5">
        <w:rPr>
          <w:rFonts w:cs="Times New Roman"/>
          <w:szCs w:val="24"/>
        </w:rPr>
        <w:t>epreciation expense will need to be further reduced once capitalized incentive compensation are identified and removed from plant-in-service.</w:t>
      </w:r>
      <w:r w:rsidRPr="00423400" w:rsidR="00E9389D">
        <w:rPr>
          <w:rFonts w:cs="Times New Roman"/>
          <w:szCs w:val="24"/>
        </w:rPr>
        <w:t xml:space="preserve"> </w:t>
      </w:r>
    </w:p>
    <w:p w:rsidR="00E9389D" w:rsidRPr="00423400" w:rsidP="00E33EE0" w14:paraId="38ED3A13" w14:textId="77777777">
      <w:pPr>
        <w:spacing w:after="0" w:line="480" w:lineRule="auto"/>
        <w:ind w:firstLine="720"/>
        <w:rPr>
          <w:rFonts w:cs="Times New Roman"/>
          <w:szCs w:val="24"/>
        </w:rPr>
      </w:pPr>
      <w:r w:rsidRPr="00423400">
        <w:rPr>
          <w:rFonts w:cs="Times New Roman"/>
          <w:szCs w:val="24"/>
        </w:rPr>
        <w:t xml:space="preserve">These adjustments are necessary to </w:t>
      </w:r>
      <w:r w:rsidRPr="00423400" w:rsidR="00FC6C13">
        <w:rPr>
          <w:rFonts w:cs="Times New Roman"/>
          <w:szCs w:val="24"/>
        </w:rPr>
        <w:t>protect</w:t>
      </w:r>
      <w:r w:rsidRPr="00423400">
        <w:rPr>
          <w:rFonts w:cs="Times New Roman"/>
          <w:szCs w:val="24"/>
        </w:rPr>
        <w:t xml:space="preserve"> consumers from paying </w:t>
      </w:r>
      <w:r w:rsidRPr="00423400" w:rsidR="00FC6C13">
        <w:rPr>
          <w:rFonts w:cs="Times New Roman"/>
          <w:szCs w:val="24"/>
        </w:rPr>
        <w:t>higher rates for storm costs and capitalized incentives.</w:t>
      </w:r>
    </w:p>
    <w:p w:rsidR="0090523F" w:rsidRPr="00423400" w:rsidP="0012105E" w14:paraId="7FD9AD23" w14:textId="77777777">
      <w:pPr>
        <w:pStyle w:val="Heading2"/>
        <w:ind w:left="1440" w:hanging="720"/>
        <w:rPr>
          <w:color w:val="auto"/>
          <w:sz w:val="24"/>
          <w:szCs w:val="24"/>
        </w:rPr>
      </w:pPr>
      <w:bookmarkStart w:id="36" w:name="_Toc96960355"/>
      <w:bookmarkStart w:id="37" w:name="_Toc96960397"/>
      <w:bookmarkStart w:id="38" w:name="_Toc97298204"/>
      <w:r w:rsidRPr="00423400">
        <w:rPr>
          <w:color w:val="auto"/>
          <w:sz w:val="24"/>
          <w:szCs w:val="24"/>
        </w:rPr>
        <w:t>To protect consumers from paying higher rates, the PUCO should reject the PUCO Staff’s adjustment to decrease test year operating income revenues.</w:t>
      </w:r>
      <w:bookmarkEnd w:id="36"/>
      <w:bookmarkEnd w:id="37"/>
      <w:bookmarkEnd w:id="38"/>
      <w:r w:rsidRPr="00423400" w:rsidR="00B60B67">
        <w:rPr>
          <w:color w:val="auto"/>
          <w:sz w:val="24"/>
          <w:szCs w:val="24"/>
        </w:rPr>
        <w:t xml:space="preserve"> </w:t>
      </w:r>
    </w:p>
    <w:p w:rsidR="006F359F" w:rsidRPr="00423400" w:rsidP="0012105E" w14:paraId="5CD4076E" w14:textId="77777777">
      <w:pPr>
        <w:spacing w:before="240" w:after="0" w:line="480" w:lineRule="auto"/>
        <w:ind w:firstLine="720"/>
        <w:rPr>
          <w:rFonts w:cs="Times New Roman"/>
          <w:szCs w:val="24"/>
        </w:rPr>
      </w:pPr>
      <w:r w:rsidRPr="00423400">
        <w:rPr>
          <w:rFonts w:cs="Times New Roman"/>
          <w:szCs w:val="24"/>
        </w:rPr>
        <w:t xml:space="preserve">The PUCO Staff recommended an adjustment to decrease test year operating income revenue by $5,019,523 but failed to provide any </w:t>
      </w:r>
      <w:r w:rsidRPr="00423400" w:rsidR="00CC2482">
        <w:rPr>
          <w:rFonts w:cs="Times New Roman"/>
          <w:szCs w:val="24"/>
        </w:rPr>
        <w:t>explanation or justification</w:t>
      </w:r>
      <w:r w:rsidRPr="00423400" w:rsidR="005E0892">
        <w:rPr>
          <w:rFonts w:cs="Times New Roman"/>
          <w:szCs w:val="24"/>
        </w:rPr>
        <w:t xml:space="preserve"> in its </w:t>
      </w:r>
      <w:r w:rsidRPr="00423400" w:rsidR="00E90FB2">
        <w:rPr>
          <w:rFonts w:cs="Times New Roman"/>
          <w:szCs w:val="24"/>
        </w:rPr>
        <w:t xml:space="preserve">initial </w:t>
      </w:r>
      <w:r w:rsidRPr="00423400" w:rsidR="005E0892">
        <w:rPr>
          <w:rFonts w:cs="Times New Roman"/>
          <w:szCs w:val="24"/>
        </w:rPr>
        <w:t>Staff Report</w:t>
      </w:r>
      <w:r w:rsidRPr="00423400" w:rsidR="00CC2482">
        <w:rPr>
          <w:rFonts w:cs="Times New Roman"/>
          <w:szCs w:val="24"/>
        </w:rPr>
        <w:t>.</w:t>
      </w:r>
      <w:r>
        <w:rPr>
          <w:rStyle w:val="FootnoteReference"/>
          <w:rFonts w:cs="Times New Roman"/>
          <w:szCs w:val="24"/>
        </w:rPr>
        <w:footnoteReference w:id="92"/>
      </w:r>
      <w:r w:rsidRPr="00423400" w:rsidR="00F2391B">
        <w:rPr>
          <w:rFonts w:cs="Times New Roman"/>
          <w:szCs w:val="24"/>
        </w:rPr>
        <w:t xml:space="preserve"> And as OCC discussed in its Objections to the Staff Report, this is even greater than a similar adjustment made by DP&amp;L of</w:t>
      </w:r>
      <w:r w:rsidRPr="00423400" w:rsidR="00B60B67">
        <w:rPr>
          <w:rFonts w:cs="Times New Roman"/>
          <w:szCs w:val="24"/>
        </w:rPr>
        <w:t xml:space="preserve"> </w:t>
      </w:r>
      <w:r w:rsidRPr="00423400" w:rsidR="00F2391B">
        <w:rPr>
          <w:rFonts w:cs="Times New Roman"/>
          <w:szCs w:val="24"/>
        </w:rPr>
        <w:t>$2,426,956.</w:t>
      </w:r>
      <w:r>
        <w:rPr>
          <w:rStyle w:val="FootnoteReference"/>
          <w:rFonts w:cs="Times New Roman"/>
          <w:szCs w:val="24"/>
        </w:rPr>
        <w:footnoteReference w:id="93"/>
      </w:r>
      <w:r w:rsidRPr="00423400" w:rsidR="00B60B67">
        <w:rPr>
          <w:rFonts w:cs="Times New Roman"/>
          <w:szCs w:val="24"/>
        </w:rPr>
        <w:t xml:space="preserve"> </w:t>
      </w:r>
      <w:r w:rsidRPr="00423400" w:rsidR="00F2391B">
        <w:rPr>
          <w:rFonts w:cs="Times New Roman"/>
          <w:szCs w:val="24"/>
        </w:rPr>
        <w:t xml:space="preserve">And DP&amp;L’s adjustment, like the PUCO Staff’s, has no justification. </w:t>
      </w:r>
      <w:r w:rsidRPr="00423400" w:rsidR="005E0892">
        <w:rPr>
          <w:rFonts w:cs="Times New Roman"/>
          <w:szCs w:val="24"/>
        </w:rPr>
        <w:t>But in Staff witness Mr. Snider’s testimony, he recommended an adjustment to reduce test year Storm Cost Rider Revenue by $1,471,664 and to decrease Storm Cost Expense by $1,290,486.</w:t>
      </w:r>
      <w:r>
        <w:rPr>
          <w:rStyle w:val="FootnoteReference"/>
          <w:rFonts w:cs="Times New Roman"/>
          <w:szCs w:val="24"/>
        </w:rPr>
        <w:footnoteReference w:id="94"/>
      </w:r>
      <w:r w:rsidRPr="00423400" w:rsidR="005E0892">
        <w:rPr>
          <w:rFonts w:cs="Times New Roman"/>
          <w:szCs w:val="24"/>
        </w:rPr>
        <w:t xml:space="preserve"> </w:t>
      </w:r>
    </w:p>
    <w:p w:rsidR="00C52FAB" w:rsidRPr="00423400" w:rsidP="00BD2174" w14:paraId="4D2E0092" w14:textId="77777777">
      <w:pPr>
        <w:spacing w:after="0" w:line="480" w:lineRule="auto"/>
        <w:ind w:firstLine="720"/>
        <w:rPr>
          <w:rFonts w:cs="Times New Roman"/>
          <w:szCs w:val="24"/>
        </w:rPr>
      </w:pPr>
      <w:r w:rsidRPr="00423400">
        <w:rPr>
          <w:rFonts w:cs="Times New Roman"/>
          <w:szCs w:val="24"/>
        </w:rPr>
        <w:t>OCC’s expert, Mr. Ross Willis, however, rebuts this testimony.</w:t>
      </w:r>
      <w:r>
        <w:rPr>
          <w:rStyle w:val="FootnoteReference"/>
          <w:rFonts w:cs="Times New Roman"/>
          <w:szCs w:val="24"/>
        </w:rPr>
        <w:footnoteReference w:id="95"/>
      </w:r>
      <w:r w:rsidRPr="00423400">
        <w:rPr>
          <w:rFonts w:cs="Times New Roman"/>
          <w:szCs w:val="24"/>
        </w:rPr>
        <w:t xml:space="preserve"> </w:t>
      </w:r>
      <w:r w:rsidRPr="00423400" w:rsidR="00314225">
        <w:rPr>
          <w:rFonts w:cs="Times New Roman"/>
          <w:szCs w:val="24"/>
        </w:rPr>
        <w:t>Mr. Snider</w:t>
      </w:r>
      <w:r w:rsidRPr="00423400" w:rsidR="006F359F">
        <w:rPr>
          <w:rFonts w:cs="Times New Roman"/>
          <w:szCs w:val="24"/>
        </w:rPr>
        <w:t>’</w:t>
      </w:r>
      <w:r w:rsidRPr="00423400" w:rsidR="00314225">
        <w:rPr>
          <w:rFonts w:cs="Times New Roman"/>
          <w:szCs w:val="24"/>
        </w:rPr>
        <w:t>s adjustment unreasonably increases the base distribution revenue requirement that DP&amp;L will collect from Dayton-area consumers by $2,762,150.</w:t>
      </w:r>
      <w:r>
        <w:rPr>
          <w:rStyle w:val="FootnoteReference"/>
          <w:rFonts w:cs="Times New Roman"/>
          <w:szCs w:val="24"/>
        </w:rPr>
        <w:footnoteReference w:id="96"/>
      </w:r>
      <w:r w:rsidRPr="00423400" w:rsidR="00314225">
        <w:rPr>
          <w:rFonts w:cs="Times New Roman"/>
          <w:szCs w:val="24"/>
        </w:rPr>
        <w:t xml:space="preserve"> </w:t>
      </w:r>
      <w:r w:rsidRPr="00423400">
        <w:rPr>
          <w:rFonts w:cs="Times New Roman"/>
          <w:szCs w:val="24"/>
        </w:rPr>
        <w:t>Upon cross-examination by OCC at the hearing, Mr. Snider indicated he thought the Storm Cost Rider Revenue was updated to twelve-months actual.</w:t>
      </w:r>
      <w:r>
        <w:rPr>
          <w:rStyle w:val="FootnoteReference"/>
          <w:rFonts w:cs="Times New Roman"/>
          <w:szCs w:val="24"/>
        </w:rPr>
        <w:footnoteReference w:id="97"/>
      </w:r>
      <w:r w:rsidRPr="00423400" w:rsidR="00B60B67">
        <w:rPr>
          <w:rFonts w:cs="Times New Roman"/>
          <w:szCs w:val="24"/>
        </w:rPr>
        <w:t xml:space="preserve"> </w:t>
      </w:r>
      <w:r w:rsidRPr="00423400">
        <w:rPr>
          <w:rFonts w:cs="Times New Roman"/>
          <w:szCs w:val="24"/>
        </w:rPr>
        <w:t xml:space="preserve">However, </w:t>
      </w:r>
      <w:r w:rsidRPr="00423400" w:rsidR="00F8099D">
        <w:rPr>
          <w:rFonts w:cs="Times New Roman"/>
          <w:szCs w:val="24"/>
        </w:rPr>
        <w:t>Mr. Snider</w:t>
      </w:r>
      <w:r w:rsidRPr="00423400">
        <w:rPr>
          <w:rFonts w:cs="Times New Roman"/>
          <w:szCs w:val="24"/>
        </w:rPr>
        <w:t xml:space="preserve"> then stated he was unsure of the</w:t>
      </w:r>
      <w:r w:rsidRPr="00423400" w:rsidR="00B60B67">
        <w:rPr>
          <w:rFonts w:cs="Times New Roman"/>
          <w:szCs w:val="24"/>
        </w:rPr>
        <w:t xml:space="preserve"> </w:t>
      </w:r>
      <w:r w:rsidRPr="00423400">
        <w:rPr>
          <w:rFonts w:cs="Times New Roman"/>
          <w:szCs w:val="24"/>
        </w:rPr>
        <w:t>time</w:t>
      </w:r>
      <w:r w:rsidRPr="00423400" w:rsidR="00B60B67">
        <w:rPr>
          <w:rFonts w:cs="Times New Roman"/>
          <w:szCs w:val="24"/>
        </w:rPr>
        <w:t xml:space="preserve"> </w:t>
      </w:r>
      <w:r w:rsidRPr="00423400">
        <w:rPr>
          <w:rFonts w:cs="Times New Roman"/>
          <w:szCs w:val="24"/>
        </w:rPr>
        <w:t>period used.</w:t>
      </w:r>
      <w:r>
        <w:rPr>
          <w:rStyle w:val="FootnoteReference"/>
          <w:rFonts w:cs="Times New Roman"/>
          <w:szCs w:val="24"/>
        </w:rPr>
        <w:footnoteReference w:id="98"/>
      </w:r>
      <w:r w:rsidRPr="00423400" w:rsidR="00B60B67">
        <w:rPr>
          <w:rFonts w:cs="Times New Roman"/>
          <w:szCs w:val="24"/>
        </w:rPr>
        <w:t xml:space="preserve"> </w:t>
      </w:r>
      <w:r w:rsidRPr="00423400" w:rsidR="008B674C">
        <w:rPr>
          <w:rFonts w:cs="Times New Roman"/>
          <w:szCs w:val="24"/>
        </w:rPr>
        <w:t>Mr. Snider</w:t>
      </w:r>
      <w:r w:rsidRPr="00423400">
        <w:rPr>
          <w:rFonts w:cs="Times New Roman"/>
          <w:szCs w:val="24"/>
        </w:rPr>
        <w:t xml:space="preserve"> also testified that he did not make the adjustment himself but was sponsoring the adjustment for someone else who left the department.</w:t>
      </w:r>
      <w:r>
        <w:rPr>
          <w:rStyle w:val="FootnoteReference"/>
          <w:rFonts w:cs="Times New Roman"/>
          <w:szCs w:val="24"/>
        </w:rPr>
        <w:footnoteReference w:id="99"/>
      </w:r>
    </w:p>
    <w:p w:rsidR="00F3123C" w:rsidRPr="00423400" w:rsidP="00BD2174" w14:paraId="78D8B34F" w14:textId="77777777">
      <w:pPr>
        <w:spacing w:after="0" w:line="480" w:lineRule="auto"/>
        <w:ind w:firstLine="720"/>
        <w:rPr>
          <w:rFonts w:cs="Times New Roman"/>
          <w:szCs w:val="24"/>
        </w:rPr>
      </w:pPr>
      <w:r w:rsidRPr="00423400">
        <w:rPr>
          <w:rFonts w:cs="Times New Roman"/>
          <w:szCs w:val="24"/>
        </w:rPr>
        <w:t>In his rebuttal testimony, Mr. Willis explained that the PUCO Staff adjusted the test year revenue and expense to reflect an amount based on seven-months of actual data and five-months of budget estimates.</w:t>
      </w:r>
      <w:r>
        <w:rPr>
          <w:rStyle w:val="FootnoteReference"/>
          <w:rFonts w:cs="Times New Roman"/>
          <w:szCs w:val="24"/>
        </w:rPr>
        <w:footnoteReference w:id="100"/>
      </w:r>
      <w:r w:rsidRPr="00423400" w:rsidR="00B60B67">
        <w:rPr>
          <w:rFonts w:cs="Times New Roman"/>
          <w:szCs w:val="24"/>
        </w:rPr>
        <w:t xml:space="preserve"> </w:t>
      </w:r>
      <w:r w:rsidRPr="00423400">
        <w:rPr>
          <w:rFonts w:cs="Times New Roman"/>
          <w:szCs w:val="24"/>
        </w:rPr>
        <w:t xml:space="preserve">For the remaining </w:t>
      </w:r>
      <w:r w:rsidR="00B96412">
        <w:rPr>
          <w:rFonts w:cs="Times New Roman"/>
          <w:szCs w:val="24"/>
        </w:rPr>
        <w:t>r</w:t>
      </w:r>
      <w:r w:rsidRPr="00423400">
        <w:rPr>
          <w:rFonts w:cs="Times New Roman"/>
          <w:szCs w:val="24"/>
        </w:rPr>
        <w:t>iders in the test year, the PUCO Staff left the three-months of actual data and nine-months of budget estimates unchanged, as filed by DP&amp;L in its application.</w:t>
      </w:r>
      <w:r>
        <w:rPr>
          <w:rStyle w:val="FootnoteReference"/>
          <w:rFonts w:cs="Times New Roman"/>
          <w:szCs w:val="24"/>
        </w:rPr>
        <w:footnoteReference w:id="101"/>
      </w:r>
      <w:r w:rsidRPr="00423400" w:rsidR="0018138B">
        <w:rPr>
          <w:rFonts w:cs="Times New Roman"/>
          <w:szCs w:val="24"/>
        </w:rPr>
        <w:t xml:space="preserve"> Mr. Willis further explained that riders are removed</w:t>
      </w:r>
      <w:r w:rsidRPr="00423400" w:rsidR="00B60B67">
        <w:rPr>
          <w:rFonts w:cs="Times New Roman"/>
          <w:szCs w:val="24"/>
        </w:rPr>
        <w:t xml:space="preserve"> </w:t>
      </w:r>
      <w:r w:rsidRPr="00423400" w:rsidR="0018138B">
        <w:rPr>
          <w:rFonts w:cs="Times New Roman"/>
          <w:szCs w:val="24"/>
        </w:rPr>
        <w:t>from the test year so the base distribution revenue requirement can be determined on a</w:t>
      </w:r>
      <w:r w:rsidRPr="00423400" w:rsidR="00B60B67">
        <w:rPr>
          <w:rFonts w:cs="Times New Roman"/>
          <w:szCs w:val="24"/>
        </w:rPr>
        <w:t xml:space="preserve"> </w:t>
      </w:r>
      <w:r w:rsidRPr="00423400" w:rsidR="0018138B">
        <w:rPr>
          <w:rFonts w:cs="Times New Roman"/>
          <w:szCs w:val="24"/>
        </w:rPr>
        <w:t>stand-alone basis.</w:t>
      </w:r>
      <w:r>
        <w:rPr>
          <w:rStyle w:val="FootnoteReference"/>
          <w:rFonts w:cs="Times New Roman"/>
          <w:szCs w:val="24"/>
        </w:rPr>
        <w:footnoteReference w:id="102"/>
      </w:r>
      <w:r w:rsidRPr="00423400" w:rsidR="00B60B67">
        <w:rPr>
          <w:rFonts w:cs="Times New Roman"/>
          <w:szCs w:val="24"/>
        </w:rPr>
        <w:t xml:space="preserve"> </w:t>
      </w:r>
      <w:r w:rsidRPr="00423400" w:rsidR="0018138B">
        <w:rPr>
          <w:rFonts w:cs="Times New Roman"/>
          <w:szCs w:val="24"/>
        </w:rPr>
        <w:t>Most electric riders result from electric security plans and are not generally authorized in rate cases such as this case.</w:t>
      </w:r>
      <w:r>
        <w:rPr>
          <w:rStyle w:val="FootnoteReference"/>
          <w:rFonts w:cs="Times New Roman"/>
          <w:szCs w:val="24"/>
        </w:rPr>
        <w:footnoteReference w:id="103"/>
      </w:r>
    </w:p>
    <w:p w:rsidR="00E90FB2" w:rsidRPr="00423400" w:rsidP="00E90FB2" w14:paraId="2C63C879" w14:textId="77777777">
      <w:pPr>
        <w:spacing w:after="0" w:line="480" w:lineRule="auto"/>
        <w:ind w:firstLine="720"/>
        <w:rPr>
          <w:rFonts w:cs="Times New Roman"/>
          <w:szCs w:val="24"/>
        </w:rPr>
      </w:pPr>
      <w:r w:rsidRPr="00423400">
        <w:rPr>
          <w:rFonts w:cs="Times New Roman"/>
          <w:szCs w:val="24"/>
        </w:rPr>
        <w:t>The test year should be representative of conditions reasonably anticipated to exist during the time frame that the utility’s rates to be charged to consumers are in effect.</w:t>
      </w:r>
      <w:r>
        <w:rPr>
          <w:rStyle w:val="FootnoteReference"/>
          <w:rFonts w:cs="Times New Roman"/>
          <w:szCs w:val="24"/>
        </w:rPr>
        <w:footnoteReference w:id="104"/>
      </w:r>
      <w:r w:rsidRPr="00423400" w:rsidR="00B60B67">
        <w:rPr>
          <w:rFonts w:cs="Times New Roman"/>
          <w:szCs w:val="24"/>
        </w:rPr>
        <w:t xml:space="preserve"> </w:t>
      </w:r>
      <w:r w:rsidRPr="00423400">
        <w:rPr>
          <w:rFonts w:cs="Times New Roman"/>
          <w:szCs w:val="24"/>
        </w:rPr>
        <w:t>Adjustments to the test year are supposed to be limited to those necessary to reflect normal ongoing utility operations.</w:t>
      </w:r>
      <w:r>
        <w:rPr>
          <w:rStyle w:val="FootnoteReference"/>
          <w:rFonts w:cs="Times New Roman"/>
          <w:szCs w:val="24"/>
        </w:rPr>
        <w:footnoteReference w:id="105"/>
      </w:r>
      <w:r w:rsidRPr="00423400">
        <w:rPr>
          <w:rFonts w:cs="Times New Roman"/>
          <w:szCs w:val="24"/>
        </w:rPr>
        <w:t xml:space="preserve"> The</w:t>
      </w:r>
      <w:r w:rsidRPr="00423400" w:rsidR="00B60B67">
        <w:rPr>
          <w:rFonts w:cs="Times New Roman"/>
          <w:szCs w:val="24"/>
        </w:rPr>
        <w:t xml:space="preserve"> </w:t>
      </w:r>
      <w:r w:rsidRPr="00423400">
        <w:rPr>
          <w:rFonts w:cs="Times New Roman"/>
          <w:szCs w:val="24"/>
        </w:rPr>
        <w:t>purpose</w:t>
      </w:r>
      <w:r w:rsidRPr="00423400" w:rsidR="00B60B67">
        <w:rPr>
          <w:rFonts w:cs="Times New Roman"/>
          <w:szCs w:val="24"/>
        </w:rPr>
        <w:t xml:space="preserve"> </w:t>
      </w:r>
      <w:r w:rsidRPr="00423400">
        <w:rPr>
          <w:rFonts w:cs="Times New Roman"/>
          <w:szCs w:val="24"/>
        </w:rPr>
        <w:t>of adjustments to the test year</w:t>
      </w:r>
      <w:r w:rsidRPr="00423400" w:rsidR="00E62E85">
        <w:rPr>
          <w:rFonts w:cs="Times New Roman"/>
          <w:szCs w:val="24"/>
        </w:rPr>
        <w:t xml:space="preserve"> </w:t>
      </w:r>
      <w:r w:rsidRPr="00423400">
        <w:rPr>
          <w:rFonts w:cs="Times New Roman"/>
          <w:szCs w:val="24"/>
        </w:rPr>
        <w:t>are to smooth out abnormalities that tend to make test year data unrepresentative of the time when rates are in effect.</w:t>
      </w:r>
      <w:r>
        <w:rPr>
          <w:rStyle w:val="FootnoteReference"/>
          <w:rFonts w:cs="Times New Roman"/>
          <w:szCs w:val="24"/>
        </w:rPr>
        <w:footnoteReference w:id="106"/>
      </w:r>
      <w:r w:rsidRPr="00423400" w:rsidR="00B60B67">
        <w:rPr>
          <w:rFonts w:cs="Times New Roman"/>
          <w:szCs w:val="24"/>
        </w:rPr>
        <w:t xml:space="preserve"> </w:t>
      </w:r>
      <w:r w:rsidRPr="00423400">
        <w:rPr>
          <w:rFonts w:cs="Times New Roman"/>
          <w:szCs w:val="24"/>
        </w:rPr>
        <w:t>The utility has an advantage in ratemaking as it chooses the test year, subject to PUCO approval.</w:t>
      </w:r>
      <w:r>
        <w:rPr>
          <w:rStyle w:val="FootnoteReference"/>
          <w:rFonts w:cs="Times New Roman"/>
          <w:szCs w:val="24"/>
        </w:rPr>
        <w:footnoteReference w:id="107"/>
      </w:r>
      <w:r w:rsidRPr="00423400">
        <w:rPr>
          <w:rFonts w:cs="Times New Roman"/>
          <w:szCs w:val="24"/>
        </w:rPr>
        <w:t xml:space="preserve"> The</w:t>
      </w:r>
      <w:r w:rsidRPr="00423400" w:rsidR="00B60B67">
        <w:rPr>
          <w:rFonts w:cs="Times New Roman"/>
          <w:szCs w:val="24"/>
        </w:rPr>
        <w:t xml:space="preserve"> </w:t>
      </w:r>
      <w:r w:rsidRPr="00423400">
        <w:rPr>
          <w:rFonts w:cs="Times New Roman"/>
          <w:szCs w:val="24"/>
        </w:rPr>
        <w:t>PUCO Staff adjusted the test year operating revenue and expense without justifying why the adjustment is necessary and without showing that the adjustment is needed other than to enable DP&amp;L to annually charge consumers $2.7 million more in rates.</w:t>
      </w:r>
      <w:r>
        <w:rPr>
          <w:rStyle w:val="FootnoteReference"/>
          <w:rFonts w:cs="Times New Roman"/>
          <w:szCs w:val="24"/>
        </w:rPr>
        <w:footnoteReference w:id="108"/>
      </w:r>
      <w:r w:rsidRPr="00423400">
        <w:rPr>
          <w:rFonts w:cs="Times New Roman"/>
          <w:szCs w:val="24"/>
        </w:rPr>
        <w:t xml:space="preserve"> </w:t>
      </w:r>
    </w:p>
    <w:p w:rsidR="005810B7" w:rsidRPr="00423400" w:rsidP="00E90FB2" w14:paraId="0B0E9DA8" w14:textId="77777777">
      <w:pPr>
        <w:spacing w:after="0" w:line="480" w:lineRule="auto"/>
        <w:ind w:firstLine="720"/>
        <w:rPr>
          <w:rFonts w:cs="Times New Roman"/>
          <w:szCs w:val="24"/>
        </w:rPr>
      </w:pPr>
      <w:r w:rsidRPr="00423400">
        <w:rPr>
          <w:rFonts w:cs="Times New Roman"/>
          <w:szCs w:val="24"/>
        </w:rPr>
        <w:t>The PUCO should reject</w:t>
      </w:r>
      <w:r w:rsidRPr="00423400" w:rsidR="00B60B67">
        <w:rPr>
          <w:rFonts w:cs="Times New Roman"/>
          <w:szCs w:val="24"/>
        </w:rPr>
        <w:t xml:space="preserve"> </w:t>
      </w:r>
      <w:r w:rsidRPr="00423400">
        <w:rPr>
          <w:rFonts w:cs="Times New Roman"/>
          <w:szCs w:val="24"/>
        </w:rPr>
        <w:t>the</w:t>
      </w:r>
      <w:r w:rsidRPr="00423400" w:rsidR="00B60B67">
        <w:rPr>
          <w:rFonts w:cs="Times New Roman"/>
          <w:szCs w:val="24"/>
        </w:rPr>
        <w:t xml:space="preserve"> </w:t>
      </w:r>
      <w:r w:rsidRPr="00423400">
        <w:rPr>
          <w:rFonts w:cs="Times New Roman"/>
          <w:szCs w:val="24"/>
        </w:rPr>
        <w:t>PUCO Staff</w:t>
      </w:r>
      <w:r w:rsidRPr="00423400" w:rsidR="00B60B67">
        <w:rPr>
          <w:rFonts w:cs="Times New Roman"/>
          <w:szCs w:val="24"/>
        </w:rPr>
        <w:t xml:space="preserve"> </w:t>
      </w:r>
      <w:r w:rsidRPr="00423400">
        <w:rPr>
          <w:rFonts w:cs="Times New Roman"/>
          <w:szCs w:val="24"/>
        </w:rPr>
        <w:t>Report</w:t>
      </w:r>
      <w:r w:rsidRPr="00423400" w:rsidR="00B60B67">
        <w:rPr>
          <w:rFonts w:cs="Times New Roman"/>
          <w:szCs w:val="24"/>
        </w:rPr>
        <w:t xml:space="preserve"> </w:t>
      </w:r>
      <w:r w:rsidRPr="00423400">
        <w:rPr>
          <w:rFonts w:cs="Times New Roman"/>
          <w:szCs w:val="24"/>
        </w:rPr>
        <w:t>adjustment</w:t>
      </w:r>
      <w:r w:rsidRPr="00423400" w:rsidR="00B60B67">
        <w:rPr>
          <w:rFonts w:cs="Times New Roman"/>
          <w:szCs w:val="24"/>
        </w:rPr>
        <w:t xml:space="preserve"> </w:t>
      </w:r>
      <w:r w:rsidRPr="00423400">
        <w:rPr>
          <w:rFonts w:cs="Times New Roman"/>
          <w:szCs w:val="24"/>
        </w:rPr>
        <w:t>to</w:t>
      </w:r>
      <w:r w:rsidRPr="00423400" w:rsidR="00B60B67">
        <w:rPr>
          <w:rFonts w:cs="Times New Roman"/>
          <w:szCs w:val="24"/>
        </w:rPr>
        <w:t xml:space="preserve"> </w:t>
      </w:r>
      <w:r w:rsidRPr="00423400">
        <w:rPr>
          <w:rFonts w:cs="Times New Roman"/>
          <w:szCs w:val="24"/>
        </w:rPr>
        <w:t>the</w:t>
      </w:r>
      <w:r w:rsidRPr="00423400" w:rsidR="00B60B67">
        <w:rPr>
          <w:rFonts w:cs="Times New Roman"/>
          <w:szCs w:val="24"/>
        </w:rPr>
        <w:t xml:space="preserve"> </w:t>
      </w:r>
      <w:r w:rsidRPr="00423400">
        <w:rPr>
          <w:rFonts w:cs="Times New Roman"/>
          <w:szCs w:val="24"/>
        </w:rPr>
        <w:t>Storm Cost</w:t>
      </w:r>
      <w:r w:rsidRPr="00423400" w:rsidR="00B60B67">
        <w:rPr>
          <w:rFonts w:cs="Times New Roman"/>
          <w:szCs w:val="24"/>
        </w:rPr>
        <w:t xml:space="preserve"> </w:t>
      </w:r>
      <w:r w:rsidRPr="00423400">
        <w:rPr>
          <w:rFonts w:cs="Times New Roman"/>
          <w:szCs w:val="24"/>
        </w:rPr>
        <w:t>Rider shown on PUCO</w:t>
      </w:r>
      <w:r w:rsidRPr="00423400" w:rsidR="00B60B67">
        <w:rPr>
          <w:rFonts w:cs="Times New Roman"/>
          <w:szCs w:val="24"/>
        </w:rPr>
        <w:t xml:space="preserve"> </w:t>
      </w:r>
      <w:r w:rsidRPr="00423400">
        <w:rPr>
          <w:rFonts w:cs="Times New Roman"/>
          <w:szCs w:val="24"/>
        </w:rPr>
        <w:t>Staff</w:t>
      </w:r>
      <w:r w:rsidRPr="00423400" w:rsidR="00B60B67">
        <w:rPr>
          <w:rFonts w:cs="Times New Roman"/>
          <w:szCs w:val="24"/>
        </w:rPr>
        <w:t xml:space="preserve"> </w:t>
      </w:r>
      <w:r w:rsidRPr="00423400">
        <w:rPr>
          <w:rFonts w:cs="Times New Roman"/>
          <w:szCs w:val="24"/>
        </w:rPr>
        <w:t>Schedule</w:t>
      </w:r>
      <w:r w:rsidRPr="00423400" w:rsidR="00B60B67">
        <w:rPr>
          <w:rFonts w:cs="Times New Roman"/>
          <w:szCs w:val="24"/>
        </w:rPr>
        <w:t xml:space="preserve"> </w:t>
      </w:r>
      <w:r w:rsidRPr="00423400">
        <w:rPr>
          <w:rFonts w:cs="Times New Roman"/>
          <w:szCs w:val="24"/>
        </w:rPr>
        <w:t>C-3.4 that</w:t>
      </w:r>
      <w:r w:rsidRPr="00423400" w:rsidR="00B60B67">
        <w:rPr>
          <w:rFonts w:cs="Times New Roman"/>
          <w:szCs w:val="24"/>
        </w:rPr>
        <w:t xml:space="preserve"> </w:t>
      </w:r>
      <w:r w:rsidRPr="00423400">
        <w:rPr>
          <w:rFonts w:cs="Times New Roman"/>
          <w:szCs w:val="24"/>
        </w:rPr>
        <w:t>carries</w:t>
      </w:r>
      <w:r w:rsidRPr="00423400" w:rsidR="00B60B67">
        <w:rPr>
          <w:rFonts w:cs="Times New Roman"/>
          <w:szCs w:val="24"/>
        </w:rPr>
        <w:t xml:space="preserve"> </w:t>
      </w:r>
      <w:r w:rsidRPr="00423400">
        <w:rPr>
          <w:rFonts w:cs="Times New Roman"/>
          <w:szCs w:val="24"/>
        </w:rPr>
        <w:t>forward</w:t>
      </w:r>
      <w:r w:rsidRPr="00423400" w:rsidR="00B60B67">
        <w:rPr>
          <w:rFonts w:cs="Times New Roman"/>
          <w:szCs w:val="24"/>
        </w:rPr>
        <w:t xml:space="preserve"> </w:t>
      </w:r>
      <w:r w:rsidRPr="00423400">
        <w:rPr>
          <w:rFonts w:cs="Times New Roman"/>
          <w:szCs w:val="24"/>
        </w:rPr>
        <w:t>to Staff Schedule</w:t>
      </w:r>
      <w:r w:rsidRPr="00423400" w:rsidR="00B60B67">
        <w:rPr>
          <w:rFonts w:cs="Times New Roman"/>
          <w:szCs w:val="24"/>
        </w:rPr>
        <w:t xml:space="preserve"> </w:t>
      </w:r>
      <w:r w:rsidRPr="00423400">
        <w:rPr>
          <w:rFonts w:cs="Times New Roman"/>
          <w:szCs w:val="24"/>
        </w:rPr>
        <w:t>C-3.24. Rejecting this PUCO Staff adjustment</w:t>
      </w:r>
      <w:r w:rsidRPr="00423400" w:rsidR="00B60B67">
        <w:rPr>
          <w:rFonts w:cs="Times New Roman"/>
          <w:szCs w:val="24"/>
        </w:rPr>
        <w:t xml:space="preserve"> </w:t>
      </w:r>
      <w:r w:rsidRPr="00423400">
        <w:rPr>
          <w:rFonts w:cs="Times New Roman"/>
          <w:szCs w:val="24"/>
        </w:rPr>
        <w:t>will</w:t>
      </w:r>
      <w:r w:rsidRPr="00423400" w:rsidR="00B60B67">
        <w:rPr>
          <w:rFonts w:cs="Times New Roman"/>
          <w:szCs w:val="24"/>
        </w:rPr>
        <w:t xml:space="preserve"> </w:t>
      </w:r>
      <w:r w:rsidRPr="00423400">
        <w:rPr>
          <w:rFonts w:cs="Times New Roman"/>
          <w:szCs w:val="24"/>
        </w:rPr>
        <w:t>protect</w:t>
      </w:r>
      <w:r w:rsidRPr="00423400" w:rsidR="00B60B67">
        <w:rPr>
          <w:rFonts w:cs="Times New Roman"/>
          <w:szCs w:val="24"/>
        </w:rPr>
        <w:t xml:space="preserve"> </w:t>
      </w:r>
      <w:r w:rsidRPr="00423400">
        <w:rPr>
          <w:rFonts w:cs="Times New Roman"/>
          <w:szCs w:val="24"/>
        </w:rPr>
        <w:t>Dayton-area consumers from</w:t>
      </w:r>
      <w:r w:rsidRPr="00423400" w:rsidR="00B60B67">
        <w:rPr>
          <w:rFonts w:cs="Times New Roman"/>
          <w:szCs w:val="24"/>
        </w:rPr>
        <w:t xml:space="preserve"> </w:t>
      </w:r>
      <w:r w:rsidRPr="00423400">
        <w:rPr>
          <w:rFonts w:cs="Times New Roman"/>
          <w:szCs w:val="24"/>
        </w:rPr>
        <w:t>unjustified</w:t>
      </w:r>
      <w:r w:rsidRPr="00423400" w:rsidR="00B60B67">
        <w:rPr>
          <w:rFonts w:cs="Times New Roman"/>
          <w:szCs w:val="24"/>
        </w:rPr>
        <w:t xml:space="preserve"> </w:t>
      </w:r>
      <w:r w:rsidRPr="00423400">
        <w:rPr>
          <w:rFonts w:cs="Times New Roman"/>
          <w:szCs w:val="24"/>
        </w:rPr>
        <w:t>higher charges.</w:t>
      </w:r>
    </w:p>
    <w:p w:rsidR="00AC3281" w:rsidRPr="00423400" w:rsidP="0012105E" w14:paraId="4AC2E563" w14:textId="77777777">
      <w:pPr>
        <w:pStyle w:val="Heading2"/>
        <w:ind w:left="1440" w:hanging="720"/>
        <w:rPr>
          <w:color w:val="auto"/>
          <w:sz w:val="24"/>
          <w:szCs w:val="24"/>
        </w:rPr>
      </w:pPr>
      <w:bookmarkStart w:id="39" w:name="_Toc96960356"/>
      <w:bookmarkStart w:id="40" w:name="_Toc96960398"/>
      <w:bookmarkStart w:id="41" w:name="_Toc97298205"/>
      <w:r w:rsidRPr="00423400">
        <w:rPr>
          <w:color w:val="auto"/>
          <w:sz w:val="24"/>
          <w:szCs w:val="24"/>
        </w:rPr>
        <w:t xml:space="preserve">To protect consumers from paying higher rates, the PUCO should require </w:t>
      </w:r>
      <w:r w:rsidRPr="00423400" w:rsidR="00CF3172">
        <w:rPr>
          <w:color w:val="auto"/>
          <w:sz w:val="24"/>
          <w:szCs w:val="24"/>
        </w:rPr>
        <w:t>DP&amp;L</w:t>
      </w:r>
      <w:r w:rsidRPr="00423400">
        <w:rPr>
          <w:color w:val="auto"/>
          <w:sz w:val="24"/>
          <w:szCs w:val="24"/>
        </w:rPr>
        <w:t xml:space="preserve"> to adjust </w:t>
      </w:r>
      <w:r w:rsidRPr="00423400" w:rsidR="0090523F">
        <w:rPr>
          <w:color w:val="auto"/>
          <w:sz w:val="24"/>
          <w:szCs w:val="24"/>
        </w:rPr>
        <w:t xml:space="preserve">the unadjusted test </w:t>
      </w:r>
      <w:r w:rsidRPr="00423400">
        <w:rPr>
          <w:color w:val="auto"/>
          <w:sz w:val="24"/>
          <w:szCs w:val="24"/>
        </w:rPr>
        <w:t>y</w:t>
      </w:r>
      <w:r w:rsidRPr="00423400" w:rsidR="0090523F">
        <w:rPr>
          <w:color w:val="auto"/>
          <w:sz w:val="24"/>
          <w:szCs w:val="24"/>
        </w:rPr>
        <w:t>ear expenses to remove $952,488 in</w:t>
      </w:r>
      <w:r w:rsidRPr="00423400" w:rsidR="00B60B67">
        <w:rPr>
          <w:color w:val="auto"/>
          <w:sz w:val="24"/>
          <w:szCs w:val="24"/>
        </w:rPr>
        <w:t xml:space="preserve"> </w:t>
      </w:r>
      <w:r w:rsidRPr="00423400" w:rsidR="0090523F">
        <w:rPr>
          <w:color w:val="auto"/>
          <w:sz w:val="24"/>
          <w:szCs w:val="24"/>
        </w:rPr>
        <w:t>travel</w:t>
      </w:r>
      <w:r w:rsidRPr="00423400" w:rsidR="00B60B67">
        <w:rPr>
          <w:color w:val="auto"/>
          <w:sz w:val="24"/>
          <w:szCs w:val="24"/>
        </w:rPr>
        <w:t xml:space="preserve"> </w:t>
      </w:r>
      <w:r w:rsidRPr="00423400" w:rsidR="0090523F">
        <w:rPr>
          <w:color w:val="auto"/>
          <w:sz w:val="24"/>
          <w:szCs w:val="24"/>
        </w:rPr>
        <w:t>and</w:t>
      </w:r>
      <w:r w:rsidRPr="00423400" w:rsidR="00B60B67">
        <w:rPr>
          <w:color w:val="auto"/>
          <w:sz w:val="24"/>
          <w:szCs w:val="24"/>
        </w:rPr>
        <w:t xml:space="preserve"> </w:t>
      </w:r>
      <w:r w:rsidRPr="00423400" w:rsidR="0090523F">
        <w:rPr>
          <w:color w:val="auto"/>
          <w:sz w:val="24"/>
          <w:szCs w:val="24"/>
        </w:rPr>
        <w:t>entertainment savings</w:t>
      </w:r>
      <w:r w:rsidRPr="00423400" w:rsidR="00B60B67">
        <w:rPr>
          <w:color w:val="auto"/>
          <w:sz w:val="24"/>
          <w:szCs w:val="24"/>
        </w:rPr>
        <w:t xml:space="preserve"> </w:t>
      </w:r>
      <w:r w:rsidRPr="00423400" w:rsidR="0090523F">
        <w:rPr>
          <w:color w:val="auto"/>
          <w:sz w:val="24"/>
          <w:szCs w:val="24"/>
        </w:rPr>
        <w:t>arising</w:t>
      </w:r>
      <w:r w:rsidRPr="00423400" w:rsidR="00B60B67">
        <w:rPr>
          <w:color w:val="auto"/>
          <w:sz w:val="24"/>
          <w:szCs w:val="24"/>
        </w:rPr>
        <w:t xml:space="preserve"> </w:t>
      </w:r>
      <w:r w:rsidRPr="00423400" w:rsidR="0090523F">
        <w:rPr>
          <w:color w:val="auto"/>
          <w:sz w:val="24"/>
          <w:szCs w:val="24"/>
        </w:rPr>
        <w:t>from</w:t>
      </w:r>
      <w:r w:rsidRPr="00423400" w:rsidR="00B60B67">
        <w:rPr>
          <w:color w:val="auto"/>
          <w:sz w:val="24"/>
          <w:szCs w:val="24"/>
        </w:rPr>
        <w:t xml:space="preserve"> </w:t>
      </w:r>
      <w:r w:rsidRPr="00423400" w:rsidR="0090523F">
        <w:rPr>
          <w:color w:val="auto"/>
          <w:sz w:val="24"/>
          <w:szCs w:val="24"/>
        </w:rPr>
        <w:t>the</w:t>
      </w:r>
      <w:r w:rsidRPr="00423400" w:rsidR="00B60B67">
        <w:rPr>
          <w:color w:val="auto"/>
          <w:sz w:val="24"/>
          <w:szCs w:val="24"/>
        </w:rPr>
        <w:t xml:space="preserve"> </w:t>
      </w:r>
      <w:r w:rsidRPr="00423400" w:rsidR="0090523F">
        <w:rPr>
          <w:color w:val="auto"/>
          <w:sz w:val="24"/>
          <w:szCs w:val="24"/>
        </w:rPr>
        <w:t>coronavirus</w:t>
      </w:r>
      <w:r w:rsidRPr="00423400" w:rsidR="00B60B67">
        <w:rPr>
          <w:color w:val="auto"/>
          <w:sz w:val="24"/>
          <w:szCs w:val="24"/>
        </w:rPr>
        <w:t xml:space="preserve"> </w:t>
      </w:r>
      <w:r w:rsidRPr="00423400" w:rsidR="0090523F">
        <w:rPr>
          <w:color w:val="auto"/>
          <w:sz w:val="24"/>
          <w:szCs w:val="24"/>
        </w:rPr>
        <w:t>pandemic.</w:t>
      </w:r>
      <w:bookmarkEnd w:id="39"/>
      <w:bookmarkEnd w:id="40"/>
      <w:bookmarkEnd w:id="41"/>
      <w:r w:rsidRPr="00423400">
        <w:rPr>
          <w:color w:val="auto"/>
          <w:sz w:val="24"/>
          <w:szCs w:val="24"/>
        </w:rPr>
        <w:t xml:space="preserve"> </w:t>
      </w:r>
    </w:p>
    <w:p w:rsidR="00C62150" w:rsidRPr="00423400" w:rsidP="0012105E" w14:paraId="31E6D903" w14:textId="77777777">
      <w:pPr>
        <w:spacing w:before="240" w:after="0" w:line="480" w:lineRule="auto"/>
        <w:ind w:firstLine="720"/>
        <w:rPr>
          <w:rFonts w:cs="Times New Roman"/>
          <w:szCs w:val="24"/>
        </w:rPr>
      </w:pPr>
      <w:r w:rsidRPr="00423400">
        <w:rPr>
          <w:rFonts w:cs="Times New Roman"/>
          <w:bCs/>
          <w:iCs/>
          <w:szCs w:val="24"/>
        </w:rPr>
        <w:t xml:space="preserve">Consumers should not be required to pay for </w:t>
      </w:r>
      <w:r w:rsidRPr="00423400" w:rsidR="00CF3172">
        <w:rPr>
          <w:rFonts w:cs="Times New Roman"/>
          <w:bCs/>
          <w:iCs/>
          <w:szCs w:val="24"/>
        </w:rPr>
        <w:t>DP&amp;L’s</w:t>
      </w:r>
      <w:r w:rsidRPr="00423400" w:rsidR="003C3FE7">
        <w:rPr>
          <w:rFonts w:cs="Times New Roman"/>
          <w:bCs/>
          <w:iCs/>
          <w:szCs w:val="24"/>
        </w:rPr>
        <w:t xml:space="preserve"> travel and entertainment saving</w:t>
      </w:r>
      <w:r w:rsidRPr="00423400" w:rsidR="00CF3172">
        <w:rPr>
          <w:rFonts w:cs="Times New Roman"/>
          <w:bCs/>
          <w:iCs/>
          <w:szCs w:val="24"/>
        </w:rPr>
        <w:t>s</w:t>
      </w:r>
      <w:r w:rsidRPr="00423400" w:rsidR="003C3FE7">
        <w:rPr>
          <w:rFonts w:cs="Times New Roman"/>
          <w:bCs/>
          <w:iCs/>
          <w:szCs w:val="24"/>
        </w:rPr>
        <w:t xml:space="preserve"> arising from the coronavirus pandemic. </w:t>
      </w:r>
      <w:r w:rsidRPr="00423400">
        <w:rPr>
          <w:rFonts w:cs="Times New Roman"/>
          <w:bCs/>
          <w:iCs/>
          <w:szCs w:val="24"/>
        </w:rPr>
        <w:t>OCC</w:t>
      </w:r>
      <w:r w:rsidRPr="00423400" w:rsidR="00C25EBE">
        <w:rPr>
          <w:rFonts w:cs="Times New Roman"/>
          <w:bCs/>
          <w:iCs/>
          <w:szCs w:val="24"/>
        </w:rPr>
        <w:t>’s expert witness, Mr. Willis</w:t>
      </w:r>
      <w:r w:rsidRPr="00423400">
        <w:rPr>
          <w:rFonts w:cs="Times New Roman"/>
          <w:szCs w:val="24"/>
        </w:rPr>
        <w:t xml:space="preserve"> recommends an adjustment to the unadjusted test year operating expenses to remove travel and entertainment savings arising from the COVID-19 pandemic.</w:t>
      </w:r>
      <w:r>
        <w:rPr>
          <w:rStyle w:val="FootnoteReference"/>
          <w:rFonts w:cs="Times New Roman"/>
          <w:szCs w:val="24"/>
        </w:rPr>
        <w:footnoteReference w:id="109"/>
      </w:r>
      <w:r w:rsidRPr="00423400">
        <w:rPr>
          <w:rFonts w:cs="Times New Roman"/>
          <w:szCs w:val="24"/>
        </w:rPr>
        <w:t xml:space="preserve"> OCC</w:t>
      </w:r>
      <w:r w:rsidRPr="00423400" w:rsidR="00331F9D">
        <w:rPr>
          <w:rFonts w:cs="Times New Roman"/>
          <w:szCs w:val="24"/>
        </w:rPr>
        <w:t>’s</w:t>
      </w:r>
      <w:r w:rsidRPr="00423400">
        <w:rPr>
          <w:rFonts w:cs="Times New Roman"/>
          <w:szCs w:val="24"/>
        </w:rPr>
        <w:t xml:space="preserve"> recommendation would reduce test year operating income by ($952,488) as the amounts were not spent. </w:t>
      </w:r>
    </w:p>
    <w:p w:rsidR="00331F9D" w:rsidRPr="00423400" w:rsidP="00AD32AF" w14:paraId="00201DF6" w14:textId="77777777">
      <w:pPr>
        <w:spacing w:after="0" w:line="480" w:lineRule="auto"/>
        <w:ind w:firstLine="720"/>
        <w:rPr>
          <w:rFonts w:cs="Times New Roman"/>
          <w:szCs w:val="24"/>
        </w:rPr>
      </w:pPr>
      <w:r w:rsidRPr="00423400">
        <w:rPr>
          <w:rFonts w:cs="Times New Roman"/>
          <w:szCs w:val="24"/>
        </w:rPr>
        <w:t xml:space="preserve">The PUCO should adopt OCC’s recommendation </w:t>
      </w:r>
      <w:r w:rsidRPr="00423400" w:rsidR="00C8238A">
        <w:rPr>
          <w:rFonts w:cs="Times New Roman"/>
          <w:szCs w:val="24"/>
        </w:rPr>
        <w:t xml:space="preserve">to require DP&amp;L to adjust test year expenses to remove $952,488 in travel and entertainment </w:t>
      </w:r>
      <w:r w:rsidRPr="00423400" w:rsidR="0054678B">
        <w:rPr>
          <w:rFonts w:cs="Times New Roman"/>
          <w:szCs w:val="24"/>
        </w:rPr>
        <w:t>savings</w:t>
      </w:r>
      <w:r w:rsidRPr="00423400" w:rsidR="00C8238A">
        <w:rPr>
          <w:rFonts w:cs="Times New Roman"/>
          <w:szCs w:val="24"/>
        </w:rPr>
        <w:t xml:space="preserve"> arising from the coronavirus pandemic to protect consumers from paying </w:t>
      </w:r>
      <w:r w:rsidRPr="00423400" w:rsidR="001E596A">
        <w:rPr>
          <w:rFonts w:cs="Times New Roman"/>
          <w:szCs w:val="24"/>
        </w:rPr>
        <w:t>higher rate</w:t>
      </w:r>
      <w:r w:rsidRPr="00423400" w:rsidR="0054678B">
        <w:rPr>
          <w:rFonts w:cs="Times New Roman"/>
          <w:szCs w:val="24"/>
        </w:rPr>
        <w:t>s</w:t>
      </w:r>
      <w:r w:rsidRPr="00423400" w:rsidR="001E596A">
        <w:rPr>
          <w:rFonts w:cs="Times New Roman"/>
          <w:szCs w:val="24"/>
        </w:rPr>
        <w:t>.</w:t>
      </w:r>
    </w:p>
    <w:p w:rsidR="00AC3281" w:rsidRPr="00423400" w:rsidP="0012105E" w14:paraId="6B2A1FFC" w14:textId="77777777">
      <w:pPr>
        <w:pStyle w:val="Heading2"/>
        <w:ind w:left="1440" w:hanging="720"/>
        <w:rPr>
          <w:color w:val="auto"/>
          <w:sz w:val="24"/>
          <w:szCs w:val="24"/>
        </w:rPr>
      </w:pPr>
      <w:bookmarkStart w:id="42" w:name="_Toc97298206"/>
      <w:bookmarkStart w:id="43" w:name="_Toc96960357"/>
      <w:bookmarkStart w:id="44" w:name="_Toc96960399"/>
      <w:r w:rsidRPr="00423400">
        <w:rPr>
          <w:color w:val="auto"/>
          <w:sz w:val="24"/>
          <w:szCs w:val="24"/>
        </w:rPr>
        <w:t xml:space="preserve">To protect consumers from paying higher rates, the PUCO should reject </w:t>
      </w:r>
      <w:r w:rsidRPr="00423400" w:rsidR="00266C54">
        <w:rPr>
          <w:color w:val="auto"/>
          <w:sz w:val="24"/>
          <w:szCs w:val="24"/>
        </w:rPr>
        <w:t xml:space="preserve">the </w:t>
      </w:r>
      <w:r w:rsidRPr="00423400">
        <w:rPr>
          <w:color w:val="auto"/>
          <w:sz w:val="24"/>
          <w:szCs w:val="24"/>
        </w:rPr>
        <w:t xml:space="preserve">PUCO Staff’s </w:t>
      </w:r>
      <w:r w:rsidRPr="00423400" w:rsidR="00140051">
        <w:rPr>
          <w:color w:val="auto"/>
          <w:sz w:val="24"/>
          <w:szCs w:val="24"/>
        </w:rPr>
        <w:t xml:space="preserve">recommended </w:t>
      </w:r>
      <w:r w:rsidRPr="00423400" w:rsidR="0090523F">
        <w:rPr>
          <w:color w:val="auto"/>
          <w:sz w:val="24"/>
          <w:szCs w:val="24"/>
        </w:rPr>
        <w:t>$1.8 million increase in the baseline expense for</w:t>
      </w:r>
      <w:r w:rsidRPr="00423400" w:rsidR="00B60B67">
        <w:rPr>
          <w:color w:val="auto"/>
          <w:sz w:val="24"/>
          <w:szCs w:val="24"/>
        </w:rPr>
        <w:t xml:space="preserve"> </w:t>
      </w:r>
      <w:r w:rsidRPr="00423400" w:rsidR="0090523F">
        <w:rPr>
          <w:color w:val="auto"/>
          <w:sz w:val="24"/>
          <w:szCs w:val="24"/>
        </w:rPr>
        <w:t>vegetation management without any analysis or support and without any</w:t>
      </w:r>
      <w:r w:rsidRPr="00423400" w:rsidR="00B60B67">
        <w:rPr>
          <w:color w:val="auto"/>
          <w:sz w:val="24"/>
          <w:szCs w:val="24"/>
        </w:rPr>
        <w:t xml:space="preserve"> </w:t>
      </w:r>
      <w:r w:rsidRPr="00423400" w:rsidR="0090523F">
        <w:rPr>
          <w:color w:val="auto"/>
          <w:sz w:val="24"/>
          <w:szCs w:val="24"/>
        </w:rPr>
        <w:t xml:space="preserve">requirement for </w:t>
      </w:r>
      <w:r w:rsidRPr="00423400" w:rsidR="00CF3172">
        <w:rPr>
          <w:color w:val="auto"/>
          <w:sz w:val="24"/>
          <w:szCs w:val="24"/>
        </w:rPr>
        <w:t>DP&amp;L</w:t>
      </w:r>
      <w:r w:rsidRPr="00423400" w:rsidR="0090523F">
        <w:rPr>
          <w:color w:val="auto"/>
          <w:sz w:val="24"/>
          <w:szCs w:val="24"/>
        </w:rPr>
        <w:t xml:space="preserve"> to improve reliability.</w:t>
      </w:r>
      <w:bookmarkEnd w:id="42"/>
      <w:r w:rsidRPr="00423400" w:rsidR="0090523F">
        <w:rPr>
          <w:color w:val="auto"/>
          <w:sz w:val="24"/>
          <w:szCs w:val="24"/>
        </w:rPr>
        <w:t xml:space="preserve"> </w:t>
      </w:r>
      <w:bookmarkEnd w:id="43"/>
      <w:bookmarkEnd w:id="44"/>
    </w:p>
    <w:p w:rsidR="0010248A" w:rsidRPr="00423400" w:rsidP="0012105E" w14:paraId="4A19FA89" w14:textId="77777777">
      <w:pPr>
        <w:spacing w:before="240" w:after="0" w:line="480" w:lineRule="auto"/>
        <w:ind w:firstLine="720"/>
        <w:rPr>
          <w:rFonts w:cs="Times New Roman"/>
          <w:bCs/>
          <w:szCs w:val="24"/>
        </w:rPr>
      </w:pPr>
      <w:r w:rsidRPr="00423400">
        <w:rPr>
          <w:rFonts w:cs="Times New Roman"/>
          <w:bCs/>
          <w:szCs w:val="24"/>
        </w:rPr>
        <w:t xml:space="preserve">The PUCO should reject the PUCO Staff’s recommendation to increase DP&amp;L’s baseline expenses for vegetation management by $1.8 million. OCC’s expert witness, Mr. Williams, testified that </w:t>
      </w:r>
      <w:r w:rsidRPr="00423400" w:rsidR="00ED4B05">
        <w:rPr>
          <w:rFonts w:cs="Times New Roman"/>
          <w:bCs/>
          <w:szCs w:val="24"/>
        </w:rPr>
        <w:t>DP&amp;L proposed a hybrid cyclical tree-trimming cycle of four to five years for distribution circuits to manage vegetation within and outside of the right of way (“ROW”).</w:t>
      </w:r>
      <w:r>
        <w:rPr>
          <w:rStyle w:val="FootnoteReference"/>
          <w:rFonts w:cs="Times New Roman"/>
          <w:bCs/>
          <w:szCs w:val="24"/>
        </w:rPr>
        <w:footnoteReference w:id="110"/>
      </w:r>
      <w:r w:rsidRPr="00423400" w:rsidR="00ED4B05">
        <w:rPr>
          <w:rFonts w:cs="Times New Roman"/>
          <w:bCs/>
          <w:szCs w:val="24"/>
        </w:rPr>
        <w:t xml:space="preserve"> Furthermore, the Utility has proposed expanding the costs for the vegetation management program to $30 million annually.</w:t>
      </w:r>
      <w:r>
        <w:rPr>
          <w:rStyle w:val="FootnoteReference"/>
          <w:rFonts w:cs="Times New Roman"/>
          <w:bCs/>
          <w:szCs w:val="24"/>
        </w:rPr>
        <w:footnoteReference w:id="111"/>
      </w:r>
      <w:r w:rsidRPr="00423400" w:rsidR="00ED4B05">
        <w:rPr>
          <w:rFonts w:cs="Times New Roman"/>
          <w:bCs/>
          <w:szCs w:val="24"/>
        </w:rPr>
        <w:t xml:space="preserve"> This consists of proposed spending of $25 million annually on maintenance of circuits inside the ROW, $1.5 million for intra-cycle hot-spot tree-trimming, and $3.5 million annually for Danger/Hazard tree removal outside the ROW.</w:t>
      </w:r>
      <w:r>
        <w:rPr>
          <w:rStyle w:val="FootnoteReference"/>
          <w:rFonts w:cs="Times New Roman"/>
          <w:bCs/>
          <w:szCs w:val="24"/>
        </w:rPr>
        <w:footnoteReference w:id="112"/>
      </w:r>
      <w:r w:rsidRPr="00423400" w:rsidR="00ED4B05">
        <w:rPr>
          <w:rFonts w:cs="Times New Roman"/>
          <w:bCs/>
          <w:szCs w:val="24"/>
        </w:rPr>
        <w:t xml:space="preserve"> </w:t>
      </w:r>
      <w:r w:rsidRPr="00423400" w:rsidR="005710F4">
        <w:rPr>
          <w:rFonts w:cs="Times New Roman"/>
          <w:bCs/>
          <w:szCs w:val="24"/>
        </w:rPr>
        <w:t xml:space="preserve">Mr. Williams also testified that </w:t>
      </w:r>
      <w:r w:rsidRPr="00423400" w:rsidR="00ED4B05">
        <w:rPr>
          <w:rFonts w:cs="Times New Roman"/>
          <w:bCs/>
          <w:szCs w:val="24"/>
        </w:rPr>
        <w:t>DP&amp;L provided a copy of the proposed long term strategy for vegetation management that includes a significant and expensive expansion over the current vegetation management plan.</w:t>
      </w:r>
    </w:p>
    <w:p w:rsidR="002E004D" w:rsidRPr="00423400" w:rsidP="002E004D" w14:paraId="61AD48E3" w14:textId="77777777">
      <w:pPr>
        <w:autoSpaceDE w:val="0"/>
        <w:autoSpaceDN w:val="0"/>
        <w:adjustRightInd w:val="0"/>
        <w:spacing w:after="0" w:line="480" w:lineRule="auto"/>
        <w:ind w:firstLine="720"/>
        <w:rPr>
          <w:rFonts w:cs="Times New Roman"/>
          <w:bCs/>
          <w:szCs w:val="24"/>
        </w:rPr>
      </w:pPr>
      <w:r w:rsidRPr="00423400">
        <w:rPr>
          <w:rFonts w:cs="Times New Roman"/>
          <w:bCs/>
          <w:szCs w:val="24"/>
        </w:rPr>
        <w:t>Mr. Williams explained that the PUCO Staff Report made three recommendations regarding vegetation management expense.</w:t>
      </w:r>
      <w:r>
        <w:rPr>
          <w:rStyle w:val="FootnoteReference"/>
          <w:rFonts w:cs="Times New Roman"/>
          <w:bCs/>
          <w:szCs w:val="24"/>
        </w:rPr>
        <w:footnoteReference w:id="113"/>
      </w:r>
      <w:r w:rsidRPr="00423400">
        <w:rPr>
          <w:rFonts w:cs="Times New Roman"/>
          <w:bCs/>
          <w:szCs w:val="24"/>
        </w:rPr>
        <w:t xml:space="preserve"> First, that the baseline expense for vegetation management be increased from $15,700,000 to $17,500,000.</w:t>
      </w:r>
      <w:r>
        <w:rPr>
          <w:rStyle w:val="FootnoteReference"/>
          <w:rFonts w:cs="Times New Roman"/>
          <w:bCs/>
          <w:szCs w:val="24"/>
        </w:rPr>
        <w:footnoteReference w:id="114"/>
      </w:r>
      <w:r w:rsidRPr="00423400">
        <w:rPr>
          <w:rFonts w:cs="Times New Roman"/>
          <w:bCs/>
          <w:szCs w:val="24"/>
        </w:rPr>
        <w:t xml:space="preserve"> Second, that the collection of deferred vegetation management expenses of approximately $13.7 million be amortized over a five-year period rather than three years as proposed by DP&amp;L.</w:t>
      </w:r>
      <w:r>
        <w:rPr>
          <w:rStyle w:val="FootnoteReference"/>
          <w:rFonts w:cs="Times New Roman"/>
          <w:bCs/>
          <w:szCs w:val="24"/>
        </w:rPr>
        <w:footnoteReference w:id="115"/>
      </w:r>
      <w:r w:rsidRPr="00423400">
        <w:rPr>
          <w:rFonts w:cs="Times New Roman"/>
          <w:bCs/>
          <w:szCs w:val="24"/>
        </w:rPr>
        <w:t xml:space="preserve"> </w:t>
      </w:r>
      <w:r w:rsidRPr="00423400" w:rsidR="0054648A">
        <w:rPr>
          <w:rFonts w:cs="Times New Roman"/>
          <w:bCs/>
          <w:szCs w:val="24"/>
        </w:rPr>
        <w:t xml:space="preserve">And </w:t>
      </w:r>
      <w:r w:rsidRPr="00423400">
        <w:rPr>
          <w:rFonts w:cs="Times New Roman"/>
          <w:bCs/>
          <w:szCs w:val="24"/>
        </w:rPr>
        <w:t xml:space="preserve">the test year expense </w:t>
      </w:r>
      <w:r w:rsidRPr="00423400" w:rsidR="0054648A">
        <w:rPr>
          <w:rFonts w:cs="Times New Roman"/>
          <w:bCs/>
          <w:szCs w:val="24"/>
        </w:rPr>
        <w:t xml:space="preserve">was adjusted </w:t>
      </w:r>
      <w:r w:rsidRPr="00423400">
        <w:rPr>
          <w:rFonts w:cs="Times New Roman"/>
          <w:bCs/>
          <w:szCs w:val="24"/>
        </w:rPr>
        <w:t>to $20,248,050 to reflect collection of the deferral.</w:t>
      </w:r>
      <w:r>
        <w:rPr>
          <w:rStyle w:val="FootnoteReference"/>
          <w:rFonts w:cs="Times New Roman"/>
          <w:bCs/>
          <w:szCs w:val="24"/>
        </w:rPr>
        <w:footnoteReference w:id="116"/>
      </w:r>
      <w:r w:rsidRPr="00423400">
        <w:rPr>
          <w:rFonts w:cs="Times New Roman"/>
          <w:bCs/>
          <w:szCs w:val="24"/>
        </w:rPr>
        <w:t xml:space="preserve"> Finally, the PUCO Staff recommended that PUCO authorize DP&amp;L to continue deferring incremental vegetation management expense beyond the $17,500,000 baseline amount subject to a $5,000,000 annual cap.</w:t>
      </w:r>
      <w:r>
        <w:rPr>
          <w:rStyle w:val="FootnoteReference"/>
          <w:rFonts w:cs="Times New Roman"/>
          <w:bCs/>
          <w:szCs w:val="24"/>
        </w:rPr>
        <w:footnoteReference w:id="117"/>
      </w:r>
    </w:p>
    <w:p w:rsidR="00ED4B05" w:rsidRPr="00423400" w:rsidP="00592014" w14:paraId="4FD2149D" w14:textId="77777777">
      <w:pPr>
        <w:autoSpaceDE w:val="0"/>
        <w:autoSpaceDN w:val="0"/>
        <w:adjustRightInd w:val="0"/>
        <w:spacing w:after="0" w:line="480" w:lineRule="auto"/>
        <w:ind w:firstLine="720"/>
        <w:rPr>
          <w:rFonts w:cs="Times New Roman"/>
          <w:bCs/>
          <w:szCs w:val="24"/>
        </w:rPr>
      </w:pPr>
      <w:r w:rsidRPr="00423400">
        <w:rPr>
          <w:rFonts w:cs="Times New Roman"/>
          <w:bCs/>
          <w:szCs w:val="24"/>
        </w:rPr>
        <w:t>But, as Mr. Williams explained in his testimony, t</w:t>
      </w:r>
      <w:r w:rsidRPr="00423400" w:rsidR="002E004D">
        <w:rPr>
          <w:rFonts w:cs="Times New Roman"/>
          <w:bCs/>
          <w:szCs w:val="24"/>
        </w:rPr>
        <w:t>he PUCO Staff Report provided no recommendations regarding the DP&amp;L proposed amendments to the vegetation management program.</w:t>
      </w:r>
      <w:r>
        <w:rPr>
          <w:rStyle w:val="FootnoteReference"/>
          <w:rFonts w:cs="Times New Roman"/>
          <w:bCs/>
          <w:szCs w:val="24"/>
        </w:rPr>
        <w:footnoteReference w:id="118"/>
      </w:r>
      <w:r w:rsidRPr="00423400" w:rsidR="002E004D">
        <w:rPr>
          <w:rFonts w:cs="Times New Roman"/>
          <w:bCs/>
          <w:szCs w:val="24"/>
        </w:rPr>
        <w:t xml:space="preserve"> The PUCO Staff Report failed to address DP&amp;L’s non-compliance with its PUCO approved vegetation management plan. Also, the PUCO Staff Report failed to assess the impact that </w:t>
      </w:r>
      <w:r w:rsidRPr="00423400" w:rsidR="00CF3172">
        <w:rPr>
          <w:rFonts w:cs="Times New Roman"/>
          <w:bCs/>
          <w:szCs w:val="24"/>
        </w:rPr>
        <w:t>DP&amp;L’s</w:t>
      </w:r>
      <w:r w:rsidRPr="00423400" w:rsidR="002E004D">
        <w:rPr>
          <w:rFonts w:cs="Times New Roman"/>
          <w:bCs/>
          <w:szCs w:val="24"/>
        </w:rPr>
        <w:t xml:space="preserve"> failure to comply with its vegetation management plan on reliability performance.</w:t>
      </w:r>
      <w:r w:rsidRPr="00423400" w:rsidR="00CD72D9">
        <w:rPr>
          <w:rFonts w:cs="Times New Roman"/>
          <w:bCs/>
          <w:szCs w:val="24"/>
        </w:rPr>
        <w:t xml:space="preserve"> </w:t>
      </w:r>
    </w:p>
    <w:p w:rsidR="00A11007" w:rsidRPr="00423400" w:rsidP="00592014" w14:paraId="496DB74E" w14:textId="77777777">
      <w:pPr>
        <w:autoSpaceDE w:val="0"/>
        <w:autoSpaceDN w:val="0"/>
        <w:adjustRightInd w:val="0"/>
        <w:spacing w:after="0" w:line="480" w:lineRule="auto"/>
        <w:ind w:firstLine="720"/>
        <w:rPr>
          <w:rFonts w:cs="Times New Roman"/>
          <w:bCs/>
          <w:szCs w:val="24"/>
        </w:rPr>
      </w:pPr>
      <w:r w:rsidRPr="00423400">
        <w:rPr>
          <w:rFonts w:cs="Times New Roman"/>
          <w:bCs/>
          <w:szCs w:val="24"/>
        </w:rPr>
        <w:t>The PUCO Staff Report contained no analysis or support from the PUCO Staff for its recommendation to increase the baseline expenses for vegetation management from the current $15.7 million to $17.5 million, annually. The PUCO Staff did not perform an analysis of the underlying factors that DP&amp;L claims caused the proposed increase in tree-trimming expenses.</w:t>
      </w:r>
      <w:r>
        <w:rPr>
          <w:rStyle w:val="FootnoteReference"/>
          <w:rFonts w:cs="Times New Roman"/>
          <w:bCs/>
          <w:szCs w:val="24"/>
        </w:rPr>
        <w:footnoteReference w:id="119"/>
      </w:r>
      <w:r w:rsidRPr="00423400">
        <w:rPr>
          <w:rFonts w:cs="Times New Roman"/>
          <w:bCs/>
          <w:szCs w:val="24"/>
        </w:rPr>
        <w:t xml:space="preserve"> </w:t>
      </w:r>
    </w:p>
    <w:p w:rsidR="005247D2" w:rsidRPr="00423400" w:rsidP="00592014" w14:paraId="111E173C" w14:textId="77777777">
      <w:pPr>
        <w:autoSpaceDE w:val="0"/>
        <w:autoSpaceDN w:val="0"/>
        <w:adjustRightInd w:val="0"/>
        <w:spacing w:after="0" w:line="480" w:lineRule="auto"/>
        <w:ind w:firstLine="720"/>
        <w:rPr>
          <w:rFonts w:cs="Times New Roman"/>
          <w:bCs/>
          <w:szCs w:val="24"/>
        </w:rPr>
      </w:pPr>
      <w:r w:rsidRPr="00423400">
        <w:rPr>
          <w:rFonts w:cs="Times New Roman"/>
          <w:bCs/>
          <w:szCs w:val="24"/>
        </w:rPr>
        <w:t>Additionally, the PUCO Staff did not analyze the impact that DP&amp;L’s failure to comply with its vegetation management plan and how this contributed to DP&amp;L failure to meet the minimum distribution reliability performance standards.</w:t>
      </w:r>
      <w:r>
        <w:rPr>
          <w:rStyle w:val="FootnoteReference"/>
          <w:rFonts w:cs="Times New Roman"/>
          <w:bCs/>
          <w:szCs w:val="24"/>
        </w:rPr>
        <w:footnoteReference w:id="120"/>
      </w:r>
      <w:r w:rsidRPr="00423400">
        <w:rPr>
          <w:rFonts w:cs="Times New Roman"/>
          <w:bCs/>
          <w:szCs w:val="24"/>
        </w:rPr>
        <w:t xml:space="preserve"> The PUCO Staff Report contained no analysis of the recommendations and costs proposed by DP&amp;L for modifying the cycle duration to 4-5 years, initiating hot spot tree-trimming, or expanding the vegetation management program to include tree-trimming and removals outside the right of way.</w:t>
      </w:r>
      <w:r>
        <w:rPr>
          <w:rStyle w:val="FootnoteReference"/>
          <w:rFonts w:cs="Times New Roman"/>
          <w:bCs/>
          <w:szCs w:val="24"/>
        </w:rPr>
        <w:footnoteReference w:id="121"/>
      </w:r>
      <w:r w:rsidRPr="00423400" w:rsidR="00B60B67">
        <w:rPr>
          <w:rFonts w:cs="Times New Roman"/>
          <w:bCs/>
          <w:szCs w:val="24"/>
        </w:rPr>
        <w:t xml:space="preserve"> </w:t>
      </w:r>
    </w:p>
    <w:p w:rsidR="005247D2" w:rsidRPr="00423400" w:rsidP="00592014" w14:paraId="4A6E21DA" w14:textId="77777777">
      <w:pPr>
        <w:autoSpaceDE w:val="0"/>
        <w:autoSpaceDN w:val="0"/>
        <w:adjustRightInd w:val="0"/>
        <w:spacing w:after="0" w:line="480" w:lineRule="auto"/>
        <w:ind w:firstLine="720"/>
        <w:rPr>
          <w:rFonts w:cs="Times New Roman"/>
          <w:bCs/>
          <w:szCs w:val="24"/>
        </w:rPr>
      </w:pPr>
      <w:r w:rsidRPr="00423400">
        <w:rPr>
          <w:rFonts w:cs="Times New Roman"/>
          <w:bCs/>
          <w:szCs w:val="24"/>
        </w:rPr>
        <w:t>Mr. Williams explained that according to the PUCO approved DP&amp;L Inspection, Maintenance, Repair, and Replacement Program, DP&amp;L is required to complete tree-trimming of all circuits within the right of way under a five-year cycle-based program.</w:t>
      </w:r>
      <w:r>
        <w:rPr>
          <w:rStyle w:val="FootnoteReference"/>
          <w:rFonts w:cs="Times New Roman"/>
          <w:bCs/>
          <w:szCs w:val="24"/>
        </w:rPr>
        <w:footnoteReference w:id="122"/>
      </w:r>
      <w:r w:rsidRPr="00423400">
        <w:rPr>
          <w:rFonts w:cs="Times New Roman"/>
          <w:bCs/>
          <w:szCs w:val="24"/>
        </w:rPr>
        <w:t xml:space="preserve"> But even though DP&amp;L is required to trim trees within the right of way on five-year cycle, the Utility is not doing so.</w:t>
      </w:r>
      <w:r>
        <w:rPr>
          <w:rStyle w:val="FootnoteReference"/>
          <w:rFonts w:cs="Times New Roman"/>
          <w:bCs/>
          <w:szCs w:val="24"/>
        </w:rPr>
        <w:footnoteReference w:id="123"/>
      </w:r>
      <w:r w:rsidRPr="00423400">
        <w:rPr>
          <w:rFonts w:cs="Times New Roman"/>
          <w:bCs/>
          <w:szCs w:val="24"/>
        </w:rPr>
        <w:t xml:space="preserve"> And even though customer interruptions associated with trees inside the right of way are increasing, DP&amp;L has chosen to selectively defer the cycle-based tree-trimming program due to the alleged costs.</w:t>
      </w:r>
      <w:r>
        <w:rPr>
          <w:rStyle w:val="FootnoteReference"/>
          <w:rFonts w:cs="Times New Roman"/>
          <w:bCs/>
          <w:szCs w:val="24"/>
        </w:rPr>
        <w:footnoteReference w:id="124"/>
      </w:r>
      <w:r w:rsidRPr="00423400">
        <w:rPr>
          <w:rFonts w:cs="Times New Roman"/>
          <w:bCs/>
          <w:szCs w:val="24"/>
        </w:rPr>
        <w:t xml:space="preserve"> And DP&amp;L even acknowledge</w:t>
      </w:r>
      <w:r w:rsidRPr="00423400" w:rsidR="00242FD1">
        <w:rPr>
          <w:rFonts w:cs="Times New Roman"/>
          <w:bCs/>
          <w:szCs w:val="24"/>
        </w:rPr>
        <w:t>d</w:t>
      </w:r>
      <w:r w:rsidRPr="00423400">
        <w:rPr>
          <w:rFonts w:cs="Times New Roman"/>
          <w:bCs/>
          <w:szCs w:val="24"/>
        </w:rPr>
        <w:t xml:space="preserve"> that the deferral in tree-trimming work allows additional growth and leads to additional system impacts.</w:t>
      </w:r>
      <w:r>
        <w:rPr>
          <w:rStyle w:val="FootnoteReference"/>
          <w:rFonts w:cs="Times New Roman"/>
          <w:bCs/>
          <w:szCs w:val="24"/>
        </w:rPr>
        <w:footnoteReference w:id="125"/>
      </w:r>
      <w:r w:rsidRPr="00423400">
        <w:rPr>
          <w:rFonts w:cs="Times New Roman"/>
          <w:bCs/>
          <w:szCs w:val="24"/>
        </w:rPr>
        <w:t xml:space="preserve"> </w:t>
      </w:r>
      <w:r w:rsidRPr="00423400" w:rsidR="00242FD1">
        <w:rPr>
          <w:rFonts w:cs="Times New Roman"/>
          <w:bCs/>
          <w:szCs w:val="24"/>
        </w:rPr>
        <w:t>In fact, b</w:t>
      </w:r>
      <w:r w:rsidRPr="00423400">
        <w:rPr>
          <w:rFonts w:cs="Times New Roman"/>
          <w:bCs/>
          <w:szCs w:val="24"/>
        </w:rPr>
        <w:t>etween 2018 and 2020, the Utility has failed to meet the five-year cycle-based tree-trimming requirements.</w:t>
      </w:r>
      <w:r>
        <w:rPr>
          <w:rStyle w:val="FootnoteReference"/>
          <w:rFonts w:cs="Times New Roman"/>
          <w:bCs/>
          <w:szCs w:val="24"/>
        </w:rPr>
        <w:footnoteReference w:id="126"/>
      </w:r>
      <w:r w:rsidRPr="00423400">
        <w:rPr>
          <w:rFonts w:cs="Times New Roman"/>
          <w:bCs/>
          <w:szCs w:val="24"/>
        </w:rPr>
        <w:t xml:space="preserve"> This is particularly unreasonable considering the significant increases in baseline vegetation management expense ($15.7 million plus deferral expenses of up to $4.6 million) that DP&amp;L received in its last base last rate case.</w:t>
      </w:r>
      <w:r>
        <w:rPr>
          <w:rStyle w:val="FootnoteReference"/>
          <w:rFonts w:cs="Times New Roman"/>
          <w:bCs/>
          <w:szCs w:val="24"/>
        </w:rPr>
        <w:footnoteReference w:id="127"/>
      </w:r>
    </w:p>
    <w:p w:rsidR="005247D2" w:rsidRPr="00423400" w:rsidP="00B946E4" w14:paraId="7E1585DA" w14:textId="77777777">
      <w:pPr>
        <w:autoSpaceDE w:val="0"/>
        <w:autoSpaceDN w:val="0"/>
        <w:adjustRightInd w:val="0"/>
        <w:spacing w:after="0" w:line="480" w:lineRule="auto"/>
        <w:ind w:firstLine="720"/>
        <w:rPr>
          <w:rFonts w:cs="Times New Roman"/>
          <w:bCs/>
          <w:szCs w:val="24"/>
        </w:rPr>
      </w:pPr>
      <w:r w:rsidRPr="00423400">
        <w:rPr>
          <w:rFonts w:cs="Times New Roman"/>
          <w:bCs/>
          <w:szCs w:val="24"/>
        </w:rPr>
        <w:t xml:space="preserve">OCC’s expert </w:t>
      </w:r>
      <w:r w:rsidRPr="00423400" w:rsidR="0040072B">
        <w:rPr>
          <w:rFonts w:cs="Times New Roman"/>
          <w:bCs/>
          <w:szCs w:val="24"/>
        </w:rPr>
        <w:t>witness Mr. Williams explained in his testimony that i</w:t>
      </w:r>
      <w:r w:rsidRPr="00423400">
        <w:rPr>
          <w:rFonts w:cs="Times New Roman"/>
          <w:bCs/>
          <w:szCs w:val="24"/>
        </w:rPr>
        <w:t xml:space="preserve">n 2019, DP&amp;L reported </w:t>
      </w:r>
      <w:r w:rsidRPr="00423400" w:rsidR="0040072B">
        <w:rPr>
          <w:rFonts w:cs="Times New Roman"/>
          <w:bCs/>
          <w:szCs w:val="24"/>
        </w:rPr>
        <w:t xml:space="preserve">only </w:t>
      </w:r>
      <w:r w:rsidRPr="00423400">
        <w:rPr>
          <w:rFonts w:cs="Times New Roman"/>
          <w:bCs/>
          <w:szCs w:val="24"/>
        </w:rPr>
        <w:t>completing tree-trimming on 71 of the 108 circuits in in 2018 that it should have completed for the year.</w:t>
      </w:r>
      <w:r>
        <w:rPr>
          <w:rStyle w:val="FootnoteReference"/>
          <w:rFonts w:cs="Times New Roman"/>
          <w:bCs/>
          <w:szCs w:val="24"/>
        </w:rPr>
        <w:footnoteReference w:id="128"/>
      </w:r>
      <w:r w:rsidRPr="00423400">
        <w:rPr>
          <w:rFonts w:cs="Times New Roman"/>
          <w:bCs/>
          <w:szCs w:val="24"/>
        </w:rPr>
        <w:t xml:space="preserve"> In 2020, DP&amp;L reported completing tree-trimming on 91 of the 108 circuits in in 2019 that it should have completed for the year.</w:t>
      </w:r>
      <w:r>
        <w:rPr>
          <w:rStyle w:val="FootnoteReference"/>
          <w:rFonts w:cs="Times New Roman"/>
          <w:bCs/>
          <w:szCs w:val="24"/>
        </w:rPr>
        <w:footnoteReference w:id="129"/>
      </w:r>
      <w:r w:rsidRPr="00423400">
        <w:rPr>
          <w:rFonts w:cs="Times New Roman"/>
          <w:bCs/>
          <w:szCs w:val="24"/>
        </w:rPr>
        <w:t xml:space="preserve"> In 2021, DP&amp;L reported completing tree-trimming on 89 of the 108 circuits in 2020 that it should have completed for the year.</w:t>
      </w:r>
      <w:r>
        <w:rPr>
          <w:rStyle w:val="FootnoteReference"/>
          <w:rFonts w:cs="Times New Roman"/>
          <w:bCs/>
          <w:szCs w:val="24"/>
        </w:rPr>
        <w:footnoteReference w:id="130"/>
      </w:r>
      <w:r w:rsidRPr="00423400" w:rsidR="00CD72D9">
        <w:rPr>
          <w:rFonts w:cs="Times New Roman"/>
          <w:bCs/>
          <w:szCs w:val="24"/>
        </w:rPr>
        <w:t xml:space="preserve"> </w:t>
      </w:r>
    </w:p>
    <w:p w:rsidR="005247D2" w:rsidRPr="00423400" w:rsidP="00F01A92" w14:paraId="1ABCFE59" w14:textId="77777777">
      <w:pPr>
        <w:autoSpaceDE w:val="0"/>
        <w:autoSpaceDN w:val="0"/>
        <w:adjustRightInd w:val="0"/>
        <w:spacing w:after="0" w:line="480" w:lineRule="auto"/>
        <w:ind w:firstLine="720"/>
        <w:rPr>
          <w:rFonts w:cs="Times New Roman"/>
          <w:szCs w:val="24"/>
        </w:rPr>
      </w:pPr>
      <w:r w:rsidRPr="00423400">
        <w:rPr>
          <w:rFonts w:cs="Times New Roman"/>
          <w:szCs w:val="24"/>
        </w:rPr>
        <w:t>According to Mr. Williams, DP&amp;L’s explanation for not meeting the PUCO approved vegetation management requirements was “Challenging labor market conditions…”.</w:t>
      </w:r>
      <w:r>
        <w:rPr>
          <w:rStyle w:val="FootnoteReference"/>
          <w:rFonts w:cs="Times New Roman"/>
          <w:szCs w:val="24"/>
        </w:rPr>
        <w:footnoteReference w:id="131"/>
      </w:r>
      <w:r w:rsidRPr="00423400">
        <w:rPr>
          <w:rFonts w:cs="Times New Roman"/>
          <w:szCs w:val="24"/>
        </w:rPr>
        <w:t xml:space="preserve"> And more specifically, the Utility has provided the following statement as their explanation in its Rule 26 filings for not meeting tree-trimming requirements:</w:t>
      </w:r>
    </w:p>
    <w:p w:rsidR="005247D2" w:rsidRPr="00423400" w:rsidP="00B55AE4" w14:paraId="5F766370" w14:textId="77777777">
      <w:pPr>
        <w:autoSpaceDE w:val="0"/>
        <w:autoSpaceDN w:val="0"/>
        <w:adjustRightInd w:val="0"/>
        <w:spacing w:line="240" w:lineRule="auto"/>
        <w:ind w:left="1440" w:right="1440"/>
        <w:rPr>
          <w:rFonts w:cs="Times New Roman"/>
          <w:szCs w:val="24"/>
        </w:rPr>
      </w:pPr>
      <w:r w:rsidRPr="00423400">
        <w:rPr>
          <w:rFonts w:cs="Times New Roman"/>
          <w:szCs w:val="24"/>
        </w:rPr>
        <w:t>Challenging labor market conditions affecting the entire vegetation management industry have led to widespread price increases and schedule completion shortfalls for many utilities. Currently there is not enough qualified labor in the utility vegetation management industry to effectively meet the increasing needs of electricity providers. As a result, DP&amp;L Ohio has faced significant challenges in trying to overcome the labor shortages and the related price increases. To the best of its ability, DP&amp;L Ohio made strategic decisions to focus its vegetation management efforts in such a way as to maximize the potential benefit to [consumers] by prioritizing circuits based on safety, reliability and vegetation risk.</w:t>
      </w:r>
      <w:r>
        <w:rPr>
          <w:rStyle w:val="FootnoteReference"/>
          <w:rFonts w:cs="Times New Roman"/>
          <w:szCs w:val="24"/>
        </w:rPr>
        <w:footnoteReference w:id="132"/>
      </w:r>
    </w:p>
    <w:p w:rsidR="005247D2" w:rsidP="002E65CC" w14:paraId="5BD1A7FC" w14:textId="77777777">
      <w:pPr>
        <w:autoSpaceDE w:val="0"/>
        <w:autoSpaceDN w:val="0"/>
        <w:adjustRightInd w:val="0"/>
        <w:spacing w:line="480" w:lineRule="auto"/>
        <w:rPr>
          <w:rFonts w:cs="Times New Roman"/>
          <w:szCs w:val="24"/>
        </w:rPr>
      </w:pPr>
      <w:r w:rsidRPr="00423400">
        <w:rPr>
          <w:rFonts w:cs="Times New Roman"/>
          <w:szCs w:val="24"/>
        </w:rPr>
        <w:t xml:space="preserve"> </w:t>
      </w:r>
      <w:r w:rsidRPr="00423400" w:rsidR="002E65CC">
        <w:rPr>
          <w:rFonts w:cs="Times New Roman"/>
          <w:szCs w:val="24"/>
        </w:rPr>
        <w:tab/>
      </w:r>
      <w:r w:rsidRPr="00423400">
        <w:rPr>
          <w:rFonts w:cs="Times New Roman"/>
          <w:szCs w:val="24"/>
        </w:rPr>
        <w:t>Identical statements are found in each of the system improvement plan reports for 2018 through 2020.</w:t>
      </w:r>
      <w:r>
        <w:rPr>
          <w:rStyle w:val="FootnoteReference"/>
          <w:rFonts w:cs="Times New Roman"/>
          <w:szCs w:val="24"/>
        </w:rPr>
        <w:footnoteReference w:id="133"/>
      </w:r>
      <w:r w:rsidRPr="00423400">
        <w:rPr>
          <w:rFonts w:cs="Times New Roman"/>
          <w:szCs w:val="24"/>
        </w:rPr>
        <w:t xml:space="preserve"> </w:t>
      </w:r>
      <w:r w:rsidRPr="00423400" w:rsidR="00D62CB4">
        <w:rPr>
          <w:rFonts w:cs="Times New Roman"/>
          <w:szCs w:val="24"/>
        </w:rPr>
        <w:t>Mr. Williams explained in his testimony that i</w:t>
      </w:r>
      <w:r w:rsidRPr="00423400">
        <w:rPr>
          <w:rFonts w:cs="Times New Roman"/>
          <w:szCs w:val="24"/>
        </w:rPr>
        <w:t>n comparing the number of tree-caused outages between 2015 and 2020, there is a significant increase in outages associated with tree-trimming that are contributing to declines in DP&amp;L’s reliability performance as shown in the table below.</w:t>
      </w:r>
      <w:r>
        <w:rPr>
          <w:rStyle w:val="FootnoteReference"/>
          <w:rFonts w:cs="Times New Roman"/>
          <w:szCs w:val="24"/>
        </w:rPr>
        <w:footnoteReference w:id="134"/>
      </w:r>
    </w:p>
    <w:p w:rsidR="005247D2" w:rsidRPr="00423400" w:rsidP="005247D2" w14:paraId="152668C2" w14:textId="77777777">
      <w:pPr>
        <w:autoSpaceDE w:val="0"/>
        <w:autoSpaceDN w:val="0"/>
        <w:adjustRightInd w:val="0"/>
        <w:jc w:val="center"/>
        <w:rPr>
          <w:rFonts w:cs="Times New Roman"/>
          <w:szCs w:val="24"/>
        </w:rPr>
      </w:pPr>
      <w:r w:rsidRPr="00423400">
        <w:rPr>
          <w:rFonts w:cs="Times New Roman"/>
          <w:b/>
          <w:bCs/>
          <w:szCs w:val="24"/>
        </w:rPr>
        <w:t>Inside Row Tree Caused Outages 2015 – 2020 (Excludes Major Events and Transmission Outages)</w:t>
      </w:r>
      <w:r>
        <w:rPr>
          <w:rStyle w:val="FootnoteReference"/>
          <w:rFonts w:cs="Times New Roman"/>
          <w:szCs w:val="24"/>
        </w:rPr>
        <w:footnoteReference w:id="135"/>
      </w:r>
    </w:p>
    <w:tbl>
      <w:tblPr>
        <w:tblStyle w:val="TableGrid"/>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157"/>
        <w:gridCol w:w="2157"/>
        <w:gridCol w:w="2158"/>
        <w:gridCol w:w="2158"/>
      </w:tblGrid>
      <w:tr w14:paraId="0016FE22" w14:textId="77777777" w:rsidTr="00F228F4">
        <w:tblPrEx>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jc w:val="center"/>
        </w:trPr>
        <w:tc>
          <w:tcPr>
            <w:tcW w:w="2157" w:type="dxa"/>
          </w:tcPr>
          <w:p w:rsidR="005247D2" w:rsidRPr="00423400" w:rsidP="005247D2" w14:paraId="7D8D97C4" w14:textId="77777777">
            <w:pPr>
              <w:autoSpaceDE w:val="0"/>
              <w:autoSpaceDN w:val="0"/>
              <w:adjustRightInd w:val="0"/>
              <w:spacing w:after="0" w:line="240" w:lineRule="auto"/>
              <w:jc w:val="center"/>
              <w:rPr>
                <w:rStyle w:val="DefaultParagraphFont"/>
                <w:rFonts w:ascii="Times New Roman" w:eastAsia="Times New Roman" w:hAnsi="Times New Roman" w:cs="Times New Roman"/>
                <w:b/>
                <w:bCs/>
                <w:sz w:val="24"/>
                <w:szCs w:val="24"/>
                <w:lang w:val="en-US" w:eastAsia="en-US" w:bidi="ar-SA"/>
              </w:rPr>
            </w:pPr>
            <w:r w:rsidRPr="00423400">
              <w:rPr>
                <w:rFonts w:ascii="Times New Roman" w:eastAsia="Times New Roman" w:hAnsi="Times New Roman" w:cs="Times New Roman"/>
                <w:b/>
                <w:bCs/>
                <w:sz w:val="24"/>
                <w:szCs w:val="24"/>
                <w:lang w:val="en-US" w:eastAsia="en-US" w:bidi="ar-SA"/>
              </w:rPr>
              <w:t>Year</w:t>
            </w:r>
          </w:p>
        </w:tc>
        <w:tc>
          <w:tcPr>
            <w:tcW w:w="2157" w:type="dxa"/>
          </w:tcPr>
          <w:p w:rsidR="005247D2" w:rsidRPr="00423400" w:rsidP="005247D2" w14:paraId="3C042A5F" w14:textId="77777777">
            <w:pPr>
              <w:autoSpaceDE w:val="0"/>
              <w:autoSpaceDN w:val="0"/>
              <w:adjustRightInd w:val="0"/>
              <w:spacing w:after="0" w:line="240" w:lineRule="auto"/>
              <w:jc w:val="center"/>
              <w:rPr>
                <w:rStyle w:val="DefaultParagraphFont"/>
                <w:rFonts w:ascii="Times New Roman" w:eastAsia="Times New Roman" w:hAnsi="Times New Roman" w:cs="Times New Roman"/>
                <w:b/>
                <w:bCs/>
                <w:sz w:val="24"/>
                <w:szCs w:val="24"/>
                <w:lang w:val="en-US" w:eastAsia="en-US" w:bidi="ar-SA"/>
              </w:rPr>
            </w:pPr>
            <w:r w:rsidRPr="00423400">
              <w:rPr>
                <w:rFonts w:ascii="Times New Roman" w:eastAsia="Times New Roman" w:hAnsi="Times New Roman" w:cs="Times New Roman"/>
                <w:b/>
                <w:bCs/>
                <w:sz w:val="24"/>
                <w:szCs w:val="24"/>
                <w:lang w:val="en-US" w:eastAsia="en-US" w:bidi="ar-SA"/>
              </w:rPr>
              <w:t>Events</w:t>
            </w:r>
          </w:p>
        </w:tc>
        <w:tc>
          <w:tcPr>
            <w:tcW w:w="2158" w:type="dxa"/>
          </w:tcPr>
          <w:p w:rsidR="005247D2" w:rsidRPr="00423400" w:rsidP="005247D2" w14:paraId="06DA5535" w14:textId="77777777">
            <w:pPr>
              <w:autoSpaceDE w:val="0"/>
              <w:autoSpaceDN w:val="0"/>
              <w:adjustRightInd w:val="0"/>
              <w:spacing w:after="0" w:line="240" w:lineRule="auto"/>
              <w:jc w:val="center"/>
              <w:rPr>
                <w:rStyle w:val="DefaultParagraphFont"/>
                <w:rFonts w:ascii="Times New Roman" w:eastAsia="Times New Roman" w:hAnsi="Times New Roman" w:cs="Times New Roman"/>
                <w:b/>
                <w:bCs/>
                <w:sz w:val="24"/>
                <w:szCs w:val="24"/>
                <w:lang w:val="en-US" w:eastAsia="en-US" w:bidi="ar-SA"/>
              </w:rPr>
            </w:pPr>
            <w:r w:rsidRPr="00423400">
              <w:rPr>
                <w:rFonts w:ascii="Times New Roman" w:eastAsia="Times New Roman" w:hAnsi="Times New Roman" w:cs="Times New Roman"/>
                <w:b/>
                <w:bCs/>
                <w:sz w:val="24"/>
                <w:szCs w:val="24"/>
                <w:lang w:val="en-US" w:eastAsia="en-US" w:bidi="ar-SA"/>
              </w:rPr>
              <w:t>Consumers Interrupted</w:t>
            </w:r>
          </w:p>
        </w:tc>
        <w:tc>
          <w:tcPr>
            <w:tcW w:w="2158" w:type="dxa"/>
          </w:tcPr>
          <w:p w:rsidR="005247D2" w:rsidRPr="00423400" w:rsidP="005247D2" w14:paraId="01038BCE" w14:textId="77777777">
            <w:pPr>
              <w:autoSpaceDE w:val="0"/>
              <w:autoSpaceDN w:val="0"/>
              <w:adjustRightInd w:val="0"/>
              <w:spacing w:after="0" w:line="240" w:lineRule="auto"/>
              <w:jc w:val="center"/>
              <w:rPr>
                <w:rStyle w:val="DefaultParagraphFont"/>
                <w:rFonts w:ascii="Times New Roman" w:eastAsia="Times New Roman" w:hAnsi="Times New Roman" w:cs="Times New Roman"/>
                <w:b/>
                <w:bCs/>
                <w:sz w:val="24"/>
                <w:szCs w:val="24"/>
                <w:lang w:val="en-US" w:eastAsia="en-US" w:bidi="ar-SA"/>
              </w:rPr>
            </w:pPr>
            <w:r w:rsidRPr="00423400">
              <w:rPr>
                <w:rFonts w:ascii="Times New Roman" w:eastAsia="Times New Roman" w:hAnsi="Times New Roman" w:cs="Times New Roman"/>
                <w:b/>
                <w:bCs/>
                <w:sz w:val="24"/>
                <w:szCs w:val="24"/>
                <w:lang w:val="en-US" w:eastAsia="en-US" w:bidi="ar-SA"/>
              </w:rPr>
              <w:t>Consumer Minutes Interrupted</w:t>
            </w:r>
          </w:p>
        </w:tc>
      </w:tr>
      <w:tr w14:paraId="7D8D7C48" w14:textId="77777777" w:rsidTr="00F228F4">
        <w:tblPrEx>
          <w:tblW w:w="0" w:type="auto"/>
          <w:jc w:val="center"/>
          <w:tblInd w:w="0" w:type="dxa"/>
          <w:tblCellMar>
            <w:top w:w="0" w:type="dxa"/>
            <w:left w:w="108" w:type="dxa"/>
            <w:bottom w:w="0" w:type="dxa"/>
            <w:right w:w="108" w:type="dxa"/>
          </w:tblCellMar>
          <w:tblLook w:val="04A0"/>
        </w:tblPrEx>
        <w:trPr>
          <w:jc w:val="center"/>
        </w:trPr>
        <w:tc>
          <w:tcPr>
            <w:tcW w:w="2157" w:type="dxa"/>
          </w:tcPr>
          <w:p w:rsidR="005247D2" w:rsidRPr="00423400" w:rsidP="005247D2" w14:paraId="0D201CD9" w14:textId="77777777">
            <w:pPr>
              <w:autoSpaceDE w:val="0"/>
              <w:autoSpaceDN w:val="0"/>
              <w:adjustRightInd w:val="0"/>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2015</w:t>
            </w:r>
          </w:p>
        </w:tc>
        <w:tc>
          <w:tcPr>
            <w:tcW w:w="2157" w:type="dxa"/>
          </w:tcPr>
          <w:p w:rsidR="005247D2" w:rsidRPr="00423400" w:rsidP="005247D2" w14:paraId="23FF5C2E" w14:textId="77777777">
            <w:pPr>
              <w:autoSpaceDE w:val="0"/>
              <w:autoSpaceDN w:val="0"/>
              <w:adjustRightInd w:val="0"/>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145</w:t>
            </w:r>
          </w:p>
        </w:tc>
        <w:tc>
          <w:tcPr>
            <w:tcW w:w="2158" w:type="dxa"/>
          </w:tcPr>
          <w:p w:rsidR="005247D2" w:rsidRPr="00423400" w:rsidP="005247D2" w14:paraId="16800591" w14:textId="77777777">
            <w:pPr>
              <w:autoSpaceDE w:val="0"/>
              <w:autoSpaceDN w:val="0"/>
              <w:adjustRightInd w:val="0"/>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7,007</w:t>
            </w:r>
          </w:p>
        </w:tc>
        <w:tc>
          <w:tcPr>
            <w:tcW w:w="2158" w:type="dxa"/>
          </w:tcPr>
          <w:p w:rsidR="005247D2" w:rsidRPr="00423400" w:rsidP="005247D2" w14:paraId="486248BE" w14:textId="77777777">
            <w:pPr>
              <w:autoSpaceDE w:val="0"/>
              <w:autoSpaceDN w:val="0"/>
              <w:adjustRightInd w:val="0"/>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1,393,088</w:t>
            </w:r>
          </w:p>
        </w:tc>
      </w:tr>
      <w:tr w14:paraId="01AA4708" w14:textId="77777777" w:rsidTr="00F228F4">
        <w:tblPrEx>
          <w:tblW w:w="0" w:type="auto"/>
          <w:jc w:val="center"/>
          <w:tblInd w:w="0" w:type="dxa"/>
          <w:tblCellMar>
            <w:top w:w="0" w:type="dxa"/>
            <w:left w:w="108" w:type="dxa"/>
            <w:bottom w:w="0" w:type="dxa"/>
            <w:right w:w="108" w:type="dxa"/>
          </w:tblCellMar>
          <w:tblLook w:val="04A0"/>
        </w:tblPrEx>
        <w:trPr>
          <w:jc w:val="center"/>
        </w:trPr>
        <w:tc>
          <w:tcPr>
            <w:tcW w:w="2157" w:type="dxa"/>
          </w:tcPr>
          <w:p w:rsidR="005247D2" w:rsidRPr="00423400" w:rsidP="005247D2" w14:paraId="37E5DF80" w14:textId="77777777">
            <w:pPr>
              <w:autoSpaceDE w:val="0"/>
              <w:autoSpaceDN w:val="0"/>
              <w:adjustRightInd w:val="0"/>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2016</w:t>
            </w:r>
          </w:p>
        </w:tc>
        <w:tc>
          <w:tcPr>
            <w:tcW w:w="2157" w:type="dxa"/>
          </w:tcPr>
          <w:p w:rsidR="005247D2" w:rsidRPr="00423400" w:rsidP="005247D2" w14:paraId="08BC0965" w14:textId="77777777">
            <w:pPr>
              <w:autoSpaceDE w:val="0"/>
              <w:autoSpaceDN w:val="0"/>
              <w:adjustRightInd w:val="0"/>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116</w:t>
            </w:r>
          </w:p>
        </w:tc>
        <w:tc>
          <w:tcPr>
            <w:tcW w:w="2158" w:type="dxa"/>
          </w:tcPr>
          <w:p w:rsidR="005247D2" w:rsidRPr="00423400" w:rsidP="005247D2" w14:paraId="30C11DA4" w14:textId="77777777">
            <w:pPr>
              <w:autoSpaceDE w:val="0"/>
              <w:autoSpaceDN w:val="0"/>
              <w:adjustRightInd w:val="0"/>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6,112</w:t>
            </w:r>
          </w:p>
        </w:tc>
        <w:tc>
          <w:tcPr>
            <w:tcW w:w="2158" w:type="dxa"/>
          </w:tcPr>
          <w:p w:rsidR="005247D2" w:rsidRPr="00423400" w:rsidP="005247D2" w14:paraId="7B9AEE06" w14:textId="77777777">
            <w:pPr>
              <w:autoSpaceDE w:val="0"/>
              <w:autoSpaceDN w:val="0"/>
              <w:adjustRightInd w:val="0"/>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2,006,194</w:t>
            </w:r>
          </w:p>
        </w:tc>
      </w:tr>
      <w:tr w14:paraId="7A4F392A" w14:textId="77777777" w:rsidTr="00F228F4">
        <w:tblPrEx>
          <w:tblW w:w="0" w:type="auto"/>
          <w:jc w:val="center"/>
          <w:tblInd w:w="0" w:type="dxa"/>
          <w:tblCellMar>
            <w:top w:w="0" w:type="dxa"/>
            <w:left w:w="108" w:type="dxa"/>
            <w:bottom w:w="0" w:type="dxa"/>
            <w:right w:w="108" w:type="dxa"/>
          </w:tblCellMar>
          <w:tblLook w:val="04A0"/>
        </w:tblPrEx>
        <w:trPr>
          <w:jc w:val="center"/>
        </w:trPr>
        <w:tc>
          <w:tcPr>
            <w:tcW w:w="2157" w:type="dxa"/>
          </w:tcPr>
          <w:p w:rsidR="005247D2" w:rsidRPr="00423400" w:rsidP="005247D2" w14:paraId="7C73B247" w14:textId="77777777">
            <w:pPr>
              <w:autoSpaceDE w:val="0"/>
              <w:autoSpaceDN w:val="0"/>
              <w:adjustRightInd w:val="0"/>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2017</w:t>
            </w:r>
          </w:p>
        </w:tc>
        <w:tc>
          <w:tcPr>
            <w:tcW w:w="2157" w:type="dxa"/>
          </w:tcPr>
          <w:p w:rsidR="005247D2" w:rsidRPr="00423400" w:rsidP="005247D2" w14:paraId="7D8B4CB8" w14:textId="77777777">
            <w:pPr>
              <w:autoSpaceDE w:val="0"/>
              <w:autoSpaceDN w:val="0"/>
              <w:adjustRightInd w:val="0"/>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318</w:t>
            </w:r>
          </w:p>
        </w:tc>
        <w:tc>
          <w:tcPr>
            <w:tcW w:w="2158" w:type="dxa"/>
          </w:tcPr>
          <w:p w:rsidR="005247D2" w:rsidRPr="00423400" w:rsidP="005247D2" w14:paraId="640B2F0B" w14:textId="77777777">
            <w:pPr>
              <w:autoSpaceDE w:val="0"/>
              <w:autoSpaceDN w:val="0"/>
              <w:adjustRightInd w:val="0"/>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17,128</w:t>
            </w:r>
          </w:p>
        </w:tc>
        <w:tc>
          <w:tcPr>
            <w:tcW w:w="2158" w:type="dxa"/>
          </w:tcPr>
          <w:p w:rsidR="005247D2" w:rsidRPr="00423400" w:rsidP="005247D2" w14:paraId="1C18B11C" w14:textId="77777777">
            <w:pPr>
              <w:autoSpaceDE w:val="0"/>
              <w:autoSpaceDN w:val="0"/>
              <w:adjustRightInd w:val="0"/>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3,265,144</w:t>
            </w:r>
          </w:p>
        </w:tc>
      </w:tr>
      <w:tr w14:paraId="72C0CDBF" w14:textId="77777777" w:rsidTr="00F228F4">
        <w:tblPrEx>
          <w:tblW w:w="0" w:type="auto"/>
          <w:jc w:val="center"/>
          <w:tblInd w:w="0" w:type="dxa"/>
          <w:tblCellMar>
            <w:top w:w="0" w:type="dxa"/>
            <w:left w:w="108" w:type="dxa"/>
            <w:bottom w:w="0" w:type="dxa"/>
            <w:right w:w="108" w:type="dxa"/>
          </w:tblCellMar>
          <w:tblLook w:val="04A0"/>
        </w:tblPrEx>
        <w:trPr>
          <w:jc w:val="center"/>
        </w:trPr>
        <w:tc>
          <w:tcPr>
            <w:tcW w:w="2157" w:type="dxa"/>
          </w:tcPr>
          <w:p w:rsidR="005247D2" w:rsidRPr="00423400" w:rsidP="005247D2" w14:paraId="4C50F0BA" w14:textId="77777777">
            <w:pPr>
              <w:autoSpaceDE w:val="0"/>
              <w:autoSpaceDN w:val="0"/>
              <w:adjustRightInd w:val="0"/>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2018</w:t>
            </w:r>
          </w:p>
        </w:tc>
        <w:tc>
          <w:tcPr>
            <w:tcW w:w="2157" w:type="dxa"/>
          </w:tcPr>
          <w:p w:rsidR="005247D2" w:rsidRPr="00423400" w:rsidP="005247D2" w14:paraId="582FDBC5" w14:textId="77777777">
            <w:pPr>
              <w:autoSpaceDE w:val="0"/>
              <w:autoSpaceDN w:val="0"/>
              <w:adjustRightInd w:val="0"/>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310</w:t>
            </w:r>
          </w:p>
        </w:tc>
        <w:tc>
          <w:tcPr>
            <w:tcW w:w="2158" w:type="dxa"/>
          </w:tcPr>
          <w:p w:rsidR="005247D2" w:rsidRPr="00423400" w:rsidP="005247D2" w14:paraId="3F0F0A5B" w14:textId="77777777">
            <w:pPr>
              <w:autoSpaceDE w:val="0"/>
              <w:autoSpaceDN w:val="0"/>
              <w:adjustRightInd w:val="0"/>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16,973</w:t>
            </w:r>
          </w:p>
        </w:tc>
        <w:tc>
          <w:tcPr>
            <w:tcW w:w="2158" w:type="dxa"/>
          </w:tcPr>
          <w:p w:rsidR="005247D2" w:rsidRPr="00423400" w:rsidP="005247D2" w14:paraId="3F0D0D37" w14:textId="77777777">
            <w:pPr>
              <w:autoSpaceDE w:val="0"/>
              <w:autoSpaceDN w:val="0"/>
              <w:adjustRightInd w:val="0"/>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3,366,969</w:t>
            </w:r>
          </w:p>
        </w:tc>
      </w:tr>
      <w:tr w14:paraId="5EDF1875" w14:textId="77777777" w:rsidTr="00F228F4">
        <w:tblPrEx>
          <w:tblW w:w="0" w:type="auto"/>
          <w:jc w:val="center"/>
          <w:tblInd w:w="0" w:type="dxa"/>
          <w:tblCellMar>
            <w:top w:w="0" w:type="dxa"/>
            <w:left w:w="108" w:type="dxa"/>
            <w:bottom w:w="0" w:type="dxa"/>
            <w:right w:w="108" w:type="dxa"/>
          </w:tblCellMar>
          <w:tblLook w:val="04A0"/>
        </w:tblPrEx>
        <w:trPr>
          <w:jc w:val="center"/>
        </w:trPr>
        <w:tc>
          <w:tcPr>
            <w:tcW w:w="2157" w:type="dxa"/>
          </w:tcPr>
          <w:p w:rsidR="005247D2" w:rsidRPr="00423400" w:rsidP="005247D2" w14:paraId="69A1FF43" w14:textId="77777777">
            <w:pPr>
              <w:autoSpaceDE w:val="0"/>
              <w:autoSpaceDN w:val="0"/>
              <w:adjustRightInd w:val="0"/>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2019</w:t>
            </w:r>
          </w:p>
        </w:tc>
        <w:tc>
          <w:tcPr>
            <w:tcW w:w="2157" w:type="dxa"/>
          </w:tcPr>
          <w:p w:rsidR="005247D2" w:rsidRPr="00423400" w:rsidP="005247D2" w14:paraId="06CA9651" w14:textId="77777777">
            <w:pPr>
              <w:autoSpaceDE w:val="0"/>
              <w:autoSpaceDN w:val="0"/>
              <w:adjustRightInd w:val="0"/>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368</w:t>
            </w:r>
          </w:p>
        </w:tc>
        <w:tc>
          <w:tcPr>
            <w:tcW w:w="2158" w:type="dxa"/>
          </w:tcPr>
          <w:p w:rsidR="005247D2" w:rsidRPr="00423400" w:rsidP="005247D2" w14:paraId="24F56743" w14:textId="77777777">
            <w:pPr>
              <w:autoSpaceDE w:val="0"/>
              <w:autoSpaceDN w:val="0"/>
              <w:adjustRightInd w:val="0"/>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22,079</w:t>
            </w:r>
          </w:p>
        </w:tc>
        <w:tc>
          <w:tcPr>
            <w:tcW w:w="2158" w:type="dxa"/>
          </w:tcPr>
          <w:p w:rsidR="005247D2" w:rsidRPr="00423400" w:rsidP="005247D2" w14:paraId="758733E7" w14:textId="77777777">
            <w:pPr>
              <w:autoSpaceDE w:val="0"/>
              <w:autoSpaceDN w:val="0"/>
              <w:adjustRightInd w:val="0"/>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4,318,048</w:t>
            </w:r>
          </w:p>
        </w:tc>
      </w:tr>
      <w:tr w14:paraId="6D059A40" w14:textId="77777777" w:rsidTr="00F228F4">
        <w:tblPrEx>
          <w:tblW w:w="0" w:type="auto"/>
          <w:jc w:val="center"/>
          <w:tblInd w:w="0" w:type="dxa"/>
          <w:tblCellMar>
            <w:top w:w="0" w:type="dxa"/>
            <w:left w:w="108" w:type="dxa"/>
            <w:bottom w:w="0" w:type="dxa"/>
            <w:right w:w="108" w:type="dxa"/>
          </w:tblCellMar>
          <w:tblLook w:val="04A0"/>
        </w:tblPrEx>
        <w:trPr>
          <w:jc w:val="center"/>
        </w:trPr>
        <w:tc>
          <w:tcPr>
            <w:tcW w:w="2157" w:type="dxa"/>
          </w:tcPr>
          <w:p w:rsidR="005247D2" w:rsidRPr="00423400" w:rsidP="005247D2" w14:paraId="2FBA1DF1" w14:textId="77777777">
            <w:pPr>
              <w:autoSpaceDE w:val="0"/>
              <w:autoSpaceDN w:val="0"/>
              <w:adjustRightInd w:val="0"/>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2020</w:t>
            </w:r>
          </w:p>
        </w:tc>
        <w:tc>
          <w:tcPr>
            <w:tcW w:w="2157" w:type="dxa"/>
          </w:tcPr>
          <w:p w:rsidR="005247D2" w:rsidRPr="00423400" w:rsidP="005247D2" w14:paraId="121B6D70" w14:textId="77777777">
            <w:pPr>
              <w:autoSpaceDE w:val="0"/>
              <w:autoSpaceDN w:val="0"/>
              <w:adjustRightInd w:val="0"/>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162</w:t>
            </w:r>
          </w:p>
        </w:tc>
        <w:tc>
          <w:tcPr>
            <w:tcW w:w="2158" w:type="dxa"/>
          </w:tcPr>
          <w:p w:rsidR="005247D2" w:rsidRPr="00423400" w:rsidP="005247D2" w14:paraId="41420EB8" w14:textId="77777777">
            <w:pPr>
              <w:autoSpaceDE w:val="0"/>
              <w:autoSpaceDN w:val="0"/>
              <w:adjustRightInd w:val="0"/>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16,135</w:t>
            </w:r>
          </w:p>
        </w:tc>
        <w:tc>
          <w:tcPr>
            <w:tcW w:w="2158" w:type="dxa"/>
          </w:tcPr>
          <w:p w:rsidR="005247D2" w:rsidRPr="00423400" w:rsidP="005247D2" w14:paraId="1E3B890E" w14:textId="77777777">
            <w:pPr>
              <w:autoSpaceDE w:val="0"/>
              <w:autoSpaceDN w:val="0"/>
              <w:adjustRightInd w:val="0"/>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2,652,857</w:t>
            </w:r>
          </w:p>
        </w:tc>
      </w:tr>
      <w:tr w14:paraId="373E289D" w14:textId="77777777" w:rsidTr="00F228F4">
        <w:tblPrEx>
          <w:tblW w:w="0" w:type="auto"/>
          <w:jc w:val="center"/>
          <w:tblInd w:w="0" w:type="dxa"/>
          <w:tblCellMar>
            <w:top w:w="0" w:type="dxa"/>
            <w:left w:w="108" w:type="dxa"/>
            <w:bottom w:w="0" w:type="dxa"/>
            <w:right w:w="108" w:type="dxa"/>
          </w:tblCellMar>
          <w:tblLook w:val="04A0"/>
        </w:tblPrEx>
        <w:trPr>
          <w:jc w:val="center"/>
        </w:trPr>
        <w:tc>
          <w:tcPr>
            <w:tcW w:w="2157" w:type="dxa"/>
          </w:tcPr>
          <w:p w:rsidR="005247D2" w:rsidRPr="00423400" w:rsidP="005247D2" w14:paraId="0AFB83FC" w14:textId="77777777">
            <w:pPr>
              <w:autoSpaceDE w:val="0"/>
              <w:autoSpaceDN w:val="0"/>
              <w:adjustRightInd w:val="0"/>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Average 2015-2017</w:t>
            </w:r>
          </w:p>
        </w:tc>
        <w:tc>
          <w:tcPr>
            <w:tcW w:w="2157" w:type="dxa"/>
          </w:tcPr>
          <w:p w:rsidR="005247D2" w:rsidRPr="00423400" w:rsidP="005247D2" w14:paraId="6E032267" w14:textId="77777777">
            <w:pPr>
              <w:autoSpaceDE w:val="0"/>
              <w:autoSpaceDN w:val="0"/>
              <w:adjustRightInd w:val="0"/>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193</w:t>
            </w:r>
          </w:p>
        </w:tc>
        <w:tc>
          <w:tcPr>
            <w:tcW w:w="2158" w:type="dxa"/>
          </w:tcPr>
          <w:p w:rsidR="005247D2" w:rsidRPr="00423400" w:rsidP="005247D2" w14:paraId="094BAAAE" w14:textId="77777777">
            <w:pPr>
              <w:autoSpaceDE w:val="0"/>
              <w:autoSpaceDN w:val="0"/>
              <w:adjustRightInd w:val="0"/>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10,082</w:t>
            </w:r>
          </w:p>
        </w:tc>
        <w:tc>
          <w:tcPr>
            <w:tcW w:w="2158" w:type="dxa"/>
          </w:tcPr>
          <w:p w:rsidR="005247D2" w:rsidRPr="00423400" w:rsidP="005247D2" w14:paraId="36DF7FFF" w14:textId="77777777">
            <w:pPr>
              <w:autoSpaceDE w:val="0"/>
              <w:autoSpaceDN w:val="0"/>
              <w:adjustRightInd w:val="0"/>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2,221,475</w:t>
            </w:r>
          </w:p>
        </w:tc>
      </w:tr>
      <w:tr w14:paraId="24C22F64" w14:textId="77777777" w:rsidTr="00F228F4">
        <w:tblPrEx>
          <w:tblW w:w="0" w:type="auto"/>
          <w:jc w:val="center"/>
          <w:tblInd w:w="0" w:type="dxa"/>
          <w:tblCellMar>
            <w:top w:w="0" w:type="dxa"/>
            <w:left w:w="108" w:type="dxa"/>
            <w:bottom w:w="0" w:type="dxa"/>
            <w:right w:w="108" w:type="dxa"/>
          </w:tblCellMar>
          <w:tblLook w:val="04A0"/>
        </w:tblPrEx>
        <w:trPr>
          <w:jc w:val="center"/>
        </w:trPr>
        <w:tc>
          <w:tcPr>
            <w:tcW w:w="2157" w:type="dxa"/>
          </w:tcPr>
          <w:p w:rsidR="005247D2" w:rsidRPr="00423400" w:rsidP="005247D2" w14:paraId="66A8D3BE" w14:textId="77777777">
            <w:pPr>
              <w:autoSpaceDE w:val="0"/>
              <w:autoSpaceDN w:val="0"/>
              <w:adjustRightInd w:val="0"/>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Average 2018-2020</w:t>
            </w:r>
          </w:p>
        </w:tc>
        <w:tc>
          <w:tcPr>
            <w:tcW w:w="2157" w:type="dxa"/>
          </w:tcPr>
          <w:p w:rsidR="005247D2" w:rsidRPr="00423400" w:rsidP="005247D2" w14:paraId="75D00F84" w14:textId="77777777">
            <w:pPr>
              <w:autoSpaceDE w:val="0"/>
              <w:autoSpaceDN w:val="0"/>
              <w:adjustRightInd w:val="0"/>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280</w:t>
            </w:r>
          </w:p>
        </w:tc>
        <w:tc>
          <w:tcPr>
            <w:tcW w:w="2158" w:type="dxa"/>
          </w:tcPr>
          <w:p w:rsidR="005247D2" w:rsidRPr="00423400" w:rsidP="005247D2" w14:paraId="49F01F95" w14:textId="77777777">
            <w:pPr>
              <w:autoSpaceDE w:val="0"/>
              <w:autoSpaceDN w:val="0"/>
              <w:adjustRightInd w:val="0"/>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18,396</w:t>
            </w:r>
          </w:p>
        </w:tc>
        <w:tc>
          <w:tcPr>
            <w:tcW w:w="2158" w:type="dxa"/>
          </w:tcPr>
          <w:p w:rsidR="005247D2" w:rsidRPr="00423400" w:rsidP="005247D2" w14:paraId="1BF86EDF" w14:textId="77777777">
            <w:pPr>
              <w:autoSpaceDE w:val="0"/>
              <w:autoSpaceDN w:val="0"/>
              <w:adjustRightInd w:val="0"/>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3,459,281</w:t>
            </w:r>
          </w:p>
        </w:tc>
      </w:tr>
      <w:tr w14:paraId="1D728C24" w14:textId="77777777" w:rsidTr="00F228F4">
        <w:tblPrEx>
          <w:tblW w:w="0" w:type="auto"/>
          <w:jc w:val="center"/>
          <w:tblInd w:w="0" w:type="dxa"/>
          <w:tblCellMar>
            <w:top w:w="0" w:type="dxa"/>
            <w:left w:w="108" w:type="dxa"/>
            <w:bottom w:w="0" w:type="dxa"/>
            <w:right w:w="108" w:type="dxa"/>
          </w:tblCellMar>
          <w:tblLook w:val="04A0"/>
        </w:tblPrEx>
        <w:trPr>
          <w:jc w:val="center"/>
        </w:trPr>
        <w:tc>
          <w:tcPr>
            <w:tcW w:w="2157" w:type="dxa"/>
          </w:tcPr>
          <w:p w:rsidR="005247D2" w:rsidRPr="00423400" w:rsidP="005247D2" w14:paraId="48A0C2A7" w14:textId="77777777">
            <w:pPr>
              <w:autoSpaceDE w:val="0"/>
              <w:autoSpaceDN w:val="0"/>
              <w:adjustRightInd w:val="0"/>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Percentage Change</w:t>
            </w:r>
          </w:p>
        </w:tc>
        <w:tc>
          <w:tcPr>
            <w:tcW w:w="2157" w:type="dxa"/>
          </w:tcPr>
          <w:p w:rsidR="005247D2" w:rsidRPr="00423400" w:rsidP="005247D2" w14:paraId="5A586AC4" w14:textId="77777777">
            <w:pPr>
              <w:autoSpaceDE w:val="0"/>
              <w:autoSpaceDN w:val="0"/>
              <w:adjustRightInd w:val="0"/>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45.1%</w:t>
            </w:r>
          </w:p>
        </w:tc>
        <w:tc>
          <w:tcPr>
            <w:tcW w:w="2158" w:type="dxa"/>
          </w:tcPr>
          <w:p w:rsidR="005247D2" w:rsidRPr="00423400" w:rsidP="005247D2" w14:paraId="0D04C2D7" w14:textId="77777777">
            <w:pPr>
              <w:autoSpaceDE w:val="0"/>
              <w:autoSpaceDN w:val="0"/>
              <w:adjustRightInd w:val="0"/>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82.5%</w:t>
            </w:r>
          </w:p>
        </w:tc>
        <w:tc>
          <w:tcPr>
            <w:tcW w:w="2158" w:type="dxa"/>
          </w:tcPr>
          <w:p w:rsidR="005247D2" w:rsidRPr="00423400" w:rsidP="005247D2" w14:paraId="0AB35939" w14:textId="77777777">
            <w:pPr>
              <w:autoSpaceDE w:val="0"/>
              <w:autoSpaceDN w:val="0"/>
              <w:adjustRightInd w:val="0"/>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55.7%</w:t>
            </w:r>
          </w:p>
        </w:tc>
      </w:tr>
    </w:tbl>
    <w:p w:rsidR="005247D2" w:rsidRPr="00423400" w:rsidP="00CC3111" w14:paraId="4E770FE7" w14:textId="77777777">
      <w:pPr>
        <w:autoSpaceDE w:val="0"/>
        <w:autoSpaceDN w:val="0"/>
        <w:adjustRightInd w:val="0"/>
        <w:spacing w:before="240" w:after="0" w:line="480" w:lineRule="auto"/>
        <w:ind w:firstLine="720"/>
        <w:rPr>
          <w:rFonts w:cs="Times New Roman"/>
          <w:szCs w:val="24"/>
        </w:rPr>
      </w:pPr>
      <w:r w:rsidRPr="00423400">
        <w:rPr>
          <w:rFonts w:cs="Times New Roman"/>
          <w:szCs w:val="24"/>
        </w:rPr>
        <w:t>DP&amp;L</w:t>
      </w:r>
      <w:r w:rsidRPr="00423400" w:rsidR="00D62CB4">
        <w:rPr>
          <w:rFonts w:cs="Times New Roman"/>
          <w:szCs w:val="24"/>
        </w:rPr>
        <w:t>’s</w:t>
      </w:r>
      <w:r w:rsidRPr="00423400">
        <w:rPr>
          <w:rFonts w:cs="Times New Roman"/>
          <w:szCs w:val="24"/>
        </w:rPr>
        <w:t xml:space="preserve"> tree-caused outages within the ROW have increased significantly despite</w:t>
      </w:r>
      <w:r w:rsidR="00322B96">
        <w:rPr>
          <w:rFonts w:cs="Times New Roman"/>
          <w:szCs w:val="24"/>
        </w:rPr>
        <w:t xml:space="preserve"> </w:t>
      </w:r>
      <w:r w:rsidR="00FF11C5">
        <w:rPr>
          <w:rFonts w:cs="Times New Roman"/>
          <w:szCs w:val="24"/>
        </w:rPr>
        <w:t>the</w:t>
      </w:r>
      <w:r w:rsidRPr="00423400">
        <w:rPr>
          <w:rFonts w:cs="Times New Roman"/>
          <w:szCs w:val="24"/>
        </w:rPr>
        <w:t xml:space="preserve"> increase in base rates and deferrals of vegetation management expenses that were authorized in the last DP&amp;L base rate case.</w:t>
      </w:r>
      <w:r>
        <w:rPr>
          <w:rStyle w:val="FootnoteReference"/>
          <w:rFonts w:cs="Times New Roman"/>
          <w:szCs w:val="24"/>
        </w:rPr>
        <w:footnoteReference w:id="136"/>
      </w:r>
      <w:r w:rsidRPr="00423400">
        <w:rPr>
          <w:rFonts w:cs="Times New Roman"/>
          <w:szCs w:val="24"/>
        </w:rPr>
        <w:t xml:space="preserve"> There was a 45.1</w:t>
      </w:r>
      <w:r w:rsidR="00743EE1">
        <w:rPr>
          <w:rFonts w:cs="Times New Roman"/>
          <w:szCs w:val="24"/>
        </w:rPr>
        <w:t>%</w:t>
      </w:r>
      <w:r w:rsidRPr="00423400">
        <w:rPr>
          <w:rFonts w:cs="Times New Roman"/>
          <w:szCs w:val="24"/>
        </w:rPr>
        <w:t xml:space="preserve"> increase in the average number of in ROW tree-caused outages for the period 2018 through 2020 compared with the average number of outages between 2015 and 2017 and before rate increases went into effect after the last base rate case.</w:t>
      </w:r>
      <w:r>
        <w:rPr>
          <w:rStyle w:val="FootnoteReference"/>
          <w:rFonts w:cs="Times New Roman"/>
          <w:szCs w:val="24"/>
        </w:rPr>
        <w:footnoteReference w:id="137"/>
      </w:r>
      <w:r w:rsidRPr="00423400">
        <w:rPr>
          <w:rFonts w:cs="Times New Roman"/>
          <w:szCs w:val="24"/>
        </w:rPr>
        <w:t xml:space="preserve"> There is an 82.5</w:t>
      </w:r>
      <w:r w:rsidR="00743EE1">
        <w:rPr>
          <w:rFonts w:cs="Times New Roman"/>
          <w:szCs w:val="24"/>
        </w:rPr>
        <w:t>%</w:t>
      </w:r>
      <w:r w:rsidRPr="00423400">
        <w:rPr>
          <w:rFonts w:cs="Times New Roman"/>
          <w:szCs w:val="24"/>
        </w:rPr>
        <w:t xml:space="preserve"> increase in the number of consumers interrupted on average between 2018 and 2020 compared with the average number of consumers interrupted due to in ROW tree-caused outages between 2015 and 2017.</w:t>
      </w:r>
      <w:r>
        <w:rPr>
          <w:rStyle w:val="FootnoteReference"/>
          <w:rFonts w:cs="Times New Roman"/>
          <w:szCs w:val="24"/>
        </w:rPr>
        <w:footnoteReference w:id="138"/>
      </w:r>
      <w:r w:rsidRPr="00423400">
        <w:rPr>
          <w:rFonts w:cs="Times New Roman"/>
          <w:szCs w:val="24"/>
        </w:rPr>
        <w:t xml:space="preserve"> And there is a 55.7</w:t>
      </w:r>
      <w:r w:rsidR="00743EE1">
        <w:rPr>
          <w:rFonts w:cs="Times New Roman"/>
          <w:szCs w:val="24"/>
        </w:rPr>
        <w:t xml:space="preserve">% </w:t>
      </w:r>
      <w:r w:rsidRPr="00423400">
        <w:rPr>
          <w:rFonts w:cs="Times New Roman"/>
          <w:szCs w:val="24"/>
        </w:rPr>
        <w:t>increase in the number of consumer minutes interrupted during in ROW tree-caused outages during the period 2018 through 2020 compared with the average number of consumer minutes interrupted between 2015 and 2017.</w:t>
      </w:r>
      <w:r>
        <w:rPr>
          <w:rStyle w:val="FootnoteReference"/>
          <w:rFonts w:cs="Times New Roman"/>
          <w:szCs w:val="24"/>
        </w:rPr>
        <w:footnoteReference w:id="139"/>
      </w:r>
    </w:p>
    <w:p w:rsidR="00B01C5A" w:rsidRPr="00423400" w:rsidP="00F01A92" w14:paraId="48A9EE0E" w14:textId="77777777">
      <w:pPr>
        <w:autoSpaceDE w:val="0"/>
        <w:autoSpaceDN w:val="0"/>
        <w:adjustRightInd w:val="0"/>
        <w:spacing w:after="0" w:line="480" w:lineRule="auto"/>
        <w:ind w:firstLine="720"/>
        <w:rPr>
          <w:rFonts w:cs="Times New Roman"/>
          <w:szCs w:val="24"/>
        </w:rPr>
      </w:pPr>
      <w:r w:rsidRPr="00423400">
        <w:rPr>
          <w:rFonts w:cs="Times New Roman"/>
          <w:szCs w:val="24"/>
        </w:rPr>
        <w:t>DP&amp;L’s reliability is getting worse, not better</w:t>
      </w:r>
      <w:r w:rsidRPr="00423400" w:rsidR="000B51B7">
        <w:rPr>
          <w:rFonts w:cs="Times New Roman"/>
          <w:szCs w:val="24"/>
        </w:rPr>
        <w:t>—despite</w:t>
      </w:r>
      <w:r w:rsidRPr="00423400" w:rsidR="00856E42">
        <w:rPr>
          <w:rFonts w:cs="Times New Roman"/>
          <w:szCs w:val="24"/>
        </w:rPr>
        <w:t xml:space="preserve"> DP&amp;L’s increased spending</w:t>
      </w:r>
      <w:r w:rsidRPr="00423400">
        <w:rPr>
          <w:rFonts w:cs="Times New Roman"/>
          <w:szCs w:val="24"/>
        </w:rPr>
        <w:t xml:space="preserve">. To protect consumers from paying more for worsening service, the PUCO should require DP&amp;L to </w:t>
      </w:r>
      <w:r w:rsidRPr="00423400" w:rsidR="006F3DFB">
        <w:rPr>
          <w:rFonts w:cs="Times New Roman"/>
          <w:szCs w:val="24"/>
        </w:rPr>
        <w:t>improve reliability before throwing more money at the problem. The PUCO should reject PUCO Staff’s</w:t>
      </w:r>
      <w:r w:rsidRPr="00423400" w:rsidR="000B51B7">
        <w:rPr>
          <w:rFonts w:cs="Times New Roman"/>
          <w:szCs w:val="24"/>
        </w:rPr>
        <w:t xml:space="preserve"> </w:t>
      </w:r>
      <w:r w:rsidRPr="00423400" w:rsidR="006F3DFB">
        <w:rPr>
          <w:rFonts w:cs="Times New Roman"/>
          <w:szCs w:val="24"/>
        </w:rPr>
        <w:t>recommendation of a $1.8 million increase in the baseline expense for vegetation management</w:t>
      </w:r>
      <w:r w:rsidRPr="00423400" w:rsidR="000B51B7">
        <w:rPr>
          <w:rFonts w:cs="Times New Roman"/>
          <w:szCs w:val="24"/>
        </w:rPr>
        <w:t>.</w:t>
      </w:r>
      <w:r w:rsidRPr="00423400" w:rsidR="000B51B7">
        <w:rPr>
          <w:rFonts w:cs="Times New Roman"/>
          <w:b/>
          <w:bCs/>
          <w:szCs w:val="24"/>
        </w:rPr>
        <w:t xml:space="preserve"> </w:t>
      </w:r>
    </w:p>
    <w:p w:rsidR="00AC3281" w:rsidRPr="00423400" w:rsidP="0012105E" w14:paraId="3A1E6075" w14:textId="77777777">
      <w:pPr>
        <w:pStyle w:val="Heading2"/>
        <w:ind w:left="1440" w:hanging="720"/>
        <w:rPr>
          <w:color w:val="auto"/>
          <w:sz w:val="24"/>
          <w:szCs w:val="24"/>
        </w:rPr>
      </w:pPr>
      <w:bookmarkStart w:id="45" w:name="_Toc96960358"/>
      <w:bookmarkStart w:id="46" w:name="_Toc96960400"/>
      <w:bookmarkStart w:id="47" w:name="_Toc97298207"/>
      <w:r w:rsidRPr="00423400">
        <w:rPr>
          <w:color w:val="auto"/>
          <w:sz w:val="24"/>
          <w:szCs w:val="24"/>
        </w:rPr>
        <w:t xml:space="preserve">To protect consumers from paying higher rates, the PUCO should reject the PUCO Staff’s </w:t>
      </w:r>
      <w:r w:rsidRPr="00423400" w:rsidR="0090523F">
        <w:rPr>
          <w:color w:val="auto"/>
          <w:sz w:val="24"/>
          <w:szCs w:val="24"/>
        </w:rPr>
        <w:t>recommend</w:t>
      </w:r>
      <w:r w:rsidRPr="00423400">
        <w:rPr>
          <w:color w:val="auto"/>
          <w:sz w:val="24"/>
          <w:szCs w:val="24"/>
        </w:rPr>
        <w:t xml:space="preserve">ation </w:t>
      </w:r>
      <w:r w:rsidRPr="00423400" w:rsidR="0090523F">
        <w:rPr>
          <w:color w:val="auto"/>
          <w:sz w:val="24"/>
          <w:szCs w:val="24"/>
        </w:rPr>
        <w:t>that consumers pay $2.75 million per year</w:t>
      </w:r>
      <w:r w:rsidRPr="00423400" w:rsidR="00B60B67">
        <w:rPr>
          <w:color w:val="auto"/>
          <w:sz w:val="24"/>
          <w:szCs w:val="24"/>
        </w:rPr>
        <w:t xml:space="preserve"> </w:t>
      </w:r>
      <w:r w:rsidRPr="00423400" w:rsidR="0090523F">
        <w:rPr>
          <w:color w:val="auto"/>
          <w:sz w:val="24"/>
          <w:szCs w:val="24"/>
        </w:rPr>
        <w:t xml:space="preserve">for </w:t>
      </w:r>
      <w:r w:rsidRPr="00423400" w:rsidR="00B946E4">
        <w:rPr>
          <w:color w:val="auto"/>
          <w:sz w:val="24"/>
          <w:szCs w:val="24"/>
        </w:rPr>
        <w:t>DP&amp;L’s</w:t>
      </w:r>
      <w:r w:rsidRPr="00423400" w:rsidR="0090523F">
        <w:rPr>
          <w:color w:val="auto"/>
          <w:sz w:val="24"/>
          <w:szCs w:val="24"/>
        </w:rPr>
        <w:t xml:space="preserve"> deferred vegetation management expenses.</w:t>
      </w:r>
      <w:bookmarkEnd w:id="45"/>
      <w:bookmarkEnd w:id="46"/>
      <w:bookmarkEnd w:id="47"/>
      <w:r w:rsidRPr="00423400" w:rsidR="0090523F">
        <w:rPr>
          <w:color w:val="auto"/>
          <w:sz w:val="24"/>
          <w:szCs w:val="24"/>
        </w:rPr>
        <w:t xml:space="preserve"> </w:t>
      </w:r>
    </w:p>
    <w:p w:rsidR="005730D0" w:rsidRPr="00423400" w:rsidP="0012105E" w14:paraId="3A674C62" w14:textId="77777777">
      <w:pPr>
        <w:autoSpaceDE w:val="0"/>
        <w:autoSpaceDN w:val="0"/>
        <w:adjustRightInd w:val="0"/>
        <w:spacing w:before="240" w:after="0" w:line="480" w:lineRule="auto"/>
        <w:ind w:firstLine="720"/>
        <w:rPr>
          <w:rFonts w:cs="Times New Roman"/>
          <w:szCs w:val="24"/>
        </w:rPr>
      </w:pPr>
      <w:r w:rsidRPr="00423400">
        <w:rPr>
          <w:rFonts w:cs="Times New Roman"/>
          <w:szCs w:val="24"/>
        </w:rPr>
        <w:t>The PUCO Staff recommended that consumers pay an additional $2.75 million per year for DP&amp;L’s deferred vegetation management expenses. But the PUCO Staff Report does not contain any analysis of the supposed approximate $13.7 million collection of deferred vegetation management expense from customers.</w:t>
      </w:r>
      <w:r>
        <w:rPr>
          <w:rStyle w:val="FootnoteReference"/>
          <w:rFonts w:cs="Times New Roman"/>
          <w:szCs w:val="24"/>
        </w:rPr>
        <w:footnoteReference w:id="140"/>
      </w:r>
      <w:r w:rsidRPr="00423400">
        <w:rPr>
          <w:rFonts w:cs="Times New Roman"/>
          <w:szCs w:val="24"/>
        </w:rPr>
        <w:t xml:space="preserve"> The PUCO Staff merely recommended that the collection be amortized over five years instead of three as proposed by DP&amp;L.</w:t>
      </w:r>
      <w:r>
        <w:rPr>
          <w:rStyle w:val="FootnoteReference"/>
          <w:rFonts w:cs="Times New Roman"/>
          <w:szCs w:val="24"/>
        </w:rPr>
        <w:footnoteReference w:id="141"/>
      </w:r>
      <w:r w:rsidRPr="00423400">
        <w:rPr>
          <w:rFonts w:cs="Times New Roman"/>
          <w:szCs w:val="24"/>
        </w:rPr>
        <w:t xml:space="preserve"> The PUCO Staff should have examined these alleged expenses to determine if they are just and reasonable before recommending that the charges be imposed onto consumers. </w:t>
      </w:r>
      <w:r w:rsidRPr="00423400" w:rsidR="00AE5846">
        <w:rPr>
          <w:rFonts w:cs="Times New Roman"/>
          <w:szCs w:val="24"/>
        </w:rPr>
        <w:t>OCC’s expert Mr. Williams explained that t</w:t>
      </w:r>
      <w:r w:rsidRPr="00423400">
        <w:rPr>
          <w:rFonts w:cs="Times New Roman"/>
          <w:szCs w:val="24"/>
        </w:rPr>
        <w:t>his is especially true given DP&amp;L’s failure to use the additional funds to adequately perform tree-trimming since at least 2018.</w:t>
      </w:r>
      <w:r>
        <w:rPr>
          <w:rStyle w:val="FootnoteReference"/>
          <w:rFonts w:cs="Times New Roman"/>
          <w:szCs w:val="24"/>
        </w:rPr>
        <w:footnoteReference w:id="142"/>
      </w:r>
      <w:r w:rsidRPr="00423400">
        <w:rPr>
          <w:rFonts w:cs="Times New Roman"/>
          <w:szCs w:val="24"/>
        </w:rPr>
        <w:t xml:space="preserve"> DP&amp;L has failed to comply with its Inspection, Maintenance, Repair and Replacement Program regarding vegetation management within the right of way and DP&amp;L has failed to meet the minimum PUCO performance standards for distribution reliability.</w:t>
      </w:r>
      <w:r>
        <w:rPr>
          <w:rStyle w:val="FootnoteReference"/>
          <w:rFonts w:cs="Times New Roman"/>
          <w:szCs w:val="24"/>
        </w:rPr>
        <w:footnoteReference w:id="143"/>
      </w:r>
      <w:r w:rsidRPr="00423400" w:rsidR="00B60B67">
        <w:rPr>
          <w:rFonts w:cs="Times New Roman"/>
          <w:szCs w:val="24"/>
        </w:rPr>
        <w:t xml:space="preserve"> </w:t>
      </w:r>
    </w:p>
    <w:p w:rsidR="00600247" w:rsidRPr="00423400" w:rsidP="00F01A92" w14:paraId="27EA2A50" w14:textId="77777777">
      <w:pPr>
        <w:autoSpaceDE w:val="0"/>
        <w:autoSpaceDN w:val="0"/>
        <w:adjustRightInd w:val="0"/>
        <w:spacing w:after="0" w:line="480" w:lineRule="auto"/>
        <w:ind w:firstLine="720"/>
        <w:rPr>
          <w:rFonts w:cs="Times New Roman"/>
          <w:szCs w:val="24"/>
        </w:rPr>
      </w:pPr>
      <w:r w:rsidRPr="00423400">
        <w:rPr>
          <w:rFonts w:cs="Times New Roman"/>
          <w:szCs w:val="24"/>
        </w:rPr>
        <w:t>The PUCO should not give DP&amp;L more consumer money until it comes into compliance with its Inspection, Maintenance, Repair, and Replacement Program</w:t>
      </w:r>
      <w:r w:rsidRPr="00633249" w:rsidR="00633249">
        <w:rPr>
          <w:rFonts w:cs="Times New Roman"/>
          <w:szCs w:val="24"/>
        </w:rPr>
        <w:t>—</w:t>
      </w:r>
      <w:r w:rsidRPr="00423400">
        <w:rPr>
          <w:rFonts w:cs="Times New Roman"/>
          <w:szCs w:val="24"/>
        </w:rPr>
        <w:t>and until it meets the minimum PUCO performance standards for distribution reliability.</w:t>
      </w:r>
      <w:r w:rsidRPr="00423400" w:rsidR="00FC35F7">
        <w:rPr>
          <w:rFonts w:cs="Times New Roman"/>
          <w:szCs w:val="24"/>
        </w:rPr>
        <w:t xml:space="preserve"> The PUCO should reject PUCO Staff’s recommendation that consumer pays an additional $2.75 million per year for DP&amp;L to continue to </w:t>
      </w:r>
      <w:r w:rsidRPr="00423400" w:rsidR="00180F1D">
        <w:rPr>
          <w:rFonts w:cs="Times New Roman"/>
          <w:szCs w:val="24"/>
        </w:rPr>
        <w:t>provide worsening service.</w:t>
      </w:r>
    </w:p>
    <w:p w:rsidR="002471A5" w:rsidRPr="00423400" w:rsidP="0012105E" w14:paraId="5D660951" w14:textId="77777777">
      <w:pPr>
        <w:pStyle w:val="Heading2"/>
        <w:ind w:left="1440" w:hanging="720"/>
        <w:rPr>
          <w:color w:val="auto"/>
          <w:sz w:val="24"/>
          <w:szCs w:val="24"/>
        </w:rPr>
      </w:pPr>
      <w:bookmarkStart w:id="48" w:name="_Toc96960359"/>
      <w:bookmarkStart w:id="49" w:name="_Toc96960401"/>
      <w:bookmarkStart w:id="50" w:name="_Toc97298208"/>
      <w:r w:rsidRPr="00423400">
        <w:rPr>
          <w:color w:val="auto"/>
          <w:sz w:val="24"/>
          <w:szCs w:val="24"/>
        </w:rPr>
        <w:t xml:space="preserve">To protect consumers from paying higher rates, the PUCO should reject the PUCO Staff’s </w:t>
      </w:r>
      <w:r w:rsidRPr="00423400" w:rsidR="0090523F">
        <w:rPr>
          <w:color w:val="auto"/>
          <w:sz w:val="24"/>
          <w:szCs w:val="24"/>
        </w:rPr>
        <w:t>recommend</w:t>
      </w:r>
      <w:r w:rsidRPr="00423400">
        <w:rPr>
          <w:color w:val="auto"/>
          <w:sz w:val="24"/>
          <w:szCs w:val="24"/>
        </w:rPr>
        <w:t>ation</w:t>
      </w:r>
      <w:r w:rsidRPr="00423400" w:rsidR="0090523F">
        <w:rPr>
          <w:color w:val="auto"/>
          <w:sz w:val="24"/>
          <w:szCs w:val="24"/>
        </w:rPr>
        <w:t xml:space="preserve"> that </w:t>
      </w:r>
      <w:r w:rsidRPr="00423400" w:rsidR="00B946E4">
        <w:rPr>
          <w:color w:val="auto"/>
          <w:sz w:val="24"/>
          <w:szCs w:val="24"/>
        </w:rPr>
        <w:t>DP&amp;L</w:t>
      </w:r>
      <w:r w:rsidRPr="00423400" w:rsidR="0090523F">
        <w:rPr>
          <w:color w:val="auto"/>
          <w:sz w:val="24"/>
          <w:szCs w:val="24"/>
        </w:rPr>
        <w:t xml:space="preserve"> be allowed to defer up to $5</w:t>
      </w:r>
      <w:r w:rsidRPr="00423400" w:rsidR="00B60B67">
        <w:rPr>
          <w:color w:val="auto"/>
          <w:sz w:val="24"/>
          <w:szCs w:val="24"/>
        </w:rPr>
        <w:t xml:space="preserve"> </w:t>
      </w:r>
      <w:r w:rsidRPr="00423400" w:rsidR="0090523F">
        <w:rPr>
          <w:color w:val="auto"/>
          <w:sz w:val="24"/>
          <w:szCs w:val="24"/>
        </w:rPr>
        <w:t>million in vegetation management expenses, which could be charged to consumers later.</w:t>
      </w:r>
      <w:bookmarkEnd w:id="48"/>
      <w:bookmarkEnd w:id="49"/>
      <w:bookmarkEnd w:id="50"/>
      <w:r w:rsidRPr="00423400" w:rsidR="00AC3281">
        <w:rPr>
          <w:color w:val="auto"/>
          <w:sz w:val="24"/>
          <w:szCs w:val="24"/>
        </w:rPr>
        <w:t xml:space="preserve"> </w:t>
      </w:r>
    </w:p>
    <w:p w:rsidR="00134BB4" w:rsidRPr="00423400" w:rsidP="0088537D" w14:paraId="2E80427E" w14:textId="77777777">
      <w:pPr>
        <w:autoSpaceDE w:val="0"/>
        <w:autoSpaceDN w:val="0"/>
        <w:adjustRightInd w:val="0"/>
        <w:spacing w:before="240" w:after="0" w:line="480" w:lineRule="auto"/>
        <w:ind w:firstLine="720"/>
        <w:rPr>
          <w:rFonts w:cs="Times New Roman"/>
          <w:szCs w:val="24"/>
        </w:rPr>
      </w:pPr>
      <w:r w:rsidRPr="00423400">
        <w:rPr>
          <w:rFonts w:cs="Times New Roman"/>
          <w:szCs w:val="24"/>
        </w:rPr>
        <w:t>DP&amp;L proposed expanding its vegetation management program to include intra-cycle hot-spot tree-trimming and vegetation removal outside of the right of way. The PUCO Staff did not provide any recommendations regarding DP&amp;L</w:t>
      </w:r>
      <w:r w:rsidRPr="00423400" w:rsidR="004975C4">
        <w:rPr>
          <w:rFonts w:cs="Times New Roman"/>
          <w:szCs w:val="24"/>
        </w:rPr>
        <w:t>’s proposal.</w:t>
      </w:r>
      <w:r w:rsidRPr="00423400">
        <w:rPr>
          <w:rFonts w:cs="Times New Roman"/>
          <w:szCs w:val="24"/>
        </w:rPr>
        <w:t xml:space="preserve"> </w:t>
      </w:r>
      <w:r w:rsidRPr="00423400" w:rsidR="00EB39BC">
        <w:rPr>
          <w:rFonts w:cs="Times New Roman"/>
          <w:szCs w:val="24"/>
        </w:rPr>
        <w:t>OCC’s expert Mr. Williams explained that t</w:t>
      </w:r>
      <w:r w:rsidRPr="00423400">
        <w:rPr>
          <w:rFonts w:cs="Times New Roman"/>
          <w:szCs w:val="24"/>
        </w:rPr>
        <w:t>ree-trimming within the right of way on a prescribed cycle should help reduce outages and avoid the need for an expensive expansion of the vegetation management program.</w:t>
      </w:r>
      <w:r>
        <w:rPr>
          <w:rStyle w:val="FootnoteReference"/>
          <w:rFonts w:cs="Times New Roman"/>
          <w:szCs w:val="24"/>
        </w:rPr>
        <w:footnoteReference w:id="144"/>
      </w:r>
      <w:r w:rsidRPr="00423400">
        <w:rPr>
          <w:rFonts w:cs="Times New Roman"/>
          <w:szCs w:val="24"/>
        </w:rPr>
        <w:t xml:space="preserve"> </w:t>
      </w:r>
      <w:r w:rsidRPr="00423400" w:rsidR="00EB39BC">
        <w:rPr>
          <w:rFonts w:cs="Times New Roman"/>
          <w:szCs w:val="24"/>
        </w:rPr>
        <w:t xml:space="preserve">But </w:t>
      </w:r>
      <w:r w:rsidRPr="00423400">
        <w:rPr>
          <w:rFonts w:cs="Times New Roman"/>
          <w:szCs w:val="24"/>
        </w:rPr>
        <w:t xml:space="preserve">DP&amp;L </w:t>
      </w:r>
      <w:r w:rsidRPr="00423400" w:rsidR="00EB39BC">
        <w:rPr>
          <w:rFonts w:cs="Times New Roman"/>
          <w:szCs w:val="24"/>
        </w:rPr>
        <w:t xml:space="preserve">should not </w:t>
      </w:r>
      <w:r w:rsidRPr="00423400">
        <w:rPr>
          <w:rFonts w:cs="Times New Roman"/>
          <w:szCs w:val="24"/>
        </w:rPr>
        <w:t>be authorized to defer an additional $5 million annually in tree-trimming expenses.</w:t>
      </w:r>
      <w:r>
        <w:rPr>
          <w:rStyle w:val="FootnoteReference"/>
          <w:rFonts w:cs="Times New Roman"/>
          <w:szCs w:val="24"/>
        </w:rPr>
        <w:footnoteReference w:id="145"/>
      </w:r>
      <w:r w:rsidRPr="00423400">
        <w:rPr>
          <w:rFonts w:cs="Times New Roman"/>
          <w:szCs w:val="24"/>
        </w:rPr>
        <w:t xml:space="preserve"> No additional deferral in vegetation management expense should be authorized until and unless the PUCO approves an updated vegetation management plan that prescribes DP&amp;L’s responsibilities, and the standards that must be met for future collection of any additional money from customers.</w:t>
      </w:r>
      <w:r>
        <w:rPr>
          <w:rStyle w:val="FootnoteReference"/>
          <w:rFonts w:cs="Times New Roman"/>
          <w:szCs w:val="24"/>
        </w:rPr>
        <w:footnoteReference w:id="146"/>
      </w:r>
      <w:r w:rsidRPr="00423400">
        <w:rPr>
          <w:rFonts w:cs="Times New Roman"/>
          <w:szCs w:val="24"/>
        </w:rPr>
        <w:t xml:space="preserve"> And the collection of any deferred vegetation management costs must be subject to a PUCO Staff audit before the costs are passed on to consumers.</w:t>
      </w:r>
      <w:r>
        <w:rPr>
          <w:rStyle w:val="FootnoteReference"/>
          <w:rFonts w:cs="Times New Roman"/>
          <w:szCs w:val="24"/>
        </w:rPr>
        <w:footnoteReference w:id="147"/>
      </w:r>
      <w:r w:rsidRPr="00423400">
        <w:rPr>
          <w:rFonts w:cs="Times New Roman"/>
          <w:szCs w:val="24"/>
        </w:rPr>
        <w:t xml:space="preserve"> </w:t>
      </w:r>
    </w:p>
    <w:p w:rsidR="00726786" w:rsidRPr="00423400" w:rsidP="0088537D" w14:paraId="09839BFE" w14:textId="77777777">
      <w:pPr>
        <w:autoSpaceDE w:val="0"/>
        <w:autoSpaceDN w:val="0"/>
        <w:adjustRightInd w:val="0"/>
        <w:spacing w:after="0" w:line="480" w:lineRule="auto"/>
        <w:ind w:firstLine="720"/>
        <w:rPr>
          <w:rFonts w:cs="Times New Roman"/>
          <w:bCs/>
          <w:szCs w:val="24"/>
        </w:rPr>
      </w:pPr>
      <w:r w:rsidRPr="00423400">
        <w:rPr>
          <w:rFonts w:cs="Times New Roman"/>
          <w:szCs w:val="24"/>
        </w:rPr>
        <w:t xml:space="preserve">The PUCO Staff </w:t>
      </w:r>
      <w:r w:rsidRPr="00423400" w:rsidR="00C220C4">
        <w:rPr>
          <w:rFonts w:cs="Times New Roman"/>
          <w:szCs w:val="24"/>
        </w:rPr>
        <w:t>did</w:t>
      </w:r>
      <w:r w:rsidRPr="00423400">
        <w:rPr>
          <w:rFonts w:cs="Times New Roman"/>
          <w:szCs w:val="24"/>
        </w:rPr>
        <w:t xml:space="preserve"> </w:t>
      </w:r>
      <w:r w:rsidRPr="00423400" w:rsidR="00C220C4">
        <w:rPr>
          <w:rFonts w:cs="Times New Roman"/>
          <w:szCs w:val="24"/>
        </w:rPr>
        <w:t>not examine an</w:t>
      </w:r>
      <w:r w:rsidRPr="00423400">
        <w:rPr>
          <w:rFonts w:cs="Times New Roman"/>
          <w:szCs w:val="24"/>
        </w:rPr>
        <w:t xml:space="preserve"> underlying causes for the increases in tree-caused consumer outages before recommending further increases in baseline vegetation management expenses.</w:t>
      </w:r>
      <w:r>
        <w:rPr>
          <w:rStyle w:val="FootnoteReference"/>
          <w:rFonts w:cs="Times New Roman"/>
          <w:szCs w:val="24"/>
        </w:rPr>
        <w:footnoteReference w:id="148"/>
      </w:r>
      <w:r w:rsidRPr="00423400">
        <w:rPr>
          <w:rFonts w:cs="Times New Roman"/>
          <w:szCs w:val="24"/>
        </w:rPr>
        <w:t xml:space="preserve"> </w:t>
      </w:r>
      <w:r w:rsidRPr="00423400" w:rsidR="00EE7759">
        <w:rPr>
          <w:rFonts w:cs="Times New Roman"/>
          <w:szCs w:val="24"/>
        </w:rPr>
        <w:t>Additionally, t</w:t>
      </w:r>
      <w:r w:rsidRPr="00423400">
        <w:rPr>
          <w:rFonts w:cs="Times New Roman"/>
          <w:szCs w:val="24"/>
        </w:rPr>
        <w:t>he PUCO Staff should have also recommended that the PUCO enforce the DP&amp;L Inspection, Maintenance, Repair, and Replacement Program Plan and DP&amp;L’s failure to adequately perform tree-trimming on its distribution circuits since 2018.</w:t>
      </w:r>
      <w:r>
        <w:rPr>
          <w:rStyle w:val="FootnoteReference"/>
          <w:rFonts w:cs="Times New Roman"/>
          <w:szCs w:val="24"/>
        </w:rPr>
        <w:footnoteReference w:id="149"/>
      </w:r>
      <w:r w:rsidRPr="00423400">
        <w:rPr>
          <w:rFonts w:cs="Times New Roman"/>
          <w:szCs w:val="24"/>
        </w:rPr>
        <w:t xml:space="preserve"> The PUCO Staff</w:t>
      </w:r>
      <w:r w:rsidRPr="00423400" w:rsidR="00B60B67">
        <w:rPr>
          <w:rFonts w:cs="Times New Roman"/>
          <w:szCs w:val="24"/>
        </w:rPr>
        <w:t xml:space="preserve"> </w:t>
      </w:r>
      <w:r w:rsidRPr="00423400">
        <w:rPr>
          <w:rFonts w:cs="Times New Roman"/>
          <w:szCs w:val="24"/>
        </w:rPr>
        <w:t xml:space="preserve">should have examined alleged increases in tree-trimming costs before recommending an increase in the baseline vegetation management expense from </w:t>
      </w:r>
      <w:r w:rsidRPr="00423400">
        <w:rPr>
          <w:rFonts w:cs="Times New Roman"/>
          <w:bCs/>
          <w:szCs w:val="24"/>
        </w:rPr>
        <w:t>$15.7 million to $17.5 million.</w:t>
      </w:r>
      <w:r>
        <w:rPr>
          <w:rStyle w:val="FootnoteReference"/>
          <w:rFonts w:cs="Times New Roman"/>
          <w:bCs/>
          <w:szCs w:val="24"/>
        </w:rPr>
        <w:footnoteReference w:id="150"/>
      </w:r>
      <w:r w:rsidRPr="00423400">
        <w:rPr>
          <w:rFonts w:cs="Times New Roman"/>
          <w:bCs/>
          <w:szCs w:val="24"/>
        </w:rPr>
        <w:t xml:space="preserve"> </w:t>
      </w:r>
    </w:p>
    <w:p w:rsidR="006424A7" w:rsidRPr="00423400" w:rsidP="00E5797E" w14:paraId="190405F0" w14:textId="77777777">
      <w:pPr>
        <w:autoSpaceDE w:val="0"/>
        <w:autoSpaceDN w:val="0"/>
        <w:adjustRightInd w:val="0"/>
        <w:spacing w:after="0" w:line="480" w:lineRule="auto"/>
        <w:ind w:firstLine="720"/>
        <w:rPr>
          <w:rFonts w:cs="Times New Roman"/>
          <w:szCs w:val="24"/>
        </w:rPr>
      </w:pPr>
      <w:r w:rsidRPr="00423400">
        <w:rPr>
          <w:rFonts w:cs="Times New Roman"/>
          <w:bCs/>
          <w:szCs w:val="24"/>
        </w:rPr>
        <w:t xml:space="preserve">The PUCO should not approve this increase without a PUCO Staff examination of the just and reasonableness of the proposed increase. The PUCO Staff should </w:t>
      </w:r>
      <w:r w:rsidRPr="00423400" w:rsidR="00B12F5E">
        <w:rPr>
          <w:rFonts w:cs="Times New Roman"/>
          <w:bCs/>
          <w:szCs w:val="24"/>
        </w:rPr>
        <w:t>examine</w:t>
      </w:r>
      <w:r w:rsidRPr="00423400">
        <w:rPr>
          <w:rFonts w:cs="Times New Roman"/>
          <w:bCs/>
          <w:szCs w:val="24"/>
        </w:rPr>
        <w:t xml:space="preserve"> the deferral expenses prior to recommending that these costs be passed along to consumers.</w:t>
      </w:r>
      <w:r>
        <w:rPr>
          <w:rStyle w:val="FootnoteReference"/>
          <w:rFonts w:cs="Times New Roman"/>
          <w:bCs/>
          <w:szCs w:val="24"/>
        </w:rPr>
        <w:footnoteReference w:id="151"/>
      </w:r>
      <w:r w:rsidRPr="00423400">
        <w:rPr>
          <w:rFonts w:cs="Times New Roman"/>
          <w:bCs/>
          <w:szCs w:val="24"/>
        </w:rPr>
        <w:t xml:space="preserve"> The PUCO should not </w:t>
      </w:r>
      <w:r w:rsidRPr="00423400" w:rsidR="009B2609">
        <w:rPr>
          <w:rFonts w:cs="Times New Roman"/>
          <w:bCs/>
          <w:szCs w:val="24"/>
        </w:rPr>
        <w:t>approve its Staff’s recommended</w:t>
      </w:r>
      <w:r w:rsidRPr="00423400">
        <w:rPr>
          <w:rFonts w:cs="Times New Roman"/>
          <w:bCs/>
          <w:szCs w:val="24"/>
        </w:rPr>
        <w:t xml:space="preserve"> on-going deferral of vegetation management expense without an updated vegetation management plan and protections including audits before the costs are passed on to consumers.</w:t>
      </w:r>
      <w:r>
        <w:rPr>
          <w:rStyle w:val="FootnoteReference"/>
          <w:rFonts w:cs="Times New Roman"/>
          <w:bCs/>
          <w:szCs w:val="24"/>
        </w:rPr>
        <w:footnoteReference w:id="152"/>
      </w:r>
      <w:r w:rsidRPr="00423400">
        <w:rPr>
          <w:rFonts w:cs="Times New Roman"/>
          <w:bCs/>
          <w:szCs w:val="24"/>
        </w:rPr>
        <w:t xml:space="preserve"> </w:t>
      </w:r>
      <w:r w:rsidR="000F72EB">
        <w:rPr>
          <w:rFonts w:cs="Times New Roman"/>
          <w:bCs/>
          <w:szCs w:val="24"/>
        </w:rPr>
        <w:t>And t</w:t>
      </w:r>
      <w:r w:rsidRPr="00423400">
        <w:rPr>
          <w:rFonts w:cs="Times New Roman"/>
          <w:szCs w:val="24"/>
        </w:rPr>
        <w:t xml:space="preserve">he PUCO should not require consumers to pay more in vegetation management expense when DP&amp;L has already demonstrated that it is unwilling to comply with its current PUCO approved vegetation management plan. </w:t>
      </w:r>
    </w:p>
    <w:p w:rsidR="00726786" w:rsidRPr="00423400" w:rsidP="00124F05" w14:paraId="4A649789" w14:textId="77777777">
      <w:pPr>
        <w:autoSpaceDE w:val="0"/>
        <w:autoSpaceDN w:val="0"/>
        <w:adjustRightInd w:val="0"/>
        <w:spacing w:after="0" w:line="480" w:lineRule="auto"/>
        <w:ind w:firstLine="720"/>
        <w:rPr>
          <w:rFonts w:cs="Times New Roman"/>
          <w:szCs w:val="24"/>
        </w:rPr>
      </w:pPr>
      <w:r w:rsidRPr="00423400">
        <w:rPr>
          <w:rFonts w:cs="Times New Roman"/>
          <w:szCs w:val="24"/>
        </w:rPr>
        <w:t xml:space="preserve">To </w:t>
      </w:r>
      <w:r w:rsidRPr="00423400" w:rsidR="00EA4878">
        <w:rPr>
          <w:rFonts w:cs="Times New Roman"/>
          <w:szCs w:val="24"/>
        </w:rPr>
        <w:t>protect</w:t>
      </w:r>
      <w:r w:rsidRPr="00423400">
        <w:rPr>
          <w:rFonts w:cs="Times New Roman"/>
          <w:szCs w:val="24"/>
        </w:rPr>
        <w:t xml:space="preserve"> consumers, the PUCO should </w:t>
      </w:r>
      <w:r w:rsidRPr="00423400" w:rsidR="00EA4878">
        <w:rPr>
          <w:rFonts w:cs="Times New Roman"/>
          <w:szCs w:val="24"/>
        </w:rPr>
        <w:t xml:space="preserve">require PUCO Staff to </w:t>
      </w:r>
      <w:r w:rsidRPr="00423400">
        <w:rPr>
          <w:rFonts w:cs="Times New Roman"/>
          <w:szCs w:val="24"/>
        </w:rPr>
        <w:t xml:space="preserve">enforce </w:t>
      </w:r>
      <w:r w:rsidRPr="00423400" w:rsidR="00EA4878">
        <w:rPr>
          <w:rFonts w:cs="Times New Roman"/>
          <w:szCs w:val="24"/>
        </w:rPr>
        <w:t>DP&amp;L’s</w:t>
      </w:r>
      <w:r w:rsidRPr="00423400">
        <w:rPr>
          <w:rFonts w:cs="Times New Roman"/>
          <w:szCs w:val="24"/>
        </w:rPr>
        <w:t xml:space="preserve"> vegetation management plan.</w:t>
      </w:r>
      <w:r w:rsidRPr="00423400" w:rsidR="00E5797E">
        <w:rPr>
          <w:rFonts w:cs="Times New Roman"/>
          <w:szCs w:val="24"/>
        </w:rPr>
        <w:t xml:space="preserve"> The PUCO should further deny its Staff’s recommendation to defer up to $5</w:t>
      </w:r>
      <w:r w:rsidRPr="00423400" w:rsidR="00B60B67">
        <w:rPr>
          <w:rFonts w:cs="Times New Roman"/>
          <w:szCs w:val="24"/>
        </w:rPr>
        <w:t xml:space="preserve"> </w:t>
      </w:r>
      <w:r w:rsidRPr="00423400" w:rsidR="00E5797E">
        <w:rPr>
          <w:rFonts w:cs="Times New Roman"/>
          <w:szCs w:val="24"/>
        </w:rPr>
        <w:t>million in vegetation management expenses, which could be charged to consumers later.</w:t>
      </w:r>
    </w:p>
    <w:p w:rsidR="00AD32AF" w:rsidRPr="00423400" w:rsidP="00AD32AF" w14:paraId="10164A53" w14:textId="77777777">
      <w:pPr>
        <w:autoSpaceDE w:val="0"/>
        <w:autoSpaceDN w:val="0"/>
        <w:adjustRightInd w:val="0"/>
        <w:spacing w:after="0" w:line="240" w:lineRule="auto"/>
        <w:ind w:firstLine="720"/>
        <w:rPr>
          <w:rFonts w:cs="Times New Roman"/>
          <w:szCs w:val="24"/>
        </w:rPr>
      </w:pPr>
    </w:p>
    <w:p w:rsidR="002471A5" w:rsidRPr="00423400" w:rsidP="00F01A92" w14:paraId="422E06AD" w14:textId="77777777">
      <w:pPr>
        <w:pStyle w:val="Heading1"/>
        <w:keepNext w:val="0"/>
        <w:keepLines w:val="0"/>
        <w:widowControl w:val="0"/>
        <w:spacing w:before="0"/>
        <w:rPr>
          <w:rFonts w:cs="Times New Roman"/>
          <w:b/>
          <w:bCs/>
          <w:szCs w:val="24"/>
        </w:rPr>
      </w:pPr>
      <w:bookmarkStart w:id="51" w:name="_Toc96960360"/>
      <w:bookmarkStart w:id="52" w:name="_Toc96960402"/>
      <w:bookmarkStart w:id="53" w:name="_Toc97298209"/>
      <w:r w:rsidRPr="00423400">
        <w:rPr>
          <w:rFonts w:cs="Times New Roman"/>
          <w:b/>
          <w:bCs/>
          <w:szCs w:val="24"/>
        </w:rPr>
        <w:t xml:space="preserve">OCC’s RECOMMENDED CHANGES TO </w:t>
      </w:r>
      <w:r w:rsidRPr="00423400" w:rsidR="005E7E9F">
        <w:rPr>
          <w:rFonts w:cs="Times New Roman"/>
          <w:b/>
          <w:bCs/>
          <w:szCs w:val="24"/>
        </w:rPr>
        <w:t>RATE OF RETURN</w:t>
      </w:r>
      <w:bookmarkEnd w:id="51"/>
      <w:bookmarkEnd w:id="52"/>
      <w:bookmarkEnd w:id="53"/>
    </w:p>
    <w:p w:rsidR="00F01A92" w:rsidRPr="00423400" w:rsidP="00F01A92" w14:paraId="7AC30159" w14:textId="77777777">
      <w:pPr>
        <w:spacing w:after="0" w:line="240" w:lineRule="auto"/>
        <w:rPr>
          <w:rFonts w:cs="Times New Roman"/>
          <w:szCs w:val="24"/>
        </w:rPr>
      </w:pPr>
    </w:p>
    <w:p w:rsidR="00C540E3" w:rsidRPr="00423400" w:rsidP="0012105E" w14:paraId="26179FC1" w14:textId="77777777">
      <w:pPr>
        <w:pStyle w:val="Heading2"/>
        <w:ind w:left="1440" w:hanging="720"/>
        <w:rPr>
          <w:color w:val="auto"/>
          <w:sz w:val="24"/>
          <w:szCs w:val="24"/>
        </w:rPr>
      </w:pPr>
      <w:bookmarkStart w:id="54" w:name="_Toc96960361"/>
      <w:bookmarkStart w:id="55" w:name="_Toc96960403"/>
      <w:bookmarkStart w:id="56" w:name="_Toc97298210"/>
      <w:r w:rsidRPr="00423400">
        <w:rPr>
          <w:color w:val="auto"/>
          <w:sz w:val="24"/>
          <w:szCs w:val="24"/>
        </w:rPr>
        <w:t>To protect consumers from paying higher rates, the PUCO should reject DP&amp;L’s and the PUCO Staff’s</w:t>
      </w:r>
      <w:r w:rsidRPr="00423400" w:rsidR="00DD0394">
        <w:rPr>
          <w:color w:val="auto"/>
          <w:sz w:val="24"/>
          <w:szCs w:val="24"/>
        </w:rPr>
        <w:t xml:space="preserve"> recomme</w:t>
      </w:r>
      <w:r w:rsidRPr="00423400">
        <w:rPr>
          <w:color w:val="auto"/>
          <w:sz w:val="24"/>
          <w:szCs w:val="24"/>
        </w:rPr>
        <w:t>nded</w:t>
      </w:r>
      <w:r w:rsidRPr="00423400" w:rsidR="002471A5">
        <w:rPr>
          <w:color w:val="auto"/>
          <w:sz w:val="24"/>
          <w:szCs w:val="24"/>
        </w:rPr>
        <w:t xml:space="preserve"> capital structure</w:t>
      </w:r>
      <w:r w:rsidRPr="00423400">
        <w:rPr>
          <w:color w:val="auto"/>
          <w:sz w:val="24"/>
          <w:szCs w:val="24"/>
        </w:rPr>
        <w:t>.</w:t>
      </w:r>
      <w:bookmarkEnd w:id="54"/>
      <w:bookmarkEnd w:id="55"/>
      <w:bookmarkEnd w:id="56"/>
      <w:r w:rsidRPr="00423400">
        <w:rPr>
          <w:color w:val="auto"/>
          <w:sz w:val="24"/>
          <w:szCs w:val="24"/>
        </w:rPr>
        <w:t xml:space="preserve"> </w:t>
      </w:r>
    </w:p>
    <w:p w:rsidR="00A60EED" w:rsidRPr="00423400" w:rsidP="0012105E" w14:paraId="735882A8" w14:textId="77777777">
      <w:pPr>
        <w:spacing w:before="240" w:after="0" w:line="480" w:lineRule="auto"/>
        <w:ind w:firstLine="720"/>
        <w:rPr>
          <w:rFonts w:cs="Times New Roman"/>
          <w:szCs w:val="24"/>
        </w:rPr>
      </w:pPr>
      <w:r w:rsidRPr="00423400">
        <w:rPr>
          <w:rFonts w:cs="Times New Roman"/>
          <w:szCs w:val="24"/>
        </w:rPr>
        <w:t>The PUCO should reject the PUCO Staff’s and DP&amp;L’s recommended capital structure.</w:t>
      </w:r>
      <w:r w:rsidRPr="00423400" w:rsidR="00D82B70">
        <w:rPr>
          <w:rFonts w:cs="Times New Roman"/>
          <w:szCs w:val="24"/>
        </w:rPr>
        <w:t xml:space="preserve"> OCC’</w:t>
      </w:r>
      <w:r w:rsidRPr="00423400" w:rsidR="00BB64A2">
        <w:rPr>
          <w:rFonts w:cs="Times New Roman"/>
          <w:szCs w:val="24"/>
        </w:rPr>
        <w:t>s</w:t>
      </w:r>
      <w:r w:rsidRPr="00423400" w:rsidR="00D82B70">
        <w:rPr>
          <w:rFonts w:cs="Times New Roman"/>
          <w:szCs w:val="24"/>
        </w:rPr>
        <w:t xml:space="preserve"> expert witness, Mr. Chris Walters</w:t>
      </w:r>
      <w:r w:rsidRPr="00423400" w:rsidR="00BB64A2">
        <w:rPr>
          <w:rFonts w:cs="Times New Roman"/>
          <w:szCs w:val="24"/>
        </w:rPr>
        <w:t>,</w:t>
      </w:r>
      <w:r w:rsidRPr="00423400" w:rsidR="00D82B70">
        <w:rPr>
          <w:rFonts w:cs="Times New Roman"/>
          <w:szCs w:val="24"/>
        </w:rPr>
        <w:t xml:space="preserve"> explained in his testimony that t</w:t>
      </w:r>
      <w:r w:rsidRPr="00423400">
        <w:rPr>
          <w:rFonts w:cs="Times New Roman"/>
          <w:szCs w:val="24"/>
        </w:rPr>
        <w:t xml:space="preserve">he PUCO Staff </w:t>
      </w:r>
      <w:r w:rsidRPr="00423400" w:rsidR="00D82B70">
        <w:rPr>
          <w:rFonts w:cs="Times New Roman"/>
          <w:szCs w:val="24"/>
        </w:rPr>
        <w:t xml:space="preserve">failed to </w:t>
      </w:r>
      <w:r w:rsidRPr="00423400" w:rsidR="002471A5">
        <w:rPr>
          <w:rFonts w:cs="Times New Roman"/>
          <w:szCs w:val="24"/>
        </w:rPr>
        <w:t xml:space="preserve">consider the proxy group’s book value capital structure or other benchmarks such as the common </w:t>
      </w:r>
      <w:r w:rsidRPr="00423400" w:rsidR="008A365B">
        <w:rPr>
          <w:rFonts w:cs="Times New Roman"/>
          <w:szCs w:val="24"/>
        </w:rPr>
        <w:t>e</w:t>
      </w:r>
      <w:r w:rsidRPr="00423400" w:rsidR="002471A5">
        <w:rPr>
          <w:rFonts w:cs="Times New Roman"/>
          <w:szCs w:val="24"/>
        </w:rPr>
        <w:t>quity ratio being awarded to electric utilities around the United States recently.</w:t>
      </w:r>
      <w:r>
        <w:rPr>
          <w:rStyle w:val="FootnoteReference"/>
          <w:rFonts w:cs="Times New Roman"/>
          <w:szCs w:val="24"/>
        </w:rPr>
        <w:footnoteReference w:id="153"/>
      </w:r>
      <w:r w:rsidRPr="00423400" w:rsidR="002471A5">
        <w:rPr>
          <w:rFonts w:cs="Times New Roman"/>
          <w:szCs w:val="24"/>
        </w:rPr>
        <w:t xml:space="preserve"> </w:t>
      </w:r>
      <w:r w:rsidRPr="00423400" w:rsidR="00D82B70">
        <w:rPr>
          <w:rFonts w:cs="Times New Roman"/>
          <w:szCs w:val="24"/>
        </w:rPr>
        <w:t>And t</w:t>
      </w:r>
      <w:r w:rsidRPr="00423400" w:rsidR="002471A5">
        <w:rPr>
          <w:rFonts w:cs="Times New Roman"/>
          <w:szCs w:val="24"/>
        </w:rPr>
        <w:t xml:space="preserve">he proxy group’s capital structure cannot be ignored since it is used to estimate </w:t>
      </w:r>
      <w:r w:rsidRPr="00423400" w:rsidR="00F01409">
        <w:rPr>
          <w:rFonts w:cs="Times New Roman"/>
          <w:szCs w:val="24"/>
        </w:rPr>
        <w:t>DP&amp;L’s</w:t>
      </w:r>
      <w:r w:rsidRPr="00423400" w:rsidR="002471A5">
        <w:rPr>
          <w:rFonts w:cs="Times New Roman"/>
          <w:szCs w:val="24"/>
        </w:rPr>
        <w:t xml:space="preserve"> cost of equity.</w:t>
      </w:r>
      <w:r>
        <w:rPr>
          <w:rStyle w:val="FootnoteReference"/>
          <w:rFonts w:cs="Times New Roman"/>
          <w:szCs w:val="24"/>
        </w:rPr>
        <w:footnoteReference w:id="154"/>
      </w:r>
      <w:r w:rsidRPr="00423400" w:rsidR="002471A5">
        <w:rPr>
          <w:rFonts w:cs="Times New Roman"/>
          <w:szCs w:val="24"/>
        </w:rPr>
        <w:t xml:space="preserve"> A more appropriate capital structure</w:t>
      </w:r>
      <w:r w:rsidRPr="00423400" w:rsidR="00D82B70">
        <w:rPr>
          <w:rFonts w:cs="Times New Roman"/>
          <w:szCs w:val="24"/>
        </w:rPr>
        <w:t xml:space="preserve"> recommended by Mr. Walters</w:t>
      </w:r>
      <w:r w:rsidRPr="00423400" w:rsidR="002471A5">
        <w:rPr>
          <w:rFonts w:cs="Times New Roman"/>
          <w:szCs w:val="24"/>
        </w:rPr>
        <w:t xml:space="preserve"> </w:t>
      </w:r>
      <w:r w:rsidRPr="00423400" w:rsidR="00D82B70">
        <w:rPr>
          <w:rFonts w:cs="Times New Roman"/>
          <w:szCs w:val="24"/>
        </w:rPr>
        <w:t>is</w:t>
      </w:r>
      <w:r w:rsidRPr="00423400" w:rsidR="002471A5">
        <w:rPr>
          <w:rFonts w:cs="Times New Roman"/>
          <w:szCs w:val="24"/>
        </w:rPr>
        <w:t xml:space="preserve"> 52.89% common</w:t>
      </w:r>
      <w:r w:rsidRPr="00423400" w:rsidR="00B60B67">
        <w:rPr>
          <w:rFonts w:cs="Times New Roman"/>
          <w:szCs w:val="24"/>
        </w:rPr>
        <w:t xml:space="preserve"> </w:t>
      </w:r>
      <w:r w:rsidRPr="00423400" w:rsidR="008A365B">
        <w:rPr>
          <w:rFonts w:cs="Times New Roman"/>
          <w:szCs w:val="24"/>
        </w:rPr>
        <w:t>e</w:t>
      </w:r>
      <w:r w:rsidRPr="00423400" w:rsidR="002471A5">
        <w:rPr>
          <w:rFonts w:cs="Times New Roman"/>
          <w:szCs w:val="24"/>
        </w:rPr>
        <w:t>quity.</w:t>
      </w:r>
      <w:r>
        <w:rPr>
          <w:rStyle w:val="FootnoteReference"/>
          <w:rFonts w:cs="Times New Roman"/>
          <w:szCs w:val="24"/>
        </w:rPr>
        <w:footnoteReference w:id="155"/>
      </w:r>
      <w:r w:rsidRPr="00423400" w:rsidR="002471A5">
        <w:rPr>
          <w:rFonts w:cs="Times New Roman"/>
          <w:szCs w:val="24"/>
        </w:rPr>
        <w:t xml:space="preserve"> </w:t>
      </w:r>
    </w:p>
    <w:p w:rsidR="00C213F9" w:rsidRPr="00423400" w:rsidP="00A865F0" w14:paraId="2599552E" w14:textId="77777777">
      <w:pPr>
        <w:spacing w:after="0" w:line="480" w:lineRule="auto"/>
        <w:ind w:firstLine="720"/>
        <w:rPr>
          <w:rFonts w:cs="Times New Roman"/>
          <w:color w:val="000000"/>
          <w:szCs w:val="24"/>
        </w:rPr>
      </w:pPr>
      <w:r w:rsidRPr="00423400">
        <w:rPr>
          <w:rFonts w:cs="Times New Roman"/>
          <w:szCs w:val="24"/>
        </w:rPr>
        <w:t xml:space="preserve">DP&amp;L’s witness Mr. McKenzie </w:t>
      </w:r>
      <w:r w:rsidRPr="00423400">
        <w:rPr>
          <w:rFonts w:cs="Times New Roman"/>
          <w:color w:val="000000"/>
          <w:szCs w:val="24"/>
        </w:rPr>
        <w:t xml:space="preserve">also performed a DCF model on a non-utility proxy group, which he found to be a reasonable risk proxy for </w:t>
      </w:r>
      <w:r w:rsidRPr="00423400">
        <w:rPr>
          <w:rFonts w:cs="Times New Roman"/>
          <w:szCs w:val="24"/>
        </w:rPr>
        <w:t>DP&amp;L</w:t>
      </w:r>
      <w:r w:rsidRPr="00423400">
        <w:rPr>
          <w:rFonts w:cs="Times New Roman"/>
          <w:color w:val="000000"/>
          <w:szCs w:val="24"/>
        </w:rPr>
        <w:t>.</w:t>
      </w:r>
      <w:r>
        <w:rPr>
          <w:rStyle w:val="FootnoteReference"/>
          <w:rFonts w:cs="Times New Roman"/>
          <w:color w:val="000000"/>
          <w:szCs w:val="24"/>
        </w:rPr>
        <w:footnoteReference w:id="156"/>
      </w:r>
      <w:r w:rsidRPr="00423400">
        <w:rPr>
          <w:rFonts w:cs="Times New Roman"/>
          <w:color w:val="000000"/>
          <w:szCs w:val="24"/>
        </w:rPr>
        <w:t xml:space="preserve"> The average adjusted DCF results fall within the range of 9.3% to 10.4% as summarized on Table AMM-8 of his corrected direct testimony.</w:t>
      </w:r>
      <w:r>
        <w:rPr>
          <w:rStyle w:val="FootnoteReference"/>
          <w:rFonts w:cs="Times New Roman"/>
          <w:color w:val="000000"/>
          <w:szCs w:val="24"/>
        </w:rPr>
        <w:footnoteReference w:id="157"/>
      </w:r>
      <w:r w:rsidRPr="00423400">
        <w:rPr>
          <w:rFonts w:cs="Times New Roman"/>
          <w:color w:val="000000"/>
          <w:szCs w:val="24"/>
        </w:rPr>
        <w:t xml:space="preserve"> While Mr. McKenzie did not rely on the results of his non-utility DCF analysis in arriving at his recommended range of reasonableness,</w:t>
      </w:r>
      <w:r>
        <w:rPr>
          <w:rStyle w:val="FootnoteReference"/>
          <w:rFonts w:cs="Times New Roman"/>
          <w:color w:val="000000"/>
          <w:szCs w:val="24"/>
        </w:rPr>
        <w:footnoteReference w:id="158"/>
      </w:r>
      <w:r w:rsidRPr="00423400">
        <w:rPr>
          <w:rFonts w:cs="Times New Roman"/>
          <w:color w:val="000000"/>
          <w:szCs w:val="24"/>
        </w:rPr>
        <w:t xml:space="preserve"> he did opine that the analysis is relevant in evaluating a fair ROE for </w:t>
      </w:r>
      <w:r w:rsidRPr="00423400">
        <w:rPr>
          <w:rFonts w:cs="Times New Roman"/>
          <w:szCs w:val="24"/>
        </w:rPr>
        <w:t>DP&amp;L</w:t>
      </w:r>
      <w:r w:rsidRPr="00423400">
        <w:rPr>
          <w:rFonts w:cs="Times New Roman"/>
          <w:color w:val="000000"/>
          <w:szCs w:val="24"/>
        </w:rPr>
        <w:t>.</w:t>
      </w:r>
      <w:r>
        <w:rPr>
          <w:rStyle w:val="FootnoteReference"/>
          <w:rFonts w:cs="Times New Roman"/>
          <w:color w:val="000000"/>
          <w:szCs w:val="24"/>
        </w:rPr>
        <w:footnoteReference w:id="159"/>
      </w:r>
      <w:r w:rsidRPr="00423400">
        <w:rPr>
          <w:rFonts w:cs="Times New Roman"/>
          <w:color w:val="000000"/>
          <w:szCs w:val="24"/>
        </w:rPr>
        <w:t xml:space="preserve"> </w:t>
      </w:r>
      <w:r w:rsidRPr="00423400" w:rsidR="00A865F0">
        <w:rPr>
          <w:rFonts w:cs="Times New Roman"/>
          <w:color w:val="000000"/>
          <w:szCs w:val="24"/>
        </w:rPr>
        <w:t xml:space="preserve">OCC’s witness Mr. Walters </w:t>
      </w:r>
      <w:r w:rsidRPr="00423400">
        <w:rPr>
          <w:rFonts w:cs="Times New Roman"/>
          <w:color w:val="000000"/>
          <w:szCs w:val="24"/>
        </w:rPr>
        <w:t>disagree</w:t>
      </w:r>
      <w:r w:rsidRPr="00423400" w:rsidR="00A865F0">
        <w:rPr>
          <w:rFonts w:cs="Times New Roman"/>
          <w:color w:val="000000"/>
          <w:szCs w:val="24"/>
        </w:rPr>
        <w:t>s</w:t>
      </w:r>
      <w:r w:rsidRPr="00423400">
        <w:rPr>
          <w:rFonts w:cs="Times New Roman"/>
          <w:color w:val="000000"/>
          <w:szCs w:val="24"/>
        </w:rPr>
        <w:t xml:space="preserve"> with </w:t>
      </w:r>
      <w:r w:rsidRPr="00423400" w:rsidR="00A865F0">
        <w:rPr>
          <w:rFonts w:cs="Times New Roman"/>
          <w:color w:val="000000"/>
          <w:szCs w:val="24"/>
        </w:rPr>
        <w:t>Mr. McKenzie’s</w:t>
      </w:r>
      <w:r w:rsidRPr="00423400">
        <w:rPr>
          <w:rFonts w:cs="Times New Roman"/>
          <w:color w:val="000000"/>
          <w:szCs w:val="24"/>
        </w:rPr>
        <w:t xml:space="preserve"> assessment.</w:t>
      </w:r>
      <w:r>
        <w:rPr>
          <w:rStyle w:val="FootnoteReference"/>
          <w:rFonts w:cs="Times New Roman"/>
          <w:color w:val="000000"/>
          <w:szCs w:val="24"/>
        </w:rPr>
        <w:footnoteReference w:id="160"/>
      </w:r>
      <w:r w:rsidRPr="00423400">
        <w:rPr>
          <w:rFonts w:cs="Times New Roman"/>
          <w:color w:val="000000"/>
          <w:szCs w:val="24"/>
        </w:rPr>
        <w:t xml:space="preserve"> </w:t>
      </w:r>
    </w:p>
    <w:p w:rsidR="00A60EED" w:rsidRPr="00423400" w:rsidP="00A60EED" w14:paraId="066579CA" w14:textId="77777777">
      <w:pPr>
        <w:spacing w:after="0" w:line="480" w:lineRule="auto"/>
        <w:ind w:firstLine="720"/>
        <w:rPr>
          <w:rFonts w:cs="Times New Roman"/>
          <w:color w:val="000000"/>
          <w:szCs w:val="24"/>
        </w:rPr>
      </w:pPr>
      <w:r w:rsidRPr="00423400">
        <w:rPr>
          <w:rFonts w:cs="Times New Roman"/>
          <w:color w:val="000000"/>
          <w:szCs w:val="24"/>
        </w:rPr>
        <w:t xml:space="preserve">The PUCO </w:t>
      </w:r>
      <w:r w:rsidRPr="00423400" w:rsidR="00BB64A2">
        <w:rPr>
          <w:rFonts w:cs="Times New Roman"/>
          <w:color w:val="000000"/>
          <w:szCs w:val="24"/>
        </w:rPr>
        <w:t>Staff accept</w:t>
      </w:r>
      <w:r w:rsidRPr="00423400">
        <w:rPr>
          <w:rFonts w:cs="Times New Roman"/>
          <w:color w:val="000000"/>
          <w:szCs w:val="24"/>
        </w:rPr>
        <w:t>ed</w:t>
      </w:r>
      <w:r w:rsidRPr="00423400" w:rsidR="00BB64A2">
        <w:rPr>
          <w:rFonts w:cs="Times New Roman"/>
          <w:color w:val="000000"/>
          <w:szCs w:val="24"/>
        </w:rPr>
        <w:t xml:space="preserve"> DP&amp;L’s proposed capital structure consisting of common equity of 53.87% and long-term debt of 46.13%.</w:t>
      </w:r>
      <w:r>
        <w:rPr>
          <w:rStyle w:val="FootnoteReference"/>
          <w:rFonts w:cs="Times New Roman"/>
          <w:color w:val="000000"/>
          <w:szCs w:val="24"/>
        </w:rPr>
        <w:footnoteReference w:id="161"/>
      </w:r>
      <w:r w:rsidRPr="00423400" w:rsidR="00BB64A2">
        <w:rPr>
          <w:rFonts w:cs="Times New Roman"/>
          <w:color w:val="000000"/>
          <w:szCs w:val="24"/>
        </w:rPr>
        <w:t xml:space="preserve"> </w:t>
      </w:r>
      <w:r w:rsidRPr="00423400">
        <w:rPr>
          <w:rFonts w:cs="Times New Roman"/>
          <w:color w:val="000000"/>
          <w:szCs w:val="24"/>
        </w:rPr>
        <w:t>But a</w:t>
      </w:r>
      <w:r w:rsidRPr="00423400" w:rsidR="00BB64A2">
        <w:rPr>
          <w:rFonts w:cs="Times New Roman"/>
          <w:color w:val="000000"/>
          <w:szCs w:val="24"/>
        </w:rPr>
        <w:t xml:space="preserve">s discussed above, the proposed common equity ratio of 53.87% is excessive because it is not consistent with the common equity ratio approved by other regulatory jurisdictions and will place additional burden on ratepayers. </w:t>
      </w:r>
      <w:r w:rsidRPr="00423400">
        <w:rPr>
          <w:rFonts w:cs="Times New Roman"/>
          <w:color w:val="000000"/>
          <w:szCs w:val="24"/>
        </w:rPr>
        <w:t>Mr.</w:t>
      </w:r>
      <w:r w:rsidRPr="00423400" w:rsidR="0072499D">
        <w:rPr>
          <w:rFonts w:cs="Times New Roman"/>
          <w:color w:val="000000"/>
          <w:szCs w:val="24"/>
        </w:rPr>
        <w:t xml:space="preserve"> </w:t>
      </w:r>
      <w:r w:rsidRPr="00423400">
        <w:rPr>
          <w:rFonts w:cs="Times New Roman"/>
          <w:color w:val="000000"/>
          <w:szCs w:val="24"/>
        </w:rPr>
        <w:t>Walters therefore recommends that t</w:t>
      </w:r>
      <w:r w:rsidRPr="00423400" w:rsidR="00BB64A2">
        <w:rPr>
          <w:rFonts w:cs="Times New Roman"/>
          <w:color w:val="000000"/>
          <w:szCs w:val="24"/>
        </w:rPr>
        <w:t xml:space="preserve">he PUCO reject </w:t>
      </w:r>
      <w:r w:rsidRPr="00423400" w:rsidR="00BB64A2">
        <w:rPr>
          <w:rFonts w:cs="Times New Roman"/>
          <w:szCs w:val="24"/>
        </w:rPr>
        <w:t>DP&amp;L</w:t>
      </w:r>
      <w:r w:rsidRPr="00423400" w:rsidR="00BB64A2">
        <w:rPr>
          <w:rFonts w:cs="Times New Roman"/>
          <w:color w:val="000000"/>
          <w:szCs w:val="24"/>
        </w:rPr>
        <w:t>’s and Staff’s proposed common equity ratio of 53.87% and approve a capital structure with a common equity ratio of 52.89%, which is more consistent with the common equity ratio of the peer group companies and which will balance the interests of all stakeholders, while allowing DP&amp;L to maintain its financial integrity and access to capital at reasonable terms.</w:t>
      </w:r>
    </w:p>
    <w:p w:rsidR="00067694" w:rsidRPr="00423400" w:rsidP="00FE5445" w14:paraId="7DFDF712" w14:textId="77777777">
      <w:pPr>
        <w:spacing w:after="0" w:line="480" w:lineRule="auto"/>
        <w:ind w:firstLine="720"/>
        <w:rPr>
          <w:rFonts w:cs="Times New Roman"/>
          <w:szCs w:val="24"/>
        </w:rPr>
      </w:pPr>
      <w:r w:rsidRPr="00423400">
        <w:rPr>
          <w:rFonts w:cs="Times New Roman"/>
          <w:color w:val="000000"/>
          <w:szCs w:val="24"/>
        </w:rPr>
        <w:t xml:space="preserve">To protect consumers from paying a too high </w:t>
      </w:r>
      <w:r w:rsidRPr="00423400" w:rsidR="007042AB">
        <w:rPr>
          <w:rFonts w:cs="Times New Roman"/>
          <w:color w:val="000000"/>
          <w:szCs w:val="24"/>
        </w:rPr>
        <w:t xml:space="preserve">capital </w:t>
      </w:r>
      <w:r w:rsidRPr="00423400" w:rsidR="00280998">
        <w:rPr>
          <w:rFonts w:cs="Times New Roman"/>
          <w:color w:val="000000"/>
          <w:szCs w:val="24"/>
        </w:rPr>
        <w:t>structure</w:t>
      </w:r>
      <w:r w:rsidRPr="00423400" w:rsidR="007042AB">
        <w:rPr>
          <w:rFonts w:cs="Times New Roman"/>
          <w:color w:val="000000"/>
          <w:szCs w:val="24"/>
        </w:rPr>
        <w:t>, the PUCO should reject its Staff’s and DP&amp;L’s recommended</w:t>
      </w:r>
      <w:r w:rsidRPr="00423400" w:rsidR="006A7688">
        <w:rPr>
          <w:rFonts w:cs="Times New Roman"/>
          <w:color w:val="000000"/>
          <w:szCs w:val="24"/>
        </w:rPr>
        <w:t xml:space="preserve"> capital structure and instead adopt OCC’s recommended capital </w:t>
      </w:r>
      <w:r w:rsidRPr="00423400" w:rsidR="00280998">
        <w:rPr>
          <w:rFonts w:cs="Times New Roman"/>
          <w:color w:val="000000"/>
          <w:szCs w:val="24"/>
        </w:rPr>
        <w:t>structure</w:t>
      </w:r>
      <w:r w:rsidRPr="00423400" w:rsidR="006A7688">
        <w:rPr>
          <w:rFonts w:cs="Times New Roman"/>
          <w:color w:val="000000"/>
          <w:szCs w:val="24"/>
        </w:rPr>
        <w:t xml:space="preserve"> of common equity ratio of 52.89%</w:t>
      </w:r>
      <w:r w:rsidRPr="00423400" w:rsidR="00280998">
        <w:rPr>
          <w:rFonts w:cs="Times New Roman"/>
          <w:color w:val="000000"/>
          <w:szCs w:val="24"/>
        </w:rPr>
        <w:t>.</w:t>
      </w:r>
    </w:p>
    <w:p w:rsidR="002951B4" w:rsidRPr="00423400" w:rsidP="0012105E" w14:paraId="12FC72B1" w14:textId="77777777">
      <w:pPr>
        <w:pStyle w:val="Heading2"/>
        <w:ind w:left="1440" w:hanging="720"/>
        <w:rPr>
          <w:color w:val="auto"/>
          <w:sz w:val="24"/>
          <w:szCs w:val="24"/>
        </w:rPr>
      </w:pPr>
      <w:bookmarkStart w:id="57" w:name="_Toc96960362"/>
      <w:bookmarkStart w:id="58" w:name="_Toc96960404"/>
      <w:bookmarkStart w:id="59" w:name="_Toc97298211"/>
      <w:r w:rsidRPr="00423400">
        <w:rPr>
          <w:color w:val="auto"/>
          <w:sz w:val="24"/>
          <w:szCs w:val="24"/>
        </w:rPr>
        <w:t>To protect consumers from paying higher rates, the PUCO should reject PUCO Staff’s</w:t>
      </w:r>
      <w:r w:rsidRPr="00423400" w:rsidR="00AC7896">
        <w:rPr>
          <w:color w:val="auto"/>
          <w:sz w:val="24"/>
          <w:szCs w:val="24"/>
        </w:rPr>
        <w:t xml:space="preserve"> and DP&amp;L’s</w:t>
      </w:r>
      <w:r w:rsidRPr="00423400">
        <w:rPr>
          <w:color w:val="auto"/>
          <w:sz w:val="24"/>
          <w:szCs w:val="24"/>
        </w:rPr>
        <w:t xml:space="preserve"> </w:t>
      </w:r>
      <w:r w:rsidRPr="00423400" w:rsidR="00442E98">
        <w:rPr>
          <w:color w:val="auto"/>
          <w:sz w:val="24"/>
          <w:szCs w:val="24"/>
        </w:rPr>
        <w:t>reliance</w:t>
      </w:r>
      <w:r w:rsidRPr="00423400">
        <w:rPr>
          <w:color w:val="auto"/>
          <w:sz w:val="24"/>
          <w:szCs w:val="24"/>
        </w:rPr>
        <w:t xml:space="preserve"> on </w:t>
      </w:r>
      <w:r w:rsidRPr="00423400">
        <w:rPr>
          <w:i/>
          <w:iCs/>
          <w:color w:val="auto"/>
          <w:sz w:val="24"/>
          <w:szCs w:val="24"/>
        </w:rPr>
        <w:t>Value Line</w:t>
      </w:r>
      <w:r w:rsidRPr="00423400">
        <w:rPr>
          <w:color w:val="auto"/>
          <w:sz w:val="24"/>
          <w:szCs w:val="24"/>
        </w:rPr>
        <w:t xml:space="preserve"> as a source for beta estimates to use in</w:t>
      </w:r>
      <w:r w:rsidRPr="00423400" w:rsidR="00B60B67">
        <w:rPr>
          <w:color w:val="auto"/>
          <w:sz w:val="24"/>
          <w:szCs w:val="24"/>
        </w:rPr>
        <w:t xml:space="preserve"> </w:t>
      </w:r>
      <w:r w:rsidRPr="00423400">
        <w:rPr>
          <w:color w:val="auto"/>
          <w:sz w:val="24"/>
          <w:szCs w:val="24"/>
        </w:rPr>
        <w:t xml:space="preserve">its CAPM without consideration of other sources as a check on the reasonableness of </w:t>
      </w:r>
      <w:r w:rsidRPr="00423400">
        <w:rPr>
          <w:i/>
          <w:iCs/>
          <w:color w:val="auto"/>
          <w:sz w:val="24"/>
          <w:szCs w:val="24"/>
        </w:rPr>
        <w:t>Value Line’s</w:t>
      </w:r>
      <w:r w:rsidRPr="00423400" w:rsidR="00B60B67">
        <w:rPr>
          <w:color w:val="auto"/>
          <w:sz w:val="24"/>
          <w:szCs w:val="24"/>
        </w:rPr>
        <w:t xml:space="preserve"> </w:t>
      </w:r>
      <w:r w:rsidRPr="00423400">
        <w:rPr>
          <w:color w:val="auto"/>
          <w:sz w:val="24"/>
          <w:szCs w:val="24"/>
        </w:rPr>
        <w:t>betas.</w:t>
      </w:r>
      <w:r w:rsidRPr="00423400" w:rsidR="00B60B67">
        <w:rPr>
          <w:color w:val="auto"/>
          <w:sz w:val="24"/>
          <w:szCs w:val="24"/>
        </w:rPr>
        <w:t xml:space="preserve"> </w:t>
      </w:r>
      <w:r w:rsidRPr="00423400">
        <w:rPr>
          <w:color w:val="auto"/>
          <w:sz w:val="24"/>
          <w:szCs w:val="24"/>
        </w:rPr>
        <w:t>The</w:t>
      </w:r>
      <w:r w:rsidRPr="00423400" w:rsidR="00B60B67">
        <w:rPr>
          <w:color w:val="auto"/>
          <w:sz w:val="24"/>
          <w:szCs w:val="24"/>
        </w:rPr>
        <w:t xml:space="preserve"> </w:t>
      </w:r>
      <w:r w:rsidRPr="00423400" w:rsidR="000D528B">
        <w:rPr>
          <w:color w:val="auto"/>
          <w:sz w:val="24"/>
          <w:szCs w:val="24"/>
        </w:rPr>
        <w:t xml:space="preserve">PUCO </w:t>
      </w:r>
      <w:r w:rsidRPr="00423400">
        <w:rPr>
          <w:color w:val="auto"/>
          <w:sz w:val="24"/>
          <w:szCs w:val="24"/>
        </w:rPr>
        <w:t>Staff’s</w:t>
      </w:r>
      <w:r w:rsidRPr="00423400" w:rsidR="00B60B67">
        <w:rPr>
          <w:color w:val="auto"/>
          <w:sz w:val="24"/>
          <w:szCs w:val="24"/>
        </w:rPr>
        <w:t xml:space="preserve"> </w:t>
      </w:r>
      <w:r w:rsidRPr="00423400" w:rsidR="00AC7896">
        <w:rPr>
          <w:color w:val="auto"/>
          <w:sz w:val="24"/>
          <w:szCs w:val="24"/>
        </w:rPr>
        <w:t xml:space="preserve">and DP&amp;L’s </w:t>
      </w:r>
      <w:r w:rsidRPr="00423400">
        <w:rPr>
          <w:color w:val="auto"/>
          <w:sz w:val="24"/>
          <w:szCs w:val="24"/>
        </w:rPr>
        <w:t>beta</w:t>
      </w:r>
      <w:r w:rsidRPr="00423400" w:rsidR="00B60B67">
        <w:rPr>
          <w:color w:val="auto"/>
          <w:sz w:val="24"/>
          <w:szCs w:val="24"/>
        </w:rPr>
        <w:t xml:space="preserve"> </w:t>
      </w:r>
      <w:r w:rsidRPr="00423400">
        <w:rPr>
          <w:color w:val="auto"/>
          <w:sz w:val="24"/>
          <w:szCs w:val="24"/>
        </w:rPr>
        <w:t>estimates</w:t>
      </w:r>
      <w:r w:rsidRPr="00423400" w:rsidR="00B60B67">
        <w:rPr>
          <w:color w:val="auto"/>
          <w:sz w:val="24"/>
          <w:szCs w:val="24"/>
        </w:rPr>
        <w:t xml:space="preserve"> </w:t>
      </w:r>
      <w:r w:rsidRPr="00423400">
        <w:rPr>
          <w:color w:val="auto"/>
          <w:sz w:val="24"/>
          <w:szCs w:val="24"/>
        </w:rPr>
        <w:t>are abnormally</w:t>
      </w:r>
      <w:r w:rsidRPr="00423400" w:rsidR="00B60B67">
        <w:rPr>
          <w:color w:val="auto"/>
          <w:sz w:val="24"/>
          <w:szCs w:val="24"/>
        </w:rPr>
        <w:t xml:space="preserve"> </w:t>
      </w:r>
      <w:r w:rsidRPr="00423400">
        <w:rPr>
          <w:color w:val="auto"/>
          <w:sz w:val="24"/>
          <w:szCs w:val="24"/>
        </w:rPr>
        <w:t>high,</w:t>
      </w:r>
      <w:r w:rsidRPr="00423400" w:rsidR="00B60B67">
        <w:rPr>
          <w:color w:val="auto"/>
          <w:sz w:val="24"/>
          <w:szCs w:val="24"/>
        </w:rPr>
        <w:t xml:space="preserve"> </w:t>
      </w:r>
      <w:r w:rsidRPr="00423400">
        <w:rPr>
          <w:color w:val="auto"/>
          <w:sz w:val="24"/>
          <w:szCs w:val="24"/>
        </w:rPr>
        <w:t>are</w:t>
      </w:r>
      <w:r w:rsidRPr="00423400" w:rsidR="00B60B67">
        <w:rPr>
          <w:color w:val="auto"/>
          <w:sz w:val="24"/>
          <w:szCs w:val="24"/>
        </w:rPr>
        <w:t xml:space="preserve"> </w:t>
      </w:r>
      <w:r w:rsidRPr="00423400">
        <w:rPr>
          <w:color w:val="auto"/>
          <w:sz w:val="24"/>
          <w:szCs w:val="24"/>
        </w:rPr>
        <w:t>being</w:t>
      </w:r>
      <w:r w:rsidRPr="00423400" w:rsidR="00B60B67">
        <w:rPr>
          <w:color w:val="auto"/>
          <w:sz w:val="24"/>
          <w:szCs w:val="24"/>
        </w:rPr>
        <w:t xml:space="preserve"> </w:t>
      </w:r>
      <w:r w:rsidRPr="00423400">
        <w:rPr>
          <w:color w:val="auto"/>
          <w:sz w:val="24"/>
          <w:szCs w:val="24"/>
        </w:rPr>
        <w:t>heavily</w:t>
      </w:r>
      <w:r w:rsidRPr="00423400" w:rsidR="00B60B67">
        <w:rPr>
          <w:color w:val="auto"/>
          <w:sz w:val="24"/>
          <w:szCs w:val="24"/>
        </w:rPr>
        <w:t xml:space="preserve"> </w:t>
      </w:r>
      <w:r w:rsidRPr="00423400">
        <w:rPr>
          <w:color w:val="auto"/>
          <w:sz w:val="24"/>
          <w:szCs w:val="24"/>
        </w:rPr>
        <w:t>influenced</w:t>
      </w:r>
      <w:r w:rsidRPr="00423400" w:rsidR="00B60B67">
        <w:rPr>
          <w:color w:val="auto"/>
          <w:sz w:val="24"/>
          <w:szCs w:val="24"/>
        </w:rPr>
        <w:t xml:space="preserve"> </w:t>
      </w:r>
      <w:r w:rsidRPr="00423400">
        <w:rPr>
          <w:color w:val="auto"/>
          <w:sz w:val="24"/>
          <w:szCs w:val="24"/>
        </w:rPr>
        <w:t>by</w:t>
      </w:r>
      <w:r w:rsidRPr="00423400" w:rsidR="00B60B67">
        <w:rPr>
          <w:color w:val="auto"/>
          <w:sz w:val="24"/>
          <w:szCs w:val="24"/>
        </w:rPr>
        <w:t xml:space="preserve"> </w:t>
      </w:r>
      <w:r w:rsidRPr="00423400">
        <w:rPr>
          <w:color w:val="auto"/>
          <w:sz w:val="24"/>
          <w:szCs w:val="24"/>
        </w:rPr>
        <w:t>market</w:t>
      </w:r>
      <w:r w:rsidRPr="00423400" w:rsidR="00B60B67">
        <w:rPr>
          <w:color w:val="auto"/>
          <w:sz w:val="24"/>
          <w:szCs w:val="24"/>
        </w:rPr>
        <w:t xml:space="preserve"> </w:t>
      </w:r>
      <w:r w:rsidRPr="00423400">
        <w:rPr>
          <w:color w:val="auto"/>
          <w:sz w:val="24"/>
          <w:szCs w:val="24"/>
        </w:rPr>
        <w:t>volatility</w:t>
      </w:r>
      <w:r w:rsidRPr="00423400" w:rsidR="00B60B67">
        <w:rPr>
          <w:color w:val="auto"/>
          <w:sz w:val="24"/>
          <w:szCs w:val="24"/>
        </w:rPr>
        <w:t xml:space="preserve"> </w:t>
      </w:r>
      <w:r w:rsidRPr="00423400">
        <w:rPr>
          <w:color w:val="auto"/>
          <w:sz w:val="24"/>
          <w:szCs w:val="24"/>
        </w:rPr>
        <w:t>experienced</w:t>
      </w:r>
      <w:r w:rsidRPr="00423400" w:rsidR="00B60B67">
        <w:rPr>
          <w:color w:val="auto"/>
          <w:sz w:val="24"/>
          <w:szCs w:val="24"/>
        </w:rPr>
        <w:t xml:space="preserve"> </w:t>
      </w:r>
      <w:r w:rsidRPr="00423400">
        <w:rPr>
          <w:color w:val="auto"/>
          <w:sz w:val="24"/>
          <w:szCs w:val="24"/>
        </w:rPr>
        <w:t>in 2020</w:t>
      </w:r>
      <w:r w:rsidRPr="00423400" w:rsidR="00B60B67">
        <w:rPr>
          <w:color w:val="auto"/>
          <w:sz w:val="24"/>
          <w:szCs w:val="24"/>
        </w:rPr>
        <w:t xml:space="preserve"> </w:t>
      </w:r>
      <w:r w:rsidRPr="00423400">
        <w:rPr>
          <w:color w:val="auto"/>
          <w:sz w:val="24"/>
          <w:szCs w:val="24"/>
        </w:rPr>
        <w:t>as</w:t>
      </w:r>
      <w:r w:rsidRPr="00423400" w:rsidR="00B60B67">
        <w:rPr>
          <w:color w:val="auto"/>
          <w:sz w:val="24"/>
          <w:szCs w:val="24"/>
        </w:rPr>
        <w:t xml:space="preserve"> </w:t>
      </w:r>
      <w:r w:rsidRPr="00423400">
        <w:rPr>
          <w:color w:val="auto"/>
          <w:sz w:val="24"/>
          <w:szCs w:val="24"/>
        </w:rPr>
        <w:t>a</w:t>
      </w:r>
      <w:r w:rsidRPr="00423400" w:rsidR="00B60B67">
        <w:rPr>
          <w:color w:val="auto"/>
          <w:sz w:val="24"/>
          <w:szCs w:val="24"/>
        </w:rPr>
        <w:t xml:space="preserve"> </w:t>
      </w:r>
      <w:r w:rsidRPr="00423400">
        <w:rPr>
          <w:color w:val="auto"/>
          <w:sz w:val="24"/>
          <w:szCs w:val="24"/>
        </w:rPr>
        <w:t>result</w:t>
      </w:r>
      <w:r w:rsidRPr="00423400" w:rsidR="00B60B67">
        <w:rPr>
          <w:color w:val="auto"/>
          <w:sz w:val="24"/>
          <w:szCs w:val="24"/>
        </w:rPr>
        <w:t xml:space="preserve"> </w:t>
      </w:r>
      <w:r w:rsidRPr="00423400">
        <w:rPr>
          <w:color w:val="auto"/>
          <w:sz w:val="24"/>
          <w:szCs w:val="24"/>
        </w:rPr>
        <w:t>of</w:t>
      </w:r>
      <w:r w:rsidRPr="00423400" w:rsidR="00B60B67">
        <w:rPr>
          <w:color w:val="auto"/>
          <w:sz w:val="24"/>
          <w:szCs w:val="24"/>
        </w:rPr>
        <w:t xml:space="preserve"> </w:t>
      </w:r>
      <w:r w:rsidRPr="00423400">
        <w:rPr>
          <w:color w:val="auto"/>
          <w:sz w:val="24"/>
          <w:szCs w:val="24"/>
        </w:rPr>
        <w:t>the</w:t>
      </w:r>
      <w:r w:rsidRPr="00423400" w:rsidR="00B60B67">
        <w:rPr>
          <w:color w:val="auto"/>
          <w:sz w:val="24"/>
          <w:szCs w:val="24"/>
        </w:rPr>
        <w:t xml:space="preserve"> </w:t>
      </w:r>
      <w:r w:rsidRPr="00423400">
        <w:rPr>
          <w:color w:val="auto"/>
          <w:sz w:val="24"/>
          <w:szCs w:val="24"/>
        </w:rPr>
        <w:t>anomalous</w:t>
      </w:r>
      <w:r w:rsidRPr="00423400" w:rsidR="00B60B67">
        <w:rPr>
          <w:color w:val="auto"/>
          <w:sz w:val="24"/>
          <w:szCs w:val="24"/>
        </w:rPr>
        <w:t xml:space="preserve"> </w:t>
      </w:r>
      <w:r w:rsidRPr="00423400">
        <w:rPr>
          <w:color w:val="auto"/>
          <w:sz w:val="24"/>
          <w:szCs w:val="24"/>
        </w:rPr>
        <w:t>event</w:t>
      </w:r>
      <w:r w:rsidRPr="00423400" w:rsidR="00B60B67">
        <w:rPr>
          <w:color w:val="auto"/>
          <w:sz w:val="24"/>
          <w:szCs w:val="24"/>
        </w:rPr>
        <w:t xml:space="preserve"> </w:t>
      </w:r>
      <w:r w:rsidRPr="00423400">
        <w:rPr>
          <w:color w:val="auto"/>
          <w:sz w:val="24"/>
          <w:szCs w:val="24"/>
        </w:rPr>
        <w:t>of</w:t>
      </w:r>
      <w:r w:rsidRPr="00423400" w:rsidR="00B60B67">
        <w:rPr>
          <w:color w:val="auto"/>
          <w:sz w:val="24"/>
          <w:szCs w:val="24"/>
        </w:rPr>
        <w:t xml:space="preserve"> </w:t>
      </w:r>
      <w:r w:rsidRPr="00423400">
        <w:rPr>
          <w:color w:val="auto"/>
          <w:sz w:val="24"/>
          <w:szCs w:val="24"/>
        </w:rPr>
        <w:t>the</w:t>
      </w:r>
      <w:r w:rsidRPr="00423400" w:rsidR="00B60B67">
        <w:rPr>
          <w:color w:val="auto"/>
          <w:sz w:val="24"/>
          <w:szCs w:val="24"/>
        </w:rPr>
        <w:t xml:space="preserve"> </w:t>
      </w:r>
      <w:r w:rsidRPr="00423400">
        <w:rPr>
          <w:color w:val="auto"/>
          <w:sz w:val="24"/>
          <w:szCs w:val="24"/>
        </w:rPr>
        <w:t>pandemic</w:t>
      </w:r>
      <w:r w:rsidRPr="00423400" w:rsidR="00B60B67">
        <w:rPr>
          <w:color w:val="auto"/>
          <w:sz w:val="24"/>
          <w:szCs w:val="24"/>
        </w:rPr>
        <w:t xml:space="preserve"> </w:t>
      </w:r>
      <w:r w:rsidRPr="00423400">
        <w:rPr>
          <w:color w:val="auto"/>
          <w:sz w:val="24"/>
          <w:szCs w:val="24"/>
        </w:rPr>
        <w:t>caused</w:t>
      </w:r>
      <w:r w:rsidRPr="00423400" w:rsidR="00B60B67">
        <w:rPr>
          <w:color w:val="auto"/>
          <w:sz w:val="24"/>
          <w:szCs w:val="24"/>
        </w:rPr>
        <w:t xml:space="preserve"> </w:t>
      </w:r>
      <w:r w:rsidRPr="00423400">
        <w:rPr>
          <w:color w:val="auto"/>
          <w:sz w:val="24"/>
          <w:szCs w:val="24"/>
        </w:rPr>
        <w:t>by</w:t>
      </w:r>
      <w:r w:rsidRPr="00423400" w:rsidR="00B60B67">
        <w:rPr>
          <w:color w:val="auto"/>
          <w:sz w:val="24"/>
          <w:szCs w:val="24"/>
        </w:rPr>
        <w:t xml:space="preserve"> </w:t>
      </w:r>
      <w:r w:rsidRPr="00423400">
        <w:rPr>
          <w:color w:val="auto"/>
          <w:sz w:val="24"/>
          <w:szCs w:val="24"/>
        </w:rPr>
        <w:t>COVID-19, and</w:t>
      </w:r>
      <w:r w:rsidRPr="00423400" w:rsidR="00B60B67">
        <w:rPr>
          <w:color w:val="auto"/>
          <w:sz w:val="24"/>
          <w:szCs w:val="24"/>
        </w:rPr>
        <w:t xml:space="preserve"> </w:t>
      </w:r>
      <w:r w:rsidRPr="00423400">
        <w:rPr>
          <w:color w:val="auto"/>
          <w:sz w:val="24"/>
          <w:szCs w:val="24"/>
        </w:rPr>
        <w:t>do</w:t>
      </w:r>
      <w:r w:rsidRPr="00423400" w:rsidR="00B60B67">
        <w:rPr>
          <w:color w:val="auto"/>
          <w:sz w:val="24"/>
          <w:szCs w:val="24"/>
        </w:rPr>
        <w:t xml:space="preserve"> </w:t>
      </w:r>
      <w:r w:rsidRPr="00423400">
        <w:rPr>
          <w:color w:val="auto"/>
          <w:sz w:val="24"/>
          <w:szCs w:val="24"/>
        </w:rPr>
        <w:t>not</w:t>
      </w:r>
      <w:r w:rsidRPr="00423400" w:rsidR="00B60B67">
        <w:rPr>
          <w:color w:val="auto"/>
          <w:sz w:val="24"/>
          <w:szCs w:val="24"/>
        </w:rPr>
        <w:t xml:space="preserve"> </w:t>
      </w:r>
      <w:r w:rsidRPr="00423400">
        <w:rPr>
          <w:color w:val="auto"/>
          <w:sz w:val="24"/>
          <w:szCs w:val="24"/>
        </w:rPr>
        <w:t>necessarily</w:t>
      </w:r>
      <w:r w:rsidRPr="00423400" w:rsidR="00B60B67">
        <w:rPr>
          <w:color w:val="auto"/>
          <w:sz w:val="24"/>
          <w:szCs w:val="24"/>
        </w:rPr>
        <w:t xml:space="preserve"> </w:t>
      </w:r>
      <w:r w:rsidRPr="00423400">
        <w:rPr>
          <w:color w:val="auto"/>
          <w:sz w:val="24"/>
          <w:szCs w:val="24"/>
        </w:rPr>
        <w:t>capture</w:t>
      </w:r>
      <w:r w:rsidRPr="00423400" w:rsidR="00B60B67">
        <w:rPr>
          <w:color w:val="auto"/>
          <w:sz w:val="24"/>
          <w:szCs w:val="24"/>
        </w:rPr>
        <w:t xml:space="preserve"> </w:t>
      </w:r>
      <w:r w:rsidRPr="00423400">
        <w:rPr>
          <w:color w:val="auto"/>
          <w:sz w:val="24"/>
          <w:szCs w:val="24"/>
        </w:rPr>
        <w:t>investor</w:t>
      </w:r>
      <w:r w:rsidRPr="00423400" w:rsidR="00B60B67">
        <w:rPr>
          <w:color w:val="auto"/>
          <w:sz w:val="24"/>
          <w:szCs w:val="24"/>
        </w:rPr>
        <w:t xml:space="preserve"> </w:t>
      </w:r>
      <w:r w:rsidRPr="00423400">
        <w:rPr>
          <w:color w:val="auto"/>
          <w:sz w:val="24"/>
          <w:szCs w:val="24"/>
        </w:rPr>
        <w:t>expectations.</w:t>
      </w:r>
      <w:bookmarkEnd w:id="57"/>
      <w:bookmarkEnd w:id="58"/>
      <w:bookmarkEnd w:id="59"/>
      <w:r w:rsidRPr="00423400">
        <w:rPr>
          <w:color w:val="auto"/>
          <w:sz w:val="24"/>
          <w:szCs w:val="24"/>
        </w:rPr>
        <w:t xml:space="preserve"> </w:t>
      </w:r>
    </w:p>
    <w:p w:rsidR="00A14B09" w:rsidRPr="00423400" w:rsidP="0012105E" w14:paraId="79C89B3B" w14:textId="77777777">
      <w:pPr>
        <w:spacing w:before="240" w:after="0" w:line="480" w:lineRule="auto"/>
        <w:ind w:firstLine="720"/>
        <w:rPr>
          <w:rFonts w:cs="Times New Roman"/>
          <w:szCs w:val="24"/>
        </w:rPr>
      </w:pPr>
      <w:r w:rsidRPr="00423400">
        <w:rPr>
          <w:rFonts w:cs="Times New Roman"/>
          <w:szCs w:val="24"/>
        </w:rPr>
        <w:t xml:space="preserve">The PUCO should reject its Staff’s </w:t>
      </w:r>
      <w:r w:rsidRPr="00423400" w:rsidR="00AC7896">
        <w:rPr>
          <w:rFonts w:cs="Times New Roman"/>
          <w:szCs w:val="24"/>
        </w:rPr>
        <w:t xml:space="preserve">and DP&amp;L’s </w:t>
      </w:r>
      <w:r w:rsidRPr="00423400">
        <w:rPr>
          <w:rFonts w:cs="Times New Roman"/>
          <w:szCs w:val="24"/>
        </w:rPr>
        <w:t xml:space="preserve">reliance on </w:t>
      </w:r>
      <w:r w:rsidRPr="00423400">
        <w:rPr>
          <w:rFonts w:cs="Times New Roman"/>
          <w:i/>
          <w:iCs/>
          <w:szCs w:val="24"/>
        </w:rPr>
        <w:t>Value Line</w:t>
      </w:r>
      <w:r w:rsidRPr="00423400">
        <w:rPr>
          <w:rFonts w:cs="Times New Roman"/>
          <w:szCs w:val="24"/>
        </w:rPr>
        <w:t xml:space="preserve"> </w:t>
      </w:r>
      <w:r w:rsidRPr="00423400" w:rsidR="000A1A57">
        <w:rPr>
          <w:rFonts w:cs="Times New Roman"/>
          <w:szCs w:val="24"/>
        </w:rPr>
        <w:t xml:space="preserve">to use in its CAPM without consideration of other sources to confirm the reasonableness of </w:t>
      </w:r>
      <w:r w:rsidRPr="00423400" w:rsidR="000A1A57">
        <w:rPr>
          <w:rFonts w:cs="Times New Roman"/>
          <w:i/>
          <w:iCs/>
          <w:szCs w:val="24"/>
        </w:rPr>
        <w:t>Value Line’s</w:t>
      </w:r>
      <w:r w:rsidRPr="00423400" w:rsidR="000A1A57">
        <w:rPr>
          <w:rFonts w:cs="Times New Roman"/>
          <w:szCs w:val="24"/>
        </w:rPr>
        <w:t xml:space="preserve"> betas</w:t>
      </w:r>
      <w:r w:rsidRPr="00423400" w:rsidR="00072FC5">
        <w:rPr>
          <w:rFonts w:cs="Times New Roman"/>
          <w:szCs w:val="24"/>
        </w:rPr>
        <w:t xml:space="preserve">. </w:t>
      </w:r>
      <w:r w:rsidRPr="00423400">
        <w:rPr>
          <w:rFonts w:cs="Times New Roman"/>
          <w:szCs w:val="24"/>
        </w:rPr>
        <w:t>Additionally</w:t>
      </w:r>
      <w:r w:rsidRPr="00423400" w:rsidR="00072FC5">
        <w:rPr>
          <w:rFonts w:cs="Times New Roman"/>
          <w:szCs w:val="24"/>
        </w:rPr>
        <w:t xml:space="preserve">, the PUCO should reject its Staff’s </w:t>
      </w:r>
      <w:r w:rsidRPr="00423400" w:rsidR="00813E3E">
        <w:rPr>
          <w:rFonts w:cs="Times New Roman"/>
          <w:szCs w:val="24"/>
        </w:rPr>
        <w:t xml:space="preserve">and DP&amp;L’s </w:t>
      </w:r>
      <w:r w:rsidRPr="00423400" w:rsidR="00072FC5">
        <w:rPr>
          <w:rFonts w:cs="Times New Roman"/>
          <w:szCs w:val="24"/>
        </w:rPr>
        <w:t>beta estimates because t</w:t>
      </w:r>
      <w:r w:rsidRPr="00423400">
        <w:rPr>
          <w:rFonts w:cs="Times New Roman"/>
          <w:szCs w:val="24"/>
        </w:rPr>
        <w:t>h</w:t>
      </w:r>
      <w:r w:rsidRPr="00423400" w:rsidR="00072FC5">
        <w:rPr>
          <w:rFonts w:cs="Times New Roman"/>
          <w:szCs w:val="24"/>
        </w:rPr>
        <w:t xml:space="preserve">ey are abnormally high and are heavily </w:t>
      </w:r>
      <w:r w:rsidRPr="00423400">
        <w:rPr>
          <w:rFonts w:cs="Times New Roman"/>
          <w:szCs w:val="24"/>
        </w:rPr>
        <w:t>influenced</w:t>
      </w:r>
      <w:r w:rsidRPr="00423400" w:rsidR="00072FC5">
        <w:rPr>
          <w:rFonts w:cs="Times New Roman"/>
          <w:szCs w:val="24"/>
        </w:rPr>
        <w:t xml:space="preserve"> by </w:t>
      </w:r>
      <w:r w:rsidRPr="00423400">
        <w:rPr>
          <w:rFonts w:cs="Times New Roman"/>
          <w:szCs w:val="24"/>
        </w:rPr>
        <w:t>t</w:t>
      </w:r>
      <w:r w:rsidRPr="00423400" w:rsidR="00072FC5">
        <w:rPr>
          <w:rFonts w:cs="Times New Roman"/>
          <w:szCs w:val="24"/>
        </w:rPr>
        <w:t>h</w:t>
      </w:r>
      <w:r w:rsidRPr="00423400">
        <w:rPr>
          <w:rFonts w:cs="Times New Roman"/>
          <w:szCs w:val="24"/>
        </w:rPr>
        <w:t>e</w:t>
      </w:r>
      <w:r w:rsidRPr="00423400" w:rsidR="00072FC5">
        <w:rPr>
          <w:rFonts w:cs="Times New Roman"/>
          <w:szCs w:val="24"/>
        </w:rPr>
        <w:t xml:space="preserve"> market volatility from 202</w:t>
      </w:r>
      <w:r w:rsidRPr="00423400">
        <w:rPr>
          <w:rFonts w:cs="Times New Roman"/>
          <w:szCs w:val="24"/>
        </w:rPr>
        <w:t>0</w:t>
      </w:r>
      <w:r w:rsidRPr="00423400" w:rsidR="00072FC5">
        <w:rPr>
          <w:rFonts w:cs="Times New Roman"/>
          <w:szCs w:val="24"/>
        </w:rPr>
        <w:t xml:space="preserve"> resul</w:t>
      </w:r>
      <w:r w:rsidRPr="00423400">
        <w:rPr>
          <w:rFonts w:cs="Times New Roman"/>
          <w:szCs w:val="24"/>
        </w:rPr>
        <w:t>t</w:t>
      </w:r>
      <w:r w:rsidRPr="00423400" w:rsidR="00072FC5">
        <w:rPr>
          <w:rFonts w:cs="Times New Roman"/>
          <w:szCs w:val="24"/>
        </w:rPr>
        <w:t xml:space="preserve">ing from the coronavirus pandemic. </w:t>
      </w:r>
    </w:p>
    <w:p w:rsidR="00FD4478" w:rsidRPr="00423400" w:rsidP="007D3A0C" w14:paraId="1FF829B6" w14:textId="77777777">
      <w:pPr>
        <w:spacing w:after="0" w:line="480" w:lineRule="auto"/>
        <w:ind w:firstLine="720"/>
        <w:rPr>
          <w:rFonts w:cs="Times New Roman"/>
          <w:szCs w:val="24"/>
        </w:rPr>
      </w:pPr>
      <w:r w:rsidRPr="00423400">
        <w:rPr>
          <w:rFonts w:cs="Times New Roman"/>
          <w:szCs w:val="24"/>
        </w:rPr>
        <w:t>OCC’s expert, Mr. Chris Walters evaluated the PUCO Staff’s</w:t>
      </w:r>
      <w:r w:rsidRPr="00423400" w:rsidR="00813E3E">
        <w:rPr>
          <w:rFonts w:cs="Times New Roman"/>
          <w:szCs w:val="24"/>
        </w:rPr>
        <w:t xml:space="preserve"> and DP&amp;L’s witness McKenzie’s</w:t>
      </w:r>
      <w:r w:rsidRPr="00423400">
        <w:rPr>
          <w:rFonts w:cs="Times New Roman"/>
          <w:szCs w:val="24"/>
        </w:rPr>
        <w:t xml:space="preserve"> CAPM analys</w:t>
      </w:r>
      <w:r w:rsidRPr="00423400" w:rsidR="00813E3E">
        <w:rPr>
          <w:rFonts w:cs="Times New Roman"/>
          <w:szCs w:val="24"/>
        </w:rPr>
        <w:t>e</w:t>
      </w:r>
      <w:r w:rsidRPr="00423400">
        <w:rPr>
          <w:rFonts w:cs="Times New Roman"/>
          <w:szCs w:val="24"/>
        </w:rPr>
        <w:t>s.</w:t>
      </w:r>
      <w:r>
        <w:rPr>
          <w:rStyle w:val="FootnoteReference"/>
          <w:rFonts w:cs="Times New Roman"/>
          <w:szCs w:val="24"/>
        </w:rPr>
        <w:footnoteReference w:id="162"/>
      </w:r>
      <w:r w:rsidRPr="00423400">
        <w:rPr>
          <w:rFonts w:cs="Times New Roman"/>
          <w:szCs w:val="24"/>
        </w:rPr>
        <w:t xml:space="preserve"> Mr. Walters found that the PUCO Staff develops a traditional CAPM analysis based on the composite average of the 10- and 30-year Treasury bond yields of 3.05% for the period January 2006 to January 2021.</w:t>
      </w:r>
      <w:r>
        <w:rPr>
          <w:rStyle w:val="FootnoteReference"/>
          <w:rFonts w:cs="Times New Roman"/>
          <w:szCs w:val="24"/>
        </w:rPr>
        <w:footnoteReference w:id="163"/>
      </w:r>
      <w:r w:rsidRPr="00423400">
        <w:rPr>
          <w:rFonts w:cs="Times New Roman"/>
          <w:szCs w:val="24"/>
        </w:rPr>
        <w:t xml:space="preserve"> And Staff relies on the </w:t>
      </w:r>
      <w:r w:rsidRPr="00423400">
        <w:rPr>
          <w:rFonts w:cs="Times New Roman"/>
          <w:i/>
          <w:iCs/>
          <w:szCs w:val="24"/>
        </w:rPr>
        <w:t>Value Line</w:t>
      </w:r>
      <w:r w:rsidRPr="00423400">
        <w:rPr>
          <w:rFonts w:cs="Times New Roman"/>
          <w:szCs w:val="24"/>
        </w:rPr>
        <w:t xml:space="preserve"> proxy group average beta of 0.97 and a market risk premium of 6.57%.</w:t>
      </w:r>
      <w:r>
        <w:rPr>
          <w:rStyle w:val="FootnoteReference"/>
          <w:rFonts w:cs="Times New Roman"/>
          <w:szCs w:val="24"/>
        </w:rPr>
        <w:footnoteReference w:id="164"/>
      </w:r>
    </w:p>
    <w:p w:rsidR="00D04730" w:rsidRPr="00423400" w:rsidP="00D44CD2" w14:paraId="0E64E796" w14:textId="77777777">
      <w:pPr>
        <w:tabs>
          <w:tab w:val="left" w:pos="-1440"/>
        </w:tabs>
        <w:spacing w:after="0" w:line="480" w:lineRule="auto"/>
        <w:rPr>
          <w:rFonts w:cs="Times New Roman"/>
          <w:color w:val="000000"/>
          <w:szCs w:val="24"/>
        </w:rPr>
      </w:pPr>
      <w:r w:rsidRPr="00423400">
        <w:rPr>
          <w:rFonts w:cs="Times New Roman"/>
          <w:szCs w:val="24"/>
        </w:rPr>
        <w:tab/>
        <w:t>Mr. Walters determined that Staff’s CAPM analysis is unreasonable.</w:t>
      </w:r>
      <w:r>
        <w:rPr>
          <w:rStyle w:val="FootnoteReference"/>
          <w:rFonts w:cs="Times New Roman"/>
          <w:szCs w:val="24"/>
        </w:rPr>
        <w:footnoteReference w:id="165"/>
      </w:r>
      <w:r w:rsidRPr="00423400">
        <w:rPr>
          <w:rFonts w:cs="Times New Roman"/>
          <w:szCs w:val="24"/>
        </w:rPr>
        <w:t xml:space="preserve"> </w:t>
      </w:r>
      <w:r w:rsidRPr="00423400">
        <w:rPr>
          <w:rFonts w:cs="Times New Roman"/>
          <w:color w:val="000000"/>
          <w:szCs w:val="24"/>
        </w:rPr>
        <w:t xml:space="preserve">Specifically, Staff fails to consider other sources to check the reasonableness of its </w:t>
      </w:r>
      <w:r w:rsidRPr="00423400">
        <w:rPr>
          <w:rFonts w:cs="Times New Roman"/>
          <w:i/>
          <w:color w:val="000000"/>
          <w:szCs w:val="24"/>
        </w:rPr>
        <w:t>Value Line</w:t>
      </w:r>
      <w:r w:rsidRPr="00423400">
        <w:rPr>
          <w:rFonts w:cs="Times New Roman"/>
          <w:color w:val="000000"/>
          <w:szCs w:val="24"/>
        </w:rPr>
        <w:t xml:space="preserve"> beta estimates.</w:t>
      </w:r>
      <w:r>
        <w:rPr>
          <w:rStyle w:val="FootnoteReference"/>
          <w:rFonts w:cs="Times New Roman"/>
          <w:color w:val="000000"/>
          <w:szCs w:val="24"/>
        </w:rPr>
        <w:footnoteReference w:id="166"/>
      </w:r>
      <w:r w:rsidRPr="00423400">
        <w:rPr>
          <w:rFonts w:cs="Times New Roman"/>
          <w:color w:val="000000"/>
          <w:szCs w:val="24"/>
        </w:rPr>
        <w:t xml:space="preserve"> Further, Staff relies on an arbitrary risk-free rate of 3.05% that is not based on investors’ expectations.</w:t>
      </w:r>
      <w:r>
        <w:rPr>
          <w:rStyle w:val="FootnoteReference"/>
          <w:rFonts w:cs="Times New Roman"/>
          <w:color w:val="000000"/>
          <w:szCs w:val="24"/>
        </w:rPr>
        <w:footnoteReference w:id="167"/>
      </w:r>
      <w:r w:rsidRPr="00423400">
        <w:rPr>
          <w:rFonts w:cs="Times New Roman"/>
          <w:color w:val="000000"/>
          <w:szCs w:val="24"/>
        </w:rPr>
        <w:t xml:space="preserve"> Additionally</w:t>
      </w:r>
      <w:r w:rsidRPr="00423400" w:rsidR="00447BB1">
        <w:rPr>
          <w:rFonts w:cs="Times New Roman"/>
          <w:color w:val="000000"/>
          <w:szCs w:val="24"/>
        </w:rPr>
        <w:t xml:space="preserve">, Mr. Walters </w:t>
      </w:r>
      <w:r w:rsidRPr="00423400" w:rsidR="007D3A0C">
        <w:rPr>
          <w:rFonts w:cs="Times New Roman"/>
          <w:color w:val="000000"/>
          <w:szCs w:val="24"/>
        </w:rPr>
        <w:t>found that</w:t>
      </w:r>
      <w:r w:rsidRPr="00423400" w:rsidR="00447BB1">
        <w:rPr>
          <w:rFonts w:cs="Times New Roman"/>
          <w:color w:val="000000"/>
          <w:szCs w:val="24"/>
        </w:rPr>
        <w:t xml:space="preserve"> Staff’s sole reliance on </w:t>
      </w:r>
      <w:r w:rsidRPr="00423400" w:rsidR="009831BF">
        <w:rPr>
          <w:rFonts w:cs="Times New Roman"/>
          <w:i/>
          <w:iCs/>
          <w:color w:val="000000"/>
          <w:szCs w:val="24"/>
        </w:rPr>
        <w:t>V</w:t>
      </w:r>
      <w:r w:rsidRPr="00423400" w:rsidR="00447BB1">
        <w:rPr>
          <w:rFonts w:cs="Times New Roman"/>
          <w:i/>
          <w:iCs/>
          <w:color w:val="000000"/>
          <w:szCs w:val="24"/>
        </w:rPr>
        <w:t xml:space="preserve">alue </w:t>
      </w:r>
      <w:r w:rsidRPr="00423400" w:rsidR="009831BF">
        <w:rPr>
          <w:rFonts w:cs="Times New Roman"/>
          <w:i/>
          <w:iCs/>
          <w:color w:val="000000"/>
          <w:szCs w:val="24"/>
        </w:rPr>
        <w:t>L</w:t>
      </w:r>
      <w:r w:rsidRPr="00423400" w:rsidR="00447BB1">
        <w:rPr>
          <w:rFonts w:cs="Times New Roman"/>
          <w:i/>
          <w:iCs/>
          <w:color w:val="000000"/>
          <w:szCs w:val="24"/>
        </w:rPr>
        <w:t>ine</w:t>
      </w:r>
      <w:r w:rsidRPr="00423400" w:rsidR="00447BB1">
        <w:rPr>
          <w:rFonts w:cs="Times New Roman"/>
          <w:color w:val="000000"/>
          <w:szCs w:val="24"/>
        </w:rPr>
        <w:t xml:space="preserve"> betas in its CAPM analysis is </w:t>
      </w:r>
      <w:r w:rsidRPr="00423400" w:rsidR="00553453">
        <w:rPr>
          <w:rFonts w:cs="Times New Roman"/>
          <w:color w:val="000000"/>
          <w:szCs w:val="24"/>
        </w:rPr>
        <w:t>inappropriate.</w:t>
      </w:r>
      <w:r>
        <w:rPr>
          <w:rStyle w:val="FootnoteReference"/>
          <w:rFonts w:cs="Times New Roman"/>
          <w:color w:val="000000"/>
          <w:szCs w:val="24"/>
        </w:rPr>
        <w:footnoteReference w:id="168"/>
      </w:r>
      <w:r w:rsidRPr="00423400" w:rsidR="007D3A0C">
        <w:rPr>
          <w:rFonts w:cs="Times New Roman"/>
          <w:color w:val="000000"/>
          <w:szCs w:val="24"/>
        </w:rPr>
        <w:t xml:space="preserve"> Mr. Walters explained that this is because the current beta estimates from </w:t>
      </w:r>
      <w:r w:rsidRPr="00423400" w:rsidR="007D3A0C">
        <w:rPr>
          <w:rFonts w:cs="Times New Roman"/>
          <w:i/>
          <w:color w:val="000000"/>
          <w:szCs w:val="24"/>
        </w:rPr>
        <w:t>Value Line</w:t>
      </w:r>
      <w:r w:rsidRPr="00423400" w:rsidR="007D3A0C">
        <w:rPr>
          <w:rFonts w:cs="Times New Roman"/>
          <w:color w:val="000000"/>
          <w:szCs w:val="24"/>
        </w:rPr>
        <w:t xml:space="preserve"> are significantly higher relative to their historical levels near 0.70 and are currently at levels not seen since the Great Recession caused by the financial crisis in 2008.</w:t>
      </w:r>
      <w:r>
        <w:rPr>
          <w:rStyle w:val="FootnoteReference"/>
          <w:rFonts w:cs="Times New Roman"/>
          <w:color w:val="000000"/>
          <w:szCs w:val="24"/>
        </w:rPr>
        <w:footnoteReference w:id="169"/>
      </w:r>
      <w:r w:rsidRPr="00423400" w:rsidR="007D3A0C">
        <w:rPr>
          <w:rFonts w:cs="Times New Roman"/>
          <w:color w:val="000000"/>
          <w:szCs w:val="24"/>
        </w:rPr>
        <w:t xml:space="preserve"> The current increase in beta estimates was solely triggered by the COVID-19 pandemic and is not representative of investors’ expectations.</w:t>
      </w:r>
      <w:r>
        <w:rPr>
          <w:rStyle w:val="FootnoteReference"/>
          <w:rFonts w:cs="Times New Roman"/>
          <w:color w:val="000000"/>
          <w:szCs w:val="24"/>
        </w:rPr>
        <w:footnoteReference w:id="170"/>
      </w:r>
      <w:r w:rsidRPr="00423400" w:rsidR="007D3A0C">
        <w:rPr>
          <w:rFonts w:cs="Times New Roman"/>
          <w:color w:val="000000"/>
          <w:szCs w:val="24"/>
        </w:rPr>
        <w:t xml:space="preserve"> Therefore, it is important to consider other beta estimates as Mr. Walters has done using the S&amp;P Global Market Intelligence’s Beta Generator model. Using the Beta Generator model produces a beta estimate of 0.80 for Staff’s proxy group and is more appropriate.</w:t>
      </w:r>
      <w:r>
        <w:rPr>
          <w:rStyle w:val="FootnoteReference"/>
          <w:rFonts w:cs="Times New Roman"/>
          <w:color w:val="000000"/>
          <w:szCs w:val="24"/>
        </w:rPr>
        <w:footnoteReference w:id="171"/>
      </w:r>
    </w:p>
    <w:p w:rsidR="007B44E6" w:rsidRPr="00423400" w:rsidP="00CF2B33" w14:paraId="50152F5F" w14:textId="77777777">
      <w:pPr>
        <w:tabs>
          <w:tab w:val="left" w:pos="-1440"/>
        </w:tabs>
        <w:spacing w:after="0" w:line="480" w:lineRule="auto"/>
        <w:rPr>
          <w:rFonts w:cs="Times New Roman"/>
          <w:color w:val="000000"/>
          <w:szCs w:val="24"/>
        </w:rPr>
      </w:pPr>
      <w:r w:rsidRPr="00423400">
        <w:rPr>
          <w:rFonts w:cs="Times New Roman"/>
          <w:color w:val="000000"/>
          <w:szCs w:val="24"/>
        </w:rPr>
        <w:tab/>
        <w:t>Mr. Walters also found DP&amp;L witness McKenzie’s CAPM analysis to be unreasonable.</w:t>
      </w:r>
      <w:r>
        <w:rPr>
          <w:rStyle w:val="FootnoteReference"/>
          <w:rFonts w:cs="Times New Roman"/>
          <w:color w:val="000000"/>
          <w:szCs w:val="24"/>
        </w:rPr>
        <w:footnoteReference w:id="172"/>
      </w:r>
      <w:r w:rsidRPr="00423400">
        <w:rPr>
          <w:rFonts w:cs="Times New Roman"/>
          <w:color w:val="000000"/>
          <w:szCs w:val="24"/>
        </w:rPr>
        <w:t xml:space="preserve"> There are several concerns with Mr. McKenzie’s CAPM analysis. Mr. McKenzie’s CAPM analysis is overstated for at least three reasons: (1) his expected return on the market of 11.4% is based on an unsustainable growth rate of 8.9%, causing a bias and does not include any consideration of the long-run average return on the market; (2) his sole reliance on </w:t>
      </w:r>
      <w:r w:rsidRPr="00423400">
        <w:rPr>
          <w:rFonts w:cs="Times New Roman"/>
          <w:i/>
          <w:iCs/>
          <w:color w:val="000000"/>
          <w:szCs w:val="24"/>
        </w:rPr>
        <w:t>Value Line</w:t>
      </w:r>
      <w:r w:rsidRPr="00423400">
        <w:rPr>
          <w:rFonts w:cs="Times New Roman"/>
          <w:color w:val="000000"/>
          <w:szCs w:val="24"/>
        </w:rPr>
        <w:t xml:space="preserve"> betas is at odds with his use of the S&amp;P 500 as the benchmark for the overall market; and (3) his size adjustment is not reasonable.</w:t>
      </w:r>
      <w:r>
        <w:rPr>
          <w:rStyle w:val="FootnoteReference"/>
          <w:rFonts w:cs="Times New Roman"/>
          <w:color w:val="000000"/>
          <w:szCs w:val="24"/>
        </w:rPr>
        <w:footnoteReference w:id="173"/>
      </w:r>
      <w:r w:rsidRPr="00423400">
        <w:rPr>
          <w:rFonts w:cs="Times New Roman"/>
          <w:color w:val="000000"/>
          <w:szCs w:val="24"/>
        </w:rPr>
        <w:t xml:space="preserve"> Mr. McKenzie also relied on a projected risk-free rate of 2.2% for the period 2021-2025.</w:t>
      </w:r>
      <w:r>
        <w:rPr>
          <w:rStyle w:val="FootnoteReference"/>
          <w:rFonts w:cs="Times New Roman"/>
          <w:color w:val="000000"/>
          <w:szCs w:val="24"/>
        </w:rPr>
        <w:footnoteReference w:id="174"/>
      </w:r>
      <w:r w:rsidRPr="00423400">
        <w:rPr>
          <w:rFonts w:cs="Times New Roman"/>
          <w:color w:val="000000"/>
          <w:szCs w:val="24"/>
        </w:rPr>
        <w:t xml:space="preserve"> </w:t>
      </w:r>
      <w:r w:rsidRPr="00423400" w:rsidR="00640AFE">
        <w:rPr>
          <w:rFonts w:cs="Times New Roman"/>
          <w:color w:val="000000"/>
          <w:szCs w:val="24"/>
        </w:rPr>
        <w:t>Mr. Walters testified that w</w:t>
      </w:r>
      <w:r w:rsidRPr="00423400">
        <w:rPr>
          <w:rFonts w:cs="Times New Roman"/>
          <w:color w:val="000000"/>
          <w:szCs w:val="24"/>
        </w:rPr>
        <w:t xml:space="preserve">hile </w:t>
      </w:r>
      <w:r w:rsidRPr="00423400" w:rsidR="00640AFE">
        <w:rPr>
          <w:rFonts w:cs="Times New Roman"/>
          <w:color w:val="000000"/>
          <w:szCs w:val="24"/>
        </w:rPr>
        <w:t>he</w:t>
      </w:r>
      <w:r w:rsidRPr="00423400">
        <w:rPr>
          <w:rFonts w:cs="Times New Roman"/>
          <w:color w:val="000000"/>
          <w:szCs w:val="24"/>
        </w:rPr>
        <w:t xml:space="preserve"> disagree</w:t>
      </w:r>
      <w:r w:rsidRPr="00423400" w:rsidR="00640AFE">
        <w:rPr>
          <w:rFonts w:cs="Times New Roman"/>
          <w:color w:val="000000"/>
          <w:szCs w:val="24"/>
        </w:rPr>
        <w:t>s</w:t>
      </w:r>
      <w:r w:rsidRPr="00423400">
        <w:rPr>
          <w:rFonts w:cs="Times New Roman"/>
          <w:color w:val="000000"/>
          <w:szCs w:val="24"/>
        </w:rPr>
        <w:t xml:space="preserve"> with the use of long-term projected yields five years into the future, to limit the issues in this regulatory proceeding </w:t>
      </w:r>
      <w:r w:rsidRPr="00423400" w:rsidR="00640AFE">
        <w:rPr>
          <w:rFonts w:cs="Times New Roman"/>
          <w:color w:val="000000"/>
          <w:szCs w:val="24"/>
        </w:rPr>
        <w:t>he does</w:t>
      </w:r>
      <w:r w:rsidRPr="00423400">
        <w:rPr>
          <w:rFonts w:cs="Times New Roman"/>
          <w:color w:val="000000"/>
          <w:szCs w:val="24"/>
        </w:rPr>
        <w:t xml:space="preserve"> not take issue with Mr. McKenzie’s projected risk-free rate of 2.2%.</w:t>
      </w:r>
      <w:r>
        <w:rPr>
          <w:rStyle w:val="FootnoteReference"/>
          <w:rFonts w:cs="Times New Roman"/>
          <w:color w:val="000000"/>
          <w:szCs w:val="24"/>
        </w:rPr>
        <w:footnoteReference w:id="175"/>
      </w:r>
    </w:p>
    <w:p w:rsidR="00CF2B33" w:rsidRPr="00423400" w:rsidP="00C03926" w14:paraId="57C72D19" w14:textId="77777777">
      <w:pPr>
        <w:spacing w:after="0" w:line="480" w:lineRule="auto"/>
        <w:rPr>
          <w:rFonts w:cs="Times New Roman"/>
          <w:color w:val="000000"/>
          <w:szCs w:val="24"/>
        </w:rPr>
      </w:pPr>
      <w:r w:rsidRPr="00423400">
        <w:rPr>
          <w:rFonts w:cs="Times New Roman"/>
          <w:color w:val="000000"/>
          <w:szCs w:val="24"/>
        </w:rPr>
        <w:tab/>
        <w:t>An additional issue that Mr. Walters has with Mr. McKenzie’s expected return on the market is that Mr. McKenzie’s expected return on the market of 11.4% is based on a dividend yield of 2.5% and an expected growth rate of 8.9%.</w:t>
      </w:r>
      <w:r>
        <w:rPr>
          <w:rStyle w:val="FootnoteReference"/>
          <w:rFonts w:cs="Times New Roman"/>
          <w:color w:val="000000"/>
          <w:szCs w:val="24"/>
        </w:rPr>
        <w:footnoteReference w:id="176"/>
      </w:r>
      <w:r w:rsidRPr="00423400">
        <w:rPr>
          <w:rFonts w:cs="Times New Roman"/>
          <w:color w:val="000000"/>
          <w:szCs w:val="24"/>
        </w:rPr>
        <w:t xml:space="preserve"> The expected growth rate of 8.9% incorporated in his expected market return is more than twice the expected growth rate of the economy of 4.35%.</w:t>
      </w:r>
      <w:r>
        <w:rPr>
          <w:rStyle w:val="FootnoteReference"/>
          <w:rFonts w:cs="Times New Roman"/>
          <w:color w:val="000000"/>
          <w:szCs w:val="24"/>
        </w:rPr>
        <w:footnoteReference w:id="177"/>
      </w:r>
      <w:r w:rsidRPr="00423400">
        <w:rPr>
          <w:rFonts w:cs="Times New Roman"/>
          <w:color w:val="000000"/>
          <w:szCs w:val="24"/>
        </w:rPr>
        <w:t xml:space="preserve"> </w:t>
      </w:r>
    </w:p>
    <w:p w:rsidR="00CF2B33" w:rsidRPr="00423400" w:rsidP="00AD32AF" w14:paraId="0F19ECE7" w14:textId="77777777">
      <w:pPr>
        <w:spacing w:after="0" w:line="480" w:lineRule="auto"/>
        <w:rPr>
          <w:rFonts w:cs="Times New Roman"/>
          <w:i/>
          <w:color w:val="000000"/>
          <w:szCs w:val="24"/>
        </w:rPr>
      </w:pPr>
      <w:r w:rsidRPr="00423400">
        <w:rPr>
          <w:rFonts w:cs="Times New Roman"/>
          <w:color w:val="000000"/>
          <w:szCs w:val="24"/>
        </w:rPr>
        <w:tab/>
      </w:r>
      <w:r w:rsidRPr="00423400" w:rsidR="003B206F">
        <w:rPr>
          <w:rFonts w:cs="Times New Roman"/>
          <w:color w:val="000000"/>
          <w:szCs w:val="24"/>
        </w:rPr>
        <w:t xml:space="preserve">Mr. Walters testified that </w:t>
      </w:r>
      <w:r w:rsidRPr="00423400">
        <w:rPr>
          <w:rFonts w:cs="Times New Roman"/>
          <w:color w:val="000000"/>
          <w:szCs w:val="24"/>
        </w:rPr>
        <w:t xml:space="preserve">Mr. McKenzie obtained growth rates for the dividend paying S&amp;P 500 companies from three sources including Zacks, </w:t>
      </w:r>
      <w:r w:rsidRPr="00423400">
        <w:rPr>
          <w:rFonts w:cs="Times New Roman"/>
          <w:i/>
          <w:iCs/>
          <w:color w:val="000000"/>
          <w:szCs w:val="24"/>
        </w:rPr>
        <w:t>Value Line</w:t>
      </w:r>
      <w:r w:rsidRPr="00423400">
        <w:rPr>
          <w:rFonts w:cs="Times New Roman"/>
          <w:color w:val="000000"/>
          <w:szCs w:val="24"/>
        </w:rPr>
        <w:t>, and IBES.</w:t>
      </w:r>
      <w:r>
        <w:rPr>
          <w:rStyle w:val="FootnoteReference"/>
          <w:rFonts w:cs="Times New Roman"/>
          <w:color w:val="000000"/>
          <w:szCs w:val="24"/>
        </w:rPr>
        <w:footnoteReference w:id="178"/>
      </w:r>
      <w:r w:rsidRPr="00423400">
        <w:rPr>
          <w:rFonts w:cs="Times New Roman"/>
          <w:color w:val="000000"/>
          <w:szCs w:val="24"/>
        </w:rPr>
        <w:t xml:space="preserve"> He uses these growth rates to perform three DCF analyses on the market.</w:t>
      </w:r>
      <w:r>
        <w:rPr>
          <w:rStyle w:val="FootnoteReference"/>
          <w:rFonts w:cs="Times New Roman"/>
          <w:color w:val="000000"/>
          <w:szCs w:val="24"/>
        </w:rPr>
        <w:footnoteReference w:id="179"/>
      </w:r>
      <w:r w:rsidRPr="00423400">
        <w:rPr>
          <w:rFonts w:cs="Times New Roman"/>
          <w:color w:val="000000"/>
          <w:szCs w:val="24"/>
        </w:rPr>
        <w:t xml:space="preserve"> The growth rates Mr. McKenzie relies on include numbers that do not make logical sense from an economic perspective.</w:t>
      </w:r>
      <w:r>
        <w:rPr>
          <w:rStyle w:val="FootnoteReference"/>
          <w:rFonts w:cs="Times New Roman"/>
          <w:color w:val="000000"/>
          <w:szCs w:val="24"/>
        </w:rPr>
        <w:footnoteReference w:id="180"/>
      </w:r>
      <w:r w:rsidRPr="00423400">
        <w:rPr>
          <w:rFonts w:cs="Times New Roman"/>
          <w:color w:val="000000"/>
          <w:szCs w:val="24"/>
        </w:rPr>
        <w:t xml:space="preserve"> For example, Mr. McKenzie’s expected growth of the market of 8.8% included companies with expected growth rates more than 4.0x higher than that of the overall economy.</w:t>
      </w:r>
      <w:r>
        <w:rPr>
          <w:rStyle w:val="FootnoteReference"/>
          <w:rFonts w:cs="Times New Roman"/>
          <w:color w:val="000000"/>
          <w:szCs w:val="24"/>
        </w:rPr>
        <w:footnoteReference w:id="181"/>
      </w:r>
      <w:r w:rsidRPr="00423400">
        <w:rPr>
          <w:rFonts w:cs="Times New Roman"/>
          <w:color w:val="000000"/>
          <w:szCs w:val="24"/>
        </w:rPr>
        <w:t xml:space="preserve"> </w:t>
      </w:r>
      <w:r w:rsidRPr="00423400" w:rsidR="00713A39">
        <w:rPr>
          <w:rFonts w:cs="Times New Roman"/>
          <w:color w:val="000000"/>
          <w:szCs w:val="24"/>
        </w:rPr>
        <w:t xml:space="preserve">Mr. Walters explained that </w:t>
      </w:r>
      <w:r w:rsidRPr="00423400">
        <w:rPr>
          <w:rFonts w:cs="Times New Roman"/>
          <w:color w:val="000000"/>
          <w:szCs w:val="24"/>
        </w:rPr>
        <w:t>growth rates of this magnitude cannot be reasonably expected to continue into perpetuity, which is the time period for which the DCF is based on.</w:t>
      </w:r>
      <w:r>
        <w:rPr>
          <w:rStyle w:val="FootnoteReference"/>
          <w:rFonts w:cs="Times New Roman"/>
          <w:color w:val="000000"/>
          <w:szCs w:val="24"/>
        </w:rPr>
        <w:footnoteReference w:id="182"/>
      </w:r>
      <w:r w:rsidRPr="00423400">
        <w:rPr>
          <w:rFonts w:cs="Times New Roman"/>
          <w:color w:val="000000"/>
          <w:szCs w:val="24"/>
        </w:rPr>
        <w:t xml:space="preserve"> Because of the abnormally high growth rates assumed in his DCF for the return on the market, Mr. McKenzie should have implemented alternative measures of the expected market return and market risk premium.</w:t>
      </w:r>
      <w:r>
        <w:rPr>
          <w:rStyle w:val="FootnoteReference"/>
          <w:rFonts w:cs="Times New Roman"/>
          <w:color w:val="000000"/>
          <w:szCs w:val="24"/>
        </w:rPr>
        <w:footnoteReference w:id="183"/>
      </w:r>
      <w:r w:rsidRPr="00423400">
        <w:rPr>
          <w:rFonts w:cs="Times New Roman"/>
          <w:color w:val="000000"/>
          <w:szCs w:val="24"/>
        </w:rPr>
        <w:t xml:space="preserve"> As such, Mr. McKenzie should have incorporated other measures of the expected return on the market.</w:t>
      </w:r>
      <w:r>
        <w:rPr>
          <w:rStyle w:val="FootnoteReference"/>
          <w:rFonts w:cs="Times New Roman"/>
          <w:color w:val="000000"/>
          <w:szCs w:val="24"/>
        </w:rPr>
        <w:footnoteReference w:id="184"/>
      </w:r>
      <w:r w:rsidRPr="00423400">
        <w:rPr>
          <w:rFonts w:cs="Times New Roman"/>
          <w:color w:val="000000"/>
          <w:szCs w:val="24"/>
        </w:rPr>
        <w:t xml:space="preserve"> </w:t>
      </w:r>
      <w:r w:rsidRPr="00423400" w:rsidR="00867791">
        <w:rPr>
          <w:rFonts w:cs="Times New Roman"/>
          <w:color w:val="000000"/>
          <w:szCs w:val="24"/>
        </w:rPr>
        <w:t xml:space="preserve">Mr. </w:t>
      </w:r>
      <w:r w:rsidRPr="00423400" w:rsidR="0099136D">
        <w:rPr>
          <w:rFonts w:cs="Times New Roman"/>
          <w:color w:val="000000"/>
          <w:szCs w:val="24"/>
        </w:rPr>
        <w:t>W</w:t>
      </w:r>
      <w:r w:rsidRPr="00423400" w:rsidR="00867791">
        <w:rPr>
          <w:rFonts w:cs="Times New Roman"/>
          <w:color w:val="000000"/>
          <w:szCs w:val="24"/>
        </w:rPr>
        <w:t xml:space="preserve">alters refers to </w:t>
      </w:r>
      <w:r w:rsidRPr="00423400">
        <w:rPr>
          <w:rFonts w:cs="Times New Roman"/>
          <w:color w:val="000000"/>
          <w:szCs w:val="24"/>
        </w:rPr>
        <w:t>Dr. Morin</w:t>
      </w:r>
      <w:r w:rsidRPr="00423400" w:rsidR="0099136D">
        <w:rPr>
          <w:rFonts w:cs="Times New Roman"/>
          <w:color w:val="000000"/>
          <w:szCs w:val="24"/>
        </w:rPr>
        <w:t>’s</w:t>
      </w:r>
      <w:r w:rsidRPr="00423400">
        <w:rPr>
          <w:rFonts w:cs="Times New Roman"/>
          <w:color w:val="000000"/>
          <w:szCs w:val="24"/>
        </w:rPr>
        <w:t xml:space="preserve"> notes in his book, </w:t>
      </w:r>
      <w:r w:rsidRPr="00423400">
        <w:rPr>
          <w:rFonts w:cs="Times New Roman"/>
          <w:i/>
          <w:color w:val="000000"/>
          <w:szCs w:val="24"/>
        </w:rPr>
        <w:t xml:space="preserve">New Regulatory Finance, </w:t>
      </w:r>
    </w:p>
    <w:p w:rsidR="00CF2B33" w:rsidRPr="00423400" w:rsidP="00763222" w14:paraId="70A22512" w14:textId="77777777">
      <w:pPr>
        <w:spacing w:after="0" w:line="240" w:lineRule="auto"/>
        <w:ind w:left="1440" w:right="1440"/>
        <w:rPr>
          <w:rFonts w:cs="Times New Roman"/>
          <w:szCs w:val="24"/>
        </w:rPr>
      </w:pPr>
      <w:r w:rsidRPr="00423400">
        <w:rPr>
          <w:rFonts w:cs="Times New Roman"/>
          <w:szCs w:val="24"/>
        </w:rPr>
        <w:t>Although realized returns for a particular time period can deviate substantially from what was expected, it is reasonable to believe that long-run average realized returns provide an unbiased estimate of what were expected returns. This is the fundamental rationale behind the historical risk premium approach. Analysts and regulators often assume that the average historical risk premium over long periods is the best proxy for the future risk premium.</w:t>
      </w:r>
      <w:r>
        <w:rPr>
          <w:rStyle w:val="FootnoteReference"/>
          <w:rFonts w:cs="Times New Roman"/>
          <w:szCs w:val="24"/>
        </w:rPr>
        <w:footnoteReference w:id="185"/>
      </w:r>
    </w:p>
    <w:p w:rsidR="00CF3902" w:rsidRPr="00423400" w:rsidP="00AD32AF" w14:paraId="17750480" w14:textId="77777777">
      <w:pPr>
        <w:spacing w:after="0" w:line="240" w:lineRule="auto"/>
        <w:ind w:left="1440" w:right="720"/>
        <w:rPr>
          <w:rFonts w:cs="Times New Roman"/>
          <w:szCs w:val="24"/>
        </w:rPr>
      </w:pPr>
    </w:p>
    <w:p w:rsidR="009F59D9" w:rsidRPr="00423400" w:rsidP="009F59D9" w14:paraId="7F3A57C5" w14:textId="77777777">
      <w:pPr>
        <w:tabs>
          <w:tab w:val="left" w:pos="-1440"/>
        </w:tabs>
        <w:spacing w:after="0" w:line="480" w:lineRule="auto"/>
        <w:rPr>
          <w:rFonts w:cs="Times New Roman"/>
          <w:szCs w:val="24"/>
        </w:rPr>
      </w:pPr>
      <w:r w:rsidRPr="00423400">
        <w:rPr>
          <w:rFonts w:cs="Times New Roman"/>
          <w:szCs w:val="24"/>
        </w:rPr>
        <w:tab/>
        <w:t>Dr. Morin</w:t>
      </w:r>
      <w:r w:rsidRPr="00423400" w:rsidR="00CF3902">
        <w:rPr>
          <w:rFonts w:cs="Times New Roman"/>
          <w:szCs w:val="24"/>
        </w:rPr>
        <w:t>’s book</w:t>
      </w:r>
      <w:r w:rsidRPr="00423400">
        <w:rPr>
          <w:rFonts w:cs="Times New Roman"/>
          <w:szCs w:val="24"/>
        </w:rPr>
        <w:t xml:space="preserve"> concludes that “[t]here are two broad approaches to estimating the risk premium: retrospective and prospective. Each has its own strengths and weaknesses, hence the need to utilize both methods.”</w:t>
      </w:r>
      <w:r>
        <w:rPr>
          <w:rStyle w:val="FootnoteReference"/>
          <w:rFonts w:cs="Times New Roman"/>
          <w:szCs w:val="24"/>
        </w:rPr>
        <w:footnoteReference w:id="186"/>
      </w:r>
      <w:r w:rsidRPr="00423400">
        <w:rPr>
          <w:rFonts w:cs="Times New Roman"/>
          <w:szCs w:val="24"/>
        </w:rPr>
        <w:t xml:space="preserve"> As such, </w:t>
      </w:r>
      <w:r w:rsidRPr="00423400" w:rsidR="0099136D">
        <w:rPr>
          <w:rFonts w:cs="Times New Roman"/>
          <w:szCs w:val="24"/>
        </w:rPr>
        <w:t>Mr. Walters concludes</w:t>
      </w:r>
      <w:r w:rsidRPr="00423400" w:rsidR="0009497D">
        <w:rPr>
          <w:rFonts w:cs="Times New Roman"/>
          <w:szCs w:val="24"/>
        </w:rPr>
        <w:t xml:space="preserve"> that</w:t>
      </w:r>
      <w:r w:rsidRPr="00423400" w:rsidR="0099136D">
        <w:rPr>
          <w:rFonts w:cs="Times New Roman"/>
          <w:szCs w:val="24"/>
        </w:rPr>
        <w:t xml:space="preserve"> </w:t>
      </w:r>
      <w:r w:rsidRPr="00423400">
        <w:rPr>
          <w:rFonts w:cs="Times New Roman"/>
          <w:szCs w:val="24"/>
        </w:rPr>
        <w:t>Mr. McKenzie should have considered the results of multiple estimates of the expected market return from multiple methods.</w:t>
      </w:r>
      <w:r>
        <w:rPr>
          <w:rStyle w:val="FootnoteReference"/>
          <w:rFonts w:cs="Times New Roman"/>
          <w:szCs w:val="24"/>
        </w:rPr>
        <w:footnoteReference w:id="187"/>
      </w:r>
      <w:r w:rsidRPr="00423400">
        <w:rPr>
          <w:rFonts w:cs="Times New Roman"/>
          <w:szCs w:val="24"/>
        </w:rPr>
        <w:t xml:space="preserve"> </w:t>
      </w:r>
    </w:p>
    <w:p w:rsidR="00D50714" w:rsidRPr="00423400" w:rsidP="0009497D" w14:paraId="7C462663" w14:textId="77777777">
      <w:pPr>
        <w:tabs>
          <w:tab w:val="left" w:pos="-1440"/>
        </w:tabs>
        <w:spacing w:after="0" w:line="480" w:lineRule="auto"/>
        <w:rPr>
          <w:rFonts w:cs="Times New Roman"/>
          <w:color w:val="000000"/>
          <w:szCs w:val="24"/>
        </w:rPr>
      </w:pPr>
      <w:r w:rsidRPr="00423400">
        <w:rPr>
          <w:rFonts w:cs="Times New Roman"/>
          <w:szCs w:val="24"/>
        </w:rPr>
        <w:tab/>
      </w:r>
      <w:r w:rsidRPr="00423400" w:rsidR="00ED4626">
        <w:rPr>
          <w:rFonts w:cs="Times New Roman"/>
          <w:szCs w:val="24"/>
        </w:rPr>
        <w:t>The PUCO should also reject the PUCO Staff’s reliance on the average of 10</w:t>
      </w:r>
      <w:r w:rsidRPr="00423400" w:rsidR="00FD4B0A">
        <w:rPr>
          <w:rFonts w:cs="Times New Roman"/>
          <w:szCs w:val="24"/>
        </w:rPr>
        <w:t>-</w:t>
      </w:r>
      <w:r w:rsidRPr="00423400" w:rsidR="00ED4626">
        <w:rPr>
          <w:rFonts w:cs="Times New Roman"/>
          <w:szCs w:val="24"/>
        </w:rPr>
        <w:t xml:space="preserve"> and 30</w:t>
      </w:r>
      <w:r w:rsidRPr="00423400" w:rsidR="00FD4B0A">
        <w:rPr>
          <w:rFonts w:cs="Times New Roman"/>
          <w:szCs w:val="24"/>
        </w:rPr>
        <w:t>-</w:t>
      </w:r>
      <w:r w:rsidRPr="00423400" w:rsidR="00ED4626">
        <w:rPr>
          <w:rFonts w:cs="Times New Roman"/>
          <w:szCs w:val="24"/>
        </w:rPr>
        <w:t>year treasury yields over a 15-year historical period ending January 2021 as a proxy for the risk-free rate in its CAPM. Mr. Walters explained in his testimony that this method of estimating the risk-free rate is arbitrary and not shown to be based on investor expectations.</w:t>
      </w:r>
      <w:r>
        <w:rPr>
          <w:rStyle w:val="FootnoteReference"/>
          <w:rFonts w:cs="Times New Roman"/>
          <w:szCs w:val="24"/>
        </w:rPr>
        <w:footnoteReference w:id="188"/>
      </w:r>
      <w:r w:rsidRPr="00423400">
        <w:rPr>
          <w:rFonts w:cs="Times New Roman"/>
          <w:szCs w:val="24"/>
        </w:rPr>
        <w:t xml:space="preserve"> </w:t>
      </w:r>
      <w:r w:rsidRPr="00423400">
        <w:rPr>
          <w:rFonts w:cs="Times New Roman"/>
          <w:color w:val="000000"/>
          <w:szCs w:val="24"/>
        </w:rPr>
        <w:t>In order to reflect investors’ expectation, it is more appropriate to rely on the current or the near-term projected risk-free rate consistent with the period rates determined in this proceeding will be in effect.</w:t>
      </w:r>
      <w:r>
        <w:rPr>
          <w:rStyle w:val="FootnoteReference"/>
          <w:rFonts w:cs="Times New Roman"/>
          <w:color w:val="000000"/>
          <w:szCs w:val="24"/>
        </w:rPr>
        <w:footnoteReference w:id="189"/>
      </w:r>
      <w:r w:rsidRPr="00423400">
        <w:rPr>
          <w:rFonts w:cs="Times New Roman"/>
          <w:color w:val="000000"/>
          <w:szCs w:val="24"/>
        </w:rPr>
        <w:t xml:space="preserve"> Therefore, applying the near-term risk-free rate of 2.7%</w:t>
      </w:r>
      <w:r>
        <w:rPr>
          <w:rStyle w:val="FootnoteReference"/>
          <w:rFonts w:cs="Times New Roman"/>
          <w:color w:val="000000"/>
          <w:szCs w:val="24"/>
        </w:rPr>
        <w:footnoteReference w:id="190"/>
      </w:r>
      <w:r w:rsidRPr="00423400">
        <w:rPr>
          <w:rFonts w:cs="Times New Roman"/>
          <w:color w:val="000000"/>
          <w:szCs w:val="24"/>
        </w:rPr>
        <w:t xml:space="preserve"> will more accurately capture investors’ expectations.</w:t>
      </w:r>
      <w:r>
        <w:rPr>
          <w:rStyle w:val="FootnoteReference"/>
          <w:rFonts w:cs="Times New Roman"/>
          <w:color w:val="000000"/>
          <w:szCs w:val="24"/>
        </w:rPr>
        <w:footnoteReference w:id="191"/>
      </w:r>
      <w:r w:rsidRPr="00423400" w:rsidR="00C04252">
        <w:rPr>
          <w:rFonts w:cs="Times New Roman"/>
          <w:color w:val="000000"/>
          <w:szCs w:val="24"/>
        </w:rPr>
        <w:t xml:space="preserve"> </w:t>
      </w:r>
      <w:r w:rsidRPr="00423400" w:rsidR="009C7255">
        <w:rPr>
          <w:rFonts w:cs="Times New Roman"/>
          <w:color w:val="000000"/>
          <w:szCs w:val="24"/>
        </w:rPr>
        <w:t xml:space="preserve">Mr. Walters testified that the PUCO </w:t>
      </w:r>
      <w:r w:rsidRPr="00423400" w:rsidR="00C04252">
        <w:rPr>
          <w:rFonts w:cs="Times New Roman"/>
          <w:color w:val="000000"/>
          <w:szCs w:val="24"/>
        </w:rPr>
        <w:t>Staff’s CAPM analysis can be adjusted to pro</w:t>
      </w:r>
      <w:r w:rsidRPr="00423400" w:rsidR="009C7255">
        <w:rPr>
          <w:rFonts w:cs="Times New Roman"/>
          <w:color w:val="000000"/>
          <w:szCs w:val="24"/>
        </w:rPr>
        <w:t>d</w:t>
      </w:r>
      <w:r w:rsidRPr="00423400" w:rsidR="00C04252">
        <w:rPr>
          <w:rFonts w:cs="Times New Roman"/>
          <w:color w:val="000000"/>
          <w:szCs w:val="24"/>
        </w:rPr>
        <w:t>uce an alternative CAPM for DP</w:t>
      </w:r>
      <w:r w:rsidRPr="00423400" w:rsidR="009C7255">
        <w:rPr>
          <w:rFonts w:cs="Times New Roman"/>
          <w:color w:val="000000"/>
          <w:szCs w:val="24"/>
        </w:rPr>
        <w:t>&amp;L</w:t>
      </w:r>
      <w:r w:rsidRPr="00423400" w:rsidR="00886F9D">
        <w:rPr>
          <w:rFonts w:cs="Times New Roman"/>
          <w:color w:val="000000"/>
          <w:szCs w:val="24"/>
        </w:rPr>
        <w:t xml:space="preserve"> by applying the average beta of 0.80 produced by the Beta Generator Model and the near-term projected risk-free rate of 2.7%</w:t>
      </w:r>
      <w:r w:rsidRPr="00423400" w:rsidR="0072766E">
        <w:rPr>
          <w:rFonts w:cs="Times New Roman"/>
          <w:color w:val="000000"/>
          <w:szCs w:val="24"/>
        </w:rPr>
        <w:t xml:space="preserve"> will produce a CAPM return of 7.95%.</w:t>
      </w:r>
      <w:r>
        <w:rPr>
          <w:rStyle w:val="FootnoteReference"/>
          <w:rFonts w:cs="Times New Roman"/>
          <w:color w:val="000000"/>
          <w:szCs w:val="24"/>
        </w:rPr>
        <w:footnoteReference w:id="192"/>
      </w:r>
    </w:p>
    <w:p w:rsidR="00E67DF5" w:rsidRPr="00423400" w:rsidP="00CF684A" w14:paraId="2A3B8DB1" w14:textId="77777777">
      <w:pPr>
        <w:tabs>
          <w:tab w:val="left" w:pos="-1440"/>
        </w:tabs>
        <w:spacing w:after="0" w:line="480" w:lineRule="auto"/>
        <w:rPr>
          <w:rFonts w:cs="Times New Roman"/>
          <w:szCs w:val="24"/>
        </w:rPr>
      </w:pPr>
      <w:r w:rsidRPr="00423400">
        <w:rPr>
          <w:rFonts w:cs="Times New Roman"/>
          <w:color w:val="000000"/>
          <w:szCs w:val="24"/>
        </w:rPr>
        <w:tab/>
        <w:t xml:space="preserve">Mr. Walters explained in his testimony why DP&amp;L witness McKenzie’s sole reliance on </w:t>
      </w:r>
      <w:r w:rsidRPr="00423400" w:rsidR="009831BF">
        <w:rPr>
          <w:rFonts w:cs="Times New Roman"/>
          <w:i/>
          <w:iCs/>
          <w:color w:val="000000"/>
          <w:szCs w:val="24"/>
        </w:rPr>
        <w:t>V</w:t>
      </w:r>
      <w:r w:rsidRPr="00423400">
        <w:rPr>
          <w:rFonts w:cs="Times New Roman"/>
          <w:i/>
          <w:iCs/>
          <w:color w:val="000000"/>
          <w:szCs w:val="24"/>
        </w:rPr>
        <w:t xml:space="preserve">alue </w:t>
      </w:r>
      <w:r w:rsidRPr="00423400" w:rsidR="009831BF">
        <w:rPr>
          <w:rFonts w:cs="Times New Roman"/>
          <w:i/>
          <w:iCs/>
          <w:color w:val="000000"/>
          <w:szCs w:val="24"/>
        </w:rPr>
        <w:t>L</w:t>
      </w:r>
      <w:r w:rsidRPr="00423400">
        <w:rPr>
          <w:rFonts w:cs="Times New Roman"/>
          <w:i/>
          <w:iCs/>
          <w:color w:val="000000"/>
          <w:szCs w:val="24"/>
        </w:rPr>
        <w:t>ine</w:t>
      </w:r>
      <w:r w:rsidRPr="00423400">
        <w:rPr>
          <w:rFonts w:cs="Times New Roman"/>
          <w:color w:val="000000"/>
          <w:szCs w:val="24"/>
        </w:rPr>
        <w:t xml:space="preserve"> betas in his CAPM analysis is inappropriate.</w:t>
      </w:r>
      <w:r>
        <w:rPr>
          <w:rStyle w:val="FootnoteReference"/>
          <w:rFonts w:cs="Times New Roman"/>
          <w:color w:val="000000"/>
          <w:szCs w:val="24"/>
        </w:rPr>
        <w:footnoteReference w:id="193"/>
      </w:r>
      <w:r w:rsidRPr="00423400">
        <w:rPr>
          <w:rFonts w:cs="Times New Roman"/>
          <w:color w:val="000000"/>
          <w:szCs w:val="24"/>
        </w:rPr>
        <w:t xml:space="preserve"> </w:t>
      </w:r>
      <w:r w:rsidRPr="00423400" w:rsidR="00B07638">
        <w:rPr>
          <w:rFonts w:cs="Times New Roman"/>
          <w:color w:val="000000"/>
          <w:szCs w:val="24"/>
        </w:rPr>
        <w:t>OCC witness Mr. Walter’s explained that his</w:t>
      </w:r>
      <w:r w:rsidRPr="00423400">
        <w:rPr>
          <w:rFonts w:cs="Times New Roman"/>
          <w:color w:val="000000"/>
          <w:szCs w:val="24"/>
        </w:rPr>
        <w:t xml:space="preserve"> CAPM analysis relies on beta estimates from </w:t>
      </w:r>
      <w:r w:rsidRPr="00423400">
        <w:rPr>
          <w:rFonts w:cs="Times New Roman"/>
          <w:i/>
          <w:iCs/>
          <w:color w:val="000000"/>
          <w:szCs w:val="24"/>
        </w:rPr>
        <w:t>Value Line</w:t>
      </w:r>
      <w:r w:rsidRPr="00423400">
        <w:rPr>
          <w:rFonts w:cs="Times New Roman"/>
          <w:color w:val="000000"/>
          <w:szCs w:val="24"/>
        </w:rPr>
        <w:t xml:space="preserve"> and S&amp;P Global Market Intelligence’s Beta Generator model.</w:t>
      </w:r>
      <w:r>
        <w:rPr>
          <w:rStyle w:val="FootnoteReference"/>
          <w:rFonts w:cs="Times New Roman"/>
          <w:color w:val="000000"/>
          <w:szCs w:val="24"/>
        </w:rPr>
        <w:footnoteReference w:id="194"/>
      </w:r>
      <w:r w:rsidRPr="00423400">
        <w:rPr>
          <w:rFonts w:cs="Times New Roman"/>
          <w:color w:val="000000"/>
          <w:szCs w:val="24"/>
        </w:rPr>
        <w:t xml:space="preserve"> </w:t>
      </w:r>
      <w:r w:rsidRPr="00423400">
        <w:rPr>
          <w:rFonts w:cs="Times New Roman"/>
          <w:szCs w:val="24"/>
        </w:rPr>
        <w:t xml:space="preserve">There are two distinct differences between the MI Beta I relied on and the </w:t>
      </w:r>
      <w:r w:rsidRPr="00423400">
        <w:rPr>
          <w:rFonts w:cs="Times New Roman"/>
          <w:i/>
          <w:iCs/>
          <w:szCs w:val="24"/>
        </w:rPr>
        <w:t>Value Line</w:t>
      </w:r>
      <w:r w:rsidRPr="00423400">
        <w:rPr>
          <w:rFonts w:cs="Times New Roman"/>
          <w:szCs w:val="24"/>
        </w:rPr>
        <w:t xml:space="preserve"> Beta: (1) the benchmark index used as the proxy for the market in the MI Beta estimates is the S&amp;P 500 whereas </w:t>
      </w:r>
      <w:r w:rsidRPr="00423400">
        <w:rPr>
          <w:rFonts w:cs="Times New Roman"/>
          <w:i/>
          <w:iCs/>
          <w:szCs w:val="24"/>
        </w:rPr>
        <w:t>Value Line</w:t>
      </w:r>
      <w:r w:rsidRPr="00423400">
        <w:rPr>
          <w:rFonts w:cs="Times New Roman"/>
          <w:szCs w:val="24"/>
        </w:rPr>
        <w:t xml:space="preserve"> relies on the New York Stock Exchange (“NYSE”); and (2) the MI Betas I used are adjusted using the Vasicek method whereas the </w:t>
      </w:r>
      <w:r w:rsidRPr="00423400">
        <w:rPr>
          <w:rFonts w:cs="Times New Roman"/>
          <w:i/>
          <w:iCs/>
          <w:szCs w:val="24"/>
        </w:rPr>
        <w:t>Value Line</w:t>
      </w:r>
      <w:r w:rsidRPr="00423400">
        <w:rPr>
          <w:rFonts w:cs="Times New Roman"/>
          <w:szCs w:val="24"/>
        </w:rPr>
        <w:t xml:space="preserve"> Betas are adjusted using a modified form of the Blume adjustment.</w:t>
      </w:r>
      <w:r>
        <w:rPr>
          <w:rStyle w:val="FootnoteReference"/>
          <w:rFonts w:cs="Times New Roman"/>
          <w:szCs w:val="24"/>
        </w:rPr>
        <w:footnoteReference w:id="195"/>
      </w:r>
      <w:r w:rsidRPr="00423400">
        <w:rPr>
          <w:rFonts w:cs="Times New Roman"/>
          <w:szCs w:val="24"/>
        </w:rPr>
        <w:t xml:space="preserve"> </w:t>
      </w:r>
    </w:p>
    <w:p w:rsidR="00E67DF5" w:rsidRPr="00423400" w:rsidP="009F39F6" w14:paraId="49B77E2A" w14:textId="77777777">
      <w:pPr>
        <w:tabs>
          <w:tab w:val="left" w:pos="-1440"/>
        </w:tabs>
        <w:spacing w:after="0" w:line="480" w:lineRule="auto"/>
        <w:rPr>
          <w:rFonts w:cs="Times New Roman"/>
          <w:szCs w:val="24"/>
        </w:rPr>
      </w:pPr>
      <w:r w:rsidRPr="00423400">
        <w:rPr>
          <w:rFonts w:cs="Times New Roman"/>
          <w:szCs w:val="24"/>
        </w:rPr>
        <w:tab/>
        <w:t xml:space="preserve">Because Mr. McKenzie is not presenting a CAPM analysis that relies on the NYSE as a proxy for the market, or the expected market return, which the market risk premium is calculated from, this alone makes the </w:t>
      </w:r>
      <w:r w:rsidRPr="00423400">
        <w:rPr>
          <w:rFonts w:cs="Times New Roman"/>
          <w:i/>
          <w:iCs/>
          <w:szCs w:val="24"/>
        </w:rPr>
        <w:t>Value Line</w:t>
      </w:r>
      <w:r w:rsidRPr="00423400">
        <w:rPr>
          <w:rFonts w:cs="Times New Roman"/>
          <w:szCs w:val="24"/>
        </w:rPr>
        <w:t xml:space="preserve"> Betas less preferable.</w:t>
      </w:r>
      <w:r>
        <w:rPr>
          <w:rStyle w:val="FootnoteReference"/>
          <w:rFonts w:cs="Times New Roman"/>
          <w:szCs w:val="24"/>
        </w:rPr>
        <w:footnoteReference w:id="196"/>
      </w:r>
      <w:r w:rsidRPr="00423400">
        <w:rPr>
          <w:rFonts w:cs="Times New Roman"/>
          <w:szCs w:val="24"/>
        </w:rPr>
        <w:t xml:space="preserve"> Betas employed in a CAPM should be calculated using the benchmark index that is also used as a proxy for the overall market.</w:t>
      </w:r>
      <w:r>
        <w:rPr>
          <w:rStyle w:val="FootnoteReference"/>
          <w:rFonts w:cs="Times New Roman"/>
          <w:szCs w:val="24"/>
        </w:rPr>
        <w:footnoteReference w:id="197"/>
      </w:r>
      <w:r w:rsidRPr="00423400">
        <w:rPr>
          <w:rFonts w:cs="Times New Roman"/>
          <w:szCs w:val="24"/>
        </w:rPr>
        <w:t xml:space="preserve"> </w:t>
      </w:r>
      <w:r w:rsidRPr="00423400" w:rsidR="00CF684A">
        <w:rPr>
          <w:rFonts w:cs="Times New Roman"/>
          <w:szCs w:val="24"/>
        </w:rPr>
        <w:t xml:space="preserve">Mr. Walters explained that both he and </w:t>
      </w:r>
      <w:r w:rsidRPr="00423400">
        <w:rPr>
          <w:rFonts w:cs="Times New Roman"/>
          <w:szCs w:val="24"/>
        </w:rPr>
        <w:t>Mr. McKenzie relied on the S&amp;P 500 as the proxy for the overall market in estimating our market risk premium.</w:t>
      </w:r>
      <w:r>
        <w:rPr>
          <w:rStyle w:val="FootnoteReference"/>
          <w:rFonts w:cs="Times New Roman"/>
          <w:szCs w:val="24"/>
        </w:rPr>
        <w:footnoteReference w:id="198"/>
      </w:r>
      <w:r w:rsidRPr="00423400">
        <w:rPr>
          <w:rFonts w:cs="Times New Roman"/>
          <w:szCs w:val="24"/>
        </w:rPr>
        <w:t xml:space="preserve"> </w:t>
      </w:r>
      <w:r w:rsidRPr="00423400" w:rsidR="009F39F6">
        <w:rPr>
          <w:rFonts w:cs="Times New Roman"/>
          <w:szCs w:val="24"/>
        </w:rPr>
        <w:t>But w</w:t>
      </w:r>
      <w:r w:rsidRPr="00423400">
        <w:rPr>
          <w:rFonts w:cs="Times New Roman"/>
          <w:szCs w:val="24"/>
        </w:rPr>
        <w:t xml:space="preserve">hile </w:t>
      </w:r>
      <w:r w:rsidRPr="00423400">
        <w:rPr>
          <w:rFonts w:cs="Times New Roman"/>
          <w:i/>
          <w:iCs/>
          <w:szCs w:val="24"/>
        </w:rPr>
        <w:t>Value Line</w:t>
      </w:r>
      <w:r w:rsidRPr="00423400">
        <w:rPr>
          <w:rFonts w:cs="Times New Roman"/>
          <w:szCs w:val="24"/>
        </w:rPr>
        <w:t xml:space="preserve"> Betas are commonly used in CAPM analyses presented in regulatory proceedings such as this one, it is theoretically incorrect to do so unless the NYSE is used as the proxy for the overall market used to calculate the market risk premium.</w:t>
      </w:r>
      <w:r>
        <w:rPr>
          <w:rStyle w:val="FootnoteReference"/>
          <w:rFonts w:cs="Times New Roman"/>
          <w:szCs w:val="24"/>
        </w:rPr>
        <w:footnoteReference w:id="199"/>
      </w:r>
    </w:p>
    <w:p w:rsidR="00E67DF5" w:rsidRPr="00423400" w:rsidP="00F031F4" w14:paraId="1F6FFA4F" w14:textId="77777777">
      <w:pPr>
        <w:tabs>
          <w:tab w:val="left" w:pos="-1440"/>
        </w:tabs>
        <w:spacing w:after="0" w:line="480" w:lineRule="auto"/>
        <w:rPr>
          <w:rFonts w:cs="Times New Roman"/>
          <w:color w:val="000000"/>
          <w:szCs w:val="24"/>
        </w:rPr>
      </w:pPr>
      <w:r w:rsidRPr="00423400">
        <w:rPr>
          <w:rFonts w:cs="Times New Roman"/>
          <w:b/>
          <w:color w:val="000000"/>
          <w:szCs w:val="24"/>
        </w:rPr>
        <w:tab/>
      </w:r>
      <w:r w:rsidRPr="00423400">
        <w:rPr>
          <w:rFonts w:cs="Times New Roman"/>
          <w:color w:val="000000"/>
          <w:szCs w:val="24"/>
        </w:rPr>
        <w:t xml:space="preserve">Mr. McKenzie’s size adjustment ROE adder </w:t>
      </w:r>
      <w:r w:rsidRPr="00423400" w:rsidR="009F39F6">
        <w:rPr>
          <w:rFonts w:cs="Times New Roman"/>
          <w:color w:val="000000"/>
          <w:szCs w:val="24"/>
        </w:rPr>
        <w:t xml:space="preserve">is inappropriate because it </w:t>
      </w:r>
      <w:r w:rsidRPr="00423400">
        <w:rPr>
          <w:rFonts w:cs="Times New Roman"/>
          <w:color w:val="000000"/>
          <w:szCs w:val="24"/>
        </w:rPr>
        <w:t>is based on estimates made by Duff &amp; Phelps’s Cost of Capital Navigator.</w:t>
      </w:r>
      <w:r>
        <w:rPr>
          <w:rStyle w:val="FootnoteReference"/>
          <w:rFonts w:cs="Times New Roman"/>
          <w:color w:val="000000"/>
          <w:szCs w:val="24"/>
        </w:rPr>
        <w:footnoteReference w:id="200"/>
      </w:r>
      <w:r w:rsidRPr="00423400">
        <w:rPr>
          <w:rFonts w:cs="Times New Roman"/>
          <w:color w:val="000000"/>
          <w:szCs w:val="24"/>
        </w:rPr>
        <w:t xml:space="preserve"> Duff &amp; Phelps estimates various size adjustments based on differentials in beta estimates tied to the size of a company.</w:t>
      </w:r>
      <w:r>
        <w:rPr>
          <w:rStyle w:val="FootnoteReference"/>
          <w:rFonts w:cs="Times New Roman"/>
          <w:color w:val="000000"/>
          <w:szCs w:val="24"/>
        </w:rPr>
        <w:footnoteReference w:id="201"/>
      </w:r>
      <w:r w:rsidRPr="00423400">
        <w:rPr>
          <w:rFonts w:cs="Times New Roman"/>
          <w:color w:val="000000"/>
          <w:szCs w:val="24"/>
        </w:rPr>
        <w:t xml:space="preserve"> The main concern with these size adjustments as applied by Mr. McKenzie, is that they are not based on risk comparable companies relative to the electric utility industry or </w:t>
      </w:r>
      <w:r w:rsidRPr="00423400">
        <w:rPr>
          <w:rFonts w:cs="Times New Roman"/>
          <w:szCs w:val="24"/>
        </w:rPr>
        <w:t>DP&amp;L</w:t>
      </w:r>
      <w:r w:rsidRPr="00423400">
        <w:rPr>
          <w:rFonts w:cs="Times New Roman"/>
          <w:color w:val="000000"/>
          <w:szCs w:val="24"/>
        </w:rPr>
        <w:t>.</w:t>
      </w:r>
      <w:r>
        <w:rPr>
          <w:rStyle w:val="FootnoteReference"/>
          <w:rFonts w:cs="Times New Roman"/>
          <w:color w:val="000000"/>
          <w:szCs w:val="24"/>
        </w:rPr>
        <w:footnoteReference w:id="202"/>
      </w:r>
      <w:r w:rsidRPr="00423400">
        <w:rPr>
          <w:rFonts w:cs="Times New Roman"/>
          <w:color w:val="000000"/>
          <w:szCs w:val="24"/>
        </w:rPr>
        <w:t xml:space="preserve"> </w:t>
      </w:r>
    </w:p>
    <w:p w:rsidR="00E67DF5" w:rsidP="008E114C" w14:paraId="25E27581" w14:textId="77777777">
      <w:pPr>
        <w:tabs>
          <w:tab w:val="left" w:pos="-1440"/>
        </w:tabs>
        <w:spacing w:line="480" w:lineRule="auto"/>
        <w:rPr>
          <w:rFonts w:cs="Times New Roman"/>
          <w:color w:val="000000"/>
          <w:szCs w:val="24"/>
        </w:rPr>
      </w:pPr>
      <w:r w:rsidRPr="00423400">
        <w:rPr>
          <w:rFonts w:cs="Times New Roman"/>
          <w:noProof/>
          <w:szCs w:val="24"/>
        </w:rPr>
        <w:drawing>
          <wp:anchor distT="0" distB="0" distL="114300" distR="114300" simplePos="0" relativeHeight="251658240" behindDoc="1" locked="0" layoutInCell="1" allowOverlap="1">
            <wp:simplePos x="0" y="0"/>
            <wp:positionH relativeFrom="column">
              <wp:posOffset>95250</wp:posOffset>
            </wp:positionH>
            <wp:positionV relativeFrom="paragraph">
              <wp:posOffset>2446020</wp:posOffset>
            </wp:positionV>
            <wp:extent cx="5086350" cy="3455035"/>
            <wp:effectExtent l="0" t="0" r="0" b="0"/>
            <wp:wrapTight wrapText="bothSides">
              <wp:wrapPolygon>
                <wp:start x="21276" y="0"/>
                <wp:lineTo x="8575" y="1667"/>
                <wp:lineTo x="4369" y="3096"/>
                <wp:lineTo x="3398" y="3454"/>
                <wp:lineTo x="3398" y="4168"/>
                <wp:lineTo x="18445" y="5717"/>
                <wp:lineTo x="809" y="5717"/>
                <wp:lineTo x="647" y="7265"/>
                <wp:lineTo x="1375" y="7622"/>
                <wp:lineTo x="1213" y="17150"/>
                <wp:lineTo x="1375" y="20246"/>
                <wp:lineTo x="10598" y="21080"/>
                <wp:lineTo x="0" y="21199"/>
                <wp:lineTo x="0" y="21437"/>
                <wp:lineTo x="21519" y="21437"/>
                <wp:lineTo x="21519" y="0"/>
                <wp:lineTo x="2127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650431" name="Picture 16"/>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5086350" cy="345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3400" w:rsidR="009F39F6">
        <w:rPr>
          <w:rFonts w:cs="Times New Roman"/>
          <w:color w:val="000000"/>
          <w:szCs w:val="24"/>
        </w:rPr>
        <w:tab/>
        <w:t>Mr. Walter</w:t>
      </w:r>
      <w:r w:rsidRPr="00423400" w:rsidR="008E114C">
        <w:rPr>
          <w:rFonts w:cs="Times New Roman"/>
          <w:color w:val="000000"/>
          <w:szCs w:val="24"/>
        </w:rPr>
        <w:t xml:space="preserve">s concluded that Mr. McKenzie’s size adjustment to his CAPM return is not risk comparable to DP&amp;L because </w:t>
      </w:r>
      <w:r w:rsidRPr="00423400" w:rsidR="008E114C">
        <w:rPr>
          <w:rFonts w:cs="Times New Roman"/>
          <w:bCs/>
          <w:color w:val="000000"/>
          <w:szCs w:val="24"/>
        </w:rPr>
        <w:t>h</w:t>
      </w:r>
      <w:r w:rsidRPr="00423400">
        <w:rPr>
          <w:rFonts w:cs="Times New Roman"/>
          <w:color w:val="000000"/>
          <w:szCs w:val="24"/>
        </w:rPr>
        <w:t xml:space="preserve">is size adjustment is based on companies that have significantly more systematic risks that are not reflective of the electric utility industry, his proxy group, or </w:t>
      </w:r>
      <w:r w:rsidRPr="00423400">
        <w:rPr>
          <w:rFonts w:cs="Times New Roman"/>
          <w:szCs w:val="24"/>
        </w:rPr>
        <w:t>DP&amp;L</w:t>
      </w:r>
      <w:r w:rsidRPr="00423400">
        <w:rPr>
          <w:rFonts w:cs="Times New Roman"/>
          <w:color w:val="000000"/>
          <w:szCs w:val="24"/>
        </w:rPr>
        <w:t>.</w:t>
      </w:r>
      <w:r>
        <w:rPr>
          <w:rStyle w:val="FootnoteReference"/>
          <w:rFonts w:cs="Times New Roman"/>
          <w:color w:val="000000"/>
          <w:szCs w:val="24"/>
        </w:rPr>
        <w:footnoteReference w:id="203"/>
      </w:r>
      <w:r w:rsidRPr="00423400">
        <w:rPr>
          <w:rFonts w:cs="Times New Roman"/>
          <w:color w:val="000000"/>
          <w:szCs w:val="24"/>
        </w:rPr>
        <w:t xml:space="preserve"> The size adjustments relied on by Mr. McKenzie reflects companies that have unadjusted beta estimates well in excess of 1.00.</w:t>
      </w:r>
      <w:r>
        <w:rPr>
          <w:rFonts w:cs="Times New Roman"/>
          <w:color w:val="000000"/>
          <w:szCs w:val="24"/>
          <w:vertAlign w:val="superscript"/>
        </w:rPr>
        <w:footnoteReference w:id="204"/>
      </w:r>
      <w:r w:rsidRPr="00423400">
        <w:rPr>
          <w:rFonts w:cs="Times New Roman"/>
          <w:color w:val="000000"/>
          <w:szCs w:val="24"/>
        </w:rPr>
        <w:t xml:space="preserve"> </w:t>
      </w:r>
      <w:r w:rsidRPr="00423400" w:rsidR="008E114C">
        <w:rPr>
          <w:rFonts w:cs="Times New Roman"/>
          <w:color w:val="000000"/>
          <w:szCs w:val="24"/>
        </w:rPr>
        <w:t>Mr. Walters</w:t>
      </w:r>
      <w:r w:rsidRPr="00423400">
        <w:rPr>
          <w:rFonts w:cs="Times New Roman"/>
          <w:color w:val="000000"/>
          <w:szCs w:val="24"/>
        </w:rPr>
        <w:t xml:space="preserve"> provided the beta estimates, as calculated by Duff &amp; Phelps for each decile </w:t>
      </w:r>
      <w:r w:rsidRPr="00423400" w:rsidR="00F031F4">
        <w:rPr>
          <w:rFonts w:cs="Times New Roman"/>
          <w:color w:val="000000"/>
          <w:szCs w:val="24"/>
        </w:rPr>
        <w:t xml:space="preserve">reproduced </w:t>
      </w:r>
      <w:r w:rsidRPr="00423400">
        <w:rPr>
          <w:rFonts w:cs="Times New Roman"/>
          <w:color w:val="000000"/>
          <w:szCs w:val="24"/>
        </w:rPr>
        <w:t xml:space="preserve">below in Table CCW-14. </w:t>
      </w:r>
    </w:p>
    <w:p w:rsidR="00E71EDD" w:rsidRPr="00423400" w:rsidP="008E114C" w14:paraId="7BC2904E" w14:textId="77777777">
      <w:pPr>
        <w:tabs>
          <w:tab w:val="left" w:pos="-1440"/>
        </w:tabs>
        <w:spacing w:line="480" w:lineRule="auto"/>
        <w:rPr>
          <w:rFonts w:cs="Times New Roman"/>
          <w:b/>
          <w:bCs/>
          <w:color w:val="000000"/>
          <w:szCs w:val="24"/>
        </w:rPr>
      </w:pPr>
    </w:p>
    <w:p w:rsidR="00E67DF5" w:rsidRPr="00423400" w:rsidP="00E67DF5" w14:paraId="7226F43F" w14:textId="77777777">
      <w:pPr>
        <w:suppressLineNumbers/>
        <w:tabs>
          <w:tab w:val="left" w:pos="-1440"/>
        </w:tabs>
        <w:spacing w:line="480" w:lineRule="auto"/>
        <w:jc w:val="center"/>
        <w:rPr>
          <w:rFonts w:cs="Times New Roman"/>
          <w:color w:val="000000"/>
          <w:szCs w:val="24"/>
        </w:rPr>
      </w:pPr>
    </w:p>
    <w:p w:rsidR="00E67DF5" w:rsidRPr="00423400" w:rsidP="00CC3111" w14:paraId="5B751516" w14:textId="77777777">
      <w:pPr>
        <w:tabs>
          <w:tab w:val="left" w:pos="-1440"/>
        </w:tabs>
        <w:spacing w:before="240" w:after="0" w:line="480" w:lineRule="auto"/>
        <w:rPr>
          <w:rFonts w:cs="Times New Roman"/>
          <w:color w:val="000000"/>
          <w:szCs w:val="24"/>
        </w:rPr>
      </w:pPr>
      <w:r w:rsidRPr="00423400">
        <w:rPr>
          <w:rFonts w:cs="Times New Roman"/>
          <w:color w:val="000000"/>
          <w:szCs w:val="24"/>
        </w:rPr>
        <w:tab/>
      </w:r>
      <w:r w:rsidRPr="00423400" w:rsidR="00F031F4">
        <w:rPr>
          <w:rFonts w:cs="Times New Roman"/>
          <w:color w:val="000000"/>
          <w:szCs w:val="24"/>
        </w:rPr>
        <w:t>Mr. Walters explained that t</w:t>
      </w:r>
      <w:r w:rsidRPr="00423400">
        <w:rPr>
          <w:rFonts w:cs="Times New Roman"/>
          <w:color w:val="000000"/>
          <w:szCs w:val="24"/>
        </w:rPr>
        <w:t xml:space="preserve">hese unadjusted beta estimates are substantially higher than the average </w:t>
      </w:r>
      <w:r w:rsidRPr="00423400">
        <w:rPr>
          <w:rFonts w:cs="Times New Roman"/>
          <w:color w:val="000000"/>
          <w:szCs w:val="24"/>
          <w:u w:val="single"/>
        </w:rPr>
        <w:t>adjusted</w:t>
      </w:r>
      <w:r w:rsidRPr="00423400">
        <w:rPr>
          <w:rFonts w:cs="Times New Roman"/>
          <w:color w:val="000000"/>
          <w:szCs w:val="24"/>
        </w:rPr>
        <w:t xml:space="preserve"> beta </w:t>
      </w:r>
      <w:bookmarkStart w:id="60" w:name="_BPDCI13"/>
      <w:r w:rsidRPr="00423400">
        <w:rPr>
          <w:rFonts w:cs="Times New Roman"/>
          <w:color w:val="000000"/>
          <w:szCs w:val="24"/>
        </w:rPr>
        <w:t xml:space="preserve">of 0.88 for </w:t>
      </w:r>
      <w:bookmarkEnd w:id="60"/>
      <w:r w:rsidRPr="00423400">
        <w:rPr>
          <w:rFonts w:cs="Times New Roman"/>
          <w:color w:val="000000"/>
          <w:szCs w:val="24"/>
        </w:rPr>
        <w:t xml:space="preserve">the utility group used </w:t>
      </w:r>
      <w:bookmarkStart w:id="61" w:name="_BPDCI10"/>
      <w:r w:rsidRPr="00423400">
        <w:rPr>
          <w:rFonts w:cs="Times New Roman"/>
          <w:color w:val="000000"/>
          <w:szCs w:val="24"/>
        </w:rPr>
        <w:t xml:space="preserve">by Mr. McKenzie as comparable risk proxy of </w:t>
      </w:r>
      <w:r w:rsidRPr="00423400">
        <w:rPr>
          <w:rFonts w:cs="Times New Roman"/>
          <w:szCs w:val="24"/>
        </w:rPr>
        <w:t>DP&amp;L’s</w:t>
      </w:r>
      <w:r w:rsidRPr="00423400">
        <w:rPr>
          <w:rFonts w:cs="Times New Roman"/>
          <w:color w:val="000000"/>
          <w:szCs w:val="24"/>
        </w:rPr>
        <w:t xml:space="preserve"> investment risk.</w:t>
      </w:r>
      <w:r>
        <w:rPr>
          <w:rStyle w:val="FootnoteReference"/>
          <w:rFonts w:cs="Times New Roman"/>
          <w:color w:val="000000"/>
          <w:szCs w:val="24"/>
        </w:rPr>
        <w:footnoteReference w:id="205"/>
      </w:r>
      <w:r w:rsidRPr="00423400">
        <w:rPr>
          <w:rFonts w:cs="Times New Roman"/>
          <w:color w:val="000000"/>
          <w:szCs w:val="24"/>
        </w:rPr>
        <w:t xml:space="preserve"> To put this into a more of an apple-to-apples comparison, </w:t>
      </w:r>
      <w:r w:rsidRPr="00423400" w:rsidR="00F01179">
        <w:rPr>
          <w:rFonts w:cs="Times New Roman"/>
          <w:color w:val="000000"/>
          <w:szCs w:val="24"/>
        </w:rPr>
        <w:t>Mr. Walters</w:t>
      </w:r>
      <w:r w:rsidRPr="00423400">
        <w:rPr>
          <w:rFonts w:cs="Times New Roman"/>
          <w:color w:val="000000"/>
          <w:szCs w:val="24"/>
        </w:rPr>
        <w:t xml:space="preserve"> also provided the average unadjusted Ordinary Least Squares (“OLS”) regression beta for Mr. McKenzie’s proxy group (0.79). As shown above</w:t>
      </w:r>
      <w:r w:rsidRPr="00423400" w:rsidR="00F01179">
        <w:rPr>
          <w:rFonts w:cs="Times New Roman"/>
          <w:color w:val="000000"/>
          <w:szCs w:val="24"/>
        </w:rPr>
        <w:t xml:space="preserve"> in the Table</w:t>
      </w:r>
      <w:r w:rsidRPr="00423400">
        <w:rPr>
          <w:rFonts w:cs="Times New Roman"/>
          <w:color w:val="000000"/>
          <w:szCs w:val="24"/>
        </w:rPr>
        <w:t>, every decile measured by Duff &amp; Phelps has a much higher OLS beta than Mr. McKenzie’s utility group.</w:t>
      </w:r>
      <w:r>
        <w:rPr>
          <w:rStyle w:val="FootnoteReference"/>
          <w:rFonts w:cs="Times New Roman"/>
          <w:color w:val="000000"/>
          <w:szCs w:val="24"/>
        </w:rPr>
        <w:footnoteReference w:id="206"/>
      </w:r>
      <w:r w:rsidRPr="00423400">
        <w:rPr>
          <w:rFonts w:cs="Times New Roman"/>
          <w:color w:val="000000"/>
          <w:szCs w:val="24"/>
        </w:rPr>
        <w:t xml:space="preserve"> The typical company in each decile is much riskier than the typical utility Mr. McKenzie relied on as a proxy of comparable risk to </w:t>
      </w:r>
      <w:r w:rsidRPr="00423400">
        <w:rPr>
          <w:rFonts w:cs="Times New Roman"/>
          <w:szCs w:val="24"/>
        </w:rPr>
        <w:t>DP&amp;L</w:t>
      </w:r>
      <w:r w:rsidRPr="00423400">
        <w:rPr>
          <w:rFonts w:cs="Times New Roman"/>
          <w:color w:val="000000"/>
          <w:szCs w:val="24"/>
        </w:rPr>
        <w:t>.</w:t>
      </w:r>
      <w:r>
        <w:rPr>
          <w:rStyle w:val="FootnoteReference"/>
          <w:rFonts w:cs="Times New Roman"/>
          <w:color w:val="000000"/>
          <w:szCs w:val="24"/>
        </w:rPr>
        <w:footnoteReference w:id="207"/>
      </w:r>
      <w:r w:rsidRPr="00423400">
        <w:rPr>
          <w:rFonts w:cs="Times New Roman"/>
          <w:color w:val="000000"/>
          <w:szCs w:val="24"/>
        </w:rPr>
        <w:t xml:space="preserve"> </w:t>
      </w:r>
      <w:r w:rsidRPr="00423400" w:rsidR="00442767">
        <w:rPr>
          <w:rFonts w:cs="Times New Roman"/>
          <w:color w:val="000000"/>
          <w:szCs w:val="24"/>
        </w:rPr>
        <w:t>And b</w:t>
      </w:r>
      <w:r w:rsidRPr="00423400">
        <w:rPr>
          <w:rFonts w:cs="Times New Roman"/>
          <w:color w:val="000000"/>
          <w:szCs w:val="24"/>
        </w:rPr>
        <w:t xml:space="preserve">ecause of this significant disparity in risk, as measured by beta, Mr. McKenzie’s size adjustment </w:t>
      </w:r>
      <w:bookmarkEnd w:id="61"/>
      <w:r w:rsidRPr="00423400">
        <w:rPr>
          <w:rFonts w:cs="Times New Roman"/>
          <w:color w:val="000000"/>
          <w:szCs w:val="24"/>
        </w:rPr>
        <w:t xml:space="preserve">produces a CAPM return estimate </w:t>
      </w:r>
      <w:bookmarkStart w:id="62" w:name="_BPDCI8"/>
      <w:r w:rsidRPr="00423400">
        <w:rPr>
          <w:rFonts w:cs="Times New Roman"/>
          <w:color w:val="000000"/>
          <w:szCs w:val="24"/>
        </w:rPr>
        <w:t xml:space="preserve">that </w:t>
      </w:r>
      <w:bookmarkEnd w:id="62"/>
      <w:r w:rsidRPr="00423400">
        <w:rPr>
          <w:rFonts w:cs="Times New Roman"/>
          <w:color w:val="000000"/>
          <w:szCs w:val="24"/>
        </w:rPr>
        <w:t xml:space="preserve">does not produce a risk appropriate return for </w:t>
      </w:r>
      <w:r w:rsidRPr="00423400">
        <w:rPr>
          <w:rFonts w:cs="Times New Roman"/>
          <w:szCs w:val="24"/>
        </w:rPr>
        <w:t>DP&amp;L</w:t>
      </w:r>
      <w:r w:rsidRPr="00423400">
        <w:rPr>
          <w:rFonts w:cs="Times New Roman"/>
          <w:color w:val="000000"/>
          <w:szCs w:val="24"/>
        </w:rPr>
        <w:t xml:space="preserve"> and therefore, is not a reasonable and fair return for </w:t>
      </w:r>
      <w:r w:rsidRPr="00423400">
        <w:rPr>
          <w:rFonts w:cs="Times New Roman"/>
          <w:szCs w:val="24"/>
        </w:rPr>
        <w:t>DP&amp;L</w:t>
      </w:r>
      <w:r w:rsidRPr="00423400">
        <w:rPr>
          <w:rFonts w:cs="Times New Roman"/>
          <w:color w:val="000000"/>
          <w:szCs w:val="24"/>
        </w:rPr>
        <w:t>.</w:t>
      </w:r>
      <w:r>
        <w:rPr>
          <w:rStyle w:val="FootnoteReference"/>
          <w:rFonts w:cs="Times New Roman"/>
          <w:color w:val="000000"/>
          <w:szCs w:val="24"/>
        </w:rPr>
        <w:footnoteReference w:id="208"/>
      </w:r>
    </w:p>
    <w:p w:rsidR="00B72D01" w:rsidRPr="00423400" w:rsidP="00B72D01" w14:paraId="35B6E51A" w14:textId="77777777">
      <w:pPr>
        <w:tabs>
          <w:tab w:val="left" w:pos="-1440"/>
        </w:tabs>
        <w:spacing w:after="0" w:line="480" w:lineRule="auto"/>
        <w:rPr>
          <w:rFonts w:cs="Times New Roman"/>
          <w:szCs w:val="24"/>
        </w:rPr>
      </w:pPr>
      <w:r w:rsidRPr="00423400">
        <w:rPr>
          <w:rFonts w:cs="Times New Roman"/>
          <w:color w:val="000000"/>
          <w:szCs w:val="24"/>
        </w:rPr>
        <w:tab/>
        <w:t xml:space="preserve">OCC witness Mr. Walters also explained how beta </w:t>
      </w:r>
      <w:r w:rsidRPr="00423400" w:rsidR="00D55E89">
        <w:rPr>
          <w:rFonts w:cs="Times New Roman"/>
          <w:color w:val="000000"/>
          <w:szCs w:val="24"/>
        </w:rPr>
        <w:t>corresponds</w:t>
      </w:r>
      <w:r w:rsidRPr="00423400">
        <w:rPr>
          <w:rFonts w:cs="Times New Roman"/>
          <w:color w:val="000000"/>
          <w:szCs w:val="24"/>
        </w:rPr>
        <w:t xml:space="preserve"> with the level of </w:t>
      </w:r>
      <w:r w:rsidRPr="00423400" w:rsidR="00D55E89">
        <w:rPr>
          <w:rFonts w:cs="Times New Roman"/>
          <w:color w:val="000000"/>
          <w:szCs w:val="24"/>
        </w:rPr>
        <w:t>investment</w:t>
      </w:r>
      <w:r w:rsidRPr="00423400">
        <w:rPr>
          <w:rFonts w:cs="Times New Roman"/>
          <w:color w:val="000000"/>
          <w:szCs w:val="24"/>
        </w:rPr>
        <w:t xml:space="preserve"> risk for DP&amp;L and therefore produces an appropriate </w:t>
      </w:r>
      <w:r w:rsidRPr="00423400" w:rsidR="00D55E89">
        <w:rPr>
          <w:rFonts w:cs="Times New Roman"/>
          <w:color w:val="000000"/>
          <w:szCs w:val="24"/>
        </w:rPr>
        <w:t>risk-adjusted return for DP&amp;L.</w:t>
      </w:r>
      <w:r>
        <w:rPr>
          <w:rStyle w:val="FootnoteReference"/>
          <w:rFonts w:cs="Times New Roman"/>
          <w:color w:val="000000"/>
          <w:szCs w:val="24"/>
        </w:rPr>
        <w:footnoteReference w:id="209"/>
      </w:r>
      <w:r w:rsidRPr="00423400" w:rsidR="00E67DF5">
        <w:rPr>
          <w:rFonts w:cs="Times New Roman"/>
          <w:szCs w:val="24"/>
        </w:rPr>
        <w:t xml:space="preserve"> Beta represents a measure of systematic or non-diversifiable, market-related risk.</w:t>
      </w:r>
      <w:r>
        <w:rPr>
          <w:rStyle w:val="FootnoteReference"/>
          <w:rFonts w:cs="Times New Roman"/>
          <w:szCs w:val="24"/>
        </w:rPr>
        <w:footnoteReference w:id="210"/>
      </w:r>
      <w:r w:rsidRPr="00423400" w:rsidR="00E67DF5">
        <w:rPr>
          <w:rFonts w:cs="Times New Roman"/>
          <w:szCs w:val="24"/>
        </w:rPr>
        <w:t xml:space="preserve"> </w:t>
      </w:r>
      <w:r w:rsidRPr="00423400" w:rsidR="00D55E89">
        <w:rPr>
          <w:rFonts w:cs="Times New Roman"/>
          <w:szCs w:val="24"/>
        </w:rPr>
        <w:t>And all of Mr. McKenzie’s</w:t>
      </w:r>
      <w:r w:rsidRPr="00423400" w:rsidR="00E67DF5">
        <w:rPr>
          <w:rFonts w:cs="Times New Roman"/>
          <w:szCs w:val="24"/>
        </w:rPr>
        <w:t xml:space="preserve"> proxy company betas are measured relative to that of the overall market (proxied by the NYSE) and adjusted upward by </w:t>
      </w:r>
      <w:r w:rsidRPr="00423400" w:rsidR="00E67DF5">
        <w:rPr>
          <w:rFonts w:cs="Times New Roman"/>
          <w:i/>
          <w:szCs w:val="24"/>
        </w:rPr>
        <w:t>Value Line</w:t>
      </w:r>
      <w:r w:rsidRPr="00423400" w:rsidR="00E67DF5">
        <w:rPr>
          <w:rFonts w:cs="Times New Roman"/>
          <w:szCs w:val="24"/>
        </w:rPr>
        <w:t>.</w:t>
      </w:r>
      <w:r>
        <w:rPr>
          <w:rStyle w:val="FootnoteReference"/>
          <w:rFonts w:cs="Times New Roman"/>
          <w:szCs w:val="24"/>
        </w:rPr>
        <w:footnoteReference w:id="211"/>
      </w:r>
      <w:r w:rsidRPr="00423400" w:rsidR="00E67DF5">
        <w:rPr>
          <w:rFonts w:cs="Times New Roman"/>
          <w:szCs w:val="24"/>
        </w:rPr>
        <w:t xml:space="preserve"> The market beta is considered to be 1.0.</w:t>
      </w:r>
      <w:r>
        <w:rPr>
          <w:rStyle w:val="FootnoteReference"/>
          <w:rFonts w:cs="Times New Roman"/>
          <w:szCs w:val="24"/>
        </w:rPr>
        <w:footnoteReference w:id="212"/>
      </w:r>
      <w:r w:rsidRPr="00423400" w:rsidR="00E67DF5">
        <w:rPr>
          <w:rFonts w:cs="Times New Roman"/>
          <w:szCs w:val="24"/>
        </w:rPr>
        <w:t xml:space="preserve"> For companies that have betas greater than 1, they are regarded as having more risk than the overall market.</w:t>
      </w:r>
      <w:r>
        <w:rPr>
          <w:rStyle w:val="FootnoteReference"/>
          <w:rFonts w:cs="Times New Roman"/>
          <w:szCs w:val="24"/>
        </w:rPr>
        <w:footnoteReference w:id="213"/>
      </w:r>
      <w:r w:rsidRPr="00423400" w:rsidR="00E67DF5">
        <w:rPr>
          <w:rFonts w:cs="Times New Roman"/>
          <w:szCs w:val="24"/>
        </w:rPr>
        <w:t xml:space="preserve"> For companies that have betas less than 1, they are regarded to have risk less than the overall market.</w:t>
      </w:r>
      <w:r>
        <w:rPr>
          <w:rStyle w:val="FootnoteReference"/>
          <w:rFonts w:cs="Times New Roman"/>
          <w:szCs w:val="24"/>
        </w:rPr>
        <w:footnoteReference w:id="214"/>
      </w:r>
      <w:r w:rsidRPr="00423400" w:rsidR="00E67DF5">
        <w:rPr>
          <w:rFonts w:cs="Times New Roman"/>
          <w:szCs w:val="24"/>
        </w:rPr>
        <w:t xml:space="preserve"> </w:t>
      </w:r>
      <w:r w:rsidRPr="00423400" w:rsidR="0097707F">
        <w:rPr>
          <w:rFonts w:cs="Times New Roman"/>
          <w:szCs w:val="24"/>
        </w:rPr>
        <w:t>Mr. McKenzie’s CAPM analysis can be adjusted to produce more reasonable results.</w:t>
      </w:r>
      <w:r>
        <w:rPr>
          <w:rStyle w:val="FootnoteReference"/>
          <w:rFonts w:cs="Times New Roman"/>
          <w:szCs w:val="24"/>
        </w:rPr>
        <w:footnoteReference w:id="215"/>
      </w:r>
      <w:r w:rsidRPr="00423400" w:rsidR="0097707F">
        <w:rPr>
          <w:rFonts w:cs="Times New Roman"/>
          <w:szCs w:val="24"/>
        </w:rPr>
        <w:t xml:space="preserve"> But</w:t>
      </w:r>
      <w:r w:rsidRPr="00423400" w:rsidR="00E67DF5">
        <w:rPr>
          <w:rFonts w:cs="Times New Roman"/>
          <w:szCs w:val="24"/>
        </w:rPr>
        <w:t xml:space="preserve"> </w:t>
      </w:r>
      <w:r w:rsidRPr="00423400" w:rsidR="0097707F">
        <w:rPr>
          <w:rFonts w:cs="Times New Roman"/>
          <w:szCs w:val="24"/>
        </w:rPr>
        <w:t>m</w:t>
      </w:r>
      <w:r w:rsidRPr="00423400" w:rsidR="00E67DF5">
        <w:rPr>
          <w:rFonts w:cs="Times New Roman"/>
          <w:szCs w:val="24"/>
        </w:rPr>
        <w:t>ultiple corrections are required. Such corrections are 1) includ</w:t>
      </w:r>
      <w:r w:rsidR="00725F30">
        <w:rPr>
          <w:rFonts w:cs="Times New Roman"/>
          <w:szCs w:val="24"/>
        </w:rPr>
        <w:t>ing</w:t>
      </w:r>
      <w:r w:rsidRPr="00423400" w:rsidR="00E67DF5">
        <w:rPr>
          <w:rFonts w:cs="Times New Roman"/>
          <w:szCs w:val="24"/>
        </w:rPr>
        <w:t xml:space="preserve"> an expected return on the market that is based in part on the long-run average realized return; (2) eliminating his size adjustments; (3) incorporating beta estimates that are calculated relative to the S&amp;P 500 such as those presented in </w:t>
      </w:r>
      <w:r w:rsidRPr="00423400" w:rsidR="00ED7199">
        <w:rPr>
          <w:rFonts w:cs="Times New Roman"/>
          <w:szCs w:val="24"/>
        </w:rPr>
        <w:t>Mr. Walter’s</w:t>
      </w:r>
      <w:r w:rsidRPr="00423400" w:rsidR="00E67DF5">
        <w:rPr>
          <w:rFonts w:cs="Times New Roman"/>
          <w:szCs w:val="24"/>
        </w:rPr>
        <w:t xml:space="preserve"> CAPM analysis; and (4) removing Algonquin Power from the proxy group.</w:t>
      </w:r>
      <w:r>
        <w:rPr>
          <w:rStyle w:val="FootnoteReference"/>
          <w:rFonts w:cs="Times New Roman"/>
          <w:szCs w:val="24"/>
        </w:rPr>
        <w:footnoteReference w:id="216"/>
      </w:r>
      <w:r w:rsidRPr="00423400" w:rsidR="00E67DF5">
        <w:rPr>
          <w:rFonts w:cs="Times New Roman"/>
          <w:szCs w:val="24"/>
        </w:rPr>
        <w:t xml:space="preserve"> Correcting Mr. McKenzie’s CAPM for the material flaws in his analysis would produce a reasonable return on equity no higher than 9.2%.</w:t>
      </w:r>
      <w:r>
        <w:rPr>
          <w:rStyle w:val="FootnoteReference"/>
          <w:rFonts w:cs="Times New Roman"/>
          <w:szCs w:val="24"/>
        </w:rPr>
        <w:footnoteReference w:id="217"/>
      </w:r>
      <w:r w:rsidRPr="00423400" w:rsidR="00E67DF5">
        <w:rPr>
          <w:rFonts w:cs="Times New Roman"/>
          <w:szCs w:val="24"/>
        </w:rPr>
        <w:t xml:space="preserve"> </w:t>
      </w:r>
    </w:p>
    <w:p w:rsidR="007D3A0C" w:rsidRPr="00423400" w:rsidP="00AD32AF" w14:paraId="447FF6CE" w14:textId="77777777">
      <w:pPr>
        <w:tabs>
          <w:tab w:val="left" w:pos="-1440"/>
        </w:tabs>
        <w:spacing w:after="0" w:line="480" w:lineRule="auto"/>
        <w:rPr>
          <w:rFonts w:cs="Times New Roman"/>
          <w:szCs w:val="24"/>
        </w:rPr>
      </w:pPr>
      <w:r w:rsidRPr="00423400">
        <w:rPr>
          <w:rFonts w:cs="Times New Roman"/>
          <w:szCs w:val="24"/>
        </w:rPr>
        <w:tab/>
        <w:t xml:space="preserve">Accordingly, </w:t>
      </w:r>
      <w:r w:rsidRPr="00423400" w:rsidR="002E70E1">
        <w:rPr>
          <w:rFonts w:cs="Times New Roman"/>
          <w:szCs w:val="24"/>
        </w:rPr>
        <w:t xml:space="preserve">to protect consumers from paying higher rates based on </w:t>
      </w:r>
      <w:r w:rsidRPr="00423400" w:rsidR="00D44CD2">
        <w:rPr>
          <w:rFonts w:cs="Times New Roman"/>
          <w:szCs w:val="24"/>
        </w:rPr>
        <w:t>PUCO Staff’s CAPM analysis</w:t>
      </w:r>
      <w:r w:rsidRPr="00423400" w:rsidR="002E70E1">
        <w:rPr>
          <w:rFonts w:cs="Times New Roman"/>
          <w:szCs w:val="24"/>
        </w:rPr>
        <w:t xml:space="preserve">, </w:t>
      </w:r>
      <w:r w:rsidRPr="00423400">
        <w:rPr>
          <w:rFonts w:cs="Times New Roman"/>
          <w:szCs w:val="24"/>
        </w:rPr>
        <w:t xml:space="preserve">the PUCO should reject its Staff’s </w:t>
      </w:r>
      <w:r w:rsidRPr="00423400" w:rsidR="00D95A13">
        <w:rPr>
          <w:rFonts w:cs="Times New Roman"/>
          <w:szCs w:val="24"/>
        </w:rPr>
        <w:t xml:space="preserve">and DP&amp;L’s </w:t>
      </w:r>
      <w:r w:rsidRPr="00423400">
        <w:rPr>
          <w:rFonts w:cs="Times New Roman"/>
          <w:szCs w:val="24"/>
        </w:rPr>
        <w:t xml:space="preserve">reliance on </w:t>
      </w:r>
      <w:r w:rsidRPr="00423400">
        <w:rPr>
          <w:rFonts w:cs="Times New Roman"/>
          <w:i/>
          <w:iCs/>
          <w:szCs w:val="24"/>
        </w:rPr>
        <w:t>Value Line</w:t>
      </w:r>
      <w:r w:rsidRPr="00423400">
        <w:rPr>
          <w:rFonts w:cs="Times New Roman"/>
          <w:szCs w:val="24"/>
        </w:rPr>
        <w:t xml:space="preserve"> to use in its CAPM without consideration of other sources to confirm the reasonableness of </w:t>
      </w:r>
      <w:r w:rsidRPr="00423400">
        <w:rPr>
          <w:rFonts w:cs="Times New Roman"/>
          <w:i/>
          <w:iCs/>
          <w:szCs w:val="24"/>
        </w:rPr>
        <w:t>Value Line</w:t>
      </w:r>
      <w:r w:rsidRPr="00423400">
        <w:rPr>
          <w:rFonts w:cs="Times New Roman"/>
          <w:szCs w:val="24"/>
        </w:rPr>
        <w:t>’s betas.</w:t>
      </w:r>
      <w:r w:rsidRPr="00423400" w:rsidR="00AD7116">
        <w:rPr>
          <w:rFonts w:cs="Times New Roman"/>
          <w:szCs w:val="24"/>
        </w:rPr>
        <w:t xml:space="preserve"> </w:t>
      </w:r>
      <w:r w:rsidRPr="00423400" w:rsidR="00ED4626">
        <w:rPr>
          <w:rFonts w:cs="Times New Roman"/>
          <w:szCs w:val="24"/>
        </w:rPr>
        <w:t xml:space="preserve">The PUCO should also reject </w:t>
      </w:r>
      <w:r w:rsidRPr="00423400" w:rsidR="009D4A43">
        <w:rPr>
          <w:rFonts w:cs="Times New Roman"/>
          <w:szCs w:val="24"/>
        </w:rPr>
        <w:t>the PUCO Staff’s</w:t>
      </w:r>
      <w:r w:rsidRPr="00423400" w:rsidR="000950EF">
        <w:rPr>
          <w:rFonts w:cs="Times New Roman"/>
          <w:szCs w:val="24"/>
        </w:rPr>
        <w:t xml:space="preserve"> </w:t>
      </w:r>
      <w:r w:rsidRPr="00423400" w:rsidR="00D95A13">
        <w:rPr>
          <w:rFonts w:cs="Times New Roman"/>
          <w:szCs w:val="24"/>
        </w:rPr>
        <w:t>and DP&amp;L’s</w:t>
      </w:r>
      <w:r w:rsidRPr="00423400" w:rsidR="009D4A43">
        <w:rPr>
          <w:rFonts w:cs="Times New Roman"/>
          <w:szCs w:val="24"/>
        </w:rPr>
        <w:t xml:space="preserve"> reliance on historical treasury </w:t>
      </w:r>
      <w:r w:rsidRPr="00423400" w:rsidR="00AD7116">
        <w:rPr>
          <w:rFonts w:cs="Times New Roman"/>
          <w:szCs w:val="24"/>
        </w:rPr>
        <w:t>yields</w:t>
      </w:r>
      <w:r w:rsidRPr="00423400" w:rsidR="009D4A43">
        <w:rPr>
          <w:rFonts w:cs="Times New Roman"/>
          <w:szCs w:val="24"/>
        </w:rPr>
        <w:t xml:space="preserve"> as a proxy for the risk-free rate in its CAPM</w:t>
      </w:r>
      <w:r w:rsidRPr="00423400" w:rsidR="00E32026">
        <w:rPr>
          <w:rFonts w:cs="Times New Roman"/>
          <w:szCs w:val="24"/>
        </w:rPr>
        <w:t xml:space="preserve"> and should instead apply Mr</w:t>
      </w:r>
      <w:r w:rsidRPr="00423400" w:rsidR="009D4A43">
        <w:rPr>
          <w:rFonts w:cs="Times New Roman"/>
          <w:szCs w:val="24"/>
        </w:rPr>
        <w:t>.</w:t>
      </w:r>
      <w:r w:rsidRPr="00423400" w:rsidR="00E32026">
        <w:rPr>
          <w:rFonts w:cs="Times New Roman"/>
          <w:szCs w:val="24"/>
        </w:rPr>
        <w:t xml:space="preserve"> Walters recommended average beta of 0.80</w:t>
      </w:r>
      <w:r w:rsidRPr="00423400" w:rsidR="00975816">
        <w:rPr>
          <w:rFonts w:cs="Times New Roman"/>
          <w:szCs w:val="24"/>
        </w:rPr>
        <w:t xml:space="preserve"> to produce a CAPM return of 7.95%</w:t>
      </w:r>
    </w:p>
    <w:p w:rsidR="004A4F6E" w:rsidRPr="00423400" w:rsidP="0012105E" w14:paraId="7C2C06F0" w14:textId="77777777">
      <w:pPr>
        <w:pStyle w:val="Heading2"/>
        <w:ind w:left="1440" w:hanging="720"/>
        <w:rPr>
          <w:color w:val="auto"/>
          <w:sz w:val="24"/>
          <w:szCs w:val="24"/>
        </w:rPr>
      </w:pPr>
      <w:bookmarkStart w:id="63" w:name="_Toc96960363"/>
      <w:bookmarkStart w:id="64" w:name="_Toc96960405"/>
      <w:bookmarkStart w:id="65" w:name="_Toc97298212"/>
      <w:r w:rsidRPr="00423400">
        <w:rPr>
          <w:color w:val="auto"/>
          <w:sz w:val="24"/>
          <w:szCs w:val="24"/>
        </w:rPr>
        <w:t xml:space="preserve">To protect consumers from paying higher rates, the PUCO should reject the PUCO Staff’s </w:t>
      </w:r>
      <w:r w:rsidRPr="00423400" w:rsidR="00FF3AD5">
        <w:rPr>
          <w:color w:val="auto"/>
          <w:sz w:val="24"/>
          <w:szCs w:val="24"/>
        </w:rPr>
        <w:t xml:space="preserve">and DP&amp;L’s flawed </w:t>
      </w:r>
      <w:r w:rsidRPr="00423400" w:rsidR="004F3B06">
        <w:rPr>
          <w:color w:val="auto"/>
          <w:sz w:val="24"/>
          <w:szCs w:val="24"/>
        </w:rPr>
        <w:t>DCF analyses.</w:t>
      </w:r>
      <w:bookmarkEnd w:id="63"/>
      <w:bookmarkEnd w:id="64"/>
      <w:bookmarkEnd w:id="65"/>
    </w:p>
    <w:p w:rsidR="00950426" w:rsidRPr="00423400" w:rsidP="0012105E" w14:paraId="401317AE" w14:textId="77777777">
      <w:pPr>
        <w:tabs>
          <w:tab w:val="left" w:pos="-1440"/>
        </w:tabs>
        <w:spacing w:before="240" w:after="0" w:line="480" w:lineRule="auto"/>
        <w:rPr>
          <w:rFonts w:cs="Times New Roman"/>
          <w:color w:val="000000"/>
          <w:szCs w:val="24"/>
        </w:rPr>
      </w:pPr>
      <w:r w:rsidRPr="00423400">
        <w:rPr>
          <w:rFonts w:cs="Times New Roman"/>
          <w:szCs w:val="24"/>
        </w:rPr>
        <w:tab/>
      </w:r>
      <w:r w:rsidRPr="00423400" w:rsidR="002951B4">
        <w:rPr>
          <w:rFonts w:cs="Times New Roman"/>
          <w:szCs w:val="24"/>
        </w:rPr>
        <w:t xml:space="preserve">The average and median of the </w:t>
      </w:r>
      <w:r w:rsidRPr="00423400" w:rsidR="00156400">
        <w:rPr>
          <w:rFonts w:cs="Times New Roman"/>
          <w:szCs w:val="24"/>
        </w:rPr>
        <w:t xml:space="preserve">PUCO </w:t>
      </w:r>
      <w:r w:rsidRPr="00423400" w:rsidR="002951B4">
        <w:rPr>
          <w:rFonts w:cs="Times New Roman"/>
          <w:szCs w:val="24"/>
        </w:rPr>
        <w:t xml:space="preserve">Staff’s constant growth DCF analysis are 8.93% and 9.10%, respectively. </w:t>
      </w:r>
      <w:r w:rsidRPr="00423400" w:rsidR="00290991">
        <w:rPr>
          <w:rFonts w:cs="Times New Roman"/>
          <w:szCs w:val="24"/>
        </w:rPr>
        <w:t>Additionally, there are multiple sources of projected economic growth which reflect investor’s expectations.</w:t>
      </w:r>
      <w:r w:rsidRPr="00423400" w:rsidR="00585F6B">
        <w:rPr>
          <w:rFonts w:cs="Times New Roman"/>
          <w:szCs w:val="24"/>
        </w:rPr>
        <w:t xml:space="preserve"> Mr. Walters testified that </w:t>
      </w:r>
      <w:r w:rsidRPr="00423400">
        <w:rPr>
          <w:rFonts w:cs="Times New Roman"/>
          <w:color w:val="000000"/>
          <w:szCs w:val="24"/>
        </w:rPr>
        <w:t>Staff relied on a non-constant or multi-stage DCF model applied to its utility proxy group.</w:t>
      </w:r>
      <w:r>
        <w:rPr>
          <w:rStyle w:val="FootnoteReference"/>
          <w:rFonts w:cs="Times New Roman"/>
          <w:color w:val="000000"/>
          <w:szCs w:val="24"/>
        </w:rPr>
        <w:footnoteReference w:id="218"/>
      </w:r>
      <w:r w:rsidRPr="00423400">
        <w:rPr>
          <w:rFonts w:cs="Times New Roman"/>
          <w:color w:val="000000"/>
          <w:szCs w:val="24"/>
        </w:rPr>
        <w:t xml:space="preserve"> The DCF model was based on the last four quarterly dividends and the daily closing price for the one-year period, ending January 27, 2021.</w:t>
      </w:r>
      <w:r>
        <w:rPr>
          <w:rStyle w:val="FootnoteReference"/>
          <w:rFonts w:cs="Times New Roman"/>
          <w:color w:val="000000"/>
          <w:szCs w:val="24"/>
        </w:rPr>
        <w:footnoteReference w:id="219"/>
      </w:r>
      <w:r w:rsidRPr="00423400">
        <w:rPr>
          <w:rFonts w:cs="Times New Roman"/>
          <w:color w:val="000000"/>
          <w:szCs w:val="24"/>
        </w:rPr>
        <w:t xml:space="preserve"> </w:t>
      </w:r>
      <w:r w:rsidRPr="00423400" w:rsidR="000A205C">
        <w:rPr>
          <w:rFonts w:cs="Times New Roman"/>
          <w:color w:val="000000"/>
          <w:szCs w:val="24"/>
        </w:rPr>
        <w:t xml:space="preserve">The PUCO </w:t>
      </w:r>
      <w:r w:rsidRPr="00423400">
        <w:rPr>
          <w:rFonts w:cs="Times New Roman"/>
          <w:color w:val="000000"/>
          <w:szCs w:val="24"/>
        </w:rPr>
        <w:t xml:space="preserve">Staff relied on the analysts’ growth rate projections from Zacks and </w:t>
      </w:r>
      <w:r w:rsidRPr="00423400">
        <w:rPr>
          <w:rFonts w:cs="Times New Roman"/>
          <w:i/>
          <w:color w:val="000000"/>
          <w:szCs w:val="24"/>
        </w:rPr>
        <w:t>Value Line</w:t>
      </w:r>
      <w:r w:rsidRPr="00423400">
        <w:rPr>
          <w:rFonts w:cs="Times New Roman"/>
          <w:color w:val="000000"/>
          <w:szCs w:val="24"/>
        </w:rPr>
        <w:t xml:space="preserve"> for the first five years of its model.</w:t>
      </w:r>
      <w:r>
        <w:rPr>
          <w:rStyle w:val="FootnoteReference"/>
          <w:rFonts w:cs="Times New Roman"/>
          <w:color w:val="000000"/>
          <w:szCs w:val="24"/>
        </w:rPr>
        <w:footnoteReference w:id="220"/>
      </w:r>
      <w:r w:rsidRPr="00423400">
        <w:rPr>
          <w:rFonts w:cs="Times New Roman"/>
          <w:color w:val="000000"/>
          <w:szCs w:val="24"/>
        </w:rPr>
        <w:t xml:space="preserve"> The average analysts’ growth rate for the proxy group is 4.82%.</w:t>
      </w:r>
      <w:r>
        <w:rPr>
          <w:rStyle w:val="FootnoteReference"/>
          <w:rFonts w:cs="Times New Roman"/>
          <w:color w:val="000000"/>
          <w:szCs w:val="24"/>
        </w:rPr>
        <w:footnoteReference w:id="221"/>
      </w:r>
      <w:r w:rsidRPr="00423400">
        <w:rPr>
          <w:rFonts w:cs="Times New Roman"/>
          <w:color w:val="000000"/>
          <w:szCs w:val="24"/>
        </w:rPr>
        <w:t xml:space="preserve"> For its terminal stage, beginning in year 26 to perpetuity, Staff relied on the historical GNP growth rate of 6.32% for the period 1929 to 2019 obtained from the U.S. Department of Commerce.</w:t>
      </w:r>
      <w:r>
        <w:rPr>
          <w:rStyle w:val="FootnoteReference"/>
          <w:rFonts w:cs="Times New Roman"/>
          <w:color w:val="000000"/>
          <w:szCs w:val="24"/>
        </w:rPr>
        <w:footnoteReference w:id="222"/>
      </w:r>
      <w:r w:rsidRPr="00423400">
        <w:rPr>
          <w:rFonts w:cs="Times New Roman"/>
          <w:color w:val="000000"/>
          <w:szCs w:val="24"/>
        </w:rPr>
        <w:t xml:space="preserve"> The average result produced by Staff’s non-constant DCF model for its proxy group is 9.896%.</w:t>
      </w:r>
      <w:r>
        <w:rPr>
          <w:rStyle w:val="FootnoteReference"/>
          <w:rFonts w:cs="Times New Roman"/>
          <w:color w:val="000000"/>
          <w:szCs w:val="24"/>
        </w:rPr>
        <w:footnoteReference w:id="223"/>
      </w:r>
      <w:r w:rsidRPr="00423400">
        <w:rPr>
          <w:rFonts w:cs="Times New Roman"/>
          <w:color w:val="000000"/>
          <w:szCs w:val="24"/>
        </w:rPr>
        <w:t xml:space="preserve"> </w:t>
      </w:r>
    </w:p>
    <w:p w:rsidR="00E56132" w:rsidRPr="00423400" w:rsidP="00736D2B" w14:paraId="378036AB" w14:textId="77777777">
      <w:pPr>
        <w:tabs>
          <w:tab w:val="left" w:pos="-1440"/>
        </w:tabs>
        <w:spacing w:after="0" w:line="480" w:lineRule="auto"/>
        <w:rPr>
          <w:rFonts w:cs="Times New Roman"/>
          <w:color w:val="000000"/>
          <w:szCs w:val="24"/>
        </w:rPr>
      </w:pPr>
      <w:r w:rsidRPr="00423400">
        <w:rPr>
          <w:rFonts w:cs="Times New Roman"/>
          <w:color w:val="000000"/>
          <w:szCs w:val="24"/>
        </w:rPr>
        <w:tab/>
      </w:r>
      <w:r w:rsidRPr="00423400" w:rsidR="005A66E6">
        <w:rPr>
          <w:rFonts w:cs="Times New Roman"/>
          <w:color w:val="000000"/>
          <w:szCs w:val="24"/>
        </w:rPr>
        <w:t xml:space="preserve">The PUCO </w:t>
      </w:r>
      <w:r w:rsidRPr="00423400">
        <w:rPr>
          <w:rFonts w:cs="Times New Roman"/>
          <w:color w:val="000000"/>
          <w:szCs w:val="24"/>
        </w:rPr>
        <w:t xml:space="preserve">Staff’s proposal to rely on a historical GNP growth rate of 6.32% significantly exceeds the consensus analysts’ market growth projections for the U.S. economy of 4.35% as </w:t>
      </w:r>
      <w:r w:rsidRPr="00423400" w:rsidR="000A205C">
        <w:rPr>
          <w:rFonts w:cs="Times New Roman"/>
          <w:color w:val="000000"/>
          <w:szCs w:val="24"/>
        </w:rPr>
        <w:t>Mr. Walters</w:t>
      </w:r>
      <w:r w:rsidRPr="00423400">
        <w:rPr>
          <w:rFonts w:cs="Times New Roman"/>
          <w:color w:val="000000"/>
          <w:szCs w:val="24"/>
        </w:rPr>
        <w:t xml:space="preserve"> discuss in regard to </w:t>
      </w:r>
      <w:r w:rsidRPr="00423400" w:rsidR="005A66E6">
        <w:rPr>
          <w:rFonts w:cs="Times New Roman"/>
          <w:color w:val="000000"/>
          <w:szCs w:val="24"/>
        </w:rPr>
        <w:t>his</w:t>
      </w:r>
      <w:r w:rsidRPr="00423400">
        <w:rPr>
          <w:rFonts w:cs="Times New Roman"/>
          <w:color w:val="000000"/>
          <w:szCs w:val="24"/>
        </w:rPr>
        <w:t xml:space="preserve"> own multi-stage DCF model.</w:t>
      </w:r>
      <w:r>
        <w:rPr>
          <w:rStyle w:val="FootnoteReference"/>
          <w:rFonts w:cs="Times New Roman"/>
          <w:color w:val="000000"/>
          <w:szCs w:val="24"/>
        </w:rPr>
        <w:footnoteReference w:id="224"/>
      </w:r>
      <w:r w:rsidRPr="00423400">
        <w:rPr>
          <w:rFonts w:cs="Times New Roman"/>
          <w:color w:val="000000"/>
          <w:szCs w:val="24"/>
        </w:rPr>
        <w:t xml:space="preserve"> Further, </w:t>
      </w:r>
      <w:r w:rsidRPr="00423400" w:rsidR="005A66E6">
        <w:rPr>
          <w:rFonts w:cs="Times New Roman"/>
          <w:color w:val="000000"/>
          <w:szCs w:val="24"/>
        </w:rPr>
        <w:t xml:space="preserve">the PUCO </w:t>
      </w:r>
      <w:r w:rsidRPr="00423400">
        <w:rPr>
          <w:rFonts w:cs="Times New Roman"/>
          <w:color w:val="000000"/>
          <w:szCs w:val="24"/>
        </w:rPr>
        <w:t>Staff has not shown that its terminal growth rate of 6.32% based on the period 1929 – 2019 reflects the current market expectations.</w:t>
      </w:r>
      <w:r>
        <w:rPr>
          <w:rStyle w:val="FootnoteReference"/>
          <w:rFonts w:cs="Times New Roman"/>
          <w:color w:val="000000"/>
          <w:szCs w:val="24"/>
        </w:rPr>
        <w:footnoteReference w:id="225"/>
      </w:r>
      <w:r w:rsidRPr="00423400">
        <w:rPr>
          <w:rFonts w:cs="Times New Roman"/>
          <w:color w:val="000000"/>
          <w:szCs w:val="24"/>
        </w:rPr>
        <w:t xml:space="preserve"> As described in </w:t>
      </w:r>
      <w:r w:rsidRPr="00423400" w:rsidR="005A66E6">
        <w:rPr>
          <w:rFonts w:cs="Times New Roman"/>
          <w:color w:val="000000"/>
          <w:szCs w:val="24"/>
        </w:rPr>
        <w:t>Mr. Walters’</w:t>
      </w:r>
      <w:r w:rsidRPr="00423400">
        <w:rPr>
          <w:rFonts w:cs="Times New Roman"/>
          <w:color w:val="000000"/>
          <w:szCs w:val="24"/>
        </w:rPr>
        <w:t xml:space="preserve"> Technical Appendix, the consensus GDP growth rate from the </w:t>
      </w:r>
      <w:r w:rsidRPr="00423400">
        <w:rPr>
          <w:rFonts w:cs="Times New Roman"/>
          <w:i/>
          <w:color w:val="000000"/>
          <w:szCs w:val="24"/>
        </w:rPr>
        <w:t>Blue Chip Financial Forecasts</w:t>
      </w:r>
      <w:r w:rsidRPr="00423400">
        <w:rPr>
          <w:rFonts w:cs="Times New Roman"/>
          <w:color w:val="000000"/>
          <w:szCs w:val="24"/>
        </w:rPr>
        <w:t xml:space="preserve"> is consistent with various credible sources.</w:t>
      </w:r>
      <w:r>
        <w:rPr>
          <w:rStyle w:val="FootnoteReference"/>
          <w:rFonts w:cs="Times New Roman"/>
          <w:color w:val="000000"/>
          <w:szCs w:val="24"/>
        </w:rPr>
        <w:footnoteReference w:id="226"/>
      </w:r>
      <w:r w:rsidRPr="00423400">
        <w:rPr>
          <w:rFonts w:cs="Times New Roman"/>
          <w:color w:val="000000"/>
          <w:szCs w:val="24"/>
        </w:rPr>
        <w:t xml:space="preserve"> </w:t>
      </w:r>
      <w:r w:rsidRPr="00423400">
        <w:rPr>
          <w:rFonts w:cs="Times New Roman"/>
          <w:szCs w:val="24"/>
        </w:rPr>
        <w:t>This projection reflects current outlooks for GDP growth and is likely to be influential on investors’ expectations of future growth outlooks.</w:t>
      </w:r>
      <w:r>
        <w:rPr>
          <w:rStyle w:val="FootnoteReference"/>
          <w:rFonts w:cs="Times New Roman"/>
          <w:szCs w:val="24"/>
        </w:rPr>
        <w:footnoteReference w:id="227"/>
      </w:r>
      <w:r w:rsidRPr="00423400">
        <w:rPr>
          <w:rFonts w:cs="Times New Roman"/>
          <w:szCs w:val="24"/>
        </w:rPr>
        <w:t xml:space="preserve"> </w:t>
      </w:r>
      <w:r w:rsidRPr="00423400">
        <w:rPr>
          <w:rFonts w:cs="Times New Roman"/>
          <w:color w:val="000000"/>
          <w:szCs w:val="24"/>
        </w:rPr>
        <w:t xml:space="preserve">Therefore, </w:t>
      </w:r>
      <w:r w:rsidRPr="00423400" w:rsidR="0015513F">
        <w:rPr>
          <w:rFonts w:cs="Times New Roman"/>
          <w:color w:val="000000"/>
          <w:szCs w:val="24"/>
        </w:rPr>
        <w:t xml:space="preserve">Mr. Walters concludes that the PUCO </w:t>
      </w:r>
      <w:r w:rsidRPr="00423400">
        <w:rPr>
          <w:rFonts w:cs="Times New Roman"/>
          <w:color w:val="000000"/>
          <w:szCs w:val="24"/>
        </w:rPr>
        <w:t>Staff’s DCF return produces an unreliable and excessive ROE and should be rejected.</w:t>
      </w:r>
      <w:r>
        <w:rPr>
          <w:rStyle w:val="FootnoteReference"/>
          <w:rFonts w:cs="Times New Roman"/>
          <w:color w:val="000000"/>
          <w:szCs w:val="24"/>
        </w:rPr>
        <w:footnoteReference w:id="228"/>
      </w:r>
      <w:r w:rsidRPr="00423400">
        <w:rPr>
          <w:rFonts w:cs="Times New Roman"/>
          <w:color w:val="000000"/>
          <w:szCs w:val="24"/>
        </w:rPr>
        <w:t xml:space="preserve"> </w:t>
      </w:r>
    </w:p>
    <w:p w:rsidR="00E3353B" w:rsidRPr="00423400" w:rsidP="006F438E" w14:paraId="4CBE0A66" w14:textId="77777777">
      <w:pPr>
        <w:tabs>
          <w:tab w:val="left" w:pos="-1440"/>
        </w:tabs>
        <w:spacing w:after="0" w:line="480" w:lineRule="auto"/>
        <w:rPr>
          <w:rFonts w:cs="Times New Roman"/>
          <w:color w:val="000000"/>
          <w:szCs w:val="24"/>
        </w:rPr>
      </w:pPr>
      <w:r w:rsidRPr="00423400">
        <w:rPr>
          <w:rFonts w:cs="Times New Roman"/>
          <w:color w:val="000000"/>
          <w:szCs w:val="24"/>
        </w:rPr>
        <w:tab/>
        <w:t xml:space="preserve">Staff’s non-constant DCF analysis can be adjusted to produce a </w:t>
      </w:r>
      <w:r w:rsidRPr="00423400" w:rsidR="00D74986">
        <w:rPr>
          <w:rFonts w:cs="Times New Roman"/>
          <w:color w:val="000000"/>
          <w:szCs w:val="24"/>
        </w:rPr>
        <w:t>reasonable</w:t>
      </w:r>
      <w:r w:rsidRPr="00423400">
        <w:rPr>
          <w:rFonts w:cs="Times New Roman"/>
          <w:color w:val="000000"/>
          <w:szCs w:val="24"/>
        </w:rPr>
        <w:t xml:space="preserve"> return on equity for DP&amp;L, however. </w:t>
      </w:r>
      <w:r w:rsidRPr="00423400" w:rsidR="00D74986">
        <w:rPr>
          <w:rFonts w:cs="Times New Roman"/>
          <w:color w:val="000000"/>
          <w:szCs w:val="24"/>
        </w:rPr>
        <w:t xml:space="preserve">Mr. Walters explained that this can be done </w:t>
      </w:r>
      <w:r w:rsidRPr="00423400" w:rsidR="009D299A">
        <w:rPr>
          <w:rFonts w:cs="Times New Roman"/>
          <w:color w:val="000000"/>
          <w:szCs w:val="24"/>
        </w:rPr>
        <w:t xml:space="preserve">because </w:t>
      </w:r>
      <w:r w:rsidRPr="00423400" w:rsidR="00D74986">
        <w:rPr>
          <w:rFonts w:cs="Times New Roman"/>
          <w:color w:val="000000"/>
          <w:szCs w:val="24"/>
        </w:rPr>
        <w:t>revising Staff’s terminal growth rate to reflect the consensus analysts’ growth projections of 4.35% produces an average DCF return for the proxy group of 8.66%</w:t>
      </w:r>
      <w:r w:rsidRPr="00423400" w:rsidR="008272FA">
        <w:rPr>
          <w:rFonts w:cs="Times New Roman"/>
          <w:color w:val="000000"/>
          <w:szCs w:val="24"/>
        </w:rPr>
        <w:t>.</w:t>
      </w:r>
      <w:r>
        <w:rPr>
          <w:rStyle w:val="FootnoteReference"/>
          <w:rFonts w:cs="Times New Roman"/>
          <w:color w:val="000000"/>
          <w:szCs w:val="24"/>
        </w:rPr>
        <w:footnoteReference w:id="229"/>
      </w:r>
      <w:r w:rsidRPr="00423400" w:rsidR="008272FA">
        <w:rPr>
          <w:rFonts w:cs="Times New Roman"/>
          <w:color w:val="000000"/>
          <w:szCs w:val="24"/>
        </w:rPr>
        <w:t xml:space="preserve"> Additionally, Staff also developed </w:t>
      </w:r>
      <w:r w:rsidRPr="00423400">
        <w:rPr>
          <w:rFonts w:cs="Times New Roman"/>
          <w:color w:val="000000"/>
          <w:szCs w:val="24"/>
        </w:rPr>
        <w:t>constant growth DCF model that was completely disregarded in its consideration of a reasonable ROE for DP&amp;L.</w:t>
      </w:r>
      <w:r>
        <w:rPr>
          <w:rStyle w:val="FootnoteReference"/>
          <w:rFonts w:cs="Times New Roman"/>
          <w:color w:val="000000"/>
          <w:szCs w:val="24"/>
        </w:rPr>
        <w:footnoteReference w:id="230"/>
      </w:r>
      <w:r w:rsidRPr="00423400">
        <w:rPr>
          <w:rFonts w:cs="Times New Roman"/>
          <w:color w:val="000000"/>
          <w:szCs w:val="24"/>
        </w:rPr>
        <w:t xml:space="preserve"> As shown on Staff Schedule 1.4 through 1.8, the average DCF return produced by Staff’s constant growth model is 8.93%.</w:t>
      </w:r>
      <w:r>
        <w:rPr>
          <w:rStyle w:val="FootnoteReference"/>
          <w:rFonts w:cs="Times New Roman"/>
          <w:color w:val="000000"/>
          <w:szCs w:val="24"/>
        </w:rPr>
        <w:footnoteReference w:id="231"/>
      </w:r>
      <w:r w:rsidRPr="00423400">
        <w:rPr>
          <w:rFonts w:cs="Times New Roman"/>
          <w:color w:val="000000"/>
          <w:szCs w:val="24"/>
        </w:rPr>
        <w:t xml:space="preserve"> </w:t>
      </w:r>
      <w:r w:rsidRPr="00423400" w:rsidR="00CB5EFB">
        <w:rPr>
          <w:rFonts w:cs="Times New Roman"/>
          <w:color w:val="000000"/>
          <w:szCs w:val="24"/>
        </w:rPr>
        <w:t xml:space="preserve">Mr. Walters </w:t>
      </w:r>
      <w:r w:rsidRPr="00423400">
        <w:rPr>
          <w:rFonts w:cs="Times New Roman"/>
          <w:color w:val="000000"/>
          <w:szCs w:val="24"/>
        </w:rPr>
        <w:t xml:space="preserve">summarized Staff’s constant growth DCF return estimates in </w:t>
      </w:r>
      <w:r w:rsidRPr="00423400" w:rsidR="00CB5EFB">
        <w:rPr>
          <w:rFonts w:cs="Times New Roman"/>
          <w:color w:val="000000"/>
          <w:szCs w:val="24"/>
        </w:rPr>
        <w:t xml:space="preserve">the </w:t>
      </w:r>
      <w:r w:rsidRPr="00423400">
        <w:rPr>
          <w:rFonts w:cs="Times New Roman"/>
          <w:color w:val="000000"/>
          <w:szCs w:val="24"/>
        </w:rPr>
        <w:t xml:space="preserve">Table </w:t>
      </w:r>
      <w:r w:rsidRPr="00423400" w:rsidR="00CB5EFB">
        <w:rPr>
          <w:rFonts w:cs="Times New Roman"/>
          <w:color w:val="000000"/>
          <w:szCs w:val="24"/>
        </w:rPr>
        <w:t>below.</w:t>
      </w:r>
      <w:r>
        <w:rPr>
          <w:rStyle w:val="FootnoteReference"/>
          <w:rFonts w:cs="Times New Roman"/>
          <w:color w:val="000000"/>
          <w:szCs w:val="24"/>
        </w:rPr>
        <w:footnoteReference w:id="232"/>
      </w:r>
      <w:r w:rsidRPr="00423400" w:rsidR="00572FEF">
        <w:rPr>
          <w:rFonts w:cs="Times New Roman"/>
          <w:color w:val="000000"/>
          <w:szCs w:val="24"/>
        </w:rPr>
        <w:t xml:space="preserve"> Mr. Walters correction to </w:t>
      </w:r>
      <w:r w:rsidRPr="00423400" w:rsidR="0030166F">
        <w:rPr>
          <w:rFonts w:cs="Times New Roman"/>
          <w:color w:val="000000"/>
          <w:szCs w:val="24"/>
        </w:rPr>
        <w:t>Staff’s non-constant DCF analysis and constant DCF analysis produces a DCF return on equity for DP&amp;L no higher than 9.0%, which is consistent with his DCF return.</w:t>
      </w:r>
      <w:r w:rsidRPr="00423400" w:rsidR="00816695">
        <w:rPr>
          <w:rFonts w:cs="Times New Roman"/>
          <w:color w:val="000000"/>
          <w:szCs w:val="24"/>
        </w:rPr>
        <w:t xml:space="preserve"> </w:t>
      </w:r>
    </w:p>
    <w:p w:rsidR="00ED32B2" w:rsidRPr="00423400" w:rsidP="00317FBF" w14:paraId="31A1C173" w14:textId="77777777">
      <w:pPr>
        <w:spacing w:after="0" w:line="480" w:lineRule="auto"/>
        <w:rPr>
          <w:rFonts w:cs="Times New Roman"/>
          <w:color w:val="000000"/>
          <w:szCs w:val="24"/>
        </w:rPr>
      </w:pPr>
      <w:r w:rsidRPr="00423400">
        <w:rPr>
          <w:rFonts w:cs="Times New Roman"/>
          <w:color w:val="000000"/>
          <w:szCs w:val="24"/>
        </w:rPr>
        <w:tab/>
        <w:t>DP&amp;L’s witness Mr. McKenzie also provided a flawed DCF analysis</w:t>
      </w:r>
      <w:r w:rsidRPr="00423400" w:rsidR="004F3B06">
        <w:rPr>
          <w:rFonts w:cs="Times New Roman"/>
          <w:color w:val="000000"/>
          <w:szCs w:val="24"/>
        </w:rPr>
        <w:t>, which OCC witness Mr. Walters rebutted.</w:t>
      </w:r>
      <w:r>
        <w:rPr>
          <w:rStyle w:val="FootnoteReference"/>
          <w:rFonts w:cs="Times New Roman"/>
          <w:color w:val="000000"/>
          <w:szCs w:val="24"/>
        </w:rPr>
        <w:footnoteReference w:id="233"/>
      </w:r>
      <w:r w:rsidRPr="00423400" w:rsidR="004F3B06">
        <w:rPr>
          <w:rFonts w:cs="Times New Roman"/>
          <w:color w:val="000000"/>
          <w:szCs w:val="24"/>
        </w:rPr>
        <w:t xml:space="preserve"> </w:t>
      </w:r>
      <w:r w:rsidRPr="00423400">
        <w:rPr>
          <w:rFonts w:cs="Times New Roman"/>
          <w:color w:val="000000"/>
          <w:szCs w:val="24"/>
        </w:rPr>
        <w:t>In developing his recommended DCF range, Mr. McKenzie excluded what he found to be outlier results.</w:t>
      </w:r>
      <w:r>
        <w:rPr>
          <w:rStyle w:val="FootnoteReference"/>
          <w:rFonts w:cs="Times New Roman"/>
          <w:color w:val="000000"/>
          <w:szCs w:val="24"/>
        </w:rPr>
        <w:footnoteReference w:id="234"/>
      </w:r>
      <w:r w:rsidRPr="00423400">
        <w:rPr>
          <w:rFonts w:cs="Times New Roman"/>
          <w:color w:val="000000"/>
          <w:szCs w:val="24"/>
        </w:rPr>
        <w:t xml:space="preserve"> Mr. McKenzie removed 14 low-end outliers and zero high</w:t>
      </w:r>
      <w:r w:rsidRPr="00423400">
        <w:rPr>
          <w:rFonts w:cs="Times New Roman"/>
          <w:color w:val="000000"/>
          <w:szCs w:val="24"/>
        </w:rPr>
        <w:noBreakHyphen/>
        <w:t>end outliers from his DCF results for his proxy group.</w:t>
      </w:r>
      <w:r>
        <w:rPr>
          <w:rStyle w:val="FootnoteReference"/>
          <w:rFonts w:cs="Times New Roman"/>
          <w:color w:val="000000"/>
          <w:szCs w:val="24"/>
        </w:rPr>
        <w:footnoteReference w:id="235"/>
      </w:r>
      <w:r w:rsidRPr="00423400">
        <w:rPr>
          <w:rFonts w:cs="Times New Roman"/>
          <w:color w:val="000000"/>
          <w:szCs w:val="24"/>
        </w:rPr>
        <w:t xml:space="preserve"> Mr. McKenzie’s proposal to selectively remove what he believes to be low-end outliers from the proxy group has the effect of manipulating the results of the proxy group study.</w:t>
      </w:r>
      <w:r>
        <w:rPr>
          <w:rStyle w:val="FootnoteReference"/>
          <w:rFonts w:cs="Times New Roman"/>
          <w:color w:val="000000"/>
          <w:szCs w:val="24"/>
        </w:rPr>
        <w:footnoteReference w:id="236"/>
      </w:r>
      <w:r w:rsidRPr="00423400">
        <w:rPr>
          <w:rFonts w:cs="Times New Roman"/>
          <w:color w:val="000000"/>
          <w:szCs w:val="24"/>
        </w:rPr>
        <w:t xml:space="preserve"> Mr. McKenzie simply narrows the range of the proxy group results to produce a result which he finds to be reasonable. This is not a reasonable assessment of what the current market cost of equity is for </w:t>
      </w:r>
      <w:r w:rsidRPr="00423400">
        <w:rPr>
          <w:rFonts w:cs="Times New Roman"/>
          <w:szCs w:val="24"/>
        </w:rPr>
        <w:t>DP&amp;L</w:t>
      </w:r>
      <w:r w:rsidRPr="00423400">
        <w:rPr>
          <w:rFonts w:cs="Times New Roman"/>
          <w:color w:val="000000"/>
          <w:szCs w:val="24"/>
        </w:rPr>
        <w:t>.</w:t>
      </w:r>
      <w:r w:rsidRPr="00423400" w:rsidR="000B30E6">
        <w:rPr>
          <w:rFonts w:cs="Times New Roman"/>
          <w:color w:val="000000"/>
          <w:szCs w:val="24"/>
        </w:rPr>
        <w:t xml:space="preserve"> Mr. Walters </w:t>
      </w:r>
      <w:r w:rsidRPr="00423400" w:rsidR="008C6A7F">
        <w:rPr>
          <w:rFonts w:cs="Times New Roman"/>
          <w:color w:val="000000"/>
          <w:szCs w:val="24"/>
        </w:rPr>
        <w:t xml:space="preserve">further explained that </w:t>
      </w:r>
      <w:r w:rsidRPr="00423400">
        <w:rPr>
          <w:rFonts w:cs="Times New Roman"/>
          <w:color w:val="000000"/>
          <w:szCs w:val="24"/>
        </w:rPr>
        <w:t>relying on the midpoint as Mr. McKenzie has done is not a well-accepted method of measuring the central tendency.</w:t>
      </w:r>
      <w:r>
        <w:rPr>
          <w:rStyle w:val="FootnoteReference"/>
          <w:rFonts w:cs="Times New Roman"/>
          <w:color w:val="000000"/>
          <w:szCs w:val="24"/>
        </w:rPr>
        <w:footnoteReference w:id="237"/>
      </w:r>
      <w:r w:rsidRPr="00423400">
        <w:rPr>
          <w:rFonts w:cs="Times New Roman"/>
          <w:color w:val="000000"/>
          <w:szCs w:val="24"/>
        </w:rPr>
        <w:t xml:space="preserve"> The midpoint methodology employed by Mr. McKenzie ignores all but two results, the highest and the lowest.</w:t>
      </w:r>
      <w:r>
        <w:rPr>
          <w:rStyle w:val="FootnoteReference"/>
          <w:rFonts w:cs="Times New Roman"/>
          <w:color w:val="000000"/>
          <w:szCs w:val="24"/>
        </w:rPr>
        <w:footnoteReference w:id="238"/>
      </w:r>
      <w:r w:rsidRPr="00423400">
        <w:rPr>
          <w:rFonts w:cs="Times New Roman"/>
          <w:color w:val="000000"/>
          <w:szCs w:val="24"/>
        </w:rPr>
        <w:t xml:space="preserve"> </w:t>
      </w:r>
    </w:p>
    <w:p w:rsidR="00ED32B2" w:rsidRPr="00423400" w:rsidP="00317FBF" w14:paraId="25871CD0" w14:textId="77777777">
      <w:pPr>
        <w:spacing w:after="0" w:line="480" w:lineRule="auto"/>
        <w:rPr>
          <w:rFonts w:cs="Times New Roman"/>
          <w:color w:val="000000"/>
          <w:szCs w:val="24"/>
        </w:rPr>
      </w:pPr>
      <w:r w:rsidRPr="00423400">
        <w:rPr>
          <w:rFonts w:cs="Times New Roman"/>
          <w:color w:val="000000"/>
          <w:szCs w:val="24"/>
        </w:rPr>
        <w:tab/>
      </w:r>
      <w:r w:rsidRPr="00423400" w:rsidR="008C6A7F">
        <w:rPr>
          <w:rFonts w:cs="Times New Roman"/>
          <w:color w:val="000000"/>
          <w:szCs w:val="24"/>
        </w:rPr>
        <w:t>OCC’s expert Mr. Walters testified that a</w:t>
      </w:r>
      <w:r w:rsidRPr="00423400">
        <w:rPr>
          <w:rFonts w:cs="Times New Roman"/>
          <w:color w:val="000000"/>
          <w:szCs w:val="24"/>
        </w:rPr>
        <w:t xml:space="preserve"> better methodology would be to rely on all the results of the proxy group, by assessing the central tendency of the proxy group results.</w:t>
      </w:r>
      <w:r>
        <w:rPr>
          <w:rStyle w:val="FootnoteReference"/>
          <w:rFonts w:cs="Times New Roman"/>
          <w:color w:val="000000"/>
          <w:szCs w:val="24"/>
        </w:rPr>
        <w:footnoteReference w:id="239"/>
      </w:r>
      <w:r w:rsidRPr="00423400">
        <w:rPr>
          <w:rFonts w:cs="Times New Roman"/>
          <w:color w:val="000000"/>
          <w:szCs w:val="24"/>
        </w:rPr>
        <w:t xml:space="preserve"> In the presence of outliers, a more accurate method of measuring the central tendency of the proxy group’s results would be to measure the median of all the DCF return estimates.</w:t>
      </w:r>
      <w:r>
        <w:rPr>
          <w:rStyle w:val="FootnoteReference"/>
          <w:rFonts w:cs="Times New Roman"/>
          <w:color w:val="000000"/>
          <w:szCs w:val="24"/>
        </w:rPr>
        <w:footnoteReference w:id="240"/>
      </w:r>
      <w:r w:rsidRPr="00423400">
        <w:rPr>
          <w:rFonts w:cs="Times New Roman"/>
          <w:color w:val="000000"/>
          <w:szCs w:val="24"/>
        </w:rPr>
        <w:t xml:space="preserve"> </w:t>
      </w:r>
    </w:p>
    <w:p w:rsidR="00ED32B2" w:rsidRPr="00423400" w:rsidP="00317FBF" w14:paraId="4B692EB4" w14:textId="77777777">
      <w:pPr>
        <w:spacing w:after="0" w:line="480" w:lineRule="auto"/>
        <w:rPr>
          <w:rFonts w:cs="Times New Roman"/>
          <w:color w:val="000000"/>
          <w:szCs w:val="24"/>
        </w:rPr>
      </w:pPr>
      <w:r w:rsidRPr="00423400">
        <w:rPr>
          <w:rFonts w:cs="Times New Roman"/>
          <w:color w:val="000000"/>
          <w:szCs w:val="24"/>
        </w:rPr>
        <w:tab/>
        <w:t xml:space="preserve">The median DCF results for </w:t>
      </w:r>
      <w:r w:rsidRPr="00423400" w:rsidR="008C6A7F">
        <w:rPr>
          <w:rFonts w:cs="Times New Roman"/>
          <w:color w:val="000000"/>
          <w:szCs w:val="24"/>
        </w:rPr>
        <w:t>Mr. McKenzie’s</w:t>
      </w:r>
      <w:r w:rsidRPr="00423400">
        <w:rPr>
          <w:rFonts w:cs="Times New Roman"/>
          <w:color w:val="000000"/>
          <w:szCs w:val="24"/>
        </w:rPr>
        <w:t xml:space="preserve"> proxy group is no higher than 9.0% as shown on </w:t>
      </w:r>
      <w:r w:rsidRPr="00423400" w:rsidR="00546374">
        <w:rPr>
          <w:rFonts w:cs="Times New Roman"/>
          <w:color w:val="000000"/>
          <w:szCs w:val="24"/>
        </w:rPr>
        <w:t>Mr. Walter’s</w:t>
      </w:r>
      <w:r w:rsidRPr="00423400">
        <w:rPr>
          <w:rFonts w:cs="Times New Roman"/>
          <w:color w:val="000000"/>
          <w:szCs w:val="24"/>
        </w:rPr>
        <w:t xml:space="preserve"> Exhibit CCW-20.</w:t>
      </w:r>
      <w:r>
        <w:rPr>
          <w:rStyle w:val="FootnoteReference"/>
          <w:rFonts w:cs="Times New Roman"/>
          <w:color w:val="000000"/>
          <w:szCs w:val="24"/>
        </w:rPr>
        <w:footnoteReference w:id="241"/>
      </w:r>
      <w:r w:rsidRPr="00423400">
        <w:rPr>
          <w:rFonts w:cs="Times New Roman"/>
          <w:color w:val="000000"/>
          <w:szCs w:val="24"/>
        </w:rPr>
        <w:t xml:space="preserve"> </w:t>
      </w:r>
      <w:r w:rsidRPr="00423400" w:rsidR="00546374">
        <w:rPr>
          <w:rFonts w:cs="Times New Roman"/>
          <w:color w:val="000000"/>
          <w:szCs w:val="24"/>
        </w:rPr>
        <w:t xml:space="preserve">Mr. Walters correctly recommends that </w:t>
      </w:r>
      <w:r w:rsidRPr="00423400">
        <w:rPr>
          <w:rFonts w:cs="Times New Roman"/>
          <w:color w:val="000000"/>
          <w:szCs w:val="24"/>
        </w:rPr>
        <w:t>Mr. McKenzie’s lopsided outlier test unreasonably biases the results of his analyses upwards and should be rejected.</w:t>
      </w:r>
      <w:r>
        <w:rPr>
          <w:rStyle w:val="FootnoteReference"/>
          <w:rFonts w:cs="Times New Roman"/>
          <w:color w:val="000000"/>
          <w:szCs w:val="24"/>
        </w:rPr>
        <w:footnoteReference w:id="242"/>
      </w:r>
      <w:r w:rsidRPr="00423400">
        <w:rPr>
          <w:rFonts w:cs="Times New Roman"/>
          <w:color w:val="000000"/>
          <w:szCs w:val="24"/>
        </w:rPr>
        <w:t xml:space="preserve"> This bias is exacerbated with the use of his midpoint methodology. </w:t>
      </w:r>
      <w:r>
        <w:rPr>
          <w:rStyle w:val="FootnoteReference"/>
          <w:rFonts w:cs="Times New Roman"/>
          <w:color w:val="000000"/>
          <w:szCs w:val="24"/>
        </w:rPr>
        <w:footnoteReference w:id="243"/>
      </w:r>
      <w:r w:rsidRPr="00423400">
        <w:rPr>
          <w:rFonts w:cs="Times New Roman"/>
          <w:color w:val="000000"/>
          <w:szCs w:val="24"/>
        </w:rPr>
        <w:t xml:space="preserve">As such, they should be </w:t>
      </w:r>
      <w:r w:rsidRPr="00423400" w:rsidR="00546374">
        <w:rPr>
          <w:rFonts w:cs="Times New Roman"/>
          <w:color w:val="000000"/>
          <w:szCs w:val="24"/>
        </w:rPr>
        <w:t>b</w:t>
      </w:r>
      <w:r w:rsidRPr="00423400">
        <w:rPr>
          <w:rFonts w:cs="Times New Roman"/>
          <w:color w:val="000000"/>
          <w:szCs w:val="24"/>
        </w:rPr>
        <w:t>oth be rejected, and the median results should be relied on.</w:t>
      </w:r>
      <w:r>
        <w:rPr>
          <w:rStyle w:val="FootnoteReference"/>
          <w:rFonts w:cs="Times New Roman"/>
          <w:color w:val="000000"/>
          <w:szCs w:val="24"/>
        </w:rPr>
        <w:footnoteReference w:id="244"/>
      </w:r>
      <w:r w:rsidRPr="00423400">
        <w:rPr>
          <w:rFonts w:cs="Times New Roman"/>
          <w:color w:val="000000"/>
          <w:szCs w:val="24"/>
        </w:rPr>
        <w:t xml:space="preserve"> </w:t>
      </w:r>
    </w:p>
    <w:p w:rsidR="00816695" w:rsidRPr="00423400" w:rsidP="00E3353B" w14:paraId="1D3192BF" w14:textId="77777777">
      <w:pPr>
        <w:tabs>
          <w:tab w:val="left" w:pos="-1440"/>
        </w:tabs>
        <w:spacing w:line="480" w:lineRule="auto"/>
        <w:rPr>
          <w:rFonts w:cs="Times New Roman"/>
          <w:color w:val="000000"/>
          <w:szCs w:val="24"/>
        </w:rPr>
      </w:pPr>
      <w:r w:rsidRPr="00423400">
        <w:rPr>
          <w:rFonts w:cs="Times New Roman"/>
          <w:color w:val="000000"/>
          <w:szCs w:val="24"/>
        </w:rPr>
        <w:tab/>
        <w:t xml:space="preserve">Therefore, to protect consumers for paying higher rates, the PUCO should reject the PUCO Staff’s </w:t>
      </w:r>
      <w:r w:rsidRPr="00423400" w:rsidR="00B520C7">
        <w:rPr>
          <w:rFonts w:cs="Times New Roman"/>
          <w:color w:val="000000"/>
          <w:szCs w:val="24"/>
        </w:rPr>
        <w:t xml:space="preserve">and DP&amp;L witness McKenzie’s </w:t>
      </w:r>
      <w:r w:rsidRPr="00423400" w:rsidR="00317FBF">
        <w:rPr>
          <w:rFonts w:cs="Times New Roman"/>
          <w:color w:val="000000"/>
          <w:szCs w:val="24"/>
        </w:rPr>
        <w:t xml:space="preserve">DCF analyses </w:t>
      </w:r>
      <w:r w:rsidRPr="00423400" w:rsidR="002A5A75">
        <w:rPr>
          <w:rFonts w:cs="Times New Roman"/>
          <w:color w:val="000000"/>
          <w:szCs w:val="24"/>
        </w:rPr>
        <w:t>and should instead adopt OCC’s witness recommendation</w:t>
      </w:r>
      <w:r w:rsidRPr="00423400" w:rsidR="006F438E">
        <w:rPr>
          <w:rFonts w:cs="Times New Roman"/>
          <w:color w:val="000000"/>
          <w:szCs w:val="24"/>
        </w:rPr>
        <w:t xml:space="preserve"> of a DCF return on equity no higher than 9.0%.</w:t>
      </w:r>
      <w:r w:rsidRPr="00423400" w:rsidR="002A5A75">
        <w:rPr>
          <w:rFonts w:cs="Times New Roman"/>
          <w:color w:val="000000"/>
          <w:szCs w:val="24"/>
        </w:rPr>
        <w:t xml:space="preserve"> </w:t>
      </w:r>
    </w:p>
    <w:tbl>
      <w:tblPr>
        <w:tblW w:w="6942" w:type="dxa"/>
        <w:jc w:val="center"/>
        <w:tblInd w:w="0" w:type="dxa"/>
        <w:tblCellMar>
          <w:top w:w="0" w:type="dxa"/>
          <w:left w:w="108" w:type="dxa"/>
          <w:bottom w:w="0" w:type="dxa"/>
          <w:right w:w="108" w:type="dxa"/>
        </w:tblCellMar>
        <w:tblLook w:val="04A0"/>
      </w:tblPr>
      <w:tblGrid>
        <w:gridCol w:w="1306"/>
        <w:gridCol w:w="2237"/>
        <w:gridCol w:w="773"/>
        <w:gridCol w:w="1320"/>
        <w:gridCol w:w="1306"/>
      </w:tblGrid>
      <w:tr w14:paraId="241BB2B3" w14:textId="77777777" w:rsidTr="00FF6197">
        <w:tblPrEx>
          <w:tblW w:w="6942" w:type="dxa"/>
          <w:jc w:val="center"/>
          <w:tblInd w:w="0" w:type="dxa"/>
          <w:tblCellMar>
            <w:top w:w="0" w:type="dxa"/>
            <w:left w:w="108" w:type="dxa"/>
            <w:bottom w:w="0" w:type="dxa"/>
            <w:right w:w="108" w:type="dxa"/>
          </w:tblCellMar>
          <w:tblLook w:val="04A0"/>
        </w:tblPrEx>
        <w:trPr>
          <w:trHeight w:val="262"/>
          <w:jc w:val="center"/>
        </w:trPr>
        <w:tc>
          <w:tcPr>
            <w:tcW w:w="1306" w:type="dxa"/>
            <w:tcBorders>
              <w:top w:val="single" w:sz="4" w:space="0" w:color="auto"/>
              <w:left w:val="single" w:sz="4" w:space="0" w:color="auto"/>
              <w:bottom w:val="nil"/>
              <w:right w:val="nil"/>
            </w:tcBorders>
            <w:shd w:val="clear" w:color="auto" w:fill="auto"/>
            <w:noWrap/>
            <w:vAlign w:val="bottom"/>
            <w:hideMark/>
          </w:tcPr>
          <w:p w:rsidR="00FF6197" w:rsidRPr="00423400" w:rsidP="00F228F4" w14:paraId="11D77DAF" w14:textId="77777777">
            <w:pPr>
              <w:keepNext/>
              <w:rPr>
                <w:rStyle w:val="DefaultParagraphFont"/>
                <w:rFonts w:ascii="Times New Roman" w:hAnsi="Times New Roman" w:eastAsiaTheme="minorHAnsi" w:cs="Times New Roman"/>
                <w:color w:val="000000"/>
                <w:sz w:val="24"/>
                <w:szCs w:val="24"/>
                <w:lang w:val="en-US" w:eastAsia="en-US" w:bidi="ar-SA"/>
              </w:rPr>
            </w:pPr>
            <w:r w:rsidRPr="00423400">
              <w:rPr>
                <w:rFonts w:ascii="Times New Roman" w:hAnsi="Times New Roman" w:eastAsiaTheme="minorHAnsi" w:cs="Times New Roman"/>
                <w:color w:val="000000"/>
                <w:sz w:val="24"/>
                <w:szCs w:val="24"/>
                <w:lang w:val="en-US" w:eastAsia="en-US" w:bidi="ar-SA"/>
              </w:rPr>
              <w:t> </w:t>
            </w:r>
          </w:p>
        </w:tc>
        <w:tc>
          <w:tcPr>
            <w:tcW w:w="2237" w:type="dxa"/>
            <w:tcBorders>
              <w:top w:val="single" w:sz="4" w:space="0" w:color="auto"/>
              <w:left w:val="nil"/>
              <w:bottom w:val="nil"/>
              <w:right w:val="nil"/>
            </w:tcBorders>
            <w:shd w:val="clear" w:color="auto" w:fill="auto"/>
            <w:noWrap/>
            <w:vAlign w:val="bottom"/>
            <w:hideMark/>
          </w:tcPr>
          <w:p w:rsidR="00FF6197" w:rsidRPr="00423400" w:rsidP="00F228F4" w14:paraId="12FD6351" w14:textId="77777777">
            <w:pPr>
              <w:keepNext/>
              <w:rPr>
                <w:rStyle w:val="DefaultParagraphFont"/>
                <w:rFonts w:ascii="Times New Roman" w:hAnsi="Times New Roman" w:eastAsiaTheme="minorHAnsi" w:cs="Times New Roman"/>
                <w:color w:val="000000"/>
                <w:sz w:val="24"/>
                <w:szCs w:val="24"/>
                <w:lang w:val="en-US" w:eastAsia="en-US" w:bidi="ar-SA"/>
              </w:rPr>
            </w:pPr>
            <w:r w:rsidRPr="00423400">
              <w:rPr>
                <w:rFonts w:ascii="Times New Roman" w:hAnsi="Times New Roman" w:eastAsiaTheme="minorHAnsi" w:cs="Times New Roman"/>
                <w:color w:val="000000"/>
                <w:sz w:val="24"/>
                <w:szCs w:val="24"/>
                <w:lang w:val="en-US" w:eastAsia="en-US" w:bidi="ar-SA"/>
              </w:rPr>
              <w:t> </w:t>
            </w:r>
          </w:p>
        </w:tc>
        <w:tc>
          <w:tcPr>
            <w:tcW w:w="773" w:type="dxa"/>
            <w:tcBorders>
              <w:top w:val="single" w:sz="4" w:space="0" w:color="auto"/>
              <w:left w:val="nil"/>
              <w:bottom w:val="nil"/>
              <w:right w:val="nil"/>
            </w:tcBorders>
            <w:shd w:val="clear" w:color="auto" w:fill="auto"/>
            <w:noWrap/>
            <w:vAlign w:val="bottom"/>
            <w:hideMark/>
          </w:tcPr>
          <w:p w:rsidR="00FF6197" w:rsidRPr="00423400" w:rsidP="00F228F4" w14:paraId="1DD7CB82" w14:textId="77777777">
            <w:pPr>
              <w:keepNext/>
              <w:rPr>
                <w:rStyle w:val="DefaultParagraphFont"/>
                <w:rFonts w:ascii="Times New Roman" w:hAnsi="Times New Roman" w:eastAsiaTheme="minorHAnsi" w:cs="Times New Roman"/>
                <w:color w:val="000000"/>
                <w:sz w:val="24"/>
                <w:szCs w:val="24"/>
                <w:lang w:val="en-US" w:eastAsia="en-US" w:bidi="ar-SA"/>
              </w:rPr>
            </w:pPr>
            <w:r w:rsidRPr="00423400">
              <w:rPr>
                <w:rFonts w:ascii="Times New Roman" w:hAnsi="Times New Roman" w:eastAsiaTheme="minorHAnsi" w:cs="Times New Roman"/>
                <w:color w:val="000000"/>
                <w:sz w:val="24"/>
                <w:szCs w:val="24"/>
                <w:lang w:val="en-US" w:eastAsia="en-US" w:bidi="ar-SA"/>
              </w:rPr>
              <w:t> </w:t>
            </w:r>
          </w:p>
        </w:tc>
        <w:tc>
          <w:tcPr>
            <w:tcW w:w="1320" w:type="dxa"/>
            <w:tcBorders>
              <w:top w:val="single" w:sz="4" w:space="0" w:color="auto"/>
              <w:left w:val="nil"/>
              <w:bottom w:val="nil"/>
              <w:right w:val="nil"/>
            </w:tcBorders>
            <w:shd w:val="clear" w:color="auto" w:fill="auto"/>
            <w:noWrap/>
            <w:vAlign w:val="bottom"/>
            <w:hideMark/>
          </w:tcPr>
          <w:p w:rsidR="00FF6197" w:rsidRPr="00423400" w:rsidP="00F228F4" w14:paraId="7AA6ECBA" w14:textId="77777777">
            <w:pPr>
              <w:keepNext/>
              <w:rPr>
                <w:rStyle w:val="DefaultParagraphFont"/>
                <w:rFonts w:ascii="Times New Roman" w:hAnsi="Times New Roman" w:eastAsiaTheme="minorHAnsi" w:cs="Times New Roman"/>
                <w:color w:val="000000"/>
                <w:sz w:val="24"/>
                <w:szCs w:val="24"/>
                <w:lang w:val="en-US" w:eastAsia="en-US" w:bidi="ar-SA"/>
              </w:rPr>
            </w:pPr>
            <w:r w:rsidRPr="00423400">
              <w:rPr>
                <w:rFonts w:ascii="Times New Roman" w:hAnsi="Times New Roman" w:eastAsiaTheme="minorHAnsi" w:cs="Times New Roman"/>
                <w:color w:val="000000"/>
                <w:sz w:val="24"/>
                <w:szCs w:val="24"/>
                <w:lang w:val="en-US" w:eastAsia="en-US" w:bidi="ar-SA"/>
              </w:rPr>
              <w:t> </w:t>
            </w:r>
          </w:p>
        </w:tc>
        <w:tc>
          <w:tcPr>
            <w:tcW w:w="1306" w:type="dxa"/>
            <w:tcBorders>
              <w:top w:val="single" w:sz="4" w:space="0" w:color="auto"/>
              <w:left w:val="nil"/>
              <w:bottom w:val="nil"/>
              <w:right w:val="single" w:sz="4" w:space="0" w:color="auto"/>
            </w:tcBorders>
            <w:shd w:val="clear" w:color="auto" w:fill="auto"/>
            <w:noWrap/>
            <w:vAlign w:val="bottom"/>
            <w:hideMark/>
          </w:tcPr>
          <w:p w:rsidR="00FF6197" w:rsidRPr="00423400" w:rsidP="00F228F4" w14:paraId="70D485BE" w14:textId="77777777">
            <w:pPr>
              <w:keepNext/>
              <w:rPr>
                <w:rStyle w:val="DefaultParagraphFont"/>
                <w:rFonts w:ascii="Times New Roman" w:hAnsi="Times New Roman" w:eastAsiaTheme="minorHAnsi" w:cs="Times New Roman"/>
                <w:color w:val="000000"/>
                <w:sz w:val="24"/>
                <w:szCs w:val="24"/>
                <w:lang w:val="en-US" w:eastAsia="en-US" w:bidi="ar-SA"/>
              </w:rPr>
            </w:pPr>
            <w:r w:rsidRPr="00423400">
              <w:rPr>
                <w:rFonts w:ascii="Times New Roman" w:hAnsi="Times New Roman" w:eastAsiaTheme="minorHAnsi" w:cs="Times New Roman"/>
                <w:color w:val="000000"/>
                <w:sz w:val="24"/>
                <w:szCs w:val="24"/>
                <w:lang w:val="en-US" w:eastAsia="en-US" w:bidi="ar-SA"/>
              </w:rPr>
              <w:t> </w:t>
            </w:r>
          </w:p>
        </w:tc>
      </w:tr>
      <w:tr w14:paraId="7FA5E475" w14:textId="77777777" w:rsidTr="00F228F4">
        <w:tblPrEx>
          <w:tblW w:w="6942" w:type="dxa"/>
          <w:jc w:val="center"/>
          <w:tblInd w:w="0" w:type="dxa"/>
          <w:tblCellMar>
            <w:top w:w="0" w:type="dxa"/>
            <w:left w:w="108" w:type="dxa"/>
            <w:bottom w:w="0" w:type="dxa"/>
            <w:right w:w="108" w:type="dxa"/>
          </w:tblCellMar>
          <w:tblLook w:val="04A0"/>
        </w:tblPrEx>
        <w:trPr>
          <w:trHeight w:val="275"/>
          <w:jc w:val="center"/>
        </w:trPr>
        <w:tc>
          <w:tcPr>
            <w:tcW w:w="1306" w:type="dxa"/>
            <w:tcBorders>
              <w:top w:val="nil"/>
              <w:left w:val="single" w:sz="4" w:space="0" w:color="auto"/>
              <w:bottom w:val="nil"/>
              <w:right w:val="nil"/>
            </w:tcBorders>
            <w:shd w:val="clear" w:color="auto" w:fill="auto"/>
            <w:noWrap/>
            <w:vAlign w:val="bottom"/>
            <w:hideMark/>
          </w:tcPr>
          <w:p w:rsidR="00FF6197" w:rsidRPr="00423400" w:rsidP="00F228F4" w14:paraId="55A34D6D" w14:textId="77777777">
            <w:pPr>
              <w:keepNext/>
              <w:rPr>
                <w:rStyle w:val="DefaultParagraphFont"/>
                <w:rFonts w:ascii="Times New Roman" w:hAnsi="Times New Roman" w:eastAsiaTheme="minorHAnsi" w:cs="Times New Roman"/>
                <w:color w:val="000000"/>
                <w:sz w:val="24"/>
                <w:szCs w:val="24"/>
                <w:lang w:val="en-US" w:eastAsia="en-US" w:bidi="ar-SA"/>
              </w:rPr>
            </w:pPr>
            <w:r w:rsidRPr="00423400">
              <w:rPr>
                <w:rFonts w:ascii="Times New Roman" w:hAnsi="Times New Roman" w:eastAsiaTheme="minorHAnsi" w:cs="Times New Roman"/>
                <w:color w:val="000000"/>
                <w:sz w:val="24"/>
                <w:szCs w:val="24"/>
                <w:lang w:val="en-US" w:eastAsia="en-US" w:bidi="ar-SA"/>
              </w:rPr>
              <w:t> </w:t>
            </w:r>
          </w:p>
        </w:tc>
        <w:tc>
          <w:tcPr>
            <w:tcW w:w="4330" w:type="dxa"/>
            <w:gridSpan w:val="3"/>
            <w:tcBorders>
              <w:top w:val="nil"/>
              <w:left w:val="nil"/>
              <w:bottom w:val="nil"/>
              <w:right w:val="nil"/>
            </w:tcBorders>
            <w:shd w:val="clear" w:color="auto" w:fill="auto"/>
            <w:noWrap/>
            <w:vAlign w:val="bottom"/>
            <w:hideMark/>
          </w:tcPr>
          <w:p w:rsidR="00FF6197" w:rsidRPr="00423400" w:rsidP="00F228F4" w14:paraId="74DE249D" w14:textId="77777777">
            <w:pPr>
              <w:keepNext/>
              <w:jc w:val="center"/>
              <w:rPr>
                <w:rStyle w:val="DefaultParagraphFont"/>
                <w:rFonts w:ascii="Times New Roman" w:hAnsi="Times New Roman" w:eastAsiaTheme="minorHAnsi" w:cs="Times New Roman"/>
                <w:b/>
                <w:bCs/>
                <w:color w:val="000000"/>
                <w:sz w:val="24"/>
                <w:szCs w:val="24"/>
                <w:lang w:val="en-US" w:eastAsia="en-US" w:bidi="ar-SA"/>
              </w:rPr>
            </w:pPr>
            <w:r w:rsidRPr="00423400">
              <w:rPr>
                <w:rFonts w:ascii="Times New Roman" w:hAnsi="Times New Roman" w:eastAsiaTheme="minorHAnsi" w:cs="Times New Roman"/>
                <w:b/>
                <w:bCs/>
                <w:color w:val="000000"/>
                <w:sz w:val="24"/>
                <w:szCs w:val="24"/>
                <w:lang w:val="en-US" w:eastAsia="en-US" w:bidi="ar-SA"/>
              </w:rPr>
              <w:t>TABLE CCW-12</w:t>
            </w:r>
          </w:p>
        </w:tc>
        <w:tc>
          <w:tcPr>
            <w:tcW w:w="1306" w:type="dxa"/>
            <w:tcBorders>
              <w:top w:val="nil"/>
              <w:left w:val="nil"/>
              <w:bottom w:val="nil"/>
              <w:right w:val="single" w:sz="4" w:space="0" w:color="auto"/>
            </w:tcBorders>
            <w:shd w:val="clear" w:color="auto" w:fill="auto"/>
            <w:noWrap/>
            <w:vAlign w:val="bottom"/>
            <w:hideMark/>
          </w:tcPr>
          <w:p w:rsidR="00FF6197" w:rsidRPr="00423400" w:rsidP="00F228F4" w14:paraId="092F88F5" w14:textId="77777777">
            <w:pPr>
              <w:keepNext/>
              <w:rPr>
                <w:rStyle w:val="DefaultParagraphFont"/>
                <w:rFonts w:ascii="Times New Roman" w:hAnsi="Times New Roman" w:eastAsiaTheme="minorHAnsi" w:cs="Times New Roman"/>
                <w:color w:val="000000"/>
                <w:sz w:val="24"/>
                <w:szCs w:val="24"/>
                <w:lang w:val="en-US" w:eastAsia="en-US" w:bidi="ar-SA"/>
              </w:rPr>
            </w:pPr>
            <w:r w:rsidRPr="00423400">
              <w:rPr>
                <w:rFonts w:ascii="Times New Roman" w:hAnsi="Times New Roman" w:eastAsiaTheme="minorHAnsi" w:cs="Times New Roman"/>
                <w:color w:val="000000"/>
                <w:sz w:val="24"/>
                <w:szCs w:val="24"/>
                <w:lang w:val="en-US" w:eastAsia="en-US" w:bidi="ar-SA"/>
              </w:rPr>
              <w:t> </w:t>
            </w:r>
          </w:p>
        </w:tc>
      </w:tr>
      <w:tr w14:paraId="369B5E75" w14:textId="77777777" w:rsidTr="00F228F4">
        <w:tblPrEx>
          <w:tblW w:w="6942" w:type="dxa"/>
          <w:jc w:val="center"/>
          <w:tblInd w:w="0" w:type="dxa"/>
          <w:tblCellMar>
            <w:top w:w="0" w:type="dxa"/>
            <w:left w:w="108" w:type="dxa"/>
            <w:bottom w:w="0" w:type="dxa"/>
            <w:right w:w="108" w:type="dxa"/>
          </w:tblCellMar>
          <w:tblLook w:val="04A0"/>
        </w:tblPrEx>
        <w:trPr>
          <w:trHeight w:val="275"/>
          <w:jc w:val="center"/>
        </w:trPr>
        <w:tc>
          <w:tcPr>
            <w:tcW w:w="1306" w:type="dxa"/>
            <w:tcBorders>
              <w:top w:val="nil"/>
              <w:left w:val="single" w:sz="4" w:space="0" w:color="auto"/>
              <w:bottom w:val="nil"/>
              <w:right w:val="nil"/>
            </w:tcBorders>
            <w:shd w:val="clear" w:color="auto" w:fill="auto"/>
            <w:noWrap/>
            <w:vAlign w:val="bottom"/>
            <w:hideMark/>
          </w:tcPr>
          <w:p w:rsidR="00FF6197" w:rsidRPr="00423400" w:rsidP="00F228F4" w14:paraId="1A3A6B52" w14:textId="77777777">
            <w:pPr>
              <w:keepNext/>
              <w:rPr>
                <w:rStyle w:val="DefaultParagraphFont"/>
                <w:rFonts w:ascii="Times New Roman" w:hAnsi="Times New Roman" w:eastAsiaTheme="minorHAnsi" w:cs="Times New Roman"/>
                <w:color w:val="000000"/>
                <w:sz w:val="24"/>
                <w:szCs w:val="24"/>
                <w:lang w:val="en-US" w:eastAsia="en-US" w:bidi="ar-SA"/>
              </w:rPr>
            </w:pPr>
            <w:r w:rsidRPr="00423400">
              <w:rPr>
                <w:rFonts w:ascii="Times New Roman" w:hAnsi="Times New Roman" w:eastAsiaTheme="minorHAnsi" w:cs="Times New Roman"/>
                <w:color w:val="000000"/>
                <w:sz w:val="24"/>
                <w:szCs w:val="24"/>
                <w:lang w:val="en-US" w:eastAsia="en-US" w:bidi="ar-SA"/>
              </w:rPr>
              <w:t> </w:t>
            </w:r>
          </w:p>
        </w:tc>
        <w:tc>
          <w:tcPr>
            <w:tcW w:w="4330" w:type="dxa"/>
            <w:gridSpan w:val="3"/>
            <w:tcBorders>
              <w:top w:val="nil"/>
              <w:left w:val="nil"/>
              <w:bottom w:val="nil"/>
              <w:right w:val="nil"/>
            </w:tcBorders>
            <w:shd w:val="clear" w:color="auto" w:fill="auto"/>
            <w:noWrap/>
            <w:vAlign w:val="bottom"/>
            <w:hideMark/>
          </w:tcPr>
          <w:p w:rsidR="00FF6197" w:rsidRPr="00423400" w:rsidP="00F228F4" w14:paraId="4E33E45B" w14:textId="77777777">
            <w:pPr>
              <w:keepNext/>
              <w:jc w:val="center"/>
              <w:rPr>
                <w:rStyle w:val="DefaultParagraphFont"/>
                <w:rFonts w:ascii="Times New Roman" w:hAnsi="Times New Roman" w:eastAsiaTheme="minorHAnsi" w:cs="Times New Roman"/>
                <w:b/>
                <w:bCs/>
                <w:color w:val="000000"/>
                <w:sz w:val="24"/>
                <w:szCs w:val="24"/>
                <w:u w:val="single"/>
                <w:lang w:val="en-US" w:eastAsia="en-US" w:bidi="ar-SA"/>
              </w:rPr>
            </w:pPr>
            <w:r w:rsidRPr="00423400">
              <w:rPr>
                <w:rFonts w:ascii="Times New Roman" w:hAnsi="Times New Roman" w:eastAsiaTheme="minorHAnsi" w:cs="Times New Roman"/>
                <w:b/>
                <w:bCs/>
                <w:color w:val="000000"/>
                <w:sz w:val="24"/>
                <w:szCs w:val="24"/>
                <w:u w:val="single"/>
                <w:lang w:val="en-US" w:eastAsia="en-US" w:bidi="ar-SA"/>
              </w:rPr>
              <w:t>Staff’s Constant DCF Return</w:t>
            </w:r>
          </w:p>
        </w:tc>
        <w:tc>
          <w:tcPr>
            <w:tcW w:w="1306" w:type="dxa"/>
            <w:tcBorders>
              <w:top w:val="nil"/>
              <w:left w:val="nil"/>
              <w:bottom w:val="nil"/>
              <w:right w:val="single" w:sz="4" w:space="0" w:color="auto"/>
            </w:tcBorders>
            <w:shd w:val="clear" w:color="auto" w:fill="auto"/>
            <w:noWrap/>
            <w:vAlign w:val="bottom"/>
            <w:hideMark/>
          </w:tcPr>
          <w:p w:rsidR="00FF6197" w:rsidRPr="00423400" w:rsidP="00F228F4" w14:paraId="37CC6069" w14:textId="77777777">
            <w:pPr>
              <w:keepNext/>
              <w:rPr>
                <w:rStyle w:val="DefaultParagraphFont"/>
                <w:rFonts w:ascii="Times New Roman" w:hAnsi="Times New Roman" w:eastAsiaTheme="minorHAnsi" w:cs="Times New Roman"/>
                <w:color w:val="000000"/>
                <w:sz w:val="24"/>
                <w:szCs w:val="24"/>
                <w:lang w:val="en-US" w:eastAsia="en-US" w:bidi="ar-SA"/>
              </w:rPr>
            </w:pPr>
            <w:r w:rsidRPr="00423400">
              <w:rPr>
                <w:rFonts w:ascii="Times New Roman" w:hAnsi="Times New Roman" w:eastAsiaTheme="minorHAnsi" w:cs="Times New Roman"/>
                <w:color w:val="000000"/>
                <w:sz w:val="24"/>
                <w:szCs w:val="24"/>
                <w:lang w:val="en-US" w:eastAsia="en-US" w:bidi="ar-SA"/>
              </w:rPr>
              <w:t> </w:t>
            </w:r>
          </w:p>
        </w:tc>
      </w:tr>
      <w:tr w14:paraId="14908B83" w14:textId="77777777" w:rsidTr="00FF6197">
        <w:tblPrEx>
          <w:tblW w:w="6942" w:type="dxa"/>
          <w:jc w:val="center"/>
          <w:tblInd w:w="0" w:type="dxa"/>
          <w:tblCellMar>
            <w:top w:w="0" w:type="dxa"/>
            <w:left w:w="108" w:type="dxa"/>
            <w:bottom w:w="0" w:type="dxa"/>
            <w:right w:w="108" w:type="dxa"/>
          </w:tblCellMar>
          <w:tblLook w:val="04A0"/>
        </w:tblPrEx>
        <w:trPr>
          <w:trHeight w:val="275"/>
          <w:jc w:val="center"/>
        </w:trPr>
        <w:tc>
          <w:tcPr>
            <w:tcW w:w="1306" w:type="dxa"/>
            <w:tcBorders>
              <w:top w:val="nil"/>
              <w:left w:val="single" w:sz="4" w:space="0" w:color="auto"/>
              <w:bottom w:val="nil"/>
              <w:right w:val="nil"/>
            </w:tcBorders>
            <w:shd w:val="clear" w:color="auto" w:fill="auto"/>
            <w:noWrap/>
            <w:vAlign w:val="bottom"/>
            <w:hideMark/>
          </w:tcPr>
          <w:p w:rsidR="00FF6197" w:rsidRPr="00423400" w:rsidP="00F228F4" w14:paraId="01837ED5" w14:textId="77777777">
            <w:pPr>
              <w:keepNext/>
              <w:rPr>
                <w:rStyle w:val="DefaultParagraphFont"/>
                <w:rFonts w:ascii="Times New Roman" w:hAnsi="Times New Roman" w:eastAsiaTheme="minorHAnsi" w:cs="Times New Roman"/>
                <w:color w:val="000000"/>
                <w:sz w:val="24"/>
                <w:szCs w:val="24"/>
                <w:lang w:val="en-US" w:eastAsia="en-US" w:bidi="ar-SA"/>
              </w:rPr>
            </w:pPr>
            <w:r w:rsidRPr="00423400">
              <w:rPr>
                <w:rFonts w:ascii="Times New Roman" w:hAnsi="Times New Roman" w:eastAsiaTheme="minorHAnsi" w:cs="Times New Roman"/>
                <w:color w:val="000000"/>
                <w:sz w:val="24"/>
                <w:szCs w:val="24"/>
                <w:lang w:val="en-US" w:eastAsia="en-US" w:bidi="ar-SA"/>
              </w:rPr>
              <w:t> </w:t>
            </w:r>
          </w:p>
        </w:tc>
        <w:tc>
          <w:tcPr>
            <w:tcW w:w="2237" w:type="dxa"/>
            <w:tcBorders>
              <w:top w:val="nil"/>
              <w:left w:val="nil"/>
              <w:bottom w:val="nil"/>
              <w:right w:val="nil"/>
            </w:tcBorders>
            <w:shd w:val="clear" w:color="auto" w:fill="auto"/>
            <w:noWrap/>
            <w:vAlign w:val="bottom"/>
            <w:hideMark/>
          </w:tcPr>
          <w:p w:rsidR="00FF6197" w:rsidRPr="00423400" w:rsidP="00F228F4" w14:paraId="2CA55A11" w14:textId="77777777">
            <w:pPr>
              <w:keepNext/>
              <w:jc w:val="center"/>
              <w:rPr>
                <w:rStyle w:val="DefaultParagraphFont"/>
                <w:rFonts w:ascii="Times New Roman" w:hAnsi="Times New Roman" w:eastAsiaTheme="minorHAnsi" w:cs="Times New Roman"/>
                <w:b/>
                <w:bCs/>
                <w:color w:val="000000"/>
                <w:sz w:val="24"/>
                <w:szCs w:val="24"/>
                <w:u w:val="single"/>
                <w:lang w:val="en-US" w:eastAsia="en-US" w:bidi="ar-SA"/>
              </w:rPr>
            </w:pPr>
            <w:r w:rsidRPr="00423400">
              <w:rPr>
                <w:rFonts w:ascii="Times New Roman" w:hAnsi="Times New Roman" w:eastAsiaTheme="minorHAnsi" w:cs="Times New Roman"/>
                <w:b/>
                <w:bCs/>
                <w:color w:val="000000"/>
                <w:sz w:val="24"/>
                <w:szCs w:val="24"/>
                <w:u w:val="single"/>
                <w:lang w:val="en-US" w:eastAsia="en-US" w:bidi="ar-SA"/>
              </w:rPr>
              <w:t xml:space="preserve"> DP&amp;L </w:t>
            </w:r>
          </w:p>
        </w:tc>
        <w:tc>
          <w:tcPr>
            <w:tcW w:w="773" w:type="dxa"/>
            <w:tcBorders>
              <w:top w:val="nil"/>
              <w:left w:val="nil"/>
              <w:bottom w:val="nil"/>
              <w:right w:val="nil"/>
            </w:tcBorders>
            <w:shd w:val="clear" w:color="auto" w:fill="auto"/>
            <w:noWrap/>
            <w:vAlign w:val="bottom"/>
            <w:hideMark/>
          </w:tcPr>
          <w:p w:rsidR="00FF6197" w:rsidRPr="00423400" w:rsidP="00F228F4" w14:paraId="5E7D09DA" w14:textId="77777777">
            <w:pPr>
              <w:keepNext/>
              <w:jc w:val="center"/>
              <w:rPr>
                <w:rStyle w:val="DefaultParagraphFont"/>
                <w:rFonts w:ascii="Times New Roman" w:hAnsi="Times New Roman" w:eastAsiaTheme="minorHAnsi" w:cs="Times New Roman"/>
                <w:b/>
                <w:bCs/>
                <w:color w:val="000000"/>
                <w:sz w:val="24"/>
                <w:szCs w:val="24"/>
                <w:u w:val="single"/>
                <w:lang w:val="en-US" w:eastAsia="en-US" w:bidi="ar-SA"/>
              </w:rPr>
            </w:pPr>
          </w:p>
        </w:tc>
        <w:tc>
          <w:tcPr>
            <w:tcW w:w="1320" w:type="dxa"/>
            <w:tcBorders>
              <w:top w:val="nil"/>
              <w:left w:val="nil"/>
              <w:bottom w:val="nil"/>
              <w:right w:val="nil"/>
            </w:tcBorders>
            <w:shd w:val="clear" w:color="auto" w:fill="auto"/>
            <w:noWrap/>
            <w:vAlign w:val="bottom"/>
            <w:hideMark/>
          </w:tcPr>
          <w:p w:rsidR="00FF6197" w:rsidRPr="00423400" w:rsidP="00F228F4" w14:paraId="7DEFE711" w14:textId="77777777">
            <w:pPr>
              <w:keepNext/>
              <w:jc w:val="center"/>
              <w:rPr>
                <w:rStyle w:val="DefaultParagraphFont"/>
                <w:rFonts w:ascii="Times New Roman" w:hAnsi="Times New Roman" w:eastAsiaTheme="minorHAnsi" w:cs="Times New Roman"/>
                <w:b/>
                <w:bCs/>
                <w:color w:val="000000"/>
                <w:sz w:val="24"/>
                <w:szCs w:val="24"/>
                <w:u w:val="single"/>
                <w:lang w:val="en-US" w:eastAsia="en-US" w:bidi="ar-SA"/>
              </w:rPr>
            </w:pPr>
            <w:r w:rsidRPr="00423400">
              <w:rPr>
                <w:rFonts w:ascii="Times New Roman" w:hAnsi="Times New Roman" w:eastAsiaTheme="minorHAnsi" w:cs="Times New Roman"/>
                <w:b/>
                <w:bCs/>
                <w:color w:val="000000"/>
                <w:sz w:val="24"/>
                <w:szCs w:val="24"/>
                <w:u w:val="single"/>
                <w:lang w:val="en-US" w:eastAsia="en-US" w:bidi="ar-SA"/>
              </w:rPr>
              <w:t>Result</w:t>
            </w:r>
          </w:p>
        </w:tc>
        <w:tc>
          <w:tcPr>
            <w:tcW w:w="1306" w:type="dxa"/>
            <w:tcBorders>
              <w:top w:val="nil"/>
              <w:left w:val="nil"/>
              <w:bottom w:val="nil"/>
              <w:right w:val="single" w:sz="4" w:space="0" w:color="auto"/>
            </w:tcBorders>
            <w:shd w:val="clear" w:color="auto" w:fill="auto"/>
            <w:noWrap/>
            <w:vAlign w:val="bottom"/>
            <w:hideMark/>
          </w:tcPr>
          <w:p w:rsidR="00FF6197" w:rsidRPr="00423400" w:rsidP="00F228F4" w14:paraId="77806ADD" w14:textId="77777777">
            <w:pPr>
              <w:keepNext/>
              <w:rPr>
                <w:rStyle w:val="DefaultParagraphFont"/>
                <w:rFonts w:ascii="Times New Roman" w:hAnsi="Times New Roman" w:eastAsiaTheme="minorHAnsi" w:cs="Times New Roman"/>
                <w:color w:val="000000"/>
                <w:sz w:val="24"/>
                <w:szCs w:val="24"/>
                <w:lang w:val="en-US" w:eastAsia="en-US" w:bidi="ar-SA"/>
              </w:rPr>
            </w:pPr>
            <w:r w:rsidRPr="00423400">
              <w:rPr>
                <w:rFonts w:ascii="Times New Roman" w:hAnsi="Times New Roman" w:eastAsiaTheme="minorHAnsi" w:cs="Times New Roman"/>
                <w:color w:val="000000"/>
                <w:sz w:val="24"/>
                <w:szCs w:val="24"/>
                <w:lang w:val="en-US" w:eastAsia="en-US" w:bidi="ar-SA"/>
              </w:rPr>
              <w:t> </w:t>
            </w:r>
          </w:p>
        </w:tc>
      </w:tr>
      <w:tr w14:paraId="56FD5C1C" w14:textId="77777777" w:rsidTr="00FF6197">
        <w:tblPrEx>
          <w:tblW w:w="6942" w:type="dxa"/>
          <w:jc w:val="center"/>
          <w:tblInd w:w="0" w:type="dxa"/>
          <w:tblCellMar>
            <w:top w:w="0" w:type="dxa"/>
            <w:left w:w="108" w:type="dxa"/>
            <w:bottom w:w="0" w:type="dxa"/>
            <w:right w:w="108" w:type="dxa"/>
          </w:tblCellMar>
          <w:tblLook w:val="04A0"/>
        </w:tblPrEx>
        <w:trPr>
          <w:trHeight w:val="262"/>
          <w:jc w:val="center"/>
        </w:trPr>
        <w:tc>
          <w:tcPr>
            <w:tcW w:w="1306" w:type="dxa"/>
            <w:tcBorders>
              <w:top w:val="nil"/>
              <w:left w:val="single" w:sz="4" w:space="0" w:color="auto"/>
              <w:bottom w:val="nil"/>
              <w:right w:val="nil"/>
            </w:tcBorders>
            <w:shd w:val="clear" w:color="auto" w:fill="auto"/>
            <w:noWrap/>
            <w:vAlign w:val="bottom"/>
            <w:hideMark/>
          </w:tcPr>
          <w:p w:rsidR="00FF6197" w:rsidRPr="00423400" w:rsidP="00F228F4" w14:paraId="0844D15F" w14:textId="77777777">
            <w:pPr>
              <w:keepNext/>
              <w:rPr>
                <w:rStyle w:val="DefaultParagraphFont"/>
                <w:rFonts w:ascii="Times New Roman" w:hAnsi="Times New Roman" w:eastAsiaTheme="minorHAnsi" w:cs="Times New Roman"/>
                <w:color w:val="000000"/>
                <w:sz w:val="24"/>
                <w:szCs w:val="24"/>
                <w:lang w:val="en-US" w:eastAsia="en-US" w:bidi="ar-SA"/>
              </w:rPr>
            </w:pPr>
            <w:r w:rsidRPr="00423400">
              <w:rPr>
                <w:rFonts w:ascii="Times New Roman" w:hAnsi="Times New Roman" w:eastAsiaTheme="minorHAnsi" w:cs="Times New Roman"/>
                <w:color w:val="000000"/>
                <w:sz w:val="24"/>
                <w:szCs w:val="24"/>
                <w:lang w:val="en-US" w:eastAsia="en-US" w:bidi="ar-SA"/>
              </w:rPr>
              <w:t> </w:t>
            </w:r>
          </w:p>
        </w:tc>
        <w:tc>
          <w:tcPr>
            <w:tcW w:w="2237" w:type="dxa"/>
            <w:tcBorders>
              <w:top w:val="nil"/>
              <w:left w:val="nil"/>
              <w:bottom w:val="nil"/>
              <w:right w:val="nil"/>
            </w:tcBorders>
            <w:shd w:val="clear" w:color="auto" w:fill="auto"/>
            <w:noWrap/>
            <w:vAlign w:val="bottom"/>
            <w:hideMark/>
          </w:tcPr>
          <w:p w:rsidR="00FF6197" w:rsidRPr="00423400" w:rsidP="00F228F4" w14:paraId="5320E681" w14:textId="77777777">
            <w:pPr>
              <w:keepNext/>
              <w:rPr>
                <w:rStyle w:val="DefaultParagraphFont"/>
                <w:rFonts w:ascii="Times New Roman" w:hAnsi="Times New Roman" w:eastAsiaTheme="minorHAnsi" w:cs="Times New Roman"/>
                <w:color w:val="000000"/>
                <w:sz w:val="24"/>
                <w:szCs w:val="24"/>
                <w:lang w:val="en-US" w:eastAsia="en-US" w:bidi="ar-SA"/>
              </w:rPr>
            </w:pPr>
            <w:r w:rsidRPr="00423400">
              <w:rPr>
                <w:rFonts w:ascii="Times New Roman" w:hAnsi="Times New Roman" w:eastAsiaTheme="minorHAnsi" w:cs="Times New Roman"/>
                <w:color w:val="000000"/>
                <w:sz w:val="24"/>
                <w:szCs w:val="24"/>
                <w:lang w:val="en-US" w:eastAsia="en-US" w:bidi="ar-SA"/>
              </w:rPr>
              <w:t>CenterPoint Energy</w:t>
            </w:r>
          </w:p>
        </w:tc>
        <w:tc>
          <w:tcPr>
            <w:tcW w:w="773" w:type="dxa"/>
            <w:tcBorders>
              <w:top w:val="nil"/>
              <w:left w:val="nil"/>
              <w:bottom w:val="nil"/>
              <w:right w:val="nil"/>
            </w:tcBorders>
            <w:shd w:val="clear" w:color="auto" w:fill="auto"/>
            <w:noWrap/>
            <w:vAlign w:val="bottom"/>
            <w:hideMark/>
          </w:tcPr>
          <w:p w:rsidR="00FF6197" w:rsidRPr="00423400" w:rsidP="00F228F4" w14:paraId="3037B729" w14:textId="77777777">
            <w:pPr>
              <w:keepNext/>
              <w:rPr>
                <w:rStyle w:val="DefaultParagraphFont"/>
                <w:rFonts w:ascii="Times New Roman" w:hAnsi="Times New Roman" w:eastAsiaTheme="minorHAnsi" w:cs="Times New Roman"/>
                <w:color w:val="000000"/>
                <w:sz w:val="24"/>
                <w:szCs w:val="24"/>
                <w:lang w:val="en-US" w:eastAsia="en-US" w:bidi="ar-SA"/>
              </w:rPr>
            </w:pPr>
          </w:p>
        </w:tc>
        <w:tc>
          <w:tcPr>
            <w:tcW w:w="1320" w:type="dxa"/>
            <w:tcBorders>
              <w:top w:val="nil"/>
              <w:left w:val="nil"/>
              <w:bottom w:val="nil"/>
              <w:right w:val="nil"/>
            </w:tcBorders>
            <w:shd w:val="clear" w:color="auto" w:fill="auto"/>
            <w:noWrap/>
            <w:vAlign w:val="bottom"/>
            <w:hideMark/>
          </w:tcPr>
          <w:p w:rsidR="00FF6197" w:rsidRPr="00423400" w:rsidP="00F228F4" w14:paraId="647A60A1" w14:textId="77777777">
            <w:pPr>
              <w:keepNext/>
              <w:jc w:val="center"/>
              <w:rPr>
                <w:rStyle w:val="DefaultParagraphFont"/>
                <w:rFonts w:ascii="Times New Roman" w:hAnsi="Times New Roman" w:eastAsiaTheme="minorHAnsi" w:cs="Times New Roman"/>
                <w:color w:val="000000"/>
                <w:sz w:val="24"/>
                <w:szCs w:val="24"/>
                <w:lang w:val="en-US" w:eastAsia="en-US" w:bidi="ar-SA"/>
              </w:rPr>
            </w:pPr>
            <w:r w:rsidRPr="00423400">
              <w:rPr>
                <w:rFonts w:ascii="Times New Roman" w:hAnsi="Times New Roman" w:eastAsiaTheme="minorHAnsi" w:cs="Times New Roman"/>
                <w:color w:val="000000"/>
                <w:sz w:val="24"/>
                <w:szCs w:val="24"/>
                <w:lang w:val="en-US" w:eastAsia="en-US" w:bidi="ar-SA"/>
              </w:rPr>
              <w:t>7.90%</w:t>
            </w:r>
          </w:p>
        </w:tc>
        <w:tc>
          <w:tcPr>
            <w:tcW w:w="1306" w:type="dxa"/>
            <w:tcBorders>
              <w:top w:val="nil"/>
              <w:left w:val="nil"/>
              <w:bottom w:val="nil"/>
              <w:right w:val="single" w:sz="4" w:space="0" w:color="auto"/>
            </w:tcBorders>
            <w:shd w:val="clear" w:color="auto" w:fill="auto"/>
            <w:noWrap/>
            <w:vAlign w:val="bottom"/>
            <w:hideMark/>
          </w:tcPr>
          <w:p w:rsidR="00FF6197" w:rsidRPr="00423400" w:rsidP="00F228F4" w14:paraId="45D9FE4B" w14:textId="77777777">
            <w:pPr>
              <w:keepNext/>
              <w:rPr>
                <w:rStyle w:val="DefaultParagraphFont"/>
                <w:rFonts w:ascii="Times New Roman" w:hAnsi="Times New Roman" w:eastAsiaTheme="minorHAnsi" w:cs="Times New Roman"/>
                <w:color w:val="000000"/>
                <w:sz w:val="24"/>
                <w:szCs w:val="24"/>
                <w:lang w:val="en-US" w:eastAsia="en-US" w:bidi="ar-SA"/>
              </w:rPr>
            </w:pPr>
            <w:r w:rsidRPr="00423400">
              <w:rPr>
                <w:rFonts w:ascii="Times New Roman" w:hAnsi="Times New Roman" w:eastAsiaTheme="minorHAnsi" w:cs="Times New Roman"/>
                <w:color w:val="000000"/>
                <w:sz w:val="24"/>
                <w:szCs w:val="24"/>
                <w:lang w:val="en-US" w:eastAsia="en-US" w:bidi="ar-SA"/>
              </w:rPr>
              <w:t> </w:t>
            </w:r>
          </w:p>
        </w:tc>
      </w:tr>
      <w:tr w14:paraId="18D9A76E" w14:textId="77777777" w:rsidTr="00FF6197">
        <w:tblPrEx>
          <w:tblW w:w="6942" w:type="dxa"/>
          <w:jc w:val="center"/>
          <w:tblInd w:w="0" w:type="dxa"/>
          <w:tblCellMar>
            <w:top w:w="0" w:type="dxa"/>
            <w:left w:w="108" w:type="dxa"/>
            <w:bottom w:w="0" w:type="dxa"/>
            <w:right w:w="108" w:type="dxa"/>
          </w:tblCellMar>
          <w:tblLook w:val="04A0"/>
        </w:tblPrEx>
        <w:trPr>
          <w:trHeight w:val="110"/>
          <w:jc w:val="center"/>
        </w:trPr>
        <w:tc>
          <w:tcPr>
            <w:tcW w:w="1306" w:type="dxa"/>
            <w:tcBorders>
              <w:top w:val="nil"/>
              <w:left w:val="single" w:sz="4" w:space="0" w:color="auto"/>
              <w:bottom w:val="nil"/>
              <w:right w:val="nil"/>
            </w:tcBorders>
            <w:shd w:val="clear" w:color="auto" w:fill="auto"/>
            <w:noWrap/>
            <w:vAlign w:val="bottom"/>
          </w:tcPr>
          <w:p w:rsidR="00FF6197" w:rsidRPr="00423400" w:rsidP="00F228F4" w14:paraId="50C38858" w14:textId="77777777">
            <w:pPr>
              <w:keepNext/>
              <w:rPr>
                <w:rStyle w:val="DefaultParagraphFont"/>
                <w:rFonts w:ascii="Times New Roman" w:hAnsi="Times New Roman" w:eastAsiaTheme="minorHAnsi" w:cs="Times New Roman"/>
                <w:color w:val="000000"/>
                <w:sz w:val="24"/>
                <w:szCs w:val="24"/>
                <w:lang w:val="en-US" w:eastAsia="en-US" w:bidi="ar-SA"/>
              </w:rPr>
            </w:pPr>
          </w:p>
        </w:tc>
        <w:tc>
          <w:tcPr>
            <w:tcW w:w="2237" w:type="dxa"/>
            <w:tcBorders>
              <w:top w:val="nil"/>
              <w:left w:val="nil"/>
              <w:bottom w:val="nil"/>
              <w:right w:val="nil"/>
            </w:tcBorders>
            <w:shd w:val="clear" w:color="auto" w:fill="auto"/>
            <w:noWrap/>
            <w:vAlign w:val="bottom"/>
          </w:tcPr>
          <w:p w:rsidR="00FF6197" w:rsidRPr="00423400" w:rsidP="00F228F4" w14:paraId="78528091" w14:textId="77777777">
            <w:pPr>
              <w:keepNext/>
              <w:rPr>
                <w:rStyle w:val="DefaultParagraphFont"/>
                <w:rFonts w:ascii="Times New Roman" w:hAnsi="Times New Roman" w:eastAsiaTheme="minorHAnsi" w:cs="Times New Roman"/>
                <w:color w:val="000000"/>
                <w:sz w:val="24"/>
                <w:szCs w:val="24"/>
                <w:lang w:val="en-US" w:eastAsia="en-US" w:bidi="ar-SA"/>
              </w:rPr>
            </w:pPr>
            <w:r w:rsidRPr="00423400">
              <w:rPr>
                <w:rFonts w:ascii="Times New Roman" w:hAnsi="Times New Roman" w:eastAsiaTheme="minorHAnsi" w:cs="Times New Roman"/>
                <w:color w:val="000000"/>
                <w:sz w:val="24"/>
                <w:szCs w:val="24"/>
                <w:lang w:val="en-US" w:eastAsia="en-US" w:bidi="ar-SA"/>
              </w:rPr>
              <w:t>Edison International</w:t>
            </w:r>
          </w:p>
        </w:tc>
        <w:tc>
          <w:tcPr>
            <w:tcW w:w="773" w:type="dxa"/>
            <w:tcBorders>
              <w:top w:val="nil"/>
              <w:left w:val="nil"/>
              <w:bottom w:val="nil"/>
              <w:right w:val="nil"/>
            </w:tcBorders>
            <w:shd w:val="clear" w:color="auto" w:fill="auto"/>
            <w:noWrap/>
            <w:vAlign w:val="bottom"/>
          </w:tcPr>
          <w:p w:rsidR="00FF6197" w:rsidRPr="00423400" w:rsidP="00F228F4" w14:paraId="101B2A66" w14:textId="77777777">
            <w:pPr>
              <w:keepNext/>
              <w:rPr>
                <w:rStyle w:val="DefaultParagraphFont"/>
                <w:rFonts w:ascii="Times New Roman" w:hAnsi="Times New Roman" w:eastAsiaTheme="minorHAnsi" w:cs="Times New Roman"/>
                <w:sz w:val="24"/>
                <w:szCs w:val="24"/>
                <w:lang w:val="en-US" w:eastAsia="en-US" w:bidi="ar-SA"/>
              </w:rPr>
            </w:pPr>
          </w:p>
        </w:tc>
        <w:tc>
          <w:tcPr>
            <w:tcW w:w="1320" w:type="dxa"/>
            <w:tcBorders>
              <w:top w:val="nil"/>
              <w:left w:val="nil"/>
              <w:bottom w:val="nil"/>
              <w:right w:val="nil"/>
            </w:tcBorders>
            <w:shd w:val="clear" w:color="auto" w:fill="auto"/>
            <w:noWrap/>
            <w:vAlign w:val="bottom"/>
          </w:tcPr>
          <w:p w:rsidR="00FF6197" w:rsidRPr="00423400" w:rsidP="00F228F4" w14:paraId="7D3637EF" w14:textId="77777777">
            <w:pPr>
              <w:keepNext/>
              <w:jc w:val="center"/>
              <w:rPr>
                <w:rStyle w:val="DefaultParagraphFont"/>
                <w:rFonts w:ascii="Times New Roman" w:hAnsi="Times New Roman" w:eastAsiaTheme="minorHAnsi" w:cs="Times New Roman"/>
                <w:sz w:val="24"/>
                <w:szCs w:val="24"/>
                <w:lang w:val="en-US" w:eastAsia="en-US" w:bidi="ar-SA"/>
              </w:rPr>
            </w:pPr>
            <w:r w:rsidRPr="00423400">
              <w:rPr>
                <w:rFonts w:ascii="Times New Roman" w:hAnsi="Times New Roman" w:eastAsiaTheme="minorHAnsi" w:cs="Times New Roman"/>
                <w:color w:val="000000"/>
                <w:sz w:val="24"/>
                <w:szCs w:val="24"/>
                <w:lang w:val="en-US" w:eastAsia="en-US" w:bidi="ar-SA"/>
              </w:rPr>
              <w:t>10.26%</w:t>
            </w:r>
          </w:p>
        </w:tc>
        <w:tc>
          <w:tcPr>
            <w:tcW w:w="1306" w:type="dxa"/>
            <w:tcBorders>
              <w:top w:val="nil"/>
              <w:left w:val="nil"/>
              <w:bottom w:val="nil"/>
              <w:right w:val="single" w:sz="4" w:space="0" w:color="auto"/>
            </w:tcBorders>
            <w:shd w:val="clear" w:color="auto" w:fill="auto"/>
            <w:noWrap/>
            <w:vAlign w:val="bottom"/>
          </w:tcPr>
          <w:p w:rsidR="00FF6197" w:rsidRPr="00423400" w:rsidP="00F228F4" w14:paraId="240CC476" w14:textId="77777777">
            <w:pPr>
              <w:keepNext/>
              <w:rPr>
                <w:rStyle w:val="DefaultParagraphFont"/>
                <w:rFonts w:ascii="Times New Roman" w:hAnsi="Times New Roman" w:eastAsiaTheme="minorHAnsi" w:cs="Times New Roman"/>
                <w:color w:val="000000"/>
                <w:sz w:val="24"/>
                <w:szCs w:val="24"/>
                <w:lang w:val="en-US" w:eastAsia="en-US" w:bidi="ar-SA"/>
              </w:rPr>
            </w:pPr>
          </w:p>
        </w:tc>
      </w:tr>
      <w:tr w14:paraId="40B9AA42" w14:textId="77777777" w:rsidTr="00FF6197">
        <w:tblPrEx>
          <w:tblW w:w="6942" w:type="dxa"/>
          <w:jc w:val="center"/>
          <w:tblInd w:w="0" w:type="dxa"/>
          <w:tblCellMar>
            <w:top w:w="0" w:type="dxa"/>
            <w:left w:w="108" w:type="dxa"/>
            <w:bottom w:w="0" w:type="dxa"/>
            <w:right w:w="108" w:type="dxa"/>
          </w:tblCellMar>
          <w:tblLook w:val="04A0"/>
        </w:tblPrEx>
        <w:trPr>
          <w:trHeight w:val="110"/>
          <w:jc w:val="center"/>
        </w:trPr>
        <w:tc>
          <w:tcPr>
            <w:tcW w:w="1306" w:type="dxa"/>
            <w:tcBorders>
              <w:top w:val="nil"/>
              <w:left w:val="single" w:sz="4" w:space="0" w:color="auto"/>
              <w:bottom w:val="nil"/>
              <w:right w:val="nil"/>
            </w:tcBorders>
            <w:shd w:val="clear" w:color="auto" w:fill="auto"/>
            <w:noWrap/>
            <w:vAlign w:val="bottom"/>
          </w:tcPr>
          <w:p w:rsidR="00FF6197" w:rsidRPr="00423400" w:rsidP="00F228F4" w14:paraId="70F8E227" w14:textId="77777777">
            <w:pPr>
              <w:keepNext/>
              <w:rPr>
                <w:rStyle w:val="DefaultParagraphFont"/>
                <w:rFonts w:ascii="Times New Roman" w:hAnsi="Times New Roman" w:eastAsiaTheme="minorHAnsi" w:cs="Times New Roman"/>
                <w:color w:val="000000"/>
                <w:sz w:val="24"/>
                <w:szCs w:val="24"/>
                <w:lang w:val="en-US" w:eastAsia="en-US" w:bidi="ar-SA"/>
              </w:rPr>
            </w:pPr>
          </w:p>
        </w:tc>
        <w:tc>
          <w:tcPr>
            <w:tcW w:w="2237" w:type="dxa"/>
            <w:tcBorders>
              <w:top w:val="nil"/>
              <w:left w:val="nil"/>
              <w:bottom w:val="nil"/>
              <w:right w:val="nil"/>
            </w:tcBorders>
            <w:shd w:val="clear" w:color="auto" w:fill="auto"/>
            <w:noWrap/>
            <w:vAlign w:val="bottom"/>
          </w:tcPr>
          <w:p w:rsidR="00FF6197" w:rsidRPr="00423400" w:rsidP="00F228F4" w14:paraId="1708DF0B" w14:textId="77777777">
            <w:pPr>
              <w:keepNext/>
              <w:rPr>
                <w:rStyle w:val="DefaultParagraphFont"/>
                <w:rFonts w:ascii="Times New Roman" w:hAnsi="Times New Roman" w:eastAsiaTheme="minorHAnsi" w:cs="Times New Roman"/>
                <w:color w:val="000000"/>
                <w:sz w:val="24"/>
                <w:szCs w:val="24"/>
                <w:lang w:val="en-US" w:eastAsia="en-US" w:bidi="ar-SA"/>
              </w:rPr>
            </w:pPr>
            <w:r w:rsidRPr="00423400">
              <w:rPr>
                <w:rFonts w:ascii="Times New Roman" w:hAnsi="Times New Roman" w:eastAsiaTheme="minorHAnsi" w:cs="Times New Roman"/>
                <w:color w:val="000000"/>
                <w:sz w:val="24"/>
                <w:szCs w:val="24"/>
                <w:lang w:val="en-US" w:eastAsia="en-US" w:bidi="ar-SA"/>
              </w:rPr>
              <w:t>Exelon Corp.</w:t>
            </w:r>
          </w:p>
        </w:tc>
        <w:tc>
          <w:tcPr>
            <w:tcW w:w="773" w:type="dxa"/>
            <w:tcBorders>
              <w:top w:val="nil"/>
              <w:left w:val="nil"/>
              <w:bottom w:val="nil"/>
              <w:right w:val="nil"/>
            </w:tcBorders>
            <w:shd w:val="clear" w:color="auto" w:fill="auto"/>
            <w:noWrap/>
            <w:vAlign w:val="bottom"/>
          </w:tcPr>
          <w:p w:rsidR="00FF6197" w:rsidRPr="00423400" w:rsidP="00F228F4" w14:paraId="4A6159A0" w14:textId="77777777">
            <w:pPr>
              <w:keepNext/>
              <w:rPr>
                <w:rStyle w:val="DefaultParagraphFont"/>
                <w:rFonts w:ascii="Times New Roman" w:hAnsi="Times New Roman" w:eastAsiaTheme="minorHAnsi" w:cs="Times New Roman"/>
                <w:sz w:val="24"/>
                <w:szCs w:val="24"/>
                <w:lang w:val="en-US" w:eastAsia="en-US" w:bidi="ar-SA"/>
              </w:rPr>
            </w:pPr>
          </w:p>
        </w:tc>
        <w:tc>
          <w:tcPr>
            <w:tcW w:w="1320" w:type="dxa"/>
            <w:tcBorders>
              <w:top w:val="nil"/>
              <w:left w:val="nil"/>
              <w:bottom w:val="nil"/>
              <w:right w:val="nil"/>
            </w:tcBorders>
            <w:shd w:val="clear" w:color="auto" w:fill="auto"/>
            <w:noWrap/>
            <w:vAlign w:val="bottom"/>
          </w:tcPr>
          <w:p w:rsidR="00FF6197" w:rsidRPr="00423400" w:rsidP="00F228F4" w14:paraId="13B8248C" w14:textId="77777777">
            <w:pPr>
              <w:keepNext/>
              <w:jc w:val="center"/>
              <w:rPr>
                <w:rStyle w:val="DefaultParagraphFont"/>
                <w:rFonts w:ascii="Times New Roman" w:hAnsi="Times New Roman" w:eastAsiaTheme="minorHAnsi" w:cs="Times New Roman"/>
                <w:sz w:val="24"/>
                <w:szCs w:val="24"/>
                <w:lang w:val="en-US" w:eastAsia="en-US" w:bidi="ar-SA"/>
              </w:rPr>
            </w:pPr>
            <w:r w:rsidRPr="00423400">
              <w:rPr>
                <w:rFonts w:ascii="Times New Roman" w:hAnsi="Times New Roman" w:eastAsiaTheme="minorHAnsi" w:cs="Times New Roman"/>
                <w:color w:val="000000"/>
                <w:sz w:val="24"/>
                <w:szCs w:val="24"/>
                <w:lang w:val="en-US" w:eastAsia="en-US" w:bidi="ar-SA"/>
              </w:rPr>
              <w:t>7.38%</w:t>
            </w:r>
          </w:p>
        </w:tc>
        <w:tc>
          <w:tcPr>
            <w:tcW w:w="1306" w:type="dxa"/>
            <w:tcBorders>
              <w:top w:val="nil"/>
              <w:left w:val="nil"/>
              <w:bottom w:val="nil"/>
              <w:right w:val="single" w:sz="4" w:space="0" w:color="auto"/>
            </w:tcBorders>
            <w:shd w:val="clear" w:color="auto" w:fill="auto"/>
            <w:noWrap/>
            <w:vAlign w:val="bottom"/>
          </w:tcPr>
          <w:p w:rsidR="00FF6197" w:rsidRPr="00423400" w:rsidP="00F228F4" w14:paraId="1A5EC509" w14:textId="77777777">
            <w:pPr>
              <w:keepNext/>
              <w:rPr>
                <w:rStyle w:val="DefaultParagraphFont"/>
                <w:rFonts w:ascii="Times New Roman" w:hAnsi="Times New Roman" w:eastAsiaTheme="minorHAnsi" w:cs="Times New Roman"/>
                <w:color w:val="000000"/>
                <w:sz w:val="24"/>
                <w:szCs w:val="24"/>
                <w:lang w:val="en-US" w:eastAsia="en-US" w:bidi="ar-SA"/>
              </w:rPr>
            </w:pPr>
          </w:p>
        </w:tc>
      </w:tr>
      <w:tr w14:paraId="40E2F9C4" w14:textId="77777777" w:rsidTr="00FF6197">
        <w:tblPrEx>
          <w:tblW w:w="6942" w:type="dxa"/>
          <w:jc w:val="center"/>
          <w:tblInd w:w="0" w:type="dxa"/>
          <w:tblCellMar>
            <w:top w:w="0" w:type="dxa"/>
            <w:left w:w="108" w:type="dxa"/>
            <w:bottom w:w="0" w:type="dxa"/>
            <w:right w:w="108" w:type="dxa"/>
          </w:tblCellMar>
          <w:tblLook w:val="04A0"/>
        </w:tblPrEx>
        <w:trPr>
          <w:trHeight w:val="110"/>
          <w:jc w:val="center"/>
        </w:trPr>
        <w:tc>
          <w:tcPr>
            <w:tcW w:w="1306" w:type="dxa"/>
            <w:tcBorders>
              <w:top w:val="nil"/>
              <w:left w:val="single" w:sz="4" w:space="0" w:color="auto"/>
              <w:bottom w:val="nil"/>
              <w:right w:val="nil"/>
            </w:tcBorders>
            <w:shd w:val="clear" w:color="auto" w:fill="auto"/>
            <w:noWrap/>
            <w:vAlign w:val="bottom"/>
          </w:tcPr>
          <w:p w:rsidR="00FF6197" w:rsidRPr="00423400" w:rsidP="00F228F4" w14:paraId="2DC58476" w14:textId="77777777">
            <w:pPr>
              <w:keepNext/>
              <w:rPr>
                <w:rStyle w:val="DefaultParagraphFont"/>
                <w:rFonts w:ascii="Times New Roman" w:hAnsi="Times New Roman" w:eastAsiaTheme="minorHAnsi" w:cs="Times New Roman"/>
                <w:color w:val="000000"/>
                <w:sz w:val="24"/>
                <w:szCs w:val="24"/>
                <w:lang w:val="en-US" w:eastAsia="en-US" w:bidi="ar-SA"/>
              </w:rPr>
            </w:pPr>
          </w:p>
        </w:tc>
        <w:tc>
          <w:tcPr>
            <w:tcW w:w="2237" w:type="dxa"/>
            <w:tcBorders>
              <w:top w:val="nil"/>
              <w:left w:val="nil"/>
              <w:bottom w:val="nil"/>
              <w:right w:val="nil"/>
            </w:tcBorders>
            <w:shd w:val="clear" w:color="auto" w:fill="auto"/>
            <w:noWrap/>
            <w:vAlign w:val="bottom"/>
          </w:tcPr>
          <w:p w:rsidR="00FF6197" w:rsidRPr="00423400" w:rsidP="00F228F4" w14:paraId="0D777E95" w14:textId="77777777">
            <w:pPr>
              <w:keepNext/>
              <w:rPr>
                <w:rStyle w:val="DefaultParagraphFont"/>
                <w:rFonts w:ascii="Times New Roman" w:hAnsi="Times New Roman" w:eastAsiaTheme="minorHAnsi" w:cs="Times New Roman"/>
                <w:color w:val="000000"/>
                <w:sz w:val="24"/>
                <w:szCs w:val="24"/>
                <w:lang w:val="en-US" w:eastAsia="en-US" w:bidi="ar-SA"/>
              </w:rPr>
            </w:pPr>
            <w:r w:rsidRPr="00423400">
              <w:rPr>
                <w:rFonts w:ascii="Times New Roman" w:hAnsi="Times New Roman" w:eastAsiaTheme="minorHAnsi" w:cs="Times New Roman"/>
                <w:color w:val="000000"/>
                <w:sz w:val="24"/>
                <w:szCs w:val="24"/>
                <w:lang w:val="en-US" w:eastAsia="en-US" w:bidi="ar-SA"/>
              </w:rPr>
              <w:t>FirstEnergy Corp.</w:t>
            </w:r>
          </w:p>
        </w:tc>
        <w:tc>
          <w:tcPr>
            <w:tcW w:w="773" w:type="dxa"/>
            <w:tcBorders>
              <w:top w:val="nil"/>
              <w:left w:val="nil"/>
              <w:bottom w:val="nil"/>
              <w:right w:val="nil"/>
            </w:tcBorders>
            <w:shd w:val="clear" w:color="auto" w:fill="auto"/>
            <w:noWrap/>
            <w:vAlign w:val="bottom"/>
          </w:tcPr>
          <w:p w:rsidR="00FF6197" w:rsidRPr="00423400" w:rsidP="00F228F4" w14:paraId="3C3FDA31" w14:textId="77777777">
            <w:pPr>
              <w:keepNext/>
              <w:rPr>
                <w:rStyle w:val="DefaultParagraphFont"/>
                <w:rFonts w:ascii="Times New Roman" w:hAnsi="Times New Roman" w:eastAsiaTheme="minorHAnsi" w:cs="Times New Roman"/>
                <w:sz w:val="24"/>
                <w:szCs w:val="24"/>
                <w:lang w:val="en-US" w:eastAsia="en-US" w:bidi="ar-SA"/>
              </w:rPr>
            </w:pPr>
          </w:p>
        </w:tc>
        <w:tc>
          <w:tcPr>
            <w:tcW w:w="1320" w:type="dxa"/>
            <w:tcBorders>
              <w:top w:val="nil"/>
              <w:left w:val="nil"/>
              <w:bottom w:val="nil"/>
              <w:right w:val="nil"/>
            </w:tcBorders>
            <w:shd w:val="clear" w:color="auto" w:fill="auto"/>
            <w:noWrap/>
            <w:vAlign w:val="bottom"/>
          </w:tcPr>
          <w:p w:rsidR="00FF6197" w:rsidRPr="00423400" w:rsidP="00F228F4" w14:paraId="78A26F40" w14:textId="77777777">
            <w:pPr>
              <w:keepNext/>
              <w:jc w:val="center"/>
              <w:rPr>
                <w:rStyle w:val="DefaultParagraphFont"/>
                <w:rFonts w:ascii="Times New Roman" w:hAnsi="Times New Roman" w:eastAsiaTheme="minorHAnsi" w:cs="Times New Roman"/>
                <w:sz w:val="24"/>
                <w:szCs w:val="24"/>
                <w:lang w:val="en-US" w:eastAsia="en-US" w:bidi="ar-SA"/>
              </w:rPr>
            </w:pPr>
            <w:r w:rsidRPr="00423400">
              <w:rPr>
                <w:rFonts w:ascii="Times New Roman" w:hAnsi="Times New Roman" w:eastAsiaTheme="minorHAnsi" w:cs="Times New Roman"/>
                <w:color w:val="000000"/>
                <w:sz w:val="24"/>
                <w:szCs w:val="24"/>
                <w:lang w:val="en-US" w:eastAsia="en-US" w:bidi="ar-SA"/>
              </w:rPr>
              <w:t>10.00%</w:t>
            </w:r>
          </w:p>
        </w:tc>
        <w:tc>
          <w:tcPr>
            <w:tcW w:w="1306" w:type="dxa"/>
            <w:tcBorders>
              <w:top w:val="nil"/>
              <w:left w:val="nil"/>
              <w:bottom w:val="nil"/>
              <w:right w:val="single" w:sz="4" w:space="0" w:color="auto"/>
            </w:tcBorders>
            <w:shd w:val="clear" w:color="auto" w:fill="auto"/>
            <w:noWrap/>
            <w:vAlign w:val="bottom"/>
          </w:tcPr>
          <w:p w:rsidR="00FF6197" w:rsidRPr="00423400" w:rsidP="00F228F4" w14:paraId="0A92E835" w14:textId="77777777">
            <w:pPr>
              <w:keepNext/>
              <w:rPr>
                <w:rStyle w:val="DefaultParagraphFont"/>
                <w:rFonts w:ascii="Times New Roman" w:hAnsi="Times New Roman" w:eastAsiaTheme="minorHAnsi" w:cs="Times New Roman"/>
                <w:color w:val="000000"/>
                <w:sz w:val="24"/>
                <w:szCs w:val="24"/>
                <w:lang w:val="en-US" w:eastAsia="en-US" w:bidi="ar-SA"/>
              </w:rPr>
            </w:pPr>
          </w:p>
        </w:tc>
      </w:tr>
      <w:tr w14:paraId="0B95B163" w14:textId="77777777" w:rsidTr="00FF6197">
        <w:tblPrEx>
          <w:tblW w:w="6942" w:type="dxa"/>
          <w:jc w:val="center"/>
          <w:tblInd w:w="0" w:type="dxa"/>
          <w:tblCellMar>
            <w:top w:w="0" w:type="dxa"/>
            <w:left w:w="108" w:type="dxa"/>
            <w:bottom w:w="0" w:type="dxa"/>
            <w:right w:w="108" w:type="dxa"/>
          </w:tblCellMar>
          <w:tblLook w:val="04A0"/>
        </w:tblPrEx>
        <w:trPr>
          <w:trHeight w:val="262"/>
          <w:jc w:val="center"/>
        </w:trPr>
        <w:tc>
          <w:tcPr>
            <w:tcW w:w="1306" w:type="dxa"/>
            <w:tcBorders>
              <w:top w:val="nil"/>
              <w:left w:val="single" w:sz="4" w:space="0" w:color="auto"/>
              <w:bottom w:val="nil"/>
              <w:right w:val="nil"/>
            </w:tcBorders>
            <w:shd w:val="clear" w:color="auto" w:fill="auto"/>
            <w:noWrap/>
            <w:vAlign w:val="bottom"/>
            <w:hideMark/>
          </w:tcPr>
          <w:p w:rsidR="00FF6197" w:rsidRPr="00423400" w:rsidP="00F228F4" w14:paraId="5E94BD1A" w14:textId="77777777">
            <w:pPr>
              <w:keepNext/>
              <w:rPr>
                <w:rStyle w:val="DefaultParagraphFont"/>
                <w:rFonts w:ascii="Times New Roman" w:hAnsi="Times New Roman" w:eastAsiaTheme="minorHAnsi" w:cs="Times New Roman"/>
                <w:color w:val="000000"/>
                <w:sz w:val="24"/>
                <w:szCs w:val="24"/>
                <w:lang w:val="en-US" w:eastAsia="en-US" w:bidi="ar-SA"/>
              </w:rPr>
            </w:pPr>
            <w:r w:rsidRPr="00423400">
              <w:rPr>
                <w:rFonts w:ascii="Times New Roman" w:hAnsi="Times New Roman" w:eastAsiaTheme="minorHAnsi" w:cs="Times New Roman"/>
                <w:color w:val="000000"/>
                <w:sz w:val="24"/>
                <w:szCs w:val="24"/>
                <w:lang w:val="en-US" w:eastAsia="en-US" w:bidi="ar-SA"/>
              </w:rPr>
              <w:t> </w:t>
            </w:r>
          </w:p>
        </w:tc>
        <w:tc>
          <w:tcPr>
            <w:tcW w:w="2237" w:type="dxa"/>
            <w:tcBorders>
              <w:top w:val="nil"/>
              <w:left w:val="nil"/>
              <w:bottom w:val="nil"/>
              <w:right w:val="nil"/>
            </w:tcBorders>
            <w:shd w:val="clear" w:color="auto" w:fill="auto"/>
            <w:noWrap/>
            <w:vAlign w:val="bottom"/>
            <w:hideMark/>
          </w:tcPr>
          <w:p w:rsidR="00FF6197" w:rsidRPr="00423400" w:rsidP="00F228F4" w14:paraId="0B2773AD" w14:textId="77777777">
            <w:pPr>
              <w:keepNext/>
              <w:rPr>
                <w:rStyle w:val="DefaultParagraphFont"/>
                <w:rFonts w:ascii="Times New Roman" w:hAnsi="Times New Roman" w:eastAsiaTheme="minorHAnsi" w:cs="Times New Roman"/>
                <w:color w:val="000000"/>
                <w:sz w:val="24"/>
                <w:szCs w:val="24"/>
                <w:lang w:val="en-US" w:eastAsia="en-US" w:bidi="ar-SA"/>
              </w:rPr>
            </w:pPr>
            <w:r w:rsidRPr="00423400">
              <w:rPr>
                <w:rFonts w:ascii="Times New Roman" w:hAnsi="Times New Roman" w:eastAsiaTheme="minorHAnsi" w:cs="Times New Roman"/>
                <w:color w:val="000000"/>
                <w:sz w:val="24"/>
                <w:szCs w:val="24"/>
                <w:lang w:val="en-US" w:eastAsia="en-US" w:bidi="ar-SA"/>
              </w:rPr>
              <w:t>PNM Resources</w:t>
            </w:r>
          </w:p>
        </w:tc>
        <w:tc>
          <w:tcPr>
            <w:tcW w:w="773" w:type="dxa"/>
            <w:tcBorders>
              <w:top w:val="nil"/>
              <w:left w:val="nil"/>
              <w:bottom w:val="nil"/>
              <w:right w:val="nil"/>
            </w:tcBorders>
            <w:shd w:val="clear" w:color="auto" w:fill="auto"/>
            <w:noWrap/>
            <w:vAlign w:val="bottom"/>
            <w:hideMark/>
          </w:tcPr>
          <w:p w:rsidR="00FF6197" w:rsidRPr="00423400" w:rsidP="00F228F4" w14:paraId="038D768A" w14:textId="77777777">
            <w:pPr>
              <w:keepNext/>
              <w:rPr>
                <w:rStyle w:val="DefaultParagraphFont"/>
                <w:rFonts w:ascii="Times New Roman" w:hAnsi="Times New Roman" w:eastAsiaTheme="minorHAnsi" w:cs="Times New Roman"/>
                <w:color w:val="000000"/>
                <w:sz w:val="24"/>
                <w:szCs w:val="24"/>
                <w:lang w:val="en-US" w:eastAsia="en-US" w:bidi="ar-SA"/>
              </w:rPr>
            </w:pPr>
          </w:p>
        </w:tc>
        <w:tc>
          <w:tcPr>
            <w:tcW w:w="1320" w:type="dxa"/>
            <w:tcBorders>
              <w:top w:val="nil"/>
              <w:left w:val="nil"/>
              <w:bottom w:val="nil"/>
              <w:right w:val="nil"/>
            </w:tcBorders>
            <w:shd w:val="clear" w:color="auto" w:fill="auto"/>
            <w:noWrap/>
            <w:vAlign w:val="bottom"/>
            <w:hideMark/>
          </w:tcPr>
          <w:p w:rsidR="00FF6197" w:rsidRPr="00423400" w:rsidP="00F228F4" w14:paraId="65093292" w14:textId="77777777">
            <w:pPr>
              <w:keepNext/>
              <w:jc w:val="center"/>
              <w:rPr>
                <w:rStyle w:val="DefaultParagraphFont"/>
                <w:rFonts w:ascii="Times New Roman" w:hAnsi="Times New Roman" w:eastAsiaTheme="minorHAnsi" w:cs="Times New Roman"/>
                <w:color w:val="000000"/>
                <w:sz w:val="24"/>
                <w:szCs w:val="24"/>
                <w:u w:val="single"/>
                <w:lang w:val="en-US" w:eastAsia="en-US" w:bidi="ar-SA"/>
              </w:rPr>
            </w:pPr>
            <w:r w:rsidRPr="00423400">
              <w:rPr>
                <w:rFonts w:ascii="Times New Roman" w:hAnsi="Times New Roman" w:eastAsiaTheme="minorHAnsi" w:cs="Times New Roman"/>
                <w:color w:val="000000"/>
                <w:sz w:val="24"/>
                <w:szCs w:val="24"/>
                <w:u w:val="single"/>
                <w:lang w:val="en-US" w:eastAsia="en-US" w:bidi="ar-SA"/>
              </w:rPr>
              <w:t>9.10%</w:t>
            </w:r>
          </w:p>
        </w:tc>
        <w:tc>
          <w:tcPr>
            <w:tcW w:w="1306" w:type="dxa"/>
            <w:tcBorders>
              <w:top w:val="nil"/>
              <w:left w:val="nil"/>
              <w:bottom w:val="nil"/>
              <w:right w:val="single" w:sz="4" w:space="0" w:color="auto"/>
            </w:tcBorders>
            <w:shd w:val="clear" w:color="auto" w:fill="auto"/>
            <w:noWrap/>
            <w:vAlign w:val="bottom"/>
            <w:hideMark/>
          </w:tcPr>
          <w:p w:rsidR="00FF6197" w:rsidRPr="00423400" w:rsidP="00F228F4" w14:paraId="2CE5EBD9" w14:textId="77777777">
            <w:pPr>
              <w:keepNext/>
              <w:rPr>
                <w:rStyle w:val="DefaultParagraphFont"/>
                <w:rFonts w:ascii="Times New Roman" w:hAnsi="Times New Roman" w:eastAsiaTheme="minorHAnsi" w:cs="Times New Roman"/>
                <w:color w:val="000000"/>
                <w:sz w:val="24"/>
                <w:szCs w:val="24"/>
                <w:lang w:val="en-US" w:eastAsia="en-US" w:bidi="ar-SA"/>
              </w:rPr>
            </w:pPr>
            <w:r w:rsidRPr="00423400">
              <w:rPr>
                <w:rFonts w:ascii="Times New Roman" w:hAnsi="Times New Roman" w:eastAsiaTheme="minorHAnsi" w:cs="Times New Roman"/>
                <w:color w:val="000000"/>
                <w:sz w:val="24"/>
                <w:szCs w:val="24"/>
                <w:lang w:val="en-US" w:eastAsia="en-US" w:bidi="ar-SA"/>
              </w:rPr>
              <w:t> </w:t>
            </w:r>
          </w:p>
        </w:tc>
      </w:tr>
      <w:tr w14:paraId="389F34B6" w14:textId="77777777" w:rsidTr="00FF6197">
        <w:tblPrEx>
          <w:tblW w:w="6942" w:type="dxa"/>
          <w:jc w:val="center"/>
          <w:tblInd w:w="0" w:type="dxa"/>
          <w:tblCellMar>
            <w:top w:w="0" w:type="dxa"/>
            <w:left w:w="108" w:type="dxa"/>
            <w:bottom w:w="0" w:type="dxa"/>
            <w:right w:w="108" w:type="dxa"/>
          </w:tblCellMar>
          <w:tblLook w:val="04A0"/>
        </w:tblPrEx>
        <w:trPr>
          <w:trHeight w:val="262"/>
          <w:jc w:val="center"/>
        </w:trPr>
        <w:tc>
          <w:tcPr>
            <w:tcW w:w="1306" w:type="dxa"/>
            <w:tcBorders>
              <w:top w:val="nil"/>
              <w:left w:val="single" w:sz="4" w:space="0" w:color="auto"/>
              <w:bottom w:val="nil"/>
              <w:right w:val="nil"/>
            </w:tcBorders>
            <w:shd w:val="clear" w:color="auto" w:fill="auto"/>
            <w:noWrap/>
            <w:vAlign w:val="bottom"/>
            <w:hideMark/>
          </w:tcPr>
          <w:p w:rsidR="00FF6197" w:rsidRPr="00423400" w:rsidP="00F228F4" w14:paraId="08C2D65F" w14:textId="77777777">
            <w:pPr>
              <w:keepNext/>
              <w:rPr>
                <w:rStyle w:val="DefaultParagraphFont"/>
                <w:rFonts w:ascii="Times New Roman" w:hAnsi="Times New Roman" w:eastAsiaTheme="minorHAnsi" w:cs="Times New Roman"/>
                <w:color w:val="000000"/>
                <w:sz w:val="24"/>
                <w:szCs w:val="24"/>
                <w:lang w:val="en-US" w:eastAsia="en-US" w:bidi="ar-SA"/>
              </w:rPr>
            </w:pPr>
            <w:r w:rsidRPr="00423400">
              <w:rPr>
                <w:rFonts w:ascii="Times New Roman" w:hAnsi="Times New Roman" w:eastAsiaTheme="minorHAnsi" w:cs="Times New Roman"/>
                <w:color w:val="000000"/>
                <w:sz w:val="24"/>
                <w:szCs w:val="24"/>
                <w:lang w:val="en-US" w:eastAsia="en-US" w:bidi="ar-SA"/>
              </w:rPr>
              <w:t> </w:t>
            </w:r>
          </w:p>
        </w:tc>
        <w:tc>
          <w:tcPr>
            <w:tcW w:w="2237" w:type="dxa"/>
            <w:tcBorders>
              <w:top w:val="nil"/>
              <w:left w:val="nil"/>
              <w:bottom w:val="nil"/>
              <w:right w:val="nil"/>
            </w:tcBorders>
            <w:shd w:val="clear" w:color="auto" w:fill="auto"/>
            <w:noWrap/>
            <w:vAlign w:val="bottom"/>
            <w:hideMark/>
          </w:tcPr>
          <w:p w:rsidR="00FF6197" w:rsidRPr="00423400" w:rsidP="00F228F4" w14:paraId="35A69EDA" w14:textId="77777777">
            <w:pPr>
              <w:keepNext/>
              <w:rPr>
                <w:rStyle w:val="DefaultParagraphFont"/>
                <w:rFonts w:ascii="Times New Roman" w:hAnsi="Times New Roman" w:eastAsiaTheme="minorHAnsi" w:cs="Times New Roman"/>
                <w:b/>
                <w:color w:val="000000"/>
                <w:sz w:val="24"/>
                <w:szCs w:val="24"/>
                <w:lang w:val="en-US" w:eastAsia="en-US" w:bidi="ar-SA"/>
              </w:rPr>
            </w:pPr>
            <w:r w:rsidRPr="00423400">
              <w:rPr>
                <w:rFonts w:ascii="Times New Roman" w:hAnsi="Times New Roman" w:eastAsiaTheme="minorHAnsi" w:cs="Times New Roman"/>
                <w:b/>
                <w:color w:val="000000"/>
                <w:sz w:val="24"/>
                <w:szCs w:val="24"/>
                <w:lang w:val="en-US" w:eastAsia="en-US" w:bidi="ar-SA"/>
              </w:rPr>
              <w:t>Average</w:t>
            </w:r>
          </w:p>
        </w:tc>
        <w:tc>
          <w:tcPr>
            <w:tcW w:w="773" w:type="dxa"/>
            <w:tcBorders>
              <w:top w:val="nil"/>
              <w:left w:val="nil"/>
              <w:bottom w:val="nil"/>
              <w:right w:val="nil"/>
            </w:tcBorders>
            <w:shd w:val="clear" w:color="auto" w:fill="auto"/>
            <w:noWrap/>
            <w:vAlign w:val="bottom"/>
            <w:hideMark/>
          </w:tcPr>
          <w:p w:rsidR="00FF6197" w:rsidRPr="00423400" w:rsidP="00F228F4" w14:paraId="5428EEB4" w14:textId="77777777">
            <w:pPr>
              <w:keepNext/>
              <w:rPr>
                <w:rStyle w:val="DefaultParagraphFont"/>
                <w:rFonts w:ascii="Times New Roman" w:hAnsi="Times New Roman" w:eastAsiaTheme="minorHAnsi" w:cs="Times New Roman"/>
                <w:color w:val="000000"/>
                <w:sz w:val="24"/>
                <w:szCs w:val="24"/>
                <w:lang w:val="en-US" w:eastAsia="en-US" w:bidi="ar-SA"/>
              </w:rPr>
            </w:pPr>
          </w:p>
        </w:tc>
        <w:tc>
          <w:tcPr>
            <w:tcW w:w="1320" w:type="dxa"/>
            <w:tcBorders>
              <w:top w:val="nil"/>
              <w:left w:val="nil"/>
              <w:bottom w:val="nil"/>
              <w:right w:val="nil"/>
            </w:tcBorders>
            <w:shd w:val="clear" w:color="auto" w:fill="auto"/>
            <w:noWrap/>
            <w:vAlign w:val="bottom"/>
            <w:hideMark/>
          </w:tcPr>
          <w:p w:rsidR="00FF6197" w:rsidRPr="00423400" w:rsidP="00F228F4" w14:paraId="415A639B" w14:textId="77777777">
            <w:pPr>
              <w:keepNext/>
              <w:jc w:val="center"/>
              <w:rPr>
                <w:rStyle w:val="DefaultParagraphFont"/>
                <w:rFonts w:ascii="Times New Roman" w:hAnsi="Times New Roman" w:eastAsiaTheme="minorHAnsi" w:cs="Times New Roman"/>
                <w:b/>
                <w:color w:val="000000"/>
                <w:sz w:val="24"/>
                <w:szCs w:val="24"/>
                <w:lang w:val="en-US" w:eastAsia="en-US" w:bidi="ar-SA"/>
              </w:rPr>
            </w:pPr>
            <w:r w:rsidRPr="00423400">
              <w:rPr>
                <w:rFonts w:ascii="Times New Roman" w:hAnsi="Times New Roman" w:eastAsiaTheme="minorHAnsi" w:cs="Times New Roman"/>
                <w:b/>
                <w:color w:val="000000"/>
                <w:sz w:val="24"/>
                <w:szCs w:val="24"/>
                <w:lang w:val="en-US" w:eastAsia="en-US" w:bidi="ar-SA"/>
              </w:rPr>
              <w:t>8.93%</w:t>
            </w:r>
          </w:p>
        </w:tc>
        <w:tc>
          <w:tcPr>
            <w:tcW w:w="1306" w:type="dxa"/>
            <w:tcBorders>
              <w:top w:val="nil"/>
              <w:left w:val="nil"/>
              <w:bottom w:val="nil"/>
              <w:right w:val="single" w:sz="4" w:space="0" w:color="auto"/>
            </w:tcBorders>
            <w:shd w:val="clear" w:color="auto" w:fill="auto"/>
            <w:noWrap/>
            <w:vAlign w:val="bottom"/>
            <w:hideMark/>
          </w:tcPr>
          <w:p w:rsidR="00FF6197" w:rsidRPr="00423400" w:rsidP="00F228F4" w14:paraId="43AC0095" w14:textId="77777777">
            <w:pPr>
              <w:keepNext/>
              <w:rPr>
                <w:rStyle w:val="DefaultParagraphFont"/>
                <w:rFonts w:ascii="Times New Roman" w:hAnsi="Times New Roman" w:eastAsiaTheme="minorHAnsi" w:cs="Times New Roman"/>
                <w:color w:val="000000"/>
                <w:sz w:val="24"/>
                <w:szCs w:val="24"/>
                <w:lang w:val="en-US" w:eastAsia="en-US" w:bidi="ar-SA"/>
              </w:rPr>
            </w:pPr>
            <w:r w:rsidRPr="00423400">
              <w:rPr>
                <w:rFonts w:ascii="Times New Roman" w:hAnsi="Times New Roman" w:eastAsiaTheme="minorHAnsi" w:cs="Times New Roman"/>
                <w:color w:val="000000"/>
                <w:sz w:val="24"/>
                <w:szCs w:val="24"/>
                <w:lang w:val="en-US" w:eastAsia="en-US" w:bidi="ar-SA"/>
              </w:rPr>
              <w:t> </w:t>
            </w:r>
          </w:p>
        </w:tc>
      </w:tr>
      <w:tr w14:paraId="35535561" w14:textId="77777777" w:rsidTr="00F228F4">
        <w:tblPrEx>
          <w:tblW w:w="6942" w:type="dxa"/>
          <w:jc w:val="center"/>
          <w:tblInd w:w="0" w:type="dxa"/>
          <w:tblCellMar>
            <w:top w:w="0" w:type="dxa"/>
            <w:left w:w="108" w:type="dxa"/>
            <w:bottom w:w="0" w:type="dxa"/>
            <w:right w:w="108" w:type="dxa"/>
          </w:tblCellMar>
          <w:tblLook w:val="04A0"/>
        </w:tblPrEx>
        <w:trPr>
          <w:trHeight w:val="262"/>
          <w:jc w:val="center"/>
        </w:trPr>
        <w:tc>
          <w:tcPr>
            <w:tcW w:w="1306" w:type="dxa"/>
            <w:tcBorders>
              <w:top w:val="nil"/>
              <w:left w:val="single" w:sz="4" w:space="0" w:color="auto"/>
              <w:bottom w:val="nil"/>
              <w:right w:val="nil"/>
            </w:tcBorders>
            <w:shd w:val="clear" w:color="auto" w:fill="auto"/>
            <w:noWrap/>
            <w:vAlign w:val="bottom"/>
            <w:hideMark/>
          </w:tcPr>
          <w:p w:rsidR="00FF6197" w:rsidRPr="00423400" w:rsidP="00F228F4" w14:paraId="4EB60920" w14:textId="77777777">
            <w:pPr>
              <w:keepNext/>
              <w:rPr>
                <w:rStyle w:val="DefaultParagraphFont"/>
                <w:rFonts w:ascii="Times New Roman" w:hAnsi="Times New Roman" w:eastAsiaTheme="minorHAnsi" w:cs="Times New Roman"/>
                <w:color w:val="000000"/>
                <w:sz w:val="24"/>
                <w:szCs w:val="24"/>
                <w:lang w:val="en-US" w:eastAsia="en-US" w:bidi="ar-SA"/>
              </w:rPr>
            </w:pPr>
            <w:r w:rsidRPr="00423400">
              <w:rPr>
                <w:rFonts w:ascii="Times New Roman" w:hAnsi="Times New Roman" w:eastAsiaTheme="minorHAnsi" w:cs="Times New Roman"/>
                <w:color w:val="000000"/>
                <w:sz w:val="24"/>
                <w:szCs w:val="24"/>
                <w:lang w:val="en-US" w:eastAsia="en-US" w:bidi="ar-SA"/>
              </w:rPr>
              <w:t> </w:t>
            </w:r>
          </w:p>
        </w:tc>
        <w:tc>
          <w:tcPr>
            <w:tcW w:w="4330" w:type="dxa"/>
            <w:gridSpan w:val="3"/>
            <w:tcBorders>
              <w:top w:val="nil"/>
              <w:left w:val="nil"/>
              <w:bottom w:val="nil"/>
              <w:right w:val="nil"/>
            </w:tcBorders>
            <w:shd w:val="clear" w:color="auto" w:fill="auto"/>
            <w:noWrap/>
            <w:vAlign w:val="bottom"/>
            <w:hideMark/>
          </w:tcPr>
          <w:p w:rsidR="00FF6197" w:rsidRPr="00423400" w:rsidP="00F228F4" w14:paraId="3888F6C1" w14:textId="77777777">
            <w:pPr>
              <w:keepNext/>
              <w:rPr>
                <w:rStyle w:val="DefaultParagraphFont"/>
                <w:rFonts w:ascii="Times New Roman" w:hAnsi="Times New Roman" w:eastAsiaTheme="minorHAnsi" w:cs="Times New Roman"/>
                <w:sz w:val="24"/>
                <w:szCs w:val="24"/>
                <w:lang w:val="en-US" w:eastAsia="en-US" w:bidi="ar-SA"/>
              </w:rPr>
            </w:pPr>
            <w:r w:rsidRPr="00423400">
              <w:rPr>
                <w:rFonts w:ascii="Times New Roman" w:hAnsi="Times New Roman" w:eastAsiaTheme="minorHAnsi" w:cs="Times New Roman"/>
                <w:color w:val="000000"/>
                <w:sz w:val="24"/>
                <w:szCs w:val="24"/>
                <w:lang w:val="en-US" w:eastAsia="en-US" w:bidi="ar-SA"/>
              </w:rPr>
              <w:t>Source: Staff Schedule D-1.4 to D-1.8.</w:t>
            </w:r>
          </w:p>
        </w:tc>
        <w:tc>
          <w:tcPr>
            <w:tcW w:w="1306" w:type="dxa"/>
            <w:tcBorders>
              <w:top w:val="nil"/>
              <w:left w:val="nil"/>
              <w:bottom w:val="nil"/>
              <w:right w:val="single" w:sz="4" w:space="0" w:color="auto"/>
            </w:tcBorders>
            <w:shd w:val="clear" w:color="auto" w:fill="auto"/>
            <w:noWrap/>
            <w:vAlign w:val="bottom"/>
            <w:hideMark/>
          </w:tcPr>
          <w:p w:rsidR="00FF6197" w:rsidRPr="00423400" w:rsidP="00F228F4" w14:paraId="796F13B1" w14:textId="77777777">
            <w:pPr>
              <w:keepNext/>
              <w:rPr>
                <w:rStyle w:val="DefaultParagraphFont"/>
                <w:rFonts w:ascii="Times New Roman" w:hAnsi="Times New Roman" w:eastAsiaTheme="minorHAnsi" w:cs="Times New Roman"/>
                <w:color w:val="000000"/>
                <w:sz w:val="24"/>
                <w:szCs w:val="24"/>
                <w:lang w:val="en-US" w:eastAsia="en-US" w:bidi="ar-SA"/>
              </w:rPr>
            </w:pPr>
            <w:r w:rsidRPr="00423400">
              <w:rPr>
                <w:rFonts w:ascii="Times New Roman" w:hAnsi="Times New Roman" w:eastAsiaTheme="minorHAnsi" w:cs="Times New Roman"/>
                <w:color w:val="000000"/>
                <w:sz w:val="24"/>
                <w:szCs w:val="24"/>
                <w:lang w:val="en-US" w:eastAsia="en-US" w:bidi="ar-SA"/>
              </w:rPr>
              <w:t> </w:t>
            </w:r>
          </w:p>
        </w:tc>
      </w:tr>
      <w:tr w14:paraId="52431B17" w14:textId="77777777" w:rsidTr="00FF6197">
        <w:tblPrEx>
          <w:tblW w:w="6942" w:type="dxa"/>
          <w:jc w:val="center"/>
          <w:tblInd w:w="0" w:type="dxa"/>
          <w:tblCellMar>
            <w:top w:w="0" w:type="dxa"/>
            <w:left w:w="108" w:type="dxa"/>
            <w:bottom w:w="0" w:type="dxa"/>
            <w:right w:w="108" w:type="dxa"/>
          </w:tblCellMar>
          <w:tblLook w:val="04A0"/>
        </w:tblPrEx>
        <w:trPr>
          <w:trHeight w:val="262"/>
          <w:jc w:val="center"/>
        </w:trPr>
        <w:tc>
          <w:tcPr>
            <w:tcW w:w="1306" w:type="dxa"/>
            <w:tcBorders>
              <w:top w:val="nil"/>
              <w:left w:val="single" w:sz="4" w:space="0" w:color="auto"/>
              <w:bottom w:val="single" w:sz="4" w:space="0" w:color="auto"/>
              <w:right w:val="nil"/>
            </w:tcBorders>
            <w:shd w:val="clear" w:color="auto" w:fill="auto"/>
            <w:noWrap/>
            <w:vAlign w:val="bottom"/>
            <w:hideMark/>
          </w:tcPr>
          <w:p w:rsidR="00FF6197" w:rsidRPr="00423400" w:rsidP="00F228F4" w14:paraId="58FF2940" w14:textId="77777777">
            <w:pPr>
              <w:keepNext/>
              <w:rPr>
                <w:rStyle w:val="DefaultParagraphFont"/>
                <w:rFonts w:ascii="Times New Roman" w:hAnsi="Times New Roman" w:eastAsiaTheme="minorHAnsi" w:cs="Times New Roman"/>
                <w:color w:val="000000"/>
                <w:sz w:val="24"/>
                <w:szCs w:val="24"/>
                <w:lang w:val="en-US" w:eastAsia="en-US" w:bidi="ar-SA"/>
              </w:rPr>
            </w:pPr>
            <w:r w:rsidRPr="00423400">
              <w:rPr>
                <w:rFonts w:ascii="Times New Roman" w:hAnsi="Times New Roman" w:eastAsiaTheme="minorHAnsi" w:cs="Times New Roman"/>
                <w:color w:val="000000"/>
                <w:sz w:val="24"/>
                <w:szCs w:val="24"/>
                <w:lang w:val="en-US" w:eastAsia="en-US" w:bidi="ar-SA"/>
              </w:rPr>
              <w:t> </w:t>
            </w:r>
          </w:p>
        </w:tc>
        <w:tc>
          <w:tcPr>
            <w:tcW w:w="2237" w:type="dxa"/>
            <w:tcBorders>
              <w:top w:val="nil"/>
              <w:left w:val="nil"/>
              <w:bottom w:val="single" w:sz="4" w:space="0" w:color="auto"/>
              <w:right w:val="nil"/>
            </w:tcBorders>
            <w:shd w:val="clear" w:color="auto" w:fill="auto"/>
            <w:noWrap/>
            <w:vAlign w:val="bottom"/>
            <w:hideMark/>
          </w:tcPr>
          <w:p w:rsidR="00FF6197" w:rsidRPr="00423400" w:rsidP="00F228F4" w14:paraId="4FDE733C" w14:textId="77777777">
            <w:pPr>
              <w:keepNext/>
              <w:rPr>
                <w:rStyle w:val="DefaultParagraphFont"/>
                <w:rFonts w:ascii="Times New Roman" w:hAnsi="Times New Roman" w:eastAsiaTheme="minorHAnsi" w:cs="Times New Roman"/>
                <w:color w:val="000000"/>
                <w:sz w:val="24"/>
                <w:szCs w:val="24"/>
                <w:lang w:val="en-US" w:eastAsia="en-US" w:bidi="ar-SA"/>
              </w:rPr>
            </w:pPr>
            <w:r w:rsidRPr="00423400">
              <w:rPr>
                <w:rFonts w:ascii="Times New Roman" w:hAnsi="Times New Roman" w:eastAsiaTheme="minorHAnsi" w:cs="Times New Roman"/>
                <w:color w:val="000000"/>
                <w:sz w:val="24"/>
                <w:szCs w:val="24"/>
                <w:lang w:val="en-US" w:eastAsia="en-US" w:bidi="ar-SA"/>
              </w:rPr>
              <w:t> </w:t>
            </w:r>
          </w:p>
        </w:tc>
        <w:tc>
          <w:tcPr>
            <w:tcW w:w="773" w:type="dxa"/>
            <w:tcBorders>
              <w:top w:val="nil"/>
              <w:left w:val="nil"/>
              <w:bottom w:val="single" w:sz="4" w:space="0" w:color="auto"/>
              <w:right w:val="nil"/>
            </w:tcBorders>
            <w:shd w:val="clear" w:color="auto" w:fill="auto"/>
            <w:noWrap/>
            <w:vAlign w:val="bottom"/>
            <w:hideMark/>
          </w:tcPr>
          <w:p w:rsidR="00FF6197" w:rsidRPr="00423400" w:rsidP="00F228F4" w14:paraId="23F7AFB9" w14:textId="77777777">
            <w:pPr>
              <w:keepNext/>
              <w:rPr>
                <w:rStyle w:val="DefaultParagraphFont"/>
                <w:rFonts w:ascii="Times New Roman" w:hAnsi="Times New Roman" w:eastAsiaTheme="minorHAnsi" w:cs="Times New Roman"/>
                <w:color w:val="000000"/>
                <w:sz w:val="24"/>
                <w:szCs w:val="24"/>
                <w:lang w:val="en-US" w:eastAsia="en-US" w:bidi="ar-SA"/>
              </w:rPr>
            </w:pPr>
            <w:r w:rsidRPr="00423400">
              <w:rPr>
                <w:rFonts w:ascii="Times New Roman" w:hAnsi="Times New Roman" w:eastAsiaTheme="minorHAnsi" w:cs="Times New Roman"/>
                <w:color w:val="000000"/>
                <w:sz w:val="24"/>
                <w:szCs w:val="24"/>
                <w:lang w:val="en-US" w:eastAsia="en-US" w:bidi="ar-SA"/>
              </w:rPr>
              <w:t> </w:t>
            </w:r>
          </w:p>
        </w:tc>
        <w:tc>
          <w:tcPr>
            <w:tcW w:w="1320" w:type="dxa"/>
            <w:tcBorders>
              <w:top w:val="nil"/>
              <w:left w:val="nil"/>
              <w:bottom w:val="single" w:sz="4" w:space="0" w:color="auto"/>
              <w:right w:val="nil"/>
            </w:tcBorders>
            <w:shd w:val="clear" w:color="auto" w:fill="auto"/>
            <w:noWrap/>
            <w:vAlign w:val="bottom"/>
            <w:hideMark/>
          </w:tcPr>
          <w:p w:rsidR="00FF6197" w:rsidRPr="00423400" w:rsidP="00F228F4" w14:paraId="701D0766" w14:textId="77777777">
            <w:pPr>
              <w:keepNext/>
              <w:rPr>
                <w:rStyle w:val="DefaultParagraphFont"/>
                <w:rFonts w:ascii="Times New Roman" w:hAnsi="Times New Roman" w:eastAsiaTheme="minorHAnsi" w:cs="Times New Roman"/>
                <w:color w:val="000000"/>
                <w:sz w:val="24"/>
                <w:szCs w:val="24"/>
                <w:lang w:val="en-US" w:eastAsia="en-US" w:bidi="ar-SA"/>
              </w:rPr>
            </w:pPr>
            <w:r w:rsidRPr="00423400">
              <w:rPr>
                <w:rFonts w:ascii="Times New Roman" w:hAnsi="Times New Roman" w:eastAsiaTheme="minorHAnsi" w:cs="Times New Roman"/>
                <w:color w:val="000000"/>
                <w:sz w:val="24"/>
                <w:szCs w:val="24"/>
                <w:lang w:val="en-US" w:eastAsia="en-US" w:bidi="ar-SA"/>
              </w:rPr>
              <w:t> </w:t>
            </w:r>
          </w:p>
        </w:tc>
        <w:tc>
          <w:tcPr>
            <w:tcW w:w="1306" w:type="dxa"/>
            <w:tcBorders>
              <w:top w:val="nil"/>
              <w:left w:val="nil"/>
              <w:bottom w:val="single" w:sz="4" w:space="0" w:color="auto"/>
              <w:right w:val="single" w:sz="4" w:space="0" w:color="auto"/>
            </w:tcBorders>
            <w:shd w:val="clear" w:color="auto" w:fill="auto"/>
            <w:noWrap/>
            <w:vAlign w:val="bottom"/>
            <w:hideMark/>
          </w:tcPr>
          <w:p w:rsidR="00FF6197" w:rsidRPr="00423400" w:rsidP="00F228F4" w14:paraId="24B1C0ED" w14:textId="77777777">
            <w:pPr>
              <w:keepNext/>
              <w:rPr>
                <w:rStyle w:val="DefaultParagraphFont"/>
                <w:rFonts w:ascii="Times New Roman" w:hAnsi="Times New Roman" w:eastAsiaTheme="minorHAnsi" w:cs="Times New Roman"/>
                <w:color w:val="000000"/>
                <w:sz w:val="24"/>
                <w:szCs w:val="24"/>
                <w:lang w:val="en-US" w:eastAsia="en-US" w:bidi="ar-SA"/>
              </w:rPr>
            </w:pPr>
            <w:r w:rsidRPr="00423400">
              <w:rPr>
                <w:rFonts w:ascii="Times New Roman" w:hAnsi="Times New Roman" w:eastAsiaTheme="minorHAnsi" w:cs="Times New Roman"/>
                <w:color w:val="000000"/>
                <w:sz w:val="24"/>
                <w:szCs w:val="24"/>
                <w:lang w:val="en-US" w:eastAsia="en-US" w:bidi="ar-SA"/>
              </w:rPr>
              <w:t> </w:t>
            </w:r>
          </w:p>
        </w:tc>
      </w:tr>
    </w:tbl>
    <w:p w:rsidR="00CB5EFB" w:rsidRPr="00423400" w:rsidP="00AD32AF" w14:paraId="737316C5" w14:textId="77777777">
      <w:pPr>
        <w:tabs>
          <w:tab w:val="left" w:pos="-1440"/>
        </w:tabs>
        <w:spacing w:after="0" w:line="480" w:lineRule="auto"/>
        <w:rPr>
          <w:rFonts w:cs="Times New Roman"/>
          <w:color w:val="000000"/>
          <w:szCs w:val="24"/>
        </w:rPr>
      </w:pPr>
    </w:p>
    <w:p w:rsidR="002951B4" w:rsidRPr="00423400" w:rsidP="0012105E" w14:paraId="213D8678" w14:textId="77777777">
      <w:pPr>
        <w:pStyle w:val="Heading2"/>
        <w:ind w:left="1440" w:hanging="720"/>
        <w:rPr>
          <w:color w:val="auto"/>
          <w:sz w:val="24"/>
          <w:szCs w:val="24"/>
        </w:rPr>
      </w:pPr>
      <w:bookmarkStart w:id="66" w:name="_Toc97298213"/>
      <w:bookmarkStart w:id="67" w:name="_Toc96960364"/>
      <w:bookmarkStart w:id="68" w:name="_Toc96960406"/>
      <w:r w:rsidRPr="00423400">
        <w:rPr>
          <w:color w:val="auto"/>
          <w:sz w:val="24"/>
          <w:szCs w:val="24"/>
        </w:rPr>
        <w:t>To protect consumers from paying higher rates, the PUCO should reject the PUCO Staff’s</w:t>
      </w:r>
      <w:r w:rsidRPr="00423400" w:rsidR="00C90318">
        <w:rPr>
          <w:color w:val="auto"/>
          <w:sz w:val="24"/>
          <w:szCs w:val="24"/>
        </w:rPr>
        <w:t xml:space="preserve"> and DP&amp;L’s</w:t>
      </w:r>
      <w:r w:rsidRPr="00423400">
        <w:rPr>
          <w:color w:val="auto"/>
          <w:sz w:val="24"/>
          <w:szCs w:val="24"/>
        </w:rPr>
        <w:t xml:space="preserve"> inappropriate increase</w:t>
      </w:r>
      <w:r w:rsidRPr="00423400" w:rsidR="000B6462">
        <w:rPr>
          <w:color w:val="auto"/>
          <w:sz w:val="24"/>
          <w:szCs w:val="24"/>
        </w:rPr>
        <w:t xml:space="preserve"> to </w:t>
      </w:r>
      <w:r w:rsidRPr="00423400">
        <w:rPr>
          <w:color w:val="auto"/>
          <w:sz w:val="24"/>
          <w:szCs w:val="24"/>
        </w:rPr>
        <w:t>the ROE by allowing an adjustment for equity issuance and other costs</w:t>
      </w:r>
      <w:r w:rsidRPr="00423400" w:rsidR="00445531">
        <w:rPr>
          <w:color w:val="auto"/>
          <w:sz w:val="24"/>
          <w:szCs w:val="24"/>
        </w:rPr>
        <w:t>.</w:t>
      </w:r>
      <w:bookmarkEnd w:id="66"/>
      <w:r w:rsidRPr="00423400">
        <w:rPr>
          <w:color w:val="auto"/>
          <w:sz w:val="24"/>
          <w:szCs w:val="24"/>
        </w:rPr>
        <w:t xml:space="preserve"> </w:t>
      </w:r>
      <w:bookmarkEnd w:id="67"/>
      <w:bookmarkEnd w:id="68"/>
    </w:p>
    <w:p w:rsidR="008205BE" w:rsidRPr="00423400" w:rsidP="0012105E" w14:paraId="505C69A8" w14:textId="77777777">
      <w:pPr>
        <w:spacing w:before="240" w:after="0" w:line="480" w:lineRule="auto"/>
        <w:ind w:firstLine="720"/>
        <w:rPr>
          <w:rFonts w:cs="Times New Roman"/>
          <w:color w:val="000000"/>
          <w:szCs w:val="24"/>
        </w:rPr>
      </w:pPr>
      <w:r w:rsidRPr="00423400">
        <w:rPr>
          <w:rFonts w:cs="Times New Roman"/>
          <w:szCs w:val="24"/>
        </w:rPr>
        <w:t xml:space="preserve">OCC witness Mr. Walters testified that the PUCO should reject the PUCO Staff’s </w:t>
      </w:r>
      <w:r w:rsidRPr="00423400" w:rsidR="004139E3">
        <w:rPr>
          <w:rFonts w:cs="Times New Roman"/>
          <w:szCs w:val="24"/>
        </w:rPr>
        <w:t>recommended increase to the ROE</w:t>
      </w:r>
      <w:r w:rsidRPr="00423400">
        <w:rPr>
          <w:rFonts w:cs="Times New Roman"/>
          <w:szCs w:val="24"/>
        </w:rPr>
        <w:t xml:space="preserve"> by including an upward adjustment of approximately 13 basis points to compensation for issuance and other costs to its ROE recommendation</w:t>
      </w:r>
      <w:r w:rsidRPr="00423400" w:rsidR="00DB460D">
        <w:rPr>
          <w:rFonts w:cs="Times New Roman"/>
          <w:szCs w:val="24"/>
        </w:rPr>
        <w:t xml:space="preserve"> because it is unreasonable</w:t>
      </w:r>
      <w:r w:rsidRPr="00423400">
        <w:rPr>
          <w:rFonts w:cs="Times New Roman"/>
          <w:szCs w:val="24"/>
        </w:rPr>
        <w:t>.</w:t>
      </w:r>
      <w:r>
        <w:rPr>
          <w:rStyle w:val="FootnoteReference"/>
          <w:rFonts w:cs="Times New Roman"/>
          <w:szCs w:val="24"/>
        </w:rPr>
        <w:footnoteReference w:id="245"/>
      </w:r>
      <w:r w:rsidRPr="00423400" w:rsidR="005D5F94">
        <w:rPr>
          <w:rFonts w:cs="Times New Roman"/>
          <w:szCs w:val="24"/>
        </w:rPr>
        <w:t xml:space="preserve"> Mr. Walters testified that the PUCO </w:t>
      </w:r>
      <w:r w:rsidRPr="00423400" w:rsidR="005D5F94">
        <w:rPr>
          <w:rFonts w:cs="Times New Roman"/>
          <w:color w:val="000000"/>
          <w:szCs w:val="24"/>
        </w:rPr>
        <w:t xml:space="preserve">Staff’s issuance cost ROE adder is not reasonable or justified because it is not based on the recovery of prudent and verifiable actual issuance costs incurred by </w:t>
      </w:r>
      <w:r w:rsidRPr="00423400" w:rsidR="005D5F94">
        <w:rPr>
          <w:rFonts w:cs="Times New Roman"/>
          <w:szCs w:val="24"/>
        </w:rPr>
        <w:t>DP&amp;L</w:t>
      </w:r>
      <w:r w:rsidRPr="00423400" w:rsidR="005D5F94">
        <w:rPr>
          <w:rFonts w:cs="Times New Roman"/>
          <w:color w:val="000000"/>
          <w:szCs w:val="24"/>
        </w:rPr>
        <w:t>.</w:t>
      </w:r>
      <w:r>
        <w:rPr>
          <w:rStyle w:val="FootnoteReference"/>
          <w:rFonts w:cs="Times New Roman"/>
          <w:color w:val="000000"/>
          <w:szCs w:val="24"/>
        </w:rPr>
        <w:footnoteReference w:id="246"/>
      </w:r>
      <w:r w:rsidRPr="00423400" w:rsidR="005D5F94">
        <w:rPr>
          <w:rFonts w:cs="Times New Roman"/>
          <w:color w:val="000000"/>
          <w:szCs w:val="24"/>
        </w:rPr>
        <w:t xml:space="preserve"> And as shown on Staff Schedule D-1.1, the PUCO Staff uses a generic issuance cost of 3.5% applied to the ratio of retained earnings to common equity.</w:t>
      </w:r>
      <w:r>
        <w:rPr>
          <w:rStyle w:val="FootnoteReference"/>
          <w:rFonts w:cs="Times New Roman"/>
          <w:color w:val="000000"/>
          <w:szCs w:val="24"/>
        </w:rPr>
        <w:footnoteReference w:id="247"/>
      </w:r>
      <w:r w:rsidRPr="00423400" w:rsidR="005D5F94">
        <w:rPr>
          <w:rFonts w:cs="Times New Roman"/>
          <w:color w:val="000000"/>
          <w:szCs w:val="24"/>
        </w:rPr>
        <w:t xml:space="preserve"> Mr. Walters is correct to point out that</w:t>
      </w:r>
      <w:r w:rsidR="008F7ED6">
        <w:rPr>
          <w:rFonts w:cs="Times New Roman"/>
          <w:color w:val="000000"/>
          <w:szCs w:val="24"/>
        </w:rPr>
        <w:t>,</w:t>
      </w:r>
      <w:r w:rsidRPr="00423400" w:rsidR="005D5F94">
        <w:rPr>
          <w:rFonts w:cs="Times New Roman"/>
          <w:color w:val="000000"/>
          <w:szCs w:val="24"/>
        </w:rPr>
        <w:t xml:space="preserve"> importantly, the PUCO Staff does not show that this adjustment is based on </w:t>
      </w:r>
      <w:r w:rsidRPr="00423400" w:rsidR="005D5F94">
        <w:rPr>
          <w:rFonts w:cs="Times New Roman"/>
          <w:szCs w:val="24"/>
        </w:rPr>
        <w:t>DP&amp;L’s</w:t>
      </w:r>
      <w:r w:rsidRPr="00423400" w:rsidR="005D5F94">
        <w:rPr>
          <w:rFonts w:cs="Times New Roman"/>
          <w:color w:val="000000"/>
          <w:szCs w:val="24"/>
        </w:rPr>
        <w:t xml:space="preserve"> actual and verifiable issuance expenses.</w:t>
      </w:r>
      <w:r>
        <w:rPr>
          <w:rStyle w:val="FootnoteReference"/>
          <w:rFonts w:cs="Times New Roman"/>
          <w:color w:val="000000"/>
          <w:szCs w:val="24"/>
        </w:rPr>
        <w:footnoteReference w:id="248"/>
      </w:r>
      <w:r w:rsidRPr="00423400" w:rsidR="005D5F94">
        <w:rPr>
          <w:rFonts w:cs="Times New Roman"/>
          <w:color w:val="000000"/>
          <w:szCs w:val="24"/>
        </w:rPr>
        <w:t xml:space="preserve"> Therefore, there is no means of verifying whether Staff’s proposal is reasonable or appropriate.</w:t>
      </w:r>
      <w:r>
        <w:rPr>
          <w:rStyle w:val="FootnoteReference"/>
          <w:rFonts w:cs="Times New Roman"/>
          <w:color w:val="000000"/>
          <w:szCs w:val="24"/>
        </w:rPr>
        <w:footnoteReference w:id="249"/>
      </w:r>
      <w:r w:rsidRPr="00423400" w:rsidR="005D5F94">
        <w:rPr>
          <w:rFonts w:cs="Times New Roman"/>
          <w:color w:val="000000"/>
          <w:szCs w:val="24"/>
        </w:rPr>
        <w:t xml:space="preserve"> Stated differently, the PUCO Staff’s issuance cost ROE adder is not based on known and measurable costs.</w:t>
      </w:r>
      <w:r>
        <w:rPr>
          <w:rStyle w:val="FootnoteReference"/>
          <w:rFonts w:cs="Times New Roman"/>
          <w:color w:val="000000"/>
          <w:szCs w:val="24"/>
        </w:rPr>
        <w:footnoteReference w:id="250"/>
      </w:r>
      <w:r w:rsidRPr="00423400" w:rsidR="005D5F94">
        <w:rPr>
          <w:rFonts w:cs="Times New Roman"/>
          <w:color w:val="000000"/>
          <w:szCs w:val="24"/>
        </w:rPr>
        <w:t xml:space="preserve"> Therefore, the PUCO should reject it.</w:t>
      </w:r>
    </w:p>
    <w:p w:rsidR="00E905F5" w:rsidRPr="00423400" w:rsidP="006F6FA2" w14:paraId="044E377D" w14:textId="77777777">
      <w:pPr>
        <w:tabs>
          <w:tab w:val="left" w:pos="-1440"/>
        </w:tabs>
        <w:spacing w:after="0" w:line="480" w:lineRule="auto"/>
        <w:rPr>
          <w:rFonts w:cs="Times New Roman"/>
          <w:color w:val="000000"/>
          <w:szCs w:val="24"/>
        </w:rPr>
      </w:pPr>
      <w:r w:rsidRPr="00423400">
        <w:rPr>
          <w:rFonts w:cs="Times New Roman"/>
          <w:color w:val="000000"/>
          <w:szCs w:val="24"/>
        </w:rPr>
        <w:tab/>
        <w:t xml:space="preserve">Mr. Walters also addressed </w:t>
      </w:r>
      <w:r w:rsidRPr="00423400" w:rsidR="007B4665">
        <w:rPr>
          <w:rFonts w:cs="Times New Roman"/>
          <w:color w:val="000000"/>
          <w:szCs w:val="24"/>
        </w:rPr>
        <w:t>DP&amp;L</w:t>
      </w:r>
      <w:r w:rsidRPr="00423400">
        <w:rPr>
          <w:rFonts w:cs="Times New Roman"/>
          <w:color w:val="000000"/>
          <w:szCs w:val="24"/>
        </w:rPr>
        <w:t>’s</w:t>
      </w:r>
      <w:r w:rsidRPr="00423400" w:rsidR="007B4665">
        <w:rPr>
          <w:rFonts w:cs="Times New Roman"/>
          <w:color w:val="000000"/>
          <w:szCs w:val="24"/>
        </w:rPr>
        <w:t xml:space="preserve"> similarly unreasonable return on equity</w:t>
      </w:r>
      <w:r w:rsidRPr="00423400" w:rsidR="006773B9">
        <w:rPr>
          <w:rFonts w:cs="Times New Roman"/>
          <w:color w:val="000000"/>
          <w:szCs w:val="24"/>
        </w:rPr>
        <w:t>.</w:t>
      </w:r>
      <w:r>
        <w:rPr>
          <w:rStyle w:val="FootnoteReference"/>
          <w:rFonts w:cs="Times New Roman"/>
          <w:color w:val="000000"/>
          <w:szCs w:val="24"/>
        </w:rPr>
        <w:footnoteReference w:id="251"/>
      </w:r>
      <w:r w:rsidRPr="00423400" w:rsidR="006773B9">
        <w:rPr>
          <w:rFonts w:cs="Times New Roman"/>
          <w:color w:val="000000"/>
          <w:szCs w:val="24"/>
        </w:rPr>
        <w:t xml:space="preserve"> </w:t>
      </w:r>
      <w:r w:rsidRPr="00423400">
        <w:rPr>
          <w:rFonts w:cs="Times New Roman"/>
          <w:color w:val="000000"/>
          <w:szCs w:val="24"/>
        </w:rPr>
        <w:t xml:space="preserve">Mr. Walters </w:t>
      </w:r>
      <w:r w:rsidRPr="00423400" w:rsidR="002E19BB">
        <w:rPr>
          <w:rFonts w:cs="Times New Roman"/>
          <w:color w:val="000000"/>
          <w:szCs w:val="24"/>
        </w:rPr>
        <w:t>rebutted</w:t>
      </w:r>
      <w:r w:rsidRPr="00423400" w:rsidR="00864139">
        <w:rPr>
          <w:rFonts w:cs="Times New Roman"/>
          <w:color w:val="000000"/>
          <w:szCs w:val="24"/>
        </w:rPr>
        <w:t xml:space="preserve"> </w:t>
      </w:r>
      <w:r w:rsidRPr="00423400" w:rsidR="006773B9">
        <w:rPr>
          <w:rFonts w:cs="Times New Roman"/>
          <w:color w:val="000000"/>
          <w:szCs w:val="24"/>
        </w:rPr>
        <w:t xml:space="preserve">DP&amp;L witness McKenzie recommends </w:t>
      </w:r>
      <w:r w:rsidRPr="00423400">
        <w:rPr>
          <w:rFonts w:cs="Times New Roman"/>
          <w:color w:val="000000"/>
          <w:szCs w:val="24"/>
        </w:rPr>
        <w:t>flotation-cost adjusted return on equity range of 9.5% to 10.8% with a point estimate of 10.5%.</w:t>
      </w:r>
      <w:r>
        <w:rPr>
          <w:rStyle w:val="FootnoteReference"/>
          <w:rFonts w:cs="Times New Roman"/>
          <w:color w:val="000000"/>
          <w:szCs w:val="24"/>
        </w:rPr>
        <w:footnoteReference w:id="252"/>
      </w:r>
      <w:r w:rsidRPr="00423400" w:rsidR="00864139">
        <w:rPr>
          <w:rFonts w:cs="Times New Roman"/>
          <w:color w:val="000000"/>
          <w:szCs w:val="24"/>
        </w:rPr>
        <w:t xml:space="preserve"> Mr. McKenzie</w:t>
      </w:r>
      <w:r w:rsidRPr="00423400">
        <w:rPr>
          <w:rFonts w:cs="Times New Roman"/>
          <w:color w:val="000000"/>
          <w:szCs w:val="24"/>
        </w:rPr>
        <w:t xml:space="preserve"> included a 0.10% upward adjustment to account for flotation costs.</w:t>
      </w:r>
      <w:r>
        <w:rPr>
          <w:rStyle w:val="FootnoteReference"/>
          <w:rFonts w:cs="Times New Roman"/>
          <w:color w:val="000000"/>
          <w:szCs w:val="24"/>
        </w:rPr>
        <w:footnoteReference w:id="253"/>
      </w:r>
      <w:r w:rsidRPr="00423400">
        <w:rPr>
          <w:rFonts w:cs="Times New Roman"/>
          <w:color w:val="000000"/>
          <w:szCs w:val="24"/>
        </w:rPr>
        <w:t xml:space="preserve"> </w:t>
      </w:r>
      <w:r w:rsidRPr="00423400" w:rsidR="00864139">
        <w:rPr>
          <w:rFonts w:cs="Times New Roman"/>
          <w:color w:val="000000"/>
          <w:szCs w:val="24"/>
        </w:rPr>
        <w:t>And h</w:t>
      </w:r>
      <w:r w:rsidRPr="00423400">
        <w:rPr>
          <w:rFonts w:cs="Times New Roman"/>
          <w:color w:val="000000"/>
          <w:szCs w:val="24"/>
        </w:rPr>
        <w:t>is recommended return on equity is 35 basis points above the midpoint (10.15%) of his range after accounting for flotation costs.</w:t>
      </w:r>
      <w:r>
        <w:rPr>
          <w:rStyle w:val="FootnoteReference"/>
          <w:rFonts w:cs="Times New Roman"/>
          <w:color w:val="000000"/>
          <w:szCs w:val="24"/>
        </w:rPr>
        <w:footnoteReference w:id="254"/>
      </w:r>
      <w:r w:rsidRPr="00423400">
        <w:rPr>
          <w:rFonts w:cs="Times New Roman"/>
          <w:color w:val="000000"/>
          <w:szCs w:val="24"/>
        </w:rPr>
        <w:t xml:space="preserve"> </w:t>
      </w:r>
      <w:r w:rsidRPr="00423400" w:rsidR="00EF7304">
        <w:rPr>
          <w:rFonts w:cs="Times New Roman"/>
          <w:color w:val="000000"/>
          <w:szCs w:val="24"/>
        </w:rPr>
        <w:t xml:space="preserve">Mr. Walters testified that </w:t>
      </w:r>
      <w:r w:rsidRPr="00423400">
        <w:rPr>
          <w:rFonts w:cs="Times New Roman"/>
          <w:color w:val="000000"/>
          <w:szCs w:val="24"/>
        </w:rPr>
        <w:t>Mr. McKenzie developed his ROE recommendation based on the results of his DCF, traditional CAPM, Empirical CAPM (“ECAPM”), and a Risk Premium model.</w:t>
      </w:r>
      <w:r>
        <w:rPr>
          <w:rStyle w:val="FootnoteReference"/>
          <w:rFonts w:cs="Times New Roman"/>
          <w:color w:val="000000"/>
          <w:szCs w:val="24"/>
        </w:rPr>
        <w:footnoteReference w:id="255"/>
      </w:r>
      <w:r w:rsidRPr="00423400">
        <w:rPr>
          <w:rFonts w:cs="Times New Roman"/>
          <w:color w:val="000000"/>
          <w:szCs w:val="24"/>
        </w:rPr>
        <w:t xml:space="preserve"> </w:t>
      </w:r>
      <w:r w:rsidRPr="00423400" w:rsidR="00377C55">
        <w:rPr>
          <w:rFonts w:cs="Times New Roman"/>
          <w:color w:val="000000"/>
          <w:szCs w:val="24"/>
        </w:rPr>
        <w:t xml:space="preserve">Mr. McKenzie apparently </w:t>
      </w:r>
      <w:r w:rsidRPr="00423400">
        <w:rPr>
          <w:rFonts w:cs="Times New Roman"/>
          <w:color w:val="000000"/>
          <w:szCs w:val="24"/>
        </w:rPr>
        <w:t>relies on the results of an Expected Earnings analysis and a non-utility DCF analysis as an attempt to corroborate his results.</w:t>
      </w:r>
      <w:r>
        <w:rPr>
          <w:rStyle w:val="FootnoteReference"/>
          <w:rFonts w:cs="Times New Roman"/>
          <w:color w:val="000000"/>
          <w:szCs w:val="24"/>
        </w:rPr>
        <w:footnoteReference w:id="256"/>
      </w:r>
      <w:r w:rsidRPr="00423400">
        <w:rPr>
          <w:rFonts w:cs="Times New Roman"/>
          <w:color w:val="000000"/>
          <w:szCs w:val="24"/>
        </w:rPr>
        <w:t xml:space="preserve"> </w:t>
      </w:r>
    </w:p>
    <w:p w:rsidR="00CC3111" w:rsidP="00E905F5" w14:paraId="47B367A3" w14:textId="77777777">
      <w:pPr>
        <w:tabs>
          <w:tab w:val="left" w:pos="-1440"/>
        </w:tabs>
        <w:spacing w:line="480" w:lineRule="auto"/>
        <w:rPr>
          <w:rFonts w:cs="Times New Roman"/>
          <w:color w:val="000000"/>
          <w:szCs w:val="24"/>
        </w:rPr>
      </w:pPr>
      <w:r w:rsidRPr="00423400">
        <w:rPr>
          <w:rFonts w:cs="Times New Roman"/>
          <w:color w:val="000000"/>
          <w:szCs w:val="24"/>
        </w:rPr>
        <w:tab/>
        <w:t xml:space="preserve">As shown below in Table 13, </w:t>
      </w:r>
      <w:r w:rsidRPr="00423400" w:rsidR="00E8440F">
        <w:rPr>
          <w:rFonts w:cs="Times New Roman"/>
          <w:color w:val="000000"/>
          <w:szCs w:val="24"/>
        </w:rPr>
        <w:t xml:space="preserve">below, Mr. Walters </w:t>
      </w:r>
      <w:r w:rsidRPr="00423400">
        <w:rPr>
          <w:rFonts w:cs="Times New Roman"/>
          <w:color w:val="000000"/>
          <w:szCs w:val="24"/>
        </w:rPr>
        <w:t>provide</w:t>
      </w:r>
      <w:r w:rsidRPr="00423400" w:rsidR="00E8440F">
        <w:rPr>
          <w:rFonts w:cs="Times New Roman"/>
          <w:color w:val="000000"/>
          <w:szCs w:val="24"/>
        </w:rPr>
        <w:t>d</w:t>
      </w:r>
      <w:r w:rsidRPr="00423400">
        <w:rPr>
          <w:rFonts w:cs="Times New Roman"/>
          <w:color w:val="000000"/>
          <w:szCs w:val="24"/>
        </w:rPr>
        <w:t xml:space="preserve"> the average results of Mr. McKenzie’s analyses which he relies on to conclude that a ROE in the range of 9.5% to 10.8%, with a midpoint of 10.5%, is reasonable for </w:t>
      </w:r>
      <w:r w:rsidRPr="00423400">
        <w:rPr>
          <w:rFonts w:cs="Times New Roman"/>
          <w:szCs w:val="24"/>
        </w:rPr>
        <w:t>DP&amp;L</w:t>
      </w:r>
      <w:r w:rsidRPr="00423400">
        <w:rPr>
          <w:rFonts w:cs="Times New Roman"/>
          <w:color w:val="000000"/>
          <w:szCs w:val="24"/>
        </w:rPr>
        <w:t>.</w:t>
      </w:r>
      <w:r>
        <w:rPr>
          <w:rStyle w:val="FootnoteReference"/>
          <w:rFonts w:cs="Times New Roman"/>
          <w:color w:val="000000"/>
          <w:szCs w:val="24"/>
        </w:rPr>
        <w:footnoteReference w:id="257"/>
      </w:r>
      <w:r w:rsidRPr="00423400">
        <w:rPr>
          <w:rFonts w:cs="Times New Roman"/>
          <w:color w:val="000000"/>
          <w:szCs w:val="24"/>
        </w:rPr>
        <w:t xml:space="preserve"> However, reasonable adjustments to Mr. McKenzie’s analys</w:t>
      </w:r>
      <w:r w:rsidRPr="00423400" w:rsidR="00C15065">
        <w:rPr>
          <w:rFonts w:cs="Times New Roman"/>
          <w:color w:val="000000"/>
          <w:szCs w:val="24"/>
        </w:rPr>
        <w:t>i</w:t>
      </w:r>
      <w:r w:rsidRPr="00423400">
        <w:rPr>
          <w:rFonts w:cs="Times New Roman"/>
          <w:color w:val="000000"/>
          <w:szCs w:val="24"/>
        </w:rPr>
        <w:t>s reduce</w:t>
      </w:r>
      <w:r w:rsidRPr="00423400" w:rsidR="004377DA">
        <w:rPr>
          <w:rFonts w:cs="Times New Roman"/>
          <w:color w:val="000000"/>
          <w:szCs w:val="24"/>
        </w:rPr>
        <w:t>s</w:t>
      </w:r>
      <w:r w:rsidRPr="00423400">
        <w:rPr>
          <w:rFonts w:cs="Times New Roman"/>
          <w:color w:val="000000"/>
          <w:szCs w:val="24"/>
        </w:rPr>
        <w:t xml:space="preserve"> his ROE estimate for </w:t>
      </w:r>
      <w:r w:rsidRPr="00423400">
        <w:rPr>
          <w:rFonts w:cs="Times New Roman"/>
          <w:szCs w:val="24"/>
        </w:rPr>
        <w:t>DP&amp;L</w:t>
      </w:r>
      <w:r w:rsidRPr="00423400">
        <w:rPr>
          <w:rFonts w:cs="Times New Roman"/>
          <w:color w:val="000000"/>
          <w:szCs w:val="24"/>
        </w:rPr>
        <w:t xml:space="preserve"> to no higher than </w:t>
      </w:r>
      <w:r w:rsidRPr="00423400" w:rsidR="006F6FA2">
        <w:rPr>
          <w:rFonts w:cs="Times New Roman"/>
          <w:color w:val="000000"/>
          <w:szCs w:val="24"/>
        </w:rPr>
        <w:t>Mr. Walters’</w:t>
      </w:r>
      <w:r w:rsidRPr="00423400">
        <w:rPr>
          <w:rFonts w:cs="Times New Roman"/>
          <w:color w:val="000000"/>
          <w:szCs w:val="24"/>
        </w:rPr>
        <w:t xml:space="preserve"> recommended ROE of 9.30%. </w:t>
      </w:r>
    </w:p>
    <w:tbl>
      <w:tblPr>
        <w:tblpPr w:leftFromText="180" w:rightFromText="180" w:vertAnchor="text" w:horzAnchor="margin" w:tblpXSpec="center" w:tblpY="-31"/>
        <w:tblW w:w="7606" w:type="dxa"/>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4A0"/>
      </w:tblPr>
      <w:tblGrid>
        <w:gridCol w:w="3644"/>
        <w:gridCol w:w="2085"/>
        <w:gridCol w:w="1877"/>
      </w:tblGrid>
      <w:tr w14:paraId="6E8F3EF3" w14:textId="77777777" w:rsidTr="00AF25CB">
        <w:tblPrEx>
          <w:tblW w:w="7606" w:type="dxa"/>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4A0"/>
        </w:tblPrEx>
        <w:trPr>
          <w:trHeight w:val="900"/>
        </w:trPr>
        <w:tc>
          <w:tcPr>
            <w:tcW w:w="7606" w:type="dxa"/>
            <w:gridSpan w:val="3"/>
          </w:tcPr>
          <w:p w:rsidR="00CC3111" w:rsidRPr="00423400" w:rsidP="0038490E" w14:paraId="489BBF04" w14:textId="77777777">
            <w:pPr>
              <w:keepN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Style w:val="DefaultParagraphFont"/>
                <w:rFonts w:ascii="Times New Roman" w:hAnsi="Times New Roman" w:eastAsiaTheme="minorHAnsi" w:cs="Times New Roman"/>
                <w:b/>
                <w:bCs/>
                <w:color w:val="000000"/>
                <w:sz w:val="24"/>
                <w:szCs w:val="24"/>
                <w:u w:val="single"/>
                <w:lang w:val="en-US" w:eastAsia="en-US" w:bidi="ar-SA"/>
              </w:rPr>
            </w:pPr>
            <w:r w:rsidRPr="00423400">
              <w:rPr>
                <w:rFonts w:ascii="Times New Roman" w:hAnsi="Times New Roman" w:eastAsiaTheme="minorHAnsi" w:cs="Times New Roman"/>
                <w:b/>
                <w:bCs/>
                <w:color w:val="000000"/>
                <w:sz w:val="24"/>
                <w:szCs w:val="24"/>
                <w:lang w:val="en-US" w:eastAsia="en-US" w:bidi="ar-SA"/>
              </w:rPr>
              <w:t>TABLE 13</w:t>
            </w:r>
          </w:p>
          <w:p w:rsidR="00CC3111" w:rsidRPr="00423400" w:rsidP="0038490E" w14:paraId="19FBDE63" w14:textId="77777777">
            <w:pPr>
              <w:keepN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Style w:val="DefaultParagraphFont"/>
                <w:rFonts w:ascii="Times New Roman" w:hAnsi="Times New Roman" w:eastAsiaTheme="minorHAnsi" w:cs="Times New Roman"/>
                <w:b/>
                <w:color w:val="000000"/>
                <w:sz w:val="24"/>
                <w:szCs w:val="24"/>
                <w:u w:val="single"/>
                <w:lang w:val="en-US" w:eastAsia="en-US" w:bidi="ar-SA"/>
              </w:rPr>
            </w:pPr>
            <w:r w:rsidRPr="00423400">
              <w:rPr>
                <w:rFonts w:ascii="Times New Roman" w:hAnsi="Times New Roman" w:eastAsiaTheme="minorHAnsi" w:cs="Times New Roman"/>
                <w:b/>
                <w:bCs/>
                <w:color w:val="000000"/>
                <w:sz w:val="24"/>
                <w:szCs w:val="24"/>
                <w:u w:val="single"/>
                <w:lang w:val="en-US" w:eastAsia="en-US" w:bidi="ar-SA"/>
              </w:rPr>
              <w:t>Mr. McKenzie’s ROE Analysis</w:t>
            </w:r>
          </w:p>
        </w:tc>
      </w:tr>
      <w:tr w14:paraId="0845103A" w14:textId="77777777" w:rsidTr="00AF25CB">
        <w:tblPrEx>
          <w:tblW w:w="7606" w:type="dxa"/>
          <w:tblInd w:w="0" w:type="dxa"/>
          <w:tblCellMar>
            <w:top w:w="0" w:type="dxa"/>
            <w:left w:w="108" w:type="dxa"/>
            <w:bottom w:w="0" w:type="dxa"/>
            <w:right w:w="108" w:type="dxa"/>
          </w:tblCellMar>
          <w:tblLook w:val="04A0"/>
        </w:tblPrEx>
        <w:trPr>
          <w:trHeight w:val="220"/>
        </w:trPr>
        <w:tc>
          <w:tcPr>
            <w:tcW w:w="3644" w:type="dxa"/>
          </w:tcPr>
          <w:p w:rsidR="00CC3111" w:rsidRPr="00423400" w:rsidP="0038490E" w14:paraId="086ED8F5" w14:textId="77777777">
            <w:pPr>
              <w:keepNext/>
              <w:tabs>
                <w:tab w:val="left" w:pos="-1440"/>
                <w:tab w:val="left" w:pos="1080"/>
              </w:tabs>
              <w:jc w:val="both"/>
              <w:rPr>
                <w:rStyle w:val="DefaultParagraphFont"/>
                <w:rFonts w:ascii="Times New Roman" w:hAnsi="Times New Roman" w:eastAsiaTheme="minorHAnsi" w:cs="Times New Roman"/>
                <w:b/>
                <w:color w:val="000000"/>
                <w:sz w:val="24"/>
                <w:szCs w:val="24"/>
                <w:u w:val="single"/>
                <w:lang w:val="en-US" w:eastAsia="en-US" w:bidi="ar-SA"/>
              </w:rPr>
            </w:pPr>
            <w:r w:rsidRPr="00423400">
              <w:rPr>
                <w:rFonts w:ascii="Times New Roman" w:hAnsi="Times New Roman" w:eastAsiaTheme="minorHAnsi" w:cs="Times New Roman"/>
                <w:b/>
                <w:color w:val="000000"/>
                <w:sz w:val="24"/>
                <w:szCs w:val="24"/>
                <w:u w:val="single"/>
                <w:lang w:val="en-US" w:eastAsia="en-US" w:bidi="ar-SA"/>
              </w:rPr>
              <w:t xml:space="preserve"> Model </w:t>
            </w:r>
          </w:p>
        </w:tc>
        <w:tc>
          <w:tcPr>
            <w:tcW w:w="2085" w:type="dxa"/>
            <w:vAlign w:val="center"/>
          </w:tcPr>
          <w:p w:rsidR="00CC3111" w:rsidRPr="00423400" w:rsidP="0038490E" w14:paraId="1F85D90A" w14:textId="77777777">
            <w:pPr>
              <w:keepN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Style w:val="DefaultParagraphFont"/>
                <w:rFonts w:ascii="Times New Roman" w:hAnsi="Times New Roman" w:eastAsiaTheme="minorHAnsi" w:cs="Times New Roman"/>
                <w:b/>
                <w:color w:val="000000"/>
                <w:sz w:val="24"/>
                <w:szCs w:val="24"/>
                <w:u w:val="single"/>
                <w:lang w:val="en-US" w:eastAsia="en-US" w:bidi="ar-SA"/>
              </w:rPr>
            </w:pPr>
            <w:r w:rsidRPr="00423400">
              <w:rPr>
                <w:rFonts w:ascii="Times New Roman" w:hAnsi="Times New Roman" w:eastAsiaTheme="minorHAnsi" w:cs="Times New Roman"/>
                <w:b/>
                <w:color w:val="000000"/>
                <w:sz w:val="24"/>
                <w:szCs w:val="24"/>
                <w:u w:val="single"/>
                <w:lang w:val="en-US" w:eastAsia="en-US" w:bidi="ar-SA"/>
              </w:rPr>
              <w:t xml:space="preserve">Average </w:t>
            </w:r>
          </w:p>
        </w:tc>
        <w:tc>
          <w:tcPr>
            <w:tcW w:w="1876" w:type="dxa"/>
            <w:vAlign w:val="center"/>
          </w:tcPr>
          <w:p w:rsidR="00CC3111" w:rsidRPr="00423400" w:rsidP="0038490E" w14:paraId="6CE42AA6" w14:textId="77777777">
            <w:pPr>
              <w:keepN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Style w:val="DefaultParagraphFont"/>
                <w:rFonts w:ascii="Times New Roman" w:hAnsi="Times New Roman" w:eastAsiaTheme="minorHAnsi" w:cs="Times New Roman"/>
                <w:b/>
                <w:color w:val="000000"/>
                <w:sz w:val="24"/>
                <w:szCs w:val="24"/>
                <w:u w:val="single"/>
                <w:lang w:val="en-US" w:eastAsia="en-US" w:bidi="ar-SA"/>
              </w:rPr>
            </w:pPr>
            <w:r w:rsidRPr="00423400">
              <w:rPr>
                <w:rFonts w:ascii="Times New Roman" w:hAnsi="Times New Roman" w:eastAsiaTheme="minorHAnsi" w:cs="Times New Roman"/>
                <w:b/>
                <w:color w:val="000000"/>
                <w:sz w:val="24"/>
                <w:szCs w:val="24"/>
                <w:u w:val="single"/>
                <w:lang w:val="en-US" w:eastAsia="en-US" w:bidi="ar-SA"/>
              </w:rPr>
              <w:t xml:space="preserve">Corrected </w:t>
            </w:r>
          </w:p>
        </w:tc>
      </w:tr>
      <w:tr w14:paraId="24E6D300" w14:textId="77777777" w:rsidTr="00AF25CB">
        <w:tblPrEx>
          <w:tblW w:w="7606" w:type="dxa"/>
          <w:tblInd w:w="0" w:type="dxa"/>
          <w:tblCellMar>
            <w:top w:w="0" w:type="dxa"/>
            <w:left w:w="108" w:type="dxa"/>
            <w:bottom w:w="0" w:type="dxa"/>
            <w:right w:w="108" w:type="dxa"/>
          </w:tblCellMar>
          <w:tblLook w:val="04A0"/>
        </w:tblPrEx>
        <w:trPr>
          <w:trHeight w:val="227"/>
        </w:trPr>
        <w:tc>
          <w:tcPr>
            <w:tcW w:w="3644" w:type="dxa"/>
          </w:tcPr>
          <w:p w:rsidR="00CC3111" w:rsidRPr="00423400" w:rsidP="0038490E" w14:paraId="5C8C4687" w14:textId="77777777">
            <w:pPr>
              <w:keepN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
              <w:jc w:val="both"/>
              <w:rPr>
                <w:rStyle w:val="DefaultParagraphFont"/>
                <w:rFonts w:ascii="Times New Roman" w:hAnsi="Times New Roman" w:eastAsiaTheme="minorHAnsi" w:cs="Times New Roman"/>
                <w:color w:val="000000"/>
                <w:sz w:val="24"/>
                <w:szCs w:val="24"/>
                <w:u w:val="single"/>
                <w:lang w:val="en-US" w:eastAsia="en-US" w:bidi="ar-SA"/>
              </w:rPr>
            </w:pPr>
            <w:r w:rsidRPr="00423400">
              <w:rPr>
                <w:rFonts w:ascii="Times New Roman" w:hAnsi="Times New Roman" w:eastAsiaTheme="minorHAnsi" w:cs="Times New Roman"/>
                <w:color w:val="000000"/>
                <w:sz w:val="24"/>
                <w:szCs w:val="24"/>
                <w:lang w:val="en-US" w:eastAsia="en-US" w:bidi="ar-SA"/>
              </w:rPr>
              <w:t xml:space="preserve">DCF </w:t>
            </w:r>
          </w:p>
        </w:tc>
        <w:tc>
          <w:tcPr>
            <w:tcW w:w="2085" w:type="dxa"/>
            <w:vAlign w:val="center"/>
          </w:tcPr>
          <w:p w:rsidR="00CC3111" w:rsidRPr="00423400" w:rsidP="0038490E" w14:paraId="0C7A917F" w14:textId="77777777">
            <w:pPr>
              <w:keepN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Style w:val="DefaultParagraphFont"/>
                <w:rFonts w:ascii="Times New Roman" w:hAnsi="Times New Roman" w:eastAsiaTheme="minorHAnsi" w:cs="Times New Roman"/>
                <w:color w:val="000000"/>
                <w:sz w:val="24"/>
                <w:szCs w:val="24"/>
                <w:u w:val="single"/>
                <w:lang w:val="en-US" w:eastAsia="en-US" w:bidi="ar-SA"/>
              </w:rPr>
            </w:pPr>
            <w:r w:rsidRPr="00423400">
              <w:rPr>
                <w:rFonts w:ascii="Times New Roman" w:hAnsi="Times New Roman" w:eastAsiaTheme="minorHAnsi" w:cs="Times New Roman"/>
                <w:color w:val="000000"/>
                <w:sz w:val="24"/>
                <w:szCs w:val="24"/>
                <w:lang w:val="en-US" w:eastAsia="en-US" w:bidi="ar-SA"/>
              </w:rPr>
              <w:t>8.7% - 9.6%</w:t>
            </w:r>
          </w:p>
        </w:tc>
        <w:tc>
          <w:tcPr>
            <w:tcW w:w="1876" w:type="dxa"/>
            <w:vAlign w:val="center"/>
          </w:tcPr>
          <w:p w:rsidR="00CC3111" w:rsidRPr="00423400" w:rsidP="0038490E" w14:paraId="552C708E" w14:textId="77777777">
            <w:pPr>
              <w:keepN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Style w:val="DefaultParagraphFont"/>
                <w:rFonts w:ascii="Times New Roman" w:hAnsi="Times New Roman" w:eastAsiaTheme="minorHAnsi" w:cs="Times New Roman"/>
                <w:color w:val="000000"/>
                <w:sz w:val="24"/>
                <w:szCs w:val="24"/>
                <w:u w:val="single"/>
                <w:lang w:val="en-US" w:eastAsia="en-US" w:bidi="ar-SA"/>
              </w:rPr>
            </w:pPr>
            <w:r w:rsidRPr="00423400">
              <w:rPr>
                <w:rFonts w:ascii="Times New Roman" w:hAnsi="Times New Roman" w:eastAsiaTheme="minorHAnsi" w:cs="Times New Roman"/>
                <w:color w:val="000000"/>
                <w:sz w:val="24"/>
                <w:szCs w:val="24"/>
                <w:lang w:val="en-US" w:eastAsia="en-US" w:bidi="ar-SA"/>
              </w:rPr>
              <w:t>9.0%</w:t>
            </w:r>
          </w:p>
        </w:tc>
      </w:tr>
      <w:tr w14:paraId="4659CE6F" w14:textId="77777777" w:rsidTr="00AF25CB">
        <w:tblPrEx>
          <w:tblW w:w="7606" w:type="dxa"/>
          <w:tblInd w:w="0" w:type="dxa"/>
          <w:tblCellMar>
            <w:top w:w="0" w:type="dxa"/>
            <w:left w:w="108" w:type="dxa"/>
            <w:bottom w:w="0" w:type="dxa"/>
            <w:right w:w="108" w:type="dxa"/>
          </w:tblCellMar>
          <w:tblLook w:val="04A0"/>
        </w:tblPrEx>
        <w:trPr>
          <w:trHeight w:val="220"/>
        </w:trPr>
        <w:tc>
          <w:tcPr>
            <w:tcW w:w="3644" w:type="dxa"/>
          </w:tcPr>
          <w:p w:rsidR="00CC3111" w:rsidRPr="00423400" w:rsidP="0038490E" w14:paraId="4639718E" w14:textId="77777777">
            <w:pPr>
              <w:keepN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57"/>
              <w:jc w:val="both"/>
              <w:rPr>
                <w:rStyle w:val="DefaultParagraphFont"/>
                <w:rFonts w:ascii="Times New Roman" w:hAnsi="Times New Roman" w:eastAsiaTheme="minorHAnsi" w:cs="Times New Roman"/>
                <w:color w:val="000000"/>
                <w:sz w:val="24"/>
                <w:szCs w:val="24"/>
                <w:u w:val="single"/>
                <w:lang w:val="en-US" w:eastAsia="en-US" w:bidi="ar-SA"/>
              </w:rPr>
            </w:pPr>
            <w:r w:rsidRPr="00423400">
              <w:rPr>
                <w:rFonts w:ascii="Times New Roman" w:hAnsi="Times New Roman" w:eastAsiaTheme="minorHAnsi" w:cs="Times New Roman"/>
                <w:color w:val="000000"/>
                <w:sz w:val="24"/>
                <w:szCs w:val="24"/>
                <w:lang w:val="en-US" w:eastAsia="en-US" w:bidi="ar-SA"/>
              </w:rPr>
              <w:t>CAPM</w:t>
            </w:r>
          </w:p>
        </w:tc>
        <w:tc>
          <w:tcPr>
            <w:tcW w:w="2085" w:type="dxa"/>
            <w:vAlign w:val="center"/>
          </w:tcPr>
          <w:p w:rsidR="00CC3111" w:rsidRPr="00423400" w:rsidP="0038490E" w14:paraId="24C62429" w14:textId="77777777">
            <w:pPr>
              <w:keepN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Style w:val="DefaultParagraphFont"/>
                <w:rFonts w:ascii="Times New Roman" w:hAnsi="Times New Roman" w:eastAsiaTheme="minorHAnsi" w:cs="Times New Roman"/>
                <w:color w:val="000000"/>
                <w:sz w:val="24"/>
                <w:szCs w:val="24"/>
                <w:u w:val="single"/>
                <w:lang w:val="en-US" w:eastAsia="en-US" w:bidi="ar-SA"/>
              </w:rPr>
            </w:pPr>
            <w:r w:rsidRPr="00423400">
              <w:rPr>
                <w:rFonts w:ascii="Times New Roman" w:hAnsi="Times New Roman" w:eastAsiaTheme="minorHAnsi" w:cs="Times New Roman"/>
                <w:color w:val="000000"/>
                <w:sz w:val="24"/>
                <w:szCs w:val="24"/>
                <w:lang w:val="en-US" w:eastAsia="en-US" w:bidi="ar-SA"/>
              </w:rPr>
              <w:t>10.8% - 10.9%</w:t>
            </w:r>
          </w:p>
        </w:tc>
        <w:tc>
          <w:tcPr>
            <w:tcW w:w="1876" w:type="dxa"/>
          </w:tcPr>
          <w:p w:rsidR="00CC3111" w:rsidRPr="00423400" w:rsidP="0038490E" w14:paraId="60660EFC" w14:textId="77777777">
            <w:pPr>
              <w:keepNext/>
              <w:tabs>
                <w:tab w:val="left" w:pos="-1440"/>
                <w:tab w:val="left" w:pos="1080"/>
              </w:tabs>
              <w:rPr>
                <w:rStyle w:val="DefaultParagraphFont"/>
                <w:rFonts w:ascii="Times New Roman" w:hAnsi="Times New Roman" w:eastAsiaTheme="minorHAnsi" w:cs="Times New Roman"/>
                <w:color w:val="000000"/>
                <w:sz w:val="24"/>
                <w:szCs w:val="24"/>
                <w:u w:val="single"/>
                <w:lang w:val="en-US" w:eastAsia="en-US" w:bidi="ar-SA"/>
              </w:rPr>
            </w:pPr>
            <w:r w:rsidRPr="00423400">
              <w:rPr>
                <w:rFonts w:ascii="Times New Roman" w:hAnsi="Times New Roman" w:eastAsiaTheme="minorHAnsi" w:cs="Times New Roman"/>
                <w:color w:val="000000"/>
                <w:sz w:val="24"/>
                <w:szCs w:val="24"/>
                <w:lang w:val="en-US" w:eastAsia="en-US" w:bidi="ar-SA"/>
              </w:rPr>
              <w:t>9.2%</w:t>
            </w:r>
          </w:p>
        </w:tc>
      </w:tr>
      <w:tr w14:paraId="65720B78" w14:textId="77777777" w:rsidTr="00AF25CB">
        <w:tblPrEx>
          <w:tblW w:w="7606" w:type="dxa"/>
          <w:tblInd w:w="0" w:type="dxa"/>
          <w:tblCellMar>
            <w:top w:w="0" w:type="dxa"/>
            <w:left w:w="108" w:type="dxa"/>
            <w:bottom w:w="0" w:type="dxa"/>
            <w:right w:w="108" w:type="dxa"/>
          </w:tblCellMar>
          <w:tblLook w:val="04A0"/>
        </w:tblPrEx>
        <w:trPr>
          <w:trHeight w:val="227"/>
        </w:trPr>
        <w:tc>
          <w:tcPr>
            <w:tcW w:w="3644" w:type="dxa"/>
          </w:tcPr>
          <w:p w:rsidR="00CC3111" w:rsidRPr="00423400" w:rsidP="0038490E" w14:paraId="7E515FF2" w14:textId="77777777">
            <w:pPr>
              <w:keepN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
              <w:jc w:val="both"/>
              <w:rPr>
                <w:rStyle w:val="DefaultParagraphFont"/>
                <w:rFonts w:ascii="Times New Roman" w:hAnsi="Times New Roman" w:eastAsiaTheme="minorHAnsi" w:cs="Times New Roman"/>
                <w:color w:val="000000"/>
                <w:sz w:val="24"/>
                <w:szCs w:val="24"/>
                <w:u w:val="single"/>
                <w:lang w:val="en-US" w:eastAsia="en-US" w:bidi="ar-SA"/>
              </w:rPr>
            </w:pPr>
            <w:r w:rsidRPr="00423400">
              <w:rPr>
                <w:rFonts w:ascii="Times New Roman" w:hAnsi="Times New Roman" w:eastAsiaTheme="minorHAnsi" w:cs="Times New Roman"/>
                <w:color w:val="000000"/>
                <w:sz w:val="24"/>
                <w:szCs w:val="24"/>
                <w:lang w:val="en-US" w:eastAsia="en-US" w:bidi="ar-SA"/>
              </w:rPr>
              <w:t>ECAPM</w:t>
            </w:r>
          </w:p>
        </w:tc>
        <w:tc>
          <w:tcPr>
            <w:tcW w:w="2085" w:type="dxa"/>
            <w:vAlign w:val="center"/>
          </w:tcPr>
          <w:p w:rsidR="00CC3111" w:rsidRPr="00423400" w:rsidP="0038490E" w14:paraId="12DACF23" w14:textId="77777777">
            <w:pPr>
              <w:keepN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Style w:val="DefaultParagraphFont"/>
                <w:rFonts w:ascii="Times New Roman" w:hAnsi="Times New Roman" w:eastAsiaTheme="minorHAnsi" w:cs="Times New Roman"/>
                <w:color w:val="000000"/>
                <w:sz w:val="24"/>
                <w:szCs w:val="24"/>
                <w:u w:val="single"/>
                <w:lang w:val="en-US" w:eastAsia="en-US" w:bidi="ar-SA"/>
              </w:rPr>
            </w:pPr>
            <w:r w:rsidRPr="00423400">
              <w:rPr>
                <w:rFonts w:ascii="Times New Roman" w:hAnsi="Times New Roman" w:eastAsiaTheme="minorHAnsi" w:cs="Times New Roman"/>
                <w:color w:val="000000"/>
                <w:sz w:val="24"/>
                <w:szCs w:val="24"/>
                <w:lang w:val="en-US" w:eastAsia="en-US" w:bidi="ar-SA"/>
              </w:rPr>
              <w:t>11.1% - 11.2%</w:t>
            </w:r>
          </w:p>
        </w:tc>
        <w:tc>
          <w:tcPr>
            <w:tcW w:w="1876" w:type="dxa"/>
            <w:vAlign w:val="center"/>
          </w:tcPr>
          <w:p w:rsidR="00CC3111" w:rsidRPr="00423400" w:rsidP="0038490E" w14:paraId="6F492DE1" w14:textId="77777777">
            <w:pPr>
              <w:keepN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Style w:val="DefaultParagraphFont"/>
                <w:rFonts w:ascii="Times New Roman" w:hAnsi="Times New Roman" w:eastAsiaTheme="minorHAnsi" w:cs="Times New Roman"/>
                <w:color w:val="000000"/>
                <w:sz w:val="24"/>
                <w:szCs w:val="24"/>
                <w:u w:val="single"/>
                <w:lang w:val="en-US" w:eastAsia="en-US" w:bidi="ar-SA"/>
              </w:rPr>
            </w:pPr>
            <w:r w:rsidRPr="00423400">
              <w:rPr>
                <w:rFonts w:ascii="Times New Roman" w:hAnsi="Times New Roman" w:eastAsiaTheme="minorHAnsi" w:cs="Times New Roman"/>
                <w:color w:val="000000"/>
                <w:sz w:val="24"/>
                <w:szCs w:val="24"/>
                <w:lang w:val="en-US" w:eastAsia="en-US" w:bidi="ar-SA"/>
              </w:rPr>
              <w:t>Reject</w:t>
            </w:r>
          </w:p>
        </w:tc>
      </w:tr>
      <w:tr w14:paraId="28A050EC" w14:textId="77777777" w:rsidTr="00AF25CB">
        <w:tblPrEx>
          <w:tblW w:w="7606" w:type="dxa"/>
          <w:tblInd w:w="0" w:type="dxa"/>
          <w:tblCellMar>
            <w:top w:w="0" w:type="dxa"/>
            <w:left w:w="108" w:type="dxa"/>
            <w:bottom w:w="0" w:type="dxa"/>
            <w:right w:w="108" w:type="dxa"/>
          </w:tblCellMar>
          <w:tblLook w:val="04A0"/>
        </w:tblPrEx>
        <w:trPr>
          <w:trHeight w:val="220"/>
        </w:trPr>
        <w:tc>
          <w:tcPr>
            <w:tcW w:w="3644" w:type="dxa"/>
          </w:tcPr>
          <w:p w:rsidR="00CC3111" w:rsidRPr="00423400" w:rsidP="0038490E" w14:paraId="632EE8D0" w14:textId="77777777">
            <w:pPr>
              <w:keepNext/>
              <w:tabs>
                <w:tab w:val="left" w:pos="-1440"/>
                <w:tab w:val="left" w:pos="1080"/>
              </w:tabs>
              <w:ind w:left="157"/>
              <w:jc w:val="both"/>
              <w:rPr>
                <w:rStyle w:val="DefaultParagraphFont"/>
                <w:rFonts w:ascii="Times New Roman" w:hAnsi="Times New Roman" w:eastAsiaTheme="minorHAnsi" w:cs="Times New Roman"/>
                <w:color w:val="000000"/>
                <w:sz w:val="24"/>
                <w:szCs w:val="24"/>
                <w:u w:val="single"/>
                <w:lang w:val="en-US" w:eastAsia="en-US" w:bidi="ar-SA"/>
              </w:rPr>
            </w:pPr>
            <w:r w:rsidRPr="00423400">
              <w:rPr>
                <w:rFonts w:ascii="Times New Roman" w:hAnsi="Times New Roman" w:eastAsiaTheme="minorHAnsi" w:cs="Times New Roman"/>
                <w:color w:val="000000"/>
                <w:sz w:val="24"/>
                <w:szCs w:val="24"/>
                <w:u w:val="single"/>
                <w:lang w:val="en-US" w:eastAsia="en-US" w:bidi="ar-SA"/>
              </w:rPr>
              <w:t xml:space="preserve">Risk Premium </w:t>
            </w:r>
          </w:p>
        </w:tc>
        <w:tc>
          <w:tcPr>
            <w:tcW w:w="2085" w:type="dxa"/>
          </w:tcPr>
          <w:p w:rsidR="00CC3111" w:rsidRPr="00423400" w:rsidP="0038490E" w14:paraId="19A654D2" w14:textId="77777777">
            <w:pPr>
              <w:keepNext/>
              <w:tabs>
                <w:tab w:val="left" w:pos="-1440"/>
                <w:tab w:val="left" w:pos="1080"/>
              </w:tabs>
              <w:jc w:val="center"/>
              <w:rPr>
                <w:rStyle w:val="DefaultParagraphFont"/>
                <w:rFonts w:ascii="Times New Roman" w:hAnsi="Times New Roman" w:eastAsiaTheme="minorHAnsi" w:cs="Times New Roman"/>
                <w:color w:val="000000"/>
                <w:sz w:val="24"/>
                <w:szCs w:val="24"/>
                <w:u w:val="single"/>
                <w:lang w:val="en-US" w:eastAsia="en-US" w:bidi="ar-SA"/>
              </w:rPr>
            </w:pPr>
          </w:p>
        </w:tc>
        <w:tc>
          <w:tcPr>
            <w:tcW w:w="1876" w:type="dxa"/>
          </w:tcPr>
          <w:p w:rsidR="00CC3111" w:rsidRPr="00423400" w:rsidP="0038490E" w14:paraId="1D10CD4A" w14:textId="77777777">
            <w:pPr>
              <w:keepNext/>
              <w:tabs>
                <w:tab w:val="left" w:pos="-1440"/>
                <w:tab w:val="left" w:pos="1080"/>
              </w:tabs>
              <w:jc w:val="center"/>
              <w:rPr>
                <w:rStyle w:val="DefaultParagraphFont"/>
                <w:rFonts w:ascii="Times New Roman" w:hAnsi="Times New Roman" w:eastAsiaTheme="minorHAnsi" w:cs="Times New Roman"/>
                <w:color w:val="000000"/>
                <w:sz w:val="24"/>
                <w:szCs w:val="24"/>
                <w:u w:val="single"/>
                <w:lang w:val="en-US" w:eastAsia="en-US" w:bidi="ar-SA"/>
              </w:rPr>
            </w:pPr>
          </w:p>
        </w:tc>
      </w:tr>
      <w:tr w14:paraId="2F7D9699" w14:textId="77777777" w:rsidTr="00AF25CB">
        <w:tblPrEx>
          <w:tblW w:w="7606" w:type="dxa"/>
          <w:tblInd w:w="0" w:type="dxa"/>
          <w:tblCellMar>
            <w:top w:w="0" w:type="dxa"/>
            <w:left w:w="108" w:type="dxa"/>
            <w:bottom w:w="0" w:type="dxa"/>
            <w:right w:w="108" w:type="dxa"/>
          </w:tblCellMar>
          <w:tblLook w:val="04A0"/>
        </w:tblPrEx>
        <w:trPr>
          <w:trHeight w:val="227"/>
        </w:trPr>
        <w:tc>
          <w:tcPr>
            <w:tcW w:w="3644" w:type="dxa"/>
          </w:tcPr>
          <w:p w:rsidR="00CC3111" w:rsidRPr="00423400" w:rsidP="0038490E" w14:paraId="294D3AB0" w14:textId="77777777">
            <w:pPr>
              <w:keepNext/>
              <w:tabs>
                <w:tab w:val="left" w:pos="-1440"/>
                <w:tab w:val="left" w:pos="1080"/>
              </w:tabs>
              <w:ind w:left="157"/>
              <w:jc w:val="both"/>
              <w:rPr>
                <w:rStyle w:val="DefaultParagraphFont"/>
                <w:rFonts w:ascii="Times New Roman" w:hAnsi="Times New Roman" w:eastAsiaTheme="minorHAnsi" w:cs="Times New Roman"/>
                <w:color w:val="000000"/>
                <w:sz w:val="24"/>
                <w:szCs w:val="24"/>
                <w:u w:val="single"/>
                <w:lang w:val="en-US" w:eastAsia="en-US" w:bidi="ar-SA"/>
              </w:rPr>
            </w:pPr>
            <w:r w:rsidRPr="00423400">
              <w:rPr>
                <w:rFonts w:ascii="Times New Roman" w:hAnsi="Times New Roman" w:eastAsiaTheme="minorHAnsi" w:cs="Times New Roman"/>
                <w:color w:val="000000"/>
                <w:sz w:val="24"/>
                <w:szCs w:val="24"/>
                <w:lang w:val="en-US" w:eastAsia="en-US" w:bidi="ar-SA"/>
              </w:rPr>
              <w:t>Current Yield</w:t>
            </w:r>
          </w:p>
        </w:tc>
        <w:tc>
          <w:tcPr>
            <w:tcW w:w="2085" w:type="dxa"/>
          </w:tcPr>
          <w:p w:rsidR="00CC3111" w:rsidRPr="00423400" w:rsidP="0038490E" w14:paraId="12D13A52" w14:textId="77777777">
            <w:pPr>
              <w:keepNext/>
              <w:tabs>
                <w:tab w:val="left" w:pos="-1440"/>
                <w:tab w:val="left" w:pos="1080"/>
              </w:tabs>
              <w:rPr>
                <w:rStyle w:val="DefaultParagraphFont"/>
                <w:rFonts w:ascii="Times New Roman" w:hAnsi="Times New Roman" w:eastAsiaTheme="minorHAnsi" w:cs="Times New Roman"/>
                <w:color w:val="000000"/>
                <w:sz w:val="24"/>
                <w:szCs w:val="24"/>
                <w:u w:val="single"/>
                <w:lang w:val="en-US" w:eastAsia="en-US" w:bidi="ar-SA"/>
              </w:rPr>
            </w:pPr>
            <w:r w:rsidRPr="00423400">
              <w:rPr>
                <w:rFonts w:ascii="Times New Roman" w:hAnsi="Times New Roman" w:eastAsiaTheme="minorHAnsi" w:cs="Times New Roman"/>
                <w:color w:val="000000"/>
                <w:sz w:val="24"/>
                <w:szCs w:val="24"/>
                <w:lang w:val="en-US" w:eastAsia="en-US" w:bidi="ar-SA"/>
              </w:rPr>
              <w:t>9.4%</w:t>
            </w:r>
          </w:p>
        </w:tc>
        <w:tc>
          <w:tcPr>
            <w:tcW w:w="1876" w:type="dxa"/>
          </w:tcPr>
          <w:p w:rsidR="00CC3111" w:rsidRPr="00423400" w:rsidP="0038490E" w14:paraId="7FB72118" w14:textId="77777777">
            <w:pPr>
              <w:keepNext/>
              <w:tabs>
                <w:tab w:val="left" w:pos="-1440"/>
                <w:tab w:val="left" w:pos="1080"/>
              </w:tabs>
              <w:rPr>
                <w:rStyle w:val="DefaultParagraphFont"/>
                <w:rFonts w:ascii="Times New Roman" w:hAnsi="Times New Roman" w:eastAsiaTheme="minorHAnsi" w:cs="Times New Roman"/>
                <w:color w:val="000000"/>
                <w:sz w:val="24"/>
                <w:szCs w:val="24"/>
                <w:u w:val="single"/>
                <w:lang w:val="en-US" w:eastAsia="en-US" w:bidi="ar-SA"/>
              </w:rPr>
            </w:pPr>
            <w:r w:rsidRPr="00423400">
              <w:rPr>
                <w:rFonts w:ascii="Times New Roman" w:hAnsi="Times New Roman" w:eastAsiaTheme="minorHAnsi" w:cs="Times New Roman"/>
                <w:color w:val="000000"/>
                <w:sz w:val="24"/>
                <w:szCs w:val="24"/>
                <w:lang w:val="en-US" w:eastAsia="en-US" w:bidi="ar-SA"/>
              </w:rPr>
              <w:t>9.4%</w:t>
            </w:r>
          </w:p>
        </w:tc>
      </w:tr>
      <w:tr w14:paraId="7C554853" w14:textId="77777777" w:rsidTr="00AF25CB">
        <w:tblPrEx>
          <w:tblW w:w="7606" w:type="dxa"/>
          <w:tblInd w:w="0" w:type="dxa"/>
          <w:tblCellMar>
            <w:top w:w="0" w:type="dxa"/>
            <w:left w:w="108" w:type="dxa"/>
            <w:bottom w:w="0" w:type="dxa"/>
            <w:right w:w="108" w:type="dxa"/>
          </w:tblCellMar>
          <w:tblLook w:val="04A0"/>
        </w:tblPrEx>
        <w:trPr>
          <w:trHeight w:val="220"/>
        </w:trPr>
        <w:tc>
          <w:tcPr>
            <w:tcW w:w="3644" w:type="dxa"/>
          </w:tcPr>
          <w:p w:rsidR="00CC3111" w:rsidRPr="00423400" w:rsidP="0038490E" w14:paraId="00072F3F" w14:textId="77777777">
            <w:pPr>
              <w:keepNext/>
              <w:tabs>
                <w:tab w:val="left" w:pos="-1440"/>
                <w:tab w:val="left" w:pos="1080"/>
              </w:tabs>
              <w:ind w:left="157"/>
              <w:jc w:val="both"/>
              <w:rPr>
                <w:rStyle w:val="DefaultParagraphFont"/>
                <w:rFonts w:ascii="Times New Roman" w:hAnsi="Times New Roman" w:eastAsiaTheme="minorHAnsi" w:cs="Times New Roman"/>
                <w:color w:val="000000"/>
                <w:sz w:val="24"/>
                <w:szCs w:val="24"/>
                <w:u w:val="single"/>
                <w:lang w:val="en-US" w:eastAsia="en-US" w:bidi="ar-SA"/>
              </w:rPr>
            </w:pPr>
            <w:r w:rsidRPr="00423400">
              <w:rPr>
                <w:rFonts w:ascii="Times New Roman" w:hAnsi="Times New Roman" w:eastAsiaTheme="minorHAnsi" w:cs="Times New Roman"/>
                <w:color w:val="000000"/>
                <w:sz w:val="24"/>
                <w:szCs w:val="24"/>
                <w:lang w:val="en-US" w:eastAsia="en-US" w:bidi="ar-SA"/>
              </w:rPr>
              <w:t>Projected Yield</w:t>
            </w:r>
          </w:p>
        </w:tc>
        <w:tc>
          <w:tcPr>
            <w:tcW w:w="2085" w:type="dxa"/>
          </w:tcPr>
          <w:p w:rsidR="00CC3111" w:rsidRPr="00423400" w:rsidP="0038490E" w14:paraId="2EAC3830" w14:textId="77777777">
            <w:pPr>
              <w:keepNext/>
              <w:tabs>
                <w:tab w:val="left" w:pos="-1440"/>
                <w:tab w:val="left" w:pos="1080"/>
              </w:tabs>
              <w:rPr>
                <w:rStyle w:val="DefaultParagraphFont"/>
                <w:rFonts w:ascii="Times New Roman" w:hAnsi="Times New Roman" w:eastAsiaTheme="minorHAnsi" w:cs="Times New Roman"/>
                <w:color w:val="000000"/>
                <w:sz w:val="24"/>
                <w:szCs w:val="24"/>
                <w:u w:val="single"/>
                <w:lang w:val="en-US" w:eastAsia="en-US" w:bidi="ar-SA"/>
              </w:rPr>
            </w:pPr>
            <w:r w:rsidRPr="00423400">
              <w:rPr>
                <w:rFonts w:ascii="Times New Roman" w:hAnsi="Times New Roman" w:eastAsiaTheme="minorHAnsi" w:cs="Times New Roman"/>
                <w:color w:val="000000"/>
                <w:sz w:val="24"/>
                <w:szCs w:val="24"/>
                <w:lang w:val="en-US" w:eastAsia="en-US" w:bidi="ar-SA"/>
              </w:rPr>
              <w:t>10.3%</w:t>
            </w:r>
          </w:p>
        </w:tc>
        <w:tc>
          <w:tcPr>
            <w:tcW w:w="1876" w:type="dxa"/>
          </w:tcPr>
          <w:p w:rsidR="00CC3111" w:rsidRPr="00423400" w:rsidP="0038490E" w14:paraId="1FF45B0A" w14:textId="77777777">
            <w:pPr>
              <w:keepNext/>
              <w:tabs>
                <w:tab w:val="left" w:pos="-1440"/>
                <w:tab w:val="left" w:pos="1080"/>
              </w:tabs>
              <w:rPr>
                <w:rStyle w:val="DefaultParagraphFont"/>
                <w:rFonts w:ascii="Times New Roman" w:hAnsi="Times New Roman" w:eastAsiaTheme="minorHAnsi" w:cs="Times New Roman"/>
                <w:color w:val="000000"/>
                <w:sz w:val="24"/>
                <w:szCs w:val="24"/>
                <w:u w:val="single"/>
                <w:lang w:val="en-US" w:eastAsia="en-US" w:bidi="ar-SA"/>
              </w:rPr>
            </w:pPr>
            <w:r w:rsidRPr="00423400">
              <w:rPr>
                <w:rFonts w:ascii="Times New Roman" w:hAnsi="Times New Roman" w:eastAsiaTheme="minorHAnsi" w:cs="Times New Roman"/>
                <w:color w:val="000000"/>
                <w:sz w:val="24"/>
                <w:szCs w:val="24"/>
                <w:lang w:val="en-US" w:eastAsia="en-US" w:bidi="ar-SA"/>
              </w:rPr>
              <w:t>Reject%</w:t>
            </w:r>
          </w:p>
        </w:tc>
      </w:tr>
      <w:tr w14:paraId="7577A8F1" w14:textId="77777777" w:rsidTr="00AF25CB">
        <w:tblPrEx>
          <w:tblW w:w="7606" w:type="dxa"/>
          <w:tblInd w:w="0" w:type="dxa"/>
          <w:tblCellMar>
            <w:top w:w="0" w:type="dxa"/>
            <w:left w:w="108" w:type="dxa"/>
            <w:bottom w:w="0" w:type="dxa"/>
            <w:right w:w="108" w:type="dxa"/>
          </w:tblCellMar>
          <w:tblLook w:val="04A0"/>
        </w:tblPrEx>
        <w:trPr>
          <w:trHeight w:val="227"/>
        </w:trPr>
        <w:tc>
          <w:tcPr>
            <w:tcW w:w="3644" w:type="dxa"/>
          </w:tcPr>
          <w:p w:rsidR="00CC3111" w:rsidRPr="00423400" w:rsidP="0038490E" w14:paraId="6EC4931B" w14:textId="77777777">
            <w:pPr>
              <w:keepN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
              <w:jc w:val="both"/>
              <w:rPr>
                <w:rStyle w:val="DefaultParagraphFont"/>
                <w:rFonts w:ascii="Times New Roman" w:hAnsi="Times New Roman" w:eastAsiaTheme="minorHAnsi" w:cs="Times New Roman"/>
                <w:color w:val="000000"/>
                <w:sz w:val="24"/>
                <w:szCs w:val="24"/>
                <w:u w:val="single"/>
                <w:lang w:val="en-US" w:eastAsia="en-US" w:bidi="ar-SA"/>
              </w:rPr>
            </w:pPr>
            <w:r w:rsidRPr="00423400">
              <w:rPr>
                <w:rFonts w:ascii="Times New Roman" w:hAnsi="Times New Roman" w:eastAsiaTheme="minorHAnsi" w:cs="Times New Roman"/>
                <w:color w:val="000000"/>
                <w:sz w:val="24"/>
                <w:szCs w:val="24"/>
                <w:u w:val="single"/>
                <w:lang w:val="en-US" w:eastAsia="en-US" w:bidi="ar-SA"/>
              </w:rPr>
              <w:t>Expected Earnings</w:t>
            </w:r>
          </w:p>
        </w:tc>
        <w:tc>
          <w:tcPr>
            <w:tcW w:w="2085" w:type="dxa"/>
            <w:vAlign w:val="center"/>
          </w:tcPr>
          <w:p w:rsidR="00CC3111" w:rsidRPr="00423400" w:rsidP="0038490E" w14:paraId="064C75DD" w14:textId="77777777">
            <w:pPr>
              <w:keepN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Style w:val="DefaultParagraphFont"/>
                <w:rFonts w:ascii="Times New Roman" w:hAnsi="Times New Roman" w:eastAsiaTheme="minorHAnsi" w:cs="Times New Roman"/>
                <w:color w:val="000000"/>
                <w:sz w:val="24"/>
                <w:szCs w:val="24"/>
                <w:u w:val="single"/>
                <w:lang w:val="en-US" w:eastAsia="en-US" w:bidi="ar-SA"/>
              </w:rPr>
            </w:pPr>
            <w:r w:rsidRPr="00423400">
              <w:rPr>
                <w:rFonts w:ascii="Times New Roman" w:hAnsi="Times New Roman" w:eastAsiaTheme="minorHAnsi" w:cs="Times New Roman"/>
                <w:color w:val="000000"/>
                <w:sz w:val="24"/>
                <w:szCs w:val="24"/>
                <w:lang w:val="en-US" w:eastAsia="en-US" w:bidi="ar-SA"/>
              </w:rPr>
              <w:t>10.3% - 10.8%</w:t>
            </w:r>
          </w:p>
        </w:tc>
        <w:tc>
          <w:tcPr>
            <w:tcW w:w="1876" w:type="dxa"/>
            <w:vAlign w:val="center"/>
          </w:tcPr>
          <w:p w:rsidR="00CC3111" w:rsidRPr="00423400" w:rsidP="0038490E" w14:paraId="3E5246EC" w14:textId="77777777">
            <w:pPr>
              <w:keepN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Style w:val="DefaultParagraphFont"/>
                <w:rFonts w:ascii="Times New Roman" w:hAnsi="Times New Roman" w:eastAsiaTheme="minorHAnsi" w:cs="Times New Roman"/>
                <w:color w:val="000000"/>
                <w:sz w:val="24"/>
                <w:szCs w:val="24"/>
                <w:u w:val="single"/>
                <w:lang w:val="en-US" w:eastAsia="en-US" w:bidi="ar-SA"/>
              </w:rPr>
            </w:pPr>
            <w:r w:rsidRPr="00423400">
              <w:rPr>
                <w:rFonts w:ascii="Times New Roman" w:hAnsi="Times New Roman" w:eastAsiaTheme="minorHAnsi" w:cs="Times New Roman"/>
                <w:color w:val="000000"/>
                <w:sz w:val="24"/>
                <w:szCs w:val="24"/>
                <w:lang w:val="en-US" w:eastAsia="en-US" w:bidi="ar-SA"/>
              </w:rPr>
              <w:t>Reject</w:t>
            </w:r>
          </w:p>
        </w:tc>
      </w:tr>
      <w:tr w14:paraId="070CE635" w14:textId="77777777" w:rsidTr="00AF25CB">
        <w:tblPrEx>
          <w:tblW w:w="7606" w:type="dxa"/>
          <w:tblInd w:w="0" w:type="dxa"/>
          <w:tblCellMar>
            <w:top w:w="0" w:type="dxa"/>
            <w:left w:w="108" w:type="dxa"/>
            <w:bottom w:w="0" w:type="dxa"/>
            <w:right w:w="108" w:type="dxa"/>
          </w:tblCellMar>
          <w:tblLook w:val="04A0"/>
        </w:tblPrEx>
        <w:trPr>
          <w:trHeight w:val="220"/>
        </w:trPr>
        <w:tc>
          <w:tcPr>
            <w:tcW w:w="3644" w:type="dxa"/>
          </w:tcPr>
          <w:p w:rsidR="00CC3111" w:rsidRPr="00423400" w:rsidP="0038490E" w14:paraId="0A992442" w14:textId="77777777">
            <w:pPr>
              <w:keepN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DefaultParagraphFont"/>
                <w:rFonts w:ascii="Times New Roman" w:hAnsi="Times New Roman" w:eastAsiaTheme="minorHAnsi" w:cs="Times New Roman"/>
                <w:color w:val="000000"/>
                <w:sz w:val="24"/>
                <w:szCs w:val="24"/>
                <w:u w:val="single"/>
                <w:lang w:val="en-US" w:eastAsia="en-US" w:bidi="ar-SA"/>
              </w:rPr>
            </w:pPr>
            <w:r w:rsidRPr="00423400">
              <w:rPr>
                <w:rFonts w:ascii="Times New Roman" w:hAnsi="Times New Roman" w:eastAsiaTheme="minorHAnsi" w:cs="Times New Roman"/>
                <w:color w:val="000000"/>
                <w:sz w:val="24"/>
                <w:szCs w:val="24"/>
                <w:lang w:val="en-US" w:eastAsia="en-US" w:bidi="ar-SA"/>
              </w:rPr>
              <w:t xml:space="preserve"> Range</w:t>
            </w:r>
          </w:p>
        </w:tc>
        <w:tc>
          <w:tcPr>
            <w:tcW w:w="2085" w:type="dxa"/>
            <w:vAlign w:val="center"/>
          </w:tcPr>
          <w:p w:rsidR="00CC3111" w:rsidRPr="00423400" w:rsidP="0038490E" w14:paraId="3010B173" w14:textId="77777777">
            <w:pPr>
              <w:keepNext/>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ind w:left="-29" w:firstLine="29"/>
              <w:rPr>
                <w:rStyle w:val="DefaultParagraphFont"/>
                <w:rFonts w:ascii="Times New Roman" w:hAnsi="Times New Roman" w:eastAsiaTheme="minorHAnsi" w:cs="Times New Roman"/>
                <w:color w:val="000000"/>
                <w:sz w:val="24"/>
                <w:szCs w:val="24"/>
                <w:u w:val="single"/>
                <w:lang w:val="en-US" w:eastAsia="en-US" w:bidi="ar-SA"/>
              </w:rPr>
            </w:pPr>
            <w:r w:rsidRPr="00423400">
              <w:rPr>
                <w:rFonts w:ascii="Times New Roman" w:hAnsi="Times New Roman" w:eastAsiaTheme="minorHAnsi" w:cs="Times New Roman"/>
                <w:color w:val="000000"/>
                <w:sz w:val="24"/>
                <w:szCs w:val="24"/>
                <w:lang w:val="en-US" w:eastAsia="en-US" w:bidi="ar-SA"/>
              </w:rPr>
              <w:t>9.4% - 10.7%</w:t>
            </w:r>
          </w:p>
        </w:tc>
        <w:tc>
          <w:tcPr>
            <w:tcW w:w="1876" w:type="dxa"/>
            <w:vAlign w:val="center"/>
          </w:tcPr>
          <w:p w:rsidR="00CC3111" w:rsidRPr="00423400" w:rsidP="0038490E" w14:paraId="0B744878" w14:textId="77777777">
            <w:pPr>
              <w:keepNext/>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ind w:left="-29" w:firstLine="29"/>
              <w:jc w:val="center"/>
              <w:rPr>
                <w:rStyle w:val="DefaultParagraphFont"/>
                <w:rFonts w:ascii="Times New Roman" w:hAnsi="Times New Roman" w:eastAsiaTheme="minorHAnsi" w:cs="Times New Roman"/>
                <w:b/>
                <w:color w:val="000000"/>
                <w:sz w:val="24"/>
                <w:szCs w:val="24"/>
                <w:u w:val="single"/>
                <w:lang w:val="en-US" w:eastAsia="en-US" w:bidi="ar-SA"/>
              </w:rPr>
            </w:pPr>
          </w:p>
        </w:tc>
      </w:tr>
      <w:tr w14:paraId="628212EE" w14:textId="77777777" w:rsidTr="00AF25CB">
        <w:tblPrEx>
          <w:tblW w:w="7606" w:type="dxa"/>
          <w:tblInd w:w="0" w:type="dxa"/>
          <w:tblCellMar>
            <w:top w:w="0" w:type="dxa"/>
            <w:left w:w="108" w:type="dxa"/>
            <w:bottom w:w="0" w:type="dxa"/>
            <w:right w:w="108" w:type="dxa"/>
          </w:tblCellMar>
          <w:tblLook w:val="04A0"/>
        </w:tblPrEx>
        <w:trPr>
          <w:trHeight w:val="227"/>
        </w:trPr>
        <w:tc>
          <w:tcPr>
            <w:tcW w:w="3644" w:type="dxa"/>
          </w:tcPr>
          <w:p w:rsidR="00CC3111" w:rsidRPr="00423400" w:rsidP="0038490E" w14:paraId="14E84517" w14:textId="77777777">
            <w:pPr>
              <w:keepNext/>
              <w:tabs>
                <w:tab w:val="left" w:pos="-1440"/>
                <w:tab w:val="left" w:pos="1080"/>
              </w:tabs>
              <w:jc w:val="both"/>
              <w:rPr>
                <w:rStyle w:val="DefaultParagraphFont"/>
                <w:rFonts w:ascii="Times New Roman" w:hAnsi="Times New Roman" w:eastAsiaTheme="minorHAnsi" w:cs="Times New Roman"/>
                <w:color w:val="000000"/>
                <w:sz w:val="24"/>
                <w:szCs w:val="24"/>
                <w:lang w:val="en-US" w:eastAsia="en-US" w:bidi="ar-SA"/>
              </w:rPr>
            </w:pPr>
            <w:r w:rsidRPr="00423400">
              <w:rPr>
                <w:rFonts w:ascii="Times New Roman" w:hAnsi="Times New Roman" w:eastAsiaTheme="minorHAnsi" w:cs="Times New Roman"/>
                <w:color w:val="000000"/>
                <w:sz w:val="24"/>
                <w:szCs w:val="24"/>
                <w:lang w:val="en-US" w:eastAsia="en-US" w:bidi="ar-SA"/>
              </w:rPr>
              <w:t xml:space="preserve"> Flotation Cost Adj.</w:t>
            </w:r>
          </w:p>
        </w:tc>
        <w:tc>
          <w:tcPr>
            <w:tcW w:w="2085" w:type="dxa"/>
            <w:vAlign w:val="center"/>
          </w:tcPr>
          <w:p w:rsidR="00CC3111" w:rsidRPr="00423400" w:rsidP="0038490E" w14:paraId="2DAF41EC" w14:textId="77777777">
            <w:pPr>
              <w:keepNext/>
              <w:tabs>
                <w:tab w:val="left" w:pos="-1440"/>
                <w:tab w:val="left" w:pos="1080"/>
              </w:tabs>
              <w:ind w:firstLine="29"/>
              <w:rPr>
                <w:rStyle w:val="DefaultParagraphFont"/>
                <w:rFonts w:ascii="Times New Roman" w:hAnsi="Times New Roman" w:eastAsiaTheme="minorHAnsi" w:cs="Times New Roman"/>
                <w:color w:val="000000"/>
                <w:sz w:val="24"/>
                <w:szCs w:val="24"/>
                <w:lang w:val="en-US" w:eastAsia="en-US" w:bidi="ar-SA"/>
              </w:rPr>
            </w:pPr>
            <w:r w:rsidRPr="00423400">
              <w:rPr>
                <w:rFonts w:ascii="Times New Roman" w:hAnsi="Times New Roman" w:eastAsiaTheme="minorHAnsi" w:cs="Times New Roman"/>
                <w:color w:val="000000"/>
                <w:sz w:val="24"/>
                <w:szCs w:val="24"/>
                <w:lang w:val="en-US" w:eastAsia="en-US" w:bidi="ar-SA"/>
              </w:rPr>
              <w:t>0.10%</w:t>
            </w:r>
          </w:p>
        </w:tc>
        <w:tc>
          <w:tcPr>
            <w:tcW w:w="1876" w:type="dxa"/>
            <w:vAlign w:val="center"/>
          </w:tcPr>
          <w:p w:rsidR="00CC3111" w:rsidRPr="00423400" w:rsidP="0038490E" w14:paraId="3780C7E9" w14:textId="77777777">
            <w:pPr>
              <w:keepNext/>
              <w:tabs>
                <w:tab w:val="left" w:pos="-1440"/>
                <w:tab w:val="left" w:pos="1080"/>
              </w:tabs>
              <w:ind w:firstLine="29"/>
              <w:rPr>
                <w:rStyle w:val="DefaultParagraphFont"/>
                <w:rFonts w:ascii="Times New Roman" w:hAnsi="Times New Roman" w:eastAsiaTheme="minorHAnsi" w:cs="Times New Roman"/>
                <w:color w:val="000000"/>
                <w:sz w:val="24"/>
                <w:szCs w:val="24"/>
                <w:u w:val="single"/>
                <w:lang w:val="en-US" w:eastAsia="en-US" w:bidi="ar-SA"/>
              </w:rPr>
            </w:pPr>
            <w:r w:rsidRPr="00423400">
              <w:rPr>
                <w:rFonts w:ascii="Times New Roman" w:hAnsi="Times New Roman" w:eastAsiaTheme="minorHAnsi" w:cs="Times New Roman"/>
                <w:color w:val="000000"/>
                <w:sz w:val="24"/>
                <w:szCs w:val="24"/>
                <w:u w:val="single"/>
                <w:lang w:val="en-US" w:eastAsia="en-US" w:bidi="ar-SA"/>
              </w:rPr>
              <w:t>Reject</w:t>
            </w:r>
          </w:p>
        </w:tc>
      </w:tr>
      <w:tr w14:paraId="5F248A0E" w14:textId="77777777" w:rsidTr="00AF25CB">
        <w:tblPrEx>
          <w:tblW w:w="7606" w:type="dxa"/>
          <w:tblInd w:w="0" w:type="dxa"/>
          <w:tblCellMar>
            <w:top w:w="0" w:type="dxa"/>
            <w:left w:w="108" w:type="dxa"/>
            <w:bottom w:w="0" w:type="dxa"/>
            <w:right w:w="108" w:type="dxa"/>
          </w:tblCellMar>
          <w:tblLook w:val="04A0"/>
        </w:tblPrEx>
        <w:trPr>
          <w:trHeight w:val="220"/>
        </w:trPr>
        <w:tc>
          <w:tcPr>
            <w:tcW w:w="3644" w:type="dxa"/>
          </w:tcPr>
          <w:p w:rsidR="00CC3111" w:rsidRPr="00423400" w:rsidP="0038490E" w14:paraId="331D13C5" w14:textId="77777777">
            <w:pPr>
              <w:keepNext/>
              <w:tabs>
                <w:tab w:val="left" w:pos="-1440"/>
                <w:tab w:val="left" w:pos="1080"/>
              </w:tabs>
              <w:jc w:val="both"/>
              <w:rPr>
                <w:rStyle w:val="DefaultParagraphFont"/>
                <w:rFonts w:ascii="Times New Roman" w:hAnsi="Times New Roman" w:eastAsiaTheme="minorHAnsi" w:cs="Times New Roman"/>
                <w:color w:val="000000"/>
                <w:sz w:val="24"/>
                <w:szCs w:val="24"/>
                <w:lang w:val="en-US" w:eastAsia="en-US" w:bidi="ar-SA"/>
              </w:rPr>
            </w:pPr>
            <w:r w:rsidRPr="00423400">
              <w:rPr>
                <w:rFonts w:ascii="Times New Roman" w:hAnsi="Times New Roman" w:eastAsiaTheme="minorHAnsi" w:cs="Times New Roman"/>
                <w:color w:val="000000"/>
                <w:sz w:val="24"/>
                <w:szCs w:val="24"/>
                <w:lang w:val="en-US" w:eastAsia="en-US" w:bidi="ar-SA"/>
              </w:rPr>
              <w:t xml:space="preserve"> Adjusted Range</w:t>
            </w:r>
          </w:p>
        </w:tc>
        <w:tc>
          <w:tcPr>
            <w:tcW w:w="2085" w:type="dxa"/>
            <w:vAlign w:val="center"/>
          </w:tcPr>
          <w:p w:rsidR="00CC3111" w:rsidRPr="00423400" w:rsidP="0038490E" w14:paraId="7D8C4833" w14:textId="77777777">
            <w:pPr>
              <w:keepNext/>
              <w:tabs>
                <w:tab w:val="left" w:pos="-1440"/>
                <w:tab w:val="left" w:pos="1080"/>
              </w:tabs>
              <w:ind w:firstLine="29"/>
              <w:rPr>
                <w:rStyle w:val="DefaultParagraphFont"/>
                <w:rFonts w:ascii="Times New Roman" w:hAnsi="Times New Roman" w:eastAsiaTheme="minorHAnsi" w:cs="Times New Roman"/>
                <w:color w:val="000000"/>
                <w:sz w:val="24"/>
                <w:szCs w:val="24"/>
                <w:u w:val="single"/>
                <w:lang w:val="en-US" w:eastAsia="en-US" w:bidi="ar-SA"/>
              </w:rPr>
            </w:pPr>
            <w:r w:rsidRPr="00423400">
              <w:rPr>
                <w:rFonts w:ascii="Times New Roman" w:hAnsi="Times New Roman" w:eastAsiaTheme="minorHAnsi" w:cs="Times New Roman"/>
                <w:color w:val="000000"/>
                <w:sz w:val="24"/>
                <w:szCs w:val="24"/>
                <w:u w:val="single"/>
                <w:lang w:val="en-US" w:eastAsia="en-US" w:bidi="ar-SA"/>
              </w:rPr>
              <w:t>9.5% - 10.8%</w:t>
            </w:r>
          </w:p>
        </w:tc>
        <w:tc>
          <w:tcPr>
            <w:tcW w:w="1876" w:type="dxa"/>
            <w:vAlign w:val="center"/>
          </w:tcPr>
          <w:p w:rsidR="00CC3111" w:rsidRPr="00423400" w:rsidP="0038490E" w14:paraId="09BAD25A" w14:textId="77777777">
            <w:pPr>
              <w:keepNext/>
              <w:tabs>
                <w:tab w:val="left" w:pos="-1440"/>
                <w:tab w:val="left" w:pos="1080"/>
              </w:tabs>
              <w:ind w:firstLine="29"/>
              <w:jc w:val="center"/>
              <w:rPr>
                <w:rStyle w:val="DefaultParagraphFont"/>
                <w:rFonts w:ascii="Times New Roman" w:hAnsi="Times New Roman" w:eastAsiaTheme="minorHAnsi" w:cs="Times New Roman"/>
                <w:color w:val="000000"/>
                <w:sz w:val="24"/>
                <w:szCs w:val="24"/>
                <w:u w:val="single"/>
                <w:lang w:val="en-US" w:eastAsia="en-US" w:bidi="ar-SA"/>
              </w:rPr>
            </w:pPr>
          </w:p>
        </w:tc>
      </w:tr>
      <w:tr w14:paraId="72F61AD8" w14:textId="77777777" w:rsidTr="00AF25CB">
        <w:tblPrEx>
          <w:tblW w:w="7606" w:type="dxa"/>
          <w:tblInd w:w="0" w:type="dxa"/>
          <w:tblCellMar>
            <w:top w:w="0" w:type="dxa"/>
            <w:left w:w="108" w:type="dxa"/>
            <w:bottom w:w="0" w:type="dxa"/>
            <w:right w:w="108" w:type="dxa"/>
          </w:tblCellMar>
          <w:tblLook w:val="04A0"/>
        </w:tblPrEx>
        <w:trPr>
          <w:trHeight w:val="227"/>
        </w:trPr>
        <w:tc>
          <w:tcPr>
            <w:tcW w:w="3644" w:type="dxa"/>
          </w:tcPr>
          <w:p w:rsidR="00CC3111" w:rsidRPr="00423400" w:rsidP="0038490E" w14:paraId="17D1203E" w14:textId="77777777">
            <w:pPr>
              <w:keepNext/>
              <w:tabs>
                <w:tab w:val="left" w:pos="-1440"/>
                <w:tab w:val="left" w:pos="1080"/>
              </w:tabs>
              <w:jc w:val="both"/>
              <w:rPr>
                <w:rStyle w:val="DefaultParagraphFont"/>
                <w:rFonts w:ascii="Times New Roman" w:hAnsi="Times New Roman" w:eastAsiaTheme="minorHAnsi" w:cs="Times New Roman"/>
                <w:color w:val="000000"/>
                <w:sz w:val="24"/>
                <w:szCs w:val="24"/>
                <w:u w:val="single"/>
                <w:lang w:val="en-US" w:eastAsia="en-US" w:bidi="ar-SA"/>
              </w:rPr>
            </w:pPr>
            <w:r w:rsidRPr="00423400">
              <w:rPr>
                <w:rFonts w:ascii="Times New Roman" w:hAnsi="Times New Roman" w:eastAsiaTheme="minorHAnsi" w:cs="Times New Roman"/>
                <w:b/>
                <w:color w:val="000000"/>
                <w:sz w:val="24"/>
                <w:szCs w:val="24"/>
                <w:lang w:val="en-US" w:eastAsia="en-US" w:bidi="ar-SA"/>
              </w:rPr>
              <w:t>Recommended ROE</w:t>
            </w:r>
          </w:p>
        </w:tc>
        <w:tc>
          <w:tcPr>
            <w:tcW w:w="2085" w:type="dxa"/>
            <w:vAlign w:val="center"/>
          </w:tcPr>
          <w:p w:rsidR="00CC3111" w:rsidRPr="00423400" w:rsidP="0038490E" w14:paraId="4CCEA63E" w14:textId="77777777">
            <w:pPr>
              <w:keepNext/>
              <w:tabs>
                <w:tab w:val="left" w:pos="-1440"/>
                <w:tab w:val="left" w:pos="1080"/>
              </w:tabs>
              <w:ind w:firstLine="29"/>
              <w:rPr>
                <w:rStyle w:val="DefaultParagraphFont"/>
                <w:rFonts w:ascii="Times New Roman" w:hAnsi="Times New Roman" w:eastAsiaTheme="minorHAnsi" w:cs="Times New Roman"/>
                <w:color w:val="000000"/>
                <w:sz w:val="24"/>
                <w:szCs w:val="24"/>
                <w:u w:val="single"/>
                <w:lang w:val="en-US" w:eastAsia="en-US" w:bidi="ar-SA"/>
              </w:rPr>
            </w:pPr>
            <w:r w:rsidRPr="00423400">
              <w:rPr>
                <w:rFonts w:ascii="Times New Roman" w:hAnsi="Times New Roman" w:eastAsiaTheme="minorHAnsi" w:cs="Times New Roman"/>
                <w:b/>
                <w:color w:val="000000"/>
                <w:sz w:val="24"/>
                <w:szCs w:val="24"/>
                <w:lang w:val="en-US" w:eastAsia="en-US" w:bidi="ar-SA"/>
              </w:rPr>
              <w:t>10.5%</w:t>
            </w:r>
          </w:p>
        </w:tc>
        <w:tc>
          <w:tcPr>
            <w:tcW w:w="1876" w:type="dxa"/>
            <w:vAlign w:val="center"/>
          </w:tcPr>
          <w:p w:rsidR="00CC3111" w:rsidRPr="00423400" w:rsidP="0038490E" w14:paraId="2ECC6973" w14:textId="77777777">
            <w:pPr>
              <w:keepNext/>
              <w:tabs>
                <w:tab w:val="left" w:pos="-1440"/>
                <w:tab w:val="left" w:pos="1080"/>
              </w:tabs>
              <w:ind w:firstLine="29"/>
              <w:rPr>
                <w:rStyle w:val="DefaultParagraphFont"/>
                <w:rFonts w:ascii="Times New Roman" w:hAnsi="Times New Roman" w:eastAsiaTheme="minorHAnsi" w:cs="Times New Roman"/>
                <w:color w:val="000000"/>
                <w:sz w:val="24"/>
                <w:szCs w:val="24"/>
                <w:u w:val="single"/>
                <w:lang w:val="en-US" w:eastAsia="en-US" w:bidi="ar-SA"/>
              </w:rPr>
            </w:pPr>
            <w:r w:rsidRPr="00423400">
              <w:rPr>
                <w:rFonts w:ascii="Times New Roman" w:hAnsi="Times New Roman" w:eastAsiaTheme="minorHAnsi" w:cs="Times New Roman"/>
                <w:b/>
                <w:color w:val="000000"/>
                <w:sz w:val="24"/>
                <w:szCs w:val="24"/>
                <w:lang w:val="en-US" w:eastAsia="en-US" w:bidi="ar-SA"/>
              </w:rPr>
              <w:t>9.30%</w:t>
            </w:r>
          </w:p>
        </w:tc>
      </w:tr>
      <w:tr w14:paraId="61D7DB04" w14:textId="77777777" w:rsidTr="00AF25CB">
        <w:tblPrEx>
          <w:tblW w:w="7606" w:type="dxa"/>
          <w:tblInd w:w="0" w:type="dxa"/>
          <w:tblCellMar>
            <w:top w:w="0" w:type="dxa"/>
            <w:left w:w="108" w:type="dxa"/>
            <w:bottom w:w="0" w:type="dxa"/>
            <w:right w:w="108" w:type="dxa"/>
          </w:tblCellMar>
          <w:tblLook w:val="04A0"/>
        </w:tblPrEx>
        <w:trPr>
          <w:trHeight w:val="63"/>
        </w:trPr>
        <w:tc>
          <w:tcPr>
            <w:tcW w:w="3644" w:type="dxa"/>
          </w:tcPr>
          <w:p w:rsidR="00CC3111" w:rsidRPr="00423400" w:rsidP="0038490E" w14:paraId="6670C7E7" w14:textId="77777777">
            <w:pPr>
              <w:keepNext/>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ind w:left="-29" w:firstLine="29"/>
              <w:rPr>
                <w:rStyle w:val="DefaultParagraphFont"/>
                <w:rFonts w:ascii="Times New Roman" w:hAnsi="Times New Roman" w:eastAsiaTheme="minorHAnsi" w:cs="Times New Roman"/>
                <w:color w:val="000000"/>
                <w:sz w:val="24"/>
                <w:szCs w:val="24"/>
                <w:u w:val="single"/>
                <w:lang w:val="en-US" w:eastAsia="en-US" w:bidi="ar-SA"/>
              </w:rPr>
            </w:pPr>
            <w:r w:rsidRPr="00423400">
              <w:rPr>
                <w:rFonts w:ascii="Times New Roman" w:hAnsi="Times New Roman" w:eastAsiaTheme="minorHAnsi" w:cs="Times New Roman"/>
                <w:color w:val="000000"/>
                <w:sz w:val="24"/>
                <w:szCs w:val="24"/>
                <w:lang w:val="en-US" w:eastAsia="en-US" w:bidi="ar-SA"/>
              </w:rPr>
              <w:t>Source: Exhibit AMM-2 (Corrected).</w:t>
            </w:r>
          </w:p>
        </w:tc>
        <w:tc>
          <w:tcPr>
            <w:tcW w:w="2085" w:type="dxa"/>
          </w:tcPr>
          <w:p w:rsidR="00CC3111" w:rsidRPr="00423400" w:rsidP="0038490E" w14:paraId="0FB1D771" w14:textId="77777777">
            <w:pPr>
              <w:keepNext/>
              <w:tabs>
                <w:tab w:val="left" w:pos="-1440"/>
                <w:tab w:val="left" w:pos="1080"/>
              </w:tabs>
              <w:ind w:firstLine="29"/>
              <w:jc w:val="center"/>
              <w:rPr>
                <w:rStyle w:val="DefaultParagraphFont"/>
                <w:rFonts w:ascii="Times New Roman" w:hAnsi="Times New Roman" w:eastAsiaTheme="minorHAnsi" w:cs="Times New Roman"/>
                <w:color w:val="000000"/>
                <w:sz w:val="24"/>
                <w:szCs w:val="24"/>
                <w:u w:val="single"/>
                <w:lang w:val="en-US" w:eastAsia="en-US" w:bidi="ar-SA"/>
              </w:rPr>
            </w:pPr>
          </w:p>
        </w:tc>
        <w:tc>
          <w:tcPr>
            <w:tcW w:w="1876" w:type="dxa"/>
            <w:vAlign w:val="center"/>
          </w:tcPr>
          <w:p w:rsidR="00CC3111" w:rsidRPr="00423400" w:rsidP="0038490E" w14:paraId="34A2BA75" w14:textId="77777777">
            <w:pPr>
              <w:keepNext/>
              <w:tabs>
                <w:tab w:val="left" w:pos="-1440"/>
                <w:tab w:val="left" w:pos="1080"/>
              </w:tabs>
              <w:ind w:firstLine="29"/>
              <w:jc w:val="center"/>
              <w:rPr>
                <w:rStyle w:val="DefaultParagraphFont"/>
                <w:rFonts w:ascii="Times New Roman" w:hAnsi="Times New Roman" w:eastAsiaTheme="minorHAnsi" w:cs="Times New Roman"/>
                <w:color w:val="000000"/>
                <w:sz w:val="24"/>
                <w:szCs w:val="24"/>
                <w:u w:val="single"/>
                <w:lang w:val="en-US" w:eastAsia="en-US" w:bidi="ar-SA"/>
              </w:rPr>
            </w:pPr>
          </w:p>
        </w:tc>
      </w:tr>
    </w:tbl>
    <w:p w:rsidR="00622A18" w:rsidRPr="00423400" w:rsidP="00AF25CB" w14:paraId="30FA115B" w14:textId="77777777">
      <w:pPr>
        <w:tabs>
          <w:tab w:val="left" w:pos="-1440"/>
        </w:tabs>
        <w:spacing w:before="240" w:after="0" w:line="480" w:lineRule="auto"/>
        <w:rPr>
          <w:rFonts w:cs="Times New Roman"/>
          <w:color w:val="000000"/>
          <w:szCs w:val="24"/>
        </w:rPr>
      </w:pPr>
      <w:r>
        <w:rPr>
          <w:rFonts w:cs="Times New Roman"/>
          <w:color w:val="000000"/>
          <w:szCs w:val="24"/>
        </w:rPr>
        <w:tab/>
      </w:r>
      <w:r w:rsidRPr="00423400" w:rsidR="0051238C">
        <w:rPr>
          <w:rFonts w:cs="Times New Roman"/>
          <w:color w:val="000000"/>
          <w:szCs w:val="24"/>
        </w:rPr>
        <w:t xml:space="preserve">Mr. Walters </w:t>
      </w:r>
      <w:r w:rsidRPr="00423400" w:rsidR="00932738">
        <w:rPr>
          <w:rFonts w:cs="Times New Roman"/>
          <w:color w:val="000000"/>
          <w:szCs w:val="24"/>
        </w:rPr>
        <w:t xml:space="preserve">also </w:t>
      </w:r>
      <w:r w:rsidRPr="00423400" w:rsidR="0051238C">
        <w:rPr>
          <w:rFonts w:cs="Times New Roman"/>
          <w:color w:val="000000"/>
          <w:szCs w:val="24"/>
        </w:rPr>
        <w:t>testified that Mr. McKenzie’s current and project ECAPM analyses are no</w:t>
      </w:r>
      <w:r w:rsidRPr="00423400" w:rsidR="00957BC0">
        <w:rPr>
          <w:rFonts w:cs="Times New Roman"/>
          <w:color w:val="000000"/>
          <w:szCs w:val="24"/>
        </w:rPr>
        <w:t>t</w:t>
      </w:r>
      <w:r w:rsidRPr="00423400" w:rsidR="0051238C">
        <w:rPr>
          <w:rFonts w:cs="Times New Roman"/>
          <w:color w:val="000000"/>
          <w:szCs w:val="24"/>
        </w:rPr>
        <w:t xml:space="preserve"> reasonable.</w:t>
      </w:r>
      <w:r>
        <w:rPr>
          <w:rStyle w:val="FootnoteReference"/>
          <w:rFonts w:cs="Times New Roman"/>
          <w:color w:val="000000"/>
          <w:szCs w:val="24"/>
        </w:rPr>
        <w:footnoteReference w:id="258"/>
      </w:r>
      <w:r w:rsidRPr="00423400" w:rsidR="0051238C">
        <w:rPr>
          <w:rFonts w:cs="Times New Roman"/>
          <w:color w:val="000000"/>
          <w:szCs w:val="24"/>
        </w:rPr>
        <w:t xml:space="preserve"> </w:t>
      </w:r>
      <w:r w:rsidRPr="00423400" w:rsidR="00324366">
        <w:rPr>
          <w:rFonts w:cs="Times New Roman"/>
          <w:color w:val="000000"/>
          <w:szCs w:val="24"/>
        </w:rPr>
        <w:t>Mr. Walters explained that Mr. McKenzie’s ECAPM analyses share all of the same flaws as his traditional CAPM analyses.</w:t>
      </w:r>
      <w:r>
        <w:rPr>
          <w:rStyle w:val="FootnoteReference"/>
          <w:rFonts w:cs="Times New Roman"/>
          <w:color w:val="000000"/>
          <w:szCs w:val="24"/>
        </w:rPr>
        <w:footnoteReference w:id="259"/>
      </w:r>
      <w:r w:rsidRPr="00423400" w:rsidR="00324366">
        <w:rPr>
          <w:rFonts w:cs="Times New Roman"/>
          <w:color w:val="000000"/>
          <w:szCs w:val="24"/>
        </w:rPr>
        <w:t xml:space="preserve"> More importantly, Mr. McKenzie’s proposal to apply an ECAPM while using adjusted betas published by </w:t>
      </w:r>
      <w:r w:rsidRPr="00423400" w:rsidR="00324366">
        <w:rPr>
          <w:rFonts w:cs="Times New Roman"/>
          <w:i/>
          <w:iCs/>
          <w:color w:val="000000"/>
          <w:szCs w:val="24"/>
        </w:rPr>
        <w:t>Value Line</w:t>
      </w:r>
      <w:r w:rsidRPr="00423400" w:rsidR="00324366">
        <w:rPr>
          <w:rFonts w:cs="Times New Roman"/>
          <w:color w:val="000000"/>
          <w:szCs w:val="24"/>
        </w:rPr>
        <w:t>, as well as the long-term risk-free rate further inflates</w:t>
      </w:r>
      <w:r w:rsidRPr="00423400">
        <w:rPr>
          <w:rFonts w:cs="Times New Roman"/>
          <w:color w:val="000000"/>
          <w:szCs w:val="24"/>
        </w:rPr>
        <w:t xml:space="preserve"> his results. Mr. McKenzie’s analysis and results should be disregarded.</w:t>
      </w:r>
      <w:r>
        <w:rPr>
          <w:rStyle w:val="FootnoteReference"/>
          <w:rFonts w:cs="Times New Roman"/>
          <w:color w:val="000000"/>
          <w:szCs w:val="24"/>
        </w:rPr>
        <w:footnoteReference w:id="260"/>
      </w:r>
      <w:r w:rsidRPr="00423400">
        <w:rPr>
          <w:rFonts w:cs="Times New Roman"/>
          <w:color w:val="000000"/>
          <w:szCs w:val="24"/>
        </w:rPr>
        <w:t xml:space="preserve"> </w:t>
      </w:r>
    </w:p>
    <w:p w:rsidR="000E7EC4" w:rsidRPr="00423400" w:rsidP="00CA3B11" w14:paraId="04788EED" w14:textId="77777777">
      <w:pPr>
        <w:tabs>
          <w:tab w:val="left" w:pos="-1440"/>
        </w:tabs>
        <w:spacing w:after="0" w:line="480" w:lineRule="auto"/>
        <w:rPr>
          <w:rFonts w:cs="Times New Roman"/>
          <w:color w:val="000000"/>
          <w:szCs w:val="24"/>
        </w:rPr>
      </w:pPr>
      <w:r w:rsidRPr="00423400">
        <w:rPr>
          <w:rFonts w:cs="Times New Roman"/>
          <w:color w:val="000000"/>
          <w:szCs w:val="24"/>
        </w:rPr>
        <w:tab/>
        <w:t>Mr. McKenzie’s ECAPM analysis is flawed because his model was developed using adjusted utility betas.</w:t>
      </w:r>
      <w:r>
        <w:rPr>
          <w:rStyle w:val="FootnoteReference"/>
          <w:rFonts w:cs="Times New Roman"/>
          <w:color w:val="000000"/>
          <w:szCs w:val="24"/>
        </w:rPr>
        <w:footnoteReference w:id="261"/>
      </w:r>
      <w:r w:rsidRPr="00423400">
        <w:rPr>
          <w:rFonts w:cs="Times New Roman"/>
          <w:color w:val="000000"/>
          <w:szCs w:val="24"/>
        </w:rPr>
        <w:t xml:space="preserve"> An ECAPM analysis flattens the security market line, and is designed for raw beta estimates, not adjusted betas such as the ones published by </w:t>
      </w:r>
      <w:r w:rsidRPr="00423400">
        <w:rPr>
          <w:rFonts w:cs="Times New Roman"/>
          <w:i/>
          <w:color w:val="000000"/>
          <w:szCs w:val="24"/>
        </w:rPr>
        <w:t>Value Line</w:t>
      </w:r>
      <w:r w:rsidRPr="00423400">
        <w:rPr>
          <w:rFonts w:cs="Times New Roman"/>
          <w:color w:val="000000"/>
          <w:szCs w:val="24"/>
        </w:rPr>
        <w:t>.</w:t>
      </w:r>
      <w:r>
        <w:rPr>
          <w:rStyle w:val="FootnoteReference"/>
          <w:rFonts w:cs="Times New Roman"/>
          <w:color w:val="000000"/>
          <w:szCs w:val="24"/>
        </w:rPr>
        <w:footnoteReference w:id="262"/>
      </w:r>
      <w:r w:rsidRPr="00423400">
        <w:rPr>
          <w:rFonts w:cs="Times New Roman"/>
          <w:color w:val="000000"/>
          <w:szCs w:val="24"/>
        </w:rPr>
        <w:t xml:space="preserve"> Beta adjustments, on their own, accomplish virtually the same thing as an ECAPM analysis.</w:t>
      </w:r>
      <w:r>
        <w:rPr>
          <w:rStyle w:val="FootnoteReference"/>
          <w:rFonts w:cs="Times New Roman"/>
          <w:color w:val="000000"/>
          <w:szCs w:val="24"/>
        </w:rPr>
        <w:footnoteReference w:id="263"/>
      </w:r>
      <w:r w:rsidRPr="00423400">
        <w:rPr>
          <w:rFonts w:cs="Times New Roman"/>
          <w:color w:val="000000"/>
          <w:szCs w:val="24"/>
        </w:rPr>
        <w:t xml:space="preserve"> They flatten the security market line and increase the intercept at the risk-free rate.</w:t>
      </w:r>
      <w:r>
        <w:rPr>
          <w:rStyle w:val="FootnoteReference"/>
          <w:rFonts w:cs="Times New Roman"/>
          <w:color w:val="000000"/>
          <w:szCs w:val="24"/>
        </w:rPr>
        <w:footnoteReference w:id="264"/>
      </w:r>
      <w:r w:rsidRPr="00423400">
        <w:rPr>
          <w:rFonts w:cs="Times New Roman"/>
          <w:color w:val="000000"/>
          <w:szCs w:val="24"/>
        </w:rPr>
        <w:t xml:space="preserve"> ECAPM analysis is not designed to be used with adjusted betas, but rather is designed to be used with unadjusted betas.</w:t>
      </w:r>
      <w:r>
        <w:rPr>
          <w:rStyle w:val="FootnoteReference"/>
          <w:rFonts w:cs="Times New Roman"/>
          <w:color w:val="000000"/>
          <w:szCs w:val="24"/>
        </w:rPr>
        <w:footnoteReference w:id="265"/>
      </w:r>
      <w:r w:rsidRPr="00423400">
        <w:rPr>
          <w:rFonts w:cs="Times New Roman"/>
          <w:color w:val="000000"/>
          <w:szCs w:val="24"/>
        </w:rPr>
        <w:t xml:space="preserve"> </w:t>
      </w:r>
      <w:r w:rsidRPr="00423400" w:rsidR="00932738">
        <w:rPr>
          <w:rFonts w:cs="Times New Roman"/>
          <w:color w:val="000000"/>
          <w:szCs w:val="24"/>
        </w:rPr>
        <w:t xml:space="preserve">OCC’s witness Mr. Walters explained that </w:t>
      </w:r>
      <w:r w:rsidRPr="00423400">
        <w:rPr>
          <w:rFonts w:cs="Times New Roman"/>
          <w:color w:val="000000"/>
          <w:szCs w:val="24"/>
        </w:rPr>
        <w:t>Mr. McKenzie’s proposal to use adjusted betas within an ECAPM analysis is unreasonable and double counts the attempt to flatten the security market line and increase CAPM return estimates for companies with betas below 1 and decrease CAPM return estimates for companies with betas greater than 1.</w:t>
      </w:r>
      <w:r>
        <w:rPr>
          <w:rStyle w:val="FootnoteReference"/>
          <w:rFonts w:cs="Times New Roman"/>
          <w:color w:val="000000"/>
          <w:szCs w:val="24"/>
        </w:rPr>
        <w:footnoteReference w:id="266"/>
      </w:r>
    </w:p>
    <w:p w:rsidR="000E7EC4" w:rsidRPr="00423400" w:rsidP="005843F7" w14:paraId="200FDCC9" w14:textId="77777777">
      <w:pPr>
        <w:spacing w:after="0" w:line="480" w:lineRule="auto"/>
        <w:ind w:firstLine="720"/>
        <w:rPr>
          <w:rFonts w:cs="Times New Roman"/>
          <w:szCs w:val="24"/>
        </w:rPr>
      </w:pPr>
      <w:r w:rsidRPr="00423400">
        <w:rPr>
          <w:rFonts w:cs="Times New Roman"/>
          <w:szCs w:val="24"/>
        </w:rPr>
        <w:t>Mr. Walters also testified that the notion that an adjustment to beta is only a horizontal axis adjustment is not true.</w:t>
      </w:r>
      <w:r>
        <w:rPr>
          <w:rStyle w:val="FootnoteReference"/>
          <w:rFonts w:cs="Times New Roman"/>
          <w:szCs w:val="24"/>
        </w:rPr>
        <w:footnoteReference w:id="267"/>
      </w:r>
      <w:r w:rsidRPr="00423400">
        <w:rPr>
          <w:rFonts w:cs="Times New Roman"/>
          <w:szCs w:val="24"/>
        </w:rPr>
        <w:t xml:space="preserve"> The </w:t>
      </w:r>
      <w:r w:rsidRPr="00423400">
        <w:rPr>
          <w:rFonts w:cs="Times New Roman"/>
          <w:i/>
          <w:szCs w:val="24"/>
        </w:rPr>
        <w:t>Value Line</w:t>
      </w:r>
      <w:r w:rsidRPr="00423400">
        <w:rPr>
          <w:rFonts w:cs="Times New Roman"/>
          <w:szCs w:val="24"/>
        </w:rPr>
        <w:t xml:space="preserve"> beta adjustment alters the CAPM return at both the vertical axis (the intercept point) and the horizontal axis, the slope of the CAPM return line (along the horizontal axis).</w:t>
      </w:r>
      <w:r>
        <w:rPr>
          <w:rStyle w:val="FootnoteReference"/>
          <w:rFonts w:cs="Times New Roman"/>
          <w:szCs w:val="24"/>
        </w:rPr>
        <w:footnoteReference w:id="268"/>
      </w:r>
      <w:r w:rsidRPr="00423400">
        <w:rPr>
          <w:rFonts w:cs="Times New Roman"/>
          <w:szCs w:val="24"/>
        </w:rPr>
        <w:t xml:space="preserve"> This is depicted in Figure 4 below. </w:t>
      </w:r>
    </w:p>
    <w:p w:rsidR="000E7EC4" w:rsidRPr="00423400" w:rsidP="00461787" w14:paraId="1B95D7D3" w14:textId="77777777">
      <w:pPr>
        <w:spacing w:after="0" w:line="480" w:lineRule="auto"/>
        <w:ind w:firstLine="720"/>
        <w:rPr>
          <w:rFonts w:cs="Times New Roman"/>
          <w:szCs w:val="24"/>
        </w:rPr>
      </w:pPr>
      <w:r w:rsidRPr="00423400">
        <w:rPr>
          <w:rFonts w:cs="Times New Roman"/>
          <w:szCs w:val="24"/>
        </w:rPr>
        <w:t xml:space="preserve">As shown in Figure 4, </w:t>
      </w:r>
      <w:r w:rsidRPr="00423400" w:rsidR="001E1E7E">
        <w:rPr>
          <w:rFonts w:cs="Times New Roman"/>
          <w:szCs w:val="24"/>
        </w:rPr>
        <w:t>Mr. Walters</w:t>
      </w:r>
      <w:r w:rsidRPr="00423400">
        <w:rPr>
          <w:rFonts w:cs="Times New Roman"/>
          <w:szCs w:val="24"/>
        </w:rPr>
        <w:t xml:space="preserve"> modeled the expected returns at various levels of raw beta using both the traditional CAPM and ECAPM methodologies assuming a risk</w:t>
      </w:r>
      <w:r w:rsidRPr="00423400">
        <w:rPr>
          <w:rFonts w:cs="Times New Roman"/>
          <w:szCs w:val="24"/>
        </w:rPr>
        <w:noBreakHyphen/>
        <w:t>free rate of 3.50%, and a market risk premium of 7.50%.</w:t>
      </w:r>
      <w:r>
        <w:rPr>
          <w:rStyle w:val="FootnoteReference"/>
          <w:rFonts w:cs="Times New Roman"/>
          <w:szCs w:val="24"/>
        </w:rPr>
        <w:footnoteReference w:id="269"/>
      </w:r>
      <w:r w:rsidRPr="00423400">
        <w:rPr>
          <w:rFonts w:cs="Times New Roman"/>
          <w:szCs w:val="24"/>
        </w:rPr>
        <w:t xml:space="preserve"> </w:t>
      </w:r>
      <w:r w:rsidRPr="00423400" w:rsidR="00461787">
        <w:rPr>
          <w:rFonts w:cs="Times New Roman"/>
          <w:szCs w:val="24"/>
        </w:rPr>
        <w:t>Mr. Walters</w:t>
      </w:r>
      <w:r w:rsidRPr="00423400">
        <w:rPr>
          <w:rFonts w:cs="Times New Roman"/>
          <w:szCs w:val="24"/>
        </w:rPr>
        <w:t xml:space="preserve"> also show</w:t>
      </w:r>
      <w:r w:rsidRPr="00423400" w:rsidR="00461787">
        <w:rPr>
          <w:rFonts w:cs="Times New Roman"/>
          <w:szCs w:val="24"/>
        </w:rPr>
        <w:t>s</w:t>
      </w:r>
      <w:r w:rsidRPr="00423400">
        <w:rPr>
          <w:rFonts w:cs="Times New Roman"/>
          <w:szCs w:val="24"/>
        </w:rPr>
        <w:t xml:space="preserve"> the expected CAPM and ECAPM returns using the associated adjusted (</w:t>
      </w:r>
      <w:r w:rsidRPr="00423400">
        <w:rPr>
          <w:rFonts w:cs="Times New Roman"/>
          <w:i/>
          <w:szCs w:val="24"/>
        </w:rPr>
        <w:t>Value Line</w:t>
      </w:r>
      <w:r w:rsidRPr="00423400">
        <w:rPr>
          <w:rFonts w:cs="Times New Roman"/>
          <w:szCs w:val="24"/>
        </w:rPr>
        <w:t>) beta estimates for each raw beta estimate.</w:t>
      </w:r>
      <w:r>
        <w:rPr>
          <w:rStyle w:val="FootnoteReference"/>
          <w:rFonts w:cs="Times New Roman"/>
          <w:szCs w:val="24"/>
        </w:rPr>
        <w:footnoteReference w:id="270"/>
      </w:r>
      <w:r w:rsidRPr="00423400">
        <w:rPr>
          <w:rFonts w:cs="Times New Roman"/>
          <w:szCs w:val="24"/>
        </w:rPr>
        <w:t xml:space="preserve"> As shown in Figure 4 below, the impact on the traditional CAPM return using a raw beta and a traditional CAPM using an adjusted beta has the effect of increasing the intercept point at a zero raw beta (y axis) from: (1) risk-free rate to (2) the combination of the risk-free rate plus 35% of the market risk premium.</w:t>
      </w:r>
      <w:r>
        <w:rPr>
          <w:rStyle w:val="FootnoteReference"/>
          <w:rFonts w:cs="Times New Roman"/>
          <w:szCs w:val="24"/>
        </w:rPr>
        <w:footnoteReference w:id="271"/>
      </w:r>
      <w:r w:rsidRPr="00423400">
        <w:rPr>
          <w:rFonts w:cs="Times New Roman"/>
          <w:szCs w:val="24"/>
        </w:rPr>
        <w:t xml:space="preserve"> Further, as the unadjusted beta is increased above zero, the adjusted beta increases the CAPM return when the raw beta is less than one and decreases the CAPM return when the raw beta is greater than one.</w:t>
      </w:r>
      <w:r>
        <w:rPr>
          <w:rStyle w:val="FootnoteReference"/>
          <w:rFonts w:cs="Times New Roman"/>
          <w:szCs w:val="24"/>
        </w:rPr>
        <w:footnoteReference w:id="272"/>
      </w:r>
      <w:r w:rsidRPr="00423400">
        <w:rPr>
          <w:rFonts w:cs="Times New Roman"/>
          <w:szCs w:val="24"/>
        </w:rPr>
        <w:t xml:space="preserve"> In other words, the beta adjustment raises the CAPM return at the vertical axis point and flattens the security market across the horizontal axis as the raw beta increases above zero.</w:t>
      </w:r>
      <w:r>
        <w:rPr>
          <w:rStyle w:val="FootnoteReference"/>
          <w:rFonts w:cs="Times New Roman"/>
          <w:szCs w:val="24"/>
        </w:rPr>
        <w:footnoteReference w:id="273"/>
      </w:r>
    </w:p>
    <w:p w:rsidR="000E7EC4" w:rsidRPr="00423400" w:rsidP="00461787" w14:paraId="5E857418" w14:textId="77777777">
      <w:pPr>
        <w:spacing w:line="480" w:lineRule="auto"/>
        <w:ind w:firstLine="720"/>
        <w:rPr>
          <w:rFonts w:cs="Times New Roman"/>
          <w:szCs w:val="24"/>
        </w:rPr>
      </w:pPr>
      <w:r w:rsidRPr="00423400">
        <w:rPr>
          <w:rFonts w:cs="Times New Roman"/>
          <w:szCs w:val="24"/>
        </w:rPr>
        <w:t>The ECAPM using raw betas has the same impact on the traditional CAPM using an adjusted beta: the ECAPM increases the CAPM return at a zero raw beta from: (1) the risk-free rate, to (2) the risk-free rate plus 25% of the market risk premium.</w:t>
      </w:r>
      <w:r>
        <w:rPr>
          <w:rStyle w:val="FootnoteReference"/>
          <w:rFonts w:cs="Times New Roman"/>
          <w:szCs w:val="24"/>
        </w:rPr>
        <w:footnoteReference w:id="274"/>
      </w:r>
      <w:r w:rsidRPr="00423400">
        <w:rPr>
          <w:rFonts w:cs="Times New Roman"/>
          <w:szCs w:val="24"/>
        </w:rPr>
        <w:t xml:space="preserve"> Further, the ECAPM using raw betas flattens the traditional CAPM return line across the horizontal axis as the raw betas increase above zero.</w:t>
      </w:r>
      <w:r>
        <w:rPr>
          <w:rStyle w:val="FootnoteReference"/>
          <w:rFonts w:cs="Times New Roman"/>
          <w:szCs w:val="24"/>
        </w:rPr>
        <w:footnoteReference w:id="275"/>
      </w:r>
      <w:r w:rsidRPr="00423400">
        <w:rPr>
          <w:rFonts w:cs="Times New Roman"/>
          <w:szCs w:val="24"/>
        </w:rPr>
        <w:t xml:space="preserve"> </w:t>
      </w:r>
    </w:p>
    <w:p w:rsidR="000E7EC4" w:rsidRPr="00423400" w:rsidP="000E7EC4" w14:paraId="40C3B0A2" w14:textId="77777777">
      <w:pPr>
        <w:keepNext/>
        <w:suppressLineNumbers/>
        <w:ind w:right="432"/>
        <w:jc w:val="center"/>
        <w:rPr>
          <w:rFonts w:cs="Times New Roman"/>
          <w:b/>
          <w:szCs w:val="24"/>
        </w:rPr>
      </w:pPr>
      <w:r w:rsidRPr="00423400">
        <w:rPr>
          <w:rFonts w:cs="Times New Roman"/>
          <w:b/>
          <w:szCs w:val="24"/>
        </w:rPr>
        <w:t>FIGURE 4</w:t>
      </w:r>
    </w:p>
    <w:p w:rsidR="000E7EC4" w:rsidRPr="00423400" w:rsidP="000E7EC4" w14:paraId="2E5C109E" w14:textId="77777777">
      <w:pPr>
        <w:keepNext/>
        <w:suppressLineNumbers/>
        <w:spacing w:line="480" w:lineRule="auto"/>
        <w:jc w:val="center"/>
        <w:rPr>
          <w:rFonts w:cs="Times New Roman"/>
          <w:szCs w:val="24"/>
        </w:rPr>
      </w:pPr>
      <w:r w:rsidRPr="00423400">
        <w:rPr>
          <w:rFonts w:cs="Times New Roman"/>
          <w:noProof/>
          <w:szCs w:val="24"/>
        </w:rPr>
        <w:drawing>
          <wp:inline distT="0" distB="0" distL="0" distR="0">
            <wp:extent cx="4308653" cy="3223720"/>
            <wp:effectExtent l="0" t="0" r="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559628" name="Picture 3"/>
                    <pic:cNvPicPr>
                      <a:picLocks noChangeAspect="1" noChangeArrowheads="1"/>
                    </pic:cNvPicPr>
                  </pic:nvPicPr>
                  <pic:blipFill>
                    <a:blip xmlns:r="http://schemas.openxmlformats.org/officeDocument/2006/relationships" r:embed="rId17" cstate="print"/>
                    <a:stretch>
                      <a:fillRect/>
                    </a:stretch>
                  </pic:blipFill>
                  <pic:spPr bwMode="auto">
                    <a:xfrm>
                      <a:off x="0" y="0"/>
                      <a:ext cx="4319759" cy="3232029"/>
                    </a:xfrm>
                    <a:prstGeom prst="rect">
                      <a:avLst/>
                    </a:prstGeom>
                    <a:noFill/>
                    <a:ln w="9525">
                      <a:noFill/>
                      <a:miter lim="800000"/>
                      <a:headEnd/>
                      <a:tailEnd/>
                    </a:ln>
                  </pic:spPr>
                </pic:pic>
              </a:graphicData>
            </a:graphic>
          </wp:inline>
        </w:drawing>
      </w:r>
    </w:p>
    <w:p w:rsidR="000E7EC4" w:rsidRPr="00423400" w:rsidP="00815DE8" w14:paraId="1CF6481B" w14:textId="77777777">
      <w:pPr>
        <w:spacing w:after="0" w:line="480" w:lineRule="auto"/>
        <w:rPr>
          <w:rFonts w:cs="Times New Roman"/>
          <w:szCs w:val="24"/>
        </w:rPr>
      </w:pPr>
      <w:r w:rsidRPr="00423400">
        <w:rPr>
          <w:rFonts w:cs="Times New Roman"/>
          <w:szCs w:val="24"/>
        </w:rPr>
        <w:tab/>
        <w:t>As shown in the graph above</w:t>
      </w:r>
      <w:r w:rsidR="001F38DD">
        <w:rPr>
          <w:rFonts w:cs="Times New Roman"/>
          <w:szCs w:val="24"/>
        </w:rPr>
        <w:t xml:space="preserve"> (Figure 4)</w:t>
      </w:r>
      <w:r w:rsidRPr="00423400">
        <w:rPr>
          <w:rFonts w:cs="Times New Roman"/>
          <w:szCs w:val="24"/>
        </w:rPr>
        <w:t>, compared to the traditional CAPM using a raw beta, the traditional CAPM using an adjusted beta raises the intercept point (a y axis impact) and flattens the slope of the security market line (an x axis impact).</w:t>
      </w:r>
      <w:r>
        <w:rPr>
          <w:rStyle w:val="FootnoteReference"/>
          <w:rFonts w:cs="Times New Roman"/>
          <w:szCs w:val="24"/>
        </w:rPr>
        <w:footnoteReference w:id="276"/>
      </w:r>
      <w:r w:rsidRPr="00423400">
        <w:rPr>
          <w:rFonts w:cs="Times New Roman"/>
          <w:szCs w:val="24"/>
        </w:rPr>
        <w:t xml:space="preserve"> Similarly, using a raw beta estimate, the ECAPM raises the intercept point at the y axis and flattens the CAPM return for all raw beta estimates.</w:t>
      </w:r>
      <w:r>
        <w:rPr>
          <w:rStyle w:val="FootnoteReference"/>
          <w:rFonts w:cs="Times New Roman"/>
          <w:szCs w:val="24"/>
        </w:rPr>
        <w:footnoteReference w:id="277"/>
      </w:r>
      <w:r w:rsidRPr="00423400">
        <w:rPr>
          <w:rFonts w:cs="Times New Roman"/>
          <w:szCs w:val="24"/>
        </w:rPr>
        <w:t xml:space="preserve"> </w:t>
      </w:r>
    </w:p>
    <w:p w:rsidR="000E7EC4" w:rsidRPr="00423400" w:rsidP="00942344" w14:paraId="2F38EAF5" w14:textId="77777777">
      <w:pPr>
        <w:spacing w:after="0" w:line="480" w:lineRule="auto"/>
        <w:rPr>
          <w:rFonts w:cs="Times New Roman"/>
          <w:szCs w:val="24"/>
        </w:rPr>
      </w:pPr>
      <w:r w:rsidRPr="00423400">
        <w:rPr>
          <w:rFonts w:cs="Times New Roman"/>
          <w:szCs w:val="24"/>
        </w:rPr>
        <w:tab/>
        <w:t xml:space="preserve">Significantly, </w:t>
      </w:r>
      <w:r w:rsidRPr="00423400" w:rsidR="00815DE8">
        <w:rPr>
          <w:rFonts w:cs="Times New Roman"/>
          <w:szCs w:val="24"/>
        </w:rPr>
        <w:t xml:space="preserve">Mr. Walters testified, </w:t>
      </w:r>
      <w:r w:rsidRPr="00423400">
        <w:rPr>
          <w:rFonts w:cs="Times New Roman"/>
          <w:szCs w:val="24"/>
        </w:rPr>
        <w:t>if an adjusted beta is used in an ECAPM return model, the CAPM return at the y axis increases from: (1) the risk-free rate, up to (2) the risk-free rate plus approximately 51% of the market risk premium.</w:t>
      </w:r>
      <w:r>
        <w:rPr>
          <w:rStyle w:val="FootnoteReference"/>
          <w:rFonts w:cs="Times New Roman"/>
          <w:szCs w:val="24"/>
        </w:rPr>
        <w:footnoteReference w:id="278"/>
      </w:r>
      <w:r w:rsidRPr="00423400">
        <w:rPr>
          <w:rFonts w:cs="Times New Roman"/>
          <w:szCs w:val="24"/>
        </w:rPr>
        <w:t xml:space="preserve"> Further, the CAPM return for betas less than one starts at an inflated y axis intercept point and increases as the raw beta increases above zero.</w:t>
      </w:r>
      <w:r>
        <w:rPr>
          <w:rStyle w:val="FootnoteReference"/>
          <w:rFonts w:cs="Times New Roman"/>
          <w:szCs w:val="24"/>
        </w:rPr>
        <w:footnoteReference w:id="279"/>
      </w:r>
      <w:r w:rsidRPr="00423400">
        <w:rPr>
          <w:rFonts w:cs="Times New Roman"/>
          <w:szCs w:val="24"/>
        </w:rPr>
        <w:t xml:space="preserve"> </w:t>
      </w:r>
    </w:p>
    <w:p w:rsidR="00E219F8" w:rsidRPr="00423400" w:rsidP="00E219F8" w14:paraId="359A86DB" w14:textId="77777777">
      <w:pPr>
        <w:spacing w:after="0" w:line="480" w:lineRule="auto"/>
        <w:ind w:firstLine="720"/>
        <w:rPr>
          <w:rFonts w:cs="Times New Roman"/>
          <w:szCs w:val="24"/>
        </w:rPr>
      </w:pPr>
      <w:r w:rsidRPr="00423400">
        <w:rPr>
          <w:rFonts w:cs="Times New Roman"/>
          <w:szCs w:val="24"/>
        </w:rPr>
        <w:t xml:space="preserve">Mathematically, </w:t>
      </w:r>
      <w:r w:rsidRPr="00423400">
        <w:rPr>
          <w:rFonts w:cs="Times New Roman"/>
          <w:i/>
          <w:szCs w:val="24"/>
        </w:rPr>
        <w:t>Value Line</w:t>
      </w:r>
      <w:r w:rsidRPr="00423400">
        <w:rPr>
          <w:rFonts w:cs="Times New Roman"/>
          <w:szCs w:val="24"/>
        </w:rPr>
        <w:t>’s beta adjustments produce nearly the same effect on the estimated CAPM return as does an ECAPM using a raw beta.</w:t>
      </w:r>
      <w:r>
        <w:rPr>
          <w:rStyle w:val="FootnoteReference"/>
          <w:rFonts w:cs="Times New Roman"/>
          <w:szCs w:val="24"/>
        </w:rPr>
        <w:footnoteReference w:id="280"/>
      </w:r>
      <w:r w:rsidRPr="00423400" w:rsidR="00EC5474">
        <w:rPr>
          <w:rFonts w:cs="Times New Roman"/>
          <w:szCs w:val="24"/>
        </w:rPr>
        <w:t xml:space="preserve"> </w:t>
      </w:r>
      <w:r w:rsidRPr="00423400">
        <w:rPr>
          <w:rFonts w:cs="Times New Roman"/>
          <w:szCs w:val="24"/>
        </w:rPr>
        <w:t>Using an adjusted beta in an ECAPM model, as Mr. McKenzie has proposed, produces a flawed and inflated CAPM return estimate.</w:t>
      </w:r>
      <w:r>
        <w:rPr>
          <w:rStyle w:val="FootnoteReference"/>
          <w:rFonts w:cs="Times New Roman"/>
          <w:szCs w:val="24"/>
        </w:rPr>
        <w:footnoteReference w:id="281"/>
      </w:r>
    </w:p>
    <w:p w:rsidR="00A51200" w:rsidRPr="00423400" w:rsidP="00AD32AF" w14:paraId="04344ED6" w14:textId="77777777">
      <w:pPr>
        <w:spacing w:after="0" w:line="480" w:lineRule="auto"/>
        <w:ind w:firstLine="720"/>
        <w:rPr>
          <w:rFonts w:cs="Times New Roman"/>
          <w:szCs w:val="24"/>
        </w:rPr>
      </w:pPr>
      <w:r w:rsidRPr="00423400">
        <w:rPr>
          <w:rFonts w:cs="Times New Roman"/>
          <w:color w:val="000000"/>
          <w:szCs w:val="24"/>
        </w:rPr>
        <w:t xml:space="preserve">The PUCO </w:t>
      </w:r>
      <w:r w:rsidRPr="00423400" w:rsidR="00E219F8">
        <w:rPr>
          <w:rFonts w:cs="Times New Roman"/>
          <w:szCs w:val="24"/>
        </w:rPr>
        <w:t>should reject the PUCO Staff’s and DP&amp;L’s inappropriate increase to the return on equity by allowing an adjustment for equity issuance and other costs.</w:t>
      </w:r>
    </w:p>
    <w:p w:rsidR="00276139" w:rsidRPr="00423400" w:rsidP="0012105E" w14:paraId="65C121F6" w14:textId="77777777">
      <w:pPr>
        <w:pStyle w:val="Heading2"/>
        <w:ind w:left="1440" w:hanging="720"/>
        <w:rPr>
          <w:color w:val="auto"/>
          <w:sz w:val="24"/>
          <w:szCs w:val="24"/>
        </w:rPr>
      </w:pPr>
      <w:bookmarkStart w:id="69" w:name="_Toc96960365"/>
      <w:bookmarkStart w:id="70" w:name="_Toc96960407"/>
      <w:bookmarkStart w:id="71" w:name="_Toc97298214"/>
      <w:r w:rsidRPr="00423400">
        <w:rPr>
          <w:color w:val="auto"/>
          <w:sz w:val="24"/>
          <w:szCs w:val="24"/>
        </w:rPr>
        <w:t>To protect consumers from paying higher rates, the PUCO should reject DP&amp;L’s flotation cost adjustment in its requested return.</w:t>
      </w:r>
      <w:bookmarkEnd w:id="69"/>
      <w:bookmarkEnd w:id="70"/>
      <w:bookmarkEnd w:id="71"/>
    </w:p>
    <w:p w:rsidR="00DC7793" w:rsidRPr="00423400" w:rsidP="008341DA" w14:paraId="3D40B960" w14:textId="77777777">
      <w:pPr>
        <w:tabs>
          <w:tab w:val="left" w:pos="-1440"/>
        </w:tabs>
        <w:spacing w:before="240" w:after="0" w:line="480" w:lineRule="auto"/>
        <w:ind w:firstLine="720"/>
        <w:rPr>
          <w:rFonts w:cs="Times New Roman"/>
          <w:color w:val="000000"/>
          <w:szCs w:val="24"/>
        </w:rPr>
      </w:pPr>
      <w:r w:rsidRPr="00423400">
        <w:rPr>
          <w:rFonts w:cs="Times New Roman"/>
          <w:color w:val="000000"/>
          <w:szCs w:val="24"/>
        </w:rPr>
        <w:t>OCC expert Mr. W</w:t>
      </w:r>
      <w:r w:rsidRPr="00423400" w:rsidR="008341DA">
        <w:rPr>
          <w:rFonts w:cs="Times New Roman"/>
          <w:color w:val="000000"/>
          <w:szCs w:val="24"/>
        </w:rPr>
        <w:t xml:space="preserve">alters testified that </w:t>
      </w:r>
      <w:r w:rsidRPr="00423400" w:rsidR="0004349C">
        <w:rPr>
          <w:rFonts w:cs="Times New Roman"/>
          <w:color w:val="000000"/>
          <w:szCs w:val="24"/>
        </w:rPr>
        <w:t xml:space="preserve">DP&amp;L witness </w:t>
      </w:r>
      <w:r w:rsidRPr="00423400">
        <w:rPr>
          <w:rFonts w:cs="Times New Roman"/>
          <w:color w:val="000000"/>
          <w:szCs w:val="24"/>
        </w:rPr>
        <w:t>Mr. McKenzie included an upward adjustment of 10 basis points to compensate for flotation costs to his return on equity recommendation.</w:t>
      </w:r>
      <w:r>
        <w:rPr>
          <w:rFonts w:cs="Times New Roman"/>
          <w:color w:val="000000"/>
          <w:szCs w:val="24"/>
          <w:vertAlign w:val="superscript"/>
        </w:rPr>
        <w:footnoteReference w:id="282"/>
      </w:r>
      <w:r w:rsidRPr="00423400">
        <w:rPr>
          <w:rFonts w:cs="Times New Roman"/>
          <w:color w:val="000000"/>
          <w:szCs w:val="24"/>
        </w:rPr>
        <w:t xml:space="preserve"> </w:t>
      </w:r>
      <w:r w:rsidRPr="00423400" w:rsidR="008341DA">
        <w:rPr>
          <w:rFonts w:cs="Times New Roman"/>
          <w:color w:val="000000"/>
          <w:szCs w:val="24"/>
        </w:rPr>
        <w:t>Mr. Walters notes that Mr. McKenzie</w:t>
      </w:r>
      <w:r w:rsidRPr="00423400">
        <w:rPr>
          <w:rFonts w:cs="Times New Roman"/>
          <w:color w:val="000000"/>
          <w:szCs w:val="24"/>
        </w:rPr>
        <w:t xml:space="preserve"> acknowledges there is no standard method for reflecting flotation costs in return on equity methodology.</w:t>
      </w:r>
      <w:r>
        <w:rPr>
          <w:rFonts w:cs="Times New Roman"/>
          <w:color w:val="000000"/>
          <w:szCs w:val="24"/>
          <w:vertAlign w:val="superscript"/>
        </w:rPr>
        <w:footnoteReference w:id="283"/>
      </w:r>
      <w:r w:rsidRPr="00423400">
        <w:rPr>
          <w:rFonts w:cs="Times New Roman"/>
          <w:color w:val="000000"/>
          <w:szCs w:val="24"/>
        </w:rPr>
        <w:t xml:space="preserve"> </w:t>
      </w:r>
    </w:p>
    <w:p w:rsidR="00DC7793" w:rsidRPr="00423400" w:rsidP="000470A2" w14:paraId="77147E00" w14:textId="77777777">
      <w:pPr>
        <w:tabs>
          <w:tab w:val="left" w:pos="-1440"/>
        </w:tabs>
        <w:spacing w:after="0" w:line="480" w:lineRule="auto"/>
        <w:ind w:firstLine="720"/>
        <w:rPr>
          <w:rFonts w:cs="Times New Roman"/>
          <w:color w:val="000000"/>
          <w:szCs w:val="24"/>
        </w:rPr>
      </w:pPr>
      <w:r w:rsidRPr="00423400">
        <w:rPr>
          <w:rFonts w:cs="Times New Roman"/>
          <w:color w:val="000000"/>
          <w:szCs w:val="24"/>
        </w:rPr>
        <w:t>Specifically, Mr. McKenzie states that “[t]he most common method used to account for flotation costs in regulatory proceedings is to apply an average flotation-cost percentage to a utility’s dividend yield.</w:t>
      </w:r>
      <w:r>
        <w:rPr>
          <w:rStyle w:val="FootnoteReference"/>
          <w:rFonts w:cs="Times New Roman"/>
          <w:color w:val="000000"/>
          <w:szCs w:val="24"/>
        </w:rPr>
        <w:footnoteReference w:id="284"/>
      </w:r>
      <w:r w:rsidRPr="00423400">
        <w:rPr>
          <w:rFonts w:cs="Times New Roman"/>
          <w:color w:val="000000"/>
          <w:szCs w:val="24"/>
        </w:rPr>
        <w:t xml:space="preserve"> </w:t>
      </w:r>
      <w:r w:rsidRPr="00423400" w:rsidR="002B78C2">
        <w:rPr>
          <w:rFonts w:cs="Times New Roman"/>
          <w:color w:val="000000"/>
          <w:szCs w:val="24"/>
        </w:rPr>
        <w:t>Mr. McKenzie</w:t>
      </w:r>
      <w:r w:rsidRPr="00423400">
        <w:rPr>
          <w:rFonts w:cs="Times New Roman"/>
          <w:color w:val="000000"/>
          <w:szCs w:val="24"/>
        </w:rPr>
        <w:t xml:space="preserve"> calculates the average flotation cost percentage of the most recent share issuances by the electric and gas utility industries as categorized by </w:t>
      </w:r>
      <w:r w:rsidRPr="00423400">
        <w:rPr>
          <w:rFonts w:cs="Times New Roman"/>
          <w:i/>
          <w:color w:val="000000"/>
          <w:szCs w:val="24"/>
        </w:rPr>
        <w:t>Value Line</w:t>
      </w:r>
      <w:r w:rsidRPr="00423400">
        <w:rPr>
          <w:rFonts w:cs="Times New Roman"/>
          <w:color w:val="000000"/>
          <w:szCs w:val="24"/>
        </w:rPr>
        <w:t xml:space="preserve">. He calculates the average flotation cost percentages for the electric and gas utility industry as 2.9%. He then applies the average flotation cost adjustment of 2.9% to his proxy group’s average dividend yield of 3.9%. This method produces a flotation cost adjustment of 10 basis points for his proxy group. </w:t>
      </w:r>
    </w:p>
    <w:p w:rsidR="0073203B" w:rsidRPr="00423400" w:rsidP="0073203B" w14:paraId="6832B5F1" w14:textId="77777777">
      <w:pPr>
        <w:tabs>
          <w:tab w:val="left" w:pos="-1440"/>
        </w:tabs>
        <w:spacing w:after="0" w:line="480" w:lineRule="auto"/>
        <w:ind w:firstLine="720"/>
        <w:rPr>
          <w:rFonts w:cs="Times New Roman"/>
          <w:color w:val="000000"/>
          <w:szCs w:val="24"/>
        </w:rPr>
      </w:pPr>
      <w:r w:rsidRPr="00423400">
        <w:rPr>
          <w:rFonts w:cs="Times New Roman"/>
          <w:color w:val="000000"/>
          <w:szCs w:val="24"/>
        </w:rPr>
        <w:t>Mr. Walters explained that Mr. McKenzie’s flotation cost return on equity adder is not reasonable or justified for several reasons.</w:t>
      </w:r>
      <w:r>
        <w:rPr>
          <w:rStyle w:val="FootnoteReference"/>
          <w:rFonts w:cs="Times New Roman"/>
          <w:color w:val="000000"/>
          <w:szCs w:val="24"/>
        </w:rPr>
        <w:footnoteReference w:id="285"/>
      </w:r>
      <w:r w:rsidRPr="00423400">
        <w:rPr>
          <w:rFonts w:cs="Times New Roman"/>
          <w:color w:val="000000"/>
          <w:szCs w:val="24"/>
        </w:rPr>
        <w:t xml:space="preserve"> First, the adder is not based on the recovery of prudent and verifiable actual flotation costs incurred by </w:t>
      </w:r>
      <w:r w:rsidRPr="00423400">
        <w:rPr>
          <w:rFonts w:cs="Times New Roman"/>
          <w:szCs w:val="24"/>
        </w:rPr>
        <w:t>DP&amp;L</w:t>
      </w:r>
      <w:r w:rsidRPr="00423400">
        <w:rPr>
          <w:rFonts w:cs="Times New Roman"/>
          <w:color w:val="000000"/>
          <w:szCs w:val="24"/>
        </w:rPr>
        <w:t>.</w:t>
      </w:r>
      <w:r>
        <w:rPr>
          <w:rStyle w:val="FootnoteReference"/>
          <w:rFonts w:cs="Times New Roman"/>
          <w:color w:val="000000"/>
          <w:szCs w:val="24"/>
        </w:rPr>
        <w:footnoteReference w:id="286"/>
      </w:r>
      <w:r w:rsidRPr="00423400">
        <w:rPr>
          <w:rFonts w:cs="Times New Roman"/>
          <w:color w:val="000000"/>
          <w:szCs w:val="24"/>
        </w:rPr>
        <w:t xml:space="preserve"> Mr. McKenzie derived a flotation cost adder based on cost information of other publicly traded utility holding companies.</w:t>
      </w:r>
      <w:r>
        <w:rPr>
          <w:rStyle w:val="FootnoteReference"/>
          <w:rFonts w:cs="Times New Roman"/>
          <w:color w:val="000000"/>
          <w:szCs w:val="24"/>
        </w:rPr>
        <w:footnoteReference w:id="287"/>
      </w:r>
      <w:r w:rsidRPr="00423400">
        <w:rPr>
          <w:rFonts w:cs="Times New Roman"/>
          <w:color w:val="000000"/>
          <w:szCs w:val="24"/>
        </w:rPr>
        <w:t xml:space="preserve"> But because he does not show that his adjustment is based on </w:t>
      </w:r>
      <w:r w:rsidRPr="00423400">
        <w:rPr>
          <w:rFonts w:cs="Times New Roman"/>
          <w:szCs w:val="24"/>
        </w:rPr>
        <w:t>DP&amp;L’s</w:t>
      </w:r>
      <w:r w:rsidRPr="00423400">
        <w:rPr>
          <w:rFonts w:cs="Times New Roman"/>
          <w:color w:val="000000"/>
          <w:szCs w:val="24"/>
        </w:rPr>
        <w:t xml:space="preserve"> actual and verifiable flotation expenses, there are no means of verifying whether Mr. McKenzie’s proposal is reasonable or appropriate.</w:t>
      </w:r>
      <w:r>
        <w:rPr>
          <w:rStyle w:val="FootnoteReference"/>
          <w:rFonts w:cs="Times New Roman"/>
          <w:color w:val="000000"/>
          <w:szCs w:val="24"/>
        </w:rPr>
        <w:footnoteReference w:id="288"/>
      </w:r>
      <w:r w:rsidRPr="00423400">
        <w:rPr>
          <w:rFonts w:cs="Times New Roman"/>
          <w:color w:val="000000"/>
          <w:szCs w:val="24"/>
        </w:rPr>
        <w:t xml:space="preserve"> Stated differently, Mr. McKenzie’s flotation cost return on equity adder is not based on known and measurable costs.</w:t>
      </w:r>
      <w:r>
        <w:rPr>
          <w:rStyle w:val="FootnoteReference"/>
          <w:rFonts w:cs="Times New Roman"/>
          <w:color w:val="000000"/>
          <w:szCs w:val="24"/>
        </w:rPr>
        <w:footnoteReference w:id="289"/>
      </w:r>
    </w:p>
    <w:p w:rsidR="0004349C" w:rsidRPr="00423400" w:rsidP="00CB6FCE" w14:paraId="7C7AC6C6" w14:textId="77777777">
      <w:pPr>
        <w:tabs>
          <w:tab w:val="left" w:pos="-1440"/>
        </w:tabs>
        <w:spacing w:after="0" w:line="480" w:lineRule="auto"/>
        <w:ind w:firstLine="720"/>
        <w:rPr>
          <w:rFonts w:cs="Times New Roman"/>
          <w:color w:val="000000"/>
          <w:szCs w:val="24"/>
        </w:rPr>
      </w:pPr>
      <w:r w:rsidRPr="00423400">
        <w:rPr>
          <w:rFonts w:cs="Times New Roman"/>
          <w:color w:val="000000"/>
          <w:szCs w:val="24"/>
        </w:rPr>
        <w:t xml:space="preserve">Therefore, OCC recommends that the PUCO should reject a flotation cost return on equity adder for </w:t>
      </w:r>
      <w:r w:rsidRPr="00423400">
        <w:rPr>
          <w:rFonts w:cs="Times New Roman"/>
          <w:szCs w:val="24"/>
        </w:rPr>
        <w:t>DP&amp;L</w:t>
      </w:r>
      <w:r w:rsidRPr="00423400">
        <w:rPr>
          <w:rFonts w:cs="Times New Roman"/>
          <w:color w:val="000000"/>
          <w:szCs w:val="24"/>
        </w:rPr>
        <w:t>.</w:t>
      </w:r>
    </w:p>
    <w:p w:rsidR="00B33786" w:rsidRPr="00423400" w:rsidP="0012105E" w14:paraId="0D288D2C" w14:textId="77777777">
      <w:pPr>
        <w:pStyle w:val="Heading2"/>
        <w:ind w:left="1440" w:hanging="720"/>
        <w:rPr>
          <w:color w:val="auto"/>
          <w:sz w:val="24"/>
          <w:szCs w:val="24"/>
        </w:rPr>
      </w:pPr>
      <w:bookmarkStart w:id="72" w:name="_Toc96960366"/>
      <w:bookmarkStart w:id="73" w:name="_Toc96960408"/>
      <w:bookmarkStart w:id="74" w:name="_Toc97298215"/>
      <w:r w:rsidRPr="00423400">
        <w:rPr>
          <w:color w:val="auto"/>
          <w:sz w:val="24"/>
          <w:szCs w:val="24"/>
        </w:rPr>
        <w:t>To protect consumers from paying higher rates, an expected earnings analysis is not a reasonable method for estimating a fair ROE for DP&amp;L.</w:t>
      </w:r>
      <w:bookmarkEnd w:id="72"/>
      <w:bookmarkEnd w:id="73"/>
      <w:bookmarkEnd w:id="74"/>
    </w:p>
    <w:p w:rsidR="00DD1C08" w:rsidRPr="00423400" w:rsidP="006F683D" w14:paraId="67BC928B" w14:textId="77777777">
      <w:pPr>
        <w:tabs>
          <w:tab w:val="left" w:pos="-1440"/>
        </w:tabs>
        <w:spacing w:before="240" w:after="0" w:line="480" w:lineRule="auto"/>
        <w:rPr>
          <w:rFonts w:cs="Times New Roman"/>
          <w:color w:val="000000"/>
          <w:szCs w:val="24"/>
        </w:rPr>
      </w:pPr>
      <w:r w:rsidRPr="00423400">
        <w:rPr>
          <w:rFonts w:cs="Times New Roman"/>
          <w:color w:val="000000"/>
          <w:szCs w:val="24"/>
        </w:rPr>
        <w:tab/>
      </w:r>
      <w:r w:rsidRPr="00423400" w:rsidR="0004349C">
        <w:rPr>
          <w:rFonts w:cs="Times New Roman"/>
          <w:color w:val="000000"/>
          <w:szCs w:val="24"/>
        </w:rPr>
        <w:t xml:space="preserve">OCC’s expert </w:t>
      </w:r>
      <w:r w:rsidRPr="00423400">
        <w:rPr>
          <w:rFonts w:cs="Times New Roman"/>
          <w:color w:val="000000"/>
          <w:szCs w:val="24"/>
        </w:rPr>
        <w:t>Mr. Walters explained in his testimony that an Expected Earnings analysis does not measure the return an investor requires in order to make an investment.</w:t>
      </w:r>
      <w:r>
        <w:rPr>
          <w:rStyle w:val="FootnoteReference"/>
          <w:rFonts w:cs="Times New Roman"/>
          <w:color w:val="000000"/>
          <w:szCs w:val="24"/>
        </w:rPr>
        <w:footnoteReference w:id="290"/>
      </w:r>
      <w:r w:rsidRPr="00423400">
        <w:rPr>
          <w:rFonts w:cs="Times New Roman"/>
          <w:color w:val="000000"/>
          <w:szCs w:val="24"/>
        </w:rPr>
        <w:t xml:space="preserve"> In other words, the accounting measure of the earned ROE does not measure the opportunity cost of capital.</w:t>
      </w:r>
      <w:r>
        <w:rPr>
          <w:rStyle w:val="FootnoteReference"/>
          <w:rFonts w:cs="Times New Roman"/>
          <w:color w:val="000000"/>
          <w:szCs w:val="24"/>
        </w:rPr>
        <w:footnoteReference w:id="291"/>
      </w:r>
      <w:r w:rsidRPr="00423400">
        <w:rPr>
          <w:rFonts w:cs="Times New Roman"/>
          <w:color w:val="000000"/>
          <w:szCs w:val="24"/>
        </w:rPr>
        <w:t xml:space="preserve"> Rather, it measures the earned return on book equity that companies have experienced in the past or are projected to achieve in the future.</w:t>
      </w:r>
      <w:r>
        <w:rPr>
          <w:rStyle w:val="FootnoteReference"/>
          <w:rFonts w:cs="Times New Roman"/>
          <w:color w:val="000000"/>
          <w:szCs w:val="24"/>
        </w:rPr>
        <w:footnoteReference w:id="292"/>
      </w:r>
      <w:r w:rsidRPr="00423400">
        <w:rPr>
          <w:rFonts w:cs="Times New Roman"/>
          <w:color w:val="000000"/>
          <w:szCs w:val="24"/>
        </w:rPr>
        <w:t xml:space="preserve"> The returns investors require in order to assume the risk of an investment are measured from prevailing stock market prices.</w:t>
      </w:r>
      <w:r>
        <w:rPr>
          <w:rStyle w:val="FootnoteReference"/>
          <w:rFonts w:cs="Times New Roman"/>
          <w:color w:val="000000"/>
          <w:szCs w:val="24"/>
        </w:rPr>
        <w:footnoteReference w:id="293"/>
      </w:r>
      <w:r w:rsidRPr="00423400">
        <w:rPr>
          <w:rFonts w:cs="Times New Roman"/>
          <w:color w:val="000000"/>
          <w:szCs w:val="24"/>
        </w:rPr>
        <w:t xml:space="preserve"> </w:t>
      </w:r>
    </w:p>
    <w:p w:rsidR="00487B43" w:rsidRPr="00423400" w:rsidP="00AD32AF" w14:paraId="484EDC3A" w14:textId="77777777">
      <w:pPr>
        <w:tabs>
          <w:tab w:val="left" w:pos="-1440"/>
        </w:tabs>
        <w:spacing w:after="0" w:line="480" w:lineRule="auto"/>
        <w:rPr>
          <w:rFonts w:cs="Times New Roman"/>
          <w:szCs w:val="24"/>
        </w:rPr>
      </w:pPr>
      <w:r w:rsidRPr="00423400">
        <w:rPr>
          <w:rFonts w:cs="Times New Roman"/>
          <w:szCs w:val="24"/>
        </w:rPr>
        <w:tab/>
      </w:r>
      <w:r w:rsidRPr="00423400" w:rsidR="007A36E9">
        <w:rPr>
          <w:rFonts w:cs="Times New Roman"/>
          <w:szCs w:val="24"/>
        </w:rPr>
        <w:t>In general,</w:t>
      </w:r>
      <w:r w:rsidRPr="00423400" w:rsidR="00B60B67">
        <w:rPr>
          <w:rFonts w:cs="Times New Roman"/>
          <w:szCs w:val="24"/>
        </w:rPr>
        <w:t xml:space="preserve"> </w:t>
      </w:r>
      <w:r w:rsidRPr="00423400" w:rsidR="007A36E9">
        <w:rPr>
          <w:rFonts w:cs="Times New Roman"/>
          <w:szCs w:val="24"/>
        </w:rPr>
        <w:t>determining</w:t>
      </w:r>
      <w:r w:rsidRPr="00423400" w:rsidR="00B60B67">
        <w:rPr>
          <w:rFonts w:cs="Times New Roman"/>
          <w:szCs w:val="24"/>
        </w:rPr>
        <w:t xml:space="preserve"> </w:t>
      </w:r>
      <w:r w:rsidRPr="00423400" w:rsidR="007A36E9">
        <w:rPr>
          <w:rFonts w:cs="Times New Roman"/>
          <w:szCs w:val="24"/>
        </w:rPr>
        <w:t>a</w:t>
      </w:r>
      <w:r w:rsidRPr="00423400" w:rsidR="00B60B67">
        <w:rPr>
          <w:rFonts w:cs="Times New Roman"/>
          <w:szCs w:val="24"/>
        </w:rPr>
        <w:t xml:space="preserve"> </w:t>
      </w:r>
      <w:r w:rsidRPr="00423400" w:rsidR="007A36E9">
        <w:rPr>
          <w:rFonts w:cs="Times New Roman"/>
          <w:szCs w:val="24"/>
        </w:rPr>
        <w:t>fair</w:t>
      </w:r>
      <w:r w:rsidRPr="00423400" w:rsidR="00B60B67">
        <w:rPr>
          <w:rFonts w:cs="Times New Roman"/>
          <w:szCs w:val="24"/>
        </w:rPr>
        <w:t xml:space="preserve"> </w:t>
      </w:r>
      <w:r w:rsidRPr="00423400" w:rsidR="007A36E9">
        <w:rPr>
          <w:rFonts w:cs="Times New Roman"/>
          <w:szCs w:val="24"/>
        </w:rPr>
        <w:t>cost</w:t>
      </w:r>
      <w:r w:rsidRPr="00423400" w:rsidR="00B60B67">
        <w:rPr>
          <w:rFonts w:cs="Times New Roman"/>
          <w:szCs w:val="24"/>
        </w:rPr>
        <w:t xml:space="preserve"> </w:t>
      </w:r>
      <w:r w:rsidRPr="00423400" w:rsidR="007A36E9">
        <w:rPr>
          <w:rFonts w:cs="Times New Roman"/>
          <w:szCs w:val="24"/>
        </w:rPr>
        <w:t>of</w:t>
      </w:r>
      <w:r w:rsidRPr="00423400" w:rsidR="00B60B67">
        <w:rPr>
          <w:rFonts w:cs="Times New Roman"/>
          <w:szCs w:val="24"/>
        </w:rPr>
        <w:t xml:space="preserve"> </w:t>
      </w:r>
      <w:r w:rsidRPr="00423400" w:rsidR="007A36E9">
        <w:rPr>
          <w:rFonts w:cs="Times New Roman"/>
          <w:szCs w:val="24"/>
        </w:rPr>
        <w:t>common</w:t>
      </w:r>
      <w:r w:rsidRPr="00423400" w:rsidR="00B60B67">
        <w:rPr>
          <w:rFonts w:cs="Times New Roman"/>
          <w:szCs w:val="24"/>
        </w:rPr>
        <w:t xml:space="preserve"> </w:t>
      </w:r>
      <w:r w:rsidRPr="00423400" w:rsidR="007A36E9">
        <w:rPr>
          <w:rFonts w:cs="Times New Roman"/>
          <w:szCs w:val="24"/>
        </w:rPr>
        <w:t>equity</w:t>
      </w:r>
      <w:r w:rsidRPr="00423400" w:rsidR="00B60B67">
        <w:rPr>
          <w:rFonts w:cs="Times New Roman"/>
          <w:szCs w:val="24"/>
        </w:rPr>
        <w:t xml:space="preserve"> </w:t>
      </w:r>
      <w:r w:rsidRPr="00423400" w:rsidR="007A36E9">
        <w:rPr>
          <w:rFonts w:cs="Times New Roman"/>
          <w:szCs w:val="24"/>
        </w:rPr>
        <w:t>for</w:t>
      </w:r>
      <w:r w:rsidRPr="00423400" w:rsidR="00B60B67">
        <w:rPr>
          <w:rFonts w:cs="Times New Roman"/>
          <w:szCs w:val="24"/>
        </w:rPr>
        <w:t xml:space="preserve"> </w:t>
      </w:r>
      <w:r w:rsidRPr="00423400" w:rsidR="007A36E9">
        <w:rPr>
          <w:rFonts w:cs="Times New Roman"/>
          <w:szCs w:val="24"/>
        </w:rPr>
        <w:t>a</w:t>
      </w:r>
      <w:r w:rsidRPr="00423400" w:rsidR="00B60B67">
        <w:rPr>
          <w:rFonts w:cs="Times New Roman"/>
          <w:szCs w:val="24"/>
        </w:rPr>
        <w:t xml:space="preserve"> </w:t>
      </w:r>
      <w:r w:rsidRPr="00423400" w:rsidR="007A36E9">
        <w:rPr>
          <w:rFonts w:cs="Times New Roman"/>
          <w:szCs w:val="24"/>
        </w:rPr>
        <w:t>regulated</w:t>
      </w:r>
      <w:r w:rsidRPr="00423400" w:rsidR="00B60B67">
        <w:rPr>
          <w:rFonts w:cs="Times New Roman"/>
          <w:szCs w:val="24"/>
        </w:rPr>
        <w:t xml:space="preserve"> </w:t>
      </w:r>
      <w:r w:rsidRPr="00423400" w:rsidR="007A36E9">
        <w:rPr>
          <w:rFonts w:cs="Times New Roman"/>
          <w:szCs w:val="24"/>
        </w:rPr>
        <w:t>utility</w:t>
      </w:r>
      <w:r w:rsidRPr="00423400" w:rsidR="00B60B67">
        <w:rPr>
          <w:rFonts w:cs="Times New Roman"/>
          <w:szCs w:val="24"/>
        </w:rPr>
        <w:t xml:space="preserve"> </w:t>
      </w:r>
      <w:r w:rsidRPr="00423400" w:rsidR="007A36E9">
        <w:rPr>
          <w:rFonts w:cs="Times New Roman"/>
          <w:szCs w:val="24"/>
        </w:rPr>
        <w:t>has</w:t>
      </w:r>
      <w:r w:rsidRPr="00423400" w:rsidR="00B60B67">
        <w:rPr>
          <w:rFonts w:cs="Times New Roman"/>
          <w:szCs w:val="24"/>
        </w:rPr>
        <w:t xml:space="preserve"> </w:t>
      </w:r>
      <w:r w:rsidRPr="00423400" w:rsidR="007A36E9">
        <w:rPr>
          <w:rFonts w:cs="Times New Roman"/>
          <w:szCs w:val="24"/>
        </w:rPr>
        <w:t>been framed</w:t>
      </w:r>
      <w:r w:rsidRPr="00423400" w:rsidR="00B60B67">
        <w:rPr>
          <w:rFonts w:cs="Times New Roman"/>
          <w:szCs w:val="24"/>
        </w:rPr>
        <w:t xml:space="preserve"> </w:t>
      </w:r>
      <w:r w:rsidRPr="00423400" w:rsidR="007A36E9">
        <w:rPr>
          <w:rFonts w:cs="Times New Roman"/>
          <w:szCs w:val="24"/>
        </w:rPr>
        <w:t>by</w:t>
      </w:r>
      <w:r w:rsidRPr="00423400" w:rsidR="00B60B67">
        <w:rPr>
          <w:rFonts w:cs="Times New Roman"/>
          <w:szCs w:val="24"/>
        </w:rPr>
        <w:t xml:space="preserve"> </w:t>
      </w:r>
      <w:r w:rsidRPr="00423400" w:rsidR="007A36E9">
        <w:rPr>
          <w:rFonts w:cs="Times New Roman"/>
          <w:szCs w:val="24"/>
        </w:rPr>
        <w:t>two</w:t>
      </w:r>
      <w:r w:rsidRPr="00423400" w:rsidR="00B60B67">
        <w:rPr>
          <w:rFonts w:cs="Times New Roman"/>
          <w:szCs w:val="24"/>
        </w:rPr>
        <w:t xml:space="preserve"> </w:t>
      </w:r>
      <w:r w:rsidRPr="00423400" w:rsidR="007A36E9">
        <w:rPr>
          <w:rFonts w:cs="Times New Roman"/>
          <w:szCs w:val="24"/>
        </w:rPr>
        <w:t>hallmark</w:t>
      </w:r>
      <w:r w:rsidRPr="00423400" w:rsidR="00B60B67">
        <w:rPr>
          <w:rFonts w:cs="Times New Roman"/>
          <w:szCs w:val="24"/>
        </w:rPr>
        <w:t xml:space="preserve"> </w:t>
      </w:r>
      <w:r w:rsidRPr="00423400" w:rsidR="007A36E9">
        <w:rPr>
          <w:rFonts w:cs="Times New Roman"/>
          <w:szCs w:val="24"/>
        </w:rPr>
        <w:t>decisions</w:t>
      </w:r>
      <w:r w:rsidRPr="00423400" w:rsidR="00B60B67">
        <w:rPr>
          <w:rFonts w:cs="Times New Roman"/>
          <w:szCs w:val="24"/>
        </w:rPr>
        <w:t xml:space="preserve"> </w:t>
      </w:r>
      <w:r w:rsidRPr="00423400" w:rsidR="007A36E9">
        <w:rPr>
          <w:rFonts w:cs="Times New Roman"/>
          <w:szCs w:val="24"/>
        </w:rPr>
        <w:t>of</w:t>
      </w:r>
      <w:r w:rsidRPr="00423400" w:rsidR="00B60B67">
        <w:rPr>
          <w:rFonts w:cs="Times New Roman"/>
          <w:szCs w:val="24"/>
        </w:rPr>
        <w:t xml:space="preserve"> </w:t>
      </w:r>
      <w:r w:rsidRPr="00423400" w:rsidR="007A36E9">
        <w:rPr>
          <w:rFonts w:cs="Times New Roman"/>
          <w:szCs w:val="24"/>
        </w:rPr>
        <w:t>the</w:t>
      </w:r>
      <w:r w:rsidRPr="00423400" w:rsidR="00B60B67">
        <w:rPr>
          <w:rFonts w:cs="Times New Roman"/>
          <w:szCs w:val="24"/>
        </w:rPr>
        <w:t xml:space="preserve"> </w:t>
      </w:r>
      <w:r w:rsidRPr="00423400" w:rsidR="007A36E9">
        <w:rPr>
          <w:rFonts w:cs="Times New Roman"/>
          <w:szCs w:val="24"/>
        </w:rPr>
        <w:t>U.S.</w:t>
      </w:r>
      <w:r w:rsidRPr="00423400" w:rsidR="00B60B67">
        <w:rPr>
          <w:rFonts w:cs="Times New Roman"/>
          <w:szCs w:val="24"/>
        </w:rPr>
        <w:t xml:space="preserve"> </w:t>
      </w:r>
      <w:r w:rsidRPr="00423400" w:rsidR="007A36E9">
        <w:rPr>
          <w:rFonts w:cs="Times New Roman"/>
          <w:szCs w:val="24"/>
        </w:rPr>
        <w:t>Supreme</w:t>
      </w:r>
      <w:r w:rsidRPr="00423400" w:rsidR="00B60B67">
        <w:rPr>
          <w:rFonts w:cs="Times New Roman"/>
          <w:szCs w:val="24"/>
        </w:rPr>
        <w:t xml:space="preserve"> </w:t>
      </w:r>
      <w:r w:rsidRPr="00423400" w:rsidR="007A36E9">
        <w:rPr>
          <w:rFonts w:cs="Times New Roman"/>
          <w:szCs w:val="24"/>
        </w:rPr>
        <w:t>Court:</w:t>
      </w:r>
      <w:r w:rsidRPr="00423400" w:rsidR="00B60B67">
        <w:rPr>
          <w:rFonts w:cs="Times New Roman"/>
          <w:szCs w:val="24"/>
        </w:rPr>
        <w:t xml:space="preserve"> </w:t>
      </w:r>
      <w:r w:rsidRPr="00423400" w:rsidR="007A36E9">
        <w:rPr>
          <w:rFonts w:cs="Times New Roman"/>
          <w:i/>
          <w:iCs/>
          <w:szCs w:val="24"/>
        </w:rPr>
        <w:t>Bluefield</w:t>
      </w:r>
      <w:r w:rsidRPr="00423400" w:rsidR="00B60B67">
        <w:rPr>
          <w:rFonts w:cs="Times New Roman"/>
          <w:i/>
          <w:iCs/>
          <w:szCs w:val="24"/>
        </w:rPr>
        <w:t xml:space="preserve"> </w:t>
      </w:r>
      <w:r w:rsidRPr="00423400" w:rsidR="007A36E9">
        <w:rPr>
          <w:rFonts w:cs="Times New Roman"/>
          <w:i/>
          <w:iCs/>
          <w:szCs w:val="24"/>
        </w:rPr>
        <w:t>Water</w:t>
      </w:r>
      <w:r w:rsidRPr="00423400" w:rsidR="00B60B67">
        <w:rPr>
          <w:rFonts w:cs="Times New Roman"/>
          <w:i/>
          <w:iCs/>
          <w:szCs w:val="24"/>
        </w:rPr>
        <w:t xml:space="preserve"> </w:t>
      </w:r>
      <w:r w:rsidRPr="00423400" w:rsidR="007A36E9">
        <w:rPr>
          <w:rFonts w:cs="Times New Roman"/>
          <w:i/>
          <w:iCs/>
          <w:szCs w:val="24"/>
        </w:rPr>
        <w:t>Works &amp; Improvement</w:t>
      </w:r>
      <w:r w:rsidRPr="00423400" w:rsidR="00B60B67">
        <w:rPr>
          <w:rFonts w:cs="Times New Roman"/>
          <w:i/>
          <w:iCs/>
          <w:szCs w:val="24"/>
        </w:rPr>
        <w:t xml:space="preserve"> </w:t>
      </w:r>
      <w:r w:rsidRPr="00423400" w:rsidR="007A36E9">
        <w:rPr>
          <w:rFonts w:cs="Times New Roman"/>
          <w:i/>
          <w:iCs/>
          <w:szCs w:val="24"/>
        </w:rPr>
        <w:t>Co.</w:t>
      </w:r>
      <w:r w:rsidRPr="00423400" w:rsidR="00B60B67">
        <w:rPr>
          <w:rFonts w:cs="Times New Roman"/>
          <w:i/>
          <w:iCs/>
          <w:szCs w:val="24"/>
        </w:rPr>
        <w:t xml:space="preserve"> </w:t>
      </w:r>
      <w:r w:rsidRPr="00423400" w:rsidR="007A36E9">
        <w:rPr>
          <w:rFonts w:cs="Times New Roman"/>
          <w:i/>
          <w:iCs/>
          <w:szCs w:val="24"/>
        </w:rPr>
        <w:t>v.</w:t>
      </w:r>
      <w:r w:rsidRPr="00423400" w:rsidR="00B60B67">
        <w:rPr>
          <w:rFonts w:cs="Times New Roman"/>
          <w:i/>
          <w:iCs/>
          <w:szCs w:val="24"/>
        </w:rPr>
        <w:t xml:space="preserve"> </w:t>
      </w:r>
      <w:r w:rsidRPr="00423400" w:rsidR="007A36E9">
        <w:rPr>
          <w:rFonts w:cs="Times New Roman"/>
          <w:i/>
          <w:iCs/>
          <w:szCs w:val="24"/>
        </w:rPr>
        <w:t>Pub.</w:t>
      </w:r>
      <w:r w:rsidRPr="00423400" w:rsidR="00B60B67">
        <w:rPr>
          <w:rFonts w:cs="Times New Roman"/>
          <w:i/>
          <w:iCs/>
          <w:szCs w:val="24"/>
        </w:rPr>
        <w:t xml:space="preserve"> </w:t>
      </w:r>
      <w:r w:rsidRPr="00423400" w:rsidR="007A36E9">
        <w:rPr>
          <w:rFonts w:cs="Times New Roman"/>
          <w:i/>
          <w:iCs/>
          <w:szCs w:val="24"/>
        </w:rPr>
        <w:t>Serv.</w:t>
      </w:r>
      <w:r w:rsidRPr="00423400" w:rsidR="00B60B67">
        <w:rPr>
          <w:rFonts w:cs="Times New Roman"/>
          <w:i/>
          <w:iCs/>
          <w:szCs w:val="24"/>
        </w:rPr>
        <w:t xml:space="preserve"> </w:t>
      </w:r>
      <w:r w:rsidRPr="00423400" w:rsidR="007A36E9">
        <w:rPr>
          <w:rFonts w:cs="Times New Roman"/>
          <w:i/>
          <w:iCs/>
          <w:szCs w:val="24"/>
        </w:rPr>
        <w:t>Comm’n</w:t>
      </w:r>
      <w:r w:rsidRPr="00423400" w:rsidR="00B60B67">
        <w:rPr>
          <w:rFonts w:cs="Times New Roman"/>
          <w:i/>
          <w:iCs/>
          <w:szCs w:val="24"/>
        </w:rPr>
        <w:t xml:space="preserve"> </w:t>
      </w:r>
      <w:r w:rsidRPr="00423400" w:rsidR="007A36E9">
        <w:rPr>
          <w:rFonts w:cs="Times New Roman"/>
          <w:i/>
          <w:iCs/>
          <w:szCs w:val="24"/>
        </w:rPr>
        <w:t>of</w:t>
      </w:r>
      <w:r w:rsidRPr="00423400" w:rsidR="00B60B67">
        <w:rPr>
          <w:rFonts w:cs="Times New Roman"/>
          <w:i/>
          <w:iCs/>
          <w:szCs w:val="24"/>
        </w:rPr>
        <w:t xml:space="preserve"> </w:t>
      </w:r>
      <w:r w:rsidRPr="00423400" w:rsidR="007A36E9">
        <w:rPr>
          <w:rFonts w:cs="Times New Roman"/>
          <w:i/>
          <w:iCs/>
          <w:szCs w:val="24"/>
        </w:rPr>
        <w:t>W.</w:t>
      </w:r>
      <w:r w:rsidRPr="00423400" w:rsidR="00B60B67">
        <w:rPr>
          <w:rFonts w:cs="Times New Roman"/>
          <w:i/>
          <w:iCs/>
          <w:szCs w:val="24"/>
        </w:rPr>
        <w:t xml:space="preserve"> </w:t>
      </w:r>
      <w:r w:rsidRPr="00423400" w:rsidR="007A36E9">
        <w:rPr>
          <w:rFonts w:cs="Times New Roman"/>
          <w:i/>
          <w:iCs/>
          <w:szCs w:val="24"/>
        </w:rPr>
        <w:t>Va</w:t>
      </w:r>
      <w:r w:rsidRPr="00423400" w:rsidR="007A36E9">
        <w:rPr>
          <w:rFonts w:cs="Times New Roman"/>
          <w:szCs w:val="24"/>
        </w:rPr>
        <w:t>.,</w:t>
      </w:r>
      <w:r w:rsidRPr="00423400" w:rsidR="00B60B67">
        <w:rPr>
          <w:rFonts w:cs="Times New Roman"/>
          <w:szCs w:val="24"/>
        </w:rPr>
        <w:t xml:space="preserve"> </w:t>
      </w:r>
      <w:r w:rsidRPr="00423400" w:rsidR="007A36E9">
        <w:rPr>
          <w:rFonts w:cs="Times New Roman"/>
          <w:szCs w:val="24"/>
        </w:rPr>
        <w:t>262</w:t>
      </w:r>
      <w:r w:rsidRPr="00423400" w:rsidR="00B60B67">
        <w:rPr>
          <w:rFonts w:cs="Times New Roman"/>
          <w:szCs w:val="24"/>
        </w:rPr>
        <w:t xml:space="preserve"> </w:t>
      </w:r>
      <w:r w:rsidRPr="00423400" w:rsidR="007A36E9">
        <w:rPr>
          <w:rFonts w:cs="Times New Roman"/>
          <w:szCs w:val="24"/>
        </w:rPr>
        <w:t>U.S.</w:t>
      </w:r>
      <w:r w:rsidRPr="00423400" w:rsidR="00B60B67">
        <w:rPr>
          <w:rFonts w:cs="Times New Roman"/>
          <w:szCs w:val="24"/>
        </w:rPr>
        <w:t xml:space="preserve"> </w:t>
      </w:r>
      <w:r w:rsidRPr="00423400" w:rsidR="007A36E9">
        <w:rPr>
          <w:rFonts w:cs="Times New Roman"/>
          <w:szCs w:val="24"/>
        </w:rPr>
        <w:t>679</w:t>
      </w:r>
      <w:r w:rsidRPr="00423400" w:rsidR="00B60B67">
        <w:rPr>
          <w:rFonts w:cs="Times New Roman"/>
          <w:szCs w:val="24"/>
        </w:rPr>
        <w:t xml:space="preserve"> </w:t>
      </w:r>
      <w:r w:rsidRPr="00423400" w:rsidR="007A36E9">
        <w:rPr>
          <w:rFonts w:cs="Times New Roman"/>
          <w:szCs w:val="24"/>
        </w:rPr>
        <w:t>(1923)</w:t>
      </w:r>
      <w:r w:rsidRPr="00423400" w:rsidR="00B60B67">
        <w:rPr>
          <w:rFonts w:cs="Times New Roman"/>
          <w:szCs w:val="24"/>
        </w:rPr>
        <w:t xml:space="preserve"> </w:t>
      </w:r>
      <w:r w:rsidRPr="00423400" w:rsidR="007A36E9">
        <w:rPr>
          <w:rFonts w:cs="Times New Roman"/>
          <w:szCs w:val="24"/>
        </w:rPr>
        <w:t>and</w:t>
      </w:r>
      <w:r w:rsidRPr="00423400" w:rsidR="00B60B67">
        <w:rPr>
          <w:rFonts w:cs="Times New Roman"/>
          <w:szCs w:val="24"/>
        </w:rPr>
        <w:t xml:space="preserve"> </w:t>
      </w:r>
      <w:r w:rsidRPr="00423400" w:rsidR="007A36E9">
        <w:rPr>
          <w:rFonts w:cs="Times New Roman"/>
          <w:i/>
          <w:iCs/>
          <w:szCs w:val="24"/>
        </w:rPr>
        <w:t>Fed. Power</w:t>
      </w:r>
      <w:r w:rsidRPr="00423400" w:rsidR="00B60B67">
        <w:rPr>
          <w:rFonts w:cs="Times New Roman"/>
          <w:i/>
          <w:iCs/>
          <w:szCs w:val="24"/>
        </w:rPr>
        <w:t xml:space="preserve"> </w:t>
      </w:r>
      <w:r w:rsidRPr="00423400" w:rsidR="007A36E9">
        <w:rPr>
          <w:rFonts w:cs="Times New Roman"/>
          <w:i/>
          <w:iCs/>
          <w:szCs w:val="24"/>
        </w:rPr>
        <w:t>Comm’n</w:t>
      </w:r>
      <w:r w:rsidRPr="00423400" w:rsidR="00B60B67">
        <w:rPr>
          <w:rFonts w:cs="Times New Roman"/>
          <w:i/>
          <w:iCs/>
          <w:szCs w:val="24"/>
        </w:rPr>
        <w:t xml:space="preserve"> </w:t>
      </w:r>
      <w:r w:rsidRPr="00423400" w:rsidR="007A36E9">
        <w:rPr>
          <w:rFonts w:cs="Times New Roman"/>
          <w:i/>
          <w:iCs/>
          <w:szCs w:val="24"/>
        </w:rPr>
        <w:t>v.</w:t>
      </w:r>
      <w:r w:rsidRPr="00423400" w:rsidR="00B60B67">
        <w:rPr>
          <w:rFonts w:cs="Times New Roman"/>
          <w:i/>
          <w:iCs/>
          <w:szCs w:val="24"/>
        </w:rPr>
        <w:t xml:space="preserve"> </w:t>
      </w:r>
      <w:r w:rsidRPr="00423400" w:rsidR="007A36E9">
        <w:rPr>
          <w:rFonts w:cs="Times New Roman"/>
          <w:i/>
          <w:iCs/>
          <w:szCs w:val="24"/>
        </w:rPr>
        <w:t>Hope</w:t>
      </w:r>
      <w:r w:rsidRPr="00423400" w:rsidR="00B60B67">
        <w:rPr>
          <w:rFonts w:cs="Times New Roman"/>
          <w:i/>
          <w:iCs/>
          <w:szCs w:val="24"/>
        </w:rPr>
        <w:t xml:space="preserve"> </w:t>
      </w:r>
      <w:r w:rsidRPr="00423400" w:rsidR="007A36E9">
        <w:rPr>
          <w:rFonts w:cs="Times New Roman"/>
          <w:i/>
          <w:iCs/>
          <w:szCs w:val="24"/>
        </w:rPr>
        <w:t>Natural</w:t>
      </w:r>
      <w:r w:rsidRPr="00423400" w:rsidR="00B60B67">
        <w:rPr>
          <w:rFonts w:cs="Times New Roman"/>
          <w:i/>
          <w:iCs/>
          <w:szCs w:val="24"/>
        </w:rPr>
        <w:t xml:space="preserve"> </w:t>
      </w:r>
      <w:r w:rsidRPr="00423400" w:rsidR="007A36E9">
        <w:rPr>
          <w:rFonts w:cs="Times New Roman"/>
          <w:i/>
          <w:iCs/>
          <w:szCs w:val="24"/>
        </w:rPr>
        <w:t>Gas</w:t>
      </w:r>
      <w:r w:rsidRPr="00423400" w:rsidR="00B60B67">
        <w:rPr>
          <w:rFonts w:cs="Times New Roman"/>
          <w:i/>
          <w:iCs/>
          <w:szCs w:val="24"/>
        </w:rPr>
        <w:t xml:space="preserve"> </w:t>
      </w:r>
      <w:r w:rsidRPr="00423400" w:rsidR="007A36E9">
        <w:rPr>
          <w:rFonts w:cs="Times New Roman"/>
          <w:i/>
          <w:iCs/>
          <w:szCs w:val="24"/>
        </w:rPr>
        <w:t>Co</w:t>
      </w:r>
      <w:r w:rsidRPr="00423400" w:rsidR="007A36E9">
        <w:rPr>
          <w:rFonts w:cs="Times New Roman"/>
          <w:szCs w:val="24"/>
        </w:rPr>
        <w:t>.,</w:t>
      </w:r>
      <w:r w:rsidRPr="00423400" w:rsidR="00B60B67">
        <w:rPr>
          <w:rFonts w:cs="Times New Roman"/>
          <w:szCs w:val="24"/>
        </w:rPr>
        <w:t xml:space="preserve"> </w:t>
      </w:r>
      <w:r w:rsidRPr="00423400" w:rsidR="007A36E9">
        <w:rPr>
          <w:rFonts w:cs="Times New Roman"/>
          <w:szCs w:val="24"/>
        </w:rPr>
        <w:t>320</w:t>
      </w:r>
      <w:r w:rsidRPr="00423400" w:rsidR="00B60B67">
        <w:rPr>
          <w:rFonts w:cs="Times New Roman"/>
          <w:szCs w:val="24"/>
        </w:rPr>
        <w:t xml:space="preserve"> </w:t>
      </w:r>
      <w:r w:rsidRPr="00423400" w:rsidR="007A36E9">
        <w:rPr>
          <w:rFonts w:cs="Times New Roman"/>
          <w:szCs w:val="24"/>
        </w:rPr>
        <w:t>U.S.</w:t>
      </w:r>
      <w:r w:rsidRPr="00423400" w:rsidR="00B60B67">
        <w:rPr>
          <w:rFonts w:cs="Times New Roman"/>
          <w:szCs w:val="24"/>
        </w:rPr>
        <w:t xml:space="preserve"> </w:t>
      </w:r>
      <w:r w:rsidRPr="00423400" w:rsidR="007A36E9">
        <w:rPr>
          <w:rFonts w:cs="Times New Roman"/>
          <w:szCs w:val="24"/>
        </w:rPr>
        <w:t>591</w:t>
      </w:r>
      <w:r w:rsidRPr="00423400" w:rsidR="00B60B67">
        <w:rPr>
          <w:rFonts w:cs="Times New Roman"/>
          <w:szCs w:val="24"/>
        </w:rPr>
        <w:t xml:space="preserve"> </w:t>
      </w:r>
      <w:r w:rsidRPr="00423400" w:rsidR="007A36E9">
        <w:rPr>
          <w:rFonts w:cs="Times New Roman"/>
          <w:szCs w:val="24"/>
        </w:rPr>
        <w:t>(1944).</w:t>
      </w:r>
      <w:r>
        <w:rPr>
          <w:rStyle w:val="FootnoteReference"/>
          <w:rFonts w:cs="Times New Roman"/>
          <w:szCs w:val="24"/>
        </w:rPr>
        <w:footnoteReference w:id="294"/>
      </w:r>
      <w:r w:rsidRPr="00423400" w:rsidR="00CD72D9">
        <w:rPr>
          <w:rFonts w:cs="Times New Roman"/>
          <w:szCs w:val="24"/>
        </w:rPr>
        <w:t xml:space="preserve"> </w:t>
      </w:r>
      <w:r w:rsidRPr="00423400" w:rsidR="00BD638A">
        <w:rPr>
          <w:rFonts w:cs="Times New Roman"/>
          <w:szCs w:val="24"/>
        </w:rPr>
        <w:t>In</w:t>
      </w:r>
      <w:r w:rsidRPr="00423400" w:rsidR="00B60B67">
        <w:rPr>
          <w:rFonts w:cs="Times New Roman"/>
          <w:szCs w:val="24"/>
        </w:rPr>
        <w:t xml:space="preserve"> </w:t>
      </w:r>
      <w:r w:rsidRPr="00423400" w:rsidR="00BD638A">
        <w:rPr>
          <w:rFonts w:cs="Times New Roman"/>
          <w:szCs w:val="24"/>
        </w:rPr>
        <w:t>these</w:t>
      </w:r>
      <w:r w:rsidRPr="00423400" w:rsidR="00B60B67">
        <w:rPr>
          <w:rFonts w:cs="Times New Roman"/>
          <w:szCs w:val="24"/>
        </w:rPr>
        <w:t xml:space="preserve"> </w:t>
      </w:r>
      <w:r w:rsidRPr="00423400" w:rsidR="00BD638A">
        <w:rPr>
          <w:rFonts w:cs="Times New Roman"/>
          <w:szCs w:val="24"/>
        </w:rPr>
        <w:t>decisions,</w:t>
      </w:r>
      <w:r w:rsidRPr="00423400" w:rsidR="00B60B67">
        <w:rPr>
          <w:rFonts w:cs="Times New Roman"/>
          <w:szCs w:val="24"/>
        </w:rPr>
        <w:t xml:space="preserve"> </w:t>
      </w:r>
      <w:r w:rsidRPr="00423400" w:rsidR="00BD638A">
        <w:rPr>
          <w:rFonts w:cs="Times New Roman"/>
          <w:szCs w:val="24"/>
        </w:rPr>
        <w:t>the Supreme</w:t>
      </w:r>
      <w:r w:rsidRPr="00423400" w:rsidR="00B60B67">
        <w:rPr>
          <w:rFonts w:cs="Times New Roman"/>
          <w:szCs w:val="24"/>
        </w:rPr>
        <w:t xml:space="preserve"> </w:t>
      </w:r>
      <w:r w:rsidRPr="00423400" w:rsidR="00BD638A">
        <w:rPr>
          <w:rFonts w:cs="Times New Roman"/>
          <w:szCs w:val="24"/>
        </w:rPr>
        <w:t>Court</w:t>
      </w:r>
      <w:r w:rsidRPr="00423400" w:rsidR="00B60B67">
        <w:rPr>
          <w:rFonts w:cs="Times New Roman"/>
          <w:szCs w:val="24"/>
        </w:rPr>
        <w:t xml:space="preserve"> </w:t>
      </w:r>
      <w:r w:rsidRPr="00423400" w:rsidR="00BD638A">
        <w:rPr>
          <w:rFonts w:cs="Times New Roman"/>
          <w:szCs w:val="24"/>
        </w:rPr>
        <w:t>found</w:t>
      </w:r>
      <w:r w:rsidRPr="00423400" w:rsidR="00B60B67">
        <w:rPr>
          <w:rFonts w:cs="Times New Roman"/>
          <w:szCs w:val="24"/>
        </w:rPr>
        <w:t xml:space="preserve"> </w:t>
      </w:r>
      <w:r w:rsidRPr="00423400" w:rsidR="00BD638A">
        <w:rPr>
          <w:rFonts w:cs="Times New Roman"/>
          <w:szCs w:val="24"/>
        </w:rPr>
        <w:t>that</w:t>
      </w:r>
      <w:r w:rsidRPr="00423400" w:rsidR="00B60B67">
        <w:rPr>
          <w:rFonts w:cs="Times New Roman"/>
          <w:szCs w:val="24"/>
        </w:rPr>
        <w:t xml:space="preserve"> </w:t>
      </w:r>
      <w:r w:rsidRPr="00423400" w:rsidR="00BD638A">
        <w:rPr>
          <w:rFonts w:cs="Times New Roman"/>
          <w:szCs w:val="24"/>
        </w:rPr>
        <w:t>just</w:t>
      </w:r>
      <w:r w:rsidRPr="00423400" w:rsidR="00B60B67">
        <w:rPr>
          <w:rFonts w:cs="Times New Roman"/>
          <w:szCs w:val="24"/>
        </w:rPr>
        <w:t xml:space="preserve"> </w:t>
      </w:r>
      <w:r w:rsidRPr="00423400" w:rsidR="00BD638A">
        <w:rPr>
          <w:rFonts w:cs="Times New Roman"/>
          <w:szCs w:val="24"/>
        </w:rPr>
        <w:t>compensation</w:t>
      </w:r>
      <w:r w:rsidRPr="00423400" w:rsidR="00B60B67">
        <w:rPr>
          <w:rFonts w:cs="Times New Roman"/>
          <w:szCs w:val="24"/>
        </w:rPr>
        <w:t xml:space="preserve"> </w:t>
      </w:r>
      <w:r w:rsidRPr="00423400" w:rsidR="00BD638A">
        <w:rPr>
          <w:rFonts w:cs="Times New Roman"/>
          <w:szCs w:val="24"/>
        </w:rPr>
        <w:t>depends</w:t>
      </w:r>
      <w:r w:rsidRPr="00423400" w:rsidR="00B60B67">
        <w:rPr>
          <w:rFonts w:cs="Times New Roman"/>
          <w:szCs w:val="24"/>
        </w:rPr>
        <w:t xml:space="preserve"> </w:t>
      </w:r>
      <w:r w:rsidRPr="00423400" w:rsidR="00BD638A">
        <w:rPr>
          <w:rFonts w:cs="Times New Roman"/>
          <w:szCs w:val="24"/>
        </w:rPr>
        <w:t>on</w:t>
      </w:r>
      <w:r w:rsidRPr="00423400" w:rsidR="00B60B67">
        <w:rPr>
          <w:rFonts w:cs="Times New Roman"/>
          <w:szCs w:val="24"/>
        </w:rPr>
        <w:t xml:space="preserve"> </w:t>
      </w:r>
      <w:r w:rsidRPr="00423400" w:rsidR="00BD638A">
        <w:rPr>
          <w:rFonts w:cs="Times New Roman"/>
          <w:szCs w:val="24"/>
        </w:rPr>
        <w:t>many</w:t>
      </w:r>
      <w:r w:rsidRPr="00423400" w:rsidR="00B60B67">
        <w:rPr>
          <w:rFonts w:cs="Times New Roman"/>
          <w:szCs w:val="24"/>
        </w:rPr>
        <w:t xml:space="preserve"> </w:t>
      </w:r>
      <w:r w:rsidRPr="00423400" w:rsidR="00BD638A">
        <w:rPr>
          <w:rFonts w:cs="Times New Roman"/>
          <w:szCs w:val="24"/>
        </w:rPr>
        <w:t>circumstances</w:t>
      </w:r>
      <w:r w:rsidRPr="00423400" w:rsidR="00B60B67">
        <w:rPr>
          <w:rFonts w:cs="Times New Roman"/>
          <w:szCs w:val="24"/>
        </w:rPr>
        <w:t xml:space="preserve"> </w:t>
      </w:r>
      <w:r w:rsidRPr="00423400" w:rsidR="00BD638A">
        <w:rPr>
          <w:rFonts w:cs="Times New Roman"/>
          <w:szCs w:val="24"/>
        </w:rPr>
        <w:t>and must</w:t>
      </w:r>
      <w:r w:rsidRPr="00423400" w:rsidR="00B60B67">
        <w:rPr>
          <w:rFonts w:cs="Times New Roman"/>
          <w:szCs w:val="24"/>
        </w:rPr>
        <w:t xml:space="preserve"> </w:t>
      </w:r>
      <w:r w:rsidRPr="00423400" w:rsidR="00BD638A">
        <w:rPr>
          <w:rFonts w:cs="Times New Roman"/>
          <w:szCs w:val="24"/>
        </w:rPr>
        <w:t>be</w:t>
      </w:r>
      <w:r w:rsidRPr="00423400" w:rsidR="00B60B67">
        <w:rPr>
          <w:rFonts w:cs="Times New Roman"/>
          <w:szCs w:val="24"/>
        </w:rPr>
        <w:t xml:space="preserve"> </w:t>
      </w:r>
      <w:r w:rsidRPr="00423400" w:rsidR="00BD638A">
        <w:rPr>
          <w:rFonts w:cs="Times New Roman"/>
          <w:szCs w:val="24"/>
        </w:rPr>
        <w:t>determined</w:t>
      </w:r>
      <w:r w:rsidRPr="00423400" w:rsidR="00B60B67">
        <w:rPr>
          <w:rFonts w:cs="Times New Roman"/>
          <w:szCs w:val="24"/>
        </w:rPr>
        <w:t xml:space="preserve"> </w:t>
      </w:r>
      <w:r w:rsidRPr="00423400" w:rsidR="00BD638A">
        <w:rPr>
          <w:rFonts w:cs="Times New Roman"/>
          <w:szCs w:val="24"/>
        </w:rPr>
        <w:t>by</w:t>
      </w:r>
      <w:r w:rsidRPr="00423400" w:rsidR="00B60B67">
        <w:rPr>
          <w:rFonts w:cs="Times New Roman"/>
          <w:szCs w:val="24"/>
        </w:rPr>
        <w:t xml:space="preserve"> </w:t>
      </w:r>
      <w:r w:rsidRPr="00423400" w:rsidR="00BD638A">
        <w:rPr>
          <w:rFonts w:cs="Times New Roman"/>
          <w:szCs w:val="24"/>
        </w:rPr>
        <w:t>fair</w:t>
      </w:r>
      <w:r w:rsidRPr="00423400" w:rsidR="00B60B67">
        <w:rPr>
          <w:rFonts w:cs="Times New Roman"/>
          <w:szCs w:val="24"/>
        </w:rPr>
        <w:t xml:space="preserve"> </w:t>
      </w:r>
      <w:r w:rsidRPr="00423400" w:rsidR="00BD638A">
        <w:rPr>
          <w:rFonts w:cs="Times New Roman"/>
          <w:szCs w:val="24"/>
        </w:rPr>
        <w:t>and</w:t>
      </w:r>
      <w:r w:rsidRPr="00423400" w:rsidR="00B60B67">
        <w:rPr>
          <w:rFonts w:cs="Times New Roman"/>
          <w:szCs w:val="24"/>
        </w:rPr>
        <w:t xml:space="preserve"> </w:t>
      </w:r>
      <w:r w:rsidRPr="00423400" w:rsidR="00BD638A">
        <w:rPr>
          <w:rFonts w:cs="Times New Roman"/>
          <w:szCs w:val="24"/>
        </w:rPr>
        <w:t>enlightened</w:t>
      </w:r>
      <w:r w:rsidRPr="00423400" w:rsidR="00B60B67">
        <w:rPr>
          <w:rFonts w:cs="Times New Roman"/>
          <w:szCs w:val="24"/>
        </w:rPr>
        <w:t xml:space="preserve"> </w:t>
      </w:r>
      <w:r w:rsidRPr="00423400" w:rsidR="00BD638A">
        <w:rPr>
          <w:rFonts w:cs="Times New Roman"/>
          <w:szCs w:val="24"/>
        </w:rPr>
        <w:t>judgments</w:t>
      </w:r>
      <w:r w:rsidRPr="00423400" w:rsidR="00B60B67">
        <w:rPr>
          <w:rFonts w:cs="Times New Roman"/>
          <w:szCs w:val="24"/>
        </w:rPr>
        <w:t xml:space="preserve"> </w:t>
      </w:r>
      <w:r w:rsidRPr="00423400" w:rsidR="00BD638A">
        <w:rPr>
          <w:rFonts w:cs="Times New Roman"/>
          <w:szCs w:val="24"/>
        </w:rPr>
        <w:t>based</w:t>
      </w:r>
      <w:r w:rsidRPr="00423400" w:rsidR="00B60B67">
        <w:rPr>
          <w:rFonts w:cs="Times New Roman"/>
          <w:szCs w:val="24"/>
        </w:rPr>
        <w:t xml:space="preserve"> </w:t>
      </w:r>
      <w:r w:rsidRPr="00423400" w:rsidR="00BD638A">
        <w:rPr>
          <w:rFonts w:cs="Times New Roman"/>
          <w:szCs w:val="24"/>
        </w:rPr>
        <w:t>on</w:t>
      </w:r>
      <w:r w:rsidRPr="00423400" w:rsidR="00B60B67">
        <w:rPr>
          <w:rFonts w:cs="Times New Roman"/>
          <w:szCs w:val="24"/>
        </w:rPr>
        <w:t xml:space="preserve"> </w:t>
      </w:r>
      <w:r w:rsidRPr="00423400" w:rsidR="00BD638A">
        <w:rPr>
          <w:rFonts w:cs="Times New Roman"/>
          <w:szCs w:val="24"/>
        </w:rPr>
        <w:t>relevant</w:t>
      </w:r>
      <w:r w:rsidRPr="00423400" w:rsidR="00B60B67">
        <w:rPr>
          <w:rFonts w:cs="Times New Roman"/>
          <w:szCs w:val="24"/>
        </w:rPr>
        <w:t xml:space="preserve"> </w:t>
      </w:r>
      <w:r w:rsidRPr="00423400" w:rsidR="00BD638A">
        <w:rPr>
          <w:rFonts w:cs="Times New Roman"/>
          <w:szCs w:val="24"/>
        </w:rPr>
        <w:t>facts.</w:t>
      </w:r>
      <w:r>
        <w:rPr>
          <w:rStyle w:val="FootnoteReference"/>
          <w:rFonts w:cs="Times New Roman"/>
          <w:szCs w:val="24"/>
        </w:rPr>
        <w:footnoteReference w:id="295"/>
      </w:r>
      <w:r w:rsidRPr="00423400" w:rsidR="00B60B67">
        <w:rPr>
          <w:rFonts w:cs="Times New Roman"/>
          <w:szCs w:val="24"/>
        </w:rPr>
        <w:t xml:space="preserve"> </w:t>
      </w:r>
      <w:r w:rsidRPr="00423400" w:rsidR="00BD638A">
        <w:rPr>
          <w:rFonts w:cs="Times New Roman"/>
          <w:szCs w:val="24"/>
        </w:rPr>
        <w:t>The</w:t>
      </w:r>
      <w:r w:rsidRPr="00423400">
        <w:rPr>
          <w:rFonts w:cs="Times New Roman"/>
          <w:szCs w:val="24"/>
        </w:rPr>
        <w:t xml:space="preserve"> Court</w:t>
      </w:r>
      <w:r w:rsidRPr="00423400" w:rsidR="00B60B67">
        <w:rPr>
          <w:rFonts w:cs="Times New Roman"/>
          <w:szCs w:val="24"/>
        </w:rPr>
        <w:t xml:space="preserve"> </w:t>
      </w:r>
      <w:r w:rsidRPr="00423400">
        <w:rPr>
          <w:rFonts w:cs="Times New Roman"/>
          <w:szCs w:val="24"/>
        </w:rPr>
        <w:t>found</w:t>
      </w:r>
      <w:r w:rsidRPr="00423400" w:rsidR="00B60B67">
        <w:rPr>
          <w:rFonts w:cs="Times New Roman"/>
          <w:szCs w:val="24"/>
        </w:rPr>
        <w:t xml:space="preserve"> </w:t>
      </w:r>
      <w:r w:rsidRPr="00423400">
        <w:rPr>
          <w:rFonts w:cs="Times New Roman"/>
          <w:szCs w:val="24"/>
        </w:rPr>
        <w:t>that</w:t>
      </w:r>
      <w:r w:rsidRPr="00423400" w:rsidR="00B60B67">
        <w:rPr>
          <w:rFonts w:cs="Times New Roman"/>
          <w:szCs w:val="24"/>
        </w:rPr>
        <w:t xml:space="preserve"> </w:t>
      </w:r>
      <w:r w:rsidRPr="00423400">
        <w:rPr>
          <w:rFonts w:cs="Times New Roman"/>
          <w:szCs w:val="24"/>
        </w:rPr>
        <w:t>a</w:t>
      </w:r>
      <w:r w:rsidRPr="00423400" w:rsidR="00B60B67">
        <w:rPr>
          <w:rFonts w:cs="Times New Roman"/>
          <w:szCs w:val="24"/>
        </w:rPr>
        <w:t xml:space="preserve"> </w:t>
      </w:r>
      <w:r w:rsidRPr="00423400">
        <w:rPr>
          <w:rFonts w:cs="Times New Roman"/>
          <w:szCs w:val="24"/>
        </w:rPr>
        <w:t>utility</w:t>
      </w:r>
      <w:r w:rsidRPr="00423400" w:rsidR="00B60B67">
        <w:rPr>
          <w:rFonts w:cs="Times New Roman"/>
          <w:szCs w:val="24"/>
        </w:rPr>
        <w:t xml:space="preserve"> </w:t>
      </w:r>
      <w:r w:rsidRPr="00423400">
        <w:rPr>
          <w:rFonts w:cs="Times New Roman"/>
          <w:szCs w:val="24"/>
        </w:rPr>
        <w:t>is</w:t>
      </w:r>
      <w:r w:rsidRPr="00423400" w:rsidR="00B60B67">
        <w:rPr>
          <w:rFonts w:cs="Times New Roman"/>
          <w:szCs w:val="24"/>
        </w:rPr>
        <w:t xml:space="preserve"> </w:t>
      </w:r>
      <w:r w:rsidRPr="00423400">
        <w:rPr>
          <w:rFonts w:cs="Times New Roman"/>
          <w:szCs w:val="24"/>
        </w:rPr>
        <w:t>entitled</w:t>
      </w:r>
      <w:r w:rsidRPr="00423400" w:rsidR="00B60B67">
        <w:rPr>
          <w:rFonts w:cs="Times New Roman"/>
          <w:szCs w:val="24"/>
        </w:rPr>
        <w:t xml:space="preserve"> </w:t>
      </w:r>
      <w:r w:rsidRPr="00423400">
        <w:rPr>
          <w:rFonts w:cs="Times New Roman"/>
          <w:szCs w:val="24"/>
        </w:rPr>
        <w:t>to</w:t>
      </w:r>
      <w:r w:rsidRPr="00423400" w:rsidR="00B60B67">
        <w:rPr>
          <w:rFonts w:cs="Times New Roman"/>
          <w:szCs w:val="24"/>
        </w:rPr>
        <w:t xml:space="preserve"> </w:t>
      </w:r>
      <w:r w:rsidRPr="00423400">
        <w:rPr>
          <w:rFonts w:cs="Times New Roman"/>
          <w:szCs w:val="24"/>
        </w:rPr>
        <w:t>such</w:t>
      </w:r>
      <w:r w:rsidRPr="00423400" w:rsidR="00B60B67">
        <w:rPr>
          <w:rFonts w:cs="Times New Roman"/>
          <w:szCs w:val="24"/>
        </w:rPr>
        <w:t xml:space="preserve"> </w:t>
      </w:r>
      <w:r w:rsidRPr="00423400">
        <w:rPr>
          <w:rFonts w:cs="Times New Roman"/>
          <w:szCs w:val="24"/>
        </w:rPr>
        <w:t>rates</w:t>
      </w:r>
      <w:r w:rsidRPr="00423400" w:rsidR="00B60B67">
        <w:rPr>
          <w:rFonts w:cs="Times New Roman"/>
          <w:szCs w:val="24"/>
        </w:rPr>
        <w:t xml:space="preserve"> </w:t>
      </w:r>
      <w:r w:rsidRPr="00423400">
        <w:rPr>
          <w:rFonts w:cs="Times New Roman"/>
          <w:szCs w:val="24"/>
        </w:rPr>
        <w:t>as</w:t>
      </w:r>
      <w:r w:rsidRPr="00423400" w:rsidR="00B60B67">
        <w:rPr>
          <w:rFonts w:cs="Times New Roman"/>
          <w:szCs w:val="24"/>
        </w:rPr>
        <w:t xml:space="preserve"> </w:t>
      </w:r>
      <w:r w:rsidRPr="00423400">
        <w:rPr>
          <w:rFonts w:cs="Times New Roman"/>
          <w:szCs w:val="24"/>
        </w:rPr>
        <w:t>were</w:t>
      </w:r>
      <w:r w:rsidRPr="00423400" w:rsidR="00B60B67">
        <w:rPr>
          <w:rFonts w:cs="Times New Roman"/>
          <w:szCs w:val="24"/>
        </w:rPr>
        <w:t xml:space="preserve"> </w:t>
      </w:r>
      <w:r w:rsidRPr="00423400">
        <w:rPr>
          <w:rFonts w:cs="Times New Roman"/>
          <w:szCs w:val="24"/>
        </w:rPr>
        <w:t>permitted</w:t>
      </w:r>
      <w:r w:rsidRPr="00423400" w:rsidR="00B60B67">
        <w:rPr>
          <w:rFonts w:cs="Times New Roman"/>
          <w:szCs w:val="24"/>
        </w:rPr>
        <w:t xml:space="preserve"> </w:t>
      </w:r>
      <w:r w:rsidRPr="00423400">
        <w:rPr>
          <w:rFonts w:cs="Times New Roman"/>
          <w:szCs w:val="24"/>
        </w:rPr>
        <w:t>to</w:t>
      </w:r>
      <w:r w:rsidRPr="00423400" w:rsidR="00B60B67">
        <w:rPr>
          <w:rFonts w:cs="Times New Roman"/>
          <w:szCs w:val="24"/>
        </w:rPr>
        <w:t xml:space="preserve"> </w:t>
      </w:r>
      <w:r w:rsidRPr="00423400">
        <w:rPr>
          <w:rFonts w:cs="Times New Roman"/>
          <w:szCs w:val="24"/>
        </w:rPr>
        <w:t>earn</w:t>
      </w:r>
      <w:r w:rsidRPr="00423400" w:rsidR="00B60B67">
        <w:rPr>
          <w:rFonts w:cs="Times New Roman"/>
          <w:szCs w:val="24"/>
        </w:rPr>
        <w:t xml:space="preserve"> </w:t>
      </w:r>
      <w:r w:rsidRPr="00423400">
        <w:rPr>
          <w:rFonts w:cs="Times New Roman"/>
          <w:szCs w:val="24"/>
        </w:rPr>
        <w:t>a</w:t>
      </w:r>
      <w:r w:rsidRPr="00423400" w:rsidR="00B60B67">
        <w:rPr>
          <w:rFonts w:cs="Times New Roman"/>
          <w:szCs w:val="24"/>
        </w:rPr>
        <w:t xml:space="preserve"> </w:t>
      </w:r>
      <w:r w:rsidRPr="00423400">
        <w:rPr>
          <w:rFonts w:cs="Times New Roman"/>
          <w:szCs w:val="24"/>
        </w:rPr>
        <w:t>return</w:t>
      </w:r>
      <w:r w:rsidRPr="00423400" w:rsidR="00B60B67">
        <w:rPr>
          <w:rFonts w:cs="Times New Roman"/>
          <w:szCs w:val="24"/>
        </w:rPr>
        <w:t xml:space="preserve"> </w:t>
      </w:r>
      <w:r w:rsidRPr="00423400">
        <w:rPr>
          <w:rFonts w:cs="Times New Roman"/>
          <w:szCs w:val="24"/>
        </w:rPr>
        <w:t>on a</w:t>
      </w:r>
      <w:r w:rsidRPr="00423400" w:rsidR="00B60B67">
        <w:rPr>
          <w:rFonts w:cs="Times New Roman"/>
          <w:szCs w:val="24"/>
        </w:rPr>
        <w:t xml:space="preserve"> </w:t>
      </w:r>
      <w:r w:rsidRPr="00423400">
        <w:rPr>
          <w:rFonts w:cs="Times New Roman"/>
          <w:szCs w:val="24"/>
        </w:rPr>
        <w:t>property</w:t>
      </w:r>
      <w:r w:rsidRPr="00423400" w:rsidR="00B60B67">
        <w:rPr>
          <w:rFonts w:cs="Times New Roman"/>
          <w:szCs w:val="24"/>
        </w:rPr>
        <w:t xml:space="preserve"> </w:t>
      </w:r>
      <w:r w:rsidRPr="00423400">
        <w:rPr>
          <w:rFonts w:cs="Times New Roman"/>
          <w:szCs w:val="24"/>
        </w:rPr>
        <w:t>devoted</w:t>
      </w:r>
      <w:r w:rsidRPr="00423400" w:rsidR="00B60B67">
        <w:rPr>
          <w:rFonts w:cs="Times New Roman"/>
          <w:szCs w:val="24"/>
        </w:rPr>
        <w:t xml:space="preserve"> </w:t>
      </w:r>
      <w:r w:rsidRPr="00423400">
        <w:rPr>
          <w:rFonts w:cs="Times New Roman"/>
          <w:szCs w:val="24"/>
        </w:rPr>
        <w:t>to</w:t>
      </w:r>
      <w:r w:rsidRPr="00423400" w:rsidR="00B60B67">
        <w:rPr>
          <w:rFonts w:cs="Times New Roman"/>
          <w:szCs w:val="24"/>
        </w:rPr>
        <w:t xml:space="preserve"> </w:t>
      </w:r>
      <w:r w:rsidRPr="00423400">
        <w:rPr>
          <w:rFonts w:cs="Times New Roman"/>
          <w:szCs w:val="24"/>
        </w:rPr>
        <w:t>the</w:t>
      </w:r>
      <w:r w:rsidRPr="00423400" w:rsidR="00B60B67">
        <w:rPr>
          <w:rFonts w:cs="Times New Roman"/>
          <w:szCs w:val="24"/>
        </w:rPr>
        <w:t xml:space="preserve"> </w:t>
      </w:r>
      <w:r w:rsidRPr="00423400">
        <w:rPr>
          <w:rFonts w:cs="Times New Roman"/>
          <w:szCs w:val="24"/>
        </w:rPr>
        <w:t>convenience</w:t>
      </w:r>
      <w:r w:rsidRPr="00423400" w:rsidR="00B60B67">
        <w:rPr>
          <w:rFonts w:cs="Times New Roman"/>
          <w:szCs w:val="24"/>
        </w:rPr>
        <w:t xml:space="preserve"> </w:t>
      </w:r>
      <w:r w:rsidRPr="00423400">
        <w:rPr>
          <w:rFonts w:cs="Times New Roman"/>
          <w:szCs w:val="24"/>
        </w:rPr>
        <w:t>of</w:t>
      </w:r>
      <w:r w:rsidRPr="00423400" w:rsidR="00B60B67">
        <w:rPr>
          <w:rFonts w:cs="Times New Roman"/>
          <w:szCs w:val="24"/>
        </w:rPr>
        <w:t xml:space="preserve"> </w:t>
      </w:r>
      <w:r w:rsidRPr="00423400">
        <w:rPr>
          <w:rFonts w:cs="Times New Roman"/>
          <w:szCs w:val="24"/>
        </w:rPr>
        <w:t>the</w:t>
      </w:r>
      <w:r w:rsidRPr="00423400" w:rsidR="00B60B67">
        <w:rPr>
          <w:rFonts w:cs="Times New Roman"/>
          <w:szCs w:val="24"/>
        </w:rPr>
        <w:t xml:space="preserve"> </w:t>
      </w:r>
      <w:r w:rsidRPr="00423400">
        <w:rPr>
          <w:rFonts w:cs="Times New Roman"/>
          <w:szCs w:val="24"/>
        </w:rPr>
        <w:t>public</w:t>
      </w:r>
      <w:r w:rsidRPr="00423400" w:rsidR="00B60B67">
        <w:rPr>
          <w:rFonts w:cs="Times New Roman"/>
          <w:szCs w:val="24"/>
        </w:rPr>
        <w:t xml:space="preserve"> </w:t>
      </w:r>
      <w:r w:rsidRPr="00423400">
        <w:rPr>
          <w:rFonts w:cs="Times New Roman"/>
          <w:szCs w:val="24"/>
        </w:rPr>
        <w:t>that</w:t>
      </w:r>
      <w:r w:rsidRPr="00423400" w:rsidR="00B60B67">
        <w:rPr>
          <w:rFonts w:cs="Times New Roman"/>
          <w:szCs w:val="24"/>
        </w:rPr>
        <w:t xml:space="preserve"> </w:t>
      </w:r>
      <w:r w:rsidRPr="00423400">
        <w:rPr>
          <w:rFonts w:cs="Times New Roman"/>
          <w:szCs w:val="24"/>
        </w:rPr>
        <w:t>is</w:t>
      </w:r>
      <w:r w:rsidRPr="00423400" w:rsidR="00B60B67">
        <w:rPr>
          <w:rFonts w:cs="Times New Roman"/>
          <w:szCs w:val="24"/>
        </w:rPr>
        <w:t xml:space="preserve"> </w:t>
      </w:r>
      <w:r w:rsidRPr="00423400">
        <w:rPr>
          <w:rFonts w:cs="Times New Roman"/>
          <w:szCs w:val="24"/>
        </w:rPr>
        <w:t>generally</w:t>
      </w:r>
      <w:r w:rsidRPr="00423400" w:rsidR="00B60B67">
        <w:rPr>
          <w:rFonts w:cs="Times New Roman"/>
          <w:szCs w:val="24"/>
        </w:rPr>
        <w:t xml:space="preserve"> </w:t>
      </w:r>
      <w:r w:rsidRPr="00423400">
        <w:rPr>
          <w:rFonts w:cs="Times New Roman"/>
          <w:szCs w:val="24"/>
        </w:rPr>
        <w:t>consistent</w:t>
      </w:r>
      <w:r w:rsidRPr="00423400" w:rsidR="00B60B67">
        <w:rPr>
          <w:rFonts w:cs="Times New Roman"/>
          <w:szCs w:val="24"/>
        </w:rPr>
        <w:t xml:space="preserve"> </w:t>
      </w:r>
      <w:r w:rsidRPr="00423400">
        <w:rPr>
          <w:rFonts w:cs="Times New Roman"/>
          <w:szCs w:val="24"/>
        </w:rPr>
        <w:t>with the</w:t>
      </w:r>
      <w:r w:rsidRPr="00423400" w:rsidR="00B60B67">
        <w:rPr>
          <w:rFonts w:cs="Times New Roman"/>
          <w:szCs w:val="24"/>
        </w:rPr>
        <w:t xml:space="preserve"> </w:t>
      </w:r>
      <w:r w:rsidRPr="00423400">
        <w:rPr>
          <w:rFonts w:cs="Times New Roman"/>
          <w:szCs w:val="24"/>
        </w:rPr>
        <w:t>same</w:t>
      </w:r>
      <w:r w:rsidRPr="00423400" w:rsidR="00B60B67">
        <w:rPr>
          <w:rFonts w:cs="Times New Roman"/>
          <w:szCs w:val="24"/>
        </w:rPr>
        <w:t xml:space="preserve"> </w:t>
      </w:r>
      <w:r w:rsidRPr="00423400">
        <w:rPr>
          <w:rFonts w:cs="Times New Roman"/>
          <w:szCs w:val="24"/>
        </w:rPr>
        <w:t>returns</w:t>
      </w:r>
      <w:r w:rsidRPr="00423400" w:rsidR="00B60B67">
        <w:rPr>
          <w:rFonts w:cs="Times New Roman"/>
          <w:szCs w:val="24"/>
        </w:rPr>
        <w:t xml:space="preserve"> </w:t>
      </w:r>
      <w:r w:rsidRPr="00423400">
        <w:rPr>
          <w:rFonts w:cs="Times New Roman"/>
          <w:szCs w:val="24"/>
        </w:rPr>
        <w:t>available</w:t>
      </w:r>
      <w:r w:rsidRPr="00423400" w:rsidR="00B60B67">
        <w:rPr>
          <w:rFonts w:cs="Times New Roman"/>
          <w:szCs w:val="24"/>
        </w:rPr>
        <w:t xml:space="preserve"> </w:t>
      </w:r>
      <w:r w:rsidRPr="00423400">
        <w:rPr>
          <w:rFonts w:cs="Times New Roman"/>
          <w:szCs w:val="24"/>
        </w:rPr>
        <w:t>in</w:t>
      </w:r>
      <w:r w:rsidRPr="00423400" w:rsidR="00B60B67">
        <w:rPr>
          <w:rFonts w:cs="Times New Roman"/>
          <w:szCs w:val="24"/>
        </w:rPr>
        <w:t xml:space="preserve"> </w:t>
      </w:r>
      <w:r w:rsidRPr="00423400">
        <w:rPr>
          <w:rFonts w:cs="Times New Roman"/>
          <w:szCs w:val="24"/>
        </w:rPr>
        <w:t>other</w:t>
      </w:r>
      <w:r w:rsidRPr="00423400" w:rsidR="00B60B67">
        <w:rPr>
          <w:rFonts w:cs="Times New Roman"/>
          <w:szCs w:val="24"/>
        </w:rPr>
        <w:t xml:space="preserve"> </w:t>
      </w:r>
      <w:r w:rsidRPr="00423400">
        <w:rPr>
          <w:rFonts w:cs="Times New Roman"/>
          <w:szCs w:val="24"/>
        </w:rPr>
        <w:t>investments</w:t>
      </w:r>
      <w:r w:rsidRPr="00423400" w:rsidR="00B60B67">
        <w:rPr>
          <w:rFonts w:cs="Times New Roman"/>
          <w:szCs w:val="24"/>
        </w:rPr>
        <w:t xml:space="preserve"> </w:t>
      </w:r>
      <w:r w:rsidRPr="00423400">
        <w:rPr>
          <w:rFonts w:cs="Times New Roman"/>
          <w:szCs w:val="24"/>
        </w:rPr>
        <w:t>of</w:t>
      </w:r>
      <w:r w:rsidRPr="00423400" w:rsidR="00B60B67">
        <w:rPr>
          <w:rFonts w:cs="Times New Roman"/>
          <w:szCs w:val="24"/>
        </w:rPr>
        <w:t xml:space="preserve"> </w:t>
      </w:r>
      <w:r w:rsidRPr="00423400">
        <w:rPr>
          <w:rFonts w:cs="Times New Roman"/>
          <w:szCs w:val="24"/>
        </w:rPr>
        <w:t>corresponding</w:t>
      </w:r>
      <w:r w:rsidRPr="00423400" w:rsidR="00B60B67">
        <w:rPr>
          <w:rFonts w:cs="Times New Roman"/>
          <w:szCs w:val="24"/>
        </w:rPr>
        <w:t xml:space="preserve"> </w:t>
      </w:r>
      <w:r w:rsidRPr="00423400">
        <w:rPr>
          <w:rFonts w:cs="Times New Roman"/>
          <w:szCs w:val="24"/>
        </w:rPr>
        <w:t>risk.</w:t>
      </w:r>
      <w:r>
        <w:rPr>
          <w:rStyle w:val="FootnoteReference"/>
          <w:rFonts w:cs="Times New Roman"/>
          <w:szCs w:val="24"/>
        </w:rPr>
        <w:footnoteReference w:id="296"/>
      </w:r>
      <w:r w:rsidRPr="00423400" w:rsidR="00B60B67">
        <w:rPr>
          <w:rFonts w:cs="Times New Roman"/>
          <w:szCs w:val="24"/>
        </w:rPr>
        <w:t xml:space="preserve"> </w:t>
      </w:r>
      <w:r w:rsidRPr="00423400">
        <w:rPr>
          <w:rFonts w:cs="Times New Roman"/>
          <w:szCs w:val="24"/>
        </w:rPr>
        <w:t>The</w:t>
      </w:r>
      <w:r w:rsidRPr="00423400" w:rsidR="00B60B67">
        <w:rPr>
          <w:rFonts w:cs="Times New Roman"/>
          <w:szCs w:val="24"/>
        </w:rPr>
        <w:t xml:space="preserve"> </w:t>
      </w:r>
      <w:r w:rsidRPr="00423400">
        <w:rPr>
          <w:rFonts w:cs="Times New Roman"/>
          <w:szCs w:val="24"/>
        </w:rPr>
        <w:t>Court continued</w:t>
      </w:r>
      <w:r w:rsidRPr="00423400" w:rsidR="00B60B67">
        <w:rPr>
          <w:rFonts w:cs="Times New Roman"/>
          <w:szCs w:val="24"/>
        </w:rPr>
        <w:t xml:space="preserve"> </w:t>
      </w:r>
      <w:r w:rsidRPr="00423400">
        <w:rPr>
          <w:rFonts w:cs="Times New Roman"/>
          <w:szCs w:val="24"/>
        </w:rPr>
        <w:t>that</w:t>
      </w:r>
      <w:r w:rsidRPr="00423400" w:rsidR="00B60B67">
        <w:rPr>
          <w:rFonts w:cs="Times New Roman"/>
          <w:szCs w:val="24"/>
        </w:rPr>
        <w:t xml:space="preserve"> </w:t>
      </w:r>
      <w:r w:rsidRPr="00423400">
        <w:rPr>
          <w:rFonts w:cs="Times New Roman"/>
          <w:szCs w:val="24"/>
        </w:rPr>
        <w:t>the</w:t>
      </w:r>
      <w:r w:rsidRPr="00423400" w:rsidR="00B60B67">
        <w:rPr>
          <w:rFonts w:cs="Times New Roman"/>
          <w:szCs w:val="24"/>
        </w:rPr>
        <w:t xml:space="preserve"> </w:t>
      </w:r>
      <w:r w:rsidRPr="00423400">
        <w:rPr>
          <w:rFonts w:cs="Times New Roman"/>
          <w:szCs w:val="24"/>
        </w:rPr>
        <w:t>utility</w:t>
      </w:r>
      <w:r w:rsidRPr="00423400" w:rsidR="00B60B67">
        <w:rPr>
          <w:rFonts w:cs="Times New Roman"/>
          <w:szCs w:val="24"/>
        </w:rPr>
        <w:t xml:space="preserve"> </w:t>
      </w:r>
      <w:r w:rsidRPr="00423400">
        <w:rPr>
          <w:rFonts w:cs="Times New Roman"/>
          <w:szCs w:val="24"/>
        </w:rPr>
        <w:t>has</w:t>
      </w:r>
      <w:r w:rsidRPr="00423400" w:rsidR="00B60B67">
        <w:rPr>
          <w:rFonts w:cs="Times New Roman"/>
          <w:szCs w:val="24"/>
        </w:rPr>
        <w:t xml:space="preserve"> </w:t>
      </w:r>
      <w:r w:rsidRPr="00423400">
        <w:rPr>
          <w:rFonts w:cs="Times New Roman"/>
          <w:szCs w:val="24"/>
        </w:rPr>
        <w:t>“no</w:t>
      </w:r>
      <w:r w:rsidRPr="00423400" w:rsidR="00B60B67">
        <w:rPr>
          <w:rFonts w:cs="Times New Roman"/>
          <w:szCs w:val="24"/>
        </w:rPr>
        <w:t xml:space="preserve"> </w:t>
      </w:r>
      <w:r w:rsidRPr="00423400">
        <w:rPr>
          <w:rFonts w:cs="Times New Roman"/>
          <w:szCs w:val="24"/>
        </w:rPr>
        <w:t>constitutional</w:t>
      </w:r>
      <w:r w:rsidRPr="00423400" w:rsidR="00B60B67">
        <w:rPr>
          <w:rFonts w:cs="Times New Roman"/>
          <w:szCs w:val="24"/>
        </w:rPr>
        <w:t xml:space="preserve"> </w:t>
      </w:r>
      <w:r w:rsidRPr="00423400">
        <w:rPr>
          <w:rFonts w:cs="Times New Roman"/>
          <w:szCs w:val="24"/>
        </w:rPr>
        <w:t>rights</w:t>
      </w:r>
      <w:r w:rsidRPr="00423400" w:rsidR="00B60B67">
        <w:rPr>
          <w:rFonts w:cs="Times New Roman"/>
          <w:szCs w:val="24"/>
        </w:rPr>
        <w:t xml:space="preserve"> </w:t>
      </w:r>
      <w:r w:rsidRPr="00423400">
        <w:rPr>
          <w:rFonts w:cs="Times New Roman"/>
          <w:szCs w:val="24"/>
        </w:rPr>
        <w:t>to</w:t>
      </w:r>
      <w:r w:rsidRPr="00423400" w:rsidR="00B60B67">
        <w:rPr>
          <w:rFonts w:cs="Times New Roman"/>
          <w:szCs w:val="24"/>
        </w:rPr>
        <w:t xml:space="preserve"> </w:t>
      </w:r>
      <w:r w:rsidRPr="00423400">
        <w:rPr>
          <w:rFonts w:cs="Times New Roman"/>
          <w:szCs w:val="24"/>
        </w:rPr>
        <w:t>profits”</w:t>
      </w:r>
      <w:r w:rsidRPr="00423400" w:rsidR="00B60B67">
        <w:rPr>
          <w:rFonts w:cs="Times New Roman"/>
          <w:szCs w:val="24"/>
        </w:rPr>
        <w:t xml:space="preserve"> </w:t>
      </w:r>
      <w:r w:rsidRPr="00423400">
        <w:rPr>
          <w:rFonts w:cs="Times New Roman"/>
          <w:szCs w:val="24"/>
        </w:rPr>
        <w:t>such</w:t>
      </w:r>
      <w:r w:rsidRPr="00423400" w:rsidR="00B60B67">
        <w:rPr>
          <w:rFonts w:cs="Times New Roman"/>
          <w:szCs w:val="24"/>
        </w:rPr>
        <w:t xml:space="preserve"> </w:t>
      </w:r>
      <w:r w:rsidRPr="00423400">
        <w:rPr>
          <w:rFonts w:cs="Times New Roman"/>
          <w:szCs w:val="24"/>
        </w:rPr>
        <w:t>as</w:t>
      </w:r>
      <w:r w:rsidRPr="00423400" w:rsidR="00B60B67">
        <w:rPr>
          <w:rFonts w:cs="Times New Roman"/>
          <w:szCs w:val="24"/>
        </w:rPr>
        <w:t xml:space="preserve"> </w:t>
      </w:r>
      <w:r w:rsidRPr="00423400">
        <w:rPr>
          <w:rFonts w:cs="Times New Roman"/>
          <w:szCs w:val="24"/>
        </w:rPr>
        <w:t>those</w:t>
      </w:r>
      <w:r w:rsidRPr="00423400" w:rsidR="00B60B67">
        <w:rPr>
          <w:rFonts w:cs="Times New Roman"/>
          <w:szCs w:val="24"/>
        </w:rPr>
        <w:t xml:space="preserve"> </w:t>
      </w:r>
      <w:r w:rsidRPr="00423400">
        <w:rPr>
          <w:rFonts w:cs="Times New Roman"/>
          <w:szCs w:val="24"/>
        </w:rPr>
        <w:t>realized or</w:t>
      </w:r>
      <w:r w:rsidRPr="00423400" w:rsidR="00B60B67">
        <w:rPr>
          <w:rFonts w:cs="Times New Roman"/>
          <w:szCs w:val="24"/>
        </w:rPr>
        <w:t xml:space="preserve"> </w:t>
      </w:r>
      <w:r w:rsidRPr="00423400">
        <w:rPr>
          <w:rFonts w:cs="Times New Roman"/>
          <w:szCs w:val="24"/>
        </w:rPr>
        <w:t>anticipated</w:t>
      </w:r>
      <w:r w:rsidRPr="00423400" w:rsidR="00B60B67">
        <w:rPr>
          <w:rFonts w:cs="Times New Roman"/>
          <w:szCs w:val="24"/>
        </w:rPr>
        <w:t xml:space="preserve"> </w:t>
      </w:r>
      <w:r w:rsidRPr="00423400">
        <w:rPr>
          <w:rFonts w:cs="Times New Roman"/>
          <w:szCs w:val="24"/>
        </w:rPr>
        <w:t>in</w:t>
      </w:r>
      <w:r w:rsidRPr="00423400" w:rsidR="00B60B67">
        <w:rPr>
          <w:rFonts w:cs="Times New Roman"/>
          <w:szCs w:val="24"/>
        </w:rPr>
        <w:t xml:space="preserve"> </w:t>
      </w:r>
      <w:r w:rsidRPr="00423400">
        <w:rPr>
          <w:rFonts w:cs="Times New Roman"/>
          <w:szCs w:val="24"/>
        </w:rPr>
        <w:t>highly</w:t>
      </w:r>
      <w:r w:rsidRPr="00423400" w:rsidR="00B60B67">
        <w:rPr>
          <w:rFonts w:cs="Times New Roman"/>
          <w:szCs w:val="24"/>
        </w:rPr>
        <w:t xml:space="preserve"> </w:t>
      </w:r>
      <w:r w:rsidRPr="00423400">
        <w:rPr>
          <w:rFonts w:cs="Times New Roman"/>
          <w:szCs w:val="24"/>
        </w:rPr>
        <w:t>profitable</w:t>
      </w:r>
      <w:r w:rsidRPr="00423400" w:rsidR="00B60B67">
        <w:rPr>
          <w:rFonts w:cs="Times New Roman"/>
          <w:szCs w:val="24"/>
        </w:rPr>
        <w:t xml:space="preserve"> </w:t>
      </w:r>
      <w:r w:rsidRPr="00423400">
        <w:rPr>
          <w:rFonts w:cs="Times New Roman"/>
          <w:szCs w:val="24"/>
        </w:rPr>
        <w:t>enterprises</w:t>
      </w:r>
      <w:r w:rsidRPr="00423400" w:rsidR="00B60B67">
        <w:rPr>
          <w:rFonts w:cs="Times New Roman"/>
          <w:szCs w:val="24"/>
        </w:rPr>
        <w:t xml:space="preserve"> </w:t>
      </w:r>
      <w:r w:rsidRPr="00423400">
        <w:rPr>
          <w:rFonts w:cs="Times New Roman"/>
          <w:szCs w:val="24"/>
        </w:rPr>
        <w:t>or</w:t>
      </w:r>
      <w:r w:rsidRPr="00423400" w:rsidR="00B60B67">
        <w:rPr>
          <w:rFonts w:cs="Times New Roman"/>
          <w:szCs w:val="24"/>
        </w:rPr>
        <w:t xml:space="preserve"> </w:t>
      </w:r>
      <w:r w:rsidRPr="00423400">
        <w:rPr>
          <w:rFonts w:cs="Times New Roman"/>
          <w:szCs w:val="24"/>
        </w:rPr>
        <w:t>speculative</w:t>
      </w:r>
      <w:r w:rsidRPr="00423400" w:rsidR="00B60B67">
        <w:rPr>
          <w:rFonts w:cs="Times New Roman"/>
          <w:szCs w:val="24"/>
        </w:rPr>
        <w:t xml:space="preserve"> </w:t>
      </w:r>
      <w:r w:rsidRPr="00423400">
        <w:rPr>
          <w:rFonts w:cs="Times New Roman"/>
          <w:szCs w:val="24"/>
        </w:rPr>
        <w:t>ventures,</w:t>
      </w:r>
      <w:r w:rsidRPr="00423400" w:rsidR="00B60B67">
        <w:rPr>
          <w:rFonts w:cs="Times New Roman"/>
          <w:szCs w:val="24"/>
        </w:rPr>
        <w:t xml:space="preserve"> </w:t>
      </w:r>
      <w:r w:rsidRPr="00423400">
        <w:rPr>
          <w:rFonts w:cs="Times New Roman"/>
          <w:szCs w:val="24"/>
        </w:rPr>
        <w:t>and</w:t>
      </w:r>
      <w:r w:rsidRPr="00423400" w:rsidR="00B60B67">
        <w:rPr>
          <w:rFonts w:cs="Times New Roman"/>
          <w:szCs w:val="24"/>
        </w:rPr>
        <w:t xml:space="preserve"> </w:t>
      </w:r>
      <w:r w:rsidRPr="00423400">
        <w:rPr>
          <w:rFonts w:cs="Times New Roman"/>
          <w:szCs w:val="24"/>
        </w:rPr>
        <w:t>defined</w:t>
      </w:r>
      <w:r w:rsidRPr="00423400" w:rsidR="00B60B67">
        <w:rPr>
          <w:rFonts w:cs="Times New Roman"/>
          <w:szCs w:val="24"/>
        </w:rPr>
        <w:t xml:space="preserve"> </w:t>
      </w:r>
      <w:r w:rsidRPr="00423400">
        <w:rPr>
          <w:rFonts w:cs="Times New Roman"/>
          <w:szCs w:val="24"/>
        </w:rPr>
        <w:t>the ratepayer/investor</w:t>
      </w:r>
      <w:r w:rsidRPr="00423400" w:rsidR="00B60B67">
        <w:rPr>
          <w:rFonts w:cs="Times New Roman"/>
          <w:szCs w:val="24"/>
        </w:rPr>
        <w:t xml:space="preserve"> </w:t>
      </w:r>
      <w:r w:rsidRPr="00423400">
        <w:rPr>
          <w:rFonts w:cs="Times New Roman"/>
          <w:szCs w:val="24"/>
        </w:rPr>
        <w:t>balance</w:t>
      </w:r>
      <w:r w:rsidRPr="00423400" w:rsidR="00B60B67">
        <w:rPr>
          <w:rFonts w:cs="Times New Roman"/>
          <w:szCs w:val="24"/>
        </w:rPr>
        <w:t xml:space="preserve"> </w:t>
      </w:r>
      <w:r w:rsidRPr="00423400">
        <w:rPr>
          <w:rFonts w:cs="Times New Roman"/>
          <w:szCs w:val="24"/>
        </w:rPr>
        <w:t>as</w:t>
      </w:r>
      <w:r w:rsidRPr="00423400" w:rsidR="00B60B67">
        <w:rPr>
          <w:rFonts w:cs="Times New Roman"/>
          <w:szCs w:val="24"/>
        </w:rPr>
        <w:t xml:space="preserve"> </w:t>
      </w:r>
      <w:r w:rsidRPr="00423400">
        <w:rPr>
          <w:rFonts w:cs="Times New Roman"/>
          <w:szCs w:val="24"/>
        </w:rPr>
        <w:t xml:space="preserve">follows: </w:t>
      </w:r>
    </w:p>
    <w:p w:rsidR="00487B43" w:rsidRPr="00423400" w:rsidP="00D05570" w14:paraId="14636EF8" w14:textId="77777777">
      <w:pPr>
        <w:tabs>
          <w:tab w:val="left" w:pos="-1440"/>
        </w:tabs>
        <w:spacing w:after="0" w:line="240" w:lineRule="auto"/>
        <w:ind w:left="1440" w:right="1440"/>
        <w:rPr>
          <w:rFonts w:cs="Times New Roman"/>
          <w:szCs w:val="24"/>
        </w:rPr>
      </w:pPr>
      <w:r w:rsidRPr="00423400">
        <w:rPr>
          <w:rFonts w:cs="Times New Roman"/>
          <w:szCs w:val="24"/>
        </w:rPr>
        <w:t>The</w:t>
      </w:r>
      <w:r w:rsidRPr="00423400" w:rsidR="00B60B67">
        <w:rPr>
          <w:rFonts w:cs="Times New Roman"/>
          <w:szCs w:val="24"/>
        </w:rPr>
        <w:t xml:space="preserve"> </w:t>
      </w:r>
      <w:r w:rsidRPr="00423400">
        <w:rPr>
          <w:rFonts w:cs="Times New Roman"/>
          <w:szCs w:val="24"/>
        </w:rPr>
        <w:t>return</w:t>
      </w:r>
      <w:r w:rsidRPr="00423400" w:rsidR="00B60B67">
        <w:rPr>
          <w:rFonts w:cs="Times New Roman"/>
          <w:szCs w:val="24"/>
        </w:rPr>
        <w:t xml:space="preserve"> </w:t>
      </w:r>
      <w:r w:rsidRPr="00423400">
        <w:rPr>
          <w:rFonts w:cs="Times New Roman"/>
          <w:szCs w:val="24"/>
        </w:rPr>
        <w:t>should</w:t>
      </w:r>
      <w:r w:rsidRPr="00423400" w:rsidR="00B60B67">
        <w:rPr>
          <w:rFonts w:cs="Times New Roman"/>
          <w:szCs w:val="24"/>
        </w:rPr>
        <w:t xml:space="preserve"> </w:t>
      </w:r>
      <w:r w:rsidRPr="00423400">
        <w:rPr>
          <w:rFonts w:cs="Times New Roman"/>
          <w:szCs w:val="24"/>
        </w:rPr>
        <w:t>be</w:t>
      </w:r>
      <w:r w:rsidRPr="00423400" w:rsidR="00B60B67">
        <w:rPr>
          <w:rFonts w:cs="Times New Roman"/>
          <w:szCs w:val="24"/>
        </w:rPr>
        <w:t xml:space="preserve"> </w:t>
      </w:r>
      <w:r w:rsidRPr="00423400">
        <w:rPr>
          <w:rFonts w:cs="Times New Roman"/>
          <w:szCs w:val="24"/>
        </w:rPr>
        <w:t>reasonably</w:t>
      </w:r>
      <w:r w:rsidRPr="00423400" w:rsidR="00B60B67">
        <w:rPr>
          <w:rFonts w:cs="Times New Roman"/>
          <w:szCs w:val="24"/>
        </w:rPr>
        <w:t xml:space="preserve"> </w:t>
      </w:r>
      <w:r w:rsidRPr="00423400">
        <w:rPr>
          <w:rFonts w:cs="Times New Roman"/>
          <w:szCs w:val="24"/>
        </w:rPr>
        <w:t>sufficient</w:t>
      </w:r>
      <w:r w:rsidRPr="00423400" w:rsidR="00B60B67">
        <w:rPr>
          <w:rFonts w:cs="Times New Roman"/>
          <w:szCs w:val="24"/>
        </w:rPr>
        <w:t xml:space="preserve"> </w:t>
      </w:r>
      <w:r w:rsidRPr="00423400">
        <w:rPr>
          <w:rFonts w:cs="Times New Roman"/>
          <w:szCs w:val="24"/>
        </w:rPr>
        <w:t>to</w:t>
      </w:r>
      <w:r w:rsidRPr="00423400" w:rsidR="00B60B67">
        <w:rPr>
          <w:rFonts w:cs="Times New Roman"/>
          <w:szCs w:val="24"/>
        </w:rPr>
        <w:t xml:space="preserve"> </w:t>
      </w:r>
      <w:r w:rsidRPr="00423400">
        <w:rPr>
          <w:rFonts w:cs="Times New Roman"/>
          <w:szCs w:val="24"/>
        </w:rPr>
        <w:t>assure</w:t>
      </w:r>
      <w:r w:rsidRPr="00423400" w:rsidR="00B60B67">
        <w:rPr>
          <w:rFonts w:cs="Times New Roman"/>
          <w:szCs w:val="24"/>
        </w:rPr>
        <w:t xml:space="preserve"> </w:t>
      </w:r>
      <w:r w:rsidRPr="00423400">
        <w:rPr>
          <w:rFonts w:cs="Times New Roman"/>
          <w:szCs w:val="24"/>
        </w:rPr>
        <w:t>confidence</w:t>
      </w:r>
      <w:r w:rsidRPr="00423400" w:rsidR="00B60B67">
        <w:rPr>
          <w:rFonts w:cs="Times New Roman"/>
          <w:szCs w:val="24"/>
        </w:rPr>
        <w:t xml:space="preserve"> </w:t>
      </w:r>
      <w:r w:rsidRPr="00423400">
        <w:rPr>
          <w:rFonts w:cs="Times New Roman"/>
          <w:szCs w:val="24"/>
        </w:rPr>
        <w:t>in</w:t>
      </w:r>
      <w:r w:rsidRPr="00423400" w:rsidR="00B60B67">
        <w:rPr>
          <w:rFonts w:cs="Times New Roman"/>
          <w:szCs w:val="24"/>
        </w:rPr>
        <w:t xml:space="preserve"> </w:t>
      </w:r>
      <w:r w:rsidRPr="00423400">
        <w:rPr>
          <w:rFonts w:cs="Times New Roman"/>
          <w:szCs w:val="24"/>
        </w:rPr>
        <w:t>the financial</w:t>
      </w:r>
      <w:r w:rsidRPr="00423400" w:rsidR="00B60B67">
        <w:rPr>
          <w:rFonts w:cs="Times New Roman"/>
          <w:szCs w:val="24"/>
        </w:rPr>
        <w:t xml:space="preserve"> </w:t>
      </w:r>
      <w:r w:rsidRPr="00423400">
        <w:rPr>
          <w:rFonts w:cs="Times New Roman"/>
          <w:szCs w:val="24"/>
        </w:rPr>
        <w:t>soundness</w:t>
      </w:r>
      <w:r w:rsidRPr="00423400" w:rsidR="00B60B67">
        <w:rPr>
          <w:rFonts w:cs="Times New Roman"/>
          <w:szCs w:val="24"/>
        </w:rPr>
        <w:t xml:space="preserve"> </w:t>
      </w:r>
      <w:r w:rsidRPr="00423400">
        <w:rPr>
          <w:rFonts w:cs="Times New Roman"/>
          <w:szCs w:val="24"/>
        </w:rPr>
        <w:t>of</w:t>
      </w:r>
      <w:r w:rsidRPr="00423400" w:rsidR="00B60B67">
        <w:rPr>
          <w:rFonts w:cs="Times New Roman"/>
          <w:szCs w:val="24"/>
        </w:rPr>
        <w:t xml:space="preserve"> </w:t>
      </w:r>
      <w:r w:rsidRPr="00423400">
        <w:rPr>
          <w:rFonts w:cs="Times New Roman"/>
          <w:szCs w:val="24"/>
        </w:rPr>
        <w:t>the</w:t>
      </w:r>
      <w:r w:rsidRPr="00423400" w:rsidR="00B60B67">
        <w:rPr>
          <w:rFonts w:cs="Times New Roman"/>
          <w:szCs w:val="24"/>
        </w:rPr>
        <w:t xml:space="preserve"> </w:t>
      </w:r>
      <w:r w:rsidRPr="00423400">
        <w:rPr>
          <w:rFonts w:cs="Times New Roman"/>
          <w:szCs w:val="24"/>
        </w:rPr>
        <w:t>utility</w:t>
      </w:r>
      <w:r w:rsidRPr="00423400" w:rsidR="00B60B67">
        <w:rPr>
          <w:rFonts w:cs="Times New Roman"/>
          <w:szCs w:val="24"/>
        </w:rPr>
        <w:t xml:space="preserve"> </w:t>
      </w:r>
      <w:r w:rsidRPr="00423400">
        <w:rPr>
          <w:rFonts w:cs="Times New Roman"/>
          <w:szCs w:val="24"/>
        </w:rPr>
        <w:t>and</w:t>
      </w:r>
      <w:r w:rsidRPr="00423400" w:rsidR="00B60B67">
        <w:rPr>
          <w:rFonts w:cs="Times New Roman"/>
          <w:szCs w:val="24"/>
        </w:rPr>
        <w:t xml:space="preserve"> </w:t>
      </w:r>
      <w:r w:rsidRPr="00423400">
        <w:rPr>
          <w:rFonts w:cs="Times New Roman"/>
          <w:szCs w:val="24"/>
        </w:rPr>
        <w:t>should</w:t>
      </w:r>
      <w:r w:rsidRPr="00423400" w:rsidR="00B60B67">
        <w:rPr>
          <w:rFonts w:cs="Times New Roman"/>
          <w:szCs w:val="24"/>
        </w:rPr>
        <w:t xml:space="preserve"> </w:t>
      </w:r>
      <w:r w:rsidRPr="00423400">
        <w:rPr>
          <w:rFonts w:cs="Times New Roman"/>
          <w:szCs w:val="24"/>
        </w:rPr>
        <w:t>be</w:t>
      </w:r>
      <w:r w:rsidRPr="00423400" w:rsidR="00B60B67">
        <w:rPr>
          <w:rFonts w:cs="Times New Roman"/>
          <w:szCs w:val="24"/>
        </w:rPr>
        <w:t xml:space="preserve"> </w:t>
      </w:r>
      <w:r w:rsidRPr="00423400">
        <w:rPr>
          <w:rFonts w:cs="Times New Roman"/>
          <w:szCs w:val="24"/>
        </w:rPr>
        <w:t>adequate,</w:t>
      </w:r>
      <w:r w:rsidRPr="00423400" w:rsidR="00B60B67">
        <w:rPr>
          <w:rFonts w:cs="Times New Roman"/>
          <w:szCs w:val="24"/>
        </w:rPr>
        <w:t xml:space="preserve"> </w:t>
      </w:r>
      <w:r w:rsidRPr="00423400">
        <w:rPr>
          <w:rFonts w:cs="Times New Roman"/>
          <w:szCs w:val="24"/>
        </w:rPr>
        <w:t>under efficient</w:t>
      </w:r>
      <w:r w:rsidRPr="00423400" w:rsidR="00B60B67">
        <w:rPr>
          <w:rFonts w:cs="Times New Roman"/>
          <w:szCs w:val="24"/>
        </w:rPr>
        <w:t xml:space="preserve"> </w:t>
      </w:r>
      <w:r w:rsidRPr="00423400">
        <w:rPr>
          <w:rFonts w:cs="Times New Roman"/>
          <w:szCs w:val="24"/>
        </w:rPr>
        <w:t>and</w:t>
      </w:r>
      <w:r w:rsidRPr="00423400" w:rsidR="00B60B67">
        <w:rPr>
          <w:rFonts w:cs="Times New Roman"/>
          <w:szCs w:val="24"/>
        </w:rPr>
        <w:t xml:space="preserve"> </w:t>
      </w:r>
      <w:r w:rsidRPr="00423400">
        <w:rPr>
          <w:rFonts w:cs="Times New Roman"/>
          <w:szCs w:val="24"/>
        </w:rPr>
        <w:t>economical</w:t>
      </w:r>
      <w:r w:rsidRPr="00423400" w:rsidR="00B60B67">
        <w:rPr>
          <w:rFonts w:cs="Times New Roman"/>
          <w:szCs w:val="24"/>
        </w:rPr>
        <w:t xml:space="preserve"> </w:t>
      </w:r>
      <w:r w:rsidRPr="00423400">
        <w:rPr>
          <w:rFonts w:cs="Times New Roman"/>
          <w:szCs w:val="24"/>
        </w:rPr>
        <w:t>management,</w:t>
      </w:r>
      <w:r w:rsidRPr="00423400" w:rsidR="00B60B67">
        <w:rPr>
          <w:rFonts w:cs="Times New Roman"/>
          <w:szCs w:val="24"/>
        </w:rPr>
        <w:t xml:space="preserve"> </w:t>
      </w:r>
      <w:r w:rsidRPr="00423400">
        <w:rPr>
          <w:rFonts w:cs="Times New Roman"/>
          <w:szCs w:val="24"/>
        </w:rPr>
        <w:t>to</w:t>
      </w:r>
      <w:r w:rsidRPr="00423400" w:rsidR="00B60B67">
        <w:rPr>
          <w:rFonts w:cs="Times New Roman"/>
          <w:szCs w:val="24"/>
        </w:rPr>
        <w:t xml:space="preserve"> </w:t>
      </w:r>
      <w:r w:rsidRPr="00423400">
        <w:rPr>
          <w:rFonts w:cs="Times New Roman"/>
          <w:szCs w:val="24"/>
        </w:rPr>
        <w:t>maintain</w:t>
      </w:r>
      <w:r w:rsidRPr="00423400" w:rsidR="00B60B67">
        <w:rPr>
          <w:rFonts w:cs="Times New Roman"/>
          <w:szCs w:val="24"/>
        </w:rPr>
        <w:t xml:space="preserve"> </w:t>
      </w:r>
      <w:r w:rsidRPr="00423400">
        <w:rPr>
          <w:rFonts w:cs="Times New Roman"/>
          <w:szCs w:val="24"/>
        </w:rPr>
        <w:t>and</w:t>
      </w:r>
      <w:r w:rsidRPr="00423400" w:rsidR="00B60B67">
        <w:rPr>
          <w:rFonts w:cs="Times New Roman"/>
          <w:szCs w:val="24"/>
        </w:rPr>
        <w:t xml:space="preserve"> </w:t>
      </w:r>
      <w:r w:rsidRPr="00423400">
        <w:rPr>
          <w:rFonts w:cs="Times New Roman"/>
          <w:szCs w:val="24"/>
        </w:rPr>
        <w:t>support</w:t>
      </w:r>
      <w:r w:rsidRPr="00423400" w:rsidR="00B60B67">
        <w:rPr>
          <w:rFonts w:cs="Times New Roman"/>
          <w:szCs w:val="24"/>
        </w:rPr>
        <w:t xml:space="preserve"> </w:t>
      </w:r>
      <w:r w:rsidRPr="00423400">
        <w:rPr>
          <w:rFonts w:cs="Times New Roman"/>
          <w:szCs w:val="24"/>
        </w:rPr>
        <w:t>its credit</w:t>
      </w:r>
      <w:r w:rsidRPr="00423400" w:rsidR="00B60B67">
        <w:rPr>
          <w:rFonts w:cs="Times New Roman"/>
          <w:szCs w:val="24"/>
        </w:rPr>
        <w:t xml:space="preserve"> </w:t>
      </w:r>
      <w:r w:rsidRPr="00423400">
        <w:rPr>
          <w:rFonts w:cs="Times New Roman"/>
          <w:szCs w:val="24"/>
        </w:rPr>
        <w:t>and</w:t>
      </w:r>
      <w:r w:rsidRPr="00423400" w:rsidR="00B60B67">
        <w:rPr>
          <w:rFonts w:cs="Times New Roman"/>
          <w:szCs w:val="24"/>
        </w:rPr>
        <w:t xml:space="preserve"> </w:t>
      </w:r>
      <w:r w:rsidRPr="00423400">
        <w:rPr>
          <w:rFonts w:cs="Times New Roman"/>
          <w:szCs w:val="24"/>
        </w:rPr>
        <w:t>enable</w:t>
      </w:r>
      <w:r w:rsidRPr="00423400" w:rsidR="00B60B67">
        <w:rPr>
          <w:rFonts w:cs="Times New Roman"/>
          <w:szCs w:val="24"/>
        </w:rPr>
        <w:t xml:space="preserve"> </w:t>
      </w:r>
      <w:r w:rsidRPr="00423400">
        <w:rPr>
          <w:rFonts w:cs="Times New Roman"/>
          <w:szCs w:val="24"/>
        </w:rPr>
        <w:t>it</w:t>
      </w:r>
      <w:r w:rsidRPr="00423400" w:rsidR="00B60B67">
        <w:rPr>
          <w:rFonts w:cs="Times New Roman"/>
          <w:szCs w:val="24"/>
        </w:rPr>
        <w:t xml:space="preserve"> </w:t>
      </w:r>
      <w:r w:rsidRPr="00423400">
        <w:rPr>
          <w:rFonts w:cs="Times New Roman"/>
          <w:szCs w:val="24"/>
        </w:rPr>
        <w:t>to</w:t>
      </w:r>
      <w:r w:rsidRPr="00423400" w:rsidR="00B60B67">
        <w:rPr>
          <w:rFonts w:cs="Times New Roman"/>
          <w:szCs w:val="24"/>
        </w:rPr>
        <w:t xml:space="preserve"> </w:t>
      </w:r>
      <w:r w:rsidRPr="00423400">
        <w:rPr>
          <w:rFonts w:cs="Times New Roman"/>
          <w:szCs w:val="24"/>
        </w:rPr>
        <w:t>raise</w:t>
      </w:r>
      <w:r w:rsidRPr="00423400" w:rsidR="00B60B67">
        <w:rPr>
          <w:rFonts w:cs="Times New Roman"/>
          <w:szCs w:val="24"/>
        </w:rPr>
        <w:t xml:space="preserve"> </w:t>
      </w:r>
      <w:r w:rsidRPr="00423400">
        <w:rPr>
          <w:rFonts w:cs="Times New Roman"/>
          <w:szCs w:val="24"/>
        </w:rPr>
        <w:t>the</w:t>
      </w:r>
      <w:r w:rsidRPr="00423400" w:rsidR="00B60B67">
        <w:rPr>
          <w:rFonts w:cs="Times New Roman"/>
          <w:szCs w:val="24"/>
        </w:rPr>
        <w:t xml:space="preserve"> </w:t>
      </w:r>
      <w:r w:rsidRPr="00423400">
        <w:rPr>
          <w:rFonts w:cs="Times New Roman"/>
          <w:szCs w:val="24"/>
        </w:rPr>
        <w:t>money</w:t>
      </w:r>
      <w:r w:rsidRPr="00423400" w:rsidR="00B60B67">
        <w:rPr>
          <w:rFonts w:cs="Times New Roman"/>
          <w:szCs w:val="24"/>
        </w:rPr>
        <w:t xml:space="preserve"> </w:t>
      </w:r>
      <w:r w:rsidRPr="00423400">
        <w:rPr>
          <w:rFonts w:cs="Times New Roman"/>
          <w:szCs w:val="24"/>
        </w:rPr>
        <w:t>necessary</w:t>
      </w:r>
      <w:r w:rsidRPr="00423400" w:rsidR="00B60B67">
        <w:rPr>
          <w:rFonts w:cs="Times New Roman"/>
          <w:szCs w:val="24"/>
        </w:rPr>
        <w:t xml:space="preserve"> </w:t>
      </w:r>
      <w:r w:rsidRPr="00423400">
        <w:rPr>
          <w:rFonts w:cs="Times New Roman"/>
          <w:szCs w:val="24"/>
        </w:rPr>
        <w:t>for</w:t>
      </w:r>
      <w:r w:rsidRPr="00423400" w:rsidR="00B60B67">
        <w:rPr>
          <w:rFonts w:cs="Times New Roman"/>
          <w:szCs w:val="24"/>
        </w:rPr>
        <w:t xml:space="preserve"> </w:t>
      </w:r>
      <w:r w:rsidRPr="00423400">
        <w:rPr>
          <w:rFonts w:cs="Times New Roman"/>
          <w:szCs w:val="24"/>
        </w:rPr>
        <w:t>the</w:t>
      </w:r>
      <w:r w:rsidRPr="00423400" w:rsidR="00B60B67">
        <w:rPr>
          <w:rFonts w:cs="Times New Roman"/>
          <w:szCs w:val="24"/>
        </w:rPr>
        <w:t xml:space="preserve"> </w:t>
      </w:r>
      <w:r w:rsidRPr="00423400">
        <w:rPr>
          <w:rFonts w:cs="Times New Roman"/>
          <w:szCs w:val="24"/>
        </w:rPr>
        <w:t>proper discharge</w:t>
      </w:r>
      <w:r w:rsidRPr="00423400" w:rsidR="00B60B67">
        <w:rPr>
          <w:rFonts w:cs="Times New Roman"/>
          <w:szCs w:val="24"/>
        </w:rPr>
        <w:t xml:space="preserve"> </w:t>
      </w:r>
      <w:r w:rsidRPr="00423400">
        <w:rPr>
          <w:rFonts w:cs="Times New Roman"/>
          <w:szCs w:val="24"/>
        </w:rPr>
        <w:t>of</w:t>
      </w:r>
      <w:r w:rsidRPr="00423400" w:rsidR="00B60B67">
        <w:rPr>
          <w:rFonts w:cs="Times New Roman"/>
          <w:szCs w:val="24"/>
        </w:rPr>
        <w:t xml:space="preserve"> </w:t>
      </w:r>
      <w:r w:rsidRPr="00423400">
        <w:rPr>
          <w:rFonts w:cs="Times New Roman"/>
          <w:szCs w:val="24"/>
        </w:rPr>
        <w:t>its</w:t>
      </w:r>
      <w:r w:rsidRPr="00423400" w:rsidR="00B60B67">
        <w:rPr>
          <w:rFonts w:cs="Times New Roman"/>
          <w:szCs w:val="24"/>
        </w:rPr>
        <w:t xml:space="preserve"> </w:t>
      </w:r>
      <w:r w:rsidRPr="00423400">
        <w:rPr>
          <w:rFonts w:cs="Times New Roman"/>
          <w:szCs w:val="24"/>
        </w:rPr>
        <w:t>public</w:t>
      </w:r>
      <w:r w:rsidRPr="00423400" w:rsidR="00B60B67">
        <w:rPr>
          <w:rFonts w:cs="Times New Roman"/>
          <w:szCs w:val="24"/>
        </w:rPr>
        <w:t xml:space="preserve"> </w:t>
      </w:r>
      <w:r w:rsidRPr="00423400">
        <w:rPr>
          <w:rFonts w:cs="Times New Roman"/>
          <w:szCs w:val="24"/>
        </w:rPr>
        <w:t>duties.</w:t>
      </w:r>
      <w:r>
        <w:rPr>
          <w:rStyle w:val="FootnoteReference"/>
          <w:rFonts w:cs="Times New Roman"/>
          <w:szCs w:val="24"/>
        </w:rPr>
        <w:footnoteReference w:id="297"/>
      </w:r>
    </w:p>
    <w:p w:rsidR="004D5043" w:rsidRPr="00423400" w:rsidP="00AD32AF" w14:paraId="45A4E806" w14:textId="77777777">
      <w:pPr>
        <w:tabs>
          <w:tab w:val="left" w:pos="-1440"/>
        </w:tabs>
        <w:spacing w:after="0" w:line="240" w:lineRule="auto"/>
        <w:ind w:left="1440"/>
        <w:rPr>
          <w:rFonts w:cs="Times New Roman"/>
          <w:szCs w:val="24"/>
        </w:rPr>
      </w:pPr>
    </w:p>
    <w:p w:rsidR="00BF10C7" w:rsidRPr="00423400" w:rsidP="00755E4F" w14:paraId="62661667" w14:textId="77777777">
      <w:pPr>
        <w:tabs>
          <w:tab w:val="left" w:pos="-1440"/>
        </w:tabs>
        <w:spacing w:after="0" w:line="480" w:lineRule="auto"/>
        <w:rPr>
          <w:rFonts w:cs="Times New Roman"/>
          <w:szCs w:val="24"/>
        </w:rPr>
      </w:pPr>
      <w:r w:rsidRPr="00423400">
        <w:rPr>
          <w:rFonts w:cs="Times New Roman"/>
          <w:szCs w:val="24"/>
        </w:rPr>
        <w:tab/>
        <w:t>As</w:t>
      </w:r>
      <w:r w:rsidRPr="00423400" w:rsidR="00B60B67">
        <w:rPr>
          <w:rFonts w:cs="Times New Roman"/>
          <w:szCs w:val="24"/>
        </w:rPr>
        <w:t xml:space="preserve"> </w:t>
      </w:r>
      <w:r w:rsidRPr="00423400">
        <w:rPr>
          <w:rFonts w:cs="Times New Roman"/>
          <w:szCs w:val="24"/>
        </w:rPr>
        <w:t>such,</w:t>
      </w:r>
      <w:r w:rsidRPr="00423400" w:rsidR="00B60B67">
        <w:rPr>
          <w:rFonts w:cs="Times New Roman"/>
          <w:szCs w:val="24"/>
        </w:rPr>
        <w:t xml:space="preserve"> </w:t>
      </w:r>
      <w:r w:rsidRPr="00423400">
        <w:rPr>
          <w:rFonts w:cs="Times New Roman"/>
          <w:szCs w:val="24"/>
        </w:rPr>
        <w:t>a</w:t>
      </w:r>
      <w:r w:rsidRPr="00423400" w:rsidR="00B60B67">
        <w:rPr>
          <w:rFonts w:cs="Times New Roman"/>
          <w:szCs w:val="24"/>
        </w:rPr>
        <w:t xml:space="preserve"> </w:t>
      </w:r>
      <w:r w:rsidRPr="00423400">
        <w:rPr>
          <w:rFonts w:cs="Times New Roman"/>
          <w:szCs w:val="24"/>
        </w:rPr>
        <w:t>fair</w:t>
      </w:r>
      <w:r w:rsidRPr="00423400" w:rsidR="00B60B67">
        <w:rPr>
          <w:rFonts w:cs="Times New Roman"/>
          <w:szCs w:val="24"/>
        </w:rPr>
        <w:t xml:space="preserve"> </w:t>
      </w:r>
      <w:r w:rsidRPr="00423400">
        <w:rPr>
          <w:rFonts w:cs="Times New Roman"/>
          <w:szCs w:val="24"/>
        </w:rPr>
        <w:t>rate</w:t>
      </w:r>
      <w:r w:rsidRPr="00423400" w:rsidR="00B60B67">
        <w:rPr>
          <w:rFonts w:cs="Times New Roman"/>
          <w:szCs w:val="24"/>
        </w:rPr>
        <w:t xml:space="preserve"> </w:t>
      </w:r>
      <w:r w:rsidRPr="00423400">
        <w:rPr>
          <w:rFonts w:cs="Times New Roman"/>
          <w:szCs w:val="24"/>
        </w:rPr>
        <w:t>of</w:t>
      </w:r>
      <w:r w:rsidRPr="00423400" w:rsidR="00B60B67">
        <w:rPr>
          <w:rFonts w:cs="Times New Roman"/>
          <w:szCs w:val="24"/>
        </w:rPr>
        <w:t xml:space="preserve"> </w:t>
      </w:r>
      <w:r w:rsidRPr="00423400">
        <w:rPr>
          <w:rFonts w:cs="Times New Roman"/>
          <w:szCs w:val="24"/>
        </w:rPr>
        <w:t>return</w:t>
      </w:r>
      <w:r w:rsidRPr="00423400" w:rsidR="00B60B67">
        <w:rPr>
          <w:rFonts w:cs="Times New Roman"/>
          <w:szCs w:val="24"/>
        </w:rPr>
        <w:t xml:space="preserve"> </w:t>
      </w:r>
      <w:r w:rsidRPr="00423400">
        <w:rPr>
          <w:rFonts w:cs="Times New Roman"/>
          <w:szCs w:val="24"/>
        </w:rPr>
        <w:t>is</w:t>
      </w:r>
      <w:r w:rsidRPr="00423400" w:rsidR="00B60B67">
        <w:rPr>
          <w:rFonts w:cs="Times New Roman"/>
          <w:szCs w:val="24"/>
        </w:rPr>
        <w:t xml:space="preserve"> </w:t>
      </w:r>
      <w:r w:rsidRPr="00423400">
        <w:rPr>
          <w:rFonts w:cs="Times New Roman"/>
          <w:szCs w:val="24"/>
        </w:rPr>
        <w:t>based</w:t>
      </w:r>
      <w:r w:rsidRPr="00423400" w:rsidR="00B60B67">
        <w:rPr>
          <w:rFonts w:cs="Times New Roman"/>
          <w:szCs w:val="24"/>
        </w:rPr>
        <w:t xml:space="preserve"> </w:t>
      </w:r>
      <w:r w:rsidRPr="00423400">
        <w:rPr>
          <w:rFonts w:cs="Times New Roman"/>
          <w:szCs w:val="24"/>
        </w:rPr>
        <w:t>on</w:t>
      </w:r>
      <w:r w:rsidRPr="00423400" w:rsidR="00B60B67">
        <w:rPr>
          <w:rFonts w:cs="Times New Roman"/>
          <w:szCs w:val="24"/>
        </w:rPr>
        <w:t xml:space="preserve"> </w:t>
      </w:r>
      <w:r w:rsidRPr="00423400">
        <w:rPr>
          <w:rFonts w:cs="Times New Roman"/>
          <w:szCs w:val="24"/>
        </w:rPr>
        <w:t>the</w:t>
      </w:r>
      <w:r w:rsidRPr="00423400" w:rsidR="00B60B67">
        <w:rPr>
          <w:rFonts w:cs="Times New Roman"/>
          <w:szCs w:val="24"/>
        </w:rPr>
        <w:t xml:space="preserve"> </w:t>
      </w:r>
      <w:r w:rsidRPr="00423400">
        <w:rPr>
          <w:rFonts w:cs="Times New Roman"/>
          <w:szCs w:val="24"/>
        </w:rPr>
        <w:t>expectation</w:t>
      </w:r>
      <w:r w:rsidRPr="00423400" w:rsidR="00B60B67">
        <w:rPr>
          <w:rFonts w:cs="Times New Roman"/>
          <w:szCs w:val="24"/>
        </w:rPr>
        <w:t xml:space="preserve"> </w:t>
      </w:r>
      <w:r w:rsidRPr="00423400">
        <w:rPr>
          <w:rFonts w:cs="Times New Roman"/>
          <w:szCs w:val="24"/>
        </w:rPr>
        <w:t>that</w:t>
      </w:r>
      <w:r w:rsidRPr="00423400" w:rsidR="00B60B67">
        <w:rPr>
          <w:rFonts w:cs="Times New Roman"/>
          <w:szCs w:val="24"/>
        </w:rPr>
        <w:t xml:space="preserve"> </w:t>
      </w:r>
      <w:r w:rsidRPr="00423400">
        <w:rPr>
          <w:rFonts w:cs="Times New Roman"/>
          <w:szCs w:val="24"/>
        </w:rPr>
        <w:t>the</w:t>
      </w:r>
      <w:r w:rsidRPr="00423400" w:rsidR="00B60B67">
        <w:rPr>
          <w:rFonts w:cs="Times New Roman"/>
          <w:szCs w:val="24"/>
        </w:rPr>
        <w:t xml:space="preserve"> </w:t>
      </w:r>
      <w:r w:rsidRPr="00423400">
        <w:rPr>
          <w:rFonts w:cs="Times New Roman"/>
          <w:szCs w:val="24"/>
        </w:rPr>
        <w:t>utility</w:t>
      </w:r>
      <w:r w:rsidRPr="00423400" w:rsidR="00B60B67">
        <w:rPr>
          <w:rFonts w:cs="Times New Roman"/>
          <w:szCs w:val="24"/>
        </w:rPr>
        <w:t xml:space="preserve"> </w:t>
      </w:r>
      <w:r w:rsidRPr="00423400">
        <w:rPr>
          <w:rFonts w:cs="Times New Roman"/>
          <w:szCs w:val="24"/>
        </w:rPr>
        <w:t>costs</w:t>
      </w:r>
      <w:r w:rsidRPr="00423400" w:rsidR="00B60B67">
        <w:rPr>
          <w:rFonts w:cs="Times New Roman"/>
          <w:szCs w:val="24"/>
        </w:rPr>
        <w:t xml:space="preserve"> </w:t>
      </w:r>
      <w:r w:rsidRPr="00423400">
        <w:rPr>
          <w:rFonts w:cs="Times New Roman"/>
          <w:szCs w:val="24"/>
        </w:rPr>
        <w:t>reflect efficient</w:t>
      </w:r>
      <w:r w:rsidRPr="00423400" w:rsidR="00B60B67">
        <w:rPr>
          <w:rFonts w:cs="Times New Roman"/>
          <w:szCs w:val="24"/>
        </w:rPr>
        <w:t xml:space="preserve"> </w:t>
      </w:r>
      <w:r w:rsidRPr="00423400">
        <w:rPr>
          <w:rFonts w:cs="Times New Roman"/>
          <w:szCs w:val="24"/>
        </w:rPr>
        <w:t>and</w:t>
      </w:r>
      <w:r w:rsidRPr="00423400" w:rsidR="00B60B67">
        <w:rPr>
          <w:rFonts w:cs="Times New Roman"/>
          <w:szCs w:val="24"/>
        </w:rPr>
        <w:t xml:space="preserve"> </w:t>
      </w:r>
      <w:r w:rsidRPr="00423400">
        <w:rPr>
          <w:rFonts w:cs="Times New Roman"/>
          <w:szCs w:val="24"/>
        </w:rPr>
        <w:t>economical</w:t>
      </w:r>
      <w:r w:rsidRPr="00423400" w:rsidR="00B60B67">
        <w:rPr>
          <w:rFonts w:cs="Times New Roman"/>
          <w:szCs w:val="24"/>
        </w:rPr>
        <w:t xml:space="preserve"> </w:t>
      </w:r>
      <w:r w:rsidRPr="00423400">
        <w:rPr>
          <w:rFonts w:cs="Times New Roman"/>
          <w:szCs w:val="24"/>
        </w:rPr>
        <w:t>management,</w:t>
      </w:r>
      <w:r w:rsidRPr="00423400" w:rsidR="00B60B67">
        <w:rPr>
          <w:rFonts w:cs="Times New Roman"/>
          <w:szCs w:val="24"/>
        </w:rPr>
        <w:t xml:space="preserve"> </w:t>
      </w:r>
      <w:r w:rsidRPr="00423400">
        <w:rPr>
          <w:rFonts w:cs="Times New Roman"/>
          <w:szCs w:val="24"/>
        </w:rPr>
        <w:t>and</w:t>
      </w:r>
      <w:r w:rsidRPr="00423400" w:rsidR="00B60B67">
        <w:rPr>
          <w:rFonts w:cs="Times New Roman"/>
          <w:szCs w:val="24"/>
        </w:rPr>
        <w:t xml:space="preserve"> </w:t>
      </w:r>
      <w:r w:rsidRPr="00423400">
        <w:rPr>
          <w:rFonts w:cs="Times New Roman"/>
          <w:szCs w:val="24"/>
        </w:rPr>
        <w:t>the</w:t>
      </w:r>
      <w:r w:rsidRPr="00423400" w:rsidR="00B60B67">
        <w:rPr>
          <w:rFonts w:cs="Times New Roman"/>
          <w:szCs w:val="24"/>
        </w:rPr>
        <w:t xml:space="preserve"> </w:t>
      </w:r>
      <w:r w:rsidRPr="00423400">
        <w:rPr>
          <w:rFonts w:cs="Times New Roman"/>
          <w:szCs w:val="24"/>
        </w:rPr>
        <w:t>return</w:t>
      </w:r>
      <w:r w:rsidRPr="00423400" w:rsidR="00B60B67">
        <w:rPr>
          <w:rFonts w:cs="Times New Roman"/>
          <w:szCs w:val="24"/>
        </w:rPr>
        <w:t xml:space="preserve"> </w:t>
      </w:r>
      <w:r w:rsidRPr="00423400">
        <w:rPr>
          <w:rFonts w:cs="Times New Roman"/>
          <w:szCs w:val="24"/>
        </w:rPr>
        <w:t>will</w:t>
      </w:r>
      <w:r w:rsidRPr="00423400" w:rsidR="00B60B67">
        <w:rPr>
          <w:rFonts w:cs="Times New Roman"/>
          <w:szCs w:val="24"/>
        </w:rPr>
        <w:t xml:space="preserve"> </w:t>
      </w:r>
      <w:r w:rsidRPr="00423400">
        <w:rPr>
          <w:rFonts w:cs="Times New Roman"/>
          <w:szCs w:val="24"/>
        </w:rPr>
        <w:t>support</w:t>
      </w:r>
      <w:r w:rsidRPr="00423400" w:rsidR="00B60B67">
        <w:rPr>
          <w:rFonts w:cs="Times New Roman"/>
          <w:szCs w:val="24"/>
        </w:rPr>
        <w:t xml:space="preserve"> </w:t>
      </w:r>
      <w:r w:rsidRPr="00423400">
        <w:rPr>
          <w:rFonts w:cs="Times New Roman"/>
          <w:szCs w:val="24"/>
        </w:rPr>
        <w:t>its</w:t>
      </w:r>
      <w:r w:rsidRPr="00423400" w:rsidR="00B60B67">
        <w:rPr>
          <w:rFonts w:cs="Times New Roman"/>
          <w:szCs w:val="24"/>
        </w:rPr>
        <w:t xml:space="preserve"> </w:t>
      </w:r>
      <w:r w:rsidRPr="00423400">
        <w:rPr>
          <w:rFonts w:cs="Times New Roman"/>
          <w:szCs w:val="24"/>
        </w:rPr>
        <w:t>credit</w:t>
      </w:r>
      <w:r w:rsidRPr="00423400" w:rsidR="00B60B67">
        <w:rPr>
          <w:rFonts w:cs="Times New Roman"/>
          <w:szCs w:val="24"/>
        </w:rPr>
        <w:t xml:space="preserve"> </w:t>
      </w:r>
      <w:r w:rsidRPr="00423400">
        <w:rPr>
          <w:rFonts w:cs="Times New Roman"/>
          <w:szCs w:val="24"/>
        </w:rPr>
        <w:t>standing and</w:t>
      </w:r>
      <w:r w:rsidRPr="00423400" w:rsidR="00B60B67">
        <w:rPr>
          <w:rFonts w:cs="Times New Roman"/>
          <w:szCs w:val="24"/>
        </w:rPr>
        <w:t xml:space="preserve"> </w:t>
      </w:r>
      <w:r w:rsidRPr="00423400">
        <w:rPr>
          <w:rFonts w:cs="Times New Roman"/>
          <w:szCs w:val="24"/>
        </w:rPr>
        <w:t>access</w:t>
      </w:r>
      <w:r w:rsidRPr="00423400" w:rsidR="00B60B67">
        <w:rPr>
          <w:rFonts w:cs="Times New Roman"/>
          <w:szCs w:val="24"/>
        </w:rPr>
        <w:t xml:space="preserve"> </w:t>
      </w:r>
      <w:r w:rsidRPr="00423400">
        <w:rPr>
          <w:rFonts w:cs="Times New Roman"/>
          <w:szCs w:val="24"/>
        </w:rPr>
        <w:t>to</w:t>
      </w:r>
      <w:r w:rsidRPr="00423400" w:rsidR="00B60B67">
        <w:rPr>
          <w:rFonts w:cs="Times New Roman"/>
          <w:szCs w:val="24"/>
        </w:rPr>
        <w:t xml:space="preserve"> </w:t>
      </w:r>
      <w:r w:rsidRPr="00423400">
        <w:rPr>
          <w:rFonts w:cs="Times New Roman"/>
          <w:szCs w:val="24"/>
        </w:rPr>
        <w:t>capital,</w:t>
      </w:r>
      <w:r w:rsidRPr="00423400" w:rsidR="00B60B67">
        <w:rPr>
          <w:rFonts w:cs="Times New Roman"/>
          <w:szCs w:val="24"/>
        </w:rPr>
        <w:t xml:space="preserve"> </w:t>
      </w:r>
      <w:r w:rsidRPr="00423400">
        <w:rPr>
          <w:rFonts w:cs="Times New Roman"/>
          <w:szCs w:val="24"/>
        </w:rPr>
        <w:t>but</w:t>
      </w:r>
      <w:r w:rsidRPr="00423400" w:rsidR="00B60B67">
        <w:rPr>
          <w:rFonts w:cs="Times New Roman"/>
          <w:szCs w:val="24"/>
        </w:rPr>
        <w:t xml:space="preserve"> </w:t>
      </w:r>
      <w:r w:rsidRPr="00423400">
        <w:rPr>
          <w:rFonts w:cs="Times New Roman"/>
          <w:szCs w:val="24"/>
        </w:rPr>
        <w:t>the</w:t>
      </w:r>
      <w:r w:rsidRPr="00423400" w:rsidR="00B60B67">
        <w:rPr>
          <w:rFonts w:cs="Times New Roman"/>
          <w:szCs w:val="24"/>
        </w:rPr>
        <w:t xml:space="preserve"> </w:t>
      </w:r>
      <w:r w:rsidRPr="00423400">
        <w:rPr>
          <w:rFonts w:cs="Times New Roman"/>
          <w:szCs w:val="24"/>
        </w:rPr>
        <w:t>return</w:t>
      </w:r>
      <w:r w:rsidRPr="00423400" w:rsidR="00B60B67">
        <w:rPr>
          <w:rFonts w:cs="Times New Roman"/>
          <w:szCs w:val="24"/>
        </w:rPr>
        <w:t xml:space="preserve"> </w:t>
      </w:r>
      <w:r w:rsidRPr="00423400">
        <w:rPr>
          <w:rFonts w:cs="Times New Roman"/>
          <w:szCs w:val="24"/>
        </w:rPr>
        <w:t>will</w:t>
      </w:r>
      <w:r w:rsidRPr="00423400" w:rsidR="00B60B67">
        <w:rPr>
          <w:rFonts w:cs="Times New Roman"/>
          <w:szCs w:val="24"/>
        </w:rPr>
        <w:t xml:space="preserve"> </w:t>
      </w:r>
      <w:r w:rsidRPr="00423400">
        <w:rPr>
          <w:rFonts w:cs="Times New Roman"/>
          <w:szCs w:val="24"/>
        </w:rPr>
        <w:t>not</w:t>
      </w:r>
      <w:r w:rsidRPr="00423400" w:rsidR="00B60B67">
        <w:rPr>
          <w:rFonts w:cs="Times New Roman"/>
          <w:szCs w:val="24"/>
        </w:rPr>
        <w:t xml:space="preserve"> </w:t>
      </w:r>
      <w:r w:rsidRPr="00423400">
        <w:rPr>
          <w:rFonts w:cs="Times New Roman"/>
          <w:szCs w:val="24"/>
        </w:rPr>
        <w:t>be</w:t>
      </w:r>
      <w:r w:rsidRPr="00423400" w:rsidR="00B60B67">
        <w:rPr>
          <w:rFonts w:cs="Times New Roman"/>
          <w:szCs w:val="24"/>
        </w:rPr>
        <w:t xml:space="preserve"> </w:t>
      </w:r>
      <w:r w:rsidRPr="00423400">
        <w:rPr>
          <w:rFonts w:cs="Times New Roman"/>
          <w:szCs w:val="24"/>
        </w:rPr>
        <w:t>in</w:t>
      </w:r>
      <w:r w:rsidRPr="00423400" w:rsidR="00B60B67">
        <w:rPr>
          <w:rFonts w:cs="Times New Roman"/>
          <w:szCs w:val="24"/>
        </w:rPr>
        <w:t xml:space="preserve"> </w:t>
      </w:r>
      <w:r w:rsidRPr="00423400">
        <w:rPr>
          <w:rFonts w:cs="Times New Roman"/>
          <w:szCs w:val="24"/>
        </w:rPr>
        <w:t>excess</w:t>
      </w:r>
      <w:r w:rsidRPr="00423400" w:rsidR="00B60B67">
        <w:rPr>
          <w:rFonts w:cs="Times New Roman"/>
          <w:szCs w:val="24"/>
        </w:rPr>
        <w:t xml:space="preserve"> </w:t>
      </w:r>
      <w:r w:rsidRPr="00423400">
        <w:rPr>
          <w:rFonts w:cs="Times New Roman"/>
          <w:szCs w:val="24"/>
        </w:rPr>
        <w:t>of</w:t>
      </w:r>
      <w:r w:rsidRPr="00423400" w:rsidR="00B60B67">
        <w:rPr>
          <w:rFonts w:cs="Times New Roman"/>
          <w:szCs w:val="24"/>
        </w:rPr>
        <w:t xml:space="preserve"> </w:t>
      </w:r>
      <w:r w:rsidRPr="00423400">
        <w:rPr>
          <w:rFonts w:cs="Times New Roman"/>
          <w:szCs w:val="24"/>
        </w:rPr>
        <w:t>this</w:t>
      </w:r>
      <w:r w:rsidRPr="00423400" w:rsidR="00B60B67">
        <w:rPr>
          <w:rFonts w:cs="Times New Roman"/>
          <w:szCs w:val="24"/>
        </w:rPr>
        <w:t xml:space="preserve"> </w:t>
      </w:r>
      <w:r w:rsidRPr="00423400">
        <w:rPr>
          <w:rFonts w:cs="Times New Roman"/>
          <w:szCs w:val="24"/>
        </w:rPr>
        <w:t>level.</w:t>
      </w:r>
      <w:r>
        <w:rPr>
          <w:rStyle w:val="FootnoteReference"/>
          <w:rFonts w:cs="Times New Roman"/>
          <w:szCs w:val="24"/>
        </w:rPr>
        <w:footnoteReference w:id="298"/>
      </w:r>
      <w:r w:rsidRPr="00423400" w:rsidR="00B60B67">
        <w:rPr>
          <w:rFonts w:cs="Times New Roman"/>
          <w:szCs w:val="24"/>
        </w:rPr>
        <w:t xml:space="preserve"> </w:t>
      </w:r>
      <w:r w:rsidRPr="00423400">
        <w:rPr>
          <w:rFonts w:cs="Times New Roman"/>
          <w:szCs w:val="24"/>
        </w:rPr>
        <w:t>From</w:t>
      </w:r>
      <w:r w:rsidRPr="00423400" w:rsidR="00B60B67">
        <w:rPr>
          <w:rFonts w:cs="Times New Roman"/>
          <w:szCs w:val="24"/>
        </w:rPr>
        <w:t xml:space="preserve"> </w:t>
      </w:r>
      <w:r w:rsidRPr="00423400">
        <w:rPr>
          <w:rFonts w:cs="Times New Roman"/>
          <w:szCs w:val="24"/>
        </w:rPr>
        <w:t>these standards,</w:t>
      </w:r>
      <w:r w:rsidRPr="00423400" w:rsidR="00B60B67">
        <w:rPr>
          <w:rFonts w:cs="Times New Roman"/>
          <w:szCs w:val="24"/>
        </w:rPr>
        <w:t xml:space="preserve"> </w:t>
      </w:r>
      <w:r w:rsidRPr="00423400">
        <w:rPr>
          <w:rFonts w:cs="Times New Roman"/>
          <w:szCs w:val="24"/>
        </w:rPr>
        <w:t>rates</w:t>
      </w:r>
      <w:r w:rsidRPr="00423400" w:rsidR="00B60B67">
        <w:rPr>
          <w:rFonts w:cs="Times New Roman"/>
          <w:szCs w:val="24"/>
        </w:rPr>
        <w:t xml:space="preserve"> </w:t>
      </w:r>
      <w:r w:rsidRPr="00423400">
        <w:rPr>
          <w:rFonts w:cs="Times New Roman"/>
          <w:szCs w:val="24"/>
        </w:rPr>
        <w:t>to</w:t>
      </w:r>
      <w:r w:rsidRPr="00423400" w:rsidR="00B60B67">
        <w:rPr>
          <w:rFonts w:cs="Times New Roman"/>
          <w:szCs w:val="24"/>
        </w:rPr>
        <w:t xml:space="preserve"> </w:t>
      </w:r>
      <w:r w:rsidRPr="00423400">
        <w:rPr>
          <w:rFonts w:cs="Times New Roman"/>
          <w:szCs w:val="24"/>
        </w:rPr>
        <w:t>customers</w:t>
      </w:r>
      <w:r w:rsidRPr="00423400" w:rsidR="00B60B67">
        <w:rPr>
          <w:rFonts w:cs="Times New Roman"/>
          <w:szCs w:val="24"/>
        </w:rPr>
        <w:t xml:space="preserve"> </w:t>
      </w:r>
      <w:r w:rsidRPr="00423400">
        <w:rPr>
          <w:rFonts w:cs="Times New Roman"/>
          <w:szCs w:val="24"/>
        </w:rPr>
        <w:t>will</w:t>
      </w:r>
      <w:r w:rsidRPr="00423400" w:rsidR="00B60B67">
        <w:rPr>
          <w:rFonts w:cs="Times New Roman"/>
          <w:szCs w:val="24"/>
        </w:rPr>
        <w:t xml:space="preserve"> </w:t>
      </w:r>
      <w:r w:rsidRPr="00423400">
        <w:rPr>
          <w:rFonts w:cs="Times New Roman"/>
          <w:szCs w:val="24"/>
        </w:rPr>
        <w:t>be</w:t>
      </w:r>
      <w:r w:rsidRPr="00423400" w:rsidR="00B60B67">
        <w:rPr>
          <w:rFonts w:cs="Times New Roman"/>
          <w:szCs w:val="24"/>
        </w:rPr>
        <w:t xml:space="preserve"> </w:t>
      </w:r>
      <w:r w:rsidRPr="00423400">
        <w:rPr>
          <w:rFonts w:cs="Times New Roman"/>
          <w:szCs w:val="24"/>
        </w:rPr>
        <w:t>just</w:t>
      </w:r>
      <w:r w:rsidRPr="00423400" w:rsidR="00B60B67">
        <w:rPr>
          <w:rFonts w:cs="Times New Roman"/>
          <w:szCs w:val="24"/>
        </w:rPr>
        <w:t xml:space="preserve"> </w:t>
      </w:r>
      <w:r w:rsidRPr="00423400">
        <w:rPr>
          <w:rFonts w:cs="Times New Roman"/>
          <w:szCs w:val="24"/>
        </w:rPr>
        <w:t>and</w:t>
      </w:r>
      <w:r w:rsidRPr="00423400" w:rsidR="00B60B67">
        <w:rPr>
          <w:rFonts w:cs="Times New Roman"/>
          <w:szCs w:val="24"/>
        </w:rPr>
        <w:t xml:space="preserve"> </w:t>
      </w:r>
      <w:r w:rsidRPr="00423400">
        <w:rPr>
          <w:rFonts w:cs="Times New Roman"/>
          <w:szCs w:val="24"/>
        </w:rPr>
        <w:t>reasonable,</w:t>
      </w:r>
      <w:r w:rsidRPr="00423400" w:rsidR="00B60B67">
        <w:rPr>
          <w:rFonts w:cs="Times New Roman"/>
          <w:szCs w:val="24"/>
        </w:rPr>
        <w:t xml:space="preserve"> </w:t>
      </w:r>
      <w:r w:rsidRPr="00423400">
        <w:rPr>
          <w:rFonts w:cs="Times New Roman"/>
          <w:szCs w:val="24"/>
        </w:rPr>
        <w:t>and</w:t>
      </w:r>
      <w:r w:rsidRPr="00423400" w:rsidR="00B60B67">
        <w:rPr>
          <w:rFonts w:cs="Times New Roman"/>
          <w:szCs w:val="24"/>
        </w:rPr>
        <w:t xml:space="preserve"> </w:t>
      </w:r>
      <w:r w:rsidRPr="00423400">
        <w:rPr>
          <w:rFonts w:cs="Times New Roman"/>
          <w:szCs w:val="24"/>
        </w:rPr>
        <w:t>compensation</w:t>
      </w:r>
      <w:r w:rsidRPr="00423400" w:rsidR="00B60B67">
        <w:rPr>
          <w:rFonts w:cs="Times New Roman"/>
          <w:szCs w:val="24"/>
        </w:rPr>
        <w:t xml:space="preserve"> </w:t>
      </w:r>
      <w:r w:rsidRPr="00423400">
        <w:rPr>
          <w:rFonts w:cs="Times New Roman"/>
          <w:szCs w:val="24"/>
        </w:rPr>
        <w:t>to</w:t>
      </w:r>
      <w:r w:rsidRPr="00423400" w:rsidR="00B60B67">
        <w:rPr>
          <w:rFonts w:cs="Times New Roman"/>
          <w:szCs w:val="24"/>
        </w:rPr>
        <w:t xml:space="preserve"> </w:t>
      </w:r>
      <w:r w:rsidRPr="00423400">
        <w:rPr>
          <w:rFonts w:cs="Times New Roman"/>
          <w:szCs w:val="24"/>
        </w:rPr>
        <w:t>the utility</w:t>
      </w:r>
      <w:r w:rsidRPr="00423400" w:rsidR="00B60B67">
        <w:rPr>
          <w:rFonts w:cs="Times New Roman"/>
          <w:szCs w:val="24"/>
        </w:rPr>
        <w:t xml:space="preserve"> </w:t>
      </w:r>
      <w:r w:rsidRPr="00423400">
        <w:rPr>
          <w:rFonts w:cs="Times New Roman"/>
          <w:szCs w:val="24"/>
        </w:rPr>
        <w:t>will</w:t>
      </w:r>
      <w:r w:rsidRPr="00423400" w:rsidR="00B60B67">
        <w:rPr>
          <w:rFonts w:cs="Times New Roman"/>
          <w:szCs w:val="24"/>
        </w:rPr>
        <w:t xml:space="preserve"> </w:t>
      </w:r>
      <w:r w:rsidRPr="00423400">
        <w:rPr>
          <w:rFonts w:cs="Times New Roman"/>
          <w:szCs w:val="24"/>
        </w:rPr>
        <w:t>be</w:t>
      </w:r>
      <w:r w:rsidRPr="00423400" w:rsidR="00B60B67">
        <w:rPr>
          <w:rFonts w:cs="Times New Roman"/>
          <w:szCs w:val="24"/>
        </w:rPr>
        <w:t xml:space="preserve"> </w:t>
      </w:r>
      <w:r w:rsidRPr="00423400">
        <w:rPr>
          <w:rFonts w:cs="Times New Roman"/>
          <w:szCs w:val="24"/>
        </w:rPr>
        <w:t>fair</w:t>
      </w:r>
      <w:r w:rsidRPr="00423400" w:rsidR="00B60B67">
        <w:rPr>
          <w:rFonts w:cs="Times New Roman"/>
          <w:szCs w:val="24"/>
        </w:rPr>
        <w:t xml:space="preserve"> </w:t>
      </w:r>
      <w:r w:rsidRPr="00423400">
        <w:rPr>
          <w:rFonts w:cs="Times New Roman"/>
          <w:szCs w:val="24"/>
        </w:rPr>
        <w:t>and</w:t>
      </w:r>
      <w:r w:rsidRPr="00423400" w:rsidR="00B60B67">
        <w:rPr>
          <w:rFonts w:cs="Times New Roman"/>
          <w:szCs w:val="24"/>
        </w:rPr>
        <w:t xml:space="preserve"> </w:t>
      </w:r>
      <w:r w:rsidRPr="00423400">
        <w:rPr>
          <w:rFonts w:cs="Times New Roman"/>
          <w:szCs w:val="24"/>
        </w:rPr>
        <w:t>support</w:t>
      </w:r>
      <w:r w:rsidRPr="00423400" w:rsidR="00B60B67">
        <w:rPr>
          <w:rFonts w:cs="Times New Roman"/>
          <w:szCs w:val="24"/>
        </w:rPr>
        <w:t xml:space="preserve"> </w:t>
      </w:r>
      <w:r w:rsidRPr="00423400">
        <w:rPr>
          <w:rFonts w:cs="Times New Roman"/>
          <w:szCs w:val="24"/>
        </w:rPr>
        <w:t>financial</w:t>
      </w:r>
      <w:r w:rsidRPr="00423400" w:rsidR="00B60B67">
        <w:rPr>
          <w:rFonts w:cs="Times New Roman"/>
          <w:szCs w:val="24"/>
        </w:rPr>
        <w:t xml:space="preserve"> </w:t>
      </w:r>
      <w:r w:rsidRPr="00423400">
        <w:rPr>
          <w:rFonts w:cs="Times New Roman"/>
          <w:szCs w:val="24"/>
        </w:rPr>
        <w:t>integrity</w:t>
      </w:r>
      <w:r w:rsidRPr="00423400" w:rsidR="00B60B67">
        <w:rPr>
          <w:rFonts w:cs="Times New Roman"/>
          <w:szCs w:val="24"/>
        </w:rPr>
        <w:t xml:space="preserve"> </w:t>
      </w:r>
      <w:r w:rsidRPr="00423400">
        <w:rPr>
          <w:rFonts w:cs="Times New Roman"/>
          <w:szCs w:val="24"/>
        </w:rPr>
        <w:t>and</w:t>
      </w:r>
      <w:r w:rsidRPr="00423400" w:rsidR="00B60B67">
        <w:rPr>
          <w:rFonts w:cs="Times New Roman"/>
          <w:szCs w:val="24"/>
        </w:rPr>
        <w:t xml:space="preserve"> </w:t>
      </w:r>
      <w:r w:rsidRPr="00423400">
        <w:rPr>
          <w:rFonts w:cs="Times New Roman"/>
          <w:szCs w:val="24"/>
        </w:rPr>
        <w:t>credit</w:t>
      </w:r>
      <w:r w:rsidRPr="00423400" w:rsidR="00B60B67">
        <w:rPr>
          <w:rFonts w:cs="Times New Roman"/>
          <w:szCs w:val="24"/>
        </w:rPr>
        <w:t xml:space="preserve"> </w:t>
      </w:r>
      <w:r w:rsidRPr="00423400">
        <w:rPr>
          <w:rFonts w:cs="Times New Roman"/>
          <w:szCs w:val="24"/>
        </w:rPr>
        <w:t>standing,</w:t>
      </w:r>
      <w:r w:rsidRPr="00423400" w:rsidR="00B60B67">
        <w:rPr>
          <w:rFonts w:cs="Times New Roman"/>
          <w:szCs w:val="24"/>
        </w:rPr>
        <w:t xml:space="preserve"> </w:t>
      </w:r>
      <w:r w:rsidRPr="00423400">
        <w:rPr>
          <w:rFonts w:cs="Times New Roman"/>
          <w:szCs w:val="24"/>
        </w:rPr>
        <w:t>under</w:t>
      </w:r>
      <w:r w:rsidRPr="00423400" w:rsidR="00B60B67">
        <w:rPr>
          <w:rFonts w:cs="Times New Roman"/>
          <w:szCs w:val="24"/>
        </w:rPr>
        <w:t xml:space="preserve"> </w:t>
      </w:r>
      <w:r w:rsidRPr="00423400">
        <w:rPr>
          <w:rFonts w:cs="Times New Roman"/>
          <w:szCs w:val="24"/>
        </w:rPr>
        <w:t>economic management</w:t>
      </w:r>
      <w:r w:rsidRPr="00423400" w:rsidR="00B60B67">
        <w:rPr>
          <w:rFonts w:cs="Times New Roman"/>
          <w:szCs w:val="24"/>
        </w:rPr>
        <w:t xml:space="preserve"> </w:t>
      </w:r>
      <w:r w:rsidRPr="00423400">
        <w:rPr>
          <w:rFonts w:cs="Times New Roman"/>
          <w:szCs w:val="24"/>
        </w:rPr>
        <w:t>of</w:t>
      </w:r>
      <w:r w:rsidRPr="00423400" w:rsidR="00B60B67">
        <w:rPr>
          <w:rFonts w:cs="Times New Roman"/>
          <w:szCs w:val="24"/>
        </w:rPr>
        <w:t xml:space="preserve"> </w:t>
      </w:r>
      <w:r w:rsidRPr="00423400">
        <w:rPr>
          <w:rFonts w:cs="Times New Roman"/>
          <w:szCs w:val="24"/>
        </w:rPr>
        <w:t>the</w:t>
      </w:r>
      <w:r w:rsidRPr="00423400" w:rsidR="00B60B67">
        <w:rPr>
          <w:rFonts w:cs="Times New Roman"/>
          <w:szCs w:val="24"/>
        </w:rPr>
        <w:t xml:space="preserve"> </w:t>
      </w:r>
      <w:r w:rsidRPr="00423400">
        <w:rPr>
          <w:rFonts w:cs="Times New Roman"/>
          <w:szCs w:val="24"/>
        </w:rPr>
        <w:t>utility,</w:t>
      </w:r>
      <w:r w:rsidRPr="00423400" w:rsidR="00B60B67">
        <w:rPr>
          <w:rFonts w:cs="Times New Roman"/>
          <w:szCs w:val="24"/>
        </w:rPr>
        <w:t xml:space="preserve"> </w:t>
      </w:r>
      <w:r w:rsidRPr="00423400">
        <w:rPr>
          <w:rFonts w:cs="Times New Roman"/>
          <w:szCs w:val="24"/>
        </w:rPr>
        <w:t>and</w:t>
      </w:r>
      <w:r w:rsidRPr="00423400" w:rsidR="00B60B67">
        <w:rPr>
          <w:rFonts w:cs="Times New Roman"/>
          <w:szCs w:val="24"/>
        </w:rPr>
        <w:t xml:space="preserve"> </w:t>
      </w:r>
      <w:r w:rsidRPr="00423400">
        <w:rPr>
          <w:rFonts w:cs="Times New Roman"/>
          <w:szCs w:val="24"/>
        </w:rPr>
        <w:t>just</w:t>
      </w:r>
      <w:r w:rsidRPr="00423400" w:rsidR="00B60B67">
        <w:rPr>
          <w:rFonts w:cs="Times New Roman"/>
          <w:szCs w:val="24"/>
        </w:rPr>
        <w:t xml:space="preserve"> </w:t>
      </w:r>
      <w:r w:rsidRPr="00423400">
        <w:rPr>
          <w:rFonts w:cs="Times New Roman"/>
          <w:szCs w:val="24"/>
        </w:rPr>
        <w:t>and</w:t>
      </w:r>
      <w:r w:rsidRPr="00423400" w:rsidR="00B60B67">
        <w:rPr>
          <w:rFonts w:cs="Times New Roman"/>
          <w:szCs w:val="24"/>
        </w:rPr>
        <w:t xml:space="preserve"> </w:t>
      </w:r>
      <w:r w:rsidRPr="00423400">
        <w:rPr>
          <w:rFonts w:cs="Times New Roman"/>
          <w:szCs w:val="24"/>
        </w:rPr>
        <w:t>reasonable</w:t>
      </w:r>
      <w:r w:rsidRPr="00423400" w:rsidR="00B60B67">
        <w:rPr>
          <w:rFonts w:cs="Times New Roman"/>
          <w:szCs w:val="24"/>
        </w:rPr>
        <w:t xml:space="preserve"> </w:t>
      </w:r>
      <w:r w:rsidRPr="00423400">
        <w:rPr>
          <w:rFonts w:cs="Times New Roman"/>
          <w:szCs w:val="24"/>
        </w:rPr>
        <w:t>rates.</w:t>
      </w:r>
      <w:r>
        <w:rPr>
          <w:rStyle w:val="FootnoteReference"/>
          <w:rFonts w:cs="Times New Roman"/>
          <w:szCs w:val="24"/>
        </w:rPr>
        <w:footnoteReference w:id="299"/>
      </w:r>
      <w:r w:rsidRPr="00423400">
        <w:rPr>
          <w:rFonts w:cs="Times New Roman"/>
          <w:szCs w:val="24"/>
        </w:rPr>
        <w:t xml:space="preserve"> </w:t>
      </w:r>
    </w:p>
    <w:p w:rsidR="00DD1C08" w:rsidRPr="00423400" w:rsidP="008C2515" w14:paraId="017660A9" w14:textId="77777777">
      <w:pPr>
        <w:tabs>
          <w:tab w:val="left" w:pos="-1440"/>
        </w:tabs>
        <w:spacing w:after="0" w:line="480" w:lineRule="auto"/>
        <w:rPr>
          <w:rFonts w:cs="Times New Roman"/>
          <w:szCs w:val="24"/>
        </w:rPr>
      </w:pPr>
      <w:r w:rsidRPr="00423400">
        <w:rPr>
          <w:rFonts w:cs="Times New Roman"/>
          <w:szCs w:val="24"/>
        </w:rPr>
        <w:tab/>
        <w:t xml:space="preserve">In addition, </w:t>
      </w:r>
      <w:r w:rsidRPr="00423400" w:rsidR="006F683D">
        <w:rPr>
          <w:rFonts w:cs="Times New Roman"/>
          <w:szCs w:val="24"/>
        </w:rPr>
        <w:t xml:space="preserve">Mr. Walters explained, </w:t>
      </w:r>
      <w:r w:rsidRPr="00423400">
        <w:rPr>
          <w:rFonts w:cs="Times New Roman"/>
          <w:szCs w:val="24"/>
        </w:rPr>
        <w:t xml:space="preserve">the FERC has recently found that the Expected Earnings model does not satisfy the requirements of </w:t>
      </w:r>
      <w:r w:rsidRPr="00423400">
        <w:rPr>
          <w:rFonts w:cs="Times New Roman"/>
          <w:i/>
          <w:szCs w:val="24"/>
        </w:rPr>
        <w:t>Hope</w:t>
      </w:r>
      <w:r w:rsidRPr="00423400">
        <w:rPr>
          <w:rFonts w:cs="Times New Roman"/>
          <w:szCs w:val="24"/>
        </w:rPr>
        <w:t>.</w:t>
      </w:r>
      <w:r>
        <w:rPr>
          <w:rStyle w:val="FootnoteReference"/>
          <w:rFonts w:cs="Times New Roman"/>
          <w:szCs w:val="24"/>
        </w:rPr>
        <w:footnoteReference w:id="300"/>
      </w:r>
      <w:r w:rsidRPr="00423400">
        <w:rPr>
          <w:rFonts w:cs="Times New Roman"/>
          <w:szCs w:val="24"/>
        </w:rPr>
        <w:t xml:space="preserve"> In part, the FERC states as follows: </w:t>
      </w:r>
    </w:p>
    <w:p w:rsidR="00DD1C08" w:rsidRPr="00423400" w:rsidP="00847842" w14:paraId="3566F4CF" w14:textId="77777777">
      <w:pPr>
        <w:tabs>
          <w:tab w:val="left" w:pos="-1440"/>
        </w:tabs>
        <w:spacing w:line="240" w:lineRule="auto"/>
        <w:ind w:left="1440" w:right="1440"/>
        <w:rPr>
          <w:rFonts w:cs="Times New Roman"/>
          <w:szCs w:val="24"/>
        </w:rPr>
      </w:pPr>
      <w:r w:rsidRPr="00423400">
        <w:rPr>
          <w:rFonts w:cs="Times New Roman"/>
          <w:szCs w:val="24"/>
        </w:rPr>
        <w:t xml:space="preserve">As a result, the expected return on a utility’s book value does not reflect “returns on investments in other enterprises” because book value does not reflect the value of any investment that is available to an investor in the market, outside of the unlikely situation in which market value and book value are exactly equal. Accordingly, we find that relying on the Expected Earnings model would not satisfy the requirements of </w:t>
      </w:r>
      <w:r w:rsidRPr="00423400">
        <w:rPr>
          <w:rFonts w:cs="Times New Roman"/>
          <w:i/>
          <w:szCs w:val="24"/>
        </w:rPr>
        <w:t>Hope</w:t>
      </w:r>
      <w:r w:rsidRPr="00423400">
        <w:rPr>
          <w:rFonts w:cs="Times New Roman"/>
          <w:szCs w:val="24"/>
        </w:rPr>
        <w:t>.</w:t>
      </w:r>
    </w:p>
    <w:p w:rsidR="00DD1C08" w:rsidRPr="00423400" w:rsidP="00847842" w14:paraId="49CA72A1" w14:textId="77777777">
      <w:pPr>
        <w:tabs>
          <w:tab w:val="left" w:pos="-1440"/>
        </w:tabs>
        <w:spacing w:line="240" w:lineRule="auto"/>
        <w:ind w:left="1440" w:right="1440"/>
        <w:rPr>
          <w:rFonts w:cs="Times New Roman"/>
          <w:szCs w:val="24"/>
        </w:rPr>
      </w:pPr>
      <w:r w:rsidRPr="00423400">
        <w:rPr>
          <w:rFonts w:cs="Times New Roman"/>
          <w:szCs w:val="24"/>
        </w:rPr>
        <w:t>The return on book value is also not indicative of what return an investor requires to invest in the utility’s equity or what return an investor receives on the equity investment, because those returns are determined with respect to the current market price that an investor must pay in order to invest in the equity.</w:t>
      </w:r>
      <w:r>
        <w:rPr>
          <w:rStyle w:val="FootnoteReference"/>
          <w:rFonts w:cs="Times New Roman"/>
          <w:szCs w:val="24"/>
        </w:rPr>
        <w:footnoteReference w:id="301"/>
      </w:r>
    </w:p>
    <w:p w:rsidR="004D5043" w:rsidRPr="00423400" w:rsidP="008C2515" w14:paraId="769C7017" w14:textId="77777777">
      <w:pPr>
        <w:tabs>
          <w:tab w:val="left" w:pos="-1440"/>
        </w:tabs>
        <w:spacing w:after="0" w:line="240" w:lineRule="auto"/>
        <w:ind w:left="1440" w:right="792"/>
        <w:rPr>
          <w:rFonts w:cs="Times New Roman"/>
          <w:szCs w:val="24"/>
        </w:rPr>
      </w:pPr>
    </w:p>
    <w:p w:rsidR="00DD1C08" w:rsidRPr="00423400" w:rsidP="002F4C03" w14:paraId="6A8507E2" w14:textId="77777777">
      <w:pPr>
        <w:tabs>
          <w:tab w:val="left" w:pos="-1440"/>
        </w:tabs>
        <w:spacing w:after="0" w:line="480" w:lineRule="auto"/>
        <w:rPr>
          <w:rFonts w:cs="Times New Roman"/>
          <w:szCs w:val="24"/>
        </w:rPr>
      </w:pPr>
      <w:r w:rsidRPr="00423400">
        <w:rPr>
          <w:rFonts w:cs="Times New Roman"/>
          <w:szCs w:val="24"/>
        </w:rPr>
        <w:tab/>
        <w:t>Later in the same Opinion, FERC observes that Expected Earnings model does not identify investments of comparable risk.</w:t>
      </w:r>
      <w:r>
        <w:rPr>
          <w:rStyle w:val="FootnoteReference"/>
          <w:rFonts w:cs="Times New Roman"/>
          <w:szCs w:val="24"/>
        </w:rPr>
        <w:footnoteReference w:id="302"/>
      </w:r>
      <w:r w:rsidRPr="00423400">
        <w:rPr>
          <w:rFonts w:cs="Times New Roman"/>
          <w:szCs w:val="24"/>
        </w:rPr>
        <w:t xml:space="preserve"> It states as follows: </w:t>
      </w:r>
    </w:p>
    <w:p w:rsidR="00DD1C08" w:rsidRPr="00423400" w:rsidP="00847842" w14:paraId="0C8C47BD" w14:textId="77777777">
      <w:pPr>
        <w:tabs>
          <w:tab w:val="left" w:pos="-1440"/>
        </w:tabs>
        <w:spacing w:after="240" w:line="240" w:lineRule="auto"/>
        <w:ind w:left="1440" w:right="1440"/>
        <w:rPr>
          <w:rFonts w:cs="Times New Roman"/>
          <w:szCs w:val="24"/>
        </w:rPr>
      </w:pPr>
      <w:r w:rsidRPr="00423400">
        <w:rPr>
          <w:rFonts w:cs="Times New Roman"/>
          <w:szCs w:val="24"/>
        </w:rPr>
        <w:t>Moreover, we find that the record demonstrates that the Expected Earnings model does not identify investments of comparable risk and which alternatives will have a higher expected return as MISO TOs’ witness Mr. McKenzie indicates. In particular, because the Expected Earnings model measures returns on book value, without consideration of what market price an investor would have to pay to invest in the relevant company, it does not accurately measure the investor’s expected returns on its investment.</w:t>
      </w:r>
      <w:r>
        <w:rPr>
          <w:rStyle w:val="FootnoteReference"/>
          <w:rFonts w:cs="Times New Roman"/>
          <w:szCs w:val="24"/>
        </w:rPr>
        <w:footnoteReference w:id="303"/>
      </w:r>
    </w:p>
    <w:p w:rsidR="007A036A" w:rsidRPr="00423400" w:rsidP="007C195E" w14:paraId="7CA8E0F1" w14:textId="77777777">
      <w:pPr>
        <w:tabs>
          <w:tab w:val="left" w:pos="-1440"/>
        </w:tabs>
        <w:spacing w:after="0" w:line="480" w:lineRule="auto"/>
        <w:rPr>
          <w:rFonts w:cs="Times New Roman"/>
          <w:szCs w:val="24"/>
        </w:rPr>
      </w:pPr>
      <w:r w:rsidRPr="00423400">
        <w:rPr>
          <w:rFonts w:cs="Times New Roman"/>
          <w:szCs w:val="24"/>
        </w:rPr>
        <w:tab/>
        <w:t>Additionally, the historical and projected earned ROE for these holding companies can be significantly influenced by the financial performance of non</w:t>
      </w:r>
      <w:r w:rsidR="000B1DEE">
        <w:rPr>
          <w:rFonts w:cs="Times New Roman"/>
          <w:szCs w:val="24"/>
        </w:rPr>
        <w:t>-</w:t>
      </w:r>
      <w:r w:rsidRPr="00423400">
        <w:rPr>
          <w:rFonts w:cs="Times New Roman"/>
          <w:szCs w:val="24"/>
        </w:rPr>
        <w:t>regulated operations.</w:t>
      </w:r>
      <w:r>
        <w:rPr>
          <w:rStyle w:val="FootnoteReference"/>
          <w:rFonts w:cs="Times New Roman"/>
          <w:szCs w:val="24"/>
        </w:rPr>
        <w:footnoteReference w:id="304"/>
      </w:r>
      <w:r w:rsidRPr="00423400">
        <w:rPr>
          <w:rFonts w:cs="Times New Roman"/>
          <w:szCs w:val="24"/>
        </w:rPr>
        <w:t xml:space="preserve"> </w:t>
      </w:r>
    </w:p>
    <w:p w:rsidR="007B6769" w:rsidRPr="00423400" w:rsidP="007B6769" w14:paraId="75CA8219" w14:textId="77777777">
      <w:pPr>
        <w:spacing w:after="0" w:line="480" w:lineRule="auto"/>
        <w:ind w:firstLine="720"/>
        <w:rPr>
          <w:rFonts w:cs="Times New Roman"/>
          <w:color w:val="000000"/>
          <w:szCs w:val="24"/>
        </w:rPr>
      </w:pPr>
      <w:r w:rsidRPr="00423400">
        <w:rPr>
          <w:rFonts w:cs="Times New Roman"/>
          <w:szCs w:val="24"/>
        </w:rPr>
        <w:t>OCC</w:t>
      </w:r>
      <w:r w:rsidRPr="00423400" w:rsidR="00CE0264">
        <w:rPr>
          <w:rFonts w:cs="Times New Roman"/>
          <w:szCs w:val="24"/>
        </w:rPr>
        <w:t>’</w:t>
      </w:r>
      <w:r w:rsidRPr="00423400">
        <w:rPr>
          <w:rFonts w:cs="Times New Roman"/>
          <w:szCs w:val="24"/>
        </w:rPr>
        <w:t xml:space="preserve">s witness Mr. Walters explained that </w:t>
      </w:r>
      <w:r w:rsidRPr="00423400" w:rsidR="007C195E">
        <w:rPr>
          <w:rFonts w:cs="Times New Roman"/>
          <w:szCs w:val="24"/>
        </w:rPr>
        <w:t>M</w:t>
      </w:r>
      <w:r w:rsidRPr="00423400" w:rsidR="00CE0264">
        <w:rPr>
          <w:rFonts w:cs="Times New Roman"/>
          <w:bCs/>
          <w:color w:val="000000"/>
          <w:szCs w:val="24"/>
        </w:rPr>
        <w:t xml:space="preserve">r. </w:t>
      </w:r>
      <w:r w:rsidRPr="00423400">
        <w:rPr>
          <w:rFonts w:cs="Times New Roman"/>
          <w:bCs/>
          <w:color w:val="000000"/>
          <w:szCs w:val="24"/>
        </w:rPr>
        <w:t>McKenzie</w:t>
      </w:r>
      <w:r w:rsidRPr="00423400" w:rsidR="00CE0264">
        <w:rPr>
          <w:rFonts w:cs="Times New Roman"/>
          <w:bCs/>
          <w:color w:val="000000"/>
          <w:szCs w:val="24"/>
        </w:rPr>
        <w:t xml:space="preserve"> relied, in part, on the significant rise in the </w:t>
      </w:r>
      <w:r w:rsidRPr="00423400" w:rsidR="007C195E">
        <w:rPr>
          <w:rFonts w:cs="Times New Roman"/>
          <w:bCs/>
          <w:color w:val="000000"/>
          <w:szCs w:val="24"/>
        </w:rPr>
        <w:t>C</w:t>
      </w:r>
      <w:r w:rsidRPr="00423400" w:rsidR="00CE0264">
        <w:rPr>
          <w:rFonts w:cs="Times New Roman"/>
          <w:bCs/>
          <w:color w:val="000000"/>
          <w:szCs w:val="24"/>
        </w:rPr>
        <w:t>hicago board options exchange volatility index (“</w:t>
      </w:r>
      <w:r w:rsidRPr="00423400" w:rsidR="007C195E">
        <w:rPr>
          <w:rFonts w:cs="Times New Roman"/>
          <w:bCs/>
          <w:color w:val="000000"/>
          <w:szCs w:val="24"/>
        </w:rPr>
        <w:t>VIX</w:t>
      </w:r>
      <w:r w:rsidRPr="00423400" w:rsidR="00CE0264">
        <w:rPr>
          <w:rFonts w:cs="Times New Roman"/>
          <w:bCs/>
          <w:color w:val="000000"/>
          <w:szCs w:val="24"/>
        </w:rPr>
        <w:t xml:space="preserve">”) during the period of </w:t>
      </w:r>
      <w:r w:rsidRPr="00423400" w:rsidR="007C195E">
        <w:rPr>
          <w:rFonts w:cs="Times New Roman"/>
          <w:bCs/>
          <w:color w:val="000000"/>
          <w:szCs w:val="24"/>
        </w:rPr>
        <w:t>F</w:t>
      </w:r>
      <w:r w:rsidRPr="00423400" w:rsidR="00CE0264">
        <w:rPr>
          <w:rFonts w:cs="Times New Roman"/>
          <w:bCs/>
          <w:color w:val="000000"/>
          <w:szCs w:val="24"/>
        </w:rPr>
        <w:t xml:space="preserve">ebruary and </w:t>
      </w:r>
      <w:r w:rsidRPr="00423400" w:rsidR="007C195E">
        <w:rPr>
          <w:rFonts w:cs="Times New Roman"/>
          <w:bCs/>
          <w:color w:val="000000"/>
          <w:szCs w:val="24"/>
        </w:rPr>
        <w:t>M</w:t>
      </w:r>
      <w:r w:rsidRPr="00423400" w:rsidR="00CE0264">
        <w:rPr>
          <w:rFonts w:cs="Times New Roman"/>
          <w:bCs/>
          <w:color w:val="000000"/>
          <w:szCs w:val="24"/>
        </w:rPr>
        <w:t>arch 2020 as support for his assertion that investors have dramatically revised their risk perceptions.</w:t>
      </w:r>
      <w:r>
        <w:rPr>
          <w:rStyle w:val="FootnoteReference"/>
          <w:rFonts w:cs="Times New Roman"/>
          <w:bCs/>
          <w:color w:val="000000"/>
          <w:szCs w:val="24"/>
        </w:rPr>
        <w:footnoteReference w:id="305"/>
      </w:r>
      <w:r w:rsidRPr="00423400" w:rsidR="00CE0264">
        <w:rPr>
          <w:rFonts w:cs="Times New Roman"/>
          <w:bCs/>
          <w:color w:val="000000"/>
          <w:szCs w:val="24"/>
        </w:rPr>
        <w:t xml:space="preserve"> </w:t>
      </w:r>
      <w:r w:rsidRPr="00423400" w:rsidR="00CE0264">
        <w:rPr>
          <w:rFonts w:cs="Times New Roman"/>
          <w:color w:val="000000"/>
          <w:szCs w:val="24"/>
        </w:rPr>
        <w:t>Mr. McKenzie observe</w:t>
      </w:r>
      <w:r w:rsidRPr="00423400" w:rsidR="007C195E">
        <w:rPr>
          <w:rFonts w:cs="Times New Roman"/>
          <w:color w:val="000000"/>
          <w:szCs w:val="24"/>
        </w:rPr>
        <w:t>d</w:t>
      </w:r>
      <w:r w:rsidRPr="00423400" w:rsidR="00CE0264">
        <w:rPr>
          <w:rFonts w:cs="Times New Roman"/>
          <w:color w:val="000000"/>
          <w:szCs w:val="24"/>
        </w:rPr>
        <w:t xml:space="preserve"> that between February 19 and March 23, 2020, the VIX rose to levels not seen since the 2008-2009 financial crisis.</w:t>
      </w:r>
      <w:r>
        <w:rPr>
          <w:rStyle w:val="FootnoteReference"/>
          <w:rFonts w:cs="Times New Roman"/>
          <w:color w:val="000000"/>
          <w:szCs w:val="24"/>
        </w:rPr>
        <w:footnoteReference w:id="306"/>
      </w:r>
      <w:r w:rsidRPr="00423400" w:rsidR="00CE0264">
        <w:rPr>
          <w:rFonts w:cs="Times New Roman"/>
          <w:color w:val="000000"/>
          <w:szCs w:val="24"/>
        </w:rPr>
        <w:t xml:space="preserve"> As he stated, the VIX is a measure of “near-term volatility” expectations.</w:t>
      </w:r>
      <w:r>
        <w:rPr>
          <w:rStyle w:val="FootnoteReference"/>
          <w:rFonts w:cs="Times New Roman"/>
          <w:color w:val="000000"/>
          <w:szCs w:val="24"/>
        </w:rPr>
        <w:footnoteReference w:id="307"/>
      </w:r>
      <w:r w:rsidRPr="00423400" w:rsidR="00CE0264">
        <w:rPr>
          <w:rFonts w:cs="Times New Roman"/>
          <w:color w:val="000000"/>
          <w:szCs w:val="24"/>
        </w:rPr>
        <w:t xml:space="preserve"> The VIX is calculated based on prices of out-of-the-money call and put options for the S&amp;P 500 and is an estimate of the expected volatility in the overall market for approximately the next 30 days at any given time.</w:t>
      </w:r>
      <w:r>
        <w:rPr>
          <w:rStyle w:val="FootnoteReference"/>
          <w:rFonts w:cs="Times New Roman"/>
          <w:color w:val="000000"/>
          <w:szCs w:val="24"/>
        </w:rPr>
        <w:footnoteReference w:id="308"/>
      </w:r>
      <w:r w:rsidRPr="00423400" w:rsidR="00CE0264">
        <w:rPr>
          <w:rFonts w:cs="Times New Roman"/>
          <w:color w:val="000000"/>
          <w:szCs w:val="24"/>
        </w:rPr>
        <w:t xml:space="preserve"> </w:t>
      </w:r>
      <w:r w:rsidRPr="00423400" w:rsidR="007C195E">
        <w:rPr>
          <w:rFonts w:cs="Times New Roman"/>
          <w:color w:val="000000"/>
          <w:szCs w:val="24"/>
        </w:rPr>
        <w:t xml:space="preserve">Mr. Walters recommends that </w:t>
      </w:r>
      <w:r w:rsidRPr="00423400" w:rsidR="00CE0264">
        <w:rPr>
          <w:rFonts w:cs="Times New Roman"/>
          <w:color w:val="000000"/>
          <w:szCs w:val="24"/>
        </w:rPr>
        <w:t xml:space="preserve">Mr. McKenzie’s reliance on the VIX to support his assertion with regard to investors’ risk should be disregarded when assessing a fair ROE for </w:t>
      </w:r>
      <w:r w:rsidRPr="00423400" w:rsidR="00CE0264">
        <w:rPr>
          <w:rFonts w:cs="Times New Roman"/>
          <w:szCs w:val="24"/>
        </w:rPr>
        <w:t>DP&amp;L</w:t>
      </w:r>
      <w:r w:rsidRPr="00423400" w:rsidR="00CE0264">
        <w:rPr>
          <w:rFonts w:cs="Times New Roman"/>
          <w:color w:val="000000"/>
          <w:szCs w:val="24"/>
        </w:rPr>
        <w:t xml:space="preserve"> for at least two reasons.</w:t>
      </w:r>
      <w:r>
        <w:rPr>
          <w:rStyle w:val="FootnoteReference"/>
          <w:rFonts w:cs="Times New Roman"/>
          <w:color w:val="000000"/>
          <w:szCs w:val="24"/>
        </w:rPr>
        <w:footnoteReference w:id="309"/>
      </w:r>
    </w:p>
    <w:p w:rsidR="00CE0264" w:rsidRPr="00423400" w:rsidP="00E0389C" w14:paraId="74EDDF5B" w14:textId="77777777">
      <w:pPr>
        <w:spacing w:after="0" w:line="480" w:lineRule="auto"/>
        <w:ind w:firstLine="720"/>
        <w:rPr>
          <w:rFonts w:cs="Times New Roman"/>
          <w:color w:val="000000"/>
          <w:szCs w:val="24"/>
        </w:rPr>
      </w:pPr>
      <w:r w:rsidRPr="00423400">
        <w:rPr>
          <w:rFonts w:cs="Times New Roman"/>
          <w:color w:val="000000"/>
          <w:szCs w:val="24"/>
        </w:rPr>
        <w:t>First, as discussed above, the VIX is a measure of expected volatility in the S&amp;P 500 for approximately the next 30 days at any point in time.</w:t>
      </w:r>
      <w:r>
        <w:rPr>
          <w:rStyle w:val="FootnoteReference"/>
          <w:rFonts w:cs="Times New Roman"/>
          <w:color w:val="000000"/>
          <w:szCs w:val="24"/>
        </w:rPr>
        <w:footnoteReference w:id="310"/>
      </w:r>
      <w:r w:rsidRPr="00423400">
        <w:rPr>
          <w:rFonts w:cs="Times New Roman"/>
          <w:color w:val="000000"/>
          <w:szCs w:val="24"/>
        </w:rPr>
        <w:t xml:space="preserve"> Establishing a rate of return that can be expected to last several months, if not years, based on the levels of something that represents such a short-term outlook does not make sense and should not be implemented now.</w:t>
      </w:r>
      <w:r>
        <w:rPr>
          <w:rStyle w:val="FootnoteReference"/>
          <w:rFonts w:cs="Times New Roman"/>
          <w:color w:val="000000"/>
          <w:szCs w:val="24"/>
        </w:rPr>
        <w:footnoteReference w:id="311"/>
      </w:r>
      <w:r w:rsidRPr="00423400">
        <w:rPr>
          <w:rFonts w:cs="Times New Roman"/>
          <w:color w:val="000000"/>
          <w:szCs w:val="24"/>
        </w:rPr>
        <w:t xml:space="preserve"> If Mr. McKenzie believes that the sharp increase in the VIX levels experienced in early 2020 are somehow relevant to today’s cost of equity, then he cannot ignore the subsequent and immediate falls in expected volatility.</w:t>
      </w:r>
      <w:r>
        <w:rPr>
          <w:rStyle w:val="FootnoteReference"/>
          <w:rFonts w:cs="Times New Roman"/>
          <w:color w:val="000000"/>
          <w:szCs w:val="24"/>
        </w:rPr>
        <w:footnoteReference w:id="312"/>
      </w:r>
      <w:r w:rsidRPr="00423400">
        <w:rPr>
          <w:rFonts w:cs="Times New Roman"/>
          <w:color w:val="000000"/>
          <w:szCs w:val="24"/>
        </w:rPr>
        <w:t xml:space="preserve"> In other words, spikes in expected short-term volatility are short-lived and should not be relied on in assessing the long-term cost of capital.</w:t>
      </w:r>
      <w:r>
        <w:rPr>
          <w:rStyle w:val="FootnoteReference"/>
          <w:rFonts w:cs="Times New Roman"/>
          <w:color w:val="000000"/>
          <w:szCs w:val="24"/>
        </w:rPr>
        <w:footnoteReference w:id="313"/>
      </w:r>
      <w:r w:rsidRPr="00423400">
        <w:rPr>
          <w:rFonts w:cs="Times New Roman"/>
          <w:color w:val="000000"/>
          <w:szCs w:val="24"/>
        </w:rPr>
        <w:t xml:space="preserve"> </w:t>
      </w:r>
    </w:p>
    <w:p w:rsidR="00E0389C" w:rsidRPr="00423400" w:rsidP="00E0389C" w14:paraId="649EA403" w14:textId="77777777">
      <w:pPr>
        <w:tabs>
          <w:tab w:val="left" w:pos="-1440"/>
        </w:tabs>
        <w:spacing w:after="0" w:line="480" w:lineRule="auto"/>
        <w:rPr>
          <w:rFonts w:cs="Times New Roman"/>
          <w:color w:val="000000"/>
          <w:szCs w:val="24"/>
        </w:rPr>
      </w:pPr>
      <w:r w:rsidRPr="00423400">
        <w:rPr>
          <w:rFonts w:cs="Times New Roman"/>
          <w:color w:val="000000"/>
          <w:szCs w:val="24"/>
        </w:rPr>
        <w:tab/>
        <w:t>Second, the paradigm appears to be shifting as the world transitions toward normalcy given the massive vaccine rollouts are implemented.</w:t>
      </w:r>
      <w:r>
        <w:rPr>
          <w:rStyle w:val="FootnoteReference"/>
          <w:rFonts w:cs="Times New Roman"/>
          <w:color w:val="000000"/>
          <w:szCs w:val="24"/>
        </w:rPr>
        <w:footnoteReference w:id="314"/>
      </w:r>
      <w:r w:rsidRPr="00423400">
        <w:rPr>
          <w:rFonts w:cs="Times New Roman"/>
          <w:color w:val="000000"/>
          <w:szCs w:val="24"/>
        </w:rPr>
        <w:t xml:space="preserve"> It is reasonable to expect a recovery in many sectors throughout our economy, especially those that were most harshly hit during the pandemic.</w:t>
      </w:r>
      <w:r>
        <w:rPr>
          <w:rStyle w:val="FootnoteReference"/>
          <w:rFonts w:cs="Times New Roman"/>
          <w:color w:val="000000"/>
          <w:szCs w:val="24"/>
        </w:rPr>
        <w:footnoteReference w:id="315"/>
      </w:r>
      <w:r w:rsidRPr="00423400">
        <w:rPr>
          <w:rFonts w:cs="Times New Roman"/>
          <w:color w:val="000000"/>
          <w:szCs w:val="24"/>
        </w:rPr>
        <w:t xml:space="preserve"> Such a recovery would likely quell investor fears as it relates to COVID-19 and its going-forward impact on the market.</w:t>
      </w:r>
      <w:r>
        <w:rPr>
          <w:rStyle w:val="FootnoteReference"/>
          <w:rFonts w:cs="Times New Roman"/>
          <w:color w:val="000000"/>
          <w:szCs w:val="24"/>
        </w:rPr>
        <w:footnoteReference w:id="316"/>
      </w:r>
    </w:p>
    <w:p w:rsidR="008C2515" w:rsidRPr="00423400" w:rsidP="00AD32AF" w14:paraId="3506EDF8" w14:textId="77777777">
      <w:pPr>
        <w:tabs>
          <w:tab w:val="left" w:pos="-1440"/>
        </w:tabs>
        <w:spacing w:after="0" w:line="480" w:lineRule="auto"/>
        <w:rPr>
          <w:rFonts w:cs="Times New Roman"/>
          <w:szCs w:val="24"/>
        </w:rPr>
      </w:pPr>
      <w:r w:rsidRPr="00423400">
        <w:rPr>
          <w:rFonts w:cs="Times New Roman"/>
          <w:color w:val="000000"/>
          <w:szCs w:val="24"/>
        </w:rPr>
        <w:tab/>
      </w:r>
      <w:r w:rsidRPr="00423400" w:rsidR="00DD1C08">
        <w:rPr>
          <w:rFonts w:cs="Times New Roman"/>
          <w:szCs w:val="24"/>
        </w:rPr>
        <w:t xml:space="preserve">For these reasons, Mr. McKenzie’s Expected Earnings analysis should be disregarded. </w:t>
      </w:r>
    </w:p>
    <w:p w:rsidR="00D15CC6" w:rsidRPr="00423400" w:rsidP="0012105E" w14:paraId="65E405A1" w14:textId="77777777">
      <w:pPr>
        <w:pStyle w:val="Heading2"/>
        <w:ind w:left="1440" w:hanging="720"/>
        <w:rPr>
          <w:color w:val="auto"/>
          <w:sz w:val="24"/>
          <w:szCs w:val="24"/>
        </w:rPr>
      </w:pPr>
      <w:bookmarkStart w:id="75" w:name="_Toc96960367"/>
      <w:bookmarkStart w:id="76" w:name="_Toc96960409"/>
      <w:bookmarkStart w:id="77" w:name="_Toc97298216"/>
      <w:r w:rsidRPr="00423400">
        <w:rPr>
          <w:color w:val="auto"/>
          <w:sz w:val="24"/>
          <w:szCs w:val="24"/>
        </w:rPr>
        <w:t xml:space="preserve">To protect consumers from paying higher rates, the PUCO should reject DP&amp;L’s </w:t>
      </w:r>
      <w:r w:rsidRPr="00423400" w:rsidR="00F25743">
        <w:rPr>
          <w:color w:val="auto"/>
          <w:sz w:val="24"/>
          <w:szCs w:val="24"/>
        </w:rPr>
        <w:t>utility equity risk premium.</w:t>
      </w:r>
      <w:bookmarkEnd w:id="75"/>
      <w:bookmarkEnd w:id="76"/>
      <w:bookmarkEnd w:id="77"/>
    </w:p>
    <w:p w:rsidR="00EB2D1A" w:rsidRPr="00423400" w:rsidP="00296603" w14:paraId="77B8D6B7" w14:textId="77777777">
      <w:pPr>
        <w:spacing w:before="240" w:after="0" w:line="480" w:lineRule="auto"/>
        <w:ind w:firstLine="720"/>
        <w:rPr>
          <w:rFonts w:eastAsia="Calibri" w:cs="Times New Roman"/>
          <w:color w:val="000000"/>
          <w:szCs w:val="24"/>
        </w:rPr>
      </w:pPr>
      <w:r w:rsidRPr="00423400">
        <w:rPr>
          <w:rFonts w:cs="Times New Roman"/>
          <w:szCs w:val="24"/>
        </w:rPr>
        <w:t xml:space="preserve">OCC’s expert Mr. Walters testified that </w:t>
      </w:r>
      <w:r w:rsidRPr="00423400" w:rsidR="00F25743">
        <w:rPr>
          <w:rFonts w:cs="Times New Roman"/>
          <w:szCs w:val="24"/>
        </w:rPr>
        <w:t>DP&amp;L’s witness Mr. McKenzie projected a utility bond yield of 4.84%</w:t>
      </w:r>
      <w:r w:rsidRPr="00423400">
        <w:rPr>
          <w:rFonts w:cs="Times New Roman"/>
          <w:szCs w:val="24"/>
        </w:rPr>
        <w:t>.</w:t>
      </w:r>
      <w:r>
        <w:rPr>
          <w:rStyle w:val="FootnoteReference"/>
          <w:rFonts w:cs="Times New Roman"/>
          <w:szCs w:val="24"/>
        </w:rPr>
        <w:footnoteReference w:id="317"/>
      </w:r>
      <w:r w:rsidRPr="00423400">
        <w:rPr>
          <w:rFonts w:cs="Times New Roman"/>
          <w:szCs w:val="24"/>
        </w:rPr>
        <w:t xml:space="preserve"> </w:t>
      </w:r>
      <w:r w:rsidRPr="00423400">
        <w:rPr>
          <w:rFonts w:cs="Times New Roman"/>
          <w:color w:val="000000"/>
          <w:szCs w:val="24"/>
        </w:rPr>
        <w:t>Mr. McKenzie used a projected Aa-rated utility bond yield for the period 2021 through 2025 of 4.12%.</w:t>
      </w:r>
      <w:r>
        <w:rPr>
          <w:rStyle w:val="FootnoteReference"/>
          <w:rFonts w:cs="Times New Roman"/>
          <w:color w:val="000000"/>
          <w:szCs w:val="24"/>
        </w:rPr>
        <w:footnoteReference w:id="318"/>
      </w:r>
      <w:r w:rsidRPr="00423400">
        <w:rPr>
          <w:rFonts w:cs="Times New Roman"/>
          <w:color w:val="000000"/>
          <w:szCs w:val="24"/>
        </w:rPr>
        <w:t xml:space="preserve"> He then measured the current yield spread of Baa-utility bond yields over Aa utility bond yields of 0.72%, which he adds to the projected AA-utility bond yield of 4.12% to produce his projected yield of 4.84%.</w:t>
      </w:r>
      <w:r>
        <w:rPr>
          <w:rStyle w:val="FootnoteReference"/>
          <w:rFonts w:cs="Times New Roman"/>
          <w:color w:val="000000"/>
          <w:szCs w:val="24"/>
        </w:rPr>
        <w:footnoteReference w:id="319"/>
      </w:r>
      <w:r w:rsidRPr="00423400">
        <w:rPr>
          <w:rFonts w:cs="Times New Roman"/>
          <w:color w:val="000000"/>
          <w:szCs w:val="24"/>
        </w:rPr>
        <w:t xml:space="preserve"> This projected yield is based on irrational data in today’s market.</w:t>
      </w:r>
      <w:r>
        <w:rPr>
          <w:rStyle w:val="FootnoteReference"/>
          <w:rFonts w:cs="Times New Roman"/>
          <w:color w:val="000000"/>
          <w:szCs w:val="24"/>
        </w:rPr>
        <w:footnoteReference w:id="320"/>
      </w:r>
      <w:r w:rsidRPr="00423400">
        <w:rPr>
          <w:rFonts w:cs="Times New Roman"/>
          <w:color w:val="000000"/>
          <w:szCs w:val="24"/>
        </w:rPr>
        <w:t xml:space="preserve"> Mr. McKenzie’s current Baa</w:t>
      </w:r>
      <w:r w:rsidRPr="00423400">
        <w:rPr>
          <w:rFonts w:cs="Times New Roman"/>
          <w:color w:val="000000"/>
          <w:szCs w:val="24"/>
        </w:rPr>
        <w:noBreakHyphen/>
        <w:t>rated utility bond yield is 3.63% as shown on page 1 of his Exhibit AMM-8.</w:t>
      </w:r>
      <w:r>
        <w:rPr>
          <w:rStyle w:val="FootnoteReference"/>
          <w:rFonts w:cs="Times New Roman"/>
          <w:color w:val="000000"/>
          <w:szCs w:val="24"/>
        </w:rPr>
        <w:footnoteReference w:id="321"/>
      </w:r>
      <w:r w:rsidRPr="00423400">
        <w:rPr>
          <w:rFonts w:cs="Times New Roman"/>
          <w:color w:val="000000"/>
          <w:szCs w:val="24"/>
        </w:rPr>
        <w:t xml:space="preserve"> Mr. McKenzie’s projected increase of 121 basis points</w:t>
      </w:r>
      <w:r>
        <w:rPr>
          <w:rStyle w:val="FootnoteReference"/>
          <w:rFonts w:cs="Times New Roman"/>
          <w:color w:val="000000"/>
          <w:szCs w:val="24"/>
        </w:rPr>
        <w:footnoteReference w:id="322"/>
      </w:r>
      <w:r w:rsidRPr="00423400">
        <w:rPr>
          <w:rFonts w:cs="Times New Roman"/>
          <w:color w:val="000000"/>
          <w:szCs w:val="24"/>
        </w:rPr>
        <w:t xml:space="preserve"> in Baa-rated utility bond yields is not reflective of current market conditions or near-term expectations.</w:t>
      </w:r>
      <w:r>
        <w:rPr>
          <w:rStyle w:val="FootnoteReference"/>
          <w:rFonts w:cs="Times New Roman"/>
          <w:color w:val="000000"/>
          <w:szCs w:val="24"/>
        </w:rPr>
        <w:footnoteReference w:id="323"/>
      </w:r>
      <w:r w:rsidRPr="00423400">
        <w:rPr>
          <w:rFonts w:cs="Times New Roman"/>
          <w:color w:val="000000"/>
          <w:szCs w:val="24"/>
        </w:rPr>
        <w:t xml:space="preserve"> </w:t>
      </w:r>
      <w:r w:rsidRPr="00423400">
        <w:rPr>
          <w:rFonts w:eastAsia="Calibri" w:cs="Times New Roman"/>
          <w:color w:val="000000"/>
          <w:szCs w:val="24"/>
        </w:rPr>
        <w:t>A near</w:t>
      </w:r>
      <w:r w:rsidRPr="00423400">
        <w:rPr>
          <w:rFonts w:eastAsia="Calibri" w:cs="Times New Roman"/>
          <w:color w:val="000000"/>
          <w:szCs w:val="24"/>
        </w:rPr>
        <w:noBreakHyphen/>
        <w:t>term forecasted spread of that magnitude is unreasonable and should not be relied upon.</w:t>
      </w:r>
      <w:r>
        <w:rPr>
          <w:rStyle w:val="FootnoteReference"/>
          <w:rFonts w:eastAsia="Calibri" w:cs="Times New Roman"/>
          <w:color w:val="000000"/>
          <w:szCs w:val="24"/>
        </w:rPr>
        <w:footnoteReference w:id="324"/>
      </w:r>
    </w:p>
    <w:p w:rsidR="002E1886" w:rsidRPr="00423400" w:rsidP="002E1886" w14:paraId="09121389" w14:textId="77777777">
      <w:pPr>
        <w:tabs>
          <w:tab w:val="left" w:pos="-1440"/>
        </w:tabs>
        <w:spacing w:after="0" w:line="480" w:lineRule="auto"/>
        <w:rPr>
          <w:rFonts w:eastAsia="Calibri" w:cs="Times New Roman"/>
          <w:color w:val="000000"/>
          <w:szCs w:val="24"/>
        </w:rPr>
      </w:pPr>
      <w:r w:rsidRPr="00423400">
        <w:rPr>
          <w:rFonts w:cs="Times New Roman"/>
          <w:szCs w:val="24"/>
        </w:rPr>
        <w:tab/>
      </w:r>
      <w:r w:rsidRPr="00423400" w:rsidR="00861624">
        <w:rPr>
          <w:rFonts w:cs="Times New Roman"/>
          <w:szCs w:val="24"/>
        </w:rPr>
        <w:t>Mr. Walters explained that although he disagrees with Mr. McKenzie’s use of a simple linear regression analysis to estimate the risk premium, his analysis can be corrected to produce more reasonable results.</w:t>
      </w:r>
      <w:r>
        <w:rPr>
          <w:rStyle w:val="FootnoteReference"/>
          <w:rFonts w:cs="Times New Roman"/>
          <w:szCs w:val="24"/>
        </w:rPr>
        <w:footnoteReference w:id="325"/>
      </w:r>
      <w:r w:rsidRPr="00423400" w:rsidR="00FA0242">
        <w:rPr>
          <w:rFonts w:cs="Times New Roman"/>
          <w:szCs w:val="24"/>
        </w:rPr>
        <w:t xml:space="preserve"> </w:t>
      </w:r>
      <w:r w:rsidRPr="00423400">
        <w:rPr>
          <w:rFonts w:cs="Times New Roman"/>
          <w:szCs w:val="24"/>
        </w:rPr>
        <w:t xml:space="preserve">Mr. McKenzie’s </w:t>
      </w:r>
      <w:r w:rsidRPr="00423400">
        <w:rPr>
          <w:rFonts w:eastAsia="Calibri" w:cs="Times New Roman"/>
          <w:color w:val="000000"/>
          <w:szCs w:val="24"/>
        </w:rPr>
        <w:t>analysis, when coupled with current yields, produces a risk premium result of 9.44%, which is consistent with Mr. Walter’s recommendations.</w:t>
      </w:r>
      <w:r>
        <w:rPr>
          <w:rStyle w:val="FootnoteReference"/>
          <w:rFonts w:eastAsia="Calibri" w:cs="Times New Roman"/>
          <w:color w:val="000000"/>
          <w:szCs w:val="24"/>
        </w:rPr>
        <w:footnoteReference w:id="326"/>
      </w:r>
      <w:r w:rsidRPr="00423400">
        <w:rPr>
          <w:rFonts w:eastAsia="Calibri" w:cs="Times New Roman"/>
          <w:color w:val="000000"/>
          <w:szCs w:val="24"/>
        </w:rPr>
        <w:t xml:space="preserve"> Using Mr. McKenzie’s Baa-rated yield of 3.63%, which is comparable to the recent Baa-utility yields and his 2019 risk premium of 5.78% would produce a similar ROE of 9.41%.</w:t>
      </w:r>
      <w:r>
        <w:rPr>
          <w:rStyle w:val="FootnoteReference"/>
          <w:rFonts w:eastAsia="Calibri" w:cs="Times New Roman"/>
          <w:color w:val="000000"/>
          <w:szCs w:val="24"/>
        </w:rPr>
        <w:footnoteReference w:id="327"/>
      </w:r>
      <w:r w:rsidRPr="00423400">
        <w:rPr>
          <w:rFonts w:eastAsia="Calibri" w:cs="Times New Roman"/>
          <w:color w:val="000000"/>
          <w:szCs w:val="24"/>
        </w:rPr>
        <w:t xml:space="preserve"> </w:t>
      </w:r>
    </w:p>
    <w:p w:rsidR="00057F6D" w:rsidRPr="00423400" w:rsidP="00AD32AF" w14:paraId="1584155C" w14:textId="77777777">
      <w:pPr>
        <w:tabs>
          <w:tab w:val="left" w:pos="-1440"/>
        </w:tabs>
        <w:spacing w:after="0" w:line="480" w:lineRule="auto"/>
        <w:rPr>
          <w:rFonts w:eastAsia="Calibri" w:cs="Times New Roman"/>
          <w:color w:val="000000"/>
          <w:szCs w:val="24"/>
        </w:rPr>
      </w:pPr>
      <w:r w:rsidRPr="00423400">
        <w:rPr>
          <w:rFonts w:eastAsia="Calibri" w:cs="Times New Roman"/>
          <w:color w:val="000000"/>
          <w:szCs w:val="24"/>
        </w:rPr>
        <w:tab/>
        <w:t xml:space="preserve">The PUCO should reject Mr. McKenzie’s long-term projected Baa-rated utility bond yield of 4.84% and the risk premium results derived from it. </w:t>
      </w:r>
      <w:r w:rsidR="00450BD6">
        <w:rPr>
          <w:rFonts w:eastAsia="Calibri" w:cs="Times New Roman"/>
          <w:color w:val="000000"/>
          <w:szCs w:val="24"/>
        </w:rPr>
        <w:t>The PUCO should, instead, adopt OCC’s expert, Mr. Walters’s recommend</w:t>
      </w:r>
      <w:r w:rsidR="003D4E63">
        <w:rPr>
          <w:rFonts w:eastAsia="Calibri" w:cs="Times New Roman"/>
          <w:color w:val="000000"/>
          <w:szCs w:val="24"/>
        </w:rPr>
        <w:t>ations above.</w:t>
      </w:r>
    </w:p>
    <w:p w:rsidR="002951B4" w:rsidRPr="00423400" w:rsidP="0012105E" w14:paraId="073432CE" w14:textId="77777777">
      <w:pPr>
        <w:pStyle w:val="Heading2"/>
        <w:ind w:left="1440" w:hanging="720"/>
        <w:rPr>
          <w:color w:val="auto"/>
          <w:sz w:val="24"/>
          <w:szCs w:val="24"/>
        </w:rPr>
      </w:pPr>
      <w:bookmarkStart w:id="78" w:name="_Toc96960368"/>
      <w:bookmarkStart w:id="79" w:name="_Toc96960410"/>
      <w:bookmarkStart w:id="80" w:name="_Toc97298217"/>
      <w:r w:rsidRPr="00423400">
        <w:rPr>
          <w:color w:val="auto"/>
          <w:sz w:val="24"/>
          <w:szCs w:val="24"/>
        </w:rPr>
        <w:t>To protect consumers from paying higher rates, the PUCO should reject the PUCO Staff’s recommended rate of return range of 7.05% to 7.59% because it is too high and would result in unjust and unreasonable rates for consumers.</w:t>
      </w:r>
      <w:bookmarkEnd w:id="78"/>
      <w:bookmarkEnd w:id="79"/>
      <w:bookmarkEnd w:id="80"/>
      <w:r w:rsidRPr="00423400">
        <w:rPr>
          <w:color w:val="auto"/>
          <w:sz w:val="24"/>
          <w:szCs w:val="24"/>
        </w:rPr>
        <w:t xml:space="preserve"> </w:t>
      </w:r>
    </w:p>
    <w:p w:rsidR="00351CDD" w:rsidRPr="00423400" w:rsidP="00AD32AF" w14:paraId="788DCE24" w14:textId="77777777">
      <w:pPr>
        <w:spacing w:after="0"/>
        <w:rPr>
          <w:rFonts w:cs="Times New Roman"/>
          <w:szCs w:val="24"/>
        </w:rPr>
      </w:pPr>
    </w:p>
    <w:p w:rsidR="00541E9A" w:rsidRPr="00423400" w:rsidP="00D93B17" w14:paraId="732A3BF4" w14:textId="77777777">
      <w:pPr>
        <w:spacing w:after="0" w:line="480" w:lineRule="auto"/>
        <w:ind w:firstLine="720"/>
        <w:rPr>
          <w:rFonts w:cs="Times New Roman"/>
          <w:szCs w:val="24"/>
        </w:rPr>
      </w:pPr>
      <w:r w:rsidRPr="00423400">
        <w:rPr>
          <w:rFonts w:cs="Times New Roman"/>
          <w:szCs w:val="24"/>
        </w:rPr>
        <w:t>Staff witness Mr. Joseph Buckley supported the recommendation of a 7.05% to 7.59% rate of return contained in the Staff Report.</w:t>
      </w:r>
      <w:r>
        <w:rPr>
          <w:rStyle w:val="FootnoteReference"/>
          <w:rFonts w:cs="Times New Roman"/>
          <w:szCs w:val="24"/>
        </w:rPr>
        <w:footnoteReference w:id="328"/>
      </w:r>
      <w:r w:rsidRPr="00423400" w:rsidR="00B60B67">
        <w:rPr>
          <w:rFonts w:cs="Times New Roman"/>
          <w:szCs w:val="24"/>
        </w:rPr>
        <w:t xml:space="preserve"> </w:t>
      </w:r>
      <w:r w:rsidRPr="00423400">
        <w:rPr>
          <w:rFonts w:cs="Times New Roman"/>
          <w:szCs w:val="24"/>
        </w:rPr>
        <w:t xml:space="preserve">The PUCO should reject the PUCO Staff’s recommended rate of return range of 7.05% to 7.59% because it is too high and will result in unjust and </w:t>
      </w:r>
      <w:r w:rsidRPr="00423400" w:rsidR="00F94975">
        <w:rPr>
          <w:rFonts w:cs="Times New Roman"/>
          <w:szCs w:val="24"/>
        </w:rPr>
        <w:t>unreasonable</w:t>
      </w:r>
      <w:r w:rsidRPr="00423400">
        <w:rPr>
          <w:rFonts w:cs="Times New Roman"/>
          <w:szCs w:val="24"/>
        </w:rPr>
        <w:t xml:space="preserve"> rates. </w:t>
      </w:r>
      <w:r w:rsidRPr="00423400" w:rsidR="00335246">
        <w:rPr>
          <w:rFonts w:cs="Times New Roman"/>
          <w:szCs w:val="24"/>
        </w:rPr>
        <w:t>Instead, the PUCO should adopt Mr. Walters more reasonable rate of return for DP&amp;L of 7.01%.</w:t>
      </w:r>
      <w:r>
        <w:rPr>
          <w:rStyle w:val="FootnoteReference"/>
          <w:rFonts w:cs="Times New Roman"/>
          <w:szCs w:val="24"/>
        </w:rPr>
        <w:footnoteReference w:id="329"/>
      </w:r>
      <w:r w:rsidRPr="00423400" w:rsidR="00335246">
        <w:rPr>
          <w:rFonts w:cs="Times New Roman"/>
          <w:szCs w:val="24"/>
        </w:rPr>
        <w:t xml:space="preserve"> Otherwise, consumers will pay </w:t>
      </w:r>
      <w:r w:rsidRPr="00423400" w:rsidR="00F94975">
        <w:rPr>
          <w:rFonts w:cs="Times New Roman"/>
          <w:szCs w:val="24"/>
        </w:rPr>
        <w:t>higher rates that are unjust and unreasonable.</w:t>
      </w:r>
    </w:p>
    <w:p w:rsidR="004D5043" w:rsidRPr="00423400" w:rsidP="00AD32AF" w14:paraId="364AE9AA" w14:textId="77777777">
      <w:pPr>
        <w:spacing w:after="0" w:line="480" w:lineRule="auto"/>
        <w:ind w:firstLine="720"/>
        <w:rPr>
          <w:rFonts w:cs="Times New Roman"/>
          <w:szCs w:val="24"/>
        </w:rPr>
      </w:pPr>
      <w:r w:rsidRPr="00423400">
        <w:rPr>
          <w:rFonts w:cs="Times New Roman"/>
          <w:szCs w:val="24"/>
        </w:rPr>
        <w:t>At hearing, Mr. Buckley acknowledged that DP&amp;L’s management was responsible for its current predicament and that the PUCO should not award DP&amp;L for its own mis-management by awarding it the high end of Staff’s recommend return.</w:t>
      </w:r>
      <w:r>
        <w:rPr>
          <w:rStyle w:val="FootnoteReference"/>
          <w:rFonts w:cs="Times New Roman"/>
          <w:szCs w:val="24"/>
        </w:rPr>
        <w:footnoteReference w:id="330"/>
      </w:r>
      <w:r w:rsidRPr="00423400" w:rsidR="00B60B67">
        <w:rPr>
          <w:rFonts w:cs="Times New Roman"/>
          <w:szCs w:val="24"/>
        </w:rPr>
        <w:t xml:space="preserve"> </w:t>
      </w:r>
      <w:r w:rsidRPr="00423400">
        <w:rPr>
          <w:rFonts w:cs="Times New Roman"/>
          <w:szCs w:val="24"/>
        </w:rPr>
        <w:t>For example, Mr. Buckley cited the fact that DP&amp;L created a substantial amount of risk by holding onto its generating plants after other Ohio electric distribution utilities sold theirs.</w:t>
      </w:r>
      <w:r>
        <w:rPr>
          <w:rStyle w:val="FootnoteReference"/>
          <w:rFonts w:cs="Times New Roman"/>
          <w:szCs w:val="24"/>
        </w:rPr>
        <w:footnoteReference w:id="331"/>
      </w:r>
      <w:r w:rsidRPr="00423400">
        <w:rPr>
          <w:rFonts w:cs="Times New Roman"/>
          <w:szCs w:val="24"/>
        </w:rPr>
        <w:t xml:space="preserve"> He also testified that the PUCO should not reward DP&amp;L with a high recommended return where the Company has failed to deliver adequate service quality.</w:t>
      </w:r>
      <w:r>
        <w:rPr>
          <w:rStyle w:val="FootnoteReference"/>
          <w:rFonts w:cs="Times New Roman"/>
          <w:szCs w:val="24"/>
        </w:rPr>
        <w:footnoteReference w:id="332"/>
      </w:r>
      <w:r w:rsidRPr="00423400" w:rsidR="00B60B67">
        <w:rPr>
          <w:rFonts w:cs="Times New Roman"/>
          <w:szCs w:val="24"/>
        </w:rPr>
        <w:t xml:space="preserve"> </w:t>
      </w:r>
    </w:p>
    <w:p w:rsidR="004F7FCA" w:rsidRPr="00423400" w:rsidP="0012105E" w14:paraId="72F2F97E" w14:textId="77777777">
      <w:pPr>
        <w:pStyle w:val="Heading1"/>
        <w:spacing w:after="240"/>
        <w:rPr>
          <w:b/>
          <w:bCs/>
        </w:rPr>
      </w:pPr>
      <w:bookmarkStart w:id="81" w:name="_Toc96960369"/>
      <w:bookmarkStart w:id="82" w:name="_Toc96960411"/>
      <w:bookmarkStart w:id="83" w:name="_Toc97298218"/>
      <w:r w:rsidRPr="00423400">
        <w:rPr>
          <w:b/>
          <w:bCs/>
        </w:rPr>
        <w:t xml:space="preserve">OCC’s RECOMMENDED CHANGES TO DP&amp;L’s </w:t>
      </w:r>
      <w:r w:rsidRPr="00423400" w:rsidR="005E7E9F">
        <w:rPr>
          <w:b/>
          <w:bCs/>
        </w:rPr>
        <w:t>RATES AND TARIFFS</w:t>
      </w:r>
      <w:bookmarkEnd w:id="81"/>
      <w:bookmarkEnd w:id="82"/>
      <w:bookmarkEnd w:id="83"/>
    </w:p>
    <w:p w:rsidR="002C7651" w:rsidRPr="00423400" w:rsidP="0012105E" w14:paraId="6E5A55B3" w14:textId="77777777">
      <w:pPr>
        <w:pStyle w:val="Heading2"/>
        <w:ind w:left="1440" w:hanging="720"/>
        <w:rPr>
          <w:color w:val="auto"/>
          <w:sz w:val="24"/>
          <w:szCs w:val="24"/>
        </w:rPr>
      </w:pPr>
      <w:bookmarkStart w:id="84" w:name="_Toc96960370"/>
      <w:bookmarkStart w:id="85" w:name="_Toc96960412"/>
      <w:bookmarkStart w:id="86" w:name="_Toc97298219"/>
      <w:r w:rsidRPr="00423400">
        <w:rPr>
          <w:color w:val="auto"/>
          <w:sz w:val="24"/>
          <w:szCs w:val="24"/>
        </w:rPr>
        <w:t>To protect consumers from paying higher rates</w:t>
      </w:r>
      <w:r w:rsidRPr="00423400" w:rsidR="00314B6F">
        <w:rPr>
          <w:color w:val="auto"/>
          <w:sz w:val="24"/>
          <w:szCs w:val="24"/>
        </w:rPr>
        <w:t xml:space="preserve"> that are unjust and unreasonable</w:t>
      </w:r>
      <w:r w:rsidRPr="00423400">
        <w:rPr>
          <w:color w:val="auto"/>
          <w:sz w:val="24"/>
          <w:szCs w:val="24"/>
        </w:rPr>
        <w:t xml:space="preserve">, the PUCO should reject the PUCO Staff’s </w:t>
      </w:r>
      <w:r w:rsidRPr="00423400" w:rsidR="003C069C">
        <w:rPr>
          <w:color w:val="auto"/>
          <w:sz w:val="24"/>
          <w:szCs w:val="24"/>
        </w:rPr>
        <w:t>recommendation to allocate 66.70% of base distribution charges to residential consumers</w:t>
      </w:r>
      <w:r w:rsidRPr="00423400" w:rsidR="00D93B17">
        <w:rPr>
          <w:color w:val="auto"/>
          <w:sz w:val="24"/>
          <w:szCs w:val="24"/>
        </w:rPr>
        <w:t>.</w:t>
      </w:r>
      <w:bookmarkEnd w:id="84"/>
      <w:bookmarkEnd w:id="85"/>
      <w:bookmarkEnd w:id="86"/>
    </w:p>
    <w:p w:rsidR="00EB3DD4" w:rsidRPr="00423400" w:rsidP="0012105E" w14:paraId="1A96A8D8" w14:textId="77777777">
      <w:pPr>
        <w:spacing w:before="240" w:after="0" w:line="480" w:lineRule="auto"/>
        <w:ind w:firstLine="720"/>
        <w:rPr>
          <w:rFonts w:cs="Times New Roman"/>
          <w:szCs w:val="24"/>
        </w:rPr>
      </w:pPr>
      <w:r w:rsidRPr="00423400">
        <w:rPr>
          <w:rFonts w:cs="Times New Roman"/>
          <w:szCs w:val="24"/>
        </w:rPr>
        <w:t xml:space="preserve">The PUCO should reject both </w:t>
      </w:r>
      <w:r w:rsidRPr="00423400" w:rsidR="00F01409">
        <w:rPr>
          <w:rFonts w:cs="Times New Roman"/>
          <w:szCs w:val="24"/>
        </w:rPr>
        <w:t>DP&amp;L’s</w:t>
      </w:r>
      <w:r w:rsidRPr="00423400">
        <w:rPr>
          <w:rFonts w:cs="Times New Roman"/>
          <w:szCs w:val="24"/>
        </w:rPr>
        <w:t xml:space="preserve"> and the PUCO Staff’s </w:t>
      </w:r>
      <w:r w:rsidRPr="00423400" w:rsidR="002916A8">
        <w:rPr>
          <w:rFonts w:cs="Times New Roman"/>
          <w:szCs w:val="24"/>
        </w:rPr>
        <w:t xml:space="preserve">proposed revenue increases to protect consumers from paying higher rates. OCC’s expert witness Mr. </w:t>
      </w:r>
      <w:r w:rsidRPr="00423400" w:rsidR="008D6542">
        <w:rPr>
          <w:rFonts w:cs="Times New Roman"/>
          <w:szCs w:val="24"/>
        </w:rPr>
        <w:t>Robert</w:t>
      </w:r>
      <w:r w:rsidRPr="00423400" w:rsidR="002916A8">
        <w:rPr>
          <w:rFonts w:cs="Times New Roman"/>
          <w:szCs w:val="24"/>
        </w:rPr>
        <w:t xml:space="preserve"> Fortney testified that residential consumers should pay no more than 63.10% of base distribution charges.</w:t>
      </w:r>
      <w:r>
        <w:rPr>
          <w:rStyle w:val="FootnoteReference"/>
          <w:rFonts w:cs="Times New Roman"/>
          <w:szCs w:val="24"/>
        </w:rPr>
        <w:footnoteReference w:id="333"/>
      </w:r>
      <w:r w:rsidRPr="00423400" w:rsidR="002916A8">
        <w:rPr>
          <w:rFonts w:cs="Times New Roman"/>
          <w:szCs w:val="24"/>
        </w:rPr>
        <w:t xml:space="preserve"> But </w:t>
      </w:r>
      <w:r w:rsidRPr="00423400" w:rsidR="00331480">
        <w:rPr>
          <w:rFonts w:cs="Times New Roman"/>
          <w:szCs w:val="24"/>
        </w:rPr>
        <w:t>DP&amp;L has proposed a revenue increase of $119.6 million in base distribution rates.</w:t>
      </w:r>
      <w:r>
        <w:rPr>
          <w:rStyle w:val="FootnoteReference"/>
          <w:rFonts w:cs="Times New Roman"/>
          <w:szCs w:val="24"/>
        </w:rPr>
        <w:footnoteReference w:id="334"/>
      </w:r>
      <w:r w:rsidRPr="00423400" w:rsidR="00331480">
        <w:rPr>
          <w:rFonts w:cs="Times New Roman"/>
          <w:szCs w:val="24"/>
        </w:rPr>
        <w:t xml:space="preserve"> </w:t>
      </w:r>
      <w:r w:rsidRPr="00423400" w:rsidR="007431FA">
        <w:rPr>
          <w:rFonts w:cs="Times New Roman"/>
          <w:szCs w:val="24"/>
        </w:rPr>
        <w:t>And the PUCO Staff has proposed an increase of $64.1 million in base distribution rates.</w:t>
      </w:r>
      <w:r>
        <w:rPr>
          <w:rStyle w:val="FootnoteReference"/>
          <w:rFonts w:cs="Times New Roman"/>
          <w:szCs w:val="24"/>
        </w:rPr>
        <w:footnoteReference w:id="335"/>
      </w:r>
      <w:r w:rsidRPr="00423400" w:rsidR="007431FA">
        <w:rPr>
          <w:rFonts w:cs="Times New Roman"/>
          <w:szCs w:val="24"/>
        </w:rPr>
        <w:t xml:space="preserve"> </w:t>
      </w:r>
      <w:r w:rsidRPr="00423400" w:rsidR="002916A8">
        <w:rPr>
          <w:rFonts w:cs="Times New Roman"/>
          <w:szCs w:val="24"/>
        </w:rPr>
        <w:t>Additionally, t</w:t>
      </w:r>
      <w:r w:rsidRPr="00423400">
        <w:rPr>
          <w:rFonts w:cs="Times New Roman"/>
          <w:szCs w:val="24"/>
        </w:rPr>
        <w:t>he PUCO Staff recommends that the PUCO grant an increase of $36.4 million to the residential consumer class.</w:t>
      </w:r>
      <w:r>
        <w:rPr>
          <w:rStyle w:val="FootnoteReference"/>
          <w:rFonts w:cs="Times New Roman"/>
          <w:szCs w:val="24"/>
        </w:rPr>
        <w:footnoteReference w:id="336"/>
      </w:r>
      <w:r w:rsidRPr="00423400">
        <w:rPr>
          <w:rFonts w:cs="Times New Roman"/>
          <w:szCs w:val="24"/>
        </w:rPr>
        <w:t xml:space="preserve"> This represents 56.8% of the total increase recommended</w:t>
      </w:r>
      <w:r w:rsidRPr="00423400" w:rsidR="00A161C6">
        <w:rPr>
          <w:rFonts w:cs="Times New Roman"/>
          <w:szCs w:val="24"/>
        </w:rPr>
        <w:t xml:space="preserve"> by PUCO Staff</w:t>
      </w:r>
      <w:r w:rsidRPr="00423400">
        <w:rPr>
          <w:rFonts w:cs="Times New Roman"/>
          <w:szCs w:val="24"/>
        </w:rPr>
        <w:t>.</w:t>
      </w:r>
      <w:r>
        <w:rPr>
          <w:rStyle w:val="FootnoteReference"/>
          <w:rFonts w:cs="Times New Roman"/>
          <w:szCs w:val="24"/>
        </w:rPr>
        <w:footnoteReference w:id="337"/>
      </w:r>
      <w:r w:rsidRPr="00423400" w:rsidR="00B60B67">
        <w:rPr>
          <w:rFonts w:cs="Times New Roman"/>
          <w:szCs w:val="24"/>
        </w:rPr>
        <w:t xml:space="preserve"> </w:t>
      </w:r>
      <w:r w:rsidRPr="00423400">
        <w:rPr>
          <w:rFonts w:cs="Times New Roman"/>
          <w:szCs w:val="24"/>
        </w:rPr>
        <w:t>With that increase, the proposed allocation of the base distribution costs to residential consumers is 66.7%.</w:t>
      </w:r>
      <w:r>
        <w:rPr>
          <w:rStyle w:val="FootnoteReference"/>
          <w:rFonts w:cs="Times New Roman"/>
          <w:szCs w:val="24"/>
        </w:rPr>
        <w:footnoteReference w:id="338"/>
      </w:r>
      <w:r w:rsidRPr="00423400" w:rsidR="002916A8">
        <w:rPr>
          <w:rFonts w:cs="Times New Roman"/>
          <w:szCs w:val="24"/>
        </w:rPr>
        <w:t xml:space="preserve"> This is much higher than what residential consumers should be required to pay.</w:t>
      </w:r>
      <w:r w:rsidRPr="00423400" w:rsidR="000F2321">
        <w:rPr>
          <w:rFonts w:cs="Times New Roman"/>
          <w:szCs w:val="24"/>
        </w:rPr>
        <w:t xml:space="preserve"> In fact, Mr. </w:t>
      </w:r>
      <w:r w:rsidRPr="00423400" w:rsidR="009E5DBF">
        <w:rPr>
          <w:rFonts w:cs="Times New Roman"/>
          <w:szCs w:val="24"/>
        </w:rPr>
        <w:t>Fortney</w:t>
      </w:r>
      <w:r w:rsidRPr="00423400" w:rsidR="000F2321">
        <w:rPr>
          <w:rFonts w:cs="Times New Roman"/>
          <w:szCs w:val="24"/>
        </w:rPr>
        <w:t xml:space="preserve"> recommends that the residential class should no</w:t>
      </w:r>
      <w:r w:rsidRPr="00423400" w:rsidR="009E5DBF">
        <w:rPr>
          <w:rFonts w:cs="Times New Roman"/>
          <w:szCs w:val="24"/>
        </w:rPr>
        <w:t>t</w:t>
      </w:r>
      <w:r w:rsidRPr="00423400" w:rsidR="000F2321">
        <w:rPr>
          <w:rFonts w:cs="Times New Roman"/>
          <w:szCs w:val="24"/>
        </w:rPr>
        <w:t xml:space="preserve"> be allocated more that 40% of the increase</w:t>
      </w:r>
      <w:r w:rsidRPr="00423400" w:rsidR="009E5DBF">
        <w:rPr>
          <w:rFonts w:cs="Times New Roman"/>
          <w:szCs w:val="24"/>
        </w:rPr>
        <w:t>.</w:t>
      </w:r>
      <w:r>
        <w:rPr>
          <w:rStyle w:val="FootnoteReference"/>
          <w:rFonts w:cs="Times New Roman"/>
          <w:szCs w:val="24"/>
        </w:rPr>
        <w:footnoteReference w:id="339"/>
      </w:r>
    </w:p>
    <w:p w:rsidR="004F5561" w:rsidRPr="00423400" w:rsidP="004F5561" w14:paraId="20D820D7" w14:textId="77777777">
      <w:pPr>
        <w:spacing w:after="0" w:line="480" w:lineRule="auto"/>
        <w:ind w:firstLine="720"/>
        <w:rPr>
          <w:rFonts w:cs="Times New Roman"/>
          <w:szCs w:val="24"/>
        </w:rPr>
      </w:pPr>
      <w:r w:rsidRPr="00423400">
        <w:rPr>
          <w:rFonts w:cs="Times New Roman"/>
          <w:szCs w:val="24"/>
        </w:rPr>
        <w:t>As the PUCO knows, the coronavirus pandemic and financial emergency has been devastating for Ohioans. And even before the pandemic, Dayton-area consumers were suffering, facing some of the worst poverty in the state, with more than 32% of residential consumers in the City of Dayton living in poverty—more than twice the state average.</w:t>
      </w:r>
      <w:r>
        <w:rPr>
          <w:rStyle w:val="FootnoteReference"/>
          <w:rFonts w:cs="Times New Roman"/>
          <w:szCs w:val="24"/>
        </w:rPr>
        <w:footnoteReference w:id="340"/>
      </w:r>
      <w:r w:rsidRPr="00423400">
        <w:rPr>
          <w:rFonts w:cs="Times New Roman"/>
          <w:szCs w:val="24"/>
        </w:rPr>
        <w:t xml:space="preserve"> Many more Ohioans in Montgomery County live just above the poverty line.</w:t>
      </w:r>
      <w:r>
        <w:rPr>
          <w:rStyle w:val="FootnoteReference"/>
          <w:rFonts w:cs="Times New Roman"/>
          <w:szCs w:val="24"/>
        </w:rPr>
        <w:footnoteReference w:id="341"/>
      </w:r>
      <w:r w:rsidRPr="00423400">
        <w:rPr>
          <w:rFonts w:cs="Times New Roman"/>
          <w:szCs w:val="24"/>
        </w:rPr>
        <w:t xml:space="preserve"> And before the pandemic, more than 14% of Ohioans in Montgomery had inadequate access to food.</w:t>
      </w:r>
      <w:r>
        <w:rPr>
          <w:rStyle w:val="FootnoteReference"/>
          <w:rFonts w:cs="Times New Roman"/>
          <w:szCs w:val="24"/>
        </w:rPr>
        <w:footnoteReference w:id="342"/>
      </w:r>
      <w:r w:rsidRPr="00423400">
        <w:rPr>
          <w:rFonts w:cs="Times New Roman"/>
          <w:szCs w:val="24"/>
        </w:rPr>
        <w:t xml:space="preserve"> Unfortunately, food insecurity affects children even more, with over 20% of Montgomery County children lacking adequate access to food.</w:t>
      </w:r>
      <w:r>
        <w:rPr>
          <w:rStyle w:val="FootnoteReference"/>
          <w:rFonts w:cs="Times New Roman"/>
          <w:szCs w:val="24"/>
        </w:rPr>
        <w:footnoteReference w:id="343"/>
      </w:r>
    </w:p>
    <w:p w:rsidR="008D6542" w:rsidRPr="00423400" w:rsidP="004F5561" w14:paraId="1E709EB1" w14:textId="77777777">
      <w:pPr>
        <w:spacing w:after="0" w:line="480" w:lineRule="auto"/>
        <w:ind w:firstLine="720"/>
        <w:rPr>
          <w:rFonts w:cs="Times New Roman"/>
          <w:szCs w:val="24"/>
        </w:rPr>
      </w:pPr>
      <w:r w:rsidRPr="00423400">
        <w:rPr>
          <w:rFonts w:cs="Times New Roman"/>
          <w:szCs w:val="24"/>
        </w:rPr>
        <w:t>These types of problems—and others—have only been made worse by the coronavirus pandemic and financial emergency. Unemployment reached 10% or more in the Dayton region during the pandemic, and although employment rates have improved since then, a recent report shows that Dayton’s unemployment rate is still higher than both the state and national average.</w:t>
      </w:r>
      <w:r>
        <w:rPr>
          <w:rStyle w:val="FootnoteReference"/>
          <w:rFonts w:cs="Times New Roman"/>
          <w:szCs w:val="24"/>
        </w:rPr>
        <w:footnoteReference w:id="344"/>
      </w:r>
    </w:p>
    <w:p w:rsidR="008D6542" w:rsidRPr="00423400" w:rsidP="004F5561" w14:paraId="6184A3D2" w14:textId="77777777">
      <w:pPr>
        <w:spacing w:after="0" w:line="480" w:lineRule="auto"/>
        <w:ind w:firstLine="720"/>
        <w:rPr>
          <w:rFonts w:cs="Times New Roman"/>
          <w:szCs w:val="24"/>
        </w:rPr>
      </w:pPr>
      <w:r w:rsidRPr="00423400">
        <w:rPr>
          <w:rFonts w:cs="Times New Roman"/>
          <w:szCs w:val="24"/>
        </w:rPr>
        <w:t>Residential consumers are still economically struggling due to horrific and prolonged global effects of the coronavirus pandemic. The pandemic continues.</w:t>
      </w:r>
      <w:r w:rsidRPr="00423400" w:rsidR="00B60B67">
        <w:rPr>
          <w:rFonts w:cs="Times New Roman"/>
          <w:szCs w:val="24"/>
        </w:rPr>
        <w:t xml:space="preserve"> </w:t>
      </w:r>
      <w:r w:rsidRPr="00423400">
        <w:rPr>
          <w:rFonts w:cs="Times New Roman"/>
          <w:szCs w:val="24"/>
        </w:rPr>
        <w:t>The cases related to the delta variant of the coronavirus are escalating. Just recently, Ohio recorded the highest number of daily infections since February 2021.</w:t>
      </w:r>
      <w:r>
        <w:rPr>
          <w:rStyle w:val="FootnoteReference"/>
          <w:rFonts w:cs="Times New Roman"/>
          <w:szCs w:val="24"/>
        </w:rPr>
        <w:footnoteReference w:id="345"/>
      </w:r>
      <w:r w:rsidRPr="00423400" w:rsidR="00B60B67">
        <w:rPr>
          <w:rFonts w:cs="Times New Roman"/>
          <w:szCs w:val="24"/>
        </w:rPr>
        <w:t xml:space="preserve"> </w:t>
      </w:r>
      <w:r w:rsidRPr="00423400">
        <w:rPr>
          <w:rFonts w:cs="Times New Roman"/>
          <w:szCs w:val="24"/>
        </w:rPr>
        <w:t xml:space="preserve">The rate increase proposed </w:t>
      </w:r>
      <w:r w:rsidRPr="00423400" w:rsidR="002C791C">
        <w:rPr>
          <w:rFonts w:cs="Times New Roman"/>
          <w:szCs w:val="24"/>
        </w:rPr>
        <w:t>by the PUCO Staff</w:t>
      </w:r>
      <w:r w:rsidRPr="00423400">
        <w:rPr>
          <w:rFonts w:cs="Times New Roman"/>
          <w:szCs w:val="24"/>
        </w:rPr>
        <w:t xml:space="preserve"> does not address these important concerns for residential consumers.</w:t>
      </w:r>
    </w:p>
    <w:p w:rsidR="00960C9B" w:rsidRPr="00423400" w:rsidP="00973833" w14:paraId="388D9FFB" w14:textId="77777777">
      <w:pPr>
        <w:spacing w:after="0" w:line="480" w:lineRule="auto"/>
        <w:ind w:firstLine="720"/>
        <w:rPr>
          <w:rFonts w:cs="Times New Roman"/>
          <w:szCs w:val="24"/>
        </w:rPr>
      </w:pPr>
      <w:r w:rsidRPr="00423400">
        <w:rPr>
          <w:rFonts w:cs="Times New Roman"/>
          <w:szCs w:val="24"/>
        </w:rPr>
        <w:t>OCC’s expert witness, Mr. Fortney recommended allocating no more than 40% of the increase to residential consumers.</w:t>
      </w:r>
      <w:r>
        <w:rPr>
          <w:rStyle w:val="FootnoteReference"/>
          <w:rFonts w:cs="Times New Roman"/>
          <w:szCs w:val="24"/>
        </w:rPr>
        <w:footnoteReference w:id="346"/>
      </w:r>
      <w:r w:rsidRPr="00423400">
        <w:rPr>
          <w:rFonts w:cs="Times New Roman"/>
          <w:szCs w:val="24"/>
        </w:rPr>
        <w:t xml:space="preserve"> Because at the Staff recommended increase of $64.1 million, this would result in a $25.7 million increase to residential consumers.</w:t>
      </w:r>
      <w:r>
        <w:rPr>
          <w:rStyle w:val="FootnoteReference"/>
          <w:rFonts w:cs="Times New Roman"/>
          <w:szCs w:val="24"/>
        </w:rPr>
        <w:footnoteReference w:id="347"/>
      </w:r>
      <w:r w:rsidRPr="00423400">
        <w:rPr>
          <w:rFonts w:cs="Times New Roman"/>
          <w:szCs w:val="24"/>
        </w:rPr>
        <w:t xml:space="preserve"> The resulting allocation of base distribution revenue to the Residential class would be $190.3 million, or 63.1% of the total proposed revenue.</w:t>
      </w:r>
      <w:r>
        <w:rPr>
          <w:rStyle w:val="FootnoteReference"/>
          <w:rFonts w:cs="Times New Roman"/>
          <w:szCs w:val="24"/>
        </w:rPr>
        <w:footnoteReference w:id="348"/>
      </w:r>
      <w:r w:rsidRPr="00423400">
        <w:rPr>
          <w:rFonts w:cs="Times New Roman"/>
          <w:szCs w:val="24"/>
        </w:rPr>
        <w:t xml:space="preserve"> </w:t>
      </w:r>
      <w:r w:rsidRPr="00423400" w:rsidR="00973833">
        <w:rPr>
          <w:rFonts w:cs="Times New Roman"/>
          <w:szCs w:val="24"/>
        </w:rPr>
        <w:t xml:space="preserve">Mr. Fortney </w:t>
      </w:r>
      <w:r w:rsidRPr="00423400" w:rsidR="00EE0EBC">
        <w:rPr>
          <w:rFonts w:cs="Times New Roman"/>
          <w:szCs w:val="24"/>
        </w:rPr>
        <w:t>concluded that, ultimately, r</w:t>
      </w:r>
      <w:r w:rsidRPr="00423400">
        <w:rPr>
          <w:rFonts w:cs="Times New Roman"/>
          <w:szCs w:val="24"/>
        </w:rPr>
        <w:t>esidential consumers should pay no higher than 63.1% of the total proposed</w:t>
      </w:r>
      <w:r w:rsidRPr="00423400" w:rsidR="00A63CA2">
        <w:rPr>
          <w:rFonts w:cs="Times New Roman"/>
          <w:szCs w:val="24"/>
        </w:rPr>
        <w:t xml:space="preserve"> base distribution</w:t>
      </w:r>
      <w:r w:rsidRPr="00423400">
        <w:rPr>
          <w:rFonts w:cs="Times New Roman"/>
          <w:szCs w:val="24"/>
        </w:rPr>
        <w:t xml:space="preserve"> revenue.</w:t>
      </w:r>
      <w:r>
        <w:rPr>
          <w:rStyle w:val="FootnoteReference"/>
          <w:rFonts w:cs="Times New Roman"/>
          <w:szCs w:val="24"/>
        </w:rPr>
        <w:footnoteReference w:id="349"/>
      </w:r>
    </w:p>
    <w:p w:rsidR="00606431" w:rsidRPr="00423400" w:rsidP="00AD32AF" w14:paraId="2C3F4138" w14:textId="77777777">
      <w:pPr>
        <w:spacing w:after="0" w:line="480" w:lineRule="auto"/>
        <w:ind w:firstLine="720"/>
        <w:rPr>
          <w:rFonts w:cs="Times New Roman"/>
          <w:szCs w:val="24"/>
        </w:rPr>
      </w:pPr>
      <w:r w:rsidRPr="00423400">
        <w:rPr>
          <w:rFonts w:cs="Times New Roman"/>
          <w:szCs w:val="24"/>
        </w:rPr>
        <w:t xml:space="preserve">The PUCO should reject the PUCO Staff’s and </w:t>
      </w:r>
      <w:r w:rsidRPr="00423400" w:rsidR="00F01409">
        <w:rPr>
          <w:rFonts w:cs="Times New Roman"/>
          <w:szCs w:val="24"/>
        </w:rPr>
        <w:t>DP&amp;L’s</w:t>
      </w:r>
      <w:r w:rsidRPr="00423400">
        <w:rPr>
          <w:rFonts w:cs="Times New Roman"/>
          <w:szCs w:val="24"/>
        </w:rPr>
        <w:t xml:space="preserve"> allocation of base distribution revenue because it is too high. T</w:t>
      </w:r>
      <w:r w:rsidRPr="00423400" w:rsidR="008C503F">
        <w:rPr>
          <w:rFonts w:cs="Times New Roman"/>
          <w:szCs w:val="24"/>
        </w:rPr>
        <w:t>o</w:t>
      </w:r>
      <w:r w:rsidRPr="00423400">
        <w:rPr>
          <w:rFonts w:cs="Times New Roman"/>
          <w:szCs w:val="24"/>
        </w:rPr>
        <w:t xml:space="preserve"> protect consumers</w:t>
      </w:r>
      <w:r w:rsidRPr="00423400" w:rsidR="008C503F">
        <w:rPr>
          <w:rFonts w:cs="Times New Roman"/>
          <w:szCs w:val="24"/>
        </w:rPr>
        <w:t xml:space="preserve"> from </w:t>
      </w:r>
      <w:r w:rsidRPr="00423400" w:rsidR="00291EC2">
        <w:rPr>
          <w:rFonts w:cs="Times New Roman"/>
          <w:szCs w:val="24"/>
        </w:rPr>
        <w:t>paying higher rates that are unjust and unreasonable</w:t>
      </w:r>
      <w:r w:rsidRPr="00423400">
        <w:rPr>
          <w:rFonts w:cs="Times New Roman"/>
          <w:szCs w:val="24"/>
        </w:rPr>
        <w:t xml:space="preserve">, the PUCO should adopt OCC’s expert witness, Mr. Fortney’s recommended allocation of </w:t>
      </w:r>
      <w:r w:rsidRPr="00423400" w:rsidR="001A16CD">
        <w:rPr>
          <w:rFonts w:cs="Times New Roman"/>
          <w:szCs w:val="24"/>
        </w:rPr>
        <w:t xml:space="preserve">no more than </w:t>
      </w:r>
      <w:r w:rsidRPr="00423400" w:rsidR="00EE0EBC">
        <w:rPr>
          <w:rFonts w:cs="Times New Roman"/>
          <w:szCs w:val="24"/>
        </w:rPr>
        <w:t xml:space="preserve">40% of the increase to residential consumers and no more than </w:t>
      </w:r>
      <w:r w:rsidRPr="00423400" w:rsidR="00AF0A22">
        <w:rPr>
          <w:rFonts w:cs="Times New Roman"/>
          <w:szCs w:val="24"/>
        </w:rPr>
        <w:t>63.1</w:t>
      </w:r>
      <w:r w:rsidRPr="00423400" w:rsidR="001A16CD">
        <w:rPr>
          <w:rFonts w:cs="Times New Roman"/>
          <w:szCs w:val="24"/>
        </w:rPr>
        <w:t>% o</w:t>
      </w:r>
      <w:r w:rsidRPr="00423400" w:rsidR="008C503F">
        <w:rPr>
          <w:rFonts w:cs="Times New Roman"/>
          <w:szCs w:val="24"/>
        </w:rPr>
        <w:t>f base distribution revenue to consumers.</w:t>
      </w:r>
      <w:r w:rsidRPr="00423400" w:rsidR="001A16CD">
        <w:rPr>
          <w:rFonts w:cs="Times New Roman"/>
          <w:szCs w:val="24"/>
        </w:rPr>
        <w:t xml:space="preserve"> </w:t>
      </w:r>
    </w:p>
    <w:p w:rsidR="00F53C11" w:rsidRPr="00423400" w:rsidP="0012105E" w14:paraId="11B5BD70" w14:textId="77777777">
      <w:pPr>
        <w:pStyle w:val="Heading2"/>
        <w:ind w:left="1440" w:hanging="720"/>
        <w:rPr>
          <w:color w:val="auto"/>
          <w:sz w:val="24"/>
          <w:szCs w:val="24"/>
        </w:rPr>
      </w:pPr>
      <w:bookmarkStart w:id="87" w:name="_Toc96960371"/>
      <w:bookmarkStart w:id="88" w:name="_Toc96960413"/>
      <w:bookmarkStart w:id="89" w:name="_Toc97298220"/>
      <w:r w:rsidRPr="00423400">
        <w:rPr>
          <w:color w:val="auto"/>
          <w:sz w:val="24"/>
          <w:szCs w:val="24"/>
        </w:rPr>
        <w:t>To protect consumers from paying higher rates</w:t>
      </w:r>
      <w:r w:rsidRPr="00423400" w:rsidR="004C4394">
        <w:rPr>
          <w:color w:val="auto"/>
          <w:sz w:val="24"/>
          <w:szCs w:val="24"/>
        </w:rPr>
        <w:t xml:space="preserve"> that are unjust and unreasonable</w:t>
      </w:r>
      <w:r w:rsidRPr="00423400">
        <w:rPr>
          <w:color w:val="auto"/>
          <w:sz w:val="24"/>
          <w:szCs w:val="24"/>
        </w:rPr>
        <w:t xml:space="preserve">, the PUCO should reject the PUCO Staff’s </w:t>
      </w:r>
      <w:r w:rsidRPr="00423400" w:rsidR="008E629B">
        <w:rPr>
          <w:color w:val="auto"/>
          <w:sz w:val="24"/>
          <w:szCs w:val="24"/>
        </w:rPr>
        <w:t xml:space="preserve">too high </w:t>
      </w:r>
      <w:r w:rsidRPr="00423400" w:rsidR="009E34C7">
        <w:rPr>
          <w:color w:val="auto"/>
          <w:sz w:val="24"/>
          <w:szCs w:val="24"/>
        </w:rPr>
        <w:t>recommended customer charge of $9.75 because it includes charges for line transformers, uses an unreasonably high carrying cost of 26.35%, and violates the regulatory principle of gradualism. A more reasonable customer charge would be no greater than $8.25.</w:t>
      </w:r>
      <w:bookmarkEnd w:id="87"/>
      <w:bookmarkEnd w:id="88"/>
      <w:bookmarkEnd w:id="89"/>
      <w:r w:rsidRPr="00423400" w:rsidR="009E34C7">
        <w:rPr>
          <w:color w:val="auto"/>
          <w:sz w:val="24"/>
          <w:szCs w:val="24"/>
        </w:rPr>
        <w:t xml:space="preserve"> </w:t>
      </w:r>
    </w:p>
    <w:p w:rsidR="00AD32AF" w:rsidRPr="00423400" w:rsidP="00AD32AF" w14:paraId="04313F18" w14:textId="77777777">
      <w:pPr>
        <w:spacing w:after="0" w:line="240" w:lineRule="auto"/>
        <w:ind w:firstLine="720"/>
        <w:rPr>
          <w:rFonts w:cs="Times New Roman"/>
          <w:szCs w:val="24"/>
        </w:rPr>
      </w:pPr>
    </w:p>
    <w:p w:rsidR="00CA1F30" w:rsidRPr="00423400" w:rsidP="00CA1F30" w14:paraId="704E212E" w14:textId="77777777">
      <w:pPr>
        <w:spacing w:after="0" w:line="480" w:lineRule="auto"/>
        <w:ind w:firstLine="720"/>
        <w:rPr>
          <w:rFonts w:cs="Times New Roman"/>
          <w:szCs w:val="24"/>
        </w:rPr>
      </w:pPr>
      <w:r w:rsidRPr="00423400">
        <w:rPr>
          <w:rFonts w:cs="Times New Roman"/>
          <w:szCs w:val="24"/>
        </w:rPr>
        <w:t>O</w:t>
      </w:r>
      <w:r w:rsidRPr="00423400" w:rsidR="00341609">
        <w:rPr>
          <w:rFonts w:cs="Times New Roman"/>
          <w:szCs w:val="24"/>
        </w:rPr>
        <w:t xml:space="preserve">CC objects to the PUCO Staff’s recommended $9.75 </w:t>
      </w:r>
      <w:r w:rsidRPr="00423400" w:rsidR="004A3D62">
        <w:rPr>
          <w:rFonts w:cs="Times New Roman"/>
          <w:szCs w:val="24"/>
        </w:rPr>
        <w:t xml:space="preserve">and AES Ohio’s recommended $15.66 </w:t>
      </w:r>
      <w:r w:rsidRPr="00423400" w:rsidR="00341609">
        <w:rPr>
          <w:rFonts w:cs="Times New Roman"/>
          <w:szCs w:val="24"/>
        </w:rPr>
        <w:t>c</w:t>
      </w:r>
      <w:r w:rsidRPr="00423400" w:rsidR="004A3D62">
        <w:rPr>
          <w:rFonts w:cs="Times New Roman"/>
          <w:szCs w:val="24"/>
        </w:rPr>
        <w:t>ustomer</w:t>
      </w:r>
      <w:r w:rsidRPr="00423400" w:rsidR="00341609">
        <w:rPr>
          <w:rFonts w:cs="Times New Roman"/>
          <w:szCs w:val="24"/>
        </w:rPr>
        <w:t xml:space="preserve"> charge for residential consumers.</w:t>
      </w:r>
      <w:r w:rsidRPr="00423400" w:rsidR="00D54FEF">
        <w:rPr>
          <w:rFonts w:cs="Times New Roman"/>
          <w:szCs w:val="24"/>
        </w:rPr>
        <w:t xml:space="preserve"> </w:t>
      </w:r>
      <w:r w:rsidRPr="00423400">
        <w:rPr>
          <w:rFonts w:cs="Times New Roman"/>
          <w:szCs w:val="24"/>
        </w:rPr>
        <w:t>A</w:t>
      </w:r>
      <w:r w:rsidRPr="00423400" w:rsidR="00317487">
        <w:rPr>
          <w:rFonts w:cs="Times New Roman"/>
          <w:szCs w:val="24"/>
        </w:rPr>
        <w:t>lthough OCC’s expert, Mr. Fortney</w:t>
      </w:r>
      <w:r w:rsidRPr="00423400" w:rsidR="00CE4474">
        <w:rPr>
          <w:rFonts w:cs="Times New Roman"/>
          <w:szCs w:val="24"/>
        </w:rPr>
        <w:t>,</w:t>
      </w:r>
      <w:r w:rsidRPr="00423400" w:rsidR="00317487">
        <w:rPr>
          <w:rFonts w:cs="Times New Roman"/>
          <w:szCs w:val="24"/>
        </w:rPr>
        <w:t xml:space="preserve"> agrees with the PUCO Staff’s use of the minimally compensatory method of determining the residential c</w:t>
      </w:r>
      <w:r w:rsidRPr="00423400">
        <w:rPr>
          <w:rFonts w:cs="Times New Roman"/>
          <w:szCs w:val="24"/>
        </w:rPr>
        <w:t>ustomer</w:t>
      </w:r>
      <w:r w:rsidRPr="00423400" w:rsidR="00317487">
        <w:rPr>
          <w:rFonts w:cs="Times New Roman"/>
          <w:szCs w:val="24"/>
        </w:rPr>
        <w:t xml:space="preserve"> charge, he objects </w:t>
      </w:r>
      <w:r w:rsidRPr="00423400" w:rsidR="006246E1">
        <w:rPr>
          <w:rFonts w:cs="Times New Roman"/>
          <w:szCs w:val="24"/>
        </w:rPr>
        <w:t>to the amount of $9.75.</w:t>
      </w:r>
      <w:r>
        <w:rPr>
          <w:rStyle w:val="FootnoteReference"/>
          <w:rFonts w:cs="Times New Roman"/>
          <w:szCs w:val="24"/>
        </w:rPr>
        <w:footnoteReference w:id="350"/>
      </w:r>
      <w:r w:rsidRPr="00423400" w:rsidR="006246E1">
        <w:rPr>
          <w:rFonts w:cs="Times New Roman"/>
          <w:szCs w:val="24"/>
        </w:rPr>
        <w:t xml:space="preserve"> </w:t>
      </w:r>
    </w:p>
    <w:p w:rsidR="00BC0895" w:rsidRPr="00423400" w:rsidP="00BC0895" w14:paraId="005BDB06" w14:textId="77777777">
      <w:pPr>
        <w:spacing w:after="0" w:line="480" w:lineRule="auto"/>
        <w:ind w:firstLine="720"/>
        <w:rPr>
          <w:rFonts w:cs="Times New Roman"/>
          <w:szCs w:val="24"/>
        </w:rPr>
      </w:pPr>
      <w:r w:rsidRPr="00423400">
        <w:rPr>
          <w:rFonts w:cs="Times New Roman"/>
          <w:szCs w:val="24"/>
        </w:rPr>
        <w:t>Mr. Fortney testif</w:t>
      </w:r>
      <w:r w:rsidRPr="00423400" w:rsidR="00CA1F30">
        <w:rPr>
          <w:rFonts w:cs="Times New Roman"/>
          <w:szCs w:val="24"/>
        </w:rPr>
        <w:t>i</w:t>
      </w:r>
      <w:r w:rsidRPr="00423400">
        <w:rPr>
          <w:rFonts w:cs="Times New Roman"/>
          <w:szCs w:val="24"/>
        </w:rPr>
        <w:t xml:space="preserve">ed that he objects to this amount because </w:t>
      </w:r>
      <w:r w:rsidRPr="00423400" w:rsidR="00CA1F30">
        <w:rPr>
          <w:rFonts w:cs="Times New Roman"/>
          <w:szCs w:val="24"/>
        </w:rPr>
        <w:t>Staff has included Account 368, Line Transformers, in its minimally compensatory calculation, which it should not have.</w:t>
      </w:r>
      <w:r>
        <w:rPr>
          <w:rStyle w:val="FootnoteReference"/>
          <w:rFonts w:cs="Times New Roman"/>
          <w:szCs w:val="24"/>
        </w:rPr>
        <w:footnoteReference w:id="351"/>
      </w:r>
      <w:r w:rsidRPr="00423400" w:rsidR="00CA1F30">
        <w:rPr>
          <w:rFonts w:cs="Times New Roman"/>
          <w:szCs w:val="24"/>
        </w:rPr>
        <w:t xml:space="preserve"> Mr. Fortney explained in his testimony that the customer charge should recover only those costs that are directly attributable to serving an individual consumer, independent of his or her demand.</w:t>
      </w:r>
      <w:r>
        <w:rPr>
          <w:rStyle w:val="FootnoteReference"/>
          <w:rFonts w:cs="Times New Roman"/>
          <w:szCs w:val="24"/>
        </w:rPr>
        <w:footnoteReference w:id="352"/>
      </w:r>
      <w:r w:rsidRPr="00423400" w:rsidR="00CA1F30">
        <w:rPr>
          <w:rFonts w:cs="Times New Roman"/>
          <w:szCs w:val="24"/>
        </w:rPr>
        <w:t xml:space="preserve"> </w:t>
      </w:r>
      <w:r w:rsidRPr="00423400">
        <w:rPr>
          <w:rFonts w:cs="Times New Roman"/>
          <w:szCs w:val="24"/>
        </w:rPr>
        <w:t xml:space="preserve">Mr. Fortney </w:t>
      </w:r>
      <w:r w:rsidRPr="00423400" w:rsidR="00A04799">
        <w:rPr>
          <w:rFonts w:cs="Times New Roman"/>
          <w:szCs w:val="24"/>
        </w:rPr>
        <w:t>also testified that a</w:t>
      </w:r>
      <w:r w:rsidRPr="00423400" w:rsidR="005B246A">
        <w:rPr>
          <w:rFonts w:cs="Times New Roman"/>
          <w:szCs w:val="24"/>
        </w:rPr>
        <w:t xml:space="preserve">ccording to the </w:t>
      </w:r>
      <w:r w:rsidRPr="00423400">
        <w:rPr>
          <w:rFonts w:cs="Times New Roman"/>
          <w:szCs w:val="24"/>
        </w:rPr>
        <w:t>1992 NARUC Electric Cost Allocation Manual, “Primary voltages are reduced to more usable secondary voltages by smaller line transformers installed at customer locations along the primary distribution circuit. In some cases, the utility may choose to install transformers for the exclusive use of a single commercial or industrial customer. On the other hand, in service areas with high customer density, such as housing tracts, a line transformer will be installed to serve many customers. In this case, secondary voltage lines will run from pole to pole or from hand hole to hand hole, and each customer is served by a drop tapped off the secondary line leading directly to the customers premise.”</w:t>
      </w:r>
      <w:r>
        <w:rPr>
          <w:rStyle w:val="FootnoteReference"/>
          <w:rFonts w:cs="Times New Roman"/>
          <w:szCs w:val="24"/>
        </w:rPr>
        <w:footnoteReference w:id="353"/>
      </w:r>
      <w:r w:rsidRPr="00423400">
        <w:rPr>
          <w:rFonts w:cs="Times New Roman"/>
          <w:szCs w:val="24"/>
        </w:rPr>
        <w:t xml:space="preserve"> It goes on to say, “Analysts should be aware that minimum-sized distribution equipment (FERC accounts 364-368) has a certain load-carrying capability, which can be viewed as a demand-related cost.”</w:t>
      </w:r>
      <w:r>
        <w:rPr>
          <w:rStyle w:val="FootnoteReference"/>
          <w:rFonts w:cs="Times New Roman"/>
          <w:szCs w:val="24"/>
        </w:rPr>
        <w:footnoteReference w:id="354"/>
      </w:r>
      <w:r w:rsidRPr="00423400">
        <w:rPr>
          <w:rFonts w:cs="Times New Roman"/>
          <w:szCs w:val="24"/>
        </w:rPr>
        <w:t xml:space="preserve"> </w:t>
      </w:r>
    </w:p>
    <w:p w:rsidR="00CA1F30" w:rsidRPr="00423400" w:rsidP="00BC0895" w14:paraId="5EEE2BA7" w14:textId="77777777">
      <w:pPr>
        <w:spacing w:after="0" w:line="480" w:lineRule="auto"/>
        <w:ind w:firstLine="720"/>
        <w:rPr>
          <w:rFonts w:cs="Times New Roman"/>
          <w:szCs w:val="24"/>
        </w:rPr>
      </w:pPr>
      <w:r w:rsidRPr="00423400">
        <w:rPr>
          <w:rFonts w:cs="Times New Roman"/>
          <w:szCs w:val="24"/>
        </w:rPr>
        <w:t xml:space="preserve">Mr. Fortney argues that </w:t>
      </w:r>
      <w:r w:rsidRPr="00423400" w:rsidR="00BC0895">
        <w:rPr>
          <w:rFonts w:cs="Times New Roman"/>
          <w:szCs w:val="24"/>
        </w:rPr>
        <w:t>Line Transformers should not be viewed as customer-related plant and should not be included in a minimally compensatory calculation to determine the customer charge.</w:t>
      </w:r>
      <w:r>
        <w:rPr>
          <w:rStyle w:val="FootnoteReference"/>
          <w:rFonts w:cs="Times New Roman"/>
          <w:szCs w:val="24"/>
        </w:rPr>
        <w:footnoteReference w:id="355"/>
      </w:r>
      <w:r w:rsidRPr="00423400" w:rsidR="00BA06EC">
        <w:rPr>
          <w:rFonts w:cs="Times New Roman"/>
          <w:szCs w:val="24"/>
        </w:rPr>
        <w:t xml:space="preserve"> Additionally, t</w:t>
      </w:r>
      <w:r w:rsidRPr="00423400" w:rsidR="00BC0895">
        <w:rPr>
          <w:rFonts w:cs="Times New Roman"/>
          <w:szCs w:val="24"/>
        </w:rPr>
        <w:t>he customer charge should provide a price signal to the consumer that there are costs associated with serving the consumers that are independent of the customer demand for the consumption of energy.</w:t>
      </w:r>
      <w:r>
        <w:rPr>
          <w:rStyle w:val="FootnoteReference"/>
          <w:rFonts w:cs="Times New Roman"/>
          <w:szCs w:val="24"/>
        </w:rPr>
        <w:footnoteReference w:id="356"/>
      </w:r>
      <w:r w:rsidRPr="00423400" w:rsidR="00BC0895">
        <w:rPr>
          <w:rFonts w:cs="Times New Roman"/>
          <w:szCs w:val="24"/>
        </w:rPr>
        <w:t xml:space="preserve"> The demand or energy charge should recover the remaining capital operating costs the company incurs while providing sufficient operating capacity to meet the consumer’s maximum demand.</w:t>
      </w:r>
      <w:r>
        <w:rPr>
          <w:rStyle w:val="FootnoteReference"/>
          <w:rFonts w:cs="Times New Roman"/>
          <w:szCs w:val="24"/>
        </w:rPr>
        <w:footnoteReference w:id="357"/>
      </w:r>
      <w:r w:rsidRPr="00423400" w:rsidR="00BC0895">
        <w:rPr>
          <w:rFonts w:cs="Times New Roman"/>
          <w:szCs w:val="24"/>
        </w:rPr>
        <w:t xml:space="preserve"> And in the past, the Staff has not generally included Line Transformers when calculating the customer charge.</w:t>
      </w:r>
      <w:r>
        <w:rPr>
          <w:rStyle w:val="FootnoteReference"/>
          <w:rFonts w:cs="Times New Roman"/>
          <w:szCs w:val="24"/>
        </w:rPr>
        <w:footnoteReference w:id="358"/>
      </w:r>
      <w:r w:rsidRPr="00423400" w:rsidR="00BC0895">
        <w:rPr>
          <w:rFonts w:cs="Times New Roman"/>
          <w:szCs w:val="24"/>
        </w:rPr>
        <w:t xml:space="preserve"> For example, in AEP Ohio’s recent base rate case, the Staff’s minimally compensatory customer charge calculation in its Staff Report did not include Account 368.</w:t>
      </w:r>
      <w:r>
        <w:rPr>
          <w:rStyle w:val="FootnoteReference"/>
          <w:rFonts w:cs="Times New Roman"/>
          <w:szCs w:val="24"/>
        </w:rPr>
        <w:footnoteReference w:id="359"/>
      </w:r>
    </w:p>
    <w:p w:rsidR="00365EFA" w:rsidRPr="00423400" w:rsidP="00BC0895" w14:paraId="720D8187" w14:textId="77777777">
      <w:pPr>
        <w:spacing w:after="0" w:line="480" w:lineRule="auto"/>
        <w:ind w:firstLine="720"/>
        <w:rPr>
          <w:rFonts w:cs="Times New Roman"/>
          <w:szCs w:val="24"/>
        </w:rPr>
      </w:pPr>
      <w:r w:rsidRPr="00423400">
        <w:rPr>
          <w:rFonts w:cs="Times New Roman"/>
          <w:szCs w:val="24"/>
        </w:rPr>
        <w:t xml:space="preserve">OCC also disagrees with the PUCO Staff that there should be a 26.35% carrying charge to the net </w:t>
      </w:r>
      <w:r w:rsidRPr="00423400" w:rsidR="004F55DF">
        <w:rPr>
          <w:rFonts w:cs="Times New Roman"/>
          <w:szCs w:val="24"/>
        </w:rPr>
        <w:t>p</w:t>
      </w:r>
      <w:r w:rsidRPr="00423400">
        <w:rPr>
          <w:rFonts w:cs="Times New Roman"/>
          <w:szCs w:val="24"/>
        </w:rPr>
        <w:t>lan</w:t>
      </w:r>
      <w:r w:rsidRPr="00423400" w:rsidR="004F55DF">
        <w:rPr>
          <w:rFonts w:cs="Times New Roman"/>
          <w:szCs w:val="24"/>
        </w:rPr>
        <w:t>t</w:t>
      </w:r>
      <w:r w:rsidRPr="00423400">
        <w:rPr>
          <w:rFonts w:cs="Times New Roman"/>
          <w:szCs w:val="24"/>
        </w:rPr>
        <w:t xml:space="preserve"> accounts. The PUCO Staff provided no justification or explanation as to how the ch</w:t>
      </w:r>
      <w:r w:rsidRPr="00423400" w:rsidR="004F55DF">
        <w:rPr>
          <w:rFonts w:cs="Times New Roman"/>
          <w:szCs w:val="24"/>
        </w:rPr>
        <w:t>ar</w:t>
      </w:r>
      <w:r w:rsidRPr="00423400">
        <w:rPr>
          <w:rFonts w:cs="Times New Roman"/>
          <w:szCs w:val="24"/>
        </w:rPr>
        <w:t>ge was determined.</w:t>
      </w:r>
      <w:r>
        <w:rPr>
          <w:rStyle w:val="FootnoteReference"/>
          <w:rFonts w:cs="Times New Roman"/>
          <w:szCs w:val="24"/>
        </w:rPr>
        <w:footnoteReference w:id="360"/>
      </w:r>
      <w:r w:rsidRPr="00423400">
        <w:rPr>
          <w:rFonts w:cs="Times New Roman"/>
          <w:szCs w:val="24"/>
        </w:rPr>
        <w:t xml:space="preserve"> </w:t>
      </w:r>
      <w:r w:rsidRPr="00423400" w:rsidR="00CA4E63">
        <w:rPr>
          <w:rFonts w:cs="Times New Roman"/>
          <w:szCs w:val="24"/>
        </w:rPr>
        <w:t xml:space="preserve">According to Mr. Fortney, </w:t>
      </w:r>
      <w:r w:rsidRPr="00423400" w:rsidR="00C35FBA">
        <w:rPr>
          <w:rFonts w:cs="Times New Roman"/>
          <w:szCs w:val="24"/>
        </w:rPr>
        <w:t>AES Ohio</w:t>
      </w:r>
      <w:r w:rsidRPr="00423400" w:rsidR="004F55DF">
        <w:rPr>
          <w:rFonts w:cs="Times New Roman"/>
          <w:szCs w:val="24"/>
        </w:rPr>
        <w:t xml:space="preserve"> utilized a 25.00% carrying charge.</w:t>
      </w:r>
      <w:r>
        <w:rPr>
          <w:rStyle w:val="FootnoteReference"/>
          <w:rFonts w:cs="Times New Roman"/>
          <w:szCs w:val="24"/>
        </w:rPr>
        <w:footnoteReference w:id="361"/>
      </w:r>
      <w:r w:rsidRPr="00423400" w:rsidR="004F55DF">
        <w:rPr>
          <w:rFonts w:cs="Times New Roman"/>
          <w:szCs w:val="24"/>
        </w:rPr>
        <w:t xml:space="preserve"> </w:t>
      </w:r>
      <w:r w:rsidRPr="00423400" w:rsidR="00C35FBA">
        <w:rPr>
          <w:rFonts w:cs="Times New Roman"/>
          <w:szCs w:val="24"/>
        </w:rPr>
        <w:t>But t</w:t>
      </w:r>
      <w:r w:rsidRPr="00423400" w:rsidR="004F55DF">
        <w:rPr>
          <w:rFonts w:cs="Times New Roman"/>
          <w:szCs w:val="24"/>
        </w:rPr>
        <w:t xml:space="preserve">he PUCO Staff did not explain why it adopted a higher carrying charge, and </w:t>
      </w:r>
      <w:r w:rsidRPr="00423400" w:rsidR="00AE68BA">
        <w:rPr>
          <w:rFonts w:cs="Times New Roman"/>
          <w:szCs w:val="24"/>
        </w:rPr>
        <w:t xml:space="preserve">there was no justification provided </w:t>
      </w:r>
      <w:r w:rsidRPr="00423400" w:rsidR="004F55DF">
        <w:rPr>
          <w:rFonts w:cs="Times New Roman"/>
          <w:szCs w:val="24"/>
        </w:rPr>
        <w:t>for the higher charge.</w:t>
      </w:r>
      <w:r>
        <w:rPr>
          <w:rStyle w:val="FootnoteReference"/>
          <w:rFonts w:cs="Times New Roman"/>
          <w:szCs w:val="24"/>
        </w:rPr>
        <w:footnoteReference w:id="362"/>
      </w:r>
      <w:r w:rsidRPr="00423400" w:rsidR="004F55DF">
        <w:rPr>
          <w:rFonts w:cs="Times New Roman"/>
          <w:szCs w:val="24"/>
        </w:rPr>
        <w:t xml:space="preserve"> </w:t>
      </w:r>
    </w:p>
    <w:p w:rsidR="00B20E5B" w:rsidRPr="00423400" w:rsidP="00B20E5B" w14:paraId="0B2F1ACC" w14:textId="77777777">
      <w:pPr>
        <w:spacing w:after="0" w:line="480" w:lineRule="auto"/>
        <w:ind w:firstLine="720"/>
        <w:rPr>
          <w:rFonts w:cs="Times New Roman"/>
          <w:szCs w:val="24"/>
        </w:rPr>
      </w:pPr>
      <w:r w:rsidRPr="00423400">
        <w:rPr>
          <w:rFonts w:cs="Times New Roman"/>
          <w:szCs w:val="24"/>
        </w:rPr>
        <w:t>Mr. Fortney also recommended a residential consumer charge of not more than $8.25.</w:t>
      </w:r>
      <w:r>
        <w:rPr>
          <w:rStyle w:val="FootnoteReference"/>
          <w:rFonts w:cs="Times New Roman"/>
          <w:szCs w:val="24"/>
        </w:rPr>
        <w:footnoteReference w:id="363"/>
      </w:r>
      <w:r w:rsidRPr="00423400">
        <w:rPr>
          <w:rFonts w:cs="Times New Roman"/>
          <w:szCs w:val="24"/>
        </w:rPr>
        <w:t xml:space="preserve"> </w:t>
      </w:r>
      <w:r w:rsidRPr="00423400" w:rsidR="00180854">
        <w:rPr>
          <w:rFonts w:cs="Times New Roman"/>
          <w:szCs w:val="24"/>
        </w:rPr>
        <w:t>And he</w:t>
      </w:r>
      <w:r w:rsidRPr="00423400">
        <w:rPr>
          <w:rFonts w:cs="Times New Roman"/>
          <w:szCs w:val="24"/>
        </w:rPr>
        <w:t xml:space="preserve"> arrived at this </w:t>
      </w:r>
      <w:r w:rsidRPr="00423400" w:rsidR="00180854">
        <w:rPr>
          <w:rFonts w:cs="Times New Roman"/>
          <w:szCs w:val="24"/>
        </w:rPr>
        <w:t>amount</w:t>
      </w:r>
      <w:r w:rsidRPr="00423400">
        <w:rPr>
          <w:rFonts w:cs="Times New Roman"/>
          <w:szCs w:val="24"/>
        </w:rPr>
        <w:t xml:space="preserve"> </w:t>
      </w:r>
      <w:r w:rsidRPr="00423400" w:rsidR="00180854">
        <w:rPr>
          <w:rFonts w:cs="Times New Roman"/>
          <w:szCs w:val="24"/>
        </w:rPr>
        <w:t>by correcting the two errors in the Staff Report.</w:t>
      </w:r>
      <w:r>
        <w:rPr>
          <w:rStyle w:val="FootnoteReference"/>
          <w:rFonts w:cs="Times New Roman"/>
          <w:szCs w:val="24"/>
        </w:rPr>
        <w:footnoteReference w:id="364"/>
      </w:r>
      <w:r w:rsidRPr="00423400" w:rsidR="00180854">
        <w:rPr>
          <w:rFonts w:cs="Times New Roman"/>
          <w:szCs w:val="24"/>
        </w:rPr>
        <w:t xml:space="preserve"> Specifically, he excluded Account 368 (Line Transformers) and used a 25.00% carrying charge instead of Staff’s higher 26.35%.</w:t>
      </w:r>
      <w:r>
        <w:rPr>
          <w:rStyle w:val="FootnoteReference"/>
          <w:rFonts w:cs="Times New Roman"/>
          <w:szCs w:val="24"/>
        </w:rPr>
        <w:footnoteReference w:id="365"/>
      </w:r>
      <w:r w:rsidRPr="00423400" w:rsidR="00B60B67">
        <w:rPr>
          <w:rFonts w:cs="Times New Roman"/>
          <w:szCs w:val="24"/>
        </w:rPr>
        <w:t xml:space="preserve"> </w:t>
      </w:r>
      <w:r w:rsidRPr="00423400">
        <w:rPr>
          <w:rFonts w:cs="Times New Roman"/>
          <w:szCs w:val="24"/>
        </w:rPr>
        <w:t>Mr. Fortney concluded that t</w:t>
      </w:r>
      <w:r w:rsidRPr="00423400" w:rsidR="00180854">
        <w:rPr>
          <w:rFonts w:cs="Times New Roman"/>
          <w:szCs w:val="24"/>
        </w:rPr>
        <w:t xml:space="preserve">he PUCO Staff’s minimally compensatory methodology, absent the inclusion of Account 368 and including rationale regarding the derivation of the carrying charge, should be adopted </w:t>
      </w:r>
      <w:r w:rsidRPr="00423400">
        <w:rPr>
          <w:rFonts w:cs="Times New Roman"/>
          <w:szCs w:val="24"/>
        </w:rPr>
        <w:t xml:space="preserve">in this case </w:t>
      </w:r>
      <w:r w:rsidRPr="00423400" w:rsidR="00180854">
        <w:rPr>
          <w:rFonts w:cs="Times New Roman"/>
          <w:szCs w:val="24"/>
        </w:rPr>
        <w:t>and in the future to protect residential consumers from unnecessary customer charge rate increases.</w:t>
      </w:r>
      <w:r>
        <w:rPr>
          <w:rStyle w:val="FootnoteReference"/>
          <w:rFonts w:cs="Times New Roman"/>
          <w:szCs w:val="24"/>
        </w:rPr>
        <w:footnoteReference w:id="366"/>
      </w:r>
      <w:r w:rsidRPr="00423400" w:rsidR="00180854">
        <w:rPr>
          <w:rFonts w:cs="Times New Roman"/>
          <w:szCs w:val="24"/>
        </w:rPr>
        <w:t xml:space="preserve"> An increase from the current customer charge of $7.00 to </w:t>
      </w:r>
      <w:r w:rsidRPr="00423400">
        <w:rPr>
          <w:rFonts w:cs="Times New Roman"/>
          <w:szCs w:val="24"/>
        </w:rPr>
        <w:t xml:space="preserve">Mr. Fortney’s </w:t>
      </w:r>
      <w:r w:rsidRPr="00423400" w:rsidR="00180854">
        <w:rPr>
          <w:rFonts w:cs="Times New Roman"/>
          <w:szCs w:val="24"/>
        </w:rPr>
        <w:t>proposed $8.25 is also consistent with the regulatory principle of gradualism, which the PUCO has described as a “longstanding and important regulatory principle [that] seeks to minimize the impact of rate changes on customers.”</w:t>
      </w:r>
      <w:r>
        <w:rPr>
          <w:rStyle w:val="FootnoteReference"/>
          <w:rFonts w:cs="Times New Roman"/>
          <w:szCs w:val="24"/>
        </w:rPr>
        <w:footnoteReference w:id="367"/>
      </w:r>
      <w:r w:rsidRPr="00423400" w:rsidR="00180854">
        <w:rPr>
          <w:rFonts w:cs="Times New Roman"/>
          <w:szCs w:val="24"/>
        </w:rPr>
        <w:t xml:space="preserve"> Minimizing the increase to the customer charge helps avoid rate shock, especially for low-use customers whose bills are more disproportionately impacted by an increase to the fixed charges on their bills.</w:t>
      </w:r>
      <w:r>
        <w:rPr>
          <w:rStyle w:val="FootnoteReference"/>
          <w:rFonts w:cs="Times New Roman"/>
          <w:szCs w:val="24"/>
        </w:rPr>
        <w:footnoteReference w:id="368"/>
      </w:r>
      <w:r w:rsidRPr="00423400" w:rsidR="00180854">
        <w:rPr>
          <w:rFonts w:cs="Times New Roman"/>
          <w:b/>
          <w:bCs/>
          <w:i/>
          <w:iCs/>
          <w:szCs w:val="24"/>
        </w:rPr>
        <w:t xml:space="preserve"> </w:t>
      </w:r>
    </w:p>
    <w:p w:rsidR="00B20E5B" w:rsidRPr="00423400" w:rsidP="00B20E5B" w14:paraId="2923B63D" w14:textId="77777777">
      <w:pPr>
        <w:spacing w:after="0" w:line="480" w:lineRule="auto"/>
        <w:ind w:firstLine="720"/>
        <w:rPr>
          <w:rFonts w:cs="Times New Roman"/>
          <w:szCs w:val="24"/>
        </w:rPr>
      </w:pPr>
      <w:r w:rsidRPr="00423400">
        <w:rPr>
          <w:rFonts w:cs="Times New Roman"/>
          <w:szCs w:val="24"/>
        </w:rPr>
        <w:t>Therefore, to protect consumers from paying unjust and unreasonable rates, the PUCO should adopt a 25.00% carrying charge and a consumer charge of no more tha</w:t>
      </w:r>
      <w:r w:rsidRPr="00423400" w:rsidR="00C35FBA">
        <w:rPr>
          <w:rFonts w:cs="Times New Roman"/>
          <w:szCs w:val="24"/>
        </w:rPr>
        <w:t>n</w:t>
      </w:r>
      <w:r w:rsidRPr="00423400">
        <w:rPr>
          <w:rFonts w:cs="Times New Roman"/>
          <w:szCs w:val="24"/>
        </w:rPr>
        <w:t xml:space="preserve"> $8.25.</w:t>
      </w:r>
    </w:p>
    <w:p w:rsidR="00572729" w:rsidRPr="00423400" w:rsidP="00CE3867" w14:paraId="5A13097E" w14:textId="77777777">
      <w:pPr>
        <w:pStyle w:val="Heading1"/>
        <w:keepNext w:val="0"/>
        <w:keepLines w:val="0"/>
        <w:widowControl w:val="0"/>
        <w:spacing w:after="240"/>
        <w:ind w:left="720" w:hanging="720"/>
        <w:rPr>
          <w:rFonts w:cs="Times New Roman"/>
          <w:b/>
          <w:bCs/>
          <w:szCs w:val="24"/>
        </w:rPr>
      </w:pPr>
      <w:bookmarkStart w:id="90" w:name="_Toc96960372"/>
      <w:bookmarkStart w:id="91" w:name="_Toc96960414"/>
      <w:bookmarkStart w:id="92" w:name="_Toc97298221"/>
      <w:r w:rsidRPr="00423400">
        <w:rPr>
          <w:rFonts w:cs="Times New Roman"/>
          <w:b/>
          <w:bCs/>
          <w:szCs w:val="24"/>
        </w:rPr>
        <w:t xml:space="preserve">OCC’s RECOMMENDATIONS TO </w:t>
      </w:r>
      <w:r w:rsidRPr="00423400" w:rsidR="005E7E9F">
        <w:rPr>
          <w:rFonts w:cs="Times New Roman"/>
          <w:b/>
          <w:bCs/>
          <w:szCs w:val="24"/>
        </w:rPr>
        <w:t>SERVICE MONITORING AND</w:t>
      </w:r>
      <w:r w:rsidRPr="00423400" w:rsidR="00CD72D9">
        <w:rPr>
          <w:rFonts w:cs="Times New Roman"/>
          <w:b/>
          <w:bCs/>
          <w:szCs w:val="24"/>
        </w:rPr>
        <w:t xml:space="preserve"> </w:t>
      </w:r>
      <w:r w:rsidRPr="00423400" w:rsidR="005E7E9F">
        <w:rPr>
          <w:rFonts w:cs="Times New Roman"/>
          <w:b/>
          <w:bCs/>
          <w:szCs w:val="24"/>
        </w:rPr>
        <w:t>ENFORCEMENT</w:t>
      </w:r>
      <w:bookmarkEnd w:id="90"/>
      <w:bookmarkEnd w:id="91"/>
      <w:bookmarkEnd w:id="92"/>
    </w:p>
    <w:p w:rsidR="00821A9C" w:rsidRPr="00423400" w:rsidP="0012105E" w14:paraId="275FFD9E" w14:textId="77777777">
      <w:pPr>
        <w:pStyle w:val="Heading2"/>
        <w:ind w:left="1440" w:hanging="720"/>
        <w:rPr>
          <w:color w:val="auto"/>
          <w:sz w:val="24"/>
          <w:szCs w:val="24"/>
        </w:rPr>
      </w:pPr>
      <w:bookmarkStart w:id="93" w:name="_Toc96960373"/>
      <w:bookmarkStart w:id="94" w:name="_Toc96960415"/>
      <w:bookmarkStart w:id="95" w:name="_Toc97298222"/>
      <w:r w:rsidRPr="00423400">
        <w:rPr>
          <w:color w:val="auto"/>
          <w:sz w:val="24"/>
          <w:szCs w:val="24"/>
        </w:rPr>
        <w:t xml:space="preserve">To protect consumers </w:t>
      </w:r>
      <w:r w:rsidRPr="00423400" w:rsidR="00CD7199">
        <w:rPr>
          <w:color w:val="auto"/>
          <w:sz w:val="24"/>
          <w:szCs w:val="24"/>
        </w:rPr>
        <w:t>from inadequate service quality</w:t>
      </w:r>
      <w:r w:rsidRPr="00423400">
        <w:rPr>
          <w:color w:val="auto"/>
          <w:sz w:val="24"/>
          <w:szCs w:val="24"/>
        </w:rPr>
        <w:t xml:space="preserve">, the PUCO should </w:t>
      </w:r>
      <w:r w:rsidRPr="00423400" w:rsidR="00CD7199">
        <w:rPr>
          <w:color w:val="auto"/>
          <w:sz w:val="24"/>
          <w:szCs w:val="24"/>
        </w:rPr>
        <w:t xml:space="preserve">apply </w:t>
      </w:r>
      <w:r w:rsidRPr="00423400" w:rsidR="00572729">
        <w:rPr>
          <w:color w:val="auto"/>
          <w:sz w:val="24"/>
          <w:szCs w:val="24"/>
        </w:rPr>
        <w:t xml:space="preserve">financial penalties </w:t>
      </w:r>
      <w:r w:rsidRPr="00423400" w:rsidR="00CF0451">
        <w:rPr>
          <w:color w:val="auto"/>
          <w:sz w:val="24"/>
          <w:szCs w:val="24"/>
        </w:rPr>
        <w:t>for</w:t>
      </w:r>
      <w:r w:rsidRPr="00423400" w:rsidR="00572729">
        <w:rPr>
          <w:color w:val="auto"/>
          <w:sz w:val="24"/>
          <w:szCs w:val="24"/>
        </w:rPr>
        <w:t xml:space="preserve"> </w:t>
      </w:r>
      <w:r w:rsidRPr="00423400" w:rsidR="00FF5075">
        <w:rPr>
          <w:color w:val="auto"/>
          <w:sz w:val="24"/>
          <w:szCs w:val="24"/>
        </w:rPr>
        <w:t>DP&amp;L’s</w:t>
      </w:r>
      <w:r w:rsidRPr="00423400" w:rsidR="00572729">
        <w:rPr>
          <w:color w:val="auto"/>
          <w:sz w:val="24"/>
          <w:szCs w:val="24"/>
        </w:rPr>
        <w:t xml:space="preserve"> failure to comply with the minimum PUCO distribution reliability standards in 2019 and 2020 enumerated in O.A.C. 4901:1-10-10(E)</w:t>
      </w:r>
      <w:r w:rsidRPr="00423400" w:rsidR="00EC0E9D">
        <w:rPr>
          <w:color w:val="auto"/>
          <w:sz w:val="24"/>
          <w:szCs w:val="24"/>
        </w:rPr>
        <w:t>.</w:t>
      </w:r>
      <w:bookmarkEnd w:id="93"/>
      <w:bookmarkEnd w:id="94"/>
      <w:bookmarkEnd w:id="95"/>
    </w:p>
    <w:p w:rsidR="005D4119" w:rsidRPr="00423400" w:rsidP="00B8261A" w14:paraId="28915DE2" w14:textId="77777777">
      <w:pPr>
        <w:spacing w:before="240" w:after="0" w:line="480" w:lineRule="auto"/>
        <w:ind w:firstLine="720"/>
        <w:rPr>
          <w:rFonts w:cs="Times New Roman"/>
          <w:szCs w:val="24"/>
        </w:rPr>
      </w:pPr>
      <w:r w:rsidRPr="00423400">
        <w:rPr>
          <w:rFonts w:cs="Times New Roman"/>
          <w:szCs w:val="24"/>
        </w:rPr>
        <w:t xml:space="preserve">The PUCO should </w:t>
      </w:r>
      <w:r w:rsidRPr="00423400" w:rsidR="000E2B84">
        <w:rPr>
          <w:rFonts w:cs="Times New Roman"/>
          <w:szCs w:val="24"/>
        </w:rPr>
        <w:t xml:space="preserve">fine </w:t>
      </w:r>
      <w:r w:rsidRPr="00423400" w:rsidR="004F2676">
        <w:rPr>
          <w:rFonts w:cs="Times New Roman"/>
          <w:szCs w:val="24"/>
        </w:rPr>
        <w:t>DP&amp;L</w:t>
      </w:r>
      <w:r w:rsidRPr="00423400" w:rsidR="000E2B84">
        <w:rPr>
          <w:rFonts w:cs="Times New Roman"/>
          <w:szCs w:val="24"/>
        </w:rPr>
        <w:t xml:space="preserve"> for its failure to comply with the minimum PUCO distribution reliability standards</w:t>
      </w:r>
      <w:r w:rsidRPr="00423400" w:rsidR="00AC67B7">
        <w:rPr>
          <w:rFonts w:cs="Times New Roman"/>
          <w:szCs w:val="24"/>
        </w:rPr>
        <w:t>, O.A.C. 4901:1-10-10(E),</w:t>
      </w:r>
      <w:r w:rsidRPr="00423400" w:rsidR="000E2B84">
        <w:rPr>
          <w:rFonts w:cs="Times New Roman"/>
          <w:szCs w:val="24"/>
        </w:rPr>
        <w:t xml:space="preserve"> in 2019 and 2020</w:t>
      </w:r>
      <w:r w:rsidRPr="00423400" w:rsidR="00AC67B7">
        <w:rPr>
          <w:rFonts w:cs="Times New Roman"/>
          <w:szCs w:val="24"/>
        </w:rPr>
        <w:t>.</w:t>
      </w:r>
      <w:r w:rsidRPr="00423400" w:rsidR="00527DB0">
        <w:rPr>
          <w:rFonts w:cs="Times New Roman"/>
          <w:szCs w:val="24"/>
        </w:rPr>
        <w:t xml:space="preserve"> </w:t>
      </w:r>
      <w:r w:rsidRPr="00423400" w:rsidR="001777AE">
        <w:rPr>
          <w:rFonts w:cs="Times New Roman"/>
          <w:szCs w:val="24"/>
        </w:rPr>
        <w:t>OCC’s expert witness Mr. Jim Williams testified that t</w:t>
      </w:r>
      <w:r w:rsidRPr="00423400" w:rsidR="00CB16BA">
        <w:rPr>
          <w:rFonts w:cs="Times New Roman"/>
          <w:szCs w:val="24"/>
        </w:rPr>
        <w:t>he</w:t>
      </w:r>
      <w:r w:rsidRPr="00423400" w:rsidR="00527DB0">
        <w:rPr>
          <w:rFonts w:cs="Times New Roman"/>
          <w:szCs w:val="24"/>
        </w:rPr>
        <w:t xml:space="preserve"> PUCO Staff report </w:t>
      </w:r>
      <w:r w:rsidRPr="00423400" w:rsidR="002B5900">
        <w:rPr>
          <w:rFonts w:cs="Times New Roman"/>
          <w:szCs w:val="24"/>
        </w:rPr>
        <w:t xml:space="preserve">described that </w:t>
      </w:r>
      <w:r w:rsidRPr="00423400" w:rsidR="00CB16BA">
        <w:rPr>
          <w:rFonts w:cs="Times New Roman"/>
          <w:szCs w:val="24"/>
        </w:rPr>
        <w:t>AES Ohio</w:t>
      </w:r>
      <w:r w:rsidRPr="00423400" w:rsidR="002B5900">
        <w:rPr>
          <w:rFonts w:cs="Times New Roman"/>
          <w:szCs w:val="24"/>
        </w:rPr>
        <w:t xml:space="preserve"> missed its Customer Average Interruption Duration Index (“CAIDI”) reliability standard in both 2019 and 2020 and was in violation of Ohio Adm. Code 4901:1-10-10(E).</w:t>
      </w:r>
      <w:r>
        <w:rPr>
          <w:rStyle w:val="FootnoteReference"/>
          <w:rFonts w:cs="Times New Roman"/>
          <w:szCs w:val="24"/>
        </w:rPr>
        <w:footnoteReference w:id="369"/>
      </w:r>
      <w:r w:rsidRPr="00423400" w:rsidR="002B5900">
        <w:rPr>
          <w:rFonts w:cs="Times New Roman"/>
          <w:szCs w:val="24"/>
        </w:rPr>
        <w:t xml:space="preserve"> </w:t>
      </w:r>
      <w:r w:rsidRPr="00423400" w:rsidR="00CB16BA">
        <w:rPr>
          <w:rFonts w:cs="Times New Roman"/>
          <w:szCs w:val="24"/>
        </w:rPr>
        <w:t>T</w:t>
      </w:r>
      <w:r w:rsidRPr="00423400" w:rsidR="002B5900">
        <w:rPr>
          <w:rFonts w:cs="Times New Roman"/>
          <w:szCs w:val="24"/>
        </w:rPr>
        <w:t xml:space="preserve">he PUCO Staff Report </w:t>
      </w:r>
      <w:r w:rsidRPr="00423400" w:rsidR="00CB16BA">
        <w:rPr>
          <w:rFonts w:cs="Times New Roman"/>
          <w:szCs w:val="24"/>
        </w:rPr>
        <w:t xml:space="preserve">also </w:t>
      </w:r>
      <w:r w:rsidRPr="00423400" w:rsidR="002B5900">
        <w:rPr>
          <w:rFonts w:cs="Times New Roman"/>
          <w:szCs w:val="24"/>
        </w:rPr>
        <w:t>mentioned that a letter of probable non-compliance was issued by the PUCO Staff.</w:t>
      </w:r>
      <w:r>
        <w:rPr>
          <w:rStyle w:val="FootnoteReference"/>
          <w:rFonts w:cs="Times New Roman"/>
          <w:szCs w:val="24"/>
        </w:rPr>
        <w:footnoteReference w:id="370"/>
      </w:r>
      <w:r w:rsidRPr="00423400" w:rsidR="002B5900">
        <w:rPr>
          <w:rFonts w:cs="Times New Roman"/>
          <w:szCs w:val="24"/>
        </w:rPr>
        <w:t xml:space="preserve"> </w:t>
      </w:r>
      <w:r w:rsidRPr="00423400" w:rsidR="00CB16BA">
        <w:rPr>
          <w:rFonts w:cs="Times New Roman"/>
          <w:szCs w:val="24"/>
        </w:rPr>
        <w:t>And a</w:t>
      </w:r>
      <w:r w:rsidRPr="00423400" w:rsidR="002B5900">
        <w:rPr>
          <w:rFonts w:cs="Times New Roman"/>
          <w:szCs w:val="24"/>
        </w:rPr>
        <w:t xml:space="preserve">ccording to </w:t>
      </w:r>
      <w:r w:rsidRPr="00423400" w:rsidR="004F2676">
        <w:rPr>
          <w:rFonts w:cs="Times New Roman"/>
          <w:szCs w:val="24"/>
        </w:rPr>
        <w:t>DP&amp;L’s</w:t>
      </w:r>
      <w:r w:rsidRPr="00423400" w:rsidR="002B5900">
        <w:rPr>
          <w:rFonts w:cs="Times New Roman"/>
          <w:szCs w:val="24"/>
        </w:rPr>
        <w:t xml:space="preserve"> response to </w:t>
      </w:r>
      <w:r w:rsidRPr="00423400" w:rsidR="00E55BE6">
        <w:rPr>
          <w:rFonts w:cs="Times New Roman"/>
          <w:szCs w:val="24"/>
        </w:rPr>
        <w:t xml:space="preserve">OCC’s discovery, </w:t>
      </w:r>
      <w:r w:rsidRPr="00423400" w:rsidR="002B5900">
        <w:rPr>
          <w:rFonts w:cs="Times New Roman"/>
          <w:szCs w:val="24"/>
        </w:rPr>
        <w:t xml:space="preserve">an </w:t>
      </w:r>
      <w:r w:rsidRPr="00423400" w:rsidR="00E55BE6">
        <w:rPr>
          <w:rFonts w:cs="Times New Roman"/>
          <w:szCs w:val="24"/>
        </w:rPr>
        <w:t>a</w:t>
      </w:r>
      <w:r w:rsidRPr="00423400" w:rsidR="002B5900">
        <w:rPr>
          <w:rFonts w:cs="Times New Roman"/>
          <w:szCs w:val="24"/>
        </w:rPr>
        <w:t xml:space="preserve">ction </w:t>
      </w:r>
      <w:r w:rsidRPr="00423400" w:rsidR="00E55BE6">
        <w:rPr>
          <w:rFonts w:cs="Times New Roman"/>
          <w:szCs w:val="24"/>
        </w:rPr>
        <w:t>p</w:t>
      </w:r>
      <w:r w:rsidRPr="00423400" w:rsidR="002B5900">
        <w:rPr>
          <w:rFonts w:cs="Times New Roman"/>
          <w:szCs w:val="24"/>
        </w:rPr>
        <w:t>lan was submitted to the</w:t>
      </w:r>
      <w:r w:rsidRPr="00423400" w:rsidR="00B60B67">
        <w:rPr>
          <w:rFonts w:cs="Times New Roman"/>
          <w:szCs w:val="24"/>
        </w:rPr>
        <w:t xml:space="preserve"> </w:t>
      </w:r>
      <w:r w:rsidRPr="00423400" w:rsidR="002B5900">
        <w:rPr>
          <w:rFonts w:cs="Times New Roman"/>
          <w:szCs w:val="24"/>
        </w:rPr>
        <w:t>PUCO Staff for failure to meet the 2019</w:t>
      </w:r>
      <w:r w:rsidRPr="00423400" w:rsidR="00E55BE6">
        <w:rPr>
          <w:rFonts w:cs="Times New Roman"/>
          <w:szCs w:val="24"/>
        </w:rPr>
        <w:t xml:space="preserve"> and 2020</w:t>
      </w:r>
      <w:r w:rsidRPr="00423400" w:rsidR="002B5900">
        <w:rPr>
          <w:rFonts w:cs="Times New Roman"/>
          <w:szCs w:val="24"/>
        </w:rPr>
        <w:t xml:space="preserve"> minimum reliability standards.</w:t>
      </w:r>
      <w:r>
        <w:rPr>
          <w:rStyle w:val="FootnoteReference"/>
          <w:rFonts w:cs="Times New Roman"/>
          <w:szCs w:val="24"/>
        </w:rPr>
        <w:footnoteReference w:id="371"/>
      </w:r>
      <w:r w:rsidRPr="00423400" w:rsidR="002B5900">
        <w:rPr>
          <w:rFonts w:cs="Times New Roman"/>
          <w:szCs w:val="24"/>
        </w:rPr>
        <w:t xml:space="preserve"> </w:t>
      </w:r>
    </w:p>
    <w:p w:rsidR="002B5900" w:rsidRPr="00423400" w:rsidP="00B8261A" w14:paraId="6BCB6584" w14:textId="77777777">
      <w:pPr>
        <w:spacing w:after="0" w:line="480" w:lineRule="auto"/>
        <w:ind w:firstLine="720"/>
        <w:rPr>
          <w:rFonts w:cs="Times New Roman"/>
          <w:szCs w:val="24"/>
        </w:rPr>
      </w:pPr>
      <w:r w:rsidRPr="00423400">
        <w:rPr>
          <w:rFonts w:cs="Times New Roman"/>
          <w:szCs w:val="24"/>
        </w:rPr>
        <w:t>The PUCO rules require that action plans include a proposal for improving performance to a level that meets or exceeds the minimum performance standards established by the PUCO.</w:t>
      </w:r>
      <w:r>
        <w:rPr>
          <w:rStyle w:val="FootnoteReference"/>
          <w:rFonts w:cs="Times New Roman"/>
          <w:szCs w:val="24"/>
        </w:rPr>
        <w:footnoteReference w:id="372"/>
      </w:r>
      <w:r w:rsidRPr="00423400">
        <w:rPr>
          <w:rFonts w:cs="Times New Roman"/>
          <w:szCs w:val="24"/>
        </w:rPr>
        <w:t xml:space="preserve"> </w:t>
      </w:r>
      <w:r w:rsidRPr="00423400" w:rsidR="005D4119">
        <w:rPr>
          <w:rFonts w:cs="Times New Roman"/>
          <w:szCs w:val="24"/>
        </w:rPr>
        <w:t xml:space="preserve">Mr. Williams also testified that </w:t>
      </w:r>
      <w:r w:rsidRPr="00423400">
        <w:rPr>
          <w:rFonts w:cs="Times New Roman"/>
          <w:szCs w:val="24"/>
        </w:rPr>
        <w:t>between 2018 and 2020, DP&amp;L had seven circuits on the worst performing circuits report for three consecutive years.</w:t>
      </w:r>
      <w:r>
        <w:rPr>
          <w:rStyle w:val="FootnoteReference"/>
          <w:rFonts w:cs="Times New Roman"/>
          <w:szCs w:val="24"/>
        </w:rPr>
        <w:footnoteReference w:id="373"/>
      </w:r>
      <w:r w:rsidRPr="00423400">
        <w:rPr>
          <w:rFonts w:cs="Times New Roman"/>
          <w:szCs w:val="24"/>
        </w:rPr>
        <w:t xml:space="preserve"> This creates a rebuttable presumption of a violation of Ohio Adm. Code 4901:1-10-11(F). </w:t>
      </w:r>
      <w:r w:rsidRPr="00423400" w:rsidR="00075274">
        <w:rPr>
          <w:rFonts w:cs="Times New Roman"/>
          <w:szCs w:val="24"/>
        </w:rPr>
        <w:t>But n</w:t>
      </w:r>
      <w:r w:rsidRPr="00423400">
        <w:rPr>
          <w:rFonts w:cs="Times New Roman"/>
          <w:szCs w:val="24"/>
        </w:rPr>
        <w:t xml:space="preserve">o specific compliance recommendations were made in the PUCO Staff Report regarding repeat circuits being on the worst performing circuits report for more than 3 years for 2018, 2019, and 2020. </w:t>
      </w:r>
    </w:p>
    <w:p w:rsidR="002010AE" w:rsidRPr="00423400" w:rsidP="00111F17" w14:paraId="75025E8E" w14:textId="77777777">
      <w:pPr>
        <w:spacing w:after="0" w:line="480" w:lineRule="auto"/>
        <w:ind w:firstLine="720"/>
        <w:rPr>
          <w:rFonts w:cs="Times New Roman"/>
          <w:szCs w:val="24"/>
        </w:rPr>
      </w:pPr>
      <w:r w:rsidRPr="00423400">
        <w:rPr>
          <w:rFonts w:cs="Times New Roman"/>
          <w:szCs w:val="24"/>
        </w:rPr>
        <w:t>The PUCO rules, O.A.C.</w:t>
      </w:r>
      <w:r w:rsidRPr="00423400" w:rsidR="002B5900">
        <w:rPr>
          <w:rFonts w:cs="Times New Roman"/>
          <w:szCs w:val="24"/>
        </w:rPr>
        <w:t xml:space="preserve"> 4901:1-11(F)</w:t>
      </w:r>
      <w:r w:rsidRPr="00423400">
        <w:rPr>
          <w:rFonts w:cs="Times New Roman"/>
          <w:szCs w:val="24"/>
        </w:rPr>
        <w:t>,</w:t>
      </w:r>
      <w:r w:rsidRPr="00423400" w:rsidR="002B5900">
        <w:rPr>
          <w:rFonts w:cs="Times New Roman"/>
          <w:szCs w:val="24"/>
        </w:rPr>
        <w:t xml:space="preserve"> require</w:t>
      </w:r>
      <w:r w:rsidRPr="00423400" w:rsidR="006B1681">
        <w:rPr>
          <w:rFonts w:cs="Times New Roman"/>
          <w:szCs w:val="24"/>
        </w:rPr>
        <w:t>s</w:t>
      </w:r>
      <w:r w:rsidRPr="00423400" w:rsidR="002B5900">
        <w:rPr>
          <w:rFonts w:cs="Times New Roman"/>
          <w:szCs w:val="24"/>
        </w:rPr>
        <w:t xml:space="preserve"> </w:t>
      </w:r>
      <w:r w:rsidRPr="00423400" w:rsidR="002B5900">
        <w:rPr>
          <w:rFonts w:cs="Times New Roman"/>
          <w:color w:val="333333"/>
          <w:szCs w:val="24"/>
          <w:shd w:val="clear" w:color="auto" w:fill="FFFFFF"/>
        </w:rPr>
        <w:t xml:space="preserve">utilities to take sufficient remedial action to make sure that no circuit is listed on three consecutive reports. Furthermore, the minimum PUCO standard establishes a rebuttable presumption of a violation of the rule if a circuit is listed for three consecutive years. </w:t>
      </w:r>
      <w:r w:rsidRPr="00423400" w:rsidR="002B5900">
        <w:rPr>
          <w:rFonts w:cs="Times New Roman"/>
          <w:szCs w:val="24"/>
        </w:rPr>
        <w:t xml:space="preserve">But despite this, the PUCO Staff Report did not examine the reliability of the DP&amp;L distribution system. Nor did the PUCO Staff provide an analysis of whether </w:t>
      </w:r>
      <w:r w:rsidRPr="00423400" w:rsidR="004F2676">
        <w:rPr>
          <w:rFonts w:cs="Times New Roman"/>
          <w:szCs w:val="24"/>
        </w:rPr>
        <w:t>DP&amp;L</w:t>
      </w:r>
      <w:r w:rsidRPr="00423400" w:rsidR="002B5900">
        <w:rPr>
          <w:rFonts w:cs="Times New Roman"/>
          <w:szCs w:val="24"/>
        </w:rPr>
        <w:t xml:space="preserve"> complied with 2019 and 2020 Action Plans that were submitted to the PUCO Staff.</w:t>
      </w:r>
      <w:r>
        <w:rPr>
          <w:rStyle w:val="FootnoteReference"/>
          <w:rFonts w:cs="Times New Roman"/>
          <w:szCs w:val="24"/>
        </w:rPr>
        <w:footnoteReference w:id="374"/>
      </w:r>
      <w:r w:rsidRPr="00423400" w:rsidR="002B5900">
        <w:rPr>
          <w:rFonts w:cs="Times New Roman"/>
          <w:szCs w:val="24"/>
        </w:rPr>
        <w:t xml:space="preserve"> </w:t>
      </w:r>
      <w:r w:rsidRPr="00423400" w:rsidR="006B1681">
        <w:rPr>
          <w:rFonts w:cs="Times New Roman"/>
          <w:szCs w:val="24"/>
        </w:rPr>
        <w:t>T</w:t>
      </w:r>
      <w:r w:rsidRPr="00423400" w:rsidR="002B5900">
        <w:rPr>
          <w:rFonts w:cs="Times New Roman"/>
          <w:szCs w:val="24"/>
        </w:rPr>
        <w:t xml:space="preserve">he PUCO Staff Report </w:t>
      </w:r>
      <w:r w:rsidRPr="00423400" w:rsidR="006B1681">
        <w:rPr>
          <w:rFonts w:cs="Times New Roman"/>
          <w:szCs w:val="24"/>
        </w:rPr>
        <w:t xml:space="preserve">also failed to </w:t>
      </w:r>
      <w:r w:rsidRPr="00423400" w:rsidR="002B5900">
        <w:rPr>
          <w:rFonts w:cs="Times New Roman"/>
          <w:szCs w:val="24"/>
        </w:rPr>
        <w:t xml:space="preserve">make recommendations regarding enforcement of the minimum electric reliability performance standards including fines and forfeitures, or consequences for repeat circuits on the eight percent worst performing circuits report. </w:t>
      </w:r>
    </w:p>
    <w:p w:rsidR="00111F17" w:rsidRPr="00423400" w:rsidP="00111F17" w14:paraId="76F2531C" w14:textId="77777777">
      <w:pPr>
        <w:spacing w:line="480" w:lineRule="auto"/>
        <w:ind w:firstLine="720"/>
        <w:rPr>
          <w:rFonts w:cs="Times New Roman"/>
          <w:szCs w:val="24"/>
        </w:rPr>
      </w:pPr>
      <w:r w:rsidRPr="00423400">
        <w:rPr>
          <w:rFonts w:cs="Times New Roman"/>
          <w:szCs w:val="24"/>
        </w:rPr>
        <w:t>The PUCO required minimum electric reliability standards consist of a system average interruption frequency index (“SAIFI”) and CAIDI.</w:t>
      </w:r>
      <w:r>
        <w:rPr>
          <w:rStyle w:val="FootnoteReference"/>
          <w:rFonts w:cs="Times New Roman"/>
          <w:szCs w:val="24"/>
        </w:rPr>
        <w:footnoteReference w:id="375"/>
      </w:r>
      <w:r w:rsidRPr="00423400">
        <w:rPr>
          <w:rFonts w:cs="Times New Roman"/>
          <w:szCs w:val="24"/>
        </w:rPr>
        <w:t xml:space="preserve"> SAIFI is a measure of the average number of interruptions consumers experience on an annual basis and is calculated by dividing the total number of consumers interrupted by the total number of consumers. CAIDI is a measure of the average duration of outages (or time to restore service) following an outage. CAIDI is calculated by dividing the total minutes of consumer interruptions by the total number of consumers interrupted. The following table provides a comparison of the DP&amp;L reliability standards with actual performance between 2016 through 2020.</w:t>
      </w:r>
    </w:p>
    <w:p w:rsidR="00111F17" w:rsidRPr="00423400" w:rsidP="00AF25CB" w14:paraId="496B5E2B" w14:textId="77777777">
      <w:pPr>
        <w:spacing w:after="0" w:line="480" w:lineRule="auto"/>
        <w:jc w:val="center"/>
        <w:rPr>
          <w:rFonts w:cs="Times New Roman"/>
          <w:b/>
          <w:bCs/>
          <w:szCs w:val="24"/>
        </w:rPr>
      </w:pPr>
      <w:r w:rsidRPr="00423400">
        <w:rPr>
          <w:rFonts w:cs="Times New Roman"/>
          <w:b/>
          <w:bCs/>
          <w:szCs w:val="24"/>
        </w:rPr>
        <w:t>Comparison DP&amp;L Reliability Standards with Actual Performance (2016 – 2020)</w:t>
      </w:r>
      <w:r>
        <w:rPr>
          <w:rStyle w:val="FootnoteReference"/>
          <w:rFonts w:cs="Times New Roman"/>
          <w:b/>
          <w:bCs/>
          <w:szCs w:val="24"/>
        </w:rPr>
        <w:footnoteReference w:id="376"/>
      </w:r>
    </w:p>
    <w:tbl>
      <w:tblPr>
        <w:tblStyle w:val="TableGrid"/>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443"/>
        <w:gridCol w:w="1437"/>
        <w:gridCol w:w="1437"/>
        <w:gridCol w:w="1437"/>
        <w:gridCol w:w="1438"/>
        <w:gridCol w:w="1438"/>
      </w:tblGrid>
      <w:tr w14:paraId="4F531DAA" w14:textId="77777777" w:rsidTr="00F228F4">
        <w:tblPrEx>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jc w:val="center"/>
        </w:trPr>
        <w:tc>
          <w:tcPr>
            <w:tcW w:w="1438" w:type="dxa"/>
          </w:tcPr>
          <w:p w:rsidR="00111F17" w:rsidRPr="00423400" w:rsidP="00111F17" w14:paraId="37088159" w14:textId="77777777">
            <w:pPr>
              <w:spacing w:after="0" w:line="240" w:lineRule="auto"/>
              <w:jc w:val="center"/>
              <w:rPr>
                <w:rStyle w:val="DefaultParagraphFont"/>
                <w:rFonts w:ascii="Times New Roman" w:eastAsia="Times New Roman" w:hAnsi="Times New Roman" w:cs="Times New Roman"/>
                <w:b/>
                <w:bCs/>
                <w:sz w:val="24"/>
                <w:szCs w:val="24"/>
                <w:lang w:val="en-US" w:eastAsia="en-US" w:bidi="ar-SA"/>
              </w:rPr>
            </w:pPr>
            <w:r w:rsidRPr="00423400">
              <w:rPr>
                <w:rFonts w:ascii="Times New Roman" w:eastAsia="Times New Roman" w:hAnsi="Times New Roman" w:cs="Times New Roman"/>
                <w:b/>
                <w:bCs/>
                <w:sz w:val="24"/>
                <w:szCs w:val="24"/>
                <w:lang w:val="en-US" w:eastAsia="en-US" w:bidi="ar-SA"/>
              </w:rPr>
              <w:t>Metric(s)</w:t>
            </w:r>
          </w:p>
        </w:tc>
        <w:tc>
          <w:tcPr>
            <w:tcW w:w="1438" w:type="dxa"/>
          </w:tcPr>
          <w:p w:rsidR="00111F17" w:rsidRPr="00423400" w:rsidP="00111F17" w14:paraId="5C56F21F" w14:textId="77777777">
            <w:pPr>
              <w:spacing w:after="0" w:line="240" w:lineRule="auto"/>
              <w:jc w:val="center"/>
              <w:rPr>
                <w:rStyle w:val="DefaultParagraphFont"/>
                <w:rFonts w:ascii="Times New Roman" w:eastAsia="Times New Roman" w:hAnsi="Times New Roman" w:cs="Times New Roman"/>
                <w:b/>
                <w:bCs/>
                <w:sz w:val="24"/>
                <w:szCs w:val="24"/>
                <w:lang w:val="en-US" w:eastAsia="en-US" w:bidi="ar-SA"/>
              </w:rPr>
            </w:pPr>
            <w:r w:rsidRPr="00423400">
              <w:rPr>
                <w:rFonts w:ascii="Times New Roman" w:eastAsia="Times New Roman" w:hAnsi="Times New Roman" w:cs="Times New Roman"/>
                <w:b/>
                <w:bCs/>
                <w:sz w:val="24"/>
                <w:szCs w:val="24"/>
                <w:lang w:val="en-US" w:eastAsia="en-US" w:bidi="ar-SA"/>
              </w:rPr>
              <w:t>2016</w:t>
            </w:r>
          </w:p>
        </w:tc>
        <w:tc>
          <w:tcPr>
            <w:tcW w:w="1438" w:type="dxa"/>
          </w:tcPr>
          <w:p w:rsidR="00111F17" w:rsidRPr="00423400" w:rsidP="00111F17" w14:paraId="0E937159" w14:textId="77777777">
            <w:pPr>
              <w:spacing w:after="0" w:line="240" w:lineRule="auto"/>
              <w:jc w:val="center"/>
              <w:rPr>
                <w:rStyle w:val="DefaultParagraphFont"/>
                <w:rFonts w:ascii="Times New Roman" w:eastAsia="Times New Roman" w:hAnsi="Times New Roman" w:cs="Times New Roman"/>
                <w:b/>
                <w:bCs/>
                <w:sz w:val="24"/>
                <w:szCs w:val="24"/>
                <w:lang w:val="en-US" w:eastAsia="en-US" w:bidi="ar-SA"/>
              </w:rPr>
            </w:pPr>
            <w:r w:rsidRPr="00423400">
              <w:rPr>
                <w:rFonts w:ascii="Times New Roman" w:eastAsia="Times New Roman" w:hAnsi="Times New Roman" w:cs="Times New Roman"/>
                <w:b/>
                <w:bCs/>
                <w:sz w:val="24"/>
                <w:szCs w:val="24"/>
                <w:lang w:val="en-US" w:eastAsia="en-US" w:bidi="ar-SA"/>
              </w:rPr>
              <w:t>2017</w:t>
            </w:r>
          </w:p>
        </w:tc>
        <w:tc>
          <w:tcPr>
            <w:tcW w:w="1438" w:type="dxa"/>
          </w:tcPr>
          <w:p w:rsidR="00111F17" w:rsidRPr="00423400" w:rsidP="00111F17" w14:paraId="49700DE4" w14:textId="77777777">
            <w:pPr>
              <w:spacing w:after="0" w:line="240" w:lineRule="auto"/>
              <w:jc w:val="center"/>
              <w:rPr>
                <w:rStyle w:val="DefaultParagraphFont"/>
                <w:rFonts w:ascii="Times New Roman" w:eastAsia="Times New Roman" w:hAnsi="Times New Roman" w:cs="Times New Roman"/>
                <w:b/>
                <w:bCs/>
                <w:sz w:val="24"/>
                <w:szCs w:val="24"/>
                <w:lang w:val="en-US" w:eastAsia="en-US" w:bidi="ar-SA"/>
              </w:rPr>
            </w:pPr>
            <w:r w:rsidRPr="00423400">
              <w:rPr>
                <w:rFonts w:ascii="Times New Roman" w:eastAsia="Times New Roman" w:hAnsi="Times New Roman" w:cs="Times New Roman"/>
                <w:b/>
                <w:bCs/>
                <w:sz w:val="24"/>
                <w:szCs w:val="24"/>
                <w:lang w:val="en-US" w:eastAsia="en-US" w:bidi="ar-SA"/>
              </w:rPr>
              <w:t>2018</w:t>
            </w:r>
          </w:p>
        </w:tc>
        <w:tc>
          <w:tcPr>
            <w:tcW w:w="1439" w:type="dxa"/>
          </w:tcPr>
          <w:p w:rsidR="00111F17" w:rsidRPr="00423400" w:rsidP="00111F17" w14:paraId="6AD1C442" w14:textId="77777777">
            <w:pPr>
              <w:spacing w:after="0" w:line="240" w:lineRule="auto"/>
              <w:jc w:val="center"/>
              <w:rPr>
                <w:rStyle w:val="DefaultParagraphFont"/>
                <w:rFonts w:ascii="Times New Roman" w:eastAsia="Times New Roman" w:hAnsi="Times New Roman" w:cs="Times New Roman"/>
                <w:b/>
                <w:bCs/>
                <w:sz w:val="24"/>
                <w:szCs w:val="24"/>
                <w:lang w:val="en-US" w:eastAsia="en-US" w:bidi="ar-SA"/>
              </w:rPr>
            </w:pPr>
            <w:r w:rsidRPr="00423400">
              <w:rPr>
                <w:rFonts w:ascii="Times New Roman" w:eastAsia="Times New Roman" w:hAnsi="Times New Roman" w:cs="Times New Roman"/>
                <w:b/>
                <w:bCs/>
                <w:sz w:val="24"/>
                <w:szCs w:val="24"/>
                <w:lang w:val="en-US" w:eastAsia="en-US" w:bidi="ar-SA"/>
              </w:rPr>
              <w:t>2019</w:t>
            </w:r>
          </w:p>
        </w:tc>
        <w:tc>
          <w:tcPr>
            <w:tcW w:w="1439" w:type="dxa"/>
          </w:tcPr>
          <w:p w:rsidR="00111F17" w:rsidRPr="00423400" w:rsidP="00111F17" w14:paraId="0C630F6A" w14:textId="77777777">
            <w:pPr>
              <w:spacing w:after="0" w:line="240" w:lineRule="auto"/>
              <w:jc w:val="center"/>
              <w:rPr>
                <w:rStyle w:val="DefaultParagraphFont"/>
                <w:rFonts w:ascii="Times New Roman" w:eastAsia="Times New Roman" w:hAnsi="Times New Roman" w:cs="Times New Roman"/>
                <w:b/>
                <w:bCs/>
                <w:sz w:val="24"/>
                <w:szCs w:val="24"/>
                <w:lang w:val="en-US" w:eastAsia="en-US" w:bidi="ar-SA"/>
              </w:rPr>
            </w:pPr>
            <w:r w:rsidRPr="00423400">
              <w:rPr>
                <w:rFonts w:ascii="Times New Roman" w:eastAsia="Times New Roman" w:hAnsi="Times New Roman" w:cs="Times New Roman"/>
                <w:b/>
                <w:bCs/>
                <w:sz w:val="24"/>
                <w:szCs w:val="24"/>
                <w:lang w:val="en-US" w:eastAsia="en-US" w:bidi="ar-SA"/>
              </w:rPr>
              <w:t>2020</w:t>
            </w:r>
          </w:p>
        </w:tc>
      </w:tr>
      <w:tr w14:paraId="426C1CEE" w14:textId="77777777" w:rsidTr="00F228F4">
        <w:tblPrEx>
          <w:tblW w:w="0" w:type="auto"/>
          <w:jc w:val="center"/>
          <w:tblInd w:w="0" w:type="dxa"/>
          <w:tblCellMar>
            <w:top w:w="0" w:type="dxa"/>
            <w:left w:w="108" w:type="dxa"/>
            <w:bottom w:w="0" w:type="dxa"/>
            <w:right w:w="108" w:type="dxa"/>
          </w:tblCellMar>
          <w:tblLook w:val="04A0"/>
        </w:tblPrEx>
        <w:trPr>
          <w:jc w:val="center"/>
        </w:trPr>
        <w:tc>
          <w:tcPr>
            <w:tcW w:w="1438" w:type="dxa"/>
          </w:tcPr>
          <w:p w:rsidR="00111F17" w:rsidRPr="00423400" w:rsidP="00111F17" w14:paraId="42A5D986" w14:textId="77777777">
            <w:pPr>
              <w:spacing w:after="0" w:line="240" w:lineRule="auto"/>
              <w:rPr>
                <w:rStyle w:val="DefaultParagraphFont"/>
                <w:rFonts w:ascii="Times New Roman" w:eastAsia="Times New Roman" w:hAnsi="Times New Roman" w:cs="Times New Roman"/>
                <w:b/>
                <w:bCs/>
                <w:sz w:val="24"/>
                <w:szCs w:val="24"/>
                <w:lang w:val="en-US" w:eastAsia="en-US" w:bidi="ar-SA"/>
              </w:rPr>
            </w:pPr>
          </w:p>
        </w:tc>
        <w:tc>
          <w:tcPr>
            <w:tcW w:w="1438" w:type="dxa"/>
          </w:tcPr>
          <w:p w:rsidR="00111F17" w:rsidRPr="00423400" w:rsidP="00111F17" w14:paraId="6F96D08E" w14:textId="77777777">
            <w:pPr>
              <w:spacing w:after="0" w:line="240" w:lineRule="auto"/>
              <w:rPr>
                <w:rStyle w:val="DefaultParagraphFont"/>
                <w:rFonts w:ascii="Times New Roman" w:eastAsia="Times New Roman" w:hAnsi="Times New Roman" w:cs="Times New Roman"/>
                <w:b/>
                <w:bCs/>
                <w:sz w:val="24"/>
                <w:szCs w:val="24"/>
                <w:lang w:val="en-US" w:eastAsia="en-US" w:bidi="ar-SA"/>
              </w:rPr>
            </w:pPr>
          </w:p>
        </w:tc>
        <w:tc>
          <w:tcPr>
            <w:tcW w:w="1438" w:type="dxa"/>
          </w:tcPr>
          <w:p w:rsidR="00111F17" w:rsidRPr="00423400" w:rsidP="00111F17" w14:paraId="07CBC07D" w14:textId="77777777">
            <w:pPr>
              <w:spacing w:after="0" w:line="240" w:lineRule="auto"/>
              <w:rPr>
                <w:rStyle w:val="DefaultParagraphFont"/>
                <w:rFonts w:ascii="Times New Roman" w:eastAsia="Times New Roman" w:hAnsi="Times New Roman" w:cs="Times New Roman"/>
                <w:b/>
                <w:bCs/>
                <w:sz w:val="24"/>
                <w:szCs w:val="24"/>
                <w:lang w:val="en-US" w:eastAsia="en-US" w:bidi="ar-SA"/>
              </w:rPr>
            </w:pPr>
          </w:p>
        </w:tc>
        <w:tc>
          <w:tcPr>
            <w:tcW w:w="1438" w:type="dxa"/>
          </w:tcPr>
          <w:p w:rsidR="00111F17" w:rsidRPr="00423400" w:rsidP="00111F17" w14:paraId="2EA43A47" w14:textId="77777777">
            <w:pPr>
              <w:spacing w:after="0" w:line="240" w:lineRule="auto"/>
              <w:rPr>
                <w:rStyle w:val="DefaultParagraphFont"/>
                <w:rFonts w:ascii="Times New Roman" w:eastAsia="Times New Roman" w:hAnsi="Times New Roman" w:cs="Times New Roman"/>
                <w:b/>
                <w:bCs/>
                <w:sz w:val="24"/>
                <w:szCs w:val="24"/>
                <w:lang w:val="en-US" w:eastAsia="en-US" w:bidi="ar-SA"/>
              </w:rPr>
            </w:pPr>
          </w:p>
        </w:tc>
        <w:tc>
          <w:tcPr>
            <w:tcW w:w="1439" w:type="dxa"/>
          </w:tcPr>
          <w:p w:rsidR="00111F17" w:rsidRPr="00423400" w:rsidP="00111F17" w14:paraId="6D5C787A" w14:textId="77777777">
            <w:pPr>
              <w:spacing w:after="0" w:line="240" w:lineRule="auto"/>
              <w:rPr>
                <w:rStyle w:val="DefaultParagraphFont"/>
                <w:rFonts w:ascii="Times New Roman" w:eastAsia="Times New Roman" w:hAnsi="Times New Roman" w:cs="Times New Roman"/>
                <w:b/>
                <w:bCs/>
                <w:sz w:val="24"/>
                <w:szCs w:val="24"/>
                <w:lang w:val="en-US" w:eastAsia="en-US" w:bidi="ar-SA"/>
              </w:rPr>
            </w:pPr>
          </w:p>
        </w:tc>
        <w:tc>
          <w:tcPr>
            <w:tcW w:w="1439" w:type="dxa"/>
          </w:tcPr>
          <w:p w:rsidR="00111F17" w:rsidRPr="00423400" w:rsidP="00111F17" w14:paraId="0F86D37D" w14:textId="77777777">
            <w:pPr>
              <w:spacing w:after="0" w:line="240" w:lineRule="auto"/>
              <w:rPr>
                <w:rStyle w:val="DefaultParagraphFont"/>
                <w:rFonts w:ascii="Times New Roman" w:eastAsia="Times New Roman" w:hAnsi="Times New Roman" w:cs="Times New Roman"/>
                <w:b/>
                <w:bCs/>
                <w:sz w:val="24"/>
                <w:szCs w:val="24"/>
                <w:lang w:val="en-US" w:eastAsia="en-US" w:bidi="ar-SA"/>
              </w:rPr>
            </w:pPr>
          </w:p>
        </w:tc>
      </w:tr>
      <w:tr w14:paraId="7216EEB0" w14:textId="77777777" w:rsidTr="00F228F4">
        <w:tblPrEx>
          <w:tblW w:w="0" w:type="auto"/>
          <w:jc w:val="center"/>
          <w:tblInd w:w="0" w:type="dxa"/>
          <w:tblCellMar>
            <w:top w:w="0" w:type="dxa"/>
            <w:left w:w="108" w:type="dxa"/>
            <w:bottom w:w="0" w:type="dxa"/>
            <w:right w:w="108" w:type="dxa"/>
          </w:tblCellMar>
          <w:tblLook w:val="04A0"/>
        </w:tblPrEx>
        <w:trPr>
          <w:jc w:val="center"/>
        </w:trPr>
        <w:tc>
          <w:tcPr>
            <w:tcW w:w="1438" w:type="dxa"/>
          </w:tcPr>
          <w:p w:rsidR="00111F17" w:rsidRPr="00423400" w:rsidP="00111F17" w14:paraId="489EAAFB" w14:textId="77777777">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CAIDI Standard</w:t>
            </w:r>
          </w:p>
        </w:tc>
        <w:tc>
          <w:tcPr>
            <w:tcW w:w="1438" w:type="dxa"/>
          </w:tcPr>
          <w:p w:rsidR="00111F17" w:rsidRPr="00423400" w:rsidP="00111F17" w14:paraId="0A1234D5" w14:textId="77777777">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125.04</w:t>
            </w:r>
          </w:p>
        </w:tc>
        <w:tc>
          <w:tcPr>
            <w:tcW w:w="1438" w:type="dxa"/>
          </w:tcPr>
          <w:p w:rsidR="00111F17" w:rsidRPr="00423400" w:rsidP="00111F17" w14:paraId="77817417" w14:textId="77777777">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125.04</w:t>
            </w:r>
          </w:p>
        </w:tc>
        <w:tc>
          <w:tcPr>
            <w:tcW w:w="1438" w:type="dxa"/>
          </w:tcPr>
          <w:p w:rsidR="00111F17" w:rsidRPr="00423400" w:rsidP="00111F17" w14:paraId="3C4F96B5" w14:textId="77777777">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125.04</w:t>
            </w:r>
          </w:p>
        </w:tc>
        <w:tc>
          <w:tcPr>
            <w:tcW w:w="1439" w:type="dxa"/>
          </w:tcPr>
          <w:p w:rsidR="00111F17" w:rsidRPr="00423400" w:rsidP="00111F17" w14:paraId="54557D70" w14:textId="77777777">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125.04</w:t>
            </w:r>
          </w:p>
        </w:tc>
        <w:tc>
          <w:tcPr>
            <w:tcW w:w="1439" w:type="dxa"/>
          </w:tcPr>
          <w:p w:rsidR="00111F17" w:rsidRPr="00423400" w:rsidP="00111F17" w14:paraId="6EBA09CD" w14:textId="77777777">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125.04</w:t>
            </w:r>
          </w:p>
        </w:tc>
      </w:tr>
      <w:tr w14:paraId="7F782167" w14:textId="77777777" w:rsidTr="00F228F4">
        <w:tblPrEx>
          <w:tblW w:w="0" w:type="auto"/>
          <w:jc w:val="center"/>
          <w:tblInd w:w="0" w:type="dxa"/>
          <w:tblCellMar>
            <w:top w:w="0" w:type="dxa"/>
            <w:left w:w="108" w:type="dxa"/>
            <w:bottom w:w="0" w:type="dxa"/>
            <w:right w:w="108" w:type="dxa"/>
          </w:tblCellMar>
          <w:tblLook w:val="04A0"/>
        </w:tblPrEx>
        <w:trPr>
          <w:jc w:val="center"/>
        </w:trPr>
        <w:tc>
          <w:tcPr>
            <w:tcW w:w="1438" w:type="dxa"/>
          </w:tcPr>
          <w:p w:rsidR="00111F17" w:rsidRPr="00423400" w:rsidP="00111F17" w14:paraId="74CFC175" w14:textId="77777777">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CAIDI After Exclusions</w:t>
            </w:r>
          </w:p>
        </w:tc>
        <w:tc>
          <w:tcPr>
            <w:tcW w:w="1438" w:type="dxa"/>
          </w:tcPr>
          <w:p w:rsidR="00111F17" w:rsidRPr="00423400" w:rsidP="00111F17" w14:paraId="613D9884" w14:textId="77777777">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119.08</w:t>
            </w:r>
          </w:p>
        </w:tc>
        <w:tc>
          <w:tcPr>
            <w:tcW w:w="1438" w:type="dxa"/>
          </w:tcPr>
          <w:p w:rsidR="00111F17" w:rsidRPr="00423400" w:rsidP="00111F17" w14:paraId="1310F944" w14:textId="77777777">
            <w:pPr>
              <w:spacing w:after="0" w:line="240" w:lineRule="auto"/>
              <w:jc w:val="center"/>
              <w:rPr>
                <w:rStyle w:val="DefaultParagraphFont"/>
                <w:rFonts w:ascii="Times New Roman" w:eastAsia="Times New Roman" w:hAnsi="Times New Roman" w:cs="Times New Roman"/>
                <w:b/>
                <w:bCs/>
                <w:sz w:val="24"/>
                <w:szCs w:val="24"/>
                <w:lang w:val="en-US" w:eastAsia="en-US" w:bidi="ar-SA"/>
              </w:rPr>
            </w:pPr>
            <w:r w:rsidRPr="00423400">
              <w:rPr>
                <w:rFonts w:ascii="Times New Roman" w:eastAsia="Times New Roman" w:hAnsi="Times New Roman" w:cs="Times New Roman"/>
                <w:b/>
                <w:bCs/>
                <w:sz w:val="24"/>
                <w:szCs w:val="24"/>
                <w:lang w:val="en-US" w:eastAsia="en-US" w:bidi="ar-SA"/>
              </w:rPr>
              <w:t>133.07</w:t>
            </w:r>
          </w:p>
        </w:tc>
        <w:tc>
          <w:tcPr>
            <w:tcW w:w="1438" w:type="dxa"/>
          </w:tcPr>
          <w:p w:rsidR="00111F17" w:rsidRPr="00423400" w:rsidP="00111F17" w14:paraId="0D375C1B" w14:textId="77777777">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118.41</w:t>
            </w:r>
          </w:p>
        </w:tc>
        <w:tc>
          <w:tcPr>
            <w:tcW w:w="1439" w:type="dxa"/>
          </w:tcPr>
          <w:p w:rsidR="00111F17" w:rsidRPr="00423400" w:rsidP="00111F17" w14:paraId="1FD52657" w14:textId="77777777">
            <w:pPr>
              <w:spacing w:after="0" w:line="240" w:lineRule="auto"/>
              <w:jc w:val="center"/>
              <w:rPr>
                <w:rStyle w:val="DefaultParagraphFont"/>
                <w:rFonts w:ascii="Times New Roman" w:eastAsia="Times New Roman" w:hAnsi="Times New Roman" w:cs="Times New Roman"/>
                <w:b/>
                <w:bCs/>
                <w:sz w:val="24"/>
                <w:szCs w:val="24"/>
                <w:lang w:val="en-US" w:eastAsia="en-US" w:bidi="ar-SA"/>
              </w:rPr>
            </w:pPr>
            <w:r w:rsidRPr="00423400">
              <w:rPr>
                <w:rFonts w:ascii="Times New Roman" w:eastAsia="Times New Roman" w:hAnsi="Times New Roman" w:cs="Times New Roman"/>
                <w:b/>
                <w:bCs/>
                <w:sz w:val="24"/>
                <w:szCs w:val="24"/>
                <w:lang w:val="en-US" w:eastAsia="en-US" w:bidi="ar-SA"/>
              </w:rPr>
              <w:t>133.29</w:t>
            </w:r>
          </w:p>
        </w:tc>
        <w:tc>
          <w:tcPr>
            <w:tcW w:w="1439" w:type="dxa"/>
          </w:tcPr>
          <w:p w:rsidR="00111F17" w:rsidRPr="00423400" w:rsidP="00111F17" w14:paraId="4F2CA9BA" w14:textId="77777777">
            <w:pPr>
              <w:spacing w:after="0" w:line="240" w:lineRule="auto"/>
              <w:jc w:val="center"/>
              <w:rPr>
                <w:rStyle w:val="DefaultParagraphFont"/>
                <w:rFonts w:ascii="Times New Roman" w:eastAsia="Times New Roman" w:hAnsi="Times New Roman" w:cs="Times New Roman"/>
                <w:b/>
                <w:bCs/>
                <w:sz w:val="24"/>
                <w:szCs w:val="24"/>
                <w:lang w:val="en-US" w:eastAsia="en-US" w:bidi="ar-SA"/>
              </w:rPr>
            </w:pPr>
            <w:r w:rsidRPr="00423400">
              <w:rPr>
                <w:rFonts w:ascii="Times New Roman" w:eastAsia="Times New Roman" w:hAnsi="Times New Roman" w:cs="Times New Roman"/>
                <w:b/>
                <w:bCs/>
                <w:sz w:val="24"/>
                <w:szCs w:val="24"/>
                <w:lang w:val="en-US" w:eastAsia="en-US" w:bidi="ar-SA"/>
              </w:rPr>
              <w:t>132.17</w:t>
            </w:r>
          </w:p>
        </w:tc>
      </w:tr>
      <w:tr w14:paraId="30EC9DC2" w14:textId="77777777" w:rsidTr="00F228F4">
        <w:tblPrEx>
          <w:tblW w:w="0" w:type="auto"/>
          <w:jc w:val="center"/>
          <w:tblInd w:w="0" w:type="dxa"/>
          <w:tblCellMar>
            <w:top w:w="0" w:type="dxa"/>
            <w:left w:w="108" w:type="dxa"/>
            <w:bottom w:w="0" w:type="dxa"/>
            <w:right w:w="108" w:type="dxa"/>
          </w:tblCellMar>
          <w:tblLook w:val="04A0"/>
        </w:tblPrEx>
        <w:trPr>
          <w:jc w:val="center"/>
        </w:trPr>
        <w:tc>
          <w:tcPr>
            <w:tcW w:w="1438" w:type="dxa"/>
          </w:tcPr>
          <w:p w:rsidR="00111F17" w:rsidRPr="00423400" w:rsidP="00111F17" w14:paraId="3EA66EA5" w14:textId="77777777">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CAIDI Before Exclusions</w:t>
            </w:r>
          </w:p>
        </w:tc>
        <w:tc>
          <w:tcPr>
            <w:tcW w:w="1438" w:type="dxa"/>
          </w:tcPr>
          <w:p w:rsidR="00111F17" w:rsidRPr="00423400" w:rsidP="00111F17" w14:paraId="11EF7E18" w14:textId="77777777">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164.16</w:t>
            </w:r>
          </w:p>
        </w:tc>
        <w:tc>
          <w:tcPr>
            <w:tcW w:w="1438" w:type="dxa"/>
          </w:tcPr>
          <w:p w:rsidR="00111F17" w:rsidRPr="00423400" w:rsidP="00111F17" w14:paraId="2BC52381" w14:textId="77777777">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185.56</w:t>
            </w:r>
          </w:p>
        </w:tc>
        <w:tc>
          <w:tcPr>
            <w:tcW w:w="1438" w:type="dxa"/>
          </w:tcPr>
          <w:p w:rsidR="00111F17" w:rsidRPr="00423400" w:rsidP="00111F17" w14:paraId="44EFDBF6" w14:textId="77777777">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170.86</w:t>
            </w:r>
          </w:p>
        </w:tc>
        <w:tc>
          <w:tcPr>
            <w:tcW w:w="1439" w:type="dxa"/>
          </w:tcPr>
          <w:p w:rsidR="00111F17" w:rsidRPr="00423400" w:rsidP="00111F17" w14:paraId="40D64CE0" w14:textId="77777777">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437.03</w:t>
            </w:r>
          </w:p>
        </w:tc>
        <w:tc>
          <w:tcPr>
            <w:tcW w:w="1439" w:type="dxa"/>
          </w:tcPr>
          <w:p w:rsidR="00111F17" w:rsidRPr="00423400" w:rsidP="00111F17" w14:paraId="7850056A" w14:textId="77777777">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157.88</w:t>
            </w:r>
          </w:p>
        </w:tc>
      </w:tr>
      <w:tr w14:paraId="6483A47E" w14:textId="77777777" w:rsidTr="00F228F4">
        <w:tblPrEx>
          <w:tblW w:w="0" w:type="auto"/>
          <w:jc w:val="center"/>
          <w:tblInd w:w="0" w:type="dxa"/>
          <w:tblCellMar>
            <w:top w:w="0" w:type="dxa"/>
            <w:left w:w="108" w:type="dxa"/>
            <w:bottom w:w="0" w:type="dxa"/>
            <w:right w:w="108" w:type="dxa"/>
          </w:tblCellMar>
          <w:tblLook w:val="04A0"/>
        </w:tblPrEx>
        <w:trPr>
          <w:jc w:val="center"/>
        </w:trPr>
        <w:tc>
          <w:tcPr>
            <w:tcW w:w="1438" w:type="dxa"/>
          </w:tcPr>
          <w:p w:rsidR="00111F17" w:rsidRPr="00423400" w:rsidP="00111F17" w14:paraId="006CE4D6" w14:textId="77777777">
            <w:pPr>
              <w:spacing w:after="0" w:line="240" w:lineRule="auto"/>
              <w:rPr>
                <w:rStyle w:val="DefaultParagraphFont"/>
                <w:rFonts w:ascii="Times New Roman" w:eastAsia="Times New Roman" w:hAnsi="Times New Roman" w:cs="Times New Roman"/>
                <w:sz w:val="24"/>
                <w:szCs w:val="24"/>
                <w:lang w:val="en-US" w:eastAsia="en-US" w:bidi="ar-SA"/>
              </w:rPr>
            </w:pPr>
          </w:p>
        </w:tc>
        <w:tc>
          <w:tcPr>
            <w:tcW w:w="1438" w:type="dxa"/>
          </w:tcPr>
          <w:p w:rsidR="00111F17" w:rsidRPr="00423400" w:rsidP="00111F17" w14:paraId="6C93928C" w14:textId="77777777">
            <w:pPr>
              <w:spacing w:after="0" w:line="240" w:lineRule="auto"/>
              <w:rPr>
                <w:rStyle w:val="DefaultParagraphFont"/>
                <w:rFonts w:ascii="Times New Roman" w:eastAsia="Times New Roman" w:hAnsi="Times New Roman" w:cs="Times New Roman"/>
                <w:sz w:val="24"/>
                <w:szCs w:val="24"/>
                <w:lang w:val="en-US" w:eastAsia="en-US" w:bidi="ar-SA"/>
              </w:rPr>
            </w:pPr>
          </w:p>
        </w:tc>
        <w:tc>
          <w:tcPr>
            <w:tcW w:w="1438" w:type="dxa"/>
          </w:tcPr>
          <w:p w:rsidR="00111F17" w:rsidRPr="00423400" w:rsidP="00111F17" w14:paraId="7469F686" w14:textId="77777777">
            <w:pPr>
              <w:spacing w:after="0" w:line="240" w:lineRule="auto"/>
              <w:rPr>
                <w:rStyle w:val="DefaultParagraphFont"/>
                <w:rFonts w:ascii="Times New Roman" w:eastAsia="Times New Roman" w:hAnsi="Times New Roman" w:cs="Times New Roman"/>
                <w:sz w:val="24"/>
                <w:szCs w:val="24"/>
                <w:lang w:val="en-US" w:eastAsia="en-US" w:bidi="ar-SA"/>
              </w:rPr>
            </w:pPr>
          </w:p>
        </w:tc>
        <w:tc>
          <w:tcPr>
            <w:tcW w:w="1438" w:type="dxa"/>
          </w:tcPr>
          <w:p w:rsidR="00111F17" w:rsidRPr="00423400" w:rsidP="00111F17" w14:paraId="20236D31" w14:textId="77777777">
            <w:pPr>
              <w:spacing w:after="0" w:line="240" w:lineRule="auto"/>
              <w:rPr>
                <w:rStyle w:val="DefaultParagraphFont"/>
                <w:rFonts w:ascii="Times New Roman" w:eastAsia="Times New Roman" w:hAnsi="Times New Roman" w:cs="Times New Roman"/>
                <w:sz w:val="24"/>
                <w:szCs w:val="24"/>
                <w:lang w:val="en-US" w:eastAsia="en-US" w:bidi="ar-SA"/>
              </w:rPr>
            </w:pPr>
          </w:p>
        </w:tc>
        <w:tc>
          <w:tcPr>
            <w:tcW w:w="1439" w:type="dxa"/>
          </w:tcPr>
          <w:p w:rsidR="00111F17" w:rsidRPr="00423400" w:rsidP="00111F17" w14:paraId="0A20A3AE" w14:textId="77777777">
            <w:pPr>
              <w:spacing w:after="0" w:line="240" w:lineRule="auto"/>
              <w:rPr>
                <w:rStyle w:val="DefaultParagraphFont"/>
                <w:rFonts w:ascii="Times New Roman" w:eastAsia="Times New Roman" w:hAnsi="Times New Roman" w:cs="Times New Roman"/>
                <w:sz w:val="24"/>
                <w:szCs w:val="24"/>
                <w:lang w:val="en-US" w:eastAsia="en-US" w:bidi="ar-SA"/>
              </w:rPr>
            </w:pPr>
          </w:p>
        </w:tc>
        <w:tc>
          <w:tcPr>
            <w:tcW w:w="1439" w:type="dxa"/>
          </w:tcPr>
          <w:p w:rsidR="00111F17" w:rsidRPr="00423400" w:rsidP="00111F17" w14:paraId="21340A80" w14:textId="77777777">
            <w:pPr>
              <w:spacing w:after="0" w:line="240" w:lineRule="auto"/>
              <w:rPr>
                <w:rStyle w:val="DefaultParagraphFont"/>
                <w:rFonts w:ascii="Times New Roman" w:eastAsia="Times New Roman" w:hAnsi="Times New Roman" w:cs="Times New Roman"/>
                <w:sz w:val="24"/>
                <w:szCs w:val="24"/>
                <w:lang w:val="en-US" w:eastAsia="en-US" w:bidi="ar-SA"/>
              </w:rPr>
            </w:pPr>
          </w:p>
        </w:tc>
      </w:tr>
      <w:tr w14:paraId="76074F9D" w14:textId="77777777" w:rsidTr="00F228F4">
        <w:tblPrEx>
          <w:tblW w:w="0" w:type="auto"/>
          <w:jc w:val="center"/>
          <w:tblInd w:w="0" w:type="dxa"/>
          <w:tblCellMar>
            <w:top w:w="0" w:type="dxa"/>
            <w:left w:w="108" w:type="dxa"/>
            <w:bottom w:w="0" w:type="dxa"/>
            <w:right w:w="108" w:type="dxa"/>
          </w:tblCellMar>
          <w:tblLook w:val="04A0"/>
        </w:tblPrEx>
        <w:trPr>
          <w:jc w:val="center"/>
        </w:trPr>
        <w:tc>
          <w:tcPr>
            <w:tcW w:w="1438" w:type="dxa"/>
          </w:tcPr>
          <w:p w:rsidR="00111F17" w:rsidRPr="00423400" w:rsidP="00111F17" w14:paraId="294A675E" w14:textId="77777777">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SAIFI Performance Standard</w:t>
            </w:r>
          </w:p>
        </w:tc>
        <w:tc>
          <w:tcPr>
            <w:tcW w:w="1438" w:type="dxa"/>
          </w:tcPr>
          <w:p w:rsidR="00111F17" w:rsidRPr="00423400" w:rsidP="00111F17" w14:paraId="266C42B6" w14:textId="77777777">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0.88</w:t>
            </w:r>
          </w:p>
        </w:tc>
        <w:tc>
          <w:tcPr>
            <w:tcW w:w="1438" w:type="dxa"/>
          </w:tcPr>
          <w:p w:rsidR="00111F17" w:rsidRPr="00423400" w:rsidP="00111F17" w14:paraId="2248177C" w14:textId="77777777">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0.88</w:t>
            </w:r>
          </w:p>
        </w:tc>
        <w:tc>
          <w:tcPr>
            <w:tcW w:w="1438" w:type="dxa"/>
          </w:tcPr>
          <w:p w:rsidR="00111F17" w:rsidRPr="00423400" w:rsidP="00111F17" w14:paraId="42B9C1F2" w14:textId="77777777">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0.88</w:t>
            </w:r>
          </w:p>
        </w:tc>
        <w:tc>
          <w:tcPr>
            <w:tcW w:w="1439" w:type="dxa"/>
          </w:tcPr>
          <w:p w:rsidR="00111F17" w:rsidRPr="00423400" w:rsidP="00111F17" w14:paraId="6B5228D8" w14:textId="77777777">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0.88</w:t>
            </w:r>
          </w:p>
        </w:tc>
        <w:tc>
          <w:tcPr>
            <w:tcW w:w="1439" w:type="dxa"/>
          </w:tcPr>
          <w:p w:rsidR="00111F17" w:rsidRPr="00423400" w:rsidP="00111F17" w14:paraId="49F5CEB2" w14:textId="77777777">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0.88</w:t>
            </w:r>
          </w:p>
        </w:tc>
      </w:tr>
      <w:tr w14:paraId="482153EB" w14:textId="77777777" w:rsidTr="00F228F4">
        <w:tblPrEx>
          <w:tblW w:w="0" w:type="auto"/>
          <w:jc w:val="center"/>
          <w:tblInd w:w="0" w:type="dxa"/>
          <w:tblCellMar>
            <w:top w:w="0" w:type="dxa"/>
            <w:left w:w="108" w:type="dxa"/>
            <w:bottom w:w="0" w:type="dxa"/>
            <w:right w:w="108" w:type="dxa"/>
          </w:tblCellMar>
          <w:tblLook w:val="04A0"/>
        </w:tblPrEx>
        <w:trPr>
          <w:jc w:val="center"/>
        </w:trPr>
        <w:tc>
          <w:tcPr>
            <w:tcW w:w="1438" w:type="dxa"/>
          </w:tcPr>
          <w:p w:rsidR="00111F17" w:rsidRPr="00423400" w:rsidP="00111F17" w14:paraId="118628C8" w14:textId="77777777">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SAIFI After Exclusions</w:t>
            </w:r>
          </w:p>
        </w:tc>
        <w:tc>
          <w:tcPr>
            <w:tcW w:w="1438" w:type="dxa"/>
          </w:tcPr>
          <w:p w:rsidR="00111F17" w:rsidRPr="00423400" w:rsidP="00111F17" w14:paraId="62D7461D" w14:textId="77777777">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0.69</w:t>
            </w:r>
          </w:p>
        </w:tc>
        <w:tc>
          <w:tcPr>
            <w:tcW w:w="1438" w:type="dxa"/>
          </w:tcPr>
          <w:p w:rsidR="00111F17" w:rsidRPr="00423400" w:rsidP="00111F17" w14:paraId="77A9AEFB" w14:textId="77777777">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0.68</w:t>
            </w:r>
          </w:p>
        </w:tc>
        <w:tc>
          <w:tcPr>
            <w:tcW w:w="1438" w:type="dxa"/>
          </w:tcPr>
          <w:p w:rsidR="00111F17" w:rsidRPr="00423400" w:rsidP="00111F17" w14:paraId="43AADB54" w14:textId="77777777">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0.83</w:t>
            </w:r>
          </w:p>
        </w:tc>
        <w:tc>
          <w:tcPr>
            <w:tcW w:w="1439" w:type="dxa"/>
          </w:tcPr>
          <w:p w:rsidR="00111F17" w:rsidRPr="00423400" w:rsidP="00111F17" w14:paraId="0CAD0102" w14:textId="77777777">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0.88</w:t>
            </w:r>
          </w:p>
        </w:tc>
        <w:tc>
          <w:tcPr>
            <w:tcW w:w="1439" w:type="dxa"/>
          </w:tcPr>
          <w:p w:rsidR="00111F17" w:rsidRPr="00423400" w:rsidP="00111F17" w14:paraId="640C54E2" w14:textId="77777777">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0.88</w:t>
            </w:r>
          </w:p>
        </w:tc>
      </w:tr>
      <w:tr w14:paraId="6B419EA4" w14:textId="77777777" w:rsidTr="00F228F4">
        <w:tblPrEx>
          <w:tblW w:w="0" w:type="auto"/>
          <w:jc w:val="center"/>
          <w:tblInd w:w="0" w:type="dxa"/>
          <w:tblCellMar>
            <w:top w:w="0" w:type="dxa"/>
            <w:left w:w="108" w:type="dxa"/>
            <w:bottom w:w="0" w:type="dxa"/>
            <w:right w:w="108" w:type="dxa"/>
          </w:tblCellMar>
          <w:tblLook w:val="04A0"/>
        </w:tblPrEx>
        <w:trPr>
          <w:jc w:val="center"/>
        </w:trPr>
        <w:tc>
          <w:tcPr>
            <w:tcW w:w="1438" w:type="dxa"/>
          </w:tcPr>
          <w:p w:rsidR="00111F17" w:rsidRPr="00423400" w:rsidP="00111F17" w14:paraId="419D34D7" w14:textId="77777777">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SAIFI Before Exclusions</w:t>
            </w:r>
          </w:p>
        </w:tc>
        <w:tc>
          <w:tcPr>
            <w:tcW w:w="1438" w:type="dxa"/>
          </w:tcPr>
          <w:p w:rsidR="00111F17" w:rsidRPr="00423400" w:rsidP="00111F17" w14:paraId="4700E71C" w14:textId="77777777">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0.92</w:t>
            </w:r>
          </w:p>
        </w:tc>
        <w:tc>
          <w:tcPr>
            <w:tcW w:w="1438" w:type="dxa"/>
          </w:tcPr>
          <w:p w:rsidR="00111F17" w:rsidRPr="00423400" w:rsidP="00111F17" w14:paraId="08AEF032" w14:textId="77777777">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1.06</w:t>
            </w:r>
          </w:p>
        </w:tc>
        <w:tc>
          <w:tcPr>
            <w:tcW w:w="1438" w:type="dxa"/>
          </w:tcPr>
          <w:p w:rsidR="00111F17" w:rsidRPr="00423400" w:rsidP="00111F17" w14:paraId="3A416B88" w14:textId="77777777">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1.14</w:t>
            </w:r>
          </w:p>
        </w:tc>
        <w:tc>
          <w:tcPr>
            <w:tcW w:w="1439" w:type="dxa"/>
          </w:tcPr>
          <w:p w:rsidR="00111F17" w:rsidRPr="00423400" w:rsidP="00111F17" w14:paraId="7AC7112D" w14:textId="77777777">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1.39</w:t>
            </w:r>
          </w:p>
        </w:tc>
        <w:tc>
          <w:tcPr>
            <w:tcW w:w="1439" w:type="dxa"/>
          </w:tcPr>
          <w:p w:rsidR="00111F17" w:rsidRPr="00423400" w:rsidP="00111F17" w14:paraId="41EAE435" w14:textId="77777777">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1.10</w:t>
            </w:r>
          </w:p>
        </w:tc>
      </w:tr>
      <w:tr w14:paraId="080C94D7" w14:textId="77777777" w:rsidTr="00F228F4">
        <w:tblPrEx>
          <w:tblW w:w="0" w:type="auto"/>
          <w:jc w:val="center"/>
          <w:tblInd w:w="0" w:type="dxa"/>
          <w:tblCellMar>
            <w:top w:w="0" w:type="dxa"/>
            <w:left w:w="108" w:type="dxa"/>
            <w:bottom w:w="0" w:type="dxa"/>
            <w:right w:w="108" w:type="dxa"/>
          </w:tblCellMar>
          <w:tblLook w:val="04A0"/>
        </w:tblPrEx>
        <w:trPr>
          <w:jc w:val="center"/>
        </w:trPr>
        <w:tc>
          <w:tcPr>
            <w:tcW w:w="1438" w:type="dxa"/>
          </w:tcPr>
          <w:p w:rsidR="00111F17" w:rsidRPr="00423400" w:rsidP="00111F17" w14:paraId="4F6FEE2A" w14:textId="77777777">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Consumers</w:t>
            </w:r>
          </w:p>
        </w:tc>
        <w:tc>
          <w:tcPr>
            <w:tcW w:w="1438" w:type="dxa"/>
          </w:tcPr>
          <w:p w:rsidR="00111F17" w:rsidRPr="00423400" w:rsidP="00111F17" w14:paraId="1410B360" w14:textId="77777777">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580,592</w:t>
            </w:r>
          </w:p>
        </w:tc>
        <w:tc>
          <w:tcPr>
            <w:tcW w:w="1438" w:type="dxa"/>
          </w:tcPr>
          <w:p w:rsidR="00111F17" w:rsidRPr="00423400" w:rsidP="00111F17" w14:paraId="5FBE35DA" w14:textId="77777777">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584,044</w:t>
            </w:r>
          </w:p>
        </w:tc>
        <w:tc>
          <w:tcPr>
            <w:tcW w:w="1438" w:type="dxa"/>
          </w:tcPr>
          <w:p w:rsidR="00111F17" w:rsidRPr="00423400" w:rsidP="00111F17" w14:paraId="1F24CD14" w14:textId="77777777">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587,473</w:t>
            </w:r>
          </w:p>
        </w:tc>
        <w:tc>
          <w:tcPr>
            <w:tcW w:w="1439" w:type="dxa"/>
          </w:tcPr>
          <w:p w:rsidR="00111F17" w:rsidRPr="00423400" w:rsidP="00111F17" w14:paraId="61DC4CC8" w14:textId="77777777">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591,607</w:t>
            </w:r>
          </w:p>
        </w:tc>
        <w:tc>
          <w:tcPr>
            <w:tcW w:w="1439" w:type="dxa"/>
          </w:tcPr>
          <w:p w:rsidR="00111F17" w:rsidRPr="00423400" w:rsidP="00111F17" w14:paraId="5B7A90A9" w14:textId="77777777">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423400">
              <w:rPr>
                <w:rFonts w:ascii="Times New Roman" w:eastAsia="Times New Roman" w:hAnsi="Times New Roman" w:cs="Times New Roman"/>
                <w:sz w:val="24"/>
                <w:szCs w:val="24"/>
                <w:lang w:val="en-US" w:eastAsia="en-US" w:bidi="ar-SA"/>
              </w:rPr>
              <w:t>594,965</w:t>
            </w:r>
          </w:p>
        </w:tc>
      </w:tr>
    </w:tbl>
    <w:p w:rsidR="00AD32AF" w:rsidRPr="00423400" w:rsidP="00AD32AF" w14:paraId="65B6AFBB" w14:textId="77777777">
      <w:pPr>
        <w:spacing w:after="0" w:line="240" w:lineRule="auto"/>
        <w:ind w:firstLine="720"/>
        <w:rPr>
          <w:rFonts w:cs="Times New Roman"/>
          <w:szCs w:val="24"/>
        </w:rPr>
      </w:pPr>
    </w:p>
    <w:p w:rsidR="00111F17" w:rsidRPr="00423400" w:rsidP="00351DF7" w14:paraId="2C80788B" w14:textId="77777777">
      <w:pPr>
        <w:spacing w:after="0" w:line="480" w:lineRule="auto"/>
        <w:ind w:firstLine="720"/>
        <w:rPr>
          <w:rFonts w:cs="Times New Roman"/>
          <w:szCs w:val="24"/>
        </w:rPr>
      </w:pPr>
      <w:r w:rsidRPr="00423400">
        <w:rPr>
          <w:rFonts w:cs="Times New Roman"/>
          <w:szCs w:val="24"/>
        </w:rPr>
        <w:t>The Ohio minimum distribution reliability performance standards are often referred to as blue sky standards since they exclude outage events that occur during major events and transmission outages. As shown above, DP&amp;L failed to meet the minimum CAIDI performance standard in three of the last five years (2017, 2019, and 2020). And while DP&amp;L met its SAIFI standard in each of the last five years, the SAIFI performance has declined from 0.69 in 2016 to 0.88 in both 2019 and 2020. This means that not only are DP&amp;L consumers experiencing unacceptably longer duration outages, but consumers are also experiencing more frequent outages that just barely meets the minimum PUCO standard.</w:t>
      </w:r>
    </w:p>
    <w:p w:rsidR="00747FB8" w:rsidRPr="00423400" w:rsidP="00EA78B4" w14:paraId="579D3DA4" w14:textId="77777777">
      <w:pPr>
        <w:spacing w:after="0" w:line="480" w:lineRule="auto"/>
        <w:ind w:firstLine="720"/>
        <w:rPr>
          <w:rFonts w:cs="Times New Roman"/>
          <w:szCs w:val="24"/>
        </w:rPr>
      </w:pPr>
      <w:r w:rsidRPr="00423400">
        <w:rPr>
          <w:rFonts w:cs="Times New Roman"/>
          <w:szCs w:val="24"/>
        </w:rPr>
        <w:t>The single largest contributor to the number of annual outage events, customer interruptions, and customer minutes interrupted is equipment/hardware outages. In 2019, equipment/hardware failures constituted approximately 27</w:t>
      </w:r>
      <w:r w:rsidR="002E1608">
        <w:rPr>
          <w:rFonts w:cs="Times New Roman"/>
          <w:szCs w:val="24"/>
        </w:rPr>
        <w:t>%</w:t>
      </w:r>
      <w:r w:rsidRPr="00423400">
        <w:rPr>
          <w:rFonts w:cs="Times New Roman"/>
          <w:szCs w:val="24"/>
        </w:rPr>
        <w:t xml:space="preserve"> of all customer interruptions and 31 percent of all customer minutes interrupted. In 2020, equipment/hardware failures constituted approximately 24</w:t>
      </w:r>
      <w:r w:rsidR="002E1608">
        <w:rPr>
          <w:rFonts w:cs="Times New Roman"/>
          <w:szCs w:val="24"/>
        </w:rPr>
        <w:t xml:space="preserve">% </w:t>
      </w:r>
      <w:r w:rsidRPr="00423400">
        <w:rPr>
          <w:rFonts w:cs="Times New Roman"/>
          <w:szCs w:val="24"/>
        </w:rPr>
        <w:t>of all customer interruptions and approximately 26</w:t>
      </w:r>
      <w:r w:rsidR="002E1608">
        <w:rPr>
          <w:rFonts w:cs="Times New Roman"/>
          <w:szCs w:val="24"/>
        </w:rPr>
        <w:t xml:space="preserve">% </w:t>
      </w:r>
      <w:r w:rsidRPr="00423400">
        <w:rPr>
          <w:rFonts w:cs="Times New Roman"/>
          <w:szCs w:val="24"/>
        </w:rPr>
        <w:t xml:space="preserve">of all customer minutes interrupted. Outages caused by animals/birds consistently represent one of the highest causes for outage events. Tree-caused outages inside and outside the right of way represent a high number of outage events, customer interruptions, and customer minutes interrupted. </w:t>
      </w:r>
    </w:p>
    <w:p w:rsidR="00EA78B4" w:rsidRPr="00423400" w:rsidP="00EC0E9D" w14:paraId="4652B1EA" w14:textId="77777777">
      <w:pPr>
        <w:spacing w:after="0" w:line="480" w:lineRule="auto"/>
        <w:ind w:firstLine="720"/>
        <w:rPr>
          <w:rFonts w:cs="Times New Roman"/>
          <w:szCs w:val="24"/>
        </w:rPr>
      </w:pPr>
      <w:r w:rsidRPr="00423400">
        <w:rPr>
          <w:rFonts w:cs="Times New Roman"/>
          <w:szCs w:val="24"/>
        </w:rPr>
        <w:t>As part of the last distribution rate case, DP&amp;L committed to a process that included funding levels for the Distribution Investment Rider (“DIR”) that was approved under the DP&amp;L ESP III.</w:t>
      </w:r>
      <w:r>
        <w:rPr>
          <w:rStyle w:val="FootnoteReference"/>
          <w:rFonts w:cs="Times New Roman"/>
          <w:szCs w:val="24"/>
        </w:rPr>
        <w:footnoteReference w:id="377"/>
      </w:r>
      <w:r w:rsidRPr="00423400">
        <w:rPr>
          <w:rFonts w:cs="Times New Roman"/>
          <w:szCs w:val="24"/>
        </w:rPr>
        <w:t xml:space="preserve"> DP&amp;L committed to work with the PUCO Staff and OCC to develop an annual plan for the DIR that emphasized proactive distribution maintenance and that focused spending on where it would have the greatest impact on maintaining or improving reliability for consumers.</w:t>
      </w:r>
      <w:r>
        <w:rPr>
          <w:rStyle w:val="FootnoteReference"/>
          <w:rFonts w:cs="Times New Roman"/>
          <w:szCs w:val="24"/>
        </w:rPr>
        <w:footnoteReference w:id="378"/>
      </w:r>
    </w:p>
    <w:p w:rsidR="00EA78B4" w:rsidRPr="00423400" w:rsidP="00351DF7" w14:paraId="6D804914" w14:textId="77777777">
      <w:pPr>
        <w:spacing w:after="0" w:line="480" w:lineRule="auto"/>
        <w:ind w:firstLine="720"/>
        <w:rPr>
          <w:rFonts w:cs="Times New Roman"/>
          <w:szCs w:val="24"/>
        </w:rPr>
      </w:pPr>
      <w:r w:rsidRPr="00423400">
        <w:rPr>
          <w:rFonts w:cs="Times New Roman"/>
          <w:szCs w:val="24"/>
        </w:rPr>
        <w:t>Infrast</w:t>
      </w:r>
      <w:r w:rsidRPr="00423400" w:rsidR="00B7646E">
        <w:rPr>
          <w:rFonts w:cs="Times New Roman"/>
          <w:szCs w:val="24"/>
        </w:rPr>
        <w:t>ructure modernization under the DIR would</w:t>
      </w:r>
      <w:r w:rsidRPr="00423400" w:rsidR="008B4301">
        <w:rPr>
          <w:rFonts w:cs="Times New Roman"/>
          <w:szCs w:val="24"/>
        </w:rPr>
        <w:t xml:space="preserve"> include replacement of equipment and hardware that contribute to equipment/hardware failures and other outage causes.</w:t>
      </w:r>
      <w:r>
        <w:rPr>
          <w:rStyle w:val="FootnoteReference"/>
          <w:rFonts w:cs="Times New Roman"/>
          <w:szCs w:val="24"/>
        </w:rPr>
        <w:footnoteReference w:id="379"/>
      </w:r>
      <w:r w:rsidRPr="00423400" w:rsidR="008B4301">
        <w:rPr>
          <w:rFonts w:cs="Times New Roman"/>
          <w:szCs w:val="24"/>
        </w:rPr>
        <w:t xml:space="preserve"> </w:t>
      </w:r>
      <w:r w:rsidRPr="00423400" w:rsidR="00BA579B">
        <w:rPr>
          <w:rFonts w:cs="Times New Roman"/>
          <w:szCs w:val="24"/>
        </w:rPr>
        <w:t>This is a common use of similar capital investment riders that are used by other Ohio Electric Distribution Utilities (EDUs).</w:t>
      </w:r>
      <w:r>
        <w:rPr>
          <w:rStyle w:val="FootnoteReference"/>
          <w:rFonts w:cs="Times New Roman"/>
          <w:szCs w:val="24"/>
        </w:rPr>
        <w:footnoteReference w:id="380"/>
      </w:r>
      <w:r w:rsidRPr="00423400" w:rsidR="00BA579B">
        <w:rPr>
          <w:rFonts w:cs="Times New Roman"/>
          <w:szCs w:val="24"/>
        </w:rPr>
        <w:t xml:space="preserve"> But capital recovery riders are not a prerequisite for EDUs to invest in its distribution system and to replace equipment as necessary.</w:t>
      </w:r>
      <w:r>
        <w:rPr>
          <w:rStyle w:val="FootnoteReference"/>
          <w:rFonts w:cs="Times New Roman"/>
          <w:szCs w:val="24"/>
        </w:rPr>
        <w:footnoteReference w:id="381"/>
      </w:r>
      <w:r w:rsidRPr="00423400" w:rsidR="00BA579B">
        <w:rPr>
          <w:rFonts w:cs="Times New Roman"/>
          <w:szCs w:val="24"/>
        </w:rPr>
        <w:t xml:space="preserve"> </w:t>
      </w:r>
      <w:r w:rsidRPr="00423400" w:rsidR="00A64203">
        <w:rPr>
          <w:rFonts w:cs="Times New Roman"/>
          <w:szCs w:val="24"/>
        </w:rPr>
        <w:t xml:space="preserve">But the DIR no longer exists. It terminated when </w:t>
      </w:r>
      <w:r w:rsidRPr="00423400" w:rsidR="004F2676">
        <w:rPr>
          <w:rFonts w:cs="Times New Roman"/>
          <w:szCs w:val="24"/>
        </w:rPr>
        <w:t>DP&amp;L</w:t>
      </w:r>
      <w:r w:rsidRPr="00423400" w:rsidR="00A64203">
        <w:rPr>
          <w:rFonts w:cs="Times New Roman"/>
          <w:szCs w:val="24"/>
        </w:rPr>
        <w:t xml:space="preserve"> terminated ESP III and reverted to the previously approved ESP I. However, AES Ohio continues to have a responsibility to provide adequate service under R.C. 4905.22 regardless of whether there is a capital recovery mechanism like the DIR.</w:t>
      </w:r>
    </w:p>
    <w:p w:rsidR="006C1320" w:rsidRPr="00423400" w:rsidP="00351DF7" w14:paraId="6D8073C2" w14:textId="77777777">
      <w:pPr>
        <w:spacing w:after="0" w:line="480" w:lineRule="auto"/>
        <w:ind w:firstLine="720"/>
        <w:rPr>
          <w:rFonts w:cs="Times New Roman"/>
          <w:szCs w:val="24"/>
        </w:rPr>
      </w:pPr>
      <w:r w:rsidRPr="00423400">
        <w:rPr>
          <w:rFonts w:cs="Times New Roman"/>
          <w:szCs w:val="24"/>
        </w:rPr>
        <w:t xml:space="preserve">Mr. Williams testified that </w:t>
      </w:r>
      <w:r w:rsidRPr="00423400" w:rsidR="00F21140">
        <w:rPr>
          <w:rFonts w:cs="Times New Roman"/>
          <w:szCs w:val="24"/>
        </w:rPr>
        <w:t>DP&amp;L’s</w:t>
      </w:r>
      <w:r w:rsidRPr="00423400">
        <w:rPr>
          <w:rFonts w:cs="Times New Roman"/>
          <w:szCs w:val="24"/>
        </w:rPr>
        <w:t xml:space="preserve"> failure to comply with the minimum </w:t>
      </w:r>
      <w:r w:rsidRPr="00423400" w:rsidR="0015575E">
        <w:rPr>
          <w:rFonts w:cs="Times New Roman"/>
          <w:szCs w:val="24"/>
        </w:rPr>
        <w:t>distribution</w:t>
      </w:r>
      <w:r w:rsidRPr="00423400">
        <w:rPr>
          <w:rFonts w:cs="Times New Roman"/>
          <w:szCs w:val="24"/>
        </w:rPr>
        <w:t xml:space="preserve"> reliability standards, the </w:t>
      </w:r>
      <w:r w:rsidRPr="00423400" w:rsidR="0015575E">
        <w:rPr>
          <w:rFonts w:cs="Times New Roman"/>
          <w:szCs w:val="24"/>
        </w:rPr>
        <w:t>number</w:t>
      </w:r>
      <w:r w:rsidRPr="00423400">
        <w:rPr>
          <w:rFonts w:cs="Times New Roman"/>
          <w:szCs w:val="24"/>
        </w:rPr>
        <w:t xml:space="preserve"> of repeat circuits on the worst </w:t>
      </w:r>
      <w:r w:rsidRPr="00423400" w:rsidR="0015575E">
        <w:rPr>
          <w:rFonts w:cs="Times New Roman"/>
          <w:szCs w:val="24"/>
        </w:rPr>
        <w:t>performing</w:t>
      </w:r>
      <w:r w:rsidRPr="00423400">
        <w:rPr>
          <w:rFonts w:cs="Times New Roman"/>
          <w:szCs w:val="24"/>
        </w:rPr>
        <w:t xml:space="preserve"> circuits</w:t>
      </w:r>
      <w:r w:rsidRPr="00423400" w:rsidR="0015575E">
        <w:rPr>
          <w:rFonts w:cs="Times New Roman"/>
          <w:szCs w:val="24"/>
        </w:rPr>
        <w:t xml:space="preserve"> report, and failure to comply with its vegetation management plan constitutes inadequate service to consumers.</w:t>
      </w:r>
      <w:r>
        <w:rPr>
          <w:rStyle w:val="FootnoteReference"/>
          <w:rFonts w:cs="Times New Roman"/>
          <w:szCs w:val="24"/>
        </w:rPr>
        <w:footnoteReference w:id="382"/>
      </w:r>
      <w:r w:rsidRPr="00423400" w:rsidR="0015575E">
        <w:rPr>
          <w:rFonts w:cs="Times New Roman"/>
          <w:szCs w:val="24"/>
        </w:rPr>
        <w:t xml:space="preserve"> As a result, Mr. Williams recommends that </w:t>
      </w:r>
      <w:r w:rsidRPr="00423400" w:rsidR="00F21140">
        <w:rPr>
          <w:rFonts w:cs="Times New Roman"/>
          <w:szCs w:val="24"/>
        </w:rPr>
        <w:t>DP&amp;L</w:t>
      </w:r>
      <w:r w:rsidRPr="00423400" w:rsidR="0015575E">
        <w:rPr>
          <w:rFonts w:cs="Times New Roman"/>
          <w:szCs w:val="24"/>
        </w:rPr>
        <w:t xml:space="preserve"> should be held financially </w:t>
      </w:r>
      <w:r w:rsidRPr="00423400" w:rsidR="002A6D4B">
        <w:rPr>
          <w:rFonts w:cs="Times New Roman"/>
          <w:szCs w:val="24"/>
        </w:rPr>
        <w:t xml:space="preserve">accountable for providing </w:t>
      </w:r>
      <w:r w:rsidRPr="00423400">
        <w:rPr>
          <w:rFonts w:cs="Times New Roman"/>
          <w:szCs w:val="24"/>
        </w:rPr>
        <w:t>inadequate and unreliable service to consumers as the PUCO has ruled in other cases.</w:t>
      </w:r>
      <w:r>
        <w:rPr>
          <w:rStyle w:val="FootnoteReference"/>
          <w:rFonts w:cs="Times New Roman"/>
          <w:szCs w:val="24"/>
        </w:rPr>
        <w:footnoteReference w:id="383"/>
      </w:r>
      <w:r w:rsidRPr="00423400">
        <w:rPr>
          <w:rFonts w:cs="Times New Roman"/>
          <w:szCs w:val="24"/>
        </w:rPr>
        <w:t xml:space="preserve"> Under the PUCO rules Ohio Adm. Code 4901:1-10-30, failure to comply with PUCO rules and orders should result in a forfeiture of ten thousand dollar per violation per day. </w:t>
      </w:r>
    </w:p>
    <w:p w:rsidR="006C1320" w:rsidRPr="00423400" w:rsidP="00EB0F96" w14:paraId="73E5BE1A" w14:textId="77777777">
      <w:pPr>
        <w:spacing w:after="0" w:line="480" w:lineRule="auto"/>
        <w:ind w:firstLine="720"/>
        <w:rPr>
          <w:rFonts w:cs="Times New Roman"/>
          <w:szCs w:val="24"/>
        </w:rPr>
      </w:pPr>
      <w:r w:rsidRPr="00423400">
        <w:rPr>
          <w:rFonts w:cs="Times New Roman"/>
          <w:szCs w:val="24"/>
        </w:rPr>
        <w:t xml:space="preserve">DP&amp;L is in non-compliance with its Inspection, Maintenance, Repair, and Replacement Program pertaining to its cycle-based tree-trimming plan. DP&amp;L failed to comply with Ohio Adm. Code 4901:1-10-11 regarding repeat failing circuits on its eight percent worst performing circuits report. DP&amp;L has failed to comply with Ohio Adm. Code 4901:1-10-10(E) by missing its CAIDI reliability standard in 2019 and 2020. </w:t>
      </w:r>
    </w:p>
    <w:p w:rsidR="00747FB8" w:rsidRPr="00423400" w:rsidP="007E771A" w14:paraId="4FBAE98D" w14:textId="77777777">
      <w:pPr>
        <w:spacing w:after="0" w:line="480" w:lineRule="auto"/>
        <w:ind w:firstLine="720"/>
        <w:rPr>
          <w:rFonts w:cs="Times New Roman"/>
          <w:szCs w:val="24"/>
        </w:rPr>
      </w:pPr>
      <w:r w:rsidRPr="00423400">
        <w:rPr>
          <w:rFonts w:cs="Times New Roman"/>
          <w:szCs w:val="24"/>
        </w:rPr>
        <w:t xml:space="preserve">At a minimum, </w:t>
      </w:r>
      <w:r w:rsidRPr="00423400" w:rsidR="007C3F07">
        <w:rPr>
          <w:rFonts w:cs="Times New Roman"/>
          <w:szCs w:val="24"/>
        </w:rPr>
        <w:t>Mr. Williams’</w:t>
      </w:r>
      <w:r w:rsidRPr="00423400" w:rsidR="007E771A">
        <w:rPr>
          <w:rFonts w:cs="Times New Roman"/>
          <w:szCs w:val="24"/>
        </w:rPr>
        <w:t xml:space="preserve"> </w:t>
      </w:r>
      <w:r w:rsidRPr="00423400">
        <w:rPr>
          <w:rFonts w:cs="Times New Roman"/>
          <w:szCs w:val="24"/>
        </w:rPr>
        <w:t>recommendation is that the PUCO order DP&amp;L to invest a minimum of $20 million in shareholder funds (not to be collected from consumers). This seems highly appropriate given that DP&amp;L had more than $60 million in significantly excessive profits, but the PUCO did not require that money to be refunded to consumers, and that the PUCO has allowed DP&amp;L to continue charging consumers more than $75 million per year under its so-called “Rate Stabilization Charge.”</w:t>
      </w:r>
      <w:r>
        <w:rPr>
          <w:rStyle w:val="FootnoteReference"/>
          <w:rFonts w:cs="Times New Roman"/>
          <w:szCs w:val="24"/>
        </w:rPr>
        <w:footnoteReference w:id="384"/>
      </w:r>
      <w:r w:rsidRPr="00423400">
        <w:rPr>
          <w:rFonts w:cs="Times New Roman"/>
          <w:szCs w:val="24"/>
        </w:rPr>
        <w:t xml:space="preserve"> The $20 million should be allocated between vegetation management and equipment replacements. DP&amp;L should be required to file a plan in this docket within 90 days of an Order identifying how the funds will be allocated and the specific equipment and/or circuits that will benefit the most from infusion of the additional funds.</w:t>
      </w:r>
      <w:r w:rsidRPr="00423400" w:rsidR="00CD72D9">
        <w:rPr>
          <w:rFonts w:cs="Times New Roman"/>
          <w:szCs w:val="24"/>
        </w:rPr>
        <w:t xml:space="preserve"> </w:t>
      </w:r>
    </w:p>
    <w:p w:rsidR="00760F66" w:rsidP="00760F66" w14:paraId="509E94AC" w14:textId="77777777">
      <w:pPr>
        <w:pStyle w:val="Heading1"/>
        <w:rPr>
          <w:rFonts w:cs="Times New Roman"/>
          <w:b/>
          <w:bCs/>
          <w:szCs w:val="24"/>
        </w:rPr>
      </w:pPr>
      <w:bookmarkStart w:id="96" w:name="_Toc97298223"/>
      <w:r>
        <w:rPr>
          <w:rFonts w:cs="Times New Roman"/>
          <w:b/>
          <w:bCs/>
          <w:szCs w:val="24"/>
        </w:rPr>
        <w:t>SUMMARY OF OCC’S RECOMMENDED ADJUSTMENTS</w:t>
      </w:r>
      <w:bookmarkEnd w:id="96"/>
    </w:p>
    <w:p w:rsidR="0063565B" w:rsidRPr="00423400" w:rsidP="00565A5C" w14:paraId="6EBA6B24" w14:textId="77777777">
      <w:pPr>
        <w:spacing w:before="240" w:line="480" w:lineRule="auto"/>
        <w:ind w:firstLine="720"/>
        <w:rPr>
          <w:rFonts w:cs="Times New Roman"/>
          <w:szCs w:val="24"/>
        </w:rPr>
      </w:pPr>
      <w:r w:rsidRPr="00423400">
        <w:rPr>
          <w:rFonts w:cs="Times New Roman"/>
          <w:szCs w:val="24"/>
        </w:rPr>
        <w:t xml:space="preserve">As discussed previously, OCC does not </w:t>
      </w:r>
      <w:r w:rsidRPr="00423400" w:rsidR="00F23C20">
        <w:rPr>
          <w:rFonts w:cs="Times New Roman"/>
          <w:szCs w:val="24"/>
        </w:rPr>
        <w:t>recommend</w:t>
      </w:r>
      <w:r w:rsidRPr="00423400">
        <w:rPr>
          <w:rFonts w:cs="Times New Roman"/>
          <w:szCs w:val="24"/>
        </w:rPr>
        <w:t xml:space="preserve"> a rate increase for consumers. </w:t>
      </w:r>
      <w:r w:rsidRPr="00423400" w:rsidR="00E06F4A">
        <w:rPr>
          <w:rFonts w:cs="Times New Roman"/>
          <w:szCs w:val="24"/>
        </w:rPr>
        <w:t xml:space="preserve">No increase should be permitted while ESP I remains in effect. </w:t>
      </w:r>
      <w:r w:rsidRPr="00423400">
        <w:rPr>
          <w:rFonts w:cs="Times New Roman"/>
          <w:szCs w:val="24"/>
        </w:rPr>
        <w:t xml:space="preserve">However, if the PUCO grants an increase to DP&amp;L, it should be limited to $43.3 million, as represented on the chart </w:t>
      </w:r>
      <w:r w:rsidRPr="00423400" w:rsidR="00281D58">
        <w:rPr>
          <w:rFonts w:cs="Times New Roman"/>
          <w:szCs w:val="24"/>
        </w:rPr>
        <w:t>above</w:t>
      </w:r>
      <w:r w:rsidRPr="00423400">
        <w:rPr>
          <w:rFonts w:cs="Times New Roman"/>
          <w:szCs w:val="24"/>
        </w:rPr>
        <w:t>.</w:t>
      </w:r>
      <w:r w:rsidRPr="00423400" w:rsidR="00F23C20">
        <w:rPr>
          <w:rFonts w:cs="Times New Roman"/>
          <w:szCs w:val="24"/>
        </w:rPr>
        <w:t xml:space="preserve"> And this increase should </w:t>
      </w:r>
      <w:r w:rsidRPr="00423400" w:rsidR="00D0484E">
        <w:rPr>
          <w:rFonts w:cs="Times New Roman"/>
          <w:szCs w:val="24"/>
        </w:rPr>
        <w:t>be stayed until</w:t>
      </w:r>
      <w:r w:rsidRPr="00423400" w:rsidR="00F23C20">
        <w:rPr>
          <w:rFonts w:cs="Times New Roman"/>
          <w:szCs w:val="24"/>
        </w:rPr>
        <w:t xml:space="preserve"> after the expiration of ESP I. </w:t>
      </w:r>
    </w:p>
    <w:p w:rsidR="0066060A" w:rsidRPr="00423400" w:rsidP="0012105E" w14:paraId="00AD2A0F" w14:textId="77777777">
      <w:pPr>
        <w:pStyle w:val="Heading1"/>
        <w:rPr>
          <w:b/>
          <w:bCs/>
        </w:rPr>
      </w:pPr>
      <w:bookmarkStart w:id="97" w:name="_Toc96960374"/>
      <w:bookmarkStart w:id="98" w:name="_Toc96960416"/>
      <w:bookmarkStart w:id="99" w:name="_Toc97298224"/>
      <w:r w:rsidRPr="00423400">
        <w:rPr>
          <w:b/>
          <w:bCs/>
        </w:rPr>
        <w:t>CONCLUSION</w:t>
      </w:r>
      <w:bookmarkEnd w:id="97"/>
      <w:bookmarkEnd w:id="98"/>
      <w:bookmarkEnd w:id="99"/>
      <w:r w:rsidRPr="00423400">
        <w:rPr>
          <w:b/>
          <w:bCs/>
        </w:rPr>
        <w:t xml:space="preserve"> </w:t>
      </w:r>
    </w:p>
    <w:p w:rsidR="003A4A62" w:rsidRPr="00423400" w:rsidP="0012105E" w14:paraId="0E333D2C" w14:textId="77777777">
      <w:pPr>
        <w:spacing w:before="240" w:after="0" w:line="480" w:lineRule="auto"/>
        <w:ind w:firstLine="720"/>
        <w:rPr>
          <w:rFonts w:cs="Times New Roman"/>
          <w:szCs w:val="24"/>
        </w:rPr>
      </w:pPr>
      <w:r w:rsidRPr="00423400">
        <w:rPr>
          <w:rFonts w:cs="Times New Roman"/>
          <w:szCs w:val="24"/>
        </w:rPr>
        <w:t xml:space="preserve">The PUCO should </w:t>
      </w:r>
      <w:r w:rsidRPr="00423400" w:rsidR="00F33DF5">
        <w:rPr>
          <w:rFonts w:cs="Times New Roman"/>
          <w:szCs w:val="24"/>
        </w:rPr>
        <w:t xml:space="preserve">deny DP&amp;L’s request to increase rates while ESP I is in place. It should have </w:t>
      </w:r>
      <w:r w:rsidRPr="00423400" w:rsidR="00D10DB5">
        <w:rPr>
          <w:rFonts w:cs="Times New Roman"/>
          <w:szCs w:val="24"/>
        </w:rPr>
        <w:t xml:space="preserve">granted OCC’s Motion to Dismiss, but unfortunately for consumers, </w:t>
      </w:r>
      <w:r w:rsidRPr="00423400" w:rsidR="008A5788">
        <w:rPr>
          <w:rFonts w:cs="Times New Roman"/>
          <w:szCs w:val="24"/>
        </w:rPr>
        <w:t xml:space="preserve">it </w:t>
      </w:r>
      <w:r w:rsidRPr="00423400" w:rsidR="00D10DB5">
        <w:rPr>
          <w:rFonts w:cs="Times New Roman"/>
          <w:szCs w:val="24"/>
        </w:rPr>
        <w:t>did not. But if the PUCO does not deny this application</w:t>
      </w:r>
      <w:r w:rsidR="00907C11">
        <w:rPr>
          <w:rFonts w:cs="Times New Roman"/>
          <w:szCs w:val="24"/>
        </w:rPr>
        <w:t xml:space="preserve"> (it should)</w:t>
      </w:r>
      <w:r w:rsidRPr="00423400" w:rsidR="00D10DB5">
        <w:rPr>
          <w:rFonts w:cs="Times New Roman"/>
          <w:szCs w:val="24"/>
        </w:rPr>
        <w:t>, then t</w:t>
      </w:r>
      <w:r w:rsidRPr="00423400" w:rsidR="008C3FEC">
        <w:rPr>
          <w:rFonts w:cs="Times New Roman"/>
          <w:szCs w:val="24"/>
        </w:rPr>
        <w:t>he</w:t>
      </w:r>
      <w:r w:rsidRPr="00423400" w:rsidR="00CD72D9">
        <w:rPr>
          <w:rFonts w:cs="Times New Roman"/>
          <w:szCs w:val="24"/>
        </w:rPr>
        <w:t xml:space="preserve"> </w:t>
      </w:r>
      <w:r w:rsidRPr="00423400" w:rsidR="008C3FEC">
        <w:rPr>
          <w:rFonts w:cs="Times New Roman"/>
          <w:szCs w:val="24"/>
        </w:rPr>
        <w:t>PUCO must</w:t>
      </w:r>
      <w:r w:rsidRPr="00423400" w:rsidR="00CD72D9">
        <w:rPr>
          <w:rFonts w:cs="Times New Roman"/>
          <w:szCs w:val="24"/>
        </w:rPr>
        <w:t xml:space="preserve"> </w:t>
      </w:r>
      <w:r w:rsidRPr="00423400" w:rsidR="008C3FEC">
        <w:rPr>
          <w:rFonts w:cs="Times New Roman"/>
          <w:szCs w:val="24"/>
        </w:rPr>
        <w:t>freeze</w:t>
      </w:r>
      <w:r w:rsidRPr="00423400" w:rsidR="00CD72D9">
        <w:rPr>
          <w:rFonts w:cs="Times New Roman"/>
          <w:szCs w:val="24"/>
        </w:rPr>
        <w:t xml:space="preserve"> </w:t>
      </w:r>
      <w:r w:rsidRPr="00423400" w:rsidR="008C3FEC">
        <w:rPr>
          <w:rFonts w:cs="Times New Roman"/>
          <w:szCs w:val="24"/>
        </w:rPr>
        <w:t>DP&amp;L’s</w:t>
      </w:r>
      <w:r w:rsidRPr="00423400" w:rsidR="00CD72D9">
        <w:rPr>
          <w:rFonts w:cs="Times New Roman"/>
          <w:szCs w:val="24"/>
        </w:rPr>
        <w:t xml:space="preserve"> </w:t>
      </w:r>
      <w:r w:rsidRPr="00423400" w:rsidR="008C3FEC">
        <w:rPr>
          <w:rFonts w:cs="Times New Roman"/>
          <w:szCs w:val="24"/>
        </w:rPr>
        <w:t>base</w:t>
      </w:r>
      <w:r w:rsidRPr="00423400" w:rsidR="00CD72D9">
        <w:rPr>
          <w:rFonts w:cs="Times New Roman"/>
          <w:szCs w:val="24"/>
        </w:rPr>
        <w:t xml:space="preserve"> </w:t>
      </w:r>
      <w:r w:rsidRPr="00423400" w:rsidR="008C3FEC">
        <w:rPr>
          <w:rFonts w:cs="Times New Roman"/>
          <w:szCs w:val="24"/>
        </w:rPr>
        <w:t>rates</w:t>
      </w:r>
      <w:r w:rsidRPr="00423400" w:rsidR="00CD72D9">
        <w:rPr>
          <w:rFonts w:cs="Times New Roman"/>
          <w:szCs w:val="24"/>
        </w:rPr>
        <w:t xml:space="preserve"> </w:t>
      </w:r>
      <w:r w:rsidRPr="00423400" w:rsidR="008C3FEC">
        <w:rPr>
          <w:rFonts w:cs="Times New Roman"/>
          <w:szCs w:val="24"/>
        </w:rPr>
        <w:t>at</w:t>
      </w:r>
      <w:r w:rsidRPr="00423400" w:rsidR="00CD72D9">
        <w:rPr>
          <w:rFonts w:cs="Times New Roman"/>
          <w:szCs w:val="24"/>
        </w:rPr>
        <w:t xml:space="preserve"> </w:t>
      </w:r>
      <w:r w:rsidRPr="00423400" w:rsidR="003F31E6">
        <w:rPr>
          <w:rFonts w:cs="Times New Roman"/>
          <w:szCs w:val="24"/>
        </w:rPr>
        <w:t>the level the</w:t>
      </w:r>
      <w:r w:rsidRPr="00423400" w:rsidR="008C3FEC">
        <w:rPr>
          <w:rFonts w:cs="Times New Roman"/>
          <w:szCs w:val="24"/>
        </w:rPr>
        <w:t>y</w:t>
      </w:r>
      <w:r w:rsidRPr="00423400" w:rsidR="00CD72D9">
        <w:rPr>
          <w:rFonts w:cs="Times New Roman"/>
          <w:szCs w:val="24"/>
        </w:rPr>
        <w:t xml:space="preserve"> </w:t>
      </w:r>
      <w:r w:rsidRPr="00423400" w:rsidR="008C3FEC">
        <w:rPr>
          <w:rFonts w:cs="Times New Roman"/>
          <w:szCs w:val="24"/>
        </w:rPr>
        <w:t>were</w:t>
      </w:r>
      <w:r w:rsidRPr="00423400" w:rsidR="00CD72D9">
        <w:rPr>
          <w:rFonts w:cs="Times New Roman"/>
          <w:szCs w:val="24"/>
        </w:rPr>
        <w:t xml:space="preserve"> </w:t>
      </w:r>
      <w:r w:rsidRPr="00423400" w:rsidR="008C3FEC">
        <w:rPr>
          <w:rFonts w:cs="Times New Roman"/>
          <w:szCs w:val="24"/>
        </w:rPr>
        <w:t>set</w:t>
      </w:r>
      <w:r w:rsidRPr="00423400" w:rsidR="00CD72D9">
        <w:rPr>
          <w:rFonts w:cs="Times New Roman"/>
          <w:szCs w:val="24"/>
        </w:rPr>
        <w:t xml:space="preserve"> </w:t>
      </w:r>
      <w:r w:rsidRPr="00423400" w:rsidR="008C3FEC">
        <w:rPr>
          <w:rFonts w:cs="Times New Roman"/>
          <w:szCs w:val="24"/>
        </w:rPr>
        <w:t>at</w:t>
      </w:r>
      <w:r w:rsidRPr="00423400" w:rsidR="00CD72D9">
        <w:rPr>
          <w:rFonts w:cs="Times New Roman"/>
          <w:szCs w:val="24"/>
        </w:rPr>
        <w:t xml:space="preserve"> </w:t>
      </w:r>
      <w:r w:rsidRPr="00423400" w:rsidR="008C3FEC">
        <w:rPr>
          <w:rFonts w:cs="Times New Roman"/>
          <w:szCs w:val="24"/>
        </w:rPr>
        <w:t>the</w:t>
      </w:r>
      <w:r w:rsidRPr="00423400" w:rsidR="00CD72D9">
        <w:rPr>
          <w:rFonts w:cs="Times New Roman"/>
          <w:szCs w:val="24"/>
        </w:rPr>
        <w:t xml:space="preserve"> </w:t>
      </w:r>
      <w:r w:rsidRPr="00423400" w:rsidR="008C3FEC">
        <w:rPr>
          <w:rFonts w:cs="Times New Roman"/>
          <w:szCs w:val="24"/>
        </w:rPr>
        <w:t>time DP&amp;L reverted</w:t>
      </w:r>
      <w:r w:rsidRPr="00423400" w:rsidR="00CD72D9">
        <w:rPr>
          <w:rFonts w:cs="Times New Roman"/>
          <w:szCs w:val="24"/>
        </w:rPr>
        <w:t xml:space="preserve"> </w:t>
      </w:r>
      <w:r w:rsidRPr="00423400" w:rsidR="008C3FEC">
        <w:rPr>
          <w:rFonts w:cs="Times New Roman"/>
          <w:szCs w:val="24"/>
        </w:rPr>
        <w:t>to</w:t>
      </w:r>
      <w:r w:rsidRPr="00423400" w:rsidR="00CD72D9">
        <w:rPr>
          <w:rFonts w:cs="Times New Roman"/>
          <w:szCs w:val="24"/>
        </w:rPr>
        <w:t xml:space="preserve"> </w:t>
      </w:r>
      <w:r w:rsidRPr="00423400" w:rsidR="008C3FEC">
        <w:rPr>
          <w:rFonts w:cs="Times New Roman"/>
          <w:szCs w:val="24"/>
        </w:rPr>
        <w:t>ESP</w:t>
      </w:r>
      <w:r w:rsidRPr="00423400" w:rsidR="00CD72D9">
        <w:rPr>
          <w:rFonts w:cs="Times New Roman"/>
          <w:szCs w:val="24"/>
        </w:rPr>
        <w:t xml:space="preserve"> </w:t>
      </w:r>
      <w:r w:rsidRPr="00423400" w:rsidR="008A5788">
        <w:rPr>
          <w:rFonts w:cs="Times New Roman"/>
          <w:szCs w:val="24"/>
        </w:rPr>
        <w:t>I</w:t>
      </w:r>
      <w:r w:rsidRPr="00423400" w:rsidR="008C3FEC">
        <w:rPr>
          <w:rFonts w:cs="Times New Roman"/>
          <w:szCs w:val="24"/>
        </w:rPr>
        <w:t>.</w:t>
      </w:r>
      <w:r>
        <w:rPr>
          <w:rStyle w:val="FootnoteReference"/>
          <w:rFonts w:cs="Times New Roman"/>
          <w:szCs w:val="24"/>
        </w:rPr>
        <w:footnoteReference w:id="385"/>
      </w:r>
      <w:r w:rsidRPr="00423400" w:rsidR="00CD72D9">
        <w:rPr>
          <w:rFonts w:cs="Times New Roman"/>
          <w:szCs w:val="24"/>
        </w:rPr>
        <w:t xml:space="preserve"> </w:t>
      </w:r>
      <w:r w:rsidRPr="00423400" w:rsidR="008C3FEC">
        <w:rPr>
          <w:rFonts w:cs="Times New Roman"/>
          <w:szCs w:val="24"/>
        </w:rPr>
        <w:t>As</w:t>
      </w:r>
      <w:r w:rsidRPr="00423400" w:rsidR="00CD72D9">
        <w:rPr>
          <w:rFonts w:cs="Times New Roman"/>
          <w:szCs w:val="24"/>
        </w:rPr>
        <w:t xml:space="preserve"> </w:t>
      </w:r>
      <w:r w:rsidRPr="00423400" w:rsidR="008C3FEC">
        <w:rPr>
          <w:rFonts w:cs="Times New Roman"/>
          <w:szCs w:val="24"/>
        </w:rPr>
        <w:t>discussed,</w:t>
      </w:r>
      <w:r w:rsidRPr="00423400" w:rsidR="00CD72D9">
        <w:rPr>
          <w:rFonts w:cs="Times New Roman"/>
          <w:szCs w:val="24"/>
        </w:rPr>
        <w:t xml:space="preserve"> </w:t>
      </w:r>
      <w:r w:rsidRPr="00423400" w:rsidR="008C3FEC">
        <w:rPr>
          <w:rFonts w:cs="Times New Roman"/>
          <w:szCs w:val="24"/>
        </w:rPr>
        <w:t>DP&amp;L</w:t>
      </w:r>
      <w:r w:rsidRPr="00423400" w:rsidR="00CD72D9">
        <w:rPr>
          <w:rFonts w:cs="Times New Roman"/>
          <w:szCs w:val="24"/>
        </w:rPr>
        <w:t xml:space="preserve"> </w:t>
      </w:r>
      <w:r w:rsidRPr="00423400" w:rsidR="008C3FEC">
        <w:rPr>
          <w:rFonts w:cs="Times New Roman"/>
          <w:szCs w:val="24"/>
        </w:rPr>
        <w:t>reverted</w:t>
      </w:r>
      <w:r w:rsidRPr="00423400" w:rsidR="00CD72D9">
        <w:rPr>
          <w:rFonts w:cs="Times New Roman"/>
          <w:szCs w:val="24"/>
        </w:rPr>
        <w:t xml:space="preserve"> </w:t>
      </w:r>
      <w:r w:rsidRPr="00423400" w:rsidR="008C3FEC">
        <w:rPr>
          <w:rFonts w:cs="Times New Roman"/>
          <w:szCs w:val="24"/>
        </w:rPr>
        <w:t>to</w:t>
      </w:r>
      <w:r w:rsidRPr="00423400" w:rsidR="00CD72D9">
        <w:rPr>
          <w:rFonts w:cs="Times New Roman"/>
          <w:szCs w:val="24"/>
        </w:rPr>
        <w:t xml:space="preserve"> </w:t>
      </w:r>
      <w:r w:rsidRPr="00423400" w:rsidR="008C3FEC">
        <w:rPr>
          <w:rFonts w:cs="Times New Roman"/>
          <w:szCs w:val="24"/>
        </w:rPr>
        <w:t>ESP</w:t>
      </w:r>
      <w:r w:rsidRPr="00423400" w:rsidR="00CD72D9">
        <w:rPr>
          <w:rFonts w:cs="Times New Roman"/>
          <w:szCs w:val="24"/>
        </w:rPr>
        <w:t xml:space="preserve"> </w:t>
      </w:r>
      <w:r w:rsidRPr="00423400">
        <w:rPr>
          <w:rFonts w:cs="Times New Roman"/>
          <w:szCs w:val="24"/>
        </w:rPr>
        <w:t>I</w:t>
      </w:r>
      <w:r w:rsidRPr="00423400" w:rsidR="00CD72D9">
        <w:rPr>
          <w:rFonts w:cs="Times New Roman"/>
          <w:szCs w:val="24"/>
        </w:rPr>
        <w:t xml:space="preserve"> </w:t>
      </w:r>
      <w:r w:rsidRPr="00423400" w:rsidR="008C3FEC">
        <w:rPr>
          <w:rFonts w:cs="Times New Roman"/>
          <w:szCs w:val="24"/>
        </w:rPr>
        <w:t>in</w:t>
      </w:r>
      <w:r w:rsidRPr="00423400" w:rsidR="00CD72D9">
        <w:rPr>
          <w:rFonts w:cs="Times New Roman"/>
          <w:szCs w:val="24"/>
        </w:rPr>
        <w:t xml:space="preserve"> </w:t>
      </w:r>
      <w:r w:rsidRPr="00423400" w:rsidR="008C3FEC">
        <w:rPr>
          <w:rFonts w:cs="Times New Roman"/>
          <w:szCs w:val="24"/>
        </w:rPr>
        <w:t>December</w:t>
      </w:r>
      <w:r w:rsidRPr="00423400" w:rsidR="00CD72D9">
        <w:rPr>
          <w:rFonts w:cs="Times New Roman"/>
          <w:szCs w:val="24"/>
        </w:rPr>
        <w:t xml:space="preserve"> </w:t>
      </w:r>
      <w:r w:rsidRPr="00423400" w:rsidR="008C3FEC">
        <w:rPr>
          <w:rFonts w:cs="Times New Roman"/>
          <w:szCs w:val="24"/>
        </w:rPr>
        <w:t>2019.</w:t>
      </w:r>
      <w:r w:rsidRPr="00423400" w:rsidR="00CD72D9">
        <w:rPr>
          <w:rFonts w:cs="Times New Roman"/>
          <w:szCs w:val="24"/>
        </w:rPr>
        <w:t xml:space="preserve"> </w:t>
      </w:r>
      <w:r w:rsidRPr="00423400" w:rsidR="008C3FEC">
        <w:rPr>
          <w:rFonts w:cs="Times New Roman"/>
          <w:szCs w:val="24"/>
        </w:rPr>
        <w:t>At</w:t>
      </w:r>
      <w:r w:rsidRPr="00423400" w:rsidR="00CD72D9">
        <w:rPr>
          <w:rFonts w:cs="Times New Roman"/>
          <w:szCs w:val="24"/>
        </w:rPr>
        <w:t xml:space="preserve"> </w:t>
      </w:r>
      <w:r w:rsidRPr="00423400" w:rsidR="008C3FEC">
        <w:rPr>
          <w:rFonts w:cs="Times New Roman"/>
          <w:szCs w:val="24"/>
        </w:rPr>
        <w:t>that time,</w:t>
      </w:r>
      <w:r w:rsidRPr="00423400" w:rsidR="00CD72D9">
        <w:rPr>
          <w:rFonts w:cs="Times New Roman"/>
          <w:szCs w:val="24"/>
        </w:rPr>
        <w:t xml:space="preserve"> </w:t>
      </w:r>
      <w:r w:rsidRPr="00423400" w:rsidR="008C3FEC">
        <w:rPr>
          <w:rFonts w:cs="Times New Roman"/>
          <w:szCs w:val="24"/>
        </w:rPr>
        <w:t>the</w:t>
      </w:r>
      <w:r w:rsidRPr="00423400" w:rsidR="00CD72D9">
        <w:rPr>
          <w:rFonts w:cs="Times New Roman"/>
          <w:szCs w:val="24"/>
        </w:rPr>
        <w:t xml:space="preserve"> </w:t>
      </w:r>
      <w:r w:rsidRPr="00423400" w:rsidR="008C3FEC">
        <w:rPr>
          <w:rFonts w:cs="Times New Roman"/>
          <w:szCs w:val="24"/>
        </w:rPr>
        <w:t>base</w:t>
      </w:r>
      <w:r w:rsidRPr="00423400" w:rsidR="00CD72D9">
        <w:rPr>
          <w:rFonts w:cs="Times New Roman"/>
          <w:szCs w:val="24"/>
        </w:rPr>
        <w:t xml:space="preserve"> </w:t>
      </w:r>
      <w:r w:rsidRPr="00423400" w:rsidR="008C3FEC">
        <w:rPr>
          <w:rFonts w:cs="Times New Roman"/>
          <w:szCs w:val="24"/>
        </w:rPr>
        <w:t>rates</w:t>
      </w:r>
      <w:r w:rsidRPr="00423400" w:rsidR="00CD72D9">
        <w:rPr>
          <w:rFonts w:cs="Times New Roman"/>
          <w:szCs w:val="24"/>
        </w:rPr>
        <w:t xml:space="preserve"> </w:t>
      </w:r>
      <w:r w:rsidRPr="00423400" w:rsidR="008C3FEC">
        <w:rPr>
          <w:rFonts w:cs="Times New Roman"/>
          <w:szCs w:val="24"/>
        </w:rPr>
        <w:t>approved</w:t>
      </w:r>
      <w:r w:rsidRPr="00423400" w:rsidR="00CD72D9">
        <w:rPr>
          <w:rFonts w:cs="Times New Roman"/>
          <w:szCs w:val="24"/>
        </w:rPr>
        <w:t xml:space="preserve"> </w:t>
      </w:r>
      <w:r w:rsidRPr="00423400" w:rsidR="008C3FEC">
        <w:rPr>
          <w:rFonts w:cs="Times New Roman"/>
          <w:szCs w:val="24"/>
        </w:rPr>
        <w:t>in</w:t>
      </w:r>
      <w:r w:rsidRPr="00423400" w:rsidR="00CD72D9">
        <w:rPr>
          <w:rFonts w:cs="Times New Roman"/>
          <w:szCs w:val="24"/>
        </w:rPr>
        <w:t xml:space="preserve"> </w:t>
      </w:r>
      <w:r w:rsidRPr="00423400" w:rsidR="008C3FEC">
        <w:rPr>
          <w:rFonts w:cs="Times New Roman"/>
          <w:szCs w:val="24"/>
        </w:rPr>
        <w:t>2018</w:t>
      </w:r>
      <w:r w:rsidRPr="00423400" w:rsidR="00CD72D9">
        <w:rPr>
          <w:rFonts w:cs="Times New Roman"/>
          <w:szCs w:val="24"/>
        </w:rPr>
        <w:t xml:space="preserve"> </w:t>
      </w:r>
      <w:r w:rsidRPr="00423400" w:rsidR="008C3FEC">
        <w:rPr>
          <w:rFonts w:cs="Times New Roman"/>
          <w:szCs w:val="24"/>
        </w:rPr>
        <w:t>were</w:t>
      </w:r>
      <w:r w:rsidRPr="00423400" w:rsidR="00CD72D9">
        <w:rPr>
          <w:rFonts w:cs="Times New Roman"/>
          <w:szCs w:val="24"/>
        </w:rPr>
        <w:t xml:space="preserve"> </w:t>
      </w:r>
      <w:r w:rsidRPr="00423400" w:rsidR="008C3FEC">
        <w:rPr>
          <w:rFonts w:cs="Times New Roman"/>
          <w:szCs w:val="24"/>
        </w:rPr>
        <w:t>in</w:t>
      </w:r>
      <w:r w:rsidRPr="00423400" w:rsidR="00CD72D9">
        <w:rPr>
          <w:rFonts w:cs="Times New Roman"/>
          <w:szCs w:val="24"/>
        </w:rPr>
        <w:t xml:space="preserve"> </w:t>
      </w:r>
      <w:r w:rsidRPr="00423400" w:rsidR="008C3FEC">
        <w:rPr>
          <w:rFonts w:cs="Times New Roman"/>
          <w:szCs w:val="24"/>
        </w:rPr>
        <w:t>effect.</w:t>
      </w:r>
      <w:r w:rsidRPr="00423400" w:rsidR="00CD72D9">
        <w:rPr>
          <w:rFonts w:cs="Times New Roman"/>
          <w:szCs w:val="24"/>
        </w:rPr>
        <w:t xml:space="preserve"> </w:t>
      </w:r>
      <w:r w:rsidRPr="00423400" w:rsidR="008C3FEC">
        <w:rPr>
          <w:rFonts w:cs="Times New Roman"/>
          <w:szCs w:val="24"/>
        </w:rPr>
        <w:t>Thus,</w:t>
      </w:r>
      <w:r w:rsidRPr="00423400" w:rsidR="00CD72D9">
        <w:rPr>
          <w:rFonts w:cs="Times New Roman"/>
          <w:szCs w:val="24"/>
        </w:rPr>
        <w:t xml:space="preserve"> </w:t>
      </w:r>
      <w:r w:rsidRPr="00423400" w:rsidR="008C3FEC">
        <w:rPr>
          <w:rFonts w:cs="Times New Roman"/>
          <w:szCs w:val="24"/>
        </w:rPr>
        <w:t>the</w:t>
      </w:r>
      <w:r w:rsidRPr="00423400" w:rsidR="00CD72D9">
        <w:rPr>
          <w:rFonts w:cs="Times New Roman"/>
          <w:szCs w:val="24"/>
        </w:rPr>
        <w:t xml:space="preserve"> </w:t>
      </w:r>
      <w:r w:rsidRPr="00423400" w:rsidR="008C3FEC">
        <w:rPr>
          <w:rFonts w:cs="Times New Roman"/>
          <w:szCs w:val="24"/>
        </w:rPr>
        <w:t>PUCO</w:t>
      </w:r>
      <w:r w:rsidRPr="00423400" w:rsidR="00CD72D9">
        <w:rPr>
          <w:rFonts w:cs="Times New Roman"/>
          <w:szCs w:val="24"/>
        </w:rPr>
        <w:t xml:space="preserve"> </w:t>
      </w:r>
      <w:r w:rsidRPr="00423400" w:rsidR="008C3FEC">
        <w:rPr>
          <w:rFonts w:cs="Times New Roman"/>
          <w:szCs w:val="24"/>
        </w:rPr>
        <w:t>is</w:t>
      </w:r>
      <w:r w:rsidRPr="00423400" w:rsidR="00CD72D9">
        <w:rPr>
          <w:rFonts w:cs="Times New Roman"/>
          <w:szCs w:val="24"/>
        </w:rPr>
        <w:t xml:space="preserve"> </w:t>
      </w:r>
      <w:r w:rsidRPr="00423400" w:rsidR="008C3FEC">
        <w:rPr>
          <w:rFonts w:cs="Times New Roman"/>
          <w:szCs w:val="24"/>
        </w:rPr>
        <w:t>required</w:t>
      </w:r>
      <w:r w:rsidRPr="00423400" w:rsidR="00CD72D9">
        <w:rPr>
          <w:rFonts w:cs="Times New Roman"/>
          <w:szCs w:val="24"/>
        </w:rPr>
        <w:t xml:space="preserve"> </w:t>
      </w:r>
      <w:r w:rsidRPr="00423400" w:rsidR="008C3FEC">
        <w:rPr>
          <w:rFonts w:cs="Times New Roman"/>
          <w:szCs w:val="24"/>
        </w:rPr>
        <w:t>to</w:t>
      </w:r>
      <w:r w:rsidRPr="00423400" w:rsidR="00CD72D9">
        <w:rPr>
          <w:rFonts w:cs="Times New Roman"/>
          <w:szCs w:val="24"/>
        </w:rPr>
        <w:t xml:space="preserve"> </w:t>
      </w:r>
      <w:r w:rsidRPr="00423400" w:rsidR="008C3FEC">
        <w:rPr>
          <w:rFonts w:cs="Times New Roman"/>
          <w:szCs w:val="24"/>
        </w:rPr>
        <w:t>enforce</w:t>
      </w:r>
      <w:r w:rsidRPr="00423400" w:rsidR="00CD72D9">
        <w:rPr>
          <w:rFonts w:cs="Times New Roman"/>
          <w:szCs w:val="24"/>
        </w:rPr>
        <w:t xml:space="preserve"> </w:t>
      </w:r>
      <w:r w:rsidRPr="00423400" w:rsidR="008C3FEC">
        <w:rPr>
          <w:rFonts w:cs="Times New Roman"/>
          <w:szCs w:val="24"/>
        </w:rPr>
        <w:t>the Rate</w:t>
      </w:r>
      <w:r w:rsidRPr="00423400" w:rsidR="00CD72D9">
        <w:rPr>
          <w:rFonts w:cs="Times New Roman"/>
          <w:szCs w:val="24"/>
        </w:rPr>
        <w:t xml:space="preserve"> </w:t>
      </w:r>
      <w:r w:rsidRPr="00423400" w:rsidR="008C3FEC">
        <w:rPr>
          <w:rFonts w:cs="Times New Roman"/>
          <w:szCs w:val="24"/>
        </w:rPr>
        <w:t>Freeze</w:t>
      </w:r>
      <w:r w:rsidRPr="00423400" w:rsidR="00CD72D9">
        <w:rPr>
          <w:rFonts w:cs="Times New Roman"/>
          <w:szCs w:val="24"/>
        </w:rPr>
        <w:t xml:space="preserve"> </w:t>
      </w:r>
      <w:r w:rsidRPr="00423400" w:rsidR="008C3FEC">
        <w:rPr>
          <w:rFonts w:cs="Times New Roman"/>
          <w:szCs w:val="24"/>
        </w:rPr>
        <w:t>by</w:t>
      </w:r>
      <w:r w:rsidRPr="00423400" w:rsidR="00CD72D9">
        <w:rPr>
          <w:rFonts w:cs="Times New Roman"/>
          <w:szCs w:val="24"/>
        </w:rPr>
        <w:t xml:space="preserve"> </w:t>
      </w:r>
      <w:r w:rsidRPr="00423400" w:rsidR="008C3FEC">
        <w:rPr>
          <w:rFonts w:cs="Times New Roman"/>
          <w:szCs w:val="24"/>
        </w:rPr>
        <w:t>keeping</w:t>
      </w:r>
      <w:r w:rsidRPr="00423400" w:rsidR="00CD72D9">
        <w:rPr>
          <w:rFonts w:cs="Times New Roman"/>
          <w:szCs w:val="24"/>
        </w:rPr>
        <w:t xml:space="preserve"> </w:t>
      </w:r>
      <w:r w:rsidRPr="00423400" w:rsidR="008C3FEC">
        <w:rPr>
          <w:rFonts w:cs="Times New Roman"/>
          <w:szCs w:val="24"/>
        </w:rPr>
        <w:t>base</w:t>
      </w:r>
      <w:r w:rsidRPr="00423400" w:rsidR="00CD72D9">
        <w:rPr>
          <w:rFonts w:cs="Times New Roman"/>
          <w:szCs w:val="24"/>
        </w:rPr>
        <w:t xml:space="preserve"> </w:t>
      </w:r>
      <w:r w:rsidRPr="00423400" w:rsidR="008C3FEC">
        <w:rPr>
          <w:rFonts w:cs="Times New Roman"/>
          <w:szCs w:val="24"/>
        </w:rPr>
        <w:t>rates</w:t>
      </w:r>
      <w:r w:rsidRPr="00423400" w:rsidR="00CD72D9">
        <w:rPr>
          <w:rFonts w:cs="Times New Roman"/>
          <w:szCs w:val="24"/>
        </w:rPr>
        <w:t xml:space="preserve"> </w:t>
      </w:r>
      <w:r w:rsidRPr="00423400" w:rsidR="008C3FEC">
        <w:rPr>
          <w:rFonts w:cs="Times New Roman"/>
          <w:szCs w:val="24"/>
        </w:rPr>
        <w:t>at</w:t>
      </w:r>
      <w:r w:rsidRPr="00423400" w:rsidR="00CD72D9">
        <w:rPr>
          <w:rFonts w:cs="Times New Roman"/>
          <w:szCs w:val="24"/>
        </w:rPr>
        <w:t xml:space="preserve"> </w:t>
      </w:r>
      <w:r w:rsidRPr="00423400" w:rsidR="008C3FEC">
        <w:rPr>
          <w:rFonts w:cs="Times New Roman"/>
          <w:szCs w:val="24"/>
        </w:rPr>
        <w:t>2018</w:t>
      </w:r>
      <w:r w:rsidRPr="00423400" w:rsidR="00CD72D9">
        <w:rPr>
          <w:rFonts w:cs="Times New Roman"/>
          <w:szCs w:val="24"/>
        </w:rPr>
        <w:t xml:space="preserve"> </w:t>
      </w:r>
      <w:r w:rsidRPr="00423400" w:rsidR="008C3FEC">
        <w:rPr>
          <w:rFonts w:cs="Times New Roman"/>
          <w:szCs w:val="24"/>
        </w:rPr>
        <w:t>levels</w:t>
      </w:r>
      <w:r w:rsidRPr="00423400" w:rsidR="00CD72D9">
        <w:rPr>
          <w:rFonts w:cs="Times New Roman"/>
          <w:szCs w:val="24"/>
        </w:rPr>
        <w:t xml:space="preserve"> </w:t>
      </w:r>
      <w:r w:rsidRPr="00423400" w:rsidR="008C3FEC">
        <w:rPr>
          <w:rFonts w:cs="Times New Roman"/>
          <w:szCs w:val="24"/>
        </w:rPr>
        <w:t>for</w:t>
      </w:r>
      <w:r w:rsidRPr="00423400" w:rsidR="00CD72D9">
        <w:rPr>
          <w:rFonts w:cs="Times New Roman"/>
          <w:szCs w:val="24"/>
        </w:rPr>
        <w:t xml:space="preserve"> </w:t>
      </w:r>
      <w:r w:rsidRPr="00423400" w:rsidR="008C3FEC">
        <w:rPr>
          <w:rFonts w:cs="Times New Roman"/>
          <w:szCs w:val="24"/>
        </w:rPr>
        <w:t>as</w:t>
      </w:r>
      <w:r w:rsidRPr="00423400" w:rsidR="00CD72D9">
        <w:rPr>
          <w:rFonts w:cs="Times New Roman"/>
          <w:szCs w:val="24"/>
        </w:rPr>
        <w:t xml:space="preserve"> </w:t>
      </w:r>
      <w:r w:rsidRPr="00423400" w:rsidR="008C3FEC">
        <w:rPr>
          <w:rFonts w:cs="Times New Roman"/>
          <w:szCs w:val="24"/>
        </w:rPr>
        <w:t>long</w:t>
      </w:r>
      <w:r w:rsidRPr="00423400" w:rsidR="00CD72D9">
        <w:rPr>
          <w:rFonts w:cs="Times New Roman"/>
          <w:szCs w:val="24"/>
        </w:rPr>
        <w:t xml:space="preserve"> </w:t>
      </w:r>
      <w:r w:rsidRPr="00423400" w:rsidR="008C3FEC">
        <w:rPr>
          <w:rFonts w:cs="Times New Roman"/>
          <w:szCs w:val="24"/>
        </w:rPr>
        <w:t>as</w:t>
      </w:r>
      <w:r w:rsidRPr="00423400" w:rsidR="00CD72D9">
        <w:rPr>
          <w:rFonts w:cs="Times New Roman"/>
          <w:szCs w:val="24"/>
        </w:rPr>
        <w:t xml:space="preserve"> </w:t>
      </w:r>
      <w:r w:rsidRPr="00423400" w:rsidR="008C3FEC">
        <w:rPr>
          <w:rFonts w:cs="Times New Roman"/>
          <w:szCs w:val="24"/>
        </w:rPr>
        <w:t>ESP</w:t>
      </w:r>
      <w:r w:rsidRPr="00423400" w:rsidR="00CD72D9">
        <w:rPr>
          <w:rFonts w:cs="Times New Roman"/>
          <w:szCs w:val="24"/>
        </w:rPr>
        <w:t xml:space="preserve"> </w:t>
      </w:r>
      <w:r w:rsidRPr="00423400">
        <w:rPr>
          <w:rFonts w:cs="Times New Roman"/>
          <w:szCs w:val="24"/>
        </w:rPr>
        <w:t>I</w:t>
      </w:r>
      <w:r w:rsidRPr="00423400" w:rsidR="00CD72D9">
        <w:rPr>
          <w:rFonts w:cs="Times New Roman"/>
          <w:szCs w:val="24"/>
        </w:rPr>
        <w:t xml:space="preserve"> </w:t>
      </w:r>
      <w:r w:rsidRPr="00423400" w:rsidR="008C3FEC">
        <w:rPr>
          <w:rFonts w:cs="Times New Roman"/>
          <w:szCs w:val="24"/>
        </w:rPr>
        <w:t>remains</w:t>
      </w:r>
      <w:r w:rsidRPr="00423400" w:rsidR="00CD72D9">
        <w:rPr>
          <w:rFonts w:cs="Times New Roman"/>
          <w:szCs w:val="24"/>
        </w:rPr>
        <w:t xml:space="preserve"> </w:t>
      </w:r>
      <w:r w:rsidRPr="00423400" w:rsidR="008C3FEC">
        <w:rPr>
          <w:rFonts w:cs="Times New Roman"/>
          <w:szCs w:val="24"/>
        </w:rPr>
        <w:t>in</w:t>
      </w:r>
      <w:r w:rsidRPr="00423400" w:rsidR="00CD72D9">
        <w:rPr>
          <w:rFonts w:cs="Times New Roman"/>
          <w:szCs w:val="24"/>
        </w:rPr>
        <w:t xml:space="preserve"> </w:t>
      </w:r>
      <w:r w:rsidRPr="00423400" w:rsidR="008C3FEC">
        <w:rPr>
          <w:rFonts w:cs="Times New Roman"/>
          <w:szCs w:val="24"/>
        </w:rPr>
        <w:t xml:space="preserve">effect. </w:t>
      </w:r>
    </w:p>
    <w:p w:rsidR="00B351E9" w:rsidRPr="00423400" w:rsidP="0012105E" w14:paraId="5EBE6B8B" w14:textId="77777777">
      <w:pPr>
        <w:spacing w:after="0" w:line="480" w:lineRule="auto"/>
        <w:ind w:firstLine="720"/>
        <w:rPr>
          <w:rFonts w:cs="Times New Roman"/>
          <w:szCs w:val="24"/>
        </w:rPr>
      </w:pPr>
      <w:r w:rsidRPr="00423400">
        <w:rPr>
          <w:rFonts w:cs="Times New Roman"/>
          <w:szCs w:val="24"/>
        </w:rPr>
        <w:t>DP&amp;L signed</w:t>
      </w:r>
      <w:r w:rsidRPr="00423400" w:rsidR="00CD72D9">
        <w:rPr>
          <w:rFonts w:cs="Times New Roman"/>
          <w:szCs w:val="24"/>
        </w:rPr>
        <w:t xml:space="preserve"> </w:t>
      </w:r>
      <w:r w:rsidRPr="00423400">
        <w:rPr>
          <w:rFonts w:cs="Times New Roman"/>
          <w:szCs w:val="24"/>
        </w:rPr>
        <w:t>a</w:t>
      </w:r>
      <w:r w:rsidRPr="00423400" w:rsidR="00CD72D9">
        <w:rPr>
          <w:rFonts w:cs="Times New Roman"/>
          <w:szCs w:val="24"/>
        </w:rPr>
        <w:t xml:space="preserve"> </w:t>
      </w:r>
      <w:r w:rsidRPr="00423400">
        <w:rPr>
          <w:rFonts w:cs="Times New Roman"/>
          <w:szCs w:val="24"/>
        </w:rPr>
        <w:t>settlement</w:t>
      </w:r>
      <w:r w:rsidRPr="00423400" w:rsidR="00CD72D9">
        <w:rPr>
          <w:rFonts w:cs="Times New Roman"/>
          <w:szCs w:val="24"/>
        </w:rPr>
        <w:t xml:space="preserve"> </w:t>
      </w:r>
      <w:r w:rsidRPr="00423400">
        <w:rPr>
          <w:rFonts w:cs="Times New Roman"/>
          <w:szCs w:val="24"/>
        </w:rPr>
        <w:t>agreeing</w:t>
      </w:r>
      <w:r w:rsidRPr="00423400" w:rsidR="00CD72D9">
        <w:rPr>
          <w:rFonts w:cs="Times New Roman"/>
          <w:szCs w:val="24"/>
        </w:rPr>
        <w:t xml:space="preserve"> </w:t>
      </w:r>
      <w:r w:rsidRPr="00423400">
        <w:rPr>
          <w:rFonts w:cs="Times New Roman"/>
          <w:szCs w:val="24"/>
        </w:rPr>
        <w:t>to</w:t>
      </w:r>
      <w:r w:rsidRPr="00423400" w:rsidR="00CD72D9">
        <w:rPr>
          <w:rFonts w:cs="Times New Roman"/>
          <w:szCs w:val="24"/>
        </w:rPr>
        <w:t xml:space="preserve"> </w:t>
      </w:r>
      <w:r w:rsidRPr="00423400">
        <w:rPr>
          <w:rFonts w:cs="Times New Roman"/>
          <w:szCs w:val="24"/>
        </w:rPr>
        <w:t>many</w:t>
      </w:r>
      <w:r w:rsidRPr="00423400" w:rsidR="00CD72D9">
        <w:rPr>
          <w:rFonts w:cs="Times New Roman"/>
          <w:szCs w:val="24"/>
        </w:rPr>
        <w:t xml:space="preserve"> </w:t>
      </w:r>
      <w:r w:rsidRPr="00423400">
        <w:rPr>
          <w:rFonts w:cs="Times New Roman"/>
          <w:szCs w:val="24"/>
        </w:rPr>
        <w:t>terms</w:t>
      </w:r>
      <w:r w:rsidRPr="00423400" w:rsidR="00CD72D9">
        <w:rPr>
          <w:rFonts w:cs="Times New Roman"/>
          <w:szCs w:val="24"/>
        </w:rPr>
        <w:t xml:space="preserve"> </w:t>
      </w:r>
      <w:r w:rsidRPr="00423400">
        <w:rPr>
          <w:rFonts w:cs="Times New Roman"/>
          <w:szCs w:val="24"/>
        </w:rPr>
        <w:t>and</w:t>
      </w:r>
      <w:r w:rsidRPr="00423400" w:rsidR="00CD72D9">
        <w:rPr>
          <w:rFonts w:cs="Times New Roman"/>
          <w:szCs w:val="24"/>
        </w:rPr>
        <w:t xml:space="preserve"> </w:t>
      </w:r>
      <w:r w:rsidRPr="00423400">
        <w:rPr>
          <w:rFonts w:cs="Times New Roman"/>
          <w:szCs w:val="24"/>
        </w:rPr>
        <w:t>conditions,</w:t>
      </w:r>
      <w:r w:rsidRPr="00423400" w:rsidR="00CD72D9">
        <w:rPr>
          <w:rFonts w:cs="Times New Roman"/>
          <w:szCs w:val="24"/>
        </w:rPr>
        <w:t xml:space="preserve"> </w:t>
      </w:r>
      <w:r w:rsidRPr="00423400">
        <w:rPr>
          <w:rFonts w:cs="Times New Roman"/>
          <w:szCs w:val="24"/>
        </w:rPr>
        <w:t>including</w:t>
      </w:r>
      <w:r w:rsidRPr="00423400" w:rsidR="00CD72D9">
        <w:rPr>
          <w:rFonts w:cs="Times New Roman"/>
          <w:szCs w:val="24"/>
        </w:rPr>
        <w:t xml:space="preserve"> </w:t>
      </w:r>
      <w:r w:rsidRPr="00423400">
        <w:rPr>
          <w:rFonts w:cs="Times New Roman"/>
          <w:szCs w:val="24"/>
        </w:rPr>
        <w:t>a</w:t>
      </w:r>
      <w:r w:rsidRPr="00423400" w:rsidR="00CD72D9">
        <w:rPr>
          <w:rFonts w:cs="Times New Roman"/>
          <w:szCs w:val="24"/>
        </w:rPr>
        <w:t xml:space="preserve"> </w:t>
      </w:r>
      <w:r w:rsidRPr="00423400">
        <w:rPr>
          <w:rFonts w:cs="Times New Roman"/>
          <w:szCs w:val="24"/>
        </w:rPr>
        <w:t>Rate Stabilization</w:t>
      </w:r>
      <w:r w:rsidRPr="00423400" w:rsidR="00CD72D9">
        <w:rPr>
          <w:rFonts w:cs="Times New Roman"/>
          <w:szCs w:val="24"/>
        </w:rPr>
        <w:t xml:space="preserve"> </w:t>
      </w:r>
      <w:r w:rsidRPr="00423400">
        <w:rPr>
          <w:rFonts w:cs="Times New Roman"/>
          <w:szCs w:val="24"/>
        </w:rPr>
        <w:t>Charge</w:t>
      </w:r>
      <w:r w:rsidRPr="00423400" w:rsidR="00CD72D9">
        <w:rPr>
          <w:rFonts w:cs="Times New Roman"/>
          <w:szCs w:val="24"/>
        </w:rPr>
        <w:t xml:space="preserve"> </w:t>
      </w:r>
      <w:r w:rsidRPr="00423400">
        <w:rPr>
          <w:rFonts w:cs="Times New Roman"/>
          <w:szCs w:val="24"/>
        </w:rPr>
        <w:t>and</w:t>
      </w:r>
      <w:r w:rsidRPr="00423400" w:rsidR="00CD72D9">
        <w:rPr>
          <w:rFonts w:cs="Times New Roman"/>
          <w:szCs w:val="24"/>
        </w:rPr>
        <w:t xml:space="preserve"> </w:t>
      </w:r>
      <w:r w:rsidRPr="00423400">
        <w:rPr>
          <w:rFonts w:cs="Times New Roman"/>
          <w:szCs w:val="24"/>
        </w:rPr>
        <w:t>a</w:t>
      </w:r>
      <w:r w:rsidRPr="00423400" w:rsidR="00CD72D9">
        <w:rPr>
          <w:rFonts w:cs="Times New Roman"/>
          <w:szCs w:val="24"/>
        </w:rPr>
        <w:t xml:space="preserve"> </w:t>
      </w:r>
      <w:r w:rsidRPr="00423400">
        <w:rPr>
          <w:rFonts w:cs="Times New Roman"/>
          <w:szCs w:val="24"/>
        </w:rPr>
        <w:t>rate</w:t>
      </w:r>
      <w:r w:rsidRPr="00423400" w:rsidR="00CD72D9">
        <w:rPr>
          <w:rFonts w:cs="Times New Roman"/>
          <w:szCs w:val="24"/>
        </w:rPr>
        <w:t xml:space="preserve"> </w:t>
      </w:r>
      <w:r w:rsidRPr="00423400">
        <w:rPr>
          <w:rFonts w:cs="Times New Roman"/>
          <w:szCs w:val="24"/>
        </w:rPr>
        <w:t>freeze</w:t>
      </w:r>
      <w:r w:rsidRPr="00423400" w:rsidR="00CD72D9">
        <w:rPr>
          <w:rFonts w:cs="Times New Roman"/>
          <w:szCs w:val="24"/>
        </w:rPr>
        <w:t xml:space="preserve"> </w:t>
      </w:r>
      <w:r w:rsidRPr="00423400">
        <w:rPr>
          <w:rFonts w:cs="Times New Roman"/>
          <w:szCs w:val="24"/>
        </w:rPr>
        <w:t>for</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duration</w:t>
      </w:r>
      <w:r w:rsidRPr="00423400" w:rsidR="00CD72D9">
        <w:rPr>
          <w:rFonts w:cs="Times New Roman"/>
          <w:szCs w:val="24"/>
        </w:rPr>
        <w:t xml:space="preserve"> </w:t>
      </w:r>
      <w:r w:rsidRPr="00423400">
        <w:rPr>
          <w:rFonts w:cs="Times New Roman"/>
          <w:szCs w:val="24"/>
        </w:rPr>
        <w:t>of</w:t>
      </w:r>
      <w:r w:rsidRPr="00423400" w:rsidR="00CD72D9">
        <w:rPr>
          <w:rFonts w:cs="Times New Roman"/>
          <w:szCs w:val="24"/>
        </w:rPr>
        <w:t xml:space="preserve"> </w:t>
      </w:r>
      <w:r w:rsidRPr="00423400">
        <w:rPr>
          <w:rFonts w:cs="Times New Roman"/>
          <w:szCs w:val="24"/>
        </w:rPr>
        <w:t>its</w:t>
      </w:r>
      <w:r w:rsidRPr="00423400" w:rsidR="00CD72D9">
        <w:rPr>
          <w:rFonts w:cs="Times New Roman"/>
          <w:szCs w:val="24"/>
        </w:rPr>
        <w:t xml:space="preserve"> </w:t>
      </w:r>
      <w:r w:rsidRPr="00423400">
        <w:rPr>
          <w:rFonts w:cs="Times New Roman"/>
          <w:szCs w:val="24"/>
        </w:rPr>
        <w:t>ESP</w:t>
      </w:r>
      <w:r w:rsidRPr="00423400" w:rsidR="00CD72D9">
        <w:rPr>
          <w:rFonts w:cs="Times New Roman"/>
          <w:szCs w:val="24"/>
        </w:rPr>
        <w:t xml:space="preserve"> </w:t>
      </w:r>
      <w:r w:rsidRPr="00423400">
        <w:rPr>
          <w:rFonts w:cs="Times New Roman"/>
          <w:szCs w:val="24"/>
        </w:rPr>
        <w:t>1.</w:t>
      </w:r>
      <w:r w:rsidRPr="00423400" w:rsidR="00CD72D9">
        <w:rPr>
          <w:rFonts w:cs="Times New Roman"/>
          <w:szCs w:val="24"/>
        </w:rPr>
        <w:t xml:space="preserve"> </w:t>
      </w:r>
      <w:r w:rsidRPr="00423400">
        <w:rPr>
          <w:rFonts w:cs="Times New Roman"/>
          <w:szCs w:val="24"/>
        </w:rPr>
        <w:t>Now,</w:t>
      </w:r>
      <w:r w:rsidRPr="00423400" w:rsidR="00CD72D9">
        <w:rPr>
          <w:rFonts w:cs="Times New Roman"/>
          <w:szCs w:val="24"/>
        </w:rPr>
        <w:t xml:space="preserve"> </w:t>
      </w:r>
      <w:r w:rsidRPr="00423400">
        <w:rPr>
          <w:rFonts w:cs="Times New Roman"/>
          <w:szCs w:val="24"/>
        </w:rPr>
        <w:t>almost</w:t>
      </w:r>
      <w:r w:rsidRPr="00423400" w:rsidR="00CD72D9">
        <w:rPr>
          <w:rFonts w:cs="Times New Roman"/>
          <w:szCs w:val="24"/>
        </w:rPr>
        <w:t xml:space="preserve"> </w:t>
      </w:r>
      <w:r w:rsidRPr="00423400">
        <w:rPr>
          <w:rFonts w:cs="Times New Roman"/>
          <w:szCs w:val="24"/>
        </w:rPr>
        <w:t>a</w:t>
      </w:r>
      <w:r w:rsidRPr="00423400" w:rsidR="00CD72D9">
        <w:rPr>
          <w:rFonts w:cs="Times New Roman"/>
          <w:szCs w:val="24"/>
        </w:rPr>
        <w:t xml:space="preserve"> </w:t>
      </w:r>
      <w:r w:rsidRPr="00423400">
        <w:rPr>
          <w:rFonts w:cs="Times New Roman"/>
          <w:szCs w:val="24"/>
        </w:rPr>
        <w:t>decade</w:t>
      </w:r>
      <w:r w:rsidRPr="00423400" w:rsidR="00CD72D9">
        <w:rPr>
          <w:rFonts w:cs="Times New Roman"/>
          <w:szCs w:val="24"/>
        </w:rPr>
        <w:t xml:space="preserve"> </w:t>
      </w:r>
      <w:r w:rsidRPr="00423400">
        <w:rPr>
          <w:rFonts w:cs="Times New Roman"/>
          <w:szCs w:val="24"/>
        </w:rPr>
        <w:t>later, consumers</w:t>
      </w:r>
      <w:r w:rsidRPr="00423400" w:rsidR="00CD72D9">
        <w:rPr>
          <w:rFonts w:cs="Times New Roman"/>
          <w:szCs w:val="24"/>
        </w:rPr>
        <w:t xml:space="preserve"> </w:t>
      </w:r>
      <w:r w:rsidRPr="00423400">
        <w:rPr>
          <w:rFonts w:cs="Times New Roman"/>
          <w:szCs w:val="24"/>
        </w:rPr>
        <w:t>are</w:t>
      </w:r>
      <w:r w:rsidRPr="00423400" w:rsidR="00CD72D9">
        <w:rPr>
          <w:rFonts w:cs="Times New Roman"/>
          <w:szCs w:val="24"/>
        </w:rPr>
        <w:t xml:space="preserve"> </w:t>
      </w:r>
      <w:r w:rsidRPr="00423400">
        <w:rPr>
          <w:rFonts w:cs="Times New Roman"/>
          <w:szCs w:val="24"/>
        </w:rPr>
        <w:t>still</w:t>
      </w:r>
      <w:r w:rsidRPr="00423400" w:rsidR="00CD72D9">
        <w:rPr>
          <w:rFonts w:cs="Times New Roman"/>
          <w:szCs w:val="24"/>
        </w:rPr>
        <w:t xml:space="preserve"> </w:t>
      </w:r>
      <w:r w:rsidRPr="00423400">
        <w:rPr>
          <w:rFonts w:cs="Times New Roman"/>
          <w:szCs w:val="24"/>
        </w:rPr>
        <w:t>bailing</w:t>
      </w:r>
      <w:r w:rsidRPr="00423400" w:rsidR="00CD72D9">
        <w:rPr>
          <w:rFonts w:cs="Times New Roman"/>
          <w:szCs w:val="24"/>
        </w:rPr>
        <w:t xml:space="preserve"> </w:t>
      </w:r>
      <w:r w:rsidRPr="00423400">
        <w:rPr>
          <w:rFonts w:cs="Times New Roman"/>
          <w:szCs w:val="24"/>
        </w:rPr>
        <w:t>DP&amp;L</w:t>
      </w:r>
      <w:r w:rsidRPr="00423400" w:rsidR="00CD72D9">
        <w:rPr>
          <w:rFonts w:cs="Times New Roman"/>
          <w:szCs w:val="24"/>
        </w:rPr>
        <w:t xml:space="preserve"> </w:t>
      </w:r>
      <w:r w:rsidRPr="00423400">
        <w:rPr>
          <w:rFonts w:cs="Times New Roman"/>
          <w:szCs w:val="24"/>
        </w:rPr>
        <w:t>out</w:t>
      </w:r>
      <w:r w:rsidRPr="00423400" w:rsidR="00CD72D9">
        <w:rPr>
          <w:rFonts w:cs="Times New Roman"/>
          <w:szCs w:val="24"/>
        </w:rPr>
        <w:t xml:space="preserve"> </w:t>
      </w:r>
      <w:r w:rsidRPr="00423400">
        <w:rPr>
          <w:rFonts w:cs="Times New Roman"/>
          <w:szCs w:val="24"/>
        </w:rPr>
        <w:t>by</w:t>
      </w:r>
      <w:r w:rsidRPr="00423400" w:rsidR="00CD72D9">
        <w:rPr>
          <w:rFonts w:cs="Times New Roman"/>
          <w:szCs w:val="24"/>
        </w:rPr>
        <w:t xml:space="preserve"> </w:t>
      </w:r>
      <w:r w:rsidRPr="00423400">
        <w:rPr>
          <w:rFonts w:cs="Times New Roman"/>
          <w:szCs w:val="24"/>
        </w:rPr>
        <w:t>paying</w:t>
      </w:r>
      <w:r w:rsidRPr="00423400" w:rsidR="00CD72D9">
        <w:rPr>
          <w:rFonts w:cs="Times New Roman"/>
          <w:szCs w:val="24"/>
        </w:rPr>
        <w:t xml:space="preserve"> </w:t>
      </w:r>
      <w:r w:rsidRPr="00423400">
        <w:rPr>
          <w:rFonts w:cs="Times New Roman"/>
          <w:szCs w:val="24"/>
        </w:rPr>
        <w:t>the</w:t>
      </w:r>
      <w:r w:rsidRPr="00423400" w:rsidR="00CD72D9">
        <w:rPr>
          <w:rFonts w:cs="Times New Roman"/>
          <w:szCs w:val="24"/>
        </w:rPr>
        <w:t xml:space="preserve"> </w:t>
      </w:r>
      <w:r w:rsidRPr="00423400">
        <w:rPr>
          <w:rFonts w:cs="Times New Roman"/>
          <w:szCs w:val="24"/>
        </w:rPr>
        <w:t>2009</w:t>
      </w:r>
      <w:r w:rsidRPr="00423400" w:rsidR="00CD72D9">
        <w:rPr>
          <w:rFonts w:cs="Times New Roman"/>
          <w:szCs w:val="24"/>
        </w:rPr>
        <w:t xml:space="preserve"> </w:t>
      </w:r>
      <w:r w:rsidRPr="00423400">
        <w:rPr>
          <w:rFonts w:cs="Times New Roman"/>
          <w:szCs w:val="24"/>
        </w:rPr>
        <w:t>Rate</w:t>
      </w:r>
      <w:r w:rsidRPr="00423400" w:rsidR="00CD72D9">
        <w:rPr>
          <w:rFonts w:cs="Times New Roman"/>
          <w:szCs w:val="24"/>
        </w:rPr>
        <w:t xml:space="preserve"> </w:t>
      </w:r>
      <w:r w:rsidRPr="00423400">
        <w:rPr>
          <w:rFonts w:cs="Times New Roman"/>
          <w:szCs w:val="24"/>
        </w:rPr>
        <w:t>Stabilization</w:t>
      </w:r>
      <w:r w:rsidRPr="00423400" w:rsidR="00CD72D9">
        <w:rPr>
          <w:rFonts w:cs="Times New Roman"/>
          <w:szCs w:val="24"/>
        </w:rPr>
        <w:t xml:space="preserve"> </w:t>
      </w:r>
      <w:r w:rsidRPr="00423400">
        <w:rPr>
          <w:rFonts w:cs="Times New Roman"/>
          <w:szCs w:val="24"/>
        </w:rPr>
        <w:t>Charge.</w:t>
      </w:r>
      <w:r w:rsidRPr="00423400" w:rsidR="00CD72D9">
        <w:rPr>
          <w:rFonts w:cs="Times New Roman"/>
          <w:szCs w:val="24"/>
        </w:rPr>
        <w:t xml:space="preserve"> </w:t>
      </w:r>
      <w:r w:rsidRPr="00423400">
        <w:rPr>
          <w:rFonts w:cs="Times New Roman"/>
          <w:szCs w:val="24"/>
        </w:rPr>
        <w:t>DP&amp;L</w:t>
      </w:r>
      <w:r w:rsidRPr="00423400" w:rsidR="00CD72D9">
        <w:rPr>
          <w:rFonts w:cs="Times New Roman"/>
          <w:szCs w:val="24"/>
        </w:rPr>
        <w:t xml:space="preserve"> </w:t>
      </w:r>
      <w:r w:rsidRPr="00423400">
        <w:rPr>
          <w:rFonts w:cs="Times New Roman"/>
          <w:szCs w:val="24"/>
        </w:rPr>
        <w:t>has gotten</w:t>
      </w:r>
      <w:r w:rsidRPr="00423400" w:rsidR="00CD72D9">
        <w:rPr>
          <w:rFonts w:cs="Times New Roman"/>
          <w:szCs w:val="24"/>
        </w:rPr>
        <w:t xml:space="preserve"> </w:t>
      </w:r>
      <w:r w:rsidRPr="00423400">
        <w:rPr>
          <w:rFonts w:cs="Times New Roman"/>
          <w:szCs w:val="24"/>
        </w:rPr>
        <w:t>far</w:t>
      </w:r>
      <w:r w:rsidRPr="00423400" w:rsidR="00CD72D9">
        <w:rPr>
          <w:rFonts w:cs="Times New Roman"/>
          <w:szCs w:val="24"/>
        </w:rPr>
        <w:t xml:space="preserve"> </w:t>
      </w:r>
      <w:r w:rsidRPr="00423400">
        <w:rPr>
          <w:rFonts w:cs="Times New Roman"/>
          <w:szCs w:val="24"/>
        </w:rPr>
        <w:t>more</w:t>
      </w:r>
      <w:r w:rsidRPr="00423400" w:rsidR="00CD72D9">
        <w:rPr>
          <w:rFonts w:cs="Times New Roman"/>
          <w:szCs w:val="24"/>
        </w:rPr>
        <w:t xml:space="preserve"> </w:t>
      </w:r>
      <w:r w:rsidRPr="00423400">
        <w:rPr>
          <w:rFonts w:cs="Times New Roman"/>
          <w:szCs w:val="24"/>
        </w:rPr>
        <w:t>from</w:t>
      </w:r>
      <w:r w:rsidRPr="00423400" w:rsidR="00CD72D9">
        <w:rPr>
          <w:rFonts w:cs="Times New Roman"/>
          <w:szCs w:val="24"/>
        </w:rPr>
        <w:t xml:space="preserve"> </w:t>
      </w:r>
      <w:r w:rsidRPr="00423400">
        <w:rPr>
          <w:rFonts w:cs="Times New Roman"/>
          <w:szCs w:val="24"/>
        </w:rPr>
        <w:t>consumers</w:t>
      </w:r>
      <w:r w:rsidRPr="00423400" w:rsidR="00CD72D9">
        <w:rPr>
          <w:rFonts w:cs="Times New Roman"/>
          <w:szCs w:val="24"/>
        </w:rPr>
        <w:t xml:space="preserve"> </w:t>
      </w:r>
      <w:r w:rsidRPr="00423400">
        <w:rPr>
          <w:rFonts w:cs="Times New Roman"/>
          <w:szCs w:val="24"/>
        </w:rPr>
        <w:t>than</w:t>
      </w:r>
      <w:r w:rsidRPr="00423400" w:rsidR="00CD72D9">
        <w:rPr>
          <w:rFonts w:cs="Times New Roman"/>
          <w:szCs w:val="24"/>
        </w:rPr>
        <w:t xml:space="preserve"> </w:t>
      </w:r>
      <w:r w:rsidRPr="00423400">
        <w:rPr>
          <w:rFonts w:cs="Times New Roman"/>
          <w:szCs w:val="24"/>
        </w:rPr>
        <w:t>it</w:t>
      </w:r>
      <w:r w:rsidRPr="00423400" w:rsidR="00CD72D9">
        <w:rPr>
          <w:rFonts w:cs="Times New Roman"/>
          <w:szCs w:val="24"/>
        </w:rPr>
        <w:t xml:space="preserve"> </w:t>
      </w:r>
      <w:r w:rsidRPr="00423400">
        <w:rPr>
          <w:rFonts w:cs="Times New Roman"/>
          <w:szCs w:val="24"/>
        </w:rPr>
        <w:t>ever</w:t>
      </w:r>
      <w:r w:rsidRPr="00423400" w:rsidR="00CD72D9">
        <w:rPr>
          <w:rFonts w:cs="Times New Roman"/>
          <w:szCs w:val="24"/>
        </w:rPr>
        <w:t xml:space="preserve"> </w:t>
      </w:r>
      <w:r w:rsidRPr="00423400">
        <w:rPr>
          <w:rFonts w:cs="Times New Roman"/>
          <w:szCs w:val="24"/>
        </w:rPr>
        <w:t>bargained</w:t>
      </w:r>
      <w:r w:rsidRPr="00423400" w:rsidR="00CD72D9">
        <w:rPr>
          <w:rFonts w:cs="Times New Roman"/>
          <w:szCs w:val="24"/>
        </w:rPr>
        <w:t xml:space="preserve"> </w:t>
      </w:r>
      <w:r w:rsidRPr="00423400">
        <w:rPr>
          <w:rFonts w:cs="Times New Roman"/>
          <w:szCs w:val="24"/>
        </w:rPr>
        <w:t>for.</w:t>
      </w:r>
      <w:r w:rsidRPr="00423400" w:rsidR="00CD72D9">
        <w:rPr>
          <w:rFonts w:cs="Times New Roman"/>
          <w:szCs w:val="24"/>
        </w:rPr>
        <w:t xml:space="preserve"> </w:t>
      </w:r>
      <w:r w:rsidRPr="00423400">
        <w:rPr>
          <w:rFonts w:cs="Times New Roman"/>
          <w:szCs w:val="24"/>
        </w:rPr>
        <w:t>Now,</w:t>
      </w:r>
      <w:r w:rsidRPr="00423400" w:rsidR="00CD72D9">
        <w:rPr>
          <w:rFonts w:cs="Times New Roman"/>
          <w:szCs w:val="24"/>
        </w:rPr>
        <w:t xml:space="preserve"> </w:t>
      </w:r>
      <w:r w:rsidRPr="00423400">
        <w:rPr>
          <w:rFonts w:cs="Times New Roman"/>
          <w:szCs w:val="24"/>
        </w:rPr>
        <w:t>for</w:t>
      </w:r>
      <w:r w:rsidRPr="00423400" w:rsidR="00CD72D9">
        <w:rPr>
          <w:rFonts w:cs="Times New Roman"/>
          <w:szCs w:val="24"/>
        </w:rPr>
        <w:t xml:space="preserve"> </w:t>
      </w:r>
      <w:r w:rsidRPr="00423400">
        <w:rPr>
          <w:rFonts w:cs="Times New Roman"/>
          <w:szCs w:val="24"/>
        </w:rPr>
        <w:t>once,</w:t>
      </w:r>
      <w:r w:rsidRPr="00423400" w:rsidR="00CD72D9">
        <w:rPr>
          <w:rFonts w:cs="Times New Roman"/>
          <w:szCs w:val="24"/>
        </w:rPr>
        <w:t xml:space="preserve"> </w:t>
      </w:r>
      <w:r w:rsidRPr="00423400">
        <w:rPr>
          <w:rFonts w:cs="Times New Roman"/>
          <w:szCs w:val="24"/>
        </w:rPr>
        <w:t>it</w:t>
      </w:r>
      <w:r w:rsidRPr="00423400" w:rsidR="00CD72D9">
        <w:rPr>
          <w:rFonts w:cs="Times New Roman"/>
          <w:szCs w:val="24"/>
        </w:rPr>
        <w:t xml:space="preserve"> </w:t>
      </w:r>
      <w:r w:rsidRPr="00423400">
        <w:rPr>
          <w:rFonts w:cs="Times New Roman"/>
          <w:szCs w:val="24"/>
        </w:rPr>
        <w:t>is</w:t>
      </w:r>
      <w:r w:rsidRPr="00423400" w:rsidR="00CD72D9">
        <w:rPr>
          <w:rFonts w:cs="Times New Roman"/>
          <w:szCs w:val="24"/>
        </w:rPr>
        <w:t xml:space="preserve"> </w:t>
      </w:r>
      <w:r w:rsidRPr="00423400">
        <w:rPr>
          <w:rFonts w:cs="Times New Roman"/>
          <w:szCs w:val="24"/>
        </w:rPr>
        <w:t>time</w:t>
      </w:r>
      <w:r w:rsidRPr="00423400" w:rsidR="00CD72D9">
        <w:rPr>
          <w:rFonts w:cs="Times New Roman"/>
          <w:szCs w:val="24"/>
        </w:rPr>
        <w:t xml:space="preserve"> </w:t>
      </w:r>
      <w:r w:rsidRPr="00423400">
        <w:rPr>
          <w:rFonts w:cs="Times New Roman"/>
          <w:szCs w:val="24"/>
        </w:rPr>
        <w:t xml:space="preserve">for </w:t>
      </w:r>
      <w:r w:rsidRPr="00423400" w:rsidR="000D3CE4">
        <w:rPr>
          <w:rFonts w:cs="Times New Roman"/>
          <w:szCs w:val="24"/>
        </w:rPr>
        <w:t>consumers</w:t>
      </w:r>
      <w:r w:rsidRPr="00423400" w:rsidR="00CD72D9">
        <w:rPr>
          <w:rFonts w:cs="Times New Roman"/>
          <w:szCs w:val="24"/>
        </w:rPr>
        <w:t xml:space="preserve"> </w:t>
      </w:r>
      <w:r w:rsidRPr="00423400" w:rsidR="000D3CE4">
        <w:rPr>
          <w:rFonts w:cs="Times New Roman"/>
          <w:szCs w:val="24"/>
        </w:rPr>
        <w:t>to</w:t>
      </w:r>
      <w:r w:rsidRPr="00423400" w:rsidR="00CD72D9">
        <w:rPr>
          <w:rFonts w:cs="Times New Roman"/>
          <w:szCs w:val="24"/>
        </w:rPr>
        <w:t xml:space="preserve"> </w:t>
      </w:r>
      <w:r w:rsidRPr="00423400" w:rsidR="000D3CE4">
        <w:rPr>
          <w:rFonts w:cs="Times New Roman"/>
          <w:szCs w:val="24"/>
        </w:rPr>
        <w:t>get</w:t>
      </w:r>
      <w:r w:rsidRPr="00423400" w:rsidR="00CD72D9">
        <w:rPr>
          <w:rFonts w:cs="Times New Roman"/>
          <w:szCs w:val="24"/>
        </w:rPr>
        <w:t xml:space="preserve"> </w:t>
      </w:r>
      <w:r w:rsidRPr="00423400" w:rsidR="000D3CE4">
        <w:rPr>
          <w:rFonts w:cs="Times New Roman"/>
          <w:szCs w:val="24"/>
        </w:rPr>
        <w:t>what</w:t>
      </w:r>
      <w:r w:rsidRPr="00423400" w:rsidR="00CD72D9">
        <w:rPr>
          <w:rFonts w:cs="Times New Roman"/>
          <w:szCs w:val="24"/>
        </w:rPr>
        <w:t xml:space="preserve"> </w:t>
      </w:r>
      <w:r w:rsidRPr="00423400" w:rsidR="000D3CE4">
        <w:rPr>
          <w:rFonts w:cs="Times New Roman"/>
          <w:szCs w:val="24"/>
        </w:rPr>
        <w:t>they</w:t>
      </w:r>
      <w:r w:rsidRPr="00423400" w:rsidR="00CD72D9">
        <w:rPr>
          <w:rFonts w:cs="Times New Roman"/>
          <w:szCs w:val="24"/>
        </w:rPr>
        <w:t xml:space="preserve"> </w:t>
      </w:r>
      <w:r w:rsidRPr="00423400" w:rsidR="000D3CE4">
        <w:rPr>
          <w:rFonts w:cs="Times New Roman"/>
          <w:szCs w:val="24"/>
        </w:rPr>
        <w:t>bargained</w:t>
      </w:r>
      <w:r w:rsidRPr="00423400" w:rsidR="00CD72D9">
        <w:rPr>
          <w:rFonts w:cs="Times New Roman"/>
          <w:szCs w:val="24"/>
        </w:rPr>
        <w:t xml:space="preserve"> </w:t>
      </w:r>
      <w:r w:rsidRPr="00423400" w:rsidR="000D3CE4">
        <w:rPr>
          <w:rFonts w:cs="Times New Roman"/>
          <w:szCs w:val="24"/>
        </w:rPr>
        <w:t>for</w:t>
      </w:r>
      <w:r w:rsidRPr="00423400" w:rsidR="00CD72D9">
        <w:rPr>
          <w:rFonts w:cs="Times New Roman"/>
          <w:szCs w:val="24"/>
        </w:rPr>
        <w:t xml:space="preserve"> </w:t>
      </w:r>
      <w:r w:rsidRPr="00423400" w:rsidR="000D3CE4">
        <w:rPr>
          <w:rFonts w:cs="Times New Roman"/>
          <w:szCs w:val="24"/>
        </w:rPr>
        <w:t>under</w:t>
      </w:r>
      <w:r w:rsidRPr="00423400" w:rsidR="00CD72D9">
        <w:rPr>
          <w:rFonts w:cs="Times New Roman"/>
          <w:szCs w:val="24"/>
        </w:rPr>
        <w:t xml:space="preserve"> </w:t>
      </w:r>
      <w:r w:rsidRPr="00423400" w:rsidR="000D3CE4">
        <w:rPr>
          <w:rFonts w:cs="Times New Roman"/>
          <w:szCs w:val="24"/>
        </w:rPr>
        <w:t>the</w:t>
      </w:r>
      <w:r w:rsidRPr="00423400" w:rsidR="00CD72D9">
        <w:rPr>
          <w:rFonts w:cs="Times New Roman"/>
          <w:szCs w:val="24"/>
        </w:rPr>
        <w:t xml:space="preserve"> </w:t>
      </w:r>
      <w:r w:rsidRPr="00423400" w:rsidR="000D3CE4">
        <w:rPr>
          <w:rFonts w:cs="Times New Roman"/>
          <w:szCs w:val="24"/>
        </w:rPr>
        <w:t>DP&amp;L</w:t>
      </w:r>
      <w:r w:rsidRPr="00423400" w:rsidR="00CD72D9">
        <w:rPr>
          <w:rFonts w:cs="Times New Roman"/>
          <w:szCs w:val="24"/>
        </w:rPr>
        <w:t xml:space="preserve"> </w:t>
      </w:r>
      <w:r w:rsidRPr="00423400" w:rsidR="000D3CE4">
        <w:rPr>
          <w:rFonts w:cs="Times New Roman"/>
          <w:szCs w:val="24"/>
        </w:rPr>
        <w:t>settlement:</w:t>
      </w:r>
      <w:r w:rsidRPr="00423400" w:rsidR="00CD72D9">
        <w:rPr>
          <w:rFonts w:cs="Times New Roman"/>
          <w:szCs w:val="24"/>
        </w:rPr>
        <w:t xml:space="preserve"> </w:t>
      </w:r>
      <w:r w:rsidRPr="00423400" w:rsidR="000D3CE4">
        <w:rPr>
          <w:rFonts w:cs="Times New Roman"/>
          <w:szCs w:val="24"/>
        </w:rPr>
        <w:t>a</w:t>
      </w:r>
      <w:r w:rsidRPr="00423400" w:rsidR="00CD72D9">
        <w:rPr>
          <w:rFonts w:cs="Times New Roman"/>
          <w:szCs w:val="24"/>
        </w:rPr>
        <w:t xml:space="preserve"> </w:t>
      </w:r>
      <w:r w:rsidRPr="00423400" w:rsidR="000D3CE4">
        <w:rPr>
          <w:rFonts w:cs="Times New Roman"/>
          <w:szCs w:val="24"/>
        </w:rPr>
        <w:t>freeze</w:t>
      </w:r>
      <w:r w:rsidRPr="00423400" w:rsidR="00CD72D9">
        <w:rPr>
          <w:rFonts w:cs="Times New Roman"/>
          <w:szCs w:val="24"/>
        </w:rPr>
        <w:t xml:space="preserve"> </w:t>
      </w:r>
      <w:r w:rsidRPr="00423400" w:rsidR="000D3CE4">
        <w:rPr>
          <w:rFonts w:cs="Times New Roman"/>
          <w:szCs w:val="24"/>
        </w:rPr>
        <w:t>on</w:t>
      </w:r>
      <w:r w:rsidRPr="00423400" w:rsidR="00CD72D9">
        <w:rPr>
          <w:rFonts w:cs="Times New Roman"/>
          <w:szCs w:val="24"/>
        </w:rPr>
        <w:t xml:space="preserve"> </w:t>
      </w:r>
      <w:r w:rsidRPr="00423400" w:rsidR="000D3CE4">
        <w:rPr>
          <w:rFonts w:cs="Times New Roman"/>
          <w:szCs w:val="24"/>
        </w:rPr>
        <w:t>DP&amp;L’s</w:t>
      </w:r>
      <w:r w:rsidRPr="00423400" w:rsidR="00CD72D9">
        <w:rPr>
          <w:rFonts w:cs="Times New Roman"/>
          <w:szCs w:val="24"/>
        </w:rPr>
        <w:t xml:space="preserve"> </w:t>
      </w:r>
      <w:r w:rsidRPr="00423400" w:rsidR="000D3CE4">
        <w:rPr>
          <w:rFonts w:cs="Times New Roman"/>
          <w:szCs w:val="24"/>
        </w:rPr>
        <w:t>base rates</w:t>
      </w:r>
      <w:r w:rsidRPr="00423400" w:rsidR="00CD72D9">
        <w:rPr>
          <w:rFonts w:cs="Times New Roman"/>
          <w:szCs w:val="24"/>
        </w:rPr>
        <w:t xml:space="preserve"> </w:t>
      </w:r>
      <w:r w:rsidRPr="00423400" w:rsidR="000D3CE4">
        <w:rPr>
          <w:rFonts w:cs="Times New Roman"/>
          <w:szCs w:val="24"/>
        </w:rPr>
        <w:t>while</w:t>
      </w:r>
      <w:r w:rsidRPr="00423400" w:rsidR="00CD72D9">
        <w:rPr>
          <w:rFonts w:cs="Times New Roman"/>
          <w:szCs w:val="24"/>
        </w:rPr>
        <w:t xml:space="preserve"> </w:t>
      </w:r>
      <w:r w:rsidRPr="00423400" w:rsidR="000D3CE4">
        <w:rPr>
          <w:rFonts w:cs="Times New Roman"/>
          <w:szCs w:val="24"/>
        </w:rPr>
        <w:t>ESP</w:t>
      </w:r>
      <w:r w:rsidRPr="00423400" w:rsidR="00CD72D9">
        <w:rPr>
          <w:rFonts w:cs="Times New Roman"/>
          <w:szCs w:val="24"/>
        </w:rPr>
        <w:t xml:space="preserve"> </w:t>
      </w:r>
      <w:r w:rsidRPr="00423400" w:rsidR="000D3CE4">
        <w:rPr>
          <w:rFonts w:cs="Times New Roman"/>
          <w:szCs w:val="24"/>
        </w:rPr>
        <w:t>I</w:t>
      </w:r>
      <w:r w:rsidRPr="00423400" w:rsidR="00CD72D9">
        <w:rPr>
          <w:rFonts w:cs="Times New Roman"/>
          <w:szCs w:val="24"/>
        </w:rPr>
        <w:t xml:space="preserve"> </w:t>
      </w:r>
      <w:r w:rsidRPr="00423400" w:rsidR="000D3CE4">
        <w:rPr>
          <w:rFonts w:cs="Times New Roman"/>
          <w:szCs w:val="24"/>
        </w:rPr>
        <w:t>is</w:t>
      </w:r>
      <w:r w:rsidRPr="00423400" w:rsidR="00CD72D9">
        <w:rPr>
          <w:rFonts w:cs="Times New Roman"/>
          <w:szCs w:val="24"/>
        </w:rPr>
        <w:t xml:space="preserve"> </w:t>
      </w:r>
      <w:r w:rsidRPr="00423400" w:rsidR="000D3CE4">
        <w:rPr>
          <w:rFonts w:cs="Times New Roman"/>
          <w:szCs w:val="24"/>
        </w:rPr>
        <w:t>in</w:t>
      </w:r>
      <w:r w:rsidRPr="00423400" w:rsidR="00CD72D9">
        <w:rPr>
          <w:rFonts w:cs="Times New Roman"/>
          <w:szCs w:val="24"/>
        </w:rPr>
        <w:t xml:space="preserve"> </w:t>
      </w:r>
      <w:r w:rsidRPr="00423400" w:rsidR="000D3CE4">
        <w:rPr>
          <w:rFonts w:cs="Times New Roman"/>
          <w:szCs w:val="24"/>
        </w:rPr>
        <w:t>effect.</w:t>
      </w:r>
      <w:r w:rsidRPr="00423400" w:rsidR="00CD72D9">
        <w:rPr>
          <w:rFonts w:cs="Times New Roman"/>
          <w:szCs w:val="24"/>
        </w:rPr>
        <w:t xml:space="preserve"> </w:t>
      </w:r>
      <w:r w:rsidRPr="00423400" w:rsidR="000D3CE4">
        <w:rPr>
          <w:rFonts w:cs="Times New Roman"/>
          <w:szCs w:val="24"/>
        </w:rPr>
        <w:t>The</w:t>
      </w:r>
      <w:r w:rsidRPr="00423400" w:rsidR="00CD72D9">
        <w:rPr>
          <w:rFonts w:cs="Times New Roman"/>
          <w:szCs w:val="24"/>
        </w:rPr>
        <w:t xml:space="preserve"> </w:t>
      </w:r>
      <w:r w:rsidRPr="00423400" w:rsidR="000D3CE4">
        <w:rPr>
          <w:rFonts w:cs="Times New Roman"/>
          <w:szCs w:val="24"/>
        </w:rPr>
        <w:t>PUCO</w:t>
      </w:r>
      <w:r w:rsidRPr="00423400" w:rsidR="00CD72D9">
        <w:rPr>
          <w:rFonts w:cs="Times New Roman"/>
          <w:szCs w:val="24"/>
        </w:rPr>
        <w:t xml:space="preserve"> </w:t>
      </w:r>
      <w:r w:rsidRPr="00423400" w:rsidR="000D3CE4">
        <w:rPr>
          <w:rFonts w:cs="Times New Roman"/>
          <w:szCs w:val="24"/>
        </w:rPr>
        <w:t>should</w:t>
      </w:r>
      <w:r w:rsidRPr="00423400" w:rsidR="00CD72D9">
        <w:rPr>
          <w:rFonts w:cs="Times New Roman"/>
          <w:szCs w:val="24"/>
        </w:rPr>
        <w:t xml:space="preserve"> </w:t>
      </w:r>
      <w:r w:rsidRPr="00423400" w:rsidR="000D3CE4">
        <w:rPr>
          <w:rFonts w:cs="Times New Roman"/>
          <w:szCs w:val="24"/>
        </w:rPr>
        <w:t>enforce</w:t>
      </w:r>
      <w:r w:rsidRPr="00423400" w:rsidR="00CD72D9">
        <w:rPr>
          <w:rFonts w:cs="Times New Roman"/>
          <w:szCs w:val="24"/>
        </w:rPr>
        <w:t xml:space="preserve"> </w:t>
      </w:r>
      <w:r w:rsidRPr="00423400" w:rsidR="000D3CE4">
        <w:rPr>
          <w:rFonts w:cs="Times New Roman"/>
          <w:szCs w:val="24"/>
        </w:rPr>
        <w:t>the</w:t>
      </w:r>
      <w:r w:rsidRPr="00423400" w:rsidR="00CD72D9">
        <w:rPr>
          <w:rFonts w:cs="Times New Roman"/>
          <w:szCs w:val="24"/>
        </w:rPr>
        <w:t xml:space="preserve"> </w:t>
      </w:r>
      <w:r w:rsidRPr="00423400" w:rsidR="000D3CE4">
        <w:rPr>
          <w:rFonts w:cs="Times New Roman"/>
          <w:szCs w:val="24"/>
        </w:rPr>
        <w:t>Rate</w:t>
      </w:r>
      <w:r w:rsidRPr="00423400" w:rsidR="00CD72D9">
        <w:rPr>
          <w:rFonts w:cs="Times New Roman"/>
          <w:szCs w:val="24"/>
        </w:rPr>
        <w:t xml:space="preserve"> </w:t>
      </w:r>
      <w:r w:rsidRPr="00423400" w:rsidR="000D3CE4">
        <w:rPr>
          <w:rFonts w:cs="Times New Roman"/>
          <w:szCs w:val="24"/>
        </w:rPr>
        <w:t>Freeze.</w:t>
      </w:r>
      <w:r w:rsidRPr="00423400" w:rsidR="00CD72D9">
        <w:rPr>
          <w:rFonts w:cs="Times New Roman"/>
          <w:szCs w:val="24"/>
        </w:rPr>
        <w:t xml:space="preserve"> </w:t>
      </w:r>
      <w:r w:rsidRPr="00423400" w:rsidR="00FC7B32">
        <w:rPr>
          <w:rFonts w:cs="Times New Roman"/>
          <w:szCs w:val="24"/>
        </w:rPr>
        <w:t>However, after ESP I and the rate freeze expires, if the PUCO</w:t>
      </w:r>
      <w:r w:rsidRPr="00423400" w:rsidR="00CD72D9">
        <w:rPr>
          <w:rFonts w:cs="Times New Roman"/>
          <w:szCs w:val="24"/>
        </w:rPr>
        <w:t xml:space="preserve"> </w:t>
      </w:r>
      <w:r w:rsidRPr="00423400" w:rsidR="00FC7B32">
        <w:rPr>
          <w:rFonts w:cs="Times New Roman"/>
          <w:szCs w:val="24"/>
        </w:rPr>
        <w:t>grants DP&amp;L an increase</w:t>
      </w:r>
      <w:r w:rsidRPr="00423400" w:rsidR="00AB7EAD">
        <w:rPr>
          <w:rFonts w:cs="Times New Roman"/>
          <w:szCs w:val="24"/>
        </w:rPr>
        <w:t xml:space="preserve"> (which it should not)</w:t>
      </w:r>
      <w:r w:rsidRPr="00423400" w:rsidR="00FC7B32">
        <w:rPr>
          <w:rFonts w:cs="Times New Roman"/>
          <w:szCs w:val="24"/>
        </w:rPr>
        <w:t>, it should not be greater than $43.3 million.</w:t>
      </w:r>
      <w:r w:rsidRPr="00423400" w:rsidR="003F31E6">
        <w:rPr>
          <w:rFonts w:cs="Times New Roman"/>
          <w:szCs w:val="24"/>
        </w:rPr>
        <w:t xml:space="preserve"> </w:t>
      </w:r>
      <w:r w:rsidRPr="00423400" w:rsidR="00AB7EAD">
        <w:rPr>
          <w:rFonts w:cs="Times New Roman"/>
          <w:szCs w:val="24"/>
        </w:rPr>
        <w:t>Any increase</w:t>
      </w:r>
      <w:r w:rsidRPr="00423400" w:rsidR="003F31E6">
        <w:rPr>
          <w:rFonts w:cs="Times New Roman"/>
          <w:szCs w:val="24"/>
        </w:rPr>
        <w:t xml:space="preserve"> should also be stayed until the expiration of ESP I</w:t>
      </w:r>
      <w:r w:rsidRPr="00423400" w:rsidR="000056B7">
        <w:rPr>
          <w:rFonts w:cs="Times New Roman"/>
          <w:szCs w:val="24"/>
        </w:rPr>
        <w:t xml:space="preserve">, as the PUCO noted </w:t>
      </w:r>
      <w:r w:rsidRPr="00423400" w:rsidR="000151BC">
        <w:rPr>
          <w:rFonts w:cs="Times New Roman"/>
          <w:szCs w:val="24"/>
        </w:rPr>
        <w:t>in its Entry denying OCC’s Motion to Dismiss.</w:t>
      </w:r>
    </w:p>
    <w:p w:rsidR="00FC7B32" w:rsidRPr="00423400" w:rsidP="009107E7" w14:paraId="4A309F6E" w14:textId="77777777">
      <w:pPr>
        <w:spacing w:after="0" w:line="480" w:lineRule="auto"/>
        <w:ind w:firstLine="720"/>
        <w:rPr>
          <w:rFonts w:cs="Times New Roman"/>
          <w:szCs w:val="24"/>
        </w:rPr>
      </w:pPr>
      <w:r w:rsidRPr="00423400">
        <w:rPr>
          <w:rFonts w:cs="Times New Roman"/>
          <w:szCs w:val="24"/>
        </w:rPr>
        <w:t xml:space="preserve">To protect consumers, the PUCO should </w:t>
      </w:r>
      <w:r w:rsidRPr="00423400" w:rsidR="00B351E9">
        <w:rPr>
          <w:rFonts w:cs="Times New Roman"/>
          <w:szCs w:val="24"/>
        </w:rPr>
        <w:t xml:space="preserve">also </w:t>
      </w:r>
      <w:r w:rsidRPr="00423400">
        <w:rPr>
          <w:rFonts w:cs="Times New Roman"/>
          <w:szCs w:val="24"/>
        </w:rPr>
        <w:t>adopt OCC’s proposed changes to rate base, operating income, and rate of return</w:t>
      </w:r>
      <w:r w:rsidRPr="00423400" w:rsidR="00A55B8C">
        <w:rPr>
          <w:rFonts w:cs="Times New Roman"/>
          <w:szCs w:val="24"/>
        </w:rPr>
        <w:t>.</w:t>
      </w:r>
      <w:r w:rsidRPr="00423400" w:rsidR="00426F88">
        <w:rPr>
          <w:rFonts w:cs="Times New Roman"/>
          <w:szCs w:val="24"/>
        </w:rPr>
        <w:t xml:space="preserve"> </w:t>
      </w:r>
    </w:p>
    <w:p w:rsidR="00E566ED" w:rsidP="003A1612" w14:paraId="46611EB8" w14:textId="77777777">
      <w:pPr>
        <w:pStyle w:val="ListParagraph"/>
        <w:spacing w:line="240" w:lineRule="auto"/>
        <w:ind w:left="4320"/>
        <w:rPr>
          <w:rFonts w:cs="Times New Roman"/>
          <w:szCs w:val="24"/>
        </w:rPr>
      </w:pPr>
    </w:p>
    <w:p w:rsidR="005955A1" w:rsidRPr="00423400" w:rsidP="003A1612" w14:paraId="16E457EE" w14:textId="77777777">
      <w:pPr>
        <w:pStyle w:val="ListParagraph"/>
        <w:spacing w:line="240" w:lineRule="auto"/>
        <w:ind w:left="4320"/>
        <w:rPr>
          <w:rFonts w:cs="Times New Roman"/>
          <w:szCs w:val="24"/>
        </w:rPr>
      </w:pPr>
      <w:r w:rsidRPr="00423400">
        <w:rPr>
          <w:rFonts w:cs="Times New Roman"/>
          <w:szCs w:val="24"/>
        </w:rPr>
        <w:t>Respectfully</w:t>
      </w:r>
      <w:r w:rsidRPr="00423400" w:rsidR="00B60B67">
        <w:rPr>
          <w:rFonts w:cs="Times New Roman"/>
          <w:szCs w:val="24"/>
        </w:rPr>
        <w:t xml:space="preserve"> </w:t>
      </w:r>
      <w:r w:rsidRPr="00423400">
        <w:rPr>
          <w:rFonts w:cs="Times New Roman"/>
          <w:szCs w:val="24"/>
        </w:rPr>
        <w:t xml:space="preserve">submitted, </w:t>
      </w:r>
    </w:p>
    <w:p w:rsidR="005955A1" w:rsidRPr="00423400" w:rsidP="003A1612" w14:paraId="510E0C31" w14:textId="77777777">
      <w:pPr>
        <w:pStyle w:val="ListParagraph"/>
        <w:spacing w:line="240" w:lineRule="auto"/>
        <w:ind w:left="4320"/>
        <w:rPr>
          <w:rFonts w:cs="Times New Roman"/>
          <w:szCs w:val="24"/>
        </w:rPr>
      </w:pPr>
    </w:p>
    <w:p w:rsidR="005955A1" w:rsidRPr="00423400" w:rsidP="003A1612" w14:paraId="22F69FA0" w14:textId="77777777">
      <w:pPr>
        <w:pStyle w:val="ListParagraph"/>
        <w:spacing w:line="240" w:lineRule="auto"/>
        <w:ind w:left="4320"/>
        <w:rPr>
          <w:rFonts w:cs="Times New Roman"/>
          <w:szCs w:val="24"/>
        </w:rPr>
      </w:pPr>
      <w:r w:rsidRPr="00423400">
        <w:rPr>
          <w:rFonts w:cs="Times New Roman"/>
          <w:szCs w:val="24"/>
        </w:rPr>
        <w:t>Bruce</w:t>
      </w:r>
      <w:r w:rsidRPr="00423400" w:rsidR="00B60B67">
        <w:rPr>
          <w:rFonts w:cs="Times New Roman"/>
          <w:szCs w:val="24"/>
        </w:rPr>
        <w:t xml:space="preserve"> </w:t>
      </w:r>
      <w:r w:rsidRPr="00423400">
        <w:rPr>
          <w:rFonts w:cs="Times New Roman"/>
          <w:szCs w:val="24"/>
        </w:rPr>
        <w:t>Weston</w:t>
      </w:r>
      <w:r w:rsidRPr="00423400" w:rsidR="00B60B67">
        <w:rPr>
          <w:rFonts w:cs="Times New Roman"/>
          <w:szCs w:val="24"/>
        </w:rPr>
        <w:t xml:space="preserve"> </w:t>
      </w:r>
      <w:r w:rsidRPr="00423400">
        <w:rPr>
          <w:rFonts w:cs="Times New Roman"/>
          <w:szCs w:val="24"/>
        </w:rPr>
        <w:t xml:space="preserve">(0016973) </w:t>
      </w:r>
      <w:r w:rsidRPr="00423400">
        <w:rPr>
          <w:rFonts w:cs="Times New Roman"/>
          <w:szCs w:val="24"/>
        </w:rPr>
        <w:br/>
        <w:t xml:space="preserve">Ohio Consumers’ Counsel </w:t>
      </w:r>
      <w:r w:rsidRPr="00423400">
        <w:rPr>
          <w:rFonts w:cs="Times New Roman"/>
          <w:szCs w:val="24"/>
        </w:rPr>
        <w:br/>
      </w:r>
    </w:p>
    <w:p w:rsidR="00AC051B" w:rsidRPr="00423400" w:rsidP="003A1612" w14:paraId="6A567F36" w14:textId="77777777">
      <w:pPr>
        <w:pStyle w:val="ListParagraph"/>
        <w:spacing w:line="240" w:lineRule="auto"/>
        <w:ind w:left="4320"/>
        <w:rPr>
          <w:rFonts w:cs="Times New Roman"/>
          <w:szCs w:val="24"/>
        </w:rPr>
      </w:pPr>
      <w:r w:rsidRPr="00423400">
        <w:rPr>
          <w:rFonts w:cs="Times New Roman"/>
          <w:szCs w:val="24"/>
          <w:u w:val="single"/>
        </w:rPr>
        <w:t xml:space="preserve">/s/ </w:t>
      </w:r>
      <w:r w:rsidRPr="00423400">
        <w:rPr>
          <w:rFonts w:cs="Times New Roman"/>
          <w:i/>
          <w:iCs/>
          <w:szCs w:val="24"/>
          <w:u w:val="single"/>
        </w:rPr>
        <w:t>Ambrosia E. Wilson</w:t>
      </w:r>
      <w:r w:rsidRPr="00423400" w:rsidR="00CD72D9">
        <w:rPr>
          <w:rFonts w:cs="Times New Roman"/>
          <w:szCs w:val="24"/>
        </w:rPr>
        <w:t xml:space="preserve"> </w:t>
      </w:r>
      <w:r w:rsidRPr="00423400">
        <w:rPr>
          <w:rFonts w:cs="Times New Roman"/>
          <w:szCs w:val="24"/>
        </w:rPr>
        <w:br/>
        <w:t xml:space="preserve">John Finnigan (0018689) </w:t>
      </w:r>
      <w:r w:rsidRPr="00423400">
        <w:rPr>
          <w:rFonts w:cs="Times New Roman"/>
          <w:szCs w:val="24"/>
        </w:rPr>
        <w:br/>
        <w:t xml:space="preserve">Counsel of </w:t>
      </w:r>
      <w:r w:rsidRPr="00423400" w:rsidR="002E1E3C">
        <w:rPr>
          <w:rFonts w:cs="Times New Roman"/>
          <w:szCs w:val="24"/>
        </w:rPr>
        <w:t>R</w:t>
      </w:r>
      <w:r w:rsidRPr="00423400">
        <w:rPr>
          <w:rFonts w:cs="Times New Roman"/>
          <w:szCs w:val="24"/>
        </w:rPr>
        <w:t xml:space="preserve">ecord </w:t>
      </w:r>
      <w:r w:rsidRPr="00423400">
        <w:rPr>
          <w:rFonts w:cs="Times New Roman"/>
          <w:szCs w:val="24"/>
        </w:rPr>
        <w:br/>
        <w:t xml:space="preserve">Ambrosia E. Wilson (0096598) </w:t>
      </w:r>
      <w:r w:rsidRPr="00423400">
        <w:rPr>
          <w:rFonts w:cs="Times New Roman"/>
          <w:szCs w:val="24"/>
        </w:rPr>
        <w:br/>
        <w:t xml:space="preserve">Assistant Consumers' Counsel </w:t>
      </w:r>
    </w:p>
    <w:p w:rsidR="002E1E3C" w:rsidRPr="00423400" w:rsidP="003A1612" w14:paraId="135B1C67" w14:textId="77777777">
      <w:pPr>
        <w:pStyle w:val="ListParagraph"/>
        <w:spacing w:line="240" w:lineRule="auto"/>
        <w:ind w:left="4320"/>
        <w:rPr>
          <w:rFonts w:cs="Times New Roman"/>
          <w:szCs w:val="24"/>
        </w:rPr>
      </w:pPr>
    </w:p>
    <w:p w:rsidR="00AC051B" w:rsidRPr="00423400" w:rsidP="003A1612" w14:paraId="295D5078" w14:textId="77777777">
      <w:pPr>
        <w:pStyle w:val="ListParagraph"/>
        <w:spacing w:line="240" w:lineRule="auto"/>
        <w:ind w:left="4320"/>
        <w:rPr>
          <w:rFonts w:cs="Times New Roman"/>
          <w:szCs w:val="24"/>
        </w:rPr>
      </w:pPr>
      <w:r w:rsidRPr="00423400">
        <w:rPr>
          <w:rFonts w:cs="Times New Roman"/>
          <w:b/>
          <w:bCs/>
          <w:szCs w:val="24"/>
        </w:rPr>
        <w:t>Office of the Ohio Consumers' Counsel</w:t>
      </w:r>
    </w:p>
    <w:p w:rsidR="003A1612" w:rsidRPr="00423400" w:rsidP="003A1612" w14:paraId="7BE4D625" w14:textId="77777777">
      <w:pPr>
        <w:pStyle w:val="ListParagraph"/>
        <w:spacing w:line="240" w:lineRule="auto"/>
        <w:ind w:left="4320"/>
        <w:rPr>
          <w:rFonts w:cs="Times New Roman"/>
          <w:szCs w:val="24"/>
        </w:rPr>
      </w:pPr>
      <w:r w:rsidRPr="00423400">
        <w:rPr>
          <w:rFonts w:cs="Times New Roman"/>
          <w:szCs w:val="24"/>
        </w:rPr>
        <w:t xml:space="preserve">65 East State Street, Suite 700 </w:t>
      </w:r>
      <w:r w:rsidRPr="00423400">
        <w:rPr>
          <w:rFonts w:cs="Times New Roman"/>
          <w:szCs w:val="24"/>
        </w:rPr>
        <w:br/>
        <w:t xml:space="preserve">Columbus, Ohio 43215 </w:t>
      </w:r>
      <w:r w:rsidRPr="00423400">
        <w:rPr>
          <w:rFonts w:cs="Times New Roman"/>
          <w:szCs w:val="24"/>
        </w:rPr>
        <w:br/>
        <w:t xml:space="preserve">Telephone [Finnigan]: (614) 466-9585 </w:t>
      </w:r>
    </w:p>
    <w:p w:rsidR="003A1612" w:rsidRPr="00423400" w:rsidP="003A1612" w14:paraId="14F83F62" w14:textId="77777777">
      <w:pPr>
        <w:pStyle w:val="ListParagraph"/>
        <w:spacing w:line="240" w:lineRule="auto"/>
        <w:ind w:left="4320"/>
        <w:rPr>
          <w:rFonts w:cs="Times New Roman"/>
          <w:szCs w:val="24"/>
        </w:rPr>
      </w:pPr>
      <w:r w:rsidRPr="00423400">
        <w:rPr>
          <w:rFonts w:cs="Times New Roman"/>
          <w:szCs w:val="24"/>
        </w:rPr>
        <w:t xml:space="preserve">Telephone [Wilson]: (614) 466-1292 </w:t>
      </w:r>
      <w:hyperlink r:id="rId6" w:history="1">
        <w:r w:rsidRPr="00423400">
          <w:rPr>
            <w:rStyle w:val="Hyperlink"/>
            <w:rFonts w:cs="Times New Roman"/>
            <w:color w:val="0000FF"/>
            <w:szCs w:val="24"/>
          </w:rPr>
          <w:t>john.finnigan@occ.ohio.gov</w:t>
        </w:r>
      </w:hyperlink>
      <w:r w:rsidRPr="00423400" w:rsidR="00B60B67">
        <w:rPr>
          <w:rFonts w:cs="Times New Roman"/>
          <w:color w:val="0000FF"/>
          <w:szCs w:val="24"/>
        </w:rPr>
        <w:t xml:space="preserve"> </w:t>
      </w:r>
      <w:hyperlink r:id="rId7" w:history="1">
        <w:r w:rsidRPr="00423400">
          <w:rPr>
            <w:rStyle w:val="Hyperlink"/>
            <w:rFonts w:cs="Times New Roman"/>
            <w:color w:val="0000FF"/>
            <w:szCs w:val="24"/>
          </w:rPr>
          <w:t>ambrosia.wilson@occ.ohio.gov</w:t>
        </w:r>
      </w:hyperlink>
      <w:r w:rsidRPr="00423400" w:rsidR="00B60B67">
        <w:rPr>
          <w:rFonts w:cs="Times New Roman"/>
          <w:szCs w:val="24"/>
        </w:rPr>
        <w:t xml:space="preserve"> </w:t>
      </w:r>
    </w:p>
    <w:p w:rsidR="002E1E3C" w:rsidRPr="00423400" w:rsidP="003A1612" w14:paraId="12A4427C" w14:textId="77777777">
      <w:pPr>
        <w:pStyle w:val="ListParagraph"/>
        <w:spacing w:line="240" w:lineRule="auto"/>
        <w:ind w:left="4320"/>
        <w:rPr>
          <w:rFonts w:cs="Times New Roman"/>
          <w:szCs w:val="24"/>
        </w:rPr>
      </w:pPr>
      <w:r w:rsidRPr="00423400">
        <w:rPr>
          <w:rFonts w:cs="Times New Roman"/>
          <w:szCs w:val="24"/>
        </w:rPr>
        <w:t>(willing to accept service by e-mail)</w:t>
      </w:r>
    </w:p>
    <w:p w:rsidR="002E1E3C" w:rsidRPr="00423400" w:rsidP="002E1E3C" w14:paraId="42974525" w14:textId="77777777">
      <w:pPr>
        <w:jc w:val="center"/>
        <w:rPr>
          <w:rFonts w:cs="Times New Roman"/>
          <w:b/>
          <w:bCs/>
          <w:szCs w:val="24"/>
          <w:u w:val="single"/>
        </w:rPr>
      </w:pPr>
      <w:r w:rsidRPr="00423400">
        <w:rPr>
          <w:rFonts w:cs="Times New Roman"/>
          <w:szCs w:val="24"/>
        </w:rPr>
        <w:br w:type="page"/>
      </w:r>
      <w:r w:rsidRPr="00423400">
        <w:rPr>
          <w:rFonts w:cs="Times New Roman"/>
          <w:b/>
          <w:bCs/>
          <w:szCs w:val="24"/>
          <w:u w:val="single"/>
        </w:rPr>
        <w:t>CERTIFICATE OF SERVICE</w:t>
      </w:r>
    </w:p>
    <w:p w:rsidR="002E1E3C" w:rsidRPr="00423400" w:rsidP="002E1E3C" w14:paraId="40447BD3" w14:textId="77777777">
      <w:pPr>
        <w:spacing w:line="480" w:lineRule="atLeast"/>
        <w:rPr>
          <w:rFonts w:cs="Times New Roman"/>
          <w:szCs w:val="24"/>
        </w:rPr>
      </w:pPr>
      <w:r w:rsidRPr="00423400">
        <w:rPr>
          <w:rFonts w:cs="Times New Roman"/>
          <w:szCs w:val="24"/>
        </w:rPr>
        <w:tab/>
        <w:t xml:space="preserve">I hereby certify that a copy of this </w:t>
      </w:r>
      <w:r w:rsidRPr="00423400" w:rsidR="00AD32AF">
        <w:rPr>
          <w:rFonts w:cs="Times New Roman"/>
          <w:iCs/>
          <w:szCs w:val="24"/>
        </w:rPr>
        <w:t>Consumer Protection Brief</w:t>
      </w:r>
      <w:r w:rsidRPr="00423400">
        <w:rPr>
          <w:rFonts w:cs="Times New Roman"/>
          <w:szCs w:val="24"/>
        </w:rPr>
        <w:t xml:space="preserve"> was served on the persons stated below </w:t>
      </w:r>
      <w:r w:rsidRPr="00423400">
        <w:rPr>
          <w:rFonts w:cs="Times New Roman"/>
          <w:i/>
          <w:szCs w:val="24"/>
        </w:rPr>
        <w:t>via</w:t>
      </w:r>
      <w:r w:rsidRPr="00423400">
        <w:rPr>
          <w:rFonts w:cs="Times New Roman"/>
          <w:szCs w:val="24"/>
        </w:rPr>
        <w:t xml:space="preserve"> electronic transmission, this </w:t>
      </w:r>
      <w:r w:rsidRPr="00423400" w:rsidR="00216E44">
        <w:rPr>
          <w:rFonts w:cs="Times New Roman"/>
          <w:szCs w:val="24"/>
        </w:rPr>
        <w:t>4th</w:t>
      </w:r>
      <w:r w:rsidRPr="00423400">
        <w:rPr>
          <w:rFonts w:cs="Times New Roman"/>
          <w:szCs w:val="24"/>
        </w:rPr>
        <w:t xml:space="preserve"> day of </w:t>
      </w:r>
      <w:r w:rsidRPr="00423400" w:rsidR="00216E44">
        <w:rPr>
          <w:rFonts w:cs="Times New Roman"/>
          <w:szCs w:val="24"/>
        </w:rPr>
        <w:t>March</w:t>
      </w:r>
      <w:r w:rsidRPr="00423400">
        <w:rPr>
          <w:rFonts w:cs="Times New Roman"/>
          <w:szCs w:val="24"/>
        </w:rPr>
        <w:t xml:space="preserve"> 202</w:t>
      </w:r>
      <w:r w:rsidRPr="00423400" w:rsidR="00216E44">
        <w:rPr>
          <w:rFonts w:cs="Times New Roman"/>
          <w:szCs w:val="24"/>
        </w:rPr>
        <w:t>2</w:t>
      </w:r>
      <w:r w:rsidRPr="00423400">
        <w:rPr>
          <w:rFonts w:cs="Times New Roman"/>
          <w:szCs w:val="24"/>
        </w:rPr>
        <w:t>.</w:t>
      </w:r>
    </w:p>
    <w:p w:rsidR="00216E44" w:rsidRPr="00423400" w:rsidP="00454D13" w14:paraId="1E4F3043" w14:textId="77777777">
      <w:pPr>
        <w:tabs>
          <w:tab w:val="left" w:pos="4320"/>
        </w:tabs>
        <w:spacing w:after="0"/>
        <w:rPr>
          <w:rFonts w:cs="Times New Roman"/>
          <w:szCs w:val="24"/>
        </w:rPr>
      </w:pPr>
      <w:r w:rsidRPr="00423400">
        <w:rPr>
          <w:rFonts w:cs="Times New Roman"/>
          <w:szCs w:val="24"/>
        </w:rPr>
        <w:tab/>
      </w:r>
    </w:p>
    <w:p w:rsidR="002E1E3C" w:rsidRPr="00423400" w:rsidP="00454D13" w14:paraId="5EFB2F50" w14:textId="77777777">
      <w:pPr>
        <w:tabs>
          <w:tab w:val="left" w:pos="4320"/>
        </w:tabs>
        <w:spacing w:after="0"/>
        <w:rPr>
          <w:rFonts w:cs="Times New Roman"/>
          <w:i/>
          <w:szCs w:val="24"/>
          <w:u w:val="single"/>
        </w:rPr>
      </w:pPr>
      <w:r w:rsidRPr="00423400">
        <w:rPr>
          <w:rFonts w:cs="Times New Roman"/>
          <w:szCs w:val="24"/>
        </w:rPr>
        <w:tab/>
      </w:r>
      <w:r w:rsidRPr="00423400">
        <w:rPr>
          <w:rFonts w:cs="Times New Roman"/>
          <w:i/>
          <w:szCs w:val="24"/>
          <w:u w:val="single"/>
        </w:rPr>
        <w:t xml:space="preserve">/s/ </w:t>
      </w:r>
      <w:r w:rsidRPr="00423400" w:rsidR="00454D13">
        <w:rPr>
          <w:rFonts w:cs="Times New Roman"/>
          <w:i/>
          <w:szCs w:val="24"/>
          <w:u w:val="single"/>
        </w:rPr>
        <w:t>Ambrosia E. Wilson</w:t>
      </w:r>
      <w:r w:rsidRPr="00423400">
        <w:rPr>
          <w:rFonts w:cs="Times New Roman"/>
          <w:i/>
          <w:szCs w:val="24"/>
          <w:u w:val="single"/>
        </w:rPr>
        <w:tab/>
      </w:r>
      <w:r w:rsidRPr="00423400">
        <w:rPr>
          <w:rFonts w:cs="Times New Roman"/>
          <w:i/>
          <w:szCs w:val="24"/>
          <w:u w:val="single"/>
        </w:rPr>
        <w:tab/>
      </w:r>
    </w:p>
    <w:p w:rsidR="002E1E3C" w:rsidRPr="00423400" w:rsidP="00454D13" w14:paraId="6552FA02" w14:textId="77777777">
      <w:pPr>
        <w:tabs>
          <w:tab w:val="left" w:pos="4320"/>
        </w:tabs>
        <w:spacing w:after="0"/>
        <w:rPr>
          <w:rFonts w:cs="Times New Roman"/>
          <w:szCs w:val="24"/>
        </w:rPr>
      </w:pPr>
      <w:r w:rsidRPr="00423400">
        <w:rPr>
          <w:rFonts w:cs="Times New Roman"/>
          <w:szCs w:val="24"/>
        </w:rPr>
        <w:tab/>
      </w:r>
      <w:r w:rsidRPr="00423400" w:rsidR="00454D13">
        <w:rPr>
          <w:rFonts w:cs="Times New Roman"/>
          <w:szCs w:val="24"/>
        </w:rPr>
        <w:t>Ambrosia E. Wilson</w:t>
      </w:r>
    </w:p>
    <w:p w:rsidR="002E1E3C" w:rsidRPr="00423400" w:rsidP="00454D13" w14:paraId="3B4E18C9" w14:textId="77777777">
      <w:pPr>
        <w:tabs>
          <w:tab w:val="left" w:pos="4320"/>
        </w:tabs>
        <w:spacing w:after="0"/>
        <w:rPr>
          <w:rFonts w:cs="Times New Roman"/>
          <w:szCs w:val="24"/>
        </w:rPr>
      </w:pPr>
      <w:r w:rsidRPr="00423400">
        <w:rPr>
          <w:rFonts w:cs="Times New Roman"/>
          <w:szCs w:val="24"/>
        </w:rPr>
        <w:tab/>
        <w:t>Assistant Consumers’ Counsel</w:t>
      </w:r>
    </w:p>
    <w:p w:rsidR="002E1E3C" w:rsidRPr="00423400" w:rsidP="00E139B9" w14:paraId="3E19ACBD" w14:textId="77777777">
      <w:pPr>
        <w:pStyle w:val="CommentSubject"/>
        <w:spacing w:after="0"/>
        <w:rPr>
          <w:rFonts w:cs="Times New Roman"/>
          <w:sz w:val="24"/>
          <w:szCs w:val="24"/>
        </w:rPr>
      </w:pPr>
    </w:p>
    <w:p w:rsidR="002E1E3C" w:rsidRPr="00423400" w:rsidP="002E1E3C" w14:paraId="7A04A0B4" w14:textId="77777777">
      <w:pPr>
        <w:pStyle w:val="CommentText"/>
        <w:rPr>
          <w:rFonts w:cs="Times New Roman"/>
          <w:sz w:val="24"/>
          <w:szCs w:val="24"/>
        </w:rPr>
      </w:pPr>
      <w:r w:rsidRPr="00423400">
        <w:rPr>
          <w:rFonts w:cs="Times New Roman"/>
          <w:sz w:val="24"/>
          <w:szCs w:val="24"/>
        </w:rPr>
        <w:t>The PUCO’s e-filing system will electronically serve notice of the filing of this document on the following parties:</w:t>
      </w:r>
    </w:p>
    <w:p w:rsidR="002E1E3C" w:rsidRPr="00423400" w:rsidP="00E139B9" w14:paraId="1E9615A0" w14:textId="77777777">
      <w:pPr>
        <w:pStyle w:val="CommentText"/>
        <w:spacing w:after="0"/>
        <w:jc w:val="center"/>
        <w:rPr>
          <w:rFonts w:cs="Times New Roman"/>
          <w:b/>
          <w:bCs/>
          <w:sz w:val="24"/>
          <w:szCs w:val="24"/>
          <w:u w:val="single"/>
        </w:rPr>
      </w:pPr>
      <w:r w:rsidRPr="00423400">
        <w:rPr>
          <w:rFonts w:cs="Times New Roman"/>
          <w:b/>
          <w:bCs/>
          <w:sz w:val="24"/>
          <w:szCs w:val="24"/>
          <w:u w:val="single"/>
        </w:rPr>
        <w:t>SERVICE LIST</w:t>
      </w:r>
    </w:p>
    <w:p w:rsidR="002E1E3C" w:rsidRPr="00423400" w:rsidP="00E139B9" w14:paraId="7EC854E4" w14:textId="77777777">
      <w:pPr>
        <w:pStyle w:val="CommentText"/>
        <w:spacing w:after="0"/>
        <w:jc w:val="center"/>
        <w:rPr>
          <w:rFonts w:cs="Times New Roman"/>
          <w:b/>
          <w:sz w:val="24"/>
          <w:szCs w:val="24"/>
          <w:u w:val="single"/>
        </w:rPr>
      </w:pPr>
    </w:p>
    <w:tbl>
      <w:tblPr>
        <w:tblW w:w="12892" w:type="dxa"/>
        <w:tblInd w:w="0" w:type="dxa"/>
        <w:tblCellMar>
          <w:top w:w="0" w:type="dxa"/>
          <w:left w:w="108" w:type="dxa"/>
          <w:bottom w:w="0" w:type="dxa"/>
          <w:right w:w="108" w:type="dxa"/>
        </w:tblCellMar>
        <w:tblLook w:val="01E0"/>
      </w:tblPr>
      <w:tblGrid>
        <w:gridCol w:w="4388"/>
        <w:gridCol w:w="4252"/>
        <w:gridCol w:w="4252"/>
      </w:tblGrid>
      <w:tr w14:paraId="221A0C6B" w14:textId="77777777" w:rsidTr="00E139B9">
        <w:tblPrEx>
          <w:tblW w:w="12892" w:type="dxa"/>
          <w:tblInd w:w="0" w:type="dxa"/>
          <w:tblCellMar>
            <w:top w:w="0" w:type="dxa"/>
            <w:left w:w="108" w:type="dxa"/>
            <w:bottom w:w="0" w:type="dxa"/>
            <w:right w:w="108" w:type="dxa"/>
          </w:tblCellMar>
          <w:tblLook w:val="01E0"/>
        </w:tblPrEx>
        <w:tc>
          <w:tcPr>
            <w:tcW w:w="4388" w:type="dxa"/>
            <w:shd w:val="clear" w:color="auto" w:fill="auto"/>
          </w:tcPr>
          <w:p w:rsidR="00E139B9" w:rsidRPr="00E139B9" w:rsidP="00E139B9" w14:paraId="666DB0C0" w14:textId="77777777">
            <w:pPr>
              <w:adjustRightInd w:val="0"/>
              <w:spacing w:after="0"/>
              <w:rPr>
                <w:rStyle w:val="DefaultParagraphFont"/>
                <w:rFonts w:ascii="Times New Roman" w:hAnsi="Times New Roman" w:eastAsiaTheme="minorHAnsi" w:cstheme="minorBidi"/>
                <w:color w:val="0000FF"/>
                <w:sz w:val="24"/>
                <w:szCs w:val="24"/>
                <w:lang w:val="en-US" w:eastAsia="en-US" w:bidi="ar-SA"/>
              </w:rPr>
            </w:pPr>
            <w:hyperlink r:id="rId18" w:history="1">
              <w:r w:rsidRPr="00E139B9" w:rsidR="00223796">
                <w:rPr>
                  <w:rStyle w:val="Hyperlink"/>
                  <w:rFonts w:ascii="Times New Roman" w:eastAsia="Courier New" w:hAnsi="Times New Roman" w:cstheme="minorBidi"/>
                  <w:bCs/>
                  <w:color w:val="0000FF"/>
                  <w:sz w:val="24"/>
                  <w:szCs w:val="24"/>
                  <w:u w:val="single"/>
                  <w:lang w:val="en-US" w:eastAsia="en-US" w:bidi="ar-SA"/>
                </w:rPr>
                <w:t>j</w:t>
              </w:r>
              <w:r w:rsidRPr="00E139B9" w:rsidR="00223796">
                <w:rPr>
                  <w:rStyle w:val="Hyperlink"/>
                  <w:rFonts w:ascii="Times New Roman" w:eastAsia="Courier New" w:hAnsi="Times New Roman" w:cstheme="minorBidi"/>
                  <w:color w:val="0000FF"/>
                  <w:sz w:val="24"/>
                  <w:szCs w:val="24"/>
                  <w:u w:val="single"/>
                  <w:lang w:val="en-US" w:eastAsia="en-US" w:bidi="ar-SA"/>
                </w:rPr>
                <w:t>odi.bair@ohioAGO.gov</w:t>
              </w:r>
            </w:hyperlink>
          </w:p>
          <w:p w:rsidR="00E139B9" w:rsidRPr="00E139B9" w:rsidP="00E139B9" w14:paraId="1922B4C2" w14:textId="77777777">
            <w:pPr>
              <w:adjustRightInd w:val="0"/>
              <w:spacing w:after="0"/>
              <w:rPr>
                <w:rStyle w:val="Hyperlink"/>
                <w:rFonts w:ascii="Times New Roman" w:eastAsia="Courier New" w:hAnsi="Times New Roman" w:cstheme="minorBidi"/>
                <w:color w:val="0000FF"/>
                <w:sz w:val="24"/>
                <w:szCs w:val="24"/>
                <w:u w:val="single"/>
                <w:lang w:val="en-US" w:eastAsia="en-US" w:bidi="ar-SA"/>
              </w:rPr>
            </w:pPr>
            <w:hyperlink r:id="rId19" w:history="1">
              <w:r w:rsidRPr="00E139B9" w:rsidR="00223796">
                <w:rPr>
                  <w:rStyle w:val="Hyperlink"/>
                  <w:rFonts w:ascii="Times New Roman" w:eastAsia="Courier New" w:hAnsi="Times New Roman" w:cstheme="minorBidi"/>
                  <w:color w:val="0000FF"/>
                  <w:sz w:val="24"/>
                  <w:szCs w:val="24"/>
                  <w:u w:val="single"/>
                  <w:lang w:val="en-US" w:eastAsia="en-US" w:bidi="ar-SA"/>
                </w:rPr>
                <w:t>kyle.kern@ohioAGO.gov</w:t>
              </w:r>
            </w:hyperlink>
          </w:p>
          <w:p w:rsidR="00E139B9" w:rsidRPr="00E139B9" w:rsidP="00E139B9" w14:paraId="637D2561" w14:textId="77777777">
            <w:pPr>
              <w:adjustRightInd w:val="0"/>
              <w:spacing w:after="0"/>
              <w:rPr>
                <w:rStyle w:val="DefaultParagraphFont"/>
                <w:rFonts w:ascii="Times New Roman" w:hAnsi="Times New Roman" w:eastAsiaTheme="minorHAnsi" w:cstheme="minorBidi"/>
                <w:color w:val="0000FF"/>
                <w:sz w:val="24"/>
                <w:szCs w:val="24"/>
                <w:lang w:val="en-US" w:eastAsia="en-US" w:bidi="ar-SA"/>
              </w:rPr>
            </w:pPr>
            <w:r w:rsidRPr="00E139B9">
              <w:rPr>
                <w:rStyle w:val="Hyperlink"/>
                <w:rFonts w:ascii="Times New Roman" w:eastAsia="Courier New" w:hAnsi="Times New Roman" w:cstheme="minorBidi"/>
                <w:color w:val="0000FF"/>
                <w:sz w:val="24"/>
                <w:szCs w:val="24"/>
                <w:u w:val="single"/>
                <w:lang w:val="en-US" w:eastAsia="en-US" w:bidi="ar-SA"/>
              </w:rPr>
              <w:t>werner.margard@ohioAGO.gov</w:t>
            </w:r>
          </w:p>
          <w:p w:rsidR="00E139B9" w:rsidRPr="00E139B9" w:rsidP="00E139B9" w14:paraId="530FEF33" w14:textId="77777777">
            <w:pPr>
              <w:adjustRightInd w:val="0"/>
              <w:spacing w:after="0"/>
              <w:rPr>
                <w:rStyle w:val="DefaultParagraphFont"/>
                <w:rFonts w:ascii="Times New Roman" w:hAnsi="Times New Roman" w:eastAsiaTheme="minorHAnsi" w:cstheme="minorBidi"/>
                <w:bCs/>
                <w:color w:val="0000FF"/>
                <w:sz w:val="24"/>
                <w:szCs w:val="24"/>
                <w:lang w:val="en-US" w:eastAsia="en-US" w:bidi="ar-SA"/>
              </w:rPr>
            </w:pPr>
            <w:hyperlink r:id="rId20" w:history="1">
              <w:r w:rsidRPr="00E139B9" w:rsidR="00223796">
                <w:rPr>
                  <w:rStyle w:val="Hyperlink"/>
                  <w:rFonts w:ascii="Times New Roman" w:eastAsia="Courier New" w:hAnsi="Times New Roman" w:cstheme="minorBidi"/>
                  <w:bCs/>
                  <w:color w:val="0000FF"/>
                  <w:sz w:val="24"/>
                  <w:szCs w:val="24"/>
                  <w:u w:val="single"/>
                  <w:lang w:val="en-US" w:eastAsia="en-US" w:bidi="ar-SA"/>
                </w:rPr>
                <w:t>chelsea.fletcher@ohioAGO.gov</w:t>
              </w:r>
            </w:hyperlink>
          </w:p>
          <w:p w:rsidR="00E139B9" w:rsidRPr="00E139B9" w:rsidP="00E139B9" w14:paraId="25586620"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lang w:val="en-US" w:eastAsia="en-US" w:bidi="ar-SA"/>
              </w:rPr>
            </w:pPr>
            <w:hyperlink r:id="rId21" w:history="1">
              <w:r w:rsidRPr="00E139B9" w:rsidR="00223796">
                <w:rPr>
                  <w:rStyle w:val="Hyperlink"/>
                  <w:rFonts w:ascii="Times New Roman" w:eastAsia="Courier New" w:hAnsi="Times New Roman" w:cs="Times New Roman"/>
                  <w:bCs/>
                  <w:color w:val="0000FF"/>
                  <w:sz w:val="24"/>
                  <w:szCs w:val="24"/>
                  <w:u w:val="single"/>
                  <w:lang w:val="en-US" w:eastAsia="en-US" w:bidi="ar-SA"/>
                </w:rPr>
                <w:t>bmckenney@mcneeslaw.com</w:t>
              </w:r>
            </w:hyperlink>
          </w:p>
          <w:p w:rsidR="00E139B9" w:rsidRPr="00E139B9" w:rsidP="00E139B9" w14:paraId="4B5290FF"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lang w:val="en-US" w:eastAsia="en-US" w:bidi="ar-SA"/>
              </w:rPr>
            </w:pPr>
            <w:hyperlink r:id="rId22" w:history="1">
              <w:r w:rsidRPr="00E139B9" w:rsidR="00223796">
                <w:rPr>
                  <w:rStyle w:val="Hyperlink"/>
                  <w:rFonts w:ascii="Times New Roman" w:eastAsia="Courier New" w:hAnsi="Times New Roman" w:cs="Times New Roman"/>
                  <w:bCs/>
                  <w:color w:val="0000FF"/>
                  <w:sz w:val="24"/>
                  <w:szCs w:val="24"/>
                  <w:u w:val="single"/>
                  <w:lang w:val="en-US" w:eastAsia="en-US" w:bidi="ar-SA"/>
                </w:rPr>
                <w:t>mjsettineri@vorys.com</w:t>
              </w:r>
            </w:hyperlink>
          </w:p>
          <w:p w:rsidR="00E139B9" w:rsidRPr="00E139B9" w:rsidP="00E139B9" w14:paraId="39916965"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lang w:val="en-US" w:eastAsia="en-US" w:bidi="ar-SA"/>
              </w:rPr>
            </w:pPr>
            <w:hyperlink r:id="rId23" w:history="1">
              <w:r w:rsidRPr="00E139B9" w:rsidR="00223796">
                <w:rPr>
                  <w:rStyle w:val="Hyperlink"/>
                  <w:rFonts w:ascii="Times New Roman" w:eastAsia="Courier New" w:hAnsi="Times New Roman" w:cs="Times New Roman"/>
                  <w:bCs/>
                  <w:color w:val="0000FF"/>
                  <w:sz w:val="24"/>
                  <w:szCs w:val="24"/>
                  <w:u w:val="single"/>
                  <w:lang w:val="en-US" w:eastAsia="en-US" w:bidi="ar-SA"/>
                </w:rPr>
                <w:t>glpetrucci@vorys.com</w:t>
              </w:r>
            </w:hyperlink>
          </w:p>
          <w:p w:rsidR="00E139B9" w:rsidRPr="00E139B9" w:rsidP="00E139B9" w14:paraId="1A850A9B"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lang w:val="en-US" w:eastAsia="en-US" w:bidi="ar-SA"/>
              </w:rPr>
            </w:pPr>
            <w:hyperlink r:id="rId24" w:history="1">
              <w:r w:rsidRPr="00E139B9" w:rsidR="00223796">
                <w:rPr>
                  <w:rStyle w:val="Hyperlink"/>
                  <w:rFonts w:ascii="Times New Roman" w:eastAsia="Courier New" w:hAnsi="Times New Roman" w:cs="Times New Roman"/>
                  <w:bCs/>
                  <w:color w:val="0000FF"/>
                  <w:sz w:val="24"/>
                  <w:szCs w:val="24"/>
                  <w:u w:val="single"/>
                  <w:lang w:val="en-US" w:eastAsia="en-US" w:bidi="ar-SA"/>
                </w:rPr>
                <w:t>dromig@armadapower.com</w:t>
              </w:r>
            </w:hyperlink>
          </w:p>
          <w:p w:rsidR="00E139B9" w:rsidRPr="00E139B9" w:rsidP="00E139B9" w14:paraId="7CF497A6"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lang w:val="en-US" w:eastAsia="en-US" w:bidi="ar-SA"/>
              </w:rPr>
            </w:pPr>
            <w:hyperlink r:id="rId25" w:history="1">
              <w:r w:rsidRPr="00E139B9" w:rsidR="00223796">
                <w:rPr>
                  <w:rStyle w:val="Hyperlink"/>
                  <w:rFonts w:ascii="Times New Roman" w:eastAsia="Courier New" w:hAnsi="Times New Roman" w:cs="Times New Roman"/>
                  <w:bCs/>
                  <w:color w:val="0000FF"/>
                  <w:sz w:val="24"/>
                  <w:szCs w:val="24"/>
                  <w:u w:val="single"/>
                  <w:lang w:val="en-US" w:eastAsia="en-US" w:bidi="ar-SA"/>
                </w:rPr>
                <w:t>dparram@bricker.com</w:t>
              </w:r>
            </w:hyperlink>
          </w:p>
          <w:p w:rsidR="00E139B9" w:rsidRPr="00E139B9" w:rsidP="00E139B9" w14:paraId="4E6AB61D"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lang w:val="en-US" w:eastAsia="en-US" w:bidi="ar-SA"/>
              </w:rPr>
            </w:pPr>
            <w:hyperlink r:id="rId26" w:history="1">
              <w:r w:rsidRPr="00E139B9" w:rsidR="00223796">
                <w:rPr>
                  <w:rStyle w:val="Hyperlink"/>
                  <w:rFonts w:ascii="Times New Roman" w:eastAsia="Courier New" w:hAnsi="Times New Roman" w:cs="Times New Roman"/>
                  <w:bCs/>
                  <w:color w:val="0000FF"/>
                  <w:sz w:val="24"/>
                  <w:szCs w:val="24"/>
                  <w:u w:val="single"/>
                  <w:lang w:val="en-US" w:eastAsia="en-US" w:bidi="ar-SA"/>
                </w:rPr>
                <w:t>rmains@bricker.com</w:t>
              </w:r>
            </w:hyperlink>
          </w:p>
          <w:p w:rsidR="00E139B9" w:rsidRPr="00E139B9" w:rsidP="00E139B9" w14:paraId="6ED94548" w14:textId="77777777">
            <w:pPr>
              <w:pStyle w:val="BodyText"/>
              <w:spacing w:after="0" w:line="240" w:lineRule="auto"/>
              <w:jc w:val="both"/>
              <w:rPr>
                <w:rStyle w:val="Hyperlink"/>
                <w:rFonts w:ascii="Times New Roman" w:eastAsia="Courier New" w:hAnsi="Times New Roman" w:cs="Times New Roman"/>
                <w:bCs/>
                <w:color w:val="0000FF"/>
                <w:sz w:val="24"/>
                <w:szCs w:val="24"/>
                <w:u w:val="single"/>
                <w:lang w:val="en-US" w:eastAsia="en-US" w:bidi="ar-SA"/>
              </w:rPr>
            </w:pPr>
            <w:hyperlink r:id="rId27" w:history="1">
              <w:r w:rsidRPr="00E139B9" w:rsidR="00223796">
                <w:rPr>
                  <w:rStyle w:val="Hyperlink"/>
                  <w:rFonts w:ascii="Times New Roman" w:eastAsia="Courier New" w:hAnsi="Times New Roman" w:cs="Times New Roman"/>
                  <w:bCs/>
                  <w:color w:val="0000FF"/>
                  <w:sz w:val="24"/>
                  <w:szCs w:val="24"/>
                  <w:u w:val="single"/>
                  <w:lang w:val="en-US" w:eastAsia="en-US" w:bidi="ar-SA"/>
                </w:rPr>
                <w:t>ccox@elpc.org</w:t>
              </w:r>
            </w:hyperlink>
          </w:p>
          <w:p w:rsidR="00E139B9" w:rsidRPr="00E139B9" w:rsidP="00E139B9" w14:paraId="2043D7B0" w14:textId="77777777">
            <w:pPr>
              <w:pStyle w:val="BodyText"/>
              <w:spacing w:after="0" w:line="240" w:lineRule="auto"/>
              <w:jc w:val="both"/>
              <w:rPr>
                <w:rStyle w:val="Hyperlink"/>
                <w:rFonts w:ascii="Times New Roman" w:eastAsia="Courier New" w:hAnsi="Times New Roman" w:cs="Times New Roman"/>
                <w:bCs/>
                <w:color w:val="0000FF"/>
                <w:sz w:val="24"/>
                <w:szCs w:val="24"/>
                <w:u w:val="single"/>
                <w:lang w:val="en-US" w:eastAsia="en-US" w:bidi="ar-SA"/>
              </w:rPr>
            </w:pPr>
            <w:hyperlink r:id="rId28" w:history="1">
              <w:r w:rsidRPr="00E139B9" w:rsidR="00223796">
                <w:rPr>
                  <w:rStyle w:val="Hyperlink"/>
                  <w:rFonts w:ascii="Times New Roman" w:eastAsia="Courier New" w:hAnsi="Times New Roman" w:cs="Times New Roman"/>
                  <w:bCs/>
                  <w:color w:val="0000FF"/>
                  <w:sz w:val="24"/>
                  <w:szCs w:val="24"/>
                  <w:u w:val="single"/>
                  <w:lang w:val="en-US" w:eastAsia="en-US" w:bidi="ar-SA"/>
                </w:rPr>
                <w:t>khernstein@bricker.com</w:t>
              </w:r>
            </w:hyperlink>
          </w:p>
          <w:p w:rsidR="00E139B9" w:rsidRPr="00E139B9" w:rsidP="00E139B9" w14:paraId="65B65094" w14:textId="77777777">
            <w:pPr>
              <w:pStyle w:val="BodyText"/>
              <w:spacing w:after="0" w:line="240" w:lineRule="auto"/>
              <w:jc w:val="both"/>
              <w:rPr>
                <w:rStyle w:val="Hyperlink"/>
                <w:rFonts w:ascii="Times New Roman" w:eastAsia="Courier New" w:hAnsi="Times New Roman" w:cs="Times New Roman"/>
                <w:color w:val="0000FF"/>
                <w:sz w:val="24"/>
                <w:szCs w:val="24"/>
                <w:u w:val="single"/>
                <w:lang w:val="en-US" w:eastAsia="en-US" w:bidi="ar-SA"/>
              </w:rPr>
            </w:pPr>
            <w:hyperlink r:id="rId29" w:history="1">
              <w:r w:rsidRPr="00E139B9" w:rsidR="00223796">
                <w:rPr>
                  <w:rStyle w:val="Hyperlink"/>
                  <w:rFonts w:ascii="Times New Roman" w:eastAsia="Courier New" w:hAnsi="Times New Roman" w:cs="Times New Roman"/>
                  <w:bCs/>
                  <w:color w:val="0000FF"/>
                  <w:sz w:val="24"/>
                  <w:szCs w:val="24"/>
                  <w:u w:val="single"/>
                  <w:lang w:val="en-US" w:eastAsia="en-US" w:bidi="ar-SA"/>
                </w:rPr>
                <w:t>m</w:t>
              </w:r>
              <w:r w:rsidRPr="00E139B9" w:rsidR="00223796">
                <w:rPr>
                  <w:rStyle w:val="Hyperlink"/>
                  <w:rFonts w:ascii="Times New Roman" w:eastAsia="Courier New" w:hAnsi="Times New Roman" w:cs="Times New Roman"/>
                  <w:color w:val="0000FF"/>
                  <w:sz w:val="24"/>
                  <w:szCs w:val="24"/>
                  <w:u w:val="single"/>
                  <w:lang w:val="en-US" w:eastAsia="en-US" w:bidi="ar-SA"/>
                </w:rPr>
                <w:t>warnock@bricker.com</w:t>
              </w:r>
            </w:hyperlink>
          </w:p>
          <w:p w:rsidR="00E139B9" w:rsidRPr="00E139B9" w:rsidP="00E139B9" w14:paraId="1E3E2F36" w14:textId="77777777">
            <w:pPr>
              <w:pStyle w:val="BodyText"/>
              <w:spacing w:after="0" w:line="240" w:lineRule="auto"/>
              <w:jc w:val="both"/>
              <w:rPr>
                <w:rStyle w:val="DefaultParagraphFont"/>
                <w:rFonts w:ascii="Times New Roman" w:eastAsia="Times New Roman" w:hAnsi="Times New Roman" w:cs="Times New Roman"/>
                <w:color w:val="0000FF"/>
                <w:sz w:val="24"/>
                <w:szCs w:val="24"/>
                <w:lang w:val="en-US" w:eastAsia="en-US" w:bidi="ar-SA"/>
              </w:rPr>
            </w:pPr>
            <w:r w:rsidRPr="00E139B9">
              <w:rPr>
                <w:rStyle w:val="Hyperlink"/>
                <w:rFonts w:ascii="Times New Roman" w:eastAsia="Courier New" w:hAnsi="Times New Roman" w:cs="Times New Roman"/>
                <w:color w:val="0000FF"/>
                <w:sz w:val="24"/>
                <w:szCs w:val="24"/>
                <w:u w:val="single"/>
                <w:lang w:val="en-US" w:eastAsia="en-US" w:bidi="ar-SA"/>
              </w:rPr>
              <w:t>dborchers@bricker.com</w:t>
            </w:r>
          </w:p>
          <w:p w:rsidR="00E139B9" w:rsidRPr="00E139B9" w:rsidP="00E139B9" w14:paraId="52A5DE3E"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lang w:val="en-US" w:eastAsia="en-US" w:bidi="ar-SA"/>
              </w:rPr>
            </w:pPr>
            <w:hyperlink r:id="rId30" w:history="1">
              <w:r w:rsidRPr="00E139B9" w:rsidR="00223796">
                <w:rPr>
                  <w:rStyle w:val="Hyperlink"/>
                  <w:rFonts w:ascii="Times New Roman" w:eastAsia="Courier New" w:hAnsi="Times New Roman" w:cs="Times New Roman"/>
                  <w:bCs/>
                  <w:color w:val="0000FF"/>
                  <w:sz w:val="24"/>
                  <w:szCs w:val="24"/>
                  <w:u w:val="single"/>
                  <w:lang w:val="en-US" w:eastAsia="en-US" w:bidi="ar-SA"/>
                </w:rPr>
                <w:t>little@litohio.com</w:t>
              </w:r>
            </w:hyperlink>
          </w:p>
          <w:p w:rsidR="00E139B9" w:rsidRPr="00E139B9" w:rsidP="00E139B9" w14:paraId="404BD022"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lang w:val="en-US" w:eastAsia="en-US" w:bidi="ar-SA"/>
              </w:rPr>
            </w:pPr>
            <w:hyperlink r:id="rId31" w:history="1">
              <w:r w:rsidRPr="00E139B9" w:rsidR="00223796">
                <w:rPr>
                  <w:rStyle w:val="Hyperlink"/>
                  <w:rFonts w:ascii="Times New Roman" w:eastAsia="Courier New" w:hAnsi="Times New Roman" w:cs="Times New Roman"/>
                  <w:bCs/>
                  <w:color w:val="0000FF"/>
                  <w:sz w:val="24"/>
                  <w:szCs w:val="24"/>
                  <w:u w:val="single"/>
                  <w:lang w:val="en-US" w:eastAsia="en-US" w:bidi="ar-SA"/>
                </w:rPr>
                <w:t>hogan@litohio.com</w:t>
              </w:r>
            </w:hyperlink>
          </w:p>
          <w:p w:rsidR="00E139B9" w:rsidRPr="00E139B9" w:rsidP="00E139B9" w14:paraId="377C7980"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lang w:val="en-US" w:eastAsia="en-US" w:bidi="ar-SA"/>
              </w:rPr>
            </w:pPr>
            <w:hyperlink r:id="rId32" w:history="1">
              <w:r w:rsidRPr="00E139B9" w:rsidR="00223796">
                <w:rPr>
                  <w:rStyle w:val="Hyperlink"/>
                  <w:rFonts w:ascii="Times New Roman" w:eastAsia="Courier New" w:hAnsi="Times New Roman" w:cs="Times New Roman"/>
                  <w:bCs/>
                  <w:color w:val="0000FF"/>
                  <w:sz w:val="24"/>
                  <w:szCs w:val="24"/>
                  <w:u w:val="single"/>
                  <w:lang w:val="en-US" w:eastAsia="en-US" w:bidi="ar-SA"/>
                </w:rPr>
                <w:t>ktreadway@oneenergyllc.com</w:t>
              </w:r>
            </w:hyperlink>
          </w:p>
          <w:p w:rsidR="00E139B9" w:rsidRPr="00E139B9" w:rsidP="00E139B9" w14:paraId="3D4DF27A"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lang w:val="en-US" w:eastAsia="en-US" w:bidi="ar-SA"/>
              </w:rPr>
            </w:pPr>
            <w:hyperlink r:id="rId33" w:history="1">
              <w:r w:rsidRPr="00E139B9" w:rsidR="00223796">
                <w:rPr>
                  <w:rStyle w:val="Hyperlink"/>
                  <w:rFonts w:ascii="Times New Roman" w:eastAsia="Courier New" w:hAnsi="Times New Roman" w:cs="Times New Roman"/>
                  <w:bCs/>
                  <w:color w:val="0000FF"/>
                  <w:sz w:val="24"/>
                  <w:szCs w:val="24"/>
                  <w:u w:val="single"/>
                  <w:lang w:val="en-US" w:eastAsia="en-US" w:bidi="ar-SA"/>
                </w:rPr>
                <w:t>jdunn@oneenergyllc.com</w:t>
              </w:r>
            </w:hyperlink>
          </w:p>
          <w:p w:rsidR="00E139B9" w:rsidRPr="00E139B9" w:rsidP="00E139B9" w14:paraId="725BF707"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lang w:val="en-US" w:eastAsia="en-US" w:bidi="ar-SA"/>
              </w:rPr>
            </w:pPr>
            <w:hyperlink r:id="rId34" w:history="1">
              <w:r w:rsidRPr="00E139B9" w:rsidR="00223796">
                <w:rPr>
                  <w:rStyle w:val="Hyperlink"/>
                  <w:rFonts w:ascii="Times New Roman" w:eastAsia="Courier New" w:hAnsi="Times New Roman" w:cs="Times New Roman"/>
                  <w:bCs/>
                  <w:color w:val="0000FF"/>
                  <w:sz w:val="24"/>
                  <w:szCs w:val="24"/>
                  <w:u w:val="single"/>
                  <w:lang w:val="en-US" w:eastAsia="en-US" w:bidi="ar-SA"/>
                </w:rPr>
                <w:t>whitt@whitt-sturtevant.com</w:t>
              </w:r>
            </w:hyperlink>
          </w:p>
          <w:p w:rsidR="00E139B9" w:rsidRPr="00E139B9" w:rsidP="00E139B9" w14:paraId="4D20B709"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lang w:val="en-US" w:eastAsia="en-US" w:bidi="ar-SA"/>
              </w:rPr>
            </w:pPr>
            <w:hyperlink r:id="rId35" w:history="1">
              <w:r w:rsidRPr="00E139B9" w:rsidR="00223796">
                <w:rPr>
                  <w:rStyle w:val="Hyperlink"/>
                  <w:rFonts w:ascii="Times New Roman" w:eastAsia="Courier New" w:hAnsi="Times New Roman" w:cs="Times New Roman"/>
                  <w:bCs/>
                  <w:color w:val="0000FF"/>
                  <w:sz w:val="24"/>
                  <w:szCs w:val="24"/>
                  <w:u w:val="single"/>
                  <w:lang w:val="en-US" w:eastAsia="en-US" w:bidi="ar-SA"/>
                </w:rPr>
                <w:t>fykes@whitt-sturtevant.com</w:t>
              </w:r>
            </w:hyperlink>
          </w:p>
          <w:p w:rsidR="00E139B9" w:rsidRPr="00E139B9" w:rsidP="00E139B9" w14:paraId="7B1AB8E5" w14:textId="77777777">
            <w:pPr>
              <w:adjustRightInd w:val="0"/>
              <w:spacing w:after="0"/>
              <w:rPr>
                <w:rStyle w:val="DefaultParagraphFont"/>
                <w:rFonts w:ascii="Times New Roman" w:hAnsi="Times New Roman" w:eastAsiaTheme="minorHAnsi" w:cstheme="minorBidi"/>
                <w:bCs/>
                <w:color w:val="0000FF"/>
                <w:sz w:val="24"/>
                <w:szCs w:val="24"/>
                <w:lang w:val="en-US" w:eastAsia="en-US" w:bidi="ar-SA"/>
              </w:rPr>
            </w:pPr>
            <w:hyperlink r:id="rId36" w:history="1">
              <w:r w:rsidRPr="00E139B9" w:rsidR="00223796">
                <w:rPr>
                  <w:rStyle w:val="Hyperlink"/>
                  <w:rFonts w:ascii="Times New Roman" w:eastAsia="Courier New" w:hAnsi="Times New Roman" w:cstheme="minorBidi"/>
                  <w:bCs/>
                  <w:color w:val="0000FF"/>
                  <w:sz w:val="24"/>
                  <w:szCs w:val="24"/>
                  <w:u w:val="single"/>
                  <w:lang w:val="en-US" w:eastAsia="en-US" w:bidi="ar-SA"/>
                </w:rPr>
                <w:t>rhartley@fbtlaw.com</w:t>
              </w:r>
            </w:hyperlink>
          </w:p>
          <w:p w:rsidR="00E139B9" w:rsidRPr="00E139B9" w:rsidP="00E139B9" w14:paraId="4B342738" w14:textId="77777777">
            <w:pPr>
              <w:adjustRightInd w:val="0"/>
              <w:spacing w:after="0"/>
              <w:rPr>
                <w:rStyle w:val="DefaultParagraphFont"/>
                <w:rFonts w:ascii="Times New Roman" w:hAnsi="Times New Roman" w:eastAsiaTheme="minorHAnsi" w:cstheme="minorBidi"/>
                <w:bCs/>
                <w:color w:val="0000FF"/>
                <w:sz w:val="24"/>
                <w:szCs w:val="24"/>
                <w:lang w:val="en-US" w:eastAsia="en-US" w:bidi="ar-SA"/>
              </w:rPr>
            </w:pPr>
            <w:hyperlink r:id="rId37" w:history="1">
              <w:r w:rsidRPr="00E139B9" w:rsidR="00223796">
                <w:rPr>
                  <w:rStyle w:val="Hyperlink"/>
                  <w:rFonts w:ascii="Times New Roman" w:eastAsia="Courier New" w:hAnsi="Times New Roman" w:cstheme="minorBidi"/>
                  <w:bCs/>
                  <w:color w:val="0000FF"/>
                  <w:sz w:val="24"/>
                  <w:szCs w:val="24"/>
                  <w:u w:val="single"/>
                  <w:lang w:val="en-US" w:eastAsia="en-US" w:bidi="ar-SA"/>
                </w:rPr>
                <w:t>cwieg@fbtlaw.com</w:t>
              </w:r>
            </w:hyperlink>
          </w:p>
          <w:p w:rsidR="00E139B9" w:rsidRPr="00E139B9" w:rsidP="00E139B9" w14:paraId="2AD17D44" w14:textId="77777777">
            <w:pPr>
              <w:adjustRightInd w:val="0"/>
              <w:spacing w:after="0"/>
              <w:rPr>
                <w:rStyle w:val="DefaultParagraphFont"/>
                <w:rFonts w:ascii="Times New Roman" w:hAnsi="Times New Roman" w:eastAsiaTheme="minorHAnsi" w:cstheme="minorBidi"/>
                <w:bCs/>
                <w:color w:val="0000FF"/>
                <w:sz w:val="24"/>
                <w:szCs w:val="24"/>
                <w:lang w:val="en-US" w:eastAsia="en-US" w:bidi="ar-SA"/>
              </w:rPr>
            </w:pPr>
            <w:hyperlink r:id="rId38" w:history="1">
              <w:r w:rsidRPr="00E139B9" w:rsidR="00223796">
                <w:rPr>
                  <w:rStyle w:val="Hyperlink"/>
                  <w:rFonts w:ascii="Times New Roman" w:eastAsia="Courier New" w:hAnsi="Times New Roman" w:cstheme="minorBidi"/>
                  <w:bCs/>
                  <w:color w:val="0000FF"/>
                  <w:sz w:val="24"/>
                  <w:szCs w:val="24"/>
                  <w:u w:val="single"/>
                  <w:lang w:val="en-US" w:eastAsia="en-US" w:bidi="ar-SA"/>
                </w:rPr>
                <w:t>talexander@beneschlaw.com</w:t>
              </w:r>
            </w:hyperlink>
          </w:p>
          <w:p w:rsidR="00E139B9" w:rsidRPr="00E139B9" w:rsidP="00E139B9" w14:paraId="41BF5F16" w14:textId="77777777">
            <w:pPr>
              <w:adjustRightInd w:val="0"/>
              <w:spacing w:after="0"/>
              <w:rPr>
                <w:rStyle w:val="DefaultParagraphFont"/>
                <w:rFonts w:ascii="Times New Roman" w:hAnsi="Times New Roman" w:eastAsiaTheme="minorHAnsi" w:cstheme="minorBidi"/>
                <w:bCs/>
                <w:color w:val="0000FF"/>
                <w:sz w:val="24"/>
                <w:szCs w:val="24"/>
                <w:lang w:val="en-US" w:eastAsia="en-US" w:bidi="ar-SA"/>
              </w:rPr>
            </w:pPr>
            <w:hyperlink r:id="rId39" w:history="1">
              <w:r w:rsidRPr="00E139B9" w:rsidR="00223796">
                <w:rPr>
                  <w:rStyle w:val="Hyperlink"/>
                  <w:rFonts w:ascii="Times New Roman" w:eastAsia="Courier New" w:hAnsi="Times New Roman" w:cstheme="minorBidi"/>
                  <w:bCs/>
                  <w:color w:val="0000FF"/>
                  <w:sz w:val="24"/>
                  <w:szCs w:val="24"/>
                  <w:u w:val="single"/>
                  <w:lang w:val="en-US" w:eastAsia="en-US" w:bidi="ar-SA"/>
                </w:rPr>
                <w:t>khehmeyer@beneschlaw.com</w:t>
              </w:r>
            </w:hyperlink>
          </w:p>
          <w:p w:rsidR="00E139B9" w:rsidRPr="00E139B9" w:rsidP="00E139B9" w14:paraId="65AFB079" w14:textId="77777777">
            <w:pPr>
              <w:adjustRightInd w:val="0"/>
              <w:spacing w:after="0"/>
              <w:rPr>
                <w:rStyle w:val="DefaultParagraphFont"/>
                <w:rFonts w:ascii="Times New Roman" w:hAnsi="Times New Roman" w:eastAsiaTheme="minorHAnsi" w:cstheme="minorBidi"/>
                <w:bCs/>
                <w:color w:val="0000FF"/>
                <w:sz w:val="24"/>
                <w:szCs w:val="24"/>
                <w:lang w:val="en-US" w:eastAsia="en-US" w:bidi="ar-SA"/>
              </w:rPr>
            </w:pPr>
            <w:hyperlink r:id="rId40" w:history="1">
              <w:r w:rsidRPr="00E139B9" w:rsidR="00223796">
                <w:rPr>
                  <w:rStyle w:val="Hyperlink"/>
                  <w:rFonts w:ascii="Times New Roman" w:eastAsia="Courier New" w:hAnsi="Times New Roman" w:cstheme="minorBidi"/>
                  <w:bCs/>
                  <w:color w:val="0000FF"/>
                  <w:sz w:val="24"/>
                  <w:szCs w:val="24"/>
                  <w:u w:val="single"/>
                  <w:lang w:val="en-US" w:eastAsia="en-US" w:bidi="ar-SA"/>
                </w:rPr>
                <w:t>ssiewe@beneschlaw.com</w:t>
              </w:r>
            </w:hyperlink>
          </w:p>
          <w:p w:rsidR="00E139B9" w:rsidRPr="00423400" w:rsidP="00E139B9" w14:paraId="2011F7DD" w14:textId="77777777">
            <w:pPr>
              <w:autoSpaceDE w:val="0"/>
              <w:autoSpaceDN w:val="0"/>
              <w:adjustRightInd w:val="0"/>
              <w:spacing w:after="0"/>
              <w:rPr>
                <w:rStyle w:val="DefaultParagraphFont"/>
                <w:rFonts w:ascii="Times New Roman" w:hAnsi="Times New Roman" w:eastAsiaTheme="minorHAnsi" w:cs="Times New Roman"/>
                <w:bCs/>
                <w:sz w:val="24"/>
                <w:szCs w:val="24"/>
                <w:lang w:val="en-US" w:eastAsia="en-US" w:bidi="ar-SA"/>
              </w:rPr>
            </w:pPr>
          </w:p>
          <w:p w:rsidR="00E139B9" w:rsidRPr="00423400" w:rsidP="00E139B9" w14:paraId="6C5E8DF5" w14:textId="77777777">
            <w:pPr>
              <w:spacing w:after="0"/>
              <w:rPr>
                <w:rStyle w:val="DefaultParagraphFont"/>
                <w:rFonts w:ascii="Times New Roman" w:hAnsi="Times New Roman" w:eastAsiaTheme="minorHAnsi" w:cs="Times New Roman"/>
                <w:bCs/>
                <w:sz w:val="24"/>
                <w:szCs w:val="24"/>
                <w:lang w:val="en-US" w:eastAsia="en-US" w:bidi="ar-SA"/>
              </w:rPr>
            </w:pPr>
            <w:r w:rsidRPr="00423400">
              <w:rPr>
                <w:rFonts w:ascii="Times New Roman" w:hAnsi="Times New Roman" w:eastAsiaTheme="minorHAnsi" w:cs="Times New Roman"/>
                <w:bCs/>
                <w:sz w:val="24"/>
                <w:szCs w:val="24"/>
                <w:lang w:val="en-US" w:eastAsia="en-US" w:bidi="ar-SA"/>
              </w:rPr>
              <w:t>Attorney Examiners:</w:t>
            </w:r>
          </w:p>
          <w:p w:rsidR="00E139B9" w:rsidRPr="00423400" w:rsidP="00E139B9" w14:paraId="0278E472" w14:textId="77777777">
            <w:pPr>
              <w:adjustRightInd w:val="0"/>
              <w:spacing w:after="0"/>
              <w:rPr>
                <w:rStyle w:val="DefaultParagraphFont"/>
                <w:rFonts w:ascii="Times New Roman" w:hAnsi="Times New Roman" w:eastAsiaTheme="minorHAnsi" w:cs="Times New Roman"/>
                <w:color w:val="0000FF"/>
                <w:sz w:val="24"/>
                <w:szCs w:val="24"/>
                <w:u w:val="single"/>
                <w:lang w:val="en-US" w:eastAsia="en-US" w:bidi="ar-SA"/>
              </w:rPr>
            </w:pPr>
            <w:hyperlink r:id="rId41" w:history="1">
              <w:r w:rsidRPr="00423400" w:rsidR="00223796">
                <w:rPr>
                  <w:rFonts w:ascii="Times New Roman" w:hAnsi="Times New Roman" w:eastAsiaTheme="minorHAnsi" w:cs="Times New Roman"/>
                  <w:color w:val="0000FF"/>
                  <w:sz w:val="24"/>
                  <w:szCs w:val="24"/>
                  <w:u w:val="single"/>
                  <w:lang w:val="en-US" w:eastAsia="en-US" w:bidi="ar-SA"/>
                </w:rPr>
                <w:t>patricia.schabo@puco.ohio.gov</w:t>
              </w:r>
            </w:hyperlink>
          </w:p>
          <w:p w:rsidR="00E139B9" w:rsidRPr="00423400" w:rsidP="00E139B9" w14:paraId="72E0A761" w14:textId="77777777">
            <w:pPr>
              <w:spacing w:after="0"/>
              <w:rPr>
                <w:rStyle w:val="DefaultParagraphFont"/>
                <w:rFonts w:ascii="Times New Roman" w:hAnsi="Times New Roman" w:eastAsiaTheme="minorHAnsi" w:cs="Times New Roman"/>
                <w:bCs/>
                <w:sz w:val="24"/>
                <w:szCs w:val="24"/>
                <w:lang w:val="en-US" w:eastAsia="en-US" w:bidi="ar-SA"/>
              </w:rPr>
            </w:pPr>
            <w:r w:rsidRPr="00423400">
              <w:rPr>
                <w:rFonts w:ascii="Times New Roman" w:hAnsi="Times New Roman" w:eastAsiaTheme="minorHAnsi" w:cs="Times New Roman"/>
                <w:color w:val="0000FF"/>
                <w:sz w:val="24"/>
                <w:szCs w:val="24"/>
                <w:u w:val="single"/>
                <w:lang w:val="en-US" w:eastAsia="en-US" w:bidi="ar-SA"/>
              </w:rPr>
              <w:t>Michael.williams@puco.ohio.gov</w:t>
            </w:r>
          </w:p>
        </w:tc>
        <w:tc>
          <w:tcPr>
            <w:tcW w:w="4252" w:type="dxa"/>
          </w:tcPr>
          <w:p w:rsidR="00E139B9" w:rsidRPr="00E139B9" w:rsidP="00E139B9" w14:paraId="2F821666"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lang w:val="en-US" w:eastAsia="en-US" w:bidi="ar-SA"/>
              </w:rPr>
            </w:pPr>
            <w:hyperlink r:id="rId42" w:history="1">
              <w:r w:rsidRPr="00E139B9" w:rsidR="00223796">
                <w:rPr>
                  <w:rStyle w:val="Hyperlink"/>
                  <w:rFonts w:ascii="Times New Roman" w:eastAsia="Courier New" w:hAnsi="Times New Roman" w:cs="Times New Roman"/>
                  <w:bCs/>
                  <w:color w:val="0000FF"/>
                  <w:sz w:val="24"/>
                  <w:szCs w:val="24"/>
                  <w:u w:val="single"/>
                  <w:lang w:val="en-US" w:eastAsia="en-US" w:bidi="ar-SA"/>
                </w:rPr>
                <w:t>bojko@carpenterlipps.com</w:t>
              </w:r>
            </w:hyperlink>
          </w:p>
          <w:p w:rsidR="00E139B9" w:rsidRPr="00E139B9" w:rsidP="00E139B9" w14:paraId="2CA20FA9" w14:textId="77777777">
            <w:pPr>
              <w:pStyle w:val="BodyText"/>
              <w:spacing w:after="0" w:line="240" w:lineRule="auto"/>
              <w:jc w:val="both"/>
              <w:rPr>
                <w:rStyle w:val="Hyperlink"/>
                <w:rFonts w:ascii="Times New Roman" w:eastAsia="Courier New" w:hAnsi="Times New Roman" w:cs="Times New Roman"/>
                <w:bCs/>
                <w:color w:val="0000FF"/>
                <w:sz w:val="24"/>
                <w:szCs w:val="24"/>
                <w:u w:val="single"/>
                <w:lang w:val="en-US" w:eastAsia="en-US" w:bidi="ar-SA"/>
              </w:rPr>
            </w:pPr>
            <w:hyperlink r:id="rId43" w:history="1">
              <w:r w:rsidRPr="00E139B9" w:rsidR="00223796">
                <w:rPr>
                  <w:rStyle w:val="Hyperlink"/>
                  <w:rFonts w:ascii="Times New Roman" w:eastAsia="Courier New" w:hAnsi="Times New Roman" w:cs="Times New Roman"/>
                  <w:bCs/>
                  <w:color w:val="0000FF"/>
                  <w:sz w:val="24"/>
                  <w:szCs w:val="24"/>
                  <w:u w:val="single"/>
                  <w:lang w:val="en-US" w:eastAsia="en-US" w:bidi="ar-SA"/>
                </w:rPr>
                <w:t>paul@carpenterlipps.com</w:t>
              </w:r>
            </w:hyperlink>
          </w:p>
          <w:p w:rsidR="00E139B9" w:rsidRPr="00E139B9" w:rsidP="00E139B9" w14:paraId="603FA09B" w14:textId="77777777">
            <w:pPr>
              <w:pStyle w:val="BodyText"/>
              <w:spacing w:after="0" w:line="240" w:lineRule="auto"/>
              <w:jc w:val="both"/>
              <w:rPr>
                <w:rStyle w:val="Hyperlink"/>
                <w:rFonts w:ascii="Times New Roman" w:eastAsia="Courier New" w:hAnsi="Times New Roman" w:cs="Times New Roman"/>
                <w:bCs/>
                <w:color w:val="0000FF"/>
                <w:sz w:val="24"/>
                <w:szCs w:val="24"/>
                <w:u w:val="single"/>
                <w:lang w:val="en-US" w:eastAsia="en-US" w:bidi="ar-SA"/>
              </w:rPr>
            </w:pPr>
            <w:hyperlink r:id="rId44" w:history="1">
              <w:r w:rsidRPr="00E139B9" w:rsidR="00223796">
                <w:rPr>
                  <w:rStyle w:val="Hyperlink"/>
                  <w:rFonts w:ascii="Times New Roman" w:eastAsia="Courier New" w:hAnsi="Times New Roman" w:cs="Times New Roman"/>
                  <w:bCs/>
                  <w:color w:val="0000FF"/>
                  <w:sz w:val="24"/>
                  <w:szCs w:val="24"/>
                  <w:u w:val="single"/>
                  <w:lang w:val="en-US" w:eastAsia="en-US" w:bidi="ar-SA"/>
                </w:rPr>
                <w:t>donadio@carpenterlipps.com</w:t>
              </w:r>
            </w:hyperlink>
          </w:p>
          <w:p w:rsidR="00E139B9" w:rsidRPr="00E139B9" w:rsidP="00E139B9" w14:paraId="04014ED3"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lang w:val="en-US" w:eastAsia="en-US" w:bidi="ar-SA"/>
              </w:rPr>
            </w:pPr>
            <w:r w:rsidRPr="00E139B9">
              <w:rPr>
                <w:rStyle w:val="Hyperlink"/>
                <w:rFonts w:ascii="Times New Roman" w:eastAsia="Courier New" w:hAnsi="Times New Roman" w:cs="Times New Roman"/>
                <w:color w:val="0000FF"/>
                <w:sz w:val="24"/>
                <w:szCs w:val="24"/>
                <w:u w:val="single"/>
                <w:lang w:val="en-US" w:eastAsia="en-US" w:bidi="ar-SA"/>
              </w:rPr>
              <w:t>wygonski@carpenterlipps.com</w:t>
            </w:r>
          </w:p>
          <w:p w:rsidR="00E139B9" w:rsidRPr="00E139B9" w:rsidP="00E139B9" w14:paraId="4139B970"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lang w:val="en-US" w:eastAsia="en-US" w:bidi="ar-SA"/>
              </w:rPr>
            </w:pPr>
            <w:hyperlink r:id="rId45" w:history="1">
              <w:r w:rsidRPr="00E139B9" w:rsidR="00223796">
                <w:rPr>
                  <w:rStyle w:val="Hyperlink"/>
                  <w:rFonts w:ascii="Times New Roman" w:eastAsia="Courier New" w:hAnsi="Times New Roman" w:cs="Times New Roman"/>
                  <w:bCs/>
                  <w:color w:val="0000FF"/>
                  <w:sz w:val="24"/>
                  <w:szCs w:val="24"/>
                  <w:u w:val="single"/>
                  <w:lang w:val="en-US" w:eastAsia="en-US" w:bidi="ar-SA"/>
                </w:rPr>
                <w:t>michael.schuler@aes.com</w:t>
              </w:r>
            </w:hyperlink>
          </w:p>
          <w:p w:rsidR="00E139B9" w:rsidRPr="00E139B9" w:rsidP="00E139B9" w14:paraId="5E8BCDC9" w14:textId="77777777">
            <w:pPr>
              <w:adjustRightInd w:val="0"/>
              <w:spacing w:after="0" w:line="240" w:lineRule="auto"/>
              <w:rPr>
                <w:rStyle w:val="DefaultParagraphFont"/>
                <w:rFonts w:ascii="Times New Roman" w:hAnsi="Times New Roman" w:eastAsiaTheme="minorHAnsi" w:cstheme="minorBidi"/>
                <w:color w:val="0000FF"/>
                <w:sz w:val="24"/>
                <w:szCs w:val="24"/>
                <w:u w:val="single"/>
                <w:lang w:val="en-US" w:eastAsia="en-US" w:bidi="ar-SA"/>
              </w:rPr>
            </w:pPr>
            <w:r w:rsidRPr="00E139B9">
              <w:rPr>
                <w:rFonts w:ascii="Times New Roman" w:hAnsi="Times New Roman" w:eastAsiaTheme="minorHAnsi" w:cstheme="minorBidi"/>
                <w:color w:val="0000FF"/>
                <w:sz w:val="24"/>
                <w:szCs w:val="24"/>
                <w:u w:val="single"/>
                <w:lang w:val="en-US" w:eastAsia="en-US" w:bidi="ar-SA"/>
              </w:rPr>
              <w:t>jsharkey@ficlaw.com</w:t>
            </w:r>
          </w:p>
          <w:p w:rsidR="00E139B9" w:rsidRPr="00E139B9" w:rsidP="00E139B9" w14:paraId="34627887" w14:textId="77777777">
            <w:pPr>
              <w:adjustRightInd w:val="0"/>
              <w:spacing w:after="0" w:line="240" w:lineRule="auto"/>
              <w:rPr>
                <w:rStyle w:val="DefaultParagraphFont"/>
                <w:rFonts w:ascii="Times New Roman" w:hAnsi="Times New Roman" w:eastAsiaTheme="minorHAnsi" w:cstheme="minorBidi"/>
                <w:color w:val="0000FF"/>
                <w:sz w:val="24"/>
                <w:szCs w:val="24"/>
                <w:u w:val="single"/>
                <w:lang w:val="en-US" w:eastAsia="en-US" w:bidi="ar-SA"/>
              </w:rPr>
            </w:pPr>
            <w:hyperlink r:id="rId46" w:history="1">
              <w:r w:rsidRPr="00E139B9" w:rsidR="00223796">
                <w:rPr>
                  <w:rStyle w:val="Hyperlink"/>
                  <w:rFonts w:ascii="Times New Roman" w:hAnsi="Times New Roman" w:eastAsiaTheme="minorHAnsi" w:cstheme="minorBidi"/>
                  <w:color w:val="0000FF"/>
                  <w:sz w:val="24"/>
                  <w:szCs w:val="24"/>
                  <w:u w:val="single"/>
                  <w:lang w:val="en-US" w:eastAsia="en-US" w:bidi="ar-SA"/>
                </w:rPr>
                <w:t>djireland@ficlaw.com</w:t>
              </w:r>
            </w:hyperlink>
          </w:p>
          <w:p w:rsidR="00E139B9" w:rsidRPr="00E139B9" w:rsidP="00E139B9" w14:paraId="40B6AB16" w14:textId="77777777">
            <w:pPr>
              <w:adjustRightInd w:val="0"/>
              <w:spacing w:after="0" w:line="240" w:lineRule="auto"/>
              <w:rPr>
                <w:rStyle w:val="DefaultParagraphFont"/>
                <w:rFonts w:ascii="Times New Roman" w:hAnsi="Times New Roman" w:eastAsiaTheme="minorHAnsi" w:cstheme="minorBidi"/>
                <w:color w:val="0000FF"/>
                <w:sz w:val="24"/>
                <w:szCs w:val="24"/>
                <w:u w:val="single"/>
                <w:lang w:val="en-US" w:eastAsia="en-US" w:bidi="ar-SA"/>
              </w:rPr>
            </w:pPr>
            <w:hyperlink r:id="rId47" w:history="1">
              <w:r w:rsidRPr="00E139B9" w:rsidR="00223796">
                <w:rPr>
                  <w:rStyle w:val="Hyperlink"/>
                  <w:rFonts w:ascii="Times New Roman" w:hAnsi="Times New Roman" w:eastAsiaTheme="minorHAnsi" w:cstheme="minorBidi"/>
                  <w:color w:val="0000FF"/>
                  <w:sz w:val="24"/>
                  <w:szCs w:val="24"/>
                  <w:u w:val="single"/>
                  <w:lang w:val="en-US" w:eastAsia="en-US" w:bidi="ar-SA"/>
                </w:rPr>
                <w:t>mwatt@ficlaw.com</w:t>
              </w:r>
            </w:hyperlink>
          </w:p>
          <w:p w:rsidR="00E139B9" w:rsidRPr="00E139B9" w:rsidP="00E139B9" w14:paraId="3ACE2EE1" w14:textId="77777777">
            <w:pPr>
              <w:adjustRightInd w:val="0"/>
              <w:spacing w:after="0" w:line="240" w:lineRule="auto"/>
              <w:rPr>
                <w:rStyle w:val="DefaultParagraphFont"/>
                <w:rFonts w:ascii="Times New Roman" w:hAnsi="Times New Roman" w:eastAsiaTheme="minorHAnsi" w:cstheme="minorBidi"/>
                <w:color w:val="0000FF"/>
                <w:sz w:val="24"/>
                <w:szCs w:val="24"/>
                <w:lang w:val="en-US" w:eastAsia="en-US" w:bidi="ar-SA"/>
              </w:rPr>
            </w:pPr>
            <w:hyperlink r:id="rId48" w:history="1">
              <w:r w:rsidRPr="00E139B9" w:rsidR="00223796">
                <w:rPr>
                  <w:rStyle w:val="Hyperlink"/>
                  <w:rFonts w:ascii="Times New Roman" w:hAnsi="Times New Roman" w:eastAsiaTheme="minorHAnsi" w:cstheme="minorBidi"/>
                  <w:color w:val="0000FF"/>
                  <w:sz w:val="24"/>
                  <w:szCs w:val="24"/>
                  <w:u w:val="single"/>
                  <w:lang w:val="en-US" w:eastAsia="en-US" w:bidi="ar-SA"/>
                </w:rPr>
                <w:t>jweber@elpc.org</w:t>
              </w:r>
            </w:hyperlink>
          </w:p>
          <w:p w:rsidR="00E139B9" w:rsidRPr="00E139B9" w:rsidP="00E139B9" w14:paraId="12E936F2" w14:textId="77777777">
            <w:pPr>
              <w:adjustRightInd w:val="0"/>
              <w:spacing w:after="0" w:line="240" w:lineRule="auto"/>
              <w:rPr>
                <w:rStyle w:val="DefaultParagraphFont"/>
                <w:rFonts w:ascii="Times New Roman" w:hAnsi="Times New Roman" w:eastAsiaTheme="minorHAnsi" w:cstheme="minorBidi"/>
                <w:color w:val="0000FF"/>
                <w:sz w:val="24"/>
                <w:szCs w:val="24"/>
                <w:u w:val="single"/>
                <w:lang w:val="en-US" w:eastAsia="en-US" w:bidi="ar-SA"/>
              </w:rPr>
            </w:pPr>
            <w:r w:rsidRPr="00E139B9">
              <w:rPr>
                <w:rFonts w:ascii="Times New Roman" w:hAnsi="Times New Roman" w:eastAsiaTheme="minorHAnsi" w:cstheme="minorBidi"/>
                <w:color w:val="0000FF"/>
                <w:sz w:val="24"/>
                <w:szCs w:val="24"/>
                <w:u w:val="single"/>
                <w:lang w:val="en-US" w:eastAsia="en-US" w:bidi="ar-SA"/>
              </w:rPr>
              <w:t>christopher.hollon@aes.com</w:t>
            </w:r>
          </w:p>
          <w:p w:rsidR="00E139B9" w:rsidRPr="00E139B9" w:rsidP="00E139B9" w14:paraId="17EDA727" w14:textId="77777777">
            <w:pPr>
              <w:adjustRightInd w:val="0"/>
              <w:spacing w:after="0" w:line="240" w:lineRule="auto"/>
              <w:rPr>
                <w:rStyle w:val="DefaultParagraphFont"/>
                <w:rFonts w:ascii="Times New Roman" w:hAnsi="Times New Roman" w:eastAsiaTheme="minorHAnsi" w:cstheme="minorBidi"/>
                <w:color w:val="0000FF"/>
                <w:sz w:val="24"/>
                <w:szCs w:val="24"/>
                <w:u w:val="single"/>
                <w:lang w:val="en-US" w:eastAsia="en-US" w:bidi="ar-SA"/>
              </w:rPr>
            </w:pPr>
            <w:r w:rsidRPr="00E139B9">
              <w:rPr>
                <w:rFonts w:ascii="Times New Roman" w:hAnsi="Times New Roman" w:eastAsiaTheme="minorHAnsi" w:cstheme="minorBidi"/>
                <w:color w:val="0000FF"/>
                <w:sz w:val="24"/>
                <w:szCs w:val="24"/>
                <w:u w:val="single"/>
                <w:lang w:val="en-US" w:eastAsia="en-US" w:bidi="ar-SA"/>
              </w:rPr>
              <w:t>mkurtz@BKLlawfirm.com</w:t>
            </w:r>
          </w:p>
          <w:p w:rsidR="00E139B9" w:rsidRPr="00E139B9" w:rsidP="00E139B9" w14:paraId="1332305A" w14:textId="77777777">
            <w:pPr>
              <w:adjustRightInd w:val="0"/>
              <w:spacing w:after="0" w:line="240" w:lineRule="auto"/>
              <w:rPr>
                <w:rStyle w:val="DefaultParagraphFont"/>
                <w:rFonts w:ascii="Times New Roman" w:hAnsi="Times New Roman" w:eastAsiaTheme="minorHAnsi" w:cstheme="minorBidi"/>
                <w:color w:val="0000FF"/>
                <w:sz w:val="24"/>
                <w:szCs w:val="24"/>
                <w:u w:val="single"/>
                <w:lang w:val="en-US" w:eastAsia="en-US" w:bidi="ar-SA"/>
              </w:rPr>
            </w:pPr>
            <w:r w:rsidRPr="00E139B9">
              <w:rPr>
                <w:rFonts w:ascii="Times New Roman" w:hAnsi="Times New Roman" w:eastAsiaTheme="minorHAnsi" w:cstheme="minorBidi"/>
                <w:color w:val="0000FF"/>
                <w:sz w:val="24"/>
                <w:szCs w:val="24"/>
                <w:u w:val="single"/>
                <w:lang w:val="en-US" w:eastAsia="en-US" w:bidi="ar-SA"/>
              </w:rPr>
              <w:t>kboehm@BKLlawfirm.com</w:t>
            </w:r>
          </w:p>
          <w:p w:rsidR="00E139B9" w:rsidRPr="00E139B9" w:rsidP="00E139B9" w14:paraId="0775B47B" w14:textId="77777777">
            <w:pPr>
              <w:pStyle w:val="BodyText"/>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hyperlink r:id="rId49" w:history="1">
              <w:r w:rsidRPr="00E139B9" w:rsidR="00223796">
                <w:rPr>
                  <w:rStyle w:val="Hyperlink"/>
                  <w:rFonts w:ascii="Times New Roman" w:eastAsia="Courier New" w:hAnsi="Times New Roman" w:cs="Times New Roman"/>
                  <w:color w:val="0000FF"/>
                  <w:sz w:val="24"/>
                  <w:szCs w:val="24"/>
                  <w:u w:val="single"/>
                  <w:lang w:val="en-US" w:eastAsia="en-US" w:bidi="ar-SA"/>
                </w:rPr>
                <w:t>jkylercohn@BKLlawfirm.com</w:t>
              </w:r>
            </w:hyperlink>
          </w:p>
          <w:p w:rsidR="00E139B9" w:rsidRPr="00E139B9" w:rsidP="00E139B9" w14:paraId="4999869C"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u w:val="single"/>
                <w:lang w:val="en-US" w:eastAsia="en-US" w:bidi="ar-SA"/>
              </w:rPr>
            </w:pPr>
            <w:hyperlink r:id="rId50" w:history="1">
              <w:r w:rsidRPr="00E139B9" w:rsidR="00223796">
                <w:rPr>
                  <w:rStyle w:val="Hyperlink"/>
                  <w:rFonts w:ascii="Times New Roman" w:eastAsia="Courier New" w:hAnsi="Times New Roman" w:cs="Times New Roman"/>
                  <w:color w:val="0000FF"/>
                  <w:sz w:val="24"/>
                  <w:szCs w:val="24"/>
                  <w:u w:val="single"/>
                  <w:lang w:val="en-US" w:eastAsia="en-US" w:bidi="ar-SA"/>
                </w:rPr>
                <w:t>b</w:t>
              </w:r>
              <w:r w:rsidRPr="00E139B9" w:rsidR="00223796">
                <w:rPr>
                  <w:rStyle w:val="Hyperlink"/>
                  <w:rFonts w:ascii="Times New Roman" w:eastAsia="Courier New" w:hAnsi="Times New Roman" w:cs="Times New Roman"/>
                  <w:bCs/>
                  <w:color w:val="0000FF"/>
                  <w:sz w:val="24"/>
                  <w:szCs w:val="24"/>
                  <w:u w:val="single"/>
                  <w:lang w:val="en-US" w:eastAsia="en-US" w:bidi="ar-SA"/>
                </w:rPr>
                <w:t>ethany.allen@igs.com</w:t>
              </w:r>
            </w:hyperlink>
          </w:p>
          <w:p w:rsidR="00E139B9" w:rsidRPr="00E139B9" w:rsidP="00E139B9" w14:paraId="21CDE3CB"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u w:val="single"/>
                <w:lang w:val="en-US" w:eastAsia="en-US" w:bidi="ar-SA"/>
              </w:rPr>
            </w:pPr>
            <w:hyperlink r:id="rId51" w:history="1">
              <w:r w:rsidRPr="00E139B9" w:rsidR="00223796">
                <w:rPr>
                  <w:rStyle w:val="Hyperlink"/>
                  <w:rFonts w:ascii="Times New Roman" w:eastAsia="Courier New" w:hAnsi="Times New Roman" w:cs="Times New Roman"/>
                  <w:bCs/>
                  <w:color w:val="0000FF"/>
                  <w:sz w:val="24"/>
                  <w:szCs w:val="24"/>
                  <w:u w:val="single"/>
                  <w:lang w:val="en-US" w:eastAsia="en-US" w:bidi="ar-SA"/>
                </w:rPr>
                <w:t>Joe.oliker@igs.com</w:t>
              </w:r>
            </w:hyperlink>
          </w:p>
          <w:p w:rsidR="00E139B9" w:rsidRPr="00E139B9" w:rsidP="00E139B9" w14:paraId="72A8A368"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u w:val="single"/>
                <w:lang w:val="en-US" w:eastAsia="en-US" w:bidi="ar-SA"/>
              </w:rPr>
            </w:pPr>
            <w:hyperlink r:id="rId52" w:history="1">
              <w:r w:rsidRPr="00E139B9" w:rsidR="00223796">
                <w:rPr>
                  <w:rStyle w:val="Hyperlink"/>
                  <w:rFonts w:ascii="Times New Roman" w:eastAsia="Courier New" w:hAnsi="Times New Roman" w:cs="Times New Roman"/>
                  <w:bCs/>
                  <w:color w:val="0000FF"/>
                  <w:sz w:val="24"/>
                  <w:szCs w:val="24"/>
                  <w:u w:val="single"/>
                  <w:lang w:val="en-US" w:eastAsia="en-US" w:bidi="ar-SA"/>
                </w:rPr>
                <w:t>Michael.nugent@igs.com</w:t>
              </w:r>
            </w:hyperlink>
          </w:p>
          <w:p w:rsidR="00E139B9" w:rsidRPr="00E139B9" w:rsidP="00E139B9" w14:paraId="4A91C39E"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u w:val="single"/>
                <w:lang w:val="en-US" w:eastAsia="en-US" w:bidi="ar-SA"/>
              </w:rPr>
            </w:pPr>
            <w:hyperlink r:id="rId53" w:history="1">
              <w:r w:rsidRPr="00E139B9" w:rsidR="00223796">
                <w:rPr>
                  <w:rStyle w:val="Hyperlink"/>
                  <w:rFonts w:ascii="Times New Roman" w:eastAsia="Courier New" w:hAnsi="Times New Roman" w:cs="Times New Roman"/>
                  <w:bCs/>
                  <w:color w:val="0000FF"/>
                  <w:sz w:val="24"/>
                  <w:szCs w:val="24"/>
                  <w:u w:val="single"/>
                  <w:lang w:val="en-US" w:eastAsia="en-US" w:bidi="ar-SA"/>
                </w:rPr>
                <w:t>Evan.betterton@igs.com</w:t>
              </w:r>
            </w:hyperlink>
          </w:p>
          <w:p w:rsidR="00E139B9" w:rsidRPr="00E139B9" w:rsidP="00E139B9" w14:paraId="550A6189"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lang w:val="en-US" w:eastAsia="en-US" w:bidi="ar-SA"/>
              </w:rPr>
            </w:pPr>
            <w:hyperlink r:id="rId54" w:history="1">
              <w:r w:rsidRPr="00E139B9" w:rsidR="00223796">
                <w:rPr>
                  <w:rStyle w:val="Hyperlink"/>
                  <w:rFonts w:ascii="Times New Roman" w:eastAsia="Courier New" w:hAnsi="Times New Roman" w:cs="Times New Roman"/>
                  <w:bCs/>
                  <w:color w:val="0000FF"/>
                  <w:sz w:val="24"/>
                  <w:szCs w:val="24"/>
                  <w:u w:val="single"/>
                  <w:lang w:val="en-US" w:eastAsia="en-US" w:bidi="ar-SA"/>
                </w:rPr>
                <w:t>Stephanie.chmiel@thompsonhine.com</w:t>
              </w:r>
            </w:hyperlink>
          </w:p>
          <w:p w:rsidR="00E139B9" w:rsidRPr="00E139B9" w:rsidP="00E139B9" w14:paraId="0A4C9625"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lang w:val="en-US" w:eastAsia="en-US" w:bidi="ar-SA"/>
              </w:rPr>
            </w:pPr>
            <w:hyperlink r:id="rId55" w:history="1">
              <w:r w:rsidRPr="00E139B9" w:rsidR="00223796">
                <w:rPr>
                  <w:rStyle w:val="Hyperlink"/>
                  <w:rFonts w:ascii="Times New Roman" w:eastAsia="Courier New" w:hAnsi="Times New Roman" w:cs="Times New Roman"/>
                  <w:bCs/>
                  <w:color w:val="0000FF"/>
                  <w:sz w:val="24"/>
                  <w:szCs w:val="24"/>
                  <w:u w:val="single"/>
                  <w:lang w:val="en-US" w:eastAsia="en-US" w:bidi="ar-SA"/>
                </w:rPr>
                <w:t>Kevin.oles@thompsonhine.com</w:t>
              </w:r>
            </w:hyperlink>
          </w:p>
          <w:p w:rsidR="00E139B9" w:rsidRPr="00E139B9" w:rsidP="00E139B9" w14:paraId="3728C6F5"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lang w:val="en-US" w:eastAsia="en-US" w:bidi="ar-SA"/>
              </w:rPr>
            </w:pPr>
            <w:hyperlink r:id="rId56" w:history="1">
              <w:r w:rsidRPr="00E139B9" w:rsidR="00223796">
                <w:rPr>
                  <w:rStyle w:val="Hyperlink"/>
                  <w:rFonts w:ascii="Times New Roman" w:eastAsia="Courier New" w:hAnsi="Times New Roman" w:cs="Times New Roman"/>
                  <w:bCs/>
                  <w:color w:val="0000FF"/>
                  <w:sz w:val="24"/>
                  <w:szCs w:val="24"/>
                  <w:u w:val="single"/>
                  <w:lang w:val="en-US" w:eastAsia="en-US" w:bidi="ar-SA"/>
                </w:rPr>
                <w:t>Fdarr2019@gmail.com</w:t>
              </w:r>
            </w:hyperlink>
          </w:p>
          <w:p w:rsidR="00E139B9" w:rsidRPr="00E139B9" w:rsidP="00E139B9" w14:paraId="326583B7"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lang w:val="en-US" w:eastAsia="en-US" w:bidi="ar-SA"/>
              </w:rPr>
            </w:pPr>
            <w:hyperlink r:id="rId57" w:history="1">
              <w:r w:rsidRPr="00E139B9" w:rsidR="00223796">
                <w:rPr>
                  <w:rStyle w:val="Hyperlink"/>
                  <w:rFonts w:ascii="Times New Roman" w:eastAsia="Courier New" w:hAnsi="Times New Roman" w:cs="Times New Roman"/>
                  <w:bCs/>
                  <w:color w:val="0000FF"/>
                  <w:sz w:val="24"/>
                  <w:szCs w:val="24"/>
                  <w:u w:val="single"/>
                  <w:lang w:val="en-US" w:eastAsia="en-US" w:bidi="ar-SA"/>
                </w:rPr>
                <w:t>rdove@keglerbrown.com</w:t>
              </w:r>
            </w:hyperlink>
          </w:p>
          <w:p w:rsidR="00E139B9" w:rsidRPr="00E139B9" w:rsidP="00E139B9" w14:paraId="7B7ACDBB"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lang w:val="en-US" w:eastAsia="en-US" w:bidi="ar-SA"/>
              </w:rPr>
            </w:pPr>
            <w:hyperlink r:id="rId58" w:history="1">
              <w:r w:rsidRPr="00E139B9" w:rsidR="00223796">
                <w:rPr>
                  <w:rStyle w:val="Hyperlink"/>
                  <w:rFonts w:ascii="Times New Roman" w:eastAsia="Courier New" w:hAnsi="Times New Roman" w:cs="Times New Roman"/>
                  <w:bCs/>
                  <w:color w:val="0000FF"/>
                  <w:sz w:val="24"/>
                  <w:szCs w:val="24"/>
                  <w:u w:val="single"/>
                  <w:lang w:val="en-US" w:eastAsia="en-US" w:bidi="ar-SA"/>
                </w:rPr>
                <w:t>cgrundmann@spilmanlaw.com</w:t>
              </w:r>
            </w:hyperlink>
          </w:p>
          <w:p w:rsidR="00E139B9" w:rsidRPr="00E139B9" w:rsidP="00E139B9" w14:paraId="31337F5D"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lang w:val="en-US" w:eastAsia="en-US" w:bidi="ar-SA"/>
              </w:rPr>
            </w:pPr>
            <w:hyperlink r:id="rId59" w:history="1">
              <w:r w:rsidRPr="00E139B9" w:rsidR="00223796">
                <w:rPr>
                  <w:rStyle w:val="Hyperlink"/>
                  <w:rFonts w:ascii="Times New Roman" w:eastAsia="Courier New" w:hAnsi="Times New Roman" w:cs="Times New Roman"/>
                  <w:bCs/>
                  <w:color w:val="0000FF"/>
                  <w:sz w:val="24"/>
                  <w:szCs w:val="24"/>
                  <w:u w:val="single"/>
                  <w:lang w:val="en-US" w:eastAsia="en-US" w:bidi="ar-SA"/>
                </w:rPr>
                <w:t>dwilliamson@spilmanlaw.com</w:t>
              </w:r>
            </w:hyperlink>
          </w:p>
          <w:p w:rsidR="00E139B9" w:rsidRPr="00E139B9" w:rsidP="00E139B9" w14:paraId="1FA9D327"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lang w:val="en-US" w:eastAsia="en-US" w:bidi="ar-SA"/>
              </w:rPr>
            </w:pPr>
            <w:hyperlink r:id="rId60" w:history="1">
              <w:r w:rsidRPr="00E139B9" w:rsidR="00223796">
                <w:rPr>
                  <w:rStyle w:val="Hyperlink"/>
                  <w:rFonts w:ascii="Times New Roman" w:eastAsia="Courier New" w:hAnsi="Times New Roman" w:cs="Times New Roman"/>
                  <w:bCs/>
                  <w:color w:val="0000FF"/>
                  <w:sz w:val="24"/>
                  <w:szCs w:val="24"/>
                  <w:u w:val="single"/>
                  <w:lang w:val="en-US" w:eastAsia="en-US" w:bidi="ar-SA"/>
                </w:rPr>
                <w:t>mpritchard@mcneeslaw.com</w:t>
              </w:r>
            </w:hyperlink>
          </w:p>
          <w:p w:rsidR="00E139B9" w:rsidRPr="00E139B9" w:rsidP="00E139B9" w14:paraId="511633C4"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lang w:val="en-US" w:eastAsia="en-US" w:bidi="ar-SA"/>
              </w:rPr>
            </w:pPr>
            <w:hyperlink r:id="rId61" w:history="1">
              <w:r w:rsidRPr="00E139B9" w:rsidR="00223796">
                <w:rPr>
                  <w:rStyle w:val="Hyperlink"/>
                  <w:rFonts w:ascii="Times New Roman" w:eastAsia="Courier New" w:hAnsi="Times New Roman" w:cs="Times New Roman"/>
                  <w:bCs/>
                  <w:color w:val="0000FF"/>
                  <w:sz w:val="24"/>
                  <w:szCs w:val="24"/>
                  <w:u w:val="single"/>
                  <w:lang w:val="en-US" w:eastAsia="en-US" w:bidi="ar-SA"/>
                </w:rPr>
                <w:t>rglover@mcneeslaw.com</w:t>
              </w:r>
            </w:hyperlink>
          </w:p>
          <w:p w:rsidR="00E139B9" w:rsidRPr="00E139B9" w:rsidP="00E139B9" w14:paraId="5BCCD3AC"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lang w:val="en-US" w:eastAsia="en-US" w:bidi="ar-SA"/>
              </w:rPr>
            </w:pPr>
            <w:hyperlink r:id="rId62" w:history="1">
              <w:r w:rsidRPr="00E139B9" w:rsidR="00223796">
                <w:rPr>
                  <w:rStyle w:val="Hyperlink"/>
                  <w:rFonts w:ascii="Times New Roman" w:eastAsia="Courier New" w:hAnsi="Times New Roman" w:cs="Times New Roman"/>
                  <w:bCs/>
                  <w:color w:val="0000FF"/>
                  <w:sz w:val="24"/>
                  <w:szCs w:val="24"/>
                  <w:u w:val="single"/>
                  <w:lang w:val="en-US" w:eastAsia="en-US" w:bidi="ar-SA"/>
                </w:rPr>
                <w:t>mleppla@theOEC.org</w:t>
              </w:r>
            </w:hyperlink>
          </w:p>
          <w:p w:rsidR="00E139B9" w:rsidRPr="00E139B9" w:rsidP="00E139B9" w14:paraId="5BE155C8"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lang w:val="en-US" w:eastAsia="en-US" w:bidi="ar-SA"/>
              </w:rPr>
            </w:pPr>
            <w:hyperlink r:id="rId63" w:history="1">
              <w:r w:rsidRPr="00E139B9" w:rsidR="00223796">
                <w:rPr>
                  <w:rStyle w:val="Hyperlink"/>
                  <w:rFonts w:ascii="Times New Roman" w:eastAsia="Courier New" w:hAnsi="Times New Roman" w:cs="Times New Roman"/>
                  <w:bCs/>
                  <w:color w:val="0000FF"/>
                  <w:sz w:val="24"/>
                  <w:szCs w:val="24"/>
                  <w:u w:val="single"/>
                  <w:lang w:val="en-US" w:eastAsia="en-US" w:bidi="ar-SA"/>
                </w:rPr>
                <w:t>tdougherty@theOEC.org</w:t>
              </w:r>
            </w:hyperlink>
          </w:p>
          <w:p w:rsidR="00E139B9" w:rsidRPr="00E139B9" w:rsidP="00E139B9" w14:paraId="6EA4D3DD"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lang w:val="en-US" w:eastAsia="en-US" w:bidi="ar-SA"/>
              </w:rPr>
            </w:pPr>
            <w:hyperlink r:id="rId64" w:history="1">
              <w:r w:rsidRPr="00E139B9" w:rsidR="00223796">
                <w:rPr>
                  <w:rStyle w:val="Hyperlink"/>
                  <w:rFonts w:ascii="Times New Roman" w:eastAsia="Courier New" w:hAnsi="Times New Roman" w:cs="Times New Roman"/>
                  <w:bCs/>
                  <w:color w:val="0000FF"/>
                  <w:sz w:val="24"/>
                  <w:szCs w:val="24"/>
                  <w:u w:val="single"/>
                  <w:lang w:val="en-US" w:eastAsia="en-US" w:bidi="ar-SA"/>
                </w:rPr>
                <w:t>ctavenor@theOEC.org</w:t>
              </w:r>
            </w:hyperlink>
          </w:p>
          <w:p w:rsidR="00E139B9" w:rsidRPr="00423400" w:rsidP="00E139B9" w14:paraId="4460A8F1" w14:textId="77777777">
            <w:pPr>
              <w:pStyle w:val="BodyText"/>
              <w:spacing w:after="0" w:line="240" w:lineRule="auto"/>
              <w:jc w:val="both"/>
              <w:rPr>
                <w:rStyle w:val="DefaultParagraphFont"/>
                <w:rFonts w:ascii="Times New Roman" w:hAnsi="Times New Roman" w:eastAsiaTheme="minorHAnsi" w:cs="Times New Roman"/>
                <w:color w:val="0000FF"/>
                <w:sz w:val="24"/>
                <w:szCs w:val="24"/>
                <w:u w:val="single"/>
                <w:lang w:val="en-US" w:eastAsia="en-US" w:bidi="ar-SA"/>
              </w:rPr>
            </w:pPr>
          </w:p>
        </w:tc>
        <w:tc>
          <w:tcPr>
            <w:tcW w:w="4252" w:type="dxa"/>
            <w:shd w:val="clear" w:color="auto" w:fill="auto"/>
          </w:tcPr>
          <w:p w:rsidR="00E139B9" w:rsidRPr="00423400" w:rsidP="00E139B9" w14:paraId="4B3DEF81" w14:textId="77777777">
            <w:pPr>
              <w:pStyle w:val="BodyText"/>
              <w:spacing w:after="0" w:line="240" w:lineRule="auto"/>
              <w:jc w:val="both"/>
              <w:rPr>
                <w:rStyle w:val="DefaultParagraphFont"/>
                <w:rFonts w:ascii="Times New Roman" w:hAnsi="Times New Roman" w:eastAsiaTheme="minorHAnsi" w:cs="Times New Roman"/>
                <w:color w:val="0000FF"/>
                <w:sz w:val="24"/>
                <w:szCs w:val="24"/>
                <w:u w:val="single"/>
                <w:lang w:val="en-US" w:eastAsia="en-US" w:bidi="ar-SA"/>
              </w:rPr>
            </w:pPr>
          </w:p>
        </w:tc>
      </w:tr>
    </w:tbl>
    <w:p w:rsidR="002E1E3C" w:rsidRPr="00423400" w14:paraId="5C5B3591" w14:textId="77777777">
      <w:pPr>
        <w:rPr>
          <w:rFonts w:cs="Times New Roman"/>
          <w:szCs w:val="24"/>
        </w:rPr>
      </w:pPr>
    </w:p>
    <w:sectPr w:rsidSect="00111344">
      <w:footerReference w:type="default" r:id="rId65"/>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1882" w14:paraId="673BE86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4C8C" w14:paraId="730C94D6"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1882" w14:paraId="5316E7F2"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9127847"/>
      <w:docPartObj>
        <w:docPartGallery w:val="Page Numbers (Bottom of Page)"/>
        <w:docPartUnique/>
      </w:docPartObj>
    </w:sdtPr>
    <w:sdtEndPr>
      <w:rPr>
        <w:noProof/>
      </w:rPr>
    </w:sdtEndPr>
    <w:sdtContent>
      <w:p w:rsidR="00F33489" w14:paraId="0AE2E50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41331210"/>
      <w:docPartObj>
        <w:docPartGallery w:val="Page Numbers (Bottom of Page)"/>
        <w:docPartUnique/>
      </w:docPartObj>
    </w:sdtPr>
    <w:sdtEndPr>
      <w:rPr>
        <w:noProof/>
      </w:rPr>
    </w:sdtEndPr>
    <w:sdtContent>
      <w:p w:rsidR="00B60B67" w14:paraId="100C206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71250" w:rsidP="006204DB" w14:paraId="708521FF" w14:textId="77777777">
      <w:pPr>
        <w:spacing w:after="0" w:line="240" w:lineRule="auto"/>
      </w:pPr>
      <w:r>
        <w:separator/>
      </w:r>
    </w:p>
  </w:footnote>
  <w:footnote w:type="continuationSeparator" w:id="1">
    <w:p w:rsidR="00F71250" w:rsidP="006204DB" w14:paraId="55458C95" w14:textId="77777777">
      <w:pPr>
        <w:spacing w:after="0" w:line="240" w:lineRule="auto"/>
      </w:pPr>
      <w:r>
        <w:continuationSeparator/>
      </w:r>
    </w:p>
  </w:footnote>
  <w:footnote w:id="2">
    <w:p w:rsidR="00120BA8" w:rsidRPr="00C25749" w:rsidP="00C25749" w14:paraId="32201E1A" w14:textId="77777777">
      <w:pPr>
        <w:pStyle w:val="FootnoteText"/>
        <w:spacing w:after="120"/>
      </w:pPr>
      <w:r w:rsidRPr="00C25749">
        <w:rPr>
          <w:rStyle w:val="FootnoteReference"/>
        </w:rPr>
        <w:footnoteRef/>
      </w:r>
      <w:r w:rsidRPr="00C25749">
        <w:t xml:space="preserve"> Application,</w:t>
      </w:r>
      <w:r w:rsidRPr="00C25749" w:rsidR="00B60B67">
        <w:t xml:space="preserve"> </w:t>
      </w:r>
      <w:r w:rsidRPr="00C25749">
        <w:t>Schedule</w:t>
      </w:r>
      <w:r w:rsidRPr="00C25749" w:rsidR="00B60B67">
        <w:t xml:space="preserve"> </w:t>
      </w:r>
      <w:r w:rsidRPr="00C25749">
        <w:t>A-1</w:t>
      </w:r>
      <w:r w:rsidRPr="00C25749" w:rsidR="00B60B67">
        <w:t xml:space="preserve"> </w:t>
      </w:r>
      <w:r w:rsidRPr="00C25749">
        <w:t>(Nov</w:t>
      </w:r>
      <w:r w:rsidR="00C25749">
        <w:t>ember</w:t>
      </w:r>
      <w:r w:rsidRPr="00C25749" w:rsidR="00B60B67">
        <w:t xml:space="preserve"> </w:t>
      </w:r>
      <w:r w:rsidRPr="00C25749">
        <w:t>30,</w:t>
      </w:r>
      <w:r w:rsidRPr="00C25749" w:rsidR="00B60B67">
        <w:t xml:space="preserve"> </w:t>
      </w:r>
      <w:r w:rsidRPr="00C25749">
        <w:t>2020).</w:t>
      </w:r>
    </w:p>
  </w:footnote>
  <w:footnote w:id="3">
    <w:p w:rsidR="00204BDF" w:rsidRPr="00C25749" w:rsidP="00C25749" w14:paraId="152F89A4" w14:textId="77777777">
      <w:pPr>
        <w:pStyle w:val="FootnoteText"/>
        <w:spacing w:after="120"/>
      </w:pPr>
      <w:r w:rsidRPr="00C25749">
        <w:rPr>
          <w:rStyle w:val="FootnoteReference"/>
        </w:rPr>
        <w:footnoteRef/>
      </w:r>
      <w:r w:rsidRPr="00C25749">
        <w:t xml:space="preserve"> Motion to Dismiss DP&amp;L’s Application for a Rate Increase</w:t>
      </w:r>
      <w:r w:rsidRPr="00C25749" w:rsidR="00114663">
        <w:t xml:space="preserve"> (August 5, 2021).</w:t>
      </w:r>
    </w:p>
  </w:footnote>
  <w:footnote w:id="4">
    <w:p w:rsidR="00F955D3" w:rsidRPr="00C25749" w:rsidP="00C25749" w14:paraId="5BC002E9" w14:textId="77777777">
      <w:pPr>
        <w:pStyle w:val="FootnoteText"/>
        <w:spacing w:after="120"/>
      </w:pPr>
      <w:r w:rsidRPr="00C25749">
        <w:rPr>
          <w:rStyle w:val="FootnoteReference"/>
        </w:rPr>
        <w:footnoteRef/>
      </w:r>
      <w:r w:rsidRPr="00C25749">
        <w:t xml:space="preserve"> </w:t>
      </w:r>
      <w:r w:rsidRPr="00C25749">
        <w:rPr>
          <w:i/>
          <w:iCs/>
        </w:rPr>
        <w:t>See</w:t>
      </w:r>
      <w:r w:rsidRPr="00C25749" w:rsidR="009C690B">
        <w:t xml:space="preserve"> </w:t>
      </w:r>
      <w:r w:rsidRPr="00C25749">
        <w:t>ESP</w:t>
      </w:r>
      <w:r w:rsidRPr="00C25749" w:rsidR="009C690B">
        <w:t xml:space="preserve"> </w:t>
      </w:r>
      <w:r w:rsidRPr="00C25749">
        <w:t>I</w:t>
      </w:r>
      <w:r w:rsidRPr="00C25749" w:rsidR="009C690B">
        <w:t xml:space="preserve"> </w:t>
      </w:r>
      <w:r w:rsidRPr="00C25749">
        <w:t>Settlement.</w:t>
      </w:r>
    </w:p>
  </w:footnote>
  <w:footnote w:id="5">
    <w:p w:rsidR="00F955D3" w:rsidRPr="00C25749" w:rsidP="00C25749" w14:paraId="703C9688" w14:textId="77777777">
      <w:pPr>
        <w:pStyle w:val="FootnoteText"/>
        <w:spacing w:after="120"/>
      </w:pPr>
      <w:r w:rsidRPr="00C25749">
        <w:rPr>
          <w:rStyle w:val="FootnoteReference"/>
        </w:rPr>
        <w:footnoteRef/>
      </w:r>
      <w:r w:rsidRPr="00C25749">
        <w:t xml:space="preserve"> ESP</w:t>
      </w:r>
      <w:r w:rsidRPr="00C25749" w:rsidR="009C690B">
        <w:t xml:space="preserve"> </w:t>
      </w:r>
      <w:r w:rsidRPr="00C25749">
        <w:t>I</w:t>
      </w:r>
      <w:r w:rsidRPr="00C25749" w:rsidR="009C690B">
        <w:t xml:space="preserve"> </w:t>
      </w:r>
      <w:r w:rsidRPr="00C25749">
        <w:t>2009</w:t>
      </w:r>
      <w:r w:rsidRPr="00C25749" w:rsidR="009C690B">
        <w:t xml:space="preserve"> </w:t>
      </w:r>
      <w:r w:rsidRPr="00C25749">
        <w:t>Opinion</w:t>
      </w:r>
      <w:r w:rsidRPr="00C25749" w:rsidR="009C690B">
        <w:t xml:space="preserve"> </w:t>
      </w:r>
      <w:r w:rsidRPr="00C25749">
        <w:t>at</w:t>
      </w:r>
      <w:r w:rsidRPr="00C25749" w:rsidR="009C690B">
        <w:t xml:space="preserve"> </w:t>
      </w:r>
      <w:r w:rsidRPr="00C25749">
        <w:t>7</w:t>
      </w:r>
      <w:r w:rsidRPr="00C25749" w:rsidR="009C690B">
        <w:t xml:space="preserve"> </w:t>
      </w:r>
      <w:r w:rsidRPr="00C25749">
        <w:t>(“DP&amp;L</w:t>
      </w:r>
      <w:r w:rsidRPr="00C25749" w:rsidR="009C690B">
        <w:t xml:space="preserve"> </w:t>
      </w:r>
      <w:r w:rsidRPr="00C25749">
        <w:t>notes</w:t>
      </w:r>
      <w:r w:rsidRPr="00C25749" w:rsidR="009C690B">
        <w:t xml:space="preserve"> </w:t>
      </w:r>
      <w:r w:rsidRPr="00C25749">
        <w:t>that</w:t>
      </w:r>
      <w:r w:rsidRPr="00C25749" w:rsidR="009C690B">
        <w:t xml:space="preserve"> </w:t>
      </w:r>
      <w:r w:rsidRPr="00C25749">
        <w:t>the</w:t>
      </w:r>
      <w:r w:rsidRPr="00C25749" w:rsidR="009C690B">
        <w:t xml:space="preserve"> </w:t>
      </w:r>
      <w:r w:rsidRPr="00C25749">
        <w:t>Stipulation</w:t>
      </w:r>
      <w:r w:rsidRPr="00C25749" w:rsidR="009C690B">
        <w:t xml:space="preserve"> </w:t>
      </w:r>
      <w:r w:rsidRPr="00C25749">
        <w:t>extends</w:t>
      </w:r>
      <w:r w:rsidRPr="00C25749" w:rsidR="009C690B">
        <w:t xml:space="preserve"> </w:t>
      </w:r>
      <w:r w:rsidRPr="00C25749">
        <w:t>its</w:t>
      </w:r>
      <w:r w:rsidRPr="00C25749" w:rsidR="009C690B">
        <w:t xml:space="preserve"> </w:t>
      </w:r>
      <w:r w:rsidRPr="00C25749">
        <w:t>electric</w:t>
      </w:r>
      <w:r w:rsidRPr="00C25749" w:rsidR="009C690B">
        <w:t xml:space="preserve"> </w:t>
      </w:r>
      <w:r w:rsidRPr="00C25749">
        <w:t>security</w:t>
      </w:r>
      <w:r w:rsidRPr="00C25749" w:rsidR="009C690B">
        <w:t xml:space="preserve"> </w:t>
      </w:r>
      <w:r w:rsidRPr="00C25749">
        <w:t>plan</w:t>
      </w:r>
      <w:r w:rsidRPr="00C25749" w:rsidR="009C690B">
        <w:t xml:space="preserve"> </w:t>
      </w:r>
      <w:r w:rsidRPr="00C25749">
        <w:t>through</w:t>
      </w:r>
      <w:r w:rsidRPr="00C25749" w:rsidR="009C690B">
        <w:t xml:space="preserve"> </w:t>
      </w:r>
      <w:r w:rsidRPr="00C25749">
        <w:t>December</w:t>
      </w:r>
      <w:r w:rsidRPr="00C25749" w:rsidR="009C690B">
        <w:t xml:space="preserve"> </w:t>
      </w:r>
      <w:r w:rsidRPr="00C25749">
        <w:t>31, 2012...”);</w:t>
      </w:r>
      <w:r w:rsidRPr="00C25749" w:rsidR="009C690B">
        <w:t xml:space="preserve"> </w:t>
      </w:r>
      <w:r w:rsidRPr="00C25749">
        <w:t>ESP</w:t>
      </w:r>
      <w:r w:rsidRPr="00C25749" w:rsidR="009C690B">
        <w:t xml:space="preserve"> </w:t>
      </w:r>
      <w:r w:rsidRPr="00C25749">
        <w:t>I</w:t>
      </w:r>
      <w:r w:rsidRPr="00C25749" w:rsidR="009C690B">
        <w:t xml:space="preserve"> </w:t>
      </w:r>
      <w:r w:rsidRPr="00C25749">
        <w:t>Settlement</w:t>
      </w:r>
      <w:r w:rsidRPr="00C25749" w:rsidR="009C690B">
        <w:t xml:space="preserve"> </w:t>
      </w:r>
      <w:r w:rsidRPr="00C25749">
        <w:t>at</w:t>
      </w:r>
      <w:r w:rsidRPr="00C25749" w:rsidR="009C690B">
        <w:t xml:space="preserve"> </w:t>
      </w:r>
      <w:r w:rsidRPr="00C25749">
        <w:t>3</w:t>
      </w:r>
      <w:r w:rsidRPr="00C25749" w:rsidR="009C690B">
        <w:t xml:space="preserve"> </w:t>
      </w:r>
      <w:r w:rsidRPr="00C25749">
        <w:t>(“the</w:t>
      </w:r>
      <w:r w:rsidRPr="00C25749" w:rsidR="009C690B">
        <w:t xml:space="preserve"> </w:t>
      </w:r>
      <w:r w:rsidRPr="00C25749">
        <w:t>parties</w:t>
      </w:r>
      <w:r w:rsidRPr="00C25749" w:rsidR="009C690B">
        <w:t xml:space="preserve"> </w:t>
      </w:r>
      <w:r w:rsidRPr="00C25749">
        <w:t>agree</w:t>
      </w:r>
      <w:r w:rsidRPr="00C25749" w:rsidR="009C690B">
        <w:t xml:space="preserve"> </w:t>
      </w:r>
      <w:r w:rsidRPr="00C25749">
        <w:t>to</w:t>
      </w:r>
      <w:r w:rsidRPr="00C25749" w:rsidR="009C690B">
        <w:t xml:space="preserve"> </w:t>
      </w:r>
      <w:r w:rsidRPr="00C25749">
        <w:t>extend</w:t>
      </w:r>
      <w:r w:rsidRPr="00C25749" w:rsidR="009C690B">
        <w:t xml:space="preserve"> </w:t>
      </w:r>
      <w:r w:rsidRPr="00C25749">
        <w:t>DP&amp;L’s</w:t>
      </w:r>
      <w:r w:rsidRPr="00C25749" w:rsidR="009C690B">
        <w:t xml:space="preserve"> </w:t>
      </w:r>
      <w:r w:rsidRPr="00C25749">
        <w:t>current</w:t>
      </w:r>
      <w:r w:rsidRPr="00C25749" w:rsidR="009C690B">
        <w:t xml:space="preserve"> </w:t>
      </w:r>
      <w:r w:rsidRPr="00C25749">
        <w:t>rate</w:t>
      </w:r>
      <w:r w:rsidRPr="00C25749" w:rsidR="009C690B">
        <w:t xml:space="preserve"> </w:t>
      </w:r>
      <w:r w:rsidRPr="00C25749">
        <w:t>plan</w:t>
      </w:r>
      <w:r w:rsidRPr="00C25749" w:rsidR="009C690B">
        <w:t xml:space="preserve"> </w:t>
      </w:r>
      <w:r w:rsidRPr="00C25749">
        <w:t>through</w:t>
      </w:r>
      <w:r w:rsidRPr="00C25749" w:rsidR="009C690B">
        <w:t xml:space="preserve"> </w:t>
      </w:r>
      <w:r w:rsidRPr="00C25749">
        <w:t>December</w:t>
      </w:r>
      <w:r w:rsidRPr="00C25749" w:rsidR="009C690B">
        <w:t xml:space="preserve"> </w:t>
      </w:r>
      <w:r w:rsidRPr="00C25749">
        <w:t>31,</w:t>
      </w:r>
      <w:r w:rsidRPr="00C25749" w:rsidR="009C690B">
        <w:t xml:space="preserve"> </w:t>
      </w:r>
      <w:r w:rsidRPr="00C25749">
        <w:t>2012, except</w:t>
      </w:r>
      <w:r w:rsidRPr="00C25749" w:rsidR="009C690B">
        <w:t xml:space="preserve"> </w:t>
      </w:r>
      <w:r w:rsidRPr="00C25749">
        <w:t>as</w:t>
      </w:r>
      <w:r w:rsidRPr="00C25749" w:rsidR="009C690B">
        <w:t xml:space="preserve"> </w:t>
      </w:r>
      <w:r w:rsidRPr="00C25749">
        <w:t>modified</w:t>
      </w:r>
      <w:r w:rsidRPr="00C25749" w:rsidR="009C690B">
        <w:t xml:space="preserve"> </w:t>
      </w:r>
      <w:r w:rsidRPr="00C25749">
        <w:t>herein”),</w:t>
      </w:r>
      <w:r w:rsidRPr="00C25749" w:rsidR="009C690B">
        <w:t xml:space="preserve"> </w:t>
      </w:r>
      <w:r w:rsidRPr="00C25749">
        <w:t>at</w:t>
      </w:r>
      <w:r w:rsidRPr="00C25749" w:rsidR="009C690B">
        <w:t xml:space="preserve"> </w:t>
      </w:r>
      <w:r w:rsidRPr="00C25749">
        <w:t>7</w:t>
      </w:r>
      <w:r w:rsidRPr="00C25749" w:rsidR="009C690B">
        <w:t xml:space="preserve"> </w:t>
      </w:r>
      <w:r w:rsidRPr="00C25749">
        <w:t>(“DP&amp;L</w:t>
      </w:r>
      <w:r w:rsidRPr="00C25749" w:rsidR="009C690B">
        <w:t xml:space="preserve"> </w:t>
      </w:r>
      <w:r w:rsidRPr="00C25749">
        <w:t>will</w:t>
      </w:r>
      <w:r w:rsidRPr="00C25749" w:rsidR="009C690B">
        <w:t xml:space="preserve"> </w:t>
      </w:r>
      <w:r w:rsidRPr="00C25749">
        <w:t>file</w:t>
      </w:r>
      <w:r w:rsidRPr="00C25749" w:rsidR="009C690B">
        <w:t xml:space="preserve"> </w:t>
      </w:r>
      <w:r w:rsidRPr="00C25749">
        <w:t>a</w:t>
      </w:r>
      <w:r w:rsidRPr="00C25749" w:rsidR="009C690B">
        <w:t xml:space="preserve"> </w:t>
      </w:r>
      <w:r w:rsidRPr="00C25749">
        <w:t>new</w:t>
      </w:r>
      <w:r w:rsidRPr="00C25749" w:rsidR="009C690B">
        <w:t xml:space="preserve"> </w:t>
      </w:r>
      <w:r w:rsidRPr="00C25749">
        <w:t>ESP</w:t>
      </w:r>
      <w:r w:rsidRPr="00C25749" w:rsidR="009C690B">
        <w:t xml:space="preserve"> </w:t>
      </w:r>
      <w:r w:rsidRPr="00C25749">
        <w:t>and/or</w:t>
      </w:r>
      <w:r w:rsidRPr="00C25749" w:rsidR="009C690B">
        <w:t xml:space="preserve"> </w:t>
      </w:r>
      <w:r w:rsidRPr="00C25749">
        <w:t>MRO</w:t>
      </w:r>
      <w:r w:rsidRPr="00C25749" w:rsidR="009C690B">
        <w:t xml:space="preserve"> </w:t>
      </w:r>
      <w:r w:rsidRPr="00C25749">
        <w:t>case</w:t>
      </w:r>
      <w:r w:rsidRPr="00C25749" w:rsidR="009C690B">
        <w:t xml:space="preserve"> </w:t>
      </w:r>
      <w:r w:rsidRPr="00C25749">
        <w:t>by</w:t>
      </w:r>
      <w:r w:rsidRPr="00C25749" w:rsidR="009C690B">
        <w:t xml:space="preserve"> </w:t>
      </w:r>
      <w:r w:rsidRPr="00C25749">
        <w:t>March</w:t>
      </w:r>
      <w:r w:rsidRPr="00C25749" w:rsidR="009C690B">
        <w:t xml:space="preserve"> </w:t>
      </w:r>
      <w:r w:rsidRPr="00C25749">
        <w:t>31,</w:t>
      </w:r>
      <w:r w:rsidRPr="00C25749" w:rsidR="009C690B">
        <w:t xml:space="preserve"> </w:t>
      </w:r>
      <w:r w:rsidRPr="00C25749">
        <w:t>2012</w:t>
      </w:r>
      <w:r w:rsidRPr="00C25749" w:rsidR="009C690B">
        <w:t xml:space="preserve"> </w:t>
      </w:r>
      <w:r w:rsidRPr="00C25749">
        <w:t>to</w:t>
      </w:r>
      <w:r w:rsidRPr="00C25749" w:rsidR="009C690B">
        <w:t xml:space="preserve"> </w:t>
      </w:r>
      <w:r w:rsidRPr="00C25749">
        <w:t>set</w:t>
      </w:r>
      <w:r w:rsidRPr="00C25749" w:rsidR="009C690B">
        <w:t xml:space="preserve"> </w:t>
      </w:r>
      <w:r w:rsidRPr="00C25749">
        <w:t>SSO</w:t>
      </w:r>
      <w:r w:rsidRPr="00C25749" w:rsidR="009C690B">
        <w:t xml:space="preserve"> </w:t>
      </w:r>
      <w:r w:rsidRPr="00C25749">
        <w:t>rates to</w:t>
      </w:r>
      <w:r w:rsidRPr="00C25749" w:rsidR="009C690B">
        <w:t xml:space="preserve"> </w:t>
      </w:r>
      <w:r w:rsidRPr="00C25749">
        <w:t>apply</w:t>
      </w:r>
      <w:r w:rsidRPr="00C25749" w:rsidR="009C690B">
        <w:t xml:space="preserve"> </w:t>
      </w:r>
      <w:r w:rsidRPr="00C25749">
        <w:t>for</w:t>
      </w:r>
      <w:r w:rsidRPr="00C25749" w:rsidR="009C690B">
        <w:t xml:space="preserve"> </w:t>
      </w:r>
      <w:r w:rsidRPr="00C25749">
        <w:t>[the]</w:t>
      </w:r>
      <w:r w:rsidRPr="00C25749" w:rsidR="009C690B">
        <w:t xml:space="preserve"> </w:t>
      </w:r>
      <w:r w:rsidRPr="00C25749">
        <w:t>period</w:t>
      </w:r>
      <w:r w:rsidRPr="00C25749" w:rsidR="009C690B">
        <w:t xml:space="preserve"> </w:t>
      </w:r>
      <w:r w:rsidRPr="00C25749">
        <w:t>beginning</w:t>
      </w:r>
      <w:r w:rsidRPr="00C25749" w:rsidR="009C690B">
        <w:t xml:space="preserve"> </w:t>
      </w:r>
      <w:r w:rsidRPr="00C25749">
        <w:t>January</w:t>
      </w:r>
      <w:r w:rsidRPr="00C25749" w:rsidR="009C690B">
        <w:t xml:space="preserve"> </w:t>
      </w:r>
      <w:r w:rsidRPr="00C25749">
        <w:t>1,</w:t>
      </w:r>
      <w:r w:rsidRPr="00C25749" w:rsidR="009C690B">
        <w:t xml:space="preserve"> </w:t>
      </w:r>
      <w:r w:rsidRPr="00C25749">
        <w:t>2013.”).</w:t>
      </w:r>
      <w:r w:rsidRPr="00C25749" w:rsidR="009C690B">
        <w:t xml:space="preserve"> </w:t>
      </w:r>
    </w:p>
  </w:footnote>
  <w:footnote w:id="6">
    <w:p w:rsidR="00F955D3" w:rsidRPr="00C25749" w:rsidP="00C25749" w14:paraId="5F67E334" w14:textId="77777777">
      <w:pPr>
        <w:pStyle w:val="FootnoteText"/>
        <w:spacing w:after="120"/>
      </w:pPr>
      <w:r w:rsidRPr="00C25749">
        <w:rPr>
          <w:rStyle w:val="FootnoteReference"/>
        </w:rPr>
        <w:footnoteRef/>
      </w:r>
      <w:r w:rsidRPr="00C25749">
        <w:t xml:space="preserve"> </w:t>
      </w:r>
      <w:r w:rsidRPr="00C25749" w:rsidR="00297C53">
        <w:rPr>
          <w:i/>
          <w:iCs/>
        </w:rPr>
        <w:t>Id.</w:t>
      </w:r>
      <w:r w:rsidRPr="00C25749" w:rsidR="009C690B">
        <w:t xml:space="preserve"> </w:t>
      </w:r>
      <w:r w:rsidRPr="00C25749">
        <w:t>at</w:t>
      </w:r>
      <w:r w:rsidRPr="00C25749" w:rsidR="009C690B">
        <w:t xml:space="preserve"> </w:t>
      </w:r>
      <w:r w:rsidRPr="00C25749">
        <w:t>5</w:t>
      </w:r>
      <w:r w:rsidRPr="00C25749" w:rsidR="009C690B">
        <w:t xml:space="preserve"> </w:t>
      </w:r>
      <w:r w:rsidRPr="00C25749">
        <w:t>(“The</w:t>
      </w:r>
      <w:r w:rsidRPr="00C25749" w:rsidR="009C690B">
        <w:t xml:space="preserve"> </w:t>
      </w:r>
      <w:r w:rsidRPr="00C25749">
        <w:t>current</w:t>
      </w:r>
      <w:r w:rsidRPr="00C25749" w:rsidR="009C690B">
        <w:t xml:space="preserve"> </w:t>
      </w:r>
      <w:r w:rsidRPr="00C25749">
        <w:t>RSC</w:t>
      </w:r>
      <w:r w:rsidRPr="00C25749" w:rsidR="009C690B">
        <w:t xml:space="preserve"> </w:t>
      </w:r>
      <w:r w:rsidRPr="00C25749">
        <w:t>will</w:t>
      </w:r>
      <w:r w:rsidRPr="00C25749" w:rsidR="009C690B">
        <w:t xml:space="preserve"> </w:t>
      </w:r>
      <w:r w:rsidRPr="00C25749">
        <w:t>continue</w:t>
      </w:r>
      <w:r w:rsidRPr="00C25749" w:rsidR="009C690B">
        <w:t xml:space="preserve"> </w:t>
      </w:r>
      <w:r w:rsidRPr="00C25749">
        <w:t>as</w:t>
      </w:r>
      <w:r w:rsidRPr="00C25749" w:rsidR="009C690B">
        <w:t xml:space="preserve"> </w:t>
      </w:r>
      <w:r w:rsidRPr="00C25749">
        <w:t>an</w:t>
      </w:r>
      <w:r w:rsidRPr="00C25749" w:rsidR="009C690B">
        <w:t xml:space="preserve"> </w:t>
      </w:r>
      <w:r w:rsidRPr="00C25749">
        <w:t>unavoidable</w:t>
      </w:r>
      <w:r w:rsidRPr="00C25749" w:rsidR="009C690B">
        <w:t xml:space="preserve"> </w:t>
      </w:r>
      <w:r w:rsidRPr="00C25749">
        <w:t>charge</w:t>
      </w:r>
      <w:r w:rsidRPr="00C25749" w:rsidR="009C690B">
        <w:t xml:space="preserve"> </w:t>
      </w:r>
      <w:r w:rsidRPr="00C25749">
        <w:t>through</w:t>
      </w:r>
      <w:r w:rsidRPr="00C25749" w:rsidR="009C690B">
        <w:t xml:space="preserve"> </w:t>
      </w:r>
      <w:r w:rsidRPr="00C25749">
        <w:t>2012.”);</w:t>
      </w:r>
      <w:r w:rsidRPr="00C25749" w:rsidR="009C690B">
        <w:t xml:space="preserve"> </w:t>
      </w:r>
      <w:r w:rsidRPr="00C25749">
        <w:t>ESP</w:t>
      </w:r>
      <w:r w:rsidRPr="00C25749" w:rsidR="009C690B">
        <w:t xml:space="preserve"> </w:t>
      </w:r>
      <w:r w:rsidRPr="00C25749">
        <w:t>1 Settlement</w:t>
      </w:r>
      <w:r w:rsidRPr="00C25749" w:rsidR="009C690B">
        <w:t xml:space="preserve"> </w:t>
      </w:r>
      <w:r w:rsidRPr="00C25749">
        <w:t>at</w:t>
      </w:r>
      <w:r w:rsidRPr="00C25749" w:rsidR="009C690B">
        <w:t xml:space="preserve"> </w:t>
      </w:r>
      <w:r w:rsidRPr="00C25749">
        <w:t>4</w:t>
      </w:r>
      <w:r w:rsidRPr="00C25749" w:rsidR="009C690B">
        <w:t xml:space="preserve"> </w:t>
      </w:r>
      <w:r w:rsidRPr="00C25749">
        <w:t>(“The</w:t>
      </w:r>
      <w:r w:rsidRPr="00C25749" w:rsidR="009C690B">
        <w:t xml:space="preserve"> </w:t>
      </w:r>
      <w:r w:rsidRPr="00C25749">
        <w:t>current</w:t>
      </w:r>
      <w:r w:rsidRPr="00C25749" w:rsidR="009C690B">
        <w:t xml:space="preserve"> </w:t>
      </w:r>
      <w:r w:rsidRPr="00C25749">
        <w:t>[RSC]</w:t>
      </w:r>
      <w:r w:rsidRPr="00C25749" w:rsidR="009C690B">
        <w:t xml:space="preserve"> </w:t>
      </w:r>
      <w:r w:rsidRPr="00C25749">
        <w:t>charge</w:t>
      </w:r>
      <w:r w:rsidRPr="00C25749" w:rsidR="009C690B">
        <w:t xml:space="preserve"> </w:t>
      </w:r>
      <w:r w:rsidRPr="00C25749">
        <w:t>will</w:t>
      </w:r>
      <w:r w:rsidRPr="00C25749" w:rsidR="009C690B">
        <w:t xml:space="preserve"> </w:t>
      </w:r>
      <w:r w:rsidRPr="00C25749">
        <w:t>continue</w:t>
      </w:r>
      <w:r w:rsidRPr="00C25749" w:rsidR="009C690B">
        <w:t xml:space="preserve"> </w:t>
      </w:r>
      <w:r w:rsidRPr="00C25749">
        <w:t>as</w:t>
      </w:r>
      <w:r w:rsidRPr="00C25749" w:rsidR="009C690B">
        <w:t xml:space="preserve"> </w:t>
      </w:r>
      <w:r w:rsidRPr="00C25749">
        <w:t>a</w:t>
      </w:r>
      <w:r w:rsidRPr="00C25749" w:rsidR="009C690B">
        <w:t xml:space="preserve"> </w:t>
      </w:r>
      <w:r w:rsidRPr="00C25749">
        <w:t>non</w:t>
      </w:r>
      <w:r w:rsidRPr="00C25749" w:rsidR="000B1DEE">
        <w:t>-</w:t>
      </w:r>
      <w:r w:rsidRPr="00C25749">
        <w:t>bypassable</w:t>
      </w:r>
      <w:r w:rsidRPr="00C25749" w:rsidR="009C690B">
        <w:t xml:space="preserve"> </w:t>
      </w:r>
      <w:r w:rsidRPr="00C25749">
        <w:t>charge</w:t>
      </w:r>
      <w:r w:rsidRPr="00C25749" w:rsidR="009C690B">
        <w:t xml:space="preserve"> </w:t>
      </w:r>
      <w:r w:rsidRPr="00C25749">
        <w:t>through</w:t>
      </w:r>
      <w:r w:rsidRPr="00C25749" w:rsidR="009C690B">
        <w:t xml:space="preserve"> </w:t>
      </w:r>
      <w:r w:rsidRPr="00C25749">
        <w:t>December</w:t>
      </w:r>
      <w:r w:rsidRPr="00C25749" w:rsidR="009C690B">
        <w:t xml:space="preserve"> </w:t>
      </w:r>
      <w:r w:rsidRPr="00C25749">
        <w:t>31,</w:t>
      </w:r>
      <w:r w:rsidRPr="00C25749" w:rsidR="009C690B">
        <w:t xml:space="preserve"> </w:t>
      </w:r>
      <w:r w:rsidRPr="00C25749">
        <w:t>2012.”). (The</w:t>
      </w:r>
      <w:r w:rsidRPr="00C25749" w:rsidR="009C690B">
        <w:t xml:space="preserve"> </w:t>
      </w:r>
      <w:r w:rsidRPr="00C25749">
        <w:t>ESP</w:t>
      </w:r>
      <w:r w:rsidRPr="00C25749" w:rsidR="009C690B">
        <w:t xml:space="preserve"> </w:t>
      </w:r>
      <w:r w:rsidRPr="00C25749">
        <w:t>I</w:t>
      </w:r>
      <w:r w:rsidRPr="00C25749" w:rsidR="009C690B">
        <w:t xml:space="preserve"> </w:t>
      </w:r>
      <w:r w:rsidRPr="00C25749">
        <w:t>Settlement</w:t>
      </w:r>
      <w:r w:rsidRPr="00C25749" w:rsidR="009C690B">
        <w:t xml:space="preserve"> </w:t>
      </w:r>
      <w:r w:rsidRPr="00C25749">
        <w:t>has</w:t>
      </w:r>
      <w:r w:rsidRPr="00C25749" w:rsidR="009C690B">
        <w:t xml:space="preserve"> </w:t>
      </w:r>
      <w:r w:rsidRPr="00C25749">
        <w:t>a</w:t>
      </w:r>
      <w:r w:rsidRPr="00C25749" w:rsidR="009C690B">
        <w:t xml:space="preserve"> </w:t>
      </w:r>
      <w:r w:rsidRPr="00C25749">
        <w:t>typo,</w:t>
      </w:r>
      <w:r w:rsidRPr="00C25749" w:rsidR="009C690B">
        <w:t xml:space="preserve"> </w:t>
      </w:r>
      <w:r w:rsidRPr="00C25749">
        <w:t>referring</w:t>
      </w:r>
      <w:r w:rsidRPr="00C25749" w:rsidR="009C690B">
        <w:t xml:space="preserve"> </w:t>
      </w:r>
      <w:r w:rsidRPr="00C25749">
        <w:t>to</w:t>
      </w:r>
      <w:r w:rsidRPr="00C25749" w:rsidR="009C690B">
        <w:t xml:space="preserve"> </w:t>
      </w:r>
      <w:r w:rsidRPr="00C25749">
        <w:t>the</w:t>
      </w:r>
      <w:r w:rsidRPr="00C25749" w:rsidR="009C690B">
        <w:t xml:space="preserve"> </w:t>
      </w:r>
      <w:r w:rsidRPr="00C25749">
        <w:t>RSC</w:t>
      </w:r>
      <w:r w:rsidRPr="00C25749" w:rsidR="009C690B">
        <w:t xml:space="preserve"> </w:t>
      </w:r>
      <w:r w:rsidRPr="00C25749">
        <w:t>as</w:t>
      </w:r>
      <w:r w:rsidRPr="00C25749" w:rsidR="009C690B">
        <w:t xml:space="preserve"> </w:t>
      </w:r>
      <w:r w:rsidRPr="00C25749">
        <w:t>the</w:t>
      </w:r>
      <w:r w:rsidRPr="00C25749" w:rsidR="009C690B">
        <w:t xml:space="preserve"> </w:t>
      </w:r>
      <w:r w:rsidRPr="00C25749">
        <w:t>“RSS.”</w:t>
      </w:r>
      <w:r w:rsidRPr="00C25749" w:rsidR="009C690B">
        <w:t xml:space="preserve"> </w:t>
      </w:r>
      <w:r w:rsidRPr="00C25749">
        <w:rPr>
          <w:i/>
          <w:iCs/>
        </w:rPr>
        <w:t>See</w:t>
      </w:r>
      <w:r w:rsidRPr="00C25749" w:rsidR="009C690B">
        <w:t xml:space="preserve"> </w:t>
      </w:r>
      <w:r w:rsidRPr="00C25749">
        <w:t>ESP</w:t>
      </w:r>
      <w:r w:rsidRPr="00C25749" w:rsidR="009C690B">
        <w:t xml:space="preserve"> </w:t>
      </w:r>
      <w:r w:rsidRPr="00C25749">
        <w:t>I</w:t>
      </w:r>
      <w:r w:rsidRPr="00C25749" w:rsidR="009C690B">
        <w:t xml:space="preserve"> </w:t>
      </w:r>
      <w:r w:rsidRPr="00C25749">
        <w:t>2009</w:t>
      </w:r>
      <w:r w:rsidRPr="00C25749" w:rsidR="009C690B">
        <w:t xml:space="preserve"> </w:t>
      </w:r>
      <w:r w:rsidRPr="00C25749">
        <w:t>Opinion</w:t>
      </w:r>
      <w:r w:rsidRPr="00C25749" w:rsidR="009C690B">
        <w:t xml:space="preserve"> </w:t>
      </w:r>
      <w:r w:rsidRPr="00C25749">
        <w:t>at</w:t>
      </w:r>
      <w:r w:rsidRPr="00C25749" w:rsidR="009C690B">
        <w:t xml:space="preserve"> </w:t>
      </w:r>
      <w:r w:rsidRPr="00C25749">
        <w:t>5,</w:t>
      </w:r>
      <w:r w:rsidRPr="00C25749" w:rsidR="009C690B">
        <w:t xml:space="preserve"> </w:t>
      </w:r>
      <w:r w:rsidRPr="00C25749">
        <w:t>footnote</w:t>
      </w:r>
      <w:r w:rsidRPr="00C25749" w:rsidR="009C690B">
        <w:t xml:space="preserve"> </w:t>
      </w:r>
      <w:r w:rsidRPr="00C25749">
        <w:t>2.).</w:t>
      </w:r>
    </w:p>
  </w:footnote>
  <w:footnote w:id="7">
    <w:p w:rsidR="00F955D3" w:rsidRPr="00C25749" w:rsidP="00C25749" w14:paraId="2F842F36" w14:textId="77777777">
      <w:pPr>
        <w:pStyle w:val="FootnoteText"/>
        <w:spacing w:after="120"/>
      </w:pPr>
      <w:r w:rsidRPr="00C25749">
        <w:rPr>
          <w:rStyle w:val="FootnoteReference"/>
        </w:rPr>
        <w:footnoteRef/>
      </w:r>
      <w:r w:rsidRPr="00C25749">
        <w:t xml:space="preserve"> ESP</w:t>
      </w:r>
      <w:r w:rsidRPr="00C25749" w:rsidR="009C690B">
        <w:t xml:space="preserve"> </w:t>
      </w:r>
      <w:r w:rsidRPr="00C25749">
        <w:t>I</w:t>
      </w:r>
      <w:r w:rsidRPr="00C25749" w:rsidR="009C690B">
        <w:t xml:space="preserve"> </w:t>
      </w:r>
      <w:r w:rsidRPr="00C25749">
        <w:t>Settlement</w:t>
      </w:r>
      <w:r w:rsidRPr="00C25749" w:rsidR="009C690B">
        <w:t xml:space="preserve"> </w:t>
      </w:r>
      <w:r w:rsidRPr="00C25749">
        <w:t>at</w:t>
      </w:r>
      <w:r w:rsidRPr="00C25749" w:rsidR="009C690B">
        <w:t xml:space="preserve"> </w:t>
      </w:r>
      <w:r w:rsidRPr="00C25749">
        <w:t>10.</w:t>
      </w:r>
    </w:p>
  </w:footnote>
  <w:footnote w:id="8">
    <w:p w:rsidR="00F955D3" w:rsidRPr="00C25749" w:rsidP="00C25749" w14:paraId="7D1404FA" w14:textId="77777777">
      <w:pPr>
        <w:pStyle w:val="FootnoteText"/>
        <w:spacing w:after="120"/>
      </w:pPr>
      <w:r w:rsidRPr="00C25749">
        <w:rPr>
          <w:rStyle w:val="FootnoteReference"/>
        </w:rPr>
        <w:footnoteRef/>
      </w:r>
      <w:r w:rsidRPr="00C25749">
        <w:t xml:space="preserve"> </w:t>
      </w:r>
      <w:r w:rsidRPr="00C25749" w:rsidR="00297C53">
        <w:rPr>
          <w:i/>
          <w:iCs/>
        </w:rPr>
        <w:t>Id.</w:t>
      </w:r>
      <w:r w:rsidRPr="00C25749" w:rsidR="009C690B">
        <w:t xml:space="preserve"> </w:t>
      </w:r>
      <w:r w:rsidRPr="00C25749">
        <w:t>at</w:t>
      </w:r>
      <w:r w:rsidRPr="00C25749" w:rsidR="009C690B">
        <w:t xml:space="preserve"> </w:t>
      </w:r>
      <w:r w:rsidRPr="00C25749">
        <w:t>10-11.</w:t>
      </w:r>
    </w:p>
  </w:footnote>
  <w:footnote w:id="9">
    <w:p w:rsidR="00F955D3" w:rsidRPr="00C25749" w:rsidP="00C25749" w14:paraId="040FED46" w14:textId="77777777">
      <w:pPr>
        <w:pStyle w:val="FootnoteText"/>
        <w:spacing w:after="120"/>
      </w:pPr>
      <w:r w:rsidRPr="00C25749">
        <w:rPr>
          <w:rStyle w:val="FootnoteReference"/>
        </w:rPr>
        <w:footnoteRef/>
      </w:r>
      <w:r w:rsidRPr="00C25749">
        <w:t xml:space="preserve"> ESP</w:t>
      </w:r>
      <w:r w:rsidRPr="00C25749" w:rsidR="009C690B">
        <w:t xml:space="preserve"> </w:t>
      </w:r>
      <w:r w:rsidRPr="00C25749">
        <w:t>I</w:t>
      </w:r>
      <w:r w:rsidRPr="00C25749" w:rsidR="009C690B">
        <w:t xml:space="preserve"> </w:t>
      </w:r>
      <w:r w:rsidRPr="00C25749">
        <w:t>2009</w:t>
      </w:r>
      <w:r w:rsidRPr="00C25749" w:rsidR="009C690B">
        <w:t xml:space="preserve"> </w:t>
      </w:r>
      <w:r w:rsidRPr="00C25749">
        <w:t>Opinion</w:t>
      </w:r>
      <w:r w:rsidRPr="00C25749" w:rsidR="009C690B">
        <w:t xml:space="preserve"> </w:t>
      </w:r>
      <w:r w:rsidRPr="00C25749">
        <w:t>at</w:t>
      </w:r>
      <w:r w:rsidRPr="00C25749" w:rsidR="009C690B">
        <w:t xml:space="preserve"> </w:t>
      </w:r>
      <w:r w:rsidRPr="00C25749">
        <w:t>13.</w:t>
      </w:r>
    </w:p>
  </w:footnote>
  <w:footnote w:id="10">
    <w:p w:rsidR="00F74F53" w:rsidRPr="00C25749" w:rsidP="00C25749" w14:paraId="720E530B" w14:textId="77777777">
      <w:pPr>
        <w:pStyle w:val="FootnoteText"/>
        <w:spacing w:after="120"/>
      </w:pPr>
      <w:r w:rsidRPr="00C25749">
        <w:rPr>
          <w:rStyle w:val="FootnoteReference"/>
        </w:rPr>
        <w:footnoteRef/>
      </w:r>
      <w:r w:rsidRPr="00C25749">
        <w:t xml:space="preserve"> </w:t>
      </w:r>
      <w:r w:rsidRPr="00C25749" w:rsidR="00292F74">
        <w:rPr>
          <w:i/>
          <w:iCs/>
        </w:rPr>
        <w:t>In</w:t>
      </w:r>
      <w:r w:rsidRPr="00C25749" w:rsidR="009C690B">
        <w:rPr>
          <w:i/>
          <w:iCs/>
        </w:rPr>
        <w:t xml:space="preserve"> </w:t>
      </w:r>
      <w:r w:rsidRPr="00C25749" w:rsidR="00292F74">
        <w:rPr>
          <w:i/>
          <w:iCs/>
        </w:rPr>
        <w:t>re</w:t>
      </w:r>
      <w:r w:rsidRPr="00C25749" w:rsidR="009C690B">
        <w:rPr>
          <w:i/>
          <w:iCs/>
        </w:rPr>
        <w:t xml:space="preserve"> </w:t>
      </w:r>
      <w:r w:rsidRPr="00C25749" w:rsidR="00292F74">
        <w:rPr>
          <w:i/>
          <w:iCs/>
        </w:rPr>
        <w:t>Application</w:t>
      </w:r>
      <w:r w:rsidRPr="00C25749" w:rsidR="009C690B">
        <w:rPr>
          <w:i/>
          <w:iCs/>
        </w:rPr>
        <w:t xml:space="preserve"> </w:t>
      </w:r>
      <w:r w:rsidRPr="00C25749" w:rsidR="00292F74">
        <w:rPr>
          <w:i/>
          <w:iCs/>
        </w:rPr>
        <w:t>of</w:t>
      </w:r>
      <w:r w:rsidRPr="00C25749" w:rsidR="009C690B">
        <w:rPr>
          <w:i/>
          <w:iCs/>
        </w:rPr>
        <w:t xml:space="preserve"> </w:t>
      </w:r>
      <w:r w:rsidRPr="00C25749" w:rsidR="00292F74">
        <w:rPr>
          <w:i/>
          <w:iCs/>
        </w:rPr>
        <w:t>the</w:t>
      </w:r>
      <w:r w:rsidRPr="00C25749" w:rsidR="009C690B">
        <w:rPr>
          <w:i/>
          <w:iCs/>
        </w:rPr>
        <w:t xml:space="preserve"> </w:t>
      </w:r>
      <w:r w:rsidRPr="00C25749" w:rsidR="00292F74">
        <w:rPr>
          <w:i/>
          <w:iCs/>
        </w:rPr>
        <w:t>Dayton</w:t>
      </w:r>
      <w:r w:rsidRPr="00C25749" w:rsidR="009C690B">
        <w:rPr>
          <w:i/>
          <w:iCs/>
        </w:rPr>
        <w:t xml:space="preserve"> </w:t>
      </w:r>
      <w:r w:rsidRPr="00C25749" w:rsidR="00292F74">
        <w:rPr>
          <w:i/>
          <w:iCs/>
        </w:rPr>
        <w:t>Power</w:t>
      </w:r>
      <w:r w:rsidRPr="00C25749" w:rsidR="009C690B">
        <w:rPr>
          <w:i/>
          <w:iCs/>
        </w:rPr>
        <w:t xml:space="preserve"> </w:t>
      </w:r>
      <w:r w:rsidRPr="00C25749" w:rsidR="00292F74">
        <w:rPr>
          <w:i/>
          <w:iCs/>
        </w:rPr>
        <w:t>&amp;</w:t>
      </w:r>
      <w:r w:rsidRPr="00C25749" w:rsidR="009C690B">
        <w:rPr>
          <w:i/>
          <w:iCs/>
        </w:rPr>
        <w:t xml:space="preserve"> </w:t>
      </w:r>
      <w:r w:rsidRPr="00C25749" w:rsidR="00292F74">
        <w:rPr>
          <w:i/>
          <w:iCs/>
        </w:rPr>
        <w:t>Light</w:t>
      </w:r>
      <w:r w:rsidRPr="00C25749" w:rsidR="009C690B">
        <w:rPr>
          <w:i/>
          <w:iCs/>
        </w:rPr>
        <w:t xml:space="preserve"> </w:t>
      </w:r>
      <w:r w:rsidRPr="00C25749" w:rsidR="00292F74">
        <w:rPr>
          <w:i/>
          <w:iCs/>
        </w:rPr>
        <w:t>Co.</w:t>
      </w:r>
      <w:r w:rsidRPr="00C25749" w:rsidR="009C690B">
        <w:rPr>
          <w:i/>
          <w:iCs/>
        </w:rPr>
        <w:t xml:space="preserve"> </w:t>
      </w:r>
      <w:r w:rsidRPr="00C25749" w:rsidR="00292F74">
        <w:rPr>
          <w:i/>
          <w:iCs/>
        </w:rPr>
        <w:t>for</w:t>
      </w:r>
      <w:r w:rsidRPr="00C25749" w:rsidR="009C690B">
        <w:rPr>
          <w:i/>
          <w:iCs/>
        </w:rPr>
        <w:t xml:space="preserve"> </w:t>
      </w:r>
      <w:r w:rsidRPr="00C25749" w:rsidR="00292F74">
        <w:rPr>
          <w:i/>
          <w:iCs/>
        </w:rPr>
        <w:t>Approval</w:t>
      </w:r>
      <w:r w:rsidRPr="00C25749" w:rsidR="009C690B">
        <w:rPr>
          <w:i/>
          <w:iCs/>
        </w:rPr>
        <w:t xml:space="preserve"> </w:t>
      </w:r>
      <w:r w:rsidRPr="00C25749" w:rsidR="00292F74">
        <w:rPr>
          <w:i/>
          <w:iCs/>
        </w:rPr>
        <w:t>of</w:t>
      </w:r>
      <w:r w:rsidRPr="00C25749" w:rsidR="009C690B">
        <w:rPr>
          <w:i/>
          <w:iCs/>
        </w:rPr>
        <w:t xml:space="preserve"> </w:t>
      </w:r>
      <w:r w:rsidRPr="00C25749" w:rsidR="00292F74">
        <w:rPr>
          <w:i/>
          <w:iCs/>
        </w:rPr>
        <w:t>its</w:t>
      </w:r>
      <w:r w:rsidRPr="00C25749" w:rsidR="009C690B">
        <w:rPr>
          <w:i/>
          <w:iCs/>
        </w:rPr>
        <w:t xml:space="preserve"> </w:t>
      </w:r>
      <w:r w:rsidRPr="00C25749" w:rsidR="00292F74">
        <w:rPr>
          <w:i/>
          <w:iCs/>
        </w:rPr>
        <w:t>Market</w:t>
      </w:r>
      <w:r w:rsidRPr="00C25749" w:rsidR="009C690B">
        <w:rPr>
          <w:i/>
          <w:iCs/>
        </w:rPr>
        <w:t xml:space="preserve"> </w:t>
      </w:r>
      <w:r w:rsidRPr="00C25749" w:rsidR="00292F74">
        <w:rPr>
          <w:i/>
          <w:iCs/>
        </w:rPr>
        <w:t>Rate</w:t>
      </w:r>
      <w:r w:rsidRPr="00C25749" w:rsidR="009C690B">
        <w:rPr>
          <w:i/>
          <w:iCs/>
        </w:rPr>
        <w:t xml:space="preserve"> </w:t>
      </w:r>
      <w:r w:rsidRPr="00C25749" w:rsidR="00292F74">
        <w:rPr>
          <w:i/>
          <w:iCs/>
        </w:rPr>
        <w:t>Offer</w:t>
      </w:r>
      <w:r w:rsidRPr="00C25749" w:rsidR="00292F74">
        <w:t>,</w:t>
      </w:r>
      <w:r w:rsidRPr="00C25749" w:rsidR="009C690B">
        <w:t xml:space="preserve"> </w:t>
      </w:r>
      <w:r w:rsidRPr="00C25749" w:rsidR="00292F74">
        <w:t>Case</w:t>
      </w:r>
      <w:r w:rsidRPr="00C25749" w:rsidR="009C690B">
        <w:t xml:space="preserve"> </w:t>
      </w:r>
      <w:r w:rsidRPr="00C25749" w:rsidR="00292F74">
        <w:t>No.</w:t>
      </w:r>
      <w:r w:rsidRPr="00C25749" w:rsidR="009C690B">
        <w:t xml:space="preserve"> </w:t>
      </w:r>
      <w:r w:rsidRPr="00C25749" w:rsidR="00292F74">
        <w:t>12-426-ELSSO,</w:t>
      </w:r>
      <w:r w:rsidRPr="00C25749" w:rsidR="009C690B">
        <w:t xml:space="preserve"> </w:t>
      </w:r>
      <w:r w:rsidRPr="00C25749" w:rsidR="00292F74">
        <w:t>Application</w:t>
      </w:r>
      <w:r w:rsidRPr="00C25749" w:rsidR="009C690B">
        <w:t xml:space="preserve"> </w:t>
      </w:r>
      <w:r w:rsidRPr="00C25749" w:rsidR="00292F74">
        <w:t>(March</w:t>
      </w:r>
      <w:r w:rsidRPr="00C25749" w:rsidR="009C690B">
        <w:t xml:space="preserve"> </w:t>
      </w:r>
      <w:r w:rsidRPr="00C25749" w:rsidR="00292F74">
        <w:t>30,</w:t>
      </w:r>
      <w:r w:rsidRPr="00C25749" w:rsidR="009C690B">
        <w:t xml:space="preserve"> </w:t>
      </w:r>
      <w:r w:rsidRPr="00C25749" w:rsidR="00292F74">
        <w:t>2012).</w:t>
      </w:r>
    </w:p>
  </w:footnote>
  <w:footnote w:id="11">
    <w:p w:rsidR="00F955D3" w:rsidRPr="00C25749" w:rsidP="00C25749" w14:paraId="2A94CB2D" w14:textId="77777777">
      <w:pPr>
        <w:pStyle w:val="FootnoteText"/>
        <w:spacing w:after="120"/>
      </w:pPr>
      <w:r w:rsidRPr="00C25749">
        <w:rPr>
          <w:rStyle w:val="FootnoteReference"/>
        </w:rPr>
        <w:footnoteRef/>
      </w:r>
      <w:r w:rsidRPr="00C25749">
        <w:t xml:space="preserve"> Case</w:t>
      </w:r>
      <w:r w:rsidRPr="00C25749" w:rsidR="009C690B">
        <w:t xml:space="preserve"> </w:t>
      </w:r>
      <w:r w:rsidRPr="00C25749">
        <w:t>No.</w:t>
      </w:r>
      <w:r w:rsidRPr="00C25749" w:rsidR="009C690B">
        <w:t xml:space="preserve"> </w:t>
      </w:r>
      <w:r w:rsidRPr="00C25749">
        <w:t>12-426-EL-SSO,</w:t>
      </w:r>
      <w:r w:rsidRPr="00C25749" w:rsidR="009C690B">
        <w:t xml:space="preserve"> </w:t>
      </w:r>
      <w:r w:rsidRPr="00C25749">
        <w:t>Notice</w:t>
      </w:r>
      <w:r w:rsidRPr="00C25749" w:rsidR="009C690B">
        <w:t xml:space="preserve"> </w:t>
      </w:r>
      <w:r w:rsidRPr="00C25749">
        <w:t>of</w:t>
      </w:r>
      <w:r w:rsidRPr="00C25749" w:rsidR="009C690B">
        <w:t xml:space="preserve"> </w:t>
      </w:r>
      <w:r w:rsidRPr="00C25749">
        <w:t>Withdrawal</w:t>
      </w:r>
      <w:r w:rsidRPr="00C25749" w:rsidR="009C690B">
        <w:t xml:space="preserve"> </w:t>
      </w:r>
      <w:r w:rsidRPr="00C25749">
        <w:t>of</w:t>
      </w:r>
      <w:r w:rsidRPr="00C25749" w:rsidR="009C690B">
        <w:t xml:space="preserve"> </w:t>
      </w:r>
      <w:r w:rsidRPr="00C25749">
        <w:t>Market</w:t>
      </w:r>
      <w:r w:rsidRPr="00C25749" w:rsidR="009C690B">
        <w:t xml:space="preserve"> </w:t>
      </w:r>
      <w:r w:rsidRPr="00C25749">
        <w:t>Rate</w:t>
      </w:r>
      <w:r w:rsidRPr="00C25749" w:rsidR="009C690B">
        <w:t xml:space="preserve"> </w:t>
      </w:r>
      <w:r w:rsidRPr="00C25749">
        <w:t>Offer</w:t>
      </w:r>
      <w:r w:rsidRPr="00C25749" w:rsidR="009C690B">
        <w:t xml:space="preserve"> </w:t>
      </w:r>
      <w:r w:rsidRPr="00C25749">
        <w:t>Application</w:t>
      </w:r>
      <w:r w:rsidRPr="00C25749" w:rsidR="009C690B">
        <w:t xml:space="preserve"> </w:t>
      </w:r>
      <w:r w:rsidRPr="00C25749">
        <w:t>(September</w:t>
      </w:r>
      <w:r w:rsidRPr="00C25749" w:rsidR="009C690B">
        <w:t xml:space="preserve"> </w:t>
      </w:r>
      <w:r w:rsidRPr="00C25749">
        <w:t>7,</w:t>
      </w:r>
      <w:r w:rsidRPr="00C25749" w:rsidR="009C690B">
        <w:t xml:space="preserve"> </w:t>
      </w:r>
      <w:r w:rsidRPr="00C25749">
        <w:t>2012).</w:t>
      </w:r>
    </w:p>
  </w:footnote>
  <w:footnote w:id="12">
    <w:p w:rsidR="00F955D3" w:rsidRPr="00C25749" w:rsidP="00C25749" w14:paraId="294352B1" w14:textId="77777777">
      <w:pPr>
        <w:pStyle w:val="FootnoteText"/>
        <w:spacing w:after="120"/>
      </w:pPr>
      <w:r w:rsidRPr="00C25749">
        <w:rPr>
          <w:rStyle w:val="FootnoteReference"/>
        </w:rPr>
        <w:footnoteRef/>
      </w:r>
      <w:r w:rsidRPr="00C25749">
        <w:t xml:space="preserve"> Case</w:t>
      </w:r>
      <w:r w:rsidRPr="00C25749" w:rsidR="009C690B">
        <w:t xml:space="preserve"> </w:t>
      </w:r>
      <w:r w:rsidRPr="00C25749">
        <w:t>No.</w:t>
      </w:r>
      <w:r w:rsidRPr="00C25749" w:rsidR="009C690B">
        <w:t xml:space="preserve"> </w:t>
      </w:r>
      <w:r w:rsidRPr="00C25749">
        <w:t>12-426-EL-SSO,</w:t>
      </w:r>
      <w:r w:rsidRPr="00C25749" w:rsidR="009C690B">
        <w:t xml:space="preserve"> </w:t>
      </w:r>
      <w:r w:rsidRPr="00C25749">
        <w:t>Motion</w:t>
      </w:r>
      <w:r w:rsidRPr="00C25749" w:rsidR="009C690B">
        <w:t xml:space="preserve"> </w:t>
      </w:r>
      <w:r w:rsidRPr="00C25749">
        <w:t>of</w:t>
      </w:r>
      <w:r w:rsidRPr="00C25749" w:rsidR="009C690B">
        <w:t xml:space="preserve"> </w:t>
      </w:r>
      <w:r w:rsidRPr="00C25749">
        <w:t>Application</w:t>
      </w:r>
      <w:r w:rsidRPr="00C25749" w:rsidR="009C690B">
        <w:t xml:space="preserve"> </w:t>
      </w:r>
      <w:r w:rsidRPr="00C25749">
        <w:t>the</w:t>
      </w:r>
      <w:r w:rsidRPr="00C25749" w:rsidR="009C690B">
        <w:t xml:space="preserve"> </w:t>
      </w:r>
      <w:r w:rsidRPr="00C25749">
        <w:t>Dayton</w:t>
      </w:r>
      <w:r w:rsidRPr="00C25749" w:rsidR="009C690B">
        <w:t xml:space="preserve"> </w:t>
      </w:r>
      <w:r w:rsidRPr="00C25749">
        <w:t>Power</w:t>
      </w:r>
      <w:r w:rsidRPr="00C25749" w:rsidR="009C690B">
        <w:t xml:space="preserve"> </w:t>
      </w:r>
      <w:r w:rsidRPr="00C25749">
        <w:t>&amp;</w:t>
      </w:r>
      <w:r w:rsidRPr="00C25749" w:rsidR="009C690B">
        <w:t xml:space="preserve"> </w:t>
      </w:r>
      <w:r w:rsidRPr="00C25749">
        <w:t>Light</w:t>
      </w:r>
      <w:r w:rsidRPr="00C25749" w:rsidR="009C690B">
        <w:t xml:space="preserve"> </w:t>
      </w:r>
      <w:r w:rsidRPr="00C25749">
        <w:t>Co.</w:t>
      </w:r>
      <w:r w:rsidRPr="00C25749" w:rsidR="009C690B">
        <w:t xml:space="preserve"> </w:t>
      </w:r>
      <w:r w:rsidRPr="00C25749">
        <w:t>to</w:t>
      </w:r>
      <w:r w:rsidRPr="00C25749" w:rsidR="009C690B">
        <w:t xml:space="preserve"> </w:t>
      </w:r>
      <w:r w:rsidRPr="00C25749">
        <w:t>Set</w:t>
      </w:r>
      <w:r w:rsidRPr="00C25749" w:rsidR="009C690B">
        <w:t xml:space="preserve"> </w:t>
      </w:r>
      <w:r w:rsidRPr="00C25749">
        <w:t>Procedural</w:t>
      </w:r>
      <w:r w:rsidRPr="00C25749" w:rsidR="009C690B">
        <w:t xml:space="preserve"> </w:t>
      </w:r>
      <w:r w:rsidRPr="00C25749">
        <w:t>Schedule</w:t>
      </w:r>
      <w:r w:rsidRPr="00C25749" w:rsidR="009C690B">
        <w:t xml:space="preserve"> </w:t>
      </w:r>
      <w:r w:rsidRPr="00C25749">
        <w:t>for its</w:t>
      </w:r>
      <w:r w:rsidRPr="00C25749" w:rsidR="009C690B">
        <w:t xml:space="preserve"> </w:t>
      </w:r>
      <w:r w:rsidRPr="00C25749">
        <w:t>Elec.</w:t>
      </w:r>
      <w:r w:rsidRPr="00C25749" w:rsidR="009C690B">
        <w:t xml:space="preserve"> </w:t>
      </w:r>
      <w:r w:rsidRPr="00C25749">
        <w:t>Sec.</w:t>
      </w:r>
      <w:r w:rsidRPr="00C25749" w:rsidR="009C690B">
        <w:t xml:space="preserve"> </w:t>
      </w:r>
      <w:r w:rsidRPr="00C25749">
        <w:t>Plan</w:t>
      </w:r>
      <w:r w:rsidRPr="00C25749" w:rsidR="009C690B">
        <w:t xml:space="preserve"> </w:t>
      </w:r>
      <w:r w:rsidRPr="00C25749">
        <w:t>Filing</w:t>
      </w:r>
      <w:r w:rsidRPr="00C25749" w:rsidR="009C690B">
        <w:t xml:space="preserve"> </w:t>
      </w:r>
      <w:r w:rsidRPr="00C25749">
        <w:t>(September</w:t>
      </w:r>
      <w:r w:rsidRPr="00C25749" w:rsidR="009C690B">
        <w:t xml:space="preserve"> </w:t>
      </w:r>
      <w:r w:rsidRPr="00C25749">
        <w:t>7,</w:t>
      </w:r>
      <w:r w:rsidRPr="00C25749" w:rsidR="009C690B">
        <w:t xml:space="preserve"> </w:t>
      </w:r>
      <w:r w:rsidRPr="00C25749">
        <w:t>2012).</w:t>
      </w:r>
    </w:p>
  </w:footnote>
  <w:footnote w:id="13">
    <w:p w:rsidR="00F955D3" w:rsidRPr="00C25749" w:rsidP="00C25749" w14:paraId="16C825DF" w14:textId="77777777">
      <w:pPr>
        <w:pStyle w:val="FootnoteText"/>
        <w:spacing w:after="120"/>
      </w:pPr>
      <w:r w:rsidRPr="00C25749">
        <w:rPr>
          <w:rStyle w:val="FootnoteReference"/>
        </w:rPr>
        <w:footnoteRef/>
      </w:r>
      <w:r w:rsidRPr="00C25749">
        <w:t xml:space="preserve"> Case</w:t>
      </w:r>
      <w:r w:rsidRPr="00C25749" w:rsidR="009C690B">
        <w:t xml:space="preserve"> </w:t>
      </w:r>
      <w:r w:rsidRPr="00C25749">
        <w:t>No.</w:t>
      </w:r>
      <w:r w:rsidRPr="00C25749" w:rsidR="009C690B">
        <w:t xml:space="preserve"> </w:t>
      </w:r>
      <w:r w:rsidRPr="00C25749">
        <w:t>12-426-EL-SSO,</w:t>
      </w:r>
      <w:r w:rsidRPr="00C25749" w:rsidR="009C690B">
        <w:t xml:space="preserve"> </w:t>
      </w:r>
      <w:r w:rsidRPr="00C25749">
        <w:t>Joint</w:t>
      </w:r>
      <w:r w:rsidRPr="00C25749" w:rsidR="009C690B">
        <w:t xml:space="preserve"> </w:t>
      </w:r>
      <w:r w:rsidRPr="00C25749">
        <w:t>Motion</w:t>
      </w:r>
      <w:r w:rsidRPr="00C25749" w:rsidR="009C690B">
        <w:t xml:space="preserve"> </w:t>
      </w:r>
      <w:r w:rsidRPr="00C25749">
        <w:t>Seeking</w:t>
      </w:r>
      <w:r w:rsidRPr="00C25749" w:rsidR="009C690B">
        <w:t xml:space="preserve"> </w:t>
      </w:r>
      <w:r w:rsidRPr="00C25749">
        <w:t>Enforcement</w:t>
      </w:r>
      <w:r w:rsidRPr="00C25749" w:rsidR="009C690B">
        <w:t xml:space="preserve"> </w:t>
      </w:r>
      <w:r w:rsidRPr="00C25749">
        <w:t>of</w:t>
      </w:r>
      <w:r w:rsidRPr="00C25749" w:rsidR="009C690B">
        <w:t xml:space="preserve"> </w:t>
      </w:r>
      <w:r w:rsidRPr="00C25749">
        <w:t>Approved</w:t>
      </w:r>
      <w:r w:rsidRPr="00C25749" w:rsidR="009C690B">
        <w:t xml:space="preserve"> </w:t>
      </w:r>
      <w:r w:rsidRPr="00C25749">
        <w:t>Settlement</w:t>
      </w:r>
      <w:r w:rsidRPr="00C25749" w:rsidR="009C690B">
        <w:t xml:space="preserve"> </w:t>
      </w:r>
      <w:r w:rsidRPr="00C25749">
        <w:t>Agreements</w:t>
      </w:r>
      <w:r w:rsidRPr="00C25749" w:rsidR="009C690B">
        <w:t xml:space="preserve"> </w:t>
      </w:r>
      <w:r w:rsidRPr="00C25749">
        <w:t>and</w:t>
      </w:r>
      <w:r w:rsidRPr="00C25749" w:rsidR="009C690B">
        <w:t xml:space="preserve"> </w:t>
      </w:r>
      <w:r w:rsidRPr="00C25749">
        <w:t>Orders Issued</w:t>
      </w:r>
      <w:r w:rsidRPr="00C25749" w:rsidR="009C690B">
        <w:t xml:space="preserve"> </w:t>
      </w:r>
      <w:r w:rsidRPr="00C25749">
        <w:t>by</w:t>
      </w:r>
      <w:r w:rsidRPr="00C25749" w:rsidR="009C690B">
        <w:t xml:space="preserve"> </w:t>
      </w:r>
      <w:r w:rsidRPr="00C25749">
        <w:t>the</w:t>
      </w:r>
      <w:r w:rsidRPr="00C25749" w:rsidR="009C690B">
        <w:t xml:space="preserve"> </w:t>
      </w:r>
      <w:r w:rsidRPr="00C25749">
        <w:t>Public</w:t>
      </w:r>
      <w:r w:rsidRPr="00C25749" w:rsidR="009C690B">
        <w:t xml:space="preserve"> </w:t>
      </w:r>
      <w:r w:rsidRPr="00C25749">
        <w:t>Utilities</w:t>
      </w:r>
      <w:r w:rsidRPr="00C25749" w:rsidR="009C690B">
        <w:t xml:space="preserve"> </w:t>
      </w:r>
      <w:r w:rsidRPr="00C25749">
        <w:t>Commission</w:t>
      </w:r>
      <w:r w:rsidRPr="00C25749" w:rsidR="009C690B">
        <w:t xml:space="preserve"> </w:t>
      </w:r>
      <w:r w:rsidRPr="00C25749">
        <w:t>of</w:t>
      </w:r>
      <w:r w:rsidRPr="00C25749" w:rsidR="009C690B">
        <w:t xml:space="preserve"> </w:t>
      </w:r>
      <w:r w:rsidRPr="00C25749">
        <w:t>Ohio</w:t>
      </w:r>
      <w:r w:rsidRPr="00C25749" w:rsidR="009C690B">
        <w:t xml:space="preserve"> </w:t>
      </w:r>
      <w:r w:rsidRPr="00C25749">
        <w:t>(September</w:t>
      </w:r>
      <w:r w:rsidRPr="00C25749" w:rsidR="009C690B">
        <w:t xml:space="preserve"> </w:t>
      </w:r>
      <w:r w:rsidRPr="00C25749">
        <w:t>26,</w:t>
      </w:r>
      <w:r w:rsidRPr="00C25749" w:rsidR="009C690B">
        <w:t xml:space="preserve"> </w:t>
      </w:r>
      <w:r w:rsidRPr="00C25749">
        <w:t>2012)</w:t>
      </w:r>
      <w:r w:rsidRPr="00C25749" w:rsidR="009C690B">
        <w:t xml:space="preserve"> </w:t>
      </w:r>
      <w:r w:rsidRPr="00C25749">
        <w:t>(the</w:t>
      </w:r>
      <w:r w:rsidRPr="00C25749" w:rsidR="009C690B">
        <w:t xml:space="preserve"> </w:t>
      </w:r>
      <w:r w:rsidRPr="00C25749">
        <w:t>“Joint</w:t>
      </w:r>
      <w:r w:rsidRPr="00C25749" w:rsidR="009C690B">
        <w:t xml:space="preserve"> </w:t>
      </w:r>
      <w:r w:rsidRPr="00C25749">
        <w:t>Motion”).</w:t>
      </w:r>
    </w:p>
  </w:footnote>
  <w:footnote w:id="14">
    <w:p w:rsidR="00F955D3" w:rsidRPr="00C25749" w:rsidP="00C25749" w14:paraId="1761A020" w14:textId="77777777">
      <w:pPr>
        <w:pStyle w:val="FootnoteText"/>
        <w:spacing w:after="120"/>
      </w:pPr>
      <w:r w:rsidRPr="00C25749">
        <w:rPr>
          <w:rStyle w:val="FootnoteReference"/>
        </w:rPr>
        <w:footnoteRef/>
      </w:r>
      <w:r w:rsidRPr="00C25749">
        <w:t xml:space="preserve"> </w:t>
      </w:r>
      <w:r w:rsidRPr="00C25749">
        <w:rPr>
          <w:i/>
          <w:iCs/>
        </w:rPr>
        <w:t>Id</w:t>
      </w:r>
      <w:r w:rsidRPr="00C25749">
        <w:t>.</w:t>
      </w:r>
      <w:r w:rsidRPr="00C25749" w:rsidR="009C690B">
        <w:t xml:space="preserve"> </w:t>
      </w:r>
      <w:r w:rsidRPr="00C25749">
        <w:t>at</w:t>
      </w:r>
      <w:r w:rsidRPr="00C25749" w:rsidR="009C690B">
        <w:t xml:space="preserve"> </w:t>
      </w:r>
      <w:r w:rsidRPr="00C25749">
        <w:t>13-14.</w:t>
      </w:r>
    </w:p>
  </w:footnote>
  <w:footnote w:id="15">
    <w:p w:rsidR="00F955D3" w:rsidRPr="00C25749" w:rsidP="00C25749" w14:paraId="1748A360" w14:textId="77777777">
      <w:pPr>
        <w:pStyle w:val="FootnoteText"/>
        <w:spacing w:after="120"/>
      </w:pPr>
      <w:r w:rsidRPr="00C25749">
        <w:rPr>
          <w:rStyle w:val="FootnoteReference"/>
        </w:rPr>
        <w:footnoteRef/>
      </w:r>
      <w:r w:rsidRPr="00C25749">
        <w:t xml:space="preserve"> </w:t>
      </w:r>
      <w:r w:rsidRPr="00C25749">
        <w:rPr>
          <w:i/>
          <w:iCs/>
        </w:rPr>
        <w:t xml:space="preserve">Id. </w:t>
      </w:r>
      <w:r w:rsidRPr="00C25749">
        <w:t>at 14.</w:t>
      </w:r>
    </w:p>
  </w:footnote>
  <w:footnote w:id="16">
    <w:p w:rsidR="00F955D3" w:rsidRPr="00C25749" w:rsidP="00C25749" w14:paraId="58B052BF" w14:textId="77777777">
      <w:pPr>
        <w:pStyle w:val="FootnoteText"/>
        <w:spacing w:after="120"/>
      </w:pPr>
      <w:r w:rsidRPr="00C25749">
        <w:rPr>
          <w:rStyle w:val="FootnoteReference"/>
        </w:rPr>
        <w:footnoteRef/>
      </w:r>
      <w:r w:rsidRPr="00C25749">
        <w:t xml:space="preserve"> Case</w:t>
      </w:r>
      <w:r w:rsidRPr="00C25749" w:rsidR="009C690B">
        <w:t xml:space="preserve"> </w:t>
      </w:r>
      <w:r w:rsidRPr="00C25749">
        <w:t>No.</w:t>
      </w:r>
      <w:r w:rsidRPr="00C25749" w:rsidR="009C690B">
        <w:t xml:space="preserve"> </w:t>
      </w:r>
      <w:r w:rsidRPr="00C25749">
        <w:t>12-426-EL-SSO,</w:t>
      </w:r>
      <w:r w:rsidRPr="00C25749" w:rsidR="009C690B">
        <w:t xml:space="preserve"> </w:t>
      </w:r>
      <w:r w:rsidRPr="00C25749">
        <w:t>Memorandum</w:t>
      </w:r>
      <w:r w:rsidRPr="00C25749" w:rsidR="009C690B">
        <w:t xml:space="preserve"> </w:t>
      </w:r>
      <w:r w:rsidRPr="00C25749">
        <w:t>of</w:t>
      </w:r>
      <w:r w:rsidRPr="00C25749" w:rsidR="009C690B">
        <w:t xml:space="preserve"> </w:t>
      </w:r>
      <w:r w:rsidRPr="00C25749">
        <w:t>the</w:t>
      </w:r>
      <w:r w:rsidRPr="00C25749" w:rsidR="009C690B">
        <w:t xml:space="preserve"> </w:t>
      </w:r>
      <w:r w:rsidRPr="00C25749">
        <w:t>Dayton</w:t>
      </w:r>
      <w:r w:rsidRPr="00C25749" w:rsidR="009C690B">
        <w:t xml:space="preserve"> </w:t>
      </w:r>
      <w:r w:rsidRPr="00C25749">
        <w:t>Power</w:t>
      </w:r>
      <w:r w:rsidRPr="00C25749" w:rsidR="009C690B">
        <w:t xml:space="preserve"> </w:t>
      </w:r>
      <w:r w:rsidRPr="00C25749">
        <w:t>&amp;</w:t>
      </w:r>
      <w:r w:rsidRPr="00C25749" w:rsidR="009C690B">
        <w:t xml:space="preserve"> </w:t>
      </w:r>
      <w:r w:rsidRPr="00C25749">
        <w:t>Light</w:t>
      </w:r>
      <w:r w:rsidRPr="00C25749" w:rsidR="009C690B">
        <w:t xml:space="preserve"> </w:t>
      </w:r>
      <w:r w:rsidRPr="00C25749">
        <w:t>Co.</w:t>
      </w:r>
      <w:r w:rsidRPr="00C25749" w:rsidR="009C690B">
        <w:t xml:space="preserve"> </w:t>
      </w:r>
      <w:r w:rsidRPr="00C25749">
        <w:t>in</w:t>
      </w:r>
      <w:r w:rsidRPr="00C25749" w:rsidR="009C690B">
        <w:t xml:space="preserve"> </w:t>
      </w:r>
      <w:r w:rsidRPr="00C25749">
        <w:t>Opposition</w:t>
      </w:r>
      <w:r w:rsidRPr="00C25749" w:rsidR="009C690B">
        <w:t xml:space="preserve"> </w:t>
      </w:r>
      <w:r w:rsidRPr="00C25749">
        <w:t>to</w:t>
      </w:r>
      <w:r w:rsidRPr="00C25749" w:rsidR="009C690B">
        <w:t xml:space="preserve"> </w:t>
      </w:r>
      <w:r w:rsidRPr="00C25749">
        <w:t>Joint</w:t>
      </w:r>
      <w:r w:rsidRPr="00C25749" w:rsidR="009C690B">
        <w:t xml:space="preserve"> </w:t>
      </w:r>
      <w:r w:rsidRPr="00C25749">
        <w:t>Motion Seeking</w:t>
      </w:r>
      <w:r w:rsidRPr="00C25749" w:rsidR="009C690B">
        <w:t xml:space="preserve"> </w:t>
      </w:r>
      <w:r w:rsidRPr="00C25749">
        <w:t>Enforcement</w:t>
      </w:r>
      <w:r w:rsidRPr="00C25749" w:rsidR="009C690B">
        <w:t xml:space="preserve"> </w:t>
      </w:r>
      <w:r w:rsidRPr="00C25749">
        <w:t>of</w:t>
      </w:r>
      <w:r w:rsidRPr="00C25749" w:rsidR="009C690B">
        <w:t xml:space="preserve"> </w:t>
      </w:r>
      <w:r w:rsidRPr="00C25749">
        <w:t>Approved</w:t>
      </w:r>
      <w:r w:rsidRPr="00C25749" w:rsidR="009C690B">
        <w:t xml:space="preserve"> </w:t>
      </w:r>
      <w:r w:rsidRPr="00C25749">
        <w:t>Settlement</w:t>
      </w:r>
      <w:r w:rsidRPr="00C25749" w:rsidR="009C690B">
        <w:t xml:space="preserve"> </w:t>
      </w:r>
      <w:r w:rsidRPr="00C25749">
        <w:t>Agreements</w:t>
      </w:r>
      <w:r w:rsidRPr="00C25749" w:rsidR="009C690B">
        <w:t xml:space="preserve"> </w:t>
      </w:r>
      <w:r w:rsidRPr="00C25749">
        <w:t>and</w:t>
      </w:r>
      <w:r w:rsidRPr="00C25749" w:rsidR="009C690B">
        <w:t xml:space="preserve"> </w:t>
      </w:r>
      <w:r w:rsidRPr="00C25749">
        <w:t>Orders</w:t>
      </w:r>
      <w:r w:rsidRPr="00C25749" w:rsidR="009C690B">
        <w:t xml:space="preserve"> </w:t>
      </w:r>
      <w:r w:rsidRPr="00C25749">
        <w:t>Issued</w:t>
      </w:r>
      <w:r w:rsidRPr="00C25749" w:rsidR="009C690B">
        <w:t xml:space="preserve"> </w:t>
      </w:r>
      <w:r w:rsidRPr="00C25749">
        <w:t>by</w:t>
      </w:r>
      <w:r w:rsidRPr="00C25749" w:rsidR="009C690B">
        <w:t xml:space="preserve"> </w:t>
      </w:r>
      <w:r w:rsidRPr="00C25749">
        <w:t>the</w:t>
      </w:r>
      <w:r w:rsidRPr="00C25749" w:rsidR="009C690B">
        <w:t xml:space="preserve"> </w:t>
      </w:r>
      <w:r w:rsidRPr="00C25749">
        <w:t>Public</w:t>
      </w:r>
      <w:r w:rsidRPr="00C25749" w:rsidR="009C690B">
        <w:t xml:space="preserve"> </w:t>
      </w:r>
      <w:r w:rsidRPr="00C25749">
        <w:t>Utilities</w:t>
      </w:r>
      <w:r w:rsidRPr="00C25749" w:rsidR="009C690B">
        <w:t xml:space="preserve"> </w:t>
      </w:r>
      <w:r w:rsidRPr="00C25749">
        <w:t>Commission</w:t>
      </w:r>
      <w:r w:rsidRPr="00C25749" w:rsidR="009C690B">
        <w:t xml:space="preserve"> </w:t>
      </w:r>
      <w:r w:rsidRPr="00C25749">
        <w:t>of Ohio</w:t>
      </w:r>
      <w:r w:rsidRPr="00C25749" w:rsidR="009C690B">
        <w:t xml:space="preserve"> </w:t>
      </w:r>
      <w:r w:rsidRPr="00C25749">
        <w:t>(October</w:t>
      </w:r>
      <w:r w:rsidRPr="00C25749" w:rsidR="009C690B">
        <w:t xml:space="preserve"> </w:t>
      </w:r>
      <w:r w:rsidRPr="00C25749">
        <w:t>11,</w:t>
      </w:r>
      <w:r w:rsidRPr="00C25749" w:rsidR="009C690B">
        <w:t xml:space="preserve"> </w:t>
      </w:r>
      <w:r w:rsidRPr="00C25749">
        <w:t>2012).</w:t>
      </w:r>
    </w:p>
  </w:footnote>
  <w:footnote w:id="17">
    <w:p w:rsidR="00F955D3" w:rsidRPr="00C25749" w:rsidP="00C25749" w14:paraId="7F633E0D" w14:textId="77777777">
      <w:pPr>
        <w:pStyle w:val="FootnoteText"/>
        <w:spacing w:after="120"/>
      </w:pPr>
      <w:r w:rsidRPr="00C25749">
        <w:rPr>
          <w:rStyle w:val="FootnoteReference"/>
        </w:rPr>
        <w:footnoteRef/>
      </w:r>
      <w:r w:rsidRPr="00C25749">
        <w:t xml:space="preserve"> </w:t>
      </w:r>
      <w:r w:rsidRPr="00C25749">
        <w:rPr>
          <w:i/>
          <w:iCs/>
        </w:rPr>
        <w:t>Id</w:t>
      </w:r>
      <w:r w:rsidRPr="00C25749">
        <w:t>.</w:t>
      </w:r>
      <w:r w:rsidRPr="00C25749" w:rsidR="009C690B">
        <w:t xml:space="preserve"> </w:t>
      </w:r>
      <w:r w:rsidRPr="00C25749">
        <w:t>at</w:t>
      </w:r>
      <w:r w:rsidRPr="00C25749" w:rsidR="009C690B">
        <w:t xml:space="preserve"> </w:t>
      </w:r>
      <w:r w:rsidRPr="00C25749">
        <w:t>10.</w:t>
      </w:r>
    </w:p>
  </w:footnote>
  <w:footnote w:id="18">
    <w:p w:rsidR="00F955D3" w:rsidRPr="00C25749" w:rsidP="00C25749" w14:paraId="1D5082AB" w14:textId="77777777">
      <w:pPr>
        <w:pStyle w:val="FootnoteText"/>
        <w:spacing w:after="120"/>
      </w:pPr>
      <w:r w:rsidRPr="00C25749">
        <w:rPr>
          <w:rStyle w:val="FootnoteReference"/>
        </w:rPr>
        <w:footnoteRef/>
      </w:r>
      <w:r w:rsidRPr="00C25749">
        <w:t xml:space="preserve"> Case</w:t>
      </w:r>
      <w:r w:rsidRPr="00C25749" w:rsidR="009C690B">
        <w:t xml:space="preserve"> </w:t>
      </w:r>
      <w:r w:rsidRPr="00C25749">
        <w:t>No.</w:t>
      </w:r>
      <w:r w:rsidRPr="00C25749" w:rsidR="009C690B">
        <w:t xml:space="preserve"> </w:t>
      </w:r>
      <w:r w:rsidRPr="00C25749">
        <w:t>12-426-EL-SSO,</w:t>
      </w:r>
      <w:r w:rsidRPr="00C25749" w:rsidR="009C690B">
        <w:t xml:space="preserve"> </w:t>
      </w:r>
      <w:r w:rsidRPr="00C25749">
        <w:t>Entry</w:t>
      </w:r>
      <w:r w:rsidRPr="00C25749" w:rsidR="009C690B">
        <w:t xml:space="preserve"> </w:t>
      </w:r>
      <w:r w:rsidRPr="00C25749">
        <w:t>(December</w:t>
      </w:r>
      <w:r w:rsidRPr="00C25749" w:rsidR="009C690B">
        <w:t xml:space="preserve"> </w:t>
      </w:r>
      <w:r w:rsidRPr="00C25749">
        <w:t>19,</w:t>
      </w:r>
      <w:r w:rsidRPr="00C25749" w:rsidR="009C690B">
        <w:t xml:space="preserve"> </w:t>
      </w:r>
      <w:r w:rsidRPr="00C25749">
        <w:t>2012).</w:t>
      </w:r>
    </w:p>
  </w:footnote>
  <w:footnote w:id="19">
    <w:p w:rsidR="00F955D3" w:rsidRPr="00C25749" w:rsidP="00C25749" w14:paraId="34B19D08" w14:textId="77777777">
      <w:pPr>
        <w:pStyle w:val="FootnoteText"/>
        <w:spacing w:after="120"/>
      </w:pPr>
      <w:r w:rsidRPr="00C25749">
        <w:rPr>
          <w:rStyle w:val="FootnoteReference"/>
        </w:rPr>
        <w:footnoteRef/>
      </w:r>
      <w:r w:rsidRPr="00C25749">
        <w:t xml:space="preserve"> </w:t>
      </w:r>
      <w:r w:rsidRPr="00C25749">
        <w:rPr>
          <w:i/>
          <w:iCs/>
        </w:rPr>
        <w:t>Id</w:t>
      </w:r>
      <w:r w:rsidRPr="00C25749">
        <w:t>.</w:t>
      </w:r>
      <w:r w:rsidRPr="00C25749" w:rsidR="009C690B">
        <w:t xml:space="preserve"> </w:t>
      </w:r>
      <w:r w:rsidRPr="00C25749">
        <w:t>at</w:t>
      </w:r>
      <w:r w:rsidRPr="00C25749" w:rsidR="009C690B">
        <w:t xml:space="preserve"> </w:t>
      </w:r>
      <w:r w:rsidRPr="00C25749">
        <w:t>4.</w:t>
      </w:r>
    </w:p>
  </w:footnote>
  <w:footnote w:id="20">
    <w:p w:rsidR="00F955D3" w:rsidRPr="00C25749" w:rsidP="00C25749" w14:paraId="1CE21D9D" w14:textId="77777777">
      <w:pPr>
        <w:pStyle w:val="FootnoteText"/>
        <w:spacing w:after="120"/>
      </w:pPr>
      <w:r w:rsidRPr="00C25749">
        <w:rPr>
          <w:rStyle w:val="FootnoteReference"/>
        </w:rPr>
        <w:footnoteRef/>
      </w:r>
      <w:r w:rsidRPr="00C25749" w:rsidR="009C690B">
        <w:t xml:space="preserve"> </w:t>
      </w:r>
      <w:r w:rsidRPr="00C25749">
        <w:rPr>
          <w:i/>
          <w:iCs/>
        </w:rPr>
        <w:t>In</w:t>
      </w:r>
      <w:r w:rsidRPr="00C25749" w:rsidR="009C690B">
        <w:rPr>
          <w:i/>
          <w:iCs/>
        </w:rPr>
        <w:t xml:space="preserve"> </w:t>
      </w:r>
      <w:r w:rsidRPr="00C25749">
        <w:rPr>
          <w:i/>
          <w:iCs/>
        </w:rPr>
        <w:t>re</w:t>
      </w:r>
      <w:r w:rsidRPr="00C25749" w:rsidR="009C690B">
        <w:rPr>
          <w:i/>
          <w:iCs/>
        </w:rPr>
        <w:t xml:space="preserve"> </w:t>
      </w:r>
      <w:r w:rsidRPr="00C25749">
        <w:rPr>
          <w:i/>
          <w:iCs/>
        </w:rPr>
        <w:t>Application</w:t>
      </w:r>
      <w:r w:rsidRPr="00C25749" w:rsidR="009C690B">
        <w:rPr>
          <w:i/>
          <w:iCs/>
        </w:rPr>
        <w:t xml:space="preserve"> </w:t>
      </w:r>
      <w:r w:rsidRPr="00C25749">
        <w:rPr>
          <w:i/>
          <w:iCs/>
        </w:rPr>
        <w:t>of</w:t>
      </w:r>
      <w:r w:rsidRPr="00C25749" w:rsidR="009C690B">
        <w:rPr>
          <w:i/>
          <w:iCs/>
        </w:rPr>
        <w:t xml:space="preserve"> </w:t>
      </w:r>
      <w:r w:rsidRPr="00C25749">
        <w:rPr>
          <w:i/>
          <w:iCs/>
        </w:rPr>
        <w:t>the</w:t>
      </w:r>
      <w:r w:rsidRPr="00C25749" w:rsidR="009C690B">
        <w:rPr>
          <w:i/>
          <w:iCs/>
        </w:rPr>
        <w:t xml:space="preserve"> </w:t>
      </w:r>
      <w:r w:rsidRPr="00C25749">
        <w:rPr>
          <w:i/>
          <w:iCs/>
        </w:rPr>
        <w:t>Dayton</w:t>
      </w:r>
      <w:r w:rsidRPr="00C25749" w:rsidR="009C690B">
        <w:rPr>
          <w:i/>
          <w:iCs/>
        </w:rPr>
        <w:t xml:space="preserve"> </w:t>
      </w:r>
      <w:r w:rsidRPr="00C25749">
        <w:rPr>
          <w:i/>
          <w:iCs/>
        </w:rPr>
        <w:t>Power</w:t>
      </w:r>
      <w:r w:rsidRPr="00C25749" w:rsidR="009C690B">
        <w:rPr>
          <w:i/>
          <w:iCs/>
        </w:rPr>
        <w:t xml:space="preserve"> </w:t>
      </w:r>
      <w:r w:rsidRPr="00C25749">
        <w:rPr>
          <w:i/>
          <w:iCs/>
        </w:rPr>
        <w:t>&amp;</w:t>
      </w:r>
      <w:r w:rsidRPr="00C25749" w:rsidR="009C690B">
        <w:rPr>
          <w:i/>
          <w:iCs/>
        </w:rPr>
        <w:t xml:space="preserve"> </w:t>
      </w:r>
      <w:r w:rsidRPr="00C25749">
        <w:rPr>
          <w:i/>
          <w:iCs/>
        </w:rPr>
        <w:t>Light</w:t>
      </w:r>
      <w:r w:rsidRPr="00C25749" w:rsidR="009C690B">
        <w:rPr>
          <w:i/>
          <w:iCs/>
        </w:rPr>
        <w:t xml:space="preserve"> </w:t>
      </w:r>
      <w:r w:rsidRPr="00C25749">
        <w:rPr>
          <w:i/>
          <w:iCs/>
        </w:rPr>
        <w:t>Co.</w:t>
      </w:r>
      <w:r w:rsidRPr="00C25749" w:rsidR="009C690B">
        <w:rPr>
          <w:i/>
          <w:iCs/>
        </w:rPr>
        <w:t xml:space="preserve"> </w:t>
      </w:r>
      <w:r w:rsidRPr="00C25749">
        <w:rPr>
          <w:i/>
          <w:iCs/>
        </w:rPr>
        <w:t>for</w:t>
      </w:r>
      <w:r w:rsidRPr="00C25749" w:rsidR="009C690B">
        <w:rPr>
          <w:i/>
          <w:iCs/>
        </w:rPr>
        <w:t xml:space="preserve"> </w:t>
      </w:r>
      <w:r w:rsidRPr="00C25749">
        <w:rPr>
          <w:i/>
          <w:iCs/>
        </w:rPr>
        <w:t>Approval</w:t>
      </w:r>
      <w:r w:rsidRPr="00C25749" w:rsidR="009C690B">
        <w:rPr>
          <w:i/>
          <w:iCs/>
        </w:rPr>
        <w:t xml:space="preserve"> </w:t>
      </w:r>
      <w:r w:rsidRPr="00C25749">
        <w:rPr>
          <w:i/>
          <w:iCs/>
        </w:rPr>
        <w:t>of</w:t>
      </w:r>
      <w:r w:rsidRPr="00C25749" w:rsidR="009C690B">
        <w:rPr>
          <w:i/>
          <w:iCs/>
        </w:rPr>
        <w:t xml:space="preserve"> </w:t>
      </w:r>
      <w:r w:rsidRPr="00C25749">
        <w:rPr>
          <w:i/>
          <w:iCs/>
        </w:rPr>
        <w:t>its</w:t>
      </w:r>
      <w:r w:rsidRPr="00C25749" w:rsidR="009C690B">
        <w:rPr>
          <w:i/>
          <w:iCs/>
        </w:rPr>
        <w:t xml:space="preserve"> </w:t>
      </w:r>
      <w:r w:rsidRPr="00C25749">
        <w:rPr>
          <w:i/>
          <w:iCs/>
        </w:rPr>
        <w:t>Market</w:t>
      </w:r>
      <w:r w:rsidRPr="00C25749" w:rsidR="009C690B">
        <w:rPr>
          <w:i/>
          <w:iCs/>
        </w:rPr>
        <w:t xml:space="preserve"> </w:t>
      </w:r>
      <w:r w:rsidRPr="00C25749">
        <w:rPr>
          <w:i/>
          <w:iCs/>
        </w:rPr>
        <w:t>Rate</w:t>
      </w:r>
      <w:r w:rsidRPr="00C25749" w:rsidR="009C690B">
        <w:rPr>
          <w:i/>
          <w:iCs/>
        </w:rPr>
        <w:t xml:space="preserve"> </w:t>
      </w:r>
      <w:r w:rsidRPr="00C25749">
        <w:rPr>
          <w:i/>
          <w:iCs/>
        </w:rPr>
        <w:t>Offer</w:t>
      </w:r>
      <w:r w:rsidRPr="00C25749">
        <w:t>,</w:t>
      </w:r>
      <w:r w:rsidRPr="00C25749" w:rsidR="009C690B">
        <w:t xml:space="preserve"> </w:t>
      </w:r>
      <w:r w:rsidRPr="00C25749">
        <w:t>Case</w:t>
      </w:r>
      <w:r w:rsidRPr="00C25749" w:rsidR="009C690B">
        <w:t xml:space="preserve"> </w:t>
      </w:r>
      <w:r w:rsidRPr="00C25749">
        <w:t>No.</w:t>
      </w:r>
      <w:r w:rsidRPr="00C25749" w:rsidR="009C690B">
        <w:t xml:space="preserve"> </w:t>
      </w:r>
      <w:r w:rsidRPr="00C25749">
        <w:t>12-426-ELSSO,</w:t>
      </w:r>
      <w:r w:rsidRPr="00C25749" w:rsidR="009C690B">
        <w:t xml:space="preserve"> </w:t>
      </w:r>
      <w:r w:rsidRPr="00C25749">
        <w:t>Entry</w:t>
      </w:r>
      <w:r w:rsidRPr="00C25749" w:rsidR="009C690B">
        <w:t xml:space="preserve"> </w:t>
      </w:r>
      <w:r w:rsidRPr="00C25749">
        <w:t>on</w:t>
      </w:r>
      <w:r w:rsidRPr="00C25749" w:rsidR="009C690B">
        <w:t xml:space="preserve"> </w:t>
      </w:r>
      <w:r w:rsidRPr="00C25749">
        <w:t>Rehearing</w:t>
      </w:r>
      <w:r w:rsidRPr="00C25749" w:rsidR="009C690B">
        <w:t xml:space="preserve"> </w:t>
      </w:r>
      <w:r w:rsidRPr="00C25749">
        <w:t>¶</w:t>
      </w:r>
      <w:r w:rsidRPr="00C25749" w:rsidR="009C690B">
        <w:t xml:space="preserve"> </w:t>
      </w:r>
      <w:r w:rsidRPr="00C25749">
        <w:t>10</w:t>
      </w:r>
      <w:r w:rsidRPr="00C25749" w:rsidR="009C690B">
        <w:t xml:space="preserve"> </w:t>
      </w:r>
      <w:r w:rsidRPr="00C25749">
        <w:t>(February</w:t>
      </w:r>
      <w:r w:rsidRPr="00C25749" w:rsidR="009C690B">
        <w:t xml:space="preserve"> </w:t>
      </w:r>
      <w:r w:rsidRPr="00C25749">
        <w:t>19,</w:t>
      </w:r>
      <w:r w:rsidRPr="00C25749" w:rsidR="009C690B">
        <w:t xml:space="preserve"> </w:t>
      </w:r>
      <w:r w:rsidRPr="00C25749">
        <w:t>2013).</w:t>
      </w:r>
    </w:p>
  </w:footnote>
  <w:footnote w:id="21">
    <w:p w:rsidR="00D51294" w:rsidRPr="00C25749" w:rsidP="00C25749" w14:paraId="2996E47B" w14:textId="77777777">
      <w:pPr>
        <w:pStyle w:val="FootnoteText"/>
        <w:spacing w:after="120"/>
      </w:pPr>
      <w:r w:rsidRPr="00C25749">
        <w:rPr>
          <w:rStyle w:val="FootnoteReference"/>
        </w:rPr>
        <w:footnoteRef/>
      </w:r>
      <w:r w:rsidRPr="00C25749">
        <w:t xml:space="preserve"> </w:t>
      </w:r>
      <w:r w:rsidRPr="00C25749" w:rsidR="00A7523C">
        <w:t>Case</w:t>
      </w:r>
      <w:r w:rsidRPr="00C25749" w:rsidR="009C690B">
        <w:t xml:space="preserve"> </w:t>
      </w:r>
      <w:r w:rsidRPr="00C25749" w:rsidR="00A7523C">
        <w:t>No.</w:t>
      </w:r>
      <w:r w:rsidRPr="00C25749" w:rsidR="009C690B">
        <w:t xml:space="preserve"> </w:t>
      </w:r>
      <w:r w:rsidRPr="00C25749" w:rsidR="00A7523C">
        <w:t>12-426-EL-SSO,</w:t>
      </w:r>
      <w:r w:rsidRPr="00C25749" w:rsidR="009C690B">
        <w:t xml:space="preserve"> </w:t>
      </w:r>
      <w:r w:rsidRPr="00C25749" w:rsidR="00A7523C">
        <w:t>Opinion</w:t>
      </w:r>
      <w:r w:rsidRPr="00C25749" w:rsidR="009C690B">
        <w:t xml:space="preserve"> </w:t>
      </w:r>
      <w:r w:rsidRPr="00C25749" w:rsidR="00A7523C">
        <w:t>&amp;</w:t>
      </w:r>
      <w:r w:rsidRPr="00C25749" w:rsidR="009C690B">
        <w:t xml:space="preserve"> </w:t>
      </w:r>
      <w:r w:rsidRPr="00C25749" w:rsidR="00A7523C">
        <w:t>Order</w:t>
      </w:r>
      <w:r w:rsidRPr="00C25749" w:rsidR="009C690B">
        <w:t xml:space="preserve"> </w:t>
      </w:r>
      <w:r w:rsidRPr="00C25749" w:rsidR="00A7523C">
        <w:t>(September</w:t>
      </w:r>
      <w:r w:rsidRPr="00C25749" w:rsidR="009C690B">
        <w:t xml:space="preserve"> </w:t>
      </w:r>
      <w:r w:rsidRPr="00C25749" w:rsidR="00A7523C">
        <w:t>4,</w:t>
      </w:r>
      <w:r w:rsidRPr="00C25749" w:rsidR="009C690B">
        <w:t xml:space="preserve"> </w:t>
      </w:r>
      <w:r w:rsidRPr="00C25749" w:rsidR="00A7523C">
        <w:t>2013).</w:t>
      </w:r>
    </w:p>
  </w:footnote>
  <w:footnote w:id="22">
    <w:p w:rsidR="00F955D3" w:rsidRPr="00C25749" w:rsidP="00C25749" w14:paraId="1CC8115C" w14:textId="77777777">
      <w:pPr>
        <w:pStyle w:val="FootnoteText"/>
        <w:spacing w:after="120"/>
      </w:pPr>
      <w:r w:rsidRPr="00C25749">
        <w:rPr>
          <w:rStyle w:val="FootnoteReference"/>
        </w:rPr>
        <w:footnoteRef/>
      </w:r>
      <w:r w:rsidRPr="00C25749">
        <w:t xml:space="preserve"> Ohio</w:t>
      </w:r>
      <w:r w:rsidRPr="00C25749" w:rsidR="009C690B">
        <w:t xml:space="preserve"> </w:t>
      </w:r>
      <w:r w:rsidRPr="00C25749">
        <w:t>Supreme</w:t>
      </w:r>
      <w:r w:rsidRPr="00C25749" w:rsidR="009C690B">
        <w:t xml:space="preserve"> </w:t>
      </w:r>
      <w:r w:rsidRPr="00C25749">
        <w:t>Court</w:t>
      </w:r>
      <w:r w:rsidRPr="00C25749" w:rsidR="009C690B">
        <w:t xml:space="preserve"> </w:t>
      </w:r>
      <w:r w:rsidRPr="00C25749">
        <w:t>Case</w:t>
      </w:r>
      <w:r w:rsidRPr="00C25749" w:rsidR="009C690B">
        <w:t xml:space="preserve"> </w:t>
      </w:r>
      <w:r w:rsidRPr="00C25749">
        <w:t>No.</w:t>
      </w:r>
      <w:r w:rsidRPr="00C25749" w:rsidR="009C690B">
        <w:t xml:space="preserve"> </w:t>
      </w:r>
      <w:r w:rsidRPr="00C25749">
        <w:t>2014-1505.</w:t>
      </w:r>
    </w:p>
  </w:footnote>
  <w:footnote w:id="23">
    <w:p w:rsidR="00F955D3" w:rsidRPr="00C25749" w:rsidP="00C25749" w14:paraId="424EC59F" w14:textId="77777777">
      <w:pPr>
        <w:pStyle w:val="FootnoteText"/>
        <w:spacing w:after="120"/>
      </w:pPr>
      <w:r w:rsidRPr="00C25749">
        <w:rPr>
          <w:rStyle w:val="FootnoteReference"/>
        </w:rPr>
        <w:footnoteRef/>
      </w:r>
      <w:r w:rsidRPr="00C25749">
        <w:t xml:space="preserve"> Ohio</w:t>
      </w:r>
      <w:r w:rsidRPr="00C25749" w:rsidR="009C690B">
        <w:t xml:space="preserve"> </w:t>
      </w:r>
      <w:r w:rsidRPr="00C25749">
        <w:t>Supreme</w:t>
      </w:r>
      <w:r w:rsidRPr="00C25749" w:rsidR="009C690B">
        <w:t xml:space="preserve"> </w:t>
      </w:r>
      <w:r w:rsidRPr="00C25749">
        <w:t>Court</w:t>
      </w:r>
      <w:r w:rsidRPr="00C25749" w:rsidR="009C690B">
        <w:t xml:space="preserve"> </w:t>
      </w:r>
      <w:r w:rsidRPr="00C25749">
        <w:t>Case</w:t>
      </w:r>
      <w:r w:rsidRPr="00C25749" w:rsidR="009C690B">
        <w:t xml:space="preserve"> </w:t>
      </w:r>
      <w:r w:rsidRPr="00C25749">
        <w:t>No.</w:t>
      </w:r>
      <w:r w:rsidRPr="00C25749" w:rsidR="009C690B">
        <w:t xml:space="preserve"> </w:t>
      </w:r>
      <w:r w:rsidRPr="00C25749">
        <w:t>2014-1505,</w:t>
      </w:r>
      <w:r w:rsidRPr="00C25749" w:rsidR="009C690B">
        <w:t xml:space="preserve"> </w:t>
      </w:r>
      <w:r w:rsidRPr="00C25749">
        <w:t>Merit</w:t>
      </w:r>
      <w:r w:rsidRPr="00C25749" w:rsidR="009C690B">
        <w:t xml:space="preserve"> </w:t>
      </w:r>
      <w:r w:rsidRPr="00C25749">
        <w:t>Brief</w:t>
      </w:r>
      <w:r w:rsidRPr="00C25749" w:rsidR="009C690B">
        <w:t xml:space="preserve"> </w:t>
      </w:r>
      <w:r w:rsidRPr="00C25749">
        <w:t>by</w:t>
      </w:r>
      <w:r w:rsidRPr="00C25749" w:rsidR="009C690B">
        <w:t xml:space="preserve"> </w:t>
      </w:r>
      <w:r w:rsidRPr="00C25749">
        <w:t>Appellant</w:t>
      </w:r>
      <w:r w:rsidRPr="00C25749" w:rsidR="009C690B">
        <w:t xml:space="preserve"> </w:t>
      </w:r>
      <w:r w:rsidRPr="00C25749" w:rsidR="00FB2542">
        <w:t>the</w:t>
      </w:r>
      <w:r w:rsidRPr="00C25749" w:rsidR="009C690B">
        <w:t xml:space="preserve"> </w:t>
      </w:r>
      <w:r w:rsidRPr="00C25749">
        <w:t>Office</w:t>
      </w:r>
      <w:r w:rsidRPr="00C25749" w:rsidR="009C690B">
        <w:t xml:space="preserve"> </w:t>
      </w:r>
      <w:r w:rsidRPr="00C25749">
        <w:t>of</w:t>
      </w:r>
      <w:r w:rsidRPr="00C25749" w:rsidR="009C690B">
        <w:t xml:space="preserve"> </w:t>
      </w:r>
      <w:r w:rsidRPr="00C25749">
        <w:t>the</w:t>
      </w:r>
      <w:r w:rsidRPr="00C25749" w:rsidR="009C690B">
        <w:t xml:space="preserve"> </w:t>
      </w:r>
      <w:r w:rsidRPr="00C25749">
        <w:t>Ohio</w:t>
      </w:r>
      <w:r w:rsidRPr="00C25749" w:rsidR="009C690B">
        <w:t xml:space="preserve"> </w:t>
      </w:r>
      <w:r w:rsidRPr="00C25749">
        <w:t>Consumers’</w:t>
      </w:r>
      <w:r w:rsidRPr="00C25749" w:rsidR="009C690B">
        <w:t xml:space="preserve"> </w:t>
      </w:r>
      <w:r w:rsidRPr="00C25749">
        <w:t>Counsel (December</w:t>
      </w:r>
      <w:r w:rsidRPr="00C25749" w:rsidR="009C690B">
        <w:t xml:space="preserve"> </w:t>
      </w:r>
      <w:r w:rsidRPr="00C25749">
        <w:t>1,</w:t>
      </w:r>
      <w:r w:rsidRPr="00C25749" w:rsidR="009C690B">
        <w:t xml:space="preserve"> </w:t>
      </w:r>
      <w:r w:rsidRPr="00C25749">
        <w:t>2014).</w:t>
      </w:r>
    </w:p>
  </w:footnote>
  <w:footnote w:id="24">
    <w:p w:rsidR="00F955D3" w:rsidRPr="00C25749" w:rsidP="00C25749" w14:paraId="63003E60" w14:textId="77777777">
      <w:pPr>
        <w:pStyle w:val="FootnoteText"/>
        <w:spacing w:after="120"/>
      </w:pPr>
      <w:r w:rsidRPr="00C25749">
        <w:rPr>
          <w:rStyle w:val="FootnoteReference"/>
        </w:rPr>
        <w:footnoteRef/>
      </w:r>
      <w:r w:rsidRPr="00C25749">
        <w:t xml:space="preserve"> </w:t>
      </w:r>
      <w:r w:rsidRPr="00C25749">
        <w:rPr>
          <w:i/>
          <w:iCs/>
        </w:rPr>
        <w:t>In</w:t>
      </w:r>
      <w:r w:rsidRPr="00C25749" w:rsidR="009C690B">
        <w:rPr>
          <w:i/>
          <w:iCs/>
        </w:rPr>
        <w:t xml:space="preserve"> </w:t>
      </w:r>
      <w:r w:rsidRPr="00C25749">
        <w:rPr>
          <w:i/>
          <w:iCs/>
        </w:rPr>
        <w:t>re</w:t>
      </w:r>
      <w:r w:rsidRPr="00C25749" w:rsidR="009C690B">
        <w:rPr>
          <w:i/>
          <w:iCs/>
        </w:rPr>
        <w:t xml:space="preserve"> </w:t>
      </w:r>
      <w:r w:rsidRPr="00C25749">
        <w:rPr>
          <w:i/>
          <w:iCs/>
        </w:rPr>
        <w:t>Dayton</w:t>
      </w:r>
      <w:r w:rsidRPr="00C25749" w:rsidR="009C690B">
        <w:rPr>
          <w:i/>
          <w:iCs/>
        </w:rPr>
        <w:t xml:space="preserve"> </w:t>
      </w:r>
      <w:r w:rsidRPr="00C25749">
        <w:rPr>
          <w:i/>
          <w:iCs/>
        </w:rPr>
        <w:t>Power</w:t>
      </w:r>
      <w:r w:rsidRPr="00C25749" w:rsidR="009C690B">
        <w:rPr>
          <w:i/>
          <w:iCs/>
        </w:rPr>
        <w:t xml:space="preserve"> </w:t>
      </w:r>
      <w:r w:rsidRPr="00C25749">
        <w:rPr>
          <w:i/>
          <w:iCs/>
        </w:rPr>
        <w:t>&amp;</w:t>
      </w:r>
      <w:r w:rsidRPr="00C25749" w:rsidR="009C690B">
        <w:rPr>
          <w:i/>
          <w:iCs/>
        </w:rPr>
        <w:t xml:space="preserve"> </w:t>
      </w:r>
      <w:r w:rsidRPr="00C25749">
        <w:rPr>
          <w:i/>
          <w:iCs/>
        </w:rPr>
        <w:t>Light</w:t>
      </w:r>
      <w:r w:rsidRPr="00C25749" w:rsidR="009C690B">
        <w:rPr>
          <w:i/>
          <w:iCs/>
        </w:rPr>
        <w:t xml:space="preserve"> </w:t>
      </w:r>
      <w:r w:rsidRPr="00C25749">
        <w:rPr>
          <w:i/>
          <w:iCs/>
        </w:rPr>
        <w:t>Co</w:t>
      </w:r>
      <w:r w:rsidRPr="00C25749">
        <w:t>.,</w:t>
      </w:r>
      <w:r w:rsidRPr="00C25749" w:rsidR="009C690B">
        <w:t xml:space="preserve"> </w:t>
      </w:r>
      <w:r w:rsidRPr="00C25749">
        <w:t>2016-Ohio-3490</w:t>
      </w:r>
      <w:r w:rsidRPr="00C25749" w:rsidR="009C690B">
        <w:t xml:space="preserve"> </w:t>
      </w:r>
      <w:r w:rsidRPr="00C25749">
        <w:t>(following</w:t>
      </w:r>
      <w:r w:rsidRPr="00C25749" w:rsidR="009C690B">
        <w:t xml:space="preserve"> </w:t>
      </w:r>
      <w:r w:rsidRPr="00C25749">
        <w:t>the</w:t>
      </w:r>
      <w:r w:rsidRPr="00C25749" w:rsidR="009C690B">
        <w:t xml:space="preserve"> </w:t>
      </w:r>
      <w:r w:rsidRPr="00C25749">
        <w:t>Court’s</w:t>
      </w:r>
      <w:r w:rsidRPr="00C25749" w:rsidR="009C690B">
        <w:t xml:space="preserve"> </w:t>
      </w:r>
      <w:r w:rsidRPr="00C25749">
        <w:t>ruling</w:t>
      </w:r>
      <w:r w:rsidRPr="00C25749" w:rsidR="009C690B">
        <w:t xml:space="preserve"> </w:t>
      </w:r>
      <w:r w:rsidRPr="00C25749">
        <w:t>in</w:t>
      </w:r>
      <w:r w:rsidRPr="00C25749" w:rsidR="009C690B">
        <w:t xml:space="preserve"> </w:t>
      </w:r>
      <w:r w:rsidRPr="00C25749">
        <w:rPr>
          <w:i/>
          <w:iCs/>
        </w:rPr>
        <w:t>In</w:t>
      </w:r>
      <w:r w:rsidRPr="00C25749" w:rsidR="009C690B">
        <w:rPr>
          <w:i/>
          <w:iCs/>
        </w:rPr>
        <w:t xml:space="preserve"> </w:t>
      </w:r>
      <w:r w:rsidRPr="00C25749">
        <w:rPr>
          <w:i/>
          <w:iCs/>
        </w:rPr>
        <w:t>re</w:t>
      </w:r>
      <w:r w:rsidRPr="00C25749" w:rsidR="009C690B">
        <w:rPr>
          <w:i/>
          <w:iCs/>
        </w:rPr>
        <w:t xml:space="preserve"> </w:t>
      </w:r>
      <w:r w:rsidRPr="00C25749">
        <w:rPr>
          <w:i/>
          <w:iCs/>
        </w:rPr>
        <w:t>Columbus</w:t>
      </w:r>
      <w:r w:rsidRPr="00C25749" w:rsidR="009C690B">
        <w:rPr>
          <w:i/>
          <w:iCs/>
        </w:rPr>
        <w:t xml:space="preserve"> </w:t>
      </w:r>
      <w:r w:rsidRPr="00C25749">
        <w:rPr>
          <w:i/>
          <w:iCs/>
        </w:rPr>
        <w:t>S.</w:t>
      </w:r>
      <w:r w:rsidRPr="00C25749" w:rsidR="009C690B">
        <w:rPr>
          <w:i/>
          <w:iCs/>
        </w:rPr>
        <w:t xml:space="preserve"> </w:t>
      </w:r>
      <w:r w:rsidRPr="00C25749">
        <w:rPr>
          <w:i/>
          <w:iCs/>
        </w:rPr>
        <w:t>Power</w:t>
      </w:r>
      <w:r w:rsidRPr="00C25749" w:rsidR="009C690B">
        <w:rPr>
          <w:i/>
          <w:iCs/>
        </w:rPr>
        <w:t xml:space="preserve"> </w:t>
      </w:r>
      <w:r w:rsidRPr="00C25749">
        <w:rPr>
          <w:i/>
          <w:iCs/>
        </w:rPr>
        <w:t>Co</w:t>
      </w:r>
      <w:r w:rsidRPr="00C25749">
        <w:t>., 2016-Ohio-1608,</w:t>
      </w:r>
      <w:r w:rsidRPr="00C25749" w:rsidR="009C690B">
        <w:t xml:space="preserve"> </w:t>
      </w:r>
      <w:r w:rsidRPr="00C25749">
        <w:t>where</w:t>
      </w:r>
      <w:r w:rsidRPr="00C25749" w:rsidR="009C690B">
        <w:t xml:space="preserve"> </w:t>
      </w:r>
      <w:r w:rsidRPr="00C25749">
        <w:t>the</w:t>
      </w:r>
      <w:r w:rsidRPr="00C25749" w:rsidR="009C690B">
        <w:t xml:space="preserve"> </w:t>
      </w:r>
      <w:r w:rsidRPr="00C25749">
        <w:t>Court</w:t>
      </w:r>
      <w:r w:rsidRPr="00C25749" w:rsidR="009C690B">
        <w:t xml:space="preserve"> </w:t>
      </w:r>
      <w:r w:rsidRPr="00C25749">
        <w:t>ruled</w:t>
      </w:r>
      <w:r w:rsidRPr="00C25749" w:rsidR="009C690B">
        <w:t xml:space="preserve"> </w:t>
      </w:r>
      <w:r w:rsidRPr="00C25749">
        <w:t>that</w:t>
      </w:r>
      <w:r w:rsidRPr="00C25749" w:rsidR="009C690B">
        <w:t xml:space="preserve"> </w:t>
      </w:r>
      <w:r w:rsidRPr="00C25749">
        <w:t>a</w:t>
      </w:r>
      <w:r w:rsidRPr="00C25749" w:rsidR="009C690B">
        <w:t xml:space="preserve"> </w:t>
      </w:r>
      <w:r w:rsidRPr="00C25749">
        <w:t>similar</w:t>
      </w:r>
      <w:r w:rsidRPr="00C25749" w:rsidR="009C690B">
        <w:t xml:space="preserve"> </w:t>
      </w:r>
      <w:r w:rsidRPr="00C25749">
        <w:t>charge</w:t>
      </w:r>
      <w:r w:rsidRPr="00C25749" w:rsidR="009C690B">
        <w:t xml:space="preserve"> </w:t>
      </w:r>
      <w:r w:rsidRPr="00C25749">
        <w:t>for</w:t>
      </w:r>
      <w:r w:rsidRPr="00C25749" w:rsidR="009C690B">
        <w:t xml:space="preserve"> </w:t>
      </w:r>
      <w:r w:rsidRPr="00C25749">
        <w:t>AEP</w:t>
      </w:r>
      <w:r w:rsidRPr="00C25749" w:rsidR="009C690B">
        <w:t xml:space="preserve"> </w:t>
      </w:r>
      <w:r w:rsidRPr="00C25749">
        <w:t>Ohio</w:t>
      </w:r>
      <w:r w:rsidRPr="00C25749" w:rsidR="009C690B">
        <w:t xml:space="preserve"> </w:t>
      </w:r>
      <w:r w:rsidRPr="00C25749">
        <w:t>consumers</w:t>
      </w:r>
      <w:r w:rsidRPr="00C25749" w:rsidR="009C690B">
        <w:t xml:space="preserve"> </w:t>
      </w:r>
      <w:r w:rsidRPr="00C25749">
        <w:t>was</w:t>
      </w:r>
      <w:r w:rsidRPr="00C25749" w:rsidR="009C690B">
        <w:t xml:space="preserve"> </w:t>
      </w:r>
      <w:r w:rsidRPr="00C25749">
        <w:t>unlawful).</w:t>
      </w:r>
    </w:p>
  </w:footnote>
  <w:footnote w:id="25">
    <w:p w:rsidR="00F955D3" w:rsidRPr="00C25749" w:rsidP="00C25749" w14:paraId="1B65CC02" w14:textId="77777777">
      <w:pPr>
        <w:pStyle w:val="FootnoteText"/>
        <w:spacing w:after="120"/>
      </w:pPr>
      <w:r w:rsidRPr="00C25749">
        <w:rPr>
          <w:rStyle w:val="FootnoteReference"/>
        </w:rPr>
        <w:footnoteRef/>
      </w:r>
      <w:r w:rsidRPr="00C25749">
        <w:t xml:space="preserve"> Case</w:t>
      </w:r>
      <w:r w:rsidRPr="00C25749" w:rsidR="009C690B">
        <w:t xml:space="preserve"> </w:t>
      </w:r>
      <w:r w:rsidRPr="00C25749">
        <w:t>No.</w:t>
      </w:r>
      <w:r w:rsidRPr="00C25749" w:rsidR="009C690B">
        <w:t xml:space="preserve"> </w:t>
      </w:r>
      <w:r w:rsidRPr="00C25749">
        <w:t>12-426-EL-SSO,</w:t>
      </w:r>
      <w:r w:rsidRPr="00C25749" w:rsidR="009C690B">
        <w:t xml:space="preserve"> </w:t>
      </w:r>
      <w:r w:rsidRPr="00C25749">
        <w:t>Motion</w:t>
      </w:r>
      <w:r w:rsidRPr="00C25749" w:rsidR="009C690B">
        <w:t xml:space="preserve"> </w:t>
      </w:r>
      <w:r w:rsidRPr="00C25749">
        <w:t>of</w:t>
      </w:r>
      <w:r w:rsidRPr="00C25749" w:rsidR="009C690B">
        <w:t xml:space="preserve"> </w:t>
      </w:r>
      <w:r w:rsidRPr="00C25749">
        <w:t>the</w:t>
      </w:r>
      <w:r w:rsidRPr="00C25749" w:rsidR="009C690B">
        <w:t xml:space="preserve"> </w:t>
      </w:r>
      <w:r w:rsidRPr="00C25749">
        <w:t>Dayton</w:t>
      </w:r>
      <w:r w:rsidRPr="00C25749" w:rsidR="009C690B">
        <w:t xml:space="preserve"> </w:t>
      </w:r>
      <w:r w:rsidRPr="00C25749">
        <w:t>Power</w:t>
      </w:r>
      <w:r w:rsidRPr="00C25749" w:rsidR="009C690B">
        <w:t xml:space="preserve"> </w:t>
      </w:r>
      <w:r w:rsidRPr="00C25749">
        <w:t>&amp;</w:t>
      </w:r>
      <w:r w:rsidRPr="00C25749" w:rsidR="009C690B">
        <w:t xml:space="preserve"> </w:t>
      </w:r>
      <w:r w:rsidRPr="00C25749">
        <w:t>Light</w:t>
      </w:r>
      <w:r w:rsidRPr="00C25749" w:rsidR="009C690B">
        <w:t xml:space="preserve"> </w:t>
      </w:r>
      <w:r w:rsidRPr="00C25749">
        <w:t>Co.</w:t>
      </w:r>
      <w:r w:rsidRPr="00C25749" w:rsidR="009C690B">
        <w:t xml:space="preserve"> </w:t>
      </w:r>
      <w:r w:rsidRPr="00C25749">
        <w:t>to</w:t>
      </w:r>
      <w:r w:rsidRPr="00C25749" w:rsidR="009C690B">
        <w:t xml:space="preserve"> </w:t>
      </w:r>
      <w:r w:rsidRPr="00C25749">
        <w:t>Withdraw</w:t>
      </w:r>
      <w:r w:rsidRPr="00C25749" w:rsidR="009C690B">
        <w:t xml:space="preserve"> </w:t>
      </w:r>
      <w:r w:rsidRPr="00C25749">
        <w:t>its</w:t>
      </w:r>
      <w:r w:rsidRPr="00C25749" w:rsidR="009C690B">
        <w:t xml:space="preserve"> </w:t>
      </w:r>
      <w:r w:rsidRPr="00C25749">
        <w:t>Applications</w:t>
      </w:r>
      <w:r w:rsidRPr="00C25749" w:rsidR="009C690B">
        <w:t xml:space="preserve"> </w:t>
      </w:r>
      <w:r w:rsidRPr="00C25749">
        <w:t>in</w:t>
      </w:r>
      <w:r w:rsidRPr="00C25749" w:rsidR="009C690B">
        <w:t xml:space="preserve"> </w:t>
      </w:r>
      <w:r w:rsidRPr="00C25749">
        <w:t>this</w:t>
      </w:r>
      <w:r w:rsidRPr="00C25749" w:rsidR="009C690B">
        <w:t xml:space="preserve"> </w:t>
      </w:r>
      <w:r w:rsidRPr="00C25749">
        <w:t>Matter (July</w:t>
      </w:r>
      <w:r w:rsidRPr="00C25749" w:rsidR="009C690B">
        <w:t xml:space="preserve"> </w:t>
      </w:r>
      <w:r w:rsidRPr="00C25749">
        <w:t>27,</w:t>
      </w:r>
      <w:r w:rsidRPr="00C25749" w:rsidR="009C690B">
        <w:t xml:space="preserve"> </w:t>
      </w:r>
      <w:r w:rsidRPr="00C25749">
        <w:t>2016).</w:t>
      </w:r>
    </w:p>
  </w:footnote>
  <w:footnote w:id="26">
    <w:p w:rsidR="00F955D3" w:rsidRPr="00C25749" w:rsidP="00C25749" w14:paraId="2B50281E" w14:textId="77777777">
      <w:pPr>
        <w:pStyle w:val="FootnoteText"/>
        <w:spacing w:after="120"/>
      </w:pPr>
      <w:r w:rsidRPr="00C25749">
        <w:rPr>
          <w:rStyle w:val="FootnoteReference"/>
        </w:rPr>
        <w:footnoteRef/>
      </w:r>
      <w:r w:rsidRPr="00C25749">
        <w:t xml:space="preserve"> Case</w:t>
      </w:r>
      <w:r w:rsidRPr="00C25749" w:rsidR="009C690B">
        <w:t xml:space="preserve"> </w:t>
      </w:r>
      <w:r w:rsidRPr="00C25749">
        <w:t>No.</w:t>
      </w:r>
      <w:r w:rsidRPr="00C25749" w:rsidR="009C690B">
        <w:t xml:space="preserve"> </w:t>
      </w:r>
      <w:r w:rsidRPr="00C25749">
        <w:t>12-426-EL-SSO.</w:t>
      </w:r>
      <w:r w:rsidRPr="00C25749" w:rsidR="009C690B">
        <w:t xml:space="preserve"> </w:t>
      </w:r>
    </w:p>
  </w:footnote>
  <w:footnote w:id="27">
    <w:p w:rsidR="00F955D3" w:rsidRPr="00C25749" w:rsidP="00C25749" w14:paraId="3D1FD400" w14:textId="77777777">
      <w:pPr>
        <w:pStyle w:val="FootnoteText"/>
        <w:spacing w:after="120"/>
      </w:pPr>
      <w:r w:rsidRPr="00C25749">
        <w:rPr>
          <w:rStyle w:val="FootnoteReference"/>
        </w:rPr>
        <w:footnoteRef/>
      </w:r>
      <w:r w:rsidRPr="00C25749">
        <w:t xml:space="preserve"> </w:t>
      </w:r>
      <w:r w:rsidRPr="00C25749">
        <w:rPr>
          <w:i/>
          <w:iCs/>
        </w:rPr>
        <w:t>In</w:t>
      </w:r>
      <w:r w:rsidRPr="00C25749" w:rsidR="009C690B">
        <w:rPr>
          <w:i/>
          <w:iCs/>
        </w:rPr>
        <w:t xml:space="preserve"> </w:t>
      </w:r>
      <w:r w:rsidRPr="00C25749">
        <w:rPr>
          <w:i/>
          <w:iCs/>
        </w:rPr>
        <w:t>re</w:t>
      </w:r>
      <w:r w:rsidRPr="00C25749" w:rsidR="009C690B">
        <w:rPr>
          <w:i/>
          <w:iCs/>
        </w:rPr>
        <w:t xml:space="preserve"> </w:t>
      </w:r>
      <w:r w:rsidRPr="00C25749">
        <w:rPr>
          <w:i/>
          <w:iCs/>
        </w:rPr>
        <w:t>Application</w:t>
      </w:r>
      <w:r w:rsidRPr="00C25749" w:rsidR="009C690B">
        <w:rPr>
          <w:i/>
          <w:iCs/>
        </w:rPr>
        <w:t xml:space="preserve"> </w:t>
      </w:r>
      <w:r w:rsidRPr="00C25749">
        <w:rPr>
          <w:i/>
          <w:iCs/>
        </w:rPr>
        <w:t>of</w:t>
      </w:r>
      <w:r w:rsidRPr="00C25749" w:rsidR="009C690B">
        <w:rPr>
          <w:i/>
          <w:iCs/>
        </w:rPr>
        <w:t xml:space="preserve"> </w:t>
      </w:r>
      <w:r w:rsidRPr="00C25749">
        <w:rPr>
          <w:i/>
          <w:iCs/>
        </w:rPr>
        <w:t>the</w:t>
      </w:r>
      <w:r w:rsidRPr="00C25749" w:rsidR="009C690B">
        <w:rPr>
          <w:i/>
          <w:iCs/>
        </w:rPr>
        <w:t xml:space="preserve"> </w:t>
      </w:r>
      <w:r w:rsidRPr="00C25749">
        <w:rPr>
          <w:i/>
          <w:iCs/>
        </w:rPr>
        <w:t>Dayton</w:t>
      </w:r>
      <w:r w:rsidRPr="00C25749" w:rsidR="009C690B">
        <w:rPr>
          <w:i/>
          <w:iCs/>
        </w:rPr>
        <w:t xml:space="preserve"> </w:t>
      </w:r>
      <w:r w:rsidRPr="00C25749">
        <w:rPr>
          <w:i/>
          <w:iCs/>
        </w:rPr>
        <w:t>Power</w:t>
      </w:r>
      <w:r w:rsidRPr="00C25749" w:rsidR="009C690B">
        <w:rPr>
          <w:i/>
          <w:iCs/>
        </w:rPr>
        <w:t xml:space="preserve"> </w:t>
      </w:r>
      <w:r w:rsidRPr="00C25749">
        <w:rPr>
          <w:i/>
          <w:iCs/>
        </w:rPr>
        <w:t>&amp;</w:t>
      </w:r>
      <w:r w:rsidRPr="00C25749" w:rsidR="009C690B">
        <w:rPr>
          <w:i/>
          <w:iCs/>
        </w:rPr>
        <w:t xml:space="preserve"> </w:t>
      </w:r>
      <w:r w:rsidRPr="00C25749">
        <w:rPr>
          <w:i/>
          <w:iCs/>
        </w:rPr>
        <w:t>Light</w:t>
      </w:r>
      <w:r w:rsidRPr="00C25749" w:rsidR="009C690B">
        <w:rPr>
          <w:i/>
          <w:iCs/>
        </w:rPr>
        <w:t xml:space="preserve"> </w:t>
      </w:r>
      <w:r w:rsidRPr="00C25749">
        <w:rPr>
          <w:i/>
          <w:iCs/>
        </w:rPr>
        <w:t>Co.</w:t>
      </w:r>
      <w:r w:rsidRPr="00C25749" w:rsidR="009C690B">
        <w:rPr>
          <w:i/>
          <w:iCs/>
        </w:rPr>
        <w:t xml:space="preserve"> </w:t>
      </w:r>
      <w:r w:rsidRPr="00C25749">
        <w:rPr>
          <w:i/>
          <w:iCs/>
        </w:rPr>
        <w:t>for</w:t>
      </w:r>
      <w:r w:rsidRPr="00C25749" w:rsidR="009C690B">
        <w:rPr>
          <w:i/>
          <w:iCs/>
        </w:rPr>
        <w:t xml:space="preserve"> </w:t>
      </w:r>
      <w:r w:rsidRPr="00C25749">
        <w:rPr>
          <w:i/>
          <w:iCs/>
        </w:rPr>
        <w:t>Approval</w:t>
      </w:r>
      <w:r w:rsidRPr="00C25749" w:rsidR="009C690B">
        <w:rPr>
          <w:i/>
          <w:iCs/>
        </w:rPr>
        <w:t xml:space="preserve"> </w:t>
      </w:r>
      <w:r w:rsidRPr="00C25749">
        <w:rPr>
          <w:i/>
          <w:iCs/>
        </w:rPr>
        <w:t>of</w:t>
      </w:r>
      <w:r w:rsidRPr="00C25749" w:rsidR="009C690B">
        <w:rPr>
          <w:i/>
          <w:iCs/>
        </w:rPr>
        <w:t xml:space="preserve"> </w:t>
      </w:r>
      <w:r w:rsidRPr="00C25749">
        <w:rPr>
          <w:i/>
          <w:iCs/>
        </w:rPr>
        <w:t>its</w:t>
      </w:r>
      <w:r w:rsidRPr="00C25749" w:rsidR="009C690B">
        <w:rPr>
          <w:i/>
          <w:iCs/>
        </w:rPr>
        <w:t xml:space="preserve"> </w:t>
      </w:r>
      <w:r w:rsidRPr="00C25749">
        <w:rPr>
          <w:i/>
          <w:iCs/>
        </w:rPr>
        <w:t>Elec.</w:t>
      </w:r>
      <w:r w:rsidRPr="00C25749" w:rsidR="009C690B">
        <w:rPr>
          <w:i/>
          <w:iCs/>
        </w:rPr>
        <w:t xml:space="preserve"> </w:t>
      </w:r>
      <w:r w:rsidRPr="00C25749">
        <w:rPr>
          <w:i/>
          <w:iCs/>
        </w:rPr>
        <w:t>Sec.</w:t>
      </w:r>
      <w:r w:rsidRPr="00C25749" w:rsidR="009C690B">
        <w:rPr>
          <w:i/>
          <w:iCs/>
        </w:rPr>
        <w:t xml:space="preserve"> </w:t>
      </w:r>
      <w:r w:rsidRPr="00C25749">
        <w:rPr>
          <w:i/>
          <w:iCs/>
        </w:rPr>
        <w:t>Plan</w:t>
      </w:r>
      <w:r w:rsidRPr="00C25749">
        <w:t>,</w:t>
      </w:r>
      <w:r w:rsidRPr="00C25749" w:rsidR="009C690B">
        <w:t xml:space="preserve"> </w:t>
      </w:r>
      <w:r w:rsidRPr="00C25749">
        <w:t>Case</w:t>
      </w:r>
      <w:r w:rsidRPr="00C25749" w:rsidR="009C690B">
        <w:t xml:space="preserve"> </w:t>
      </w:r>
      <w:r w:rsidRPr="00C25749">
        <w:t>No.</w:t>
      </w:r>
      <w:r w:rsidRPr="00C25749" w:rsidR="009C690B">
        <w:t xml:space="preserve"> </w:t>
      </w:r>
      <w:r w:rsidRPr="00C25749">
        <w:t>16-395-EL-SSO, Application</w:t>
      </w:r>
      <w:r w:rsidRPr="00C25749" w:rsidR="009C690B">
        <w:t xml:space="preserve"> </w:t>
      </w:r>
      <w:r w:rsidRPr="00C25749">
        <w:t>(February</w:t>
      </w:r>
      <w:r w:rsidRPr="00C25749" w:rsidR="009C690B">
        <w:t xml:space="preserve"> </w:t>
      </w:r>
      <w:r w:rsidRPr="00C25749">
        <w:t>22,</w:t>
      </w:r>
      <w:r w:rsidRPr="00C25749" w:rsidR="009C690B">
        <w:t xml:space="preserve"> </w:t>
      </w:r>
      <w:r w:rsidRPr="00C25749">
        <w:t>2016).</w:t>
      </w:r>
    </w:p>
  </w:footnote>
  <w:footnote w:id="28">
    <w:p w:rsidR="00F955D3" w:rsidRPr="00C25749" w:rsidP="00C25749" w14:paraId="0914DA52" w14:textId="77777777">
      <w:pPr>
        <w:pStyle w:val="FootnoteText"/>
        <w:spacing w:after="120"/>
      </w:pPr>
      <w:r w:rsidRPr="00C25749">
        <w:rPr>
          <w:rStyle w:val="FootnoteReference"/>
        </w:rPr>
        <w:footnoteRef/>
      </w:r>
      <w:r w:rsidRPr="00C25749">
        <w:t xml:space="preserve"> Case</w:t>
      </w:r>
      <w:r w:rsidRPr="00C25749" w:rsidR="009C690B">
        <w:t xml:space="preserve"> </w:t>
      </w:r>
      <w:r w:rsidRPr="00C25749">
        <w:t>No.</w:t>
      </w:r>
      <w:r w:rsidRPr="00C25749" w:rsidR="009C690B">
        <w:t xml:space="preserve"> </w:t>
      </w:r>
      <w:r w:rsidRPr="00C25749">
        <w:t>16-395-EL-SSO,</w:t>
      </w:r>
      <w:r w:rsidRPr="00C25749" w:rsidR="009C690B">
        <w:t xml:space="preserve"> </w:t>
      </w:r>
      <w:r w:rsidRPr="00C25749">
        <w:t>Opinion</w:t>
      </w:r>
      <w:r w:rsidRPr="00C25749" w:rsidR="009C690B">
        <w:t xml:space="preserve"> </w:t>
      </w:r>
      <w:r w:rsidRPr="00C25749">
        <w:t>&amp;</w:t>
      </w:r>
      <w:r w:rsidRPr="00C25749" w:rsidR="009C690B">
        <w:t xml:space="preserve"> </w:t>
      </w:r>
      <w:r w:rsidRPr="00C25749">
        <w:t>Order</w:t>
      </w:r>
      <w:r w:rsidRPr="00C25749" w:rsidR="009C690B">
        <w:t xml:space="preserve"> </w:t>
      </w:r>
      <w:r w:rsidRPr="00C25749">
        <w:t>(October</w:t>
      </w:r>
      <w:r w:rsidRPr="00C25749" w:rsidR="009C690B">
        <w:t xml:space="preserve"> </w:t>
      </w:r>
      <w:r w:rsidRPr="00C25749">
        <w:t>20,</w:t>
      </w:r>
      <w:r w:rsidRPr="00C25749" w:rsidR="009C690B">
        <w:t xml:space="preserve"> </w:t>
      </w:r>
      <w:r w:rsidRPr="00C25749">
        <w:t>2017).</w:t>
      </w:r>
    </w:p>
  </w:footnote>
  <w:footnote w:id="29">
    <w:p w:rsidR="00F955D3" w:rsidRPr="00C25749" w:rsidP="00C25749" w14:paraId="000838DC" w14:textId="77777777">
      <w:pPr>
        <w:pStyle w:val="FootnoteText"/>
        <w:spacing w:after="120"/>
      </w:pPr>
      <w:r w:rsidRPr="00C25749">
        <w:rPr>
          <w:rStyle w:val="FootnoteReference"/>
        </w:rPr>
        <w:footnoteRef/>
      </w:r>
      <w:r w:rsidRPr="00C25749" w:rsidR="009C690B">
        <w:t xml:space="preserve"> </w:t>
      </w:r>
      <w:r w:rsidRPr="00C25749">
        <w:rPr>
          <w:i/>
          <w:iCs/>
        </w:rPr>
        <w:t>Id</w:t>
      </w:r>
      <w:r w:rsidRPr="00C25749">
        <w:t>.</w:t>
      </w:r>
      <w:r w:rsidRPr="00C25749" w:rsidR="009C690B">
        <w:t xml:space="preserve"> </w:t>
      </w:r>
      <w:r w:rsidRPr="00C25749">
        <w:t>¶</w:t>
      </w:r>
      <w:r w:rsidRPr="00C25749" w:rsidR="002B2C32">
        <w:t xml:space="preserve"> </w:t>
      </w:r>
      <w:r w:rsidRPr="00C25749">
        <w:t>13.</w:t>
      </w:r>
    </w:p>
  </w:footnote>
  <w:footnote w:id="30">
    <w:p w:rsidR="00F955D3" w:rsidRPr="00C25749" w:rsidP="00C25749" w14:paraId="567A04D2" w14:textId="77777777">
      <w:pPr>
        <w:pStyle w:val="FootnoteText"/>
        <w:spacing w:after="120"/>
      </w:pPr>
      <w:r w:rsidRPr="00C25749">
        <w:rPr>
          <w:rStyle w:val="FootnoteReference"/>
        </w:rPr>
        <w:footnoteRef/>
      </w:r>
      <w:r w:rsidRPr="00C25749">
        <w:t xml:space="preserve"> </w:t>
      </w:r>
      <w:r w:rsidRPr="00C25749">
        <w:rPr>
          <w:i/>
          <w:iCs/>
        </w:rPr>
        <w:t>In</w:t>
      </w:r>
      <w:r w:rsidRPr="00C25749" w:rsidR="009C690B">
        <w:rPr>
          <w:i/>
          <w:iCs/>
        </w:rPr>
        <w:t xml:space="preserve"> </w:t>
      </w:r>
      <w:r w:rsidRPr="00C25749">
        <w:rPr>
          <w:i/>
          <w:iCs/>
        </w:rPr>
        <w:t>re</w:t>
      </w:r>
      <w:r w:rsidRPr="00C25749" w:rsidR="009C690B">
        <w:rPr>
          <w:i/>
          <w:iCs/>
        </w:rPr>
        <w:t xml:space="preserve"> </w:t>
      </w:r>
      <w:r w:rsidRPr="00C25749">
        <w:rPr>
          <w:i/>
          <w:iCs/>
        </w:rPr>
        <w:t>Application</w:t>
      </w:r>
      <w:r w:rsidRPr="00C25749" w:rsidR="009C690B">
        <w:rPr>
          <w:i/>
          <w:iCs/>
        </w:rPr>
        <w:t xml:space="preserve"> </w:t>
      </w:r>
      <w:r w:rsidRPr="00C25749">
        <w:rPr>
          <w:i/>
          <w:iCs/>
        </w:rPr>
        <w:t>of</w:t>
      </w:r>
      <w:r w:rsidRPr="00C25749" w:rsidR="009C690B">
        <w:rPr>
          <w:i/>
          <w:iCs/>
        </w:rPr>
        <w:t xml:space="preserve"> </w:t>
      </w:r>
      <w:r w:rsidRPr="00C25749">
        <w:rPr>
          <w:i/>
          <w:iCs/>
        </w:rPr>
        <w:t>[FirstEnergy]</w:t>
      </w:r>
      <w:r w:rsidRPr="00C25749" w:rsidR="009C690B">
        <w:rPr>
          <w:i/>
          <w:iCs/>
        </w:rPr>
        <w:t xml:space="preserve"> </w:t>
      </w:r>
      <w:r w:rsidRPr="00C25749">
        <w:rPr>
          <w:i/>
          <w:iCs/>
        </w:rPr>
        <w:t>for</w:t>
      </w:r>
      <w:r w:rsidRPr="00C25749" w:rsidR="009C690B">
        <w:rPr>
          <w:i/>
          <w:iCs/>
        </w:rPr>
        <w:t xml:space="preserve"> </w:t>
      </w:r>
      <w:r w:rsidRPr="00C25749">
        <w:rPr>
          <w:i/>
          <w:iCs/>
        </w:rPr>
        <w:t>Authority</w:t>
      </w:r>
      <w:r w:rsidRPr="00C25749" w:rsidR="009C690B">
        <w:rPr>
          <w:i/>
          <w:iCs/>
        </w:rPr>
        <w:t xml:space="preserve"> </w:t>
      </w:r>
      <w:r w:rsidRPr="00C25749">
        <w:rPr>
          <w:i/>
          <w:iCs/>
        </w:rPr>
        <w:t>to</w:t>
      </w:r>
      <w:r w:rsidRPr="00C25749" w:rsidR="009C690B">
        <w:rPr>
          <w:i/>
          <w:iCs/>
        </w:rPr>
        <w:t xml:space="preserve"> </w:t>
      </w:r>
      <w:r w:rsidRPr="00C25749">
        <w:rPr>
          <w:i/>
          <w:iCs/>
        </w:rPr>
        <w:t>Provide</w:t>
      </w:r>
      <w:r w:rsidRPr="00C25749" w:rsidR="009C690B">
        <w:rPr>
          <w:i/>
          <w:iCs/>
        </w:rPr>
        <w:t xml:space="preserve"> </w:t>
      </w:r>
      <w:r w:rsidRPr="00C25749">
        <w:rPr>
          <w:i/>
          <w:iCs/>
        </w:rPr>
        <w:t>for</w:t>
      </w:r>
      <w:r w:rsidRPr="00C25749" w:rsidR="009C690B">
        <w:rPr>
          <w:i/>
          <w:iCs/>
        </w:rPr>
        <w:t xml:space="preserve"> </w:t>
      </w:r>
      <w:r w:rsidRPr="00C25749">
        <w:rPr>
          <w:i/>
          <w:iCs/>
        </w:rPr>
        <w:t>a</w:t>
      </w:r>
      <w:r w:rsidRPr="00C25749" w:rsidR="009C690B">
        <w:rPr>
          <w:i/>
          <w:iCs/>
        </w:rPr>
        <w:t xml:space="preserve"> </w:t>
      </w:r>
      <w:r w:rsidRPr="00C25749">
        <w:rPr>
          <w:i/>
          <w:iCs/>
        </w:rPr>
        <w:t>Standard</w:t>
      </w:r>
      <w:r w:rsidRPr="00C25749" w:rsidR="009C690B">
        <w:rPr>
          <w:i/>
          <w:iCs/>
        </w:rPr>
        <w:t xml:space="preserve"> </w:t>
      </w:r>
      <w:r w:rsidRPr="00C25749">
        <w:rPr>
          <w:i/>
          <w:iCs/>
        </w:rPr>
        <w:t>Serv.</w:t>
      </w:r>
      <w:r w:rsidRPr="00C25749" w:rsidR="009C690B">
        <w:rPr>
          <w:i/>
          <w:iCs/>
        </w:rPr>
        <w:t xml:space="preserve"> </w:t>
      </w:r>
      <w:r w:rsidRPr="00C25749">
        <w:rPr>
          <w:i/>
          <w:iCs/>
        </w:rPr>
        <w:t>Offer</w:t>
      </w:r>
      <w:r w:rsidRPr="00C25749">
        <w:t>,</w:t>
      </w:r>
      <w:r w:rsidRPr="00C25749" w:rsidR="009C690B">
        <w:t xml:space="preserve"> </w:t>
      </w:r>
      <w:r w:rsidRPr="00C25749">
        <w:t>Case</w:t>
      </w:r>
      <w:r w:rsidRPr="00C25749" w:rsidR="009C690B">
        <w:t xml:space="preserve"> </w:t>
      </w:r>
      <w:r w:rsidRPr="00C25749">
        <w:t>No.</w:t>
      </w:r>
      <w:r w:rsidRPr="00C25749" w:rsidR="009C690B">
        <w:t xml:space="preserve"> </w:t>
      </w:r>
      <w:r w:rsidRPr="00C25749">
        <w:t>14-1297-ELSSO,</w:t>
      </w:r>
      <w:r w:rsidRPr="00C25749" w:rsidR="009C690B">
        <w:t xml:space="preserve"> </w:t>
      </w:r>
      <w:r w:rsidRPr="00C25749">
        <w:t>Fifth</w:t>
      </w:r>
      <w:r w:rsidRPr="00C25749" w:rsidR="009C690B">
        <w:t xml:space="preserve"> </w:t>
      </w:r>
      <w:r w:rsidRPr="00C25749">
        <w:t>Entry</w:t>
      </w:r>
      <w:r w:rsidRPr="00C25749" w:rsidR="009C690B">
        <w:t xml:space="preserve"> </w:t>
      </w:r>
      <w:r w:rsidRPr="00C25749">
        <w:t>on</w:t>
      </w:r>
      <w:r w:rsidRPr="00C25749" w:rsidR="009C690B">
        <w:t xml:space="preserve"> </w:t>
      </w:r>
      <w:r w:rsidRPr="00C25749">
        <w:t>Rehearing</w:t>
      </w:r>
      <w:r w:rsidRPr="00C25749" w:rsidR="009C690B">
        <w:t xml:space="preserve"> </w:t>
      </w:r>
      <w:r w:rsidRPr="00C25749">
        <w:t>(October</w:t>
      </w:r>
      <w:r w:rsidRPr="00C25749" w:rsidR="009C690B">
        <w:t xml:space="preserve"> </w:t>
      </w:r>
      <w:r w:rsidRPr="00C25749">
        <w:t>12,</w:t>
      </w:r>
      <w:r w:rsidRPr="00C25749" w:rsidR="009C690B">
        <w:t xml:space="preserve"> </w:t>
      </w:r>
      <w:r w:rsidRPr="00C25749">
        <w:t>2016).</w:t>
      </w:r>
    </w:p>
  </w:footnote>
  <w:footnote w:id="31">
    <w:p w:rsidR="00F955D3" w:rsidRPr="00C25749" w:rsidP="00C25749" w14:paraId="2217CF46" w14:textId="77777777">
      <w:pPr>
        <w:pStyle w:val="FootnoteText"/>
        <w:spacing w:after="120"/>
      </w:pPr>
      <w:r w:rsidRPr="00C25749">
        <w:rPr>
          <w:rStyle w:val="FootnoteReference"/>
          <w:i/>
          <w:iCs/>
        </w:rPr>
        <w:footnoteRef/>
      </w:r>
      <w:r w:rsidRPr="00C25749">
        <w:rPr>
          <w:i/>
          <w:iCs/>
        </w:rPr>
        <w:t xml:space="preserve"> In</w:t>
      </w:r>
      <w:r w:rsidRPr="00C25749" w:rsidR="009C690B">
        <w:rPr>
          <w:i/>
          <w:iCs/>
        </w:rPr>
        <w:t xml:space="preserve"> </w:t>
      </w:r>
      <w:r w:rsidRPr="00C25749">
        <w:rPr>
          <w:i/>
          <w:iCs/>
        </w:rPr>
        <w:t>re</w:t>
      </w:r>
      <w:r w:rsidRPr="00C25749" w:rsidR="009C690B">
        <w:rPr>
          <w:i/>
          <w:iCs/>
        </w:rPr>
        <w:t xml:space="preserve"> </w:t>
      </w:r>
      <w:r w:rsidRPr="00C25749">
        <w:rPr>
          <w:i/>
          <w:iCs/>
        </w:rPr>
        <w:t>Application</w:t>
      </w:r>
      <w:r w:rsidRPr="00C25749" w:rsidR="009C690B">
        <w:rPr>
          <w:i/>
          <w:iCs/>
        </w:rPr>
        <w:t xml:space="preserve"> </w:t>
      </w:r>
      <w:r w:rsidRPr="00C25749">
        <w:rPr>
          <w:i/>
          <w:iCs/>
        </w:rPr>
        <w:t>of</w:t>
      </w:r>
      <w:r w:rsidRPr="00C25749" w:rsidR="009C690B">
        <w:rPr>
          <w:i/>
          <w:iCs/>
        </w:rPr>
        <w:t xml:space="preserve"> </w:t>
      </w:r>
      <w:r w:rsidRPr="00C25749">
        <w:rPr>
          <w:i/>
          <w:iCs/>
        </w:rPr>
        <w:t>Ohio</w:t>
      </w:r>
      <w:r w:rsidRPr="00C25749" w:rsidR="009C690B">
        <w:rPr>
          <w:i/>
          <w:iCs/>
        </w:rPr>
        <w:t xml:space="preserve"> </w:t>
      </w:r>
      <w:r w:rsidRPr="00C25749">
        <w:rPr>
          <w:i/>
          <w:iCs/>
        </w:rPr>
        <w:t>Edison</w:t>
      </w:r>
      <w:r w:rsidRPr="00C25749" w:rsidR="009C690B">
        <w:rPr>
          <w:i/>
          <w:iCs/>
        </w:rPr>
        <w:t xml:space="preserve"> </w:t>
      </w:r>
      <w:r w:rsidRPr="00C25749">
        <w:rPr>
          <w:i/>
          <w:iCs/>
        </w:rPr>
        <w:t>Co</w:t>
      </w:r>
      <w:r w:rsidRPr="00C25749">
        <w:t>.,</w:t>
      </w:r>
      <w:r w:rsidRPr="00C25749" w:rsidR="009C690B">
        <w:t xml:space="preserve"> </w:t>
      </w:r>
      <w:r w:rsidRPr="00C25749">
        <w:t>2019-Ohio-2401.</w:t>
      </w:r>
    </w:p>
  </w:footnote>
  <w:footnote w:id="32">
    <w:p w:rsidR="00F955D3" w:rsidRPr="00C25749" w:rsidP="00C25749" w14:paraId="06776F86" w14:textId="77777777">
      <w:pPr>
        <w:pStyle w:val="FootnoteText"/>
        <w:spacing w:after="120"/>
      </w:pPr>
      <w:r w:rsidRPr="00C25749">
        <w:rPr>
          <w:rStyle w:val="FootnoteReference"/>
        </w:rPr>
        <w:footnoteRef/>
      </w:r>
      <w:r w:rsidRPr="00C25749">
        <w:t xml:space="preserve"> </w:t>
      </w:r>
      <w:r w:rsidRPr="00C25749">
        <w:rPr>
          <w:i/>
          <w:iCs/>
        </w:rPr>
        <w:t>In</w:t>
      </w:r>
      <w:r w:rsidRPr="00C25749" w:rsidR="009C690B">
        <w:rPr>
          <w:i/>
          <w:iCs/>
        </w:rPr>
        <w:t xml:space="preserve"> </w:t>
      </w:r>
      <w:r w:rsidRPr="00C25749">
        <w:rPr>
          <w:i/>
          <w:iCs/>
        </w:rPr>
        <w:t>re</w:t>
      </w:r>
      <w:r w:rsidRPr="00C25749" w:rsidR="009C690B">
        <w:rPr>
          <w:i/>
          <w:iCs/>
        </w:rPr>
        <w:t xml:space="preserve"> </w:t>
      </w:r>
      <w:r w:rsidRPr="00C25749">
        <w:rPr>
          <w:i/>
          <w:iCs/>
        </w:rPr>
        <w:t>Application</w:t>
      </w:r>
      <w:r w:rsidRPr="00C25749" w:rsidR="009C690B">
        <w:rPr>
          <w:i/>
          <w:iCs/>
        </w:rPr>
        <w:t xml:space="preserve"> </w:t>
      </w:r>
      <w:r w:rsidRPr="00C25749">
        <w:rPr>
          <w:i/>
          <w:iCs/>
        </w:rPr>
        <w:t>of</w:t>
      </w:r>
      <w:r w:rsidRPr="00C25749" w:rsidR="009C690B">
        <w:rPr>
          <w:i/>
          <w:iCs/>
        </w:rPr>
        <w:t xml:space="preserve"> </w:t>
      </w:r>
      <w:r w:rsidRPr="00C25749">
        <w:rPr>
          <w:i/>
          <w:iCs/>
        </w:rPr>
        <w:t>the</w:t>
      </w:r>
      <w:r w:rsidRPr="00C25749" w:rsidR="009C690B">
        <w:rPr>
          <w:i/>
          <w:iCs/>
        </w:rPr>
        <w:t xml:space="preserve"> </w:t>
      </w:r>
      <w:r w:rsidRPr="00C25749">
        <w:rPr>
          <w:i/>
          <w:iCs/>
        </w:rPr>
        <w:t>Dayton</w:t>
      </w:r>
      <w:r w:rsidRPr="00C25749" w:rsidR="009C690B">
        <w:rPr>
          <w:i/>
          <w:iCs/>
        </w:rPr>
        <w:t xml:space="preserve"> </w:t>
      </w:r>
      <w:r w:rsidRPr="00C25749">
        <w:rPr>
          <w:i/>
          <w:iCs/>
        </w:rPr>
        <w:t>Power</w:t>
      </w:r>
      <w:r w:rsidRPr="00C25749" w:rsidR="009C690B">
        <w:rPr>
          <w:i/>
          <w:iCs/>
        </w:rPr>
        <w:t xml:space="preserve"> </w:t>
      </w:r>
      <w:r w:rsidRPr="00C25749">
        <w:rPr>
          <w:i/>
          <w:iCs/>
        </w:rPr>
        <w:t>&amp;</w:t>
      </w:r>
      <w:r w:rsidRPr="00C25749" w:rsidR="009C690B">
        <w:rPr>
          <w:i/>
          <w:iCs/>
        </w:rPr>
        <w:t xml:space="preserve"> </w:t>
      </w:r>
      <w:r w:rsidRPr="00C25749">
        <w:rPr>
          <w:i/>
          <w:iCs/>
        </w:rPr>
        <w:t>Light</w:t>
      </w:r>
      <w:r w:rsidRPr="00C25749" w:rsidR="009C690B">
        <w:rPr>
          <w:i/>
          <w:iCs/>
        </w:rPr>
        <w:t xml:space="preserve"> </w:t>
      </w:r>
      <w:r w:rsidRPr="00C25749">
        <w:rPr>
          <w:i/>
          <w:iCs/>
        </w:rPr>
        <w:t>Co.</w:t>
      </w:r>
      <w:r w:rsidRPr="00C25749" w:rsidR="009C690B">
        <w:rPr>
          <w:i/>
          <w:iCs/>
        </w:rPr>
        <w:t xml:space="preserve"> </w:t>
      </w:r>
      <w:r w:rsidRPr="00C25749">
        <w:rPr>
          <w:i/>
          <w:iCs/>
        </w:rPr>
        <w:t>to</w:t>
      </w:r>
      <w:r w:rsidRPr="00C25749" w:rsidR="009C690B">
        <w:rPr>
          <w:i/>
          <w:iCs/>
        </w:rPr>
        <w:t xml:space="preserve"> </w:t>
      </w:r>
      <w:r w:rsidRPr="00C25749">
        <w:rPr>
          <w:i/>
          <w:iCs/>
        </w:rPr>
        <w:t>Establish</w:t>
      </w:r>
      <w:r w:rsidRPr="00C25749" w:rsidR="009C690B">
        <w:rPr>
          <w:i/>
          <w:iCs/>
        </w:rPr>
        <w:t xml:space="preserve"> </w:t>
      </w:r>
      <w:r w:rsidRPr="00C25749">
        <w:rPr>
          <w:i/>
          <w:iCs/>
        </w:rPr>
        <w:t>a</w:t>
      </w:r>
      <w:r w:rsidRPr="00C25749" w:rsidR="009C690B">
        <w:rPr>
          <w:i/>
          <w:iCs/>
        </w:rPr>
        <w:t xml:space="preserve"> </w:t>
      </w:r>
      <w:r w:rsidRPr="00C25749">
        <w:rPr>
          <w:i/>
          <w:iCs/>
        </w:rPr>
        <w:t>Standard</w:t>
      </w:r>
      <w:r w:rsidRPr="00C25749" w:rsidR="009C690B">
        <w:rPr>
          <w:i/>
          <w:iCs/>
        </w:rPr>
        <w:t xml:space="preserve"> </w:t>
      </w:r>
      <w:r w:rsidRPr="00C25749">
        <w:rPr>
          <w:i/>
          <w:iCs/>
        </w:rPr>
        <w:t>Serv.</w:t>
      </w:r>
      <w:r w:rsidRPr="00C25749" w:rsidR="009C690B">
        <w:rPr>
          <w:i/>
          <w:iCs/>
        </w:rPr>
        <w:t xml:space="preserve"> </w:t>
      </w:r>
      <w:r w:rsidRPr="00C25749">
        <w:rPr>
          <w:i/>
          <w:iCs/>
        </w:rPr>
        <w:t>Offer</w:t>
      </w:r>
      <w:r w:rsidRPr="00C25749" w:rsidR="009C690B">
        <w:rPr>
          <w:i/>
          <w:iCs/>
        </w:rPr>
        <w:t xml:space="preserve"> </w:t>
      </w:r>
      <w:r w:rsidRPr="00C25749">
        <w:rPr>
          <w:i/>
          <w:iCs/>
        </w:rPr>
        <w:t>in</w:t>
      </w:r>
      <w:r w:rsidRPr="00C25749" w:rsidR="009C690B">
        <w:rPr>
          <w:i/>
          <w:iCs/>
        </w:rPr>
        <w:t xml:space="preserve"> </w:t>
      </w:r>
      <w:r w:rsidRPr="00C25749">
        <w:rPr>
          <w:i/>
          <w:iCs/>
        </w:rPr>
        <w:t>the</w:t>
      </w:r>
      <w:r w:rsidRPr="00C25749" w:rsidR="009C690B">
        <w:rPr>
          <w:i/>
          <w:iCs/>
        </w:rPr>
        <w:t xml:space="preserve"> </w:t>
      </w:r>
      <w:r w:rsidRPr="00C25749">
        <w:rPr>
          <w:i/>
          <w:iCs/>
        </w:rPr>
        <w:t>Form</w:t>
      </w:r>
      <w:r w:rsidRPr="00C25749" w:rsidR="009C690B">
        <w:rPr>
          <w:i/>
          <w:iCs/>
        </w:rPr>
        <w:t xml:space="preserve"> </w:t>
      </w:r>
      <w:r w:rsidRPr="00C25749">
        <w:rPr>
          <w:i/>
          <w:iCs/>
        </w:rPr>
        <w:t>of</w:t>
      </w:r>
      <w:r w:rsidRPr="00C25749" w:rsidR="009C690B">
        <w:rPr>
          <w:i/>
          <w:iCs/>
        </w:rPr>
        <w:t xml:space="preserve"> </w:t>
      </w:r>
      <w:r w:rsidRPr="00C25749">
        <w:rPr>
          <w:i/>
          <w:iCs/>
        </w:rPr>
        <w:t>an</w:t>
      </w:r>
      <w:r w:rsidRPr="00C25749" w:rsidR="009C690B">
        <w:rPr>
          <w:i/>
          <w:iCs/>
        </w:rPr>
        <w:t xml:space="preserve"> </w:t>
      </w:r>
      <w:r w:rsidRPr="00C25749">
        <w:rPr>
          <w:i/>
          <w:iCs/>
        </w:rPr>
        <w:t>Elec. Sec.</w:t>
      </w:r>
      <w:r w:rsidRPr="00C25749" w:rsidR="009C690B">
        <w:rPr>
          <w:i/>
          <w:iCs/>
        </w:rPr>
        <w:t xml:space="preserve"> </w:t>
      </w:r>
      <w:r w:rsidRPr="00C25749">
        <w:rPr>
          <w:i/>
          <w:iCs/>
        </w:rPr>
        <w:t>Plan</w:t>
      </w:r>
      <w:r w:rsidRPr="00C25749">
        <w:t>,</w:t>
      </w:r>
      <w:r w:rsidRPr="00C25749" w:rsidR="009C690B">
        <w:t xml:space="preserve"> </w:t>
      </w:r>
      <w:r w:rsidRPr="00C25749">
        <w:t>Case</w:t>
      </w:r>
      <w:r w:rsidRPr="00C25749" w:rsidR="009C690B">
        <w:t xml:space="preserve"> </w:t>
      </w:r>
      <w:r w:rsidRPr="00C25749">
        <w:t>No.</w:t>
      </w:r>
      <w:r w:rsidRPr="00C25749" w:rsidR="009C690B">
        <w:t xml:space="preserve"> </w:t>
      </w:r>
      <w:r w:rsidRPr="00C25749">
        <w:t>16-395-EL-SSO,</w:t>
      </w:r>
      <w:r w:rsidRPr="00C25749" w:rsidR="009C690B">
        <w:t xml:space="preserve"> </w:t>
      </w:r>
      <w:r w:rsidRPr="00C25749">
        <w:t>Supplemental</w:t>
      </w:r>
      <w:r w:rsidRPr="00C25749" w:rsidR="009C690B">
        <w:t xml:space="preserve"> </w:t>
      </w:r>
      <w:r w:rsidRPr="00C25749">
        <w:t>Opinion</w:t>
      </w:r>
      <w:r w:rsidRPr="00C25749" w:rsidR="009C690B">
        <w:t xml:space="preserve"> </w:t>
      </w:r>
      <w:r w:rsidRPr="00C25749">
        <w:t>&amp;</w:t>
      </w:r>
      <w:r w:rsidRPr="00C25749" w:rsidR="009C690B">
        <w:t xml:space="preserve"> </w:t>
      </w:r>
      <w:r w:rsidRPr="00C25749">
        <w:t>Order</w:t>
      </w:r>
      <w:r w:rsidRPr="00C25749" w:rsidR="009C690B">
        <w:t xml:space="preserve"> </w:t>
      </w:r>
      <w:r w:rsidRPr="00C25749">
        <w:t>(November</w:t>
      </w:r>
      <w:r w:rsidRPr="00C25749" w:rsidR="009C690B">
        <w:t xml:space="preserve"> </w:t>
      </w:r>
      <w:r w:rsidRPr="00C25749">
        <w:t>21,</w:t>
      </w:r>
      <w:r w:rsidRPr="00C25749" w:rsidR="009C690B">
        <w:t xml:space="preserve"> </w:t>
      </w:r>
      <w:r w:rsidRPr="00C25749">
        <w:t>2019).</w:t>
      </w:r>
    </w:p>
  </w:footnote>
  <w:footnote w:id="33">
    <w:p w:rsidR="00F955D3" w:rsidRPr="00C25749" w:rsidP="00C25749" w14:paraId="2EFE18E9" w14:textId="77777777">
      <w:pPr>
        <w:pStyle w:val="FootnoteText"/>
        <w:spacing w:after="120"/>
      </w:pPr>
      <w:r w:rsidRPr="00C25749">
        <w:rPr>
          <w:rStyle w:val="FootnoteReference"/>
        </w:rPr>
        <w:footnoteRef/>
      </w:r>
      <w:r w:rsidRPr="00C25749">
        <w:t xml:space="preserve"> Case</w:t>
      </w:r>
      <w:r w:rsidRPr="00C25749" w:rsidR="009C690B">
        <w:t xml:space="preserve"> </w:t>
      </w:r>
      <w:r w:rsidRPr="00C25749">
        <w:t>No.</w:t>
      </w:r>
      <w:r w:rsidRPr="00C25749" w:rsidR="009C690B">
        <w:t xml:space="preserve"> </w:t>
      </w:r>
      <w:r w:rsidRPr="00C25749">
        <w:t>16-395-EL-SSO,</w:t>
      </w:r>
      <w:r w:rsidRPr="00C25749" w:rsidR="009C690B">
        <w:t xml:space="preserve"> </w:t>
      </w:r>
      <w:r w:rsidRPr="00C25749">
        <w:t>The</w:t>
      </w:r>
      <w:r w:rsidRPr="00C25749" w:rsidR="009C690B">
        <w:t xml:space="preserve"> </w:t>
      </w:r>
      <w:r w:rsidRPr="00C25749">
        <w:t>Dayton</w:t>
      </w:r>
      <w:r w:rsidRPr="00C25749" w:rsidR="009C690B">
        <w:t xml:space="preserve"> </w:t>
      </w:r>
      <w:r w:rsidRPr="00C25749">
        <w:t>Power</w:t>
      </w:r>
      <w:r w:rsidRPr="00C25749" w:rsidR="009C690B">
        <w:t xml:space="preserve"> </w:t>
      </w:r>
      <w:r w:rsidRPr="00C25749">
        <w:t>&amp;</w:t>
      </w:r>
      <w:r w:rsidRPr="00C25749" w:rsidR="009C690B">
        <w:t xml:space="preserve"> </w:t>
      </w:r>
      <w:r w:rsidRPr="00C25749">
        <w:t>Light</w:t>
      </w:r>
      <w:r w:rsidRPr="00C25749" w:rsidR="009C690B">
        <w:t xml:space="preserve"> </w:t>
      </w:r>
      <w:r w:rsidRPr="00C25749">
        <w:t>Co.’s</w:t>
      </w:r>
      <w:r w:rsidRPr="00C25749" w:rsidR="009C690B">
        <w:t xml:space="preserve"> </w:t>
      </w:r>
      <w:r w:rsidRPr="00C25749">
        <w:t>Notice</w:t>
      </w:r>
      <w:r w:rsidRPr="00C25749" w:rsidR="009C690B">
        <w:t xml:space="preserve"> </w:t>
      </w:r>
      <w:r w:rsidRPr="00C25749">
        <w:t>of</w:t>
      </w:r>
      <w:r w:rsidRPr="00C25749" w:rsidR="009C690B">
        <w:t xml:space="preserve"> </w:t>
      </w:r>
      <w:r w:rsidRPr="00C25749">
        <w:t>Withdrawal</w:t>
      </w:r>
      <w:r w:rsidRPr="00C25749" w:rsidR="009C690B">
        <w:t xml:space="preserve"> </w:t>
      </w:r>
      <w:r w:rsidRPr="00C25749">
        <w:t>of</w:t>
      </w:r>
      <w:r w:rsidRPr="00C25749" w:rsidR="009C690B">
        <w:t xml:space="preserve"> </w:t>
      </w:r>
      <w:r w:rsidRPr="00C25749">
        <w:t>its</w:t>
      </w:r>
      <w:r w:rsidRPr="00C25749" w:rsidR="009C690B">
        <w:t xml:space="preserve"> </w:t>
      </w:r>
      <w:r w:rsidRPr="00C25749">
        <w:t>Application</w:t>
      </w:r>
      <w:r w:rsidRPr="00C25749" w:rsidR="009C690B">
        <w:t xml:space="preserve"> </w:t>
      </w:r>
      <w:r w:rsidRPr="00C25749">
        <w:t>in</w:t>
      </w:r>
      <w:r w:rsidRPr="00C25749" w:rsidR="009C690B">
        <w:t xml:space="preserve"> </w:t>
      </w:r>
      <w:r w:rsidRPr="00C25749">
        <w:t>Case</w:t>
      </w:r>
      <w:r w:rsidRPr="00C25749" w:rsidR="009C690B">
        <w:t xml:space="preserve"> </w:t>
      </w:r>
      <w:r w:rsidRPr="00C25749">
        <w:t>No. 16-395-EL-SSO</w:t>
      </w:r>
      <w:r w:rsidRPr="00C25749" w:rsidR="009C690B">
        <w:t xml:space="preserve"> </w:t>
      </w:r>
      <w:r w:rsidRPr="00C25749">
        <w:t>Pursuant</w:t>
      </w:r>
      <w:r w:rsidRPr="00C25749" w:rsidR="009C690B">
        <w:t xml:space="preserve"> </w:t>
      </w:r>
      <w:r w:rsidRPr="00C25749">
        <w:t>to</w:t>
      </w:r>
      <w:r w:rsidRPr="00C25749" w:rsidR="009C690B">
        <w:t xml:space="preserve"> </w:t>
      </w:r>
      <w:r w:rsidRPr="00C25749">
        <w:t>R.C.</w:t>
      </w:r>
      <w:r w:rsidRPr="00C25749" w:rsidR="009C690B">
        <w:t xml:space="preserve"> </w:t>
      </w:r>
      <w:r w:rsidRPr="00C25749">
        <w:t>4928.143(C)(2)(a)</w:t>
      </w:r>
      <w:r w:rsidRPr="00C25749" w:rsidR="009C690B">
        <w:t xml:space="preserve"> </w:t>
      </w:r>
      <w:r w:rsidRPr="00C25749">
        <w:t>(November</w:t>
      </w:r>
      <w:r w:rsidRPr="00C25749" w:rsidR="009C690B">
        <w:t xml:space="preserve"> </w:t>
      </w:r>
      <w:r w:rsidRPr="00C25749">
        <w:t>25,</w:t>
      </w:r>
      <w:r w:rsidRPr="00C25749" w:rsidR="009C690B">
        <w:t xml:space="preserve"> </w:t>
      </w:r>
      <w:r w:rsidRPr="00C25749">
        <w:t>2019).</w:t>
      </w:r>
    </w:p>
  </w:footnote>
  <w:footnote w:id="34">
    <w:p w:rsidR="00F955D3" w:rsidRPr="00C25749" w:rsidP="00C25749" w14:paraId="650E6315" w14:textId="77777777">
      <w:pPr>
        <w:pStyle w:val="FootnoteText"/>
        <w:spacing w:after="120"/>
      </w:pPr>
      <w:r w:rsidRPr="00C25749">
        <w:rPr>
          <w:rStyle w:val="FootnoteReference"/>
        </w:rPr>
        <w:footnoteRef/>
      </w:r>
      <w:r w:rsidRPr="00C25749">
        <w:t xml:space="preserve"> Case</w:t>
      </w:r>
      <w:r w:rsidRPr="00C25749" w:rsidR="009C690B">
        <w:t xml:space="preserve"> </w:t>
      </w:r>
      <w:r w:rsidRPr="00C25749">
        <w:t>No.</w:t>
      </w:r>
      <w:r w:rsidRPr="00C25749" w:rsidR="009C690B">
        <w:t xml:space="preserve"> </w:t>
      </w:r>
      <w:r w:rsidRPr="00C25749">
        <w:t>16-395-EL-SSO,</w:t>
      </w:r>
      <w:r w:rsidRPr="00C25749" w:rsidR="009C690B">
        <w:t xml:space="preserve"> </w:t>
      </w:r>
      <w:r w:rsidRPr="00C25749">
        <w:t>Memorandum</w:t>
      </w:r>
      <w:r w:rsidRPr="00C25749" w:rsidR="009C690B">
        <w:t xml:space="preserve"> </w:t>
      </w:r>
      <w:r w:rsidRPr="00C25749">
        <w:t>Contra</w:t>
      </w:r>
      <w:r w:rsidRPr="00C25749" w:rsidR="009C690B">
        <w:t xml:space="preserve"> </w:t>
      </w:r>
      <w:r w:rsidRPr="00C25749">
        <w:t>DP&amp;L’s</w:t>
      </w:r>
      <w:r w:rsidRPr="00C25749" w:rsidR="009C690B">
        <w:t xml:space="preserve"> </w:t>
      </w:r>
      <w:r w:rsidRPr="00C25749">
        <w:t>Motions</w:t>
      </w:r>
      <w:r w:rsidRPr="00C25749" w:rsidR="009C690B">
        <w:t xml:space="preserve"> </w:t>
      </w:r>
      <w:r w:rsidRPr="00C25749">
        <w:t>to</w:t>
      </w:r>
      <w:r w:rsidRPr="00C25749" w:rsidR="009C690B">
        <w:t xml:space="preserve"> </w:t>
      </w:r>
      <w:r w:rsidRPr="00C25749">
        <w:t>Withdraw</w:t>
      </w:r>
      <w:r w:rsidRPr="00C25749" w:rsidR="009C690B">
        <w:t xml:space="preserve"> </w:t>
      </w:r>
      <w:r w:rsidRPr="00C25749">
        <w:t>its</w:t>
      </w:r>
      <w:r w:rsidRPr="00C25749" w:rsidR="009C690B">
        <w:t xml:space="preserve"> </w:t>
      </w:r>
      <w:r w:rsidRPr="00C25749">
        <w:t>Application</w:t>
      </w:r>
      <w:r w:rsidRPr="00C25749" w:rsidR="009C690B">
        <w:t xml:space="preserve"> </w:t>
      </w:r>
      <w:r w:rsidRPr="00C25749">
        <w:t>&amp;</w:t>
      </w:r>
      <w:r w:rsidRPr="00C25749" w:rsidR="009C690B">
        <w:t xml:space="preserve"> </w:t>
      </w:r>
      <w:r w:rsidRPr="00C25749">
        <w:t>Implement Previously</w:t>
      </w:r>
      <w:r w:rsidRPr="00C25749" w:rsidR="009C690B">
        <w:t xml:space="preserve"> </w:t>
      </w:r>
      <w:r w:rsidRPr="00C25749">
        <w:t>Authorized</w:t>
      </w:r>
      <w:r w:rsidRPr="00C25749" w:rsidR="009C690B">
        <w:t xml:space="preserve"> </w:t>
      </w:r>
      <w:r w:rsidRPr="00C25749">
        <w:t>Rates</w:t>
      </w:r>
      <w:r w:rsidRPr="00C25749" w:rsidR="009C690B">
        <w:t xml:space="preserve"> </w:t>
      </w:r>
      <w:r w:rsidRPr="00C25749">
        <w:t>(to</w:t>
      </w:r>
      <w:r w:rsidRPr="00C25749" w:rsidR="009C690B">
        <w:t xml:space="preserve"> </w:t>
      </w:r>
      <w:r w:rsidRPr="00C25749">
        <w:t>Increase</w:t>
      </w:r>
      <w:r w:rsidRPr="00C25749" w:rsidR="009C690B">
        <w:t xml:space="preserve"> </w:t>
      </w:r>
      <w:r w:rsidRPr="00C25749">
        <w:t>Charges</w:t>
      </w:r>
      <w:r w:rsidRPr="00C25749" w:rsidR="009C690B">
        <w:t xml:space="preserve"> </w:t>
      </w:r>
      <w:r w:rsidRPr="00C25749">
        <w:t>to</w:t>
      </w:r>
      <w:r w:rsidRPr="00C25749" w:rsidR="009C690B">
        <w:t xml:space="preserve"> </w:t>
      </w:r>
      <w:r w:rsidRPr="00C25749">
        <w:t>Consumers)</w:t>
      </w:r>
      <w:r w:rsidRPr="00C25749" w:rsidR="009C690B">
        <w:t xml:space="preserve"> </w:t>
      </w:r>
      <w:r w:rsidRPr="00C25749">
        <w:t>by</w:t>
      </w:r>
      <w:r w:rsidRPr="00C25749" w:rsidR="009C690B">
        <w:t xml:space="preserve"> </w:t>
      </w:r>
      <w:r w:rsidRPr="00C25749">
        <w:t>the</w:t>
      </w:r>
      <w:r w:rsidRPr="00C25749" w:rsidR="009C690B">
        <w:t xml:space="preserve"> </w:t>
      </w:r>
      <w:r w:rsidRPr="00C25749">
        <w:t>Office</w:t>
      </w:r>
      <w:r w:rsidRPr="00C25749" w:rsidR="009C690B">
        <w:t xml:space="preserve"> </w:t>
      </w:r>
      <w:r w:rsidRPr="00C25749">
        <w:t>of</w:t>
      </w:r>
      <w:r w:rsidRPr="00C25749" w:rsidR="009C690B">
        <w:t xml:space="preserve"> </w:t>
      </w:r>
      <w:r w:rsidRPr="00C25749">
        <w:t>the</w:t>
      </w:r>
      <w:r w:rsidRPr="00C25749" w:rsidR="009C690B">
        <w:t xml:space="preserve"> </w:t>
      </w:r>
      <w:r w:rsidRPr="00C25749">
        <w:t>Ohio</w:t>
      </w:r>
      <w:r w:rsidRPr="00C25749" w:rsidR="009C690B">
        <w:t xml:space="preserve"> </w:t>
      </w:r>
      <w:r w:rsidRPr="00C25749">
        <w:t>Consumers’</w:t>
      </w:r>
      <w:r w:rsidRPr="00C25749" w:rsidR="009C690B">
        <w:t xml:space="preserve"> </w:t>
      </w:r>
      <w:r w:rsidRPr="00C25749">
        <w:t>Counsel,</w:t>
      </w:r>
      <w:r w:rsidRPr="00C25749" w:rsidR="009C690B">
        <w:t xml:space="preserve"> </w:t>
      </w:r>
      <w:r w:rsidRPr="00C25749">
        <w:t>the Ohio</w:t>
      </w:r>
      <w:r w:rsidRPr="00C25749" w:rsidR="009C690B">
        <w:t xml:space="preserve"> </w:t>
      </w:r>
      <w:r w:rsidRPr="00C25749">
        <w:t>Manufacturers’</w:t>
      </w:r>
      <w:r w:rsidRPr="00C25749" w:rsidR="009C690B">
        <w:t xml:space="preserve"> </w:t>
      </w:r>
      <w:r w:rsidRPr="00C25749">
        <w:t>Association</w:t>
      </w:r>
      <w:r w:rsidRPr="00C25749" w:rsidR="009C690B">
        <w:t xml:space="preserve"> </w:t>
      </w:r>
      <w:r w:rsidRPr="00C25749">
        <w:t>Energy</w:t>
      </w:r>
      <w:r w:rsidRPr="00C25749" w:rsidR="009C690B">
        <w:t xml:space="preserve"> </w:t>
      </w:r>
      <w:r w:rsidRPr="00C25749">
        <w:t>Group,</w:t>
      </w:r>
      <w:r w:rsidRPr="00C25749" w:rsidR="009C690B">
        <w:t xml:space="preserve"> </w:t>
      </w:r>
      <w:r w:rsidRPr="00C25749">
        <w:t>the</w:t>
      </w:r>
      <w:r w:rsidRPr="00C25749" w:rsidR="009C690B">
        <w:t xml:space="preserve"> </w:t>
      </w:r>
      <w:r w:rsidRPr="00C25749">
        <w:t>Kroger</w:t>
      </w:r>
      <w:r w:rsidRPr="00C25749" w:rsidR="009C690B">
        <w:t xml:space="preserve"> </w:t>
      </w:r>
      <w:r w:rsidRPr="00C25749">
        <w:t>Company,</w:t>
      </w:r>
      <w:r w:rsidRPr="00C25749" w:rsidR="009C690B">
        <w:t xml:space="preserve"> </w:t>
      </w:r>
      <w:r w:rsidRPr="00C25749">
        <w:t>and</w:t>
      </w:r>
      <w:r w:rsidRPr="00C25749" w:rsidR="009C690B">
        <w:t xml:space="preserve"> </w:t>
      </w:r>
      <w:r w:rsidRPr="00C25749">
        <w:t>IGS</w:t>
      </w:r>
      <w:r w:rsidRPr="00C25749" w:rsidR="009C690B">
        <w:t xml:space="preserve"> </w:t>
      </w:r>
      <w:r w:rsidRPr="00C25749">
        <w:t>Energy</w:t>
      </w:r>
      <w:r w:rsidRPr="00C25749" w:rsidR="009C690B">
        <w:t xml:space="preserve"> </w:t>
      </w:r>
      <w:r w:rsidRPr="00C25749">
        <w:t>(December</w:t>
      </w:r>
      <w:r w:rsidRPr="00C25749" w:rsidR="009C690B">
        <w:t xml:space="preserve"> </w:t>
      </w:r>
      <w:r w:rsidRPr="00C25749">
        <w:t>4,</w:t>
      </w:r>
      <w:r w:rsidRPr="00C25749" w:rsidR="009C690B">
        <w:t xml:space="preserve"> </w:t>
      </w:r>
      <w:r w:rsidRPr="00C25749">
        <w:t>2019).</w:t>
      </w:r>
    </w:p>
  </w:footnote>
  <w:footnote w:id="35">
    <w:p w:rsidR="00F955D3" w:rsidRPr="00C25749" w:rsidP="00C25749" w14:paraId="73FBFE8F" w14:textId="77777777">
      <w:pPr>
        <w:pStyle w:val="FootnoteText"/>
        <w:spacing w:after="120"/>
      </w:pPr>
      <w:r w:rsidRPr="00C25749">
        <w:rPr>
          <w:rStyle w:val="FootnoteReference"/>
        </w:rPr>
        <w:footnoteRef/>
      </w:r>
      <w:r w:rsidRPr="00C25749">
        <w:t xml:space="preserve"> Case</w:t>
      </w:r>
      <w:r w:rsidRPr="00C25749" w:rsidR="009C690B">
        <w:t xml:space="preserve"> </w:t>
      </w:r>
      <w:r w:rsidRPr="00C25749">
        <w:t>No.</w:t>
      </w:r>
      <w:r w:rsidRPr="00C25749" w:rsidR="009C690B">
        <w:t xml:space="preserve"> </w:t>
      </w:r>
      <w:r w:rsidRPr="00C25749">
        <w:t>16-395-EL-SSO,</w:t>
      </w:r>
      <w:r w:rsidRPr="00C25749" w:rsidR="009C690B">
        <w:t xml:space="preserve"> </w:t>
      </w:r>
      <w:r w:rsidRPr="00C25749">
        <w:t>Finding</w:t>
      </w:r>
      <w:r w:rsidRPr="00C25749" w:rsidR="009C690B">
        <w:t xml:space="preserve"> </w:t>
      </w:r>
      <w:r w:rsidRPr="00C25749">
        <w:t>&amp;</w:t>
      </w:r>
      <w:r w:rsidRPr="00C25749" w:rsidR="009C690B">
        <w:t xml:space="preserve"> </w:t>
      </w:r>
      <w:r w:rsidRPr="00C25749">
        <w:t>Order</w:t>
      </w:r>
      <w:r w:rsidRPr="00C25749" w:rsidR="009C690B">
        <w:t xml:space="preserve"> </w:t>
      </w:r>
      <w:r w:rsidRPr="00C25749">
        <w:t>(December</w:t>
      </w:r>
      <w:r w:rsidRPr="00C25749" w:rsidR="009C690B">
        <w:t xml:space="preserve"> </w:t>
      </w:r>
      <w:r w:rsidRPr="00C25749">
        <w:t>18,</w:t>
      </w:r>
      <w:r w:rsidRPr="00C25749" w:rsidR="009C690B">
        <w:t xml:space="preserve"> </w:t>
      </w:r>
      <w:r w:rsidRPr="00C25749">
        <w:t>2019)</w:t>
      </w:r>
      <w:r w:rsidRPr="00C25749" w:rsidR="009C690B">
        <w:t xml:space="preserve"> </w:t>
      </w:r>
      <w:r w:rsidRPr="00C25749">
        <w:t>(approving</w:t>
      </w:r>
      <w:r w:rsidRPr="00C25749" w:rsidR="009C690B">
        <w:t xml:space="preserve"> </w:t>
      </w:r>
      <w:r w:rsidRPr="00C25749">
        <w:t>withdrawal);</w:t>
      </w:r>
      <w:r w:rsidRPr="00C25749" w:rsidR="009C690B">
        <w:t xml:space="preserve"> </w:t>
      </w:r>
      <w:r w:rsidRPr="00C25749">
        <w:t>Case</w:t>
      </w:r>
      <w:r w:rsidRPr="00C25749" w:rsidR="009C690B">
        <w:t xml:space="preserve"> </w:t>
      </w:r>
      <w:r w:rsidRPr="00C25749">
        <w:t>No.</w:t>
      </w:r>
      <w:r w:rsidRPr="00C25749" w:rsidR="009C690B">
        <w:t xml:space="preserve"> </w:t>
      </w:r>
      <w:r w:rsidRPr="00C25749">
        <w:t>08-1094-ELSSO,</w:t>
      </w:r>
      <w:r w:rsidRPr="00C25749" w:rsidR="009C690B">
        <w:t xml:space="preserve"> </w:t>
      </w:r>
      <w:r w:rsidRPr="00C25749">
        <w:t>Second</w:t>
      </w:r>
      <w:r w:rsidRPr="00C25749" w:rsidR="009C690B">
        <w:t xml:space="preserve"> </w:t>
      </w:r>
      <w:r w:rsidRPr="00C25749">
        <w:t>Finding</w:t>
      </w:r>
      <w:r w:rsidRPr="00C25749" w:rsidR="009C690B">
        <w:t xml:space="preserve"> </w:t>
      </w:r>
      <w:r w:rsidRPr="00C25749">
        <w:t>&amp;</w:t>
      </w:r>
      <w:r w:rsidRPr="00C25749" w:rsidR="009C690B">
        <w:t xml:space="preserve"> </w:t>
      </w:r>
      <w:r w:rsidRPr="00C25749">
        <w:t>Order</w:t>
      </w:r>
      <w:r w:rsidRPr="00C25749" w:rsidR="009C690B">
        <w:t xml:space="preserve"> </w:t>
      </w:r>
      <w:r w:rsidRPr="00C25749">
        <w:t>(approving</w:t>
      </w:r>
      <w:r w:rsidRPr="00C25749" w:rsidR="009C690B">
        <w:t xml:space="preserve"> </w:t>
      </w:r>
      <w:r w:rsidRPr="00C25749">
        <w:t>revised</w:t>
      </w:r>
      <w:r w:rsidRPr="00C25749" w:rsidR="009C690B">
        <w:t xml:space="preserve"> </w:t>
      </w:r>
      <w:r w:rsidRPr="00C25749">
        <w:t>tariffs</w:t>
      </w:r>
      <w:r w:rsidRPr="00C25749" w:rsidR="009C690B">
        <w:t xml:space="preserve"> </w:t>
      </w:r>
      <w:r w:rsidRPr="00C25749">
        <w:t>with</w:t>
      </w:r>
      <w:r w:rsidRPr="00C25749" w:rsidR="009C690B">
        <w:t xml:space="preserve"> </w:t>
      </w:r>
      <w:r w:rsidRPr="00C25749">
        <w:t>modifications</w:t>
      </w:r>
      <w:r w:rsidRPr="00C25749" w:rsidR="009C690B">
        <w:t xml:space="preserve"> </w:t>
      </w:r>
      <w:r w:rsidRPr="00C25749">
        <w:t>by</w:t>
      </w:r>
      <w:r w:rsidRPr="00C25749" w:rsidR="009C690B">
        <w:t xml:space="preserve"> </w:t>
      </w:r>
      <w:r w:rsidRPr="00C25749">
        <w:t>the</w:t>
      </w:r>
      <w:r w:rsidRPr="00C25749" w:rsidR="009C690B">
        <w:t xml:space="preserve"> </w:t>
      </w:r>
      <w:r w:rsidRPr="00C25749">
        <w:t>PUCO).</w:t>
      </w:r>
    </w:p>
  </w:footnote>
  <w:footnote w:id="36">
    <w:p w:rsidR="00F955D3" w:rsidRPr="00C25749" w:rsidP="00C25749" w14:paraId="25619D4D" w14:textId="77777777">
      <w:pPr>
        <w:pStyle w:val="FootnoteText"/>
        <w:spacing w:after="120"/>
      </w:pPr>
      <w:r w:rsidRPr="00C25749">
        <w:rPr>
          <w:rStyle w:val="FootnoteReference"/>
        </w:rPr>
        <w:footnoteRef/>
      </w:r>
      <w:r w:rsidRPr="00C25749">
        <w:t xml:space="preserve"> Case</w:t>
      </w:r>
      <w:r w:rsidRPr="00C25749" w:rsidR="009C690B">
        <w:t xml:space="preserve"> </w:t>
      </w:r>
      <w:r w:rsidRPr="00C25749">
        <w:t>No.</w:t>
      </w:r>
      <w:r w:rsidRPr="00C25749" w:rsidR="009C690B">
        <w:t xml:space="preserve"> </w:t>
      </w:r>
      <w:r w:rsidRPr="00C25749">
        <w:t>16-395-EL-SSO,</w:t>
      </w:r>
      <w:r w:rsidRPr="00C25749" w:rsidR="009C690B">
        <w:t xml:space="preserve"> </w:t>
      </w:r>
      <w:r w:rsidRPr="00C25749">
        <w:t>Application</w:t>
      </w:r>
      <w:r w:rsidRPr="00C25749" w:rsidR="009C690B">
        <w:t xml:space="preserve"> </w:t>
      </w:r>
      <w:r w:rsidRPr="00C25749">
        <w:t>for</w:t>
      </w:r>
      <w:r w:rsidRPr="00C25749" w:rsidR="009C690B">
        <w:t xml:space="preserve"> </w:t>
      </w:r>
      <w:r w:rsidRPr="00C25749">
        <w:t>Rehearing</w:t>
      </w:r>
      <w:r w:rsidRPr="00C25749" w:rsidR="009C690B">
        <w:t xml:space="preserve"> </w:t>
      </w:r>
      <w:r w:rsidRPr="00C25749">
        <w:t>from</w:t>
      </w:r>
      <w:r w:rsidRPr="00C25749" w:rsidR="009C690B">
        <w:t xml:space="preserve"> </w:t>
      </w:r>
      <w:r w:rsidRPr="00C25749">
        <w:t>the</w:t>
      </w:r>
      <w:r w:rsidRPr="00C25749" w:rsidR="009C690B">
        <w:t xml:space="preserve"> </w:t>
      </w:r>
      <w:r w:rsidRPr="00C25749">
        <w:t>Supplemental</w:t>
      </w:r>
      <w:r w:rsidRPr="00C25749" w:rsidR="009C690B">
        <w:t xml:space="preserve"> </w:t>
      </w:r>
      <w:r w:rsidRPr="00C25749">
        <w:t>Opinion</w:t>
      </w:r>
      <w:r w:rsidRPr="00C25749" w:rsidR="009C690B">
        <w:t xml:space="preserve"> </w:t>
      </w:r>
      <w:r w:rsidRPr="00C25749">
        <w:t>&amp;</w:t>
      </w:r>
      <w:r w:rsidRPr="00C25749" w:rsidR="009C690B">
        <w:t xml:space="preserve"> </w:t>
      </w:r>
      <w:r w:rsidRPr="00C25749">
        <w:t>Order</w:t>
      </w:r>
      <w:r w:rsidRPr="00C25749" w:rsidR="009C690B">
        <w:t xml:space="preserve"> </w:t>
      </w:r>
      <w:r w:rsidRPr="00C25749">
        <w:t>by</w:t>
      </w:r>
      <w:r w:rsidRPr="00C25749" w:rsidR="009C690B">
        <w:t xml:space="preserve"> </w:t>
      </w:r>
      <w:r w:rsidRPr="00C25749">
        <w:t>the</w:t>
      </w:r>
      <w:r w:rsidRPr="00C25749" w:rsidR="009C690B">
        <w:t xml:space="preserve"> </w:t>
      </w:r>
      <w:r w:rsidRPr="00C25749">
        <w:t>Office</w:t>
      </w:r>
      <w:r w:rsidRPr="00C25749" w:rsidR="009C690B">
        <w:t xml:space="preserve"> </w:t>
      </w:r>
      <w:r w:rsidRPr="00C25749">
        <w:t>of the</w:t>
      </w:r>
      <w:r w:rsidRPr="00C25749" w:rsidR="009C690B">
        <w:t xml:space="preserve"> </w:t>
      </w:r>
      <w:r w:rsidRPr="00C25749">
        <w:t>Ohio</w:t>
      </w:r>
      <w:r w:rsidRPr="00C25749" w:rsidR="009C690B">
        <w:t xml:space="preserve"> </w:t>
      </w:r>
      <w:r w:rsidRPr="00C25749">
        <w:t>Consumers’</w:t>
      </w:r>
      <w:r w:rsidRPr="00C25749" w:rsidR="009C690B">
        <w:t xml:space="preserve"> </w:t>
      </w:r>
      <w:r w:rsidRPr="00C25749">
        <w:t>Counsel</w:t>
      </w:r>
      <w:r w:rsidRPr="00C25749" w:rsidR="009C690B">
        <w:t xml:space="preserve"> </w:t>
      </w:r>
      <w:r w:rsidRPr="00C25749">
        <w:t>(December</w:t>
      </w:r>
      <w:r w:rsidRPr="00C25749" w:rsidR="009C690B">
        <w:t xml:space="preserve"> </w:t>
      </w:r>
      <w:r w:rsidRPr="00C25749">
        <w:t>23,</w:t>
      </w:r>
      <w:r w:rsidRPr="00C25749" w:rsidR="009C690B">
        <w:t xml:space="preserve"> </w:t>
      </w:r>
      <w:r w:rsidRPr="00C25749">
        <w:t>2019);</w:t>
      </w:r>
      <w:r w:rsidRPr="00C25749" w:rsidR="009C690B">
        <w:t xml:space="preserve"> </w:t>
      </w:r>
      <w:r w:rsidRPr="00C25749">
        <w:t>Case</w:t>
      </w:r>
      <w:r w:rsidRPr="00C25749" w:rsidR="009C690B">
        <w:t xml:space="preserve"> </w:t>
      </w:r>
      <w:r w:rsidRPr="00C25749">
        <w:t>No.</w:t>
      </w:r>
      <w:r w:rsidRPr="00C25749" w:rsidR="009C690B">
        <w:t xml:space="preserve"> </w:t>
      </w:r>
      <w:r w:rsidRPr="00C25749">
        <w:t>08-1094-EL-SSO,</w:t>
      </w:r>
      <w:r w:rsidRPr="00C25749" w:rsidR="009C690B">
        <w:t xml:space="preserve"> </w:t>
      </w:r>
      <w:r w:rsidRPr="00C25749">
        <w:t>Application</w:t>
      </w:r>
      <w:r w:rsidRPr="00C25749" w:rsidR="009C690B">
        <w:t xml:space="preserve"> </w:t>
      </w:r>
      <w:r w:rsidRPr="00C25749">
        <w:t>for</w:t>
      </w:r>
      <w:r w:rsidRPr="00C25749" w:rsidR="009C690B">
        <w:t xml:space="preserve"> </w:t>
      </w:r>
      <w:r w:rsidRPr="00C25749">
        <w:t>Rehearing</w:t>
      </w:r>
      <w:r w:rsidRPr="00C25749" w:rsidR="009C690B">
        <w:t xml:space="preserve"> </w:t>
      </w:r>
      <w:r w:rsidRPr="00C25749">
        <w:t>of</w:t>
      </w:r>
      <w:r w:rsidRPr="00C25749" w:rsidR="009C690B">
        <w:t xml:space="preserve"> </w:t>
      </w:r>
      <w:r w:rsidRPr="00C25749">
        <w:t>the Office</w:t>
      </w:r>
      <w:r w:rsidRPr="00C25749" w:rsidR="009C690B">
        <w:t xml:space="preserve"> </w:t>
      </w:r>
      <w:r w:rsidRPr="00C25749">
        <w:t>of</w:t>
      </w:r>
      <w:r w:rsidRPr="00C25749" w:rsidR="009C690B">
        <w:t xml:space="preserve"> </w:t>
      </w:r>
      <w:r w:rsidRPr="00C25749">
        <w:t>the</w:t>
      </w:r>
      <w:r w:rsidRPr="00C25749" w:rsidR="009C690B">
        <w:t xml:space="preserve"> </w:t>
      </w:r>
      <w:r w:rsidRPr="00C25749">
        <w:t>Ohio</w:t>
      </w:r>
      <w:r w:rsidRPr="00C25749" w:rsidR="009C690B">
        <w:t xml:space="preserve"> </w:t>
      </w:r>
      <w:r w:rsidRPr="00C25749">
        <w:t>Consumers’</w:t>
      </w:r>
      <w:r w:rsidRPr="00C25749" w:rsidR="009C690B">
        <w:t xml:space="preserve"> </w:t>
      </w:r>
      <w:r w:rsidRPr="00C25749">
        <w:t>Counsel</w:t>
      </w:r>
      <w:r w:rsidRPr="00C25749" w:rsidR="009C690B">
        <w:t xml:space="preserve"> </w:t>
      </w:r>
      <w:r w:rsidRPr="00C25749">
        <w:t>(January</w:t>
      </w:r>
      <w:r w:rsidRPr="00C25749" w:rsidR="009C690B">
        <w:t xml:space="preserve"> </w:t>
      </w:r>
      <w:r w:rsidRPr="00C25749">
        <w:t>17,</w:t>
      </w:r>
      <w:r w:rsidRPr="00C25749" w:rsidR="009C690B">
        <w:t xml:space="preserve"> </w:t>
      </w:r>
      <w:r w:rsidRPr="00C25749">
        <w:t>2020).</w:t>
      </w:r>
    </w:p>
  </w:footnote>
  <w:footnote w:id="37">
    <w:p w:rsidR="00F955D3" w:rsidRPr="00C25749" w:rsidP="00C25749" w14:paraId="2CDC5570" w14:textId="77777777">
      <w:pPr>
        <w:pStyle w:val="FootnoteText"/>
        <w:spacing w:after="120"/>
      </w:pPr>
      <w:r w:rsidRPr="00C25749">
        <w:rPr>
          <w:rStyle w:val="FootnoteReference"/>
        </w:rPr>
        <w:footnoteRef/>
      </w:r>
      <w:r w:rsidRPr="00C25749">
        <w:t xml:space="preserve"> Case</w:t>
      </w:r>
      <w:r w:rsidRPr="00C25749" w:rsidR="009C690B">
        <w:t xml:space="preserve"> </w:t>
      </w:r>
      <w:r w:rsidRPr="00C25749">
        <w:t>No.</w:t>
      </w:r>
      <w:r w:rsidRPr="00C25749" w:rsidR="009C690B">
        <w:t xml:space="preserve"> </w:t>
      </w:r>
      <w:r w:rsidRPr="00C25749">
        <w:t>08-1094-EL-SSO,</w:t>
      </w:r>
      <w:r w:rsidRPr="00C25749" w:rsidR="009C690B">
        <w:t xml:space="preserve"> </w:t>
      </w:r>
      <w:r w:rsidRPr="00C25749">
        <w:t>Application</w:t>
      </w:r>
      <w:r w:rsidRPr="00C25749" w:rsidR="009C690B">
        <w:t xml:space="preserve"> </w:t>
      </w:r>
      <w:r w:rsidRPr="00C25749">
        <w:t>for</w:t>
      </w:r>
      <w:r w:rsidRPr="00C25749" w:rsidR="009C690B">
        <w:t xml:space="preserve"> </w:t>
      </w:r>
      <w:r w:rsidRPr="00C25749">
        <w:t>Rehearing</w:t>
      </w:r>
      <w:r w:rsidRPr="00C25749" w:rsidR="009C690B">
        <w:t xml:space="preserve"> </w:t>
      </w:r>
      <w:r w:rsidRPr="00C25749">
        <w:t>of</w:t>
      </w:r>
      <w:r w:rsidRPr="00C25749" w:rsidR="009C690B">
        <w:t xml:space="preserve"> </w:t>
      </w:r>
      <w:r w:rsidRPr="00C25749">
        <w:t>the</w:t>
      </w:r>
      <w:r w:rsidRPr="00C25749" w:rsidR="009C690B">
        <w:t xml:space="preserve"> </w:t>
      </w:r>
      <w:r w:rsidRPr="00C25749">
        <w:t>Office</w:t>
      </w:r>
      <w:r w:rsidRPr="00C25749" w:rsidR="009C690B">
        <w:t xml:space="preserve"> </w:t>
      </w:r>
      <w:r w:rsidRPr="00C25749">
        <w:t>of</w:t>
      </w:r>
      <w:r w:rsidRPr="00C25749" w:rsidR="009C690B">
        <w:t xml:space="preserve"> </w:t>
      </w:r>
      <w:r w:rsidRPr="00C25749">
        <w:t>the</w:t>
      </w:r>
      <w:r w:rsidRPr="00C25749" w:rsidR="009C690B">
        <w:t xml:space="preserve"> </w:t>
      </w:r>
      <w:r w:rsidRPr="00C25749">
        <w:t>Ohio</w:t>
      </w:r>
      <w:r w:rsidRPr="00C25749" w:rsidR="009C690B">
        <w:t xml:space="preserve"> </w:t>
      </w:r>
      <w:r w:rsidRPr="00C25749">
        <w:t>Consumers’</w:t>
      </w:r>
      <w:r w:rsidRPr="00C25749" w:rsidR="009C690B">
        <w:t xml:space="preserve"> </w:t>
      </w:r>
      <w:r w:rsidRPr="00C25749">
        <w:t>Counsel</w:t>
      </w:r>
      <w:r w:rsidRPr="00C25749" w:rsidR="009C690B">
        <w:t xml:space="preserve"> </w:t>
      </w:r>
      <w:r w:rsidRPr="00C25749">
        <w:t>at</w:t>
      </w:r>
      <w:r w:rsidRPr="00C25749" w:rsidR="009C690B">
        <w:t xml:space="preserve"> </w:t>
      </w:r>
      <w:r w:rsidRPr="00C25749">
        <w:t>6-10 (January</w:t>
      </w:r>
      <w:r w:rsidRPr="00C25749" w:rsidR="009C690B">
        <w:t xml:space="preserve"> </w:t>
      </w:r>
      <w:r w:rsidRPr="00C25749">
        <w:t>17,</w:t>
      </w:r>
      <w:r w:rsidRPr="00C25749" w:rsidR="009C690B">
        <w:t xml:space="preserve"> </w:t>
      </w:r>
      <w:r w:rsidRPr="00C25749">
        <w:t>2020).</w:t>
      </w:r>
    </w:p>
  </w:footnote>
  <w:footnote w:id="38">
    <w:p w:rsidR="00F955D3" w:rsidRPr="00C25749" w:rsidP="00C25749" w14:paraId="1BC66196" w14:textId="77777777">
      <w:pPr>
        <w:pStyle w:val="FootnoteText"/>
        <w:spacing w:after="120"/>
      </w:pPr>
      <w:r w:rsidRPr="00C25749">
        <w:rPr>
          <w:rStyle w:val="FootnoteReference"/>
        </w:rPr>
        <w:footnoteRef/>
      </w:r>
      <w:r w:rsidRPr="00C25749">
        <w:rPr>
          <w:i/>
          <w:iCs/>
        </w:rPr>
        <w:t xml:space="preserve"> In</w:t>
      </w:r>
      <w:r w:rsidRPr="00C25749" w:rsidR="009C690B">
        <w:rPr>
          <w:i/>
          <w:iCs/>
        </w:rPr>
        <w:t xml:space="preserve"> </w:t>
      </w:r>
      <w:r w:rsidRPr="00C25749">
        <w:rPr>
          <w:i/>
          <w:iCs/>
        </w:rPr>
        <w:t>re</w:t>
      </w:r>
      <w:r w:rsidRPr="00C25749" w:rsidR="009C690B">
        <w:rPr>
          <w:i/>
          <w:iCs/>
        </w:rPr>
        <w:t xml:space="preserve"> </w:t>
      </w:r>
      <w:r w:rsidRPr="00C25749">
        <w:rPr>
          <w:i/>
          <w:iCs/>
        </w:rPr>
        <w:t>Application</w:t>
      </w:r>
      <w:r w:rsidRPr="00C25749" w:rsidR="009C690B">
        <w:rPr>
          <w:i/>
          <w:iCs/>
        </w:rPr>
        <w:t xml:space="preserve"> </w:t>
      </w:r>
      <w:r w:rsidRPr="00C25749">
        <w:rPr>
          <w:i/>
          <w:iCs/>
        </w:rPr>
        <w:t>of</w:t>
      </w:r>
      <w:r w:rsidRPr="00C25749" w:rsidR="009C690B">
        <w:rPr>
          <w:i/>
          <w:iCs/>
        </w:rPr>
        <w:t xml:space="preserve"> </w:t>
      </w:r>
      <w:r w:rsidRPr="00C25749">
        <w:rPr>
          <w:i/>
          <w:iCs/>
        </w:rPr>
        <w:t>the</w:t>
      </w:r>
      <w:r w:rsidRPr="00C25749" w:rsidR="009C690B">
        <w:rPr>
          <w:i/>
          <w:iCs/>
        </w:rPr>
        <w:t xml:space="preserve"> </w:t>
      </w:r>
      <w:r w:rsidRPr="00C25749">
        <w:rPr>
          <w:i/>
          <w:iCs/>
        </w:rPr>
        <w:t>Dayton</w:t>
      </w:r>
      <w:r w:rsidRPr="00C25749" w:rsidR="009C690B">
        <w:rPr>
          <w:i/>
          <w:iCs/>
        </w:rPr>
        <w:t xml:space="preserve"> </w:t>
      </w:r>
      <w:r w:rsidRPr="00C25749">
        <w:rPr>
          <w:i/>
          <w:iCs/>
        </w:rPr>
        <w:t>Power</w:t>
      </w:r>
      <w:r w:rsidRPr="00C25749" w:rsidR="009C690B">
        <w:rPr>
          <w:i/>
          <w:iCs/>
        </w:rPr>
        <w:t xml:space="preserve"> </w:t>
      </w:r>
      <w:r w:rsidRPr="00C25749">
        <w:rPr>
          <w:i/>
          <w:iCs/>
        </w:rPr>
        <w:t>&amp;</w:t>
      </w:r>
      <w:r w:rsidRPr="00C25749" w:rsidR="009C690B">
        <w:rPr>
          <w:i/>
          <w:iCs/>
        </w:rPr>
        <w:t xml:space="preserve"> </w:t>
      </w:r>
      <w:r w:rsidRPr="00C25749">
        <w:rPr>
          <w:i/>
          <w:iCs/>
        </w:rPr>
        <w:t>Light</w:t>
      </w:r>
      <w:r w:rsidRPr="00C25749" w:rsidR="009C690B">
        <w:rPr>
          <w:i/>
          <w:iCs/>
        </w:rPr>
        <w:t xml:space="preserve"> </w:t>
      </w:r>
      <w:r w:rsidRPr="00C25749">
        <w:rPr>
          <w:i/>
          <w:iCs/>
        </w:rPr>
        <w:t>Co.</w:t>
      </w:r>
      <w:r w:rsidRPr="00C25749" w:rsidR="009C690B">
        <w:rPr>
          <w:i/>
          <w:iCs/>
        </w:rPr>
        <w:t xml:space="preserve"> </w:t>
      </w:r>
      <w:r w:rsidRPr="00C25749">
        <w:rPr>
          <w:i/>
          <w:iCs/>
        </w:rPr>
        <w:t>for</w:t>
      </w:r>
      <w:r w:rsidRPr="00C25749" w:rsidR="009C690B">
        <w:rPr>
          <w:i/>
          <w:iCs/>
        </w:rPr>
        <w:t xml:space="preserve"> </w:t>
      </w:r>
      <w:r w:rsidRPr="00C25749">
        <w:rPr>
          <w:i/>
          <w:iCs/>
        </w:rPr>
        <w:t>Approval</w:t>
      </w:r>
      <w:r w:rsidRPr="00C25749" w:rsidR="009C690B">
        <w:rPr>
          <w:i/>
          <w:iCs/>
        </w:rPr>
        <w:t xml:space="preserve"> </w:t>
      </w:r>
      <w:r w:rsidRPr="00C25749">
        <w:rPr>
          <w:i/>
          <w:iCs/>
        </w:rPr>
        <w:t>of</w:t>
      </w:r>
      <w:r w:rsidRPr="00C25749" w:rsidR="009C690B">
        <w:rPr>
          <w:i/>
          <w:iCs/>
        </w:rPr>
        <w:t xml:space="preserve"> </w:t>
      </w:r>
      <w:r w:rsidRPr="00C25749">
        <w:rPr>
          <w:i/>
          <w:iCs/>
        </w:rPr>
        <w:t>its</w:t>
      </w:r>
      <w:r w:rsidRPr="00C25749" w:rsidR="009C690B">
        <w:rPr>
          <w:i/>
          <w:iCs/>
        </w:rPr>
        <w:t xml:space="preserve"> </w:t>
      </w:r>
      <w:r w:rsidRPr="00C25749">
        <w:rPr>
          <w:i/>
          <w:iCs/>
        </w:rPr>
        <w:t>Market</w:t>
      </w:r>
      <w:r w:rsidRPr="00C25749" w:rsidR="009C690B">
        <w:rPr>
          <w:i/>
          <w:iCs/>
        </w:rPr>
        <w:t xml:space="preserve"> </w:t>
      </w:r>
      <w:r w:rsidRPr="00C25749">
        <w:rPr>
          <w:i/>
          <w:iCs/>
        </w:rPr>
        <w:t>Rate</w:t>
      </w:r>
      <w:r w:rsidRPr="00C25749" w:rsidR="009C690B">
        <w:rPr>
          <w:i/>
          <w:iCs/>
        </w:rPr>
        <w:t xml:space="preserve"> </w:t>
      </w:r>
      <w:r w:rsidRPr="00C25749">
        <w:rPr>
          <w:i/>
          <w:iCs/>
        </w:rPr>
        <w:t>Offer</w:t>
      </w:r>
      <w:r w:rsidRPr="00C25749">
        <w:t>,</w:t>
      </w:r>
      <w:r w:rsidRPr="00C25749" w:rsidR="009C690B">
        <w:t xml:space="preserve"> </w:t>
      </w:r>
      <w:r w:rsidRPr="00C25749">
        <w:t>Case</w:t>
      </w:r>
      <w:r w:rsidRPr="00C25749" w:rsidR="009C690B">
        <w:t xml:space="preserve"> </w:t>
      </w:r>
      <w:r w:rsidRPr="00C25749">
        <w:t>No.</w:t>
      </w:r>
      <w:r w:rsidRPr="00C25749" w:rsidR="009C690B">
        <w:t xml:space="preserve"> </w:t>
      </w:r>
      <w:r w:rsidRPr="00C25749">
        <w:t>12-426-ELSSO,</w:t>
      </w:r>
      <w:r w:rsidRPr="00C25749" w:rsidR="009C690B">
        <w:t xml:space="preserve"> </w:t>
      </w:r>
      <w:r w:rsidRPr="00C25749">
        <w:t>Entry</w:t>
      </w:r>
      <w:r w:rsidRPr="00C25749" w:rsidR="009C690B">
        <w:t xml:space="preserve"> </w:t>
      </w:r>
      <w:r w:rsidRPr="00C25749">
        <w:t>on</w:t>
      </w:r>
      <w:r w:rsidRPr="00C25749" w:rsidR="009C690B">
        <w:t xml:space="preserve"> </w:t>
      </w:r>
      <w:r w:rsidRPr="00C25749">
        <w:t>Rehearing</w:t>
      </w:r>
      <w:r w:rsidRPr="00C25749" w:rsidR="009C690B">
        <w:t xml:space="preserve"> </w:t>
      </w:r>
      <w:r w:rsidRPr="00C25749">
        <w:t>¶</w:t>
      </w:r>
      <w:r w:rsidRPr="00C25749" w:rsidR="002B2C32">
        <w:t xml:space="preserve"> </w:t>
      </w:r>
      <w:r w:rsidRPr="00C25749">
        <w:t>10</w:t>
      </w:r>
      <w:r w:rsidRPr="00C25749" w:rsidR="009C690B">
        <w:t xml:space="preserve"> </w:t>
      </w:r>
      <w:r w:rsidRPr="00C25749">
        <w:t>(February</w:t>
      </w:r>
      <w:r w:rsidRPr="00C25749" w:rsidR="009C690B">
        <w:t xml:space="preserve"> </w:t>
      </w:r>
      <w:r w:rsidRPr="00C25749">
        <w:t>19,</w:t>
      </w:r>
      <w:r w:rsidRPr="00C25749" w:rsidR="009C690B">
        <w:t xml:space="preserve"> </w:t>
      </w:r>
      <w:r w:rsidRPr="00C25749">
        <w:t>2013).</w:t>
      </w:r>
    </w:p>
  </w:footnote>
  <w:footnote w:id="39">
    <w:p w:rsidR="00F955D3" w:rsidRPr="00C25749" w:rsidP="00C25749" w14:paraId="249A7E4D" w14:textId="77777777">
      <w:pPr>
        <w:pStyle w:val="FootnoteText"/>
        <w:spacing w:after="120"/>
      </w:pPr>
      <w:r w:rsidRPr="00C25749">
        <w:rPr>
          <w:rStyle w:val="FootnoteReference"/>
        </w:rPr>
        <w:footnoteRef/>
      </w:r>
      <w:r w:rsidRPr="00C25749">
        <w:t xml:space="preserve"> Case</w:t>
      </w:r>
      <w:r w:rsidRPr="00C25749" w:rsidR="009C690B">
        <w:t xml:space="preserve"> </w:t>
      </w:r>
      <w:r w:rsidRPr="00C25749">
        <w:t>No.</w:t>
      </w:r>
      <w:r w:rsidRPr="00C25749" w:rsidR="009C690B">
        <w:t xml:space="preserve"> </w:t>
      </w:r>
      <w:r w:rsidRPr="00C25749">
        <w:t>08-1094-EL-SSO,</w:t>
      </w:r>
      <w:r w:rsidRPr="00C25749" w:rsidR="009C690B">
        <w:t xml:space="preserve"> </w:t>
      </w:r>
      <w:r w:rsidRPr="00C25749">
        <w:t>Fifth</w:t>
      </w:r>
      <w:r w:rsidRPr="00C25749" w:rsidR="009C690B">
        <w:t xml:space="preserve"> </w:t>
      </w:r>
      <w:r w:rsidRPr="00C25749">
        <w:t>Entry</w:t>
      </w:r>
      <w:r w:rsidRPr="00C25749" w:rsidR="009C690B">
        <w:t xml:space="preserve"> </w:t>
      </w:r>
      <w:r w:rsidRPr="00C25749">
        <w:t>on</w:t>
      </w:r>
      <w:r w:rsidRPr="00C25749" w:rsidR="009C690B">
        <w:t xml:space="preserve"> </w:t>
      </w:r>
      <w:r w:rsidRPr="00C25749">
        <w:t>Rehearing</w:t>
      </w:r>
      <w:r w:rsidRPr="00C25749" w:rsidR="009C690B">
        <w:t xml:space="preserve"> </w:t>
      </w:r>
      <w:r w:rsidRPr="00C25749">
        <w:t>(June</w:t>
      </w:r>
      <w:r w:rsidRPr="00C25749" w:rsidR="009C690B">
        <w:t xml:space="preserve"> </w:t>
      </w:r>
      <w:r w:rsidRPr="00C25749">
        <w:t>16,</w:t>
      </w:r>
      <w:r w:rsidRPr="00C25749" w:rsidR="009C690B">
        <w:t xml:space="preserve"> </w:t>
      </w:r>
      <w:r w:rsidRPr="00C25749">
        <w:t>2021).</w:t>
      </w:r>
    </w:p>
  </w:footnote>
  <w:footnote w:id="40">
    <w:p w:rsidR="00F955D3" w:rsidRPr="00C25749" w:rsidP="00C25749" w14:paraId="55EC1C66" w14:textId="77777777">
      <w:pPr>
        <w:pStyle w:val="FootnoteText"/>
        <w:spacing w:after="120"/>
      </w:pPr>
      <w:r w:rsidRPr="00C25749">
        <w:rPr>
          <w:rStyle w:val="FootnoteReference"/>
        </w:rPr>
        <w:footnoteRef/>
      </w:r>
      <w:r w:rsidRPr="00C25749">
        <w:t xml:space="preserve"> </w:t>
      </w:r>
      <w:r w:rsidRPr="00C25749">
        <w:rPr>
          <w:i/>
          <w:iCs/>
        </w:rPr>
        <w:t>Id</w:t>
      </w:r>
      <w:r w:rsidRPr="00C25749">
        <w:t>.</w:t>
      </w:r>
      <w:r w:rsidRPr="00C25749" w:rsidR="009C690B">
        <w:t xml:space="preserve"> </w:t>
      </w:r>
      <w:r w:rsidRPr="00C25749">
        <w:t>¶</w:t>
      </w:r>
      <w:r w:rsidRPr="00C25749" w:rsidR="002B2C32">
        <w:t xml:space="preserve"> </w:t>
      </w:r>
      <w:r w:rsidRPr="00C25749">
        <w:t>19.</w:t>
      </w:r>
    </w:p>
  </w:footnote>
  <w:footnote w:id="41">
    <w:p w:rsidR="00F955D3" w:rsidRPr="00C25749" w:rsidP="00C25749" w14:paraId="5E0A5962" w14:textId="77777777">
      <w:pPr>
        <w:pStyle w:val="FootnoteText"/>
        <w:spacing w:after="120"/>
        <w:rPr>
          <w:i/>
          <w:iCs/>
        </w:rPr>
      </w:pPr>
      <w:r w:rsidRPr="00C25749">
        <w:rPr>
          <w:rStyle w:val="FootnoteReference"/>
        </w:rPr>
        <w:footnoteRef/>
      </w:r>
      <w:r w:rsidRPr="00C25749">
        <w:t xml:space="preserve"> </w:t>
      </w:r>
      <w:r w:rsidRPr="00C25749">
        <w:rPr>
          <w:i/>
          <w:iCs/>
        </w:rPr>
        <w:t>Id.</w:t>
      </w:r>
    </w:p>
  </w:footnote>
  <w:footnote w:id="42">
    <w:p w:rsidR="00F955D3" w:rsidRPr="00C25749" w:rsidP="00C25749" w14:paraId="4E13E6C2" w14:textId="77777777">
      <w:pPr>
        <w:pStyle w:val="FootnoteText"/>
        <w:spacing w:after="120"/>
        <w:rPr>
          <w:i/>
          <w:iCs/>
        </w:rPr>
      </w:pPr>
      <w:r w:rsidRPr="00C25749">
        <w:rPr>
          <w:rStyle w:val="FootnoteReference"/>
        </w:rPr>
        <w:footnoteRef/>
      </w:r>
      <w:r w:rsidRPr="00C25749">
        <w:t xml:space="preserve"> </w:t>
      </w:r>
      <w:r w:rsidRPr="00C25749">
        <w:rPr>
          <w:i/>
          <w:iCs/>
        </w:rPr>
        <w:t>Id.</w:t>
      </w:r>
    </w:p>
  </w:footnote>
  <w:footnote w:id="43">
    <w:p w:rsidR="00EB53C1" w:rsidRPr="00C25749" w:rsidP="00C25749" w14:paraId="6C88785D" w14:textId="77777777">
      <w:pPr>
        <w:pStyle w:val="FootnoteText"/>
        <w:spacing w:after="120"/>
      </w:pPr>
      <w:r w:rsidRPr="00C25749">
        <w:rPr>
          <w:rStyle w:val="FootnoteReference"/>
        </w:rPr>
        <w:footnoteRef/>
      </w:r>
      <w:r w:rsidRPr="00C25749">
        <w:t xml:space="preserve"> </w:t>
      </w:r>
      <w:r w:rsidRPr="00C25749" w:rsidR="00A43089">
        <w:t xml:space="preserve">Motion to Dismiss DP&amp;L’s Application for a Rate Increase (August 5, 2021); </w:t>
      </w:r>
      <w:r w:rsidRPr="00C25749" w:rsidR="00A43089">
        <w:rPr>
          <w:i/>
          <w:iCs/>
        </w:rPr>
        <w:t>see</w:t>
      </w:r>
      <w:r w:rsidRPr="00C25749" w:rsidR="00A43089">
        <w:t xml:space="preserve"> Reply in Support of Motion to Dismiss DP&amp;L’s Application for a Rate Increase (August 27, 2021).</w:t>
      </w:r>
    </w:p>
  </w:footnote>
  <w:footnote w:id="44">
    <w:p w:rsidR="00F777C3" w:rsidRPr="00C25749" w:rsidP="00C25749" w14:paraId="4A7E8A76" w14:textId="77777777">
      <w:pPr>
        <w:pStyle w:val="FootnoteText"/>
        <w:spacing w:after="120"/>
      </w:pPr>
      <w:r w:rsidRPr="00C25749">
        <w:rPr>
          <w:rStyle w:val="FootnoteReference"/>
        </w:rPr>
        <w:footnoteRef/>
      </w:r>
      <w:r w:rsidRPr="00C25749">
        <w:t xml:space="preserve"> ESP</w:t>
      </w:r>
      <w:r w:rsidRPr="00C25749" w:rsidR="009C690B">
        <w:t xml:space="preserve"> </w:t>
      </w:r>
      <w:r w:rsidRPr="00C25749">
        <w:t>1</w:t>
      </w:r>
      <w:r w:rsidRPr="00C25749" w:rsidR="009C690B">
        <w:t xml:space="preserve"> </w:t>
      </w:r>
      <w:r w:rsidRPr="00C25749">
        <w:t>Settlement</w:t>
      </w:r>
      <w:r w:rsidRPr="00C25749" w:rsidR="009C690B">
        <w:t xml:space="preserve"> </w:t>
      </w:r>
      <w:r w:rsidRPr="00C25749">
        <w:t>at</w:t>
      </w:r>
      <w:r w:rsidRPr="00C25749" w:rsidR="009C690B">
        <w:t xml:space="preserve"> </w:t>
      </w:r>
      <w:r w:rsidRPr="00C25749">
        <w:t>10.</w:t>
      </w:r>
    </w:p>
  </w:footnote>
  <w:footnote w:id="45">
    <w:p w:rsidR="00F777C3" w:rsidRPr="00C25749" w:rsidP="00C25749" w14:paraId="7392A250" w14:textId="77777777">
      <w:pPr>
        <w:pStyle w:val="FootnoteText"/>
        <w:spacing w:after="120"/>
      </w:pPr>
      <w:r w:rsidRPr="00C25749">
        <w:rPr>
          <w:rStyle w:val="FootnoteReference"/>
        </w:rPr>
        <w:footnoteRef/>
      </w:r>
      <w:r w:rsidRPr="00C25749">
        <w:t xml:space="preserve"> OCC</w:t>
      </w:r>
      <w:r w:rsidRPr="00C25749" w:rsidR="009C690B">
        <w:t xml:space="preserve"> </w:t>
      </w:r>
      <w:r w:rsidRPr="00C25749">
        <w:t>does</w:t>
      </w:r>
      <w:r w:rsidRPr="00C25749" w:rsidR="009C690B">
        <w:t xml:space="preserve"> </w:t>
      </w:r>
      <w:r w:rsidRPr="00C25749">
        <w:t>not</w:t>
      </w:r>
      <w:r w:rsidRPr="00C25749" w:rsidR="009C690B">
        <w:t xml:space="preserve"> </w:t>
      </w:r>
      <w:r w:rsidRPr="00C25749">
        <w:t>concede</w:t>
      </w:r>
      <w:r w:rsidRPr="00C25749" w:rsidR="009C690B">
        <w:t xml:space="preserve"> </w:t>
      </w:r>
      <w:r w:rsidRPr="00C25749">
        <w:t>that</w:t>
      </w:r>
      <w:r w:rsidRPr="00C25749" w:rsidR="009C690B">
        <w:t xml:space="preserve"> </w:t>
      </w:r>
      <w:r w:rsidRPr="00C25749">
        <w:t>this</w:t>
      </w:r>
      <w:r w:rsidRPr="00C25749" w:rsidR="009C690B">
        <w:t xml:space="preserve"> </w:t>
      </w:r>
      <w:r w:rsidRPr="00C25749">
        <w:t>is</w:t>
      </w:r>
      <w:r w:rsidRPr="00C25749" w:rsidR="009C690B">
        <w:t xml:space="preserve"> </w:t>
      </w:r>
      <w:r w:rsidRPr="00C25749">
        <w:t>the</w:t>
      </w:r>
      <w:r w:rsidRPr="00C25749" w:rsidR="009C690B">
        <w:t xml:space="preserve"> </w:t>
      </w:r>
      <w:r w:rsidRPr="00C25749">
        <w:t>correct</w:t>
      </w:r>
      <w:r w:rsidRPr="00C25749" w:rsidR="009C690B">
        <w:t xml:space="preserve"> </w:t>
      </w:r>
      <w:r w:rsidRPr="00C25749">
        <w:t>legal</w:t>
      </w:r>
      <w:r w:rsidRPr="00C25749" w:rsidR="009C690B">
        <w:t xml:space="preserve"> </w:t>
      </w:r>
      <w:r w:rsidRPr="00C25749">
        <w:t>interpretation,</w:t>
      </w:r>
      <w:r w:rsidRPr="00C25749" w:rsidR="009C690B">
        <w:t xml:space="preserve"> </w:t>
      </w:r>
      <w:r w:rsidRPr="00C25749">
        <w:t>as</w:t>
      </w:r>
      <w:r w:rsidRPr="00C25749" w:rsidR="009C690B">
        <w:t xml:space="preserve"> </w:t>
      </w:r>
      <w:r w:rsidRPr="00C25749">
        <w:t>OCC</w:t>
      </w:r>
      <w:r w:rsidRPr="00C25749" w:rsidR="009C690B">
        <w:t xml:space="preserve"> </w:t>
      </w:r>
      <w:r w:rsidRPr="00C25749">
        <w:t>has</w:t>
      </w:r>
      <w:r w:rsidRPr="00C25749" w:rsidR="009C690B">
        <w:t xml:space="preserve"> </w:t>
      </w:r>
      <w:r w:rsidRPr="00C25749">
        <w:t>argued</w:t>
      </w:r>
      <w:r w:rsidRPr="00C25749" w:rsidR="009C690B">
        <w:t xml:space="preserve"> </w:t>
      </w:r>
      <w:r w:rsidRPr="00C25749">
        <w:t>that</w:t>
      </w:r>
      <w:r w:rsidRPr="00C25749" w:rsidR="009C690B">
        <w:t xml:space="preserve"> </w:t>
      </w:r>
      <w:r w:rsidRPr="00C25749">
        <w:t>the</w:t>
      </w:r>
      <w:r w:rsidRPr="00C25749" w:rsidR="009C690B">
        <w:t xml:space="preserve"> </w:t>
      </w:r>
      <w:r w:rsidRPr="00C25749">
        <w:t>law</w:t>
      </w:r>
      <w:r w:rsidRPr="00C25749" w:rsidR="009C690B">
        <w:t xml:space="preserve"> </w:t>
      </w:r>
      <w:r w:rsidRPr="00C25749">
        <w:t>only</w:t>
      </w:r>
      <w:r w:rsidRPr="00C25749" w:rsidR="009C690B">
        <w:t xml:space="preserve"> </w:t>
      </w:r>
      <w:r w:rsidRPr="00C25749">
        <w:t>requires the</w:t>
      </w:r>
      <w:r w:rsidRPr="00C25749" w:rsidR="009C690B">
        <w:t xml:space="preserve"> </w:t>
      </w:r>
      <w:r w:rsidRPr="00C25749">
        <w:t>utility</w:t>
      </w:r>
      <w:r w:rsidRPr="00C25749" w:rsidR="009C690B">
        <w:t xml:space="preserve"> </w:t>
      </w:r>
      <w:r w:rsidRPr="00C25749">
        <w:t>to</w:t>
      </w:r>
      <w:r w:rsidRPr="00C25749" w:rsidR="009C690B">
        <w:t xml:space="preserve"> </w:t>
      </w:r>
      <w:r w:rsidRPr="00C25749">
        <w:t>revert</w:t>
      </w:r>
      <w:r w:rsidRPr="00C25749" w:rsidR="009C690B">
        <w:t xml:space="preserve"> </w:t>
      </w:r>
      <w:r w:rsidRPr="00C25749">
        <w:t>to</w:t>
      </w:r>
      <w:r w:rsidRPr="00C25749" w:rsidR="009C690B">
        <w:t xml:space="preserve"> </w:t>
      </w:r>
      <w:r w:rsidRPr="00C25749">
        <w:t>its</w:t>
      </w:r>
      <w:r w:rsidRPr="00C25749" w:rsidR="009C690B">
        <w:t xml:space="preserve"> </w:t>
      </w:r>
      <w:r w:rsidRPr="00C25749">
        <w:t>most</w:t>
      </w:r>
      <w:r w:rsidRPr="00C25749" w:rsidR="009C690B">
        <w:t xml:space="preserve"> </w:t>
      </w:r>
      <w:r w:rsidRPr="00C25749">
        <w:t>recent</w:t>
      </w:r>
      <w:r w:rsidRPr="00C25749" w:rsidR="009C690B">
        <w:t xml:space="preserve"> </w:t>
      </w:r>
      <w:r w:rsidRPr="00C25749">
        <w:t>standard</w:t>
      </w:r>
      <w:r w:rsidRPr="00C25749" w:rsidR="009C690B">
        <w:t xml:space="preserve"> </w:t>
      </w:r>
      <w:r w:rsidRPr="00C25749">
        <w:t>service</w:t>
      </w:r>
      <w:r w:rsidRPr="00C25749" w:rsidR="009C690B">
        <w:t xml:space="preserve"> </w:t>
      </w:r>
      <w:r w:rsidRPr="00C25749">
        <w:t>offer,</w:t>
      </w:r>
      <w:r w:rsidRPr="00C25749" w:rsidR="009C690B">
        <w:t xml:space="preserve"> </w:t>
      </w:r>
      <w:r w:rsidRPr="00C25749">
        <w:t>not</w:t>
      </w:r>
      <w:r w:rsidRPr="00C25749" w:rsidR="009C690B">
        <w:t xml:space="preserve"> </w:t>
      </w:r>
      <w:r w:rsidRPr="00C25749">
        <w:t>its</w:t>
      </w:r>
      <w:r w:rsidRPr="00C25749" w:rsidR="009C690B">
        <w:t xml:space="preserve"> </w:t>
      </w:r>
      <w:r w:rsidRPr="00C25749">
        <w:t>entire</w:t>
      </w:r>
      <w:r w:rsidRPr="00C25749" w:rsidR="009C690B">
        <w:t xml:space="preserve"> </w:t>
      </w:r>
      <w:r w:rsidRPr="00C25749">
        <w:t>electric</w:t>
      </w:r>
      <w:r w:rsidRPr="00C25749" w:rsidR="009C690B">
        <w:t xml:space="preserve"> </w:t>
      </w:r>
      <w:r w:rsidRPr="00C25749">
        <w:t>security</w:t>
      </w:r>
      <w:r w:rsidRPr="00C25749" w:rsidR="009C690B">
        <w:t xml:space="preserve"> </w:t>
      </w:r>
      <w:r w:rsidRPr="00C25749">
        <w:t>plan.</w:t>
      </w:r>
      <w:r w:rsidRPr="00C25749" w:rsidR="009C690B">
        <w:t xml:space="preserve"> </w:t>
      </w:r>
      <w:r w:rsidRPr="00C25749">
        <w:t>It</w:t>
      </w:r>
      <w:r w:rsidRPr="00C25749" w:rsidR="009C690B">
        <w:t xml:space="preserve"> </w:t>
      </w:r>
      <w:r w:rsidRPr="00C25749">
        <w:t>remains</w:t>
      </w:r>
      <w:r w:rsidRPr="00C25749" w:rsidR="009C690B">
        <w:t xml:space="preserve"> </w:t>
      </w:r>
      <w:r w:rsidRPr="00C25749">
        <w:t>an</w:t>
      </w:r>
      <w:r w:rsidRPr="00C25749" w:rsidR="009C690B">
        <w:t xml:space="preserve"> </w:t>
      </w:r>
      <w:r w:rsidRPr="00C25749">
        <w:t>open issue</w:t>
      </w:r>
      <w:r w:rsidRPr="00C25749" w:rsidR="009C690B">
        <w:t xml:space="preserve"> </w:t>
      </w:r>
      <w:r w:rsidRPr="00C25749">
        <w:t>in</w:t>
      </w:r>
      <w:r w:rsidRPr="00C25749" w:rsidR="009C690B">
        <w:t xml:space="preserve"> </w:t>
      </w:r>
      <w:r w:rsidRPr="00C25749">
        <w:t>Case</w:t>
      </w:r>
      <w:r w:rsidRPr="00C25749" w:rsidR="009C690B">
        <w:t xml:space="preserve"> </w:t>
      </w:r>
      <w:r w:rsidRPr="00C25749">
        <w:t>No.</w:t>
      </w:r>
      <w:r w:rsidRPr="00C25749" w:rsidR="009C690B">
        <w:t xml:space="preserve"> </w:t>
      </w:r>
      <w:r w:rsidRPr="00C25749">
        <w:t>08-1094-EL-SSO,</w:t>
      </w:r>
      <w:r w:rsidRPr="00C25749" w:rsidR="009C690B">
        <w:t xml:space="preserve"> </w:t>
      </w:r>
      <w:r w:rsidRPr="00C25749">
        <w:t>and</w:t>
      </w:r>
      <w:r w:rsidRPr="00C25749" w:rsidR="009C690B">
        <w:t xml:space="preserve"> </w:t>
      </w:r>
      <w:r w:rsidRPr="00C25749">
        <w:t>OCC</w:t>
      </w:r>
      <w:r w:rsidRPr="00C25749" w:rsidR="009C690B">
        <w:t xml:space="preserve"> </w:t>
      </w:r>
      <w:r w:rsidRPr="00C25749">
        <w:t>reserves</w:t>
      </w:r>
      <w:r w:rsidRPr="00C25749" w:rsidR="009C690B">
        <w:t xml:space="preserve"> </w:t>
      </w:r>
      <w:r w:rsidRPr="00C25749">
        <w:t>all</w:t>
      </w:r>
      <w:r w:rsidRPr="00C25749" w:rsidR="009C690B">
        <w:t xml:space="preserve"> </w:t>
      </w:r>
      <w:r w:rsidRPr="00C25749">
        <w:t>rights</w:t>
      </w:r>
      <w:r w:rsidRPr="00C25749" w:rsidR="009C690B">
        <w:t xml:space="preserve"> </w:t>
      </w:r>
      <w:r w:rsidRPr="00C25749">
        <w:t>on</w:t>
      </w:r>
      <w:r w:rsidRPr="00C25749" w:rsidR="009C690B">
        <w:t xml:space="preserve"> </w:t>
      </w:r>
      <w:r w:rsidRPr="00C25749">
        <w:t>that</w:t>
      </w:r>
      <w:r w:rsidRPr="00C25749" w:rsidR="009C690B">
        <w:t xml:space="preserve"> </w:t>
      </w:r>
      <w:r w:rsidRPr="00C25749">
        <w:t>issue</w:t>
      </w:r>
      <w:r w:rsidRPr="00C25749" w:rsidR="009C690B">
        <w:t xml:space="preserve"> </w:t>
      </w:r>
      <w:r w:rsidRPr="00C25749">
        <w:t>in</w:t>
      </w:r>
      <w:r w:rsidRPr="00C25749" w:rsidR="009C690B">
        <w:t xml:space="preserve"> </w:t>
      </w:r>
      <w:r w:rsidRPr="00C25749">
        <w:t>that</w:t>
      </w:r>
      <w:r w:rsidRPr="00C25749" w:rsidR="009C690B">
        <w:t xml:space="preserve"> </w:t>
      </w:r>
      <w:r w:rsidRPr="00C25749">
        <w:t>case</w:t>
      </w:r>
      <w:r w:rsidRPr="00C25749" w:rsidR="009C690B">
        <w:t xml:space="preserve"> </w:t>
      </w:r>
      <w:r w:rsidRPr="00C25749">
        <w:t>and</w:t>
      </w:r>
      <w:r w:rsidRPr="00C25749" w:rsidR="009C690B">
        <w:t xml:space="preserve"> </w:t>
      </w:r>
      <w:r w:rsidRPr="00C25749">
        <w:t>any</w:t>
      </w:r>
      <w:r w:rsidRPr="00C25749" w:rsidR="009C690B">
        <w:t xml:space="preserve"> </w:t>
      </w:r>
      <w:r w:rsidRPr="00C25749">
        <w:t>related</w:t>
      </w:r>
      <w:r w:rsidRPr="00C25749" w:rsidR="009C690B">
        <w:t xml:space="preserve"> </w:t>
      </w:r>
      <w:r w:rsidRPr="00C25749">
        <w:t>cases, including</w:t>
      </w:r>
      <w:r w:rsidRPr="00C25749" w:rsidR="009C690B">
        <w:t xml:space="preserve"> </w:t>
      </w:r>
      <w:r w:rsidRPr="00C25749">
        <w:t>appeals.</w:t>
      </w:r>
    </w:p>
  </w:footnote>
  <w:footnote w:id="46">
    <w:p w:rsidR="00F777C3" w:rsidRPr="00C25749" w:rsidP="00C25749" w14:paraId="5B69C1E9" w14:textId="77777777">
      <w:pPr>
        <w:pStyle w:val="FootnoteText"/>
        <w:spacing w:after="120"/>
      </w:pPr>
      <w:r w:rsidRPr="00C25749">
        <w:rPr>
          <w:rStyle w:val="FootnoteReference"/>
        </w:rPr>
        <w:footnoteRef/>
      </w:r>
      <w:r w:rsidRPr="00C25749">
        <w:t xml:space="preserve"> Case</w:t>
      </w:r>
      <w:r w:rsidRPr="00C25749" w:rsidR="009C690B">
        <w:t xml:space="preserve"> </w:t>
      </w:r>
      <w:r w:rsidRPr="00C25749">
        <w:t>No.</w:t>
      </w:r>
      <w:r w:rsidRPr="00C25749" w:rsidR="009C690B">
        <w:t xml:space="preserve"> </w:t>
      </w:r>
      <w:r w:rsidRPr="00C25749">
        <w:t>12-426-EL-SSO,</w:t>
      </w:r>
      <w:r w:rsidRPr="00C25749" w:rsidR="009C690B">
        <w:t xml:space="preserve"> </w:t>
      </w:r>
      <w:r w:rsidRPr="00C25749">
        <w:t>Entry</w:t>
      </w:r>
      <w:r w:rsidRPr="00C25749" w:rsidR="009C690B">
        <w:t xml:space="preserve"> </w:t>
      </w:r>
      <w:r w:rsidRPr="00C25749">
        <w:t>on</w:t>
      </w:r>
      <w:r w:rsidRPr="00C25749" w:rsidR="009C690B">
        <w:t xml:space="preserve"> </w:t>
      </w:r>
      <w:r w:rsidRPr="00C25749">
        <w:t>Rehearing</w:t>
      </w:r>
      <w:r w:rsidRPr="00C25749" w:rsidR="009C690B">
        <w:t xml:space="preserve"> </w:t>
      </w:r>
      <w:r w:rsidRPr="00C25749">
        <w:t>at</w:t>
      </w:r>
      <w:r w:rsidRPr="00C25749" w:rsidR="009C690B">
        <w:t xml:space="preserve"> </w:t>
      </w:r>
      <w:r w:rsidRPr="00C25749">
        <w:t>5</w:t>
      </w:r>
      <w:r w:rsidRPr="00C25749" w:rsidR="009C690B">
        <w:t xml:space="preserve"> </w:t>
      </w:r>
      <w:r w:rsidRPr="00C25749">
        <w:t>(February</w:t>
      </w:r>
      <w:r w:rsidRPr="00C25749" w:rsidR="009C690B">
        <w:t xml:space="preserve"> </w:t>
      </w:r>
      <w:r w:rsidRPr="00C25749">
        <w:t>13,</w:t>
      </w:r>
      <w:r w:rsidRPr="00C25749" w:rsidR="009C690B">
        <w:t xml:space="preserve"> </w:t>
      </w:r>
      <w:r w:rsidRPr="00C25749">
        <w:t>2013).</w:t>
      </w:r>
    </w:p>
  </w:footnote>
  <w:footnote w:id="47">
    <w:p w:rsidR="00F777C3" w:rsidRPr="00C25749" w:rsidP="00C25749" w14:paraId="0340E263" w14:textId="77777777">
      <w:pPr>
        <w:pStyle w:val="FootnoteText"/>
        <w:spacing w:after="120"/>
      </w:pPr>
      <w:r w:rsidRPr="00C25749">
        <w:rPr>
          <w:rStyle w:val="FootnoteReference"/>
        </w:rPr>
        <w:footnoteRef/>
      </w:r>
      <w:r w:rsidRPr="00C25749">
        <w:t xml:space="preserve"> Case</w:t>
      </w:r>
      <w:r w:rsidRPr="00C25749" w:rsidR="009C690B">
        <w:t xml:space="preserve"> </w:t>
      </w:r>
      <w:r w:rsidRPr="00C25749">
        <w:t>No.</w:t>
      </w:r>
      <w:r w:rsidRPr="00C25749" w:rsidR="009C690B">
        <w:t xml:space="preserve"> </w:t>
      </w:r>
      <w:r w:rsidRPr="00C25749">
        <w:t>08-1094-EL-SSO,</w:t>
      </w:r>
      <w:r w:rsidRPr="00C25749" w:rsidR="009C690B">
        <w:t xml:space="preserve"> </w:t>
      </w:r>
      <w:r w:rsidRPr="00C25749">
        <w:t>Second</w:t>
      </w:r>
      <w:r w:rsidRPr="00C25749" w:rsidR="009C690B">
        <w:t xml:space="preserve"> </w:t>
      </w:r>
      <w:r w:rsidRPr="00C25749">
        <w:t>Finding</w:t>
      </w:r>
      <w:r w:rsidRPr="00C25749" w:rsidR="009C690B">
        <w:t xml:space="preserve"> </w:t>
      </w:r>
      <w:r w:rsidRPr="00C25749">
        <w:t>&amp;</w:t>
      </w:r>
      <w:r w:rsidRPr="00C25749" w:rsidR="009C690B">
        <w:t xml:space="preserve"> </w:t>
      </w:r>
      <w:r w:rsidRPr="00C25749">
        <w:t>Order</w:t>
      </w:r>
      <w:r w:rsidRPr="00C25749" w:rsidR="009C690B">
        <w:t xml:space="preserve"> </w:t>
      </w:r>
      <w:r w:rsidRPr="00C25749">
        <w:t>¶¶</w:t>
      </w:r>
      <w:r w:rsidRPr="00C25749" w:rsidR="009C690B">
        <w:t xml:space="preserve"> </w:t>
      </w:r>
      <w:r w:rsidRPr="00C25749">
        <w:t>29-35</w:t>
      </w:r>
      <w:r w:rsidRPr="00C25749" w:rsidR="009C690B">
        <w:t xml:space="preserve"> </w:t>
      </w:r>
      <w:r w:rsidRPr="00C25749">
        <w:t>(December</w:t>
      </w:r>
      <w:r w:rsidRPr="00C25749" w:rsidR="009C690B">
        <w:t xml:space="preserve"> </w:t>
      </w:r>
      <w:r w:rsidRPr="00C25749">
        <w:t>18,</w:t>
      </w:r>
      <w:r w:rsidRPr="00C25749" w:rsidR="009C690B">
        <w:t xml:space="preserve"> </w:t>
      </w:r>
      <w:r w:rsidRPr="00C25749">
        <w:t>2019).</w:t>
      </w:r>
    </w:p>
  </w:footnote>
  <w:footnote w:id="48">
    <w:p w:rsidR="00F777C3" w:rsidRPr="00C25749" w:rsidP="00C25749" w14:paraId="6B39A22A" w14:textId="77777777">
      <w:pPr>
        <w:pStyle w:val="FootnoteText"/>
        <w:spacing w:after="120"/>
      </w:pPr>
      <w:r w:rsidRPr="00C25749">
        <w:rPr>
          <w:rStyle w:val="FootnoteReference"/>
        </w:rPr>
        <w:footnoteRef/>
      </w:r>
      <w:r w:rsidRPr="00C25749">
        <w:t xml:space="preserve"> </w:t>
      </w:r>
      <w:r w:rsidRPr="00C25749">
        <w:rPr>
          <w:i/>
          <w:iCs/>
        </w:rPr>
        <w:t>Id</w:t>
      </w:r>
      <w:r w:rsidRPr="00C25749">
        <w:t>.</w:t>
      </w:r>
      <w:r w:rsidRPr="00C25749" w:rsidR="009C690B">
        <w:t xml:space="preserve"> </w:t>
      </w:r>
      <w:r w:rsidRPr="00C25749">
        <w:t>¶¶</w:t>
      </w:r>
      <w:r w:rsidRPr="00C25749" w:rsidR="009C690B">
        <w:t xml:space="preserve"> </w:t>
      </w:r>
      <w:r w:rsidRPr="00C25749">
        <w:t>36-38.</w:t>
      </w:r>
    </w:p>
  </w:footnote>
  <w:footnote w:id="49">
    <w:p w:rsidR="00F777C3" w:rsidRPr="00C25749" w:rsidP="00C25749" w14:paraId="1D0F19ED" w14:textId="77777777">
      <w:pPr>
        <w:pStyle w:val="FootnoteText"/>
        <w:spacing w:after="120"/>
      </w:pPr>
      <w:r w:rsidRPr="00C25749">
        <w:rPr>
          <w:rStyle w:val="FootnoteReference"/>
        </w:rPr>
        <w:footnoteRef/>
      </w:r>
      <w:r w:rsidRPr="00C25749">
        <w:t xml:space="preserve"> </w:t>
      </w:r>
      <w:r w:rsidRPr="00C25749">
        <w:rPr>
          <w:i/>
          <w:iCs/>
        </w:rPr>
        <w:t>Id</w:t>
      </w:r>
      <w:r w:rsidRPr="00C25749">
        <w:t>.</w:t>
      </w:r>
      <w:r w:rsidRPr="00C25749" w:rsidR="009C690B">
        <w:t xml:space="preserve"> </w:t>
      </w:r>
      <w:r w:rsidRPr="00C25749">
        <w:t>¶</w:t>
      </w:r>
      <w:r w:rsidRPr="00C25749" w:rsidR="009C690B">
        <w:t xml:space="preserve"> </w:t>
      </w:r>
      <w:r w:rsidRPr="00C25749">
        <w:t>40.</w:t>
      </w:r>
    </w:p>
  </w:footnote>
  <w:footnote w:id="50">
    <w:p w:rsidR="00F777C3" w:rsidRPr="00C25749" w:rsidP="00C25749" w14:paraId="67625C75" w14:textId="77777777">
      <w:pPr>
        <w:pStyle w:val="FootnoteText"/>
        <w:spacing w:after="120"/>
      </w:pPr>
      <w:r w:rsidRPr="00C25749">
        <w:rPr>
          <w:rStyle w:val="FootnoteReference"/>
        </w:rPr>
        <w:footnoteRef/>
      </w:r>
      <w:r w:rsidRPr="00C25749">
        <w:t xml:space="preserve"> ESP</w:t>
      </w:r>
      <w:r w:rsidRPr="00C25749" w:rsidR="009C690B">
        <w:t xml:space="preserve"> </w:t>
      </w:r>
      <w:r w:rsidRPr="00C25749">
        <w:t>1</w:t>
      </w:r>
      <w:r w:rsidRPr="00C25749" w:rsidR="009C690B">
        <w:t xml:space="preserve"> </w:t>
      </w:r>
      <w:r w:rsidRPr="00C25749">
        <w:t>Settlement</w:t>
      </w:r>
      <w:r w:rsidRPr="00C25749" w:rsidR="009C690B">
        <w:t xml:space="preserve"> </w:t>
      </w:r>
      <w:r w:rsidRPr="00C25749">
        <w:t>at</w:t>
      </w:r>
      <w:r w:rsidRPr="00C25749" w:rsidR="009C690B">
        <w:t xml:space="preserve"> </w:t>
      </w:r>
      <w:r w:rsidRPr="00C25749">
        <w:t>10.</w:t>
      </w:r>
    </w:p>
  </w:footnote>
  <w:footnote w:id="51">
    <w:p w:rsidR="00F777C3" w:rsidRPr="00C25749" w:rsidP="00C25749" w14:paraId="4381D9A8" w14:textId="77777777">
      <w:pPr>
        <w:pStyle w:val="FootnoteText"/>
        <w:spacing w:after="120"/>
      </w:pPr>
      <w:r w:rsidRPr="00C25749">
        <w:rPr>
          <w:rStyle w:val="FootnoteReference"/>
        </w:rPr>
        <w:footnoteRef/>
      </w:r>
      <w:r w:rsidRPr="00C25749">
        <w:t xml:space="preserve"> Case</w:t>
      </w:r>
      <w:r w:rsidRPr="00C25749" w:rsidR="009C690B">
        <w:t xml:space="preserve"> </w:t>
      </w:r>
      <w:r w:rsidRPr="00C25749">
        <w:t>No.</w:t>
      </w:r>
      <w:r w:rsidRPr="00C25749" w:rsidR="009C690B">
        <w:t xml:space="preserve"> </w:t>
      </w:r>
      <w:r w:rsidRPr="00C25749">
        <w:t>12-426-EL-SSO,</w:t>
      </w:r>
      <w:r w:rsidRPr="00C25749" w:rsidR="009C690B">
        <w:t xml:space="preserve"> </w:t>
      </w:r>
      <w:r w:rsidRPr="00C25749">
        <w:t>Entry</w:t>
      </w:r>
      <w:r w:rsidRPr="00C25749" w:rsidR="009C690B">
        <w:t xml:space="preserve"> </w:t>
      </w:r>
      <w:r w:rsidRPr="00C25749">
        <w:t>(December</w:t>
      </w:r>
      <w:r w:rsidRPr="00C25749" w:rsidR="009C690B">
        <w:t xml:space="preserve"> </w:t>
      </w:r>
      <w:r w:rsidRPr="00C25749">
        <w:t>19,</w:t>
      </w:r>
      <w:r w:rsidRPr="00C25749" w:rsidR="009C690B">
        <w:t xml:space="preserve"> </w:t>
      </w:r>
      <w:r w:rsidRPr="00C25749">
        <w:t>2012).</w:t>
      </w:r>
    </w:p>
  </w:footnote>
  <w:footnote w:id="52">
    <w:p w:rsidR="00943A96" w:rsidRPr="00C25749" w:rsidP="00C25749" w14:paraId="6787E41C" w14:textId="77777777">
      <w:pPr>
        <w:pStyle w:val="FootnoteText"/>
        <w:spacing w:after="120"/>
      </w:pPr>
      <w:r w:rsidRPr="00C25749">
        <w:rPr>
          <w:rStyle w:val="FootnoteReference"/>
        </w:rPr>
        <w:footnoteRef/>
      </w:r>
      <w:r w:rsidRPr="00C25749">
        <w:t xml:space="preserve"> </w:t>
      </w:r>
      <w:r w:rsidRPr="00C25749" w:rsidR="00DC2BE0">
        <w:t>Entry at 5-6 (October 20, 2021) (“Entry Denying Motion to Dismiss”).</w:t>
      </w:r>
    </w:p>
  </w:footnote>
  <w:footnote w:id="53">
    <w:p w:rsidR="00D002D3" w:rsidRPr="00C25749" w:rsidP="00C25749" w14:paraId="6346FD75" w14:textId="77777777">
      <w:pPr>
        <w:pStyle w:val="FootnoteText"/>
        <w:spacing w:after="120"/>
      </w:pPr>
      <w:r w:rsidRPr="00C25749">
        <w:rPr>
          <w:rStyle w:val="FootnoteReference"/>
        </w:rPr>
        <w:footnoteRef/>
      </w:r>
      <w:r w:rsidRPr="00C25749">
        <w:t xml:space="preserve"> OCC Ex. 3 at Schedule A-1</w:t>
      </w:r>
      <w:r w:rsidRPr="00C25749" w:rsidR="009D2EF2">
        <w:t>.</w:t>
      </w:r>
    </w:p>
  </w:footnote>
  <w:footnote w:id="54">
    <w:p w:rsidR="00D002D3" w:rsidRPr="00C25749" w:rsidP="00C25749" w14:paraId="357651F0" w14:textId="77777777">
      <w:pPr>
        <w:pStyle w:val="FootnoteText"/>
        <w:spacing w:after="120"/>
      </w:pPr>
      <w:r w:rsidRPr="00C25749">
        <w:rPr>
          <w:rStyle w:val="FootnoteReference"/>
        </w:rPr>
        <w:footnoteRef/>
      </w:r>
      <w:r w:rsidRPr="00C25749">
        <w:t xml:space="preserve"> </w:t>
      </w:r>
      <w:r w:rsidRPr="00C25749">
        <w:rPr>
          <w:i/>
          <w:iCs/>
        </w:rPr>
        <w:t>In re Application of the Dayton Power &amp; Light Co. for Approval of its Elec. Sec. Plan</w:t>
      </w:r>
      <w:r w:rsidRPr="00C25749">
        <w:t>, Case No. 08-1094-EL-SSO, Stipulation &amp; Recommendation at 10 (February 24, 2009) (the “ESP 1 Settlement”); Opinion &amp; Order at 5, 9 (June 24, 2009) (“ESP 1 2009 Opinion”).</w:t>
      </w:r>
    </w:p>
  </w:footnote>
  <w:footnote w:id="55">
    <w:p w:rsidR="00D002D3" w:rsidRPr="00C25749" w:rsidP="00C25749" w14:paraId="17323543" w14:textId="77777777">
      <w:pPr>
        <w:pStyle w:val="FootnoteText"/>
        <w:spacing w:after="120"/>
      </w:pPr>
      <w:r w:rsidRPr="00C25749">
        <w:rPr>
          <w:rStyle w:val="FootnoteReference"/>
        </w:rPr>
        <w:footnoteRef/>
      </w:r>
      <w:r w:rsidRPr="00C25749">
        <w:t xml:space="preserve"> </w:t>
      </w:r>
      <w:r w:rsidRPr="00C25749">
        <w:rPr>
          <w:i/>
          <w:iCs/>
        </w:rPr>
        <w:t>Id</w:t>
      </w:r>
      <w:r w:rsidRPr="00C25749">
        <w:t>., Second Finding &amp; Order (December 18, 2019).</w:t>
      </w:r>
    </w:p>
  </w:footnote>
  <w:footnote w:id="56">
    <w:p w:rsidR="00490126" w:rsidRPr="00C25749" w:rsidP="00C25749" w14:paraId="7C321358" w14:textId="77777777">
      <w:pPr>
        <w:pStyle w:val="FootnoteText"/>
        <w:spacing w:after="120"/>
      </w:pPr>
      <w:r w:rsidRPr="00C25749">
        <w:rPr>
          <w:rStyle w:val="FootnoteReference"/>
        </w:rPr>
        <w:footnoteRef/>
      </w:r>
      <w:r w:rsidRPr="00C25749">
        <w:t xml:space="preserve"> Application at 2.</w:t>
      </w:r>
    </w:p>
  </w:footnote>
  <w:footnote w:id="57">
    <w:p w:rsidR="00FC7974" w:rsidRPr="00C25749" w:rsidP="00C25749" w14:paraId="281D062A" w14:textId="77777777">
      <w:pPr>
        <w:pStyle w:val="FootnoteText"/>
        <w:spacing w:after="120"/>
      </w:pPr>
      <w:r w:rsidRPr="00C25749">
        <w:rPr>
          <w:rStyle w:val="FootnoteReference"/>
        </w:rPr>
        <w:footnoteRef/>
      </w:r>
      <w:r w:rsidRPr="00C25749">
        <w:t xml:space="preserve"> Willis Direct at 4.</w:t>
      </w:r>
    </w:p>
  </w:footnote>
  <w:footnote w:id="58">
    <w:p w:rsidR="0052436D" w:rsidRPr="00C25749" w:rsidP="00C25749" w14:paraId="7C824203" w14:textId="77777777">
      <w:pPr>
        <w:pStyle w:val="FootnoteText"/>
        <w:spacing w:after="120"/>
      </w:pPr>
      <w:r w:rsidRPr="00C25749">
        <w:rPr>
          <w:rStyle w:val="FootnoteReference"/>
          <w:rFonts w:eastAsiaTheme="majorEastAsia"/>
        </w:rPr>
        <w:footnoteRef/>
      </w:r>
      <w:r w:rsidRPr="00C25749">
        <w:t xml:space="preserve"> Case No. 20-1651-EL-AIR, et al, Staff Report of Investigation (July 26, 2021) (“Staff Report”).</w:t>
      </w:r>
    </w:p>
  </w:footnote>
  <w:footnote w:id="59">
    <w:p w:rsidR="0052436D" w:rsidRPr="00C25749" w:rsidP="00C25749" w14:paraId="2C2B553E" w14:textId="77777777">
      <w:pPr>
        <w:pStyle w:val="FootnoteText"/>
        <w:spacing w:after="120"/>
      </w:pPr>
      <w:r w:rsidRPr="00C25749">
        <w:rPr>
          <w:rStyle w:val="FootnoteReference"/>
        </w:rPr>
        <w:footnoteRef/>
      </w:r>
      <w:r w:rsidRPr="00C25749">
        <w:t xml:space="preserve"> </w:t>
      </w:r>
      <w:r w:rsidRPr="00C25749" w:rsidR="00E07AD5">
        <w:t>OCC Ex. 3</w:t>
      </w:r>
      <w:r w:rsidRPr="00C25749" w:rsidR="00FB3731">
        <w:t xml:space="preserve"> at 4.</w:t>
      </w:r>
    </w:p>
  </w:footnote>
  <w:footnote w:id="60">
    <w:p w:rsidR="008A087A" w:rsidRPr="00C25749" w:rsidP="00C25749" w14:paraId="1571F196" w14:textId="77777777">
      <w:pPr>
        <w:pStyle w:val="FootnoteText"/>
        <w:spacing w:after="120"/>
      </w:pPr>
      <w:r w:rsidRPr="00C25749">
        <w:rPr>
          <w:rStyle w:val="FootnoteReference"/>
        </w:rPr>
        <w:footnoteRef/>
      </w:r>
      <w:r w:rsidRPr="00C25749">
        <w:t xml:space="preserve"> ESP I 2009 Opinion at 5, 9.</w:t>
      </w:r>
    </w:p>
  </w:footnote>
  <w:footnote w:id="61">
    <w:p w:rsidR="00FB6AA4" w:rsidRPr="00C25749" w:rsidP="00C25749" w14:paraId="4F4DB499" w14:textId="77777777">
      <w:pPr>
        <w:pStyle w:val="FootnoteText"/>
        <w:spacing w:after="120"/>
      </w:pPr>
      <w:r w:rsidRPr="00C25749">
        <w:rPr>
          <w:rStyle w:val="FootnoteReference"/>
        </w:rPr>
        <w:footnoteRef/>
      </w:r>
      <w:r w:rsidRPr="00C25749">
        <w:t xml:space="preserve"> OCC Ex. 3 at Schedule A-1</w:t>
      </w:r>
      <w:r w:rsidRPr="00C25749" w:rsidR="009D2EF2">
        <w:t>.</w:t>
      </w:r>
      <w:r w:rsidRPr="00C25749">
        <w:t xml:space="preserve"> </w:t>
      </w:r>
    </w:p>
  </w:footnote>
  <w:footnote w:id="62">
    <w:p w:rsidR="00632F9C" w:rsidRPr="00C25749" w:rsidP="00C25749" w14:paraId="731638C1" w14:textId="77777777">
      <w:pPr>
        <w:pStyle w:val="FootnoteText"/>
        <w:spacing w:after="120"/>
      </w:pPr>
      <w:r w:rsidRPr="00C25749">
        <w:rPr>
          <w:rStyle w:val="FootnoteReference"/>
        </w:rPr>
        <w:footnoteRef/>
      </w:r>
      <w:r w:rsidRPr="00C25749">
        <w:t xml:space="preserve"> </w:t>
      </w:r>
      <w:r w:rsidRPr="00C25749" w:rsidR="00B44126">
        <w:t xml:space="preserve">OCC Ex. 3 </w:t>
      </w:r>
      <w:r w:rsidRPr="00C25749">
        <w:t>at 4-5.</w:t>
      </w:r>
    </w:p>
  </w:footnote>
  <w:footnote w:id="63">
    <w:p w:rsidR="006F09A6" w:rsidRPr="00C25749" w:rsidP="00C25749" w14:paraId="368C48E3" w14:textId="77777777">
      <w:pPr>
        <w:pStyle w:val="FootnoteText"/>
        <w:spacing w:after="120"/>
      </w:pPr>
      <w:r w:rsidRPr="00C25749">
        <w:rPr>
          <w:rStyle w:val="FootnoteReference"/>
        </w:rPr>
        <w:footnoteRef/>
      </w:r>
      <w:r w:rsidRPr="00C25749">
        <w:t xml:space="preserve"> </w:t>
      </w:r>
      <w:r w:rsidRPr="00C25749" w:rsidR="00E07AD5">
        <w:rPr>
          <w:i/>
          <w:iCs/>
        </w:rPr>
        <w:t>Id.</w:t>
      </w:r>
      <w:r w:rsidRPr="00C25749">
        <w:t xml:space="preserve"> </w:t>
      </w:r>
    </w:p>
  </w:footnote>
  <w:footnote w:id="64">
    <w:p w:rsidR="006F09A6" w:rsidRPr="00C25749" w:rsidP="00C25749" w14:paraId="3ED50136" w14:textId="77777777">
      <w:pPr>
        <w:pStyle w:val="FootnoteText"/>
        <w:spacing w:after="120"/>
      </w:pPr>
      <w:r w:rsidRPr="00C25749">
        <w:rPr>
          <w:rStyle w:val="FootnoteReference"/>
        </w:rPr>
        <w:footnoteRef/>
      </w:r>
      <w:r w:rsidRPr="00C25749">
        <w:t xml:space="preserve"> </w:t>
      </w:r>
      <w:r w:rsidRPr="00C25749" w:rsidR="00E07AD5">
        <w:rPr>
          <w:i/>
          <w:iCs/>
        </w:rPr>
        <w:t>Id.</w:t>
      </w:r>
    </w:p>
  </w:footnote>
  <w:footnote w:id="65">
    <w:p w:rsidR="009F2979" w:rsidRPr="00C25749" w:rsidP="00C25749" w14:paraId="0C9C38CE" w14:textId="77777777">
      <w:pPr>
        <w:pStyle w:val="FootnoteText"/>
        <w:spacing w:after="120"/>
      </w:pPr>
      <w:r w:rsidRPr="00C25749">
        <w:rPr>
          <w:rStyle w:val="FootnoteReference"/>
        </w:rPr>
        <w:footnoteRef/>
      </w:r>
      <w:r w:rsidRPr="00C25749">
        <w:t xml:space="preserve"> Rebuttal Testimony of Kathryn Storm at 1 (</w:t>
      </w:r>
      <w:r w:rsidRPr="00C25749" w:rsidR="00F77806">
        <w:t>February 2, 2022) (“Storm Rebuttal”).</w:t>
      </w:r>
    </w:p>
  </w:footnote>
  <w:footnote w:id="66">
    <w:p w:rsidR="00010636" w:rsidRPr="00C25749" w:rsidP="00C25749" w14:paraId="603BF58D" w14:textId="77777777">
      <w:pPr>
        <w:pStyle w:val="FootnoteText"/>
        <w:spacing w:after="120"/>
      </w:pPr>
      <w:r w:rsidRPr="00C25749">
        <w:rPr>
          <w:rStyle w:val="FootnoteReference"/>
        </w:rPr>
        <w:footnoteRef/>
      </w:r>
      <w:r w:rsidRPr="00C25749">
        <w:t xml:space="preserve"> Storm Rebuttal at 3.</w:t>
      </w:r>
    </w:p>
  </w:footnote>
  <w:footnote w:id="67">
    <w:p w:rsidR="00967119" w:rsidRPr="00C25749" w:rsidP="00C25749" w14:paraId="7747FD55" w14:textId="77777777">
      <w:pPr>
        <w:pStyle w:val="FootnoteText"/>
        <w:spacing w:after="120"/>
      </w:pPr>
      <w:r w:rsidRPr="00C25749">
        <w:rPr>
          <w:rStyle w:val="FootnoteReference"/>
        </w:rPr>
        <w:footnoteRef/>
      </w:r>
      <w:r w:rsidRPr="00C25749">
        <w:t xml:space="preserve"> </w:t>
      </w:r>
      <w:r w:rsidRPr="00C25749">
        <w:rPr>
          <w:i/>
          <w:iCs/>
        </w:rPr>
        <w:t>Id</w:t>
      </w:r>
      <w:r w:rsidRPr="00C25749">
        <w:t xml:space="preserve">. at </w:t>
      </w:r>
      <w:r w:rsidRPr="00C25749" w:rsidR="00B63355">
        <w:t>4.</w:t>
      </w:r>
    </w:p>
  </w:footnote>
  <w:footnote w:id="68">
    <w:p w:rsidR="00807A6E" w:rsidRPr="00C25749" w:rsidP="00C25749" w14:paraId="1FCEA14A" w14:textId="77777777">
      <w:pPr>
        <w:pStyle w:val="FootnoteText"/>
        <w:spacing w:after="120"/>
      </w:pPr>
      <w:r w:rsidRPr="00C25749">
        <w:rPr>
          <w:rStyle w:val="FootnoteReference"/>
        </w:rPr>
        <w:footnoteRef/>
      </w:r>
      <w:r w:rsidRPr="00C25749">
        <w:t xml:space="preserve"> Tr. Vol. </w:t>
      </w:r>
      <w:r w:rsidRPr="00C25749" w:rsidR="00A3357F">
        <w:t>VII</w:t>
      </w:r>
      <w:r w:rsidRPr="00C25749" w:rsidR="00011C9C">
        <w:t xml:space="preserve"> at 1489-1537 (Cross-Examination of Kathryn Storm by Mr. Finnigan)</w:t>
      </w:r>
      <w:r w:rsidRPr="00C25749" w:rsidR="009D600D">
        <w:t xml:space="preserve"> (February 7, 2022)</w:t>
      </w:r>
      <w:r w:rsidRPr="00C25749" w:rsidR="00011C9C">
        <w:t>.</w:t>
      </w:r>
    </w:p>
  </w:footnote>
  <w:footnote w:id="69">
    <w:p w:rsidR="00906888" w:rsidRPr="00C25749" w:rsidP="00C25749" w14:paraId="550E4DA7" w14:textId="77777777">
      <w:pPr>
        <w:pStyle w:val="FootnoteText"/>
        <w:spacing w:after="120"/>
      </w:pPr>
      <w:r w:rsidRPr="00C25749">
        <w:rPr>
          <w:rStyle w:val="FootnoteReference"/>
          <w:rFonts w:eastAsiaTheme="majorEastAsia"/>
        </w:rPr>
        <w:footnoteRef/>
      </w:r>
      <w:r w:rsidRPr="00C25749">
        <w:t xml:space="preserve"> </w:t>
      </w:r>
      <w:r w:rsidRPr="00C25749" w:rsidR="00B62F2E">
        <w:t>Tr. Vol. VI, 1358:21-25, 1359:1</w:t>
      </w:r>
      <w:r w:rsidRPr="00C25749" w:rsidR="00D97BB9">
        <w:t xml:space="preserve"> (</w:t>
      </w:r>
      <w:r w:rsidRPr="00C25749" w:rsidR="00750D2F">
        <w:t>February 1, 2022)</w:t>
      </w:r>
      <w:r w:rsidRPr="00C25749" w:rsidR="00B62F2E">
        <w:t>.</w:t>
      </w:r>
    </w:p>
  </w:footnote>
  <w:footnote w:id="70">
    <w:p w:rsidR="00B06BB9" w:rsidRPr="00C25749" w:rsidP="00C25749" w14:paraId="20C5DB3C" w14:textId="77777777">
      <w:pPr>
        <w:pStyle w:val="FootnoteText"/>
        <w:spacing w:after="120"/>
      </w:pPr>
      <w:r w:rsidRPr="00C25749">
        <w:rPr>
          <w:rStyle w:val="FootnoteReference"/>
        </w:rPr>
        <w:footnoteRef/>
      </w:r>
      <w:r w:rsidRPr="00C25749">
        <w:t xml:space="preserve"> </w:t>
      </w:r>
      <w:r w:rsidRPr="00C25749">
        <w:rPr>
          <w:i/>
          <w:iCs/>
        </w:rPr>
        <w:t>Id.</w:t>
      </w:r>
      <w:r w:rsidRPr="00C25749" w:rsidR="008A22D2">
        <w:t>, 1360:22-25, 1361:1-2, 1361:</w:t>
      </w:r>
      <w:r w:rsidRPr="00C25749" w:rsidR="0026677B">
        <w:t>7.</w:t>
      </w:r>
    </w:p>
  </w:footnote>
  <w:footnote w:id="71">
    <w:p w:rsidR="00906888" w:rsidRPr="00C25749" w:rsidP="00C25749" w14:paraId="61783EEC" w14:textId="77777777">
      <w:pPr>
        <w:pStyle w:val="FootnoteText"/>
        <w:spacing w:after="120"/>
      </w:pPr>
      <w:r w:rsidRPr="00C25749">
        <w:rPr>
          <w:rStyle w:val="FootnoteReference"/>
          <w:rFonts w:eastAsiaTheme="majorEastAsia"/>
        </w:rPr>
        <w:footnoteRef/>
      </w:r>
      <w:r w:rsidRPr="00C25749">
        <w:t xml:space="preserve"> </w:t>
      </w:r>
      <w:r w:rsidRPr="00C25749" w:rsidR="005F1829">
        <w:t>OCC Ex. 3</w:t>
      </w:r>
      <w:r w:rsidRPr="00C25749" w:rsidR="006D35BE">
        <w:t xml:space="preserve"> at 7.</w:t>
      </w:r>
    </w:p>
  </w:footnote>
  <w:footnote w:id="72">
    <w:p w:rsidR="0009096A" w:rsidRPr="00C25749" w:rsidP="00C25749" w14:paraId="5D12D16E" w14:textId="77777777">
      <w:pPr>
        <w:pStyle w:val="FootnoteText"/>
        <w:spacing w:after="120"/>
      </w:pPr>
      <w:r w:rsidRPr="00C25749">
        <w:rPr>
          <w:rStyle w:val="FootnoteReference"/>
        </w:rPr>
        <w:footnoteRef/>
      </w:r>
      <w:r w:rsidRPr="00C25749">
        <w:t xml:space="preserve"> </w:t>
      </w:r>
      <w:r w:rsidRPr="00C25749" w:rsidR="00D13FE5">
        <w:rPr>
          <w:i/>
          <w:iCs/>
        </w:rPr>
        <w:t xml:space="preserve">Id. </w:t>
      </w:r>
    </w:p>
  </w:footnote>
  <w:footnote w:id="73">
    <w:p w:rsidR="00344A7E" w:rsidRPr="00C25749" w:rsidP="00C25749" w14:paraId="35F93FCE" w14:textId="77777777">
      <w:pPr>
        <w:pStyle w:val="FootnoteText"/>
        <w:spacing w:after="120"/>
      </w:pPr>
      <w:r w:rsidRPr="00C25749">
        <w:rPr>
          <w:rStyle w:val="FootnoteReference"/>
        </w:rPr>
        <w:footnoteRef/>
      </w:r>
      <w:r w:rsidRPr="00C25749">
        <w:t xml:space="preserve"> </w:t>
      </w:r>
      <w:r w:rsidRPr="00C25749" w:rsidR="00D13FE5">
        <w:rPr>
          <w:i/>
          <w:iCs/>
        </w:rPr>
        <w:t>Id.</w:t>
      </w:r>
    </w:p>
  </w:footnote>
  <w:footnote w:id="74">
    <w:p w:rsidR="00344A7E" w:rsidRPr="00C25749" w:rsidP="00C25749" w14:paraId="36118952" w14:textId="77777777">
      <w:pPr>
        <w:pStyle w:val="FootnoteText"/>
        <w:spacing w:after="120"/>
      </w:pPr>
      <w:r w:rsidRPr="00C25749">
        <w:rPr>
          <w:rStyle w:val="FootnoteReference"/>
        </w:rPr>
        <w:footnoteRef/>
      </w:r>
      <w:r w:rsidRPr="00C25749">
        <w:t xml:space="preserve"> </w:t>
      </w:r>
      <w:r w:rsidRPr="00C25749" w:rsidR="00D13FE5">
        <w:rPr>
          <w:i/>
          <w:iCs/>
        </w:rPr>
        <w:t>Id.</w:t>
      </w:r>
      <w:r w:rsidRPr="00C25749" w:rsidR="007336D6">
        <w:rPr>
          <w:i/>
          <w:iCs/>
        </w:rPr>
        <w:t xml:space="preserve"> </w:t>
      </w:r>
    </w:p>
  </w:footnote>
  <w:footnote w:id="75">
    <w:p w:rsidR="00344A7E" w:rsidRPr="00C25749" w:rsidP="00C25749" w14:paraId="59CDCD34" w14:textId="77777777">
      <w:pPr>
        <w:pStyle w:val="FootnoteText"/>
        <w:spacing w:after="120"/>
      </w:pPr>
      <w:r w:rsidRPr="00C25749">
        <w:rPr>
          <w:rStyle w:val="FootnoteReference"/>
        </w:rPr>
        <w:footnoteRef/>
      </w:r>
      <w:r w:rsidRPr="00C25749">
        <w:t xml:space="preserve"> </w:t>
      </w:r>
      <w:r w:rsidRPr="00C25749" w:rsidR="007336D6">
        <w:rPr>
          <w:i/>
          <w:iCs/>
        </w:rPr>
        <w:t>Id.</w:t>
      </w:r>
    </w:p>
  </w:footnote>
  <w:footnote w:id="76">
    <w:p w:rsidR="00B04D96" w:rsidRPr="00C25749" w:rsidP="00C25749" w14:paraId="4746297E" w14:textId="77777777">
      <w:pPr>
        <w:pStyle w:val="FootnoteText"/>
        <w:spacing w:after="120"/>
      </w:pPr>
      <w:r w:rsidRPr="00C25749">
        <w:rPr>
          <w:rStyle w:val="FootnoteReference"/>
          <w:rFonts w:eastAsiaTheme="majorEastAsia"/>
        </w:rPr>
        <w:footnoteRef/>
      </w:r>
      <w:r w:rsidRPr="00C25749">
        <w:t xml:space="preserve"> </w:t>
      </w:r>
      <w:r w:rsidRPr="00C25749" w:rsidR="00C708CF">
        <w:rPr>
          <w:i/>
          <w:iCs/>
        </w:rPr>
        <w:t xml:space="preserve">Id. </w:t>
      </w:r>
      <w:r w:rsidRPr="00C25749" w:rsidR="00C708CF">
        <w:t>at 8.</w:t>
      </w:r>
    </w:p>
  </w:footnote>
  <w:footnote w:id="77">
    <w:p w:rsidR="00263347" w:rsidRPr="00C25749" w:rsidP="00C25749" w14:paraId="69B2AC4D" w14:textId="77777777">
      <w:pPr>
        <w:pStyle w:val="FootnoteText"/>
        <w:spacing w:after="120"/>
      </w:pPr>
      <w:r w:rsidRPr="00C25749">
        <w:rPr>
          <w:rStyle w:val="FootnoteReference"/>
          <w:rFonts w:eastAsiaTheme="majorEastAsia"/>
        </w:rPr>
        <w:footnoteRef/>
      </w:r>
      <w:r w:rsidRPr="00C25749">
        <w:t xml:space="preserve"> </w:t>
      </w:r>
      <w:r w:rsidRPr="00C25749" w:rsidR="00E7565D">
        <w:rPr>
          <w:i/>
          <w:iCs/>
        </w:rPr>
        <w:t xml:space="preserve">Id. </w:t>
      </w:r>
    </w:p>
  </w:footnote>
  <w:footnote w:id="78">
    <w:p w:rsidR="00CD7B89" w:rsidRPr="00C25749" w:rsidP="00C25749" w14:paraId="0688E489" w14:textId="77777777">
      <w:pPr>
        <w:pStyle w:val="FootnoteText"/>
        <w:spacing w:after="120"/>
      </w:pPr>
      <w:r w:rsidRPr="00C25749">
        <w:rPr>
          <w:rStyle w:val="FootnoteReference"/>
        </w:rPr>
        <w:footnoteRef/>
      </w:r>
      <w:r w:rsidRPr="00C25749">
        <w:t xml:space="preserve"> </w:t>
      </w:r>
      <w:r w:rsidRPr="00C25749" w:rsidR="00E7565D">
        <w:rPr>
          <w:i/>
          <w:iCs/>
        </w:rPr>
        <w:t xml:space="preserve">Id. </w:t>
      </w:r>
    </w:p>
  </w:footnote>
  <w:footnote w:id="79">
    <w:p w:rsidR="00FC36E9" w:rsidRPr="00C25749" w:rsidP="00C25749" w14:paraId="4CB41816" w14:textId="77777777">
      <w:pPr>
        <w:pStyle w:val="FootnoteText"/>
        <w:spacing w:after="120"/>
      </w:pPr>
      <w:r w:rsidRPr="00C25749">
        <w:rPr>
          <w:rStyle w:val="FootnoteReference"/>
        </w:rPr>
        <w:footnoteRef/>
      </w:r>
      <w:r w:rsidRPr="00C25749">
        <w:t xml:space="preserve"> </w:t>
      </w:r>
      <w:r w:rsidRPr="00C25749">
        <w:rPr>
          <w:i/>
          <w:iCs/>
        </w:rPr>
        <w:t xml:space="preserve">Id. </w:t>
      </w:r>
    </w:p>
  </w:footnote>
  <w:footnote w:id="80">
    <w:p w:rsidR="00212529" w:rsidRPr="00C25749" w:rsidP="00C25749" w14:paraId="340CE64D" w14:textId="77777777">
      <w:pPr>
        <w:pStyle w:val="FootnoteText"/>
        <w:spacing w:after="120"/>
      </w:pPr>
      <w:r w:rsidRPr="00C25749">
        <w:rPr>
          <w:rStyle w:val="FootnoteReference"/>
          <w:rFonts w:eastAsiaTheme="majorEastAsia"/>
        </w:rPr>
        <w:footnoteRef/>
      </w:r>
      <w:r w:rsidRPr="00C25749">
        <w:t xml:space="preserve"> June 17, 2020, Opinion and Order at 28, Case Nos. 17-38-EL-RDR, 18-230-EL-RDR</w:t>
      </w:r>
      <w:r w:rsidRPr="00C25749" w:rsidR="00FF7E42">
        <w:t xml:space="preserve">; </w:t>
      </w:r>
      <w:r w:rsidRPr="00C25749" w:rsidR="00FF7E42">
        <w:rPr>
          <w:bCs/>
          <w:i/>
        </w:rPr>
        <w:t>In re Duke Energy Ohio</w:t>
      </w:r>
      <w:r w:rsidRPr="00C25749" w:rsidR="00FF7E42">
        <w:rPr>
          <w:bCs/>
          <w:iCs/>
        </w:rPr>
        <w:t>, Inc., Case No. 18-397-EL-RDR, Finding and Order (July 31, 2019) at ¶ 17</w:t>
      </w:r>
      <w:r w:rsidRPr="00C25749" w:rsidR="00FF7E42">
        <w:rPr>
          <w:bCs/>
          <w:i/>
        </w:rPr>
        <w:t>; In re Duke Energy Ohio, Inc</w:t>
      </w:r>
      <w:r w:rsidRPr="00C25749" w:rsidR="00FF7E42">
        <w:rPr>
          <w:bCs/>
          <w:iCs/>
        </w:rPr>
        <w:t xml:space="preserve">., Case No. 16-664-EL-RDR, Finding and Order (May 15, 2019) at ¶ 16; </w:t>
      </w:r>
      <w:r w:rsidRPr="00C25749" w:rsidR="00FF7E42">
        <w:rPr>
          <w:bCs/>
          <w:i/>
        </w:rPr>
        <w:t>In re Duke Energy Ohio, Inc</w:t>
      </w:r>
      <w:r w:rsidRPr="00C25749" w:rsidR="00FF7E42">
        <w:rPr>
          <w:bCs/>
          <w:iCs/>
        </w:rPr>
        <w:t>., Case No. 15- 534-EL-RDR, Opinion and Order (Oct</w:t>
      </w:r>
      <w:r w:rsidRPr="00C25749" w:rsidR="000A612C">
        <w:rPr>
          <w:bCs/>
          <w:iCs/>
        </w:rPr>
        <w:t>ober</w:t>
      </w:r>
      <w:r w:rsidRPr="00C25749" w:rsidR="00FF7E42">
        <w:rPr>
          <w:bCs/>
          <w:iCs/>
        </w:rPr>
        <w:t xml:space="preserve"> 26, 2016) at ¶¶ 20, 44</w:t>
      </w:r>
      <w:r w:rsidRPr="00C25749" w:rsidR="00FF7E42">
        <w:rPr>
          <w:bCs/>
          <w:i/>
        </w:rPr>
        <w:t>; In re Ohio American Water Co</w:t>
      </w:r>
      <w:r w:rsidRPr="00C25749" w:rsidR="00FF7E42">
        <w:rPr>
          <w:bCs/>
          <w:iCs/>
        </w:rPr>
        <w:t xml:space="preserve">., Case No. 09-391-WS-AIR, Opinion and Order (May 5, 2010) at 20-22, Entry on Rehearing (June 23, 2010) at 11-12; </w:t>
      </w:r>
      <w:r w:rsidRPr="00C25749" w:rsidR="00FF7E42">
        <w:rPr>
          <w:bCs/>
          <w:i/>
        </w:rPr>
        <w:t>In re Ohio Edison Co., The Cleveland Electric Illuminating Co., and The Toledo Edison Co</w:t>
      </w:r>
      <w:r w:rsidRPr="00C25749" w:rsidR="00FF7E42">
        <w:rPr>
          <w:bCs/>
          <w:iCs/>
        </w:rPr>
        <w:t>., Case No. 07-551-EL-AIR, et al., Opinion and Order (Jan</w:t>
      </w:r>
      <w:r w:rsidRPr="00C25749" w:rsidR="000A612C">
        <w:rPr>
          <w:bCs/>
          <w:iCs/>
        </w:rPr>
        <w:t>uary</w:t>
      </w:r>
      <w:r w:rsidRPr="00C25749" w:rsidR="00FF7E42">
        <w:rPr>
          <w:bCs/>
          <w:iCs/>
        </w:rPr>
        <w:t xml:space="preserve"> 21, 2009) at 17, Entry on Rehearing (Feb</w:t>
      </w:r>
      <w:r w:rsidRPr="00C25749" w:rsidR="000A612C">
        <w:rPr>
          <w:bCs/>
          <w:iCs/>
        </w:rPr>
        <w:t>ruary</w:t>
      </w:r>
      <w:r w:rsidRPr="00C25749" w:rsidR="00FF7E42">
        <w:rPr>
          <w:bCs/>
          <w:iCs/>
        </w:rPr>
        <w:t xml:space="preserve"> 2, 2011) at 4-5.</w:t>
      </w:r>
    </w:p>
  </w:footnote>
  <w:footnote w:id="81">
    <w:p w:rsidR="005945A0" w:rsidRPr="00C25749" w:rsidP="00C25749" w14:paraId="6DEBD76F" w14:textId="77777777">
      <w:pPr>
        <w:pStyle w:val="FootnoteText"/>
        <w:spacing w:after="120"/>
      </w:pPr>
      <w:r w:rsidRPr="00C25749">
        <w:rPr>
          <w:rStyle w:val="FootnoteReference"/>
        </w:rPr>
        <w:footnoteRef/>
      </w:r>
      <w:r w:rsidRPr="00C25749">
        <w:t xml:space="preserve"> </w:t>
      </w:r>
      <w:r w:rsidRPr="00C25749" w:rsidR="001F25A1">
        <w:t>OCC Ex. 3 at 9.</w:t>
      </w:r>
    </w:p>
  </w:footnote>
  <w:footnote w:id="82">
    <w:p w:rsidR="005945A0" w:rsidRPr="00C25749" w:rsidP="00C25749" w14:paraId="0BB4B7C3" w14:textId="77777777">
      <w:pPr>
        <w:pStyle w:val="FootnoteText"/>
        <w:spacing w:after="120"/>
      </w:pPr>
      <w:r w:rsidRPr="00C25749">
        <w:rPr>
          <w:rStyle w:val="FootnoteReference"/>
        </w:rPr>
        <w:footnoteRef/>
      </w:r>
      <w:r w:rsidRPr="00C25749">
        <w:t xml:space="preserve"> </w:t>
      </w:r>
      <w:r w:rsidRPr="00C25749" w:rsidR="001F25A1">
        <w:rPr>
          <w:i/>
          <w:iCs/>
        </w:rPr>
        <w:t>Id.</w:t>
      </w:r>
    </w:p>
  </w:footnote>
  <w:footnote w:id="83">
    <w:p w:rsidR="005945A0" w:rsidRPr="00C25749" w:rsidP="00C25749" w14:paraId="2EFA5FD3" w14:textId="77777777">
      <w:pPr>
        <w:pStyle w:val="FootnoteText"/>
        <w:spacing w:after="120"/>
      </w:pPr>
      <w:r w:rsidRPr="00C25749">
        <w:rPr>
          <w:rStyle w:val="FootnoteReference"/>
        </w:rPr>
        <w:footnoteRef/>
      </w:r>
      <w:r w:rsidRPr="00C25749">
        <w:t xml:space="preserve"> </w:t>
      </w:r>
      <w:r w:rsidRPr="00C25749" w:rsidR="001F25A1">
        <w:rPr>
          <w:i/>
          <w:iCs/>
        </w:rPr>
        <w:t>Id.</w:t>
      </w:r>
    </w:p>
  </w:footnote>
  <w:footnote w:id="84">
    <w:p w:rsidR="004F321A" w:rsidRPr="00C25749" w:rsidP="00C25749" w14:paraId="563AED07" w14:textId="77777777">
      <w:pPr>
        <w:pStyle w:val="FootnoteText"/>
        <w:spacing w:after="120"/>
      </w:pPr>
      <w:r w:rsidRPr="00C25749">
        <w:rPr>
          <w:rStyle w:val="FootnoteReference"/>
        </w:rPr>
        <w:footnoteRef/>
      </w:r>
      <w:r w:rsidRPr="00C25749">
        <w:t xml:space="preserve"> </w:t>
      </w:r>
      <w:r w:rsidRPr="00C25749" w:rsidR="00461FEA">
        <w:rPr>
          <w:i/>
          <w:iCs/>
        </w:rPr>
        <w:t>Id.</w:t>
      </w:r>
    </w:p>
  </w:footnote>
  <w:footnote w:id="85">
    <w:p w:rsidR="004F321A" w:rsidRPr="00C25749" w:rsidP="00C25749" w14:paraId="2DA41B68" w14:textId="77777777">
      <w:pPr>
        <w:pStyle w:val="FootnoteText"/>
        <w:spacing w:after="120"/>
      </w:pPr>
      <w:r w:rsidRPr="00C25749">
        <w:rPr>
          <w:rStyle w:val="FootnoteReference"/>
        </w:rPr>
        <w:footnoteRef/>
      </w:r>
      <w:r w:rsidRPr="00C25749">
        <w:t xml:space="preserve"> </w:t>
      </w:r>
      <w:r w:rsidRPr="00C25749" w:rsidR="00461FEA">
        <w:rPr>
          <w:i/>
          <w:iCs/>
        </w:rPr>
        <w:t>Id.</w:t>
      </w:r>
    </w:p>
  </w:footnote>
  <w:footnote w:id="86">
    <w:p w:rsidR="00461FEA" w:rsidRPr="00C25749" w:rsidP="00C25749" w14:paraId="0BBC33E9" w14:textId="77777777">
      <w:pPr>
        <w:pStyle w:val="FootnoteText"/>
        <w:spacing w:after="120"/>
      </w:pPr>
      <w:r w:rsidRPr="00C25749">
        <w:rPr>
          <w:rStyle w:val="FootnoteReference"/>
        </w:rPr>
        <w:footnoteRef/>
      </w:r>
      <w:r w:rsidRPr="00C25749">
        <w:t xml:space="preserve"> </w:t>
      </w:r>
      <w:r w:rsidRPr="00C25749">
        <w:rPr>
          <w:i/>
          <w:iCs/>
        </w:rPr>
        <w:t>Id.</w:t>
      </w:r>
    </w:p>
  </w:footnote>
  <w:footnote w:id="87">
    <w:p w:rsidR="00F45566" w:rsidRPr="00C25749" w:rsidP="00C25749" w14:paraId="4E201DED" w14:textId="77777777">
      <w:pPr>
        <w:pStyle w:val="FootnoteText"/>
        <w:spacing w:after="120"/>
      </w:pPr>
      <w:r w:rsidRPr="00C25749">
        <w:rPr>
          <w:rStyle w:val="FootnoteReference"/>
        </w:rPr>
        <w:footnoteRef/>
      </w:r>
      <w:r w:rsidRPr="00C25749">
        <w:t xml:space="preserve"> </w:t>
      </w:r>
      <w:r w:rsidRPr="00C25749" w:rsidR="00036F26">
        <w:t xml:space="preserve">OCC Ex. 3 at </w:t>
      </w:r>
      <w:r w:rsidRPr="00C25749" w:rsidR="00476104">
        <w:t>10.</w:t>
      </w:r>
    </w:p>
  </w:footnote>
  <w:footnote w:id="88">
    <w:p w:rsidR="00F24EF4" w:rsidRPr="00C25749" w:rsidP="00C25749" w14:paraId="4128F459" w14:textId="77777777">
      <w:pPr>
        <w:pStyle w:val="FootnoteText"/>
        <w:spacing w:after="120"/>
      </w:pPr>
      <w:r w:rsidRPr="00C25749">
        <w:rPr>
          <w:rStyle w:val="FootnoteReference"/>
          <w:rFonts w:eastAsiaTheme="majorEastAsia"/>
        </w:rPr>
        <w:footnoteRef/>
      </w:r>
      <w:r w:rsidRPr="00C25749">
        <w:t xml:space="preserve"> </w:t>
      </w:r>
      <w:r w:rsidRPr="00C25749" w:rsidR="00476104">
        <w:rPr>
          <w:i/>
          <w:iCs/>
        </w:rPr>
        <w:t xml:space="preserve">Id. </w:t>
      </w:r>
      <w:r w:rsidRPr="00C25749" w:rsidR="00476104">
        <w:t>at 11.</w:t>
      </w:r>
    </w:p>
  </w:footnote>
  <w:footnote w:id="89">
    <w:p w:rsidR="00F24EF4" w:rsidRPr="00C25749" w:rsidP="00C25749" w14:paraId="5B32DFB5" w14:textId="77777777">
      <w:pPr>
        <w:pStyle w:val="FootnoteText"/>
        <w:spacing w:after="120"/>
      </w:pPr>
      <w:r w:rsidRPr="00C25749">
        <w:rPr>
          <w:rStyle w:val="FootnoteReference"/>
          <w:rFonts w:eastAsiaTheme="majorEastAsia"/>
        </w:rPr>
        <w:footnoteRef/>
      </w:r>
      <w:r w:rsidRPr="00C25749">
        <w:t xml:space="preserve"> </w:t>
      </w:r>
      <w:r w:rsidRPr="00C25749" w:rsidR="00476104">
        <w:rPr>
          <w:i/>
          <w:iCs/>
        </w:rPr>
        <w:t>Id.</w:t>
      </w:r>
    </w:p>
  </w:footnote>
  <w:footnote w:id="90">
    <w:p w:rsidR="00E56DD9" w:rsidRPr="00C25749" w:rsidP="00C25749" w14:paraId="49BD19BD" w14:textId="77777777">
      <w:pPr>
        <w:pStyle w:val="FootnoteText"/>
        <w:spacing w:after="120"/>
      </w:pPr>
      <w:r w:rsidRPr="00C25749">
        <w:rPr>
          <w:rStyle w:val="FootnoteReference"/>
        </w:rPr>
        <w:footnoteRef/>
      </w:r>
      <w:r w:rsidRPr="00C25749">
        <w:t xml:space="preserve"> </w:t>
      </w:r>
      <w:r w:rsidRPr="00C25749" w:rsidR="0084595B">
        <w:rPr>
          <w:i/>
          <w:iCs/>
        </w:rPr>
        <w:t xml:space="preserve">Id. </w:t>
      </w:r>
      <w:r w:rsidRPr="00C25749">
        <w:t xml:space="preserve">at </w:t>
      </w:r>
      <w:r w:rsidRPr="00C25749" w:rsidR="00040ABB">
        <w:t>12.</w:t>
      </w:r>
    </w:p>
  </w:footnote>
  <w:footnote w:id="91">
    <w:p w:rsidR="00E9389D" w:rsidRPr="00C25749" w:rsidP="00C25749" w14:paraId="76915294" w14:textId="77777777">
      <w:pPr>
        <w:pStyle w:val="FootnoteText"/>
        <w:spacing w:after="120"/>
      </w:pPr>
      <w:r w:rsidRPr="00C25749">
        <w:rPr>
          <w:rStyle w:val="FootnoteReference"/>
        </w:rPr>
        <w:footnoteRef/>
      </w:r>
      <w:r w:rsidRPr="00C25749">
        <w:t xml:space="preserve"> </w:t>
      </w:r>
      <w:r w:rsidRPr="00C25749" w:rsidR="0084595B">
        <w:rPr>
          <w:i/>
          <w:iCs/>
        </w:rPr>
        <w:t>Id.</w:t>
      </w:r>
    </w:p>
  </w:footnote>
  <w:footnote w:id="92">
    <w:p w:rsidR="009B5CAE" w:rsidRPr="00C25749" w:rsidP="00C25749" w14:paraId="4019FFB0" w14:textId="77777777">
      <w:pPr>
        <w:pStyle w:val="FootnoteText"/>
        <w:spacing w:after="120"/>
      </w:pPr>
      <w:r w:rsidRPr="00C25749">
        <w:rPr>
          <w:rStyle w:val="FootnoteReference"/>
        </w:rPr>
        <w:footnoteRef/>
      </w:r>
      <w:r w:rsidRPr="00C25749">
        <w:t xml:space="preserve"> </w:t>
      </w:r>
      <w:r w:rsidRPr="00C25749" w:rsidR="0084595B">
        <w:rPr>
          <w:i/>
          <w:iCs/>
        </w:rPr>
        <w:t>Id.</w:t>
      </w:r>
    </w:p>
  </w:footnote>
  <w:footnote w:id="93">
    <w:p w:rsidR="00F2391B" w:rsidRPr="00C25749" w:rsidP="00C25749" w14:paraId="4072C998" w14:textId="77777777">
      <w:pPr>
        <w:pStyle w:val="FootnoteText"/>
        <w:spacing w:after="120"/>
      </w:pPr>
      <w:r w:rsidRPr="00C25749">
        <w:rPr>
          <w:rStyle w:val="FootnoteReference"/>
        </w:rPr>
        <w:footnoteRef/>
      </w:r>
      <w:r w:rsidRPr="00C25749">
        <w:t xml:space="preserve"> </w:t>
      </w:r>
      <w:r w:rsidRPr="00C25749">
        <w:rPr>
          <w:i/>
          <w:iCs/>
        </w:rPr>
        <w:t>Id.</w:t>
      </w:r>
    </w:p>
  </w:footnote>
  <w:footnote w:id="94">
    <w:p w:rsidR="005E0892" w:rsidRPr="00C25749" w:rsidP="00C25749" w14:paraId="0EACB113" w14:textId="77777777">
      <w:pPr>
        <w:pStyle w:val="FootnoteText"/>
        <w:spacing w:after="120"/>
      </w:pPr>
      <w:r w:rsidRPr="00C25749">
        <w:rPr>
          <w:rStyle w:val="FootnoteReference"/>
        </w:rPr>
        <w:footnoteRef/>
      </w:r>
      <w:r w:rsidRPr="00C25749">
        <w:t xml:space="preserve"> Staff Ex. 6 at (Pre</w:t>
      </w:r>
      <w:r w:rsidRPr="00C25749" w:rsidR="00306E93">
        <w:t>-</w:t>
      </w:r>
      <w:r w:rsidRPr="00C25749">
        <w:t>filed Testimony of Matthew Snider) (January 18, 2022).</w:t>
      </w:r>
    </w:p>
  </w:footnote>
  <w:footnote w:id="95">
    <w:p w:rsidR="00C55C08" w:rsidRPr="00C25749" w:rsidP="00C25749" w14:paraId="1211EC1D" w14:textId="77777777">
      <w:pPr>
        <w:pStyle w:val="FootnoteText"/>
        <w:spacing w:after="120"/>
      </w:pPr>
      <w:r w:rsidRPr="00C25749">
        <w:rPr>
          <w:rStyle w:val="FootnoteReference"/>
        </w:rPr>
        <w:footnoteRef/>
      </w:r>
      <w:r w:rsidRPr="00C25749">
        <w:t xml:space="preserve"> Rebuttal Testimony of WM. Ross Willis at 1</w:t>
      </w:r>
      <w:r w:rsidRPr="00C25749" w:rsidR="004548AA">
        <w:t xml:space="preserve"> </w:t>
      </w:r>
      <w:r w:rsidRPr="00C25749">
        <w:t>(February 2, 2022) (“Willis Rebuttal”).</w:t>
      </w:r>
    </w:p>
  </w:footnote>
  <w:footnote w:id="96">
    <w:p w:rsidR="00F24248" w:rsidRPr="00C25749" w:rsidP="00C25749" w14:paraId="549BCF94" w14:textId="77777777">
      <w:pPr>
        <w:pStyle w:val="FootnoteText"/>
        <w:spacing w:after="120"/>
        <w:rPr>
          <w:i/>
          <w:iCs/>
        </w:rPr>
      </w:pPr>
      <w:r w:rsidRPr="00C25749">
        <w:rPr>
          <w:rStyle w:val="FootnoteReference"/>
        </w:rPr>
        <w:footnoteRef/>
      </w:r>
      <w:r w:rsidRPr="00C25749">
        <w:t xml:space="preserve"> </w:t>
      </w:r>
      <w:r w:rsidRPr="00C25749">
        <w:rPr>
          <w:i/>
          <w:iCs/>
        </w:rPr>
        <w:t>Id.</w:t>
      </w:r>
    </w:p>
  </w:footnote>
  <w:footnote w:id="97">
    <w:p w:rsidR="00F8099D" w:rsidRPr="00C25749" w:rsidP="00C25749" w14:paraId="78773FB2" w14:textId="77777777">
      <w:pPr>
        <w:pStyle w:val="FootnoteText"/>
        <w:spacing w:after="120"/>
      </w:pPr>
      <w:r w:rsidRPr="00C25749">
        <w:rPr>
          <w:rStyle w:val="FootnoteReference"/>
        </w:rPr>
        <w:footnoteRef/>
      </w:r>
      <w:r w:rsidRPr="00C25749">
        <w:t xml:space="preserve"> Tr. Vol. V, at 221:1-16 (January 28, 2022).</w:t>
      </w:r>
    </w:p>
  </w:footnote>
  <w:footnote w:id="98">
    <w:p w:rsidR="00F8099D" w:rsidRPr="00C25749" w:rsidP="00C25749" w14:paraId="11D39530" w14:textId="77777777">
      <w:pPr>
        <w:pStyle w:val="FootnoteText"/>
        <w:spacing w:after="120"/>
      </w:pPr>
      <w:r w:rsidRPr="00C25749">
        <w:rPr>
          <w:rStyle w:val="FootnoteReference"/>
        </w:rPr>
        <w:footnoteRef/>
      </w:r>
      <w:r w:rsidRPr="00C25749">
        <w:t xml:space="preserve"> </w:t>
      </w:r>
      <w:r w:rsidRPr="00C25749">
        <w:rPr>
          <w:i/>
          <w:iCs/>
        </w:rPr>
        <w:t>Id.</w:t>
      </w:r>
      <w:r w:rsidRPr="00C25749" w:rsidR="000C5B60">
        <w:rPr>
          <w:i/>
          <w:iCs/>
        </w:rPr>
        <w:t xml:space="preserve"> </w:t>
      </w:r>
      <w:r w:rsidRPr="00C25749" w:rsidR="000C5B60">
        <w:t>at 223:10-16.</w:t>
      </w:r>
    </w:p>
  </w:footnote>
  <w:footnote w:id="99">
    <w:p w:rsidR="00DA74A9" w:rsidRPr="00C25749" w:rsidP="00C25749" w14:paraId="7D0F2049" w14:textId="77777777">
      <w:pPr>
        <w:pStyle w:val="FootnoteText"/>
        <w:spacing w:after="120"/>
        <w:rPr>
          <w:i/>
          <w:iCs/>
        </w:rPr>
      </w:pPr>
      <w:r w:rsidRPr="00C25749">
        <w:rPr>
          <w:rStyle w:val="FootnoteReference"/>
        </w:rPr>
        <w:footnoteRef/>
      </w:r>
      <w:r w:rsidRPr="00C25749">
        <w:t xml:space="preserve"> </w:t>
      </w:r>
      <w:r w:rsidRPr="00C25749">
        <w:rPr>
          <w:i/>
          <w:iCs/>
        </w:rPr>
        <w:t>Id.</w:t>
      </w:r>
    </w:p>
  </w:footnote>
  <w:footnote w:id="100">
    <w:p w:rsidR="00697782" w:rsidRPr="00C25749" w:rsidP="00C25749" w14:paraId="48568628" w14:textId="77777777">
      <w:pPr>
        <w:pStyle w:val="FootnoteText"/>
        <w:spacing w:after="120"/>
      </w:pPr>
      <w:r w:rsidRPr="00C25749">
        <w:rPr>
          <w:rStyle w:val="FootnoteReference"/>
        </w:rPr>
        <w:footnoteRef/>
      </w:r>
      <w:r w:rsidRPr="00C25749">
        <w:t xml:space="preserve"> Willis Rebuttal at 2.</w:t>
      </w:r>
    </w:p>
  </w:footnote>
  <w:footnote w:id="101">
    <w:p w:rsidR="00697782" w:rsidRPr="00C25749" w:rsidP="00C25749" w14:paraId="3A658D44" w14:textId="77777777">
      <w:pPr>
        <w:pStyle w:val="FootnoteText"/>
        <w:spacing w:after="120"/>
      </w:pPr>
      <w:r w:rsidRPr="00C25749">
        <w:rPr>
          <w:rStyle w:val="FootnoteReference"/>
        </w:rPr>
        <w:footnoteRef/>
      </w:r>
      <w:r w:rsidRPr="00C25749">
        <w:t xml:space="preserve"> </w:t>
      </w:r>
      <w:r w:rsidRPr="00C25749">
        <w:rPr>
          <w:i/>
          <w:iCs/>
        </w:rPr>
        <w:t>Id.</w:t>
      </w:r>
    </w:p>
  </w:footnote>
  <w:footnote w:id="102">
    <w:p w:rsidR="0018138B" w:rsidRPr="00C25749" w:rsidP="00C25749" w14:paraId="64E93049" w14:textId="77777777">
      <w:pPr>
        <w:pStyle w:val="FootnoteText"/>
        <w:spacing w:after="120"/>
        <w:rPr>
          <w:i/>
          <w:iCs/>
        </w:rPr>
      </w:pPr>
      <w:r w:rsidRPr="00C25749">
        <w:rPr>
          <w:rStyle w:val="FootnoteReference"/>
        </w:rPr>
        <w:footnoteRef/>
      </w:r>
      <w:r w:rsidRPr="00C25749">
        <w:t xml:space="preserve"> </w:t>
      </w:r>
      <w:r w:rsidRPr="00C25749">
        <w:rPr>
          <w:i/>
          <w:iCs/>
        </w:rPr>
        <w:t xml:space="preserve">Id. </w:t>
      </w:r>
      <w:r w:rsidRPr="00C25749">
        <w:t>at 3.</w:t>
      </w:r>
    </w:p>
  </w:footnote>
  <w:footnote w:id="103">
    <w:p w:rsidR="0018138B" w:rsidRPr="00C25749" w:rsidP="00C25749" w14:paraId="60EE3E67" w14:textId="77777777">
      <w:pPr>
        <w:pStyle w:val="FootnoteText"/>
        <w:spacing w:after="120"/>
        <w:rPr>
          <w:i/>
          <w:iCs/>
        </w:rPr>
      </w:pPr>
      <w:r w:rsidRPr="00C25749">
        <w:rPr>
          <w:rStyle w:val="FootnoteReference"/>
        </w:rPr>
        <w:footnoteRef/>
      </w:r>
      <w:r w:rsidRPr="00C25749">
        <w:t xml:space="preserve"> </w:t>
      </w:r>
      <w:r w:rsidRPr="00C25749">
        <w:rPr>
          <w:i/>
          <w:iCs/>
        </w:rPr>
        <w:t>Id.</w:t>
      </w:r>
    </w:p>
  </w:footnote>
  <w:footnote w:id="104">
    <w:p w:rsidR="007A2CA7" w:rsidRPr="00C25749" w:rsidP="00C25749" w14:paraId="2EDCE61D" w14:textId="77777777">
      <w:pPr>
        <w:pStyle w:val="FootnoteText"/>
        <w:spacing w:after="120"/>
      </w:pPr>
      <w:r w:rsidRPr="00C25749">
        <w:rPr>
          <w:rStyle w:val="FootnoteReference"/>
        </w:rPr>
        <w:footnoteRef/>
      </w:r>
      <w:r w:rsidRPr="00C25749">
        <w:t xml:space="preserve"> </w:t>
      </w:r>
      <w:r w:rsidRPr="00C25749">
        <w:rPr>
          <w:i/>
          <w:iCs/>
        </w:rPr>
        <w:t>Id.</w:t>
      </w:r>
    </w:p>
  </w:footnote>
  <w:footnote w:id="105">
    <w:p w:rsidR="007A2CA7" w:rsidRPr="00C25749" w:rsidP="00C25749" w14:paraId="6B74A134" w14:textId="77777777">
      <w:pPr>
        <w:pStyle w:val="FootnoteText"/>
        <w:spacing w:after="120"/>
      </w:pPr>
      <w:r w:rsidRPr="00C25749">
        <w:rPr>
          <w:rStyle w:val="FootnoteReference"/>
        </w:rPr>
        <w:footnoteRef/>
      </w:r>
      <w:r w:rsidRPr="00C25749">
        <w:t xml:space="preserve"> </w:t>
      </w:r>
      <w:r w:rsidRPr="00C25749">
        <w:rPr>
          <w:i/>
          <w:iCs/>
        </w:rPr>
        <w:t>Id.</w:t>
      </w:r>
    </w:p>
  </w:footnote>
  <w:footnote w:id="106">
    <w:p w:rsidR="007A2CA7" w:rsidRPr="00C25749" w:rsidP="00C25749" w14:paraId="74592A58" w14:textId="77777777">
      <w:pPr>
        <w:pStyle w:val="FootnoteText"/>
        <w:spacing w:after="120"/>
      </w:pPr>
      <w:r w:rsidRPr="00C25749">
        <w:rPr>
          <w:rStyle w:val="FootnoteReference"/>
        </w:rPr>
        <w:footnoteRef/>
      </w:r>
      <w:r w:rsidRPr="00C25749">
        <w:t xml:space="preserve"> </w:t>
      </w:r>
      <w:r w:rsidRPr="00C25749">
        <w:rPr>
          <w:i/>
          <w:iCs/>
        </w:rPr>
        <w:t>Id.</w:t>
      </w:r>
    </w:p>
  </w:footnote>
  <w:footnote w:id="107">
    <w:p w:rsidR="007A2CA7" w:rsidRPr="00C25749" w:rsidP="00C25749" w14:paraId="1BBA65E3" w14:textId="77777777">
      <w:pPr>
        <w:pStyle w:val="FootnoteText"/>
        <w:spacing w:after="120"/>
      </w:pPr>
      <w:r w:rsidRPr="00C25749">
        <w:rPr>
          <w:rStyle w:val="FootnoteReference"/>
        </w:rPr>
        <w:footnoteRef/>
      </w:r>
      <w:r w:rsidRPr="00C25749">
        <w:t xml:space="preserve"> </w:t>
      </w:r>
      <w:r w:rsidRPr="00C25749">
        <w:rPr>
          <w:i/>
          <w:iCs/>
        </w:rPr>
        <w:t>Id.</w:t>
      </w:r>
    </w:p>
  </w:footnote>
  <w:footnote w:id="108">
    <w:p w:rsidR="007A2CA7" w:rsidRPr="00C25749" w:rsidP="00C25749" w14:paraId="58E368F0" w14:textId="77777777">
      <w:pPr>
        <w:pStyle w:val="FootnoteText"/>
        <w:spacing w:after="120"/>
      </w:pPr>
      <w:r w:rsidRPr="00C25749">
        <w:rPr>
          <w:rStyle w:val="FootnoteReference"/>
        </w:rPr>
        <w:footnoteRef/>
      </w:r>
      <w:r w:rsidRPr="00C25749">
        <w:t xml:space="preserve"> </w:t>
      </w:r>
      <w:r w:rsidRPr="00C25749">
        <w:rPr>
          <w:i/>
          <w:iCs/>
        </w:rPr>
        <w:t>Id.</w:t>
      </w:r>
    </w:p>
  </w:footnote>
  <w:footnote w:id="109">
    <w:p w:rsidR="00C25EBE" w:rsidRPr="00C25749" w:rsidP="00C25749" w14:paraId="273DB739" w14:textId="77777777">
      <w:pPr>
        <w:pStyle w:val="FootnoteText"/>
        <w:spacing w:after="120"/>
      </w:pPr>
      <w:r w:rsidRPr="00C25749">
        <w:rPr>
          <w:rStyle w:val="FootnoteReference"/>
        </w:rPr>
        <w:footnoteRef/>
      </w:r>
      <w:r w:rsidRPr="00C25749">
        <w:t xml:space="preserve"> </w:t>
      </w:r>
      <w:r w:rsidRPr="00C25749" w:rsidR="0084595B">
        <w:rPr>
          <w:i/>
          <w:iCs/>
        </w:rPr>
        <w:t>Id.</w:t>
      </w:r>
    </w:p>
  </w:footnote>
  <w:footnote w:id="110">
    <w:p w:rsidR="00ED4B05" w:rsidRPr="00C25749" w:rsidP="00C25749" w14:paraId="05AADF1A" w14:textId="77777777">
      <w:pPr>
        <w:pStyle w:val="FootnoteText"/>
        <w:spacing w:after="120"/>
      </w:pPr>
      <w:r w:rsidRPr="00C25749">
        <w:rPr>
          <w:rStyle w:val="FootnoteReference"/>
        </w:rPr>
        <w:footnoteRef/>
      </w:r>
      <w:r w:rsidRPr="00C25749">
        <w:t xml:space="preserve"> </w:t>
      </w:r>
      <w:r w:rsidRPr="00C25749" w:rsidR="00724ACD">
        <w:t>OCC Ex. 1 at 15.</w:t>
      </w:r>
      <w:r w:rsidRPr="00C25749">
        <w:t xml:space="preserve"> </w:t>
      </w:r>
    </w:p>
  </w:footnote>
  <w:footnote w:id="111">
    <w:p w:rsidR="00ED4B05" w:rsidRPr="00C25749" w:rsidP="00C25749" w14:paraId="073D9050" w14:textId="77777777">
      <w:pPr>
        <w:pStyle w:val="FootnoteText"/>
        <w:spacing w:after="120"/>
      </w:pPr>
      <w:r w:rsidRPr="00C25749">
        <w:rPr>
          <w:rStyle w:val="FootnoteReference"/>
        </w:rPr>
        <w:footnoteRef/>
      </w:r>
      <w:r w:rsidRPr="00C25749">
        <w:t xml:space="preserve"> </w:t>
      </w:r>
      <w:r w:rsidRPr="00C25749" w:rsidR="00724ACD">
        <w:rPr>
          <w:i/>
          <w:iCs/>
        </w:rPr>
        <w:t>Id.</w:t>
      </w:r>
    </w:p>
  </w:footnote>
  <w:footnote w:id="112">
    <w:p w:rsidR="00ED4B05" w:rsidRPr="00C25749" w:rsidP="00C25749" w14:paraId="5FD5F273" w14:textId="77777777">
      <w:pPr>
        <w:pStyle w:val="FootnoteText"/>
        <w:spacing w:after="120"/>
      </w:pPr>
      <w:r w:rsidRPr="00C25749">
        <w:rPr>
          <w:rStyle w:val="FootnoteReference"/>
        </w:rPr>
        <w:footnoteRef/>
      </w:r>
      <w:r w:rsidRPr="00C25749">
        <w:t xml:space="preserve"> </w:t>
      </w:r>
      <w:r w:rsidRPr="00C25749" w:rsidR="005A59D5">
        <w:rPr>
          <w:i/>
          <w:iCs/>
        </w:rPr>
        <w:t xml:space="preserve">Id. </w:t>
      </w:r>
      <w:r w:rsidRPr="00C25749" w:rsidR="005A59D5">
        <w:t>at 15-16.</w:t>
      </w:r>
    </w:p>
  </w:footnote>
  <w:footnote w:id="113">
    <w:p w:rsidR="00C10D93" w:rsidRPr="00C25749" w:rsidP="00C25749" w14:paraId="2DC3181F" w14:textId="77777777">
      <w:pPr>
        <w:pStyle w:val="FootnoteText"/>
        <w:spacing w:after="120"/>
      </w:pPr>
      <w:r w:rsidRPr="00C25749">
        <w:rPr>
          <w:rStyle w:val="FootnoteReference"/>
        </w:rPr>
        <w:footnoteRef/>
      </w:r>
      <w:r w:rsidRPr="00C25749">
        <w:t xml:space="preserve"> </w:t>
      </w:r>
      <w:r w:rsidRPr="00C25749" w:rsidR="005A59D5">
        <w:rPr>
          <w:i/>
          <w:iCs/>
        </w:rPr>
        <w:t xml:space="preserve">Id. </w:t>
      </w:r>
      <w:r w:rsidRPr="00C25749" w:rsidR="005A59D5">
        <w:t>at 16.</w:t>
      </w:r>
    </w:p>
  </w:footnote>
  <w:footnote w:id="114">
    <w:p w:rsidR="002E004D" w:rsidRPr="00C25749" w:rsidP="00C25749" w14:paraId="308117C8" w14:textId="77777777">
      <w:pPr>
        <w:pStyle w:val="FootnoteText"/>
        <w:spacing w:after="120"/>
      </w:pPr>
      <w:r w:rsidRPr="00C25749">
        <w:rPr>
          <w:rStyle w:val="FootnoteReference"/>
        </w:rPr>
        <w:footnoteRef/>
      </w:r>
      <w:r w:rsidRPr="00C25749">
        <w:t xml:space="preserve"> </w:t>
      </w:r>
      <w:r w:rsidRPr="00C25749" w:rsidR="005A59D5">
        <w:rPr>
          <w:i/>
          <w:iCs/>
        </w:rPr>
        <w:t>Id.</w:t>
      </w:r>
    </w:p>
  </w:footnote>
  <w:footnote w:id="115">
    <w:p w:rsidR="0054648A" w:rsidRPr="00C25749" w:rsidP="00C25749" w14:paraId="637A282C" w14:textId="77777777">
      <w:pPr>
        <w:pStyle w:val="FootnoteText"/>
        <w:spacing w:after="120"/>
      </w:pPr>
      <w:r w:rsidRPr="00C25749">
        <w:rPr>
          <w:rStyle w:val="FootnoteReference"/>
        </w:rPr>
        <w:footnoteRef/>
      </w:r>
      <w:r w:rsidRPr="00C25749">
        <w:t xml:space="preserve"> </w:t>
      </w:r>
      <w:r w:rsidRPr="00C25749" w:rsidR="00DA77C0">
        <w:rPr>
          <w:i/>
          <w:iCs/>
        </w:rPr>
        <w:t>Id.</w:t>
      </w:r>
    </w:p>
  </w:footnote>
  <w:footnote w:id="116">
    <w:p w:rsidR="002E004D" w:rsidRPr="00C25749" w:rsidP="00C25749" w14:paraId="60641BFD" w14:textId="77777777">
      <w:pPr>
        <w:pStyle w:val="FootnoteText"/>
        <w:spacing w:after="120"/>
      </w:pPr>
      <w:r w:rsidRPr="00C25749">
        <w:rPr>
          <w:rStyle w:val="FootnoteReference"/>
        </w:rPr>
        <w:footnoteRef/>
      </w:r>
      <w:r w:rsidRPr="00C25749">
        <w:t xml:space="preserve"> </w:t>
      </w:r>
      <w:r w:rsidRPr="00C25749" w:rsidR="00DA77C0">
        <w:rPr>
          <w:i/>
          <w:iCs/>
        </w:rPr>
        <w:t>Id.</w:t>
      </w:r>
    </w:p>
  </w:footnote>
  <w:footnote w:id="117">
    <w:p w:rsidR="002E004D" w:rsidRPr="00C25749" w:rsidP="00C25749" w14:paraId="7B92AA59" w14:textId="77777777">
      <w:pPr>
        <w:pStyle w:val="FootnoteText"/>
        <w:spacing w:after="120"/>
      </w:pPr>
      <w:r w:rsidRPr="00C25749">
        <w:rPr>
          <w:rStyle w:val="FootnoteReference"/>
        </w:rPr>
        <w:footnoteRef/>
      </w:r>
      <w:r w:rsidRPr="00C25749">
        <w:t xml:space="preserve"> </w:t>
      </w:r>
      <w:r w:rsidRPr="00C25749" w:rsidR="00DA77C0">
        <w:rPr>
          <w:i/>
          <w:iCs/>
        </w:rPr>
        <w:t xml:space="preserve">Id. </w:t>
      </w:r>
      <w:r w:rsidRPr="00C25749" w:rsidR="00DA77C0">
        <w:t>at 17.</w:t>
      </w:r>
    </w:p>
  </w:footnote>
  <w:footnote w:id="118">
    <w:p w:rsidR="0054648A" w:rsidRPr="00C25749" w:rsidP="00C25749" w14:paraId="449E18AF" w14:textId="77777777">
      <w:pPr>
        <w:pStyle w:val="FootnoteText"/>
        <w:spacing w:after="120"/>
      </w:pPr>
      <w:r w:rsidRPr="00C25749">
        <w:rPr>
          <w:rStyle w:val="FootnoteReference"/>
        </w:rPr>
        <w:footnoteRef/>
      </w:r>
      <w:r w:rsidRPr="00C25749">
        <w:t xml:space="preserve"> </w:t>
      </w:r>
      <w:r w:rsidRPr="00C25749" w:rsidR="00F42333">
        <w:rPr>
          <w:i/>
          <w:iCs/>
        </w:rPr>
        <w:t>Id.</w:t>
      </w:r>
    </w:p>
  </w:footnote>
  <w:footnote w:id="119">
    <w:p w:rsidR="00084346" w:rsidRPr="00C25749" w:rsidP="00C25749" w14:paraId="0025D143" w14:textId="77777777">
      <w:pPr>
        <w:pStyle w:val="FootnoteText"/>
        <w:spacing w:after="120"/>
      </w:pPr>
      <w:r w:rsidRPr="00C25749">
        <w:rPr>
          <w:rStyle w:val="FootnoteReference"/>
        </w:rPr>
        <w:footnoteRef/>
      </w:r>
      <w:r w:rsidRPr="00C25749">
        <w:t xml:space="preserve"> </w:t>
      </w:r>
      <w:r w:rsidRPr="00C25749" w:rsidR="00F42333">
        <w:rPr>
          <w:i/>
          <w:iCs/>
        </w:rPr>
        <w:t>Id.</w:t>
      </w:r>
    </w:p>
  </w:footnote>
  <w:footnote w:id="120">
    <w:p w:rsidR="00084346" w:rsidRPr="00C25749" w:rsidP="00C25749" w14:paraId="45D9A918" w14:textId="77777777">
      <w:pPr>
        <w:pStyle w:val="FootnoteText"/>
        <w:spacing w:after="120"/>
      </w:pPr>
      <w:r w:rsidRPr="00C25749">
        <w:rPr>
          <w:rStyle w:val="FootnoteReference"/>
        </w:rPr>
        <w:footnoteRef/>
      </w:r>
      <w:r w:rsidRPr="00C25749">
        <w:t xml:space="preserve"> </w:t>
      </w:r>
      <w:r w:rsidRPr="00C25749" w:rsidR="00F42333">
        <w:rPr>
          <w:i/>
          <w:iCs/>
        </w:rPr>
        <w:t xml:space="preserve">Id. </w:t>
      </w:r>
      <w:r w:rsidRPr="00C25749" w:rsidR="00F42333">
        <w:t>at 17-18.</w:t>
      </w:r>
    </w:p>
  </w:footnote>
  <w:footnote w:id="121">
    <w:p w:rsidR="00084346" w:rsidRPr="00C25749" w:rsidP="00C25749" w14:paraId="4A38C893" w14:textId="77777777">
      <w:pPr>
        <w:pStyle w:val="FootnoteText"/>
        <w:spacing w:after="120"/>
      </w:pPr>
      <w:r w:rsidRPr="00C25749">
        <w:rPr>
          <w:rStyle w:val="FootnoteReference"/>
        </w:rPr>
        <w:footnoteRef/>
      </w:r>
      <w:r w:rsidRPr="00C25749">
        <w:t xml:space="preserve"> </w:t>
      </w:r>
      <w:r w:rsidRPr="00C25749" w:rsidR="00F42333">
        <w:rPr>
          <w:i/>
          <w:iCs/>
        </w:rPr>
        <w:t xml:space="preserve">Id. </w:t>
      </w:r>
      <w:r w:rsidRPr="00C25749" w:rsidR="00F42333">
        <w:t>at 18.</w:t>
      </w:r>
    </w:p>
  </w:footnote>
  <w:footnote w:id="122">
    <w:p w:rsidR="005247D2" w:rsidRPr="00C25749" w:rsidP="00C25749" w14:paraId="7F7382DE" w14:textId="77777777">
      <w:pPr>
        <w:autoSpaceDE w:val="0"/>
        <w:autoSpaceDN w:val="0"/>
        <w:adjustRightInd w:val="0"/>
        <w:spacing w:after="120" w:line="240" w:lineRule="auto"/>
        <w:rPr>
          <w:rFonts w:cs="Times New Roman"/>
          <w:sz w:val="20"/>
          <w:szCs w:val="20"/>
        </w:rPr>
      </w:pPr>
      <w:r w:rsidRPr="00C25749">
        <w:rPr>
          <w:rStyle w:val="FootnoteReference"/>
          <w:rFonts w:cs="Times New Roman"/>
          <w:sz w:val="20"/>
          <w:szCs w:val="20"/>
        </w:rPr>
        <w:footnoteRef/>
      </w:r>
      <w:r w:rsidRPr="00C25749">
        <w:rPr>
          <w:rFonts w:cs="Times New Roman"/>
          <w:i/>
          <w:iCs/>
          <w:sz w:val="20"/>
          <w:szCs w:val="20"/>
        </w:rPr>
        <w:t xml:space="preserve"> </w:t>
      </w:r>
      <w:r w:rsidRPr="00C25749" w:rsidR="00F42333">
        <w:rPr>
          <w:rFonts w:cs="Times New Roman"/>
          <w:i/>
          <w:iCs/>
          <w:sz w:val="20"/>
          <w:szCs w:val="20"/>
        </w:rPr>
        <w:t>Id.</w:t>
      </w:r>
    </w:p>
  </w:footnote>
  <w:footnote w:id="123">
    <w:p w:rsidR="00242FD1" w:rsidRPr="00C25749" w:rsidP="00C25749" w14:paraId="0D708C31" w14:textId="77777777">
      <w:pPr>
        <w:pStyle w:val="FootnoteText"/>
        <w:spacing w:after="120"/>
      </w:pPr>
      <w:r w:rsidRPr="00C25749">
        <w:rPr>
          <w:rStyle w:val="FootnoteReference"/>
        </w:rPr>
        <w:footnoteRef/>
      </w:r>
      <w:r w:rsidRPr="00C25749">
        <w:t xml:space="preserve"> </w:t>
      </w:r>
      <w:r w:rsidRPr="00C25749" w:rsidR="00394E53">
        <w:rPr>
          <w:i/>
          <w:iCs/>
        </w:rPr>
        <w:t>Id.</w:t>
      </w:r>
    </w:p>
  </w:footnote>
  <w:footnote w:id="124">
    <w:p w:rsidR="005247D2" w:rsidRPr="00C25749" w:rsidP="00C25749" w14:paraId="31BEEBEC" w14:textId="77777777">
      <w:pPr>
        <w:pStyle w:val="FootnoteText"/>
        <w:spacing w:after="120"/>
      </w:pPr>
      <w:r w:rsidRPr="00C25749">
        <w:rPr>
          <w:rStyle w:val="FootnoteReference"/>
        </w:rPr>
        <w:footnoteRef/>
      </w:r>
      <w:r w:rsidRPr="00C25749">
        <w:t xml:space="preserve"> </w:t>
      </w:r>
      <w:r w:rsidRPr="00C25749" w:rsidR="00394E53">
        <w:rPr>
          <w:i/>
          <w:iCs/>
        </w:rPr>
        <w:t>Id.</w:t>
      </w:r>
    </w:p>
  </w:footnote>
  <w:footnote w:id="125">
    <w:p w:rsidR="005247D2" w:rsidRPr="00C25749" w:rsidP="00C25749" w14:paraId="046D9873" w14:textId="77777777">
      <w:pPr>
        <w:pStyle w:val="FootnoteText"/>
        <w:spacing w:after="120"/>
      </w:pPr>
      <w:r w:rsidRPr="00C25749">
        <w:rPr>
          <w:rStyle w:val="FootnoteReference"/>
        </w:rPr>
        <w:footnoteRef/>
      </w:r>
      <w:r w:rsidRPr="00C25749">
        <w:t xml:space="preserve"> </w:t>
      </w:r>
      <w:r w:rsidRPr="00C25749" w:rsidR="00394E53">
        <w:rPr>
          <w:i/>
          <w:iCs/>
        </w:rPr>
        <w:t>Id.</w:t>
      </w:r>
    </w:p>
  </w:footnote>
  <w:footnote w:id="126">
    <w:p w:rsidR="00242FD1" w:rsidRPr="00C25749" w:rsidP="00C25749" w14:paraId="7B7E33D6" w14:textId="77777777">
      <w:pPr>
        <w:pStyle w:val="FootnoteText"/>
        <w:spacing w:after="120"/>
      </w:pPr>
      <w:r w:rsidRPr="00C25749">
        <w:rPr>
          <w:rStyle w:val="FootnoteReference"/>
        </w:rPr>
        <w:footnoteRef/>
      </w:r>
      <w:r w:rsidRPr="00C25749">
        <w:t xml:space="preserve"> </w:t>
      </w:r>
      <w:r w:rsidRPr="00C25749" w:rsidR="00394E53">
        <w:rPr>
          <w:i/>
          <w:iCs/>
        </w:rPr>
        <w:t>Id.</w:t>
      </w:r>
    </w:p>
  </w:footnote>
  <w:footnote w:id="127">
    <w:p w:rsidR="005247D2" w:rsidRPr="00C25749" w:rsidP="00C25749" w14:paraId="3397A48F" w14:textId="77777777">
      <w:pPr>
        <w:pStyle w:val="FootnoteText"/>
        <w:spacing w:after="120"/>
      </w:pPr>
      <w:r w:rsidRPr="00C25749">
        <w:rPr>
          <w:rStyle w:val="FootnoteReference"/>
        </w:rPr>
        <w:footnoteRef/>
      </w:r>
      <w:r w:rsidRPr="00C25749">
        <w:t xml:space="preserve"> </w:t>
      </w:r>
      <w:r w:rsidRPr="00C25749" w:rsidR="00394E53">
        <w:rPr>
          <w:i/>
          <w:iCs/>
        </w:rPr>
        <w:t>Id.</w:t>
      </w:r>
    </w:p>
  </w:footnote>
  <w:footnote w:id="128">
    <w:p w:rsidR="005247D2" w:rsidRPr="00C25749" w:rsidP="00C25749" w14:paraId="5B90D9B0" w14:textId="77777777">
      <w:pPr>
        <w:pStyle w:val="FootnoteText"/>
        <w:spacing w:after="120"/>
      </w:pPr>
      <w:r w:rsidRPr="00C25749">
        <w:rPr>
          <w:rStyle w:val="FootnoteReference"/>
        </w:rPr>
        <w:footnoteRef/>
      </w:r>
      <w:r w:rsidRPr="00C25749">
        <w:t xml:space="preserve"> </w:t>
      </w:r>
      <w:r w:rsidRPr="00C25749" w:rsidR="00394E53">
        <w:rPr>
          <w:i/>
          <w:iCs/>
        </w:rPr>
        <w:t xml:space="preserve">Id. </w:t>
      </w:r>
      <w:r w:rsidRPr="00C25749" w:rsidR="00394E53">
        <w:t>at 19.</w:t>
      </w:r>
    </w:p>
  </w:footnote>
  <w:footnote w:id="129">
    <w:p w:rsidR="005247D2" w:rsidRPr="00C25749" w:rsidP="00C25749" w14:paraId="5EFC29AD" w14:textId="77777777">
      <w:pPr>
        <w:pStyle w:val="FootnoteText"/>
        <w:spacing w:after="120"/>
      </w:pPr>
      <w:r w:rsidRPr="00C25749">
        <w:rPr>
          <w:rStyle w:val="FootnoteReference"/>
        </w:rPr>
        <w:footnoteRef/>
      </w:r>
      <w:r w:rsidRPr="00C25749">
        <w:t xml:space="preserve"> </w:t>
      </w:r>
      <w:r w:rsidRPr="00C25749" w:rsidR="00394E53">
        <w:rPr>
          <w:i/>
          <w:iCs/>
        </w:rPr>
        <w:t>Id.</w:t>
      </w:r>
    </w:p>
  </w:footnote>
  <w:footnote w:id="130">
    <w:p w:rsidR="005247D2" w:rsidRPr="00C25749" w:rsidP="00C25749" w14:paraId="0AD7AB8A" w14:textId="77777777">
      <w:pPr>
        <w:pStyle w:val="FootnoteText"/>
        <w:spacing w:after="120"/>
      </w:pPr>
      <w:r w:rsidRPr="00C25749">
        <w:rPr>
          <w:rStyle w:val="FootnoteReference"/>
        </w:rPr>
        <w:footnoteRef/>
      </w:r>
      <w:r w:rsidRPr="00C25749">
        <w:t xml:space="preserve"> </w:t>
      </w:r>
      <w:r w:rsidRPr="00C25749" w:rsidR="00394E53">
        <w:rPr>
          <w:i/>
          <w:iCs/>
        </w:rPr>
        <w:t>Id.</w:t>
      </w:r>
    </w:p>
  </w:footnote>
  <w:footnote w:id="131">
    <w:p w:rsidR="00B1102F" w:rsidRPr="00C25749" w:rsidP="00C25749" w14:paraId="0EDC90DF" w14:textId="77777777">
      <w:pPr>
        <w:pStyle w:val="FootnoteText"/>
        <w:spacing w:after="120"/>
      </w:pPr>
      <w:r w:rsidRPr="00C25749">
        <w:rPr>
          <w:rStyle w:val="FootnoteReference"/>
        </w:rPr>
        <w:footnoteRef/>
      </w:r>
      <w:r w:rsidRPr="00C25749">
        <w:t xml:space="preserve"> </w:t>
      </w:r>
      <w:r w:rsidRPr="00C25749" w:rsidR="00394E53">
        <w:rPr>
          <w:i/>
          <w:iCs/>
        </w:rPr>
        <w:t>Id.</w:t>
      </w:r>
    </w:p>
  </w:footnote>
  <w:footnote w:id="132">
    <w:p w:rsidR="005247D2" w:rsidRPr="00C25749" w:rsidP="00C25749" w14:paraId="3EAE7648" w14:textId="77777777">
      <w:pPr>
        <w:pStyle w:val="FootnoteText"/>
        <w:spacing w:after="120"/>
      </w:pPr>
      <w:r w:rsidRPr="00C25749">
        <w:rPr>
          <w:rStyle w:val="FootnoteReference"/>
        </w:rPr>
        <w:footnoteRef/>
      </w:r>
      <w:r w:rsidRPr="00C25749">
        <w:t xml:space="preserve"> </w:t>
      </w:r>
      <w:r w:rsidRPr="00C25749" w:rsidR="00EF7338">
        <w:rPr>
          <w:i/>
          <w:iCs/>
        </w:rPr>
        <w:t xml:space="preserve">Id. </w:t>
      </w:r>
      <w:r w:rsidRPr="00C25749" w:rsidR="00EF7338">
        <w:t>at 19-20.</w:t>
      </w:r>
    </w:p>
  </w:footnote>
  <w:footnote w:id="133">
    <w:p w:rsidR="00F5039C" w:rsidRPr="00C25749" w:rsidP="00C25749" w14:paraId="45FC75A2" w14:textId="77777777">
      <w:pPr>
        <w:pStyle w:val="FootnoteText"/>
        <w:spacing w:after="120"/>
      </w:pPr>
      <w:r w:rsidRPr="00C25749">
        <w:rPr>
          <w:rStyle w:val="FootnoteReference"/>
        </w:rPr>
        <w:footnoteRef/>
      </w:r>
      <w:r w:rsidRPr="00C25749">
        <w:t xml:space="preserve"> </w:t>
      </w:r>
      <w:r w:rsidRPr="00C25749" w:rsidR="00EF7338">
        <w:rPr>
          <w:i/>
          <w:iCs/>
        </w:rPr>
        <w:t xml:space="preserve">Id. </w:t>
      </w:r>
      <w:r w:rsidRPr="00C25749" w:rsidR="00EF7338">
        <w:t>at 20.</w:t>
      </w:r>
    </w:p>
  </w:footnote>
  <w:footnote w:id="134">
    <w:p w:rsidR="00F5039C" w:rsidRPr="00C25749" w:rsidP="00C25749" w14:paraId="01399AA7" w14:textId="77777777">
      <w:pPr>
        <w:pStyle w:val="FootnoteText"/>
        <w:spacing w:after="120"/>
      </w:pPr>
      <w:r w:rsidRPr="00C25749">
        <w:rPr>
          <w:rStyle w:val="FootnoteReference"/>
        </w:rPr>
        <w:footnoteRef/>
      </w:r>
      <w:r w:rsidRPr="00C25749">
        <w:t xml:space="preserve"> </w:t>
      </w:r>
      <w:r w:rsidRPr="00C25749" w:rsidR="00EF7338">
        <w:rPr>
          <w:i/>
          <w:iCs/>
        </w:rPr>
        <w:t>Id.</w:t>
      </w:r>
    </w:p>
  </w:footnote>
  <w:footnote w:id="135">
    <w:p w:rsidR="005247D2" w:rsidRPr="00C25749" w:rsidP="00C25749" w14:paraId="19EEA122" w14:textId="77777777">
      <w:pPr>
        <w:pStyle w:val="FootnoteText"/>
        <w:spacing w:after="120"/>
      </w:pPr>
      <w:r w:rsidRPr="00C25749">
        <w:rPr>
          <w:rStyle w:val="FootnoteReference"/>
        </w:rPr>
        <w:footnoteRef/>
      </w:r>
      <w:r w:rsidRPr="00C25749">
        <w:t xml:space="preserve"> </w:t>
      </w:r>
      <w:r w:rsidRPr="00C25749" w:rsidR="00EF7338">
        <w:rPr>
          <w:i/>
          <w:iCs/>
        </w:rPr>
        <w:t>Id.</w:t>
      </w:r>
    </w:p>
  </w:footnote>
  <w:footnote w:id="136">
    <w:p w:rsidR="00D62CB4" w:rsidRPr="00C25749" w:rsidP="00C25749" w14:paraId="72A84C1F" w14:textId="77777777">
      <w:pPr>
        <w:pStyle w:val="FootnoteText"/>
        <w:spacing w:after="120"/>
      </w:pPr>
      <w:r w:rsidRPr="00C25749">
        <w:rPr>
          <w:rStyle w:val="FootnoteReference"/>
        </w:rPr>
        <w:footnoteRef/>
      </w:r>
      <w:r w:rsidRPr="00C25749">
        <w:t xml:space="preserve"> </w:t>
      </w:r>
      <w:r w:rsidRPr="00C25749" w:rsidR="00F91A84">
        <w:rPr>
          <w:i/>
          <w:iCs/>
        </w:rPr>
        <w:t xml:space="preserve">Id. </w:t>
      </w:r>
      <w:r w:rsidRPr="00C25749" w:rsidR="00F91A84">
        <w:t>at 20-21.</w:t>
      </w:r>
    </w:p>
  </w:footnote>
  <w:footnote w:id="137">
    <w:p w:rsidR="00D62CB4" w:rsidRPr="00C25749" w:rsidP="00C25749" w14:paraId="3D7D4480" w14:textId="77777777">
      <w:pPr>
        <w:pStyle w:val="FootnoteText"/>
        <w:spacing w:after="120"/>
      </w:pPr>
      <w:r w:rsidRPr="00C25749">
        <w:rPr>
          <w:rStyle w:val="FootnoteReference"/>
        </w:rPr>
        <w:footnoteRef/>
      </w:r>
      <w:r w:rsidRPr="00C25749">
        <w:t xml:space="preserve"> </w:t>
      </w:r>
      <w:r w:rsidRPr="00C25749" w:rsidR="00F91A84">
        <w:rPr>
          <w:i/>
          <w:iCs/>
        </w:rPr>
        <w:t xml:space="preserve">Id. </w:t>
      </w:r>
      <w:r w:rsidRPr="00C25749" w:rsidR="00F91A84">
        <w:t>at 21.</w:t>
      </w:r>
    </w:p>
  </w:footnote>
  <w:footnote w:id="138">
    <w:p w:rsidR="00D62CB4" w:rsidRPr="00C25749" w:rsidP="00C25749" w14:paraId="09B9AEB5" w14:textId="77777777">
      <w:pPr>
        <w:pStyle w:val="FootnoteText"/>
        <w:spacing w:after="120"/>
      </w:pPr>
      <w:r w:rsidRPr="00C25749">
        <w:rPr>
          <w:rStyle w:val="FootnoteReference"/>
        </w:rPr>
        <w:footnoteRef/>
      </w:r>
      <w:r w:rsidRPr="00C25749">
        <w:t xml:space="preserve"> </w:t>
      </w:r>
      <w:r w:rsidRPr="00C25749" w:rsidR="00F91A84">
        <w:rPr>
          <w:i/>
          <w:iCs/>
        </w:rPr>
        <w:t>Id.</w:t>
      </w:r>
    </w:p>
  </w:footnote>
  <w:footnote w:id="139">
    <w:p w:rsidR="00D62CB4" w:rsidRPr="00C25749" w:rsidP="00C25749" w14:paraId="336FFED1" w14:textId="77777777">
      <w:pPr>
        <w:pStyle w:val="FootnoteText"/>
        <w:spacing w:after="120"/>
      </w:pPr>
      <w:r w:rsidRPr="00C25749">
        <w:rPr>
          <w:rStyle w:val="FootnoteReference"/>
        </w:rPr>
        <w:footnoteRef/>
      </w:r>
      <w:r w:rsidRPr="00C25749">
        <w:t xml:space="preserve"> </w:t>
      </w:r>
      <w:r w:rsidRPr="00C25749" w:rsidR="00F91A84">
        <w:rPr>
          <w:i/>
          <w:iCs/>
        </w:rPr>
        <w:t>Id.</w:t>
      </w:r>
    </w:p>
  </w:footnote>
  <w:footnote w:id="140">
    <w:p w:rsidR="00AE5846" w:rsidRPr="00C25749" w:rsidP="00C25749" w14:paraId="6A8F6014" w14:textId="77777777">
      <w:pPr>
        <w:pStyle w:val="FootnoteText"/>
        <w:spacing w:after="120"/>
      </w:pPr>
      <w:r w:rsidRPr="00C25749">
        <w:rPr>
          <w:rStyle w:val="FootnoteReference"/>
        </w:rPr>
        <w:footnoteRef/>
      </w:r>
      <w:r w:rsidRPr="00C25749">
        <w:t xml:space="preserve"> </w:t>
      </w:r>
      <w:r w:rsidRPr="00C25749" w:rsidR="003B6ADC">
        <w:rPr>
          <w:i/>
          <w:iCs/>
        </w:rPr>
        <w:t>Id.</w:t>
      </w:r>
    </w:p>
  </w:footnote>
  <w:footnote w:id="141">
    <w:p w:rsidR="005730D0" w:rsidRPr="00C25749" w:rsidP="00C25749" w14:paraId="1965DC66" w14:textId="77777777">
      <w:pPr>
        <w:pStyle w:val="FootnoteText"/>
        <w:spacing w:after="120"/>
      </w:pPr>
      <w:r w:rsidRPr="00C25749">
        <w:rPr>
          <w:rStyle w:val="FootnoteReference"/>
        </w:rPr>
        <w:footnoteRef/>
      </w:r>
      <w:r w:rsidRPr="00C25749">
        <w:t xml:space="preserve"> </w:t>
      </w:r>
      <w:r w:rsidRPr="00C25749" w:rsidR="003B6ADC">
        <w:rPr>
          <w:i/>
          <w:iCs/>
        </w:rPr>
        <w:t xml:space="preserve">Id. </w:t>
      </w:r>
      <w:r w:rsidRPr="00C25749" w:rsidR="003B6ADC">
        <w:t>at 21.</w:t>
      </w:r>
    </w:p>
  </w:footnote>
  <w:footnote w:id="142">
    <w:p w:rsidR="00AE5846" w:rsidRPr="00C25749" w:rsidP="00C25749" w14:paraId="73C4F591" w14:textId="77777777">
      <w:pPr>
        <w:pStyle w:val="FootnoteText"/>
        <w:spacing w:after="120"/>
      </w:pPr>
      <w:r w:rsidRPr="00C25749">
        <w:rPr>
          <w:rStyle w:val="FootnoteReference"/>
        </w:rPr>
        <w:footnoteRef/>
      </w:r>
      <w:r w:rsidRPr="00C25749">
        <w:t xml:space="preserve"> </w:t>
      </w:r>
      <w:r w:rsidRPr="00C25749" w:rsidR="003B6ADC">
        <w:rPr>
          <w:i/>
          <w:iCs/>
        </w:rPr>
        <w:t>Id.</w:t>
      </w:r>
    </w:p>
  </w:footnote>
  <w:footnote w:id="143">
    <w:p w:rsidR="00AE5846" w:rsidRPr="00C25749" w:rsidP="00C25749" w14:paraId="660DA493" w14:textId="77777777">
      <w:pPr>
        <w:pStyle w:val="FootnoteText"/>
        <w:spacing w:after="120"/>
      </w:pPr>
      <w:r w:rsidRPr="00C25749">
        <w:rPr>
          <w:rStyle w:val="FootnoteReference"/>
        </w:rPr>
        <w:footnoteRef/>
      </w:r>
      <w:r w:rsidRPr="00C25749">
        <w:t xml:space="preserve"> </w:t>
      </w:r>
      <w:r w:rsidRPr="00C25749" w:rsidR="003B6ADC">
        <w:rPr>
          <w:i/>
          <w:iCs/>
        </w:rPr>
        <w:t>Id.</w:t>
      </w:r>
      <w:r w:rsidRPr="00C25749" w:rsidR="00B81C1A">
        <w:rPr>
          <w:i/>
          <w:iCs/>
        </w:rPr>
        <w:t xml:space="preserve"> </w:t>
      </w:r>
      <w:r w:rsidRPr="00C25749" w:rsidR="00B81C1A">
        <w:t>at 21-22.</w:t>
      </w:r>
    </w:p>
  </w:footnote>
  <w:footnote w:id="144">
    <w:p w:rsidR="00EB39BC" w:rsidRPr="00C25749" w:rsidP="00C25749" w14:paraId="346F80A2" w14:textId="77777777">
      <w:pPr>
        <w:pStyle w:val="FootnoteText"/>
        <w:spacing w:after="120"/>
      </w:pPr>
      <w:r w:rsidRPr="00C25749">
        <w:rPr>
          <w:rStyle w:val="FootnoteReference"/>
        </w:rPr>
        <w:footnoteRef/>
      </w:r>
      <w:r w:rsidRPr="00C25749">
        <w:t xml:space="preserve"> </w:t>
      </w:r>
      <w:r w:rsidRPr="00C25749" w:rsidR="00165C71">
        <w:rPr>
          <w:i/>
          <w:iCs/>
        </w:rPr>
        <w:t xml:space="preserve">Id. </w:t>
      </w:r>
      <w:r w:rsidRPr="00C25749" w:rsidR="00165C71">
        <w:t>at 22.</w:t>
      </w:r>
    </w:p>
  </w:footnote>
  <w:footnote w:id="145">
    <w:p w:rsidR="00C220C4" w:rsidRPr="00C25749" w:rsidP="00C25749" w14:paraId="34A6898A" w14:textId="77777777">
      <w:pPr>
        <w:pStyle w:val="FootnoteText"/>
        <w:spacing w:after="120"/>
      </w:pPr>
      <w:r w:rsidRPr="00C25749">
        <w:rPr>
          <w:rStyle w:val="FootnoteReference"/>
        </w:rPr>
        <w:footnoteRef/>
      </w:r>
      <w:r w:rsidRPr="00C25749">
        <w:t xml:space="preserve"> </w:t>
      </w:r>
      <w:r w:rsidRPr="00C25749" w:rsidR="00165C71">
        <w:rPr>
          <w:i/>
          <w:iCs/>
        </w:rPr>
        <w:t>Id.</w:t>
      </w:r>
    </w:p>
  </w:footnote>
  <w:footnote w:id="146">
    <w:p w:rsidR="00C220C4" w:rsidRPr="00C25749" w:rsidP="00C25749" w14:paraId="73F73FEE" w14:textId="77777777">
      <w:pPr>
        <w:pStyle w:val="FootnoteText"/>
        <w:spacing w:after="120"/>
      </w:pPr>
      <w:r w:rsidRPr="00C25749">
        <w:rPr>
          <w:rStyle w:val="FootnoteReference"/>
        </w:rPr>
        <w:footnoteRef/>
      </w:r>
      <w:r w:rsidRPr="00C25749">
        <w:t xml:space="preserve"> </w:t>
      </w:r>
      <w:r w:rsidRPr="00C25749" w:rsidR="00D875F6">
        <w:rPr>
          <w:i/>
          <w:iCs/>
        </w:rPr>
        <w:t>Id.</w:t>
      </w:r>
    </w:p>
  </w:footnote>
  <w:footnote w:id="147">
    <w:p w:rsidR="00C220C4" w:rsidRPr="00C25749" w:rsidP="00C25749" w14:paraId="6F5C94A1" w14:textId="77777777">
      <w:pPr>
        <w:pStyle w:val="FootnoteText"/>
        <w:spacing w:after="120"/>
      </w:pPr>
      <w:r w:rsidRPr="00C25749">
        <w:rPr>
          <w:rStyle w:val="FootnoteReference"/>
        </w:rPr>
        <w:footnoteRef/>
      </w:r>
      <w:r w:rsidRPr="00C25749">
        <w:t xml:space="preserve"> </w:t>
      </w:r>
      <w:r w:rsidRPr="00C25749" w:rsidR="00D875F6">
        <w:rPr>
          <w:i/>
          <w:iCs/>
        </w:rPr>
        <w:t>Id.</w:t>
      </w:r>
    </w:p>
  </w:footnote>
  <w:footnote w:id="148">
    <w:p w:rsidR="00EE7759" w:rsidRPr="00C25749" w:rsidP="00C25749" w14:paraId="4DBED867" w14:textId="77777777">
      <w:pPr>
        <w:pStyle w:val="FootnoteText"/>
        <w:spacing w:after="120"/>
      </w:pPr>
      <w:r w:rsidRPr="00C25749">
        <w:rPr>
          <w:rStyle w:val="FootnoteReference"/>
        </w:rPr>
        <w:footnoteRef/>
      </w:r>
      <w:r w:rsidRPr="00C25749">
        <w:t xml:space="preserve"> </w:t>
      </w:r>
      <w:r w:rsidRPr="00C25749" w:rsidR="00D875F6">
        <w:rPr>
          <w:i/>
          <w:iCs/>
        </w:rPr>
        <w:t>Id.</w:t>
      </w:r>
    </w:p>
  </w:footnote>
  <w:footnote w:id="149">
    <w:p w:rsidR="00EE7759" w:rsidRPr="00C25749" w:rsidP="00C25749" w14:paraId="2D80C142" w14:textId="77777777">
      <w:pPr>
        <w:pStyle w:val="FootnoteText"/>
        <w:spacing w:after="120"/>
      </w:pPr>
      <w:r w:rsidRPr="00C25749">
        <w:rPr>
          <w:rStyle w:val="FootnoteReference"/>
        </w:rPr>
        <w:footnoteRef/>
      </w:r>
      <w:r w:rsidRPr="00C25749">
        <w:t xml:space="preserve"> </w:t>
      </w:r>
      <w:r w:rsidRPr="00C25749" w:rsidR="00D875F6">
        <w:rPr>
          <w:i/>
          <w:iCs/>
        </w:rPr>
        <w:t xml:space="preserve">Id. </w:t>
      </w:r>
      <w:r w:rsidRPr="00C25749" w:rsidR="00D875F6">
        <w:t>at 22-23.</w:t>
      </w:r>
    </w:p>
  </w:footnote>
  <w:footnote w:id="150">
    <w:p w:rsidR="00D875F6" w:rsidRPr="00C25749" w:rsidP="00C25749" w14:paraId="3F82D2A6" w14:textId="77777777">
      <w:pPr>
        <w:pStyle w:val="FootnoteText"/>
        <w:spacing w:after="120"/>
      </w:pPr>
      <w:r w:rsidRPr="00C25749">
        <w:rPr>
          <w:rStyle w:val="FootnoteReference"/>
        </w:rPr>
        <w:footnoteRef/>
      </w:r>
      <w:r w:rsidRPr="00C25749">
        <w:t xml:space="preserve"> </w:t>
      </w:r>
      <w:r w:rsidRPr="00C25749">
        <w:rPr>
          <w:i/>
          <w:iCs/>
        </w:rPr>
        <w:t xml:space="preserve">Id. </w:t>
      </w:r>
      <w:r w:rsidRPr="00C25749">
        <w:t>at 23.</w:t>
      </w:r>
    </w:p>
  </w:footnote>
  <w:footnote w:id="151">
    <w:p w:rsidR="00B12F5E" w:rsidRPr="00C25749" w:rsidP="00C25749" w14:paraId="18D803B2" w14:textId="77777777">
      <w:pPr>
        <w:pStyle w:val="FootnoteText"/>
        <w:spacing w:after="120"/>
      </w:pPr>
      <w:r w:rsidRPr="00C25749">
        <w:rPr>
          <w:rStyle w:val="FootnoteReference"/>
        </w:rPr>
        <w:footnoteRef/>
      </w:r>
      <w:r w:rsidRPr="00C25749">
        <w:t xml:space="preserve"> </w:t>
      </w:r>
      <w:r w:rsidRPr="00C25749" w:rsidR="001C4431">
        <w:rPr>
          <w:i/>
          <w:iCs/>
        </w:rPr>
        <w:t xml:space="preserve">Id. </w:t>
      </w:r>
    </w:p>
  </w:footnote>
  <w:footnote w:id="152">
    <w:p w:rsidR="009B2609" w:rsidRPr="00C25749" w:rsidP="00C25749" w14:paraId="321291E4" w14:textId="77777777">
      <w:pPr>
        <w:pStyle w:val="FootnoteText"/>
        <w:spacing w:after="120"/>
      </w:pPr>
      <w:r w:rsidRPr="00C25749">
        <w:rPr>
          <w:rStyle w:val="FootnoteReference"/>
        </w:rPr>
        <w:footnoteRef/>
      </w:r>
      <w:r w:rsidRPr="00C25749">
        <w:t xml:space="preserve"> </w:t>
      </w:r>
      <w:r w:rsidRPr="00C25749" w:rsidR="001C4431">
        <w:rPr>
          <w:i/>
          <w:iCs/>
        </w:rPr>
        <w:t>Id.</w:t>
      </w:r>
    </w:p>
  </w:footnote>
  <w:footnote w:id="153">
    <w:p w:rsidR="00D82B70" w:rsidRPr="00C25749" w:rsidP="00C25749" w14:paraId="0D73A396" w14:textId="77777777">
      <w:pPr>
        <w:pStyle w:val="FootnoteText"/>
        <w:spacing w:after="120"/>
      </w:pPr>
      <w:r w:rsidRPr="00C25749">
        <w:rPr>
          <w:rStyle w:val="FootnoteReference"/>
        </w:rPr>
        <w:footnoteRef/>
      </w:r>
      <w:r w:rsidRPr="00C25749">
        <w:t xml:space="preserve"> </w:t>
      </w:r>
      <w:r w:rsidRPr="00C25749" w:rsidR="00A63D62">
        <w:t xml:space="preserve">OCC Ex. 2 </w:t>
      </w:r>
      <w:r w:rsidRPr="00C25749" w:rsidR="00114EF9">
        <w:t xml:space="preserve">at </w:t>
      </w:r>
      <w:r w:rsidRPr="00C25749" w:rsidR="00D25339">
        <w:t xml:space="preserve">43-44 </w:t>
      </w:r>
      <w:r w:rsidRPr="00C25749" w:rsidR="00A63D62">
        <w:t>(Direct Testimony and Exhibits of Christopher C. Walters) (</w:t>
      </w:r>
      <w:r w:rsidRPr="00C25749" w:rsidR="00114EF9">
        <w:t>August 25, 2021)</w:t>
      </w:r>
      <w:r w:rsidRPr="00C25749">
        <w:t>.</w:t>
      </w:r>
    </w:p>
  </w:footnote>
  <w:footnote w:id="154">
    <w:p w:rsidR="00D82B70" w:rsidRPr="00C25749" w:rsidP="00C25749" w14:paraId="2857571C" w14:textId="77777777">
      <w:pPr>
        <w:pStyle w:val="FootnoteText"/>
        <w:spacing w:after="120"/>
      </w:pPr>
      <w:r w:rsidRPr="00C25749">
        <w:rPr>
          <w:rStyle w:val="FootnoteReference"/>
        </w:rPr>
        <w:footnoteRef/>
      </w:r>
      <w:r w:rsidRPr="00C25749">
        <w:t xml:space="preserve"> </w:t>
      </w:r>
      <w:r w:rsidRPr="00C25749" w:rsidR="00D25339">
        <w:rPr>
          <w:i/>
          <w:iCs/>
        </w:rPr>
        <w:t xml:space="preserve">Id. </w:t>
      </w:r>
      <w:r w:rsidRPr="00C25749">
        <w:t>at 44.</w:t>
      </w:r>
    </w:p>
  </w:footnote>
  <w:footnote w:id="155">
    <w:p w:rsidR="00D82B70" w:rsidRPr="00C25749" w:rsidP="00C25749" w14:paraId="39B587B1"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156">
    <w:p w:rsidR="00C213F9" w:rsidRPr="00C25749" w:rsidP="00C25749" w14:paraId="042365D3" w14:textId="77777777">
      <w:pPr>
        <w:pStyle w:val="FootnoteText"/>
        <w:spacing w:after="120"/>
      </w:pPr>
      <w:r w:rsidRPr="00C25749">
        <w:rPr>
          <w:rStyle w:val="FootnoteReference"/>
        </w:rPr>
        <w:footnoteRef/>
      </w:r>
      <w:r w:rsidRPr="00C25749">
        <w:t xml:space="preserve"> </w:t>
      </w:r>
      <w:r w:rsidRPr="00C25749" w:rsidR="00D25339">
        <w:rPr>
          <w:i/>
          <w:iCs/>
        </w:rPr>
        <w:t xml:space="preserve">Id. </w:t>
      </w:r>
      <w:r w:rsidRPr="00C25749">
        <w:t>at 65.</w:t>
      </w:r>
    </w:p>
  </w:footnote>
  <w:footnote w:id="157">
    <w:p w:rsidR="00C213F9" w:rsidRPr="00C25749" w:rsidP="00C25749" w14:paraId="5D05FEEE"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158">
    <w:p w:rsidR="00C213F9" w:rsidRPr="00C25749" w:rsidP="00C25749" w14:paraId="4A11E1E7" w14:textId="77777777">
      <w:pPr>
        <w:pStyle w:val="FootnoteText"/>
        <w:spacing w:after="120"/>
      </w:pPr>
      <w:r w:rsidRPr="00C25749">
        <w:rPr>
          <w:rStyle w:val="FootnoteReference"/>
          <w:rFonts w:eastAsiaTheme="majorEastAsia"/>
        </w:rPr>
        <w:footnoteRef/>
      </w:r>
      <w:r w:rsidRPr="00C25749">
        <w:t xml:space="preserve"> McKenzie Corrected Direct Testimony at 72.</w:t>
      </w:r>
    </w:p>
  </w:footnote>
  <w:footnote w:id="159">
    <w:p w:rsidR="00C213F9" w:rsidRPr="00C25749" w:rsidP="00C25749" w14:paraId="2B1434E9" w14:textId="77777777">
      <w:pPr>
        <w:pStyle w:val="FootnoteText"/>
        <w:spacing w:after="120"/>
      </w:pPr>
      <w:r w:rsidRPr="00C25749">
        <w:rPr>
          <w:rStyle w:val="FootnoteReference"/>
          <w:rFonts w:eastAsiaTheme="majorEastAsia"/>
        </w:rPr>
        <w:footnoteRef/>
      </w:r>
      <w:r w:rsidRPr="00C25749">
        <w:rPr>
          <w:i/>
        </w:rPr>
        <w:t xml:space="preserve"> </w:t>
      </w:r>
      <w:r w:rsidRPr="00C25749" w:rsidR="00D25339">
        <w:rPr>
          <w:iCs/>
        </w:rPr>
        <w:t xml:space="preserve">OCC Ex. </w:t>
      </w:r>
      <w:r w:rsidRPr="00C25749" w:rsidR="00D25339">
        <w:t>2 at</w:t>
      </w:r>
      <w:r w:rsidRPr="00C25749" w:rsidR="00A865F0">
        <w:t xml:space="preserve"> 65.</w:t>
      </w:r>
    </w:p>
  </w:footnote>
  <w:footnote w:id="160">
    <w:p w:rsidR="00A865F0" w:rsidRPr="00C25749" w:rsidP="00C25749" w14:paraId="413E87E4"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161">
    <w:p w:rsidR="00BB64A2" w:rsidRPr="00C25749" w:rsidP="00C25749" w14:paraId="16F006FA" w14:textId="77777777">
      <w:pPr>
        <w:pStyle w:val="FootnoteText"/>
        <w:spacing w:after="120"/>
      </w:pPr>
      <w:r w:rsidRPr="00C25749">
        <w:rPr>
          <w:rStyle w:val="FootnoteReference"/>
          <w:rFonts w:eastAsiaTheme="majorEastAsia"/>
        </w:rPr>
        <w:footnoteRef/>
      </w:r>
      <w:r w:rsidRPr="00C25749">
        <w:t xml:space="preserve"> Staff Report at 21.</w:t>
      </w:r>
    </w:p>
  </w:footnote>
  <w:footnote w:id="162">
    <w:p w:rsidR="00D04730" w:rsidRPr="00C25749" w:rsidP="00C25749" w14:paraId="114873CC" w14:textId="77777777">
      <w:pPr>
        <w:pStyle w:val="FootnoteText"/>
        <w:spacing w:after="120"/>
      </w:pPr>
      <w:r w:rsidRPr="00C25749">
        <w:rPr>
          <w:rStyle w:val="FootnoteReference"/>
        </w:rPr>
        <w:footnoteRef/>
      </w:r>
      <w:r w:rsidRPr="00C25749">
        <w:t xml:space="preserve"> </w:t>
      </w:r>
      <w:r w:rsidRPr="00C25749" w:rsidR="00901C3C">
        <w:rPr>
          <w:iCs/>
        </w:rPr>
        <w:t xml:space="preserve">OCC Ex. </w:t>
      </w:r>
      <w:r w:rsidRPr="00C25749" w:rsidR="00901C3C">
        <w:t xml:space="preserve">2 </w:t>
      </w:r>
      <w:r w:rsidRPr="00C25749">
        <w:t>at 44</w:t>
      </w:r>
      <w:r w:rsidRPr="00C25749" w:rsidR="00813E3E">
        <w:t xml:space="preserve"> and 54</w:t>
      </w:r>
      <w:r w:rsidRPr="00C25749">
        <w:t>.</w:t>
      </w:r>
    </w:p>
  </w:footnote>
  <w:footnote w:id="163">
    <w:p w:rsidR="00D04730" w:rsidRPr="00C25749" w:rsidP="00C25749" w14:paraId="238F1DD2"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164">
    <w:p w:rsidR="00D04730" w:rsidRPr="00C25749" w:rsidP="00C25749" w14:paraId="4477CA6B"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165">
    <w:p w:rsidR="00D04730" w:rsidRPr="00C25749" w:rsidP="00C25749" w14:paraId="429D4F80"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166">
    <w:p w:rsidR="00553453" w:rsidRPr="00C25749" w:rsidP="00C25749" w14:paraId="27FFB92B" w14:textId="77777777">
      <w:pPr>
        <w:pStyle w:val="FootnoteText"/>
        <w:spacing w:after="120"/>
      </w:pPr>
      <w:r w:rsidRPr="00C25749">
        <w:rPr>
          <w:rStyle w:val="FootnoteReference"/>
        </w:rPr>
        <w:footnoteRef/>
      </w:r>
      <w:r w:rsidRPr="00C25749">
        <w:t xml:space="preserve"> </w:t>
      </w:r>
      <w:r w:rsidRPr="00C25749" w:rsidR="00D25339">
        <w:rPr>
          <w:i/>
          <w:iCs/>
        </w:rPr>
        <w:t>Id.</w:t>
      </w:r>
      <w:r w:rsidRPr="00C25749" w:rsidR="00901C3C">
        <w:rPr>
          <w:i/>
          <w:iCs/>
        </w:rPr>
        <w:t xml:space="preserve"> </w:t>
      </w:r>
      <w:r w:rsidRPr="00C25749">
        <w:t>at 45.</w:t>
      </w:r>
    </w:p>
  </w:footnote>
  <w:footnote w:id="167">
    <w:p w:rsidR="00553453" w:rsidRPr="00C25749" w:rsidP="00C25749" w14:paraId="186F6E08"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168">
    <w:p w:rsidR="00553453" w:rsidRPr="00C25749" w:rsidP="00C25749" w14:paraId="05DCE05B"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169">
    <w:p w:rsidR="007D3A0C" w:rsidRPr="00C25749" w:rsidP="00C25749" w14:paraId="0597C66C"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170">
    <w:p w:rsidR="007D3A0C" w:rsidRPr="00C25749" w:rsidP="00C25749" w14:paraId="2AA3DC07"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171">
    <w:p w:rsidR="007D3A0C" w:rsidRPr="00C25749" w:rsidP="00C25749" w14:paraId="6B3CB442"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172">
    <w:p w:rsidR="003035AC" w:rsidRPr="00C25749" w:rsidP="00C25749" w14:paraId="12DC3F44" w14:textId="77777777">
      <w:pPr>
        <w:pStyle w:val="FootnoteText"/>
        <w:spacing w:after="120"/>
      </w:pPr>
      <w:r w:rsidRPr="00C25749">
        <w:rPr>
          <w:rStyle w:val="FootnoteReference"/>
        </w:rPr>
        <w:footnoteRef/>
      </w:r>
      <w:r w:rsidRPr="00C25749">
        <w:t xml:space="preserve"> </w:t>
      </w:r>
      <w:r w:rsidRPr="00C25749" w:rsidR="00D25339">
        <w:rPr>
          <w:i/>
          <w:iCs/>
        </w:rPr>
        <w:t xml:space="preserve">Id. </w:t>
      </w:r>
      <w:r w:rsidRPr="00C25749">
        <w:t>at 54.</w:t>
      </w:r>
    </w:p>
  </w:footnote>
  <w:footnote w:id="173">
    <w:p w:rsidR="007B44E6" w:rsidRPr="00C25749" w:rsidP="00C25749" w14:paraId="2673CDC6"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174">
    <w:p w:rsidR="007B44E6" w:rsidRPr="00C25749" w:rsidP="00C25749" w14:paraId="43A9F601"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175">
    <w:p w:rsidR="00640AFE" w:rsidRPr="00C25749" w:rsidP="00C25749" w14:paraId="6A4F4C5E"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176">
    <w:p w:rsidR="00CF2B33" w:rsidRPr="00C25749" w:rsidP="00C25749" w14:paraId="7F31A157"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177">
    <w:p w:rsidR="003B206F" w:rsidRPr="00C25749" w:rsidP="00C25749" w14:paraId="2E0775BA"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178">
    <w:p w:rsidR="003B206F" w:rsidRPr="00C25749" w:rsidP="00C25749" w14:paraId="6F3C226E" w14:textId="77777777">
      <w:pPr>
        <w:pStyle w:val="FootnoteText"/>
        <w:spacing w:after="120"/>
      </w:pPr>
      <w:r w:rsidRPr="00C25749">
        <w:rPr>
          <w:rStyle w:val="FootnoteReference"/>
        </w:rPr>
        <w:footnoteRef/>
      </w:r>
      <w:r w:rsidRPr="00C25749">
        <w:t xml:space="preserve"> </w:t>
      </w:r>
      <w:r w:rsidRPr="00C25749" w:rsidR="00D25339">
        <w:rPr>
          <w:i/>
          <w:iCs/>
        </w:rPr>
        <w:t xml:space="preserve">Id. </w:t>
      </w:r>
      <w:r w:rsidRPr="00C25749" w:rsidR="00713A39">
        <w:t>at 55.</w:t>
      </w:r>
    </w:p>
  </w:footnote>
  <w:footnote w:id="179">
    <w:p w:rsidR="00713A39" w:rsidRPr="00C25749" w:rsidP="00C25749" w14:paraId="7101C933"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180">
    <w:p w:rsidR="00713A39" w:rsidRPr="00C25749" w:rsidP="00C25749" w14:paraId="6C909173"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181">
    <w:p w:rsidR="00713A39" w:rsidRPr="00C25749" w:rsidP="00C25749" w14:paraId="0128E696"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182">
    <w:p w:rsidR="00713A39" w:rsidRPr="00C25749" w:rsidP="00C25749" w14:paraId="1922BB12"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183">
    <w:p w:rsidR="00867791" w:rsidRPr="00C25749" w:rsidP="00C25749" w14:paraId="646F6C51"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184">
    <w:p w:rsidR="00867791" w:rsidRPr="00C25749" w:rsidP="00C25749" w14:paraId="219B4F69"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185">
    <w:p w:rsidR="00CF2B33" w:rsidRPr="00C25749" w:rsidP="00C25749" w14:paraId="5E422132" w14:textId="77777777">
      <w:pPr>
        <w:pStyle w:val="FootnoteText"/>
        <w:spacing w:after="120"/>
      </w:pPr>
      <w:r w:rsidRPr="00C25749">
        <w:rPr>
          <w:rStyle w:val="FootnoteReference"/>
          <w:rFonts w:eastAsiaTheme="majorEastAsia"/>
        </w:rPr>
        <w:footnoteRef/>
      </w:r>
      <w:r w:rsidRPr="00C25749">
        <w:t xml:space="preserve"> </w:t>
      </w:r>
      <w:r w:rsidRPr="00C25749" w:rsidR="00D25339">
        <w:rPr>
          <w:i/>
          <w:iCs/>
        </w:rPr>
        <w:t>Id.</w:t>
      </w:r>
      <w:r w:rsidRPr="00C25749" w:rsidR="00D25339">
        <w:t>;</w:t>
      </w:r>
      <w:r w:rsidRPr="00C25749" w:rsidR="00D25339">
        <w:rPr>
          <w:i/>
          <w:iCs/>
        </w:rPr>
        <w:t xml:space="preserve"> </w:t>
      </w:r>
      <w:r w:rsidRPr="00C25749">
        <w:t>Morin, Dr. Roger A, “New Regulatory Finance,” at p. 156.</w:t>
      </w:r>
    </w:p>
  </w:footnote>
  <w:footnote w:id="186">
    <w:p w:rsidR="00CF2B33" w:rsidRPr="00C25749" w:rsidP="00C25749" w14:paraId="2A0061E4" w14:textId="77777777">
      <w:pPr>
        <w:pStyle w:val="FootnoteText"/>
        <w:spacing w:after="120"/>
      </w:pPr>
      <w:r w:rsidRPr="00C25749">
        <w:rPr>
          <w:rStyle w:val="FootnoteReference"/>
          <w:rFonts w:eastAsiaTheme="majorEastAsia"/>
        </w:rPr>
        <w:footnoteRef/>
      </w:r>
      <w:r w:rsidRPr="00C25749">
        <w:rPr>
          <w:i/>
        </w:rPr>
        <w:t xml:space="preserve"> Id.</w:t>
      </w:r>
      <w:r w:rsidRPr="00C25749">
        <w:t xml:space="preserve"> at p. 162.</w:t>
      </w:r>
    </w:p>
  </w:footnote>
  <w:footnote w:id="187">
    <w:p w:rsidR="0099136D" w:rsidRPr="00C25749" w:rsidP="00C25749" w14:paraId="6BB842CA" w14:textId="77777777">
      <w:pPr>
        <w:pStyle w:val="FootnoteText"/>
        <w:spacing w:after="120"/>
      </w:pPr>
      <w:r w:rsidRPr="00C25749">
        <w:rPr>
          <w:rStyle w:val="FootnoteReference"/>
        </w:rPr>
        <w:footnoteRef/>
      </w:r>
      <w:r w:rsidRPr="00C25749">
        <w:t xml:space="preserve"> </w:t>
      </w:r>
      <w:r w:rsidRPr="00C25749" w:rsidR="00D25339">
        <w:rPr>
          <w:iCs/>
        </w:rPr>
        <w:t xml:space="preserve">OCC Ex. </w:t>
      </w:r>
      <w:r w:rsidRPr="00C25749" w:rsidR="00D25339">
        <w:t xml:space="preserve">2 </w:t>
      </w:r>
      <w:r w:rsidRPr="00C25749">
        <w:t>at 55.</w:t>
      </w:r>
    </w:p>
  </w:footnote>
  <w:footnote w:id="188">
    <w:p w:rsidR="00D50714" w:rsidRPr="00C25749" w:rsidP="00C25749" w14:paraId="16E72CDB" w14:textId="77777777">
      <w:pPr>
        <w:pStyle w:val="FootnoteText"/>
        <w:spacing w:after="120"/>
      </w:pPr>
      <w:r w:rsidRPr="00C25749">
        <w:rPr>
          <w:rStyle w:val="FootnoteReference"/>
        </w:rPr>
        <w:footnoteRef/>
      </w:r>
      <w:r w:rsidRPr="00C25749">
        <w:t xml:space="preserve"> </w:t>
      </w:r>
      <w:r w:rsidRPr="00C25749" w:rsidR="00D25339">
        <w:rPr>
          <w:i/>
          <w:iCs/>
        </w:rPr>
        <w:t>Id.</w:t>
      </w:r>
      <w:r w:rsidRPr="00C25749">
        <w:t xml:space="preserve"> at 45</w:t>
      </w:r>
      <w:r w:rsidRPr="00C25749" w:rsidR="00DB1878">
        <w:t>-46</w:t>
      </w:r>
      <w:r w:rsidRPr="00C25749" w:rsidR="003035AC">
        <w:t>, 54</w:t>
      </w:r>
      <w:r w:rsidRPr="00C25749">
        <w:t>.</w:t>
      </w:r>
    </w:p>
  </w:footnote>
  <w:footnote w:id="189">
    <w:p w:rsidR="00DB1878" w:rsidRPr="00C25749" w:rsidP="00C25749" w14:paraId="3DB08F92" w14:textId="77777777">
      <w:pPr>
        <w:pStyle w:val="FootnoteText"/>
        <w:spacing w:after="120"/>
      </w:pPr>
      <w:r w:rsidRPr="00C25749">
        <w:rPr>
          <w:rStyle w:val="FootnoteReference"/>
        </w:rPr>
        <w:footnoteRef/>
      </w:r>
      <w:r w:rsidRPr="00C25749">
        <w:t xml:space="preserve"> </w:t>
      </w:r>
      <w:r w:rsidRPr="00C25749" w:rsidR="00D25339">
        <w:rPr>
          <w:i/>
          <w:iCs/>
        </w:rPr>
        <w:t>Id.</w:t>
      </w:r>
      <w:r w:rsidRPr="00C25749" w:rsidR="006D1CD7">
        <w:t xml:space="preserve"> at 46</w:t>
      </w:r>
      <w:r w:rsidRPr="00C25749" w:rsidR="003035AC">
        <w:t>, 54</w:t>
      </w:r>
      <w:r w:rsidRPr="00C25749" w:rsidR="006D1CD7">
        <w:t>.</w:t>
      </w:r>
    </w:p>
  </w:footnote>
  <w:footnote w:id="190">
    <w:p w:rsidR="00D50714" w:rsidRPr="00C25749" w:rsidP="00C25749" w14:paraId="3980AEDA" w14:textId="77777777">
      <w:pPr>
        <w:pStyle w:val="FootnoteText"/>
        <w:spacing w:after="120"/>
      </w:pPr>
      <w:r w:rsidRPr="00C25749">
        <w:rPr>
          <w:rStyle w:val="FootnoteReference"/>
          <w:rFonts w:eastAsiaTheme="majorEastAsia"/>
        </w:rPr>
        <w:footnoteRef/>
      </w:r>
      <w:r w:rsidRPr="00C25749">
        <w:rPr>
          <w:i/>
        </w:rPr>
        <w:t xml:space="preserve"> </w:t>
      </w:r>
      <w:r w:rsidRPr="00C25749" w:rsidR="00750CD9">
        <w:rPr>
          <w:i/>
        </w:rPr>
        <w:t>Blue Chip Financial Forecasts</w:t>
      </w:r>
      <w:r w:rsidRPr="00C25749" w:rsidR="00750CD9">
        <w:t xml:space="preserve">, July 1, </w:t>
      </w:r>
      <w:r w:rsidRPr="00C25749" w:rsidR="00EE15D6">
        <w:t>2021,</w:t>
      </w:r>
      <w:r w:rsidRPr="00C25749" w:rsidR="00750CD9">
        <w:t xml:space="preserve"> at 2.</w:t>
      </w:r>
    </w:p>
  </w:footnote>
  <w:footnote w:id="191">
    <w:p w:rsidR="006D1CD7" w:rsidRPr="00C25749" w:rsidP="00C25749" w14:paraId="18C0C0BB" w14:textId="77777777">
      <w:pPr>
        <w:pStyle w:val="FootnoteText"/>
        <w:spacing w:after="120"/>
      </w:pPr>
      <w:r w:rsidRPr="00C25749">
        <w:rPr>
          <w:rStyle w:val="FootnoteReference"/>
        </w:rPr>
        <w:footnoteRef/>
      </w:r>
      <w:r w:rsidRPr="00C25749">
        <w:t xml:space="preserve"> </w:t>
      </w:r>
      <w:r w:rsidRPr="00C25749" w:rsidR="00D25339">
        <w:t>OCC Ex. 2 at</w:t>
      </w:r>
      <w:r w:rsidRPr="00C25749">
        <w:t xml:space="preserve"> 46.</w:t>
      </w:r>
    </w:p>
  </w:footnote>
  <w:footnote w:id="192">
    <w:p w:rsidR="00E32026" w:rsidRPr="00C25749" w:rsidP="00C25749" w14:paraId="35AE901D" w14:textId="77777777">
      <w:pPr>
        <w:pStyle w:val="FootnoteText"/>
        <w:spacing w:after="120"/>
      </w:pPr>
      <w:r w:rsidRPr="00C25749">
        <w:rPr>
          <w:rStyle w:val="FootnoteReference"/>
        </w:rPr>
        <w:footnoteRef/>
      </w:r>
      <w:r w:rsidRPr="00C25749">
        <w:t xml:space="preserve"> </w:t>
      </w:r>
      <w:r w:rsidRPr="00C25749" w:rsidR="00D25339">
        <w:rPr>
          <w:i/>
          <w:iCs/>
        </w:rPr>
        <w:t xml:space="preserve">Id. </w:t>
      </w:r>
      <w:r w:rsidRPr="00C25749" w:rsidR="00D25339">
        <w:t>(</w:t>
      </w:r>
      <w:r w:rsidRPr="00C25749">
        <w:t>2.7% + 0.80 x 6.57% = 7.95%</w:t>
      </w:r>
      <w:r w:rsidRPr="00C25749" w:rsidR="00D25339">
        <w:t>)</w:t>
      </w:r>
      <w:r w:rsidRPr="00C25749">
        <w:t>.</w:t>
      </w:r>
    </w:p>
  </w:footnote>
  <w:footnote w:id="193">
    <w:p w:rsidR="00675875" w:rsidRPr="00C25749" w:rsidP="00C25749" w14:paraId="04DB7BA2" w14:textId="77777777">
      <w:pPr>
        <w:pStyle w:val="FootnoteText"/>
        <w:spacing w:after="120"/>
      </w:pPr>
      <w:r w:rsidRPr="00C25749">
        <w:rPr>
          <w:rStyle w:val="FootnoteReference"/>
        </w:rPr>
        <w:footnoteRef/>
      </w:r>
      <w:r w:rsidRPr="00C25749">
        <w:t xml:space="preserve"> </w:t>
      </w:r>
      <w:r w:rsidRPr="00C25749" w:rsidR="00D25339">
        <w:rPr>
          <w:i/>
          <w:iCs/>
        </w:rPr>
        <w:t>Id.</w:t>
      </w:r>
      <w:r w:rsidRPr="00C25749">
        <w:t xml:space="preserve"> at 56.</w:t>
      </w:r>
    </w:p>
  </w:footnote>
  <w:footnote w:id="194">
    <w:p w:rsidR="00B07638" w:rsidRPr="00C25749" w:rsidP="00C25749" w14:paraId="7322BA2F"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195">
    <w:p w:rsidR="00B07638" w:rsidRPr="00C25749" w:rsidP="00C25749" w14:paraId="164D9018"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196">
    <w:p w:rsidR="00CF684A" w:rsidRPr="00C25749" w:rsidP="00C25749" w14:paraId="389D954D"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197">
    <w:p w:rsidR="00CF684A" w:rsidRPr="00C25749" w:rsidP="00C25749" w14:paraId="107587BD" w14:textId="77777777">
      <w:pPr>
        <w:pStyle w:val="FootnoteText"/>
        <w:spacing w:after="120"/>
      </w:pPr>
      <w:r w:rsidRPr="00C25749">
        <w:rPr>
          <w:rStyle w:val="FootnoteReference"/>
        </w:rPr>
        <w:footnoteRef/>
      </w:r>
      <w:r w:rsidRPr="00C25749">
        <w:t xml:space="preserve"> </w:t>
      </w:r>
      <w:r w:rsidRPr="00C25749" w:rsidR="00EE15D6">
        <w:rPr>
          <w:i/>
          <w:iCs/>
        </w:rPr>
        <w:t>Id.</w:t>
      </w:r>
    </w:p>
  </w:footnote>
  <w:footnote w:id="198">
    <w:p w:rsidR="009F39F6" w:rsidRPr="00C25749" w:rsidP="00C25749" w14:paraId="07E50C32"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199">
    <w:p w:rsidR="009F39F6" w:rsidRPr="00C25749" w:rsidP="00C25749" w14:paraId="791185EB" w14:textId="77777777">
      <w:pPr>
        <w:pStyle w:val="FootnoteText"/>
        <w:spacing w:after="120"/>
      </w:pPr>
      <w:r w:rsidRPr="00C25749">
        <w:rPr>
          <w:rStyle w:val="FootnoteReference"/>
        </w:rPr>
        <w:footnoteRef/>
      </w:r>
      <w:r w:rsidRPr="00C25749">
        <w:t xml:space="preserve"> </w:t>
      </w:r>
      <w:r w:rsidRPr="00C25749" w:rsidR="00D25339">
        <w:rPr>
          <w:i/>
          <w:iCs/>
        </w:rPr>
        <w:t xml:space="preserve">Id. </w:t>
      </w:r>
      <w:r w:rsidRPr="00C25749">
        <w:t>at 56-57.</w:t>
      </w:r>
    </w:p>
  </w:footnote>
  <w:footnote w:id="200">
    <w:p w:rsidR="009F39F6" w:rsidRPr="00C25749" w:rsidP="00C25749" w14:paraId="304B8B92" w14:textId="77777777">
      <w:pPr>
        <w:pStyle w:val="FootnoteText"/>
        <w:spacing w:after="120"/>
      </w:pPr>
      <w:r w:rsidRPr="00C25749">
        <w:rPr>
          <w:rStyle w:val="FootnoteReference"/>
        </w:rPr>
        <w:footnoteRef/>
      </w:r>
      <w:r w:rsidRPr="00C25749">
        <w:t xml:space="preserve"> </w:t>
      </w:r>
      <w:r w:rsidRPr="00C25749" w:rsidR="00D25339">
        <w:rPr>
          <w:i/>
          <w:iCs/>
        </w:rPr>
        <w:t xml:space="preserve">Id. </w:t>
      </w:r>
      <w:r w:rsidRPr="00C25749">
        <w:t>at 57.</w:t>
      </w:r>
    </w:p>
  </w:footnote>
  <w:footnote w:id="201">
    <w:p w:rsidR="009F39F6" w:rsidRPr="00C25749" w:rsidP="00C25749" w14:paraId="5D363BFA"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202">
    <w:p w:rsidR="009F39F6" w:rsidRPr="00C25749" w:rsidP="00C25749" w14:paraId="04A7BACB"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203">
    <w:p w:rsidR="008E114C" w:rsidRPr="00C25749" w:rsidP="00C25749" w14:paraId="31B5B079" w14:textId="77777777">
      <w:pPr>
        <w:pStyle w:val="FootnoteText"/>
        <w:spacing w:after="120"/>
      </w:pPr>
      <w:r w:rsidRPr="00C25749">
        <w:rPr>
          <w:rStyle w:val="FootnoteReference"/>
        </w:rPr>
        <w:footnoteRef/>
      </w:r>
      <w:r w:rsidRPr="00C25749">
        <w:t xml:space="preserve"> </w:t>
      </w:r>
      <w:r w:rsidRPr="00C25749" w:rsidR="00D25339">
        <w:rPr>
          <w:i/>
          <w:iCs/>
        </w:rPr>
        <w:t xml:space="preserve">Id. </w:t>
      </w:r>
      <w:r w:rsidRPr="00C25749" w:rsidR="00877648">
        <w:t>at 58.</w:t>
      </w:r>
    </w:p>
  </w:footnote>
  <w:footnote w:id="204">
    <w:p w:rsidR="00E67DF5" w:rsidRPr="00C25749" w:rsidP="00C25749" w14:paraId="223FEAAD" w14:textId="77777777">
      <w:pPr>
        <w:pStyle w:val="FootnoteText"/>
        <w:spacing w:after="120"/>
      </w:pPr>
      <w:r w:rsidRPr="00C25749">
        <w:rPr>
          <w:rStyle w:val="FootnoteReference"/>
          <w:rFonts w:eastAsiaTheme="majorEastAsia"/>
        </w:rPr>
        <w:footnoteRef/>
      </w:r>
      <w:r w:rsidRPr="00C25749">
        <w:rPr>
          <w:i/>
        </w:rPr>
        <w:t xml:space="preserve"> Duff &amp; Phelps Cost of Capital Navigator 2021, CRSP Deciles Size Study</w:t>
      </w:r>
      <w:r w:rsidRPr="00C25749">
        <w:t>.</w:t>
      </w:r>
    </w:p>
  </w:footnote>
  <w:footnote w:id="205">
    <w:p w:rsidR="00877648" w:rsidRPr="00C25749" w:rsidP="00C25749" w14:paraId="091AA4BA" w14:textId="77777777">
      <w:pPr>
        <w:pStyle w:val="FootnoteText"/>
        <w:spacing w:after="120"/>
      </w:pPr>
      <w:r w:rsidRPr="00C25749">
        <w:rPr>
          <w:rStyle w:val="FootnoteReference"/>
        </w:rPr>
        <w:footnoteRef/>
      </w:r>
      <w:r w:rsidRPr="00C25749">
        <w:t xml:space="preserve"> </w:t>
      </w:r>
      <w:r w:rsidRPr="00C25749" w:rsidR="00D25339">
        <w:t xml:space="preserve">OCC Ex. 2 </w:t>
      </w:r>
      <w:r w:rsidRPr="00C25749" w:rsidR="00F01179">
        <w:t>at 58.</w:t>
      </w:r>
    </w:p>
  </w:footnote>
  <w:footnote w:id="206">
    <w:p w:rsidR="00F01179" w:rsidRPr="00C25749" w:rsidP="00C25749" w14:paraId="5E2E17AF"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207">
    <w:p w:rsidR="00442767" w:rsidRPr="00C25749" w:rsidP="00C25749" w14:paraId="294F838B"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208">
    <w:p w:rsidR="00442767" w:rsidRPr="00C25749" w:rsidP="00C25749" w14:paraId="6A7645B5"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209">
    <w:p w:rsidR="00D55E89" w:rsidRPr="00C25749" w:rsidP="00C25749" w14:paraId="565D2544" w14:textId="77777777">
      <w:pPr>
        <w:pStyle w:val="FootnoteText"/>
        <w:spacing w:after="120"/>
      </w:pPr>
      <w:r w:rsidRPr="00C25749">
        <w:rPr>
          <w:rStyle w:val="FootnoteReference"/>
        </w:rPr>
        <w:footnoteRef/>
      </w:r>
      <w:r w:rsidRPr="00C25749">
        <w:t xml:space="preserve"> </w:t>
      </w:r>
      <w:r w:rsidRPr="00C25749" w:rsidR="00D25339">
        <w:rPr>
          <w:i/>
          <w:iCs/>
        </w:rPr>
        <w:t>Id.</w:t>
      </w:r>
      <w:r w:rsidRPr="00C25749">
        <w:t xml:space="preserve"> at 59.</w:t>
      </w:r>
    </w:p>
  </w:footnote>
  <w:footnote w:id="210">
    <w:p w:rsidR="00D55E89" w:rsidRPr="00C25749" w:rsidP="00C25749" w14:paraId="4E6B8CDA"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211">
    <w:p w:rsidR="00D55E89" w:rsidRPr="00C25749" w:rsidP="00C25749" w14:paraId="0F07574C"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212">
    <w:p w:rsidR="003E4DE7" w:rsidRPr="00C25749" w:rsidP="00C25749" w14:paraId="27ACB8C1"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213">
    <w:p w:rsidR="003E4DE7" w:rsidRPr="00C25749" w:rsidP="00C25749" w14:paraId="28389C28"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214">
    <w:p w:rsidR="003E4DE7" w:rsidRPr="00C25749" w:rsidP="00C25749" w14:paraId="1ECB6E6B"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215">
    <w:p w:rsidR="00ED7199" w:rsidRPr="00C25749" w:rsidP="00C25749" w14:paraId="7D57C813"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216">
    <w:p w:rsidR="00ED7199" w:rsidRPr="00C25749" w:rsidP="00C25749" w14:paraId="2BA36C80"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217">
    <w:p w:rsidR="00E67DF5" w:rsidRPr="00C25749" w:rsidP="00C25749" w14:paraId="37863E0C" w14:textId="77777777">
      <w:pPr>
        <w:pStyle w:val="FootnoteText"/>
        <w:spacing w:after="120"/>
      </w:pPr>
      <w:r w:rsidRPr="00C25749">
        <w:rPr>
          <w:rStyle w:val="FootnoteReference"/>
          <w:rFonts w:eastAsiaTheme="majorEastAsia"/>
        </w:rPr>
        <w:footnoteRef/>
      </w:r>
      <w:r w:rsidRPr="00C25749">
        <w:t xml:space="preserve"> </w:t>
      </w:r>
      <w:r w:rsidRPr="00C25749" w:rsidR="00D25339">
        <w:rPr>
          <w:i/>
          <w:iCs/>
        </w:rPr>
        <w:t xml:space="preserve">Id. </w:t>
      </w:r>
      <w:r w:rsidRPr="00C25749" w:rsidR="00ED7199">
        <w:t>at 59-60 (</w:t>
      </w:r>
      <w:r w:rsidRPr="00C25749">
        <w:t>1.5% + 0.88 x 8.80% = 9.2%</w:t>
      </w:r>
      <w:r w:rsidRPr="00C25749" w:rsidR="00ED7199">
        <w:t>)</w:t>
      </w:r>
      <w:r w:rsidRPr="00C25749">
        <w:t>.</w:t>
      </w:r>
    </w:p>
  </w:footnote>
  <w:footnote w:id="218">
    <w:p w:rsidR="00736D2B" w:rsidRPr="00C25749" w:rsidP="00C25749" w14:paraId="34071A24" w14:textId="77777777">
      <w:pPr>
        <w:pStyle w:val="FootnoteText"/>
        <w:spacing w:after="120"/>
      </w:pPr>
      <w:r w:rsidRPr="00C25749">
        <w:rPr>
          <w:rStyle w:val="FootnoteReference"/>
        </w:rPr>
        <w:footnoteRef/>
      </w:r>
      <w:r w:rsidRPr="00C25749">
        <w:t xml:space="preserve"> </w:t>
      </w:r>
      <w:r w:rsidRPr="00C25749" w:rsidR="00D25339">
        <w:t xml:space="preserve">OCC Ex. 2 </w:t>
      </w:r>
      <w:r w:rsidRPr="00C25749">
        <w:t>at 46.</w:t>
      </w:r>
    </w:p>
  </w:footnote>
  <w:footnote w:id="219">
    <w:p w:rsidR="000A205C" w:rsidRPr="00C25749" w:rsidP="00C25749" w14:paraId="0F82B15F"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220">
    <w:p w:rsidR="000A205C" w:rsidRPr="00C25749" w:rsidP="00C25749" w14:paraId="23DB3845"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221">
    <w:p w:rsidR="00950426" w:rsidRPr="00C25749" w:rsidP="00C25749" w14:paraId="2C0A6FBB" w14:textId="77777777">
      <w:pPr>
        <w:pStyle w:val="FootnoteText"/>
        <w:spacing w:after="120"/>
      </w:pPr>
      <w:r w:rsidRPr="00C25749">
        <w:rPr>
          <w:rStyle w:val="FootnoteReference"/>
          <w:rFonts w:eastAsiaTheme="majorEastAsia"/>
        </w:rPr>
        <w:footnoteRef/>
      </w:r>
      <w:r w:rsidRPr="00C25749">
        <w:t xml:space="preserve"> Staff Report at 131.</w:t>
      </w:r>
    </w:p>
  </w:footnote>
  <w:footnote w:id="222">
    <w:p w:rsidR="000A205C" w:rsidRPr="00C25749" w:rsidP="00C25749" w14:paraId="276D2969" w14:textId="77777777">
      <w:pPr>
        <w:pStyle w:val="FootnoteText"/>
        <w:spacing w:after="120"/>
      </w:pPr>
      <w:r w:rsidRPr="00C25749">
        <w:rPr>
          <w:rStyle w:val="FootnoteReference"/>
        </w:rPr>
        <w:footnoteRef/>
      </w:r>
      <w:r w:rsidRPr="00C25749">
        <w:t xml:space="preserve"> </w:t>
      </w:r>
      <w:r w:rsidRPr="00C25749" w:rsidR="00D25339">
        <w:t>OCC Ex. 2 at 46.</w:t>
      </w:r>
    </w:p>
  </w:footnote>
  <w:footnote w:id="223">
    <w:p w:rsidR="008F60B7" w:rsidRPr="00C25749" w:rsidP="00C25749" w14:paraId="21DA57C5" w14:textId="77777777">
      <w:pPr>
        <w:pStyle w:val="FootnoteText"/>
        <w:spacing w:after="120"/>
      </w:pPr>
      <w:r w:rsidRPr="00C25749">
        <w:rPr>
          <w:rStyle w:val="FootnoteReference"/>
        </w:rPr>
        <w:footnoteRef/>
      </w:r>
      <w:r w:rsidRPr="00C25749">
        <w:t xml:space="preserve"> </w:t>
      </w:r>
      <w:r w:rsidRPr="00C25749" w:rsidR="00D25339">
        <w:rPr>
          <w:i/>
          <w:iCs/>
        </w:rPr>
        <w:t>Id.</w:t>
      </w:r>
      <w:r w:rsidRPr="00C25749">
        <w:t xml:space="preserve"> at 4</w:t>
      </w:r>
      <w:r w:rsidRPr="00C25749" w:rsidR="005A66E6">
        <w:t>7</w:t>
      </w:r>
      <w:r w:rsidRPr="00C25749">
        <w:t>.</w:t>
      </w:r>
    </w:p>
  </w:footnote>
  <w:footnote w:id="224">
    <w:p w:rsidR="000A205C" w:rsidRPr="00C25749" w:rsidP="00C25749" w14:paraId="5065E400"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225">
    <w:p w:rsidR="005A66E6" w:rsidRPr="00C25749" w:rsidP="00C25749" w14:paraId="6FE8C01E"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226">
    <w:p w:rsidR="005A66E6" w:rsidRPr="00C25749" w:rsidP="00C25749" w14:paraId="4F1F4339"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227">
    <w:p w:rsidR="0015513F" w:rsidRPr="00C25749" w:rsidP="00C25749" w14:paraId="7D62B327"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228">
    <w:p w:rsidR="0015513F" w:rsidRPr="00C25749" w:rsidP="00C25749" w14:paraId="4E7FCA04"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229">
    <w:p w:rsidR="005242CB" w:rsidRPr="00C25749" w:rsidP="00C25749" w14:paraId="1775D632"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230">
    <w:p w:rsidR="005242CB" w:rsidRPr="00C25749" w:rsidP="00C25749" w14:paraId="1EA6EE5E" w14:textId="77777777">
      <w:pPr>
        <w:pStyle w:val="FootnoteText"/>
        <w:spacing w:after="120"/>
      </w:pPr>
      <w:r w:rsidRPr="00C25749">
        <w:rPr>
          <w:rStyle w:val="FootnoteReference"/>
        </w:rPr>
        <w:footnoteRef/>
      </w:r>
      <w:r w:rsidRPr="00C25749">
        <w:t xml:space="preserve"> </w:t>
      </w:r>
      <w:r w:rsidRPr="00C25749" w:rsidR="00D25339">
        <w:rPr>
          <w:i/>
          <w:iCs/>
        </w:rPr>
        <w:t xml:space="preserve">Id. </w:t>
      </w:r>
      <w:r w:rsidRPr="00C25749">
        <w:t>at 48.</w:t>
      </w:r>
    </w:p>
  </w:footnote>
  <w:footnote w:id="231">
    <w:p w:rsidR="005242CB" w:rsidRPr="00C25749" w:rsidP="00C25749" w14:paraId="05135A74"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232">
    <w:p w:rsidR="005242CB" w:rsidRPr="00C25749" w:rsidP="00C25749" w14:paraId="5281C07F" w14:textId="77777777">
      <w:pPr>
        <w:pStyle w:val="FootnoteText"/>
        <w:spacing w:after="120"/>
      </w:pPr>
      <w:r w:rsidRPr="00C25749">
        <w:rPr>
          <w:rStyle w:val="FootnoteReference"/>
        </w:rPr>
        <w:footnoteRef/>
      </w:r>
      <w:r w:rsidRPr="00C25749">
        <w:t xml:space="preserve"> </w:t>
      </w:r>
      <w:r w:rsidRPr="00C25749" w:rsidR="00D25339">
        <w:rPr>
          <w:i/>
          <w:iCs/>
        </w:rPr>
        <w:t>Id.</w:t>
      </w:r>
    </w:p>
  </w:footnote>
  <w:footnote w:id="233">
    <w:p w:rsidR="004F3B06" w:rsidRPr="00C25749" w:rsidP="00C25749" w14:paraId="56C2B65B" w14:textId="77777777">
      <w:pPr>
        <w:pStyle w:val="FootnoteText"/>
        <w:spacing w:after="120"/>
      </w:pPr>
      <w:r w:rsidRPr="00C25749">
        <w:rPr>
          <w:rStyle w:val="FootnoteReference"/>
        </w:rPr>
        <w:footnoteRef/>
      </w:r>
      <w:r w:rsidRPr="00C25749">
        <w:t xml:space="preserve"> </w:t>
      </w:r>
      <w:r w:rsidRPr="00C25749" w:rsidR="00D25339">
        <w:rPr>
          <w:i/>
          <w:iCs/>
        </w:rPr>
        <w:t xml:space="preserve">Id. </w:t>
      </w:r>
      <w:r w:rsidRPr="00C25749">
        <w:t>at 52.</w:t>
      </w:r>
    </w:p>
  </w:footnote>
  <w:footnote w:id="234">
    <w:p w:rsidR="00ED32B2" w:rsidRPr="00C25749" w:rsidP="00C25749" w14:paraId="06DAA252" w14:textId="77777777">
      <w:pPr>
        <w:pStyle w:val="FootnoteText"/>
        <w:spacing w:after="120"/>
      </w:pPr>
      <w:r w:rsidRPr="00C25749">
        <w:rPr>
          <w:rStyle w:val="FootnoteReference"/>
        </w:rPr>
        <w:footnoteRef/>
      </w:r>
      <w:r w:rsidRPr="00C25749">
        <w:t xml:space="preserve"> </w:t>
      </w:r>
      <w:r w:rsidRPr="00C25749" w:rsidR="00D25339">
        <w:rPr>
          <w:i/>
          <w:iCs/>
        </w:rPr>
        <w:t xml:space="preserve">Id. </w:t>
      </w:r>
      <w:r w:rsidRPr="00C25749" w:rsidR="000B30E6">
        <w:t>at 52-53.</w:t>
      </w:r>
    </w:p>
  </w:footnote>
  <w:footnote w:id="235">
    <w:p w:rsidR="00ED32B2" w:rsidRPr="00C25749" w:rsidP="00C25749" w14:paraId="0C91CE6D" w14:textId="77777777">
      <w:pPr>
        <w:pStyle w:val="FootnoteText"/>
        <w:spacing w:after="120"/>
      </w:pPr>
      <w:r w:rsidRPr="00C25749">
        <w:rPr>
          <w:rStyle w:val="FootnoteReference"/>
          <w:rFonts w:eastAsiaTheme="majorEastAsia"/>
        </w:rPr>
        <w:footnoteRef/>
      </w:r>
      <w:r w:rsidRPr="00C25749">
        <w:t xml:space="preserve"> Exhibit AMM-4 (Corrected), page 3.</w:t>
      </w:r>
    </w:p>
  </w:footnote>
  <w:footnote w:id="236">
    <w:p w:rsidR="000B30E6" w:rsidRPr="00C25749" w:rsidP="00C25749" w14:paraId="50A8ECA2" w14:textId="77777777">
      <w:pPr>
        <w:pStyle w:val="FootnoteText"/>
        <w:spacing w:after="120"/>
      </w:pPr>
      <w:r w:rsidRPr="00C25749">
        <w:rPr>
          <w:rStyle w:val="FootnoteReference"/>
        </w:rPr>
        <w:footnoteRef/>
      </w:r>
      <w:r w:rsidRPr="00C25749">
        <w:t xml:space="preserve"> </w:t>
      </w:r>
      <w:r w:rsidRPr="00C25749" w:rsidR="000470A2">
        <w:t xml:space="preserve">OCC Ex. 2 </w:t>
      </w:r>
      <w:r w:rsidRPr="00C25749">
        <w:t>at 52-53.</w:t>
      </w:r>
    </w:p>
  </w:footnote>
  <w:footnote w:id="237">
    <w:p w:rsidR="008C6A7F" w:rsidRPr="00C25749" w:rsidP="00C25749" w14:paraId="7B8AF62A" w14:textId="77777777">
      <w:pPr>
        <w:pStyle w:val="FootnoteText"/>
        <w:spacing w:after="120"/>
      </w:pPr>
      <w:r w:rsidRPr="00C25749">
        <w:rPr>
          <w:rStyle w:val="FootnoteReference"/>
        </w:rPr>
        <w:footnoteRef/>
      </w:r>
      <w:r w:rsidRPr="00C25749">
        <w:t xml:space="preserve"> </w:t>
      </w:r>
      <w:r w:rsidRPr="00C25749" w:rsidR="000470A2">
        <w:rPr>
          <w:i/>
          <w:iCs/>
        </w:rPr>
        <w:t>Id.</w:t>
      </w:r>
      <w:r w:rsidRPr="00C25749">
        <w:t xml:space="preserve"> at 53.</w:t>
      </w:r>
    </w:p>
  </w:footnote>
  <w:footnote w:id="238">
    <w:p w:rsidR="008C6A7F" w:rsidRPr="00C25749" w:rsidP="00C25749" w14:paraId="1D129801"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239">
    <w:p w:rsidR="008C6A7F" w:rsidRPr="00C25749" w:rsidP="00C25749" w14:paraId="6D5E23D2"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240">
    <w:p w:rsidR="008C6A7F" w:rsidRPr="00C25749" w:rsidP="00C25749" w14:paraId="4F9117BD"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241">
    <w:p w:rsidR="00546374" w:rsidRPr="00C25749" w:rsidP="00C25749" w14:paraId="0C488F98"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242">
    <w:p w:rsidR="00546374" w:rsidRPr="00C25749" w:rsidP="00C25749" w14:paraId="56B97D34"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243">
    <w:p w:rsidR="00546374" w:rsidRPr="00C25749" w:rsidP="00C25749" w14:paraId="25051C91"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244">
    <w:p w:rsidR="00546374" w:rsidRPr="00C25749" w:rsidP="00C25749" w14:paraId="5025B700"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245">
    <w:p w:rsidR="00DB460D" w:rsidRPr="00C25749" w:rsidP="00C25749" w14:paraId="51EA4A0C" w14:textId="77777777">
      <w:pPr>
        <w:pStyle w:val="FootnoteText"/>
        <w:spacing w:after="120"/>
      </w:pPr>
      <w:r w:rsidRPr="00C25749">
        <w:rPr>
          <w:rStyle w:val="FootnoteReference"/>
        </w:rPr>
        <w:footnoteRef/>
      </w:r>
      <w:r w:rsidRPr="00C25749">
        <w:t xml:space="preserve"> </w:t>
      </w:r>
      <w:r w:rsidRPr="00C25749" w:rsidR="000470A2">
        <w:t xml:space="preserve">OCC Ex. 2 </w:t>
      </w:r>
      <w:r w:rsidRPr="00C25749">
        <w:t>at 49.</w:t>
      </w:r>
    </w:p>
  </w:footnote>
  <w:footnote w:id="246">
    <w:p w:rsidR="005D5F94" w:rsidRPr="00C25749" w:rsidP="00C25749" w14:paraId="2427A067"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247">
    <w:p w:rsidR="005D5F94" w:rsidRPr="00C25749" w:rsidP="00C25749" w14:paraId="1F41546E"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248">
    <w:p w:rsidR="005D5F94" w:rsidRPr="00C25749" w:rsidP="00C25749" w14:paraId="2850BE9A"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249">
    <w:p w:rsidR="005D5F94" w:rsidRPr="00C25749" w:rsidP="00C25749" w14:paraId="3CACEE17"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250">
    <w:p w:rsidR="005D5F94" w:rsidRPr="00C25749" w:rsidP="00C25749" w14:paraId="5136C185"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251">
    <w:p w:rsidR="00A51200" w:rsidRPr="00C25749" w:rsidP="00C25749" w14:paraId="3CAAEB00" w14:textId="77777777">
      <w:pPr>
        <w:pStyle w:val="FootnoteText"/>
        <w:spacing w:after="120"/>
      </w:pPr>
      <w:r w:rsidRPr="00C25749">
        <w:rPr>
          <w:rStyle w:val="FootnoteReference"/>
        </w:rPr>
        <w:footnoteRef/>
      </w:r>
      <w:r w:rsidRPr="00C25749">
        <w:t xml:space="preserve"> </w:t>
      </w:r>
      <w:r w:rsidRPr="00C25749" w:rsidR="000470A2">
        <w:rPr>
          <w:i/>
          <w:iCs/>
        </w:rPr>
        <w:t>Id.</w:t>
      </w:r>
      <w:r w:rsidRPr="00C25749">
        <w:t xml:space="preserve"> at 50.</w:t>
      </w:r>
    </w:p>
  </w:footnote>
  <w:footnote w:id="252">
    <w:p w:rsidR="002E19BB" w:rsidRPr="00C25749" w:rsidP="00C25749" w14:paraId="0406371F"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253">
    <w:p w:rsidR="002E19BB" w:rsidRPr="00C25749" w:rsidP="00C25749" w14:paraId="7D7D44C0"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254">
    <w:p w:rsidR="00A51200" w:rsidRPr="00C25749" w:rsidP="00C25749" w14:paraId="49C36532" w14:textId="77777777">
      <w:pPr>
        <w:pStyle w:val="FootnoteText"/>
        <w:spacing w:after="120"/>
      </w:pPr>
      <w:r w:rsidRPr="00C25749">
        <w:rPr>
          <w:rStyle w:val="FootnoteReference"/>
          <w:rFonts w:eastAsiaTheme="majorEastAsia"/>
        </w:rPr>
        <w:footnoteRef/>
      </w:r>
      <w:r w:rsidRPr="00C25749">
        <w:t xml:space="preserve"> </w:t>
      </w:r>
      <w:r w:rsidRPr="00C25749" w:rsidR="000470A2">
        <w:rPr>
          <w:i/>
          <w:iCs/>
        </w:rPr>
        <w:t xml:space="preserve">Id. </w:t>
      </w:r>
      <w:r w:rsidRPr="00C25749" w:rsidR="00377C55">
        <w:t xml:space="preserve">at 50; </w:t>
      </w:r>
      <w:r w:rsidRPr="00C25749">
        <w:t>McKenzie Corrected Direct Testimony at 17-19.</w:t>
      </w:r>
    </w:p>
  </w:footnote>
  <w:footnote w:id="255">
    <w:p w:rsidR="00377C55" w:rsidRPr="00C25749" w:rsidP="00C25749" w14:paraId="680E1B49" w14:textId="77777777">
      <w:pPr>
        <w:pStyle w:val="FootnoteText"/>
        <w:spacing w:after="120"/>
      </w:pPr>
      <w:r w:rsidRPr="00C25749">
        <w:rPr>
          <w:rStyle w:val="FootnoteReference"/>
        </w:rPr>
        <w:footnoteRef/>
      </w:r>
      <w:r w:rsidRPr="00C25749">
        <w:t xml:space="preserve"> </w:t>
      </w:r>
      <w:r w:rsidRPr="00C25749" w:rsidR="000470A2">
        <w:t xml:space="preserve">OCC Ex. 2 </w:t>
      </w:r>
      <w:r w:rsidRPr="00C25749">
        <w:t>at 5</w:t>
      </w:r>
      <w:r w:rsidRPr="00C25749" w:rsidR="00E8440F">
        <w:t>1</w:t>
      </w:r>
      <w:r w:rsidRPr="00C25749">
        <w:t>.</w:t>
      </w:r>
    </w:p>
  </w:footnote>
  <w:footnote w:id="256">
    <w:p w:rsidR="00377C55" w:rsidRPr="00C25749" w:rsidP="00C25749" w14:paraId="00399D7C"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257">
    <w:p w:rsidR="006F6FA2" w:rsidRPr="00C25749" w:rsidP="00C25749" w14:paraId="3D5B48FB"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258">
    <w:p w:rsidR="0051238C" w:rsidRPr="00C25749" w:rsidP="00C25749" w14:paraId="720BA218" w14:textId="77777777">
      <w:pPr>
        <w:pStyle w:val="FootnoteText"/>
        <w:spacing w:after="120"/>
      </w:pPr>
      <w:r w:rsidRPr="00C25749">
        <w:rPr>
          <w:rStyle w:val="FootnoteReference"/>
        </w:rPr>
        <w:footnoteRef/>
      </w:r>
      <w:r w:rsidRPr="00C25749">
        <w:t xml:space="preserve"> </w:t>
      </w:r>
      <w:r w:rsidRPr="00C25749" w:rsidR="000470A2">
        <w:rPr>
          <w:i/>
          <w:iCs/>
        </w:rPr>
        <w:t xml:space="preserve">Id. </w:t>
      </w:r>
      <w:r w:rsidRPr="00C25749">
        <w:t>at 60.</w:t>
      </w:r>
    </w:p>
  </w:footnote>
  <w:footnote w:id="259">
    <w:p w:rsidR="00324366" w:rsidRPr="00C25749" w:rsidP="00C25749" w14:paraId="435663EF"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260">
    <w:p w:rsidR="005F04D6" w:rsidRPr="00C25749" w:rsidP="00C25749" w14:paraId="6444B358"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261">
    <w:p w:rsidR="00932738" w:rsidRPr="00C25749" w:rsidP="00C25749" w14:paraId="3AA129E9"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262">
    <w:p w:rsidR="00932738" w:rsidRPr="00C25749" w:rsidP="00C25749" w14:paraId="53D19B8C"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263">
    <w:p w:rsidR="00932738" w:rsidRPr="00C25749" w:rsidP="00C25749" w14:paraId="2B4923C6"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264">
    <w:p w:rsidR="00932738" w:rsidRPr="00C25749" w:rsidP="00C25749" w14:paraId="2FEE3B92"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265">
    <w:p w:rsidR="00932738" w:rsidRPr="00C25749" w:rsidP="00C25749" w14:paraId="6170254E"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266">
    <w:p w:rsidR="00932738" w:rsidRPr="00C25749" w:rsidP="00C25749" w14:paraId="2654164D" w14:textId="77777777">
      <w:pPr>
        <w:pStyle w:val="FootnoteText"/>
        <w:spacing w:after="120"/>
      </w:pPr>
      <w:r w:rsidRPr="00C25749">
        <w:rPr>
          <w:rStyle w:val="FootnoteReference"/>
        </w:rPr>
        <w:footnoteRef/>
      </w:r>
      <w:r w:rsidRPr="00C25749">
        <w:t xml:space="preserve"> </w:t>
      </w:r>
      <w:r w:rsidRPr="00C25749" w:rsidR="000470A2">
        <w:rPr>
          <w:i/>
          <w:iCs/>
        </w:rPr>
        <w:t xml:space="preserve">Id. </w:t>
      </w:r>
      <w:r w:rsidRPr="00C25749" w:rsidR="00A5114D">
        <w:t>at 60-61.</w:t>
      </w:r>
    </w:p>
  </w:footnote>
  <w:footnote w:id="267">
    <w:p w:rsidR="00A5114D" w:rsidRPr="00C25749" w:rsidP="00C25749" w14:paraId="02E85035" w14:textId="77777777">
      <w:pPr>
        <w:pStyle w:val="FootnoteText"/>
        <w:spacing w:after="120"/>
      </w:pPr>
      <w:r w:rsidRPr="00C25749">
        <w:rPr>
          <w:rStyle w:val="FootnoteReference"/>
        </w:rPr>
        <w:footnoteRef/>
      </w:r>
      <w:r w:rsidRPr="00C25749">
        <w:t xml:space="preserve"> </w:t>
      </w:r>
      <w:r w:rsidRPr="00C25749" w:rsidR="000470A2">
        <w:rPr>
          <w:i/>
          <w:iCs/>
        </w:rPr>
        <w:t xml:space="preserve">Id. </w:t>
      </w:r>
      <w:r w:rsidRPr="00C25749">
        <w:t>at 61.</w:t>
      </w:r>
    </w:p>
  </w:footnote>
  <w:footnote w:id="268">
    <w:p w:rsidR="001E1E7E" w:rsidRPr="00C25749" w:rsidP="00C25749" w14:paraId="2559B8A1"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269">
    <w:p w:rsidR="001E1E7E" w:rsidRPr="00C25749" w:rsidP="00C25749" w14:paraId="7E0CB4E1" w14:textId="77777777">
      <w:pPr>
        <w:pStyle w:val="FootnoteText"/>
        <w:spacing w:after="120"/>
      </w:pPr>
      <w:r w:rsidRPr="00C25749">
        <w:rPr>
          <w:rStyle w:val="FootnoteReference"/>
        </w:rPr>
        <w:footnoteRef/>
      </w:r>
      <w:r w:rsidRPr="00C25749">
        <w:t xml:space="preserve"> </w:t>
      </w:r>
      <w:r w:rsidRPr="00C25749" w:rsidR="000470A2">
        <w:rPr>
          <w:i/>
          <w:iCs/>
        </w:rPr>
        <w:t xml:space="preserve">Id. </w:t>
      </w:r>
      <w:r w:rsidRPr="00C25749">
        <w:t>at 61.</w:t>
      </w:r>
    </w:p>
  </w:footnote>
  <w:footnote w:id="270">
    <w:p w:rsidR="00461787" w:rsidRPr="00C25749" w:rsidP="00C25749" w14:paraId="48841C04"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271">
    <w:p w:rsidR="00461787" w:rsidRPr="00C25749" w:rsidP="00C25749" w14:paraId="0F339E19"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272">
    <w:p w:rsidR="00461787" w:rsidRPr="00C25749" w:rsidP="00C25749" w14:paraId="4A44D3FD"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273">
    <w:p w:rsidR="00461787" w:rsidRPr="00C25749" w:rsidP="00C25749" w14:paraId="4D855F82" w14:textId="77777777">
      <w:pPr>
        <w:pStyle w:val="FootnoteText"/>
        <w:spacing w:after="120"/>
      </w:pPr>
      <w:r w:rsidRPr="00C25749">
        <w:rPr>
          <w:rStyle w:val="FootnoteReference"/>
        </w:rPr>
        <w:footnoteRef/>
      </w:r>
      <w:r w:rsidRPr="00C25749">
        <w:t xml:space="preserve"> </w:t>
      </w:r>
      <w:r w:rsidRPr="00C25749" w:rsidR="000470A2">
        <w:rPr>
          <w:i/>
          <w:iCs/>
        </w:rPr>
        <w:t xml:space="preserve">Id. </w:t>
      </w:r>
      <w:r w:rsidRPr="00C25749">
        <w:t>at 61-62.</w:t>
      </w:r>
    </w:p>
  </w:footnote>
  <w:footnote w:id="274">
    <w:p w:rsidR="00461787" w:rsidRPr="00C25749" w:rsidP="00C25749" w14:paraId="10ADECD3" w14:textId="77777777">
      <w:pPr>
        <w:pStyle w:val="FootnoteText"/>
        <w:spacing w:after="120"/>
      </w:pPr>
      <w:r w:rsidRPr="00C25749">
        <w:rPr>
          <w:rStyle w:val="FootnoteReference"/>
        </w:rPr>
        <w:footnoteRef/>
      </w:r>
      <w:r w:rsidRPr="00C25749">
        <w:t xml:space="preserve"> </w:t>
      </w:r>
      <w:r w:rsidRPr="00C25749" w:rsidR="000470A2">
        <w:rPr>
          <w:i/>
          <w:iCs/>
        </w:rPr>
        <w:t xml:space="preserve">Id. </w:t>
      </w:r>
      <w:r w:rsidRPr="00C25749">
        <w:t>at 62.</w:t>
      </w:r>
    </w:p>
  </w:footnote>
  <w:footnote w:id="275">
    <w:p w:rsidR="00461787" w:rsidRPr="00C25749" w:rsidP="00C25749" w14:paraId="7B631205"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276">
    <w:p w:rsidR="00815DE8" w:rsidRPr="00C25749" w:rsidP="00C25749" w14:paraId="22B752F0"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277">
    <w:p w:rsidR="00815DE8" w:rsidRPr="00C25749" w:rsidP="00C25749" w14:paraId="6DF5843F" w14:textId="77777777">
      <w:pPr>
        <w:pStyle w:val="FootnoteText"/>
        <w:spacing w:after="120"/>
      </w:pPr>
      <w:r w:rsidRPr="00C25749">
        <w:rPr>
          <w:rStyle w:val="FootnoteReference"/>
        </w:rPr>
        <w:footnoteRef/>
      </w:r>
      <w:r w:rsidRPr="00C25749">
        <w:t xml:space="preserve"> </w:t>
      </w:r>
      <w:r w:rsidRPr="00C25749" w:rsidR="000470A2">
        <w:rPr>
          <w:i/>
          <w:iCs/>
        </w:rPr>
        <w:t xml:space="preserve">Id. </w:t>
      </w:r>
      <w:r w:rsidRPr="00C25749">
        <w:t>at 6</w:t>
      </w:r>
      <w:r w:rsidRPr="00C25749" w:rsidR="00EC5474">
        <w:t>3</w:t>
      </w:r>
      <w:r w:rsidRPr="00C25749">
        <w:t>.</w:t>
      </w:r>
    </w:p>
  </w:footnote>
  <w:footnote w:id="278">
    <w:p w:rsidR="00815DE8" w:rsidRPr="00C25749" w:rsidP="00C25749" w14:paraId="7EDF5487"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279">
    <w:p w:rsidR="00EC5474" w:rsidRPr="00C25749" w:rsidP="00C25749" w14:paraId="58BAB1C2"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280">
    <w:p w:rsidR="00EC5474" w:rsidRPr="00C25749" w:rsidP="00C25749" w14:paraId="0D423CEA"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281">
    <w:p w:rsidR="00EC5474" w:rsidRPr="00C25749" w:rsidP="00C25749" w14:paraId="4127A3E4"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282">
    <w:p w:rsidR="00DC7793" w:rsidRPr="00C25749" w:rsidP="00C25749" w14:paraId="28C7353A" w14:textId="77777777">
      <w:pPr>
        <w:pStyle w:val="FootnoteText"/>
        <w:spacing w:after="120"/>
      </w:pPr>
      <w:r w:rsidRPr="00C25749">
        <w:rPr>
          <w:rStyle w:val="FootnoteReference"/>
          <w:rFonts w:eastAsiaTheme="majorEastAsia"/>
        </w:rPr>
        <w:footnoteRef/>
      </w:r>
      <w:r w:rsidRPr="00C25749">
        <w:rPr>
          <w:i/>
        </w:rPr>
        <w:t xml:space="preserve"> </w:t>
      </w:r>
      <w:r w:rsidRPr="00C25749" w:rsidR="000470A2">
        <w:rPr>
          <w:i/>
          <w:iCs/>
        </w:rPr>
        <w:t xml:space="preserve">Id. </w:t>
      </w:r>
      <w:r w:rsidRPr="00C25749" w:rsidR="008341DA">
        <w:t>at 67.</w:t>
      </w:r>
    </w:p>
  </w:footnote>
  <w:footnote w:id="283">
    <w:p w:rsidR="00DC7793" w:rsidRPr="00C25749" w:rsidP="00C25749" w14:paraId="7D51ABE9" w14:textId="77777777">
      <w:pPr>
        <w:pStyle w:val="FootnoteText"/>
        <w:spacing w:after="120"/>
      </w:pPr>
      <w:r w:rsidRPr="00C25749">
        <w:rPr>
          <w:rStyle w:val="FootnoteReference"/>
          <w:rFonts w:eastAsiaTheme="majorEastAsia"/>
        </w:rPr>
        <w:footnoteRef/>
      </w:r>
      <w:r w:rsidRPr="00C25749">
        <w:rPr>
          <w:i/>
        </w:rPr>
        <w:t xml:space="preserve"> </w:t>
      </w:r>
      <w:r w:rsidRPr="00C25749" w:rsidR="000470A2">
        <w:rPr>
          <w:i/>
          <w:iCs/>
        </w:rPr>
        <w:t>Id.</w:t>
      </w:r>
    </w:p>
  </w:footnote>
  <w:footnote w:id="284">
    <w:p w:rsidR="00DC7793" w:rsidRPr="00C25749" w:rsidP="00C25749" w14:paraId="413D128A" w14:textId="77777777">
      <w:pPr>
        <w:pStyle w:val="FootnoteText"/>
        <w:spacing w:after="120"/>
      </w:pPr>
      <w:r w:rsidRPr="00C25749">
        <w:rPr>
          <w:rStyle w:val="FootnoteReference"/>
          <w:rFonts w:eastAsiaTheme="majorEastAsia"/>
        </w:rPr>
        <w:footnoteRef/>
      </w:r>
      <w:r w:rsidRPr="00C25749">
        <w:rPr>
          <w:i/>
        </w:rPr>
        <w:t xml:space="preserve"> </w:t>
      </w:r>
      <w:r w:rsidRPr="00C25749" w:rsidR="000470A2">
        <w:rPr>
          <w:i/>
          <w:iCs/>
        </w:rPr>
        <w:t>Id.</w:t>
      </w:r>
    </w:p>
  </w:footnote>
  <w:footnote w:id="285">
    <w:p w:rsidR="0073203B" w:rsidRPr="00C25749" w:rsidP="00C25749" w14:paraId="5EFD0C93" w14:textId="77777777">
      <w:pPr>
        <w:pStyle w:val="FootnoteText"/>
        <w:spacing w:after="120"/>
      </w:pPr>
      <w:r w:rsidRPr="00C25749">
        <w:rPr>
          <w:rStyle w:val="FootnoteReference"/>
        </w:rPr>
        <w:footnoteRef/>
      </w:r>
      <w:r w:rsidRPr="00C25749">
        <w:t xml:space="preserve"> </w:t>
      </w:r>
      <w:r w:rsidRPr="00C25749" w:rsidR="000470A2">
        <w:t xml:space="preserve">OCC Ex. 2 </w:t>
      </w:r>
      <w:r w:rsidRPr="00C25749">
        <w:t>at 68.</w:t>
      </w:r>
    </w:p>
  </w:footnote>
  <w:footnote w:id="286">
    <w:p w:rsidR="0073203B" w:rsidRPr="00C25749" w:rsidP="00C25749" w14:paraId="2CD85871"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287">
    <w:p w:rsidR="0073203B" w:rsidRPr="00C25749" w:rsidP="00C25749" w14:paraId="02C5B641"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288">
    <w:p w:rsidR="0073203B" w:rsidRPr="00C25749" w:rsidP="00C25749" w14:paraId="75ED8EDC"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289">
    <w:p w:rsidR="0073203B" w:rsidRPr="00C25749" w:rsidP="00C25749" w14:paraId="358E976B"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290">
    <w:p w:rsidR="00DD1C08" w:rsidRPr="00C25749" w:rsidP="00C25749" w14:paraId="3A53BA44"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291">
    <w:p w:rsidR="006F683D" w:rsidRPr="00C25749" w:rsidP="00C25749" w14:paraId="391D86BD" w14:textId="77777777">
      <w:pPr>
        <w:pStyle w:val="FootnoteText"/>
        <w:spacing w:after="120"/>
      </w:pPr>
      <w:r w:rsidRPr="00C25749">
        <w:rPr>
          <w:rStyle w:val="FootnoteReference"/>
        </w:rPr>
        <w:footnoteRef/>
      </w:r>
      <w:r w:rsidRPr="00C25749">
        <w:t xml:space="preserve"> </w:t>
      </w:r>
      <w:r w:rsidRPr="00C25749" w:rsidR="000470A2">
        <w:rPr>
          <w:i/>
          <w:iCs/>
        </w:rPr>
        <w:t xml:space="preserve">Id. </w:t>
      </w:r>
      <w:r w:rsidRPr="00C25749">
        <w:t>at 65.</w:t>
      </w:r>
    </w:p>
  </w:footnote>
  <w:footnote w:id="292">
    <w:p w:rsidR="006F683D" w:rsidRPr="00C25749" w:rsidP="00C25749" w14:paraId="3CC6D7CD"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293">
    <w:p w:rsidR="006F683D" w:rsidRPr="00C25749" w:rsidP="00C25749" w14:paraId="3351B6D4"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294">
    <w:p w:rsidR="00BF10C7" w:rsidRPr="00C25749" w:rsidP="00C25749" w14:paraId="60DFB74F" w14:textId="77777777">
      <w:pPr>
        <w:pStyle w:val="FootnoteText"/>
        <w:spacing w:after="120"/>
      </w:pPr>
      <w:r w:rsidRPr="00C25749">
        <w:rPr>
          <w:rStyle w:val="FootnoteReference"/>
        </w:rPr>
        <w:footnoteRef/>
      </w:r>
      <w:r w:rsidRPr="00C25749">
        <w:t xml:space="preserve"> </w:t>
      </w:r>
      <w:r w:rsidRPr="00C25749" w:rsidR="001D6959">
        <w:rPr>
          <w:i/>
          <w:iCs/>
        </w:rPr>
        <w:t>Id.</w:t>
      </w:r>
      <w:r w:rsidRPr="00C25749" w:rsidR="001D6959">
        <w:t xml:space="preserve"> at 24-26.</w:t>
      </w:r>
    </w:p>
  </w:footnote>
  <w:footnote w:id="295">
    <w:p w:rsidR="001D6959" w:rsidRPr="00C25749" w:rsidP="00C25749" w14:paraId="018838CE" w14:textId="77777777">
      <w:pPr>
        <w:pStyle w:val="FootnoteText"/>
        <w:spacing w:after="120"/>
      </w:pPr>
      <w:r w:rsidRPr="00C25749">
        <w:rPr>
          <w:rStyle w:val="FootnoteReference"/>
        </w:rPr>
        <w:footnoteRef/>
      </w:r>
      <w:r w:rsidRPr="00C25749">
        <w:t xml:space="preserve"> </w:t>
      </w:r>
      <w:r w:rsidRPr="00C25749">
        <w:rPr>
          <w:i/>
          <w:iCs/>
        </w:rPr>
        <w:t>Id.</w:t>
      </w:r>
    </w:p>
  </w:footnote>
  <w:footnote w:id="296">
    <w:p w:rsidR="001D6959" w:rsidRPr="00C25749" w:rsidP="00C25749" w14:paraId="61F7E7EA" w14:textId="77777777">
      <w:pPr>
        <w:pStyle w:val="FootnoteText"/>
        <w:spacing w:after="120"/>
      </w:pPr>
      <w:r w:rsidRPr="00C25749">
        <w:rPr>
          <w:rStyle w:val="FootnoteReference"/>
        </w:rPr>
        <w:footnoteRef/>
      </w:r>
      <w:r w:rsidRPr="00C25749">
        <w:t xml:space="preserve"> </w:t>
      </w:r>
      <w:r w:rsidRPr="00C25749">
        <w:rPr>
          <w:i/>
          <w:iCs/>
        </w:rPr>
        <w:t>Id.</w:t>
      </w:r>
    </w:p>
  </w:footnote>
  <w:footnote w:id="297">
    <w:p w:rsidR="00487B43" w:rsidRPr="00C25749" w:rsidP="00C25749" w14:paraId="7E88D4DF" w14:textId="77777777">
      <w:pPr>
        <w:pStyle w:val="FootnoteText"/>
        <w:spacing w:after="120"/>
      </w:pPr>
      <w:r w:rsidRPr="00C25749">
        <w:rPr>
          <w:rStyle w:val="FootnoteReference"/>
        </w:rPr>
        <w:footnoteRef/>
      </w:r>
      <w:r w:rsidRPr="00C25749">
        <w:t xml:space="preserve"> </w:t>
      </w:r>
      <w:r w:rsidRPr="00C25749" w:rsidR="002F3DBD">
        <w:rPr>
          <w:i/>
          <w:iCs/>
        </w:rPr>
        <w:t>Bluefield</w:t>
      </w:r>
      <w:r w:rsidRPr="00C25749" w:rsidR="002F3DBD">
        <w:t>,</w:t>
      </w:r>
      <w:r w:rsidRPr="00C25749" w:rsidR="00B60B67">
        <w:t xml:space="preserve"> </w:t>
      </w:r>
      <w:r w:rsidRPr="00C25749" w:rsidR="002F3DBD">
        <w:t>262</w:t>
      </w:r>
      <w:r w:rsidRPr="00C25749" w:rsidR="00B60B67">
        <w:t xml:space="preserve"> </w:t>
      </w:r>
      <w:r w:rsidRPr="00C25749" w:rsidR="002F3DBD">
        <w:t>U.S.</w:t>
      </w:r>
      <w:r w:rsidRPr="00C25749" w:rsidR="00B60B67">
        <w:t xml:space="preserve"> </w:t>
      </w:r>
      <w:r w:rsidRPr="00C25749" w:rsidR="002F3DBD">
        <w:t>679,</w:t>
      </w:r>
      <w:r w:rsidRPr="00C25749" w:rsidR="00B60B67">
        <w:t xml:space="preserve"> </w:t>
      </w:r>
      <w:r w:rsidRPr="00C25749" w:rsidR="002F3DBD">
        <w:t>693</w:t>
      </w:r>
      <w:r w:rsidRPr="00C25749" w:rsidR="00B60B67">
        <w:t xml:space="preserve"> </w:t>
      </w:r>
      <w:r w:rsidRPr="00C25749" w:rsidR="002F3DBD">
        <w:t>(1923)</w:t>
      </w:r>
      <w:r w:rsidRPr="00C25749" w:rsidR="00B60B67">
        <w:t xml:space="preserve"> </w:t>
      </w:r>
      <w:r w:rsidRPr="00C25749" w:rsidR="002F3DBD">
        <w:t>(emphasis</w:t>
      </w:r>
      <w:r w:rsidRPr="00C25749" w:rsidR="00B60B67">
        <w:t xml:space="preserve"> </w:t>
      </w:r>
      <w:r w:rsidRPr="00C25749" w:rsidR="002F3DBD">
        <w:t>added).</w:t>
      </w:r>
    </w:p>
  </w:footnote>
  <w:footnote w:id="298">
    <w:p w:rsidR="001D6959" w:rsidRPr="00C25749" w:rsidP="00C25749" w14:paraId="625B64A6" w14:textId="77777777">
      <w:pPr>
        <w:pStyle w:val="FootnoteText"/>
        <w:spacing w:after="120"/>
      </w:pPr>
      <w:r w:rsidRPr="00C25749">
        <w:rPr>
          <w:rStyle w:val="FootnoteReference"/>
        </w:rPr>
        <w:footnoteRef/>
      </w:r>
      <w:r w:rsidRPr="00C25749">
        <w:t xml:space="preserve"> OCC Ex. 2 at 24-26.</w:t>
      </w:r>
    </w:p>
  </w:footnote>
  <w:footnote w:id="299">
    <w:p w:rsidR="001D6959" w:rsidRPr="00C25749" w:rsidP="00C25749" w14:paraId="67311509" w14:textId="77777777">
      <w:pPr>
        <w:pStyle w:val="FootnoteText"/>
        <w:spacing w:after="120"/>
        <w:rPr>
          <w:i/>
          <w:iCs/>
        </w:rPr>
      </w:pPr>
      <w:r w:rsidRPr="00C25749">
        <w:rPr>
          <w:rStyle w:val="FootnoteReference"/>
        </w:rPr>
        <w:footnoteRef/>
      </w:r>
      <w:r w:rsidRPr="00C25749">
        <w:t xml:space="preserve"> </w:t>
      </w:r>
      <w:r w:rsidRPr="00C25749" w:rsidR="003853EE">
        <w:rPr>
          <w:i/>
          <w:iCs/>
        </w:rPr>
        <w:t>Id.</w:t>
      </w:r>
    </w:p>
  </w:footnote>
  <w:footnote w:id="300">
    <w:p w:rsidR="000D0BD3" w:rsidRPr="00C25749" w:rsidP="00C25749" w14:paraId="6100E737" w14:textId="77777777">
      <w:pPr>
        <w:pStyle w:val="FootnoteText"/>
        <w:spacing w:after="120"/>
      </w:pPr>
      <w:r w:rsidRPr="00C25749">
        <w:rPr>
          <w:rStyle w:val="FootnoteReference"/>
        </w:rPr>
        <w:footnoteRef/>
      </w:r>
      <w:r w:rsidRPr="00C25749">
        <w:t xml:space="preserve"> </w:t>
      </w:r>
      <w:r w:rsidRPr="00C25749" w:rsidR="00CC694C">
        <w:rPr>
          <w:i/>
          <w:iCs/>
        </w:rPr>
        <w:t>Fed. Power</w:t>
      </w:r>
      <w:r w:rsidRPr="00C25749" w:rsidR="00B60B67">
        <w:rPr>
          <w:i/>
          <w:iCs/>
        </w:rPr>
        <w:t xml:space="preserve"> </w:t>
      </w:r>
      <w:r w:rsidRPr="00C25749" w:rsidR="00CC694C">
        <w:rPr>
          <w:i/>
          <w:iCs/>
        </w:rPr>
        <w:t>Comm’n</w:t>
      </w:r>
      <w:r w:rsidRPr="00C25749" w:rsidR="00B60B67">
        <w:rPr>
          <w:i/>
          <w:iCs/>
        </w:rPr>
        <w:t xml:space="preserve"> </w:t>
      </w:r>
      <w:r w:rsidRPr="00C25749" w:rsidR="00CC694C">
        <w:rPr>
          <w:i/>
          <w:iCs/>
        </w:rPr>
        <w:t>v.</w:t>
      </w:r>
      <w:r w:rsidRPr="00C25749" w:rsidR="00B60B67">
        <w:rPr>
          <w:i/>
          <w:iCs/>
        </w:rPr>
        <w:t xml:space="preserve"> </w:t>
      </w:r>
      <w:r w:rsidRPr="00C25749" w:rsidR="00CC694C">
        <w:rPr>
          <w:i/>
          <w:iCs/>
        </w:rPr>
        <w:t>Hope</w:t>
      </w:r>
      <w:r w:rsidRPr="00C25749" w:rsidR="00B60B67">
        <w:rPr>
          <w:i/>
          <w:iCs/>
        </w:rPr>
        <w:t xml:space="preserve"> </w:t>
      </w:r>
      <w:r w:rsidRPr="00C25749" w:rsidR="00CC694C">
        <w:rPr>
          <w:i/>
          <w:iCs/>
        </w:rPr>
        <w:t>Natural</w:t>
      </w:r>
      <w:r w:rsidRPr="00C25749" w:rsidR="00B60B67">
        <w:rPr>
          <w:i/>
          <w:iCs/>
        </w:rPr>
        <w:t xml:space="preserve"> </w:t>
      </w:r>
      <w:r w:rsidRPr="00C25749" w:rsidR="00CC694C">
        <w:rPr>
          <w:i/>
          <w:iCs/>
        </w:rPr>
        <w:t>Gas</w:t>
      </w:r>
      <w:r w:rsidRPr="00C25749" w:rsidR="00B60B67">
        <w:rPr>
          <w:i/>
          <w:iCs/>
        </w:rPr>
        <w:t xml:space="preserve"> </w:t>
      </w:r>
      <w:r w:rsidRPr="00C25749" w:rsidR="00CC694C">
        <w:rPr>
          <w:i/>
          <w:iCs/>
        </w:rPr>
        <w:t>Co</w:t>
      </w:r>
      <w:r w:rsidRPr="00C25749" w:rsidR="00CC694C">
        <w:t>.,</w:t>
      </w:r>
      <w:r w:rsidRPr="00C25749" w:rsidR="00B60B67">
        <w:t xml:space="preserve"> </w:t>
      </w:r>
      <w:r w:rsidRPr="00C25749" w:rsidR="00CC694C">
        <w:t>320</w:t>
      </w:r>
      <w:r w:rsidRPr="00C25749" w:rsidR="00B60B67">
        <w:t xml:space="preserve"> </w:t>
      </w:r>
      <w:r w:rsidRPr="00C25749" w:rsidR="00CC694C">
        <w:t>U.S.</w:t>
      </w:r>
      <w:r w:rsidRPr="00C25749" w:rsidR="00B60B67">
        <w:t xml:space="preserve"> </w:t>
      </w:r>
      <w:r w:rsidRPr="00C25749" w:rsidR="00CC694C">
        <w:t>591</w:t>
      </w:r>
      <w:r w:rsidRPr="00C25749" w:rsidR="00B60B67">
        <w:t xml:space="preserve"> </w:t>
      </w:r>
      <w:r w:rsidRPr="00C25749" w:rsidR="00CC694C">
        <w:t>(1944).</w:t>
      </w:r>
    </w:p>
  </w:footnote>
  <w:footnote w:id="301">
    <w:p w:rsidR="00DD1C08" w:rsidRPr="00C25749" w:rsidP="00C25749" w14:paraId="7AB306DD" w14:textId="77777777">
      <w:pPr>
        <w:pStyle w:val="FootnoteText"/>
        <w:spacing w:after="120"/>
      </w:pPr>
      <w:r w:rsidRPr="00C25749">
        <w:rPr>
          <w:rStyle w:val="FootnoteReference"/>
          <w:rFonts w:eastAsiaTheme="majorEastAsia"/>
        </w:rPr>
        <w:footnoteRef/>
      </w:r>
      <w:r w:rsidRPr="00C25749">
        <w:t xml:space="preserve"> Opinion No. 569, 169 FERC ¶ 61,129 at P. 201-202.</w:t>
      </w:r>
    </w:p>
  </w:footnote>
  <w:footnote w:id="302">
    <w:p w:rsidR="000D0BD3" w:rsidRPr="00C25749" w:rsidP="00C25749" w14:paraId="411B3CFA" w14:textId="77777777">
      <w:pPr>
        <w:pStyle w:val="FootnoteText"/>
        <w:spacing w:after="120"/>
      </w:pPr>
      <w:r w:rsidRPr="00C25749">
        <w:rPr>
          <w:rStyle w:val="FootnoteReference"/>
        </w:rPr>
        <w:footnoteRef/>
      </w:r>
      <w:r w:rsidRPr="00C25749">
        <w:t xml:space="preserve"> </w:t>
      </w:r>
      <w:r w:rsidRPr="00C25749" w:rsidR="000470A2">
        <w:t>OCC Ex. 2 at</w:t>
      </w:r>
      <w:r w:rsidRPr="00C25749">
        <w:t xml:space="preserve"> 66.</w:t>
      </w:r>
    </w:p>
  </w:footnote>
  <w:footnote w:id="303">
    <w:p w:rsidR="00DD1C08" w:rsidRPr="00C25749" w:rsidP="00C25749" w14:paraId="4CFF23DA" w14:textId="77777777">
      <w:pPr>
        <w:pStyle w:val="FootnoteText"/>
        <w:spacing w:after="120"/>
      </w:pPr>
      <w:r w:rsidRPr="00C25749">
        <w:rPr>
          <w:rStyle w:val="FootnoteReference"/>
          <w:rFonts w:eastAsiaTheme="majorEastAsia"/>
        </w:rPr>
        <w:footnoteRef/>
      </w:r>
      <w:r w:rsidRPr="00C25749">
        <w:rPr>
          <w:i/>
        </w:rPr>
        <w:t xml:space="preserve"> </w:t>
      </w:r>
      <w:r w:rsidRPr="00C25749" w:rsidR="000470A2">
        <w:t>Opinion No. 569, 169 FERC ¶ 61,129 at P. 205</w:t>
      </w:r>
      <w:r w:rsidRPr="00C25749" w:rsidR="004D5043">
        <w:t xml:space="preserve"> (citations omitted)</w:t>
      </w:r>
      <w:r w:rsidRPr="00C25749" w:rsidR="000470A2">
        <w:t>.</w:t>
      </w:r>
    </w:p>
  </w:footnote>
  <w:footnote w:id="304">
    <w:p w:rsidR="000D0BD3" w:rsidRPr="00C25749" w:rsidP="00C25749" w14:paraId="730F44A6" w14:textId="77777777">
      <w:pPr>
        <w:pStyle w:val="FootnoteText"/>
        <w:spacing w:after="120"/>
      </w:pPr>
      <w:r w:rsidRPr="00C25749">
        <w:rPr>
          <w:rStyle w:val="FootnoteReference"/>
        </w:rPr>
        <w:footnoteRef/>
      </w:r>
      <w:r w:rsidRPr="00C25749">
        <w:t xml:space="preserve"> </w:t>
      </w:r>
      <w:r w:rsidRPr="00C25749" w:rsidR="000470A2">
        <w:t>OCC Ex. 2 at</w:t>
      </w:r>
      <w:r w:rsidRPr="00C25749" w:rsidR="00296603">
        <w:t xml:space="preserve"> 67.</w:t>
      </w:r>
    </w:p>
  </w:footnote>
  <w:footnote w:id="305">
    <w:p w:rsidR="007C195E" w:rsidRPr="00C25749" w:rsidP="00C25749" w14:paraId="2BC98812" w14:textId="77777777">
      <w:pPr>
        <w:pStyle w:val="FootnoteText"/>
        <w:spacing w:after="120"/>
      </w:pPr>
      <w:r w:rsidRPr="00C25749">
        <w:rPr>
          <w:rStyle w:val="FootnoteReference"/>
        </w:rPr>
        <w:footnoteRef/>
      </w:r>
      <w:r w:rsidRPr="00C25749">
        <w:t xml:space="preserve"> </w:t>
      </w:r>
      <w:r w:rsidRPr="00C25749" w:rsidR="000470A2">
        <w:rPr>
          <w:i/>
          <w:iCs/>
        </w:rPr>
        <w:t>Id.</w:t>
      </w:r>
      <w:r w:rsidRPr="00C25749">
        <w:t xml:space="preserve"> at 68.</w:t>
      </w:r>
    </w:p>
  </w:footnote>
  <w:footnote w:id="306">
    <w:p w:rsidR="00CE0264" w:rsidRPr="00C25749" w:rsidP="00C25749" w14:paraId="6D75E670" w14:textId="77777777">
      <w:pPr>
        <w:pStyle w:val="FootnoteText"/>
        <w:spacing w:after="120"/>
      </w:pPr>
      <w:r w:rsidRPr="00C25749">
        <w:rPr>
          <w:rStyle w:val="FootnoteReference"/>
          <w:rFonts w:eastAsiaTheme="majorEastAsia"/>
        </w:rPr>
        <w:footnoteRef/>
      </w:r>
      <w:r w:rsidRPr="00C25749">
        <w:rPr>
          <w:i/>
        </w:rPr>
        <w:t xml:space="preserve"> </w:t>
      </w:r>
      <w:r w:rsidRPr="00C25749" w:rsidR="000470A2">
        <w:rPr>
          <w:i/>
          <w:iCs/>
        </w:rPr>
        <w:t>Id.</w:t>
      </w:r>
    </w:p>
  </w:footnote>
  <w:footnote w:id="307">
    <w:p w:rsidR="00E0389C" w:rsidRPr="00C25749" w:rsidP="00C25749" w14:paraId="5F1656F7"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308">
    <w:p w:rsidR="00E0389C" w:rsidRPr="00C25749" w:rsidP="00C25749" w14:paraId="77131A5E"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309">
    <w:p w:rsidR="00E0389C" w:rsidRPr="00C25749" w:rsidP="00C25749" w14:paraId="32E783C8" w14:textId="77777777">
      <w:pPr>
        <w:pStyle w:val="FootnoteText"/>
        <w:spacing w:after="120"/>
      </w:pPr>
      <w:r w:rsidRPr="00C25749">
        <w:rPr>
          <w:rStyle w:val="FootnoteReference"/>
        </w:rPr>
        <w:footnoteRef/>
      </w:r>
      <w:r w:rsidRPr="00C25749">
        <w:t xml:space="preserve"> </w:t>
      </w:r>
      <w:r w:rsidRPr="00C25749" w:rsidR="000470A2">
        <w:rPr>
          <w:i/>
          <w:iCs/>
        </w:rPr>
        <w:t xml:space="preserve">Id. </w:t>
      </w:r>
      <w:r w:rsidRPr="00C25749">
        <w:t>at 69.</w:t>
      </w:r>
    </w:p>
  </w:footnote>
  <w:footnote w:id="310">
    <w:p w:rsidR="00E0389C" w:rsidRPr="00C25749" w:rsidP="00C25749" w14:paraId="76B75E67"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311">
    <w:p w:rsidR="00E0389C" w:rsidRPr="00C25749" w:rsidP="00C25749" w14:paraId="73AD91F2"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312">
    <w:p w:rsidR="00E0389C" w:rsidRPr="00C25749" w:rsidP="00C25749" w14:paraId="64C4ECEB"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313">
    <w:p w:rsidR="00E0389C" w:rsidRPr="00C25749" w:rsidP="00C25749" w14:paraId="71C1E4E2"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314">
    <w:p w:rsidR="00E0389C" w:rsidRPr="00C25749" w:rsidP="00C25749" w14:paraId="3676B96C"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315">
    <w:p w:rsidR="00E0389C" w:rsidRPr="00C25749" w:rsidP="00C25749" w14:paraId="03B43FE0"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316">
    <w:p w:rsidR="00E0389C" w:rsidRPr="00C25749" w:rsidP="00C25749" w14:paraId="35032D79"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317">
    <w:p w:rsidR="00D74161" w:rsidRPr="00C25749" w:rsidP="00C25749" w14:paraId="55F43E2B" w14:textId="77777777">
      <w:pPr>
        <w:pStyle w:val="FootnoteText"/>
        <w:spacing w:after="120"/>
      </w:pPr>
      <w:r w:rsidRPr="00C25749">
        <w:rPr>
          <w:rStyle w:val="FootnoteReference"/>
        </w:rPr>
        <w:footnoteRef/>
      </w:r>
      <w:r w:rsidRPr="00C25749">
        <w:t xml:space="preserve"> </w:t>
      </w:r>
      <w:r w:rsidRPr="00C25749" w:rsidR="000470A2">
        <w:rPr>
          <w:i/>
          <w:iCs/>
        </w:rPr>
        <w:t xml:space="preserve">Id. </w:t>
      </w:r>
      <w:r w:rsidRPr="00C25749">
        <w:t>at 64.</w:t>
      </w:r>
    </w:p>
  </w:footnote>
  <w:footnote w:id="318">
    <w:p w:rsidR="00EB2D1A" w:rsidRPr="00C25749" w:rsidP="00C25749" w14:paraId="1601CED7"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319">
    <w:p w:rsidR="00EB2D1A" w:rsidRPr="00C25749" w:rsidP="00C25749" w14:paraId="5E68D210" w14:textId="77777777">
      <w:pPr>
        <w:pStyle w:val="FootnoteText"/>
        <w:spacing w:after="120"/>
      </w:pPr>
      <w:r w:rsidRPr="00C25749">
        <w:rPr>
          <w:rStyle w:val="FootnoteReference"/>
          <w:rFonts w:eastAsiaTheme="majorEastAsia"/>
        </w:rPr>
        <w:footnoteRef/>
      </w:r>
      <w:r w:rsidRPr="00C25749">
        <w:t xml:space="preserve"> McKenzie Corrected Direct Testimony at 50.</w:t>
      </w:r>
    </w:p>
  </w:footnote>
  <w:footnote w:id="320">
    <w:p w:rsidR="007B3AA8" w:rsidRPr="00C25749" w:rsidP="00C25749" w14:paraId="764FA659" w14:textId="77777777">
      <w:pPr>
        <w:pStyle w:val="FootnoteText"/>
        <w:spacing w:after="120"/>
      </w:pPr>
      <w:r w:rsidRPr="00C25749">
        <w:rPr>
          <w:rStyle w:val="FootnoteReference"/>
        </w:rPr>
        <w:footnoteRef/>
      </w:r>
      <w:r w:rsidRPr="00C25749">
        <w:t xml:space="preserve"> </w:t>
      </w:r>
      <w:r w:rsidRPr="00C25749" w:rsidR="000470A2">
        <w:t xml:space="preserve">OCC Ex. 2 </w:t>
      </w:r>
      <w:r w:rsidRPr="00C25749">
        <w:t>at 64.</w:t>
      </w:r>
    </w:p>
  </w:footnote>
  <w:footnote w:id="321">
    <w:p w:rsidR="007B3AA8" w:rsidRPr="00C25749" w:rsidP="00C25749" w14:paraId="68AD8BCE"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322">
    <w:p w:rsidR="00EB2D1A" w:rsidRPr="00C25749" w:rsidP="00C25749" w14:paraId="64D95831" w14:textId="77777777">
      <w:pPr>
        <w:pStyle w:val="FootnoteText"/>
        <w:spacing w:after="120"/>
      </w:pPr>
      <w:r w:rsidRPr="00C25749">
        <w:rPr>
          <w:rStyle w:val="FootnoteReference"/>
          <w:rFonts w:eastAsiaTheme="majorEastAsia"/>
        </w:rPr>
        <w:footnoteRef/>
      </w:r>
      <w:r w:rsidRPr="00C25749">
        <w:t xml:space="preserve"> </w:t>
      </w:r>
      <w:r w:rsidRPr="00C25749" w:rsidR="000470A2">
        <w:rPr>
          <w:i/>
          <w:iCs/>
        </w:rPr>
        <w:t xml:space="preserve">Id. </w:t>
      </w:r>
      <w:r w:rsidRPr="00C25749" w:rsidR="000470A2">
        <w:t>(</w:t>
      </w:r>
      <w:r w:rsidRPr="00C25749">
        <w:t>4.84% - 3.63% = 1.21% or 121 basis points</w:t>
      </w:r>
      <w:r w:rsidRPr="00C25749" w:rsidR="000470A2">
        <w:t>)</w:t>
      </w:r>
      <w:r w:rsidRPr="00C25749">
        <w:t xml:space="preserve">. </w:t>
      </w:r>
    </w:p>
  </w:footnote>
  <w:footnote w:id="323">
    <w:p w:rsidR="007B3AA8" w:rsidRPr="00C25749" w:rsidP="00C25749" w14:paraId="01194165"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324">
    <w:p w:rsidR="007B3AA8" w:rsidRPr="00C25749" w:rsidP="00C25749" w14:paraId="40EE8141"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325">
    <w:p w:rsidR="00861624" w:rsidRPr="00C25749" w:rsidP="00C25749" w14:paraId="18E171FC"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326">
    <w:p w:rsidR="00057F6D" w:rsidRPr="00C25749" w:rsidP="00C25749" w14:paraId="1BDE878C"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327">
    <w:p w:rsidR="002E1886" w:rsidRPr="00C25749" w:rsidP="00C25749" w14:paraId="4302C5C6" w14:textId="77777777">
      <w:pPr>
        <w:pStyle w:val="FootnoteText"/>
        <w:spacing w:after="120"/>
      </w:pPr>
      <w:r w:rsidRPr="00C25749">
        <w:rPr>
          <w:rStyle w:val="FootnoteReference"/>
        </w:rPr>
        <w:footnoteRef/>
      </w:r>
      <w:r w:rsidRPr="00C25749">
        <w:t xml:space="preserve"> </w:t>
      </w:r>
      <w:r w:rsidRPr="00C25749" w:rsidR="000470A2">
        <w:rPr>
          <w:i/>
          <w:iCs/>
        </w:rPr>
        <w:t>Id.</w:t>
      </w:r>
    </w:p>
  </w:footnote>
  <w:footnote w:id="328">
    <w:p w:rsidR="003C0D79" w:rsidRPr="00C25749" w:rsidP="00C25749" w14:paraId="5C6A1472" w14:textId="77777777">
      <w:pPr>
        <w:pStyle w:val="FootnoteText"/>
        <w:spacing w:after="120"/>
      </w:pPr>
      <w:r w:rsidRPr="00C25749">
        <w:rPr>
          <w:rStyle w:val="FootnoteReference"/>
        </w:rPr>
        <w:footnoteRef/>
      </w:r>
      <w:r w:rsidRPr="00C25749">
        <w:t xml:space="preserve"> </w:t>
      </w:r>
      <w:r w:rsidRPr="00C25749" w:rsidR="00CE615C">
        <w:t xml:space="preserve">Pre Filed Testimony of Joseph Buckley at </w:t>
      </w:r>
      <w:r w:rsidRPr="00C25749" w:rsidR="00F330AD">
        <w:t xml:space="preserve">9 </w:t>
      </w:r>
      <w:r w:rsidRPr="00C25749" w:rsidR="00CE615C">
        <w:t>(January 18, 2022).</w:t>
      </w:r>
    </w:p>
  </w:footnote>
  <w:footnote w:id="329">
    <w:p w:rsidR="00F94975" w:rsidRPr="00C25749" w:rsidP="00C25749" w14:paraId="6C9F393F" w14:textId="77777777">
      <w:pPr>
        <w:pStyle w:val="FootnoteText"/>
        <w:spacing w:after="120"/>
      </w:pPr>
      <w:r w:rsidRPr="00C25749">
        <w:rPr>
          <w:rStyle w:val="FootnoteReference"/>
        </w:rPr>
        <w:footnoteRef/>
      </w:r>
      <w:r w:rsidRPr="00C25749">
        <w:t xml:space="preserve"> </w:t>
      </w:r>
      <w:r w:rsidRPr="00C25749" w:rsidR="000470A2">
        <w:rPr>
          <w:i/>
          <w:iCs/>
        </w:rPr>
        <w:t xml:space="preserve">Id. </w:t>
      </w:r>
      <w:r w:rsidRPr="00C25749">
        <w:t>at 50.</w:t>
      </w:r>
    </w:p>
  </w:footnote>
  <w:footnote w:id="330">
    <w:p w:rsidR="00E70802" w:rsidRPr="00C25749" w:rsidP="00C25749" w14:paraId="33640BF1" w14:textId="77777777">
      <w:pPr>
        <w:pStyle w:val="FootnoteText"/>
        <w:spacing w:after="120"/>
      </w:pPr>
      <w:r w:rsidRPr="00C25749">
        <w:rPr>
          <w:rStyle w:val="FootnoteReference"/>
        </w:rPr>
        <w:footnoteRef/>
      </w:r>
      <w:r w:rsidRPr="00C25749">
        <w:t xml:space="preserve"> Tr. Vol. V. at 998-999 (January 28, 2022).</w:t>
      </w:r>
    </w:p>
  </w:footnote>
  <w:footnote w:id="331">
    <w:p w:rsidR="00F330AD" w:rsidRPr="00C25749" w:rsidP="00C25749" w14:paraId="202ADF50" w14:textId="77777777">
      <w:pPr>
        <w:pStyle w:val="FootnoteText"/>
        <w:spacing w:after="120"/>
      </w:pPr>
      <w:r w:rsidRPr="00C25749">
        <w:rPr>
          <w:rStyle w:val="FootnoteReference"/>
        </w:rPr>
        <w:footnoteRef/>
      </w:r>
      <w:r w:rsidRPr="00C25749">
        <w:t xml:space="preserve"> </w:t>
      </w:r>
      <w:r w:rsidRPr="00C25749" w:rsidR="00E70802">
        <w:rPr>
          <w:i/>
          <w:iCs/>
        </w:rPr>
        <w:t>Id.</w:t>
      </w:r>
    </w:p>
  </w:footnote>
  <w:footnote w:id="332">
    <w:p w:rsidR="00741378" w:rsidRPr="00C25749" w:rsidP="00C25749" w14:paraId="27C5D3D6" w14:textId="77777777">
      <w:pPr>
        <w:pStyle w:val="FootnoteText"/>
        <w:spacing w:after="120"/>
      </w:pPr>
      <w:r w:rsidRPr="00C25749">
        <w:rPr>
          <w:rStyle w:val="FootnoteReference"/>
        </w:rPr>
        <w:footnoteRef/>
      </w:r>
      <w:r w:rsidRPr="00C25749">
        <w:t xml:space="preserve"> </w:t>
      </w:r>
      <w:r w:rsidRPr="00C25749" w:rsidR="007036CD">
        <w:rPr>
          <w:i/>
          <w:iCs/>
        </w:rPr>
        <w:t>Id.</w:t>
      </w:r>
      <w:r w:rsidRPr="00C25749">
        <w:t xml:space="preserve"> at 993</w:t>
      </w:r>
      <w:r w:rsidRPr="00C25749" w:rsidR="000D1996">
        <w:t>-995.</w:t>
      </w:r>
      <w:r w:rsidRPr="00C25749" w:rsidR="004E3683">
        <w:t xml:space="preserve"> </w:t>
      </w:r>
    </w:p>
  </w:footnote>
  <w:footnote w:id="333">
    <w:p w:rsidR="008D6542" w:rsidRPr="00C25749" w:rsidP="00C25749" w14:paraId="6B5C6F10" w14:textId="77777777">
      <w:pPr>
        <w:pStyle w:val="FootnoteText"/>
        <w:spacing w:after="120"/>
      </w:pPr>
      <w:r w:rsidRPr="00C25749">
        <w:rPr>
          <w:rStyle w:val="FootnoteReference"/>
        </w:rPr>
        <w:footnoteRef/>
      </w:r>
      <w:r w:rsidRPr="00C25749">
        <w:t xml:space="preserve"> </w:t>
      </w:r>
      <w:r w:rsidRPr="00C25749" w:rsidR="000470A2">
        <w:t xml:space="preserve">OCC Ex. </w:t>
      </w:r>
      <w:r w:rsidRPr="00C25749" w:rsidR="00A3291C">
        <w:t xml:space="preserve">4 at 4 (Direct Testimony of Robert </w:t>
      </w:r>
      <w:r w:rsidRPr="00C25749">
        <w:t>Fortne</w:t>
      </w:r>
      <w:r w:rsidRPr="00C25749" w:rsidR="00A3291C">
        <w:t xml:space="preserve">y) (August </w:t>
      </w:r>
      <w:r w:rsidRPr="00C25749" w:rsidR="005F4498">
        <w:t>25, 2021).</w:t>
      </w:r>
    </w:p>
  </w:footnote>
  <w:footnote w:id="334">
    <w:p w:rsidR="00331480" w:rsidRPr="00C25749" w:rsidP="00C25749" w14:paraId="541DAD1A" w14:textId="77777777">
      <w:pPr>
        <w:pStyle w:val="FootnoteText"/>
        <w:spacing w:after="120"/>
      </w:pPr>
      <w:r w:rsidRPr="00C25749">
        <w:rPr>
          <w:rStyle w:val="FootnoteReference"/>
        </w:rPr>
        <w:footnoteRef/>
      </w:r>
      <w:r w:rsidRPr="00C25749">
        <w:t xml:space="preserve"> </w:t>
      </w:r>
      <w:r w:rsidRPr="00C25749" w:rsidR="005F4498">
        <w:rPr>
          <w:i/>
          <w:iCs/>
        </w:rPr>
        <w:t>Id.</w:t>
      </w:r>
      <w:r w:rsidRPr="00C25749" w:rsidR="00B33C75">
        <w:t xml:space="preserve"> at 4.</w:t>
      </w:r>
    </w:p>
  </w:footnote>
  <w:footnote w:id="335">
    <w:p w:rsidR="007431FA" w:rsidRPr="00C25749" w:rsidP="00C25749" w14:paraId="118694B1" w14:textId="77777777">
      <w:pPr>
        <w:pStyle w:val="FootnoteText"/>
        <w:spacing w:after="120"/>
      </w:pPr>
      <w:r w:rsidRPr="00C25749">
        <w:rPr>
          <w:rStyle w:val="FootnoteReference"/>
        </w:rPr>
        <w:footnoteRef/>
      </w:r>
      <w:r w:rsidRPr="00C25749">
        <w:t xml:space="preserve"> </w:t>
      </w:r>
      <w:r w:rsidRPr="00C25749" w:rsidR="005F4498">
        <w:rPr>
          <w:i/>
          <w:iCs/>
        </w:rPr>
        <w:t>Id.</w:t>
      </w:r>
    </w:p>
  </w:footnote>
  <w:footnote w:id="336">
    <w:p w:rsidR="00B33C75" w:rsidRPr="00C25749" w:rsidP="00C25749" w14:paraId="73030065" w14:textId="77777777">
      <w:pPr>
        <w:pStyle w:val="FootnoteText"/>
        <w:spacing w:after="120"/>
      </w:pPr>
      <w:r w:rsidRPr="00C25749">
        <w:rPr>
          <w:rStyle w:val="FootnoteReference"/>
        </w:rPr>
        <w:footnoteRef/>
      </w:r>
      <w:r w:rsidRPr="00C25749">
        <w:t xml:space="preserve"> </w:t>
      </w:r>
      <w:r w:rsidRPr="00C25749" w:rsidR="005F4498">
        <w:rPr>
          <w:i/>
          <w:iCs/>
        </w:rPr>
        <w:t>Id.</w:t>
      </w:r>
    </w:p>
  </w:footnote>
  <w:footnote w:id="337">
    <w:p w:rsidR="00B33C75" w:rsidRPr="00C25749" w:rsidP="00C25749" w14:paraId="55332870" w14:textId="77777777">
      <w:pPr>
        <w:pStyle w:val="FootnoteText"/>
        <w:spacing w:after="120"/>
      </w:pPr>
      <w:r w:rsidRPr="00C25749">
        <w:rPr>
          <w:rStyle w:val="FootnoteReference"/>
        </w:rPr>
        <w:footnoteRef/>
      </w:r>
      <w:r w:rsidRPr="00C25749">
        <w:t xml:space="preserve"> </w:t>
      </w:r>
      <w:r w:rsidRPr="00C25749" w:rsidR="005F4498">
        <w:rPr>
          <w:i/>
          <w:iCs/>
        </w:rPr>
        <w:t>Id.</w:t>
      </w:r>
    </w:p>
  </w:footnote>
  <w:footnote w:id="338">
    <w:p w:rsidR="00B33C75" w:rsidRPr="00C25749" w:rsidP="00C25749" w14:paraId="26A3335F" w14:textId="77777777">
      <w:pPr>
        <w:pStyle w:val="FootnoteText"/>
        <w:spacing w:after="120"/>
      </w:pPr>
      <w:r w:rsidRPr="00C25749">
        <w:rPr>
          <w:rStyle w:val="FootnoteReference"/>
        </w:rPr>
        <w:footnoteRef/>
      </w:r>
      <w:r w:rsidRPr="00C25749">
        <w:t xml:space="preserve"> </w:t>
      </w:r>
      <w:r w:rsidRPr="00C25749" w:rsidR="005F4498">
        <w:rPr>
          <w:i/>
          <w:iCs/>
        </w:rPr>
        <w:t>Id.</w:t>
      </w:r>
    </w:p>
  </w:footnote>
  <w:footnote w:id="339">
    <w:p w:rsidR="009E5DBF" w:rsidRPr="00C25749" w:rsidP="00C25749" w14:paraId="5DF67F74" w14:textId="77777777">
      <w:pPr>
        <w:pStyle w:val="FootnoteText"/>
        <w:spacing w:after="120"/>
      </w:pPr>
      <w:r w:rsidRPr="00C25749">
        <w:rPr>
          <w:rStyle w:val="FootnoteReference"/>
        </w:rPr>
        <w:footnoteRef/>
      </w:r>
      <w:r w:rsidRPr="00C25749">
        <w:t xml:space="preserve"> </w:t>
      </w:r>
      <w:r w:rsidRPr="00C25749" w:rsidR="005F4498">
        <w:rPr>
          <w:i/>
          <w:iCs/>
        </w:rPr>
        <w:t xml:space="preserve">Id. </w:t>
      </w:r>
      <w:r w:rsidRPr="00C25749">
        <w:t>at 6.</w:t>
      </w:r>
    </w:p>
  </w:footnote>
  <w:footnote w:id="340">
    <w:p w:rsidR="008D6542" w:rsidRPr="00C25749" w:rsidP="00C25749" w14:paraId="54846AF8" w14:textId="77777777">
      <w:pPr>
        <w:pStyle w:val="FootnoteText"/>
        <w:spacing w:after="120"/>
      </w:pPr>
      <w:r w:rsidRPr="00C25749">
        <w:rPr>
          <w:rStyle w:val="FootnoteReference"/>
        </w:rPr>
        <w:footnoteRef/>
      </w:r>
      <w:r w:rsidRPr="00C25749">
        <w:t xml:space="preserve"> </w:t>
      </w:r>
      <w:r w:rsidRPr="00C25749" w:rsidR="005F4498">
        <w:rPr>
          <w:i/>
          <w:iCs/>
        </w:rPr>
        <w:t xml:space="preserve">Id. </w:t>
      </w:r>
      <w:r w:rsidRPr="00C25749" w:rsidR="00134A17">
        <w:t>at 5.</w:t>
      </w:r>
    </w:p>
  </w:footnote>
  <w:footnote w:id="341">
    <w:p w:rsidR="008D6542" w:rsidRPr="00C25749" w:rsidP="00C25749" w14:paraId="77088029" w14:textId="77777777">
      <w:pPr>
        <w:pStyle w:val="FootnoteText"/>
        <w:spacing w:after="120"/>
      </w:pPr>
      <w:r w:rsidRPr="00C25749">
        <w:rPr>
          <w:rStyle w:val="FootnoteReference"/>
        </w:rPr>
        <w:footnoteRef/>
      </w:r>
      <w:r w:rsidRPr="00C25749">
        <w:t xml:space="preserve"> </w:t>
      </w:r>
      <w:r w:rsidRPr="00C25749" w:rsidR="005F4498">
        <w:rPr>
          <w:i/>
          <w:iCs/>
        </w:rPr>
        <w:t>Id.</w:t>
      </w:r>
    </w:p>
  </w:footnote>
  <w:footnote w:id="342">
    <w:p w:rsidR="008D6542" w:rsidRPr="00C25749" w:rsidP="00C25749" w14:paraId="1C299D75" w14:textId="77777777">
      <w:pPr>
        <w:pStyle w:val="FootnoteText"/>
        <w:spacing w:after="120"/>
      </w:pPr>
      <w:r w:rsidRPr="00C25749">
        <w:rPr>
          <w:rStyle w:val="FootnoteReference"/>
        </w:rPr>
        <w:footnoteRef/>
      </w:r>
      <w:r w:rsidRPr="00C25749">
        <w:t xml:space="preserve"> </w:t>
      </w:r>
      <w:r w:rsidRPr="00C25749" w:rsidR="005F4498">
        <w:rPr>
          <w:i/>
          <w:iCs/>
        </w:rPr>
        <w:t>Id.</w:t>
      </w:r>
    </w:p>
  </w:footnote>
  <w:footnote w:id="343">
    <w:p w:rsidR="008D6542" w:rsidRPr="00C25749" w:rsidP="00C25749" w14:paraId="038A4F06" w14:textId="77777777">
      <w:pPr>
        <w:pStyle w:val="FootnoteText"/>
        <w:spacing w:after="120"/>
      </w:pPr>
      <w:r w:rsidRPr="00C25749">
        <w:rPr>
          <w:rStyle w:val="FootnoteReference"/>
        </w:rPr>
        <w:footnoteRef/>
      </w:r>
      <w:r w:rsidRPr="00C25749">
        <w:t xml:space="preserve"> </w:t>
      </w:r>
      <w:r w:rsidRPr="00C25749" w:rsidR="005F4498">
        <w:rPr>
          <w:i/>
          <w:iCs/>
        </w:rPr>
        <w:t>Id.</w:t>
      </w:r>
    </w:p>
  </w:footnote>
  <w:footnote w:id="344">
    <w:p w:rsidR="008D6542" w:rsidRPr="00C25749" w:rsidP="00C25749" w14:paraId="6C065186" w14:textId="77777777">
      <w:pPr>
        <w:pStyle w:val="FootnoteText"/>
        <w:spacing w:after="120"/>
      </w:pPr>
      <w:r w:rsidRPr="00C25749">
        <w:rPr>
          <w:rStyle w:val="FootnoteReference"/>
        </w:rPr>
        <w:footnoteRef/>
      </w:r>
      <w:r w:rsidRPr="00C25749">
        <w:t xml:space="preserve"> </w:t>
      </w:r>
      <w:r w:rsidRPr="00C25749" w:rsidR="005F4498">
        <w:rPr>
          <w:i/>
          <w:iCs/>
        </w:rPr>
        <w:t xml:space="preserve">Id. </w:t>
      </w:r>
      <w:r w:rsidRPr="00C25749" w:rsidR="00134A17">
        <w:t xml:space="preserve">at </w:t>
      </w:r>
      <w:r w:rsidRPr="00C25749" w:rsidR="002C791C">
        <w:t>6</w:t>
      </w:r>
      <w:r w:rsidRPr="00C25749" w:rsidR="00134A17">
        <w:t>.</w:t>
      </w:r>
    </w:p>
  </w:footnote>
  <w:footnote w:id="345">
    <w:p w:rsidR="008D6542" w:rsidRPr="00C25749" w:rsidP="00C25749" w14:paraId="4972724C" w14:textId="77777777">
      <w:pPr>
        <w:pStyle w:val="FootnoteText"/>
        <w:spacing w:after="120"/>
      </w:pPr>
      <w:r w:rsidRPr="00C25749">
        <w:rPr>
          <w:rStyle w:val="FootnoteReference"/>
        </w:rPr>
        <w:footnoteRef/>
      </w:r>
      <w:r w:rsidRPr="00C25749">
        <w:t xml:space="preserve"> </w:t>
      </w:r>
      <w:r w:rsidRPr="00C25749" w:rsidR="005F4498">
        <w:rPr>
          <w:i/>
          <w:iCs/>
        </w:rPr>
        <w:t>Id.</w:t>
      </w:r>
    </w:p>
  </w:footnote>
  <w:footnote w:id="346">
    <w:p w:rsidR="006216BD" w:rsidRPr="00C25749" w:rsidP="00C25749" w14:paraId="4697A7BF" w14:textId="77777777">
      <w:pPr>
        <w:pStyle w:val="FootnoteText"/>
        <w:spacing w:after="120"/>
      </w:pPr>
      <w:r w:rsidRPr="00C25749">
        <w:rPr>
          <w:rStyle w:val="FootnoteReference"/>
        </w:rPr>
        <w:footnoteRef/>
      </w:r>
      <w:r w:rsidRPr="00C25749">
        <w:t xml:space="preserve"> </w:t>
      </w:r>
      <w:r w:rsidRPr="00C25749" w:rsidR="005F4498">
        <w:rPr>
          <w:i/>
          <w:iCs/>
        </w:rPr>
        <w:t>Id.</w:t>
      </w:r>
    </w:p>
  </w:footnote>
  <w:footnote w:id="347">
    <w:p w:rsidR="00960C9B" w:rsidRPr="00C25749" w:rsidP="00C25749" w14:paraId="430B37EF" w14:textId="77777777">
      <w:pPr>
        <w:pStyle w:val="FootnoteText"/>
        <w:spacing w:after="120"/>
      </w:pPr>
      <w:r w:rsidRPr="00C25749">
        <w:rPr>
          <w:rStyle w:val="FootnoteReference"/>
        </w:rPr>
        <w:footnoteRef/>
      </w:r>
      <w:r w:rsidRPr="00C25749">
        <w:t xml:space="preserve"> </w:t>
      </w:r>
      <w:r w:rsidRPr="00C25749" w:rsidR="005F4498">
        <w:rPr>
          <w:i/>
          <w:iCs/>
        </w:rPr>
        <w:t>Id.</w:t>
      </w:r>
    </w:p>
  </w:footnote>
  <w:footnote w:id="348">
    <w:p w:rsidR="00960C9B" w:rsidRPr="00C25749" w:rsidP="00C25749" w14:paraId="206D94BB" w14:textId="77777777">
      <w:pPr>
        <w:pStyle w:val="FootnoteText"/>
        <w:spacing w:after="120"/>
      </w:pPr>
      <w:r w:rsidRPr="00C25749">
        <w:rPr>
          <w:rStyle w:val="FootnoteReference"/>
        </w:rPr>
        <w:footnoteRef/>
      </w:r>
      <w:r w:rsidRPr="00C25749">
        <w:t xml:space="preserve"> </w:t>
      </w:r>
      <w:r w:rsidRPr="00C25749" w:rsidR="005F4498">
        <w:rPr>
          <w:i/>
          <w:iCs/>
        </w:rPr>
        <w:t>Id.</w:t>
      </w:r>
    </w:p>
  </w:footnote>
  <w:footnote w:id="349">
    <w:p w:rsidR="00EE0EBC" w:rsidRPr="00C25749" w:rsidP="00C25749" w14:paraId="26EF99A9" w14:textId="77777777">
      <w:pPr>
        <w:pStyle w:val="FootnoteText"/>
        <w:spacing w:after="120"/>
      </w:pPr>
      <w:r w:rsidRPr="00C25749">
        <w:rPr>
          <w:rStyle w:val="FootnoteReference"/>
        </w:rPr>
        <w:footnoteRef/>
      </w:r>
      <w:r w:rsidRPr="00C25749">
        <w:t xml:space="preserve"> </w:t>
      </w:r>
      <w:r w:rsidRPr="00C25749" w:rsidR="005F4498">
        <w:rPr>
          <w:i/>
          <w:iCs/>
        </w:rPr>
        <w:t>Id.</w:t>
      </w:r>
    </w:p>
  </w:footnote>
  <w:footnote w:id="350">
    <w:p w:rsidR="006A4A65" w:rsidRPr="00C25749" w:rsidP="00C25749" w14:paraId="50E6A60F" w14:textId="77777777">
      <w:pPr>
        <w:pStyle w:val="FootnoteText"/>
        <w:spacing w:after="120"/>
      </w:pPr>
      <w:r w:rsidRPr="00C25749">
        <w:rPr>
          <w:rStyle w:val="FootnoteReference"/>
        </w:rPr>
        <w:footnoteRef/>
      </w:r>
      <w:r w:rsidRPr="00C25749">
        <w:t xml:space="preserve"> </w:t>
      </w:r>
      <w:r w:rsidRPr="00C25749" w:rsidR="005F4498">
        <w:rPr>
          <w:i/>
          <w:iCs/>
        </w:rPr>
        <w:t xml:space="preserve">Id. </w:t>
      </w:r>
      <w:r w:rsidRPr="00C25749">
        <w:t>at 8.</w:t>
      </w:r>
    </w:p>
  </w:footnote>
  <w:footnote w:id="351">
    <w:p w:rsidR="00CA1F30" w:rsidRPr="00C25749" w:rsidP="00C25749" w14:paraId="3B7D7A19" w14:textId="77777777">
      <w:pPr>
        <w:pStyle w:val="FootnoteText"/>
        <w:spacing w:after="120"/>
      </w:pPr>
      <w:r w:rsidRPr="00C25749">
        <w:rPr>
          <w:rStyle w:val="FootnoteReference"/>
        </w:rPr>
        <w:footnoteRef/>
      </w:r>
      <w:r w:rsidRPr="00C25749">
        <w:t xml:space="preserve"> </w:t>
      </w:r>
      <w:r w:rsidRPr="00C25749" w:rsidR="005F4498">
        <w:rPr>
          <w:i/>
          <w:iCs/>
        </w:rPr>
        <w:t>Id.</w:t>
      </w:r>
    </w:p>
  </w:footnote>
  <w:footnote w:id="352">
    <w:p w:rsidR="00BD1694" w:rsidRPr="00C25749" w:rsidP="00C25749" w14:paraId="57C1D318" w14:textId="77777777">
      <w:pPr>
        <w:pStyle w:val="FootnoteText"/>
        <w:spacing w:after="120"/>
      </w:pPr>
      <w:r w:rsidRPr="00C25749">
        <w:rPr>
          <w:rStyle w:val="FootnoteReference"/>
        </w:rPr>
        <w:footnoteRef/>
      </w:r>
      <w:r w:rsidRPr="00C25749">
        <w:t xml:space="preserve"> </w:t>
      </w:r>
      <w:r w:rsidRPr="00C25749" w:rsidR="005F4498">
        <w:rPr>
          <w:i/>
          <w:iCs/>
        </w:rPr>
        <w:t>Id.</w:t>
      </w:r>
    </w:p>
  </w:footnote>
  <w:footnote w:id="353">
    <w:p w:rsidR="00F47FBD" w:rsidRPr="00C25749" w:rsidP="00C25749" w14:paraId="41CC1A88" w14:textId="77777777">
      <w:pPr>
        <w:pStyle w:val="FootnoteText"/>
        <w:spacing w:after="120"/>
      </w:pPr>
      <w:r w:rsidRPr="00C25749">
        <w:rPr>
          <w:rStyle w:val="FootnoteReference"/>
        </w:rPr>
        <w:footnoteRef/>
      </w:r>
      <w:r w:rsidRPr="00C25749">
        <w:t xml:space="preserve"> </w:t>
      </w:r>
      <w:r w:rsidRPr="00C25749" w:rsidR="005F4498">
        <w:rPr>
          <w:i/>
          <w:iCs/>
        </w:rPr>
        <w:t>Id.</w:t>
      </w:r>
    </w:p>
  </w:footnote>
  <w:footnote w:id="354">
    <w:p w:rsidR="00BC0895" w:rsidRPr="00C25749" w:rsidP="00C25749" w14:paraId="4E22B2F0" w14:textId="77777777">
      <w:pPr>
        <w:pStyle w:val="FootnoteText"/>
        <w:spacing w:after="120"/>
      </w:pPr>
      <w:r w:rsidRPr="00C25749">
        <w:rPr>
          <w:rStyle w:val="FootnoteReference"/>
        </w:rPr>
        <w:footnoteRef/>
      </w:r>
      <w:r w:rsidRPr="00C25749">
        <w:t xml:space="preserve"> </w:t>
      </w:r>
      <w:r w:rsidRPr="00C25749" w:rsidR="005F4498">
        <w:rPr>
          <w:i/>
          <w:iCs/>
        </w:rPr>
        <w:t>Id.</w:t>
      </w:r>
    </w:p>
  </w:footnote>
  <w:footnote w:id="355">
    <w:p w:rsidR="00CA4E63" w:rsidRPr="00C25749" w:rsidP="00C25749" w14:paraId="243791BB" w14:textId="77777777">
      <w:pPr>
        <w:pStyle w:val="FootnoteText"/>
        <w:spacing w:after="120"/>
      </w:pPr>
      <w:r w:rsidRPr="00C25749">
        <w:rPr>
          <w:rStyle w:val="FootnoteReference"/>
        </w:rPr>
        <w:footnoteRef/>
      </w:r>
      <w:r w:rsidRPr="00C25749">
        <w:t xml:space="preserve"> </w:t>
      </w:r>
      <w:r w:rsidRPr="00C25749" w:rsidR="005F4498">
        <w:rPr>
          <w:i/>
          <w:iCs/>
        </w:rPr>
        <w:t xml:space="preserve">Id. </w:t>
      </w:r>
      <w:r w:rsidRPr="00C25749">
        <w:t>at 9.</w:t>
      </w:r>
    </w:p>
  </w:footnote>
  <w:footnote w:id="356">
    <w:p w:rsidR="00CA4E63" w:rsidRPr="00C25749" w:rsidP="00C25749" w14:paraId="02DE8608" w14:textId="77777777">
      <w:pPr>
        <w:pStyle w:val="FootnoteText"/>
        <w:spacing w:after="120"/>
      </w:pPr>
      <w:r w:rsidRPr="00C25749">
        <w:rPr>
          <w:rStyle w:val="FootnoteReference"/>
        </w:rPr>
        <w:footnoteRef/>
      </w:r>
      <w:r w:rsidRPr="00C25749">
        <w:t xml:space="preserve"> </w:t>
      </w:r>
      <w:r w:rsidRPr="00C25749" w:rsidR="005F4498">
        <w:rPr>
          <w:i/>
          <w:iCs/>
        </w:rPr>
        <w:t>Id.</w:t>
      </w:r>
    </w:p>
  </w:footnote>
  <w:footnote w:id="357">
    <w:p w:rsidR="00CA4E63" w:rsidRPr="00C25749" w:rsidP="00C25749" w14:paraId="2DC8A53E" w14:textId="77777777">
      <w:pPr>
        <w:pStyle w:val="FootnoteText"/>
        <w:spacing w:after="120"/>
      </w:pPr>
      <w:r w:rsidRPr="00C25749">
        <w:rPr>
          <w:rStyle w:val="FootnoteReference"/>
        </w:rPr>
        <w:footnoteRef/>
      </w:r>
      <w:r w:rsidRPr="00C25749">
        <w:t xml:space="preserve"> </w:t>
      </w:r>
      <w:r w:rsidRPr="00C25749" w:rsidR="005F4498">
        <w:rPr>
          <w:i/>
          <w:iCs/>
        </w:rPr>
        <w:t>Id.</w:t>
      </w:r>
    </w:p>
  </w:footnote>
  <w:footnote w:id="358">
    <w:p w:rsidR="00CA4E63" w:rsidRPr="00C25749" w:rsidP="00C25749" w14:paraId="0578082E" w14:textId="77777777">
      <w:pPr>
        <w:pStyle w:val="FootnoteText"/>
        <w:spacing w:after="120"/>
      </w:pPr>
      <w:r w:rsidRPr="00C25749">
        <w:rPr>
          <w:rStyle w:val="FootnoteReference"/>
        </w:rPr>
        <w:footnoteRef/>
      </w:r>
      <w:r w:rsidRPr="00C25749">
        <w:t xml:space="preserve"> </w:t>
      </w:r>
      <w:r w:rsidRPr="00C25749" w:rsidR="005F4498">
        <w:rPr>
          <w:i/>
          <w:iCs/>
        </w:rPr>
        <w:t>Id.</w:t>
      </w:r>
    </w:p>
  </w:footnote>
  <w:footnote w:id="359">
    <w:p w:rsidR="00BC0895" w:rsidRPr="00C25749" w:rsidP="00C25749" w14:paraId="68DE9038" w14:textId="77777777">
      <w:pPr>
        <w:pStyle w:val="FootnoteText"/>
        <w:spacing w:after="120"/>
      </w:pPr>
      <w:r w:rsidRPr="00C25749">
        <w:rPr>
          <w:rStyle w:val="FootnoteReference"/>
        </w:rPr>
        <w:footnoteRef/>
      </w:r>
      <w:r w:rsidRPr="00C25749">
        <w:t xml:space="preserve"> </w:t>
      </w:r>
      <w:r w:rsidRPr="00C25749" w:rsidR="005F4498">
        <w:rPr>
          <w:i/>
          <w:iCs/>
        </w:rPr>
        <w:t>Id.</w:t>
      </w:r>
    </w:p>
  </w:footnote>
  <w:footnote w:id="360">
    <w:p w:rsidR="00CA4E63" w:rsidRPr="00C25749" w:rsidP="00C25749" w14:paraId="3D4FA76F" w14:textId="77777777">
      <w:pPr>
        <w:pStyle w:val="FootnoteText"/>
        <w:spacing w:after="120"/>
      </w:pPr>
      <w:r w:rsidRPr="00C25749">
        <w:rPr>
          <w:rStyle w:val="FootnoteReference"/>
        </w:rPr>
        <w:footnoteRef/>
      </w:r>
      <w:r w:rsidRPr="00C25749">
        <w:t xml:space="preserve"> </w:t>
      </w:r>
      <w:r w:rsidRPr="00C25749" w:rsidR="005F4498">
        <w:rPr>
          <w:i/>
          <w:iCs/>
        </w:rPr>
        <w:t xml:space="preserve">Id. </w:t>
      </w:r>
      <w:r w:rsidRPr="00C25749">
        <w:t>at 10.</w:t>
      </w:r>
    </w:p>
  </w:footnote>
  <w:footnote w:id="361">
    <w:p w:rsidR="00C35FBA" w:rsidRPr="00C25749" w:rsidP="00C25749" w14:paraId="33D7272A" w14:textId="77777777">
      <w:pPr>
        <w:pStyle w:val="FootnoteText"/>
        <w:spacing w:after="120"/>
      </w:pPr>
      <w:r w:rsidRPr="00C25749">
        <w:rPr>
          <w:rStyle w:val="FootnoteReference"/>
        </w:rPr>
        <w:footnoteRef/>
      </w:r>
      <w:r w:rsidRPr="00C25749">
        <w:t xml:space="preserve"> </w:t>
      </w:r>
      <w:r w:rsidRPr="00C25749" w:rsidR="005F4498">
        <w:rPr>
          <w:i/>
          <w:iCs/>
        </w:rPr>
        <w:t>Id.</w:t>
      </w:r>
    </w:p>
  </w:footnote>
  <w:footnote w:id="362">
    <w:p w:rsidR="00C35FBA" w:rsidRPr="00C25749" w:rsidP="00C25749" w14:paraId="600647EE" w14:textId="77777777">
      <w:pPr>
        <w:pStyle w:val="FootnoteText"/>
        <w:spacing w:after="120"/>
      </w:pPr>
      <w:r w:rsidRPr="00C25749">
        <w:rPr>
          <w:rStyle w:val="FootnoteReference"/>
        </w:rPr>
        <w:footnoteRef/>
      </w:r>
      <w:r w:rsidRPr="00C25749">
        <w:t xml:space="preserve"> </w:t>
      </w:r>
      <w:r w:rsidRPr="00C25749" w:rsidR="005F4498">
        <w:rPr>
          <w:i/>
          <w:iCs/>
        </w:rPr>
        <w:t>Id.</w:t>
      </w:r>
    </w:p>
  </w:footnote>
  <w:footnote w:id="363">
    <w:p w:rsidR="00C35FBA" w:rsidRPr="00C25749" w:rsidP="00C25749" w14:paraId="6C024ED9" w14:textId="77777777">
      <w:pPr>
        <w:pStyle w:val="FootnoteText"/>
        <w:spacing w:after="120"/>
      </w:pPr>
      <w:r w:rsidRPr="00C25749">
        <w:rPr>
          <w:rStyle w:val="FootnoteReference"/>
        </w:rPr>
        <w:footnoteRef/>
      </w:r>
      <w:r w:rsidRPr="00C25749">
        <w:t xml:space="preserve"> </w:t>
      </w:r>
      <w:r w:rsidRPr="00C25749" w:rsidR="005F4498">
        <w:rPr>
          <w:i/>
          <w:iCs/>
        </w:rPr>
        <w:t>Id.</w:t>
      </w:r>
    </w:p>
  </w:footnote>
  <w:footnote w:id="364">
    <w:p w:rsidR="00C35FBA" w:rsidRPr="00C25749" w:rsidP="00C25749" w14:paraId="2F97CF6C" w14:textId="77777777">
      <w:pPr>
        <w:pStyle w:val="FootnoteText"/>
        <w:spacing w:after="120"/>
      </w:pPr>
      <w:r w:rsidRPr="00C25749">
        <w:rPr>
          <w:rStyle w:val="FootnoteReference"/>
        </w:rPr>
        <w:footnoteRef/>
      </w:r>
      <w:r w:rsidRPr="00C25749">
        <w:t xml:space="preserve"> </w:t>
      </w:r>
      <w:r w:rsidRPr="00C25749" w:rsidR="005F4498">
        <w:rPr>
          <w:i/>
          <w:iCs/>
        </w:rPr>
        <w:t>Id.</w:t>
      </w:r>
    </w:p>
  </w:footnote>
  <w:footnote w:id="365">
    <w:p w:rsidR="00180854" w:rsidRPr="00C25749" w:rsidP="00C25749" w14:paraId="6DFD2DFC" w14:textId="77777777">
      <w:pPr>
        <w:pStyle w:val="FootnoteText"/>
        <w:spacing w:after="120"/>
      </w:pPr>
      <w:r w:rsidRPr="00C25749">
        <w:rPr>
          <w:rStyle w:val="FootnoteReference"/>
        </w:rPr>
        <w:footnoteRef/>
      </w:r>
      <w:r w:rsidRPr="00C25749">
        <w:t xml:space="preserve"> </w:t>
      </w:r>
      <w:r w:rsidRPr="00C25749" w:rsidR="005F4498">
        <w:rPr>
          <w:i/>
          <w:iCs/>
        </w:rPr>
        <w:t>Id.</w:t>
      </w:r>
    </w:p>
  </w:footnote>
  <w:footnote w:id="366">
    <w:p w:rsidR="00C35FBA" w:rsidRPr="00C25749" w:rsidP="00C25749" w14:paraId="24DA0EE4" w14:textId="77777777">
      <w:pPr>
        <w:pStyle w:val="FootnoteText"/>
        <w:spacing w:after="120"/>
      </w:pPr>
      <w:r w:rsidRPr="00C25749">
        <w:rPr>
          <w:rStyle w:val="FootnoteReference"/>
        </w:rPr>
        <w:footnoteRef/>
      </w:r>
      <w:r w:rsidRPr="00C25749">
        <w:t xml:space="preserve"> </w:t>
      </w:r>
      <w:r w:rsidRPr="00C25749" w:rsidR="005F4498">
        <w:rPr>
          <w:i/>
          <w:iCs/>
        </w:rPr>
        <w:t>Id.</w:t>
      </w:r>
    </w:p>
  </w:footnote>
  <w:footnote w:id="367">
    <w:p w:rsidR="00180854" w:rsidRPr="00C25749" w:rsidP="00C25749" w14:paraId="5C79FB7F" w14:textId="77777777">
      <w:pPr>
        <w:pStyle w:val="FootnoteText"/>
        <w:spacing w:after="120"/>
      </w:pPr>
      <w:r w:rsidRPr="00C25749">
        <w:rPr>
          <w:rStyle w:val="FootnoteReference"/>
        </w:rPr>
        <w:footnoteRef/>
      </w:r>
      <w:r w:rsidRPr="00C25749">
        <w:t xml:space="preserve"> </w:t>
      </w:r>
      <w:r w:rsidRPr="00C25749" w:rsidR="005F4498">
        <w:rPr>
          <w:i/>
          <w:iCs/>
        </w:rPr>
        <w:t xml:space="preserve">Id. </w:t>
      </w:r>
      <w:r w:rsidRPr="00C25749" w:rsidR="00C35FBA">
        <w:t>at 10-11.</w:t>
      </w:r>
    </w:p>
  </w:footnote>
  <w:footnote w:id="368">
    <w:p w:rsidR="00C35FBA" w:rsidRPr="00C25749" w:rsidP="00C25749" w14:paraId="4EB21998" w14:textId="77777777">
      <w:pPr>
        <w:pStyle w:val="FootnoteText"/>
        <w:spacing w:after="120"/>
      </w:pPr>
      <w:r w:rsidRPr="00C25749">
        <w:rPr>
          <w:rStyle w:val="FootnoteReference"/>
        </w:rPr>
        <w:footnoteRef/>
      </w:r>
      <w:r w:rsidRPr="00C25749">
        <w:t xml:space="preserve"> </w:t>
      </w:r>
      <w:r w:rsidRPr="00C25749" w:rsidR="005F4498">
        <w:rPr>
          <w:i/>
          <w:iCs/>
        </w:rPr>
        <w:t xml:space="preserve">Id. </w:t>
      </w:r>
      <w:r w:rsidRPr="00C25749">
        <w:t>at 11.</w:t>
      </w:r>
    </w:p>
  </w:footnote>
  <w:footnote w:id="369">
    <w:p w:rsidR="002B5900" w:rsidRPr="00C25749" w:rsidP="00C25749" w14:paraId="218CA99F" w14:textId="77777777">
      <w:pPr>
        <w:pStyle w:val="FootnoteText"/>
        <w:spacing w:after="120"/>
      </w:pPr>
      <w:r w:rsidRPr="00C25749">
        <w:rPr>
          <w:rStyle w:val="FootnoteReference"/>
        </w:rPr>
        <w:footnoteRef/>
      </w:r>
      <w:r w:rsidRPr="00C25749">
        <w:t xml:space="preserve"> </w:t>
      </w:r>
      <w:r w:rsidRPr="00C25749" w:rsidR="005F4498">
        <w:t xml:space="preserve">OCC Ex. </w:t>
      </w:r>
      <w:r w:rsidRPr="00C25749" w:rsidR="001F42B8">
        <w:t>1</w:t>
      </w:r>
      <w:r w:rsidRPr="00C25749" w:rsidR="001777AE">
        <w:t xml:space="preserve"> at 24.</w:t>
      </w:r>
    </w:p>
  </w:footnote>
  <w:footnote w:id="370">
    <w:p w:rsidR="002B5900" w:rsidRPr="00C25749" w:rsidP="00C25749" w14:paraId="2C540497" w14:textId="77777777">
      <w:pPr>
        <w:pStyle w:val="FootnoteText"/>
        <w:spacing w:after="120"/>
      </w:pPr>
      <w:r w:rsidRPr="00C25749">
        <w:rPr>
          <w:rStyle w:val="FootnoteReference"/>
        </w:rPr>
        <w:footnoteRef/>
      </w:r>
      <w:r w:rsidRPr="00C25749">
        <w:t xml:space="preserve"> </w:t>
      </w:r>
      <w:r w:rsidRPr="00C25749" w:rsidR="001F42B8">
        <w:rPr>
          <w:i/>
          <w:iCs/>
        </w:rPr>
        <w:t>Id.</w:t>
      </w:r>
    </w:p>
  </w:footnote>
  <w:footnote w:id="371">
    <w:p w:rsidR="00E55BE6" w:rsidRPr="00C25749" w:rsidP="00C25749" w14:paraId="2E40E7CD" w14:textId="77777777">
      <w:pPr>
        <w:pStyle w:val="FootnoteText"/>
        <w:spacing w:after="120"/>
      </w:pPr>
      <w:r w:rsidRPr="00C25749">
        <w:rPr>
          <w:rStyle w:val="FootnoteReference"/>
        </w:rPr>
        <w:footnoteRef/>
      </w:r>
      <w:r w:rsidRPr="00C25749">
        <w:t xml:space="preserve"> </w:t>
      </w:r>
      <w:r w:rsidRPr="00C25749" w:rsidR="001F42B8">
        <w:rPr>
          <w:i/>
          <w:iCs/>
        </w:rPr>
        <w:t>Id.</w:t>
      </w:r>
    </w:p>
  </w:footnote>
  <w:footnote w:id="372">
    <w:p w:rsidR="002B5900" w:rsidRPr="00C25749" w:rsidP="00C25749" w14:paraId="0B09803D" w14:textId="77777777">
      <w:pPr>
        <w:pStyle w:val="FootnoteText"/>
        <w:spacing w:after="120"/>
      </w:pPr>
      <w:r w:rsidRPr="00C25749">
        <w:rPr>
          <w:rStyle w:val="FootnoteReference"/>
        </w:rPr>
        <w:footnoteRef/>
      </w:r>
      <w:r w:rsidRPr="00C25749">
        <w:t xml:space="preserve"> </w:t>
      </w:r>
      <w:r w:rsidRPr="00C25749" w:rsidR="001F42B8">
        <w:t>O.A.C.</w:t>
      </w:r>
      <w:r w:rsidRPr="00C25749">
        <w:t xml:space="preserve"> 4901:1-10-10(D).</w:t>
      </w:r>
    </w:p>
  </w:footnote>
  <w:footnote w:id="373">
    <w:p w:rsidR="005D4119" w:rsidRPr="00C25749" w:rsidP="00C25749" w14:paraId="068952B2" w14:textId="77777777">
      <w:pPr>
        <w:pStyle w:val="FootnoteText"/>
        <w:spacing w:after="120"/>
      </w:pPr>
      <w:r w:rsidRPr="00C25749">
        <w:rPr>
          <w:rStyle w:val="FootnoteReference"/>
        </w:rPr>
        <w:footnoteRef/>
      </w:r>
      <w:r w:rsidRPr="00C25749">
        <w:t xml:space="preserve"> </w:t>
      </w:r>
      <w:r w:rsidRPr="00C25749" w:rsidR="001F42B8">
        <w:t xml:space="preserve">OCC Ex. 1 </w:t>
      </w:r>
      <w:r w:rsidRPr="00C25749">
        <w:t>at 24-25.</w:t>
      </w:r>
    </w:p>
  </w:footnote>
  <w:footnote w:id="374">
    <w:p w:rsidR="002B5900" w:rsidRPr="00C25749" w:rsidP="00C25749" w14:paraId="5D36226C" w14:textId="77777777">
      <w:pPr>
        <w:pStyle w:val="FootnoteText"/>
        <w:spacing w:after="120"/>
      </w:pPr>
      <w:r w:rsidRPr="00C25749">
        <w:rPr>
          <w:rStyle w:val="FootnoteReference"/>
        </w:rPr>
        <w:footnoteRef/>
      </w:r>
      <w:r w:rsidRPr="00C25749">
        <w:t xml:space="preserve"> DP&amp;L specifically committed in the 2019 Action Plan to meet its CAIDI standard going forward. </w:t>
      </w:r>
    </w:p>
  </w:footnote>
  <w:footnote w:id="375">
    <w:p w:rsidR="00111F17" w:rsidRPr="00C25749" w:rsidP="00C25749" w14:paraId="00D36613" w14:textId="77777777">
      <w:pPr>
        <w:pStyle w:val="FootnoteText"/>
        <w:spacing w:after="120"/>
      </w:pPr>
      <w:r w:rsidRPr="00C25749">
        <w:rPr>
          <w:rStyle w:val="FootnoteReference"/>
        </w:rPr>
        <w:footnoteRef/>
      </w:r>
      <w:r w:rsidRPr="00C25749">
        <w:t xml:space="preserve"> </w:t>
      </w:r>
      <w:r w:rsidRPr="00C25749" w:rsidR="001F42B8">
        <w:t>O.A.C.</w:t>
      </w:r>
      <w:r w:rsidRPr="00C25749">
        <w:t xml:space="preserve"> 4901:1-10-10(B).</w:t>
      </w:r>
    </w:p>
  </w:footnote>
  <w:footnote w:id="376">
    <w:p w:rsidR="00111F17" w:rsidRPr="00C25749" w:rsidP="00C25749" w14:paraId="48FF9C67" w14:textId="77777777">
      <w:pPr>
        <w:pStyle w:val="FootnoteText"/>
        <w:spacing w:after="120"/>
      </w:pPr>
      <w:r w:rsidRPr="00C25749">
        <w:rPr>
          <w:rStyle w:val="FootnoteReference"/>
        </w:rPr>
        <w:footnoteRef/>
      </w:r>
      <w:r w:rsidRPr="00C25749">
        <w:t xml:space="preserve"> Annual Report of Electric System Reliability Pursuant to Ohio Adm. Code 4901:1-10-10; Case No. 17-0229-EL-ESS (March 31, 2017); Case No. 18-0995-EL-ESS (March 30, 2018); Case No. 19-0995-EL-ESS (April 1, 2019); Case No. 20-0995-EL-ESS (March 31, 2020); Case No. 21-0995-EL-ESS (March 31, 2021). </w:t>
      </w:r>
    </w:p>
  </w:footnote>
  <w:footnote w:id="377">
    <w:p w:rsidR="00EA78B4" w:rsidRPr="00C25749" w:rsidP="00C25749" w14:paraId="111FE96C" w14:textId="77777777">
      <w:pPr>
        <w:pStyle w:val="FootnoteText"/>
        <w:spacing w:after="120"/>
      </w:pPr>
      <w:r w:rsidRPr="00C25749">
        <w:rPr>
          <w:rStyle w:val="FootnoteReference"/>
        </w:rPr>
        <w:footnoteRef/>
      </w:r>
      <w:r w:rsidRPr="00C25749">
        <w:t xml:space="preserve"> Case 15-1830-EL-AIR, Stipulation and Recommendation (June 18, 2018) at 6. </w:t>
      </w:r>
    </w:p>
  </w:footnote>
  <w:footnote w:id="378">
    <w:p w:rsidR="00EA78B4" w:rsidRPr="00C25749" w:rsidP="00C25749" w14:paraId="104A968D" w14:textId="77777777">
      <w:pPr>
        <w:pStyle w:val="FootnoteText"/>
        <w:spacing w:after="120"/>
      </w:pPr>
      <w:r w:rsidRPr="00C25749">
        <w:rPr>
          <w:rStyle w:val="FootnoteReference"/>
        </w:rPr>
        <w:footnoteRef/>
      </w:r>
      <w:r w:rsidRPr="00C25749">
        <w:t xml:space="preserve"> </w:t>
      </w:r>
      <w:r w:rsidRPr="00C25749">
        <w:rPr>
          <w:i/>
          <w:iCs/>
        </w:rPr>
        <w:t>Id</w:t>
      </w:r>
      <w:r w:rsidRPr="00C25749">
        <w:t>. at 9.</w:t>
      </w:r>
    </w:p>
  </w:footnote>
  <w:footnote w:id="379">
    <w:p w:rsidR="00BA579B" w:rsidRPr="00C25749" w:rsidP="00C25749" w14:paraId="187E492F" w14:textId="77777777">
      <w:pPr>
        <w:pStyle w:val="FootnoteText"/>
        <w:spacing w:after="120"/>
      </w:pPr>
      <w:r w:rsidRPr="00C25749">
        <w:rPr>
          <w:rStyle w:val="FootnoteReference"/>
        </w:rPr>
        <w:footnoteRef/>
      </w:r>
      <w:r w:rsidRPr="00C25749">
        <w:t xml:space="preserve"> </w:t>
      </w:r>
      <w:r w:rsidRPr="00C25749" w:rsidR="0061721D">
        <w:t xml:space="preserve">OCC Ex. 1 </w:t>
      </w:r>
      <w:r w:rsidRPr="00C25749">
        <w:t>at 29.</w:t>
      </w:r>
    </w:p>
  </w:footnote>
  <w:footnote w:id="380">
    <w:p w:rsidR="00BA579B" w:rsidRPr="00C25749" w:rsidP="00C25749" w14:paraId="3FCA5F20" w14:textId="77777777">
      <w:pPr>
        <w:pStyle w:val="FootnoteText"/>
        <w:spacing w:after="120"/>
      </w:pPr>
      <w:r w:rsidRPr="00C25749">
        <w:rPr>
          <w:rStyle w:val="FootnoteReference"/>
        </w:rPr>
        <w:footnoteRef/>
      </w:r>
      <w:r w:rsidRPr="00C25749">
        <w:t xml:space="preserve"> </w:t>
      </w:r>
      <w:r w:rsidRPr="00C25749" w:rsidR="0061721D">
        <w:rPr>
          <w:i/>
          <w:iCs/>
        </w:rPr>
        <w:t>Id.</w:t>
      </w:r>
    </w:p>
  </w:footnote>
  <w:footnote w:id="381">
    <w:p w:rsidR="00BA579B" w:rsidRPr="00C25749" w:rsidP="00C25749" w14:paraId="51B01A4D" w14:textId="77777777">
      <w:pPr>
        <w:pStyle w:val="FootnoteText"/>
        <w:spacing w:after="120"/>
      </w:pPr>
      <w:r w:rsidRPr="00C25749">
        <w:rPr>
          <w:rStyle w:val="FootnoteReference"/>
        </w:rPr>
        <w:footnoteRef/>
      </w:r>
      <w:r w:rsidRPr="00C25749">
        <w:t xml:space="preserve"> </w:t>
      </w:r>
      <w:r w:rsidRPr="00C25749" w:rsidR="0061721D">
        <w:rPr>
          <w:i/>
          <w:iCs/>
        </w:rPr>
        <w:t>Id.</w:t>
      </w:r>
    </w:p>
  </w:footnote>
  <w:footnote w:id="382">
    <w:p w:rsidR="0015575E" w:rsidRPr="00C25749" w:rsidP="00C25749" w14:paraId="6BEDE758" w14:textId="77777777">
      <w:pPr>
        <w:pStyle w:val="FootnoteText"/>
        <w:spacing w:after="120"/>
      </w:pPr>
      <w:r w:rsidRPr="00C25749">
        <w:rPr>
          <w:rStyle w:val="FootnoteReference"/>
        </w:rPr>
        <w:footnoteRef/>
      </w:r>
      <w:r w:rsidRPr="00C25749">
        <w:t xml:space="preserve"> </w:t>
      </w:r>
      <w:r w:rsidRPr="00C25749" w:rsidR="0061721D">
        <w:rPr>
          <w:i/>
          <w:iCs/>
        </w:rPr>
        <w:t xml:space="preserve">Id. </w:t>
      </w:r>
      <w:r w:rsidRPr="00C25749">
        <w:t>at 30.</w:t>
      </w:r>
    </w:p>
  </w:footnote>
  <w:footnote w:id="383">
    <w:p w:rsidR="006C1320" w:rsidRPr="00C25749" w:rsidP="00C25749" w14:paraId="20D0FFF9" w14:textId="77777777">
      <w:pPr>
        <w:pStyle w:val="FootnoteText"/>
        <w:spacing w:after="120"/>
      </w:pPr>
      <w:r w:rsidRPr="00C25749">
        <w:rPr>
          <w:rStyle w:val="FootnoteReference"/>
        </w:rPr>
        <w:footnoteRef/>
      </w:r>
      <w:r w:rsidRPr="00C25749">
        <w:t xml:space="preserve"> In Case No. 06-0222-EL-SLF, the PUCO ordered AEP Ohio to expend $10 million in shareholder funds to implement its vegetation management plan.</w:t>
      </w:r>
    </w:p>
  </w:footnote>
  <w:footnote w:id="384">
    <w:p w:rsidR="006C1320" w:rsidRPr="00C25749" w:rsidP="00C25749" w14:paraId="0CF8C79B" w14:textId="77777777">
      <w:pPr>
        <w:pStyle w:val="FootnoteText"/>
        <w:spacing w:after="120"/>
      </w:pPr>
      <w:r w:rsidRPr="00C25749">
        <w:rPr>
          <w:rStyle w:val="FootnoteReference"/>
        </w:rPr>
        <w:footnoteRef/>
      </w:r>
      <w:r w:rsidRPr="00C25749">
        <w:t xml:space="preserve"> </w:t>
      </w:r>
      <w:r w:rsidRPr="00C25749">
        <w:rPr>
          <w:i/>
          <w:iCs/>
        </w:rPr>
        <w:t>See In re Application of the Dayton Power &amp; Light Co. for Approval of its Plan to Modernize its Distribution Grid</w:t>
      </w:r>
      <w:r w:rsidRPr="00C25749">
        <w:t>, Case No. 18-1875-EL-GRD, Opinion &amp; Order ¶¶ 61-69, 76-78 (June 16, 2021).</w:t>
      </w:r>
    </w:p>
  </w:footnote>
  <w:footnote w:id="385">
    <w:p w:rsidR="003A4A62" w:rsidRPr="00C25749" w:rsidP="00C25749" w14:paraId="3F0E381C" w14:textId="77777777">
      <w:pPr>
        <w:pStyle w:val="FootnoteText"/>
        <w:spacing w:after="120"/>
      </w:pPr>
      <w:r w:rsidRPr="00C25749">
        <w:rPr>
          <w:rStyle w:val="FootnoteReference"/>
        </w:rPr>
        <w:footnoteRef/>
      </w:r>
      <w:r w:rsidRPr="00C25749">
        <w:t xml:space="preserve"> </w:t>
      </w:r>
      <w:r w:rsidRPr="00C25749">
        <w:rPr>
          <w:i/>
          <w:iCs/>
        </w:rPr>
        <w:t>See</w:t>
      </w:r>
      <w:r w:rsidRPr="00C25749" w:rsidR="009C690B">
        <w:t xml:space="preserve"> </w:t>
      </w:r>
      <w:r w:rsidRPr="00C25749">
        <w:t>Case</w:t>
      </w:r>
      <w:r w:rsidRPr="00C25749" w:rsidR="009C690B">
        <w:t xml:space="preserve"> </w:t>
      </w:r>
      <w:r w:rsidRPr="00C25749">
        <w:t>No.</w:t>
      </w:r>
      <w:r w:rsidRPr="00C25749" w:rsidR="009C690B">
        <w:t xml:space="preserve"> </w:t>
      </w:r>
      <w:r w:rsidRPr="00C25749">
        <w:t>12-426-EL-SSO,</w:t>
      </w:r>
      <w:r w:rsidRPr="00C25749" w:rsidR="009C690B">
        <w:t xml:space="preserve"> </w:t>
      </w:r>
      <w:r w:rsidRPr="00C25749">
        <w:t>Entry</w:t>
      </w:r>
      <w:r w:rsidRPr="00C25749" w:rsidR="009C690B">
        <w:t xml:space="preserve"> </w:t>
      </w:r>
      <w:r w:rsidRPr="00C25749">
        <w:t>on</w:t>
      </w:r>
      <w:r w:rsidRPr="00C25749" w:rsidR="009C690B">
        <w:t xml:space="preserve"> </w:t>
      </w:r>
      <w:r w:rsidRPr="00C25749">
        <w:t>Rehearing</w:t>
      </w:r>
      <w:r w:rsidRPr="00C25749" w:rsidR="009C690B">
        <w:t xml:space="preserve"> </w:t>
      </w:r>
      <w:r w:rsidRPr="00C25749">
        <w:t>at</w:t>
      </w:r>
      <w:r w:rsidRPr="00C25749" w:rsidR="009C690B">
        <w:t xml:space="preserve"> </w:t>
      </w:r>
      <w:r w:rsidRPr="00C25749">
        <w:t>5</w:t>
      </w:r>
      <w:r w:rsidRPr="00C25749" w:rsidR="009C690B">
        <w:t xml:space="preserve"> </w:t>
      </w:r>
      <w:r w:rsidRPr="00C25749">
        <w:t>(February</w:t>
      </w:r>
      <w:r w:rsidRPr="00C25749" w:rsidR="009C690B">
        <w:t xml:space="preserve"> </w:t>
      </w:r>
      <w:r w:rsidRPr="00C25749">
        <w:t>13,</w:t>
      </w:r>
      <w:r w:rsidRPr="00C25749" w:rsidR="009C690B">
        <w:t xml:space="preserve"> </w:t>
      </w:r>
      <w:r w:rsidRPr="00C25749">
        <w:t>2013)</w:t>
      </w:r>
      <w:r w:rsidRPr="00C25749" w:rsidR="009C690B">
        <w:t xml:space="preserve"> </w:t>
      </w:r>
      <w:r w:rsidRPr="00C25749">
        <w:t>(interpreting</w:t>
      </w:r>
      <w:r w:rsidRPr="00C25749" w:rsidR="009C690B">
        <w:t xml:space="preserve"> </w:t>
      </w:r>
      <w:r w:rsidRPr="00C25749">
        <w:t>R.C.</w:t>
      </w:r>
      <w:r w:rsidRPr="00C25749" w:rsidR="009C690B">
        <w:t xml:space="preserve"> </w:t>
      </w:r>
      <w:r w:rsidRPr="00C25749">
        <w:t>4928.143(C)(2)(b) to</w:t>
      </w:r>
      <w:r w:rsidRPr="00C25749" w:rsidR="009C690B">
        <w:t xml:space="preserve"> </w:t>
      </w:r>
      <w:r w:rsidRPr="00C25749">
        <w:t>mean</w:t>
      </w:r>
      <w:r w:rsidRPr="00C25749" w:rsidR="009C690B">
        <w:t xml:space="preserve"> </w:t>
      </w:r>
      <w:r w:rsidRPr="00C25749">
        <w:t>that</w:t>
      </w:r>
      <w:r w:rsidRPr="00C25749" w:rsidR="009C690B">
        <w:t xml:space="preserve"> </w:t>
      </w:r>
      <w:r w:rsidRPr="00C25749">
        <w:t>when</w:t>
      </w:r>
      <w:r w:rsidRPr="00C25749" w:rsidR="009C690B">
        <w:t xml:space="preserve"> </w:t>
      </w:r>
      <w:r w:rsidRPr="00C25749">
        <w:t>a</w:t>
      </w:r>
      <w:r w:rsidRPr="00C25749" w:rsidR="009C690B">
        <w:t xml:space="preserve"> </w:t>
      </w:r>
      <w:r w:rsidRPr="00C25749">
        <w:t>utility</w:t>
      </w:r>
      <w:r w:rsidRPr="00C25749" w:rsidR="009C690B">
        <w:t xml:space="preserve"> </w:t>
      </w:r>
      <w:r w:rsidRPr="00C25749">
        <w:t>withdraws</w:t>
      </w:r>
      <w:r w:rsidRPr="00C25749" w:rsidR="009C690B">
        <w:t xml:space="preserve"> </w:t>
      </w:r>
      <w:r w:rsidRPr="00C25749">
        <w:t>from</w:t>
      </w:r>
      <w:r w:rsidRPr="00C25749" w:rsidR="009C690B">
        <w:t xml:space="preserve"> </w:t>
      </w:r>
      <w:r w:rsidRPr="00C25749">
        <w:t>its</w:t>
      </w:r>
      <w:r w:rsidRPr="00C25749" w:rsidR="009C690B">
        <w:t xml:space="preserve"> </w:t>
      </w:r>
      <w:r w:rsidRPr="00C25749">
        <w:t>electric</w:t>
      </w:r>
      <w:r w:rsidRPr="00C25749" w:rsidR="009C690B">
        <w:t xml:space="preserve"> </w:t>
      </w:r>
      <w:r w:rsidRPr="00C25749">
        <w:t>security</w:t>
      </w:r>
      <w:r w:rsidRPr="00C25749" w:rsidR="009C690B">
        <w:t xml:space="preserve"> </w:t>
      </w:r>
      <w:r w:rsidRPr="00C25749">
        <w:t>plan,</w:t>
      </w:r>
      <w:r w:rsidRPr="00C25749" w:rsidR="009C690B">
        <w:t xml:space="preserve"> </w:t>
      </w:r>
      <w:r w:rsidRPr="00C25749">
        <w:t>it</w:t>
      </w:r>
      <w:r w:rsidRPr="00C25749" w:rsidR="009C690B">
        <w:t xml:space="preserve"> </w:t>
      </w:r>
      <w:r w:rsidRPr="00C25749">
        <w:t>must</w:t>
      </w:r>
      <w:r w:rsidRPr="00C25749" w:rsidR="009C690B">
        <w:t xml:space="preserve"> </w:t>
      </w:r>
      <w:r w:rsidRPr="00C25749">
        <w:t>revert</w:t>
      </w:r>
      <w:r w:rsidRPr="00C25749" w:rsidR="009C690B">
        <w:t xml:space="preserve"> </w:t>
      </w:r>
      <w:r w:rsidRPr="00C25749">
        <w:t>to</w:t>
      </w:r>
      <w:r w:rsidRPr="00C25749" w:rsidR="009C690B">
        <w:t xml:space="preserve"> </w:t>
      </w:r>
      <w:r w:rsidRPr="00C25749">
        <w:t>the</w:t>
      </w:r>
      <w:r w:rsidRPr="00C25749" w:rsidR="009C690B">
        <w:t xml:space="preserve"> </w:t>
      </w:r>
      <w:r w:rsidRPr="00C25749">
        <w:t>previous</w:t>
      </w:r>
      <w:r w:rsidRPr="00C25749" w:rsidR="009C690B">
        <w:t xml:space="preserve"> </w:t>
      </w:r>
      <w:r w:rsidRPr="00C25749">
        <w:t>electric</w:t>
      </w:r>
      <w:r w:rsidRPr="00C25749" w:rsidR="009C690B">
        <w:t xml:space="preserve"> </w:t>
      </w:r>
      <w:r w:rsidRPr="00C25749">
        <w:t>security plan</w:t>
      </w:r>
      <w:r w:rsidRPr="00C25749" w:rsidR="009C690B">
        <w:t xml:space="preserve"> </w:t>
      </w:r>
      <w:r w:rsidRPr="00C25749">
        <w:t>in</w:t>
      </w:r>
      <w:r w:rsidRPr="00C25749" w:rsidR="009C690B">
        <w:t xml:space="preserve"> </w:t>
      </w:r>
      <w:r w:rsidRPr="00C25749">
        <w:t>its</w:t>
      </w:r>
      <w:r w:rsidRPr="00C25749" w:rsidR="009C690B">
        <w:t xml:space="preserve"> </w:t>
      </w:r>
      <w:r w:rsidRPr="00C25749">
        <w:t>entirety).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1882" w14:paraId="12DA2A3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1882" w14:paraId="292FFCA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1882" w14:paraId="2368A16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047D02"/>
    <w:multiLevelType w:val="hybridMultilevel"/>
    <w:tmpl w:val="822C36FC"/>
    <w:lvl w:ilvl="0">
      <w:start w:val="1"/>
      <w:numFmt w:val="upperLetter"/>
      <w:lvlText w:val="%1&gt;"/>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0E01407"/>
    <w:multiLevelType w:val="multilevel"/>
    <w:tmpl w:val="0254CE00"/>
    <w:lvl w:ilvl="0">
      <w:start w:val="1"/>
      <w:numFmt w:val="decimal"/>
      <w:pStyle w:val="ListNum"/>
      <w:lvlText w:val="%1."/>
      <w:lvlJc w:val="left"/>
      <w:pPr>
        <w:tabs>
          <w:tab w:val="num" w:pos="720"/>
        </w:tabs>
        <w:ind w:left="0" w:firstLine="720"/>
      </w:pPr>
      <w:rPr>
        <w:rFonts w:hint="default"/>
      </w:rPr>
    </w:lvl>
    <w:lvl w:ilvl="1">
      <w:start w:val="1"/>
      <w:numFmt w:val="decimal"/>
      <w:lvlText w:val="%2."/>
      <w:lvlJc w:val="left"/>
      <w:pPr>
        <w:tabs>
          <w:tab w:val="num" w:pos="1440"/>
        </w:tabs>
        <w:ind w:left="720" w:firstLine="720"/>
      </w:pPr>
      <w:rPr>
        <w:rFonts w:hint="default"/>
      </w:rPr>
    </w:lvl>
    <w:lvl w:ilvl="2">
      <w:start w:val="1"/>
      <w:numFmt w:val="decimal"/>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2">
    <w:nsid w:val="567E5D1E"/>
    <w:multiLevelType w:val="hybridMultilevel"/>
    <w:tmpl w:val="BAB424A6"/>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5B7313B0"/>
    <w:multiLevelType w:val="hybridMultilevel"/>
    <w:tmpl w:val="F6269AB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FA9030A"/>
    <w:multiLevelType w:val="hybridMultilevel"/>
    <w:tmpl w:val="54A6EFF6"/>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71A93E1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color w:val="auto"/>
      </w:rPr>
    </w:lvl>
    <w:lvl w:ilvl="2">
      <w:start w:val="1"/>
      <w:numFmt w:val="decimal"/>
      <w:pStyle w:val="Heading3"/>
      <w:lvlText w:val="%3."/>
      <w:lvlJc w:val="left"/>
      <w:pPr>
        <w:ind w:left="1440" w:firstLine="0"/>
      </w:pPr>
      <w:rPr>
        <w:color w:val="auto"/>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3"/>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1"/>
  </w:num>
  <w:num w:numId="23">
    <w:abstractNumId w:val="2"/>
  </w:num>
  <w:num w:numId="24">
    <w:abstractNumId w:val="4"/>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0"/>
  </w:num>
  <w:num w:numId="34">
    <w:abstractNumId w:val="5"/>
  </w:num>
  <w:num w:numId="35">
    <w:abstractNumId w:val="5"/>
  </w:num>
  <w:num w:numId="36">
    <w:abstractNumId w:val="5"/>
  </w:num>
  <w:num w:numId="37">
    <w:abstractNumId w:val="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651"/>
    <w:rsid w:val="00003041"/>
    <w:rsid w:val="00003AFB"/>
    <w:rsid w:val="00003B91"/>
    <w:rsid w:val="0000495E"/>
    <w:rsid w:val="000056B7"/>
    <w:rsid w:val="00005A3D"/>
    <w:rsid w:val="00010636"/>
    <w:rsid w:val="00011550"/>
    <w:rsid w:val="00011C9C"/>
    <w:rsid w:val="000142FB"/>
    <w:rsid w:val="000151BC"/>
    <w:rsid w:val="000256DB"/>
    <w:rsid w:val="0003107D"/>
    <w:rsid w:val="000314D1"/>
    <w:rsid w:val="000321EA"/>
    <w:rsid w:val="00036F26"/>
    <w:rsid w:val="00040603"/>
    <w:rsid w:val="00040ABB"/>
    <w:rsid w:val="00041B8A"/>
    <w:rsid w:val="000425F4"/>
    <w:rsid w:val="0004349C"/>
    <w:rsid w:val="00043802"/>
    <w:rsid w:val="00043AC6"/>
    <w:rsid w:val="00043CC5"/>
    <w:rsid w:val="00043E6C"/>
    <w:rsid w:val="0004610D"/>
    <w:rsid w:val="000470A2"/>
    <w:rsid w:val="000519EC"/>
    <w:rsid w:val="00057F6D"/>
    <w:rsid w:val="00061F92"/>
    <w:rsid w:val="00062C51"/>
    <w:rsid w:val="00063191"/>
    <w:rsid w:val="00065AC0"/>
    <w:rsid w:val="000661B7"/>
    <w:rsid w:val="00067694"/>
    <w:rsid w:val="00067ADC"/>
    <w:rsid w:val="00070FAC"/>
    <w:rsid w:val="00072FC5"/>
    <w:rsid w:val="00075274"/>
    <w:rsid w:val="00076589"/>
    <w:rsid w:val="00076B71"/>
    <w:rsid w:val="00082CD3"/>
    <w:rsid w:val="00084346"/>
    <w:rsid w:val="000853DD"/>
    <w:rsid w:val="0009096A"/>
    <w:rsid w:val="0009497D"/>
    <w:rsid w:val="000950EF"/>
    <w:rsid w:val="0009747E"/>
    <w:rsid w:val="000A09CC"/>
    <w:rsid w:val="000A1A57"/>
    <w:rsid w:val="000A205C"/>
    <w:rsid w:val="000A612C"/>
    <w:rsid w:val="000A7CBD"/>
    <w:rsid w:val="000B1DEE"/>
    <w:rsid w:val="000B2889"/>
    <w:rsid w:val="000B30E6"/>
    <w:rsid w:val="000B51B7"/>
    <w:rsid w:val="000B6462"/>
    <w:rsid w:val="000C2159"/>
    <w:rsid w:val="000C326D"/>
    <w:rsid w:val="000C5B60"/>
    <w:rsid w:val="000D0BD3"/>
    <w:rsid w:val="000D177D"/>
    <w:rsid w:val="000D1996"/>
    <w:rsid w:val="000D2478"/>
    <w:rsid w:val="000D2DB2"/>
    <w:rsid w:val="000D3CE4"/>
    <w:rsid w:val="000D528B"/>
    <w:rsid w:val="000D58DA"/>
    <w:rsid w:val="000D7AA6"/>
    <w:rsid w:val="000E0440"/>
    <w:rsid w:val="000E2B84"/>
    <w:rsid w:val="000E460E"/>
    <w:rsid w:val="000E7EC4"/>
    <w:rsid w:val="000F2321"/>
    <w:rsid w:val="000F4550"/>
    <w:rsid w:val="000F72EB"/>
    <w:rsid w:val="00100758"/>
    <w:rsid w:val="0010248A"/>
    <w:rsid w:val="001077B9"/>
    <w:rsid w:val="00107FA5"/>
    <w:rsid w:val="00110B97"/>
    <w:rsid w:val="00111344"/>
    <w:rsid w:val="00111F17"/>
    <w:rsid w:val="00112B3C"/>
    <w:rsid w:val="00113EBF"/>
    <w:rsid w:val="00114663"/>
    <w:rsid w:val="00114EF9"/>
    <w:rsid w:val="00115D08"/>
    <w:rsid w:val="00120BA8"/>
    <w:rsid w:val="00120FD1"/>
    <w:rsid w:val="0012105E"/>
    <w:rsid w:val="0012300B"/>
    <w:rsid w:val="00123499"/>
    <w:rsid w:val="0012372F"/>
    <w:rsid w:val="00124D9E"/>
    <w:rsid w:val="00124F05"/>
    <w:rsid w:val="00125A76"/>
    <w:rsid w:val="00125AA2"/>
    <w:rsid w:val="0012613F"/>
    <w:rsid w:val="0012754A"/>
    <w:rsid w:val="00130363"/>
    <w:rsid w:val="00132DE6"/>
    <w:rsid w:val="001337E8"/>
    <w:rsid w:val="00134A17"/>
    <w:rsid w:val="00134BB4"/>
    <w:rsid w:val="00140051"/>
    <w:rsid w:val="001402B4"/>
    <w:rsid w:val="00140CB9"/>
    <w:rsid w:val="00144351"/>
    <w:rsid w:val="00144BD8"/>
    <w:rsid w:val="00153BE5"/>
    <w:rsid w:val="0015513F"/>
    <w:rsid w:val="001555F7"/>
    <w:rsid w:val="0015575E"/>
    <w:rsid w:val="00156400"/>
    <w:rsid w:val="001568DD"/>
    <w:rsid w:val="00157627"/>
    <w:rsid w:val="001642CF"/>
    <w:rsid w:val="00164F72"/>
    <w:rsid w:val="00165C71"/>
    <w:rsid w:val="001705CE"/>
    <w:rsid w:val="001713D4"/>
    <w:rsid w:val="001764B5"/>
    <w:rsid w:val="001777AE"/>
    <w:rsid w:val="0017789A"/>
    <w:rsid w:val="00180854"/>
    <w:rsid w:val="001808E2"/>
    <w:rsid w:val="00180F1D"/>
    <w:rsid w:val="0018138B"/>
    <w:rsid w:val="00181703"/>
    <w:rsid w:val="0018526C"/>
    <w:rsid w:val="001861CE"/>
    <w:rsid w:val="00195B72"/>
    <w:rsid w:val="00196163"/>
    <w:rsid w:val="00197D79"/>
    <w:rsid w:val="001A16CD"/>
    <w:rsid w:val="001A464E"/>
    <w:rsid w:val="001B12A4"/>
    <w:rsid w:val="001B178E"/>
    <w:rsid w:val="001B332E"/>
    <w:rsid w:val="001B372F"/>
    <w:rsid w:val="001B37B6"/>
    <w:rsid w:val="001B7681"/>
    <w:rsid w:val="001B7B0D"/>
    <w:rsid w:val="001B7EE7"/>
    <w:rsid w:val="001C1442"/>
    <w:rsid w:val="001C17DF"/>
    <w:rsid w:val="001C4431"/>
    <w:rsid w:val="001C49B0"/>
    <w:rsid w:val="001C4CDF"/>
    <w:rsid w:val="001C7782"/>
    <w:rsid w:val="001D0D22"/>
    <w:rsid w:val="001D25F4"/>
    <w:rsid w:val="001D566A"/>
    <w:rsid w:val="001D6749"/>
    <w:rsid w:val="001D6959"/>
    <w:rsid w:val="001E1E4C"/>
    <w:rsid w:val="001E1E7E"/>
    <w:rsid w:val="001E413E"/>
    <w:rsid w:val="001E5510"/>
    <w:rsid w:val="001E596A"/>
    <w:rsid w:val="001E5B77"/>
    <w:rsid w:val="001E7E27"/>
    <w:rsid w:val="001F185B"/>
    <w:rsid w:val="001F1C7C"/>
    <w:rsid w:val="001F25A1"/>
    <w:rsid w:val="001F38DD"/>
    <w:rsid w:val="001F42B8"/>
    <w:rsid w:val="002010AE"/>
    <w:rsid w:val="00201A45"/>
    <w:rsid w:val="00202D3E"/>
    <w:rsid w:val="0020454E"/>
    <w:rsid w:val="00204BDF"/>
    <w:rsid w:val="0020528C"/>
    <w:rsid w:val="002052CC"/>
    <w:rsid w:val="00210845"/>
    <w:rsid w:val="002108B7"/>
    <w:rsid w:val="00212529"/>
    <w:rsid w:val="00215E3C"/>
    <w:rsid w:val="00216E44"/>
    <w:rsid w:val="002204F1"/>
    <w:rsid w:val="00223796"/>
    <w:rsid w:val="00224532"/>
    <w:rsid w:val="002310D4"/>
    <w:rsid w:val="0023489F"/>
    <w:rsid w:val="00235A2A"/>
    <w:rsid w:val="002367A8"/>
    <w:rsid w:val="00242823"/>
    <w:rsid w:val="00242FD1"/>
    <w:rsid w:val="002471A5"/>
    <w:rsid w:val="0024755E"/>
    <w:rsid w:val="00247963"/>
    <w:rsid w:val="00250E6C"/>
    <w:rsid w:val="0025218A"/>
    <w:rsid w:val="002533DF"/>
    <w:rsid w:val="002535CF"/>
    <w:rsid w:val="0025789A"/>
    <w:rsid w:val="00262500"/>
    <w:rsid w:val="00263347"/>
    <w:rsid w:val="0026677B"/>
    <w:rsid w:val="00266C54"/>
    <w:rsid w:val="00270855"/>
    <w:rsid w:val="00276139"/>
    <w:rsid w:val="0028094F"/>
    <w:rsid w:val="00280998"/>
    <w:rsid w:val="00281D58"/>
    <w:rsid w:val="00284581"/>
    <w:rsid w:val="002858B3"/>
    <w:rsid w:val="00287D33"/>
    <w:rsid w:val="00290991"/>
    <w:rsid w:val="002916A8"/>
    <w:rsid w:val="00291EC2"/>
    <w:rsid w:val="00291EE3"/>
    <w:rsid w:val="00292F74"/>
    <w:rsid w:val="002951B4"/>
    <w:rsid w:val="00296603"/>
    <w:rsid w:val="00297C53"/>
    <w:rsid w:val="002A22FD"/>
    <w:rsid w:val="002A28F5"/>
    <w:rsid w:val="002A5A75"/>
    <w:rsid w:val="002A6D4B"/>
    <w:rsid w:val="002A74EB"/>
    <w:rsid w:val="002B2C32"/>
    <w:rsid w:val="002B5900"/>
    <w:rsid w:val="002B6D96"/>
    <w:rsid w:val="002B78C2"/>
    <w:rsid w:val="002C7651"/>
    <w:rsid w:val="002C791C"/>
    <w:rsid w:val="002D5938"/>
    <w:rsid w:val="002E004D"/>
    <w:rsid w:val="002E1608"/>
    <w:rsid w:val="002E1886"/>
    <w:rsid w:val="002E19BB"/>
    <w:rsid w:val="002E1E3C"/>
    <w:rsid w:val="002E47D7"/>
    <w:rsid w:val="002E65CC"/>
    <w:rsid w:val="002E66A1"/>
    <w:rsid w:val="002E70E1"/>
    <w:rsid w:val="002F3351"/>
    <w:rsid w:val="002F3DBD"/>
    <w:rsid w:val="002F4C03"/>
    <w:rsid w:val="0030065F"/>
    <w:rsid w:val="003012AB"/>
    <w:rsid w:val="00301338"/>
    <w:rsid w:val="0030166F"/>
    <w:rsid w:val="00301FA6"/>
    <w:rsid w:val="00302589"/>
    <w:rsid w:val="003035AC"/>
    <w:rsid w:val="00305154"/>
    <w:rsid w:val="00306E93"/>
    <w:rsid w:val="003109E8"/>
    <w:rsid w:val="00314225"/>
    <w:rsid w:val="00314B6F"/>
    <w:rsid w:val="00317487"/>
    <w:rsid w:val="00317FBF"/>
    <w:rsid w:val="00322B96"/>
    <w:rsid w:val="00322CEF"/>
    <w:rsid w:val="00324366"/>
    <w:rsid w:val="00326DD5"/>
    <w:rsid w:val="00327617"/>
    <w:rsid w:val="00331480"/>
    <w:rsid w:val="00331E23"/>
    <w:rsid w:val="00331F9D"/>
    <w:rsid w:val="003322CB"/>
    <w:rsid w:val="0033256D"/>
    <w:rsid w:val="00332AE4"/>
    <w:rsid w:val="00334386"/>
    <w:rsid w:val="0033484A"/>
    <w:rsid w:val="00335246"/>
    <w:rsid w:val="003364EA"/>
    <w:rsid w:val="003374D5"/>
    <w:rsid w:val="00341609"/>
    <w:rsid w:val="00341EE8"/>
    <w:rsid w:val="00344A7E"/>
    <w:rsid w:val="003455A5"/>
    <w:rsid w:val="00347D85"/>
    <w:rsid w:val="00351CDD"/>
    <w:rsid w:val="00351DF7"/>
    <w:rsid w:val="00354446"/>
    <w:rsid w:val="003544B8"/>
    <w:rsid w:val="003626DE"/>
    <w:rsid w:val="00363585"/>
    <w:rsid w:val="00364219"/>
    <w:rsid w:val="00365EFA"/>
    <w:rsid w:val="003703A7"/>
    <w:rsid w:val="003728D3"/>
    <w:rsid w:val="00377C55"/>
    <w:rsid w:val="00377E05"/>
    <w:rsid w:val="00380355"/>
    <w:rsid w:val="00380B7A"/>
    <w:rsid w:val="003819CA"/>
    <w:rsid w:val="0038490E"/>
    <w:rsid w:val="00384D7B"/>
    <w:rsid w:val="003853EE"/>
    <w:rsid w:val="003858D5"/>
    <w:rsid w:val="00387A72"/>
    <w:rsid w:val="00390A35"/>
    <w:rsid w:val="0039190D"/>
    <w:rsid w:val="00391F81"/>
    <w:rsid w:val="00393F54"/>
    <w:rsid w:val="0039473E"/>
    <w:rsid w:val="0039476A"/>
    <w:rsid w:val="00394E53"/>
    <w:rsid w:val="003960A6"/>
    <w:rsid w:val="003A1612"/>
    <w:rsid w:val="003A1819"/>
    <w:rsid w:val="003A27C7"/>
    <w:rsid w:val="003A4A62"/>
    <w:rsid w:val="003B113C"/>
    <w:rsid w:val="003B206F"/>
    <w:rsid w:val="003B6ADC"/>
    <w:rsid w:val="003B712C"/>
    <w:rsid w:val="003C069C"/>
    <w:rsid w:val="003C0D79"/>
    <w:rsid w:val="003C1559"/>
    <w:rsid w:val="003C31A4"/>
    <w:rsid w:val="003C3407"/>
    <w:rsid w:val="003C3EC7"/>
    <w:rsid w:val="003C3FE7"/>
    <w:rsid w:val="003D4E63"/>
    <w:rsid w:val="003D626E"/>
    <w:rsid w:val="003E0795"/>
    <w:rsid w:val="003E2572"/>
    <w:rsid w:val="003E2E1D"/>
    <w:rsid w:val="003E4DE7"/>
    <w:rsid w:val="003E57A3"/>
    <w:rsid w:val="003E6153"/>
    <w:rsid w:val="003E6820"/>
    <w:rsid w:val="003E74B0"/>
    <w:rsid w:val="003F1076"/>
    <w:rsid w:val="003F31E6"/>
    <w:rsid w:val="003F76D2"/>
    <w:rsid w:val="0040072B"/>
    <w:rsid w:val="00402CE2"/>
    <w:rsid w:val="0040677C"/>
    <w:rsid w:val="0041186E"/>
    <w:rsid w:val="004128D9"/>
    <w:rsid w:val="004139E3"/>
    <w:rsid w:val="00415234"/>
    <w:rsid w:val="004169DC"/>
    <w:rsid w:val="004201DC"/>
    <w:rsid w:val="00420FB9"/>
    <w:rsid w:val="00423400"/>
    <w:rsid w:val="00426F23"/>
    <w:rsid w:val="00426F88"/>
    <w:rsid w:val="00431AFC"/>
    <w:rsid w:val="004377DA"/>
    <w:rsid w:val="00442767"/>
    <w:rsid w:val="00442E98"/>
    <w:rsid w:val="00445531"/>
    <w:rsid w:val="004459F5"/>
    <w:rsid w:val="00447BB1"/>
    <w:rsid w:val="00450BD6"/>
    <w:rsid w:val="00450D7E"/>
    <w:rsid w:val="004537D2"/>
    <w:rsid w:val="004548AA"/>
    <w:rsid w:val="00454D13"/>
    <w:rsid w:val="00454D7A"/>
    <w:rsid w:val="00457AA4"/>
    <w:rsid w:val="00460922"/>
    <w:rsid w:val="00461787"/>
    <w:rsid w:val="00461FEA"/>
    <w:rsid w:val="00464E3E"/>
    <w:rsid w:val="00465758"/>
    <w:rsid w:val="00466213"/>
    <w:rsid w:val="00467FFB"/>
    <w:rsid w:val="00471769"/>
    <w:rsid w:val="00471EA3"/>
    <w:rsid w:val="00475A81"/>
    <w:rsid w:val="00476104"/>
    <w:rsid w:val="004801F3"/>
    <w:rsid w:val="00486210"/>
    <w:rsid w:val="00487B43"/>
    <w:rsid w:val="00490126"/>
    <w:rsid w:val="004975C4"/>
    <w:rsid w:val="004A3598"/>
    <w:rsid w:val="004A3D62"/>
    <w:rsid w:val="004A4F6E"/>
    <w:rsid w:val="004A6298"/>
    <w:rsid w:val="004B1A7F"/>
    <w:rsid w:val="004B26F2"/>
    <w:rsid w:val="004B49BB"/>
    <w:rsid w:val="004B56D3"/>
    <w:rsid w:val="004C2E84"/>
    <w:rsid w:val="004C4394"/>
    <w:rsid w:val="004C5A66"/>
    <w:rsid w:val="004D17C2"/>
    <w:rsid w:val="004D5043"/>
    <w:rsid w:val="004D51B3"/>
    <w:rsid w:val="004D5A97"/>
    <w:rsid w:val="004D7BCE"/>
    <w:rsid w:val="004E0A73"/>
    <w:rsid w:val="004E3683"/>
    <w:rsid w:val="004E4129"/>
    <w:rsid w:val="004F2676"/>
    <w:rsid w:val="004F2C1D"/>
    <w:rsid w:val="004F321A"/>
    <w:rsid w:val="004F3B06"/>
    <w:rsid w:val="004F5561"/>
    <w:rsid w:val="004F55DF"/>
    <w:rsid w:val="004F6224"/>
    <w:rsid w:val="004F7FCA"/>
    <w:rsid w:val="00500EAE"/>
    <w:rsid w:val="00501196"/>
    <w:rsid w:val="00504EE5"/>
    <w:rsid w:val="00505F15"/>
    <w:rsid w:val="00510FA5"/>
    <w:rsid w:val="0051238C"/>
    <w:rsid w:val="00520E6D"/>
    <w:rsid w:val="005220BD"/>
    <w:rsid w:val="0052393B"/>
    <w:rsid w:val="005242CB"/>
    <w:rsid w:val="0052436D"/>
    <w:rsid w:val="005247D2"/>
    <w:rsid w:val="00527DB0"/>
    <w:rsid w:val="00536A10"/>
    <w:rsid w:val="00536B4D"/>
    <w:rsid w:val="00540434"/>
    <w:rsid w:val="00541217"/>
    <w:rsid w:val="00541420"/>
    <w:rsid w:val="00541E9A"/>
    <w:rsid w:val="005441BE"/>
    <w:rsid w:val="00546374"/>
    <w:rsid w:val="0054648A"/>
    <w:rsid w:val="0054678B"/>
    <w:rsid w:val="00553453"/>
    <w:rsid w:val="005546FB"/>
    <w:rsid w:val="005601BC"/>
    <w:rsid w:val="005602D3"/>
    <w:rsid w:val="0056351A"/>
    <w:rsid w:val="00563A17"/>
    <w:rsid w:val="00565A5C"/>
    <w:rsid w:val="00566F67"/>
    <w:rsid w:val="005703A3"/>
    <w:rsid w:val="005710F4"/>
    <w:rsid w:val="00571EBF"/>
    <w:rsid w:val="005720D3"/>
    <w:rsid w:val="00572729"/>
    <w:rsid w:val="00572FEF"/>
    <w:rsid w:val="0057302F"/>
    <w:rsid w:val="005730D0"/>
    <w:rsid w:val="00573A3E"/>
    <w:rsid w:val="0057411A"/>
    <w:rsid w:val="00574A3F"/>
    <w:rsid w:val="005768CD"/>
    <w:rsid w:val="005810B7"/>
    <w:rsid w:val="005843F7"/>
    <w:rsid w:val="00584EE2"/>
    <w:rsid w:val="00585F6B"/>
    <w:rsid w:val="005903C2"/>
    <w:rsid w:val="00592014"/>
    <w:rsid w:val="00593CFB"/>
    <w:rsid w:val="005945A0"/>
    <w:rsid w:val="005955A1"/>
    <w:rsid w:val="005A2B8C"/>
    <w:rsid w:val="005A3EC2"/>
    <w:rsid w:val="005A4558"/>
    <w:rsid w:val="005A484E"/>
    <w:rsid w:val="005A59D5"/>
    <w:rsid w:val="005A66E6"/>
    <w:rsid w:val="005B1BD1"/>
    <w:rsid w:val="005B246A"/>
    <w:rsid w:val="005B5ABC"/>
    <w:rsid w:val="005B6FBC"/>
    <w:rsid w:val="005B79FF"/>
    <w:rsid w:val="005C0073"/>
    <w:rsid w:val="005C2DD6"/>
    <w:rsid w:val="005C3C02"/>
    <w:rsid w:val="005D0C73"/>
    <w:rsid w:val="005D302E"/>
    <w:rsid w:val="005D4119"/>
    <w:rsid w:val="005D411E"/>
    <w:rsid w:val="005D5F94"/>
    <w:rsid w:val="005D6805"/>
    <w:rsid w:val="005E0892"/>
    <w:rsid w:val="005E1970"/>
    <w:rsid w:val="005E49C7"/>
    <w:rsid w:val="005E4F4A"/>
    <w:rsid w:val="005E5914"/>
    <w:rsid w:val="005E5BF0"/>
    <w:rsid w:val="005E7E9F"/>
    <w:rsid w:val="005F04D6"/>
    <w:rsid w:val="005F16B4"/>
    <w:rsid w:val="005F1829"/>
    <w:rsid w:val="005F2DE9"/>
    <w:rsid w:val="005F4498"/>
    <w:rsid w:val="005F5854"/>
    <w:rsid w:val="00600247"/>
    <w:rsid w:val="006059BA"/>
    <w:rsid w:val="00606431"/>
    <w:rsid w:val="00611302"/>
    <w:rsid w:val="006123B9"/>
    <w:rsid w:val="00612B3C"/>
    <w:rsid w:val="00613AA2"/>
    <w:rsid w:val="0061680D"/>
    <w:rsid w:val="0061721D"/>
    <w:rsid w:val="006203CE"/>
    <w:rsid w:val="006204DB"/>
    <w:rsid w:val="006216BD"/>
    <w:rsid w:val="00622A18"/>
    <w:rsid w:val="00623680"/>
    <w:rsid w:val="006246E1"/>
    <w:rsid w:val="00626DCD"/>
    <w:rsid w:val="00632F9C"/>
    <w:rsid w:val="00633249"/>
    <w:rsid w:val="0063565B"/>
    <w:rsid w:val="00640AFE"/>
    <w:rsid w:val="006424A7"/>
    <w:rsid w:val="00642974"/>
    <w:rsid w:val="00643AC7"/>
    <w:rsid w:val="00644F85"/>
    <w:rsid w:val="00651C03"/>
    <w:rsid w:val="00654660"/>
    <w:rsid w:val="00655F52"/>
    <w:rsid w:val="0065693A"/>
    <w:rsid w:val="00656A41"/>
    <w:rsid w:val="0066060A"/>
    <w:rsid w:val="00663B97"/>
    <w:rsid w:val="00675875"/>
    <w:rsid w:val="00675C72"/>
    <w:rsid w:val="00676B12"/>
    <w:rsid w:val="006773B9"/>
    <w:rsid w:val="00684D0F"/>
    <w:rsid w:val="00685820"/>
    <w:rsid w:val="00685F69"/>
    <w:rsid w:val="0069011C"/>
    <w:rsid w:val="0069031C"/>
    <w:rsid w:val="0069034A"/>
    <w:rsid w:val="006942FD"/>
    <w:rsid w:val="00696D09"/>
    <w:rsid w:val="00697782"/>
    <w:rsid w:val="006A16D8"/>
    <w:rsid w:val="006A391B"/>
    <w:rsid w:val="006A4A65"/>
    <w:rsid w:val="006A505F"/>
    <w:rsid w:val="006A7688"/>
    <w:rsid w:val="006B1681"/>
    <w:rsid w:val="006B6832"/>
    <w:rsid w:val="006C1320"/>
    <w:rsid w:val="006C4CE3"/>
    <w:rsid w:val="006C5C89"/>
    <w:rsid w:val="006C622C"/>
    <w:rsid w:val="006C6361"/>
    <w:rsid w:val="006D152E"/>
    <w:rsid w:val="006D1CD7"/>
    <w:rsid w:val="006D35BE"/>
    <w:rsid w:val="006D612D"/>
    <w:rsid w:val="006D7018"/>
    <w:rsid w:val="006E24BC"/>
    <w:rsid w:val="006E3F04"/>
    <w:rsid w:val="006E67DA"/>
    <w:rsid w:val="006F09A6"/>
    <w:rsid w:val="006F1E8A"/>
    <w:rsid w:val="006F359F"/>
    <w:rsid w:val="006F3870"/>
    <w:rsid w:val="006F3DFB"/>
    <w:rsid w:val="006F438E"/>
    <w:rsid w:val="006F5071"/>
    <w:rsid w:val="006F62C5"/>
    <w:rsid w:val="006F683D"/>
    <w:rsid w:val="006F6FA2"/>
    <w:rsid w:val="007036CD"/>
    <w:rsid w:val="007042AB"/>
    <w:rsid w:val="007058F7"/>
    <w:rsid w:val="007113D5"/>
    <w:rsid w:val="00712474"/>
    <w:rsid w:val="00712C33"/>
    <w:rsid w:val="00713A39"/>
    <w:rsid w:val="007207C2"/>
    <w:rsid w:val="00723DB7"/>
    <w:rsid w:val="0072499D"/>
    <w:rsid w:val="00724ACD"/>
    <w:rsid w:val="00725F30"/>
    <w:rsid w:val="00726786"/>
    <w:rsid w:val="0072766E"/>
    <w:rsid w:val="00731EE7"/>
    <w:rsid w:val="0073203B"/>
    <w:rsid w:val="007336D6"/>
    <w:rsid w:val="0073385D"/>
    <w:rsid w:val="00736D2B"/>
    <w:rsid w:val="00741255"/>
    <w:rsid w:val="00741378"/>
    <w:rsid w:val="007431FA"/>
    <w:rsid w:val="007437E5"/>
    <w:rsid w:val="00743EE1"/>
    <w:rsid w:val="00747291"/>
    <w:rsid w:val="00747FB8"/>
    <w:rsid w:val="00750CD9"/>
    <w:rsid w:val="00750D2F"/>
    <w:rsid w:val="00751FF8"/>
    <w:rsid w:val="00754C0D"/>
    <w:rsid w:val="00755E4F"/>
    <w:rsid w:val="00756CEE"/>
    <w:rsid w:val="00760F66"/>
    <w:rsid w:val="00761277"/>
    <w:rsid w:val="00761934"/>
    <w:rsid w:val="00761D58"/>
    <w:rsid w:val="00763222"/>
    <w:rsid w:val="00763566"/>
    <w:rsid w:val="00766165"/>
    <w:rsid w:val="00771805"/>
    <w:rsid w:val="00771A11"/>
    <w:rsid w:val="0077506C"/>
    <w:rsid w:val="00783C19"/>
    <w:rsid w:val="00783FEB"/>
    <w:rsid w:val="007901B7"/>
    <w:rsid w:val="00792EB9"/>
    <w:rsid w:val="00793D89"/>
    <w:rsid w:val="00795111"/>
    <w:rsid w:val="00795DCA"/>
    <w:rsid w:val="00796109"/>
    <w:rsid w:val="00797000"/>
    <w:rsid w:val="007A036A"/>
    <w:rsid w:val="007A1E23"/>
    <w:rsid w:val="007A2884"/>
    <w:rsid w:val="007A2CA7"/>
    <w:rsid w:val="007A36E9"/>
    <w:rsid w:val="007A4A78"/>
    <w:rsid w:val="007A562F"/>
    <w:rsid w:val="007A658D"/>
    <w:rsid w:val="007B00B4"/>
    <w:rsid w:val="007B1BA8"/>
    <w:rsid w:val="007B3415"/>
    <w:rsid w:val="007B3AA8"/>
    <w:rsid w:val="007B44E6"/>
    <w:rsid w:val="007B4665"/>
    <w:rsid w:val="007B48C0"/>
    <w:rsid w:val="007B6769"/>
    <w:rsid w:val="007C195E"/>
    <w:rsid w:val="007C38D7"/>
    <w:rsid w:val="007C3F07"/>
    <w:rsid w:val="007C43B5"/>
    <w:rsid w:val="007D3A0C"/>
    <w:rsid w:val="007D4B56"/>
    <w:rsid w:val="007E4BB6"/>
    <w:rsid w:val="007E7606"/>
    <w:rsid w:val="007E771A"/>
    <w:rsid w:val="007F099E"/>
    <w:rsid w:val="007F2A47"/>
    <w:rsid w:val="00804992"/>
    <w:rsid w:val="00807A6E"/>
    <w:rsid w:val="008132D7"/>
    <w:rsid w:val="00813E3E"/>
    <w:rsid w:val="008143BB"/>
    <w:rsid w:val="00815DE8"/>
    <w:rsid w:val="00816695"/>
    <w:rsid w:val="0082043F"/>
    <w:rsid w:val="008205BE"/>
    <w:rsid w:val="00820EDD"/>
    <w:rsid w:val="00821A9C"/>
    <w:rsid w:val="008226FE"/>
    <w:rsid w:val="00822EB0"/>
    <w:rsid w:val="008272FA"/>
    <w:rsid w:val="00827BD3"/>
    <w:rsid w:val="00827E74"/>
    <w:rsid w:val="0083061A"/>
    <w:rsid w:val="008310EB"/>
    <w:rsid w:val="008341DA"/>
    <w:rsid w:val="008344F2"/>
    <w:rsid w:val="00836726"/>
    <w:rsid w:val="008371FA"/>
    <w:rsid w:val="00840518"/>
    <w:rsid w:val="00840DE1"/>
    <w:rsid w:val="008413AA"/>
    <w:rsid w:val="008418DC"/>
    <w:rsid w:val="00843D29"/>
    <w:rsid w:val="0084595B"/>
    <w:rsid w:val="00845F11"/>
    <w:rsid w:val="00846CCE"/>
    <w:rsid w:val="00847842"/>
    <w:rsid w:val="00850880"/>
    <w:rsid w:val="008528CB"/>
    <w:rsid w:val="008533D2"/>
    <w:rsid w:val="00853A8E"/>
    <w:rsid w:val="00856E42"/>
    <w:rsid w:val="00861624"/>
    <w:rsid w:val="00861748"/>
    <w:rsid w:val="00864139"/>
    <w:rsid w:val="008651F6"/>
    <w:rsid w:val="00867791"/>
    <w:rsid w:val="00872033"/>
    <w:rsid w:val="008748E4"/>
    <w:rsid w:val="00876048"/>
    <w:rsid w:val="00876514"/>
    <w:rsid w:val="0087754F"/>
    <w:rsid w:val="00877648"/>
    <w:rsid w:val="0087784C"/>
    <w:rsid w:val="00881A9E"/>
    <w:rsid w:val="00885271"/>
    <w:rsid w:val="0088537D"/>
    <w:rsid w:val="00886D3A"/>
    <w:rsid w:val="00886F9D"/>
    <w:rsid w:val="008912EB"/>
    <w:rsid w:val="008950CF"/>
    <w:rsid w:val="008970F5"/>
    <w:rsid w:val="008A087A"/>
    <w:rsid w:val="008A22D2"/>
    <w:rsid w:val="008A365B"/>
    <w:rsid w:val="008A5788"/>
    <w:rsid w:val="008A59FC"/>
    <w:rsid w:val="008B40F3"/>
    <w:rsid w:val="008B4301"/>
    <w:rsid w:val="008B4780"/>
    <w:rsid w:val="008B674C"/>
    <w:rsid w:val="008B6ACC"/>
    <w:rsid w:val="008C0033"/>
    <w:rsid w:val="008C10AE"/>
    <w:rsid w:val="008C1345"/>
    <w:rsid w:val="008C2515"/>
    <w:rsid w:val="008C3FEC"/>
    <w:rsid w:val="008C503F"/>
    <w:rsid w:val="008C6A7F"/>
    <w:rsid w:val="008C7E81"/>
    <w:rsid w:val="008D09AA"/>
    <w:rsid w:val="008D1346"/>
    <w:rsid w:val="008D619E"/>
    <w:rsid w:val="008D6542"/>
    <w:rsid w:val="008D7EAB"/>
    <w:rsid w:val="008E114C"/>
    <w:rsid w:val="008E1B1D"/>
    <w:rsid w:val="008E577D"/>
    <w:rsid w:val="008E629B"/>
    <w:rsid w:val="008E6421"/>
    <w:rsid w:val="008F0BCE"/>
    <w:rsid w:val="008F60B7"/>
    <w:rsid w:val="008F7ED6"/>
    <w:rsid w:val="00901C3C"/>
    <w:rsid w:val="00902373"/>
    <w:rsid w:val="00902CD4"/>
    <w:rsid w:val="0090523F"/>
    <w:rsid w:val="009061F2"/>
    <w:rsid w:val="00906888"/>
    <w:rsid w:val="00907AC5"/>
    <w:rsid w:val="00907C11"/>
    <w:rsid w:val="009107E7"/>
    <w:rsid w:val="0091143A"/>
    <w:rsid w:val="009125DD"/>
    <w:rsid w:val="009128E5"/>
    <w:rsid w:val="00914B8F"/>
    <w:rsid w:val="0091555B"/>
    <w:rsid w:val="00920925"/>
    <w:rsid w:val="00924C4C"/>
    <w:rsid w:val="009274F8"/>
    <w:rsid w:val="00927FE0"/>
    <w:rsid w:val="00931EBC"/>
    <w:rsid w:val="009323AB"/>
    <w:rsid w:val="00932738"/>
    <w:rsid w:val="009339A7"/>
    <w:rsid w:val="00935F90"/>
    <w:rsid w:val="00936AB8"/>
    <w:rsid w:val="00941DAA"/>
    <w:rsid w:val="00942344"/>
    <w:rsid w:val="00943677"/>
    <w:rsid w:val="00943A96"/>
    <w:rsid w:val="0094470D"/>
    <w:rsid w:val="00946B78"/>
    <w:rsid w:val="00950426"/>
    <w:rsid w:val="00951B24"/>
    <w:rsid w:val="0095528A"/>
    <w:rsid w:val="009567EF"/>
    <w:rsid w:val="00957BC0"/>
    <w:rsid w:val="00960B1B"/>
    <w:rsid w:val="00960C9B"/>
    <w:rsid w:val="00960F42"/>
    <w:rsid w:val="0096112F"/>
    <w:rsid w:val="00962BB0"/>
    <w:rsid w:val="00963F13"/>
    <w:rsid w:val="00965C29"/>
    <w:rsid w:val="00967119"/>
    <w:rsid w:val="00967E7C"/>
    <w:rsid w:val="00973833"/>
    <w:rsid w:val="009755EC"/>
    <w:rsid w:val="00975816"/>
    <w:rsid w:val="009763D4"/>
    <w:rsid w:val="0097707F"/>
    <w:rsid w:val="009774FA"/>
    <w:rsid w:val="00980260"/>
    <w:rsid w:val="00980A6A"/>
    <w:rsid w:val="009831BF"/>
    <w:rsid w:val="0098385D"/>
    <w:rsid w:val="0098653D"/>
    <w:rsid w:val="009871A2"/>
    <w:rsid w:val="0099136D"/>
    <w:rsid w:val="00991467"/>
    <w:rsid w:val="00992C0B"/>
    <w:rsid w:val="00994B51"/>
    <w:rsid w:val="009955CE"/>
    <w:rsid w:val="00995E3B"/>
    <w:rsid w:val="009A0B94"/>
    <w:rsid w:val="009A0BA2"/>
    <w:rsid w:val="009A348F"/>
    <w:rsid w:val="009A3DA9"/>
    <w:rsid w:val="009B1D55"/>
    <w:rsid w:val="009B2609"/>
    <w:rsid w:val="009B4D86"/>
    <w:rsid w:val="009B5C9B"/>
    <w:rsid w:val="009B5CAE"/>
    <w:rsid w:val="009B5F0A"/>
    <w:rsid w:val="009C4A2E"/>
    <w:rsid w:val="009C5F0D"/>
    <w:rsid w:val="009C690B"/>
    <w:rsid w:val="009C7255"/>
    <w:rsid w:val="009D1E2D"/>
    <w:rsid w:val="009D299A"/>
    <w:rsid w:val="009D2EF2"/>
    <w:rsid w:val="009D4A43"/>
    <w:rsid w:val="009D600D"/>
    <w:rsid w:val="009E34C7"/>
    <w:rsid w:val="009E5255"/>
    <w:rsid w:val="009E5B89"/>
    <w:rsid w:val="009E5DBF"/>
    <w:rsid w:val="009E5EC6"/>
    <w:rsid w:val="009E7173"/>
    <w:rsid w:val="009F2979"/>
    <w:rsid w:val="009F39F6"/>
    <w:rsid w:val="009F59D9"/>
    <w:rsid w:val="009F6B8E"/>
    <w:rsid w:val="009F76DE"/>
    <w:rsid w:val="00A00E9E"/>
    <w:rsid w:val="00A04799"/>
    <w:rsid w:val="00A0630A"/>
    <w:rsid w:val="00A11007"/>
    <w:rsid w:val="00A14B09"/>
    <w:rsid w:val="00A161C6"/>
    <w:rsid w:val="00A24D25"/>
    <w:rsid w:val="00A24D5D"/>
    <w:rsid w:val="00A2509A"/>
    <w:rsid w:val="00A25D80"/>
    <w:rsid w:val="00A26141"/>
    <w:rsid w:val="00A273AC"/>
    <w:rsid w:val="00A30713"/>
    <w:rsid w:val="00A3291C"/>
    <w:rsid w:val="00A3357F"/>
    <w:rsid w:val="00A37D5B"/>
    <w:rsid w:val="00A43089"/>
    <w:rsid w:val="00A50557"/>
    <w:rsid w:val="00A50AC0"/>
    <w:rsid w:val="00A5114D"/>
    <w:rsid w:val="00A51200"/>
    <w:rsid w:val="00A55B8C"/>
    <w:rsid w:val="00A5610E"/>
    <w:rsid w:val="00A60A22"/>
    <w:rsid w:val="00A60EED"/>
    <w:rsid w:val="00A61CA1"/>
    <w:rsid w:val="00A63CA2"/>
    <w:rsid w:val="00A63D62"/>
    <w:rsid w:val="00A64203"/>
    <w:rsid w:val="00A7198C"/>
    <w:rsid w:val="00A71CAE"/>
    <w:rsid w:val="00A7341A"/>
    <w:rsid w:val="00A7523C"/>
    <w:rsid w:val="00A76F9D"/>
    <w:rsid w:val="00A865F0"/>
    <w:rsid w:val="00A86E95"/>
    <w:rsid w:val="00A87570"/>
    <w:rsid w:val="00A87BAD"/>
    <w:rsid w:val="00A9448C"/>
    <w:rsid w:val="00A9782B"/>
    <w:rsid w:val="00AA0260"/>
    <w:rsid w:val="00AA07C9"/>
    <w:rsid w:val="00AA5587"/>
    <w:rsid w:val="00AB11FB"/>
    <w:rsid w:val="00AB2D5C"/>
    <w:rsid w:val="00AB39B3"/>
    <w:rsid w:val="00AB7EAD"/>
    <w:rsid w:val="00AC051B"/>
    <w:rsid w:val="00AC3281"/>
    <w:rsid w:val="00AC6309"/>
    <w:rsid w:val="00AC67B7"/>
    <w:rsid w:val="00AC7896"/>
    <w:rsid w:val="00AD32AF"/>
    <w:rsid w:val="00AD4C18"/>
    <w:rsid w:val="00AD7116"/>
    <w:rsid w:val="00AE0C46"/>
    <w:rsid w:val="00AE124D"/>
    <w:rsid w:val="00AE2DF6"/>
    <w:rsid w:val="00AE40F2"/>
    <w:rsid w:val="00AE5846"/>
    <w:rsid w:val="00AE68BA"/>
    <w:rsid w:val="00AF0A22"/>
    <w:rsid w:val="00AF25CB"/>
    <w:rsid w:val="00AF26D4"/>
    <w:rsid w:val="00AF5F6F"/>
    <w:rsid w:val="00AF6962"/>
    <w:rsid w:val="00B011B7"/>
    <w:rsid w:val="00B01C5A"/>
    <w:rsid w:val="00B02FC1"/>
    <w:rsid w:val="00B032C2"/>
    <w:rsid w:val="00B04D96"/>
    <w:rsid w:val="00B06BB9"/>
    <w:rsid w:val="00B07638"/>
    <w:rsid w:val="00B1102F"/>
    <w:rsid w:val="00B11659"/>
    <w:rsid w:val="00B11CB2"/>
    <w:rsid w:val="00B12F5E"/>
    <w:rsid w:val="00B159E5"/>
    <w:rsid w:val="00B1630F"/>
    <w:rsid w:val="00B200B3"/>
    <w:rsid w:val="00B20909"/>
    <w:rsid w:val="00B20E5B"/>
    <w:rsid w:val="00B21B6A"/>
    <w:rsid w:val="00B23BB7"/>
    <w:rsid w:val="00B247DA"/>
    <w:rsid w:val="00B24EA1"/>
    <w:rsid w:val="00B33786"/>
    <w:rsid w:val="00B33C75"/>
    <w:rsid w:val="00B33E1F"/>
    <w:rsid w:val="00B351E9"/>
    <w:rsid w:val="00B354BA"/>
    <w:rsid w:val="00B44126"/>
    <w:rsid w:val="00B478A7"/>
    <w:rsid w:val="00B520C7"/>
    <w:rsid w:val="00B54D34"/>
    <w:rsid w:val="00B55AE4"/>
    <w:rsid w:val="00B60B67"/>
    <w:rsid w:val="00B61C75"/>
    <w:rsid w:val="00B62F2E"/>
    <w:rsid w:val="00B63024"/>
    <w:rsid w:val="00B63355"/>
    <w:rsid w:val="00B65DB4"/>
    <w:rsid w:val="00B66146"/>
    <w:rsid w:val="00B66607"/>
    <w:rsid w:val="00B67574"/>
    <w:rsid w:val="00B72D01"/>
    <w:rsid w:val="00B7646E"/>
    <w:rsid w:val="00B8166E"/>
    <w:rsid w:val="00B81C1A"/>
    <w:rsid w:val="00B8261A"/>
    <w:rsid w:val="00B8327C"/>
    <w:rsid w:val="00B946E4"/>
    <w:rsid w:val="00B956DF"/>
    <w:rsid w:val="00B96412"/>
    <w:rsid w:val="00B96EEA"/>
    <w:rsid w:val="00BA06EC"/>
    <w:rsid w:val="00BA2CA5"/>
    <w:rsid w:val="00BA542D"/>
    <w:rsid w:val="00BA547C"/>
    <w:rsid w:val="00BA579B"/>
    <w:rsid w:val="00BA5FDF"/>
    <w:rsid w:val="00BA6937"/>
    <w:rsid w:val="00BB04C1"/>
    <w:rsid w:val="00BB1942"/>
    <w:rsid w:val="00BB20C1"/>
    <w:rsid w:val="00BB21A9"/>
    <w:rsid w:val="00BB64A2"/>
    <w:rsid w:val="00BC0895"/>
    <w:rsid w:val="00BC2737"/>
    <w:rsid w:val="00BC420E"/>
    <w:rsid w:val="00BD102A"/>
    <w:rsid w:val="00BD1694"/>
    <w:rsid w:val="00BD2174"/>
    <w:rsid w:val="00BD27A3"/>
    <w:rsid w:val="00BD39FD"/>
    <w:rsid w:val="00BD57B6"/>
    <w:rsid w:val="00BD59BD"/>
    <w:rsid w:val="00BD638A"/>
    <w:rsid w:val="00BE17BE"/>
    <w:rsid w:val="00BE4DDA"/>
    <w:rsid w:val="00BE5994"/>
    <w:rsid w:val="00BE5B1C"/>
    <w:rsid w:val="00BF03B0"/>
    <w:rsid w:val="00BF10C7"/>
    <w:rsid w:val="00BF2A89"/>
    <w:rsid w:val="00BF76E1"/>
    <w:rsid w:val="00C03228"/>
    <w:rsid w:val="00C03926"/>
    <w:rsid w:val="00C04252"/>
    <w:rsid w:val="00C07AAA"/>
    <w:rsid w:val="00C1081D"/>
    <w:rsid w:val="00C10D93"/>
    <w:rsid w:val="00C15065"/>
    <w:rsid w:val="00C153F8"/>
    <w:rsid w:val="00C16826"/>
    <w:rsid w:val="00C213F9"/>
    <w:rsid w:val="00C220C4"/>
    <w:rsid w:val="00C25749"/>
    <w:rsid w:val="00C25EBE"/>
    <w:rsid w:val="00C268A0"/>
    <w:rsid w:val="00C27679"/>
    <w:rsid w:val="00C30A1E"/>
    <w:rsid w:val="00C32B9F"/>
    <w:rsid w:val="00C34B49"/>
    <w:rsid w:val="00C35FBA"/>
    <w:rsid w:val="00C429F3"/>
    <w:rsid w:val="00C45CCD"/>
    <w:rsid w:val="00C51D91"/>
    <w:rsid w:val="00C52FAB"/>
    <w:rsid w:val="00C540E3"/>
    <w:rsid w:val="00C55C08"/>
    <w:rsid w:val="00C62150"/>
    <w:rsid w:val="00C63DA5"/>
    <w:rsid w:val="00C708CF"/>
    <w:rsid w:val="00C72FB9"/>
    <w:rsid w:val="00C73568"/>
    <w:rsid w:val="00C74A8B"/>
    <w:rsid w:val="00C75F9D"/>
    <w:rsid w:val="00C765B4"/>
    <w:rsid w:val="00C76A4A"/>
    <w:rsid w:val="00C810C4"/>
    <w:rsid w:val="00C8238A"/>
    <w:rsid w:val="00C865FF"/>
    <w:rsid w:val="00C90318"/>
    <w:rsid w:val="00C93FA7"/>
    <w:rsid w:val="00C97584"/>
    <w:rsid w:val="00CA1F30"/>
    <w:rsid w:val="00CA3B11"/>
    <w:rsid w:val="00CA4E63"/>
    <w:rsid w:val="00CA4F12"/>
    <w:rsid w:val="00CB16BA"/>
    <w:rsid w:val="00CB3D4E"/>
    <w:rsid w:val="00CB5EFB"/>
    <w:rsid w:val="00CB64C3"/>
    <w:rsid w:val="00CB6B7F"/>
    <w:rsid w:val="00CB6FCE"/>
    <w:rsid w:val="00CC0FE4"/>
    <w:rsid w:val="00CC139D"/>
    <w:rsid w:val="00CC2482"/>
    <w:rsid w:val="00CC3111"/>
    <w:rsid w:val="00CC694C"/>
    <w:rsid w:val="00CD3A9A"/>
    <w:rsid w:val="00CD484B"/>
    <w:rsid w:val="00CD7199"/>
    <w:rsid w:val="00CD7204"/>
    <w:rsid w:val="00CD7255"/>
    <w:rsid w:val="00CD72D9"/>
    <w:rsid w:val="00CD7B89"/>
    <w:rsid w:val="00CE0264"/>
    <w:rsid w:val="00CE3867"/>
    <w:rsid w:val="00CE3C4C"/>
    <w:rsid w:val="00CE4474"/>
    <w:rsid w:val="00CE615C"/>
    <w:rsid w:val="00CE7C08"/>
    <w:rsid w:val="00CE7F8B"/>
    <w:rsid w:val="00CF0141"/>
    <w:rsid w:val="00CF0451"/>
    <w:rsid w:val="00CF11D0"/>
    <w:rsid w:val="00CF2B33"/>
    <w:rsid w:val="00CF3172"/>
    <w:rsid w:val="00CF3902"/>
    <w:rsid w:val="00CF493F"/>
    <w:rsid w:val="00CF52AA"/>
    <w:rsid w:val="00CF57E2"/>
    <w:rsid w:val="00CF622B"/>
    <w:rsid w:val="00CF684A"/>
    <w:rsid w:val="00CF6AA0"/>
    <w:rsid w:val="00D002D3"/>
    <w:rsid w:val="00D0125F"/>
    <w:rsid w:val="00D01882"/>
    <w:rsid w:val="00D02739"/>
    <w:rsid w:val="00D0332B"/>
    <w:rsid w:val="00D033C2"/>
    <w:rsid w:val="00D04730"/>
    <w:rsid w:val="00D0484E"/>
    <w:rsid w:val="00D05570"/>
    <w:rsid w:val="00D07F4C"/>
    <w:rsid w:val="00D108F2"/>
    <w:rsid w:val="00D10DB5"/>
    <w:rsid w:val="00D10FA7"/>
    <w:rsid w:val="00D13FE5"/>
    <w:rsid w:val="00D15CC6"/>
    <w:rsid w:val="00D24568"/>
    <w:rsid w:val="00D25339"/>
    <w:rsid w:val="00D25F86"/>
    <w:rsid w:val="00D25FE2"/>
    <w:rsid w:val="00D2729F"/>
    <w:rsid w:val="00D27DAF"/>
    <w:rsid w:val="00D32959"/>
    <w:rsid w:val="00D34D98"/>
    <w:rsid w:val="00D36F94"/>
    <w:rsid w:val="00D44CD2"/>
    <w:rsid w:val="00D46836"/>
    <w:rsid w:val="00D469F1"/>
    <w:rsid w:val="00D50714"/>
    <w:rsid w:val="00D51294"/>
    <w:rsid w:val="00D514D6"/>
    <w:rsid w:val="00D51601"/>
    <w:rsid w:val="00D54FEF"/>
    <w:rsid w:val="00D55E89"/>
    <w:rsid w:val="00D56AF9"/>
    <w:rsid w:val="00D570A5"/>
    <w:rsid w:val="00D57706"/>
    <w:rsid w:val="00D61E0C"/>
    <w:rsid w:val="00D62CB4"/>
    <w:rsid w:val="00D67B3F"/>
    <w:rsid w:val="00D71505"/>
    <w:rsid w:val="00D71DB7"/>
    <w:rsid w:val="00D74161"/>
    <w:rsid w:val="00D74986"/>
    <w:rsid w:val="00D7781B"/>
    <w:rsid w:val="00D77DCC"/>
    <w:rsid w:val="00D803F2"/>
    <w:rsid w:val="00D8133E"/>
    <w:rsid w:val="00D82B70"/>
    <w:rsid w:val="00D84AB4"/>
    <w:rsid w:val="00D87142"/>
    <w:rsid w:val="00D87209"/>
    <w:rsid w:val="00D875F6"/>
    <w:rsid w:val="00D910F0"/>
    <w:rsid w:val="00D926C8"/>
    <w:rsid w:val="00D93B17"/>
    <w:rsid w:val="00D94C8C"/>
    <w:rsid w:val="00D95886"/>
    <w:rsid w:val="00D95A13"/>
    <w:rsid w:val="00D95E8E"/>
    <w:rsid w:val="00D97103"/>
    <w:rsid w:val="00D9749B"/>
    <w:rsid w:val="00D97BB9"/>
    <w:rsid w:val="00DA13EC"/>
    <w:rsid w:val="00DA5CD6"/>
    <w:rsid w:val="00DA74A9"/>
    <w:rsid w:val="00DA77C0"/>
    <w:rsid w:val="00DB1878"/>
    <w:rsid w:val="00DB460D"/>
    <w:rsid w:val="00DB72B1"/>
    <w:rsid w:val="00DC2BE0"/>
    <w:rsid w:val="00DC7793"/>
    <w:rsid w:val="00DD0394"/>
    <w:rsid w:val="00DD1A8D"/>
    <w:rsid w:val="00DD1C08"/>
    <w:rsid w:val="00DD7172"/>
    <w:rsid w:val="00DE563D"/>
    <w:rsid w:val="00DF29DA"/>
    <w:rsid w:val="00DF3999"/>
    <w:rsid w:val="00E0389C"/>
    <w:rsid w:val="00E056DD"/>
    <w:rsid w:val="00E06F4A"/>
    <w:rsid w:val="00E07AD5"/>
    <w:rsid w:val="00E11241"/>
    <w:rsid w:val="00E1321F"/>
    <w:rsid w:val="00E139B9"/>
    <w:rsid w:val="00E159C0"/>
    <w:rsid w:val="00E15A1E"/>
    <w:rsid w:val="00E16CD9"/>
    <w:rsid w:val="00E17AF6"/>
    <w:rsid w:val="00E203B4"/>
    <w:rsid w:val="00E2051B"/>
    <w:rsid w:val="00E20EB9"/>
    <w:rsid w:val="00E219F8"/>
    <w:rsid w:val="00E23B7F"/>
    <w:rsid w:val="00E30F21"/>
    <w:rsid w:val="00E32026"/>
    <w:rsid w:val="00E3353B"/>
    <w:rsid w:val="00E33EE0"/>
    <w:rsid w:val="00E427EF"/>
    <w:rsid w:val="00E42EFB"/>
    <w:rsid w:val="00E43B05"/>
    <w:rsid w:val="00E44795"/>
    <w:rsid w:val="00E44FD0"/>
    <w:rsid w:val="00E47AE2"/>
    <w:rsid w:val="00E50851"/>
    <w:rsid w:val="00E546C1"/>
    <w:rsid w:val="00E54BB4"/>
    <w:rsid w:val="00E55BE6"/>
    <w:rsid w:val="00E55C8F"/>
    <w:rsid w:val="00E56132"/>
    <w:rsid w:val="00E566ED"/>
    <w:rsid w:val="00E56DD9"/>
    <w:rsid w:val="00E5797E"/>
    <w:rsid w:val="00E62E85"/>
    <w:rsid w:val="00E62E8F"/>
    <w:rsid w:val="00E6502E"/>
    <w:rsid w:val="00E65281"/>
    <w:rsid w:val="00E662A4"/>
    <w:rsid w:val="00E67D3E"/>
    <w:rsid w:val="00E67DF5"/>
    <w:rsid w:val="00E70802"/>
    <w:rsid w:val="00E70F2B"/>
    <w:rsid w:val="00E71B11"/>
    <w:rsid w:val="00E71EDD"/>
    <w:rsid w:val="00E7314F"/>
    <w:rsid w:val="00E7565D"/>
    <w:rsid w:val="00E76CC7"/>
    <w:rsid w:val="00E8440F"/>
    <w:rsid w:val="00E87A90"/>
    <w:rsid w:val="00E905F5"/>
    <w:rsid w:val="00E90FB2"/>
    <w:rsid w:val="00E91F7F"/>
    <w:rsid w:val="00E929A1"/>
    <w:rsid w:val="00E9389D"/>
    <w:rsid w:val="00E97E10"/>
    <w:rsid w:val="00EA141C"/>
    <w:rsid w:val="00EA314F"/>
    <w:rsid w:val="00EA3569"/>
    <w:rsid w:val="00EA4878"/>
    <w:rsid w:val="00EA5359"/>
    <w:rsid w:val="00EA599B"/>
    <w:rsid w:val="00EA78B4"/>
    <w:rsid w:val="00EA7BE7"/>
    <w:rsid w:val="00EB0F96"/>
    <w:rsid w:val="00EB2D1A"/>
    <w:rsid w:val="00EB39BC"/>
    <w:rsid w:val="00EB3DD4"/>
    <w:rsid w:val="00EB53C1"/>
    <w:rsid w:val="00EC0E9D"/>
    <w:rsid w:val="00EC38C5"/>
    <w:rsid w:val="00EC5474"/>
    <w:rsid w:val="00ED01AE"/>
    <w:rsid w:val="00ED2BED"/>
    <w:rsid w:val="00ED32B2"/>
    <w:rsid w:val="00ED4084"/>
    <w:rsid w:val="00ED4626"/>
    <w:rsid w:val="00ED4B05"/>
    <w:rsid w:val="00ED4F7F"/>
    <w:rsid w:val="00ED7199"/>
    <w:rsid w:val="00EE0027"/>
    <w:rsid w:val="00EE0EBC"/>
    <w:rsid w:val="00EE15D6"/>
    <w:rsid w:val="00EE37A3"/>
    <w:rsid w:val="00EE4E85"/>
    <w:rsid w:val="00EE7759"/>
    <w:rsid w:val="00EF29F6"/>
    <w:rsid w:val="00EF7304"/>
    <w:rsid w:val="00EF7338"/>
    <w:rsid w:val="00F01179"/>
    <w:rsid w:val="00F01409"/>
    <w:rsid w:val="00F01A92"/>
    <w:rsid w:val="00F031F4"/>
    <w:rsid w:val="00F064B1"/>
    <w:rsid w:val="00F12CE0"/>
    <w:rsid w:val="00F138F9"/>
    <w:rsid w:val="00F1516E"/>
    <w:rsid w:val="00F16EBA"/>
    <w:rsid w:val="00F1706D"/>
    <w:rsid w:val="00F21140"/>
    <w:rsid w:val="00F228F4"/>
    <w:rsid w:val="00F2391B"/>
    <w:rsid w:val="00F23C20"/>
    <w:rsid w:val="00F24248"/>
    <w:rsid w:val="00F24EF4"/>
    <w:rsid w:val="00F25743"/>
    <w:rsid w:val="00F27BB9"/>
    <w:rsid w:val="00F3002C"/>
    <w:rsid w:val="00F3123C"/>
    <w:rsid w:val="00F330AD"/>
    <w:rsid w:val="00F33489"/>
    <w:rsid w:val="00F33DF5"/>
    <w:rsid w:val="00F36F7D"/>
    <w:rsid w:val="00F42333"/>
    <w:rsid w:val="00F45566"/>
    <w:rsid w:val="00F45D54"/>
    <w:rsid w:val="00F47FBD"/>
    <w:rsid w:val="00F5039C"/>
    <w:rsid w:val="00F513D1"/>
    <w:rsid w:val="00F531D7"/>
    <w:rsid w:val="00F53C11"/>
    <w:rsid w:val="00F5428E"/>
    <w:rsid w:val="00F60BD6"/>
    <w:rsid w:val="00F60ECA"/>
    <w:rsid w:val="00F637D0"/>
    <w:rsid w:val="00F65251"/>
    <w:rsid w:val="00F71250"/>
    <w:rsid w:val="00F71780"/>
    <w:rsid w:val="00F74F53"/>
    <w:rsid w:val="00F773D0"/>
    <w:rsid w:val="00F777C3"/>
    <w:rsid w:val="00F77806"/>
    <w:rsid w:val="00F80564"/>
    <w:rsid w:val="00F8099D"/>
    <w:rsid w:val="00F80EED"/>
    <w:rsid w:val="00F8177F"/>
    <w:rsid w:val="00F830DF"/>
    <w:rsid w:val="00F83DD8"/>
    <w:rsid w:val="00F85B12"/>
    <w:rsid w:val="00F85CD2"/>
    <w:rsid w:val="00F878AE"/>
    <w:rsid w:val="00F9187F"/>
    <w:rsid w:val="00F91A84"/>
    <w:rsid w:val="00F921D0"/>
    <w:rsid w:val="00F94975"/>
    <w:rsid w:val="00F955D3"/>
    <w:rsid w:val="00F9590C"/>
    <w:rsid w:val="00FA0242"/>
    <w:rsid w:val="00FA0EC1"/>
    <w:rsid w:val="00FA288A"/>
    <w:rsid w:val="00FB18B9"/>
    <w:rsid w:val="00FB2542"/>
    <w:rsid w:val="00FB3731"/>
    <w:rsid w:val="00FB425D"/>
    <w:rsid w:val="00FB6AA4"/>
    <w:rsid w:val="00FC297E"/>
    <w:rsid w:val="00FC35F7"/>
    <w:rsid w:val="00FC36E9"/>
    <w:rsid w:val="00FC3A74"/>
    <w:rsid w:val="00FC60E3"/>
    <w:rsid w:val="00FC6C13"/>
    <w:rsid w:val="00FC7974"/>
    <w:rsid w:val="00FC7B32"/>
    <w:rsid w:val="00FD17C4"/>
    <w:rsid w:val="00FD4478"/>
    <w:rsid w:val="00FD4B0A"/>
    <w:rsid w:val="00FE5445"/>
    <w:rsid w:val="00FE60E3"/>
    <w:rsid w:val="00FF1168"/>
    <w:rsid w:val="00FF11C5"/>
    <w:rsid w:val="00FF3AD5"/>
    <w:rsid w:val="00FF3F88"/>
    <w:rsid w:val="00FF4283"/>
    <w:rsid w:val="00FF5075"/>
    <w:rsid w:val="00FF5849"/>
    <w:rsid w:val="00FF6197"/>
    <w:rsid w:val="00FF6E64"/>
    <w:rsid w:val="00FF7E4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9DC"/>
    <w:rPr>
      <w:rFonts w:ascii="Times New Roman" w:hAnsi="Times New Roman"/>
      <w:sz w:val="24"/>
    </w:rPr>
  </w:style>
  <w:style w:type="paragraph" w:styleId="Heading1">
    <w:name w:val="heading 1"/>
    <w:basedOn w:val="Normal"/>
    <w:next w:val="Normal"/>
    <w:link w:val="Heading1Char"/>
    <w:uiPriority w:val="9"/>
    <w:qFormat/>
    <w:rsid w:val="008B40F3"/>
    <w:pPr>
      <w:keepNext/>
      <w:keepLines/>
      <w:numPr>
        <w:numId w:val="2"/>
      </w:numPr>
      <w:spacing w:before="240" w:after="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8D09AA"/>
    <w:pPr>
      <w:keepNext/>
      <w:keepLines/>
      <w:numPr>
        <w:ilvl w:val="1"/>
        <w:numId w:val="2"/>
      </w:numPr>
      <w:spacing w:before="40" w:after="0"/>
      <w:outlineLvl w:val="1"/>
    </w:pPr>
    <w:rPr>
      <w:rFonts w:eastAsiaTheme="majorEastAsia" w:cs="Times New Roman"/>
      <w:b/>
      <w:bCs/>
      <w:color w:val="2F5496" w:themeColor="accent1" w:themeShade="BF"/>
      <w:sz w:val="26"/>
      <w:szCs w:val="26"/>
    </w:rPr>
  </w:style>
  <w:style w:type="paragraph" w:styleId="Heading3">
    <w:name w:val="heading 3"/>
    <w:basedOn w:val="Normal"/>
    <w:next w:val="Normal"/>
    <w:link w:val="Heading3Char"/>
    <w:uiPriority w:val="9"/>
    <w:unhideWhenUsed/>
    <w:qFormat/>
    <w:rsid w:val="006E67DA"/>
    <w:pPr>
      <w:keepNext/>
      <w:keepLines/>
      <w:numPr>
        <w:ilvl w:val="2"/>
        <w:numId w:val="2"/>
      </w:numPr>
      <w:spacing w:before="40" w:after="0"/>
      <w:outlineLvl w:val="2"/>
    </w:pPr>
    <w:rPr>
      <w:rFonts w:eastAsiaTheme="majorEastAsia" w:cs="Times New Roman"/>
      <w:b/>
      <w:bCs/>
      <w:color w:val="1F3763" w:themeColor="accent1" w:themeShade="7F"/>
      <w:szCs w:val="24"/>
    </w:rPr>
  </w:style>
  <w:style w:type="paragraph" w:styleId="Heading4">
    <w:name w:val="heading 4"/>
    <w:basedOn w:val="Normal"/>
    <w:next w:val="Normal"/>
    <w:link w:val="Heading4Char"/>
    <w:uiPriority w:val="9"/>
    <w:unhideWhenUsed/>
    <w:qFormat/>
    <w:rsid w:val="008B40F3"/>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B40F3"/>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B40F3"/>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B40F3"/>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B40F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B40F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651"/>
    <w:pPr>
      <w:ind w:left="720"/>
      <w:contextualSpacing/>
    </w:pPr>
  </w:style>
  <w:style w:type="character" w:styleId="CommentReference">
    <w:name w:val="annotation reference"/>
    <w:basedOn w:val="DefaultParagraphFont"/>
    <w:uiPriority w:val="99"/>
    <w:semiHidden/>
    <w:unhideWhenUsed/>
    <w:rsid w:val="0033484A"/>
    <w:rPr>
      <w:sz w:val="16"/>
      <w:szCs w:val="16"/>
    </w:rPr>
  </w:style>
  <w:style w:type="paragraph" w:styleId="CommentText">
    <w:name w:val="annotation text"/>
    <w:basedOn w:val="Normal"/>
    <w:link w:val="CommentTextChar"/>
    <w:semiHidden/>
    <w:unhideWhenUsed/>
    <w:rsid w:val="0033484A"/>
    <w:pPr>
      <w:spacing w:line="240" w:lineRule="auto"/>
    </w:pPr>
    <w:rPr>
      <w:sz w:val="20"/>
      <w:szCs w:val="20"/>
    </w:rPr>
  </w:style>
  <w:style w:type="character" w:customStyle="1" w:styleId="CommentTextChar">
    <w:name w:val="Comment Text Char"/>
    <w:basedOn w:val="DefaultParagraphFont"/>
    <w:link w:val="CommentText"/>
    <w:semiHidden/>
    <w:rsid w:val="0033484A"/>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33484A"/>
    <w:rPr>
      <w:b/>
      <w:bCs/>
    </w:rPr>
  </w:style>
  <w:style w:type="character" w:customStyle="1" w:styleId="CommentSubjectChar">
    <w:name w:val="Comment Subject Char"/>
    <w:basedOn w:val="CommentTextChar"/>
    <w:link w:val="CommentSubject"/>
    <w:semiHidden/>
    <w:rsid w:val="0033484A"/>
    <w:rPr>
      <w:rFonts w:ascii="Times New Roman" w:hAnsi="Times New Roman"/>
      <w:b/>
      <w:bCs/>
      <w:sz w:val="20"/>
      <w:szCs w:val="20"/>
    </w:rPr>
  </w:style>
  <w:style w:type="character" w:customStyle="1" w:styleId="Heading1Char">
    <w:name w:val="Heading 1 Char"/>
    <w:basedOn w:val="DefaultParagraphFont"/>
    <w:link w:val="Heading1"/>
    <w:uiPriority w:val="9"/>
    <w:rsid w:val="008B40F3"/>
    <w:rPr>
      <w:rFonts w:ascii="Times New Roman" w:hAnsi="Times New Roman" w:eastAsiaTheme="majorEastAsia" w:cstheme="majorBidi"/>
      <w:sz w:val="24"/>
      <w:szCs w:val="32"/>
    </w:rPr>
  </w:style>
  <w:style w:type="character" w:customStyle="1" w:styleId="Heading2Char">
    <w:name w:val="Heading 2 Char"/>
    <w:basedOn w:val="DefaultParagraphFont"/>
    <w:link w:val="Heading2"/>
    <w:uiPriority w:val="9"/>
    <w:rsid w:val="008D09AA"/>
    <w:rPr>
      <w:rFonts w:ascii="Times New Roman" w:hAnsi="Times New Roman" w:eastAsiaTheme="majorEastAsia" w:cs="Times New Roman"/>
      <w:b/>
      <w:bCs/>
      <w:color w:val="2F5496" w:themeColor="accent1" w:themeShade="BF"/>
      <w:sz w:val="26"/>
      <w:szCs w:val="26"/>
    </w:rPr>
  </w:style>
  <w:style w:type="character" w:customStyle="1" w:styleId="Heading3Char">
    <w:name w:val="Heading 3 Char"/>
    <w:basedOn w:val="DefaultParagraphFont"/>
    <w:link w:val="Heading3"/>
    <w:uiPriority w:val="9"/>
    <w:rsid w:val="006E67DA"/>
    <w:rPr>
      <w:rFonts w:ascii="Times New Roman" w:hAnsi="Times New Roman" w:eastAsiaTheme="majorEastAsia" w:cs="Times New Roman"/>
      <w:b/>
      <w:bCs/>
      <w:color w:val="1F3763" w:themeColor="accent1" w:themeShade="7F"/>
      <w:sz w:val="24"/>
      <w:szCs w:val="24"/>
    </w:rPr>
  </w:style>
  <w:style w:type="character" w:customStyle="1" w:styleId="Heading4Char">
    <w:name w:val="Heading 4 Char"/>
    <w:basedOn w:val="DefaultParagraphFont"/>
    <w:link w:val="Heading4"/>
    <w:uiPriority w:val="9"/>
    <w:rsid w:val="008B40F3"/>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8B40F3"/>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8B40F3"/>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8B40F3"/>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8B40F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B40F3"/>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qFormat/>
    <w:rsid w:val="006204DB"/>
    <w:pPr>
      <w:autoSpaceDE w:val="0"/>
      <w:autoSpaceDN w:val="0"/>
      <w:spacing w:after="0" w:line="240" w:lineRule="auto"/>
    </w:pPr>
    <w:rPr>
      <w:rFonts w:eastAsia="Times New Roman" w:cs="Times New Roman"/>
      <w:sz w:val="20"/>
      <w:szCs w:val="2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
    <w:uiPriority w:val="99"/>
    <w:rsid w:val="006204DB"/>
    <w:rPr>
      <w:rFonts w:ascii="Times New Roman" w:eastAsia="Times New Roman" w:hAnsi="Times New Roman" w:cs="Times New Roman"/>
      <w:sz w:val="20"/>
      <w:szCs w:val="20"/>
    </w:rPr>
  </w:style>
  <w:style w:type="character" w:styleId="FootnoteReference">
    <w:name w:val="footnote reference"/>
    <w:aliases w:val="(NECG) Footnote Reference,.,Appel note de bas de p,Styl,Style 11,Style 12,Style 124,Style 13,Style 15,Style 17,Style 18,Style 19,Style 20,Style 21,Style 28,Style 3,Style 4,Style 42,Style 7,Style 8,Style 9,fnr,fr,fr1,fr2,fr3,o,o1,o2,o3"/>
    <w:uiPriority w:val="99"/>
    <w:qFormat/>
    <w:rsid w:val="006204DB"/>
    <w:rPr>
      <w:vertAlign w:val="superscript"/>
    </w:rPr>
  </w:style>
  <w:style w:type="table" w:styleId="TableGrid">
    <w:name w:val="Table Grid"/>
    <w:basedOn w:val="TableNormal"/>
    <w:uiPriority w:val="59"/>
    <w:rsid w:val="0052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ListParagraph"/>
    <w:uiPriority w:val="18"/>
    <w:qFormat/>
    <w:rsid w:val="00504EE5"/>
    <w:pPr>
      <w:numPr>
        <w:numId w:val="22"/>
      </w:numPr>
      <w:spacing w:after="0" w:line="240" w:lineRule="auto"/>
    </w:pPr>
    <w:rPr>
      <w:rFonts w:ascii="Arial" w:eastAsia="Times New Roman" w:hAnsi="Arial" w:cs="Times New Roman"/>
      <w:szCs w:val="24"/>
    </w:rPr>
  </w:style>
  <w:style w:type="character" w:styleId="Hyperlink">
    <w:name w:val="Hyperlink"/>
    <w:basedOn w:val="DefaultParagraphFont"/>
    <w:uiPriority w:val="99"/>
    <w:unhideWhenUsed/>
    <w:rsid w:val="008D6542"/>
    <w:rPr>
      <w:color w:val="0563C1" w:themeColor="hyperlink"/>
      <w:u w:val="single"/>
    </w:rPr>
  </w:style>
  <w:style w:type="paragraph" w:styleId="Header">
    <w:name w:val="header"/>
    <w:basedOn w:val="Normal"/>
    <w:link w:val="HeaderChar"/>
    <w:uiPriority w:val="99"/>
    <w:unhideWhenUsed/>
    <w:rsid w:val="00D94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C8C"/>
    <w:rPr>
      <w:rFonts w:ascii="Times New Roman" w:hAnsi="Times New Roman"/>
      <w:sz w:val="24"/>
    </w:rPr>
  </w:style>
  <w:style w:type="paragraph" w:styleId="Footer">
    <w:name w:val="footer"/>
    <w:basedOn w:val="Normal"/>
    <w:link w:val="FooterChar"/>
    <w:uiPriority w:val="99"/>
    <w:unhideWhenUsed/>
    <w:rsid w:val="00D94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C8C"/>
    <w:rPr>
      <w:rFonts w:ascii="Times New Roman" w:hAnsi="Times New Roman"/>
      <w:sz w:val="24"/>
    </w:rPr>
  </w:style>
  <w:style w:type="character" w:customStyle="1" w:styleId="UnresolvedMention1">
    <w:name w:val="Unresolved Mention1"/>
    <w:basedOn w:val="DefaultParagraphFont"/>
    <w:uiPriority w:val="99"/>
    <w:semiHidden/>
    <w:unhideWhenUsed/>
    <w:rsid w:val="003A1612"/>
    <w:rPr>
      <w:color w:val="605E5C"/>
      <w:shd w:val="clear" w:color="auto" w:fill="E1DFDD"/>
    </w:rPr>
  </w:style>
  <w:style w:type="paragraph" w:styleId="Revision">
    <w:name w:val="Revision"/>
    <w:hidden/>
    <w:uiPriority w:val="99"/>
    <w:semiHidden/>
    <w:rsid w:val="00E71B11"/>
    <w:pPr>
      <w:spacing w:after="0" w:line="240" w:lineRule="auto"/>
    </w:pPr>
    <w:rPr>
      <w:rFonts w:ascii="Times New Roman" w:hAnsi="Times New Roman"/>
      <w:sz w:val="24"/>
    </w:rPr>
  </w:style>
  <w:style w:type="paragraph" w:styleId="HTMLPreformatted">
    <w:name w:val="HTML Preformatted"/>
    <w:basedOn w:val="Normal"/>
    <w:link w:val="HTMLPreformattedChar"/>
    <w:rsid w:val="002E1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2E1E3C"/>
    <w:rPr>
      <w:rFonts w:ascii="Courier New" w:eastAsia="Courier New" w:hAnsi="Courier New" w:cs="Courier New"/>
      <w:sz w:val="20"/>
      <w:szCs w:val="20"/>
    </w:rPr>
  </w:style>
  <w:style w:type="paragraph" w:styleId="BodyText">
    <w:name w:val="Body Text"/>
    <w:basedOn w:val="Normal"/>
    <w:link w:val="BodyTextChar"/>
    <w:rsid w:val="002E1E3C"/>
    <w:pPr>
      <w:spacing w:after="0" w:line="240" w:lineRule="auto"/>
      <w:jc w:val="both"/>
    </w:pPr>
    <w:rPr>
      <w:rFonts w:eastAsia="Times New Roman" w:cs="Times New Roman"/>
      <w:szCs w:val="20"/>
    </w:rPr>
  </w:style>
  <w:style w:type="character" w:customStyle="1" w:styleId="BodyTextChar">
    <w:name w:val="Body Text Char"/>
    <w:basedOn w:val="DefaultParagraphFont"/>
    <w:link w:val="BodyText"/>
    <w:rsid w:val="002E1E3C"/>
    <w:rPr>
      <w:rFonts w:ascii="Times New Roman" w:eastAsia="Times New Roman" w:hAnsi="Times New Roman" w:cs="Times New Roman"/>
      <w:sz w:val="24"/>
      <w:szCs w:val="20"/>
    </w:rPr>
  </w:style>
  <w:style w:type="paragraph" w:styleId="TOC1">
    <w:name w:val="toc 1"/>
    <w:basedOn w:val="Normal"/>
    <w:next w:val="Normal"/>
    <w:autoRedefine/>
    <w:uiPriority w:val="39"/>
    <w:unhideWhenUsed/>
    <w:rsid w:val="003A1819"/>
    <w:pPr>
      <w:tabs>
        <w:tab w:val="decimal" w:leader="dot" w:pos="9360"/>
      </w:tabs>
      <w:spacing w:after="240" w:line="240" w:lineRule="auto"/>
      <w:ind w:left="720" w:hanging="720"/>
    </w:pPr>
  </w:style>
  <w:style w:type="paragraph" w:styleId="TOC2">
    <w:name w:val="toc 2"/>
    <w:basedOn w:val="Normal"/>
    <w:next w:val="Normal"/>
    <w:autoRedefine/>
    <w:uiPriority w:val="39"/>
    <w:unhideWhenUsed/>
    <w:rsid w:val="001713D4"/>
    <w:pPr>
      <w:tabs>
        <w:tab w:val="decimal" w:leader="dot" w:pos="9360"/>
      </w:tabs>
      <w:spacing w:after="240" w:line="240" w:lineRule="auto"/>
      <w:ind w:left="1440" w:hanging="720"/>
    </w:pPr>
  </w:style>
  <w:style w:type="paragraph" w:styleId="TOC3">
    <w:name w:val="toc 3"/>
    <w:basedOn w:val="Normal"/>
    <w:next w:val="Normal"/>
    <w:autoRedefine/>
    <w:uiPriority w:val="39"/>
    <w:unhideWhenUsed/>
    <w:rsid w:val="00F01A92"/>
    <w:pPr>
      <w:tabs>
        <w:tab w:val="decimal" w:leader="dot" w:pos="9360"/>
      </w:tabs>
      <w:spacing w:after="240" w:line="240" w:lineRule="auto"/>
      <w:ind w:left="21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image" Target="media/image1.emf" /><Relationship Id="rId16" Type="http://schemas.openxmlformats.org/officeDocument/2006/relationships/image" Target="media/image2.emf" /><Relationship Id="rId17" Type="http://schemas.openxmlformats.org/officeDocument/2006/relationships/image" Target="media/image3.emf" /><Relationship Id="rId18" Type="http://schemas.openxmlformats.org/officeDocument/2006/relationships/hyperlink" Target="mailto:jodi.bair@ohioAGO.gov" TargetMode="External" /><Relationship Id="rId19" Type="http://schemas.openxmlformats.org/officeDocument/2006/relationships/hyperlink" Target="mailto:kyle.kern@ohioAGO.gov" TargetMode="External" /><Relationship Id="rId2" Type="http://schemas.openxmlformats.org/officeDocument/2006/relationships/settings" Target="settings.xml" /><Relationship Id="rId20" Type="http://schemas.openxmlformats.org/officeDocument/2006/relationships/hyperlink" Target="mailto:chelsea.fletcher@ohioAGO.gov" TargetMode="External" /><Relationship Id="rId21" Type="http://schemas.openxmlformats.org/officeDocument/2006/relationships/hyperlink" Target="mailto:bmckenney@mcneeslaw.com" TargetMode="External" /><Relationship Id="rId22" Type="http://schemas.openxmlformats.org/officeDocument/2006/relationships/hyperlink" Target="mailto:mjsettineri@vorys.com" TargetMode="External" /><Relationship Id="rId23" Type="http://schemas.openxmlformats.org/officeDocument/2006/relationships/hyperlink" Target="mailto:glpetrucci@vorys.com" TargetMode="External" /><Relationship Id="rId24" Type="http://schemas.openxmlformats.org/officeDocument/2006/relationships/hyperlink" Target="mailto:dromig@armadapower.com" TargetMode="External" /><Relationship Id="rId25" Type="http://schemas.openxmlformats.org/officeDocument/2006/relationships/hyperlink" Target="mailto:dparram@bricker.com" TargetMode="External" /><Relationship Id="rId26" Type="http://schemas.openxmlformats.org/officeDocument/2006/relationships/hyperlink" Target="mailto:rmains@bricker.com" TargetMode="External" /><Relationship Id="rId27" Type="http://schemas.openxmlformats.org/officeDocument/2006/relationships/hyperlink" Target="mailto:ccox@elpc.org" TargetMode="External" /><Relationship Id="rId28" Type="http://schemas.openxmlformats.org/officeDocument/2006/relationships/hyperlink" Target="mailto:khernstein@bricker.com" TargetMode="External" /><Relationship Id="rId29" Type="http://schemas.openxmlformats.org/officeDocument/2006/relationships/hyperlink" Target="mailto:mwarnock@bricker.com" TargetMode="External" /><Relationship Id="rId3" Type="http://schemas.openxmlformats.org/officeDocument/2006/relationships/webSettings" Target="webSettings.xml" /><Relationship Id="rId30" Type="http://schemas.openxmlformats.org/officeDocument/2006/relationships/hyperlink" Target="mailto:little@litohio.com" TargetMode="External" /><Relationship Id="rId31" Type="http://schemas.openxmlformats.org/officeDocument/2006/relationships/hyperlink" Target="mailto:hogan@litohio.com" TargetMode="External" /><Relationship Id="rId32" Type="http://schemas.openxmlformats.org/officeDocument/2006/relationships/hyperlink" Target="mailto:ktreadway@oneenergyllc.com" TargetMode="External" /><Relationship Id="rId33" Type="http://schemas.openxmlformats.org/officeDocument/2006/relationships/hyperlink" Target="mailto:jdunn@oneenergyllc.com" TargetMode="External" /><Relationship Id="rId34" Type="http://schemas.openxmlformats.org/officeDocument/2006/relationships/hyperlink" Target="mailto:whitt@whitt-sturtevant.com" TargetMode="External" /><Relationship Id="rId35" Type="http://schemas.openxmlformats.org/officeDocument/2006/relationships/hyperlink" Target="mailto:fykes@whitt-sturtevant.com" TargetMode="External" /><Relationship Id="rId36" Type="http://schemas.openxmlformats.org/officeDocument/2006/relationships/hyperlink" Target="mailto:rhartley@fbtlaw.com" TargetMode="External" /><Relationship Id="rId37" Type="http://schemas.openxmlformats.org/officeDocument/2006/relationships/hyperlink" Target="mailto:cwieg@fbtlaw.com" TargetMode="External" /><Relationship Id="rId38" Type="http://schemas.openxmlformats.org/officeDocument/2006/relationships/hyperlink" Target="mailto:talexander@beneschlaw.com" TargetMode="External" /><Relationship Id="rId39" Type="http://schemas.openxmlformats.org/officeDocument/2006/relationships/hyperlink" Target="mailto:khehmeyer@beneschlaw.com" TargetMode="External" /><Relationship Id="rId4" Type="http://schemas.openxmlformats.org/officeDocument/2006/relationships/fontTable" Target="fontTable.xml" /><Relationship Id="rId40" Type="http://schemas.openxmlformats.org/officeDocument/2006/relationships/hyperlink" Target="mailto:ssiewe@beneschlaw.com" TargetMode="External" /><Relationship Id="rId41" Type="http://schemas.openxmlformats.org/officeDocument/2006/relationships/hyperlink" Target="mailto:patricia.schabo@puco.ohio.gov" TargetMode="External" /><Relationship Id="rId42" Type="http://schemas.openxmlformats.org/officeDocument/2006/relationships/hyperlink" Target="mailto:bojko@carpenterlipps.com" TargetMode="External" /><Relationship Id="rId43" Type="http://schemas.openxmlformats.org/officeDocument/2006/relationships/hyperlink" Target="mailto:paul@carpenterlipps.com" TargetMode="External" /><Relationship Id="rId44" Type="http://schemas.openxmlformats.org/officeDocument/2006/relationships/hyperlink" Target="mailto:donadio@carpenterlipps.com" TargetMode="External" /><Relationship Id="rId45" Type="http://schemas.openxmlformats.org/officeDocument/2006/relationships/hyperlink" Target="mailto:michael.schuler@aes.com" TargetMode="External" /><Relationship Id="rId46" Type="http://schemas.openxmlformats.org/officeDocument/2006/relationships/hyperlink" Target="mailto:djireland@ficlaw.com" TargetMode="External" /><Relationship Id="rId47" Type="http://schemas.openxmlformats.org/officeDocument/2006/relationships/hyperlink" Target="mailto:mwatt@ficlaw.com" TargetMode="External" /><Relationship Id="rId48" Type="http://schemas.openxmlformats.org/officeDocument/2006/relationships/hyperlink" Target="mailto:jweber@elpc.org" TargetMode="External" /><Relationship Id="rId49" Type="http://schemas.openxmlformats.org/officeDocument/2006/relationships/hyperlink" Target="mailto:jkylercohn@BKLlawfirm.com" TargetMode="External" /><Relationship Id="rId5" Type="http://schemas.openxmlformats.org/officeDocument/2006/relationships/customXml" Target="../customXml/item1.xml" /><Relationship Id="rId50" Type="http://schemas.openxmlformats.org/officeDocument/2006/relationships/hyperlink" Target="mailto:bethany.allen@igs.com" TargetMode="External" /><Relationship Id="rId51" Type="http://schemas.openxmlformats.org/officeDocument/2006/relationships/hyperlink" Target="mailto:Joe.oliker@igs.com" TargetMode="External" /><Relationship Id="rId52" Type="http://schemas.openxmlformats.org/officeDocument/2006/relationships/hyperlink" Target="mailto:Michael.nugent@igs.com" TargetMode="External" /><Relationship Id="rId53" Type="http://schemas.openxmlformats.org/officeDocument/2006/relationships/hyperlink" Target="mailto:Evan.betterton@igs.com" TargetMode="External" /><Relationship Id="rId54" Type="http://schemas.openxmlformats.org/officeDocument/2006/relationships/hyperlink" Target="mailto:Stephanie.chmiel@thompsonhine.com" TargetMode="External" /><Relationship Id="rId55" Type="http://schemas.openxmlformats.org/officeDocument/2006/relationships/hyperlink" Target="mailto:Kevin.oles@thompsonhine.com" TargetMode="External" /><Relationship Id="rId56" Type="http://schemas.openxmlformats.org/officeDocument/2006/relationships/hyperlink" Target="mailto:Fdarr2019@gmail.com" TargetMode="External" /><Relationship Id="rId57" Type="http://schemas.openxmlformats.org/officeDocument/2006/relationships/hyperlink" Target="mailto:rdove@keglerbrown.com" TargetMode="External" /><Relationship Id="rId58" Type="http://schemas.openxmlformats.org/officeDocument/2006/relationships/hyperlink" Target="mailto:cgrundmann@spilmanlaw.com" TargetMode="External" /><Relationship Id="rId59" Type="http://schemas.openxmlformats.org/officeDocument/2006/relationships/hyperlink" Target="mailto:dwilliamson@spilmanlaw.com" TargetMode="External" /><Relationship Id="rId6" Type="http://schemas.openxmlformats.org/officeDocument/2006/relationships/hyperlink" Target="mailto:john.finnigan@occ.ohio.gov" TargetMode="External" /><Relationship Id="rId60" Type="http://schemas.openxmlformats.org/officeDocument/2006/relationships/hyperlink" Target="mailto:mpritchard@mcneeslaw.com" TargetMode="External" /><Relationship Id="rId61" Type="http://schemas.openxmlformats.org/officeDocument/2006/relationships/hyperlink" Target="mailto:rglover@mcneeslaw.com" TargetMode="External" /><Relationship Id="rId62" Type="http://schemas.openxmlformats.org/officeDocument/2006/relationships/hyperlink" Target="mailto:mleppla@theOEC.org" TargetMode="External" /><Relationship Id="rId63" Type="http://schemas.openxmlformats.org/officeDocument/2006/relationships/hyperlink" Target="mailto:tdougherty@theOEC.org" TargetMode="External" /><Relationship Id="rId64" Type="http://schemas.openxmlformats.org/officeDocument/2006/relationships/hyperlink" Target="mailto:ctavenor@theOEC.org" TargetMode="External" /><Relationship Id="rId65" Type="http://schemas.openxmlformats.org/officeDocument/2006/relationships/footer" Target="footer5.xml" /><Relationship Id="rId66" Type="http://schemas.openxmlformats.org/officeDocument/2006/relationships/theme" Target="theme/theme1.xml" /><Relationship Id="rId67" Type="http://schemas.openxmlformats.org/officeDocument/2006/relationships/numbering" Target="numbering.xml" /><Relationship Id="rId68" Type="http://schemas.openxmlformats.org/officeDocument/2006/relationships/styles" Target="styles.xml" /><Relationship Id="rId7" Type="http://schemas.openxmlformats.org/officeDocument/2006/relationships/hyperlink" Target="mailto:ambrosia.wilson@occ.ohio.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2C9CA-6CD3-438C-8E41-29BFF1B71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17331</Words>
  <Characters>98789</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2022-03-04T20:53:49Z</dcterms:created>
  <dcterms:modified xsi:type="dcterms:W3CDTF">2022-03-04T20:53:49Z</dcterms:modified>
</cp:coreProperties>
</file>