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4C9D" w14:textId="77777777" w:rsidR="00623FE7" w:rsidRPr="000E31A5" w:rsidRDefault="00623FE7" w:rsidP="00623FE7">
      <w:pPr>
        <w:spacing w:line="240" w:lineRule="auto"/>
        <w:ind w:right="0"/>
        <w:jc w:val="center"/>
        <w:rPr>
          <w:rFonts w:ascii="Century Schoolbook" w:eastAsia="Times New Roman" w:hAnsi="Century Schoolbook" w:cs="Times New Roman"/>
          <w:b/>
          <w:color w:val="000000"/>
          <w:szCs w:val="24"/>
        </w:rPr>
      </w:pPr>
      <w:r w:rsidRPr="000E31A5">
        <w:rPr>
          <w:rFonts w:ascii="Century Schoolbook" w:eastAsia="Times New Roman" w:hAnsi="Century Schoolbook" w:cs="Times New Roman"/>
          <w:b/>
          <w:color w:val="000000"/>
          <w:szCs w:val="24"/>
        </w:rPr>
        <w:t>BEFORE</w:t>
      </w:r>
    </w:p>
    <w:p w14:paraId="1060DA09" w14:textId="77777777" w:rsidR="00623FE7" w:rsidRPr="000E31A5" w:rsidRDefault="00623FE7" w:rsidP="00623FE7">
      <w:pPr>
        <w:spacing w:line="240" w:lineRule="auto"/>
        <w:ind w:right="0"/>
        <w:jc w:val="center"/>
        <w:rPr>
          <w:rFonts w:ascii="Century Schoolbook" w:eastAsia="Times New Roman" w:hAnsi="Century Schoolbook" w:cs="Times New Roman"/>
          <w:b/>
          <w:color w:val="000000"/>
          <w:szCs w:val="24"/>
        </w:rPr>
      </w:pPr>
      <w:r w:rsidRPr="000E31A5">
        <w:rPr>
          <w:rFonts w:ascii="Century Schoolbook" w:eastAsia="Times New Roman" w:hAnsi="Century Schoolbook" w:cs="Times New Roman"/>
          <w:b/>
          <w:color w:val="000000"/>
          <w:szCs w:val="24"/>
        </w:rPr>
        <w:t>THE PUBLIC UTILITIES COMMISSION OF OHIO</w:t>
      </w:r>
    </w:p>
    <w:p w14:paraId="6E994B2E" w14:textId="77777777" w:rsidR="00623FE7" w:rsidRPr="000E31A5" w:rsidRDefault="00623FE7" w:rsidP="00623FE7">
      <w:pPr>
        <w:spacing w:line="240" w:lineRule="auto"/>
        <w:ind w:right="0"/>
        <w:rPr>
          <w:rFonts w:ascii="Century Schoolbook" w:eastAsia="Times New Roman" w:hAnsi="Century Schoolbook" w:cs="Times New Roman"/>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3FE7" w:rsidRPr="000E31A5" w14:paraId="0719AEFE" w14:textId="77777777" w:rsidTr="00F82010">
        <w:tc>
          <w:tcPr>
            <w:tcW w:w="4675" w:type="dxa"/>
          </w:tcPr>
          <w:p w14:paraId="09E62198" w14:textId="77777777" w:rsidR="00623FE7" w:rsidRPr="000E31A5" w:rsidRDefault="00623FE7" w:rsidP="00623FE7">
            <w:pPr>
              <w:rPr>
                <w:rFonts w:ascii="Century Schoolbook" w:eastAsia="Times New Roman" w:hAnsi="Century Schoolbook" w:cs="Times New Roman"/>
                <w:sz w:val="24"/>
                <w:szCs w:val="24"/>
              </w:rPr>
            </w:pPr>
          </w:p>
        </w:tc>
        <w:tc>
          <w:tcPr>
            <w:tcW w:w="4675" w:type="dxa"/>
          </w:tcPr>
          <w:p w14:paraId="5CA37DB0" w14:textId="77777777" w:rsidR="00623FE7" w:rsidRPr="000E31A5" w:rsidRDefault="00623FE7" w:rsidP="00623FE7">
            <w:pPr>
              <w:rPr>
                <w:rFonts w:ascii="Century Schoolbook" w:eastAsia="Times New Roman" w:hAnsi="Century Schoolbook" w:cs="Times New Roman"/>
                <w:sz w:val="24"/>
                <w:szCs w:val="24"/>
              </w:rPr>
            </w:pPr>
          </w:p>
        </w:tc>
      </w:tr>
      <w:tr w:rsidR="00623FE7" w:rsidRPr="000E31A5" w14:paraId="5989654F" w14:textId="77777777" w:rsidTr="00F82010">
        <w:tc>
          <w:tcPr>
            <w:tcW w:w="4675" w:type="dxa"/>
          </w:tcPr>
          <w:p w14:paraId="7F5B08E2" w14:textId="5CE94423" w:rsidR="00623FE7" w:rsidRPr="000E31A5" w:rsidRDefault="00623FE7" w:rsidP="00623FE7">
            <w:pPr>
              <w:rPr>
                <w:rFonts w:ascii="Century Schoolbook" w:eastAsia="Times New Roman" w:hAnsi="Century Schoolbook" w:cs="Times New Roman"/>
                <w:sz w:val="24"/>
                <w:szCs w:val="24"/>
              </w:rPr>
            </w:pPr>
            <w:r w:rsidRPr="000E31A5">
              <w:rPr>
                <w:rFonts w:ascii="Century Schoolbook" w:eastAsia="Times New Roman" w:hAnsi="Century Schoolbook" w:cs="Times New Roman"/>
                <w:sz w:val="24"/>
                <w:szCs w:val="24"/>
              </w:rPr>
              <w:t>In the Matter of the Application of Duke Energy Ohio, Inc. for a Waiver of Specific Sections of the Ohio Administrative Code</w:t>
            </w:r>
          </w:p>
        </w:tc>
        <w:tc>
          <w:tcPr>
            <w:tcW w:w="4675" w:type="dxa"/>
          </w:tcPr>
          <w:p w14:paraId="6270B24C" w14:textId="77777777" w:rsidR="00623FE7" w:rsidRPr="000E31A5" w:rsidRDefault="00623FE7" w:rsidP="00623FE7">
            <w:pPr>
              <w:rPr>
                <w:rFonts w:ascii="Century Schoolbook" w:eastAsia="Times New Roman" w:hAnsi="Century Schoolbook" w:cs="Times New Roman"/>
                <w:sz w:val="24"/>
                <w:szCs w:val="24"/>
              </w:rPr>
            </w:pPr>
          </w:p>
          <w:p w14:paraId="1874F28A" w14:textId="0E574473" w:rsidR="00623FE7" w:rsidRPr="000E31A5" w:rsidRDefault="00623FE7" w:rsidP="00623FE7">
            <w:pPr>
              <w:rPr>
                <w:rFonts w:ascii="Century Schoolbook" w:eastAsia="Times New Roman" w:hAnsi="Century Schoolbook" w:cs="Times New Roman"/>
                <w:sz w:val="24"/>
                <w:szCs w:val="24"/>
              </w:rPr>
            </w:pPr>
            <w:r w:rsidRPr="000E31A5">
              <w:rPr>
                <w:rFonts w:ascii="Century Schoolbook" w:eastAsia="Times New Roman" w:hAnsi="Century Schoolbook" w:cs="Times New Roman"/>
                <w:sz w:val="24"/>
                <w:szCs w:val="24"/>
              </w:rPr>
              <w:t>Case No. 21-1100-EL-WVR</w:t>
            </w:r>
          </w:p>
        </w:tc>
      </w:tr>
      <w:tr w:rsidR="00623FE7" w:rsidRPr="000E31A5" w14:paraId="65C10B32" w14:textId="77777777" w:rsidTr="00F82010">
        <w:tc>
          <w:tcPr>
            <w:tcW w:w="4675" w:type="dxa"/>
          </w:tcPr>
          <w:p w14:paraId="070064FD" w14:textId="77777777" w:rsidR="00623FE7" w:rsidRPr="000E31A5" w:rsidRDefault="00623FE7" w:rsidP="00623FE7">
            <w:pPr>
              <w:rPr>
                <w:rFonts w:ascii="Century Schoolbook" w:eastAsia="Times New Roman" w:hAnsi="Century Schoolbook" w:cs="Times New Roman"/>
                <w:sz w:val="24"/>
                <w:szCs w:val="24"/>
              </w:rPr>
            </w:pPr>
          </w:p>
        </w:tc>
        <w:tc>
          <w:tcPr>
            <w:tcW w:w="4675" w:type="dxa"/>
          </w:tcPr>
          <w:p w14:paraId="352EF6DB" w14:textId="77777777" w:rsidR="00623FE7" w:rsidRPr="000E31A5" w:rsidRDefault="00623FE7" w:rsidP="00623FE7">
            <w:pPr>
              <w:rPr>
                <w:rFonts w:ascii="Century Schoolbook" w:eastAsia="Times New Roman" w:hAnsi="Century Schoolbook" w:cs="Times New Roman"/>
                <w:sz w:val="24"/>
                <w:szCs w:val="24"/>
              </w:rPr>
            </w:pPr>
          </w:p>
        </w:tc>
      </w:tr>
    </w:tbl>
    <w:p w14:paraId="39D75CA0" w14:textId="77777777" w:rsidR="00623FE7" w:rsidRPr="000E31A5" w:rsidRDefault="00623FE7" w:rsidP="00623FE7">
      <w:pPr>
        <w:spacing w:line="240" w:lineRule="auto"/>
        <w:ind w:right="0"/>
        <w:rPr>
          <w:rFonts w:ascii="Century Schoolbook" w:eastAsia="Times New Roman" w:hAnsi="Century Schoolbook" w:cs="Times New Roman"/>
          <w:szCs w:val="24"/>
        </w:rPr>
      </w:pPr>
    </w:p>
    <w:p w14:paraId="16092957" w14:textId="77777777" w:rsidR="00623FE7" w:rsidRPr="000E31A5" w:rsidRDefault="00623FE7" w:rsidP="00623FE7">
      <w:pPr>
        <w:tabs>
          <w:tab w:val="left" w:pos="4680"/>
        </w:tabs>
        <w:spacing w:line="240" w:lineRule="auto"/>
        <w:ind w:right="0"/>
        <w:rPr>
          <w:rFonts w:ascii="Century Schoolbook" w:eastAsia="Times New Roman" w:hAnsi="Century Schoolbook" w:cs="Times New Roman"/>
          <w:b/>
          <w:szCs w:val="24"/>
        </w:rPr>
      </w:pPr>
    </w:p>
    <w:p w14:paraId="78839F75" w14:textId="77777777" w:rsidR="00623FE7" w:rsidRPr="000E31A5" w:rsidRDefault="00623FE7" w:rsidP="00623FE7">
      <w:pPr>
        <w:tabs>
          <w:tab w:val="left" w:pos="4680"/>
        </w:tabs>
        <w:spacing w:line="240" w:lineRule="auto"/>
        <w:ind w:right="0"/>
        <w:jc w:val="center"/>
        <w:rPr>
          <w:rFonts w:ascii="Century Schoolbook" w:eastAsia="Times New Roman" w:hAnsi="Century Schoolbook" w:cs="Times New Roman"/>
          <w:b/>
          <w:szCs w:val="24"/>
        </w:rPr>
      </w:pPr>
      <w:r w:rsidRPr="000E31A5">
        <w:rPr>
          <w:rFonts w:ascii="Century Schoolbook" w:eastAsia="Times New Roman" w:hAnsi="Century Schoolbook" w:cs="Times New Roman"/>
          <w:b/>
          <w:szCs w:val="24"/>
        </w:rPr>
        <w:t>____________________________________________________________________________</w:t>
      </w:r>
    </w:p>
    <w:p w14:paraId="6C8935D3" w14:textId="77777777" w:rsidR="00623FE7" w:rsidRPr="000E31A5" w:rsidRDefault="00623FE7" w:rsidP="00623FE7">
      <w:pPr>
        <w:spacing w:line="240" w:lineRule="auto"/>
        <w:ind w:right="0"/>
        <w:jc w:val="center"/>
        <w:rPr>
          <w:rFonts w:ascii="Century Schoolbook" w:eastAsia="Times New Roman" w:hAnsi="Century Schoolbook" w:cs="Times New Roman"/>
          <w:b/>
          <w:szCs w:val="24"/>
        </w:rPr>
      </w:pPr>
    </w:p>
    <w:p w14:paraId="66E2D643" w14:textId="231870E3" w:rsidR="00623FE7" w:rsidRPr="000E31A5" w:rsidRDefault="009E643F" w:rsidP="00623FE7">
      <w:pPr>
        <w:spacing w:line="240" w:lineRule="auto"/>
        <w:ind w:right="0"/>
        <w:jc w:val="center"/>
        <w:outlineLvl w:val="2"/>
        <w:rPr>
          <w:rFonts w:ascii="Century Schoolbook" w:eastAsia="Times New Roman" w:hAnsi="Century Schoolbook" w:cs="Times New Roman"/>
          <w:b/>
          <w:color w:val="000000"/>
          <w:szCs w:val="24"/>
        </w:rPr>
      </w:pPr>
      <w:r w:rsidRPr="000E31A5">
        <w:rPr>
          <w:rFonts w:ascii="Century Schoolbook" w:eastAsia="Times New Roman" w:hAnsi="Century Schoolbook" w:cs="Times New Roman"/>
          <w:b/>
          <w:color w:val="000000"/>
          <w:szCs w:val="24"/>
        </w:rPr>
        <w:t xml:space="preserve">INITIAL </w:t>
      </w:r>
      <w:r w:rsidR="00623FE7" w:rsidRPr="000E31A5">
        <w:rPr>
          <w:rFonts w:ascii="Century Schoolbook" w:eastAsia="Times New Roman" w:hAnsi="Century Schoolbook" w:cs="Times New Roman"/>
          <w:b/>
          <w:color w:val="000000"/>
          <w:szCs w:val="24"/>
        </w:rPr>
        <w:t xml:space="preserve">COMMENTS OF </w:t>
      </w:r>
      <w:r w:rsidR="00DA22FA" w:rsidRPr="000E31A5">
        <w:rPr>
          <w:rFonts w:ascii="Century Schoolbook" w:eastAsia="Times New Roman" w:hAnsi="Century Schoolbook" w:cs="Times New Roman"/>
          <w:b/>
          <w:color w:val="000000"/>
          <w:szCs w:val="24"/>
        </w:rPr>
        <w:t>INTERSTATE GAS SUPPLY, INC.</w:t>
      </w:r>
    </w:p>
    <w:p w14:paraId="2742B6DC" w14:textId="77777777" w:rsidR="00623FE7" w:rsidRPr="000E31A5" w:rsidRDefault="00623FE7" w:rsidP="00623FE7">
      <w:pPr>
        <w:spacing w:line="240" w:lineRule="auto"/>
        <w:ind w:right="0"/>
        <w:jc w:val="center"/>
        <w:rPr>
          <w:rFonts w:ascii="Century Schoolbook" w:eastAsia="Times New Roman" w:hAnsi="Century Schoolbook" w:cs="Times New Roman"/>
          <w:b/>
          <w:color w:val="000000"/>
          <w:szCs w:val="24"/>
        </w:rPr>
      </w:pPr>
      <w:r w:rsidRPr="000E31A5">
        <w:rPr>
          <w:rFonts w:ascii="Century Schoolbook" w:eastAsia="Times New Roman" w:hAnsi="Century Schoolbook" w:cs="Times New Roman"/>
          <w:b/>
          <w:color w:val="000000"/>
          <w:szCs w:val="24"/>
        </w:rPr>
        <w:t>____________________________________________________________________________</w:t>
      </w:r>
    </w:p>
    <w:p w14:paraId="456DECB0" w14:textId="77777777" w:rsidR="00623FE7" w:rsidRPr="000E31A5" w:rsidRDefault="00623FE7" w:rsidP="00623FE7">
      <w:pPr>
        <w:spacing w:line="480" w:lineRule="auto"/>
        <w:ind w:right="0"/>
        <w:jc w:val="center"/>
        <w:rPr>
          <w:rFonts w:ascii="Century Schoolbook" w:eastAsia="Times New Roman" w:hAnsi="Century Schoolbook" w:cs="Times New Roman"/>
          <w:b/>
          <w:szCs w:val="24"/>
        </w:rPr>
      </w:pPr>
    </w:p>
    <w:p w14:paraId="095A816B" w14:textId="437D8668" w:rsidR="000A1943" w:rsidRPr="000E31A5" w:rsidRDefault="000A1943" w:rsidP="00623FE7">
      <w:pPr>
        <w:spacing w:line="480" w:lineRule="auto"/>
        <w:ind w:right="0"/>
        <w:rPr>
          <w:rFonts w:ascii="Century Schoolbook" w:eastAsia="Times New Roman" w:hAnsi="Century Schoolbook" w:cs="Times New Roman"/>
          <w:b/>
          <w:szCs w:val="24"/>
        </w:rPr>
      </w:pPr>
      <w:r w:rsidRPr="000E31A5">
        <w:rPr>
          <w:rFonts w:ascii="Century Schoolbook" w:eastAsia="Times New Roman" w:hAnsi="Century Schoolbook" w:cs="Times New Roman"/>
          <w:b/>
          <w:szCs w:val="24"/>
        </w:rPr>
        <w:t>Summary</w:t>
      </w:r>
    </w:p>
    <w:p w14:paraId="0306DACE" w14:textId="0227A2A2" w:rsidR="000755ED" w:rsidRPr="000E31A5" w:rsidRDefault="00017CAD" w:rsidP="002931C9">
      <w:pPr>
        <w:spacing w:line="480" w:lineRule="auto"/>
        <w:ind w:right="0" w:firstLine="720"/>
        <w:jc w:val="both"/>
        <w:rPr>
          <w:rFonts w:ascii="Century Schoolbook" w:eastAsia="Times New Roman" w:hAnsi="Century Schoolbook" w:cs="Times New Roman"/>
          <w:bCs/>
          <w:szCs w:val="24"/>
        </w:rPr>
      </w:pPr>
      <w:r w:rsidRPr="000E31A5">
        <w:rPr>
          <w:rFonts w:ascii="Century Schoolbook" w:eastAsia="Times New Roman" w:hAnsi="Century Schoolbook" w:cs="Times New Roman"/>
          <w:bCs/>
          <w:szCs w:val="24"/>
        </w:rPr>
        <w:t>Duke Energy Ohio</w:t>
      </w:r>
      <w:r w:rsidR="009C66C0" w:rsidRPr="000E31A5">
        <w:rPr>
          <w:rFonts w:ascii="Century Schoolbook" w:eastAsia="Times New Roman" w:hAnsi="Century Schoolbook" w:cs="Times New Roman"/>
          <w:bCs/>
          <w:szCs w:val="24"/>
        </w:rPr>
        <w:t xml:space="preserve"> (“Duke”)</w:t>
      </w:r>
      <w:r w:rsidR="006F1E47" w:rsidRPr="000E31A5">
        <w:rPr>
          <w:rFonts w:ascii="Century Schoolbook" w:eastAsia="Times New Roman" w:hAnsi="Century Schoolbook" w:cs="Times New Roman"/>
          <w:bCs/>
          <w:szCs w:val="24"/>
        </w:rPr>
        <w:t>, as of November</w:t>
      </w:r>
      <w:r w:rsidR="008408F1" w:rsidRPr="000E31A5">
        <w:rPr>
          <w:rFonts w:ascii="Century Schoolbook" w:eastAsia="Times New Roman" w:hAnsi="Century Schoolbook" w:cs="Times New Roman"/>
          <w:bCs/>
          <w:szCs w:val="24"/>
        </w:rPr>
        <w:t xml:space="preserve"> 2021</w:t>
      </w:r>
      <w:r w:rsidR="005F1B91" w:rsidRPr="000E31A5">
        <w:rPr>
          <w:rFonts w:ascii="Century Schoolbook" w:eastAsia="Times New Roman" w:hAnsi="Century Schoolbook" w:cs="Times New Roman"/>
          <w:bCs/>
          <w:szCs w:val="24"/>
        </w:rPr>
        <w:t>,</w:t>
      </w:r>
      <w:r w:rsidRPr="000E31A5">
        <w:rPr>
          <w:rFonts w:ascii="Century Schoolbook" w:eastAsia="Times New Roman" w:hAnsi="Century Schoolbook" w:cs="Times New Roman"/>
          <w:bCs/>
          <w:szCs w:val="24"/>
        </w:rPr>
        <w:t xml:space="preserve"> </w:t>
      </w:r>
      <w:r w:rsidR="009F0976" w:rsidRPr="000E31A5">
        <w:rPr>
          <w:rFonts w:ascii="Century Schoolbook" w:eastAsia="Times New Roman" w:hAnsi="Century Schoolbook" w:cs="Times New Roman"/>
          <w:bCs/>
          <w:szCs w:val="24"/>
        </w:rPr>
        <w:t>may no longer discriminate in the provision of non-jurisdictional charges o</w:t>
      </w:r>
      <w:r w:rsidR="004A5CAB" w:rsidRPr="000E31A5">
        <w:rPr>
          <w:rFonts w:ascii="Century Schoolbook" w:eastAsia="Times New Roman" w:hAnsi="Century Schoolbook" w:cs="Times New Roman"/>
          <w:bCs/>
          <w:szCs w:val="24"/>
        </w:rPr>
        <w:t xml:space="preserve">r </w:t>
      </w:r>
      <w:r w:rsidR="009F0976" w:rsidRPr="000E31A5">
        <w:rPr>
          <w:rFonts w:ascii="Century Schoolbook" w:eastAsia="Times New Roman" w:hAnsi="Century Schoolbook" w:cs="Times New Roman"/>
          <w:bCs/>
          <w:szCs w:val="24"/>
        </w:rPr>
        <w:t>unreasonably restrict access to th</w:t>
      </w:r>
      <w:r w:rsidR="00FE1438" w:rsidRPr="000E31A5">
        <w:rPr>
          <w:rFonts w:ascii="Century Schoolbook" w:eastAsia="Times New Roman" w:hAnsi="Century Schoolbook" w:cs="Times New Roman"/>
          <w:bCs/>
          <w:szCs w:val="24"/>
        </w:rPr>
        <w:t>e utility consolidated</w:t>
      </w:r>
      <w:r w:rsidR="009F0976" w:rsidRPr="000E31A5">
        <w:rPr>
          <w:rFonts w:ascii="Century Schoolbook" w:eastAsia="Times New Roman" w:hAnsi="Century Schoolbook" w:cs="Times New Roman"/>
          <w:bCs/>
          <w:szCs w:val="24"/>
        </w:rPr>
        <w:t xml:space="preserve"> bill.</w:t>
      </w:r>
      <w:r w:rsidR="002E6549" w:rsidRPr="000E31A5">
        <w:rPr>
          <w:rStyle w:val="FootnoteReference"/>
          <w:rFonts w:ascii="Century Schoolbook" w:eastAsia="Times New Roman" w:hAnsi="Century Schoolbook" w:cs="Times New Roman"/>
          <w:bCs/>
          <w:szCs w:val="24"/>
        </w:rPr>
        <w:footnoteReference w:id="2"/>
      </w:r>
      <w:r w:rsidRPr="000E31A5">
        <w:rPr>
          <w:rFonts w:ascii="Century Schoolbook" w:eastAsia="Times New Roman" w:hAnsi="Century Schoolbook" w:cs="Times New Roman"/>
          <w:bCs/>
          <w:szCs w:val="24"/>
        </w:rPr>
        <w:t xml:space="preserve"> Duke</w:t>
      </w:r>
      <w:r w:rsidR="009C66C0" w:rsidRPr="000E31A5">
        <w:rPr>
          <w:rFonts w:ascii="Century Schoolbook" w:eastAsia="Times New Roman" w:hAnsi="Century Schoolbook" w:cs="Times New Roman"/>
          <w:bCs/>
          <w:szCs w:val="24"/>
        </w:rPr>
        <w:t xml:space="preserve"> has long</w:t>
      </w:r>
      <w:r w:rsidRPr="000E31A5">
        <w:rPr>
          <w:rFonts w:ascii="Century Schoolbook" w:eastAsia="Times New Roman" w:hAnsi="Century Schoolbook" w:cs="Times New Roman"/>
          <w:bCs/>
          <w:szCs w:val="24"/>
        </w:rPr>
        <w:t xml:space="preserve"> provide</w:t>
      </w:r>
      <w:r w:rsidR="009C66C0" w:rsidRPr="000E31A5">
        <w:rPr>
          <w:rFonts w:ascii="Century Schoolbook" w:eastAsia="Times New Roman" w:hAnsi="Century Schoolbook" w:cs="Times New Roman"/>
          <w:bCs/>
          <w:szCs w:val="24"/>
        </w:rPr>
        <w:t>d</w:t>
      </w:r>
      <w:r w:rsidRPr="000E31A5">
        <w:rPr>
          <w:rFonts w:ascii="Century Schoolbook" w:eastAsia="Times New Roman" w:hAnsi="Century Schoolbook" w:cs="Times New Roman"/>
          <w:bCs/>
          <w:szCs w:val="24"/>
        </w:rPr>
        <w:t xml:space="preserve"> </w:t>
      </w:r>
      <w:r w:rsidR="00405285" w:rsidRPr="000E31A5">
        <w:rPr>
          <w:rFonts w:ascii="Century Schoolbook" w:eastAsia="Times New Roman" w:hAnsi="Century Schoolbook" w:cs="Times New Roman"/>
          <w:bCs/>
          <w:szCs w:val="24"/>
        </w:rPr>
        <w:t xml:space="preserve">discriminatory </w:t>
      </w:r>
      <w:r w:rsidR="009D0736" w:rsidRPr="000E31A5">
        <w:rPr>
          <w:rFonts w:ascii="Century Schoolbook" w:eastAsia="Times New Roman" w:hAnsi="Century Schoolbook" w:cs="Times New Roman"/>
          <w:bCs/>
          <w:szCs w:val="24"/>
        </w:rPr>
        <w:t>non-jurisdictional billing</w:t>
      </w:r>
      <w:r w:rsidRPr="000E31A5">
        <w:rPr>
          <w:rFonts w:ascii="Century Schoolbook" w:eastAsia="Times New Roman" w:hAnsi="Century Schoolbook" w:cs="Times New Roman"/>
          <w:bCs/>
          <w:szCs w:val="24"/>
        </w:rPr>
        <w:t xml:space="preserve"> service</w:t>
      </w:r>
      <w:r w:rsidR="009D0736" w:rsidRPr="000E31A5">
        <w:rPr>
          <w:rFonts w:ascii="Century Schoolbook" w:eastAsia="Times New Roman" w:hAnsi="Century Schoolbook" w:cs="Times New Roman"/>
          <w:bCs/>
          <w:szCs w:val="24"/>
        </w:rPr>
        <w:t>s</w:t>
      </w:r>
      <w:r w:rsidRPr="000E31A5">
        <w:rPr>
          <w:rFonts w:ascii="Century Schoolbook" w:eastAsia="Times New Roman" w:hAnsi="Century Schoolbook" w:cs="Times New Roman"/>
          <w:bCs/>
          <w:szCs w:val="24"/>
        </w:rPr>
        <w:t xml:space="preserve"> to </w:t>
      </w:r>
      <w:r w:rsidR="006509F6" w:rsidRPr="000E31A5">
        <w:rPr>
          <w:rFonts w:ascii="Century Schoolbook" w:eastAsia="Times New Roman" w:hAnsi="Century Schoolbook" w:cs="Times New Roman"/>
          <w:bCs/>
          <w:szCs w:val="24"/>
        </w:rPr>
        <w:t>its affiliate</w:t>
      </w:r>
      <w:r w:rsidR="009C66C0" w:rsidRPr="000E31A5">
        <w:rPr>
          <w:rFonts w:ascii="Century Schoolbook" w:eastAsia="Times New Roman" w:hAnsi="Century Schoolbook" w:cs="Times New Roman"/>
          <w:bCs/>
          <w:szCs w:val="24"/>
        </w:rPr>
        <w:t>. In this proceeding Duke is seeking the ability to continue discriminating against other market participants by offering the current service for an additional 12 months without making the ability available outside of Duke’s affiliate</w:t>
      </w:r>
      <w:r w:rsidR="005B38D4" w:rsidRPr="000E31A5">
        <w:rPr>
          <w:rFonts w:ascii="Century Schoolbook" w:eastAsia="Times New Roman" w:hAnsi="Century Schoolbook" w:cs="Times New Roman"/>
          <w:bCs/>
          <w:szCs w:val="24"/>
        </w:rPr>
        <w:t xml:space="preserve"> during that time</w:t>
      </w:r>
      <w:r w:rsidR="009C66C0" w:rsidRPr="000E31A5">
        <w:rPr>
          <w:rFonts w:ascii="Century Schoolbook" w:eastAsia="Times New Roman" w:hAnsi="Century Schoolbook" w:cs="Times New Roman"/>
          <w:bCs/>
          <w:szCs w:val="24"/>
        </w:rPr>
        <w:t>.</w:t>
      </w:r>
      <w:r w:rsidR="00CA4537" w:rsidRPr="000E31A5">
        <w:rPr>
          <w:rStyle w:val="FootnoteReference"/>
          <w:rFonts w:ascii="Century Schoolbook" w:eastAsia="Times New Roman" w:hAnsi="Century Schoolbook" w:cs="Times New Roman"/>
          <w:bCs/>
          <w:szCs w:val="24"/>
        </w:rPr>
        <w:footnoteReference w:id="3"/>
      </w:r>
      <w:r w:rsidR="009C66C0" w:rsidRPr="000E31A5">
        <w:rPr>
          <w:rFonts w:ascii="Century Schoolbook" w:eastAsia="Times New Roman" w:hAnsi="Century Schoolbook" w:cs="Times New Roman"/>
          <w:bCs/>
          <w:szCs w:val="24"/>
        </w:rPr>
        <w:t xml:space="preserve"> </w:t>
      </w:r>
      <w:r w:rsidR="00AE6185" w:rsidRPr="000E31A5">
        <w:rPr>
          <w:rFonts w:ascii="Century Schoolbook" w:eastAsia="Times New Roman" w:hAnsi="Century Schoolbook" w:cs="Times New Roman"/>
          <w:bCs/>
          <w:szCs w:val="24"/>
        </w:rPr>
        <w:t xml:space="preserve">On </w:t>
      </w:r>
      <w:r w:rsidR="00CD46DF" w:rsidRPr="000E31A5">
        <w:rPr>
          <w:rFonts w:ascii="Century Schoolbook" w:eastAsia="Times New Roman" w:hAnsi="Century Schoolbook" w:cs="Times New Roman"/>
          <w:bCs/>
          <w:szCs w:val="24"/>
        </w:rPr>
        <w:t>December 10</w:t>
      </w:r>
      <w:r w:rsidR="00CD46DF" w:rsidRPr="000E31A5">
        <w:rPr>
          <w:rFonts w:ascii="Century Schoolbook" w:eastAsia="Times New Roman" w:hAnsi="Century Schoolbook" w:cs="Times New Roman"/>
          <w:bCs/>
          <w:szCs w:val="24"/>
          <w:vertAlign w:val="superscript"/>
        </w:rPr>
        <w:t>th</w:t>
      </w:r>
      <w:r w:rsidR="00CD46DF" w:rsidRPr="000E31A5">
        <w:rPr>
          <w:rFonts w:ascii="Century Schoolbook" w:eastAsia="Times New Roman" w:hAnsi="Century Schoolbook" w:cs="Times New Roman"/>
          <w:bCs/>
          <w:szCs w:val="24"/>
        </w:rPr>
        <w:t xml:space="preserve"> the Public Utilities Commission Staff issue</w:t>
      </w:r>
      <w:r w:rsidR="00665B58" w:rsidRPr="000E31A5">
        <w:rPr>
          <w:rFonts w:ascii="Century Schoolbook" w:eastAsia="Times New Roman" w:hAnsi="Century Schoolbook" w:cs="Times New Roman"/>
          <w:bCs/>
          <w:szCs w:val="24"/>
        </w:rPr>
        <w:t>d</w:t>
      </w:r>
      <w:r w:rsidR="00CD46DF" w:rsidRPr="000E31A5">
        <w:rPr>
          <w:rFonts w:ascii="Century Schoolbook" w:eastAsia="Times New Roman" w:hAnsi="Century Schoolbook" w:cs="Times New Roman"/>
          <w:bCs/>
          <w:szCs w:val="24"/>
        </w:rPr>
        <w:t xml:space="preserve"> Comments</w:t>
      </w:r>
      <w:r w:rsidR="00665B58" w:rsidRPr="000E31A5">
        <w:rPr>
          <w:rFonts w:ascii="Century Schoolbook" w:eastAsia="Times New Roman" w:hAnsi="Century Schoolbook" w:cs="Times New Roman"/>
          <w:bCs/>
          <w:szCs w:val="24"/>
        </w:rPr>
        <w:t xml:space="preserve"> recommending that the </w:t>
      </w:r>
      <w:r w:rsidR="00647A39" w:rsidRPr="000E31A5">
        <w:rPr>
          <w:rFonts w:ascii="Century Schoolbook" w:eastAsia="Times New Roman" w:hAnsi="Century Schoolbook" w:cs="Times New Roman"/>
          <w:bCs/>
          <w:szCs w:val="24"/>
        </w:rPr>
        <w:t>waiver be granted but for six months rather than the requested full year.</w:t>
      </w:r>
      <w:r w:rsidR="00866243" w:rsidRPr="000E31A5">
        <w:rPr>
          <w:rStyle w:val="FootnoteReference"/>
          <w:rFonts w:ascii="Century Schoolbook" w:eastAsia="Times New Roman" w:hAnsi="Century Schoolbook" w:cs="Times New Roman"/>
          <w:bCs/>
          <w:szCs w:val="24"/>
        </w:rPr>
        <w:footnoteReference w:id="4"/>
      </w:r>
      <w:r w:rsidR="00647A39" w:rsidRPr="000E31A5">
        <w:rPr>
          <w:rFonts w:ascii="Century Schoolbook" w:eastAsia="Times New Roman" w:hAnsi="Century Schoolbook" w:cs="Times New Roman"/>
          <w:bCs/>
          <w:szCs w:val="24"/>
        </w:rPr>
        <w:t xml:space="preserve"> </w:t>
      </w:r>
      <w:r w:rsidR="00902F75" w:rsidRPr="000E31A5">
        <w:rPr>
          <w:rFonts w:ascii="Century Schoolbook" w:eastAsia="Times New Roman" w:hAnsi="Century Schoolbook" w:cs="Times New Roman"/>
          <w:bCs/>
          <w:szCs w:val="24"/>
        </w:rPr>
        <w:t xml:space="preserve">Duke has not demonstrated any </w:t>
      </w:r>
      <w:r w:rsidR="00620C13" w:rsidRPr="000E31A5">
        <w:rPr>
          <w:rFonts w:ascii="Century Schoolbook" w:eastAsia="Times New Roman" w:hAnsi="Century Schoolbook" w:cs="Times New Roman"/>
          <w:bCs/>
          <w:szCs w:val="24"/>
        </w:rPr>
        <w:t xml:space="preserve">true need for an extension </w:t>
      </w:r>
      <w:r w:rsidR="00C84BA0" w:rsidRPr="000E31A5">
        <w:rPr>
          <w:rFonts w:ascii="Century Schoolbook" w:eastAsia="Times New Roman" w:hAnsi="Century Schoolbook" w:cs="Times New Roman"/>
          <w:bCs/>
          <w:szCs w:val="24"/>
        </w:rPr>
        <w:t>in order to comply with the</w:t>
      </w:r>
      <w:r w:rsidR="006A6351" w:rsidRPr="000E31A5">
        <w:rPr>
          <w:rFonts w:ascii="Century Schoolbook" w:eastAsia="Times New Roman" w:hAnsi="Century Schoolbook" w:cs="Times New Roman"/>
          <w:bCs/>
          <w:szCs w:val="24"/>
        </w:rPr>
        <w:t xml:space="preserve"> long-anticipated</w:t>
      </w:r>
      <w:r w:rsidR="002470E4" w:rsidRPr="000E31A5">
        <w:rPr>
          <w:rFonts w:ascii="Century Schoolbook" w:eastAsia="Times New Roman" w:hAnsi="Century Schoolbook" w:cs="Times New Roman"/>
          <w:bCs/>
          <w:szCs w:val="24"/>
        </w:rPr>
        <w:t xml:space="preserve"> rule</w:t>
      </w:r>
      <w:r w:rsidR="00396530">
        <w:rPr>
          <w:rFonts w:ascii="Century Schoolbook" w:eastAsia="Times New Roman" w:hAnsi="Century Schoolbook" w:cs="Times New Roman"/>
          <w:bCs/>
          <w:szCs w:val="24"/>
        </w:rPr>
        <w:t xml:space="preserve"> </w:t>
      </w:r>
      <w:r w:rsidR="002470E4" w:rsidRPr="000E31A5">
        <w:rPr>
          <w:rFonts w:ascii="Century Schoolbook" w:eastAsia="Times New Roman" w:hAnsi="Century Schoolbook" w:cs="Times New Roman"/>
          <w:bCs/>
          <w:szCs w:val="24"/>
        </w:rPr>
        <w:t>changes. Moreover</w:t>
      </w:r>
      <w:r w:rsidR="000C58D2" w:rsidRPr="000E31A5">
        <w:rPr>
          <w:rFonts w:ascii="Century Schoolbook" w:eastAsia="Times New Roman" w:hAnsi="Century Schoolbook" w:cs="Times New Roman"/>
          <w:bCs/>
          <w:szCs w:val="24"/>
        </w:rPr>
        <w:t>,</w:t>
      </w:r>
      <w:r w:rsidR="002470E4" w:rsidRPr="000E31A5">
        <w:rPr>
          <w:rFonts w:ascii="Century Schoolbook" w:eastAsia="Times New Roman" w:hAnsi="Century Schoolbook" w:cs="Times New Roman"/>
          <w:bCs/>
          <w:szCs w:val="24"/>
        </w:rPr>
        <w:t xml:space="preserve"> Duke</w:t>
      </w:r>
      <w:r w:rsidR="00117EF9" w:rsidRPr="000E31A5">
        <w:rPr>
          <w:rFonts w:ascii="Century Schoolbook" w:eastAsia="Times New Roman" w:hAnsi="Century Schoolbook" w:cs="Times New Roman"/>
          <w:bCs/>
          <w:szCs w:val="24"/>
        </w:rPr>
        <w:t>’s waiver request</w:t>
      </w:r>
      <w:r w:rsidR="00013BDE" w:rsidRPr="000E31A5">
        <w:rPr>
          <w:rFonts w:ascii="Century Schoolbook" w:eastAsia="Times New Roman" w:hAnsi="Century Schoolbook" w:cs="Times New Roman"/>
          <w:bCs/>
          <w:szCs w:val="24"/>
        </w:rPr>
        <w:t xml:space="preserve"> </w:t>
      </w:r>
      <w:r w:rsidR="00611AFC" w:rsidRPr="000E31A5">
        <w:rPr>
          <w:rFonts w:ascii="Century Schoolbook" w:eastAsia="Times New Roman" w:hAnsi="Century Schoolbook" w:cs="Times New Roman"/>
          <w:bCs/>
          <w:szCs w:val="24"/>
        </w:rPr>
        <w:t xml:space="preserve">provides no justification for continuing to </w:t>
      </w:r>
      <w:r w:rsidR="00611AFC" w:rsidRPr="000E31A5">
        <w:rPr>
          <w:rFonts w:ascii="Century Schoolbook" w:eastAsia="Times New Roman" w:hAnsi="Century Schoolbook" w:cs="Times New Roman"/>
          <w:bCs/>
          <w:szCs w:val="24"/>
        </w:rPr>
        <w:lastRenderedPageBreak/>
        <w:t xml:space="preserve">exclude other market participants </w:t>
      </w:r>
      <w:r w:rsidR="00F4184D" w:rsidRPr="000E31A5">
        <w:rPr>
          <w:rFonts w:ascii="Century Schoolbook" w:eastAsia="Times New Roman" w:hAnsi="Century Schoolbook" w:cs="Times New Roman"/>
          <w:bCs/>
          <w:szCs w:val="24"/>
        </w:rPr>
        <w:t xml:space="preserve">from the </w:t>
      </w:r>
      <w:r w:rsidR="00962B1E">
        <w:rPr>
          <w:rFonts w:ascii="Century Schoolbook" w:eastAsia="Times New Roman" w:hAnsi="Century Schoolbook" w:cs="Times New Roman"/>
          <w:bCs/>
          <w:szCs w:val="24"/>
        </w:rPr>
        <w:t xml:space="preserve">placing non-jurisdictional charges on the </w:t>
      </w:r>
      <w:r w:rsidR="00F4184D" w:rsidRPr="000E31A5">
        <w:rPr>
          <w:rFonts w:ascii="Century Schoolbook" w:eastAsia="Times New Roman" w:hAnsi="Century Schoolbook" w:cs="Times New Roman"/>
          <w:bCs/>
          <w:szCs w:val="24"/>
        </w:rPr>
        <w:t xml:space="preserve"> consolidated utility bill</w:t>
      </w:r>
      <w:r w:rsidR="00962B1E">
        <w:rPr>
          <w:rFonts w:ascii="Century Schoolbook" w:eastAsia="Times New Roman" w:hAnsi="Century Schoolbook" w:cs="Times New Roman"/>
          <w:bCs/>
          <w:szCs w:val="24"/>
        </w:rPr>
        <w:t>—c</w:t>
      </w:r>
      <w:r w:rsidR="00DE2FC2">
        <w:rPr>
          <w:rFonts w:ascii="Century Schoolbook" w:eastAsia="Times New Roman" w:hAnsi="Century Schoolbook" w:cs="Times New Roman"/>
          <w:bCs/>
          <w:szCs w:val="24"/>
        </w:rPr>
        <w:t>learly, Duke already has the capability</w:t>
      </w:r>
      <w:r w:rsidR="00962B1E">
        <w:rPr>
          <w:rFonts w:ascii="Century Schoolbook" w:eastAsia="Times New Roman" w:hAnsi="Century Schoolbook" w:cs="Times New Roman"/>
          <w:bCs/>
          <w:szCs w:val="24"/>
        </w:rPr>
        <w:t>, given that it has provided the service</w:t>
      </w:r>
      <w:r w:rsidR="00DE2FC2">
        <w:rPr>
          <w:rFonts w:ascii="Century Schoolbook" w:eastAsia="Times New Roman" w:hAnsi="Century Schoolbook" w:cs="Times New Roman"/>
          <w:bCs/>
          <w:szCs w:val="24"/>
        </w:rPr>
        <w:t xml:space="preserve"> to </w:t>
      </w:r>
      <w:r w:rsidR="00962B1E">
        <w:rPr>
          <w:rFonts w:ascii="Century Schoolbook" w:eastAsia="Times New Roman" w:hAnsi="Century Schoolbook" w:cs="Times New Roman"/>
          <w:bCs/>
          <w:szCs w:val="24"/>
        </w:rPr>
        <w:t>its affiliate for many years.</w:t>
      </w:r>
      <w:r w:rsidR="00DE2FC2">
        <w:rPr>
          <w:rFonts w:ascii="Century Schoolbook" w:eastAsia="Times New Roman" w:hAnsi="Century Schoolbook" w:cs="Times New Roman"/>
          <w:bCs/>
          <w:szCs w:val="24"/>
        </w:rPr>
        <w:t xml:space="preserve"> </w:t>
      </w:r>
      <w:r w:rsidR="00077653" w:rsidRPr="000E31A5">
        <w:rPr>
          <w:rFonts w:ascii="Century Schoolbook" w:eastAsia="Times New Roman" w:hAnsi="Century Schoolbook" w:cs="Times New Roman"/>
          <w:bCs/>
          <w:szCs w:val="24"/>
        </w:rPr>
        <w:t xml:space="preserve">The Commission should deny Duke’s waiver request </w:t>
      </w:r>
      <w:r w:rsidR="00A56F27" w:rsidRPr="000E31A5">
        <w:rPr>
          <w:rFonts w:ascii="Century Schoolbook" w:eastAsia="Times New Roman" w:hAnsi="Century Schoolbook" w:cs="Times New Roman"/>
          <w:bCs/>
          <w:szCs w:val="24"/>
        </w:rPr>
        <w:t xml:space="preserve">and </w:t>
      </w:r>
      <w:r w:rsidR="00AA5F06" w:rsidRPr="000E31A5">
        <w:rPr>
          <w:rFonts w:ascii="Century Schoolbook" w:eastAsia="Times New Roman" w:hAnsi="Century Schoolbook" w:cs="Times New Roman"/>
          <w:bCs/>
          <w:szCs w:val="24"/>
        </w:rPr>
        <w:t>instruct</w:t>
      </w:r>
      <w:r w:rsidR="00A56F27" w:rsidRPr="000E31A5">
        <w:rPr>
          <w:rFonts w:ascii="Century Schoolbook" w:eastAsia="Times New Roman" w:hAnsi="Century Schoolbook" w:cs="Times New Roman"/>
          <w:bCs/>
          <w:szCs w:val="24"/>
        </w:rPr>
        <w:t xml:space="preserve"> Duke to immediately comply with </w:t>
      </w:r>
      <w:r w:rsidR="00290F68" w:rsidRPr="000E31A5">
        <w:rPr>
          <w:rFonts w:ascii="Century Schoolbook" w:eastAsia="Times New Roman" w:hAnsi="Century Schoolbook" w:cs="Times New Roman"/>
          <w:bCs/>
          <w:szCs w:val="24"/>
        </w:rPr>
        <w:t xml:space="preserve">4901:1-10-33(A) by allowing </w:t>
      </w:r>
      <w:r w:rsidR="00B73D27" w:rsidRPr="000E31A5">
        <w:rPr>
          <w:rFonts w:ascii="Century Schoolbook" w:eastAsia="Times New Roman" w:hAnsi="Century Schoolbook" w:cs="Times New Roman"/>
          <w:bCs/>
          <w:szCs w:val="24"/>
        </w:rPr>
        <w:t>Competitive Retail Electric Service Suppliers (“CRES” or “CRES Suppliers”)</w:t>
      </w:r>
      <w:r w:rsidR="00AA5F50" w:rsidRPr="000E31A5">
        <w:rPr>
          <w:rFonts w:ascii="Century Schoolbook" w:eastAsia="Times New Roman" w:hAnsi="Century Schoolbook" w:cs="Times New Roman"/>
          <w:bCs/>
          <w:szCs w:val="24"/>
        </w:rPr>
        <w:t xml:space="preserve"> non-discriminatory access to consolidated utility bills</w:t>
      </w:r>
      <w:r w:rsidR="00290F68" w:rsidRPr="000E31A5">
        <w:rPr>
          <w:rFonts w:ascii="Century Schoolbook" w:eastAsia="Times New Roman" w:hAnsi="Century Schoolbook" w:cs="Times New Roman"/>
          <w:bCs/>
          <w:szCs w:val="24"/>
        </w:rPr>
        <w:t>.</w:t>
      </w:r>
    </w:p>
    <w:p w14:paraId="335F02A5" w14:textId="10ED84A8" w:rsidR="00D9496E" w:rsidRPr="000E31A5" w:rsidRDefault="00C21E5A" w:rsidP="002931C9">
      <w:pPr>
        <w:spacing w:line="480" w:lineRule="auto"/>
        <w:ind w:right="0"/>
        <w:jc w:val="both"/>
        <w:rPr>
          <w:rFonts w:ascii="Century Schoolbook" w:hAnsi="Century Schoolbook" w:cs="Times New Roman"/>
          <w:b/>
          <w:szCs w:val="24"/>
        </w:rPr>
      </w:pPr>
      <w:r w:rsidRPr="000E31A5">
        <w:rPr>
          <w:rFonts w:ascii="Century Schoolbook" w:hAnsi="Century Schoolbook" w:cs="Times New Roman"/>
          <w:b/>
          <w:szCs w:val="24"/>
        </w:rPr>
        <w:t>Background</w:t>
      </w:r>
    </w:p>
    <w:p w14:paraId="7DA4AB5A" w14:textId="11A0DFCC" w:rsidR="00AD0C84" w:rsidRPr="000E31A5" w:rsidRDefault="00C21E5A" w:rsidP="002931C9">
      <w:pPr>
        <w:spacing w:line="480" w:lineRule="auto"/>
        <w:ind w:right="0"/>
        <w:jc w:val="both"/>
        <w:rPr>
          <w:rFonts w:ascii="Century Schoolbook" w:hAnsi="Century Schoolbook" w:cs="Times New Roman"/>
          <w:bCs/>
          <w:szCs w:val="24"/>
        </w:rPr>
      </w:pPr>
      <w:r w:rsidRPr="000E31A5">
        <w:rPr>
          <w:rFonts w:ascii="Century Schoolbook" w:hAnsi="Century Schoolbook" w:cs="Times New Roman"/>
          <w:bCs/>
          <w:szCs w:val="24"/>
        </w:rPr>
        <w:tab/>
      </w:r>
      <w:r w:rsidR="009F7150" w:rsidRPr="000E31A5">
        <w:rPr>
          <w:rFonts w:ascii="Century Schoolbook" w:hAnsi="Century Schoolbook" w:cs="Times New Roman"/>
          <w:bCs/>
          <w:szCs w:val="24"/>
        </w:rPr>
        <w:t xml:space="preserve">The issue of discriminatory and unfair use of the </w:t>
      </w:r>
      <w:r w:rsidR="00EF5A56" w:rsidRPr="000E31A5">
        <w:rPr>
          <w:rFonts w:ascii="Century Schoolbook" w:hAnsi="Century Schoolbook" w:cs="Times New Roman"/>
          <w:bCs/>
          <w:szCs w:val="24"/>
        </w:rPr>
        <w:t>utility consolidated bill for non-jurisdictional services was heavily discussed d</w:t>
      </w:r>
      <w:r w:rsidR="00170C79" w:rsidRPr="000E31A5">
        <w:rPr>
          <w:rFonts w:ascii="Century Schoolbook" w:hAnsi="Century Schoolbook" w:cs="Times New Roman"/>
          <w:bCs/>
          <w:szCs w:val="24"/>
        </w:rPr>
        <w:t xml:space="preserve">uring the </w:t>
      </w:r>
      <w:r w:rsidR="009F7150" w:rsidRPr="000E31A5">
        <w:rPr>
          <w:rFonts w:ascii="Century Schoolbook" w:hAnsi="Century Schoolbook" w:cs="Times New Roman"/>
          <w:bCs/>
          <w:szCs w:val="24"/>
        </w:rPr>
        <w:t>last</w:t>
      </w:r>
      <w:r w:rsidR="00170C79" w:rsidRPr="000E31A5">
        <w:rPr>
          <w:rFonts w:ascii="Century Schoolbook" w:hAnsi="Century Schoolbook" w:cs="Times New Roman"/>
          <w:bCs/>
          <w:szCs w:val="24"/>
        </w:rPr>
        <w:t xml:space="preserve"> review </w:t>
      </w:r>
      <w:r w:rsidR="006E3CA1" w:rsidRPr="000E31A5">
        <w:rPr>
          <w:rFonts w:ascii="Century Schoolbook" w:hAnsi="Century Schoolbook" w:cs="Times New Roman"/>
          <w:bCs/>
          <w:szCs w:val="24"/>
        </w:rPr>
        <w:t>of the rules pertaining to standards of electric distribution utilities</w:t>
      </w:r>
      <w:r w:rsidR="00EF5A56" w:rsidRPr="000E31A5">
        <w:rPr>
          <w:rFonts w:ascii="Century Schoolbook" w:hAnsi="Century Schoolbook" w:cs="Times New Roman"/>
          <w:bCs/>
          <w:szCs w:val="24"/>
        </w:rPr>
        <w:t>.</w:t>
      </w:r>
      <w:r w:rsidR="00EF5A56" w:rsidRPr="000E31A5">
        <w:rPr>
          <w:rStyle w:val="FootnoteReference"/>
          <w:rFonts w:ascii="Century Schoolbook" w:hAnsi="Century Schoolbook" w:cs="Times New Roman"/>
          <w:bCs/>
          <w:szCs w:val="24"/>
        </w:rPr>
        <w:footnoteReference w:id="5"/>
      </w:r>
      <w:r w:rsidR="006E3CA1" w:rsidRPr="000E31A5">
        <w:rPr>
          <w:rFonts w:ascii="Century Schoolbook" w:hAnsi="Century Schoolbook" w:cs="Times New Roman"/>
          <w:bCs/>
          <w:szCs w:val="24"/>
        </w:rPr>
        <w:t xml:space="preserve"> </w:t>
      </w:r>
      <w:r w:rsidR="0087770C" w:rsidRPr="000E31A5">
        <w:rPr>
          <w:rFonts w:ascii="Century Schoolbook" w:hAnsi="Century Schoolbook" w:cs="Times New Roman"/>
          <w:bCs/>
          <w:szCs w:val="24"/>
        </w:rPr>
        <w:t xml:space="preserve">Ultimately the Commission </w:t>
      </w:r>
      <w:r w:rsidR="00CC38CD" w:rsidRPr="000E31A5">
        <w:rPr>
          <w:rFonts w:ascii="Century Schoolbook" w:hAnsi="Century Schoolbook" w:cs="Times New Roman"/>
          <w:bCs/>
          <w:szCs w:val="24"/>
        </w:rPr>
        <w:t>determined that</w:t>
      </w:r>
      <w:r w:rsidR="001E5FEC" w:rsidRPr="000E31A5">
        <w:rPr>
          <w:rFonts w:ascii="Century Schoolbook" w:hAnsi="Century Schoolbook" w:cs="Times New Roman"/>
          <w:bCs/>
          <w:szCs w:val="24"/>
        </w:rPr>
        <w:t xml:space="preserve"> open and nondiscriminatory</w:t>
      </w:r>
      <w:r w:rsidR="00161D53" w:rsidRPr="000E31A5">
        <w:rPr>
          <w:rFonts w:ascii="Century Schoolbook" w:hAnsi="Century Schoolbook" w:cs="Times New Roman"/>
          <w:bCs/>
          <w:szCs w:val="24"/>
        </w:rPr>
        <w:t xml:space="preserve"> </w:t>
      </w:r>
      <w:r w:rsidR="0074418D" w:rsidRPr="000E31A5">
        <w:rPr>
          <w:rFonts w:ascii="Century Schoolbook" w:hAnsi="Century Schoolbook" w:cs="Times New Roman"/>
          <w:bCs/>
          <w:szCs w:val="24"/>
        </w:rPr>
        <w:t xml:space="preserve">access to consolidated utility bills </w:t>
      </w:r>
      <w:r w:rsidR="001E4504" w:rsidRPr="000E31A5">
        <w:rPr>
          <w:rFonts w:ascii="Century Schoolbook" w:hAnsi="Century Schoolbook" w:cs="Times New Roman"/>
          <w:bCs/>
          <w:szCs w:val="24"/>
        </w:rPr>
        <w:t xml:space="preserve">was necessary </w:t>
      </w:r>
      <w:r w:rsidR="0095190A" w:rsidRPr="000E31A5">
        <w:rPr>
          <w:rFonts w:ascii="Century Schoolbook" w:hAnsi="Century Schoolbook" w:cs="Times New Roman"/>
          <w:bCs/>
          <w:szCs w:val="24"/>
        </w:rPr>
        <w:t>in order to promote fairness among all parties.</w:t>
      </w:r>
      <w:r w:rsidR="0095190A" w:rsidRPr="000E31A5">
        <w:rPr>
          <w:rStyle w:val="FootnoteReference"/>
          <w:rFonts w:ascii="Century Schoolbook" w:hAnsi="Century Schoolbook" w:cs="Times New Roman"/>
          <w:bCs/>
          <w:szCs w:val="24"/>
        </w:rPr>
        <w:footnoteReference w:id="6"/>
      </w:r>
      <w:r w:rsidR="00D713FC" w:rsidRPr="000E31A5">
        <w:rPr>
          <w:rFonts w:ascii="Century Schoolbook" w:hAnsi="Century Schoolbook" w:cs="Times New Roman"/>
          <w:bCs/>
          <w:szCs w:val="24"/>
        </w:rPr>
        <w:t xml:space="preserve"> </w:t>
      </w:r>
      <w:r w:rsidR="00D5034E" w:rsidRPr="000E31A5">
        <w:rPr>
          <w:rFonts w:ascii="Century Schoolbook" w:hAnsi="Century Schoolbook" w:cs="Times New Roman"/>
          <w:bCs/>
          <w:szCs w:val="24"/>
        </w:rPr>
        <w:t>The rule the Commission chose to adopt</w:t>
      </w:r>
      <w:r w:rsidR="004A6DE1" w:rsidRPr="000E31A5">
        <w:rPr>
          <w:rFonts w:ascii="Century Schoolbook" w:hAnsi="Century Schoolbook" w:cs="Times New Roman"/>
          <w:bCs/>
          <w:szCs w:val="24"/>
        </w:rPr>
        <w:t xml:space="preserve"> dictates that </w:t>
      </w:r>
      <w:r w:rsidR="009278FE">
        <w:rPr>
          <w:rFonts w:ascii="Century Schoolbook" w:hAnsi="Century Schoolbook" w:cs="Times New Roman"/>
          <w:bCs/>
          <w:szCs w:val="24"/>
        </w:rPr>
        <w:t>“</w:t>
      </w:r>
      <w:r w:rsidR="004A6DE1" w:rsidRPr="000E31A5">
        <w:rPr>
          <w:rFonts w:ascii="Century Schoolbook" w:hAnsi="Century Schoolbook" w:cs="Times New Roman"/>
          <w:bCs/>
          <w:szCs w:val="24"/>
        </w:rPr>
        <w:t xml:space="preserve">an electric utility </w:t>
      </w:r>
      <w:r w:rsidR="004A6DE1" w:rsidRPr="0056640E">
        <w:rPr>
          <w:rFonts w:ascii="Century Schoolbook" w:hAnsi="Century Schoolbook" w:cs="Times New Roman"/>
          <w:bCs/>
          <w:i/>
          <w:iCs/>
          <w:szCs w:val="24"/>
        </w:rPr>
        <w:t>cannot</w:t>
      </w:r>
      <w:r w:rsidR="004A6DE1" w:rsidRPr="000E31A5">
        <w:rPr>
          <w:rFonts w:ascii="Century Schoolbook" w:hAnsi="Century Schoolbook" w:cs="Times New Roman"/>
          <w:bCs/>
          <w:szCs w:val="24"/>
        </w:rPr>
        <w:t xml:space="preserve"> discriminate </w:t>
      </w:r>
      <w:r w:rsidR="004A6DE1" w:rsidRPr="0056640E">
        <w:rPr>
          <w:rFonts w:ascii="Century Schoolbook" w:hAnsi="Century Schoolbook" w:cs="Times New Roman"/>
          <w:bCs/>
          <w:i/>
          <w:iCs/>
          <w:szCs w:val="24"/>
        </w:rPr>
        <w:t>or</w:t>
      </w:r>
      <w:r w:rsidR="004A6DE1" w:rsidRPr="000E31A5">
        <w:rPr>
          <w:rFonts w:ascii="Century Schoolbook" w:hAnsi="Century Schoolbook" w:cs="Times New Roman"/>
          <w:bCs/>
          <w:szCs w:val="24"/>
        </w:rPr>
        <w:t xml:space="preserve"> unduly restrict</w:t>
      </w:r>
      <w:r w:rsidR="006B6F48">
        <w:rPr>
          <w:rFonts w:ascii="Century Schoolbook" w:hAnsi="Century Schoolbook" w:cs="Times New Roman"/>
          <w:bCs/>
          <w:szCs w:val="24"/>
        </w:rPr>
        <w:t>”</w:t>
      </w:r>
      <w:r w:rsidR="004A6DE1" w:rsidRPr="000E31A5">
        <w:rPr>
          <w:rFonts w:ascii="Century Schoolbook" w:hAnsi="Century Schoolbook" w:cs="Times New Roman"/>
          <w:bCs/>
          <w:szCs w:val="24"/>
        </w:rPr>
        <w:t xml:space="preserve"> a customer’s CRES provider from including non-jurisdictional charges</w:t>
      </w:r>
      <w:r w:rsidR="0051465A" w:rsidRPr="000E31A5">
        <w:rPr>
          <w:rFonts w:ascii="Century Schoolbook" w:hAnsi="Century Schoolbook" w:cs="Times New Roman"/>
          <w:bCs/>
          <w:szCs w:val="24"/>
        </w:rPr>
        <w:t xml:space="preserve"> on the utility bill.</w:t>
      </w:r>
      <w:r w:rsidR="006B6F48">
        <w:rPr>
          <w:rStyle w:val="FootnoteReference"/>
          <w:rFonts w:ascii="Century Schoolbook" w:hAnsi="Century Schoolbook" w:cs="Times New Roman"/>
          <w:bCs/>
          <w:szCs w:val="24"/>
        </w:rPr>
        <w:footnoteReference w:id="7"/>
      </w:r>
      <w:r w:rsidR="0051465A" w:rsidRPr="000E31A5">
        <w:rPr>
          <w:rFonts w:ascii="Century Schoolbook" w:hAnsi="Century Schoolbook" w:cs="Times New Roman"/>
          <w:bCs/>
          <w:szCs w:val="24"/>
        </w:rPr>
        <w:t xml:space="preserve"> </w:t>
      </w:r>
    </w:p>
    <w:p w14:paraId="30A0CEF0" w14:textId="3610297C" w:rsidR="00F64912" w:rsidRPr="000E31A5" w:rsidRDefault="00F64912" w:rsidP="002931C9">
      <w:pPr>
        <w:spacing w:line="480" w:lineRule="auto"/>
        <w:ind w:right="0"/>
        <w:jc w:val="both"/>
        <w:rPr>
          <w:rFonts w:ascii="Century Schoolbook" w:hAnsi="Century Schoolbook" w:cs="Times New Roman"/>
        </w:rPr>
      </w:pPr>
      <w:r w:rsidRPr="000E31A5">
        <w:rPr>
          <w:rFonts w:ascii="Century Schoolbook" w:hAnsi="Century Schoolbook" w:cs="Times New Roman"/>
          <w:bCs/>
          <w:szCs w:val="24"/>
        </w:rPr>
        <w:tab/>
      </w:r>
      <w:r w:rsidR="00E86D33" w:rsidRPr="77122080">
        <w:rPr>
          <w:rFonts w:ascii="Century Schoolbook" w:hAnsi="Century Schoolbook" w:cs="Times New Roman"/>
        </w:rPr>
        <w:t>On</w:t>
      </w:r>
      <w:r w:rsidRPr="77122080">
        <w:rPr>
          <w:rFonts w:ascii="Century Schoolbook" w:hAnsi="Century Schoolbook" w:cs="Times New Roman"/>
        </w:rPr>
        <w:t xml:space="preserve"> rehearing</w:t>
      </w:r>
      <w:r w:rsidR="00A540FD" w:rsidRPr="77122080">
        <w:rPr>
          <w:rFonts w:ascii="Century Schoolbook" w:hAnsi="Century Schoolbook" w:cs="Times New Roman"/>
        </w:rPr>
        <w:t>,</w:t>
      </w:r>
      <w:r w:rsidR="00380DB2" w:rsidRPr="77122080">
        <w:rPr>
          <w:rFonts w:ascii="Century Schoolbook" w:hAnsi="Century Schoolbook" w:cs="Times New Roman"/>
        </w:rPr>
        <w:t xml:space="preserve"> The Commission rejected </w:t>
      </w:r>
      <w:r w:rsidR="007314F2" w:rsidRPr="77122080">
        <w:rPr>
          <w:rFonts w:ascii="Century Schoolbook" w:hAnsi="Century Schoolbook" w:cs="Times New Roman"/>
        </w:rPr>
        <w:t xml:space="preserve">the </w:t>
      </w:r>
      <w:r w:rsidR="007314F2" w:rsidRPr="77122080">
        <w:rPr>
          <w:rFonts w:ascii="Century Schoolbook" w:hAnsi="Century Schoolbook" w:cs="Times New Roman"/>
        </w:rPr>
        <w:lastRenderedPageBreak/>
        <w:t>E</w:t>
      </w:r>
      <w:r w:rsidR="00FC359F">
        <w:rPr>
          <w:rFonts w:ascii="Century Schoolbook" w:hAnsi="Century Schoolbook" w:cs="Times New Roman"/>
        </w:rPr>
        <w:t>lectric Dist</w:t>
      </w:r>
      <w:r w:rsidR="004C765A">
        <w:rPr>
          <w:rFonts w:ascii="Century Schoolbook" w:hAnsi="Century Schoolbook" w:cs="Times New Roman"/>
        </w:rPr>
        <w:t>ribution Utilit</w:t>
      </w:r>
      <w:r w:rsidR="001B12AC">
        <w:rPr>
          <w:rFonts w:ascii="Century Schoolbook" w:hAnsi="Century Schoolbook" w:cs="Times New Roman"/>
        </w:rPr>
        <w:t>y</w:t>
      </w:r>
      <w:r w:rsidR="001D6159">
        <w:rPr>
          <w:rFonts w:ascii="Century Schoolbook" w:hAnsi="Century Schoolbook" w:cs="Times New Roman"/>
        </w:rPr>
        <w:t>’s</w:t>
      </w:r>
      <w:r w:rsidR="001B12AC">
        <w:rPr>
          <w:rFonts w:ascii="Century Schoolbook" w:hAnsi="Century Schoolbook" w:cs="Times New Roman"/>
        </w:rPr>
        <w:t xml:space="preserve"> (</w:t>
      </w:r>
      <w:r w:rsidR="00030F1E">
        <w:rPr>
          <w:rFonts w:ascii="Century Schoolbook" w:hAnsi="Century Schoolbook" w:cs="Times New Roman"/>
        </w:rPr>
        <w:t>“</w:t>
      </w:r>
      <w:r w:rsidR="001B12AC">
        <w:rPr>
          <w:rFonts w:ascii="Century Schoolbook" w:hAnsi="Century Schoolbook" w:cs="Times New Roman"/>
        </w:rPr>
        <w:t>E</w:t>
      </w:r>
      <w:r w:rsidR="007314F2" w:rsidRPr="77122080">
        <w:rPr>
          <w:rFonts w:ascii="Century Schoolbook" w:hAnsi="Century Schoolbook" w:cs="Times New Roman"/>
        </w:rPr>
        <w:t>D</w:t>
      </w:r>
      <w:r w:rsidR="001B12AC">
        <w:rPr>
          <w:rFonts w:ascii="Century Schoolbook" w:hAnsi="Century Schoolbook" w:cs="Times New Roman"/>
        </w:rPr>
        <w:t>U</w:t>
      </w:r>
      <w:r w:rsidR="00030F1E">
        <w:rPr>
          <w:rFonts w:ascii="Century Schoolbook" w:hAnsi="Century Schoolbook" w:cs="Times New Roman"/>
        </w:rPr>
        <w:t>”)</w:t>
      </w:r>
      <w:r w:rsidR="00380DB2" w:rsidRPr="77122080">
        <w:rPr>
          <w:rFonts w:ascii="Century Schoolbook" w:hAnsi="Century Schoolbook" w:cs="Times New Roman"/>
        </w:rPr>
        <w:t xml:space="preserve"> </w:t>
      </w:r>
      <w:r w:rsidR="005F33DC" w:rsidRPr="77122080">
        <w:rPr>
          <w:rFonts w:ascii="Century Schoolbook" w:hAnsi="Century Schoolbook" w:cs="Times New Roman"/>
        </w:rPr>
        <w:t xml:space="preserve">requests </w:t>
      </w:r>
      <w:r w:rsidR="00A540FD" w:rsidRPr="77122080">
        <w:rPr>
          <w:rFonts w:ascii="Century Schoolbook" w:hAnsi="Century Schoolbook" w:cs="Times New Roman"/>
        </w:rPr>
        <w:t xml:space="preserve">to </w:t>
      </w:r>
      <w:r w:rsidR="00170A0C" w:rsidRPr="77122080">
        <w:rPr>
          <w:rFonts w:ascii="Century Schoolbook" w:hAnsi="Century Schoolbook" w:cs="Times New Roman"/>
        </w:rPr>
        <w:t>water down the Commissions’ requirement</w:t>
      </w:r>
      <w:r w:rsidR="00A540FD" w:rsidRPr="77122080">
        <w:rPr>
          <w:rFonts w:ascii="Century Schoolbook" w:hAnsi="Century Schoolbook" w:cs="Times New Roman"/>
        </w:rPr>
        <w:t xml:space="preserve"> </w:t>
      </w:r>
      <w:r w:rsidR="002A1710" w:rsidRPr="77122080">
        <w:rPr>
          <w:rFonts w:ascii="Century Schoolbook" w:hAnsi="Century Schoolbook" w:cs="Times New Roman"/>
        </w:rPr>
        <w:t xml:space="preserve">for </w:t>
      </w:r>
      <w:r w:rsidR="00D76B36" w:rsidRPr="77122080">
        <w:rPr>
          <w:rFonts w:ascii="Century Schoolbook" w:hAnsi="Century Schoolbook" w:cs="Times New Roman"/>
        </w:rPr>
        <w:t xml:space="preserve">access, </w:t>
      </w:r>
      <w:r w:rsidR="00BF2569" w:rsidRPr="77122080">
        <w:rPr>
          <w:rFonts w:ascii="Century Schoolbook" w:hAnsi="Century Schoolbook" w:cs="Times New Roman"/>
        </w:rPr>
        <w:t>specifically rejecting the EDUs’</w:t>
      </w:r>
      <w:r w:rsidR="00D76B36" w:rsidRPr="77122080">
        <w:rPr>
          <w:rFonts w:ascii="Century Schoolbook" w:hAnsi="Century Schoolbook" w:cs="Times New Roman"/>
        </w:rPr>
        <w:t xml:space="preserve"> </w:t>
      </w:r>
      <w:r w:rsidR="001D6159">
        <w:rPr>
          <w:rFonts w:ascii="Century Schoolbook" w:hAnsi="Century Schoolbook" w:cs="Times New Roman"/>
        </w:rPr>
        <w:t xml:space="preserve">attempt </w:t>
      </w:r>
      <w:r w:rsidR="00D76B36" w:rsidRPr="77122080">
        <w:rPr>
          <w:rFonts w:ascii="Century Schoolbook" w:hAnsi="Century Schoolbook" w:cs="Times New Roman"/>
        </w:rPr>
        <w:t>to</w:t>
      </w:r>
      <w:r w:rsidR="00A540FD" w:rsidRPr="77122080">
        <w:rPr>
          <w:rFonts w:ascii="Century Schoolbook" w:hAnsi="Century Schoolbook" w:cs="Times New Roman"/>
        </w:rPr>
        <w:t xml:space="preserve"> insert the word “unreasonably”</w:t>
      </w:r>
      <w:r w:rsidR="00813D6F">
        <w:rPr>
          <w:rFonts w:ascii="Century Schoolbook" w:hAnsi="Century Schoolbook" w:cs="Times New Roman"/>
        </w:rPr>
        <w:t xml:space="preserve"> before the word</w:t>
      </w:r>
      <w:r w:rsidR="00A540FD" w:rsidRPr="77122080">
        <w:rPr>
          <w:rFonts w:ascii="Century Schoolbook" w:hAnsi="Century Schoolbook" w:cs="Times New Roman"/>
        </w:rPr>
        <w:t xml:space="preserve"> </w:t>
      </w:r>
      <w:r w:rsidR="00D76B36" w:rsidRPr="77122080">
        <w:rPr>
          <w:rFonts w:ascii="Century Schoolbook" w:hAnsi="Century Schoolbook" w:cs="Times New Roman"/>
        </w:rPr>
        <w:t>restrict</w:t>
      </w:r>
      <w:r w:rsidR="00A540FD" w:rsidRPr="77122080">
        <w:rPr>
          <w:rFonts w:ascii="Century Schoolbook" w:hAnsi="Century Schoolbook" w:cs="Times New Roman"/>
        </w:rPr>
        <w:t xml:space="preserve"> so that the new rule would</w:t>
      </w:r>
      <w:r w:rsidR="00DA0BBB" w:rsidRPr="77122080">
        <w:rPr>
          <w:rFonts w:ascii="Century Schoolbook" w:hAnsi="Century Schoolbook" w:cs="Times New Roman"/>
        </w:rPr>
        <w:t xml:space="preserve"> not have barred discrimination of bill access unless it was determined to be unreasonable.</w:t>
      </w:r>
      <w:r w:rsidR="009818FC" w:rsidRPr="77122080">
        <w:rPr>
          <w:rStyle w:val="FootnoteReference"/>
          <w:rFonts w:ascii="Century Schoolbook" w:hAnsi="Century Schoolbook" w:cs="Times New Roman"/>
        </w:rPr>
        <w:footnoteReference w:id="8"/>
      </w:r>
      <w:r w:rsidR="008C6407" w:rsidRPr="77122080">
        <w:rPr>
          <w:rFonts w:ascii="Century Schoolbook" w:hAnsi="Century Schoolbook" w:cs="Times New Roman"/>
        </w:rPr>
        <w:t xml:space="preserve"> </w:t>
      </w:r>
      <w:r w:rsidR="00A540FD" w:rsidRPr="77122080">
        <w:rPr>
          <w:rFonts w:ascii="Century Schoolbook" w:hAnsi="Century Schoolbook" w:cs="Times New Roman"/>
        </w:rPr>
        <w:t xml:space="preserve"> </w:t>
      </w:r>
      <w:r w:rsidR="007178FA" w:rsidRPr="77122080">
        <w:rPr>
          <w:rFonts w:ascii="Century Schoolbook" w:hAnsi="Century Schoolbook" w:cs="Times New Roman"/>
        </w:rPr>
        <w:t xml:space="preserve">The new rule became effective on November 1, 2021. </w:t>
      </w:r>
    </w:p>
    <w:p w14:paraId="1C764FAE" w14:textId="07680789" w:rsidR="002B3F79" w:rsidRDefault="00732CB6" w:rsidP="002931C9">
      <w:pPr>
        <w:spacing w:line="480" w:lineRule="auto"/>
        <w:ind w:right="0"/>
        <w:jc w:val="both"/>
        <w:rPr>
          <w:rFonts w:ascii="Century Schoolbook" w:hAnsi="Century Schoolbook" w:cs="Times New Roman"/>
          <w:bCs/>
          <w:szCs w:val="24"/>
        </w:rPr>
      </w:pPr>
      <w:r w:rsidRPr="000E31A5">
        <w:rPr>
          <w:rFonts w:ascii="Century Schoolbook" w:hAnsi="Century Schoolbook" w:cs="Times New Roman"/>
          <w:bCs/>
          <w:szCs w:val="24"/>
        </w:rPr>
        <w:tab/>
        <w:t>The same day that the rule change became effective, Duke filed the application in this case seeking a full year waiver of the rules</w:t>
      </w:r>
      <w:r w:rsidR="000105D6" w:rsidRPr="000E31A5">
        <w:rPr>
          <w:rFonts w:ascii="Century Schoolbook" w:hAnsi="Century Schoolbook" w:cs="Times New Roman"/>
          <w:bCs/>
          <w:szCs w:val="24"/>
        </w:rPr>
        <w:t xml:space="preserve"> which would allow Duke to continue offering discriminatory service to its affiliate</w:t>
      </w:r>
      <w:r w:rsidR="009245C8" w:rsidRPr="000E31A5">
        <w:rPr>
          <w:rFonts w:ascii="Century Schoolbook" w:hAnsi="Century Schoolbook" w:cs="Times New Roman"/>
          <w:bCs/>
          <w:szCs w:val="24"/>
        </w:rPr>
        <w:t xml:space="preserve"> while continuing to bar any non-jurisdictional CRES charge.</w:t>
      </w:r>
      <w:r w:rsidR="00A4273F" w:rsidRPr="000E31A5">
        <w:rPr>
          <w:rStyle w:val="FootnoteReference"/>
          <w:rFonts w:ascii="Century Schoolbook" w:hAnsi="Century Schoolbook" w:cs="Times New Roman"/>
          <w:bCs/>
          <w:szCs w:val="24"/>
        </w:rPr>
        <w:footnoteReference w:id="9"/>
      </w:r>
      <w:r w:rsidR="00271DF3" w:rsidRPr="000E31A5">
        <w:rPr>
          <w:rFonts w:ascii="Century Schoolbook" w:hAnsi="Century Schoolbook" w:cs="Times New Roman"/>
          <w:bCs/>
          <w:szCs w:val="24"/>
        </w:rPr>
        <w:t xml:space="preserve"> Duke states in its Application that it eventually plans to comply with the</w:t>
      </w:r>
      <w:r w:rsidR="00724F93" w:rsidRPr="000E31A5">
        <w:rPr>
          <w:rFonts w:ascii="Century Schoolbook" w:hAnsi="Century Schoolbook" w:cs="Times New Roman"/>
          <w:bCs/>
          <w:szCs w:val="24"/>
        </w:rPr>
        <w:t xml:space="preserve"> new</w:t>
      </w:r>
      <w:r w:rsidR="00271DF3" w:rsidRPr="000E31A5">
        <w:rPr>
          <w:rFonts w:ascii="Century Schoolbook" w:hAnsi="Century Schoolbook" w:cs="Times New Roman"/>
          <w:bCs/>
          <w:szCs w:val="24"/>
        </w:rPr>
        <w:t xml:space="preserve"> rules by ending </w:t>
      </w:r>
      <w:r w:rsidR="00724F93" w:rsidRPr="000E31A5">
        <w:rPr>
          <w:rFonts w:ascii="Century Schoolbook" w:hAnsi="Century Schoolbook" w:cs="Times New Roman"/>
          <w:bCs/>
          <w:szCs w:val="24"/>
        </w:rPr>
        <w:t>all non-jurisdictional charges on its consolidated bills</w:t>
      </w:r>
      <w:r w:rsidR="000173B5" w:rsidRPr="000E31A5">
        <w:rPr>
          <w:rFonts w:ascii="Century Schoolbook" w:hAnsi="Century Schoolbook" w:cs="Times New Roman"/>
          <w:bCs/>
          <w:szCs w:val="24"/>
        </w:rPr>
        <w:t xml:space="preserve"> and thus removing </w:t>
      </w:r>
      <w:r w:rsidR="005803F8" w:rsidRPr="000E31A5">
        <w:rPr>
          <w:rFonts w:ascii="Century Schoolbook" w:hAnsi="Century Schoolbook" w:cs="Times New Roman"/>
          <w:bCs/>
          <w:szCs w:val="24"/>
        </w:rPr>
        <w:t>unfair prejudice towards its affiliate</w:t>
      </w:r>
      <w:r w:rsidR="00AA28E2" w:rsidRPr="000E31A5">
        <w:rPr>
          <w:rFonts w:ascii="Century Schoolbook" w:hAnsi="Century Schoolbook" w:cs="Times New Roman"/>
          <w:bCs/>
          <w:szCs w:val="24"/>
        </w:rPr>
        <w:t>.</w:t>
      </w:r>
      <w:r w:rsidR="00AA28E2" w:rsidRPr="000E31A5">
        <w:rPr>
          <w:rStyle w:val="FootnoteReference"/>
          <w:rFonts w:ascii="Century Schoolbook" w:hAnsi="Century Schoolbook" w:cs="Times New Roman"/>
          <w:bCs/>
          <w:szCs w:val="24"/>
        </w:rPr>
        <w:footnoteReference w:id="10"/>
      </w:r>
      <w:r w:rsidR="000173B5" w:rsidRPr="000E31A5">
        <w:rPr>
          <w:rFonts w:ascii="Century Schoolbook" w:hAnsi="Century Schoolbook" w:cs="Times New Roman"/>
          <w:bCs/>
          <w:szCs w:val="24"/>
        </w:rPr>
        <w:t xml:space="preserve"> Duke did not address </w:t>
      </w:r>
      <w:r w:rsidR="0079212E" w:rsidRPr="000E31A5">
        <w:rPr>
          <w:rFonts w:ascii="Century Schoolbook" w:hAnsi="Century Schoolbook" w:cs="Times New Roman"/>
          <w:bCs/>
          <w:szCs w:val="24"/>
        </w:rPr>
        <w:t>how it plans to comply with the second part of the rule which explic</w:t>
      </w:r>
      <w:r w:rsidR="00C14937" w:rsidRPr="000E31A5">
        <w:rPr>
          <w:rFonts w:ascii="Century Schoolbook" w:hAnsi="Century Schoolbook" w:cs="Times New Roman"/>
          <w:bCs/>
          <w:szCs w:val="24"/>
        </w:rPr>
        <w:t>itly prohibits</w:t>
      </w:r>
      <w:r w:rsidR="0079212E" w:rsidRPr="000E31A5">
        <w:rPr>
          <w:rFonts w:ascii="Century Schoolbook" w:hAnsi="Century Schoolbook" w:cs="Times New Roman"/>
          <w:bCs/>
          <w:szCs w:val="24"/>
        </w:rPr>
        <w:t xml:space="preserve"> undu</w:t>
      </w:r>
      <w:r w:rsidR="00C14937" w:rsidRPr="000E31A5">
        <w:rPr>
          <w:rFonts w:ascii="Century Schoolbook" w:hAnsi="Century Schoolbook" w:cs="Times New Roman"/>
          <w:bCs/>
          <w:szCs w:val="24"/>
        </w:rPr>
        <w:t>e</w:t>
      </w:r>
      <w:r w:rsidR="0079212E" w:rsidRPr="000E31A5">
        <w:rPr>
          <w:rFonts w:ascii="Century Schoolbook" w:hAnsi="Century Schoolbook" w:cs="Times New Roman"/>
          <w:bCs/>
          <w:szCs w:val="24"/>
        </w:rPr>
        <w:t xml:space="preserve"> restrict</w:t>
      </w:r>
      <w:r w:rsidR="00C14937" w:rsidRPr="000E31A5">
        <w:rPr>
          <w:rFonts w:ascii="Century Schoolbook" w:hAnsi="Century Schoolbook" w:cs="Times New Roman"/>
          <w:bCs/>
          <w:szCs w:val="24"/>
        </w:rPr>
        <w:t>ions</w:t>
      </w:r>
      <w:r w:rsidR="0079212E" w:rsidRPr="000E31A5">
        <w:rPr>
          <w:rFonts w:ascii="Century Schoolbook" w:hAnsi="Century Schoolbook" w:cs="Times New Roman"/>
          <w:bCs/>
          <w:szCs w:val="24"/>
        </w:rPr>
        <w:t xml:space="preserve"> </w:t>
      </w:r>
      <w:r w:rsidR="00365DCF" w:rsidRPr="000E31A5">
        <w:rPr>
          <w:rFonts w:ascii="Century Schoolbook" w:hAnsi="Century Schoolbook" w:cs="Times New Roman"/>
          <w:bCs/>
          <w:szCs w:val="24"/>
        </w:rPr>
        <w:t xml:space="preserve">on </w:t>
      </w:r>
      <w:r w:rsidR="0079212E" w:rsidRPr="000E31A5">
        <w:rPr>
          <w:rFonts w:ascii="Century Schoolbook" w:hAnsi="Century Schoolbook" w:cs="Times New Roman"/>
          <w:bCs/>
          <w:szCs w:val="24"/>
        </w:rPr>
        <w:t>a customer’s CRES provider from including non-jurisdictional charges</w:t>
      </w:r>
      <w:r w:rsidR="00365DCF" w:rsidRPr="000E31A5">
        <w:rPr>
          <w:rFonts w:ascii="Century Schoolbook" w:hAnsi="Century Schoolbook" w:cs="Times New Roman"/>
          <w:bCs/>
          <w:szCs w:val="24"/>
        </w:rPr>
        <w:t xml:space="preserve"> on the consolidated utility bill</w:t>
      </w:r>
      <w:r w:rsidR="003F10A9" w:rsidRPr="000E31A5">
        <w:rPr>
          <w:rFonts w:ascii="Century Schoolbook" w:hAnsi="Century Schoolbook" w:cs="Times New Roman"/>
          <w:bCs/>
          <w:szCs w:val="24"/>
        </w:rPr>
        <w:t xml:space="preserve">, given that Duke already has the IT functionality to </w:t>
      </w:r>
      <w:r w:rsidR="00FB6A4A" w:rsidRPr="000E31A5">
        <w:rPr>
          <w:rFonts w:ascii="Century Schoolbook" w:hAnsi="Century Schoolbook" w:cs="Times New Roman"/>
          <w:bCs/>
          <w:szCs w:val="24"/>
        </w:rPr>
        <w:t xml:space="preserve">incorporate non-jurisdictional charges on their bill. </w:t>
      </w:r>
      <w:r w:rsidR="008914A8" w:rsidRPr="000E31A5">
        <w:rPr>
          <w:rFonts w:ascii="Century Schoolbook" w:hAnsi="Century Schoolbook" w:cs="Times New Roman"/>
          <w:bCs/>
          <w:szCs w:val="24"/>
        </w:rPr>
        <w:t>In its Application Duke states that the waiver is also needed due to Duke’s new</w:t>
      </w:r>
      <w:r w:rsidR="00F14623" w:rsidRPr="000E31A5">
        <w:rPr>
          <w:rFonts w:ascii="Century Schoolbook" w:hAnsi="Century Schoolbook" w:cs="Times New Roman"/>
          <w:bCs/>
          <w:szCs w:val="24"/>
        </w:rPr>
        <w:t xml:space="preserve"> Customer Information System (“CIS”)</w:t>
      </w:r>
      <w:r w:rsidR="008914A8" w:rsidRPr="000E31A5">
        <w:rPr>
          <w:rFonts w:ascii="Century Schoolbook" w:hAnsi="Century Schoolbook" w:cs="Times New Roman"/>
          <w:bCs/>
          <w:szCs w:val="24"/>
        </w:rPr>
        <w:t xml:space="preserve"> but provided no </w:t>
      </w:r>
      <w:r w:rsidR="001A23D1" w:rsidRPr="000E31A5">
        <w:rPr>
          <w:rFonts w:ascii="Century Schoolbook" w:hAnsi="Century Schoolbook" w:cs="Times New Roman"/>
          <w:bCs/>
          <w:szCs w:val="24"/>
        </w:rPr>
        <w:t>justification as to why this new system would impact existing functionality</w:t>
      </w:r>
      <w:r w:rsidR="00BD4ED1" w:rsidRPr="000E31A5">
        <w:rPr>
          <w:rFonts w:ascii="Century Schoolbook" w:hAnsi="Century Schoolbook" w:cs="Times New Roman"/>
          <w:bCs/>
          <w:szCs w:val="24"/>
        </w:rPr>
        <w:t xml:space="preserve"> </w:t>
      </w:r>
      <w:r w:rsidR="000D3528" w:rsidRPr="000E31A5">
        <w:rPr>
          <w:rFonts w:ascii="Century Schoolbook" w:hAnsi="Century Schoolbook" w:cs="Times New Roman"/>
          <w:bCs/>
          <w:szCs w:val="24"/>
        </w:rPr>
        <w:t>and/</w:t>
      </w:r>
      <w:r w:rsidR="00BD4ED1" w:rsidRPr="000E31A5">
        <w:rPr>
          <w:rFonts w:ascii="Century Schoolbook" w:hAnsi="Century Schoolbook" w:cs="Times New Roman"/>
          <w:bCs/>
          <w:szCs w:val="24"/>
        </w:rPr>
        <w:t xml:space="preserve">or prohibit Duke from </w:t>
      </w:r>
      <w:r w:rsidR="000D3528" w:rsidRPr="000E31A5">
        <w:rPr>
          <w:rFonts w:ascii="Century Schoolbook" w:hAnsi="Century Schoolbook" w:cs="Times New Roman"/>
          <w:bCs/>
          <w:szCs w:val="24"/>
        </w:rPr>
        <w:t xml:space="preserve">immediately dropping all non-jurisdictional charges </w:t>
      </w:r>
      <w:r w:rsidR="00A85C37" w:rsidRPr="000E31A5">
        <w:rPr>
          <w:rFonts w:ascii="Century Schoolbook" w:hAnsi="Century Schoolbook" w:cs="Times New Roman"/>
          <w:bCs/>
          <w:szCs w:val="24"/>
        </w:rPr>
        <w:t>from its bills</w:t>
      </w:r>
      <w:r w:rsidR="001311C2">
        <w:rPr>
          <w:rFonts w:ascii="Century Schoolbook" w:hAnsi="Century Schoolbook" w:cs="Times New Roman"/>
          <w:bCs/>
          <w:szCs w:val="24"/>
        </w:rPr>
        <w:t xml:space="preserve"> or adding other non-</w:t>
      </w:r>
      <w:proofErr w:type="spellStart"/>
      <w:r w:rsidR="001311C2">
        <w:rPr>
          <w:rFonts w:ascii="Century Schoolbook" w:hAnsi="Century Schoolbook" w:cs="Times New Roman"/>
          <w:bCs/>
          <w:szCs w:val="24"/>
        </w:rPr>
        <w:t>jursidictional</w:t>
      </w:r>
      <w:proofErr w:type="spellEnd"/>
      <w:r w:rsidR="001311C2">
        <w:rPr>
          <w:rFonts w:ascii="Century Schoolbook" w:hAnsi="Century Schoolbook" w:cs="Times New Roman"/>
          <w:bCs/>
          <w:szCs w:val="24"/>
        </w:rPr>
        <w:t xml:space="preserve"> charges</w:t>
      </w:r>
      <w:r w:rsidR="001A23D1" w:rsidRPr="000E31A5">
        <w:rPr>
          <w:rFonts w:ascii="Century Schoolbook" w:hAnsi="Century Schoolbook" w:cs="Times New Roman"/>
          <w:bCs/>
          <w:szCs w:val="24"/>
        </w:rPr>
        <w:t>.</w:t>
      </w:r>
      <w:r w:rsidR="00A30049" w:rsidRPr="000E31A5">
        <w:rPr>
          <w:rStyle w:val="FootnoteReference"/>
          <w:rFonts w:ascii="Century Schoolbook" w:hAnsi="Century Schoolbook" w:cs="Times New Roman"/>
          <w:bCs/>
          <w:szCs w:val="24"/>
        </w:rPr>
        <w:footnoteReference w:id="11"/>
      </w:r>
      <w:r w:rsidR="001A23D1" w:rsidRPr="000E31A5">
        <w:rPr>
          <w:rFonts w:ascii="Century Schoolbook" w:hAnsi="Century Schoolbook" w:cs="Times New Roman"/>
          <w:bCs/>
          <w:szCs w:val="24"/>
        </w:rPr>
        <w:t xml:space="preserve"> </w:t>
      </w:r>
    </w:p>
    <w:p w14:paraId="3CF5CB6A" w14:textId="3C8987A3" w:rsidR="00AC68D9" w:rsidRDefault="00AC68D9" w:rsidP="002931C9">
      <w:pPr>
        <w:spacing w:line="480" w:lineRule="auto"/>
        <w:ind w:right="0"/>
        <w:jc w:val="both"/>
        <w:rPr>
          <w:rFonts w:ascii="Century Schoolbook" w:hAnsi="Century Schoolbook" w:cs="Times New Roman"/>
          <w:bCs/>
          <w:szCs w:val="24"/>
        </w:rPr>
      </w:pPr>
    </w:p>
    <w:p w14:paraId="032541CC" w14:textId="77777777" w:rsidR="00AC68D9" w:rsidRPr="000E31A5" w:rsidRDefault="00AC68D9" w:rsidP="002931C9">
      <w:pPr>
        <w:spacing w:line="480" w:lineRule="auto"/>
        <w:ind w:right="0"/>
        <w:jc w:val="both"/>
        <w:rPr>
          <w:rFonts w:ascii="Century Schoolbook" w:hAnsi="Century Schoolbook" w:cs="Times New Roman"/>
          <w:bCs/>
          <w:szCs w:val="24"/>
        </w:rPr>
      </w:pPr>
    </w:p>
    <w:p w14:paraId="74866E3A" w14:textId="77777777" w:rsidR="00B2429C" w:rsidRPr="000E31A5" w:rsidRDefault="00B2429C" w:rsidP="002931C9">
      <w:pPr>
        <w:spacing w:line="480" w:lineRule="auto"/>
        <w:ind w:right="0"/>
        <w:jc w:val="both"/>
        <w:rPr>
          <w:rFonts w:ascii="Century Schoolbook" w:hAnsi="Century Schoolbook" w:cs="Times New Roman"/>
          <w:bCs/>
          <w:szCs w:val="24"/>
        </w:rPr>
      </w:pPr>
    </w:p>
    <w:p w14:paraId="5B0EEFA9" w14:textId="16958C24" w:rsidR="002B3F79" w:rsidRPr="000E31A5" w:rsidRDefault="002B3F79" w:rsidP="002931C9">
      <w:pPr>
        <w:pStyle w:val="ListParagraph"/>
        <w:numPr>
          <w:ilvl w:val="0"/>
          <w:numId w:val="4"/>
        </w:numPr>
        <w:spacing w:line="240" w:lineRule="auto"/>
        <w:ind w:right="0"/>
        <w:jc w:val="both"/>
        <w:rPr>
          <w:rFonts w:ascii="Century Schoolbook" w:hAnsi="Century Schoolbook" w:cs="Times New Roman"/>
          <w:b/>
          <w:szCs w:val="24"/>
        </w:rPr>
      </w:pPr>
      <w:r w:rsidRPr="000E31A5">
        <w:rPr>
          <w:rFonts w:ascii="Century Schoolbook" w:hAnsi="Century Schoolbook" w:cs="Times New Roman"/>
          <w:b/>
          <w:szCs w:val="24"/>
        </w:rPr>
        <w:t xml:space="preserve">The Commission should </w:t>
      </w:r>
      <w:r w:rsidR="007A5B7E" w:rsidRPr="000E31A5">
        <w:rPr>
          <w:rFonts w:ascii="Century Schoolbook" w:hAnsi="Century Schoolbook" w:cs="Times New Roman"/>
          <w:b/>
          <w:szCs w:val="24"/>
        </w:rPr>
        <w:t>d</w:t>
      </w:r>
      <w:r w:rsidRPr="000E31A5">
        <w:rPr>
          <w:rFonts w:ascii="Century Schoolbook" w:hAnsi="Century Schoolbook" w:cs="Times New Roman"/>
          <w:b/>
          <w:szCs w:val="24"/>
        </w:rPr>
        <w:t xml:space="preserve">eny Duke’s </w:t>
      </w:r>
      <w:r w:rsidR="00504015" w:rsidRPr="000E31A5">
        <w:rPr>
          <w:rFonts w:ascii="Century Schoolbook" w:hAnsi="Century Schoolbook" w:cs="Times New Roman"/>
          <w:b/>
          <w:szCs w:val="24"/>
        </w:rPr>
        <w:t xml:space="preserve">waiver request </w:t>
      </w:r>
      <w:r w:rsidR="00197B81" w:rsidRPr="000E31A5">
        <w:rPr>
          <w:rFonts w:ascii="Century Schoolbook" w:hAnsi="Century Schoolbook" w:cs="Times New Roman"/>
          <w:b/>
          <w:szCs w:val="24"/>
        </w:rPr>
        <w:t xml:space="preserve">because it fails </w:t>
      </w:r>
      <w:r w:rsidR="00A93515">
        <w:rPr>
          <w:rFonts w:ascii="Century Schoolbook" w:hAnsi="Century Schoolbook" w:cs="Times New Roman"/>
          <w:b/>
          <w:szCs w:val="24"/>
        </w:rPr>
        <w:t>to demonstrate good cause</w:t>
      </w:r>
    </w:p>
    <w:p w14:paraId="54A0AD13" w14:textId="331C8A3E" w:rsidR="00E14DA5" w:rsidRPr="000E31A5" w:rsidRDefault="00E14DA5" w:rsidP="002931C9">
      <w:pPr>
        <w:spacing w:line="240" w:lineRule="auto"/>
        <w:ind w:right="0"/>
        <w:jc w:val="both"/>
        <w:rPr>
          <w:rFonts w:ascii="Century Schoolbook" w:hAnsi="Century Schoolbook" w:cs="Times New Roman"/>
          <w:b/>
          <w:szCs w:val="24"/>
        </w:rPr>
      </w:pPr>
    </w:p>
    <w:p w14:paraId="68F04C48" w14:textId="3F915668" w:rsidR="00E14DA5" w:rsidRPr="000E31A5" w:rsidRDefault="00E14DA5" w:rsidP="002931C9">
      <w:pPr>
        <w:spacing w:line="480" w:lineRule="auto"/>
        <w:ind w:right="0"/>
        <w:jc w:val="both"/>
        <w:rPr>
          <w:rFonts w:ascii="Century Schoolbook" w:hAnsi="Century Schoolbook" w:cs="Times New Roman"/>
          <w:bCs/>
          <w:szCs w:val="24"/>
        </w:rPr>
      </w:pPr>
      <w:r w:rsidRPr="000E31A5">
        <w:rPr>
          <w:rFonts w:ascii="Century Schoolbook" w:hAnsi="Century Schoolbook" w:cs="Times New Roman"/>
          <w:bCs/>
          <w:szCs w:val="24"/>
        </w:rPr>
        <w:tab/>
      </w:r>
      <w:r w:rsidR="007C3468" w:rsidRPr="000E31A5">
        <w:rPr>
          <w:rFonts w:ascii="Century Schoolbook" w:hAnsi="Century Schoolbook" w:cs="Times New Roman"/>
          <w:bCs/>
          <w:szCs w:val="24"/>
        </w:rPr>
        <w:t xml:space="preserve">Duke </w:t>
      </w:r>
      <w:r w:rsidR="00324D20" w:rsidRPr="000E31A5">
        <w:rPr>
          <w:rFonts w:ascii="Century Schoolbook" w:hAnsi="Century Schoolbook" w:cs="Times New Roman"/>
          <w:bCs/>
          <w:szCs w:val="24"/>
        </w:rPr>
        <w:t>was</w:t>
      </w:r>
      <w:r w:rsidR="007C3468" w:rsidRPr="000E31A5">
        <w:rPr>
          <w:rFonts w:ascii="Century Schoolbook" w:hAnsi="Century Schoolbook" w:cs="Times New Roman"/>
          <w:bCs/>
          <w:szCs w:val="24"/>
        </w:rPr>
        <w:t xml:space="preserve"> on notice of</w:t>
      </w:r>
      <w:r w:rsidR="00324D20" w:rsidRPr="000E31A5">
        <w:rPr>
          <w:rFonts w:ascii="Century Schoolbook" w:hAnsi="Century Schoolbook" w:cs="Times New Roman"/>
          <w:bCs/>
          <w:szCs w:val="24"/>
        </w:rPr>
        <w:t xml:space="preserve"> the pending rule change since the issuance of the Finding and Order in Docket 17-1842-EL-ORD on February 26, 2020. </w:t>
      </w:r>
      <w:r w:rsidR="00EB5B9B" w:rsidRPr="000E31A5">
        <w:rPr>
          <w:rFonts w:ascii="Century Schoolbook" w:hAnsi="Century Schoolbook" w:cs="Times New Roman"/>
          <w:bCs/>
          <w:szCs w:val="24"/>
        </w:rPr>
        <w:t>Despite over 600 days of notice</w:t>
      </w:r>
      <w:r w:rsidR="00007FC0">
        <w:rPr>
          <w:rFonts w:ascii="Century Schoolbook" w:hAnsi="Century Schoolbook" w:cs="Times New Roman"/>
          <w:bCs/>
          <w:szCs w:val="24"/>
        </w:rPr>
        <w:t>,</w:t>
      </w:r>
      <w:r w:rsidR="00EB5B9B" w:rsidRPr="000E31A5">
        <w:rPr>
          <w:rFonts w:ascii="Century Schoolbook" w:hAnsi="Century Schoolbook" w:cs="Times New Roman"/>
          <w:bCs/>
          <w:szCs w:val="24"/>
        </w:rPr>
        <w:t xml:space="preserve"> Duke </w:t>
      </w:r>
      <w:r w:rsidR="00115F3C" w:rsidRPr="000E31A5">
        <w:rPr>
          <w:rFonts w:ascii="Century Schoolbook" w:hAnsi="Century Schoolbook" w:cs="Times New Roman"/>
          <w:bCs/>
          <w:szCs w:val="24"/>
        </w:rPr>
        <w:t xml:space="preserve">was unable to </w:t>
      </w:r>
      <w:r w:rsidR="0005025D" w:rsidRPr="000E31A5">
        <w:rPr>
          <w:rFonts w:ascii="Century Schoolbook" w:hAnsi="Century Schoolbook" w:cs="Times New Roman"/>
          <w:bCs/>
          <w:szCs w:val="24"/>
        </w:rPr>
        <w:t xml:space="preserve">propose a solution that would have allowed them to comply with the new rules upon their effective date of November 1, 2021. </w:t>
      </w:r>
      <w:r w:rsidR="00604C6C" w:rsidRPr="000E31A5">
        <w:rPr>
          <w:rFonts w:ascii="Century Schoolbook" w:hAnsi="Century Schoolbook" w:cs="Times New Roman"/>
          <w:bCs/>
          <w:szCs w:val="24"/>
        </w:rPr>
        <w:t>Duke has demonstrated the ability to comply with the rules as adopted</w:t>
      </w:r>
      <w:r w:rsidR="001168E9">
        <w:rPr>
          <w:rFonts w:ascii="Century Schoolbook" w:hAnsi="Century Schoolbook" w:cs="Times New Roman"/>
          <w:bCs/>
          <w:szCs w:val="24"/>
        </w:rPr>
        <w:t xml:space="preserve"> by adding non-jurisdictional charges to its bills</w:t>
      </w:r>
      <w:r w:rsidR="00604C6C" w:rsidRPr="000E31A5">
        <w:rPr>
          <w:rFonts w:ascii="Century Schoolbook" w:hAnsi="Century Schoolbook" w:cs="Times New Roman"/>
          <w:bCs/>
          <w:szCs w:val="24"/>
        </w:rPr>
        <w:t xml:space="preserve">, </w:t>
      </w:r>
      <w:proofErr w:type="gramStart"/>
      <w:r w:rsidR="00604C6C" w:rsidRPr="000E31A5">
        <w:rPr>
          <w:rFonts w:ascii="Century Schoolbook" w:hAnsi="Century Schoolbook" w:cs="Times New Roman"/>
          <w:bCs/>
          <w:szCs w:val="24"/>
        </w:rPr>
        <w:t>but yet</w:t>
      </w:r>
      <w:proofErr w:type="gramEnd"/>
      <w:r w:rsidR="00604C6C" w:rsidRPr="000E31A5">
        <w:rPr>
          <w:rFonts w:ascii="Century Schoolbook" w:hAnsi="Century Schoolbook" w:cs="Times New Roman"/>
          <w:bCs/>
          <w:szCs w:val="24"/>
        </w:rPr>
        <w:t xml:space="preserve"> refuses to do so</w:t>
      </w:r>
      <w:r w:rsidR="004E3801">
        <w:rPr>
          <w:rFonts w:ascii="Century Schoolbook" w:hAnsi="Century Schoolbook" w:cs="Times New Roman"/>
          <w:bCs/>
          <w:szCs w:val="24"/>
        </w:rPr>
        <w:t xml:space="preserve"> for any company that is not an affiliate</w:t>
      </w:r>
      <w:r w:rsidR="00604C6C" w:rsidRPr="000E31A5">
        <w:rPr>
          <w:rFonts w:ascii="Century Schoolbook" w:hAnsi="Century Schoolbook" w:cs="Times New Roman"/>
          <w:bCs/>
          <w:szCs w:val="24"/>
        </w:rPr>
        <w:t xml:space="preserve">. </w:t>
      </w:r>
    </w:p>
    <w:p w14:paraId="0CE2BC73" w14:textId="43BBD1C4" w:rsidR="00D03557" w:rsidRPr="000E31A5" w:rsidRDefault="00604C6C" w:rsidP="002931C9">
      <w:pPr>
        <w:spacing w:line="480" w:lineRule="auto"/>
        <w:ind w:right="0"/>
        <w:jc w:val="both"/>
        <w:rPr>
          <w:rFonts w:ascii="Century Schoolbook" w:hAnsi="Century Schoolbook" w:cs="Times New Roman"/>
          <w:bCs/>
          <w:szCs w:val="24"/>
        </w:rPr>
      </w:pPr>
      <w:r w:rsidRPr="000E31A5">
        <w:rPr>
          <w:rFonts w:ascii="Century Schoolbook" w:hAnsi="Century Schoolbook" w:cs="Times New Roman"/>
          <w:bCs/>
          <w:szCs w:val="24"/>
        </w:rPr>
        <w:tab/>
        <w:t xml:space="preserve">Duke admits </w:t>
      </w:r>
      <w:r w:rsidR="00F37138">
        <w:rPr>
          <w:rFonts w:ascii="Century Schoolbook" w:hAnsi="Century Schoolbook" w:cs="Times New Roman"/>
          <w:bCs/>
          <w:szCs w:val="24"/>
        </w:rPr>
        <w:t>that</w:t>
      </w:r>
      <w:r w:rsidR="00CB5BE7">
        <w:rPr>
          <w:rFonts w:ascii="Century Schoolbook" w:hAnsi="Century Schoolbook" w:cs="Times New Roman"/>
          <w:bCs/>
          <w:szCs w:val="24"/>
        </w:rPr>
        <w:t xml:space="preserve"> it</w:t>
      </w:r>
      <w:r w:rsidRPr="000E31A5">
        <w:rPr>
          <w:rFonts w:ascii="Century Schoolbook" w:hAnsi="Century Schoolbook" w:cs="Times New Roman"/>
          <w:bCs/>
          <w:szCs w:val="24"/>
        </w:rPr>
        <w:t xml:space="preserve"> currently allow</w:t>
      </w:r>
      <w:r w:rsidR="00F37138">
        <w:rPr>
          <w:rFonts w:ascii="Century Schoolbook" w:hAnsi="Century Schoolbook" w:cs="Times New Roman"/>
          <w:bCs/>
          <w:szCs w:val="24"/>
        </w:rPr>
        <w:t>s</w:t>
      </w:r>
      <w:r w:rsidRPr="000E31A5">
        <w:rPr>
          <w:rFonts w:ascii="Century Schoolbook" w:hAnsi="Century Schoolbook" w:cs="Times New Roman"/>
          <w:bCs/>
          <w:szCs w:val="24"/>
        </w:rPr>
        <w:t xml:space="preserve"> </w:t>
      </w:r>
      <w:r w:rsidR="00F41344">
        <w:rPr>
          <w:rFonts w:ascii="Century Schoolbook" w:hAnsi="Century Schoolbook" w:cs="Times New Roman"/>
          <w:bCs/>
          <w:szCs w:val="24"/>
        </w:rPr>
        <w:t>its</w:t>
      </w:r>
      <w:r w:rsidRPr="000E31A5">
        <w:rPr>
          <w:rFonts w:ascii="Century Schoolbook" w:hAnsi="Century Schoolbook" w:cs="Times New Roman"/>
          <w:bCs/>
          <w:szCs w:val="24"/>
        </w:rPr>
        <w:t xml:space="preserve"> </w:t>
      </w:r>
      <w:r w:rsidR="005A0501" w:rsidRPr="000E31A5">
        <w:rPr>
          <w:rFonts w:ascii="Century Schoolbook" w:hAnsi="Century Schoolbook" w:cs="Times New Roman"/>
          <w:bCs/>
          <w:szCs w:val="24"/>
        </w:rPr>
        <w:t>affiliate</w:t>
      </w:r>
      <w:r w:rsidR="00F41344">
        <w:rPr>
          <w:rFonts w:ascii="Century Schoolbook" w:hAnsi="Century Schoolbook" w:cs="Times New Roman"/>
          <w:bCs/>
          <w:szCs w:val="24"/>
        </w:rPr>
        <w:t xml:space="preserve"> to </w:t>
      </w:r>
      <w:r w:rsidR="00F37138">
        <w:rPr>
          <w:rFonts w:ascii="Century Schoolbook" w:hAnsi="Century Schoolbook" w:cs="Times New Roman"/>
          <w:bCs/>
          <w:szCs w:val="24"/>
        </w:rPr>
        <w:t>place</w:t>
      </w:r>
      <w:r w:rsidR="00952295">
        <w:rPr>
          <w:rFonts w:ascii="Century Schoolbook" w:hAnsi="Century Schoolbook" w:cs="Times New Roman"/>
          <w:bCs/>
          <w:szCs w:val="24"/>
        </w:rPr>
        <w:t xml:space="preserve"> </w:t>
      </w:r>
      <w:r w:rsidR="005A0501" w:rsidRPr="000E31A5">
        <w:rPr>
          <w:rFonts w:ascii="Century Schoolbook" w:hAnsi="Century Schoolbook" w:cs="Times New Roman"/>
          <w:bCs/>
          <w:szCs w:val="24"/>
        </w:rPr>
        <w:t>non-jurisdictional charges</w:t>
      </w:r>
      <w:r w:rsidR="00F37138">
        <w:rPr>
          <w:rFonts w:ascii="Century Schoolbook" w:hAnsi="Century Schoolbook" w:cs="Times New Roman"/>
          <w:bCs/>
          <w:szCs w:val="24"/>
        </w:rPr>
        <w:t xml:space="preserve"> on</w:t>
      </w:r>
      <w:r w:rsidR="005A0501" w:rsidRPr="000E31A5">
        <w:rPr>
          <w:rFonts w:ascii="Century Schoolbook" w:hAnsi="Century Schoolbook" w:cs="Times New Roman"/>
          <w:bCs/>
          <w:szCs w:val="24"/>
        </w:rPr>
        <w:t xml:space="preserve"> the consolidated utility bill</w:t>
      </w:r>
      <w:r w:rsidR="00507239">
        <w:rPr>
          <w:rFonts w:ascii="Century Schoolbook" w:hAnsi="Century Schoolbook" w:cs="Times New Roman"/>
          <w:bCs/>
          <w:szCs w:val="24"/>
        </w:rPr>
        <w:t>, yet it</w:t>
      </w:r>
      <w:r w:rsidR="00952295">
        <w:rPr>
          <w:rFonts w:ascii="Century Schoolbook" w:hAnsi="Century Schoolbook" w:cs="Times New Roman"/>
          <w:bCs/>
          <w:szCs w:val="24"/>
        </w:rPr>
        <w:t xml:space="preserve"> </w:t>
      </w:r>
      <w:r w:rsidR="005A0501" w:rsidRPr="000E31A5">
        <w:rPr>
          <w:rFonts w:ascii="Century Schoolbook" w:hAnsi="Century Schoolbook" w:cs="Times New Roman"/>
          <w:bCs/>
          <w:szCs w:val="24"/>
        </w:rPr>
        <w:t xml:space="preserve">has provided no evidence or justification as to why </w:t>
      </w:r>
      <w:r w:rsidR="00507239">
        <w:rPr>
          <w:rFonts w:ascii="Century Schoolbook" w:hAnsi="Century Schoolbook" w:cs="Times New Roman"/>
          <w:bCs/>
          <w:szCs w:val="24"/>
        </w:rPr>
        <w:t>it cannot provide the</w:t>
      </w:r>
      <w:r w:rsidR="00CB5BE7">
        <w:rPr>
          <w:rFonts w:ascii="Century Schoolbook" w:hAnsi="Century Schoolbook" w:cs="Times New Roman"/>
          <w:bCs/>
          <w:szCs w:val="24"/>
        </w:rPr>
        <w:t xml:space="preserve"> same</w:t>
      </w:r>
      <w:r w:rsidR="00507239">
        <w:rPr>
          <w:rFonts w:ascii="Century Schoolbook" w:hAnsi="Century Schoolbook" w:cs="Times New Roman"/>
          <w:bCs/>
          <w:szCs w:val="24"/>
        </w:rPr>
        <w:t xml:space="preserve"> billing functionality for similar</w:t>
      </w:r>
      <w:r w:rsidR="005A0501" w:rsidRPr="000E31A5">
        <w:rPr>
          <w:rFonts w:ascii="Century Schoolbook" w:hAnsi="Century Schoolbook" w:cs="Times New Roman"/>
          <w:bCs/>
          <w:szCs w:val="24"/>
        </w:rPr>
        <w:t xml:space="preserve"> </w:t>
      </w:r>
      <w:r w:rsidR="00A61C41" w:rsidRPr="000E31A5">
        <w:rPr>
          <w:rFonts w:ascii="Century Schoolbook" w:hAnsi="Century Schoolbook" w:cs="Times New Roman"/>
          <w:bCs/>
          <w:szCs w:val="24"/>
        </w:rPr>
        <w:t xml:space="preserve">CRES </w:t>
      </w:r>
      <w:r w:rsidR="00507239">
        <w:rPr>
          <w:rFonts w:ascii="Century Schoolbook" w:hAnsi="Century Schoolbook" w:cs="Times New Roman"/>
          <w:bCs/>
          <w:szCs w:val="24"/>
        </w:rPr>
        <w:t>non-jurisdictional</w:t>
      </w:r>
      <w:r w:rsidR="00A61C41" w:rsidRPr="000E31A5">
        <w:rPr>
          <w:rFonts w:ascii="Century Schoolbook" w:hAnsi="Century Schoolbook" w:cs="Times New Roman"/>
          <w:bCs/>
          <w:szCs w:val="24"/>
        </w:rPr>
        <w:t xml:space="preserve"> charges</w:t>
      </w:r>
      <w:r w:rsidR="00CB5BE7">
        <w:rPr>
          <w:rFonts w:ascii="Century Schoolbook" w:hAnsi="Century Schoolbook" w:cs="Times New Roman"/>
          <w:bCs/>
          <w:szCs w:val="24"/>
        </w:rPr>
        <w:t>.</w:t>
      </w:r>
      <w:r w:rsidR="00A61C41" w:rsidRPr="000E31A5">
        <w:rPr>
          <w:rFonts w:ascii="Century Schoolbook" w:hAnsi="Century Schoolbook" w:cs="Times New Roman"/>
          <w:bCs/>
          <w:szCs w:val="24"/>
        </w:rPr>
        <w:t xml:space="preserve"> </w:t>
      </w:r>
      <w:r w:rsidR="00246897" w:rsidRPr="000E31A5">
        <w:rPr>
          <w:rFonts w:ascii="Century Schoolbook" w:hAnsi="Century Schoolbook" w:cs="Times New Roman"/>
          <w:bCs/>
          <w:szCs w:val="24"/>
        </w:rPr>
        <w:t>Additionally</w:t>
      </w:r>
      <w:r w:rsidR="007A4772" w:rsidRPr="000E31A5">
        <w:rPr>
          <w:rFonts w:ascii="Century Schoolbook" w:hAnsi="Century Schoolbook" w:cs="Times New Roman"/>
          <w:bCs/>
          <w:szCs w:val="24"/>
        </w:rPr>
        <w:t>,</w:t>
      </w:r>
      <w:r w:rsidR="00246897" w:rsidRPr="000E31A5">
        <w:rPr>
          <w:rFonts w:ascii="Century Schoolbook" w:hAnsi="Century Schoolbook" w:cs="Times New Roman"/>
          <w:bCs/>
          <w:szCs w:val="24"/>
        </w:rPr>
        <w:t xml:space="preserve"> Duke admits that </w:t>
      </w:r>
      <w:r w:rsidR="00FA55BE" w:rsidRPr="000E31A5">
        <w:rPr>
          <w:rFonts w:ascii="Century Schoolbook" w:hAnsi="Century Schoolbook" w:cs="Times New Roman"/>
          <w:bCs/>
          <w:szCs w:val="24"/>
        </w:rPr>
        <w:t>it has incurred no costs over the past decade in order to provide</w:t>
      </w:r>
      <w:r w:rsidR="00D6712C" w:rsidRPr="000E31A5">
        <w:rPr>
          <w:rFonts w:ascii="Century Schoolbook" w:hAnsi="Century Schoolbook" w:cs="Times New Roman"/>
          <w:bCs/>
          <w:szCs w:val="24"/>
        </w:rPr>
        <w:t xml:space="preserve"> </w:t>
      </w:r>
      <w:r w:rsidR="00282B39" w:rsidRPr="000E31A5">
        <w:rPr>
          <w:rFonts w:ascii="Century Schoolbook" w:hAnsi="Century Schoolbook" w:cs="Times New Roman"/>
          <w:bCs/>
          <w:szCs w:val="24"/>
        </w:rPr>
        <w:t xml:space="preserve">the </w:t>
      </w:r>
      <w:r w:rsidR="00D6712C" w:rsidRPr="000E31A5">
        <w:rPr>
          <w:rFonts w:ascii="Century Schoolbook" w:hAnsi="Century Schoolbook" w:cs="Times New Roman"/>
          <w:bCs/>
          <w:szCs w:val="24"/>
        </w:rPr>
        <w:t>non-jurisdictional billing functionality</w:t>
      </w:r>
      <w:r w:rsidR="00282B39" w:rsidRPr="000E31A5">
        <w:rPr>
          <w:rFonts w:ascii="Century Schoolbook" w:hAnsi="Century Schoolbook" w:cs="Times New Roman"/>
          <w:bCs/>
          <w:szCs w:val="24"/>
        </w:rPr>
        <w:t xml:space="preserve"> to its affiliate.</w:t>
      </w:r>
      <w:r w:rsidR="00282B39" w:rsidRPr="000E31A5">
        <w:rPr>
          <w:rStyle w:val="FootnoteReference"/>
          <w:rFonts w:ascii="Century Schoolbook" w:hAnsi="Century Schoolbook" w:cs="Times New Roman"/>
          <w:bCs/>
          <w:szCs w:val="24"/>
        </w:rPr>
        <w:footnoteReference w:id="12"/>
      </w:r>
      <w:r w:rsidR="00D6712C" w:rsidRPr="000E31A5">
        <w:rPr>
          <w:rFonts w:ascii="Century Schoolbook" w:hAnsi="Century Schoolbook" w:cs="Times New Roman"/>
          <w:bCs/>
          <w:szCs w:val="24"/>
        </w:rPr>
        <w:t xml:space="preserve"> </w:t>
      </w:r>
      <w:r w:rsidR="00A6282F" w:rsidRPr="000E31A5">
        <w:rPr>
          <w:rFonts w:ascii="Century Schoolbook" w:hAnsi="Century Schoolbook" w:cs="Times New Roman"/>
          <w:bCs/>
          <w:szCs w:val="24"/>
        </w:rPr>
        <w:t xml:space="preserve">However, </w:t>
      </w:r>
      <w:r w:rsidR="003762B4" w:rsidRPr="000E31A5">
        <w:rPr>
          <w:rFonts w:ascii="Century Schoolbook" w:hAnsi="Century Schoolbook" w:cs="Times New Roman"/>
          <w:bCs/>
          <w:szCs w:val="24"/>
        </w:rPr>
        <w:t>i</w:t>
      </w:r>
      <w:r w:rsidR="00A6282F" w:rsidRPr="000E31A5">
        <w:rPr>
          <w:rFonts w:ascii="Century Schoolbook" w:hAnsi="Century Schoolbook" w:cs="Times New Roman"/>
          <w:bCs/>
          <w:szCs w:val="24"/>
        </w:rPr>
        <w:t>n its application Duke simply states that “</w:t>
      </w:r>
      <w:r w:rsidR="008146ED" w:rsidRPr="000E31A5">
        <w:rPr>
          <w:rFonts w:ascii="Century Schoolbook" w:hAnsi="Century Schoolbook" w:cs="Times New Roman"/>
          <w:bCs/>
          <w:szCs w:val="24"/>
        </w:rPr>
        <w:t>the technical requirements of implementation” necessitate more time</w:t>
      </w:r>
      <w:r w:rsidR="001661AD">
        <w:rPr>
          <w:rFonts w:ascii="Century Schoolbook" w:hAnsi="Century Schoolbook" w:cs="Times New Roman"/>
          <w:bCs/>
          <w:szCs w:val="24"/>
        </w:rPr>
        <w:t>.</w:t>
      </w:r>
      <w:r w:rsidR="001661AD">
        <w:rPr>
          <w:rStyle w:val="FootnoteReference"/>
          <w:rFonts w:ascii="Century Schoolbook" w:hAnsi="Century Schoolbook" w:cs="Times New Roman"/>
          <w:bCs/>
          <w:szCs w:val="24"/>
        </w:rPr>
        <w:footnoteReference w:id="13"/>
      </w:r>
      <w:r w:rsidR="008527F9">
        <w:rPr>
          <w:rFonts w:ascii="Century Schoolbook" w:hAnsi="Century Schoolbook" w:cs="Times New Roman"/>
          <w:bCs/>
          <w:szCs w:val="24"/>
        </w:rPr>
        <w:t xml:space="preserve"> </w:t>
      </w:r>
      <w:r w:rsidR="001661AD">
        <w:rPr>
          <w:rFonts w:ascii="Century Schoolbook" w:hAnsi="Century Schoolbook" w:cs="Times New Roman"/>
          <w:bCs/>
          <w:szCs w:val="24"/>
        </w:rPr>
        <w:t>Duke</w:t>
      </w:r>
      <w:r w:rsidR="008527F9">
        <w:rPr>
          <w:rFonts w:ascii="Century Schoolbook" w:hAnsi="Century Schoolbook" w:cs="Times New Roman"/>
          <w:bCs/>
          <w:szCs w:val="24"/>
        </w:rPr>
        <w:t xml:space="preserve"> does not </w:t>
      </w:r>
      <w:r w:rsidR="00534133">
        <w:rPr>
          <w:rFonts w:ascii="Century Schoolbook" w:hAnsi="Century Schoolbook" w:cs="Times New Roman"/>
          <w:bCs/>
          <w:szCs w:val="24"/>
        </w:rPr>
        <w:t>specify</w:t>
      </w:r>
      <w:r w:rsidR="008527F9">
        <w:rPr>
          <w:rFonts w:ascii="Century Schoolbook" w:hAnsi="Century Schoolbook" w:cs="Times New Roman"/>
          <w:bCs/>
          <w:szCs w:val="24"/>
        </w:rPr>
        <w:t xml:space="preserve"> what the additional time would accomplish or lay the reasoning for what </w:t>
      </w:r>
      <w:r w:rsidR="00534133">
        <w:rPr>
          <w:rFonts w:ascii="Century Schoolbook" w:hAnsi="Century Schoolbook" w:cs="Times New Roman"/>
          <w:bCs/>
          <w:szCs w:val="24"/>
        </w:rPr>
        <w:t>changes are needed.</w:t>
      </w:r>
      <w:r w:rsidR="003762B4" w:rsidRPr="000E31A5">
        <w:rPr>
          <w:rFonts w:ascii="Century Schoolbook" w:hAnsi="Century Schoolbook" w:cs="Times New Roman"/>
          <w:bCs/>
          <w:szCs w:val="24"/>
        </w:rPr>
        <w:t xml:space="preserve"> Duke</w:t>
      </w:r>
      <w:r w:rsidR="009A79F3">
        <w:rPr>
          <w:rFonts w:ascii="Century Schoolbook" w:hAnsi="Century Schoolbook" w:cs="Times New Roman"/>
          <w:bCs/>
          <w:szCs w:val="24"/>
        </w:rPr>
        <w:t>’</w:t>
      </w:r>
      <w:r w:rsidR="003762B4" w:rsidRPr="000E31A5">
        <w:rPr>
          <w:rFonts w:ascii="Century Schoolbook" w:hAnsi="Century Schoolbook" w:cs="Times New Roman"/>
          <w:bCs/>
          <w:szCs w:val="24"/>
        </w:rPr>
        <w:t xml:space="preserve">s reasoning is nothing more than </w:t>
      </w:r>
      <w:r w:rsidR="008719B9" w:rsidRPr="000E31A5">
        <w:rPr>
          <w:rFonts w:ascii="Century Schoolbook" w:hAnsi="Century Schoolbook" w:cs="Times New Roman"/>
          <w:bCs/>
          <w:szCs w:val="24"/>
        </w:rPr>
        <w:t xml:space="preserve">vague jargon </w:t>
      </w:r>
      <w:r w:rsidR="00626948" w:rsidRPr="000E31A5">
        <w:rPr>
          <w:rFonts w:ascii="Century Schoolbook" w:hAnsi="Century Schoolbook" w:cs="Times New Roman"/>
          <w:bCs/>
          <w:szCs w:val="24"/>
        </w:rPr>
        <w:t>with no evidence or justification to lend it credence.</w:t>
      </w:r>
      <w:r w:rsidR="008146ED" w:rsidRPr="000E31A5">
        <w:rPr>
          <w:rFonts w:ascii="Century Schoolbook" w:hAnsi="Century Schoolbook" w:cs="Times New Roman"/>
          <w:bCs/>
          <w:szCs w:val="24"/>
        </w:rPr>
        <w:t xml:space="preserve"> </w:t>
      </w:r>
      <w:r w:rsidR="00D83100" w:rsidRPr="000E31A5">
        <w:rPr>
          <w:rFonts w:ascii="Century Schoolbook" w:hAnsi="Century Schoolbook" w:cs="Times New Roman"/>
          <w:bCs/>
          <w:szCs w:val="24"/>
        </w:rPr>
        <w:t xml:space="preserve">Given that Duke has </w:t>
      </w:r>
      <w:r w:rsidR="00902C60" w:rsidRPr="000E31A5">
        <w:rPr>
          <w:rFonts w:ascii="Century Schoolbook" w:hAnsi="Century Schoolbook" w:cs="Times New Roman"/>
          <w:bCs/>
          <w:szCs w:val="24"/>
        </w:rPr>
        <w:t xml:space="preserve">successfully demonstrated the ability to include non-jurisdictional charges </w:t>
      </w:r>
      <w:r w:rsidR="00745E2E" w:rsidRPr="000E31A5">
        <w:rPr>
          <w:rFonts w:ascii="Century Schoolbook" w:hAnsi="Century Schoolbook" w:cs="Times New Roman"/>
          <w:bCs/>
          <w:szCs w:val="24"/>
        </w:rPr>
        <w:t>and provides no evidence as to why CRES charges would be any different functionally than those already being offered, Duke’s waiver request should be denied</w:t>
      </w:r>
      <w:r w:rsidR="00626948" w:rsidRPr="000E31A5">
        <w:rPr>
          <w:rFonts w:ascii="Century Schoolbook" w:hAnsi="Century Schoolbook" w:cs="Times New Roman"/>
          <w:bCs/>
          <w:szCs w:val="24"/>
        </w:rPr>
        <w:t xml:space="preserve"> and Duke should immediately comply with </w:t>
      </w:r>
      <w:r w:rsidR="00095E34" w:rsidRPr="000E31A5">
        <w:rPr>
          <w:rFonts w:ascii="Century Schoolbook" w:hAnsi="Century Schoolbook" w:cs="Times New Roman"/>
          <w:bCs/>
          <w:szCs w:val="24"/>
        </w:rPr>
        <w:t>the new rules</w:t>
      </w:r>
      <w:r w:rsidR="00745E2E" w:rsidRPr="000E31A5">
        <w:rPr>
          <w:rFonts w:ascii="Century Schoolbook" w:hAnsi="Century Schoolbook" w:cs="Times New Roman"/>
          <w:bCs/>
          <w:szCs w:val="24"/>
        </w:rPr>
        <w:t xml:space="preserve">. </w:t>
      </w:r>
    </w:p>
    <w:p w14:paraId="6BAB6553" w14:textId="674F0964" w:rsidR="00D03557" w:rsidRPr="000E31A5" w:rsidRDefault="00D03557" w:rsidP="002931C9">
      <w:pPr>
        <w:pStyle w:val="ListParagraph"/>
        <w:numPr>
          <w:ilvl w:val="0"/>
          <w:numId w:val="4"/>
        </w:numPr>
        <w:spacing w:line="240" w:lineRule="auto"/>
        <w:ind w:right="0"/>
        <w:jc w:val="both"/>
        <w:rPr>
          <w:rFonts w:ascii="Century Schoolbook" w:hAnsi="Century Schoolbook" w:cs="Times New Roman"/>
          <w:b/>
          <w:szCs w:val="24"/>
        </w:rPr>
      </w:pPr>
      <w:r w:rsidRPr="000E31A5">
        <w:rPr>
          <w:rFonts w:ascii="Century Schoolbook" w:hAnsi="Century Schoolbook" w:cs="Times New Roman"/>
          <w:b/>
          <w:szCs w:val="24"/>
        </w:rPr>
        <w:t xml:space="preserve">Duke’s waiver request should be denied because it </w:t>
      </w:r>
      <w:r w:rsidR="001C0960">
        <w:rPr>
          <w:rFonts w:ascii="Century Schoolbook" w:hAnsi="Century Schoolbook" w:cs="Times New Roman"/>
          <w:b/>
          <w:szCs w:val="24"/>
        </w:rPr>
        <w:t>has</w:t>
      </w:r>
      <w:r w:rsidRPr="000E31A5">
        <w:rPr>
          <w:rFonts w:ascii="Century Schoolbook" w:hAnsi="Century Schoolbook" w:cs="Times New Roman"/>
          <w:b/>
          <w:szCs w:val="24"/>
        </w:rPr>
        <w:t xml:space="preserve"> not </w:t>
      </w:r>
      <w:r w:rsidR="001C0960">
        <w:rPr>
          <w:rFonts w:ascii="Century Schoolbook" w:hAnsi="Century Schoolbook" w:cs="Times New Roman"/>
          <w:b/>
          <w:szCs w:val="24"/>
        </w:rPr>
        <w:t xml:space="preserve">demonstrated good cause to </w:t>
      </w:r>
      <w:r w:rsidR="00A01176">
        <w:rPr>
          <w:rFonts w:ascii="Century Schoolbook" w:hAnsi="Century Schoolbook" w:cs="Times New Roman"/>
          <w:b/>
          <w:szCs w:val="24"/>
        </w:rPr>
        <w:t xml:space="preserve">restrict </w:t>
      </w:r>
      <w:r w:rsidR="00ED18F1">
        <w:rPr>
          <w:rFonts w:ascii="Century Schoolbook" w:hAnsi="Century Schoolbook" w:cs="Times New Roman"/>
          <w:b/>
          <w:szCs w:val="24"/>
        </w:rPr>
        <w:t>CRES non-jurisdictional charges</w:t>
      </w:r>
      <w:r w:rsidR="00CA5A93">
        <w:rPr>
          <w:rFonts w:ascii="Century Schoolbook" w:hAnsi="Century Schoolbook" w:cs="Times New Roman"/>
          <w:b/>
          <w:szCs w:val="24"/>
        </w:rPr>
        <w:t xml:space="preserve"> on the consolidated utility bill</w:t>
      </w:r>
      <w:r w:rsidR="00BD754B" w:rsidRPr="000E31A5">
        <w:rPr>
          <w:rFonts w:ascii="Century Schoolbook" w:hAnsi="Century Schoolbook" w:cs="Times New Roman"/>
          <w:b/>
          <w:szCs w:val="24"/>
        </w:rPr>
        <w:t>.</w:t>
      </w:r>
    </w:p>
    <w:p w14:paraId="2C6F9E61" w14:textId="5E2D54CC" w:rsidR="00AD0C84" w:rsidRPr="000E31A5" w:rsidRDefault="00AD0C84" w:rsidP="002931C9">
      <w:pPr>
        <w:spacing w:line="480" w:lineRule="auto"/>
        <w:ind w:right="0"/>
        <w:jc w:val="both"/>
        <w:rPr>
          <w:rFonts w:ascii="Century Schoolbook" w:hAnsi="Century Schoolbook" w:cs="Times New Roman"/>
          <w:bCs/>
          <w:szCs w:val="24"/>
        </w:rPr>
      </w:pPr>
    </w:p>
    <w:p w14:paraId="0C1AFB0B" w14:textId="4598F9D1" w:rsidR="000F15AA" w:rsidRPr="000E31A5" w:rsidRDefault="006072C2" w:rsidP="002931C9">
      <w:pPr>
        <w:spacing w:line="480" w:lineRule="auto"/>
        <w:ind w:left="360" w:right="0" w:firstLine="360"/>
        <w:jc w:val="both"/>
        <w:rPr>
          <w:rFonts w:ascii="Century Schoolbook" w:hAnsi="Century Schoolbook" w:cs="Times New Roman"/>
          <w:bCs/>
          <w:szCs w:val="24"/>
        </w:rPr>
      </w:pPr>
      <w:r w:rsidRPr="000E31A5">
        <w:rPr>
          <w:rFonts w:ascii="Century Schoolbook" w:hAnsi="Century Schoolbook" w:cs="Times New Roman"/>
          <w:bCs/>
          <w:szCs w:val="24"/>
        </w:rPr>
        <w:t xml:space="preserve">The new </w:t>
      </w:r>
      <w:r w:rsidR="000F15AA" w:rsidRPr="000E31A5">
        <w:rPr>
          <w:rFonts w:ascii="Century Schoolbook" w:hAnsi="Century Schoolbook" w:cs="Times New Roman"/>
          <w:bCs/>
          <w:szCs w:val="24"/>
        </w:rPr>
        <w:t>Rule 4901:1-10-33(A) contains two distinct provisions</w:t>
      </w:r>
      <w:r w:rsidRPr="000E31A5">
        <w:rPr>
          <w:rFonts w:ascii="Century Schoolbook" w:hAnsi="Century Schoolbook" w:cs="Times New Roman"/>
          <w:bCs/>
          <w:szCs w:val="24"/>
        </w:rPr>
        <w:t xml:space="preserve">. The first </w:t>
      </w:r>
      <w:r w:rsidR="00E9347F">
        <w:rPr>
          <w:rFonts w:ascii="Century Schoolbook" w:hAnsi="Century Schoolbook" w:cs="Times New Roman"/>
          <w:bCs/>
          <w:szCs w:val="24"/>
        </w:rPr>
        <w:t>portion of the rule</w:t>
      </w:r>
      <w:r w:rsidRPr="000E31A5">
        <w:rPr>
          <w:rFonts w:ascii="Century Schoolbook" w:hAnsi="Century Schoolbook" w:cs="Times New Roman"/>
          <w:bCs/>
          <w:szCs w:val="24"/>
        </w:rPr>
        <w:t xml:space="preserve"> is a prohibition on discrimination</w:t>
      </w:r>
      <w:r w:rsidR="008822A5" w:rsidRPr="000E31A5">
        <w:rPr>
          <w:rFonts w:ascii="Century Schoolbook" w:hAnsi="Century Schoolbook" w:cs="Times New Roman"/>
          <w:bCs/>
          <w:szCs w:val="24"/>
        </w:rPr>
        <w:t xml:space="preserve"> </w:t>
      </w:r>
      <w:r w:rsidR="0099127B">
        <w:rPr>
          <w:rFonts w:ascii="Century Schoolbook" w:hAnsi="Century Schoolbook" w:cs="Times New Roman"/>
          <w:bCs/>
          <w:szCs w:val="24"/>
        </w:rPr>
        <w:t xml:space="preserve">in the provisions of non-jurisdictional service—an EDU simply cannot </w:t>
      </w:r>
      <w:r w:rsidR="00870767">
        <w:rPr>
          <w:rFonts w:ascii="Century Schoolbook" w:hAnsi="Century Schoolbook" w:cs="Times New Roman"/>
          <w:bCs/>
          <w:szCs w:val="24"/>
        </w:rPr>
        <w:t xml:space="preserve">provide preferential access to its own </w:t>
      </w:r>
      <w:r w:rsidR="00992594">
        <w:rPr>
          <w:rFonts w:ascii="Century Schoolbook" w:hAnsi="Century Schoolbook" w:cs="Times New Roman"/>
          <w:bCs/>
          <w:szCs w:val="24"/>
        </w:rPr>
        <w:t xml:space="preserve">and affiliated </w:t>
      </w:r>
      <w:r w:rsidR="00ED0180">
        <w:rPr>
          <w:rFonts w:ascii="Century Schoolbook" w:hAnsi="Century Schoolbook" w:cs="Times New Roman"/>
          <w:bCs/>
          <w:szCs w:val="24"/>
        </w:rPr>
        <w:t>offerings of non-juri</w:t>
      </w:r>
      <w:r w:rsidR="00B62225">
        <w:rPr>
          <w:rFonts w:ascii="Century Schoolbook" w:hAnsi="Century Schoolbook" w:cs="Times New Roman"/>
          <w:bCs/>
          <w:szCs w:val="24"/>
        </w:rPr>
        <w:t xml:space="preserve">sdictional </w:t>
      </w:r>
      <w:r w:rsidR="00C15E94">
        <w:rPr>
          <w:rFonts w:ascii="Century Schoolbook" w:hAnsi="Century Schoolbook" w:cs="Times New Roman"/>
          <w:bCs/>
          <w:szCs w:val="24"/>
        </w:rPr>
        <w:t>services</w:t>
      </w:r>
      <w:r w:rsidR="00B63460">
        <w:rPr>
          <w:rFonts w:ascii="Century Schoolbook" w:hAnsi="Century Schoolbook" w:cs="Times New Roman"/>
          <w:bCs/>
          <w:szCs w:val="24"/>
        </w:rPr>
        <w:t xml:space="preserve">.  </w:t>
      </w:r>
      <w:r w:rsidR="005A1F4B">
        <w:rPr>
          <w:rFonts w:ascii="Century Schoolbook" w:hAnsi="Century Schoolbook" w:cs="Times New Roman"/>
          <w:bCs/>
          <w:szCs w:val="24"/>
        </w:rPr>
        <w:t xml:space="preserve">The </w:t>
      </w:r>
      <w:r w:rsidR="00645436">
        <w:rPr>
          <w:rFonts w:ascii="Century Schoolbook" w:hAnsi="Century Schoolbook" w:cs="Times New Roman"/>
          <w:bCs/>
          <w:szCs w:val="24"/>
        </w:rPr>
        <w:t>second provision of the rule provides that EDUs may not unduly restrict</w:t>
      </w:r>
      <w:r w:rsidR="00B63460">
        <w:rPr>
          <w:rFonts w:ascii="Century Schoolbook" w:hAnsi="Century Schoolbook" w:cs="Times New Roman"/>
          <w:bCs/>
          <w:szCs w:val="24"/>
        </w:rPr>
        <w:t xml:space="preserve"> </w:t>
      </w:r>
      <w:r w:rsidR="00652496">
        <w:rPr>
          <w:rFonts w:ascii="Century Schoolbook" w:hAnsi="Century Schoolbook" w:cs="Times New Roman"/>
          <w:bCs/>
          <w:szCs w:val="24"/>
        </w:rPr>
        <w:t xml:space="preserve">CRES providers from placing </w:t>
      </w:r>
      <w:r w:rsidR="008D69D6">
        <w:rPr>
          <w:rFonts w:ascii="Century Schoolbook" w:hAnsi="Century Schoolbook" w:cs="Times New Roman"/>
          <w:bCs/>
          <w:szCs w:val="24"/>
        </w:rPr>
        <w:t>non-jurisdictional charges on the consolidated utility bill</w:t>
      </w:r>
      <w:r w:rsidR="00FC2B57" w:rsidRPr="000E31A5">
        <w:rPr>
          <w:rFonts w:ascii="Century Schoolbook" w:hAnsi="Century Schoolbook" w:cs="Times New Roman"/>
          <w:bCs/>
          <w:szCs w:val="24"/>
        </w:rPr>
        <w:t xml:space="preserve">. In its Application Duke makes it clear that it intends to </w:t>
      </w:r>
      <w:r w:rsidR="003327F6" w:rsidRPr="000E31A5">
        <w:rPr>
          <w:rFonts w:ascii="Century Schoolbook" w:hAnsi="Century Schoolbook" w:cs="Times New Roman"/>
          <w:bCs/>
          <w:szCs w:val="24"/>
        </w:rPr>
        <w:t>comply with th</w:t>
      </w:r>
      <w:r w:rsidR="008D69D6">
        <w:rPr>
          <w:rFonts w:ascii="Century Schoolbook" w:hAnsi="Century Schoolbook" w:cs="Times New Roman"/>
          <w:bCs/>
          <w:szCs w:val="24"/>
        </w:rPr>
        <w:t xml:space="preserve">e first provision </w:t>
      </w:r>
      <w:r w:rsidR="003327F6" w:rsidRPr="000E31A5">
        <w:rPr>
          <w:rFonts w:ascii="Century Schoolbook" w:hAnsi="Century Schoolbook" w:cs="Times New Roman"/>
          <w:bCs/>
          <w:szCs w:val="24"/>
        </w:rPr>
        <w:t>of the rule by removing all current affiliate non</w:t>
      </w:r>
      <w:r w:rsidR="006805CD" w:rsidRPr="000E31A5">
        <w:rPr>
          <w:rFonts w:ascii="Century Schoolbook" w:hAnsi="Century Schoolbook" w:cs="Times New Roman"/>
          <w:bCs/>
          <w:szCs w:val="24"/>
        </w:rPr>
        <w:t>-juris</w:t>
      </w:r>
      <w:r w:rsidR="00AB5621" w:rsidRPr="000E31A5">
        <w:rPr>
          <w:rFonts w:ascii="Century Schoolbook" w:hAnsi="Century Schoolbook" w:cs="Times New Roman"/>
          <w:bCs/>
          <w:szCs w:val="24"/>
        </w:rPr>
        <w:t xml:space="preserve">dictional charges </w:t>
      </w:r>
      <w:r w:rsidR="00C73013" w:rsidRPr="000E31A5">
        <w:rPr>
          <w:rFonts w:ascii="Century Schoolbook" w:hAnsi="Century Schoolbook" w:cs="Times New Roman"/>
          <w:bCs/>
          <w:szCs w:val="24"/>
        </w:rPr>
        <w:t>from its bill.</w:t>
      </w:r>
      <w:r w:rsidR="00C73013" w:rsidRPr="000E31A5">
        <w:rPr>
          <w:rStyle w:val="FootnoteReference"/>
          <w:rFonts w:ascii="Century Schoolbook" w:hAnsi="Century Schoolbook" w:cs="Times New Roman"/>
          <w:bCs/>
          <w:szCs w:val="24"/>
        </w:rPr>
        <w:footnoteReference w:id="14"/>
      </w:r>
      <w:r w:rsidR="000C6412" w:rsidRPr="000E31A5">
        <w:rPr>
          <w:rFonts w:ascii="Century Schoolbook" w:hAnsi="Century Schoolbook" w:cs="Times New Roman"/>
          <w:bCs/>
          <w:szCs w:val="24"/>
        </w:rPr>
        <w:t xml:space="preserve"> Duke</w:t>
      </w:r>
      <w:r w:rsidR="008D69D6">
        <w:rPr>
          <w:rFonts w:ascii="Century Schoolbook" w:hAnsi="Century Schoolbook" w:cs="Times New Roman"/>
          <w:bCs/>
          <w:szCs w:val="24"/>
        </w:rPr>
        <w:t>, however,</w:t>
      </w:r>
      <w:r w:rsidR="000C6412" w:rsidRPr="000E31A5">
        <w:rPr>
          <w:rFonts w:ascii="Century Schoolbook" w:hAnsi="Century Schoolbook" w:cs="Times New Roman"/>
          <w:bCs/>
          <w:szCs w:val="24"/>
        </w:rPr>
        <w:t xml:space="preserve"> does not address how it plans to comply with the second half of the rule which prohibits any undue restriction </w:t>
      </w:r>
      <w:r w:rsidR="004C524C" w:rsidRPr="000E31A5">
        <w:rPr>
          <w:rFonts w:ascii="Century Schoolbook" w:hAnsi="Century Schoolbook" w:cs="Times New Roman"/>
          <w:bCs/>
          <w:szCs w:val="24"/>
        </w:rPr>
        <w:t>of a customer’s CRES provider</w:t>
      </w:r>
      <w:r w:rsidR="00D73B24">
        <w:rPr>
          <w:rFonts w:ascii="Century Schoolbook" w:hAnsi="Century Schoolbook" w:cs="Times New Roman"/>
          <w:bCs/>
          <w:szCs w:val="24"/>
        </w:rPr>
        <w:t xml:space="preserve"> from</w:t>
      </w:r>
      <w:r w:rsidR="004C524C" w:rsidRPr="000E31A5">
        <w:rPr>
          <w:rFonts w:ascii="Century Schoolbook" w:hAnsi="Century Schoolbook" w:cs="Times New Roman"/>
          <w:bCs/>
          <w:szCs w:val="24"/>
        </w:rPr>
        <w:t xml:space="preserve"> adding non-jurisdictional charges to the</w:t>
      </w:r>
      <w:r w:rsidR="00D73B24">
        <w:rPr>
          <w:rFonts w:ascii="Century Schoolbook" w:hAnsi="Century Schoolbook" w:cs="Times New Roman"/>
          <w:bCs/>
          <w:szCs w:val="24"/>
        </w:rPr>
        <w:t xml:space="preserve"> consolidated</w:t>
      </w:r>
      <w:r w:rsidR="004C524C" w:rsidRPr="000E31A5">
        <w:rPr>
          <w:rFonts w:ascii="Century Schoolbook" w:hAnsi="Century Schoolbook" w:cs="Times New Roman"/>
          <w:bCs/>
          <w:szCs w:val="24"/>
        </w:rPr>
        <w:t xml:space="preserve"> bill. </w:t>
      </w:r>
    </w:p>
    <w:p w14:paraId="43F602DD" w14:textId="1A9B49D4" w:rsidR="0075451C" w:rsidRPr="000E31A5" w:rsidRDefault="0075451C" w:rsidP="002931C9">
      <w:pPr>
        <w:spacing w:line="480" w:lineRule="auto"/>
        <w:ind w:left="360" w:right="0" w:firstLine="360"/>
        <w:jc w:val="both"/>
        <w:rPr>
          <w:rFonts w:ascii="Century Schoolbook" w:hAnsi="Century Schoolbook" w:cs="Times New Roman"/>
          <w:bCs/>
          <w:szCs w:val="24"/>
        </w:rPr>
      </w:pPr>
      <w:r w:rsidRPr="000E31A5">
        <w:rPr>
          <w:rFonts w:ascii="Century Schoolbook" w:hAnsi="Century Schoolbook" w:cs="Times New Roman"/>
          <w:bCs/>
          <w:szCs w:val="24"/>
        </w:rPr>
        <w:t>Duke admits that it already possesses the functionality to add such charges, has incurred no additional costs in the past decade in order to maintain or upgrade that functionality,</w:t>
      </w:r>
      <w:r w:rsidR="001A4806" w:rsidRPr="000E31A5">
        <w:rPr>
          <w:rFonts w:ascii="Century Schoolbook" w:hAnsi="Century Schoolbook" w:cs="Times New Roman"/>
          <w:bCs/>
          <w:szCs w:val="24"/>
        </w:rPr>
        <w:t xml:space="preserve"> and </w:t>
      </w:r>
      <w:r w:rsidR="00B632F8" w:rsidRPr="000E31A5">
        <w:rPr>
          <w:rFonts w:ascii="Century Schoolbook" w:hAnsi="Century Schoolbook" w:cs="Times New Roman"/>
          <w:bCs/>
          <w:szCs w:val="24"/>
        </w:rPr>
        <w:t xml:space="preserve">wants to continue offering the service for at least </w:t>
      </w:r>
      <w:r w:rsidR="00BF2C42" w:rsidRPr="000E31A5">
        <w:rPr>
          <w:rFonts w:ascii="Century Schoolbook" w:hAnsi="Century Schoolbook" w:cs="Times New Roman"/>
          <w:bCs/>
          <w:szCs w:val="24"/>
        </w:rPr>
        <w:t>twelve</w:t>
      </w:r>
      <w:r w:rsidR="00B632F8" w:rsidRPr="000E31A5">
        <w:rPr>
          <w:rFonts w:ascii="Century Schoolbook" w:hAnsi="Century Schoolbook" w:cs="Times New Roman"/>
          <w:bCs/>
          <w:szCs w:val="24"/>
        </w:rPr>
        <w:t xml:space="preserve"> additional months. </w:t>
      </w:r>
      <w:r w:rsidRPr="000E31A5">
        <w:rPr>
          <w:rFonts w:ascii="Century Schoolbook" w:hAnsi="Century Schoolbook" w:cs="Times New Roman"/>
          <w:bCs/>
          <w:szCs w:val="24"/>
        </w:rPr>
        <w:t xml:space="preserve"> </w:t>
      </w:r>
      <w:r w:rsidR="003732E3" w:rsidRPr="000E31A5">
        <w:rPr>
          <w:rFonts w:ascii="Century Schoolbook" w:hAnsi="Century Schoolbook" w:cs="Times New Roman"/>
          <w:bCs/>
          <w:szCs w:val="24"/>
        </w:rPr>
        <w:t>There is zero evidence</w:t>
      </w:r>
      <w:r w:rsidR="00BF2C42" w:rsidRPr="000E31A5">
        <w:rPr>
          <w:rFonts w:ascii="Century Schoolbook" w:hAnsi="Century Schoolbook" w:cs="Times New Roman"/>
          <w:bCs/>
          <w:szCs w:val="24"/>
        </w:rPr>
        <w:t xml:space="preserve"> that should lead the </w:t>
      </w:r>
      <w:r w:rsidR="00BF2C42" w:rsidRPr="000E31A5">
        <w:rPr>
          <w:rFonts w:ascii="Century Schoolbook" w:hAnsi="Century Schoolbook" w:cs="Times New Roman"/>
          <w:bCs/>
          <w:szCs w:val="24"/>
        </w:rPr>
        <w:lastRenderedPageBreak/>
        <w:t xml:space="preserve">Commission to </w:t>
      </w:r>
      <w:r w:rsidR="000D462C" w:rsidRPr="000E31A5">
        <w:rPr>
          <w:rFonts w:ascii="Century Schoolbook" w:hAnsi="Century Schoolbook" w:cs="Times New Roman"/>
          <w:bCs/>
          <w:szCs w:val="24"/>
        </w:rPr>
        <w:t>believe that</w:t>
      </w:r>
      <w:r w:rsidR="003732E3" w:rsidRPr="000E31A5">
        <w:rPr>
          <w:rFonts w:ascii="Century Schoolbook" w:hAnsi="Century Schoolbook" w:cs="Times New Roman"/>
          <w:bCs/>
          <w:szCs w:val="24"/>
        </w:rPr>
        <w:t xml:space="preserve"> Duke is entitled to </w:t>
      </w:r>
      <w:r w:rsidR="00BF2C42" w:rsidRPr="000E31A5">
        <w:rPr>
          <w:rFonts w:ascii="Century Schoolbook" w:hAnsi="Century Schoolbook" w:cs="Times New Roman"/>
          <w:bCs/>
          <w:szCs w:val="24"/>
        </w:rPr>
        <w:t>twelve additional months</w:t>
      </w:r>
      <w:r w:rsidR="00D73B24">
        <w:rPr>
          <w:rFonts w:ascii="Century Schoolbook" w:hAnsi="Century Schoolbook" w:cs="Times New Roman"/>
          <w:bCs/>
          <w:szCs w:val="24"/>
        </w:rPr>
        <w:t>, or longer,</w:t>
      </w:r>
      <w:r w:rsidR="00BF2C42" w:rsidRPr="000E31A5">
        <w:rPr>
          <w:rFonts w:ascii="Century Schoolbook" w:hAnsi="Century Schoolbook" w:cs="Times New Roman"/>
          <w:bCs/>
          <w:szCs w:val="24"/>
        </w:rPr>
        <w:t xml:space="preserve"> of</w:t>
      </w:r>
      <w:r w:rsidR="000D462C" w:rsidRPr="000E31A5">
        <w:rPr>
          <w:rFonts w:ascii="Century Schoolbook" w:hAnsi="Century Schoolbook" w:cs="Times New Roman"/>
          <w:bCs/>
          <w:szCs w:val="24"/>
        </w:rPr>
        <w:t xml:space="preserve"> undue restriction </w:t>
      </w:r>
      <w:r w:rsidR="00DA6256" w:rsidRPr="000E31A5">
        <w:rPr>
          <w:rFonts w:ascii="Century Schoolbook" w:hAnsi="Century Schoolbook" w:cs="Times New Roman"/>
          <w:bCs/>
          <w:szCs w:val="24"/>
        </w:rPr>
        <w:t xml:space="preserve">of their </w:t>
      </w:r>
      <w:r w:rsidR="006F56FD">
        <w:rPr>
          <w:rFonts w:ascii="Century Schoolbook" w:hAnsi="Century Schoolbook" w:cs="Times New Roman"/>
          <w:bCs/>
          <w:szCs w:val="24"/>
        </w:rPr>
        <w:t xml:space="preserve">consolidated </w:t>
      </w:r>
      <w:r w:rsidR="00DA6256" w:rsidRPr="000E31A5">
        <w:rPr>
          <w:rFonts w:ascii="Century Schoolbook" w:hAnsi="Century Schoolbook" w:cs="Times New Roman"/>
          <w:bCs/>
          <w:szCs w:val="24"/>
        </w:rPr>
        <w:t xml:space="preserve">bill. </w:t>
      </w:r>
      <w:r w:rsidR="00BF2C42" w:rsidRPr="000E31A5">
        <w:rPr>
          <w:rFonts w:ascii="Century Schoolbook" w:hAnsi="Century Schoolbook" w:cs="Times New Roman"/>
          <w:bCs/>
          <w:szCs w:val="24"/>
        </w:rPr>
        <w:t xml:space="preserve"> </w:t>
      </w:r>
    </w:p>
    <w:p w14:paraId="74050958" w14:textId="3295D0F7" w:rsidR="002C4990" w:rsidRDefault="002C4990" w:rsidP="002931C9">
      <w:pPr>
        <w:spacing w:line="480" w:lineRule="auto"/>
        <w:ind w:left="360" w:right="0" w:firstLine="360"/>
        <w:jc w:val="both"/>
        <w:rPr>
          <w:rFonts w:ascii="Century Schoolbook" w:hAnsi="Century Schoolbook" w:cs="Times New Roman"/>
          <w:bCs/>
          <w:szCs w:val="24"/>
        </w:rPr>
      </w:pPr>
      <w:r w:rsidRPr="000E31A5">
        <w:rPr>
          <w:rFonts w:ascii="Century Schoolbook" w:hAnsi="Century Schoolbook" w:cs="Times New Roman"/>
          <w:bCs/>
          <w:szCs w:val="24"/>
        </w:rPr>
        <w:t>Duke’s only</w:t>
      </w:r>
      <w:r w:rsidR="005E627D" w:rsidRPr="000E31A5">
        <w:rPr>
          <w:rFonts w:ascii="Century Schoolbook" w:hAnsi="Century Schoolbook" w:cs="Times New Roman"/>
          <w:bCs/>
          <w:szCs w:val="24"/>
        </w:rPr>
        <w:t xml:space="preserve"> real</w:t>
      </w:r>
      <w:r w:rsidRPr="000E31A5">
        <w:rPr>
          <w:rFonts w:ascii="Century Schoolbook" w:hAnsi="Century Schoolbook" w:cs="Times New Roman"/>
          <w:bCs/>
          <w:szCs w:val="24"/>
        </w:rPr>
        <w:t xml:space="preserve"> argument</w:t>
      </w:r>
      <w:r w:rsidR="005E627D" w:rsidRPr="000E31A5">
        <w:rPr>
          <w:rFonts w:ascii="Century Schoolbook" w:hAnsi="Century Schoolbook" w:cs="Times New Roman"/>
          <w:bCs/>
          <w:szCs w:val="24"/>
        </w:rPr>
        <w:t xml:space="preserve"> boils down to playground logic of</w:t>
      </w:r>
      <w:r w:rsidRPr="000E31A5">
        <w:rPr>
          <w:rFonts w:ascii="Century Schoolbook" w:hAnsi="Century Schoolbook" w:cs="Times New Roman"/>
          <w:bCs/>
          <w:szCs w:val="24"/>
        </w:rPr>
        <w:t xml:space="preserve"> “if we don’t do it then they can’t either</w:t>
      </w:r>
      <w:r w:rsidR="005E627D" w:rsidRPr="000E31A5">
        <w:rPr>
          <w:rFonts w:ascii="Century Schoolbook" w:hAnsi="Century Schoolbook" w:cs="Times New Roman"/>
          <w:bCs/>
          <w:szCs w:val="24"/>
        </w:rPr>
        <w:t>.</w:t>
      </w:r>
      <w:r w:rsidRPr="000E31A5">
        <w:rPr>
          <w:rFonts w:ascii="Century Schoolbook" w:hAnsi="Century Schoolbook" w:cs="Times New Roman"/>
          <w:bCs/>
          <w:szCs w:val="24"/>
        </w:rPr>
        <w:t>”</w:t>
      </w:r>
      <w:r w:rsidR="005E627D" w:rsidRPr="000E31A5">
        <w:rPr>
          <w:rFonts w:ascii="Century Schoolbook" w:hAnsi="Century Schoolbook" w:cs="Times New Roman"/>
          <w:bCs/>
          <w:szCs w:val="24"/>
        </w:rPr>
        <w:t xml:space="preserve"> </w:t>
      </w:r>
      <w:r w:rsidR="00CB0D56" w:rsidRPr="000E31A5">
        <w:rPr>
          <w:rFonts w:ascii="Century Schoolbook" w:hAnsi="Century Schoolbook" w:cs="Times New Roman"/>
          <w:bCs/>
          <w:szCs w:val="24"/>
        </w:rPr>
        <w:t xml:space="preserve">Nowhere in the rule does it </w:t>
      </w:r>
      <w:r w:rsidR="00927DDE" w:rsidRPr="000E31A5">
        <w:rPr>
          <w:rFonts w:ascii="Century Schoolbook" w:hAnsi="Century Schoolbook" w:cs="Times New Roman"/>
          <w:bCs/>
          <w:szCs w:val="24"/>
        </w:rPr>
        <w:t xml:space="preserve">imply that if a utility or its affiliate do not offer any non-jurisdictional products then CRES suppliers cannot either, this would be counterintuitive to state policy encouraging </w:t>
      </w:r>
      <w:r w:rsidR="00C65DA3">
        <w:rPr>
          <w:rFonts w:ascii="Century Schoolbook" w:hAnsi="Century Schoolbook" w:cs="Times New Roman"/>
          <w:bCs/>
          <w:szCs w:val="24"/>
        </w:rPr>
        <w:t>the development and deployment of in</w:t>
      </w:r>
      <w:r w:rsidR="00BD6BD1">
        <w:rPr>
          <w:rFonts w:ascii="Century Schoolbook" w:hAnsi="Century Schoolbook" w:cs="Times New Roman"/>
          <w:bCs/>
          <w:szCs w:val="24"/>
        </w:rPr>
        <w:t>novative products and services</w:t>
      </w:r>
      <w:r w:rsidR="002B60DC" w:rsidRPr="000E31A5">
        <w:rPr>
          <w:rFonts w:ascii="Century Schoolbook" w:hAnsi="Century Schoolbook" w:cs="Times New Roman"/>
          <w:bCs/>
          <w:szCs w:val="24"/>
        </w:rPr>
        <w:t>.</w:t>
      </w:r>
      <w:r w:rsidR="002B60DC" w:rsidRPr="000E31A5">
        <w:rPr>
          <w:rStyle w:val="FootnoteReference"/>
          <w:rFonts w:ascii="Century Schoolbook" w:hAnsi="Century Schoolbook" w:cs="Times New Roman"/>
          <w:bCs/>
          <w:szCs w:val="24"/>
        </w:rPr>
        <w:footnoteReference w:id="15"/>
      </w:r>
      <w:r w:rsidR="002B60DC" w:rsidRPr="000E31A5">
        <w:rPr>
          <w:rFonts w:ascii="Century Schoolbook" w:hAnsi="Century Schoolbook" w:cs="Times New Roman"/>
          <w:bCs/>
          <w:szCs w:val="24"/>
        </w:rPr>
        <w:t xml:space="preserve">  </w:t>
      </w:r>
      <w:r w:rsidR="00DD071F" w:rsidRPr="000E31A5">
        <w:rPr>
          <w:rFonts w:ascii="Century Schoolbook" w:hAnsi="Century Schoolbook" w:cs="Times New Roman"/>
          <w:bCs/>
          <w:szCs w:val="24"/>
        </w:rPr>
        <w:t xml:space="preserve">The rule simply states that a utility may not discriminate </w:t>
      </w:r>
      <w:r w:rsidR="00882148" w:rsidRPr="000E31A5">
        <w:rPr>
          <w:rFonts w:ascii="Century Schoolbook" w:hAnsi="Century Schoolbook" w:cs="Times New Roman"/>
          <w:bCs/>
          <w:i/>
          <w:iCs/>
          <w:szCs w:val="24"/>
        </w:rPr>
        <w:t>or</w:t>
      </w:r>
      <w:r w:rsidR="00882148" w:rsidRPr="000E31A5">
        <w:rPr>
          <w:rFonts w:ascii="Century Schoolbook" w:hAnsi="Century Schoolbook" w:cs="Times New Roman"/>
          <w:bCs/>
          <w:szCs w:val="24"/>
        </w:rPr>
        <w:t xml:space="preserve"> unduly restrict. Simply removing affiliate charges from the company bill may remove the discrimination but</w:t>
      </w:r>
      <w:r w:rsidR="002B60DC" w:rsidRPr="000E31A5">
        <w:rPr>
          <w:rFonts w:ascii="Century Schoolbook" w:hAnsi="Century Schoolbook" w:cs="Times New Roman"/>
          <w:bCs/>
          <w:szCs w:val="24"/>
        </w:rPr>
        <w:t xml:space="preserve"> with</w:t>
      </w:r>
      <w:r w:rsidR="00882148" w:rsidRPr="000E31A5">
        <w:rPr>
          <w:rFonts w:ascii="Century Schoolbook" w:hAnsi="Century Schoolbook" w:cs="Times New Roman"/>
          <w:bCs/>
          <w:szCs w:val="24"/>
        </w:rPr>
        <w:t xml:space="preserve"> the functionality</w:t>
      </w:r>
      <w:r w:rsidR="008C6D83" w:rsidRPr="000E31A5">
        <w:rPr>
          <w:rFonts w:ascii="Century Schoolbook" w:hAnsi="Century Schoolbook" w:cs="Times New Roman"/>
          <w:bCs/>
          <w:szCs w:val="24"/>
        </w:rPr>
        <w:t xml:space="preserve"> already enabled and paid for</w:t>
      </w:r>
      <w:r w:rsidR="00BD6BD1">
        <w:rPr>
          <w:rFonts w:ascii="Century Schoolbook" w:hAnsi="Century Schoolbook" w:cs="Times New Roman"/>
          <w:bCs/>
          <w:szCs w:val="24"/>
        </w:rPr>
        <w:t xml:space="preserve">, </w:t>
      </w:r>
      <w:r w:rsidR="00386A7E">
        <w:rPr>
          <w:rFonts w:ascii="Century Schoolbook" w:hAnsi="Century Schoolbook" w:cs="Times New Roman"/>
          <w:bCs/>
          <w:szCs w:val="24"/>
        </w:rPr>
        <w:t>prohibiting</w:t>
      </w:r>
      <w:r w:rsidR="006F56FD">
        <w:rPr>
          <w:rFonts w:ascii="Century Schoolbook" w:hAnsi="Century Schoolbook" w:cs="Times New Roman"/>
          <w:bCs/>
          <w:szCs w:val="24"/>
        </w:rPr>
        <w:t xml:space="preserve"> </w:t>
      </w:r>
      <w:r w:rsidR="008C6D83" w:rsidRPr="000E31A5">
        <w:rPr>
          <w:rFonts w:ascii="Century Schoolbook" w:hAnsi="Century Schoolbook" w:cs="Times New Roman"/>
          <w:bCs/>
          <w:szCs w:val="24"/>
        </w:rPr>
        <w:t xml:space="preserve">CRES </w:t>
      </w:r>
      <w:r w:rsidR="00386A7E">
        <w:rPr>
          <w:rFonts w:ascii="Century Schoolbook" w:hAnsi="Century Schoolbook" w:cs="Times New Roman"/>
          <w:bCs/>
          <w:szCs w:val="24"/>
        </w:rPr>
        <w:t>providers</w:t>
      </w:r>
      <w:r w:rsidR="00386A7E" w:rsidRPr="000E31A5">
        <w:rPr>
          <w:rFonts w:ascii="Century Schoolbook" w:hAnsi="Century Schoolbook" w:cs="Times New Roman"/>
          <w:bCs/>
          <w:szCs w:val="24"/>
        </w:rPr>
        <w:t xml:space="preserve"> </w:t>
      </w:r>
      <w:r w:rsidR="008C6D83" w:rsidRPr="000E31A5">
        <w:rPr>
          <w:rFonts w:ascii="Century Schoolbook" w:hAnsi="Century Schoolbook" w:cs="Times New Roman"/>
          <w:bCs/>
          <w:szCs w:val="24"/>
        </w:rPr>
        <w:t xml:space="preserve">access </w:t>
      </w:r>
      <w:r w:rsidR="00E336E3" w:rsidRPr="000E31A5">
        <w:rPr>
          <w:rFonts w:ascii="Century Schoolbook" w:hAnsi="Century Schoolbook" w:cs="Times New Roman"/>
          <w:bCs/>
          <w:szCs w:val="24"/>
        </w:rPr>
        <w:t xml:space="preserve">would </w:t>
      </w:r>
      <w:r w:rsidR="00386A7E">
        <w:rPr>
          <w:rFonts w:ascii="Century Schoolbook" w:hAnsi="Century Schoolbook" w:cs="Times New Roman"/>
          <w:bCs/>
          <w:szCs w:val="24"/>
        </w:rPr>
        <w:t>constitut</w:t>
      </w:r>
      <w:r w:rsidR="006F56FD">
        <w:rPr>
          <w:rFonts w:ascii="Century Schoolbook" w:hAnsi="Century Schoolbook" w:cs="Times New Roman"/>
          <w:bCs/>
          <w:szCs w:val="24"/>
        </w:rPr>
        <w:t>e</w:t>
      </w:r>
      <w:r w:rsidR="00E336E3" w:rsidRPr="000E31A5">
        <w:rPr>
          <w:rFonts w:ascii="Century Schoolbook" w:hAnsi="Century Schoolbook" w:cs="Times New Roman"/>
          <w:bCs/>
          <w:szCs w:val="24"/>
        </w:rPr>
        <w:t xml:space="preserve"> undue restriction with no justification. </w:t>
      </w:r>
      <w:r w:rsidR="00386A7E">
        <w:rPr>
          <w:rFonts w:ascii="Century Schoolbook" w:hAnsi="Century Schoolbook" w:cs="Times New Roman"/>
          <w:bCs/>
          <w:szCs w:val="24"/>
        </w:rPr>
        <w:t xml:space="preserve"> Given that Duke has utterly failed to even attempt to </w:t>
      </w:r>
      <w:r w:rsidR="001239F6">
        <w:rPr>
          <w:rFonts w:ascii="Century Schoolbook" w:hAnsi="Century Schoolbook" w:cs="Times New Roman"/>
          <w:bCs/>
          <w:szCs w:val="24"/>
        </w:rPr>
        <w:t>demonstrate</w:t>
      </w:r>
      <w:r w:rsidR="00386A7E">
        <w:rPr>
          <w:rFonts w:ascii="Century Schoolbook" w:hAnsi="Century Schoolbook" w:cs="Times New Roman"/>
          <w:bCs/>
          <w:szCs w:val="24"/>
        </w:rPr>
        <w:t xml:space="preserve"> why CRES providers should </w:t>
      </w:r>
      <w:r w:rsidR="001948ED">
        <w:rPr>
          <w:rFonts w:ascii="Century Schoolbook" w:hAnsi="Century Schoolbook" w:cs="Times New Roman"/>
          <w:bCs/>
          <w:szCs w:val="24"/>
        </w:rPr>
        <w:t xml:space="preserve">be denied </w:t>
      </w:r>
      <w:r w:rsidR="00C44848">
        <w:rPr>
          <w:rFonts w:ascii="Century Schoolbook" w:hAnsi="Century Schoolbook" w:cs="Times New Roman"/>
          <w:bCs/>
          <w:szCs w:val="24"/>
        </w:rPr>
        <w:t>comparable access</w:t>
      </w:r>
      <w:r w:rsidR="001023F9">
        <w:rPr>
          <w:rFonts w:ascii="Century Schoolbook" w:hAnsi="Century Schoolbook" w:cs="Times New Roman"/>
          <w:bCs/>
          <w:szCs w:val="24"/>
        </w:rPr>
        <w:t xml:space="preserve"> to</w:t>
      </w:r>
      <w:r w:rsidR="00C44848">
        <w:rPr>
          <w:rFonts w:ascii="Century Schoolbook" w:hAnsi="Century Schoolbook" w:cs="Times New Roman"/>
          <w:bCs/>
          <w:szCs w:val="24"/>
        </w:rPr>
        <w:t xml:space="preserve"> </w:t>
      </w:r>
      <w:r w:rsidR="00976148">
        <w:rPr>
          <w:rFonts w:ascii="Century Schoolbook" w:hAnsi="Century Schoolbook" w:cs="Times New Roman"/>
          <w:bCs/>
          <w:szCs w:val="24"/>
        </w:rPr>
        <w:t>that</w:t>
      </w:r>
      <w:r w:rsidR="001023F9">
        <w:rPr>
          <w:rFonts w:ascii="Century Schoolbook" w:hAnsi="Century Schoolbook" w:cs="Times New Roman"/>
          <w:bCs/>
          <w:szCs w:val="24"/>
        </w:rPr>
        <w:t xml:space="preserve"> which</w:t>
      </w:r>
      <w:r w:rsidR="00976148">
        <w:rPr>
          <w:rFonts w:ascii="Century Schoolbook" w:hAnsi="Century Schoolbook" w:cs="Times New Roman"/>
          <w:bCs/>
          <w:szCs w:val="24"/>
        </w:rPr>
        <w:t xml:space="preserve"> Duke’s affiliate has enjoyed for several years, t</w:t>
      </w:r>
      <w:r w:rsidR="00CB0D56" w:rsidRPr="000E31A5">
        <w:rPr>
          <w:rFonts w:ascii="Century Schoolbook" w:hAnsi="Century Schoolbook" w:cs="Times New Roman"/>
          <w:bCs/>
          <w:szCs w:val="24"/>
        </w:rPr>
        <w:t xml:space="preserve">he Commission should deny Duke’s waiver request and enforce the rules as written. </w:t>
      </w:r>
      <w:r w:rsidR="00882148" w:rsidRPr="000E31A5">
        <w:rPr>
          <w:rFonts w:ascii="Century Schoolbook" w:hAnsi="Century Schoolbook" w:cs="Times New Roman"/>
          <w:bCs/>
          <w:szCs w:val="24"/>
        </w:rPr>
        <w:t xml:space="preserve">  </w:t>
      </w:r>
    </w:p>
    <w:p w14:paraId="3B0D1DC7" w14:textId="7458AE5D" w:rsidR="00513896" w:rsidRDefault="003617FA" w:rsidP="002931C9">
      <w:pPr>
        <w:pStyle w:val="ListParagraph"/>
        <w:numPr>
          <w:ilvl w:val="0"/>
          <w:numId w:val="4"/>
        </w:numPr>
        <w:spacing w:line="240" w:lineRule="auto"/>
        <w:ind w:right="0"/>
        <w:jc w:val="both"/>
        <w:rPr>
          <w:rFonts w:ascii="Century Schoolbook" w:hAnsi="Century Schoolbook" w:cs="Times New Roman"/>
          <w:b/>
          <w:szCs w:val="24"/>
        </w:rPr>
      </w:pPr>
      <w:r>
        <w:rPr>
          <w:rFonts w:ascii="Century Schoolbook" w:hAnsi="Century Schoolbook" w:cs="Times New Roman"/>
          <w:b/>
          <w:szCs w:val="24"/>
        </w:rPr>
        <w:t>The</w:t>
      </w:r>
      <w:r w:rsidR="00513896">
        <w:rPr>
          <w:rFonts w:ascii="Century Schoolbook" w:hAnsi="Century Schoolbook" w:cs="Times New Roman"/>
          <w:b/>
          <w:szCs w:val="24"/>
        </w:rPr>
        <w:t xml:space="preserve"> Commission should give Duke no more than 30 days to cease </w:t>
      </w:r>
      <w:r>
        <w:rPr>
          <w:rFonts w:ascii="Century Schoolbook" w:hAnsi="Century Schoolbook" w:cs="Times New Roman"/>
          <w:b/>
          <w:szCs w:val="24"/>
        </w:rPr>
        <w:t>all non-jurisdictional billing or open the functionality to CRES providers.</w:t>
      </w:r>
    </w:p>
    <w:p w14:paraId="09261283" w14:textId="14A0CE49" w:rsidR="003617FA" w:rsidRDefault="003617FA" w:rsidP="002931C9">
      <w:pPr>
        <w:pStyle w:val="ListParagraph"/>
        <w:spacing w:line="240" w:lineRule="auto"/>
        <w:ind w:right="0"/>
        <w:jc w:val="both"/>
        <w:rPr>
          <w:rFonts w:ascii="Century Schoolbook" w:hAnsi="Century Schoolbook" w:cs="Times New Roman"/>
          <w:b/>
          <w:szCs w:val="24"/>
        </w:rPr>
      </w:pPr>
    </w:p>
    <w:p w14:paraId="78167DD0" w14:textId="63474257" w:rsidR="003617FA" w:rsidRPr="003617FA" w:rsidRDefault="003617FA" w:rsidP="002931C9">
      <w:pPr>
        <w:spacing w:line="480" w:lineRule="auto"/>
        <w:ind w:left="360" w:right="0" w:firstLine="360"/>
        <w:jc w:val="both"/>
        <w:rPr>
          <w:rFonts w:ascii="Century Schoolbook" w:hAnsi="Century Schoolbook" w:cs="Times New Roman"/>
          <w:bCs/>
          <w:szCs w:val="24"/>
        </w:rPr>
      </w:pPr>
      <w:r>
        <w:rPr>
          <w:rFonts w:ascii="Century Schoolbook" w:hAnsi="Century Schoolbook" w:cs="Times New Roman"/>
          <w:bCs/>
          <w:szCs w:val="24"/>
        </w:rPr>
        <w:t>In its Application Duke requests a full twelve months in order to drop customers cu</w:t>
      </w:r>
      <w:r w:rsidR="00D51F99">
        <w:rPr>
          <w:rFonts w:ascii="Century Schoolbook" w:hAnsi="Century Schoolbook" w:cs="Times New Roman"/>
          <w:bCs/>
          <w:szCs w:val="24"/>
        </w:rPr>
        <w:t>rrently paying for non-jurisdictional charges of its affiliate</w:t>
      </w:r>
      <w:r w:rsidR="001023F9">
        <w:rPr>
          <w:rFonts w:ascii="Century Schoolbook" w:hAnsi="Century Schoolbook" w:cs="Times New Roman"/>
          <w:bCs/>
          <w:szCs w:val="24"/>
        </w:rPr>
        <w:t xml:space="preserve"> through the consolidated billing mechanism</w:t>
      </w:r>
      <w:r w:rsidR="00D51F99">
        <w:rPr>
          <w:rFonts w:ascii="Century Schoolbook" w:hAnsi="Century Schoolbook" w:cs="Times New Roman"/>
          <w:bCs/>
          <w:szCs w:val="24"/>
        </w:rPr>
        <w:t xml:space="preserve">. Duke has demonstrated no need for </w:t>
      </w:r>
      <w:r w:rsidR="00DA0867">
        <w:rPr>
          <w:rFonts w:ascii="Century Schoolbook" w:hAnsi="Century Schoolbook" w:cs="Times New Roman"/>
          <w:bCs/>
          <w:szCs w:val="24"/>
        </w:rPr>
        <w:t xml:space="preserve">any time beyond a single billing cycle to drop </w:t>
      </w:r>
      <w:proofErr w:type="gramStart"/>
      <w:r w:rsidR="00DA0867">
        <w:rPr>
          <w:rFonts w:ascii="Century Schoolbook" w:hAnsi="Century Schoolbook" w:cs="Times New Roman"/>
          <w:bCs/>
          <w:szCs w:val="24"/>
        </w:rPr>
        <w:t>all of</w:t>
      </w:r>
      <w:proofErr w:type="gramEnd"/>
      <w:r w:rsidR="00DA0867">
        <w:rPr>
          <w:rFonts w:ascii="Century Schoolbook" w:hAnsi="Century Schoolbook" w:cs="Times New Roman"/>
          <w:bCs/>
          <w:szCs w:val="24"/>
        </w:rPr>
        <w:t xml:space="preserve"> </w:t>
      </w:r>
      <w:r w:rsidR="00DA0867">
        <w:rPr>
          <w:rFonts w:ascii="Century Schoolbook" w:hAnsi="Century Schoolbook" w:cs="Times New Roman"/>
          <w:bCs/>
          <w:szCs w:val="24"/>
        </w:rPr>
        <w:lastRenderedPageBreak/>
        <w:t xml:space="preserve">these customers. Duke is under to </w:t>
      </w:r>
      <w:r w:rsidR="005B79DF">
        <w:rPr>
          <w:rFonts w:ascii="Century Schoolbook" w:hAnsi="Century Schoolbook" w:cs="Times New Roman"/>
          <w:bCs/>
          <w:szCs w:val="24"/>
        </w:rPr>
        <w:t xml:space="preserve">no obligation to communicate with these customers or aid its affiliate in retention of these customers now that their billing arrangement is unlawful. </w:t>
      </w:r>
      <w:r w:rsidR="00837D12">
        <w:rPr>
          <w:rFonts w:ascii="Century Schoolbook" w:hAnsi="Century Schoolbook" w:cs="Times New Roman"/>
          <w:bCs/>
          <w:szCs w:val="24"/>
        </w:rPr>
        <w:t xml:space="preserve">One of the core abilities of any billing system is to allow for the addition and removal of customers. </w:t>
      </w:r>
      <w:r w:rsidR="00B93CF1">
        <w:rPr>
          <w:rFonts w:ascii="Century Schoolbook" w:hAnsi="Century Schoolbook" w:cs="Times New Roman"/>
          <w:bCs/>
          <w:szCs w:val="24"/>
        </w:rPr>
        <w:t xml:space="preserve">In addition to the </w:t>
      </w:r>
      <w:r w:rsidR="005B16E2">
        <w:rPr>
          <w:rFonts w:ascii="Century Schoolbook" w:hAnsi="Century Schoolbook" w:cs="Times New Roman"/>
          <w:bCs/>
          <w:szCs w:val="24"/>
        </w:rPr>
        <w:t xml:space="preserve">600 days of notice leading up to the enactment of these rules </w:t>
      </w:r>
      <w:r w:rsidR="00837D12">
        <w:rPr>
          <w:rFonts w:ascii="Century Schoolbook" w:hAnsi="Century Schoolbook" w:cs="Times New Roman"/>
          <w:bCs/>
          <w:szCs w:val="24"/>
        </w:rPr>
        <w:t>Duke has not demonstrated any reason why it cannot immediately remove all non-jurisdictional charges</w:t>
      </w:r>
      <w:r w:rsidR="00B93CF1">
        <w:rPr>
          <w:rFonts w:ascii="Century Schoolbook" w:hAnsi="Century Schoolbook" w:cs="Times New Roman"/>
          <w:bCs/>
          <w:szCs w:val="24"/>
        </w:rPr>
        <w:t xml:space="preserve">. </w:t>
      </w:r>
      <w:r w:rsidR="00675254">
        <w:rPr>
          <w:rFonts w:ascii="Century Schoolbook" w:hAnsi="Century Schoolbook" w:cs="Times New Roman"/>
          <w:bCs/>
          <w:szCs w:val="24"/>
        </w:rPr>
        <w:t xml:space="preserve">To the </w:t>
      </w:r>
      <w:r w:rsidR="008D474B">
        <w:rPr>
          <w:rFonts w:ascii="Century Schoolbook" w:hAnsi="Century Schoolbook" w:cs="Times New Roman"/>
          <w:bCs/>
          <w:szCs w:val="24"/>
        </w:rPr>
        <w:t>extent that Duke continues to desire to discriminate against CRES providers in the provision of non-jurisdictional products, t</w:t>
      </w:r>
      <w:r w:rsidR="00B93CF1">
        <w:rPr>
          <w:rFonts w:ascii="Century Schoolbook" w:hAnsi="Century Schoolbook" w:cs="Times New Roman"/>
          <w:bCs/>
          <w:szCs w:val="24"/>
        </w:rPr>
        <w:t xml:space="preserve">he Commission should not grant Duke any </w:t>
      </w:r>
      <w:proofErr w:type="gramStart"/>
      <w:r w:rsidR="00B93CF1">
        <w:rPr>
          <w:rFonts w:ascii="Century Schoolbook" w:hAnsi="Century Schoolbook" w:cs="Times New Roman"/>
          <w:bCs/>
          <w:szCs w:val="24"/>
        </w:rPr>
        <w:t>addition</w:t>
      </w:r>
      <w:r w:rsidR="006B4557">
        <w:rPr>
          <w:rFonts w:ascii="Century Schoolbook" w:hAnsi="Century Schoolbook" w:cs="Times New Roman"/>
          <w:bCs/>
          <w:szCs w:val="24"/>
        </w:rPr>
        <w:t>al</w:t>
      </w:r>
      <w:r w:rsidR="00B93CF1">
        <w:rPr>
          <w:rFonts w:ascii="Century Schoolbook" w:hAnsi="Century Schoolbook" w:cs="Times New Roman"/>
          <w:bCs/>
          <w:szCs w:val="24"/>
        </w:rPr>
        <w:t xml:space="preserve">  time</w:t>
      </w:r>
      <w:proofErr w:type="gramEnd"/>
      <w:r w:rsidR="005B16E2">
        <w:rPr>
          <w:rFonts w:ascii="Century Schoolbook" w:hAnsi="Century Schoolbook" w:cs="Times New Roman"/>
          <w:bCs/>
          <w:szCs w:val="24"/>
        </w:rPr>
        <w:t xml:space="preserve"> to complete a process that should have been ready on November 1, 2021. </w:t>
      </w:r>
    </w:p>
    <w:p w14:paraId="54140059" w14:textId="77777777" w:rsidR="00513896" w:rsidRPr="000E31A5" w:rsidRDefault="00513896" w:rsidP="002931C9">
      <w:pPr>
        <w:spacing w:line="480" w:lineRule="auto"/>
        <w:ind w:left="360" w:right="0" w:firstLine="360"/>
        <w:jc w:val="both"/>
        <w:rPr>
          <w:rFonts w:ascii="Century Schoolbook" w:hAnsi="Century Schoolbook" w:cs="Times New Roman"/>
          <w:bCs/>
          <w:szCs w:val="24"/>
        </w:rPr>
      </w:pPr>
    </w:p>
    <w:p w14:paraId="12795F79" w14:textId="3ECE7AFA" w:rsidR="00561A2B" w:rsidRPr="00513896" w:rsidRDefault="00561A2B" w:rsidP="002931C9">
      <w:pPr>
        <w:spacing w:line="480" w:lineRule="auto"/>
        <w:ind w:right="0"/>
        <w:jc w:val="both"/>
        <w:rPr>
          <w:rFonts w:ascii="Century Schoolbook" w:eastAsia="Times New Roman" w:hAnsi="Century Schoolbook" w:cs="Times New Roman"/>
          <w:b/>
          <w:szCs w:val="24"/>
        </w:rPr>
      </w:pPr>
      <w:r w:rsidRPr="00513896">
        <w:rPr>
          <w:rFonts w:ascii="Century Schoolbook" w:eastAsia="Times New Roman" w:hAnsi="Century Schoolbook" w:cs="Times New Roman"/>
          <w:b/>
          <w:szCs w:val="24"/>
        </w:rPr>
        <w:t>Conclusion</w:t>
      </w:r>
    </w:p>
    <w:p w14:paraId="12509D31" w14:textId="701B22DA" w:rsidR="00561A2B" w:rsidRPr="000E31A5" w:rsidRDefault="00561A2B" w:rsidP="002931C9">
      <w:pPr>
        <w:spacing w:line="480" w:lineRule="auto"/>
        <w:ind w:right="0"/>
        <w:jc w:val="both"/>
        <w:rPr>
          <w:rFonts w:ascii="Century Schoolbook" w:eastAsia="Times New Roman" w:hAnsi="Century Schoolbook" w:cs="Times New Roman"/>
          <w:bCs/>
          <w:szCs w:val="24"/>
        </w:rPr>
      </w:pPr>
      <w:r w:rsidRPr="00513896">
        <w:rPr>
          <w:rFonts w:ascii="Century Schoolbook" w:eastAsia="Times New Roman" w:hAnsi="Century Schoolbook" w:cs="Times New Roman"/>
          <w:bCs/>
          <w:szCs w:val="24"/>
        </w:rPr>
        <w:tab/>
      </w:r>
      <w:r w:rsidR="00A641EF" w:rsidRPr="00513896">
        <w:rPr>
          <w:rFonts w:ascii="Century Schoolbook" w:eastAsia="Times New Roman" w:hAnsi="Century Schoolbook" w:cs="Times New Roman"/>
          <w:bCs/>
          <w:szCs w:val="24"/>
        </w:rPr>
        <w:t xml:space="preserve">The Commission should deny Duke’s </w:t>
      </w:r>
      <w:r w:rsidR="004C132E">
        <w:rPr>
          <w:rFonts w:ascii="Century Schoolbook" w:eastAsia="Times New Roman" w:hAnsi="Century Schoolbook" w:cs="Times New Roman"/>
          <w:bCs/>
          <w:szCs w:val="24"/>
        </w:rPr>
        <w:t xml:space="preserve">waiver </w:t>
      </w:r>
      <w:r w:rsidR="00A641EF" w:rsidRPr="00513896">
        <w:rPr>
          <w:rFonts w:ascii="Century Schoolbook" w:eastAsia="Times New Roman" w:hAnsi="Century Schoolbook" w:cs="Times New Roman"/>
          <w:bCs/>
          <w:szCs w:val="24"/>
        </w:rPr>
        <w:t xml:space="preserve">application </w:t>
      </w:r>
      <w:r w:rsidR="00867CEC" w:rsidRPr="00513896">
        <w:rPr>
          <w:rFonts w:ascii="Century Schoolbook" w:eastAsia="Times New Roman" w:hAnsi="Century Schoolbook" w:cs="Times New Roman"/>
          <w:bCs/>
          <w:szCs w:val="24"/>
        </w:rPr>
        <w:t>because Duke’s proposed solution does not comply with the rule as written and would only allow an additiona</w:t>
      </w:r>
      <w:r w:rsidR="004C132E">
        <w:rPr>
          <w:rFonts w:ascii="Century Schoolbook" w:eastAsia="Times New Roman" w:hAnsi="Century Schoolbook" w:cs="Times New Roman"/>
          <w:bCs/>
          <w:szCs w:val="24"/>
        </w:rPr>
        <w:t>l</w:t>
      </w:r>
      <w:r w:rsidR="00867CEC" w:rsidRPr="00513896">
        <w:rPr>
          <w:rFonts w:ascii="Century Schoolbook" w:eastAsia="Times New Roman" w:hAnsi="Century Schoolbook" w:cs="Times New Roman"/>
          <w:bCs/>
          <w:szCs w:val="24"/>
        </w:rPr>
        <w:t xml:space="preserve"> 12 months of discrimination and restriction. Moreover</w:t>
      </w:r>
      <w:r w:rsidR="004C132E">
        <w:rPr>
          <w:rFonts w:ascii="Century Schoolbook" w:eastAsia="Times New Roman" w:hAnsi="Century Schoolbook" w:cs="Times New Roman"/>
          <w:bCs/>
          <w:szCs w:val="24"/>
        </w:rPr>
        <w:t>,</w:t>
      </w:r>
      <w:r w:rsidR="00867CEC" w:rsidRPr="00513896">
        <w:rPr>
          <w:rFonts w:ascii="Century Schoolbook" w:eastAsia="Times New Roman" w:hAnsi="Century Schoolbook" w:cs="Times New Roman"/>
          <w:bCs/>
          <w:szCs w:val="24"/>
        </w:rPr>
        <w:t xml:space="preserve"> Duke has had 600 days of notice regarding these rules and is not entitled to additional time to seek compliance</w:t>
      </w:r>
      <w:r w:rsidR="001E367F" w:rsidRPr="00513896">
        <w:rPr>
          <w:rFonts w:ascii="Century Schoolbook" w:eastAsia="Times New Roman" w:hAnsi="Century Schoolbook" w:cs="Times New Roman"/>
          <w:bCs/>
          <w:szCs w:val="24"/>
        </w:rPr>
        <w:t xml:space="preserve">. For the reasons set </w:t>
      </w:r>
      <w:bookmarkStart w:id="0" w:name="_GoBack"/>
      <w:bookmarkEnd w:id="0"/>
      <w:r w:rsidR="001E367F" w:rsidRPr="00513896">
        <w:rPr>
          <w:rFonts w:ascii="Century Schoolbook" w:eastAsia="Times New Roman" w:hAnsi="Century Schoolbook" w:cs="Times New Roman"/>
          <w:bCs/>
          <w:szCs w:val="24"/>
        </w:rPr>
        <w:t xml:space="preserve">forth in the above comments the Commission should deny Duke’s request and </w:t>
      </w:r>
      <w:r w:rsidR="000E31A5" w:rsidRPr="00513896">
        <w:rPr>
          <w:rFonts w:ascii="Century Schoolbook" w:eastAsia="Times New Roman" w:hAnsi="Century Schoolbook" w:cs="Times New Roman"/>
          <w:bCs/>
          <w:szCs w:val="24"/>
        </w:rPr>
        <w:t>enforce</w:t>
      </w:r>
      <w:r w:rsidR="004C132E">
        <w:rPr>
          <w:rFonts w:ascii="Century Schoolbook" w:eastAsia="Times New Roman" w:hAnsi="Century Schoolbook" w:cs="Times New Roman"/>
          <w:bCs/>
          <w:szCs w:val="24"/>
        </w:rPr>
        <w:t xml:space="preserve"> </w:t>
      </w:r>
      <w:r w:rsidR="000E31A5" w:rsidRPr="00513896">
        <w:rPr>
          <w:rFonts w:ascii="Century Schoolbook" w:eastAsia="Times New Roman" w:hAnsi="Century Schoolbook" w:cs="Times New Roman"/>
          <w:bCs/>
          <w:szCs w:val="24"/>
        </w:rPr>
        <w:t xml:space="preserve">rules that prohibit discrimination against CRES Suppliers and their customers. </w:t>
      </w:r>
      <w:r w:rsidR="00867CEC" w:rsidRPr="00513896">
        <w:rPr>
          <w:rFonts w:ascii="Century Schoolbook" w:eastAsia="Times New Roman" w:hAnsi="Century Schoolbook" w:cs="Times New Roman"/>
          <w:bCs/>
          <w:szCs w:val="24"/>
        </w:rPr>
        <w:t xml:space="preserve"> </w:t>
      </w:r>
    </w:p>
    <w:p w14:paraId="415F695E" w14:textId="3656B859" w:rsidR="00623FE7" w:rsidRPr="00623FE7" w:rsidRDefault="00623FE7" w:rsidP="00AC68D9">
      <w:pPr>
        <w:spacing w:line="480" w:lineRule="auto"/>
        <w:ind w:left="3600" w:right="0" w:firstLine="720"/>
        <w:jc w:val="both"/>
        <w:outlineLvl w:val="2"/>
        <w:rPr>
          <w:rFonts w:eastAsia="Times New Roman" w:cs="Times New Roman"/>
          <w:color w:val="000000"/>
          <w:szCs w:val="24"/>
        </w:rPr>
      </w:pPr>
      <w:r w:rsidRPr="00623FE7">
        <w:rPr>
          <w:rFonts w:eastAsia="Times New Roman" w:cs="Times New Roman"/>
          <w:color w:val="000000"/>
          <w:szCs w:val="24"/>
        </w:rPr>
        <w:t>Respectfully submitted,</w:t>
      </w:r>
    </w:p>
    <w:p w14:paraId="045A1BF6" w14:textId="5F5E6613" w:rsidR="00623FE7" w:rsidRPr="00623FE7" w:rsidRDefault="00623FE7" w:rsidP="00623FE7">
      <w:pPr>
        <w:spacing w:line="240" w:lineRule="auto"/>
        <w:ind w:right="0"/>
        <w:jc w:val="both"/>
        <w:outlineLvl w:val="2"/>
        <w:rPr>
          <w:rFonts w:eastAsia="Times New Roman" w:cs="Times New Roman"/>
          <w:i/>
          <w:iCs/>
          <w:color w:val="000000"/>
          <w:szCs w:val="24"/>
        </w:rPr>
      </w:pPr>
      <w:r w:rsidRPr="00623FE7">
        <w:rPr>
          <w:rFonts w:eastAsia="Times New Roman" w:cs="Times New Roman"/>
          <w:color w:val="000000"/>
          <w:szCs w:val="24"/>
        </w:rPr>
        <w:tab/>
      </w:r>
      <w:r w:rsidRPr="00623FE7">
        <w:rPr>
          <w:rFonts w:eastAsia="Times New Roman" w:cs="Times New Roman"/>
          <w:color w:val="000000"/>
          <w:szCs w:val="24"/>
        </w:rPr>
        <w:tab/>
      </w:r>
      <w:r w:rsidRPr="00623FE7">
        <w:rPr>
          <w:rFonts w:eastAsia="Times New Roman" w:cs="Times New Roman"/>
          <w:color w:val="000000"/>
          <w:szCs w:val="24"/>
        </w:rPr>
        <w:tab/>
      </w:r>
      <w:r w:rsidRPr="00623FE7">
        <w:rPr>
          <w:rFonts w:eastAsia="Times New Roman" w:cs="Times New Roman"/>
          <w:color w:val="000000"/>
          <w:szCs w:val="24"/>
        </w:rPr>
        <w:tab/>
      </w:r>
      <w:r w:rsidRPr="00623FE7">
        <w:rPr>
          <w:rFonts w:eastAsia="Times New Roman" w:cs="Times New Roman"/>
          <w:color w:val="000000"/>
          <w:szCs w:val="24"/>
        </w:rPr>
        <w:tab/>
      </w:r>
      <w:r w:rsidRPr="00623FE7">
        <w:rPr>
          <w:rFonts w:eastAsia="Times New Roman" w:cs="Times New Roman"/>
          <w:color w:val="000000"/>
          <w:szCs w:val="24"/>
        </w:rPr>
        <w:tab/>
      </w:r>
      <w:r w:rsidRPr="00623FE7">
        <w:rPr>
          <w:rFonts w:eastAsia="Times New Roman" w:cs="Times New Roman"/>
          <w:i/>
          <w:iCs/>
          <w:color w:val="000000"/>
          <w:szCs w:val="24"/>
          <w:u w:val="single"/>
        </w:rPr>
        <w:t xml:space="preserve">/s/ </w:t>
      </w:r>
      <w:r w:rsidR="000E31A5">
        <w:rPr>
          <w:rFonts w:eastAsia="Times New Roman" w:cs="Times New Roman"/>
          <w:i/>
          <w:iCs/>
          <w:color w:val="000000"/>
          <w:szCs w:val="24"/>
          <w:u w:val="single"/>
        </w:rPr>
        <w:t>Evan Betterton</w:t>
      </w:r>
      <w:r w:rsidRPr="00623FE7">
        <w:rPr>
          <w:rFonts w:eastAsia="Times New Roman" w:cs="Times New Roman"/>
          <w:i/>
          <w:iCs/>
          <w:color w:val="000000"/>
          <w:szCs w:val="24"/>
          <w:u w:val="single"/>
        </w:rPr>
        <w:tab/>
      </w:r>
      <w:r w:rsidRPr="00623FE7">
        <w:rPr>
          <w:rFonts w:eastAsia="Times New Roman" w:cs="Times New Roman"/>
          <w:i/>
          <w:iCs/>
          <w:color w:val="000000"/>
          <w:szCs w:val="24"/>
          <w:u w:val="single"/>
        </w:rPr>
        <w:tab/>
      </w:r>
      <w:r w:rsidRPr="00623FE7">
        <w:rPr>
          <w:rFonts w:eastAsia="Times New Roman" w:cs="Times New Roman"/>
          <w:i/>
          <w:iCs/>
          <w:color w:val="000000"/>
          <w:szCs w:val="24"/>
          <w:u w:val="single"/>
        </w:rPr>
        <w:tab/>
      </w:r>
    </w:p>
    <w:p w14:paraId="0FEF538F" w14:textId="6E00346A" w:rsidR="00623FE7" w:rsidRDefault="00623FE7" w:rsidP="00623FE7">
      <w:pPr>
        <w:tabs>
          <w:tab w:val="left" w:pos="4320"/>
        </w:tabs>
        <w:spacing w:line="240" w:lineRule="auto"/>
        <w:ind w:left="4140" w:right="0"/>
        <w:rPr>
          <w:rFonts w:ascii="Century Schoolbook" w:eastAsia="Calibri" w:hAnsi="Century Schoolbook" w:cs="Times New Roman"/>
          <w:bCs/>
          <w:szCs w:val="24"/>
        </w:rPr>
      </w:pPr>
      <w:r w:rsidRPr="00623FE7">
        <w:rPr>
          <w:rFonts w:eastAsia="Calibri" w:cs="Times New Roman"/>
          <w:szCs w:val="24"/>
        </w:rPr>
        <w:tab/>
      </w:r>
      <w:r w:rsidR="000E31A5" w:rsidRPr="00AC68D9">
        <w:rPr>
          <w:rFonts w:ascii="Century Schoolbook" w:eastAsia="Calibri" w:hAnsi="Century Schoolbook" w:cs="Times New Roman"/>
          <w:bCs/>
          <w:szCs w:val="24"/>
        </w:rPr>
        <w:t>Evan Betterton</w:t>
      </w:r>
      <w:r w:rsidRPr="00AC68D9">
        <w:rPr>
          <w:rFonts w:ascii="Century Schoolbook" w:eastAsia="Calibri" w:hAnsi="Century Schoolbook" w:cs="Times New Roman"/>
          <w:bCs/>
          <w:szCs w:val="24"/>
        </w:rPr>
        <w:t xml:space="preserve"> (</w:t>
      </w:r>
      <w:r w:rsidR="000E31A5" w:rsidRPr="00AC68D9">
        <w:rPr>
          <w:rFonts w:ascii="Century Schoolbook" w:eastAsia="Calibri" w:hAnsi="Century Schoolbook" w:cs="Times New Roman"/>
          <w:bCs/>
          <w:szCs w:val="24"/>
        </w:rPr>
        <w:t>10</w:t>
      </w:r>
      <w:r w:rsidRPr="00AC68D9">
        <w:rPr>
          <w:rFonts w:ascii="Century Schoolbook" w:eastAsia="Calibri" w:hAnsi="Century Schoolbook" w:cs="Times New Roman"/>
          <w:bCs/>
          <w:szCs w:val="24"/>
        </w:rPr>
        <w:t>00</w:t>
      </w:r>
      <w:r w:rsidR="000E31A5" w:rsidRPr="00AC68D9">
        <w:rPr>
          <w:rFonts w:ascii="Century Schoolbook" w:eastAsia="Calibri" w:hAnsi="Century Schoolbook" w:cs="Times New Roman"/>
          <w:bCs/>
          <w:szCs w:val="24"/>
        </w:rPr>
        <w:t>89</w:t>
      </w:r>
      <w:r w:rsidRPr="00AC68D9">
        <w:rPr>
          <w:rFonts w:ascii="Century Schoolbook" w:eastAsia="Calibri" w:hAnsi="Century Schoolbook" w:cs="Times New Roman"/>
          <w:bCs/>
          <w:szCs w:val="24"/>
        </w:rPr>
        <w:t>)</w:t>
      </w:r>
    </w:p>
    <w:p w14:paraId="18E7C344" w14:textId="1DB06CFD" w:rsidR="00AC68D9" w:rsidRPr="00AC68D9" w:rsidRDefault="00AC68D9" w:rsidP="00AC68D9">
      <w:pPr>
        <w:tabs>
          <w:tab w:val="left" w:pos="4320"/>
        </w:tabs>
        <w:spacing w:line="240" w:lineRule="auto"/>
        <w:ind w:left="4140" w:right="0"/>
        <w:rPr>
          <w:rFonts w:ascii="Century Schoolbook" w:eastAsia="Calibri" w:hAnsi="Century Schoolbook" w:cs="Times New Roman"/>
          <w:color w:val="000000"/>
          <w:szCs w:val="24"/>
        </w:rPr>
      </w:pPr>
      <w:r>
        <w:rPr>
          <w:rFonts w:ascii="Century Schoolbook" w:eastAsia="Calibri" w:hAnsi="Century Schoolbook" w:cs="Times New Roman"/>
          <w:szCs w:val="24"/>
        </w:rPr>
        <w:tab/>
      </w:r>
      <w:r w:rsidRPr="00AC68D9">
        <w:rPr>
          <w:rFonts w:ascii="Century Schoolbook" w:eastAsia="Calibri" w:hAnsi="Century Schoolbook" w:cs="Times New Roman"/>
          <w:szCs w:val="24"/>
        </w:rPr>
        <w:t>Evan.Betterton@</w:t>
      </w:r>
      <w:r>
        <w:rPr>
          <w:rFonts w:ascii="Century Schoolbook" w:eastAsia="Calibri" w:hAnsi="Century Schoolbook" w:cs="Times New Roman"/>
          <w:szCs w:val="24"/>
        </w:rPr>
        <w:t>IGS</w:t>
      </w:r>
      <w:r w:rsidRPr="00AC68D9">
        <w:rPr>
          <w:rFonts w:ascii="Century Schoolbook" w:eastAsia="Calibri" w:hAnsi="Century Schoolbook" w:cs="Times New Roman"/>
          <w:szCs w:val="24"/>
        </w:rPr>
        <w:t>.com</w:t>
      </w:r>
    </w:p>
    <w:p w14:paraId="6B2975B1" w14:textId="5CDC4801" w:rsidR="001230A6" w:rsidRDefault="001230A6" w:rsidP="00623FE7">
      <w:pPr>
        <w:tabs>
          <w:tab w:val="left" w:pos="4320"/>
        </w:tabs>
        <w:spacing w:line="240" w:lineRule="auto"/>
        <w:ind w:left="4140" w:right="0"/>
        <w:rPr>
          <w:rFonts w:ascii="Century Schoolbook" w:eastAsia="Calibri" w:hAnsi="Century Schoolbook" w:cs="Times New Roman"/>
          <w:bCs/>
          <w:szCs w:val="24"/>
        </w:rPr>
      </w:pPr>
      <w:r w:rsidRPr="00AC68D9">
        <w:rPr>
          <w:rFonts w:ascii="Century Schoolbook" w:eastAsia="Calibri" w:hAnsi="Century Schoolbook" w:cs="Times New Roman"/>
          <w:bCs/>
          <w:szCs w:val="24"/>
        </w:rPr>
        <w:tab/>
        <w:t xml:space="preserve">Michael Nugent </w:t>
      </w:r>
      <w:r w:rsidR="00AC68D9">
        <w:rPr>
          <w:rFonts w:ascii="Century Schoolbook" w:eastAsia="Calibri" w:hAnsi="Century Schoolbook" w:cs="Times New Roman"/>
          <w:bCs/>
          <w:szCs w:val="24"/>
        </w:rPr>
        <w:t>(</w:t>
      </w:r>
      <w:r w:rsidR="00AC68D9" w:rsidRPr="00AC68D9">
        <w:rPr>
          <w:rFonts w:ascii="Century Schoolbook" w:eastAsia="Calibri" w:hAnsi="Century Schoolbook" w:cs="Times New Roman"/>
          <w:bCs/>
          <w:szCs w:val="24"/>
        </w:rPr>
        <w:t>0090408</w:t>
      </w:r>
      <w:r w:rsidR="00AC68D9">
        <w:rPr>
          <w:rFonts w:ascii="Century Schoolbook" w:eastAsia="Calibri" w:hAnsi="Century Schoolbook" w:cs="Times New Roman"/>
          <w:bCs/>
          <w:szCs w:val="24"/>
        </w:rPr>
        <w:t>)</w:t>
      </w:r>
    </w:p>
    <w:p w14:paraId="09C3402F" w14:textId="1702A221" w:rsidR="00AC68D9" w:rsidRPr="00AC68D9" w:rsidRDefault="00AC68D9" w:rsidP="00623FE7">
      <w:pPr>
        <w:tabs>
          <w:tab w:val="left" w:pos="4320"/>
        </w:tabs>
        <w:spacing w:line="240" w:lineRule="auto"/>
        <w:ind w:left="4140" w:right="0"/>
        <w:rPr>
          <w:rFonts w:ascii="Century Schoolbook" w:eastAsia="Calibri" w:hAnsi="Century Schoolbook" w:cs="Times New Roman"/>
          <w:bCs/>
          <w:szCs w:val="24"/>
        </w:rPr>
      </w:pPr>
      <w:r>
        <w:rPr>
          <w:rFonts w:ascii="Century Schoolbook" w:eastAsia="Calibri" w:hAnsi="Century Schoolbook" w:cs="Times New Roman"/>
          <w:bCs/>
          <w:szCs w:val="24"/>
        </w:rPr>
        <w:tab/>
        <w:t>Michael.Nugent@IGS.com</w:t>
      </w:r>
    </w:p>
    <w:p w14:paraId="6B654859" w14:textId="402B3D6C" w:rsidR="00623FE7" w:rsidRPr="00AC68D9" w:rsidRDefault="00623FE7" w:rsidP="00623FE7">
      <w:pPr>
        <w:tabs>
          <w:tab w:val="left" w:pos="4320"/>
        </w:tabs>
        <w:spacing w:line="240" w:lineRule="auto"/>
        <w:ind w:left="4140" w:right="0"/>
        <w:rPr>
          <w:rFonts w:ascii="Century Schoolbook" w:eastAsia="Calibri" w:hAnsi="Century Schoolbook" w:cs="Times New Roman"/>
          <w:szCs w:val="24"/>
        </w:rPr>
      </w:pPr>
      <w:r w:rsidRPr="00AC68D9">
        <w:rPr>
          <w:rFonts w:ascii="Century Schoolbook" w:eastAsia="Calibri" w:hAnsi="Century Schoolbook" w:cs="Times New Roman"/>
          <w:szCs w:val="24"/>
        </w:rPr>
        <w:tab/>
      </w:r>
      <w:r w:rsidR="000E31A5" w:rsidRPr="00AC68D9">
        <w:rPr>
          <w:rFonts w:ascii="Century Schoolbook" w:eastAsia="Calibri" w:hAnsi="Century Schoolbook" w:cs="Times New Roman"/>
          <w:szCs w:val="24"/>
        </w:rPr>
        <w:t>Interstate Gas Supply, Inc.</w:t>
      </w:r>
    </w:p>
    <w:p w14:paraId="55E032E6" w14:textId="6EDDF06F" w:rsidR="000E31A5" w:rsidRPr="00AC68D9" w:rsidRDefault="000E31A5" w:rsidP="00623FE7">
      <w:pPr>
        <w:tabs>
          <w:tab w:val="left" w:pos="4320"/>
        </w:tabs>
        <w:spacing w:line="240" w:lineRule="auto"/>
        <w:ind w:left="4140" w:right="0"/>
        <w:rPr>
          <w:rFonts w:ascii="Century Schoolbook" w:eastAsia="Calibri" w:hAnsi="Century Schoolbook" w:cs="Times New Roman"/>
          <w:szCs w:val="24"/>
        </w:rPr>
      </w:pPr>
      <w:r w:rsidRPr="00AC68D9">
        <w:rPr>
          <w:rFonts w:ascii="Century Schoolbook" w:eastAsia="Calibri" w:hAnsi="Century Schoolbook" w:cs="Times New Roman"/>
          <w:szCs w:val="24"/>
        </w:rPr>
        <w:lastRenderedPageBreak/>
        <w:tab/>
        <w:t>6100 Emerald Parkway</w:t>
      </w:r>
    </w:p>
    <w:p w14:paraId="27956F67" w14:textId="50E91EF7" w:rsidR="00623FE7" w:rsidRPr="00AC68D9" w:rsidRDefault="00623FE7" w:rsidP="00623FE7">
      <w:pPr>
        <w:tabs>
          <w:tab w:val="left" w:pos="4320"/>
        </w:tabs>
        <w:spacing w:line="240" w:lineRule="auto"/>
        <w:ind w:left="4140" w:right="0"/>
        <w:rPr>
          <w:rFonts w:ascii="Century Schoolbook" w:eastAsia="Calibri" w:hAnsi="Century Schoolbook" w:cs="Times New Roman"/>
          <w:szCs w:val="24"/>
        </w:rPr>
      </w:pPr>
      <w:r w:rsidRPr="00AC68D9">
        <w:rPr>
          <w:rFonts w:ascii="Century Schoolbook" w:eastAsia="Calibri" w:hAnsi="Century Schoolbook" w:cs="Times New Roman"/>
          <w:szCs w:val="24"/>
        </w:rPr>
        <w:tab/>
      </w:r>
      <w:r w:rsidR="000E31A5" w:rsidRPr="00AC68D9">
        <w:rPr>
          <w:rFonts w:ascii="Century Schoolbook" w:eastAsia="Calibri" w:hAnsi="Century Schoolbook" w:cs="Times New Roman"/>
          <w:szCs w:val="24"/>
        </w:rPr>
        <w:t>Dublin</w:t>
      </w:r>
      <w:r w:rsidRPr="00AC68D9">
        <w:rPr>
          <w:rFonts w:ascii="Century Schoolbook" w:eastAsia="Calibri" w:hAnsi="Century Schoolbook" w:cs="Times New Roman"/>
          <w:szCs w:val="24"/>
        </w:rPr>
        <w:t>, Ohio 43</w:t>
      </w:r>
      <w:r w:rsidR="000E31A5" w:rsidRPr="00AC68D9">
        <w:rPr>
          <w:rFonts w:ascii="Century Schoolbook" w:eastAsia="Calibri" w:hAnsi="Century Schoolbook" w:cs="Times New Roman"/>
          <w:szCs w:val="24"/>
        </w:rPr>
        <w:t>016</w:t>
      </w:r>
    </w:p>
    <w:p w14:paraId="5A4A5D65" w14:textId="7C177A1C" w:rsidR="00623FE7" w:rsidRPr="00AC68D9" w:rsidRDefault="00623FE7" w:rsidP="00AC68D9">
      <w:pPr>
        <w:tabs>
          <w:tab w:val="left" w:pos="4320"/>
        </w:tabs>
        <w:spacing w:line="240" w:lineRule="auto"/>
        <w:ind w:left="4140" w:right="0"/>
        <w:rPr>
          <w:rFonts w:ascii="Century Schoolbook" w:eastAsia="Calibri" w:hAnsi="Century Schoolbook" w:cs="Times New Roman"/>
          <w:szCs w:val="24"/>
        </w:rPr>
      </w:pPr>
      <w:r w:rsidRPr="00AC68D9">
        <w:rPr>
          <w:rFonts w:ascii="Century Schoolbook" w:eastAsia="Calibri" w:hAnsi="Century Schoolbook" w:cs="Times New Roman"/>
          <w:szCs w:val="24"/>
        </w:rPr>
        <w:tab/>
        <w:t>614-</w:t>
      </w:r>
      <w:r w:rsidR="000E31A5" w:rsidRPr="00AC68D9">
        <w:rPr>
          <w:rFonts w:ascii="Century Schoolbook" w:eastAsia="Calibri" w:hAnsi="Century Schoolbook" w:cs="Times New Roman"/>
          <w:szCs w:val="24"/>
        </w:rPr>
        <w:t>659</w:t>
      </w:r>
      <w:r w:rsidRPr="00AC68D9">
        <w:rPr>
          <w:rFonts w:ascii="Century Schoolbook" w:eastAsia="Calibri" w:hAnsi="Century Schoolbook" w:cs="Times New Roman"/>
          <w:szCs w:val="24"/>
        </w:rPr>
        <w:t>-</w:t>
      </w:r>
      <w:r w:rsidR="000E31A5" w:rsidRPr="00AC68D9">
        <w:rPr>
          <w:rFonts w:ascii="Century Schoolbook" w:eastAsia="Calibri" w:hAnsi="Century Schoolbook" w:cs="Times New Roman"/>
          <w:szCs w:val="24"/>
        </w:rPr>
        <w:t>5455</w:t>
      </w:r>
    </w:p>
    <w:p w14:paraId="71EDDD34" w14:textId="77777777" w:rsidR="00623FE7" w:rsidRPr="00AC68D9" w:rsidRDefault="00623FE7" w:rsidP="00623FE7">
      <w:pPr>
        <w:tabs>
          <w:tab w:val="left" w:pos="4320"/>
        </w:tabs>
        <w:spacing w:line="240" w:lineRule="auto"/>
        <w:ind w:left="4140" w:right="0"/>
        <w:rPr>
          <w:rFonts w:ascii="Century Schoolbook" w:eastAsia="Calibri" w:hAnsi="Century Schoolbook" w:cs="Times New Roman"/>
          <w:color w:val="000000"/>
          <w:szCs w:val="24"/>
        </w:rPr>
      </w:pPr>
      <w:r w:rsidRPr="00AC68D9">
        <w:rPr>
          <w:rFonts w:ascii="Century Schoolbook" w:eastAsia="Calibri" w:hAnsi="Century Schoolbook" w:cs="Times New Roman"/>
          <w:color w:val="000000"/>
          <w:sz w:val="16"/>
          <w:szCs w:val="16"/>
        </w:rPr>
        <w:tab/>
      </w:r>
      <w:r w:rsidRPr="00AC68D9">
        <w:rPr>
          <w:rFonts w:ascii="Century Schoolbook" w:eastAsia="Calibri" w:hAnsi="Century Schoolbook" w:cs="Times New Roman"/>
          <w:color w:val="000000"/>
          <w:szCs w:val="24"/>
        </w:rPr>
        <w:t>(willing to accept service via email)</w:t>
      </w:r>
    </w:p>
    <w:p w14:paraId="2F8EA485" w14:textId="2BB488DF" w:rsidR="003C1B77" w:rsidRDefault="003C1B77" w:rsidP="00934CC2"/>
    <w:p w14:paraId="05293F77" w14:textId="77777777" w:rsidR="00AC68D9" w:rsidRDefault="00AC68D9" w:rsidP="00626064">
      <w:pPr>
        <w:spacing w:before="15" w:line="273" w:lineRule="exact"/>
        <w:jc w:val="center"/>
        <w:textAlignment w:val="baseline"/>
        <w:rPr>
          <w:rFonts w:eastAsia="Times New Roman"/>
          <w:b/>
          <w:color w:val="000000"/>
          <w:u w:val="single"/>
        </w:rPr>
      </w:pPr>
    </w:p>
    <w:p w14:paraId="7E5D9B8B" w14:textId="77777777" w:rsidR="00AC68D9" w:rsidRDefault="00AC68D9" w:rsidP="00626064">
      <w:pPr>
        <w:spacing w:before="15" w:line="273" w:lineRule="exact"/>
        <w:jc w:val="center"/>
        <w:textAlignment w:val="baseline"/>
        <w:rPr>
          <w:rFonts w:eastAsia="Times New Roman"/>
          <w:b/>
          <w:color w:val="000000"/>
          <w:u w:val="single"/>
        </w:rPr>
      </w:pPr>
    </w:p>
    <w:p w14:paraId="23ED259B" w14:textId="1A746544" w:rsidR="00626064" w:rsidRDefault="00626064" w:rsidP="00626064">
      <w:pPr>
        <w:spacing w:before="15" w:line="273" w:lineRule="exact"/>
        <w:jc w:val="center"/>
        <w:textAlignment w:val="baseline"/>
        <w:rPr>
          <w:rFonts w:eastAsia="Times New Roman"/>
          <w:b/>
          <w:color w:val="000000"/>
          <w:u w:val="single"/>
        </w:rPr>
      </w:pPr>
      <w:r>
        <w:rPr>
          <w:rFonts w:eastAsia="Times New Roman"/>
          <w:b/>
          <w:color w:val="000000"/>
          <w:u w:val="single"/>
        </w:rPr>
        <w:t>CERTIFICATE OF SERVICE</w:t>
      </w:r>
    </w:p>
    <w:p w14:paraId="5BC87EC7" w14:textId="092C6B51" w:rsidR="00626064" w:rsidRDefault="00626064" w:rsidP="00626064">
      <w:pPr>
        <w:spacing w:before="545" w:line="553" w:lineRule="exact"/>
        <w:ind w:firstLine="720"/>
        <w:jc w:val="both"/>
        <w:textAlignment w:val="baseline"/>
        <w:rPr>
          <w:rFonts w:eastAsia="Times New Roman"/>
          <w:color w:val="000000"/>
        </w:rPr>
      </w:pPr>
      <w:r>
        <w:rPr>
          <w:rFonts w:eastAsia="Times New Roman"/>
          <w:color w:val="000000"/>
        </w:rPr>
        <w:t xml:space="preserve">In accordance with Rule 4901-1-05, Ohio Administrative Code, the Commission’s e-filing system will electronically serve notice of the filing of this document upon the interested parties, this </w:t>
      </w:r>
      <w:r w:rsidR="002A7A75">
        <w:rPr>
          <w:rFonts w:eastAsia="Times New Roman"/>
          <w:color w:val="000000"/>
        </w:rPr>
        <w:t>6th</w:t>
      </w:r>
      <w:r>
        <w:rPr>
          <w:rFonts w:eastAsia="Times New Roman"/>
          <w:color w:val="000000"/>
        </w:rPr>
        <w:t xml:space="preserve"> day of </w:t>
      </w:r>
      <w:r w:rsidR="002A7A75">
        <w:rPr>
          <w:rFonts w:eastAsia="Times New Roman"/>
          <w:color w:val="000000"/>
        </w:rPr>
        <w:t>January</w:t>
      </w:r>
      <w:r>
        <w:rPr>
          <w:rFonts w:eastAsia="Times New Roman"/>
          <w:color w:val="000000"/>
        </w:rPr>
        <w:t xml:space="preserve"> 202</w:t>
      </w:r>
      <w:r w:rsidR="002A7A75">
        <w:rPr>
          <w:rFonts w:eastAsia="Times New Roman"/>
          <w:color w:val="000000"/>
        </w:rPr>
        <w:t>2</w:t>
      </w:r>
      <w:r>
        <w:rPr>
          <w:rFonts w:eastAsia="Times New Roman"/>
          <w:color w:val="000000"/>
        </w:rPr>
        <w:t>. The following parties were provided by electronic mail a copy of this document.</w:t>
      </w:r>
    </w:p>
    <w:p w14:paraId="35B47F78" w14:textId="2FD8BF3D" w:rsidR="00626064" w:rsidRDefault="00626064" w:rsidP="00626064">
      <w:pPr>
        <w:spacing w:before="829" w:line="230" w:lineRule="exact"/>
        <w:ind w:left="4320"/>
        <w:textAlignment w:val="baseline"/>
        <w:rPr>
          <w:rFonts w:eastAsia="Times New Roman"/>
          <w:i/>
          <w:color w:val="000000"/>
        </w:rPr>
      </w:pPr>
      <w:r>
        <w:rPr>
          <w:rFonts w:eastAsia="Times New Roman"/>
          <w:i/>
          <w:color w:val="000000"/>
        </w:rPr>
        <w:t xml:space="preserve">/s/ </w:t>
      </w:r>
      <w:r w:rsidR="000E31A5">
        <w:rPr>
          <w:rFonts w:eastAsia="Times New Roman"/>
          <w:i/>
          <w:color w:val="000000"/>
        </w:rPr>
        <w:t>Evan Betterton</w:t>
      </w:r>
    </w:p>
    <w:p w14:paraId="688AFD00" w14:textId="6D72C3A4" w:rsidR="00626064" w:rsidRDefault="00626064" w:rsidP="000E31A5">
      <w:pPr>
        <w:spacing w:before="42" w:line="270" w:lineRule="exact"/>
        <w:ind w:left="1440" w:firstLine="720"/>
        <w:jc w:val="center"/>
        <w:textAlignment w:val="baseline"/>
        <w:rPr>
          <w:rFonts w:eastAsia="Times New Roman"/>
          <w:color w:val="000000"/>
        </w:rPr>
      </w:pPr>
      <w:r>
        <w:rPr>
          <w:noProof/>
        </w:rPr>
        <mc:AlternateContent>
          <mc:Choice Requires="wps">
            <w:drawing>
              <wp:anchor distT="0" distB="0" distL="114300" distR="114300" simplePos="0" relativeHeight="251658240" behindDoc="0" locked="0" layoutInCell="1" allowOverlap="1" wp14:anchorId="25711BD4" wp14:editId="7F45690E">
                <wp:simplePos x="0" y="0"/>
                <wp:positionH relativeFrom="page">
                  <wp:posOffset>3657600</wp:posOffset>
                </wp:positionH>
                <wp:positionV relativeFrom="page">
                  <wp:posOffset>3529330</wp:posOffset>
                </wp:positionV>
                <wp:extent cx="22898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ECBB"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in,277.9pt" to="468.3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" strokeweight=".7pt">
                <w10:wrap anchorx="page" anchory="page"/>
              </v:line>
            </w:pict>
          </mc:Fallback>
        </mc:AlternateContent>
      </w:r>
      <w:r w:rsidR="000E31A5">
        <w:rPr>
          <w:rFonts w:eastAsia="Times New Roman"/>
          <w:color w:val="000000"/>
        </w:rPr>
        <w:t>Evan Betterton</w:t>
      </w:r>
    </w:p>
    <w:p w14:paraId="57A03F90" w14:textId="77777777" w:rsidR="00613ED8" w:rsidRDefault="00613ED8" w:rsidP="00613ED8">
      <w:pPr>
        <w:spacing w:line="228" w:lineRule="exact"/>
        <w:textAlignment w:val="baseline"/>
        <w:rPr>
          <w:szCs w:val="24"/>
        </w:rPr>
      </w:pPr>
    </w:p>
    <w:p w14:paraId="2FB011AB" w14:textId="77777777" w:rsidR="00613ED8" w:rsidRDefault="00613ED8" w:rsidP="00613ED8">
      <w:pPr>
        <w:spacing w:line="228" w:lineRule="exact"/>
        <w:textAlignment w:val="baseline"/>
        <w:rPr>
          <w:szCs w:val="24"/>
        </w:rPr>
      </w:pPr>
    </w:p>
    <w:p w14:paraId="17421230" w14:textId="796EC702" w:rsidR="00626064" w:rsidRDefault="00A67AC4" w:rsidP="00613ED8">
      <w:pPr>
        <w:spacing w:line="228" w:lineRule="exact"/>
        <w:textAlignment w:val="baseline"/>
        <w:rPr>
          <w:rFonts w:eastAsia="Times New Roman"/>
          <w:szCs w:val="24"/>
        </w:rPr>
      </w:pPr>
      <w:hyperlink r:id="rId11" w:history="1">
        <w:r w:rsidR="00613ED8" w:rsidRPr="005F1CC4">
          <w:rPr>
            <w:rStyle w:val="Hyperlink"/>
            <w:rFonts w:eastAsia="Times New Roman"/>
            <w:szCs w:val="24"/>
          </w:rPr>
          <w:t>rocco.dascenzo@duke-energy.com</w:t>
        </w:r>
      </w:hyperlink>
      <w:r w:rsidR="00626064" w:rsidRPr="00626064">
        <w:rPr>
          <w:rFonts w:eastAsia="Times New Roman"/>
          <w:szCs w:val="24"/>
        </w:rPr>
        <w:t xml:space="preserve"> </w:t>
      </w:r>
    </w:p>
    <w:p w14:paraId="51324986" w14:textId="77777777" w:rsidR="00626064" w:rsidRDefault="00A67AC4" w:rsidP="00613ED8">
      <w:pPr>
        <w:spacing w:line="228" w:lineRule="exact"/>
        <w:textAlignment w:val="baseline"/>
        <w:rPr>
          <w:rFonts w:eastAsia="Times New Roman"/>
          <w:szCs w:val="24"/>
          <w:u w:val="single"/>
        </w:rPr>
      </w:pPr>
      <w:hyperlink r:id="rId12">
        <w:r w:rsidR="00626064" w:rsidRPr="00626064">
          <w:rPr>
            <w:rFonts w:eastAsia="Times New Roman"/>
            <w:szCs w:val="24"/>
            <w:u w:val="single"/>
          </w:rPr>
          <w:t>Larisa.vaysman@duke-energy.com</w:t>
        </w:r>
      </w:hyperlink>
      <w:r w:rsidR="00626064" w:rsidRPr="00626064">
        <w:rPr>
          <w:rFonts w:eastAsia="Times New Roman"/>
          <w:szCs w:val="24"/>
          <w:u w:val="single"/>
        </w:rPr>
        <w:t xml:space="preserve"> </w:t>
      </w:r>
    </w:p>
    <w:p w14:paraId="61B5577C" w14:textId="0A74699A" w:rsidR="00626064" w:rsidRPr="00626064" w:rsidRDefault="00A67AC4" w:rsidP="00626064">
      <w:pPr>
        <w:ind w:right="0"/>
        <w:rPr>
          <w:szCs w:val="24"/>
        </w:rPr>
      </w:pPr>
      <w:hyperlink r:id="rId13" w:history="1">
        <w:r w:rsidR="00626064" w:rsidRPr="00626064">
          <w:rPr>
            <w:rStyle w:val="Hyperlink"/>
            <w:color w:val="auto"/>
            <w:szCs w:val="24"/>
          </w:rPr>
          <w:t>amy.botschner.obrien@occ.ohio.gov</w:t>
        </w:r>
      </w:hyperlink>
    </w:p>
    <w:p w14:paraId="1DBB8165" w14:textId="2CC6371A" w:rsidR="00626064" w:rsidRDefault="00A67AC4" w:rsidP="00626064">
      <w:pPr>
        <w:ind w:right="0"/>
        <w:rPr>
          <w:rStyle w:val="Hyperlink"/>
          <w:color w:val="auto"/>
          <w:szCs w:val="24"/>
        </w:rPr>
      </w:pPr>
      <w:hyperlink r:id="rId14" w:history="1">
        <w:r w:rsidR="00626064" w:rsidRPr="00626064">
          <w:rPr>
            <w:rStyle w:val="Hyperlink"/>
            <w:color w:val="auto"/>
            <w:szCs w:val="24"/>
          </w:rPr>
          <w:t>ambrosia.wilson@occ.ohio.gov</w:t>
        </w:r>
      </w:hyperlink>
    </w:p>
    <w:p w14:paraId="4B3CBA36" w14:textId="150A5F9A" w:rsidR="00443F05" w:rsidRPr="00626064" w:rsidRDefault="00443F05" w:rsidP="00626064">
      <w:pPr>
        <w:ind w:right="0"/>
        <w:rPr>
          <w:szCs w:val="24"/>
        </w:rPr>
      </w:pPr>
      <w:r>
        <w:rPr>
          <w:rStyle w:val="Hyperlink"/>
          <w:color w:val="auto"/>
          <w:szCs w:val="24"/>
        </w:rPr>
        <w:t>fdarr2019@gmail.com</w:t>
      </w:r>
    </w:p>
    <w:p w14:paraId="6CB6555E" w14:textId="77777777" w:rsidR="00626064" w:rsidRDefault="00626064" w:rsidP="00626064">
      <w:pPr>
        <w:ind w:right="0"/>
      </w:pPr>
    </w:p>
    <w:sectPr w:rsidR="00626064" w:rsidSect="008323EA">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B354" w14:textId="77777777" w:rsidR="0008214E" w:rsidRDefault="0008214E" w:rsidP="0008214E">
      <w:pPr>
        <w:spacing w:line="240" w:lineRule="auto"/>
      </w:pPr>
      <w:r>
        <w:separator/>
      </w:r>
    </w:p>
  </w:endnote>
  <w:endnote w:type="continuationSeparator" w:id="0">
    <w:p w14:paraId="683AA8AD" w14:textId="77777777" w:rsidR="0008214E" w:rsidRDefault="0008214E" w:rsidP="0008214E">
      <w:pPr>
        <w:spacing w:line="240" w:lineRule="auto"/>
      </w:pPr>
      <w:r>
        <w:continuationSeparator/>
      </w:r>
    </w:p>
  </w:endnote>
  <w:endnote w:type="continuationNotice" w:id="1">
    <w:p w14:paraId="363861CA" w14:textId="77777777" w:rsidR="002334EE" w:rsidRDefault="002334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30D1" w14:textId="25DECDA8" w:rsidR="0077121E" w:rsidRDefault="008323EA">
    <w:pPr>
      <w:pStyle w:val="Footer"/>
      <w:jc w:val="center"/>
    </w:pPr>
    <w:r>
      <w:fldChar w:fldCharType="begin"/>
    </w:r>
    <w:r>
      <w:instrText xml:space="preserve"> PAGE   \* MERGEFORMAT </w:instrText>
    </w:r>
    <w:r>
      <w:fldChar w:fldCharType="separate"/>
    </w:r>
    <w:r>
      <w:rPr>
        <w:noProof/>
      </w:rPr>
      <w:t>1</w:t>
    </w:r>
    <w:r>
      <w:rPr>
        <w:noProof/>
      </w:rPr>
      <w:fldChar w:fldCharType="end"/>
    </w:r>
  </w:p>
  <w:p w14:paraId="1D4FCA02" w14:textId="2BD7C98F" w:rsidR="00934CC2" w:rsidRPr="0077121E" w:rsidRDefault="00934CC2" w:rsidP="0077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961256"/>
      <w:docPartObj>
        <w:docPartGallery w:val="Page Numbers (Bottom of Page)"/>
        <w:docPartUnique/>
      </w:docPartObj>
    </w:sdtPr>
    <w:sdtEndPr>
      <w:rPr>
        <w:noProof/>
      </w:rPr>
    </w:sdtEndPr>
    <w:sdtContent>
      <w:p w14:paraId="13B7DF3E" w14:textId="3B237F93" w:rsidR="0077121E" w:rsidRDefault="00A67AC4">
        <w:pPr>
          <w:pStyle w:val="Footer"/>
          <w:jc w:val="center"/>
        </w:pPr>
      </w:p>
    </w:sdtContent>
  </w:sdt>
  <w:p w14:paraId="1391A098" w14:textId="2BFFE9C4" w:rsidR="00934CC2" w:rsidRPr="0077121E" w:rsidRDefault="00934CC2" w:rsidP="0077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565C" w14:textId="77777777" w:rsidR="0008214E" w:rsidRDefault="0008214E" w:rsidP="0008214E">
      <w:pPr>
        <w:spacing w:line="240" w:lineRule="auto"/>
      </w:pPr>
      <w:r>
        <w:separator/>
      </w:r>
    </w:p>
  </w:footnote>
  <w:footnote w:type="continuationSeparator" w:id="0">
    <w:p w14:paraId="5D5F76DE" w14:textId="77777777" w:rsidR="0008214E" w:rsidRDefault="0008214E" w:rsidP="0008214E">
      <w:pPr>
        <w:spacing w:line="240" w:lineRule="auto"/>
      </w:pPr>
      <w:r>
        <w:continuationSeparator/>
      </w:r>
    </w:p>
  </w:footnote>
  <w:footnote w:type="continuationNotice" w:id="1">
    <w:p w14:paraId="2B03AF71" w14:textId="77777777" w:rsidR="002334EE" w:rsidRDefault="002334EE">
      <w:pPr>
        <w:spacing w:line="240" w:lineRule="auto"/>
      </w:pPr>
    </w:p>
  </w:footnote>
  <w:footnote w:id="2">
    <w:p w14:paraId="2DBDC63C" w14:textId="40695D43" w:rsidR="002E6549" w:rsidRPr="00A540FD" w:rsidRDefault="002E6549">
      <w:pPr>
        <w:pStyle w:val="FootnoteText"/>
        <w:rPr>
          <w:rFonts w:ascii="Century Schoolbook" w:hAnsi="Century Schoolbook"/>
          <w:sz w:val="16"/>
          <w:szCs w:val="16"/>
        </w:rPr>
      </w:pPr>
      <w:r w:rsidRPr="00A540FD">
        <w:rPr>
          <w:rStyle w:val="FootnoteReference"/>
          <w:rFonts w:ascii="Century Schoolbook" w:hAnsi="Century Schoolbook"/>
          <w:sz w:val="16"/>
          <w:szCs w:val="16"/>
        </w:rPr>
        <w:footnoteRef/>
      </w:r>
      <w:r w:rsidRPr="00A540FD">
        <w:rPr>
          <w:rFonts w:ascii="Century Schoolbook" w:hAnsi="Century Schoolbook"/>
          <w:sz w:val="16"/>
          <w:szCs w:val="16"/>
        </w:rPr>
        <w:t xml:space="preserve"> </w:t>
      </w:r>
      <w:r w:rsidR="00FE1438" w:rsidRPr="00A540FD">
        <w:rPr>
          <w:rFonts w:ascii="Century Schoolbook" w:hAnsi="Century Schoolbook"/>
          <w:sz w:val="16"/>
          <w:szCs w:val="16"/>
        </w:rPr>
        <w:t xml:space="preserve">O.R.C. 4901:1-10-33(A) </w:t>
      </w:r>
    </w:p>
  </w:footnote>
  <w:footnote w:id="3">
    <w:p w14:paraId="1ABEE21A" w14:textId="36213904" w:rsidR="00CA4537" w:rsidRPr="00A540FD" w:rsidRDefault="00CA4537">
      <w:pPr>
        <w:pStyle w:val="FootnoteText"/>
        <w:rPr>
          <w:rFonts w:ascii="Century Schoolbook" w:hAnsi="Century Schoolbook"/>
          <w:sz w:val="16"/>
          <w:szCs w:val="16"/>
        </w:rPr>
      </w:pPr>
      <w:r w:rsidRPr="00A540FD">
        <w:rPr>
          <w:rStyle w:val="FootnoteReference"/>
          <w:rFonts w:ascii="Century Schoolbook" w:hAnsi="Century Schoolbook"/>
          <w:sz w:val="16"/>
          <w:szCs w:val="16"/>
        </w:rPr>
        <w:footnoteRef/>
      </w:r>
      <w:r w:rsidRPr="00A540FD">
        <w:rPr>
          <w:rFonts w:ascii="Century Schoolbook" w:hAnsi="Century Schoolbook"/>
          <w:sz w:val="16"/>
          <w:szCs w:val="16"/>
        </w:rPr>
        <w:t xml:space="preserve"> Duke Application at 2-3.</w:t>
      </w:r>
    </w:p>
  </w:footnote>
  <w:footnote w:id="4">
    <w:p w14:paraId="1BA9F746" w14:textId="0E240EE3" w:rsidR="00866243" w:rsidRDefault="00866243">
      <w:pPr>
        <w:pStyle w:val="FootnoteText"/>
      </w:pPr>
      <w:r w:rsidRPr="00A540FD">
        <w:rPr>
          <w:rStyle w:val="FootnoteReference"/>
          <w:rFonts w:ascii="Century Schoolbook" w:hAnsi="Century Schoolbook"/>
          <w:sz w:val="16"/>
          <w:szCs w:val="16"/>
        </w:rPr>
        <w:footnoteRef/>
      </w:r>
      <w:r w:rsidRPr="00A540FD">
        <w:rPr>
          <w:rFonts w:ascii="Century Schoolbook" w:hAnsi="Century Schoolbook"/>
          <w:sz w:val="16"/>
          <w:szCs w:val="16"/>
        </w:rPr>
        <w:t xml:space="preserve"> Commission Staff Comments at 5.</w:t>
      </w:r>
      <w:r>
        <w:t xml:space="preserve"> </w:t>
      </w:r>
    </w:p>
  </w:footnote>
  <w:footnote w:id="5">
    <w:p w14:paraId="1247CDEB" w14:textId="712EDD23" w:rsidR="00EF5A56" w:rsidRPr="00A540FD" w:rsidRDefault="00EF5A56">
      <w:pPr>
        <w:pStyle w:val="FootnoteText"/>
        <w:rPr>
          <w:rFonts w:ascii="Century Schoolbook" w:hAnsi="Century Schoolbook"/>
          <w:sz w:val="16"/>
          <w:szCs w:val="16"/>
        </w:rPr>
      </w:pPr>
      <w:r w:rsidRPr="00A540FD">
        <w:rPr>
          <w:rStyle w:val="FootnoteReference"/>
          <w:rFonts w:ascii="Century Schoolbook" w:hAnsi="Century Schoolbook"/>
          <w:sz w:val="16"/>
          <w:szCs w:val="16"/>
        </w:rPr>
        <w:footnoteRef/>
      </w:r>
      <w:r w:rsidRPr="00A540FD">
        <w:rPr>
          <w:rFonts w:ascii="Century Schoolbook" w:hAnsi="Century Schoolbook"/>
          <w:sz w:val="16"/>
          <w:szCs w:val="16"/>
        </w:rPr>
        <w:t xml:space="preserve"> </w:t>
      </w:r>
      <w:r w:rsidRPr="00A540FD">
        <w:rPr>
          <w:rFonts w:ascii="Century Schoolbook" w:hAnsi="Century Schoolbook"/>
          <w:i/>
          <w:iCs/>
          <w:sz w:val="16"/>
          <w:szCs w:val="16"/>
        </w:rPr>
        <w:t>In the Matter of the Commission’s Review of its Rule for Electric Safety and Service Standards Contained in Chapter 4901:1-10 of the Ohio Administrative Code</w:t>
      </w:r>
      <w:r w:rsidRPr="00A540FD">
        <w:rPr>
          <w:rFonts w:ascii="Century Schoolbook" w:hAnsi="Century Schoolbook"/>
          <w:sz w:val="16"/>
          <w:szCs w:val="16"/>
        </w:rPr>
        <w:t>, Case No. 17-1842-EL-ORD.</w:t>
      </w:r>
    </w:p>
  </w:footnote>
  <w:footnote w:id="6">
    <w:p w14:paraId="05589AD2" w14:textId="3B7A5B73" w:rsidR="0095190A" w:rsidRPr="00A540FD" w:rsidRDefault="0095190A">
      <w:pPr>
        <w:pStyle w:val="FootnoteText"/>
        <w:rPr>
          <w:rFonts w:ascii="Century Schoolbook" w:hAnsi="Century Schoolbook"/>
          <w:sz w:val="16"/>
          <w:szCs w:val="16"/>
        </w:rPr>
      </w:pPr>
      <w:r w:rsidRPr="00A540FD">
        <w:rPr>
          <w:rStyle w:val="FootnoteReference"/>
          <w:rFonts w:ascii="Century Schoolbook" w:hAnsi="Century Schoolbook"/>
          <w:sz w:val="16"/>
          <w:szCs w:val="16"/>
        </w:rPr>
        <w:footnoteRef/>
      </w:r>
      <w:r w:rsidRPr="00A540FD">
        <w:rPr>
          <w:rFonts w:ascii="Century Schoolbook" w:hAnsi="Century Schoolbook"/>
          <w:sz w:val="16"/>
          <w:szCs w:val="16"/>
        </w:rPr>
        <w:t xml:space="preserve"> </w:t>
      </w:r>
      <w:r w:rsidR="00CB13E9" w:rsidRPr="00A540FD">
        <w:rPr>
          <w:rFonts w:ascii="Century Schoolbook" w:hAnsi="Century Schoolbook"/>
          <w:sz w:val="16"/>
          <w:szCs w:val="16"/>
        </w:rPr>
        <w:t xml:space="preserve">Case No. 17-1842-EL-ORD, Finding and </w:t>
      </w:r>
      <w:proofErr w:type="gramStart"/>
      <w:r w:rsidR="00CB13E9" w:rsidRPr="00A540FD">
        <w:rPr>
          <w:rFonts w:ascii="Century Schoolbook" w:hAnsi="Century Schoolbook"/>
          <w:sz w:val="16"/>
          <w:szCs w:val="16"/>
        </w:rPr>
        <w:t>Order  at</w:t>
      </w:r>
      <w:proofErr w:type="gramEnd"/>
      <w:r w:rsidR="00CB13E9" w:rsidRPr="00A540FD">
        <w:rPr>
          <w:rFonts w:ascii="Century Schoolbook" w:hAnsi="Century Schoolbook"/>
          <w:sz w:val="16"/>
          <w:szCs w:val="16"/>
        </w:rPr>
        <w:t xml:space="preserve"> ¶</w:t>
      </w:r>
      <w:r w:rsidR="004176D2" w:rsidRPr="00A540FD">
        <w:rPr>
          <w:rFonts w:ascii="Century Schoolbook" w:hAnsi="Century Schoolbook"/>
          <w:sz w:val="16"/>
          <w:szCs w:val="16"/>
        </w:rPr>
        <w:t>213 (Feb. 26, 2020).</w:t>
      </w:r>
    </w:p>
  </w:footnote>
  <w:footnote w:id="7">
    <w:p w14:paraId="6F13512D" w14:textId="3EAC1B53" w:rsidR="006B6F48" w:rsidRPr="0056640E" w:rsidRDefault="006B6F48">
      <w:pPr>
        <w:pStyle w:val="FootnoteText"/>
        <w:rPr>
          <w:rFonts w:ascii="Century Schoolbook" w:hAnsi="Century Schoolbook"/>
          <w:sz w:val="16"/>
          <w:szCs w:val="16"/>
        </w:rPr>
      </w:pPr>
      <w:r w:rsidRPr="0056640E">
        <w:rPr>
          <w:rStyle w:val="FootnoteReference"/>
          <w:rFonts w:ascii="Century Schoolbook" w:hAnsi="Century Schoolbook"/>
          <w:sz w:val="16"/>
          <w:szCs w:val="16"/>
        </w:rPr>
        <w:footnoteRef/>
      </w:r>
      <w:r w:rsidRPr="0056640E">
        <w:rPr>
          <w:rFonts w:ascii="Century Schoolbook" w:hAnsi="Century Schoolbook"/>
          <w:sz w:val="16"/>
          <w:szCs w:val="16"/>
        </w:rPr>
        <w:t xml:space="preserve"> </w:t>
      </w:r>
      <w:r w:rsidR="00312583" w:rsidRPr="0056640E">
        <w:rPr>
          <w:rFonts w:ascii="Century Schoolbook" w:hAnsi="Century Schoolbook"/>
          <w:sz w:val="16"/>
          <w:szCs w:val="16"/>
        </w:rPr>
        <w:t>O.A.C. 4901:</w:t>
      </w:r>
      <w:r w:rsidR="00B04190" w:rsidRPr="0056640E">
        <w:rPr>
          <w:rFonts w:ascii="Century Schoolbook" w:hAnsi="Century Schoolbook"/>
          <w:sz w:val="16"/>
          <w:szCs w:val="16"/>
        </w:rPr>
        <w:t>1-10-33(A)</w:t>
      </w:r>
      <w:r w:rsidR="0056640E">
        <w:rPr>
          <w:rFonts w:ascii="Century Schoolbook" w:hAnsi="Century Schoolbook"/>
          <w:sz w:val="16"/>
          <w:szCs w:val="16"/>
        </w:rPr>
        <w:t xml:space="preserve"> </w:t>
      </w:r>
      <w:r w:rsidR="002D437F">
        <w:rPr>
          <w:rFonts w:ascii="Century Schoolbook" w:hAnsi="Century Schoolbook"/>
          <w:sz w:val="16"/>
          <w:szCs w:val="16"/>
        </w:rPr>
        <w:t>(emphasis added)</w:t>
      </w:r>
      <w:r w:rsidR="00CC5B7D">
        <w:rPr>
          <w:rFonts w:ascii="Century Schoolbook" w:hAnsi="Century Schoolbook"/>
          <w:sz w:val="16"/>
          <w:szCs w:val="16"/>
        </w:rPr>
        <w:t>.</w:t>
      </w:r>
    </w:p>
  </w:footnote>
  <w:footnote w:id="8">
    <w:p w14:paraId="31425328" w14:textId="4FCD79C3" w:rsidR="009818FC" w:rsidRPr="005D3FE5" w:rsidRDefault="009818FC">
      <w:pPr>
        <w:pStyle w:val="FootnoteText"/>
        <w:rPr>
          <w:rFonts w:ascii="Century Schoolbook" w:hAnsi="Century Schoolbook"/>
          <w:sz w:val="16"/>
          <w:szCs w:val="16"/>
        </w:rPr>
      </w:pPr>
      <w:r w:rsidRPr="005D3FE5">
        <w:rPr>
          <w:rStyle w:val="FootnoteReference"/>
          <w:rFonts w:ascii="Century Schoolbook" w:hAnsi="Century Schoolbook"/>
          <w:sz w:val="16"/>
          <w:szCs w:val="16"/>
        </w:rPr>
        <w:footnoteRef/>
      </w:r>
      <w:r w:rsidRPr="005D3FE5">
        <w:rPr>
          <w:rFonts w:ascii="Century Schoolbook" w:hAnsi="Century Schoolbook"/>
          <w:sz w:val="16"/>
          <w:szCs w:val="16"/>
        </w:rPr>
        <w:t xml:space="preserve"> Entry on Rehearing </w:t>
      </w:r>
      <w:r w:rsidRPr="005D3FE5">
        <w:rPr>
          <w:rFonts w:ascii="Century Schoolbook" w:hAnsi="Century Schoolbook" w:cs="Times New Roman"/>
          <w:bCs/>
          <w:sz w:val="16"/>
        </w:rPr>
        <w:t>¶49</w:t>
      </w:r>
      <w:r w:rsidR="0000019E" w:rsidRPr="005D3FE5">
        <w:rPr>
          <w:rFonts w:ascii="Century Schoolbook" w:hAnsi="Century Schoolbook" w:cs="Times New Roman"/>
          <w:bCs/>
          <w:sz w:val="16"/>
        </w:rPr>
        <w:t>.</w:t>
      </w:r>
    </w:p>
  </w:footnote>
  <w:footnote w:id="9">
    <w:p w14:paraId="5503EBD5" w14:textId="676ADEFD" w:rsidR="00A4273F" w:rsidRPr="005D3FE5" w:rsidRDefault="00A4273F">
      <w:pPr>
        <w:pStyle w:val="FootnoteText"/>
        <w:rPr>
          <w:rFonts w:ascii="Century Schoolbook" w:hAnsi="Century Schoolbook"/>
          <w:sz w:val="16"/>
          <w:szCs w:val="16"/>
        </w:rPr>
      </w:pPr>
      <w:r w:rsidRPr="005D3FE5">
        <w:rPr>
          <w:rStyle w:val="FootnoteReference"/>
          <w:rFonts w:ascii="Century Schoolbook" w:hAnsi="Century Schoolbook"/>
          <w:sz w:val="16"/>
          <w:szCs w:val="16"/>
        </w:rPr>
        <w:footnoteRef/>
      </w:r>
      <w:r w:rsidRPr="005D3FE5">
        <w:rPr>
          <w:rFonts w:ascii="Century Schoolbook" w:hAnsi="Century Schoolbook"/>
          <w:sz w:val="16"/>
          <w:szCs w:val="16"/>
        </w:rPr>
        <w:t xml:space="preserve"> Duke Application at 1.</w:t>
      </w:r>
    </w:p>
  </w:footnote>
  <w:footnote w:id="10">
    <w:p w14:paraId="1257F377" w14:textId="0405504A" w:rsidR="00AA28E2" w:rsidRPr="005D3FE5" w:rsidRDefault="00AA28E2">
      <w:pPr>
        <w:pStyle w:val="FootnoteText"/>
        <w:rPr>
          <w:rFonts w:ascii="Century Schoolbook" w:hAnsi="Century Schoolbook"/>
          <w:sz w:val="16"/>
          <w:szCs w:val="16"/>
        </w:rPr>
      </w:pPr>
      <w:r w:rsidRPr="005D3FE5">
        <w:rPr>
          <w:rStyle w:val="FootnoteReference"/>
          <w:rFonts w:ascii="Century Schoolbook" w:hAnsi="Century Schoolbook"/>
          <w:sz w:val="16"/>
          <w:szCs w:val="16"/>
        </w:rPr>
        <w:footnoteRef/>
      </w:r>
      <w:r w:rsidRPr="005D3FE5">
        <w:rPr>
          <w:rFonts w:ascii="Century Schoolbook" w:hAnsi="Century Schoolbook"/>
          <w:sz w:val="16"/>
          <w:szCs w:val="16"/>
        </w:rPr>
        <w:t xml:space="preserve"> Duke Application at </w:t>
      </w:r>
      <w:r w:rsidR="00E26D93" w:rsidRPr="005D3FE5">
        <w:rPr>
          <w:rFonts w:ascii="Century Schoolbook" w:hAnsi="Century Schoolbook"/>
          <w:sz w:val="16"/>
          <w:szCs w:val="16"/>
        </w:rPr>
        <w:t>3</w:t>
      </w:r>
      <w:r w:rsidRPr="005D3FE5">
        <w:rPr>
          <w:rFonts w:ascii="Century Schoolbook" w:hAnsi="Century Schoolbook"/>
          <w:sz w:val="16"/>
          <w:szCs w:val="16"/>
        </w:rPr>
        <w:t xml:space="preserve">. </w:t>
      </w:r>
    </w:p>
  </w:footnote>
  <w:footnote w:id="11">
    <w:p w14:paraId="23EE1FF0" w14:textId="2FB61C87" w:rsidR="00A30049" w:rsidRDefault="00A30049">
      <w:pPr>
        <w:pStyle w:val="FootnoteText"/>
      </w:pPr>
      <w:r w:rsidRPr="005D3FE5">
        <w:rPr>
          <w:rStyle w:val="FootnoteReference"/>
          <w:rFonts w:ascii="Century Schoolbook" w:hAnsi="Century Schoolbook"/>
          <w:sz w:val="16"/>
          <w:szCs w:val="16"/>
        </w:rPr>
        <w:footnoteRef/>
      </w:r>
      <w:r w:rsidRPr="005D3FE5">
        <w:rPr>
          <w:rFonts w:ascii="Century Schoolbook" w:hAnsi="Century Schoolbook"/>
          <w:sz w:val="16"/>
          <w:szCs w:val="16"/>
        </w:rPr>
        <w:t xml:space="preserve"> Duke Application at 3.</w:t>
      </w:r>
      <w:r w:rsidRPr="005D3FE5">
        <w:rPr>
          <w:sz w:val="16"/>
          <w:szCs w:val="16"/>
        </w:rPr>
        <w:t xml:space="preserve"> </w:t>
      </w:r>
    </w:p>
  </w:footnote>
  <w:footnote w:id="12">
    <w:p w14:paraId="3CE10785" w14:textId="76F6A1F3" w:rsidR="00282B39" w:rsidRPr="009B0322" w:rsidRDefault="00282B39">
      <w:pPr>
        <w:pStyle w:val="FootnoteText"/>
        <w:rPr>
          <w:rFonts w:ascii="Century Schoolbook" w:hAnsi="Century Schoolbook"/>
          <w:sz w:val="16"/>
          <w:szCs w:val="16"/>
        </w:rPr>
      </w:pPr>
      <w:r w:rsidRPr="009B0322">
        <w:rPr>
          <w:rStyle w:val="FootnoteReference"/>
          <w:rFonts w:ascii="Century Schoolbook" w:hAnsi="Century Schoolbook"/>
          <w:sz w:val="16"/>
          <w:szCs w:val="16"/>
        </w:rPr>
        <w:footnoteRef/>
      </w:r>
      <w:r w:rsidRPr="009B0322">
        <w:rPr>
          <w:rFonts w:ascii="Century Schoolbook" w:hAnsi="Century Schoolbook"/>
          <w:sz w:val="16"/>
          <w:szCs w:val="16"/>
        </w:rPr>
        <w:t xml:space="preserve"> Duke Response to IGS INT-01-002</w:t>
      </w:r>
      <w:r w:rsidR="007A4772" w:rsidRPr="009B0322">
        <w:rPr>
          <w:rFonts w:ascii="Century Schoolbook" w:hAnsi="Century Schoolbook"/>
          <w:sz w:val="16"/>
          <w:szCs w:val="16"/>
        </w:rPr>
        <w:t>.</w:t>
      </w:r>
    </w:p>
  </w:footnote>
  <w:footnote w:id="13">
    <w:p w14:paraId="50902FB1" w14:textId="0ED7E5AA" w:rsidR="001661AD" w:rsidRDefault="001661AD">
      <w:pPr>
        <w:pStyle w:val="FootnoteText"/>
      </w:pPr>
      <w:r w:rsidRPr="009B0322">
        <w:rPr>
          <w:rStyle w:val="FootnoteReference"/>
          <w:rFonts w:ascii="Century Schoolbook" w:hAnsi="Century Schoolbook"/>
          <w:sz w:val="16"/>
          <w:szCs w:val="16"/>
        </w:rPr>
        <w:footnoteRef/>
      </w:r>
      <w:r w:rsidRPr="009B0322">
        <w:rPr>
          <w:rFonts w:ascii="Century Schoolbook" w:hAnsi="Century Schoolbook"/>
          <w:sz w:val="16"/>
          <w:szCs w:val="16"/>
        </w:rPr>
        <w:t xml:space="preserve"> Duke Application at 3.</w:t>
      </w:r>
    </w:p>
  </w:footnote>
  <w:footnote w:id="14">
    <w:p w14:paraId="5540F454" w14:textId="1C316D92" w:rsidR="00C73013" w:rsidRPr="009B0322" w:rsidRDefault="00C73013">
      <w:pPr>
        <w:pStyle w:val="FootnoteText"/>
        <w:rPr>
          <w:rFonts w:ascii="Century Schoolbook" w:hAnsi="Century Schoolbook"/>
          <w:sz w:val="16"/>
          <w:szCs w:val="16"/>
        </w:rPr>
      </w:pPr>
      <w:r w:rsidRPr="009B0322">
        <w:rPr>
          <w:rStyle w:val="FootnoteReference"/>
          <w:rFonts w:ascii="Century Schoolbook" w:hAnsi="Century Schoolbook"/>
          <w:sz w:val="16"/>
          <w:szCs w:val="16"/>
        </w:rPr>
        <w:footnoteRef/>
      </w:r>
      <w:r w:rsidRPr="009B0322">
        <w:rPr>
          <w:rFonts w:ascii="Century Schoolbook" w:hAnsi="Century Schoolbook"/>
          <w:sz w:val="16"/>
          <w:szCs w:val="16"/>
        </w:rPr>
        <w:t xml:space="preserve"> Duke Application at 2. </w:t>
      </w:r>
    </w:p>
  </w:footnote>
  <w:footnote w:id="15">
    <w:p w14:paraId="5AC47474" w14:textId="1C6A9BF8" w:rsidR="002B60DC" w:rsidRPr="0056640E" w:rsidRDefault="002B60DC">
      <w:pPr>
        <w:pStyle w:val="FootnoteText"/>
        <w:rPr>
          <w:rFonts w:ascii="Century Schoolbook" w:hAnsi="Century Schoolbook"/>
          <w:sz w:val="16"/>
          <w:szCs w:val="16"/>
        </w:rPr>
      </w:pPr>
      <w:r w:rsidRPr="0056640E">
        <w:rPr>
          <w:rStyle w:val="FootnoteReference"/>
          <w:rFonts w:ascii="Century Schoolbook" w:hAnsi="Century Schoolbook"/>
          <w:sz w:val="16"/>
          <w:szCs w:val="16"/>
        </w:rPr>
        <w:footnoteRef/>
      </w:r>
      <w:r w:rsidRPr="0056640E">
        <w:rPr>
          <w:rFonts w:ascii="Century Schoolbook" w:hAnsi="Century Schoolbook"/>
          <w:sz w:val="16"/>
          <w:szCs w:val="16"/>
        </w:rPr>
        <w:t xml:space="preserve"> </w:t>
      </w:r>
      <w:r w:rsidR="00B61F2F" w:rsidRPr="0056640E">
        <w:rPr>
          <w:rFonts w:ascii="Century Schoolbook" w:hAnsi="Century Schoolbook"/>
          <w:sz w:val="16"/>
          <w:szCs w:val="16"/>
        </w:rPr>
        <w:t>O.R.C.4928.02</w:t>
      </w:r>
      <w:r w:rsidR="0056640E" w:rsidRPr="0056640E">
        <w:rPr>
          <w:rFonts w:ascii="Century Schoolbook" w:hAnsi="Century School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F1414"/>
    <w:multiLevelType w:val="multilevel"/>
    <w:tmpl w:val="72E68634"/>
    <w:lvl w:ilvl="0">
      <w:start w:val="1"/>
      <w:numFmt w:val="upperRoman"/>
      <w:pStyle w:val="Heading1"/>
      <w:lvlText w:val="%1."/>
      <w:lvlJc w:val="left"/>
      <w:pPr>
        <w:ind w:left="0" w:firstLine="0"/>
      </w:pPr>
      <w:rPr>
        <w:rFonts w:hint="default"/>
        <w:b/>
        <w:bCs/>
      </w:rPr>
    </w:lvl>
    <w:lvl w:ilvl="1">
      <w:start w:val="1"/>
      <w:numFmt w:val="upperLetter"/>
      <w:pStyle w:val="Heading2"/>
      <w:lvlText w:val="%2."/>
      <w:lvlJc w:val="left"/>
      <w:pPr>
        <w:ind w:left="720" w:firstLine="0"/>
      </w:pPr>
      <w:rPr>
        <w:b/>
        <w:bCs/>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4B961D1"/>
    <w:multiLevelType w:val="hybridMultilevel"/>
    <w:tmpl w:val="962ED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E3AD8"/>
    <w:multiLevelType w:val="multilevel"/>
    <w:tmpl w:val="4CB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F9"/>
    <w:rsid w:val="0000019E"/>
    <w:rsid w:val="00000EFC"/>
    <w:rsid w:val="000065AF"/>
    <w:rsid w:val="00007FC0"/>
    <w:rsid w:val="000105D6"/>
    <w:rsid w:val="00010BA1"/>
    <w:rsid w:val="00012FE2"/>
    <w:rsid w:val="00013BDE"/>
    <w:rsid w:val="0001604C"/>
    <w:rsid w:val="000173B5"/>
    <w:rsid w:val="00017CAD"/>
    <w:rsid w:val="00026D40"/>
    <w:rsid w:val="00030F1E"/>
    <w:rsid w:val="000356B5"/>
    <w:rsid w:val="00035A51"/>
    <w:rsid w:val="00045F45"/>
    <w:rsid w:val="0005025D"/>
    <w:rsid w:val="00057281"/>
    <w:rsid w:val="000608FD"/>
    <w:rsid w:val="000616EF"/>
    <w:rsid w:val="0006582D"/>
    <w:rsid w:val="00067C54"/>
    <w:rsid w:val="00071A6F"/>
    <w:rsid w:val="00073458"/>
    <w:rsid w:val="000755ED"/>
    <w:rsid w:val="00075B67"/>
    <w:rsid w:val="00075EFE"/>
    <w:rsid w:val="00077653"/>
    <w:rsid w:val="0008214E"/>
    <w:rsid w:val="00084D53"/>
    <w:rsid w:val="000928D3"/>
    <w:rsid w:val="00095E34"/>
    <w:rsid w:val="000A1943"/>
    <w:rsid w:val="000B4E8A"/>
    <w:rsid w:val="000B550E"/>
    <w:rsid w:val="000C5084"/>
    <w:rsid w:val="000C58D2"/>
    <w:rsid w:val="000C6412"/>
    <w:rsid w:val="000D22AE"/>
    <w:rsid w:val="000D3528"/>
    <w:rsid w:val="000D462C"/>
    <w:rsid w:val="000D640D"/>
    <w:rsid w:val="000D6E9F"/>
    <w:rsid w:val="000E31A5"/>
    <w:rsid w:val="000F15AA"/>
    <w:rsid w:val="000F5991"/>
    <w:rsid w:val="000F5B37"/>
    <w:rsid w:val="001023F9"/>
    <w:rsid w:val="0010303E"/>
    <w:rsid w:val="00113702"/>
    <w:rsid w:val="00115F3C"/>
    <w:rsid w:val="001168E9"/>
    <w:rsid w:val="00117EF9"/>
    <w:rsid w:val="001230A6"/>
    <w:rsid w:val="001239F6"/>
    <w:rsid w:val="00130643"/>
    <w:rsid w:val="001311C2"/>
    <w:rsid w:val="0013294B"/>
    <w:rsid w:val="0014126A"/>
    <w:rsid w:val="00161D53"/>
    <w:rsid w:val="00164886"/>
    <w:rsid w:val="00165F9B"/>
    <w:rsid w:val="001661AD"/>
    <w:rsid w:val="0016685F"/>
    <w:rsid w:val="00170A0C"/>
    <w:rsid w:val="00170C79"/>
    <w:rsid w:val="00176954"/>
    <w:rsid w:val="00177235"/>
    <w:rsid w:val="00181EBD"/>
    <w:rsid w:val="00185574"/>
    <w:rsid w:val="001948ED"/>
    <w:rsid w:val="001972CA"/>
    <w:rsid w:val="00197B81"/>
    <w:rsid w:val="001A063D"/>
    <w:rsid w:val="001A1131"/>
    <w:rsid w:val="001A23D1"/>
    <w:rsid w:val="001A4806"/>
    <w:rsid w:val="001B12AC"/>
    <w:rsid w:val="001B148B"/>
    <w:rsid w:val="001B39B5"/>
    <w:rsid w:val="001B644B"/>
    <w:rsid w:val="001C0960"/>
    <w:rsid w:val="001C1F75"/>
    <w:rsid w:val="001C4F6C"/>
    <w:rsid w:val="001D0571"/>
    <w:rsid w:val="001D6159"/>
    <w:rsid w:val="001E367F"/>
    <w:rsid w:val="001E40C6"/>
    <w:rsid w:val="001E4504"/>
    <w:rsid w:val="001E5FEC"/>
    <w:rsid w:val="001E6B7A"/>
    <w:rsid w:val="001F333D"/>
    <w:rsid w:val="001F5A8F"/>
    <w:rsid w:val="00204DD0"/>
    <w:rsid w:val="0021012C"/>
    <w:rsid w:val="00212C3E"/>
    <w:rsid w:val="0022304B"/>
    <w:rsid w:val="0022657F"/>
    <w:rsid w:val="00226AEB"/>
    <w:rsid w:val="002334EE"/>
    <w:rsid w:val="002343FA"/>
    <w:rsid w:val="0023784A"/>
    <w:rsid w:val="00243A87"/>
    <w:rsid w:val="00246897"/>
    <w:rsid w:val="002470E4"/>
    <w:rsid w:val="0025555C"/>
    <w:rsid w:val="002655DE"/>
    <w:rsid w:val="00271DF3"/>
    <w:rsid w:val="0027311F"/>
    <w:rsid w:val="002753A3"/>
    <w:rsid w:val="00277543"/>
    <w:rsid w:val="002807B4"/>
    <w:rsid w:val="00282B39"/>
    <w:rsid w:val="00285D66"/>
    <w:rsid w:val="00290655"/>
    <w:rsid w:val="00290F68"/>
    <w:rsid w:val="002931C9"/>
    <w:rsid w:val="00294B95"/>
    <w:rsid w:val="00297218"/>
    <w:rsid w:val="00297C91"/>
    <w:rsid w:val="002A1710"/>
    <w:rsid w:val="002A508F"/>
    <w:rsid w:val="002A7A75"/>
    <w:rsid w:val="002A7B5D"/>
    <w:rsid w:val="002B03BE"/>
    <w:rsid w:val="002B09EF"/>
    <w:rsid w:val="002B0A77"/>
    <w:rsid w:val="002B0F86"/>
    <w:rsid w:val="002B3F79"/>
    <w:rsid w:val="002B60DC"/>
    <w:rsid w:val="002C4990"/>
    <w:rsid w:val="002C5F63"/>
    <w:rsid w:val="002C6CD5"/>
    <w:rsid w:val="002D437F"/>
    <w:rsid w:val="002D699E"/>
    <w:rsid w:val="002E0E88"/>
    <w:rsid w:val="002E6549"/>
    <w:rsid w:val="002F0976"/>
    <w:rsid w:val="002F6448"/>
    <w:rsid w:val="002F72F1"/>
    <w:rsid w:val="002F77E3"/>
    <w:rsid w:val="00302855"/>
    <w:rsid w:val="0030387D"/>
    <w:rsid w:val="00307730"/>
    <w:rsid w:val="0030796B"/>
    <w:rsid w:val="00312583"/>
    <w:rsid w:val="003138A6"/>
    <w:rsid w:val="00324D20"/>
    <w:rsid w:val="00324E08"/>
    <w:rsid w:val="00326D59"/>
    <w:rsid w:val="00327A55"/>
    <w:rsid w:val="003327F6"/>
    <w:rsid w:val="00335181"/>
    <w:rsid w:val="00335664"/>
    <w:rsid w:val="00337206"/>
    <w:rsid w:val="00345E73"/>
    <w:rsid w:val="0035452E"/>
    <w:rsid w:val="003617FA"/>
    <w:rsid w:val="00362CC2"/>
    <w:rsid w:val="00365DCF"/>
    <w:rsid w:val="003701E8"/>
    <w:rsid w:val="003732E3"/>
    <w:rsid w:val="003762B4"/>
    <w:rsid w:val="00377036"/>
    <w:rsid w:val="00380DB2"/>
    <w:rsid w:val="00383057"/>
    <w:rsid w:val="00385DA2"/>
    <w:rsid w:val="00386A7E"/>
    <w:rsid w:val="003874AF"/>
    <w:rsid w:val="00393142"/>
    <w:rsid w:val="00393F5F"/>
    <w:rsid w:val="00394B42"/>
    <w:rsid w:val="0039528C"/>
    <w:rsid w:val="00396374"/>
    <w:rsid w:val="00396530"/>
    <w:rsid w:val="003A2330"/>
    <w:rsid w:val="003B091A"/>
    <w:rsid w:val="003C0AC3"/>
    <w:rsid w:val="003C1B77"/>
    <w:rsid w:val="003C2F7E"/>
    <w:rsid w:val="003C4EB8"/>
    <w:rsid w:val="003C5186"/>
    <w:rsid w:val="003C59A1"/>
    <w:rsid w:val="003C7FA3"/>
    <w:rsid w:val="003D3D9B"/>
    <w:rsid w:val="003D4535"/>
    <w:rsid w:val="003D64AE"/>
    <w:rsid w:val="003D6828"/>
    <w:rsid w:val="003E2FAB"/>
    <w:rsid w:val="003F10A9"/>
    <w:rsid w:val="003F1478"/>
    <w:rsid w:val="003F26DC"/>
    <w:rsid w:val="00405285"/>
    <w:rsid w:val="0041083B"/>
    <w:rsid w:val="004176D2"/>
    <w:rsid w:val="004179E7"/>
    <w:rsid w:val="0042128C"/>
    <w:rsid w:val="00421A7B"/>
    <w:rsid w:val="00430038"/>
    <w:rsid w:val="00443F05"/>
    <w:rsid w:val="00451F71"/>
    <w:rsid w:val="00455DC3"/>
    <w:rsid w:val="0046060A"/>
    <w:rsid w:val="00460BB1"/>
    <w:rsid w:val="00462147"/>
    <w:rsid w:val="00463D2C"/>
    <w:rsid w:val="00464B11"/>
    <w:rsid w:val="004705BA"/>
    <w:rsid w:val="00477EFA"/>
    <w:rsid w:val="00485B9F"/>
    <w:rsid w:val="004A27EC"/>
    <w:rsid w:val="004A2FD0"/>
    <w:rsid w:val="004A5CAB"/>
    <w:rsid w:val="004A6316"/>
    <w:rsid w:val="004A63B1"/>
    <w:rsid w:val="004A6DE1"/>
    <w:rsid w:val="004A6E0F"/>
    <w:rsid w:val="004B66FA"/>
    <w:rsid w:val="004C132E"/>
    <w:rsid w:val="004C19A5"/>
    <w:rsid w:val="004C2A81"/>
    <w:rsid w:val="004C524C"/>
    <w:rsid w:val="004C6C71"/>
    <w:rsid w:val="004C765A"/>
    <w:rsid w:val="004D41C9"/>
    <w:rsid w:val="004D4D77"/>
    <w:rsid w:val="004D769D"/>
    <w:rsid w:val="004E3801"/>
    <w:rsid w:val="004E6607"/>
    <w:rsid w:val="004F1B4D"/>
    <w:rsid w:val="004F65D7"/>
    <w:rsid w:val="00500C3D"/>
    <w:rsid w:val="00504015"/>
    <w:rsid w:val="00506DC8"/>
    <w:rsid w:val="00507239"/>
    <w:rsid w:val="00511D11"/>
    <w:rsid w:val="00513896"/>
    <w:rsid w:val="0051465A"/>
    <w:rsid w:val="0052006B"/>
    <w:rsid w:val="00521C3A"/>
    <w:rsid w:val="00524644"/>
    <w:rsid w:val="00526E91"/>
    <w:rsid w:val="005273AD"/>
    <w:rsid w:val="00530FF1"/>
    <w:rsid w:val="00534133"/>
    <w:rsid w:val="00552888"/>
    <w:rsid w:val="0055314D"/>
    <w:rsid w:val="00553B1B"/>
    <w:rsid w:val="00556EF9"/>
    <w:rsid w:val="005614DD"/>
    <w:rsid w:val="00561A2B"/>
    <w:rsid w:val="005642D2"/>
    <w:rsid w:val="0056471F"/>
    <w:rsid w:val="00564999"/>
    <w:rsid w:val="0056510F"/>
    <w:rsid w:val="0056640E"/>
    <w:rsid w:val="00572C2C"/>
    <w:rsid w:val="005734CA"/>
    <w:rsid w:val="005803F8"/>
    <w:rsid w:val="00581886"/>
    <w:rsid w:val="0058610B"/>
    <w:rsid w:val="00596199"/>
    <w:rsid w:val="005A0501"/>
    <w:rsid w:val="005A0B4B"/>
    <w:rsid w:val="005A1462"/>
    <w:rsid w:val="005A1F4B"/>
    <w:rsid w:val="005B16E2"/>
    <w:rsid w:val="005B38D4"/>
    <w:rsid w:val="005B79DF"/>
    <w:rsid w:val="005C3CCD"/>
    <w:rsid w:val="005C7EC0"/>
    <w:rsid w:val="005D183C"/>
    <w:rsid w:val="005D3FE5"/>
    <w:rsid w:val="005D42B0"/>
    <w:rsid w:val="005D6E9F"/>
    <w:rsid w:val="005E2223"/>
    <w:rsid w:val="005E6084"/>
    <w:rsid w:val="005E627D"/>
    <w:rsid w:val="005F1B91"/>
    <w:rsid w:val="005F2AF5"/>
    <w:rsid w:val="005F33DC"/>
    <w:rsid w:val="005F72CE"/>
    <w:rsid w:val="006009D2"/>
    <w:rsid w:val="00601EEC"/>
    <w:rsid w:val="006032BD"/>
    <w:rsid w:val="006039C1"/>
    <w:rsid w:val="00604C6C"/>
    <w:rsid w:val="006072C2"/>
    <w:rsid w:val="0061016F"/>
    <w:rsid w:val="00611AFC"/>
    <w:rsid w:val="0061252A"/>
    <w:rsid w:val="00613ED8"/>
    <w:rsid w:val="006140E9"/>
    <w:rsid w:val="006176EE"/>
    <w:rsid w:val="00620248"/>
    <w:rsid w:val="00620C13"/>
    <w:rsid w:val="006239E9"/>
    <w:rsid w:val="00623B89"/>
    <w:rsid w:val="00623FE7"/>
    <w:rsid w:val="006257C5"/>
    <w:rsid w:val="00626064"/>
    <w:rsid w:val="00626948"/>
    <w:rsid w:val="006312AB"/>
    <w:rsid w:val="0063511D"/>
    <w:rsid w:val="00635733"/>
    <w:rsid w:val="00641DED"/>
    <w:rsid w:val="0064381E"/>
    <w:rsid w:val="00645436"/>
    <w:rsid w:val="00645A62"/>
    <w:rsid w:val="00645AE6"/>
    <w:rsid w:val="006478CF"/>
    <w:rsid w:val="00647A39"/>
    <w:rsid w:val="006509F6"/>
    <w:rsid w:val="006512FE"/>
    <w:rsid w:val="00652496"/>
    <w:rsid w:val="006531A2"/>
    <w:rsid w:val="006645CB"/>
    <w:rsid w:val="0066482D"/>
    <w:rsid w:val="00665B58"/>
    <w:rsid w:val="00675254"/>
    <w:rsid w:val="00675A75"/>
    <w:rsid w:val="00676E87"/>
    <w:rsid w:val="00677638"/>
    <w:rsid w:val="006805CD"/>
    <w:rsid w:val="0068120D"/>
    <w:rsid w:val="006879D1"/>
    <w:rsid w:val="00687D94"/>
    <w:rsid w:val="0069011A"/>
    <w:rsid w:val="00693A9A"/>
    <w:rsid w:val="006A0F4E"/>
    <w:rsid w:val="006A3897"/>
    <w:rsid w:val="006A4128"/>
    <w:rsid w:val="006A6351"/>
    <w:rsid w:val="006B4557"/>
    <w:rsid w:val="006B6F48"/>
    <w:rsid w:val="006C4423"/>
    <w:rsid w:val="006C58BD"/>
    <w:rsid w:val="006E2E79"/>
    <w:rsid w:val="006E3CA1"/>
    <w:rsid w:val="006E41D2"/>
    <w:rsid w:val="006F1E47"/>
    <w:rsid w:val="006F22E5"/>
    <w:rsid w:val="006F3833"/>
    <w:rsid w:val="006F56FD"/>
    <w:rsid w:val="006F5D30"/>
    <w:rsid w:val="00703F60"/>
    <w:rsid w:val="007050B8"/>
    <w:rsid w:val="007161FA"/>
    <w:rsid w:val="007178FA"/>
    <w:rsid w:val="00720C74"/>
    <w:rsid w:val="00721E37"/>
    <w:rsid w:val="00724F93"/>
    <w:rsid w:val="00727D83"/>
    <w:rsid w:val="007314F2"/>
    <w:rsid w:val="00732CB6"/>
    <w:rsid w:val="00737611"/>
    <w:rsid w:val="007378ED"/>
    <w:rsid w:val="00741C42"/>
    <w:rsid w:val="0074418D"/>
    <w:rsid w:val="00744434"/>
    <w:rsid w:val="00745E2E"/>
    <w:rsid w:val="00747824"/>
    <w:rsid w:val="0075118B"/>
    <w:rsid w:val="0075164D"/>
    <w:rsid w:val="00752CBC"/>
    <w:rsid w:val="0075451C"/>
    <w:rsid w:val="00761329"/>
    <w:rsid w:val="00767222"/>
    <w:rsid w:val="0077121E"/>
    <w:rsid w:val="0077332F"/>
    <w:rsid w:val="007761AB"/>
    <w:rsid w:val="0079212E"/>
    <w:rsid w:val="00792A45"/>
    <w:rsid w:val="00795EDD"/>
    <w:rsid w:val="007A4772"/>
    <w:rsid w:val="007A5B7E"/>
    <w:rsid w:val="007B329A"/>
    <w:rsid w:val="007B7CD7"/>
    <w:rsid w:val="007C000B"/>
    <w:rsid w:val="007C3468"/>
    <w:rsid w:val="007C5C5A"/>
    <w:rsid w:val="007D03AE"/>
    <w:rsid w:val="007D4FBB"/>
    <w:rsid w:val="007E02E5"/>
    <w:rsid w:val="007F65B5"/>
    <w:rsid w:val="0080097E"/>
    <w:rsid w:val="00802FCF"/>
    <w:rsid w:val="0080431A"/>
    <w:rsid w:val="00805E30"/>
    <w:rsid w:val="0080782C"/>
    <w:rsid w:val="00813C4D"/>
    <w:rsid w:val="00813D6F"/>
    <w:rsid w:val="008146ED"/>
    <w:rsid w:val="008147A5"/>
    <w:rsid w:val="00815936"/>
    <w:rsid w:val="00823379"/>
    <w:rsid w:val="00825CF0"/>
    <w:rsid w:val="008278CF"/>
    <w:rsid w:val="008323EA"/>
    <w:rsid w:val="008334B0"/>
    <w:rsid w:val="00834DF4"/>
    <w:rsid w:val="0083507F"/>
    <w:rsid w:val="008363D2"/>
    <w:rsid w:val="00837D12"/>
    <w:rsid w:val="008408F1"/>
    <w:rsid w:val="00840915"/>
    <w:rsid w:val="00842F72"/>
    <w:rsid w:val="008475CE"/>
    <w:rsid w:val="0085002F"/>
    <w:rsid w:val="008527F9"/>
    <w:rsid w:val="008550EB"/>
    <w:rsid w:val="00861FD1"/>
    <w:rsid w:val="00866243"/>
    <w:rsid w:val="00867CEC"/>
    <w:rsid w:val="00870767"/>
    <w:rsid w:val="008719B9"/>
    <w:rsid w:val="00874C89"/>
    <w:rsid w:val="0087770C"/>
    <w:rsid w:val="00880BEB"/>
    <w:rsid w:val="00882148"/>
    <w:rsid w:val="008822A5"/>
    <w:rsid w:val="00890EA3"/>
    <w:rsid w:val="008914A8"/>
    <w:rsid w:val="00893656"/>
    <w:rsid w:val="008957AF"/>
    <w:rsid w:val="00896728"/>
    <w:rsid w:val="008A0479"/>
    <w:rsid w:val="008A1BB2"/>
    <w:rsid w:val="008A62AE"/>
    <w:rsid w:val="008B0B14"/>
    <w:rsid w:val="008B3A2E"/>
    <w:rsid w:val="008C0061"/>
    <w:rsid w:val="008C0D68"/>
    <w:rsid w:val="008C14F7"/>
    <w:rsid w:val="008C21C5"/>
    <w:rsid w:val="008C61EB"/>
    <w:rsid w:val="008C6407"/>
    <w:rsid w:val="008C648C"/>
    <w:rsid w:val="008C6D83"/>
    <w:rsid w:val="008D16C6"/>
    <w:rsid w:val="008D2AEE"/>
    <w:rsid w:val="008D474B"/>
    <w:rsid w:val="008D69D6"/>
    <w:rsid w:val="008E2A5D"/>
    <w:rsid w:val="008E3C8B"/>
    <w:rsid w:val="008E4FA2"/>
    <w:rsid w:val="008F65F0"/>
    <w:rsid w:val="00902256"/>
    <w:rsid w:val="00902C60"/>
    <w:rsid w:val="00902F75"/>
    <w:rsid w:val="009114AF"/>
    <w:rsid w:val="00913223"/>
    <w:rsid w:val="009146D6"/>
    <w:rsid w:val="00921CAF"/>
    <w:rsid w:val="0092381F"/>
    <w:rsid w:val="009245C8"/>
    <w:rsid w:val="00925DA8"/>
    <w:rsid w:val="009278FE"/>
    <w:rsid w:val="00927DDE"/>
    <w:rsid w:val="00934CC2"/>
    <w:rsid w:val="00942F65"/>
    <w:rsid w:val="00950DE6"/>
    <w:rsid w:val="0095190A"/>
    <w:rsid w:val="00952295"/>
    <w:rsid w:val="00960E48"/>
    <w:rsid w:val="00962B1E"/>
    <w:rsid w:val="009649B0"/>
    <w:rsid w:val="00967FB9"/>
    <w:rsid w:val="009713EE"/>
    <w:rsid w:val="00971ADF"/>
    <w:rsid w:val="009757D2"/>
    <w:rsid w:val="00976148"/>
    <w:rsid w:val="0098088C"/>
    <w:rsid w:val="009818FC"/>
    <w:rsid w:val="00981D38"/>
    <w:rsid w:val="00982382"/>
    <w:rsid w:val="009824EE"/>
    <w:rsid w:val="00983122"/>
    <w:rsid w:val="0099127B"/>
    <w:rsid w:val="009912D3"/>
    <w:rsid w:val="00992594"/>
    <w:rsid w:val="00994E0F"/>
    <w:rsid w:val="00996276"/>
    <w:rsid w:val="009A7609"/>
    <w:rsid w:val="009A79F3"/>
    <w:rsid w:val="009B0322"/>
    <w:rsid w:val="009B56A3"/>
    <w:rsid w:val="009C66C0"/>
    <w:rsid w:val="009D0736"/>
    <w:rsid w:val="009D3F84"/>
    <w:rsid w:val="009D4F0F"/>
    <w:rsid w:val="009E2772"/>
    <w:rsid w:val="009E2E13"/>
    <w:rsid w:val="009E3071"/>
    <w:rsid w:val="009E30C6"/>
    <w:rsid w:val="009E643F"/>
    <w:rsid w:val="009F0976"/>
    <w:rsid w:val="009F5D62"/>
    <w:rsid w:val="009F7150"/>
    <w:rsid w:val="00A01176"/>
    <w:rsid w:val="00A045DD"/>
    <w:rsid w:val="00A15854"/>
    <w:rsid w:val="00A21C99"/>
    <w:rsid w:val="00A232A6"/>
    <w:rsid w:val="00A24DD5"/>
    <w:rsid w:val="00A2506B"/>
    <w:rsid w:val="00A2719A"/>
    <w:rsid w:val="00A30049"/>
    <w:rsid w:val="00A30559"/>
    <w:rsid w:val="00A3522A"/>
    <w:rsid w:val="00A41AA7"/>
    <w:rsid w:val="00A4273F"/>
    <w:rsid w:val="00A45346"/>
    <w:rsid w:val="00A50E17"/>
    <w:rsid w:val="00A514F4"/>
    <w:rsid w:val="00A51A0F"/>
    <w:rsid w:val="00A51EE2"/>
    <w:rsid w:val="00A540FD"/>
    <w:rsid w:val="00A558C6"/>
    <w:rsid w:val="00A56F27"/>
    <w:rsid w:val="00A570B2"/>
    <w:rsid w:val="00A61C41"/>
    <w:rsid w:val="00A6282F"/>
    <w:rsid w:val="00A640D1"/>
    <w:rsid w:val="00A641EF"/>
    <w:rsid w:val="00A65047"/>
    <w:rsid w:val="00A702E9"/>
    <w:rsid w:val="00A724AC"/>
    <w:rsid w:val="00A729D0"/>
    <w:rsid w:val="00A72AE7"/>
    <w:rsid w:val="00A72BEB"/>
    <w:rsid w:val="00A754D9"/>
    <w:rsid w:val="00A82DEB"/>
    <w:rsid w:val="00A84DB4"/>
    <w:rsid w:val="00A85C37"/>
    <w:rsid w:val="00A90EAD"/>
    <w:rsid w:val="00A93515"/>
    <w:rsid w:val="00A955AE"/>
    <w:rsid w:val="00A97474"/>
    <w:rsid w:val="00AA28E2"/>
    <w:rsid w:val="00AA5F06"/>
    <w:rsid w:val="00AA5F50"/>
    <w:rsid w:val="00AB2A0E"/>
    <w:rsid w:val="00AB3825"/>
    <w:rsid w:val="00AB5621"/>
    <w:rsid w:val="00AC3862"/>
    <w:rsid w:val="00AC65B0"/>
    <w:rsid w:val="00AC68D9"/>
    <w:rsid w:val="00AD0C84"/>
    <w:rsid w:val="00AE33FC"/>
    <w:rsid w:val="00AE4CB7"/>
    <w:rsid w:val="00AE6185"/>
    <w:rsid w:val="00AE747D"/>
    <w:rsid w:val="00AF026B"/>
    <w:rsid w:val="00AF3B32"/>
    <w:rsid w:val="00AF49B2"/>
    <w:rsid w:val="00AF6AA3"/>
    <w:rsid w:val="00B04190"/>
    <w:rsid w:val="00B0533A"/>
    <w:rsid w:val="00B112B7"/>
    <w:rsid w:val="00B11AAD"/>
    <w:rsid w:val="00B235A5"/>
    <w:rsid w:val="00B2429C"/>
    <w:rsid w:val="00B30A98"/>
    <w:rsid w:val="00B321D0"/>
    <w:rsid w:val="00B35BB6"/>
    <w:rsid w:val="00B42EBE"/>
    <w:rsid w:val="00B43D2A"/>
    <w:rsid w:val="00B45F70"/>
    <w:rsid w:val="00B474DA"/>
    <w:rsid w:val="00B51767"/>
    <w:rsid w:val="00B52445"/>
    <w:rsid w:val="00B61F2F"/>
    <w:rsid w:val="00B62225"/>
    <w:rsid w:val="00B632F8"/>
    <w:rsid w:val="00B63460"/>
    <w:rsid w:val="00B7125E"/>
    <w:rsid w:val="00B7163B"/>
    <w:rsid w:val="00B73D27"/>
    <w:rsid w:val="00B7483B"/>
    <w:rsid w:val="00B84313"/>
    <w:rsid w:val="00B87C71"/>
    <w:rsid w:val="00B91832"/>
    <w:rsid w:val="00B926F9"/>
    <w:rsid w:val="00B92DDA"/>
    <w:rsid w:val="00B93CF1"/>
    <w:rsid w:val="00B9569D"/>
    <w:rsid w:val="00B97F9C"/>
    <w:rsid w:val="00BA0E17"/>
    <w:rsid w:val="00BA276A"/>
    <w:rsid w:val="00BB0ED5"/>
    <w:rsid w:val="00BB6723"/>
    <w:rsid w:val="00BC1A0F"/>
    <w:rsid w:val="00BC1D4B"/>
    <w:rsid w:val="00BD1F33"/>
    <w:rsid w:val="00BD4ED1"/>
    <w:rsid w:val="00BD6BD1"/>
    <w:rsid w:val="00BD754B"/>
    <w:rsid w:val="00BE0816"/>
    <w:rsid w:val="00BE29D2"/>
    <w:rsid w:val="00BE2DF9"/>
    <w:rsid w:val="00BE3EFD"/>
    <w:rsid w:val="00BE6240"/>
    <w:rsid w:val="00BF2569"/>
    <w:rsid w:val="00BF2C42"/>
    <w:rsid w:val="00BF6172"/>
    <w:rsid w:val="00C00499"/>
    <w:rsid w:val="00C026A0"/>
    <w:rsid w:val="00C03087"/>
    <w:rsid w:val="00C07CD4"/>
    <w:rsid w:val="00C10A87"/>
    <w:rsid w:val="00C14937"/>
    <w:rsid w:val="00C15E94"/>
    <w:rsid w:val="00C21E5A"/>
    <w:rsid w:val="00C2678C"/>
    <w:rsid w:val="00C26D4A"/>
    <w:rsid w:val="00C279F9"/>
    <w:rsid w:val="00C44848"/>
    <w:rsid w:val="00C46F04"/>
    <w:rsid w:val="00C47AB5"/>
    <w:rsid w:val="00C5166D"/>
    <w:rsid w:val="00C545A5"/>
    <w:rsid w:val="00C60C9F"/>
    <w:rsid w:val="00C62681"/>
    <w:rsid w:val="00C63B45"/>
    <w:rsid w:val="00C65DA3"/>
    <w:rsid w:val="00C65FDA"/>
    <w:rsid w:val="00C73013"/>
    <w:rsid w:val="00C83F03"/>
    <w:rsid w:val="00C84983"/>
    <w:rsid w:val="00C84BA0"/>
    <w:rsid w:val="00C85187"/>
    <w:rsid w:val="00C93C5E"/>
    <w:rsid w:val="00C93D24"/>
    <w:rsid w:val="00CA4537"/>
    <w:rsid w:val="00CA5A93"/>
    <w:rsid w:val="00CA5F84"/>
    <w:rsid w:val="00CB0D56"/>
    <w:rsid w:val="00CB13E9"/>
    <w:rsid w:val="00CB5BE7"/>
    <w:rsid w:val="00CC38CD"/>
    <w:rsid w:val="00CC5B7D"/>
    <w:rsid w:val="00CC7524"/>
    <w:rsid w:val="00CD238B"/>
    <w:rsid w:val="00CD46DF"/>
    <w:rsid w:val="00CD5DD9"/>
    <w:rsid w:val="00CE2643"/>
    <w:rsid w:val="00CE7FBE"/>
    <w:rsid w:val="00CF50B0"/>
    <w:rsid w:val="00D02EE3"/>
    <w:rsid w:val="00D03557"/>
    <w:rsid w:val="00D042D0"/>
    <w:rsid w:val="00D06901"/>
    <w:rsid w:val="00D17BB1"/>
    <w:rsid w:val="00D25261"/>
    <w:rsid w:val="00D2539B"/>
    <w:rsid w:val="00D254A3"/>
    <w:rsid w:val="00D26E18"/>
    <w:rsid w:val="00D36D14"/>
    <w:rsid w:val="00D45933"/>
    <w:rsid w:val="00D47996"/>
    <w:rsid w:val="00D5034E"/>
    <w:rsid w:val="00D514CF"/>
    <w:rsid w:val="00D51F99"/>
    <w:rsid w:val="00D52CA7"/>
    <w:rsid w:val="00D53051"/>
    <w:rsid w:val="00D53F76"/>
    <w:rsid w:val="00D55C15"/>
    <w:rsid w:val="00D61328"/>
    <w:rsid w:val="00D64C5C"/>
    <w:rsid w:val="00D6530D"/>
    <w:rsid w:val="00D6712C"/>
    <w:rsid w:val="00D67330"/>
    <w:rsid w:val="00D67460"/>
    <w:rsid w:val="00D67AE8"/>
    <w:rsid w:val="00D713FC"/>
    <w:rsid w:val="00D73B24"/>
    <w:rsid w:val="00D76B36"/>
    <w:rsid w:val="00D83100"/>
    <w:rsid w:val="00D87AFC"/>
    <w:rsid w:val="00D87BC5"/>
    <w:rsid w:val="00D931B0"/>
    <w:rsid w:val="00D9496E"/>
    <w:rsid w:val="00DA0289"/>
    <w:rsid w:val="00DA0867"/>
    <w:rsid w:val="00DA0BBB"/>
    <w:rsid w:val="00DA1A49"/>
    <w:rsid w:val="00DA22FA"/>
    <w:rsid w:val="00DA4A68"/>
    <w:rsid w:val="00DA6256"/>
    <w:rsid w:val="00DB1C9C"/>
    <w:rsid w:val="00DB303C"/>
    <w:rsid w:val="00DB6806"/>
    <w:rsid w:val="00DB7C8C"/>
    <w:rsid w:val="00DD071F"/>
    <w:rsid w:val="00DE02F9"/>
    <w:rsid w:val="00DE2FC2"/>
    <w:rsid w:val="00DE3007"/>
    <w:rsid w:val="00DF0F0F"/>
    <w:rsid w:val="00DF1993"/>
    <w:rsid w:val="00DF3B34"/>
    <w:rsid w:val="00E015DC"/>
    <w:rsid w:val="00E02994"/>
    <w:rsid w:val="00E1062E"/>
    <w:rsid w:val="00E126D6"/>
    <w:rsid w:val="00E14DA5"/>
    <w:rsid w:val="00E16B1B"/>
    <w:rsid w:val="00E1752C"/>
    <w:rsid w:val="00E20DFF"/>
    <w:rsid w:val="00E217A8"/>
    <w:rsid w:val="00E21EAA"/>
    <w:rsid w:val="00E26D93"/>
    <w:rsid w:val="00E336E3"/>
    <w:rsid w:val="00E43866"/>
    <w:rsid w:val="00E43902"/>
    <w:rsid w:val="00E67BB9"/>
    <w:rsid w:val="00E7014F"/>
    <w:rsid w:val="00E704FF"/>
    <w:rsid w:val="00E70ADD"/>
    <w:rsid w:val="00E750A6"/>
    <w:rsid w:val="00E802B2"/>
    <w:rsid w:val="00E84A33"/>
    <w:rsid w:val="00E86D33"/>
    <w:rsid w:val="00E9347F"/>
    <w:rsid w:val="00E93919"/>
    <w:rsid w:val="00EA13F1"/>
    <w:rsid w:val="00EB0B8B"/>
    <w:rsid w:val="00EB164E"/>
    <w:rsid w:val="00EB41EC"/>
    <w:rsid w:val="00EB5B9B"/>
    <w:rsid w:val="00EB717B"/>
    <w:rsid w:val="00EC385F"/>
    <w:rsid w:val="00EC6035"/>
    <w:rsid w:val="00ED0180"/>
    <w:rsid w:val="00ED18F1"/>
    <w:rsid w:val="00ED3CDD"/>
    <w:rsid w:val="00ED4028"/>
    <w:rsid w:val="00ED4903"/>
    <w:rsid w:val="00EE0241"/>
    <w:rsid w:val="00EE1FDD"/>
    <w:rsid w:val="00EE3517"/>
    <w:rsid w:val="00EE6820"/>
    <w:rsid w:val="00EF0E34"/>
    <w:rsid w:val="00EF148E"/>
    <w:rsid w:val="00EF5A56"/>
    <w:rsid w:val="00F006A0"/>
    <w:rsid w:val="00F00830"/>
    <w:rsid w:val="00F04E6F"/>
    <w:rsid w:val="00F05CF4"/>
    <w:rsid w:val="00F112DA"/>
    <w:rsid w:val="00F11CFC"/>
    <w:rsid w:val="00F14623"/>
    <w:rsid w:val="00F1762F"/>
    <w:rsid w:val="00F200C4"/>
    <w:rsid w:val="00F23556"/>
    <w:rsid w:val="00F24309"/>
    <w:rsid w:val="00F25089"/>
    <w:rsid w:val="00F364D9"/>
    <w:rsid w:val="00F3700E"/>
    <w:rsid w:val="00F37138"/>
    <w:rsid w:val="00F40087"/>
    <w:rsid w:val="00F41344"/>
    <w:rsid w:val="00F4184D"/>
    <w:rsid w:val="00F5688E"/>
    <w:rsid w:val="00F57896"/>
    <w:rsid w:val="00F64912"/>
    <w:rsid w:val="00F65C7D"/>
    <w:rsid w:val="00F65EE4"/>
    <w:rsid w:val="00F74C9D"/>
    <w:rsid w:val="00F872B2"/>
    <w:rsid w:val="00F931AB"/>
    <w:rsid w:val="00F95017"/>
    <w:rsid w:val="00FA0652"/>
    <w:rsid w:val="00FA55BE"/>
    <w:rsid w:val="00FB1D65"/>
    <w:rsid w:val="00FB4800"/>
    <w:rsid w:val="00FB6A4A"/>
    <w:rsid w:val="00FC074C"/>
    <w:rsid w:val="00FC2B57"/>
    <w:rsid w:val="00FC339E"/>
    <w:rsid w:val="00FC359F"/>
    <w:rsid w:val="00FC3F24"/>
    <w:rsid w:val="00FC7DA0"/>
    <w:rsid w:val="00FD3A57"/>
    <w:rsid w:val="00FE1438"/>
    <w:rsid w:val="00FE3EDA"/>
    <w:rsid w:val="00FE5E74"/>
    <w:rsid w:val="00FE7225"/>
    <w:rsid w:val="00FE7E0C"/>
    <w:rsid w:val="00FF4D87"/>
    <w:rsid w:val="7712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409A25D"/>
  <w15:chartTrackingRefBased/>
  <w15:docId w15:val="{71C1E87A-2AF2-4147-BCBB-F1276015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04"/>
  </w:style>
  <w:style w:type="paragraph" w:styleId="Heading1">
    <w:name w:val="heading 1"/>
    <w:basedOn w:val="Normal"/>
    <w:next w:val="Normal"/>
    <w:link w:val="Heading1Char"/>
    <w:uiPriority w:val="9"/>
    <w:qFormat/>
    <w:rsid w:val="00010BA1"/>
    <w:pPr>
      <w:keepNext/>
      <w:keepLines/>
      <w:numPr>
        <w:numId w:val="1"/>
      </w:numPr>
      <w:spacing w:before="24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10BA1"/>
    <w:pPr>
      <w:keepNext/>
      <w:keepLines/>
      <w:numPr>
        <w:ilvl w:val="1"/>
        <w:numId w:val="1"/>
      </w:numPr>
      <w:spacing w:before="4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F1B4D"/>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4F1B4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1B4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F1B4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4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BA1"/>
    <w:rPr>
      <w:rFonts w:eastAsiaTheme="majorEastAsia" w:cstheme="majorBidi"/>
      <w:b/>
      <w:szCs w:val="32"/>
    </w:rPr>
  </w:style>
  <w:style w:type="character" w:customStyle="1" w:styleId="Heading2Char">
    <w:name w:val="Heading 2 Char"/>
    <w:basedOn w:val="DefaultParagraphFont"/>
    <w:link w:val="Heading2"/>
    <w:uiPriority w:val="9"/>
    <w:rsid w:val="00010BA1"/>
    <w:rPr>
      <w:rFonts w:eastAsiaTheme="majorEastAsia" w:cstheme="majorBidi"/>
      <w:b/>
      <w:szCs w:val="26"/>
    </w:rPr>
  </w:style>
  <w:style w:type="paragraph" w:styleId="ListParagraph">
    <w:name w:val="List Paragraph"/>
    <w:basedOn w:val="Normal"/>
    <w:uiPriority w:val="34"/>
    <w:qFormat/>
    <w:rsid w:val="00C279F9"/>
    <w:pPr>
      <w:ind w:left="720"/>
      <w:contextualSpacing/>
    </w:pPr>
  </w:style>
  <w:style w:type="table" w:styleId="TableGrid">
    <w:name w:val="Table Grid"/>
    <w:basedOn w:val="TableNormal"/>
    <w:uiPriority w:val="39"/>
    <w:rsid w:val="004F1B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1B4D"/>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4F1B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F1B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F1B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4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08214E"/>
    <w:pPr>
      <w:spacing w:line="240" w:lineRule="auto"/>
    </w:pPr>
    <w:rPr>
      <w:sz w:val="20"/>
      <w:szCs w:val="20"/>
    </w:rPr>
  </w:style>
  <w:style w:type="character" w:customStyle="1" w:styleId="FootnoteTextChar">
    <w:name w:val="Footnote Text Char"/>
    <w:basedOn w:val="DefaultParagraphFont"/>
    <w:link w:val="FootnoteText"/>
    <w:uiPriority w:val="99"/>
    <w:semiHidden/>
    <w:rsid w:val="0008214E"/>
    <w:rPr>
      <w:sz w:val="20"/>
      <w:szCs w:val="20"/>
    </w:rPr>
  </w:style>
  <w:style w:type="character" w:styleId="FootnoteReference">
    <w:name w:val="footnote reference"/>
    <w:basedOn w:val="DefaultParagraphFont"/>
    <w:uiPriority w:val="99"/>
    <w:semiHidden/>
    <w:unhideWhenUsed/>
    <w:rsid w:val="0008214E"/>
    <w:rPr>
      <w:vertAlign w:val="superscript"/>
    </w:rPr>
  </w:style>
  <w:style w:type="character" w:styleId="Hyperlink">
    <w:name w:val="Hyperlink"/>
    <w:basedOn w:val="DefaultParagraphFont"/>
    <w:uiPriority w:val="99"/>
    <w:unhideWhenUsed/>
    <w:rsid w:val="0008214E"/>
    <w:rPr>
      <w:color w:val="0563C1" w:themeColor="hyperlink"/>
      <w:u w:val="single"/>
    </w:rPr>
  </w:style>
  <w:style w:type="character" w:styleId="UnresolvedMention">
    <w:name w:val="Unresolved Mention"/>
    <w:basedOn w:val="DefaultParagraphFont"/>
    <w:uiPriority w:val="99"/>
    <w:semiHidden/>
    <w:unhideWhenUsed/>
    <w:rsid w:val="0008214E"/>
    <w:rPr>
      <w:color w:val="605E5C"/>
      <w:shd w:val="clear" w:color="auto" w:fill="E1DFDD"/>
    </w:rPr>
  </w:style>
  <w:style w:type="paragraph" w:styleId="Header">
    <w:name w:val="header"/>
    <w:basedOn w:val="Normal"/>
    <w:link w:val="HeaderChar"/>
    <w:uiPriority w:val="99"/>
    <w:unhideWhenUsed/>
    <w:rsid w:val="00934CC2"/>
    <w:pPr>
      <w:tabs>
        <w:tab w:val="center" w:pos="4680"/>
        <w:tab w:val="right" w:pos="9360"/>
      </w:tabs>
      <w:spacing w:line="240" w:lineRule="auto"/>
    </w:pPr>
  </w:style>
  <w:style w:type="character" w:customStyle="1" w:styleId="HeaderChar">
    <w:name w:val="Header Char"/>
    <w:basedOn w:val="DefaultParagraphFont"/>
    <w:link w:val="Header"/>
    <w:uiPriority w:val="99"/>
    <w:rsid w:val="00934CC2"/>
  </w:style>
  <w:style w:type="paragraph" w:styleId="Footer">
    <w:name w:val="footer"/>
    <w:basedOn w:val="Normal"/>
    <w:link w:val="FooterChar"/>
    <w:uiPriority w:val="99"/>
    <w:unhideWhenUsed/>
    <w:rsid w:val="00934CC2"/>
    <w:pPr>
      <w:tabs>
        <w:tab w:val="center" w:pos="4680"/>
        <w:tab w:val="right" w:pos="9360"/>
      </w:tabs>
      <w:spacing w:line="240" w:lineRule="auto"/>
    </w:pPr>
  </w:style>
  <w:style w:type="character" w:customStyle="1" w:styleId="FooterChar">
    <w:name w:val="Footer Char"/>
    <w:basedOn w:val="DefaultParagraphFont"/>
    <w:link w:val="Footer"/>
    <w:uiPriority w:val="99"/>
    <w:rsid w:val="00934CC2"/>
  </w:style>
  <w:style w:type="paragraph" w:styleId="NormalWeb">
    <w:name w:val="Normal (Web)"/>
    <w:basedOn w:val="Normal"/>
    <w:uiPriority w:val="99"/>
    <w:semiHidden/>
    <w:unhideWhenUsed/>
    <w:rsid w:val="00D67330"/>
    <w:rPr>
      <w:rFonts w:cs="Times New Roman"/>
      <w:szCs w:val="24"/>
    </w:rPr>
  </w:style>
  <w:style w:type="table" w:customStyle="1" w:styleId="TableGrid1">
    <w:name w:val="Table Grid1"/>
    <w:basedOn w:val="TableNormal"/>
    <w:next w:val="TableGrid"/>
    <w:uiPriority w:val="39"/>
    <w:rsid w:val="00623FE7"/>
    <w:pPr>
      <w:spacing w:line="240" w:lineRule="auto"/>
      <w:ind w:right="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C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CFC"/>
    <w:rPr>
      <w:rFonts w:ascii="Segoe UI" w:hAnsi="Segoe UI" w:cs="Segoe UI"/>
      <w:sz w:val="18"/>
      <w:szCs w:val="18"/>
    </w:rPr>
  </w:style>
  <w:style w:type="character" w:styleId="CommentReference">
    <w:name w:val="annotation reference"/>
    <w:basedOn w:val="DefaultParagraphFont"/>
    <w:uiPriority w:val="99"/>
    <w:semiHidden/>
    <w:unhideWhenUsed/>
    <w:rsid w:val="00AC3862"/>
    <w:rPr>
      <w:sz w:val="16"/>
      <w:szCs w:val="16"/>
    </w:rPr>
  </w:style>
  <w:style w:type="paragraph" w:styleId="CommentText">
    <w:name w:val="annotation text"/>
    <w:basedOn w:val="Normal"/>
    <w:link w:val="CommentTextChar"/>
    <w:uiPriority w:val="99"/>
    <w:semiHidden/>
    <w:unhideWhenUsed/>
    <w:rsid w:val="00AC3862"/>
    <w:pPr>
      <w:spacing w:line="240" w:lineRule="auto"/>
    </w:pPr>
    <w:rPr>
      <w:sz w:val="20"/>
      <w:szCs w:val="20"/>
    </w:rPr>
  </w:style>
  <w:style w:type="character" w:customStyle="1" w:styleId="CommentTextChar">
    <w:name w:val="Comment Text Char"/>
    <w:basedOn w:val="DefaultParagraphFont"/>
    <w:link w:val="CommentText"/>
    <w:uiPriority w:val="99"/>
    <w:semiHidden/>
    <w:rsid w:val="00AC3862"/>
    <w:rPr>
      <w:sz w:val="20"/>
      <w:szCs w:val="20"/>
    </w:rPr>
  </w:style>
  <w:style w:type="paragraph" w:styleId="CommentSubject">
    <w:name w:val="annotation subject"/>
    <w:basedOn w:val="CommentText"/>
    <w:next w:val="CommentText"/>
    <w:link w:val="CommentSubjectChar"/>
    <w:uiPriority w:val="99"/>
    <w:semiHidden/>
    <w:unhideWhenUsed/>
    <w:rsid w:val="00AC3862"/>
    <w:rPr>
      <w:b/>
      <w:bCs/>
    </w:rPr>
  </w:style>
  <w:style w:type="character" w:customStyle="1" w:styleId="CommentSubjectChar">
    <w:name w:val="Comment Subject Char"/>
    <w:basedOn w:val="CommentTextChar"/>
    <w:link w:val="CommentSubject"/>
    <w:uiPriority w:val="99"/>
    <w:semiHidden/>
    <w:rsid w:val="00AC3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8172">
      <w:bodyDiv w:val="1"/>
      <w:marLeft w:val="0"/>
      <w:marRight w:val="0"/>
      <w:marTop w:val="0"/>
      <w:marBottom w:val="0"/>
      <w:divBdr>
        <w:top w:val="none" w:sz="0" w:space="0" w:color="auto"/>
        <w:left w:val="none" w:sz="0" w:space="0" w:color="auto"/>
        <w:bottom w:val="none" w:sz="0" w:space="0" w:color="auto"/>
        <w:right w:val="none" w:sz="0" w:space="0" w:color="auto"/>
      </w:divBdr>
    </w:div>
    <w:div w:id="253324933">
      <w:bodyDiv w:val="1"/>
      <w:marLeft w:val="0"/>
      <w:marRight w:val="0"/>
      <w:marTop w:val="0"/>
      <w:marBottom w:val="0"/>
      <w:divBdr>
        <w:top w:val="none" w:sz="0" w:space="0" w:color="auto"/>
        <w:left w:val="none" w:sz="0" w:space="0" w:color="auto"/>
        <w:bottom w:val="none" w:sz="0" w:space="0" w:color="auto"/>
        <w:right w:val="none" w:sz="0" w:space="0" w:color="auto"/>
      </w:divBdr>
    </w:div>
    <w:div w:id="13178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botschner.obrien@occ.ohi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isa.vaysman@duke-energ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cco.dascenzo@duke-energ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brosia.wilson@o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11" ma:contentTypeDescription="Create a new document." ma:contentTypeScope="" ma:versionID="8f23a9f14c7b669bb431a078318a1026">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f162440257928ffa5f99813ae9dfa356"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2BA1-0F8E-4383-BEB7-B2259330225A}">
  <ds:schemaRefs>
    <ds:schemaRef ds:uri="http://schemas.microsoft.com/sharepoint/v3/contenttype/forms"/>
  </ds:schemaRefs>
</ds:datastoreItem>
</file>

<file path=customXml/itemProps2.xml><?xml version="1.0" encoding="utf-8"?>
<ds:datastoreItem xmlns:ds="http://schemas.openxmlformats.org/officeDocument/2006/customXml" ds:itemID="{E35B3BD3-689F-43F8-9FB4-C7677B26B2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4906F-239B-4F36-B243-66E6BFE34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0E096-FD56-466E-8304-EB863D19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Links>
    <vt:vector size="24" baseType="variant">
      <vt:variant>
        <vt:i4>7733342</vt:i4>
      </vt:variant>
      <vt:variant>
        <vt:i4>9</vt:i4>
      </vt:variant>
      <vt:variant>
        <vt:i4>0</vt:i4>
      </vt:variant>
      <vt:variant>
        <vt:i4>5</vt:i4>
      </vt:variant>
      <vt:variant>
        <vt:lpwstr>mailto:ambrosia.wilson@occ.ohio.gov</vt:lpwstr>
      </vt:variant>
      <vt:variant>
        <vt:lpwstr/>
      </vt:variant>
      <vt:variant>
        <vt:i4>7340056</vt:i4>
      </vt:variant>
      <vt:variant>
        <vt:i4>6</vt:i4>
      </vt:variant>
      <vt:variant>
        <vt:i4>0</vt:i4>
      </vt:variant>
      <vt:variant>
        <vt:i4>5</vt:i4>
      </vt:variant>
      <vt:variant>
        <vt:lpwstr>mailto:amy.botschner.obrien@occ.ohio.gov</vt:lpwstr>
      </vt:variant>
      <vt:variant>
        <vt:lpwstr/>
      </vt:variant>
      <vt:variant>
        <vt:i4>2359307</vt:i4>
      </vt:variant>
      <vt:variant>
        <vt:i4>3</vt:i4>
      </vt:variant>
      <vt:variant>
        <vt:i4>0</vt:i4>
      </vt:variant>
      <vt:variant>
        <vt:i4>5</vt:i4>
      </vt:variant>
      <vt:variant>
        <vt:lpwstr>mailto:Larisa.vaysman@duke-energy.com</vt:lpwstr>
      </vt:variant>
      <vt:variant>
        <vt:lpwstr/>
      </vt:variant>
      <vt:variant>
        <vt:i4>6422607</vt:i4>
      </vt:variant>
      <vt:variant>
        <vt:i4>0</vt:i4>
      </vt:variant>
      <vt:variant>
        <vt:i4>0</vt:i4>
      </vt:variant>
      <vt:variant>
        <vt:i4>5</vt:i4>
      </vt:variant>
      <vt:variant>
        <vt:lpwstr>mailto:rocco.dascenzo@duke-energy.com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Darr</dc:creator>
  <cp:keywords/>
  <dc:description/>
  <cp:lastModifiedBy>Evan Betterton</cp:lastModifiedBy>
  <cp:revision>2</cp:revision>
  <cp:lastPrinted>2021-01-29T18:35:00Z</cp:lastPrinted>
  <dcterms:created xsi:type="dcterms:W3CDTF">2022-01-06T20:48:00Z</dcterms:created>
  <dcterms:modified xsi:type="dcterms:W3CDTF">2022-01-06T20:48:00Z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