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12" w:rsidRPr="009D3899" w:rsidRDefault="00DC1612" w:rsidP="00C64FBC">
      <w:pPr>
        <w:widowControl/>
        <w:kinsoku w:val="0"/>
        <w:overflowPunct w:val="0"/>
        <w:autoSpaceDE/>
        <w:autoSpaceDN/>
        <w:adjustRightInd/>
        <w:spacing w:before="20" w:line="283" w:lineRule="exact"/>
        <w:jc w:val="center"/>
        <w:textAlignment w:val="baseline"/>
        <w:rPr>
          <w:b/>
          <w:bCs/>
          <w:sz w:val="25"/>
          <w:szCs w:val="25"/>
        </w:rPr>
      </w:pPr>
      <w:bookmarkStart w:id="0" w:name="_GoBack"/>
      <w:bookmarkEnd w:id="0"/>
      <w:r w:rsidRPr="009D3899">
        <w:rPr>
          <w:b/>
          <w:bCs/>
          <w:sz w:val="25"/>
          <w:szCs w:val="25"/>
        </w:rPr>
        <w:t>BEFORE</w:t>
      </w:r>
    </w:p>
    <w:p w:rsidR="00DC1612" w:rsidRPr="009D3899" w:rsidRDefault="00DC1612" w:rsidP="00C64FBC">
      <w:pPr>
        <w:widowControl/>
        <w:kinsoku w:val="0"/>
        <w:overflowPunct w:val="0"/>
        <w:autoSpaceDE/>
        <w:autoSpaceDN/>
        <w:adjustRightInd/>
        <w:spacing w:before="270" w:after="241" w:line="283" w:lineRule="exact"/>
        <w:jc w:val="center"/>
        <w:textAlignment w:val="baseline"/>
        <w:rPr>
          <w:b/>
          <w:bCs/>
          <w:sz w:val="25"/>
          <w:szCs w:val="25"/>
        </w:rPr>
      </w:pPr>
      <w:r w:rsidRPr="009D3899">
        <w:rPr>
          <w:b/>
          <w:bCs/>
          <w:sz w:val="25"/>
          <w:szCs w:val="25"/>
        </w:rPr>
        <w:t>THE PUBLIC UTILITIES COMMISSION OF OHIO</w:t>
      </w:r>
    </w:p>
    <w:tbl>
      <w:tblPr>
        <w:tblW w:w="0" w:type="auto"/>
        <w:tblLayout w:type="fixed"/>
        <w:tblCellMar>
          <w:left w:w="0" w:type="dxa"/>
          <w:right w:w="0" w:type="dxa"/>
        </w:tblCellMar>
        <w:tblLook w:val="0000" w:firstRow="0" w:lastRow="0" w:firstColumn="0" w:lastColumn="0" w:noHBand="0" w:noVBand="0"/>
      </w:tblPr>
      <w:tblGrid>
        <w:gridCol w:w="4378"/>
        <w:gridCol w:w="5062"/>
      </w:tblGrid>
      <w:tr w:rsidR="00DC1612" w:rsidRPr="009D3899">
        <w:trPr>
          <w:trHeight w:hRule="exact" w:val="3303"/>
        </w:trPr>
        <w:tc>
          <w:tcPr>
            <w:tcW w:w="4378" w:type="dxa"/>
            <w:tcBorders>
              <w:top w:val="nil"/>
              <w:left w:val="nil"/>
              <w:bottom w:val="nil"/>
              <w:right w:val="nil"/>
            </w:tcBorders>
          </w:tcPr>
          <w:p w:rsidR="00DC1612" w:rsidRPr="009D3899" w:rsidRDefault="00DC1612" w:rsidP="00C64FBC">
            <w:pPr>
              <w:widowControl/>
              <w:kinsoku w:val="0"/>
              <w:overflowPunct w:val="0"/>
              <w:autoSpaceDE/>
              <w:autoSpaceDN/>
              <w:adjustRightInd/>
              <w:spacing w:line="276" w:lineRule="exact"/>
              <w:ind w:right="288"/>
              <w:jc w:val="both"/>
              <w:textAlignment w:val="baseline"/>
              <w:rPr>
                <w:sz w:val="25"/>
                <w:szCs w:val="25"/>
              </w:rPr>
            </w:pPr>
            <w:r w:rsidRPr="009D3899">
              <w:rPr>
                <w:sz w:val="25"/>
                <w:szCs w:val="25"/>
              </w:rPr>
              <w:t>In the Matter of the Application of Duke Energy Ohio, Inc., for the Establishment of a Charge Pursuant to Revised Code Section 4909.18.</w:t>
            </w:r>
          </w:p>
          <w:p w:rsidR="00DC1612" w:rsidRPr="009D3899" w:rsidRDefault="00DC1612" w:rsidP="00C64FBC">
            <w:pPr>
              <w:widowControl/>
              <w:kinsoku w:val="0"/>
              <w:overflowPunct w:val="0"/>
              <w:autoSpaceDE/>
              <w:autoSpaceDN/>
              <w:adjustRightInd/>
              <w:spacing w:before="279" w:line="276" w:lineRule="exact"/>
              <w:ind w:right="288"/>
              <w:jc w:val="both"/>
              <w:textAlignment w:val="baseline"/>
              <w:rPr>
                <w:sz w:val="25"/>
                <w:szCs w:val="25"/>
              </w:rPr>
            </w:pPr>
            <w:r w:rsidRPr="009D3899">
              <w:rPr>
                <w:sz w:val="25"/>
                <w:szCs w:val="25"/>
              </w:rPr>
              <w:t>In the Matter of the Application of Duke Energy Ohio, Inc., for Approval to Change Accounting Methods.</w:t>
            </w:r>
          </w:p>
          <w:p w:rsidR="00DC1612" w:rsidRPr="009D3899" w:rsidRDefault="00DC1612" w:rsidP="00C64FBC">
            <w:pPr>
              <w:widowControl/>
              <w:kinsoku w:val="0"/>
              <w:overflowPunct w:val="0"/>
              <w:autoSpaceDE/>
              <w:autoSpaceDN/>
              <w:adjustRightInd/>
              <w:spacing w:before="260" w:line="273" w:lineRule="exact"/>
              <w:ind w:right="288"/>
              <w:jc w:val="both"/>
              <w:textAlignment w:val="baseline"/>
              <w:rPr>
                <w:sz w:val="25"/>
                <w:szCs w:val="25"/>
              </w:rPr>
            </w:pPr>
            <w:r w:rsidRPr="009D3899">
              <w:rPr>
                <w:sz w:val="25"/>
                <w:szCs w:val="25"/>
              </w:rPr>
              <w:t>In the Matter of the Application of Duke Energy Ohio, Inc., for the Approval of a Tariff for a New Service.</w:t>
            </w:r>
          </w:p>
        </w:tc>
        <w:tc>
          <w:tcPr>
            <w:tcW w:w="5062" w:type="dxa"/>
            <w:tcBorders>
              <w:top w:val="nil"/>
              <w:left w:val="nil"/>
              <w:bottom w:val="nil"/>
              <w:right w:val="nil"/>
            </w:tcBorders>
          </w:tcPr>
          <w:p w:rsidR="00DC1612" w:rsidRPr="009D3899" w:rsidRDefault="00DC1612" w:rsidP="00C64FBC">
            <w:pPr>
              <w:widowControl/>
              <w:kinsoku w:val="0"/>
              <w:overflowPunct w:val="0"/>
              <w:autoSpaceDE/>
              <w:autoSpaceDN/>
              <w:adjustRightInd/>
              <w:spacing w:before="290" w:line="276" w:lineRule="exact"/>
              <w:ind w:right="2016"/>
              <w:jc w:val="right"/>
              <w:textAlignment w:val="baseline"/>
              <w:rPr>
                <w:sz w:val="25"/>
                <w:szCs w:val="25"/>
              </w:rPr>
            </w:pPr>
            <w:r w:rsidRPr="009D3899">
              <w:rPr>
                <w:sz w:val="25"/>
                <w:szCs w:val="25"/>
              </w:rPr>
              <w:t>Case No. 12-2400-EL-UNC</w:t>
            </w:r>
          </w:p>
          <w:p w:rsidR="00DC1612" w:rsidRPr="009D3899" w:rsidRDefault="00DC1612" w:rsidP="00C64FBC">
            <w:pPr>
              <w:widowControl/>
              <w:kinsoku w:val="0"/>
              <w:overflowPunct w:val="0"/>
              <w:autoSpaceDE/>
              <w:autoSpaceDN/>
              <w:adjustRightInd/>
              <w:spacing w:before="1109" w:line="276" w:lineRule="exact"/>
              <w:ind w:right="2016"/>
              <w:jc w:val="right"/>
              <w:textAlignment w:val="baseline"/>
              <w:rPr>
                <w:sz w:val="25"/>
                <w:szCs w:val="25"/>
              </w:rPr>
            </w:pPr>
            <w:r w:rsidRPr="009D3899">
              <w:rPr>
                <w:sz w:val="25"/>
                <w:szCs w:val="25"/>
              </w:rPr>
              <w:t>Case No. 12-2401-EL-AAM</w:t>
            </w:r>
          </w:p>
          <w:p w:rsidR="00DC1612" w:rsidRPr="009D3899" w:rsidRDefault="00DC1612" w:rsidP="00C64FBC">
            <w:pPr>
              <w:widowControl/>
              <w:kinsoku w:val="0"/>
              <w:overflowPunct w:val="0"/>
              <w:autoSpaceDE/>
              <w:autoSpaceDN/>
              <w:adjustRightInd/>
              <w:spacing w:before="827" w:after="245" w:line="276" w:lineRule="exact"/>
              <w:ind w:right="2016"/>
              <w:jc w:val="right"/>
              <w:textAlignment w:val="baseline"/>
              <w:rPr>
                <w:sz w:val="25"/>
                <w:szCs w:val="25"/>
              </w:rPr>
            </w:pPr>
            <w:r w:rsidRPr="009D3899">
              <w:rPr>
                <w:sz w:val="25"/>
                <w:szCs w:val="25"/>
              </w:rPr>
              <w:t>Case No. 12-2402-EL-ATA</w:t>
            </w:r>
          </w:p>
        </w:tc>
      </w:tr>
    </w:tbl>
    <w:p w:rsidR="00DC1612" w:rsidRPr="009D3899" w:rsidRDefault="00DC1612" w:rsidP="00C64FBC">
      <w:pPr>
        <w:widowControl/>
        <w:kinsoku w:val="0"/>
        <w:overflowPunct w:val="0"/>
        <w:autoSpaceDE/>
        <w:autoSpaceDN/>
        <w:adjustRightInd/>
        <w:spacing w:after="268" w:line="20" w:lineRule="exact"/>
        <w:textAlignment w:val="baseline"/>
        <w:rPr>
          <w:sz w:val="24"/>
          <w:szCs w:val="24"/>
        </w:rPr>
      </w:pPr>
    </w:p>
    <w:p w:rsidR="008763CA" w:rsidRDefault="008763CA" w:rsidP="00C64FBC">
      <w:pPr>
        <w:widowControl/>
        <w:kinsoku w:val="0"/>
        <w:overflowPunct w:val="0"/>
        <w:autoSpaceDE/>
        <w:autoSpaceDN/>
        <w:adjustRightInd/>
        <w:spacing w:before="357"/>
        <w:jc w:val="center"/>
        <w:textAlignment w:val="baseline"/>
        <w:rPr>
          <w:b/>
          <w:sz w:val="25"/>
          <w:szCs w:val="25"/>
        </w:rPr>
      </w:pPr>
    </w:p>
    <w:p w:rsidR="00DC1612" w:rsidRPr="009D3899" w:rsidRDefault="00DC1612" w:rsidP="00C64FBC">
      <w:pPr>
        <w:widowControl/>
        <w:kinsoku w:val="0"/>
        <w:overflowPunct w:val="0"/>
        <w:autoSpaceDE/>
        <w:autoSpaceDN/>
        <w:adjustRightInd/>
        <w:spacing w:before="357"/>
        <w:jc w:val="center"/>
        <w:textAlignment w:val="baseline"/>
        <w:rPr>
          <w:b/>
          <w:sz w:val="25"/>
          <w:szCs w:val="25"/>
        </w:rPr>
      </w:pPr>
      <w:r w:rsidRPr="009D3899">
        <w:rPr>
          <w:b/>
          <w:sz w:val="25"/>
          <w:szCs w:val="25"/>
        </w:rPr>
        <w:t xml:space="preserve">REPLY BRIEF OF GREATER CINCINNATI HEALTH COUNCIL </w:t>
      </w:r>
    </w:p>
    <w:p w:rsidR="00DC1612" w:rsidRDefault="00DC1612" w:rsidP="00C64FBC">
      <w:pPr>
        <w:widowControl/>
        <w:kinsoku w:val="0"/>
        <w:overflowPunct w:val="0"/>
        <w:autoSpaceDE/>
        <w:autoSpaceDN/>
        <w:adjustRightInd/>
        <w:spacing w:after="227" w:line="276" w:lineRule="exact"/>
        <w:jc w:val="center"/>
        <w:textAlignment w:val="baseline"/>
        <w:rPr>
          <w:b/>
          <w:sz w:val="25"/>
          <w:szCs w:val="25"/>
        </w:rPr>
      </w:pPr>
      <w:r w:rsidRPr="009D3899">
        <w:rPr>
          <w:b/>
          <w:sz w:val="25"/>
          <w:szCs w:val="25"/>
        </w:rPr>
        <w:t xml:space="preserve">AND CINCINNATI </w:t>
      </w:r>
      <w:proofErr w:type="gramStart"/>
      <w:r w:rsidRPr="009D3899">
        <w:rPr>
          <w:b/>
          <w:sz w:val="25"/>
          <w:szCs w:val="25"/>
        </w:rPr>
        <w:t>BELL</w:t>
      </w:r>
      <w:proofErr w:type="gramEnd"/>
      <w:r w:rsidRPr="009D3899">
        <w:rPr>
          <w:b/>
          <w:sz w:val="25"/>
          <w:szCs w:val="25"/>
        </w:rPr>
        <w:t xml:space="preserve"> INC.</w:t>
      </w:r>
    </w:p>
    <w:p w:rsidR="001D18BA" w:rsidRPr="009D3899" w:rsidRDefault="001D18BA" w:rsidP="00C64FBC">
      <w:pPr>
        <w:widowControl/>
        <w:kinsoku w:val="0"/>
        <w:overflowPunct w:val="0"/>
        <w:autoSpaceDE/>
        <w:autoSpaceDN/>
        <w:adjustRightInd/>
        <w:spacing w:after="227" w:line="276" w:lineRule="exact"/>
        <w:jc w:val="center"/>
        <w:textAlignment w:val="baseline"/>
        <w:rPr>
          <w:b/>
          <w:sz w:val="25"/>
          <w:szCs w:val="25"/>
        </w:rPr>
      </w:pPr>
    </w:p>
    <w:p w:rsidR="00DC1612" w:rsidRPr="009D3899" w:rsidRDefault="00DC1612" w:rsidP="00C64FBC">
      <w:pPr>
        <w:widowControl/>
        <w:kinsoku w:val="0"/>
        <w:overflowPunct w:val="0"/>
        <w:autoSpaceDE/>
        <w:autoSpaceDN/>
        <w:adjustRightInd/>
        <w:spacing w:line="275" w:lineRule="exact"/>
        <w:ind w:left="5040"/>
        <w:jc w:val="both"/>
        <w:textAlignment w:val="baseline"/>
        <w:rPr>
          <w:noProof/>
          <w:sz w:val="24"/>
        </w:rPr>
      </w:pPr>
    </w:p>
    <w:p w:rsidR="00DC1612" w:rsidRPr="009D3899" w:rsidRDefault="00DC1612" w:rsidP="00C64FBC">
      <w:pPr>
        <w:widowControl/>
        <w:kinsoku w:val="0"/>
        <w:overflowPunct w:val="0"/>
        <w:autoSpaceDE/>
        <w:autoSpaceDN/>
        <w:adjustRightInd/>
        <w:spacing w:line="275" w:lineRule="exact"/>
        <w:ind w:left="5040"/>
        <w:jc w:val="both"/>
        <w:textAlignment w:val="baseline"/>
        <w:rPr>
          <w:noProof/>
          <w:sz w:val="24"/>
        </w:rPr>
      </w:pPr>
    </w:p>
    <w:p w:rsidR="00DC1612" w:rsidRPr="009D3899" w:rsidRDefault="00DC1612" w:rsidP="00C64FBC">
      <w:pPr>
        <w:widowControl/>
        <w:kinsoku w:val="0"/>
        <w:overflowPunct w:val="0"/>
        <w:autoSpaceDE/>
        <w:autoSpaceDN/>
        <w:adjustRightInd/>
        <w:spacing w:line="275" w:lineRule="exact"/>
        <w:ind w:left="5040"/>
        <w:jc w:val="both"/>
        <w:textAlignment w:val="baseline"/>
        <w:rPr>
          <w:sz w:val="24"/>
          <w:szCs w:val="25"/>
        </w:rPr>
      </w:pPr>
      <w:r w:rsidRPr="009D3899">
        <w:rPr>
          <w:noProof/>
          <w:sz w:val="24"/>
        </w:rPr>
        <w:t>Douglas E. Hart</w:t>
      </w:r>
    </w:p>
    <w:p w:rsidR="00DC1612" w:rsidRPr="009D3899" w:rsidRDefault="00DC1612" w:rsidP="00C64FBC">
      <w:pPr>
        <w:widowControl/>
        <w:kinsoku w:val="0"/>
        <w:overflowPunct w:val="0"/>
        <w:autoSpaceDE/>
        <w:autoSpaceDN/>
        <w:adjustRightInd/>
        <w:spacing w:line="274" w:lineRule="exact"/>
        <w:ind w:left="5040"/>
        <w:jc w:val="both"/>
        <w:textAlignment w:val="baseline"/>
        <w:rPr>
          <w:sz w:val="25"/>
          <w:szCs w:val="25"/>
        </w:rPr>
      </w:pPr>
      <w:r w:rsidRPr="009D3899">
        <w:rPr>
          <w:sz w:val="25"/>
          <w:szCs w:val="25"/>
        </w:rPr>
        <w:t>441 Vine Street</w:t>
      </w:r>
    </w:p>
    <w:p w:rsidR="00DC1612" w:rsidRPr="009D3899" w:rsidRDefault="00DC1612" w:rsidP="00C64FBC">
      <w:pPr>
        <w:widowControl/>
        <w:kinsoku w:val="0"/>
        <w:overflowPunct w:val="0"/>
        <w:autoSpaceDE/>
        <w:autoSpaceDN/>
        <w:adjustRightInd/>
        <w:spacing w:line="275" w:lineRule="exact"/>
        <w:ind w:left="5040"/>
        <w:jc w:val="both"/>
        <w:textAlignment w:val="baseline"/>
        <w:rPr>
          <w:sz w:val="25"/>
          <w:szCs w:val="25"/>
        </w:rPr>
      </w:pPr>
      <w:r w:rsidRPr="009D3899">
        <w:rPr>
          <w:sz w:val="25"/>
          <w:szCs w:val="25"/>
        </w:rPr>
        <w:t>Suite 4192</w:t>
      </w:r>
    </w:p>
    <w:p w:rsidR="00DC1612" w:rsidRPr="009D3899" w:rsidRDefault="00DC1612" w:rsidP="00C64FBC">
      <w:pPr>
        <w:widowControl/>
        <w:kinsoku w:val="0"/>
        <w:overflowPunct w:val="0"/>
        <w:autoSpaceDE/>
        <w:autoSpaceDN/>
        <w:adjustRightInd/>
        <w:spacing w:before="1" w:line="276" w:lineRule="exact"/>
        <w:ind w:left="5040"/>
        <w:jc w:val="both"/>
        <w:textAlignment w:val="baseline"/>
        <w:rPr>
          <w:sz w:val="25"/>
          <w:szCs w:val="25"/>
        </w:rPr>
      </w:pPr>
      <w:r w:rsidRPr="009D3899">
        <w:rPr>
          <w:sz w:val="25"/>
          <w:szCs w:val="25"/>
        </w:rPr>
        <w:t>Cincinnati, OH 45202</w:t>
      </w:r>
    </w:p>
    <w:p w:rsidR="00DC1612" w:rsidRPr="009D3899" w:rsidRDefault="00DC1612" w:rsidP="00C64FBC">
      <w:pPr>
        <w:widowControl/>
        <w:kinsoku w:val="0"/>
        <w:overflowPunct w:val="0"/>
        <w:autoSpaceDE/>
        <w:autoSpaceDN/>
        <w:adjustRightInd/>
        <w:spacing w:before="2" w:line="276" w:lineRule="exact"/>
        <w:ind w:left="5040"/>
        <w:jc w:val="both"/>
        <w:textAlignment w:val="baseline"/>
        <w:rPr>
          <w:sz w:val="25"/>
          <w:szCs w:val="25"/>
        </w:rPr>
      </w:pPr>
      <w:r w:rsidRPr="009D3899">
        <w:rPr>
          <w:sz w:val="25"/>
          <w:szCs w:val="25"/>
        </w:rPr>
        <w:t>(513) 621-6709</w:t>
      </w:r>
    </w:p>
    <w:p w:rsidR="00DC1612" w:rsidRPr="009D3899" w:rsidRDefault="00DC1612" w:rsidP="00C64FBC">
      <w:pPr>
        <w:widowControl/>
        <w:kinsoku w:val="0"/>
        <w:overflowPunct w:val="0"/>
        <w:autoSpaceDE/>
        <w:autoSpaceDN/>
        <w:adjustRightInd/>
        <w:spacing w:before="1" w:line="276" w:lineRule="exact"/>
        <w:ind w:left="5040"/>
        <w:jc w:val="both"/>
        <w:textAlignment w:val="baseline"/>
        <w:rPr>
          <w:sz w:val="25"/>
          <w:szCs w:val="25"/>
        </w:rPr>
      </w:pPr>
      <w:r w:rsidRPr="009D3899">
        <w:rPr>
          <w:sz w:val="25"/>
          <w:szCs w:val="25"/>
        </w:rPr>
        <w:t>(513) 621-6981(ax</w:t>
      </w:r>
    </w:p>
    <w:p w:rsidR="00DC1612" w:rsidRPr="009D3899" w:rsidRDefault="00FA7CFC" w:rsidP="00C64FBC">
      <w:pPr>
        <w:widowControl/>
        <w:kinsoku w:val="0"/>
        <w:overflowPunct w:val="0"/>
        <w:autoSpaceDE/>
        <w:autoSpaceDN/>
        <w:adjustRightInd/>
        <w:spacing w:before="1" w:line="276" w:lineRule="exact"/>
        <w:ind w:left="5040"/>
        <w:jc w:val="both"/>
        <w:textAlignment w:val="baseline"/>
        <w:rPr>
          <w:sz w:val="25"/>
          <w:szCs w:val="25"/>
        </w:rPr>
      </w:pPr>
      <w:hyperlink r:id="rId9" w:history="1">
        <w:r w:rsidR="00DC1612" w:rsidRPr="009D3899">
          <w:rPr>
            <w:rStyle w:val="Hyperlink"/>
            <w:sz w:val="25"/>
            <w:szCs w:val="25"/>
          </w:rPr>
          <w:t>dhart@douglasehart.com</w:t>
        </w:r>
      </w:hyperlink>
    </w:p>
    <w:p w:rsidR="00DC1612" w:rsidRPr="009D3899" w:rsidRDefault="00DC1612" w:rsidP="00C64FBC">
      <w:pPr>
        <w:widowControl/>
        <w:kinsoku w:val="0"/>
        <w:overflowPunct w:val="0"/>
        <w:autoSpaceDE/>
        <w:autoSpaceDN/>
        <w:adjustRightInd/>
        <w:spacing w:before="1" w:line="276" w:lineRule="exact"/>
        <w:ind w:left="5040"/>
        <w:jc w:val="both"/>
        <w:textAlignment w:val="baseline"/>
        <w:rPr>
          <w:sz w:val="25"/>
          <w:szCs w:val="25"/>
        </w:rPr>
      </w:pPr>
    </w:p>
    <w:p w:rsidR="00DC1612" w:rsidRPr="009D3899" w:rsidRDefault="00DC1612" w:rsidP="00C64FBC">
      <w:pPr>
        <w:widowControl/>
        <w:rPr>
          <w:sz w:val="24"/>
          <w:szCs w:val="24"/>
        </w:rPr>
        <w:sectPr w:rsidR="00DC1612" w:rsidRPr="009D3899" w:rsidSect="002E0FA0">
          <w:footerReference w:type="default" r:id="rId10"/>
          <w:pgSz w:w="12240" w:h="15840"/>
          <w:pgMar w:top="1440" w:right="1440" w:bottom="1440" w:left="1440" w:header="720" w:footer="0" w:gutter="0"/>
          <w:cols w:space="720"/>
          <w:noEndnote/>
        </w:sectPr>
      </w:pPr>
    </w:p>
    <w:p w:rsidR="00B15D97" w:rsidRPr="009D3899" w:rsidRDefault="00DC1612" w:rsidP="00C64FBC">
      <w:pPr>
        <w:widowControl/>
        <w:kinsoku w:val="0"/>
        <w:overflowPunct w:val="0"/>
        <w:autoSpaceDE/>
        <w:autoSpaceDN/>
        <w:adjustRightInd/>
        <w:spacing w:before="11" w:after="111" w:line="278" w:lineRule="exact"/>
        <w:jc w:val="center"/>
        <w:textAlignment w:val="baseline"/>
        <w:rPr>
          <w:b/>
          <w:bCs/>
          <w:sz w:val="24"/>
          <w:szCs w:val="24"/>
        </w:rPr>
      </w:pPr>
      <w:r w:rsidRPr="009D3899">
        <w:rPr>
          <w:b/>
          <w:bCs/>
          <w:sz w:val="24"/>
          <w:szCs w:val="24"/>
        </w:rPr>
        <w:lastRenderedPageBreak/>
        <w:t>TABLE OF CONTENTS</w:t>
      </w:r>
    </w:p>
    <w:sdt>
      <w:sdtPr>
        <w:rPr>
          <w:rFonts w:eastAsiaTheme="minorEastAsia" w:cs="Times New Roman"/>
          <w:b w:val="0"/>
          <w:bCs w:val="0"/>
          <w:sz w:val="20"/>
          <w:szCs w:val="20"/>
          <w:lang w:eastAsia="en-US"/>
        </w:rPr>
        <w:id w:val="-1920398023"/>
        <w:docPartObj>
          <w:docPartGallery w:val="Table of Contents"/>
          <w:docPartUnique/>
        </w:docPartObj>
      </w:sdtPr>
      <w:sdtEndPr>
        <w:rPr>
          <w:noProof/>
        </w:rPr>
      </w:sdtEndPr>
      <w:sdtContent>
        <w:p w:rsidR="00B15D97" w:rsidRPr="0009690B" w:rsidRDefault="00B15D97" w:rsidP="00C64FBC">
          <w:pPr>
            <w:pStyle w:val="TOCHeading"/>
            <w:spacing w:line="240" w:lineRule="auto"/>
            <w:rPr>
              <w:szCs w:val="24"/>
            </w:rPr>
          </w:pPr>
        </w:p>
        <w:p w:rsidR="0009690B" w:rsidRPr="001D4B7A" w:rsidRDefault="00B15D97" w:rsidP="001D4B7A">
          <w:pPr>
            <w:pStyle w:val="TOC1"/>
            <w:widowControl/>
            <w:tabs>
              <w:tab w:val="clear" w:pos="440"/>
            </w:tabs>
            <w:ind w:left="720" w:hanging="720"/>
            <w:rPr>
              <w:rFonts w:asciiTheme="minorHAnsi" w:hAnsiTheme="minorHAnsi" w:cstheme="minorBidi"/>
              <w:noProof/>
              <w:sz w:val="24"/>
              <w:szCs w:val="22"/>
            </w:rPr>
          </w:pPr>
          <w:r w:rsidRPr="0009690B">
            <w:rPr>
              <w:szCs w:val="24"/>
            </w:rPr>
            <w:fldChar w:fldCharType="begin"/>
          </w:r>
          <w:r w:rsidRPr="0009690B">
            <w:rPr>
              <w:szCs w:val="24"/>
            </w:rPr>
            <w:instrText xml:space="preserve"> TOC \o "1-3" \h \z \u </w:instrText>
          </w:r>
          <w:r w:rsidRPr="0009690B">
            <w:rPr>
              <w:szCs w:val="24"/>
            </w:rPr>
            <w:fldChar w:fldCharType="separate"/>
          </w:r>
          <w:hyperlink w:anchor="_Toc362611550" w:history="1">
            <w:r w:rsidR="0009690B" w:rsidRPr="001D4B7A">
              <w:rPr>
                <w:rStyle w:val="Hyperlink"/>
                <w:noProof/>
                <w:sz w:val="24"/>
              </w:rPr>
              <w:t>I.</w:t>
            </w:r>
            <w:r w:rsidR="0009690B" w:rsidRPr="001D4B7A">
              <w:rPr>
                <w:rFonts w:asciiTheme="minorHAnsi" w:hAnsiTheme="minorHAnsi" w:cstheme="minorBidi"/>
                <w:noProof/>
                <w:sz w:val="24"/>
                <w:szCs w:val="22"/>
              </w:rPr>
              <w:tab/>
            </w:r>
            <w:r w:rsidR="0009690B" w:rsidRPr="001D4B7A">
              <w:rPr>
                <w:rStyle w:val="Hyperlink"/>
                <w:noProof/>
                <w:sz w:val="24"/>
              </w:rPr>
              <w:t>INTRODUCTION</w:t>
            </w:r>
            <w:r w:rsidR="0009690B" w:rsidRPr="001D4B7A">
              <w:rPr>
                <w:noProof/>
                <w:webHidden/>
                <w:sz w:val="24"/>
              </w:rPr>
              <w:tab/>
            </w:r>
            <w:r w:rsidR="0009690B" w:rsidRPr="001D4B7A">
              <w:rPr>
                <w:noProof/>
                <w:webHidden/>
                <w:sz w:val="24"/>
              </w:rPr>
              <w:fldChar w:fldCharType="begin"/>
            </w:r>
            <w:r w:rsidR="0009690B" w:rsidRPr="001D4B7A">
              <w:rPr>
                <w:noProof/>
                <w:webHidden/>
                <w:sz w:val="24"/>
              </w:rPr>
              <w:instrText xml:space="preserve"> PAGEREF _Toc362611550 \h </w:instrText>
            </w:r>
            <w:r w:rsidR="0009690B" w:rsidRPr="001D4B7A">
              <w:rPr>
                <w:noProof/>
                <w:webHidden/>
                <w:sz w:val="24"/>
              </w:rPr>
            </w:r>
            <w:r w:rsidR="0009690B" w:rsidRPr="001D4B7A">
              <w:rPr>
                <w:noProof/>
                <w:webHidden/>
                <w:sz w:val="24"/>
              </w:rPr>
              <w:fldChar w:fldCharType="separate"/>
            </w:r>
            <w:r w:rsidR="002F3F3D">
              <w:rPr>
                <w:noProof/>
                <w:webHidden/>
                <w:sz w:val="24"/>
              </w:rPr>
              <w:t>1</w:t>
            </w:r>
            <w:r w:rsidR="0009690B" w:rsidRPr="001D4B7A">
              <w:rPr>
                <w:noProof/>
                <w:webHidden/>
                <w:sz w:val="24"/>
              </w:rPr>
              <w:fldChar w:fldCharType="end"/>
            </w:r>
          </w:hyperlink>
        </w:p>
        <w:p w:rsidR="0009690B" w:rsidRPr="001D4B7A" w:rsidRDefault="00FA7CFC" w:rsidP="001D4B7A">
          <w:pPr>
            <w:pStyle w:val="TOC1"/>
            <w:widowControl/>
            <w:tabs>
              <w:tab w:val="clear" w:pos="440"/>
            </w:tabs>
            <w:ind w:left="720" w:hanging="720"/>
            <w:rPr>
              <w:rFonts w:asciiTheme="minorHAnsi" w:hAnsiTheme="minorHAnsi" w:cstheme="minorBidi"/>
              <w:noProof/>
              <w:sz w:val="24"/>
              <w:szCs w:val="22"/>
            </w:rPr>
          </w:pPr>
          <w:hyperlink w:anchor="_Toc362611551" w:history="1">
            <w:r w:rsidR="0009690B" w:rsidRPr="001D4B7A">
              <w:rPr>
                <w:rStyle w:val="Hyperlink"/>
                <w:noProof/>
                <w:sz w:val="24"/>
              </w:rPr>
              <w:t>II.</w:t>
            </w:r>
            <w:r w:rsidR="0009690B" w:rsidRPr="001D4B7A">
              <w:rPr>
                <w:rFonts w:asciiTheme="minorHAnsi" w:hAnsiTheme="minorHAnsi" w:cstheme="minorBidi"/>
                <w:noProof/>
                <w:sz w:val="24"/>
                <w:szCs w:val="22"/>
              </w:rPr>
              <w:tab/>
            </w:r>
            <w:r w:rsidR="0009690B" w:rsidRPr="001D4B7A">
              <w:rPr>
                <w:rStyle w:val="Hyperlink"/>
                <w:noProof/>
                <w:sz w:val="24"/>
              </w:rPr>
              <w:t>JURISDICTION AND APPLICABLE LAW</w:t>
            </w:r>
            <w:r w:rsidR="0009690B" w:rsidRPr="001D4B7A">
              <w:rPr>
                <w:noProof/>
                <w:webHidden/>
                <w:sz w:val="24"/>
              </w:rPr>
              <w:tab/>
            </w:r>
            <w:r w:rsidR="0009690B" w:rsidRPr="001D4B7A">
              <w:rPr>
                <w:noProof/>
                <w:webHidden/>
                <w:sz w:val="24"/>
              </w:rPr>
              <w:fldChar w:fldCharType="begin"/>
            </w:r>
            <w:r w:rsidR="0009690B" w:rsidRPr="001D4B7A">
              <w:rPr>
                <w:noProof/>
                <w:webHidden/>
                <w:sz w:val="24"/>
              </w:rPr>
              <w:instrText xml:space="preserve"> PAGEREF _Toc362611551 \h </w:instrText>
            </w:r>
            <w:r w:rsidR="0009690B" w:rsidRPr="001D4B7A">
              <w:rPr>
                <w:noProof/>
                <w:webHidden/>
                <w:sz w:val="24"/>
              </w:rPr>
            </w:r>
            <w:r w:rsidR="0009690B" w:rsidRPr="001D4B7A">
              <w:rPr>
                <w:noProof/>
                <w:webHidden/>
                <w:sz w:val="24"/>
              </w:rPr>
              <w:fldChar w:fldCharType="separate"/>
            </w:r>
            <w:r w:rsidR="002F3F3D">
              <w:rPr>
                <w:noProof/>
                <w:webHidden/>
                <w:sz w:val="24"/>
              </w:rPr>
              <w:t>2</w:t>
            </w:r>
            <w:r w:rsidR="0009690B" w:rsidRPr="001D4B7A">
              <w:rPr>
                <w:noProof/>
                <w:webHidden/>
                <w:sz w:val="24"/>
              </w:rPr>
              <w:fldChar w:fldCharType="end"/>
            </w:r>
          </w:hyperlink>
        </w:p>
        <w:p w:rsidR="0009690B" w:rsidRPr="001D4B7A" w:rsidRDefault="00FA7CFC" w:rsidP="001D4B7A">
          <w:pPr>
            <w:pStyle w:val="TOC1"/>
            <w:widowControl/>
            <w:tabs>
              <w:tab w:val="clear" w:pos="440"/>
            </w:tabs>
            <w:ind w:left="720" w:hanging="720"/>
            <w:rPr>
              <w:rFonts w:asciiTheme="minorHAnsi" w:hAnsiTheme="minorHAnsi" w:cstheme="minorBidi"/>
              <w:noProof/>
              <w:sz w:val="24"/>
              <w:szCs w:val="22"/>
            </w:rPr>
          </w:pPr>
          <w:hyperlink w:anchor="_Toc362611552" w:history="1">
            <w:r w:rsidR="0009690B" w:rsidRPr="001D4B7A">
              <w:rPr>
                <w:rStyle w:val="Hyperlink"/>
                <w:noProof/>
                <w:sz w:val="24"/>
              </w:rPr>
              <w:t>III.</w:t>
            </w:r>
            <w:r w:rsidR="0009690B" w:rsidRPr="001D4B7A">
              <w:rPr>
                <w:rFonts w:asciiTheme="minorHAnsi" w:hAnsiTheme="minorHAnsi" w:cstheme="minorBidi"/>
                <w:noProof/>
                <w:sz w:val="24"/>
                <w:szCs w:val="22"/>
              </w:rPr>
              <w:tab/>
            </w:r>
            <w:r w:rsidR="0009690B" w:rsidRPr="001D4B7A">
              <w:rPr>
                <w:rStyle w:val="Hyperlink"/>
                <w:noProof/>
                <w:sz w:val="24"/>
              </w:rPr>
              <w:t>THE AEP OHIO CASE HAS NO BEARING ON THE COMPENSATION DUKE SHOULD RECEIVE AS AN FRR ENTITY.</w:t>
            </w:r>
            <w:r w:rsidR="0009690B" w:rsidRPr="001D4B7A">
              <w:rPr>
                <w:noProof/>
                <w:webHidden/>
                <w:sz w:val="24"/>
              </w:rPr>
              <w:tab/>
            </w:r>
            <w:r w:rsidR="0009690B" w:rsidRPr="001D4B7A">
              <w:rPr>
                <w:noProof/>
                <w:webHidden/>
                <w:sz w:val="24"/>
              </w:rPr>
              <w:fldChar w:fldCharType="begin"/>
            </w:r>
            <w:r w:rsidR="0009690B" w:rsidRPr="001D4B7A">
              <w:rPr>
                <w:noProof/>
                <w:webHidden/>
                <w:sz w:val="24"/>
              </w:rPr>
              <w:instrText xml:space="preserve"> PAGEREF _Toc362611552 \h </w:instrText>
            </w:r>
            <w:r w:rsidR="0009690B" w:rsidRPr="001D4B7A">
              <w:rPr>
                <w:noProof/>
                <w:webHidden/>
                <w:sz w:val="24"/>
              </w:rPr>
            </w:r>
            <w:r w:rsidR="0009690B" w:rsidRPr="001D4B7A">
              <w:rPr>
                <w:noProof/>
                <w:webHidden/>
                <w:sz w:val="24"/>
              </w:rPr>
              <w:fldChar w:fldCharType="separate"/>
            </w:r>
            <w:r w:rsidR="002F3F3D">
              <w:rPr>
                <w:noProof/>
                <w:webHidden/>
                <w:sz w:val="24"/>
              </w:rPr>
              <w:t>4</w:t>
            </w:r>
            <w:r w:rsidR="0009690B" w:rsidRPr="001D4B7A">
              <w:rPr>
                <w:noProof/>
                <w:webHidden/>
                <w:sz w:val="24"/>
              </w:rPr>
              <w:fldChar w:fldCharType="end"/>
            </w:r>
          </w:hyperlink>
        </w:p>
        <w:p w:rsidR="0009690B" w:rsidRPr="001D4B7A" w:rsidRDefault="00FA7CFC" w:rsidP="001D4B7A">
          <w:pPr>
            <w:pStyle w:val="TOC1"/>
            <w:widowControl/>
            <w:tabs>
              <w:tab w:val="clear" w:pos="440"/>
            </w:tabs>
            <w:ind w:left="720" w:hanging="720"/>
            <w:rPr>
              <w:rFonts w:asciiTheme="minorHAnsi" w:hAnsiTheme="minorHAnsi" w:cstheme="minorBidi"/>
              <w:noProof/>
              <w:sz w:val="24"/>
              <w:szCs w:val="22"/>
            </w:rPr>
          </w:pPr>
          <w:hyperlink w:anchor="_Toc362611553" w:history="1">
            <w:r w:rsidR="0009690B" w:rsidRPr="001D4B7A">
              <w:rPr>
                <w:rStyle w:val="Hyperlink"/>
                <w:noProof/>
                <w:sz w:val="24"/>
              </w:rPr>
              <w:t>IV.</w:t>
            </w:r>
            <w:r w:rsidR="0009690B" w:rsidRPr="001D4B7A">
              <w:rPr>
                <w:rFonts w:asciiTheme="minorHAnsi" w:hAnsiTheme="minorHAnsi" w:cstheme="minorBidi"/>
                <w:noProof/>
                <w:sz w:val="24"/>
                <w:szCs w:val="22"/>
              </w:rPr>
              <w:tab/>
            </w:r>
            <w:r w:rsidR="0009690B" w:rsidRPr="001D4B7A">
              <w:rPr>
                <w:rStyle w:val="Hyperlink"/>
                <w:noProof/>
                <w:sz w:val="24"/>
              </w:rPr>
              <w:t>DUKE IS NOT ENTITLED TO RECOVER ITS ACTUAL COSTS WHEN IT AGREED OTHERWISE.</w:t>
            </w:r>
            <w:r w:rsidR="0009690B" w:rsidRPr="001D4B7A">
              <w:rPr>
                <w:noProof/>
                <w:webHidden/>
                <w:sz w:val="24"/>
              </w:rPr>
              <w:tab/>
            </w:r>
            <w:r w:rsidR="0009690B" w:rsidRPr="001D4B7A">
              <w:rPr>
                <w:noProof/>
                <w:webHidden/>
                <w:sz w:val="24"/>
              </w:rPr>
              <w:fldChar w:fldCharType="begin"/>
            </w:r>
            <w:r w:rsidR="0009690B" w:rsidRPr="001D4B7A">
              <w:rPr>
                <w:noProof/>
                <w:webHidden/>
                <w:sz w:val="24"/>
              </w:rPr>
              <w:instrText xml:space="preserve"> PAGEREF _Toc362611553 \h </w:instrText>
            </w:r>
            <w:r w:rsidR="0009690B" w:rsidRPr="001D4B7A">
              <w:rPr>
                <w:noProof/>
                <w:webHidden/>
                <w:sz w:val="24"/>
              </w:rPr>
            </w:r>
            <w:r w:rsidR="0009690B" w:rsidRPr="001D4B7A">
              <w:rPr>
                <w:noProof/>
                <w:webHidden/>
                <w:sz w:val="24"/>
              </w:rPr>
              <w:fldChar w:fldCharType="separate"/>
            </w:r>
            <w:r w:rsidR="002F3F3D">
              <w:rPr>
                <w:noProof/>
                <w:webHidden/>
                <w:sz w:val="24"/>
              </w:rPr>
              <w:t>6</w:t>
            </w:r>
            <w:r w:rsidR="0009690B" w:rsidRPr="001D4B7A">
              <w:rPr>
                <w:noProof/>
                <w:webHidden/>
                <w:sz w:val="24"/>
              </w:rPr>
              <w:fldChar w:fldCharType="end"/>
            </w:r>
          </w:hyperlink>
        </w:p>
        <w:p w:rsidR="0009690B" w:rsidRPr="001D4B7A" w:rsidRDefault="00FA7CFC" w:rsidP="001D4B7A">
          <w:pPr>
            <w:pStyle w:val="TOC1"/>
            <w:widowControl/>
            <w:tabs>
              <w:tab w:val="clear" w:pos="440"/>
            </w:tabs>
            <w:ind w:left="720" w:hanging="720"/>
            <w:rPr>
              <w:rFonts w:asciiTheme="minorHAnsi" w:hAnsiTheme="minorHAnsi" w:cstheme="minorBidi"/>
              <w:noProof/>
              <w:sz w:val="24"/>
              <w:szCs w:val="22"/>
            </w:rPr>
          </w:pPr>
          <w:hyperlink w:anchor="_Toc362611554" w:history="1">
            <w:r w:rsidR="0009690B" w:rsidRPr="001D4B7A">
              <w:rPr>
                <w:rStyle w:val="Hyperlink"/>
                <w:noProof/>
                <w:sz w:val="24"/>
              </w:rPr>
              <w:t>V.</w:t>
            </w:r>
            <w:r w:rsidR="0009690B" w:rsidRPr="001D4B7A">
              <w:rPr>
                <w:rFonts w:asciiTheme="minorHAnsi" w:hAnsiTheme="minorHAnsi" w:cstheme="minorBidi"/>
                <w:noProof/>
                <w:sz w:val="24"/>
                <w:szCs w:val="22"/>
              </w:rPr>
              <w:tab/>
            </w:r>
            <w:r w:rsidR="0009690B" w:rsidRPr="001D4B7A">
              <w:rPr>
                <w:rStyle w:val="Hyperlink"/>
                <w:noProof/>
                <w:sz w:val="24"/>
              </w:rPr>
              <w:t>THE ESP LAWFULLY ADDRESSED CAPACITY PRICING AND DUKE IS IMPROPERLY ATTEMPTING TO UNDERMINE THE ESP STIPULATION.</w:t>
            </w:r>
            <w:r w:rsidR="0009690B" w:rsidRPr="001D4B7A">
              <w:rPr>
                <w:noProof/>
                <w:webHidden/>
                <w:sz w:val="24"/>
              </w:rPr>
              <w:tab/>
            </w:r>
            <w:r w:rsidR="0009690B" w:rsidRPr="001D4B7A">
              <w:rPr>
                <w:noProof/>
                <w:webHidden/>
                <w:sz w:val="24"/>
              </w:rPr>
              <w:fldChar w:fldCharType="begin"/>
            </w:r>
            <w:r w:rsidR="0009690B" w:rsidRPr="001D4B7A">
              <w:rPr>
                <w:noProof/>
                <w:webHidden/>
                <w:sz w:val="24"/>
              </w:rPr>
              <w:instrText xml:space="preserve"> PAGEREF _Toc362611554 \h </w:instrText>
            </w:r>
            <w:r w:rsidR="0009690B" w:rsidRPr="001D4B7A">
              <w:rPr>
                <w:noProof/>
                <w:webHidden/>
                <w:sz w:val="24"/>
              </w:rPr>
            </w:r>
            <w:r w:rsidR="0009690B" w:rsidRPr="001D4B7A">
              <w:rPr>
                <w:noProof/>
                <w:webHidden/>
                <w:sz w:val="24"/>
              </w:rPr>
              <w:fldChar w:fldCharType="separate"/>
            </w:r>
            <w:r w:rsidR="002F3F3D">
              <w:rPr>
                <w:noProof/>
                <w:webHidden/>
                <w:sz w:val="24"/>
              </w:rPr>
              <w:t>10</w:t>
            </w:r>
            <w:r w:rsidR="0009690B" w:rsidRPr="001D4B7A">
              <w:rPr>
                <w:noProof/>
                <w:webHidden/>
                <w:sz w:val="24"/>
              </w:rPr>
              <w:fldChar w:fldCharType="end"/>
            </w:r>
          </w:hyperlink>
        </w:p>
        <w:p w:rsidR="0009690B" w:rsidRPr="001D4B7A" w:rsidRDefault="00FA7CFC" w:rsidP="001D4B7A">
          <w:pPr>
            <w:pStyle w:val="TOC1"/>
            <w:widowControl/>
            <w:tabs>
              <w:tab w:val="clear" w:pos="440"/>
            </w:tabs>
            <w:ind w:left="720" w:hanging="720"/>
            <w:rPr>
              <w:rFonts w:asciiTheme="minorHAnsi" w:hAnsiTheme="minorHAnsi" w:cstheme="minorBidi"/>
              <w:noProof/>
              <w:sz w:val="24"/>
              <w:szCs w:val="22"/>
            </w:rPr>
          </w:pPr>
          <w:hyperlink w:anchor="_Toc362611555" w:history="1">
            <w:r w:rsidR="0009690B" w:rsidRPr="001D4B7A">
              <w:rPr>
                <w:rStyle w:val="Hyperlink"/>
                <w:noProof/>
                <w:sz w:val="24"/>
              </w:rPr>
              <w:t>VI.</w:t>
            </w:r>
            <w:r w:rsidR="0009690B" w:rsidRPr="001D4B7A">
              <w:rPr>
                <w:rFonts w:asciiTheme="minorHAnsi" w:hAnsiTheme="minorHAnsi" w:cstheme="minorBidi"/>
                <w:noProof/>
                <w:sz w:val="24"/>
                <w:szCs w:val="22"/>
              </w:rPr>
              <w:tab/>
            </w:r>
            <w:r w:rsidR="0009690B" w:rsidRPr="001D4B7A">
              <w:rPr>
                <w:rStyle w:val="Hyperlink"/>
                <w:noProof/>
                <w:sz w:val="24"/>
              </w:rPr>
              <w:t>THERE IS ONLY ONE POSSIBLE INTERPRETATION OF THE STIPULATION.</w:t>
            </w:r>
            <w:r w:rsidR="0009690B" w:rsidRPr="001D4B7A">
              <w:rPr>
                <w:noProof/>
                <w:webHidden/>
                <w:sz w:val="24"/>
              </w:rPr>
              <w:tab/>
            </w:r>
            <w:r w:rsidR="0009690B" w:rsidRPr="001D4B7A">
              <w:rPr>
                <w:noProof/>
                <w:webHidden/>
                <w:sz w:val="24"/>
              </w:rPr>
              <w:fldChar w:fldCharType="begin"/>
            </w:r>
            <w:r w:rsidR="0009690B" w:rsidRPr="001D4B7A">
              <w:rPr>
                <w:noProof/>
                <w:webHidden/>
                <w:sz w:val="24"/>
              </w:rPr>
              <w:instrText xml:space="preserve"> PAGEREF _Toc362611555 \h </w:instrText>
            </w:r>
            <w:r w:rsidR="0009690B" w:rsidRPr="001D4B7A">
              <w:rPr>
                <w:noProof/>
                <w:webHidden/>
                <w:sz w:val="24"/>
              </w:rPr>
            </w:r>
            <w:r w:rsidR="0009690B" w:rsidRPr="001D4B7A">
              <w:rPr>
                <w:noProof/>
                <w:webHidden/>
                <w:sz w:val="24"/>
              </w:rPr>
              <w:fldChar w:fldCharType="separate"/>
            </w:r>
            <w:r w:rsidR="002F3F3D">
              <w:rPr>
                <w:noProof/>
                <w:webHidden/>
                <w:sz w:val="24"/>
              </w:rPr>
              <w:t>14</w:t>
            </w:r>
            <w:r w:rsidR="0009690B" w:rsidRPr="001D4B7A">
              <w:rPr>
                <w:noProof/>
                <w:webHidden/>
                <w:sz w:val="24"/>
              </w:rPr>
              <w:fldChar w:fldCharType="end"/>
            </w:r>
          </w:hyperlink>
        </w:p>
        <w:p w:rsidR="0009690B" w:rsidRDefault="00FA7CFC" w:rsidP="001D4B7A">
          <w:pPr>
            <w:pStyle w:val="TOC1"/>
            <w:widowControl/>
            <w:tabs>
              <w:tab w:val="clear" w:pos="440"/>
            </w:tabs>
            <w:ind w:left="720" w:hanging="720"/>
            <w:rPr>
              <w:rFonts w:asciiTheme="minorHAnsi" w:hAnsiTheme="minorHAnsi" w:cstheme="minorBidi"/>
              <w:noProof/>
              <w:sz w:val="22"/>
              <w:szCs w:val="22"/>
            </w:rPr>
          </w:pPr>
          <w:hyperlink w:anchor="_Toc362611556" w:history="1">
            <w:r w:rsidR="0009690B" w:rsidRPr="001D4B7A">
              <w:rPr>
                <w:rStyle w:val="Hyperlink"/>
                <w:noProof/>
                <w:sz w:val="24"/>
              </w:rPr>
              <w:t>VII.</w:t>
            </w:r>
            <w:r w:rsidR="0009690B" w:rsidRPr="001D4B7A">
              <w:rPr>
                <w:rFonts w:asciiTheme="minorHAnsi" w:hAnsiTheme="minorHAnsi" w:cstheme="minorBidi"/>
                <w:noProof/>
                <w:sz w:val="24"/>
                <w:szCs w:val="22"/>
              </w:rPr>
              <w:tab/>
            </w:r>
            <w:r w:rsidR="0009690B" w:rsidRPr="001D4B7A">
              <w:rPr>
                <w:rStyle w:val="Hyperlink"/>
                <w:noProof/>
                <w:sz w:val="24"/>
              </w:rPr>
              <w:t>CONCLUSION</w:t>
            </w:r>
            <w:r w:rsidR="0009690B" w:rsidRPr="001D4B7A">
              <w:rPr>
                <w:noProof/>
                <w:webHidden/>
                <w:sz w:val="24"/>
              </w:rPr>
              <w:tab/>
            </w:r>
            <w:r w:rsidR="0009690B" w:rsidRPr="001D4B7A">
              <w:rPr>
                <w:noProof/>
                <w:webHidden/>
                <w:sz w:val="24"/>
              </w:rPr>
              <w:fldChar w:fldCharType="begin"/>
            </w:r>
            <w:r w:rsidR="0009690B" w:rsidRPr="001D4B7A">
              <w:rPr>
                <w:noProof/>
                <w:webHidden/>
                <w:sz w:val="24"/>
              </w:rPr>
              <w:instrText xml:space="preserve"> PAGEREF _Toc362611556 \h </w:instrText>
            </w:r>
            <w:r w:rsidR="0009690B" w:rsidRPr="001D4B7A">
              <w:rPr>
                <w:noProof/>
                <w:webHidden/>
                <w:sz w:val="24"/>
              </w:rPr>
            </w:r>
            <w:r w:rsidR="0009690B" w:rsidRPr="001D4B7A">
              <w:rPr>
                <w:noProof/>
                <w:webHidden/>
                <w:sz w:val="24"/>
              </w:rPr>
              <w:fldChar w:fldCharType="separate"/>
            </w:r>
            <w:r w:rsidR="002F3F3D">
              <w:rPr>
                <w:noProof/>
                <w:webHidden/>
                <w:sz w:val="24"/>
              </w:rPr>
              <w:t>15</w:t>
            </w:r>
            <w:r w:rsidR="0009690B" w:rsidRPr="001D4B7A">
              <w:rPr>
                <w:noProof/>
                <w:webHidden/>
                <w:sz w:val="24"/>
              </w:rPr>
              <w:fldChar w:fldCharType="end"/>
            </w:r>
          </w:hyperlink>
        </w:p>
        <w:p w:rsidR="00B15D97" w:rsidRDefault="00B15D97" w:rsidP="00C64FBC">
          <w:pPr>
            <w:widowControl/>
            <w:spacing w:after="240"/>
          </w:pPr>
          <w:r w:rsidRPr="0009690B">
            <w:rPr>
              <w:b/>
              <w:bCs/>
              <w:noProof/>
              <w:sz w:val="24"/>
              <w:szCs w:val="24"/>
            </w:rPr>
            <w:fldChar w:fldCharType="end"/>
          </w:r>
        </w:p>
      </w:sdtContent>
    </w:sdt>
    <w:p w:rsidR="00DC1612" w:rsidRPr="009D3899" w:rsidRDefault="00DC1612" w:rsidP="00C64FBC">
      <w:pPr>
        <w:widowControl/>
        <w:kinsoku w:val="0"/>
        <w:overflowPunct w:val="0"/>
        <w:autoSpaceDE/>
        <w:autoSpaceDN/>
        <w:adjustRightInd/>
        <w:spacing w:before="11" w:after="111" w:line="278" w:lineRule="exact"/>
        <w:jc w:val="center"/>
        <w:textAlignment w:val="baseline"/>
        <w:rPr>
          <w:b/>
          <w:bCs/>
          <w:sz w:val="24"/>
          <w:szCs w:val="24"/>
        </w:rPr>
      </w:pPr>
    </w:p>
    <w:p w:rsidR="00936CB8" w:rsidRDefault="00936CB8" w:rsidP="00C64FBC">
      <w:pPr>
        <w:widowControl/>
        <w:autoSpaceDE/>
        <w:autoSpaceDN/>
        <w:adjustRightInd/>
        <w:spacing w:after="200" w:line="276" w:lineRule="auto"/>
        <w:rPr>
          <w:sz w:val="25"/>
          <w:szCs w:val="25"/>
        </w:rPr>
      </w:pPr>
      <w:r>
        <w:rPr>
          <w:sz w:val="25"/>
          <w:szCs w:val="25"/>
        </w:rPr>
        <w:br w:type="page"/>
      </w:r>
    </w:p>
    <w:p w:rsidR="00936CB8" w:rsidRDefault="00936CB8" w:rsidP="00C64FBC">
      <w:pPr>
        <w:pStyle w:val="Heading1"/>
        <w:widowControl/>
        <w:sectPr w:rsidR="00936CB8" w:rsidSect="00936CB8">
          <w:footerReference w:type="default" r:id="rId11"/>
          <w:pgSz w:w="12240" w:h="15840"/>
          <w:pgMar w:top="1440" w:right="1440" w:bottom="1440" w:left="1440" w:header="720" w:footer="912" w:gutter="0"/>
          <w:pgNumType w:fmt="lowerRoman" w:start="1"/>
          <w:cols w:space="140"/>
          <w:noEndnote/>
          <w:docGrid w:linePitch="272"/>
        </w:sectPr>
      </w:pPr>
    </w:p>
    <w:p w:rsidR="00DC1612" w:rsidRPr="009D3899" w:rsidRDefault="00DC1612" w:rsidP="00C64FBC">
      <w:pPr>
        <w:pStyle w:val="Heading1"/>
        <w:widowControl/>
      </w:pPr>
      <w:bookmarkStart w:id="1" w:name="_Toc362611550"/>
      <w:r w:rsidRPr="009D3899">
        <w:lastRenderedPageBreak/>
        <w:t>I.</w:t>
      </w:r>
      <w:r w:rsidRPr="009D3899">
        <w:tab/>
        <w:t>INTRODUCTION</w:t>
      </w:r>
      <w:bookmarkEnd w:id="1"/>
      <w:r w:rsidRPr="009D3899">
        <w:t xml:space="preserve"> </w:t>
      </w:r>
    </w:p>
    <w:p w:rsidR="001D18BA" w:rsidRDefault="001D18BA"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Numerous parties have filed initial briefs in this case, addressing a </w:t>
      </w:r>
      <w:r w:rsidR="00134A8A">
        <w:rPr>
          <w:sz w:val="25"/>
          <w:szCs w:val="25"/>
        </w:rPr>
        <w:t xml:space="preserve">wide range </w:t>
      </w:r>
      <w:r>
        <w:rPr>
          <w:sz w:val="25"/>
          <w:szCs w:val="25"/>
        </w:rPr>
        <w:t xml:space="preserve">of issues raised by Duke’s application.  </w:t>
      </w:r>
      <w:r w:rsidR="00134A8A">
        <w:rPr>
          <w:sz w:val="25"/>
          <w:szCs w:val="25"/>
        </w:rPr>
        <w:t xml:space="preserve">The Greater Cincinnati Health Council (“GCHC”) and Cincinnati Bell Inc. (“CBI”) find themselves in agreement with virtually everything said in all of the other </w:t>
      </w:r>
      <w:proofErr w:type="spellStart"/>
      <w:r w:rsidR="00134A8A">
        <w:rPr>
          <w:sz w:val="25"/>
          <w:szCs w:val="25"/>
        </w:rPr>
        <w:t>Intevenors</w:t>
      </w:r>
      <w:proofErr w:type="spellEnd"/>
      <w:r w:rsidR="00134A8A">
        <w:rPr>
          <w:sz w:val="25"/>
          <w:szCs w:val="25"/>
        </w:rPr>
        <w:t xml:space="preserve">’ initial briefs.  </w:t>
      </w:r>
      <w:r>
        <w:rPr>
          <w:sz w:val="25"/>
          <w:szCs w:val="25"/>
        </w:rPr>
        <w:t>The</w:t>
      </w:r>
      <w:r w:rsidR="00134A8A">
        <w:rPr>
          <w:sz w:val="25"/>
          <w:szCs w:val="25"/>
        </w:rPr>
        <w:t xml:space="preserve">re are a </w:t>
      </w:r>
      <w:r>
        <w:rPr>
          <w:sz w:val="25"/>
          <w:szCs w:val="25"/>
        </w:rPr>
        <w:t xml:space="preserve">number of </w:t>
      </w:r>
      <w:r w:rsidR="00134A8A">
        <w:rPr>
          <w:sz w:val="25"/>
          <w:szCs w:val="25"/>
        </w:rPr>
        <w:t xml:space="preserve">reasons for the Commission </w:t>
      </w:r>
      <w:r>
        <w:rPr>
          <w:sz w:val="25"/>
          <w:szCs w:val="25"/>
        </w:rPr>
        <w:t>to deny Duke’s application</w:t>
      </w:r>
      <w:r w:rsidR="00134A8A">
        <w:rPr>
          <w:sz w:val="25"/>
          <w:szCs w:val="25"/>
        </w:rPr>
        <w:t xml:space="preserve"> and </w:t>
      </w:r>
      <w:r>
        <w:rPr>
          <w:sz w:val="25"/>
          <w:szCs w:val="25"/>
        </w:rPr>
        <w:t xml:space="preserve">no </w:t>
      </w:r>
      <w:r w:rsidR="00134A8A">
        <w:rPr>
          <w:sz w:val="25"/>
          <w:szCs w:val="25"/>
        </w:rPr>
        <w:t xml:space="preserve">lawful </w:t>
      </w:r>
      <w:r>
        <w:rPr>
          <w:sz w:val="25"/>
          <w:szCs w:val="25"/>
        </w:rPr>
        <w:t xml:space="preserve">way for the Commission to grant Duke’s application.  </w:t>
      </w:r>
      <w:r w:rsidR="00134A8A">
        <w:rPr>
          <w:sz w:val="25"/>
          <w:szCs w:val="25"/>
        </w:rPr>
        <w:t xml:space="preserve">So much has been said about this case, there is little left to discuss.  GCHC/CBI will use this Reply Brief as an opportunity to </w:t>
      </w:r>
      <w:r w:rsidR="00936CB8">
        <w:rPr>
          <w:sz w:val="25"/>
          <w:szCs w:val="25"/>
        </w:rPr>
        <w:t>brief</w:t>
      </w:r>
      <w:r w:rsidR="00C64FBC">
        <w:rPr>
          <w:sz w:val="25"/>
          <w:szCs w:val="25"/>
        </w:rPr>
        <w:t xml:space="preserve">ly </w:t>
      </w:r>
      <w:r w:rsidR="00134A8A">
        <w:rPr>
          <w:sz w:val="25"/>
          <w:szCs w:val="25"/>
        </w:rPr>
        <w:t xml:space="preserve">address some of the issues raised by Duke Energy Ohio, Inc. (“Duke”) in its initial brief.  </w:t>
      </w:r>
    </w:p>
    <w:p w:rsidR="00DC1612" w:rsidRPr="009D3899" w:rsidRDefault="001D18BA"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Granting </w:t>
      </w:r>
      <w:r w:rsidR="00134A8A">
        <w:rPr>
          <w:sz w:val="25"/>
          <w:szCs w:val="25"/>
        </w:rPr>
        <w:t xml:space="preserve">Duke’s </w:t>
      </w:r>
      <w:r w:rsidR="00DC1612" w:rsidRPr="009D3899">
        <w:rPr>
          <w:sz w:val="25"/>
          <w:szCs w:val="25"/>
        </w:rPr>
        <w:t xml:space="preserve">Application </w:t>
      </w:r>
      <w:r>
        <w:rPr>
          <w:sz w:val="25"/>
          <w:szCs w:val="25"/>
        </w:rPr>
        <w:t xml:space="preserve">would </w:t>
      </w:r>
      <w:r w:rsidR="00DC1612" w:rsidRPr="009D3899">
        <w:rPr>
          <w:sz w:val="25"/>
          <w:szCs w:val="25"/>
        </w:rPr>
        <w:t xml:space="preserve">eviscerate the global settlement of capacity charges </w:t>
      </w:r>
      <w:r>
        <w:rPr>
          <w:sz w:val="25"/>
          <w:szCs w:val="25"/>
        </w:rPr>
        <w:t>the parties</w:t>
      </w:r>
      <w:r w:rsidR="00DC1612" w:rsidRPr="009D3899">
        <w:rPr>
          <w:sz w:val="25"/>
          <w:szCs w:val="25"/>
        </w:rPr>
        <w:t xml:space="preserve"> made in Case No. 11-3549-EL-SSO</w:t>
      </w:r>
      <w:r>
        <w:rPr>
          <w:sz w:val="25"/>
          <w:szCs w:val="25"/>
        </w:rPr>
        <w:t xml:space="preserve"> (“the ESP case”)</w:t>
      </w:r>
      <w:r w:rsidR="00DC1612" w:rsidRPr="009D3899">
        <w:rPr>
          <w:sz w:val="25"/>
          <w:szCs w:val="25"/>
        </w:rPr>
        <w:t xml:space="preserve">. </w:t>
      </w:r>
      <w:r w:rsidR="00681706">
        <w:rPr>
          <w:sz w:val="25"/>
          <w:szCs w:val="25"/>
        </w:rPr>
        <w:t xml:space="preserve"> </w:t>
      </w:r>
      <w:r w:rsidR="00DC1612" w:rsidRPr="009D3899">
        <w:rPr>
          <w:sz w:val="25"/>
          <w:szCs w:val="25"/>
        </w:rPr>
        <w:t xml:space="preserve">Duke </w:t>
      </w:r>
      <w:r>
        <w:rPr>
          <w:sz w:val="25"/>
          <w:szCs w:val="25"/>
        </w:rPr>
        <w:t xml:space="preserve">asks the Commission to </w:t>
      </w:r>
      <w:r w:rsidR="00DC1612" w:rsidRPr="009D3899">
        <w:rPr>
          <w:sz w:val="25"/>
          <w:szCs w:val="25"/>
        </w:rPr>
        <w:t>ignore the express terms of th</w:t>
      </w:r>
      <w:r>
        <w:rPr>
          <w:sz w:val="25"/>
          <w:szCs w:val="25"/>
        </w:rPr>
        <w:t>at</w:t>
      </w:r>
      <w:r w:rsidR="00DC1612" w:rsidRPr="009D3899">
        <w:rPr>
          <w:sz w:val="25"/>
          <w:szCs w:val="25"/>
        </w:rPr>
        <w:t xml:space="preserve"> settlement </w:t>
      </w:r>
      <w:r w:rsidR="00134A8A">
        <w:rPr>
          <w:sz w:val="25"/>
          <w:szCs w:val="25"/>
        </w:rPr>
        <w:t xml:space="preserve">and </w:t>
      </w:r>
      <w:r>
        <w:rPr>
          <w:sz w:val="25"/>
          <w:szCs w:val="25"/>
        </w:rPr>
        <w:t xml:space="preserve">allow it to </w:t>
      </w:r>
      <w:r w:rsidR="00DC1612" w:rsidRPr="009D3899">
        <w:rPr>
          <w:sz w:val="25"/>
          <w:szCs w:val="25"/>
        </w:rPr>
        <w:t>extract more than $7</w:t>
      </w:r>
      <w:r w:rsidR="00227252">
        <w:rPr>
          <w:sz w:val="25"/>
          <w:szCs w:val="25"/>
        </w:rPr>
        <w:t>29</w:t>
      </w:r>
      <w:r w:rsidR="00DC1612" w:rsidRPr="009D3899">
        <w:rPr>
          <w:sz w:val="25"/>
          <w:szCs w:val="25"/>
        </w:rPr>
        <w:t xml:space="preserve"> million </w:t>
      </w:r>
      <w:r>
        <w:rPr>
          <w:sz w:val="25"/>
          <w:szCs w:val="25"/>
        </w:rPr>
        <w:t xml:space="preserve">in additional, unjustified </w:t>
      </w:r>
      <w:r w:rsidR="00681706">
        <w:rPr>
          <w:sz w:val="25"/>
          <w:szCs w:val="25"/>
        </w:rPr>
        <w:t xml:space="preserve">revenue </w:t>
      </w:r>
      <w:r w:rsidR="00DC1612" w:rsidRPr="009D3899">
        <w:rPr>
          <w:sz w:val="25"/>
          <w:szCs w:val="25"/>
        </w:rPr>
        <w:t xml:space="preserve">from its customer base.  Duke is </w:t>
      </w:r>
      <w:r>
        <w:rPr>
          <w:sz w:val="25"/>
          <w:szCs w:val="25"/>
        </w:rPr>
        <w:t xml:space="preserve">already </w:t>
      </w:r>
      <w:r w:rsidR="00DC1612" w:rsidRPr="009D3899">
        <w:rPr>
          <w:sz w:val="25"/>
          <w:szCs w:val="25"/>
        </w:rPr>
        <w:t xml:space="preserve">being compensated for its capacity services exactly as it agreed to be compensated and exactly how it will be compensated </w:t>
      </w:r>
      <w:r>
        <w:rPr>
          <w:sz w:val="25"/>
          <w:szCs w:val="25"/>
        </w:rPr>
        <w:t xml:space="preserve">after May 2015, </w:t>
      </w:r>
      <w:r w:rsidR="00DC1612" w:rsidRPr="009D3899">
        <w:rPr>
          <w:sz w:val="25"/>
          <w:szCs w:val="25"/>
        </w:rPr>
        <w:t xml:space="preserve">when it is no longer an FRR entity.  </w:t>
      </w:r>
      <w:r>
        <w:rPr>
          <w:sz w:val="25"/>
          <w:szCs w:val="25"/>
        </w:rPr>
        <w:t>Duke’</w:t>
      </w:r>
      <w:r w:rsidR="00DC1612" w:rsidRPr="009D3899">
        <w:rPr>
          <w:sz w:val="25"/>
          <w:szCs w:val="25"/>
        </w:rPr>
        <w:t>s entire case is based upon sour grapes</w:t>
      </w:r>
      <w:r w:rsidR="00134A8A">
        <w:rPr>
          <w:sz w:val="25"/>
          <w:szCs w:val="25"/>
        </w:rPr>
        <w:t xml:space="preserve">: </w:t>
      </w:r>
      <w:r w:rsidR="00DC1612" w:rsidRPr="009D3899">
        <w:rPr>
          <w:sz w:val="25"/>
          <w:szCs w:val="25"/>
        </w:rPr>
        <w:t xml:space="preserve"> </w:t>
      </w:r>
      <w:r>
        <w:rPr>
          <w:sz w:val="25"/>
          <w:szCs w:val="25"/>
        </w:rPr>
        <w:t>it</w:t>
      </w:r>
      <w:r w:rsidR="00DC1612" w:rsidRPr="009D3899">
        <w:rPr>
          <w:sz w:val="25"/>
          <w:szCs w:val="25"/>
        </w:rPr>
        <w:t xml:space="preserve"> made a </w:t>
      </w:r>
      <w:r>
        <w:rPr>
          <w:sz w:val="25"/>
          <w:szCs w:val="25"/>
        </w:rPr>
        <w:t xml:space="preserve">calculated decision to accept a </w:t>
      </w:r>
      <w:r w:rsidR="00DC1612" w:rsidRPr="009D3899">
        <w:rPr>
          <w:sz w:val="25"/>
          <w:szCs w:val="25"/>
        </w:rPr>
        <w:t xml:space="preserve">deal that did not turn out to be as good as </w:t>
      </w:r>
      <w:r>
        <w:rPr>
          <w:sz w:val="25"/>
          <w:szCs w:val="25"/>
        </w:rPr>
        <w:t>w</w:t>
      </w:r>
      <w:r w:rsidR="00DC1612" w:rsidRPr="009D3899">
        <w:rPr>
          <w:sz w:val="25"/>
          <w:szCs w:val="25"/>
        </w:rPr>
        <w:t xml:space="preserve">hat AEP achieved through litigation.  That is no basis for abrogating the </w:t>
      </w:r>
      <w:r w:rsidR="00681706">
        <w:rPr>
          <w:sz w:val="25"/>
          <w:szCs w:val="25"/>
        </w:rPr>
        <w:t xml:space="preserve">voluntary </w:t>
      </w:r>
      <w:r w:rsidR="00DC1612" w:rsidRPr="009D3899">
        <w:rPr>
          <w:sz w:val="25"/>
          <w:szCs w:val="25"/>
        </w:rPr>
        <w:t xml:space="preserve">arrangements upon which all parties have relied.  The returns Duke earns on its capacity assets are irrelevant </w:t>
      </w:r>
      <w:r w:rsidR="00681706">
        <w:rPr>
          <w:sz w:val="25"/>
          <w:szCs w:val="25"/>
        </w:rPr>
        <w:t>because generation service is now fully competitive</w:t>
      </w:r>
      <w:r w:rsidR="00DC1612" w:rsidRPr="009D3899">
        <w:rPr>
          <w:sz w:val="25"/>
          <w:szCs w:val="25"/>
        </w:rPr>
        <w:t xml:space="preserve">.  </w:t>
      </w:r>
    </w:p>
    <w:p w:rsidR="00DC1612" w:rsidRPr="009D3899" w:rsidRDefault="00DC1612"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Duke’s capacity rates are not unjust and unreasonable</w:t>
      </w:r>
      <w:r w:rsidR="001D18BA">
        <w:rPr>
          <w:sz w:val="25"/>
          <w:szCs w:val="25"/>
        </w:rPr>
        <w:t xml:space="preserve"> (a concept that no longer even applies to generation service in Ohio)</w:t>
      </w:r>
      <w:r w:rsidRPr="009D3899">
        <w:rPr>
          <w:sz w:val="25"/>
          <w:szCs w:val="25"/>
        </w:rPr>
        <w:t xml:space="preserve">, nor can they be deemed unconstitutionally confiscatory because they are the product of a voluntary agreement by Duke and the result of </w:t>
      </w:r>
      <w:r w:rsidRPr="009D3899">
        <w:rPr>
          <w:sz w:val="25"/>
          <w:szCs w:val="25"/>
        </w:rPr>
        <w:lastRenderedPageBreak/>
        <w:t>a fully competitive market.  Having agreed to a comp</w:t>
      </w:r>
      <w:r w:rsidR="00134A8A">
        <w:rPr>
          <w:sz w:val="25"/>
          <w:szCs w:val="25"/>
        </w:rPr>
        <w:t>r</w:t>
      </w:r>
      <w:r w:rsidRPr="009D3899">
        <w:rPr>
          <w:sz w:val="25"/>
          <w:szCs w:val="25"/>
        </w:rPr>
        <w:t>e</w:t>
      </w:r>
      <w:r w:rsidR="00134A8A">
        <w:rPr>
          <w:sz w:val="25"/>
          <w:szCs w:val="25"/>
        </w:rPr>
        <w:t>hens</w:t>
      </w:r>
      <w:r w:rsidRPr="009D3899">
        <w:rPr>
          <w:sz w:val="25"/>
          <w:szCs w:val="25"/>
        </w:rPr>
        <w:t xml:space="preserve">ive </w:t>
      </w:r>
      <w:r w:rsidR="00134A8A">
        <w:rPr>
          <w:sz w:val="25"/>
          <w:szCs w:val="25"/>
        </w:rPr>
        <w:t>ESP Stipulation governing capacity compensation</w:t>
      </w:r>
      <w:r w:rsidRPr="009D3899">
        <w:rPr>
          <w:sz w:val="25"/>
          <w:szCs w:val="25"/>
        </w:rPr>
        <w:t>, knowing exactly what rates it would be allowed to charge, Duke cannot complain that any</w:t>
      </w:r>
      <w:r w:rsidR="00681706">
        <w:rPr>
          <w:sz w:val="25"/>
          <w:szCs w:val="25"/>
        </w:rPr>
        <w:t xml:space="preserve"> rates</w:t>
      </w:r>
      <w:r w:rsidRPr="009D3899">
        <w:rPr>
          <w:sz w:val="25"/>
          <w:szCs w:val="25"/>
        </w:rPr>
        <w:t xml:space="preserve"> </w:t>
      </w:r>
      <w:r w:rsidR="00681706">
        <w:rPr>
          <w:sz w:val="25"/>
          <w:szCs w:val="25"/>
        </w:rPr>
        <w:t>were</w:t>
      </w:r>
      <w:r w:rsidRPr="009D3899">
        <w:rPr>
          <w:sz w:val="25"/>
          <w:szCs w:val="25"/>
        </w:rPr>
        <w:t xml:space="preserve"> “imposed” on it.  Returns are</w:t>
      </w:r>
      <w:r w:rsidR="00681706">
        <w:rPr>
          <w:sz w:val="25"/>
          <w:szCs w:val="25"/>
        </w:rPr>
        <w:t xml:space="preserve"> </w:t>
      </w:r>
      <w:r w:rsidRPr="009D3899">
        <w:rPr>
          <w:sz w:val="25"/>
          <w:szCs w:val="25"/>
        </w:rPr>
        <w:t>n</w:t>
      </w:r>
      <w:r w:rsidR="00681706">
        <w:rPr>
          <w:sz w:val="25"/>
          <w:szCs w:val="25"/>
        </w:rPr>
        <w:t>o</w:t>
      </w:r>
      <w:r w:rsidRPr="009D3899">
        <w:rPr>
          <w:sz w:val="25"/>
          <w:szCs w:val="25"/>
        </w:rPr>
        <w:t xml:space="preserve">t guaranteed in competitive markets and Duke’s failure to earn the returns it would like is no basis for </w:t>
      </w:r>
      <w:r w:rsidR="00936CB8">
        <w:rPr>
          <w:sz w:val="25"/>
          <w:szCs w:val="25"/>
        </w:rPr>
        <w:t>granting Duke additional capacity compensation</w:t>
      </w:r>
      <w:r w:rsidRPr="009D3899">
        <w:rPr>
          <w:sz w:val="25"/>
          <w:szCs w:val="25"/>
        </w:rPr>
        <w:t xml:space="preserve">.  </w:t>
      </w:r>
    </w:p>
    <w:p w:rsidR="00DC1612" w:rsidRPr="00134A8A" w:rsidRDefault="00936CB8" w:rsidP="00C64FBC">
      <w:pPr>
        <w:pStyle w:val="Heading1"/>
        <w:widowControl/>
      </w:pPr>
      <w:bookmarkStart w:id="2" w:name="_Toc362611551"/>
      <w:r>
        <w:t>II.</w:t>
      </w:r>
      <w:r>
        <w:tab/>
      </w:r>
      <w:r w:rsidRPr="00134A8A">
        <w:t>JURISDICTION AND APPLICABLE LAW</w:t>
      </w:r>
      <w:bookmarkEnd w:id="2"/>
      <w:r w:rsidRPr="00134A8A">
        <w:t xml:space="preserve"> </w:t>
      </w:r>
    </w:p>
    <w:p w:rsidR="00936CB8" w:rsidRDefault="00DC1612"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A</w:t>
      </w:r>
      <w:r w:rsidR="00134A8A">
        <w:rPr>
          <w:sz w:val="25"/>
          <w:szCs w:val="25"/>
        </w:rPr>
        <w:t>s a</w:t>
      </w:r>
      <w:r w:rsidRPr="009D3899">
        <w:rPr>
          <w:sz w:val="25"/>
          <w:szCs w:val="25"/>
        </w:rPr>
        <w:t>n FRR entity, Duke</w:t>
      </w:r>
      <w:r w:rsidR="00134A8A">
        <w:rPr>
          <w:sz w:val="25"/>
          <w:szCs w:val="25"/>
        </w:rPr>
        <w:t xml:space="preserve"> </w:t>
      </w:r>
      <w:r w:rsidRPr="009D3899">
        <w:rPr>
          <w:sz w:val="25"/>
          <w:szCs w:val="25"/>
        </w:rPr>
        <w:t>provides wholesale FRR capacity service pursuant to PJM's tariffs and, specifical</w:t>
      </w:r>
      <w:r w:rsidR="00EC7E87" w:rsidRPr="009D3899">
        <w:rPr>
          <w:sz w:val="25"/>
          <w:szCs w:val="25"/>
        </w:rPr>
        <w:t xml:space="preserve">ly, Schedule 8.1 of PJM's RAA.  </w:t>
      </w:r>
      <w:r w:rsidR="001D18BA">
        <w:rPr>
          <w:sz w:val="25"/>
          <w:szCs w:val="25"/>
        </w:rPr>
        <w:t xml:space="preserve">This is a federal tariff filed with </w:t>
      </w:r>
      <w:r w:rsidR="00134A8A">
        <w:rPr>
          <w:sz w:val="25"/>
          <w:szCs w:val="25"/>
        </w:rPr>
        <w:t xml:space="preserve">and approved by </w:t>
      </w:r>
      <w:r w:rsidR="001D18BA">
        <w:rPr>
          <w:sz w:val="25"/>
          <w:szCs w:val="25"/>
        </w:rPr>
        <w:t>the FERC</w:t>
      </w:r>
      <w:r w:rsidR="00134A8A">
        <w:rPr>
          <w:sz w:val="25"/>
          <w:szCs w:val="25"/>
        </w:rPr>
        <w:t xml:space="preserve">.  </w:t>
      </w:r>
      <w:r w:rsidR="001D18BA">
        <w:rPr>
          <w:sz w:val="25"/>
          <w:szCs w:val="25"/>
        </w:rPr>
        <w:t xml:space="preserve">Duke’s wholesale capacity rates are governed by federal law.  </w:t>
      </w:r>
      <w:r w:rsidR="00134A8A">
        <w:rPr>
          <w:sz w:val="25"/>
          <w:szCs w:val="25"/>
        </w:rPr>
        <w:t xml:space="preserve">A state’s potential role in setting capacity charges is collateral, quite narrow and inapplicable in this case.  </w:t>
      </w:r>
      <w:r w:rsidR="001D18BA">
        <w:rPr>
          <w:sz w:val="25"/>
          <w:szCs w:val="25"/>
        </w:rPr>
        <w:t xml:space="preserve">The RAA provides three possible pricing mechanisms for capacity service – the default competitive market pricing determined by the RPM; a FERC-determined rate; or, under certain limited circumstances, rates based on a state compensation mechanism.  </w:t>
      </w:r>
      <w:r w:rsidRPr="009D3899">
        <w:rPr>
          <w:sz w:val="25"/>
          <w:szCs w:val="25"/>
        </w:rPr>
        <w:t xml:space="preserve">Duke </w:t>
      </w:r>
      <w:r w:rsidR="001D18BA">
        <w:rPr>
          <w:sz w:val="25"/>
          <w:szCs w:val="25"/>
        </w:rPr>
        <w:t>gave up the right to seek a FERC-determined rate, leaving the alternative</w:t>
      </w:r>
      <w:r w:rsidR="00134A8A">
        <w:rPr>
          <w:sz w:val="25"/>
          <w:szCs w:val="25"/>
        </w:rPr>
        <w:t>s</w:t>
      </w:r>
      <w:r w:rsidR="001D18BA">
        <w:rPr>
          <w:sz w:val="25"/>
          <w:szCs w:val="25"/>
        </w:rPr>
        <w:t xml:space="preserve"> of PJM competitive pricing (</w:t>
      </w:r>
      <w:r w:rsidR="00134A8A">
        <w:rPr>
          <w:sz w:val="25"/>
          <w:szCs w:val="25"/>
        </w:rPr>
        <w:t xml:space="preserve">which it </w:t>
      </w:r>
      <w:r w:rsidR="001D18BA">
        <w:rPr>
          <w:sz w:val="25"/>
          <w:szCs w:val="25"/>
        </w:rPr>
        <w:t xml:space="preserve">agreed </w:t>
      </w:r>
      <w:r w:rsidR="00134A8A">
        <w:rPr>
          <w:sz w:val="25"/>
          <w:szCs w:val="25"/>
        </w:rPr>
        <w:t xml:space="preserve">to </w:t>
      </w:r>
      <w:r w:rsidR="001D18BA">
        <w:rPr>
          <w:sz w:val="25"/>
          <w:szCs w:val="25"/>
        </w:rPr>
        <w:t>in the ESP Stipulation) or a state compensation mechanism</w:t>
      </w:r>
      <w:r w:rsidR="00134A8A">
        <w:rPr>
          <w:sz w:val="25"/>
          <w:szCs w:val="25"/>
        </w:rPr>
        <w:t>, if applicable</w:t>
      </w:r>
      <w:r w:rsidR="001D18BA">
        <w:rPr>
          <w:sz w:val="25"/>
          <w:szCs w:val="25"/>
        </w:rPr>
        <w:t xml:space="preserve">.  </w:t>
      </w:r>
    </w:p>
    <w:p w:rsidR="00DC1612" w:rsidRPr="009D3899" w:rsidRDefault="00134A8A" w:rsidP="00C64FBC">
      <w:pPr>
        <w:widowControl/>
        <w:kinsoku w:val="0"/>
        <w:overflowPunct w:val="0"/>
        <w:autoSpaceDE/>
        <w:autoSpaceDN/>
        <w:adjustRightInd/>
        <w:spacing w:line="480" w:lineRule="auto"/>
        <w:ind w:firstLine="720"/>
        <w:textAlignment w:val="baseline"/>
        <w:rPr>
          <w:sz w:val="25"/>
          <w:szCs w:val="25"/>
        </w:rPr>
      </w:pPr>
      <w:r>
        <w:rPr>
          <w:sz w:val="25"/>
          <w:szCs w:val="25"/>
        </w:rPr>
        <w:t>T</w:t>
      </w:r>
      <w:r w:rsidR="001D18BA">
        <w:rPr>
          <w:sz w:val="25"/>
          <w:szCs w:val="25"/>
        </w:rPr>
        <w:t xml:space="preserve">he RAA </w:t>
      </w:r>
      <w:r>
        <w:rPr>
          <w:sz w:val="25"/>
          <w:szCs w:val="25"/>
        </w:rPr>
        <w:t xml:space="preserve">only incorporates </w:t>
      </w:r>
      <w:r w:rsidR="001D18BA">
        <w:rPr>
          <w:sz w:val="25"/>
          <w:szCs w:val="25"/>
        </w:rPr>
        <w:t>a state compensation mechanism</w:t>
      </w:r>
      <w:r w:rsidR="00936CB8">
        <w:rPr>
          <w:sz w:val="25"/>
          <w:szCs w:val="25"/>
        </w:rPr>
        <w:t>, if one exists,</w:t>
      </w:r>
      <w:r>
        <w:rPr>
          <w:sz w:val="25"/>
          <w:szCs w:val="25"/>
        </w:rPr>
        <w:t xml:space="preserve"> under limited circumstances</w:t>
      </w:r>
      <w:r w:rsidR="001D18BA">
        <w:rPr>
          <w:sz w:val="25"/>
          <w:szCs w:val="25"/>
        </w:rPr>
        <w:t xml:space="preserve"> </w:t>
      </w:r>
      <w:r>
        <w:rPr>
          <w:sz w:val="25"/>
          <w:szCs w:val="25"/>
        </w:rPr>
        <w:t>not applicable here</w:t>
      </w:r>
      <w:r w:rsidR="001D18BA">
        <w:rPr>
          <w:sz w:val="25"/>
          <w:szCs w:val="25"/>
        </w:rPr>
        <w:t xml:space="preserve">.  </w:t>
      </w:r>
      <w:r>
        <w:rPr>
          <w:sz w:val="25"/>
          <w:szCs w:val="25"/>
        </w:rPr>
        <w:t xml:space="preserve">The RAA is not a source of </w:t>
      </w:r>
      <w:r w:rsidR="001D18BA">
        <w:rPr>
          <w:sz w:val="25"/>
          <w:szCs w:val="25"/>
        </w:rPr>
        <w:t xml:space="preserve">jurisdiction </w:t>
      </w:r>
      <w:r>
        <w:rPr>
          <w:sz w:val="25"/>
          <w:szCs w:val="25"/>
        </w:rPr>
        <w:t>f</w:t>
      </w:r>
      <w:r w:rsidR="001D18BA">
        <w:rPr>
          <w:sz w:val="25"/>
          <w:szCs w:val="25"/>
        </w:rPr>
        <w:t>o</w:t>
      </w:r>
      <w:r>
        <w:rPr>
          <w:sz w:val="25"/>
          <w:szCs w:val="25"/>
        </w:rPr>
        <w:t>r</w:t>
      </w:r>
      <w:r w:rsidR="001D18BA">
        <w:rPr>
          <w:sz w:val="25"/>
          <w:szCs w:val="25"/>
        </w:rPr>
        <w:t xml:space="preserve"> th</w:t>
      </w:r>
      <w:r>
        <w:rPr>
          <w:sz w:val="25"/>
          <w:szCs w:val="25"/>
        </w:rPr>
        <w:t>is</w:t>
      </w:r>
      <w:r w:rsidR="001D18BA">
        <w:rPr>
          <w:sz w:val="25"/>
          <w:szCs w:val="25"/>
        </w:rPr>
        <w:t xml:space="preserve"> Commission to create a state compensation mechanism </w:t>
      </w:r>
      <w:r>
        <w:rPr>
          <w:sz w:val="25"/>
          <w:szCs w:val="25"/>
        </w:rPr>
        <w:t xml:space="preserve">where one does not already exist.  As a creature of statute, </w:t>
      </w:r>
      <w:r w:rsidR="001D18BA">
        <w:rPr>
          <w:sz w:val="25"/>
          <w:szCs w:val="25"/>
        </w:rPr>
        <w:t xml:space="preserve">the Commission </w:t>
      </w:r>
      <w:r>
        <w:rPr>
          <w:sz w:val="25"/>
          <w:szCs w:val="25"/>
        </w:rPr>
        <w:t xml:space="preserve">can only act to the extent there is a </w:t>
      </w:r>
      <w:r w:rsidR="001D18BA">
        <w:rPr>
          <w:sz w:val="25"/>
          <w:szCs w:val="25"/>
        </w:rPr>
        <w:t xml:space="preserve">state law </w:t>
      </w:r>
      <w:r>
        <w:rPr>
          <w:sz w:val="25"/>
          <w:szCs w:val="25"/>
        </w:rPr>
        <w:t xml:space="preserve">source of </w:t>
      </w:r>
      <w:r w:rsidR="001D18BA">
        <w:rPr>
          <w:sz w:val="25"/>
          <w:szCs w:val="25"/>
        </w:rPr>
        <w:t xml:space="preserve">authority to do so.  As several parties have clearly demonstrated in their initial briefs, particularly IEU-Ohio and the OCC, there is no independent state law basis for the Commission to do what Duke requests.  </w:t>
      </w:r>
      <w:r>
        <w:rPr>
          <w:sz w:val="25"/>
          <w:szCs w:val="25"/>
        </w:rPr>
        <w:t xml:space="preserve">Generation is now completely unregulated in Ohio </w:t>
      </w:r>
      <w:r>
        <w:rPr>
          <w:sz w:val="25"/>
          <w:szCs w:val="25"/>
        </w:rPr>
        <w:lastRenderedPageBreak/>
        <w:t xml:space="preserve">and, except to the extent the Commission has authority under Chapter 4928 to set the terms of </w:t>
      </w:r>
      <w:proofErr w:type="gramStart"/>
      <w:r>
        <w:rPr>
          <w:sz w:val="25"/>
          <w:szCs w:val="25"/>
        </w:rPr>
        <w:t>an</w:t>
      </w:r>
      <w:proofErr w:type="gramEnd"/>
      <w:r>
        <w:rPr>
          <w:sz w:val="25"/>
          <w:szCs w:val="25"/>
        </w:rPr>
        <w:t xml:space="preserve"> standard service offer (“SSO”), the Commission may not regulate generation rates.  </w:t>
      </w:r>
    </w:p>
    <w:p w:rsidR="00DC1612" w:rsidRPr="009D3899" w:rsidRDefault="00DC1612"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 xml:space="preserve">The prerequisite </w:t>
      </w:r>
      <w:r w:rsidR="00936CB8">
        <w:rPr>
          <w:sz w:val="25"/>
          <w:szCs w:val="25"/>
        </w:rPr>
        <w:t xml:space="preserve">in the RAA for </w:t>
      </w:r>
      <w:r w:rsidRPr="009D3899">
        <w:rPr>
          <w:sz w:val="25"/>
          <w:szCs w:val="25"/>
        </w:rPr>
        <w:t xml:space="preserve">a state compensation mechanism </w:t>
      </w:r>
      <w:r w:rsidR="00936CB8">
        <w:rPr>
          <w:sz w:val="25"/>
          <w:szCs w:val="25"/>
        </w:rPr>
        <w:t xml:space="preserve">to apply </w:t>
      </w:r>
      <w:r w:rsidR="00505D4A">
        <w:rPr>
          <w:sz w:val="25"/>
          <w:szCs w:val="25"/>
        </w:rPr>
        <w:t>is as follows</w:t>
      </w:r>
      <w:r w:rsidRPr="009D3899">
        <w:rPr>
          <w:sz w:val="25"/>
          <w:szCs w:val="25"/>
        </w:rPr>
        <w:t xml:space="preserve">:  </w:t>
      </w:r>
    </w:p>
    <w:p w:rsidR="00DC1612" w:rsidRDefault="00DC1612" w:rsidP="00C64FBC">
      <w:pPr>
        <w:widowControl/>
        <w:kinsoku w:val="0"/>
        <w:overflowPunct w:val="0"/>
        <w:autoSpaceDE/>
        <w:autoSpaceDN/>
        <w:adjustRightInd/>
        <w:ind w:left="720"/>
        <w:textAlignment w:val="baseline"/>
        <w:rPr>
          <w:bCs/>
          <w:sz w:val="25"/>
          <w:szCs w:val="25"/>
        </w:rPr>
      </w:pPr>
      <w:r w:rsidRPr="009D3899">
        <w:rPr>
          <w:sz w:val="25"/>
          <w:szCs w:val="25"/>
        </w:rPr>
        <w:t xml:space="preserve">In the case of load reflected in the FRR Capacity Plan that switches to an alternative retail LSE, </w:t>
      </w:r>
      <w:r w:rsidRPr="00936CB8">
        <w:rPr>
          <w:b/>
          <w:sz w:val="25"/>
          <w:szCs w:val="25"/>
        </w:rPr>
        <w:t>where</w:t>
      </w:r>
      <w:r w:rsidRPr="009D3899">
        <w:rPr>
          <w:sz w:val="25"/>
          <w:szCs w:val="25"/>
        </w:rPr>
        <w:t xml:space="preserve"> </w:t>
      </w:r>
      <w:r w:rsidRPr="009D3899">
        <w:rPr>
          <w:b/>
          <w:sz w:val="25"/>
          <w:szCs w:val="25"/>
        </w:rPr>
        <w:t>the state regulatory jurisdiction requires switching customers or the LSE to compensate the FRR Entity for its FRR capacity obligations</w:t>
      </w:r>
      <w:r w:rsidRPr="009D3899">
        <w:rPr>
          <w:sz w:val="25"/>
          <w:szCs w:val="25"/>
        </w:rPr>
        <w:t xml:space="preserve">, </w:t>
      </w:r>
      <w:r w:rsidRPr="009D3899">
        <w:rPr>
          <w:bCs/>
          <w:sz w:val="25"/>
          <w:szCs w:val="25"/>
        </w:rPr>
        <w:t>such state compensation mechanism will prevail.</w:t>
      </w:r>
      <w:r w:rsidR="00EC7E87" w:rsidRPr="009D3899">
        <w:rPr>
          <w:rStyle w:val="FootnoteReference"/>
          <w:bCs/>
          <w:sz w:val="25"/>
          <w:szCs w:val="25"/>
        </w:rPr>
        <w:footnoteReference w:id="1"/>
      </w:r>
    </w:p>
    <w:p w:rsidR="00B777BE" w:rsidRPr="009D3899" w:rsidRDefault="00B777BE" w:rsidP="00C64FBC">
      <w:pPr>
        <w:widowControl/>
        <w:kinsoku w:val="0"/>
        <w:overflowPunct w:val="0"/>
        <w:autoSpaceDE/>
        <w:autoSpaceDN/>
        <w:adjustRightInd/>
        <w:ind w:left="720"/>
        <w:textAlignment w:val="baseline"/>
        <w:rPr>
          <w:bCs/>
          <w:sz w:val="25"/>
          <w:szCs w:val="25"/>
        </w:rPr>
      </w:pPr>
    </w:p>
    <w:p w:rsidR="000750DD" w:rsidRDefault="00936CB8" w:rsidP="00C64FBC">
      <w:pPr>
        <w:widowControl/>
        <w:kinsoku w:val="0"/>
        <w:overflowPunct w:val="0"/>
        <w:autoSpaceDE/>
        <w:autoSpaceDN/>
        <w:adjustRightInd/>
        <w:spacing w:line="480" w:lineRule="auto"/>
        <w:textAlignment w:val="baseline"/>
        <w:rPr>
          <w:sz w:val="25"/>
          <w:szCs w:val="25"/>
        </w:rPr>
      </w:pPr>
      <w:r>
        <w:rPr>
          <w:sz w:val="25"/>
          <w:szCs w:val="25"/>
        </w:rPr>
        <w:t xml:space="preserve">It is crucial to note that this provision is limited to switched load.  It has no application </w:t>
      </w:r>
      <w:r w:rsidR="000750DD">
        <w:rPr>
          <w:sz w:val="25"/>
          <w:szCs w:val="25"/>
        </w:rPr>
        <w:t xml:space="preserve">to Duke’s non-switching customers.  </w:t>
      </w:r>
      <w:r w:rsidR="00134A8A">
        <w:rPr>
          <w:sz w:val="25"/>
          <w:szCs w:val="25"/>
        </w:rPr>
        <w:t xml:space="preserve">Except to the extent it </w:t>
      </w:r>
      <w:r w:rsidR="000750DD">
        <w:rPr>
          <w:sz w:val="25"/>
          <w:szCs w:val="25"/>
        </w:rPr>
        <w:t xml:space="preserve">may be </w:t>
      </w:r>
      <w:r w:rsidR="00134A8A">
        <w:rPr>
          <w:sz w:val="25"/>
          <w:szCs w:val="25"/>
        </w:rPr>
        <w:t>implied from the approval of the ESP Stipulation, t</w:t>
      </w:r>
      <w:r w:rsidR="00DC1612" w:rsidRPr="009D3899">
        <w:rPr>
          <w:sz w:val="25"/>
          <w:szCs w:val="25"/>
        </w:rPr>
        <w:t xml:space="preserve">he Commission </w:t>
      </w:r>
      <w:r w:rsidR="00B777BE">
        <w:rPr>
          <w:sz w:val="25"/>
          <w:szCs w:val="25"/>
        </w:rPr>
        <w:t xml:space="preserve">has </w:t>
      </w:r>
      <w:r w:rsidR="00134A8A">
        <w:rPr>
          <w:sz w:val="25"/>
          <w:szCs w:val="25"/>
        </w:rPr>
        <w:t xml:space="preserve">never </w:t>
      </w:r>
      <w:r w:rsidR="00DC1612" w:rsidRPr="009D3899">
        <w:rPr>
          <w:sz w:val="25"/>
          <w:szCs w:val="25"/>
        </w:rPr>
        <w:t xml:space="preserve">required switching customers or CRES providers to </w:t>
      </w:r>
      <w:r w:rsidR="00B777BE">
        <w:rPr>
          <w:sz w:val="25"/>
          <w:szCs w:val="25"/>
        </w:rPr>
        <w:t xml:space="preserve">purchase capacity from Duke or to </w:t>
      </w:r>
      <w:r w:rsidR="00DC1612" w:rsidRPr="009D3899">
        <w:rPr>
          <w:sz w:val="25"/>
          <w:szCs w:val="25"/>
        </w:rPr>
        <w:t xml:space="preserve">compensate Duke for its capacity obligations.  As demonstrated in </w:t>
      </w:r>
      <w:r w:rsidR="00505D4A">
        <w:rPr>
          <w:sz w:val="25"/>
          <w:szCs w:val="25"/>
        </w:rPr>
        <w:t xml:space="preserve">the GCHC/CBI </w:t>
      </w:r>
      <w:r w:rsidR="00DC1612" w:rsidRPr="009D3899">
        <w:rPr>
          <w:sz w:val="25"/>
          <w:szCs w:val="25"/>
        </w:rPr>
        <w:t xml:space="preserve">Initial Brief </w:t>
      </w:r>
      <w:r w:rsidR="00B777BE">
        <w:rPr>
          <w:sz w:val="25"/>
          <w:szCs w:val="25"/>
        </w:rPr>
        <w:t xml:space="preserve">and </w:t>
      </w:r>
      <w:r w:rsidR="000750DD">
        <w:rPr>
          <w:sz w:val="25"/>
          <w:szCs w:val="25"/>
        </w:rPr>
        <w:t xml:space="preserve">admitted </w:t>
      </w:r>
      <w:r w:rsidR="00B777BE">
        <w:rPr>
          <w:sz w:val="25"/>
          <w:szCs w:val="25"/>
        </w:rPr>
        <w:t xml:space="preserve">by </w:t>
      </w:r>
      <w:r w:rsidR="00DC1612" w:rsidRPr="009D3899">
        <w:rPr>
          <w:sz w:val="25"/>
          <w:szCs w:val="25"/>
        </w:rPr>
        <w:t xml:space="preserve">Duke’s own witnesses, Duke’s right to </w:t>
      </w:r>
      <w:r w:rsidR="00B777BE">
        <w:rPr>
          <w:sz w:val="25"/>
          <w:szCs w:val="25"/>
        </w:rPr>
        <w:t xml:space="preserve">charge </w:t>
      </w:r>
      <w:r w:rsidR="00DC1612" w:rsidRPr="009D3899">
        <w:rPr>
          <w:sz w:val="25"/>
          <w:szCs w:val="25"/>
        </w:rPr>
        <w:t xml:space="preserve">switching customers and CRES providers </w:t>
      </w:r>
      <w:r w:rsidR="00B777BE">
        <w:rPr>
          <w:sz w:val="25"/>
          <w:szCs w:val="25"/>
        </w:rPr>
        <w:t xml:space="preserve">for capacity </w:t>
      </w:r>
      <w:r w:rsidR="00DC1612" w:rsidRPr="009D3899">
        <w:rPr>
          <w:sz w:val="25"/>
          <w:szCs w:val="25"/>
        </w:rPr>
        <w:t xml:space="preserve">is solely </w:t>
      </w:r>
      <w:r w:rsidR="00B777BE">
        <w:rPr>
          <w:sz w:val="25"/>
          <w:szCs w:val="25"/>
        </w:rPr>
        <w:t xml:space="preserve">a </w:t>
      </w:r>
      <w:r w:rsidR="00DC1612" w:rsidRPr="009D3899">
        <w:rPr>
          <w:sz w:val="25"/>
          <w:szCs w:val="25"/>
        </w:rPr>
        <w:t xml:space="preserve">product of PJM market rules.  In order to participate in the PJM market, </w:t>
      </w:r>
      <w:r w:rsidR="00505D4A">
        <w:rPr>
          <w:sz w:val="25"/>
          <w:szCs w:val="25"/>
        </w:rPr>
        <w:t xml:space="preserve">load serving entities </w:t>
      </w:r>
      <w:r w:rsidR="00DC1612" w:rsidRPr="009D3899">
        <w:rPr>
          <w:sz w:val="25"/>
          <w:szCs w:val="25"/>
        </w:rPr>
        <w:t>must purchase capacity from PJM (</w:t>
      </w:r>
      <w:r w:rsidR="00134A8A">
        <w:rPr>
          <w:sz w:val="25"/>
          <w:szCs w:val="25"/>
        </w:rPr>
        <w:t xml:space="preserve">acquired </w:t>
      </w:r>
      <w:r w:rsidR="00DC1612" w:rsidRPr="009D3899">
        <w:rPr>
          <w:sz w:val="25"/>
          <w:szCs w:val="25"/>
        </w:rPr>
        <w:t xml:space="preserve">either </w:t>
      </w:r>
      <w:r w:rsidR="00134A8A">
        <w:rPr>
          <w:sz w:val="25"/>
          <w:szCs w:val="25"/>
        </w:rPr>
        <w:t xml:space="preserve">through </w:t>
      </w:r>
      <w:r w:rsidR="00DC1612" w:rsidRPr="009D3899">
        <w:rPr>
          <w:sz w:val="25"/>
          <w:szCs w:val="25"/>
        </w:rPr>
        <w:t xml:space="preserve">the PJM auction process or the self-supply obligations of an FRR entity).  That </w:t>
      </w:r>
      <w:r w:rsidR="00505D4A">
        <w:rPr>
          <w:sz w:val="25"/>
          <w:szCs w:val="25"/>
        </w:rPr>
        <w:t xml:space="preserve">would be true </w:t>
      </w:r>
      <w:r w:rsidR="00B777BE">
        <w:rPr>
          <w:sz w:val="25"/>
          <w:szCs w:val="25"/>
        </w:rPr>
        <w:t>without any action by this</w:t>
      </w:r>
      <w:r w:rsidR="00DC1612" w:rsidRPr="009D3899">
        <w:rPr>
          <w:sz w:val="25"/>
          <w:szCs w:val="25"/>
        </w:rPr>
        <w:t xml:space="preserve"> Commission</w:t>
      </w:r>
      <w:r w:rsidR="00505D4A">
        <w:rPr>
          <w:sz w:val="25"/>
          <w:szCs w:val="25"/>
        </w:rPr>
        <w:t xml:space="preserve"> and without even mentioning it in the ESP Stipulation</w:t>
      </w:r>
      <w:r w:rsidR="00DC1612" w:rsidRPr="009D3899">
        <w:rPr>
          <w:sz w:val="25"/>
          <w:szCs w:val="25"/>
        </w:rPr>
        <w:t xml:space="preserve">.  The ESP Stipulation </w:t>
      </w:r>
      <w:r w:rsidR="00B777BE">
        <w:rPr>
          <w:sz w:val="25"/>
          <w:szCs w:val="25"/>
        </w:rPr>
        <w:t xml:space="preserve">merely </w:t>
      </w:r>
      <w:r w:rsidR="00505D4A">
        <w:rPr>
          <w:sz w:val="25"/>
          <w:szCs w:val="25"/>
        </w:rPr>
        <w:t>mirrored</w:t>
      </w:r>
      <w:r w:rsidR="00DC1612" w:rsidRPr="009D3899">
        <w:rPr>
          <w:sz w:val="25"/>
          <w:szCs w:val="25"/>
        </w:rPr>
        <w:t xml:space="preserve"> the</w:t>
      </w:r>
      <w:r w:rsidR="00B777BE">
        <w:rPr>
          <w:sz w:val="25"/>
          <w:szCs w:val="25"/>
        </w:rPr>
        <w:t>se</w:t>
      </w:r>
      <w:r w:rsidR="00DC1612" w:rsidRPr="009D3899">
        <w:rPr>
          <w:sz w:val="25"/>
          <w:szCs w:val="25"/>
        </w:rPr>
        <w:t xml:space="preserve"> </w:t>
      </w:r>
      <w:r w:rsidR="00505D4A">
        <w:rPr>
          <w:sz w:val="25"/>
          <w:szCs w:val="25"/>
        </w:rPr>
        <w:t xml:space="preserve">basic </w:t>
      </w:r>
      <w:r w:rsidR="00DC1612" w:rsidRPr="009D3899">
        <w:rPr>
          <w:sz w:val="25"/>
          <w:szCs w:val="25"/>
        </w:rPr>
        <w:t xml:space="preserve">PJM </w:t>
      </w:r>
      <w:r w:rsidR="00134A8A">
        <w:rPr>
          <w:sz w:val="25"/>
          <w:szCs w:val="25"/>
        </w:rPr>
        <w:t xml:space="preserve">market </w:t>
      </w:r>
      <w:r w:rsidR="00DC1612" w:rsidRPr="009D3899">
        <w:rPr>
          <w:sz w:val="25"/>
          <w:szCs w:val="25"/>
        </w:rPr>
        <w:t xml:space="preserve">principles when it described how CRES providers would compensate Duke for capacity.  Thus, </w:t>
      </w:r>
      <w:r w:rsidR="00B777BE">
        <w:rPr>
          <w:sz w:val="25"/>
          <w:szCs w:val="25"/>
        </w:rPr>
        <w:t xml:space="preserve">the </w:t>
      </w:r>
      <w:r w:rsidR="00505D4A">
        <w:rPr>
          <w:sz w:val="25"/>
          <w:szCs w:val="25"/>
        </w:rPr>
        <w:t xml:space="preserve">necessary </w:t>
      </w:r>
      <w:r w:rsidR="00B777BE">
        <w:rPr>
          <w:sz w:val="25"/>
          <w:szCs w:val="25"/>
        </w:rPr>
        <w:t xml:space="preserve">prerequisite </w:t>
      </w:r>
      <w:r w:rsidR="00505D4A">
        <w:rPr>
          <w:sz w:val="25"/>
          <w:szCs w:val="25"/>
        </w:rPr>
        <w:t>f</w:t>
      </w:r>
      <w:r w:rsidR="00B777BE">
        <w:rPr>
          <w:sz w:val="25"/>
          <w:szCs w:val="25"/>
        </w:rPr>
        <w:t>o</w:t>
      </w:r>
      <w:r w:rsidR="00505D4A">
        <w:rPr>
          <w:sz w:val="25"/>
          <w:szCs w:val="25"/>
        </w:rPr>
        <w:t>r application of</w:t>
      </w:r>
      <w:r w:rsidR="00B777BE">
        <w:rPr>
          <w:sz w:val="25"/>
          <w:szCs w:val="25"/>
        </w:rPr>
        <w:t xml:space="preserve"> a state compensation mechanism </w:t>
      </w:r>
      <w:r w:rsidR="00505D4A">
        <w:rPr>
          <w:sz w:val="25"/>
          <w:szCs w:val="25"/>
        </w:rPr>
        <w:t xml:space="preserve">under the RAA </w:t>
      </w:r>
      <w:r w:rsidR="00B777BE">
        <w:rPr>
          <w:sz w:val="25"/>
          <w:szCs w:val="25"/>
        </w:rPr>
        <w:t xml:space="preserve">is lacking because </w:t>
      </w:r>
      <w:r w:rsidR="00505D4A">
        <w:rPr>
          <w:sz w:val="25"/>
          <w:szCs w:val="25"/>
        </w:rPr>
        <w:t>the Commission has never</w:t>
      </w:r>
      <w:r w:rsidR="00DC1612" w:rsidRPr="009D3899">
        <w:rPr>
          <w:sz w:val="25"/>
          <w:szCs w:val="25"/>
        </w:rPr>
        <w:t xml:space="preserve"> required switching customers </w:t>
      </w:r>
      <w:r w:rsidR="00B777BE">
        <w:rPr>
          <w:sz w:val="25"/>
          <w:szCs w:val="25"/>
        </w:rPr>
        <w:t xml:space="preserve">or CRES providers </w:t>
      </w:r>
      <w:r w:rsidR="00DC1612" w:rsidRPr="009D3899">
        <w:rPr>
          <w:sz w:val="25"/>
          <w:szCs w:val="25"/>
        </w:rPr>
        <w:t xml:space="preserve">to compensate Duke for </w:t>
      </w:r>
      <w:r w:rsidR="00B777BE">
        <w:rPr>
          <w:sz w:val="25"/>
          <w:szCs w:val="25"/>
        </w:rPr>
        <w:t xml:space="preserve">its </w:t>
      </w:r>
      <w:r w:rsidR="00DC1612" w:rsidRPr="009D3899">
        <w:rPr>
          <w:sz w:val="25"/>
          <w:szCs w:val="25"/>
        </w:rPr>
        <w:t xml:space="preserve">capacity.  </w:t>
      </w:r>
    </w:p>
    <w:p w:rsidR="00DC1612" w:rsidRPr="009D3899" w:rsidRDefault="00DC1612"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lastRenderedPageBreak/>
        <w:t xml:space="preserve">Alternatively, if one views the Commission’s approval of the ESP Stipulation as </w:t>
      </w:r>
      <w:r w:rsidR="00505D4A">
        <w:rPr>
          <w:sz w:val="25"/>
          <w:szCs w:val="25"/>
        </w:rPr>
        <w:t>independently imposi</w:t>
      </w:r>
      <w:r w:rsidR="00B777BE">
        <w:rPr>
          <w:sz w:val="25"/>
          <w:szCs w:val="25"/>
        </w:rPr>
        <w:t>n</w:t>
      </w:r>
      <w:r w:rsidR="00505D4A">
        <w:rPr>
          <w:sz w:val="25"/>
          <w:szCs w:val="25"/>
        </w:rPr>
        <w:t>g</w:t>
      </w:r>
      <w:r w:rsidR="00B777BE">
        <w:rPr>
          <w:sz w:val="25"/>
          <w:szCs w:val="25"/>
        </w:rPr>
        <w:t xml:space="preserve"> </w:t>
      </w:r>
      <w:r w:rsidRPr="009D3899">
        <w:rPr>
          <w:sz w:val="25"/>
          <w:szCs w:val="25"/>
        </w:rPr>
        <w:t>capacity obligations on shopping customers</w:t>
      </w:r>
      <w:r w:rsidR="00B777BE">
        <w:rPr>
          <w:sz w:val="25"/>
          <w:szCs w:val="25"/>
        </w:rPr>
        <w:t xml:space="preserve"> and CRES providers</w:t>
      </w:r>
      <w:r w:rsidRPr="009D3899">
        <w:rPr>
          <w:sz w:val="25"/>
          <w:szCs w:val="25"/>
        </w:rPr>
        <w:t xml:space="preserve">, then the ESP Stipulation </w:t>
      </w:r>
      <w:r w:rsidR="00134A8A" w:rsidRPr="00134A8A">
        <w:rPr>
          <w:i/>
          <w:sz w:val="25"/>
          <w:szCs w:val="25"/>
        </w:rPr>
        <w:t>itself</w:t>
      </w:r>
      <w:r w:rsidR="00134A8A">
        <w:rPr>
          <w:sz w:val="25"/>
          <w:szCs w:val="25"/>
        </w:rPr>
        <w:t xml:space="preserve"> is </w:t>
      </w:r>
      <w:r w:rsidR="000750DD">
        <w:rPr>
          <w:sz w:val="25"/>
          <w:szCs w:val="25"/>
        </w:rPr>
        <w:t xml:space="preserve">also </w:t>
      </w:r>
      <w:r w:rsidRPr="009D3899">
        <w:rPr>
          <w:sz w:val="25"/>
          <w:szCs w:val="25"/>
        </w:rPr>
        <w:t xml:space="preserve">the state compensation mechanism for </w:t>
      </w:r>
      <w:r w:rsidR="00505D4A">
        <w:rPr>
          <w:sz w:val="25"/>
          <w:szCs w:val="25"/>
        </w:rPr>
        <w:t>Duke</w:t>
      </w:r>
      <w:r w:rsidRPr="009D3899">
        <w:rPr>
          <w:sz w:val="25"/>
          <w:szCs w:val="25"/>
        </w:rPr>
        <w:t xml:space="preserve">.  The ESP Stipulation expressly discusses what every </w:t>
      </w:r>
      <w:r w:rsidR="00505D4A">
        <w:rPr>
          <w:sz w:val="25"/>
          <w:szCs w:val="25"/>
        </w:rPr>
        <w:t xml:space="preserve">type of </w:t>
      </w:r>
      <w:r w:rsidR="00B777BE">
        <w:rPr>
          <w:sz w:val="25"/>
          <w:szCs w:val="25"/>
        </w:rPr>
        <w:t xml:space="preserve">Duke </w:t>
      </w:r>
      <w:proofErr w:type="gramStart"/>
      <w:r w:rsidRPr="009D3899">
        <w:rPr>
          <w:sz w:val="25"/>
          <w:szCs w:val="25"/>
        </w:rPr>
        <w:t>customer</w:t>
      </w:r>
      <w:proofErr w:type="gramEnd"/>
      <w:r w:rsidR="00B777BE">
        <w:rPr>
          <w:sz w:val="25"/>
          <w:szCs w:val="25"/>
        </w:rPr>
        <w:t>, wholesale and retail,</w:t>
      </w:r>
      <w:r w:rsidRPr="009D3899">
        <w:rPr>
          <w:sz w:val="25"/>
          <w:szCs w:val="25"/>
        </w:rPr>
        <w:t xml:space="preserve"> would pay for capacity.  Duke has no right to </w:t>
      </w:r>
      <w:r w:rsidR="00B777BE">
        <w:rPr>
          <w:sz w:val="25"/>
          <w:szCs w:val="25"/>
        </w:rPr>
        <w:t xml:space="preserve">request </w:t>
      </w:r>
      <w:r w:rsidRPr="009D3899">
        <w:rPr>
          <w:sz w:val="25"/>
          <w:szCs w:val="25"/>
        </w:rPr>
        <w:t xml:space="preserve">this Commission </w:t>
      </w:r>
      <w:r w:rsidR="00B777BE">
        <w:rPr>
          <w:sz w:val="25"/>
          <w:szCs w:val="25"/>
        </w:rPr>
        <w:t xml:space="preserve">to </w:t>
      </w:r>
      <w:r w:rsidRPr="009D3899">
        <w:rPr>
          <w:sz w:val="25"/>
          <w:szCs w:val="25"/>
        </w:rPr>
        <w:t xml:space="preserve">establish </w:t>
      </w:r>
      <w:r w:rsidR="008763CA">
        <w:rPr>
          <w:sz w:val="25"/>
          <w:szCs w:val="25"/>
        </w:rPr>
        <w:t xml:space="preserve">a </w:t>
      </w:r>
      <w:r w:rsidR="00134A8A">
        <w:rPr>
          <w:sz w:val="25"/>
          <w:szCs w:val="25"/>
        </w:rPr>
        <w:t xml:space="preserve">different </w:t>
      </w:r>
      <w:r w:rsidRPr="009D3899">
        <w:rPr>
          <w:sz w:val="25"/>
          <w:szCs w:val="25"/>
        </w:rPr>
        <w:t xml:space="preserve">compensation </w:t>
      </w:r>
      <w:r w:rsidR="00B777BE">
        <w:rPr>
          <w:sz w:val="25"/>
          <w:szCs w:val="25"/>
        </w:rPr>
        <w:t xml:space="preserve">mechanism </w:t>
      </w:r>
      <w:r w:rsidRPr="009D3899">
        <w:rPr>
          <w:sz w:val="25"/>
          <w:szCs w:val="25"/>
        </w:rPr>
        <w:t xml:space="preserve">for its capacity resources.  </w:t>
      </w:r>
    </w:p>
    <w:p w:rsidR="00DC1612" w:rsidRPr="009D3899" w:rsidRDefault="000750DD" w:rsidP="00C64FBC">
      <w:pPr>
        <w:pStyle w:val="Heading1"/>
        <w:widowControl/>
      </w:pPr>
      <w:bookmarkStart w:id="3" w:name="_Toc362611552"/>
      <w:r>
        <w:t>III</w:t>
      </w:r>
      <w:r w:rsidRPr="009D3899">
        <w:t>.</w:t>
      </w:r>
      <w:r w:rsidRPr="009D3899">
        <w:tab/>
      </w:r>
      <w:r>
        <w:t>THE A</w:t>
      </w:r>
      <w:r w:rsidRPr="00B777BE">
        <w:t>EP OHIO</w:t>
      </w:r>
      <w:r>
        <w:t xml:space="preserve"> CASE HAS NO BEARING ON THE COMPENSATION DUKE SHOULD RECEIVE </w:t>
      </w:r>
      <w:r w:rsidRPr="009D3899">
        <w:t>AS AN FRR ENTITY.</w:t>
      </w:r>
      <w:bookmarkEnd w:id="3"/>
    </w:p>
    <w:p w:rsidR="00DC1612" w:rsidRPr="009D3899" w:rsidRDefault="00134A8A"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This case would not exist but for the approval of AEP Ohio’s request to recover its embedded costs of capacity.  </w:t>
      </w:r>
      <w:r w:rsidR="00DC1612" w:rsidRPr="009D3899">
        <w:rPr>
          <w:sz w:val="25"/>
          <w:szCs w:val="25"/>
        </w:rPr>
        <w:t xml:space="preserve">Duke should </w:t>
      </w:r>
      <w:r w:rsidR="003C0827" w:rsidRPr="009D3899">
        <w:rPr>
          <w:sz w:val="25"/>
          <w:szCs w:val="25"/>
        </w:rPr>
        <w:t xml:space="preserve">not </w:t>
      </w:r>
      <w:r w:rsidR="00DC1612" w:rsidRPr="009D3899">
        <w:rPr>
          <w:sz w:val="25"/>
          <w:szCs w:val="25"/>
        </w:rPr>
        <w:t>be compensated for i</w:t>
      </w:r>
      <w:r w:rsidR="003C0827" w:rsidRPr="009D3899">
        <w:rPr>
          <w:sz w:val="25"/>
          <w:szCs w:val="25"/>
        </w:rPr>
        <w:t>t</w:t>
      </w:r>
      <w:r w:rsidR="00DC1612" w:rsidRPr="009D3899">
        <w:rPr>
          <w:sz w:val="25"/>
          <w:szCs w:val="25"/>
        </w:rPr>
        <w:t xml:space="preserve">s </w:t>
      </w:r>
      <w:r w:rsidR="003C0827" w:rsidRPr="009D3899">
        <w:rPr>
          <w:sz w:val="25"/>
          <w:szCs w:val="25"/>
        </w:rPr>
        <w:t xml:space="preserve">capacity </w:t>
      </w:r>
      <w:r w:rsidR="00DC1612" w:rsidRPr="009D3899">
        <w:rPr>
          <w:sz w:val="25"/>
          <w:szCs w:val="25"/>
        </w:rPr>
        <w:t xml:space="preserve">obligation </w:t>
      </w:r>
      <w:r w:rsidR="003C0827" w:rsidRPr="009D3899">
        <w:rPr>
          <w:sz w:val="25"/>
          <w:szCs w:val="25"/>
        </w:rPr>
        <w:t xml:space="preserve">the same as </w:t>
      </w:r>
      <w:r w:rsidR="00DC1612" w:rsidRPr="009D3899">
        <w:rPr>
          <w:sz w:val="25"/>
          <w:szCs w:val="25"/>
        </w:rPr>
        <w:t xml:space="preserve">AEP Ohio. The </w:t>
      </w:r>
      <w:r w:rsidR="003C0827" w:rsidRPr="009D3899">
        <w:rPr>
          <w:sz w:val="25"/>
          <w:szCs w:val="25"/>
        </w:rPr>
        <w:t xml:space="preserve">claimed </w:t>
      </w:r>
      <w:r w:rsidR="00DC1612" w:rsidRPr="009D3899">
        <w:rPr>
          <w:sz w:val="25"/>
          <w:szCs w:val="25"/>
        </w:rPr>
        <w:t xml:space="preserve">similarities between </w:t>
      </w:r>
      <w:r w:rsidR="003C0827" w:rsidRPr="009D3899">
        <w:rPr>
          <w:sz w:val="25"/>
          <w:szCs w:val="25"/>
        </w:rPr>
        <w:t xml:space="preserve">Duke and AEP Ohio </w:t>
      </w:r>
      <w:r w:rsidR="00DC1612" w:rsidRPr="009D3899">
        <w:rPr>
          <w:sz w:val="25"/>
          <w:szCs w:val="25"/>
        </w:rPr>
        <w:t xml:space="preserve">are </w:t>
      </w:r>
      <w:r w:rsidR="003C0827" w:rsidRPr="009D3899">
        <w:rPr>
          <w:sz w:val="25"/>
          <w:szCs w:val="25"/>
        </w:rPr>
        <w:t xml:space="preserve">irrelevant because </w:t>
      </w:r>
      <w:r w:rsidR="00505D4A">
        <w:rPr>
          <w:sz w:val="25"/>
          <w:szCs w:val="25"/>
        </w:rPr>
        <w:t xml:space="preserve">there are determinative differences between the two that preclude applying the AEP Ohio result to Duke.  </w:t>
      </w:r>
      <w:r w:rsidR="003C0827" w:rsidRPr="009D3899">
        <w:rPr>
          <w:sz w:val="25"/>
          <w:szCs w:val="25"/>
        </w:rPr>
        <w:t xml:space="preserve">Duke settled with all parties as to how it would be compensated for </w:t>
      </w:r>
      <w:r w:rsidR="00505D4A">
        <w:rPr>
          <w:sz w:val="25"/>
          <w:szCs w:val="25"/>
        </w:rPr>
        <w:t xml:space="preserve">capacity; </w:t>
      </w:r>
      <w:r w:rsidR="003C0827" w:rsidRPr="009D3899">
        <w:rPr>
          <w:sz w:val="25"/>
          <w:szCs w:val="25"/>
        </w:rPr>
        <w:t xml:space="preserve">AEP Ohio did not.  The two companies took </w:t>
      </w:r>
      <w:r w:rsidR="00505D4A">
        <w:rPr>
          <w:sz w:val="25"/>
          <w:szCs w:val="25"/>
        </w:rPr>
        <w:t xml:space="preserve">vastly </w:t>
      </w:r>
      <w:r w:rsidR="003C0827" w:rsidRPr="009D3899">
        <w:rPr>
          <w:sz w:val="25"/>
          <w:szCs w:val="25"/>
        </w:rPr>
        <w:t xml:space="preserve">divergent paths:  Duke took a sure deal by committing to </w:t>
      </w:r>
      <w:r w:rsidR="00505D4A">
        <w:rPr>
          <w:sz w:val="25"/>
          <w:szCs w:val="25"/>
        </w:rPr>
        <w:t xml:space="preserve">charge only </w:t>
      </w:r>
      <w:r w:rsidR="003C0827" w:rsidRPr="009D3899">
        <w:rPr>
          <w:sz w:val="25"/>
          <w:szCs w:val="25"/>
        </w:rPr>
        <w:t xml:space="preserve">market-based capacity prices </w:t>
      </w:r>
      <w:r w:rsidR="003C0827" w:rsidRPr="009D3899">
        <w:rPr>
          <w:b/>
          <w:i/>
          <w:sz w:val="25"/>
          <w:szCs w:val="25"/>
        </w:rPr>
        <w:t>plus</w:t>
      </w:r>
      <w:r w:rsidR="003C0827" w:rsidRPr="009D3899">
        <w:rPr>
          <w:sz w:val="25"/>
          <w:szCs w:val="25"/>
        </w:rPr>
        <w:t xml:space="preserve"> the $330 </w:t>
      </w:r>
      <w:r w:rsidR="00B777BE">
        <w:rPr>
          <w:sz w:val="25"/>
          <w:szCs w:val="25"/>
        </w:rPr>
        <w:t xml:space="preserve">million </w:t>
      </w:r>
      <w:r w:rsidR="003C0827" w:rsidRPr="009D3899">
        <w:rPr>
          <w:sz w:val="25"/>
          <w:szCs w:val="25"/>
        </w:rPr>
        <w:t xml:space="preserve">ESSC </w:t>
      </w:r>
      <w:r w:rsidR="000750DD">
        <w:rPr>
          <w:sz w:val="25"/>
          <w:szCs w:val="25"/>
        </w:rPr>
        <w:t xml:space="preserve">subsidy </w:t>
      </w:r>
      <w:r w:rsidR="003C0827" w:rsidRPr="009D3899">
        <w:rPr>
          <w:sz w:val="25"/>
          <w:szCs w:val="25"/>
        </w:rPr>
        <w:t xml:space="preserve">that </w:t>
      </w:r>
      <w:r w:rsidR="00505D4A">
        <w:rPr>
          <w:sz w:val="25"/>
          <w:szCs w:val="25"/>
        </w:rPr>
        <w:t xml:space="preserve">was </w:t>
      </w:r>
      <w:r w:rsidR="00B777BE">
        <w:rPr>
          <w:sz w:val="25"/>
          <w:szCs w:val="25"/>
        </w:rPr>
        <w:t xml:space="preserve">negotiated among the parties and </w:t>
      </w:r>
      <w:r w:rsidR="003C0827" w:rsidRPr="009D3899">
        <w:rPr>
          <w:sz w:val="25"/>
          <w:szCs w:val="25"/>
        </w:rPr>
        <w:t xml:space="preserve">was not part of its initial SSO proposal.  AEP Ohio took </w:t>
      </w:r>
      <w:r w:rsidR="00505D4A">
        <w:rPr>
          <w:sz w:val="25"/>
          <w:szCs w:val="25"/>
        </w:rPr>
        <w:t xml:space="preserve">the </w:t>
      </w:r>
      <w:r w:rsidR="003C0827" w:rsidRPr="009D3899">
        <w:rPr>
          <w:sz w:val="25"/>
          <w:szCs w:val="25"/>
        </w:rPr>
        <w:t xml:space="preserve">risk </w:t>
      </w:r>
      <w:r w:rsidR="00505D4A">
        <w:rPr>
          <w:sz w:val="25"/>
          <w:szCs w:val="25"/>
        </w:rPr>
        <w:t xml:space="preserve">of receiving only market-based prices </w:t>
      </w:r>
      <w:r w:rsidR="00505D4A">
        <w:rPr>
          <w:i/>
          <w:sz w:val="25"/>
          <w:szCs w:val="25"/>
        </w:rPr>
        <w:t xml:space="preserve">without </w:t>
      </w:r>
      <w:r w:rsidR="00505D4A">
        <w:rPr>
          <w:sz w:val="25"/>
          <w:szCs w:val="25"/>
        </w:rPr>
        <w:t>any non-</w:t>
      </w:r>
      <w:proofErr w:type="spellStart"/>
      <w:r w:rsidR="00505D4A">
        <w:rPr>
          <w:sz w:val="25"/>
          <w:szCs w:val="25"/>
        </w:rPr>
        <w:t>bypassable</w:t>
      </w:r>
      <w:proofErr w:type="spellEnd"/>
      <w:r w:rsidR="00505D4A">
        <w:rPr>
          <w:sz w:val="25"/>
          <w:szCs w:val="25"/>
        </w:rPr>
        <w:t xml:space="preserve"> subsidy </w:t>
      </w:r>
      <w:r w:rsidR="003C0827" w:rsidRPr="009D3899">
        <w:rPr>
          <w:sz w:val="25"/>
          <w:szCs w:val="25"/>
        </w:rPr>
        <w:t xml:space="preserve">and litigated with </w:t>
      </w:r>
      <w:r w:rsidR="00B777BE">
        <w:rPr>
          <w:sz w:val="25"/>
          <w:szCs w:val="25"/>
        </w:rPr>
        <w:t xml:space="preserve">the </w:t>
      </w:r>
      <w:r w:rsidR="003C0827" w:rsidRPr="009D3899">
        <w:rPr>
          <w:sz w:val="25"/>
          <w:szCs w:val="25"/>
        </w:rPr>
        <w:t xml:space="preserve">parties </w:t>
      </w:r>
      <w:r w:rsidR="00B777BE">
        <w:rPr>
          <w:sz w:val="25"/>
          <w:szCs w:val="25"/>
        </w:rPr>
        <w:t xml:space="preserve">in its case </w:t>
      </w:r>
      <w:r w:rsidR="00505D4A">
        <w:rPr>
          <w:sz w:val="25"/>
          <w:szCs w:val="25"/>
        </w:rPr>
        <w:t xml:space="preserve">to pursue cost-based </w:t>
      </w:r>
      <w:r w:rsidR="003C0827" w:rsidRPr="009D3899">
        <w:rPr>
          <w:sz w:val="25"/>
          <w:szCs w:val="25"/>
        </w:rPr>
        <w:t>charge</w:t>
      </w:r>
      <w:r w:rsidR="00505D4A">
        <w:rPr>
          <w:sz w:val="25"/>
          <w:szCs w:val="25"/>
        </w:rPr>
        <w:t>s</w:t>
      </w:r>
      <w:r w:rsidR="003C0827" w:rsidRPr="009D3899">
        <w:rPr>
          <w:sz w:val="25"/>
          <w:szCs w:val="25"/>
        </w:rPr>
        <w:t xml:space="preserve"> for capacity.  </w:t>
      </w:r>
      <w:r>
        <w:rPr>
          <w:sz w:val="25"/>
          <w:szCs w:val="25"/>
        </w:rPr>
        <w:t xml:space="preserve">Even though </w:t>
      </w:r>
      <w:r w:rsidR="00B777BE">
        <w:rPr>
          <w:sz w:val="25"/>
          <w:szCs w:val="25"/>
        </w:rPr>
        <w:t>AEP Ohio succeeded in convincing the Commission to allow it recovery of its embedded capacity costs</w:t>
      </w:r>
      <w:r>
        <w:rPr>
          <w:sz w:val="25"/>
          <w:szCs w:val="25"/>
        </w:rPr>
        <w:t xml:space="preserve">, that decision </w:t>
      </w:r>
      <w:r w:rsidR="005260C5" w:rsidRPr="009D3899">
        <w:rPr>
          <w:sz w:val="25"/>
          <w:szCs w:val="25"/>
        </w:rPr>
        <w:t>is on appeal at the Ohio Supreme Court</w:t>
      </w:r>
      <w:r w:rsidR="00505D4A">
        <w:rPr>
          <w:sz w:val="25"/>
          <w:szCs w:val="25"/>
        </w:rPr>
        <w:t xml:space="preserve"> and is being challenged by numerous parties.</w:t>
      </w:r>
      <w:r w:rsidR="00B15D97">
        <w:rPr>
          <w:rStyle w:val="FootnoteReference"/>
          <w:sz w:val="25"/>
          <w:szCs w:val="25"/>
        </w:rPr>
        <w:footnoteReference w:id="2"/>
      </w:r>
      <w:r w:rsidR="00505D4A">
        <w:rPr>
          <w:sz w:val="25"/>
          <w:szCs w:val="25"/>
        </w:rPr>
        <w:t xml:space="preserve"> </w:t>
      </w:r>
      <w:r w:rsidR="005260C5" w:rsidRPr="009D3899">
        <w:rPr>
          <w:sz w:val="25"/>
          <w:szCs w:val="25"/>
        </w:rPr>
        <w:t xml:space="preserve"> </w:t>
      </w:r>
      <w:r w:rsidR="00B777BE">
        <w:rPr>
          <w:sz w:val="25"/>
          <w:szCs w:val="25"/>
        </w:rPr>
        <w:t>AEP Ohio</w:t>
      </w:r>
      <w:r w:rsidR="005260C5" w:rsidRPr="009D3899">
        <w:rPr>
          <w:sz w:val="25"/>
          <w:szCs w:val="25"/>
        </w:rPr>
        <w:t xml:space="preserve"> may in the end </w:t>
      </w:r>
      <w:r w:rsidR="00B777BE">
        <w:rPr>
          <w:sz w:val="25"/>
          <w:szCs w:val="25"/>
        </w:rPr>
        <w:t>recover</w:t>
      </w:r>
      <w:r w:rsidR="005260C5" w:rsidRPr="009D3899">
        <w:rPr>
          <w:sz w:val="25"/>
          <w:szCs w:val="25"/>
        </w:rPr>
        <w:t xml:space="preserve"> </w:t>
      </w:r>
      <w:r w:rsidR="00B777BE">
        <w:rPr>
          <w:sz w:val="25"/>
          <w:szCs w:val="25"/>
        </w:rPr>
        <w:t xml:space="preserve">even </w:t>
      </w:r>
      <w:r w:rsidR="005260C5" w:rsidRPr="009D3899">
        <w:rPr>
          <w:sz w:val="25"/>
          <w:szCs w:val="25"/>
        </w:rPr>
        <w:lastRenderedPageBreak/>
        <w:t xml:space="preserve">less than Duke.  </w:t>
      </w:r>
      <w:r w:rsidR="00505D4A">
        <w:rPr>
          <w:sz w:val="25"/>
          <w:szCs w:val="25"/>
        </w:rPr>
        <w:t xml:space="preserve">This difference between the situations of Duke and AEP Ohio is </w:t>
      </w:r>
      <w:r w:rsidR="000750DD">
        <w:rPr>
          <w:sz w:val="25"/>
          <w:szCs w:val="25"/>
        </w:rPr>
        <w:t xml:space="preserve">alone </w:t>
      </w:r>
      <w:r>
        <w:rPr>
          <w:sz w:val="25"/>
          <w:szCs w:val="25"/>
        </w:rPr>
        <w:t xml:space="preserve">enough to be </w:t>
      </w:r>
      <w:r w:rsidR="00505D4A">
        <w:rPr>
          <w:sz w:val="25"/>
          <w:szCs w:val="25"/>
        </w:rPr>
        <w:t xml:space="preserve">conclusive.  But there are many other significant differences discussed in other </w:t>
      </w:r>
      <w:proofErr w:type="spellStart"/>
      <w:r>
        <w:rPr>
          <w:sz w:val="25"/>
          <w:szCs w:val="25"/>
        </w:rPr>
        <w:t>Intervenor</w:t>
      </w:r>
      <w:r w:rsidR="00505D4A">
        <w:rPr>
          <w:sz w:val="25"/>
          <w:szCs w:val="25"/>
        </w:rPr>
        <w:t>s</w:t>
      </w:r>
      <w:proofErr w:type="spellEnd"/>
      <w:r w:rsidR="00505D4A">
        <w:rPr>
          <w:sz w:val="25"/>
          <w:szCs w:val="25"/>
        </w:rPr>
        <w:t xml:space="preserve">’ briefs that provide more reasons why the two situations are completely different.  </w:t>
      </w:r>
      <w:r>
        <w:rPr>
          <w:sz w:val="25"/>
          <w:szCs w:val="25"/>
        </w:rPr>
        <w:t xml:space="preserve">Without relying on </w:t>
      </w:r>
      <w:r w:rsidR="00505D4A">
        <w:rPr>
          <w:sz w:val="25"/>
          <w:szCs w:val="25"/>
        </w:rPr>
        <w:t>the AEP Ohio decision</w:t>
      </w:r>
      <w:r>
        <w:rPr>
          <w:sz w:val="25"/>
          <w:szCs w:val="25"/>
        </w:rPr>
        <w:t>,</w:t>
      </w:r>
      <w:r w:rsidR="00505D4A">
        <w:rPr>
          <w:sz w:val="25"/>
          <w:szCs w:val="25"/>
        </w:rPr>
        <w:t xml:space="preserve"> the</w:t>
      </w:r>
      <w:r>
        <w:rPr>
          <w:sz w:val="25"/>
          <w:szCs w:val="25"/>
        </w:rPr>
        <w:t>re is no</w:t>
      </w:r>
      <w:r w:rsidR="00505D4A">
        <w:rPr>
          <w:sz w:val="25"/>
          <w:szCs w:val="25"/>
        </w:rPr>
        <w:t xml:space="preserve"> basis for </w:t>
      </w:r>
      <w:r>
        <w:rPr>
          <w:sz w:val="25"/>
          <w:szCs w:val="25"/>
        </w:rPr>
        <w:t xml:space="preserve">even considering </w:t>
      </w:r>
      <w:r w:rsidR="00505D4A">
        <w:rPr>
          <w:sz w:val="25"/>
          <w:szCs w:val="25"/>
        </w:rPr>
        <w:t xml:space="preserve">Duke’s application in this case – hence, the application must be rejected.  </w:t>
      </w:r>
    </w:p>
    <w:p w:rsidR="00BB7701" w:rsidRPr="009D3899" w:rsidRDefault="00BB7701"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 xml:space="preserve">Failure to follow the AEP Ohio outcome in this case would not result in </w:t>
      </w:r>
      <w:r>
        <w:rPr>
          <w:sz w:val="25"/>
          <w:szCs w:val="25"/>
        </w:rPr>
        <w:t xml:space="preserve">any </w:t>
      </w:r>
      <w:r w:rsidRPr="009D3899">
        <w:rPr>
          <w:sz w:val="25"/>
          <w:szCs w:val="25"/>
        </w:rPr>
        <w:t>discriminatory treatment of similarly situated utilities</w:t>
      </w:r>
      <w:r>
        <w:rPr>
          <w:sz w:val="25"/>
          <w:szCs w:val="25"/>
        </w:rPr>
        <w:t xml:space="preserve">.  </w:t>
      </w:r>
      <w:r w:rsidRPr="009D3899">
        <w:rPr>
          <w:sz w:val="25"/>
          <w:szCs w:val="25"/>
        </w:rPr>
        <w:t xml:space="preserve">Parties who settle cases are not similarly situated to parties that litigate cases.  The parties who settle do not have terms dictated to them; they agree upon them.  It is incongruous for Duke to compare the result that it voluntarily agreed to accept </w:t>
      </w:r>
      <w:r>
        <w:rPr>
          <w:sz w:val="25"/>
          <w:szCs w:val="25"/>
        </w:rPr>
        <w:t xml:space="preserve">in its ESP Stipulation </w:t>
      </w:r>
      <w:r w:rsidRPr="009D3899">
        <w:rPr>
          <w:sz w:val="25"/>
          <w:szCs w:val="25"/>
        </w:rPr>
        <w:t xml:space="preserve">to the result </w:t>
      </w:r>
      <w:r>
        <w:rPr>
          <w:sz w:val="25"/>
          <w:szCs w:val="25"/>
        </w:rPr>
        <w:t xml:space="preserve">AEP Ohio </w:t>
      </w:r>
      <w:r w:rsidRPr="009D3899">
        <w:rPr>
          <w:sz w:val="25"/>
          <w:szCs w:val="25"/>
        </w:rPr>
        <w:t xml:space="preserve">achieved through litigation </w:t>
      </w:r>
      <w:r>
        <w:rPr>
          <w:sz w:val="25"/>
          <w:szCs w:val="25"/>
        </w:rPr>
        <w:t xml:space="preserve">(which after appeals are resolved may actually turn out to be less favorable) </w:t>
      </w:r>
      <w:r w:rsidRPr="009D3899">
        <w:rPr>
          <w:sz w:val="25"/>
          <w:szCs w:val="25"/>
        </w:rPr>
        <w:t xml:space="preserve">and to claim </w:t>
      </w:r>
      <w:r>
        <w:rPr>
          <w:sz w:val="25"/>
          <w:szCs w:val="25"/>
        </w:rPr>
        <w:t xml:space="preserve">that disparate results are the product of </w:t>
      </w:r>
      <w:r w:rsidRPr="009D3899">
        <w:rPr>
          <w:sz w:val="25"/>
          <w:szCs w:val="25"/>
        </w:rPr>
        <w:t xml:space="preserve">discrimination.  The Commission did not impose any compensation scheme on Duke.  </w:t>
      </w:r>
    </w:p>
    <w:p w:rsidR="00BB7701" w:rsidRPr="009D3899" w:rsidRDefault="00BB7701"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 xml:space="preserve">It is ironic that Duke bases its claim of discriminatory treatment on the need to </w:t>
      </w:r>
      <w:r>
        <w:rPr>
          <w:sz w:val="25"/>
          <w:szCs w:val="25"/>
        </w:rPr>
        <w:t>“</w:t>
      </w:r>
      <w:r w:rsidRPr="009D3899">
        <w:rPr>
          <w:sz w:val="25"/>
          <w:szCs w:val="25"/>
        </w:rPr>
        <w:t>assure the predictability which is essential in all areas of the law.</w:t>
      </w:r>
      <w:r>
        <w:rPr>
          <w:sz w:val="25"/>
          <w:szCs w:val="25"/>
        </w:rPr>
        <w:t>”</w:t>
      </w:r>
      <w:r w:rsidRPr="009D3899">
        <w:rPr>
          <w:sz w:val="25"/>
          <w:szCs w:val="25"/>
        </w:rPr>
        <w:t xml:space="preserve">  </w:t>
      </w:r>
      <w:r>
        <w:rPr>
          <w:sz w:val="25"/>
          <w:szCs w:val="25"/>
        </w:rPr>
        <w:t xml:space="preserve">This entire case is in contravention of that very principal, as </w:t>
      </w:r>
      <w:r w:rsidRPr="009D3899">
        <w:rPr>
          <w:sz w:val="25"/>
          <w:szCs w:val="25"/>
        </w:rPr>
        <w:t xml:space="preserve">Duke is </w:t>
      </w:r>
      <w:r>
        <w:rPr>
          <w:sz w:val="25"/>
          <w:szCs w:val="25"/>
        </w:rPr>
        <w:t>attempt</w:t>
      </w:r>
      <w:r w:rsidRPr="009D3899">
        <w:rPr>
          <w:sz w:val="25"/>
          <w:szCs w:val="25"/>
        </w:rPr>
        <w:t xml:space="preserve">ing to jettison </w:t>
      </w:r>
      <w:r>
        <w:rPr>
          <w:sz w:val="25"/>
          <w:szCs w:val="25"/>
        </w:rPr>
        <w:t xml:space="preserve">the </w:t>
      </w:r>
      <w:r w:rsidRPr="009D3899">
        <w:rPr>
          <w:sz w:val="25"/>
          <w:szCs w:val="25"/>
        </w:rPr>
        <w:t xml:space="preserve">predictable compensation scheme </w:t>
      </w:r>
      <w:r>
        <w:rPr>
          <w:sz w:val="25"/>
          <w:szCs w:val="25"/>
        </w:rPr>
        <w:t xml:space="preserve">all parties agreed to </w:t>
      </w:r>
      <w:r w:rsidRPr="009D3899">
        <w:rPr>
          <w:sz w:val="25"/>
          <w:szCs w:val="25"/>
        </w:rPr>
        <w:t xml:space="preserve">over the objection of all </w:t>
      </w:r>
      <w:r>
        <w:rPr>
          <w:sz w:val="25"/>
          <w:szCs w:val="25"/>
        </w:rPr>
        <w:t xml:space="preserve">of the </w:t>
      </w:r>
      <w:r w:rsidRPr="009D3899">
        <w:rPr>
          <w:sz w:val="25"/>
          <w:szCs w:val="25"/>
        </w:rPr>
        <w:t>other parties to this case</w:t>
      </w:r>
      <w:r>
        <w:rPr>
          <w:sz w:val="25"/>
          <w:szCs w:val="25"/>
        </w:rPr>
        <w:t xml:space="preserve">.  </w:t>
      </w:r>
      <w:r w:rsidRPr="009D3899">
        <w:rPr>
          <w:sz w:val="25"/>
          <w:szCs w:val="25"/>
        </w:rPr>
        <w:t xml:space="preserve">Duke already has a predictable outcome - its compensation mechanism was established in 2011 by agreement </w:t>
      </w:r>
      <w:r w:rsidR="000750DD">
        <w:rPr>
          <w:sz w:val="25"/>
          <w:szCs w:val="25"/>
        </w:rPr>
        <w:t xml:space="preserve">long </w:t>
      </w:r>
      <w:r>
        <w:rPr>
          <w:sz w:val="25"/>
          <w:szCs w:val="25"/>
        </w:rPr>
        <w:t xml:space="preserve">before AEP Ohio’s case was decided </w:t>
      </w:r>
      <w:r w:rsidRPr="009D3899">
        <w:rPr>
          <w:sz w:val="25"/>
          <w:szCs w:val="25"/>
        </w:rPr>
        <w:t xml:space="preserve">and </w:t>
      </w:r>
      <w:r>
        <w:rPr>
          <w:sz w:val="25"/>
          <w:szCs w:val="25"/>
        </w:rPr>
        <w:t xml:space="preserve">it </w:t>
      </w:r>
      <w:r w:rsidRPr="009D3899">
        <w:rPr>
          <w:sz w:val="25"/>
          <w:szCs w:val="25"/>
        </w:rPr>
        <w:t xml:space="preserve">has not changed.  Duke </w:t>
      </w:r>
      <w:r>
        <w:rPr>
          <w:sz w:val="25"/>
          <w:szCs w:val="25"/>
        </w:rPr>
        <w:t xml:space="preserve">was not </w:t>
      </w:r>
      <w:r w:rsidRPr="009D3899">
        <w:rPr>
          <w:sz w:val="25"/>
          <w:szCs w:val="25"/>
        </w:rPr>
        <w:t xml:space="preserve">harmed by the Commission having </w:t>
      </w:r>
      <w:r w:rsidRPr="009D3899">
        <w:rPr>
          <w:i/>
          <w:sz w:val="25"/>
          <w:szCs w:val="25"/>
        </w:rPr>
        <w:t xml:space="preserve">subsequently </w:t>
      </w:r>
      <w:r w:rsidRPr="009D3899">
        <w:rPr>
          <w:sz w:val="25"/>
          <w:szCs w:val="25"/>
        </w:rPr>
        <w:t xml:space="preserve">established a different </w:t>
      </w:r>
      <w:r w:rsidRPr="009D3899">
        <w:rPr>
          <w:sz w:val="25"/>
          <w:szCs w:val="25"/>
        </w:rPr>
        <w:lastRenderedPageBreak/>
        <w:t xml:space="preserve">compensation scheme in another utility’s </w:t>
      </w:r>
      <w:r>
        <w:rPr>
          <w:sz w:val="25"/>
          <w:szCs w:val="25"/>
        </w:rPr>
        <w:t xml:space="preserve">litigated </w:t>
      </w:r>
      <w:r w:rsidRPr="009D3899">
        <w:rPr>
          <w:sz w:val="25"/>
          <w:szCs w:val="25"/>
        </w:rPr>
        <w:t xml:space="preserve">case, when that utility could not reach agreement with its customers and competitors.   </w:t>
      </w:r>
    </w:p>
    <w:p w:rsidR="00BB7701" w:rsidRPr="009D3899" w:rsidRDefault="00BB7701"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Duke cannot complain about </w:t>
      </w:r>
      <w:r w:rsidRPr="009D3899">
        <w:rPr>
          <w:sz w:val="25"/>
          <w:szCs w:val="25"/>
        </w:rPr>
        <w:t xml:space="preserve">inconsistency </w:t>
      </w:r>
      <w:r>
        <w:rPr>
          <w:sz w:val="25"/>
          <w:szCs w:val="25"/>
        </w:rPr>
        <w:t xml:space="preserve">in regulatory treatment </w:t>
      </w:r>
      <w:r w:rsidRPr="009D3899">
        <w:rPr>
          <w:sz w:val="25"/>
          <w:szCs w:val="25"/>
        </w:rPr>
        <w:t xml:space="preserve">when </w:t>
      </w:r>
      <w:r>
        <w:rPr>
          <w:sz w:val="25"/>
          <w:szCs w:val="25"/>
        </w:rPr>
        <w:t xml:space="preserve">its </w:t>
      </w:r>
      <w:r w:rsidRPr="009D3899">
        <w:rPr>
          <w:sz w:val="25"/>
          <w:szCs w:val="25"/>
        </w:rPr>
        <w:t xml:space="preserve">case </w:t>
      </w:r>
      <w:r>
        <w:rPr>
          <w:sz w:val="25"/>
          <w:szCs w:val="25"/>
        </w:rPr>
        <w:t>wa</w:t>
      </w:r>
      <w:r w:rsidRPr="009D3899">
        <w:rPr>
          <w:sz w:val="25"/>
          <w:szCs w:val="25"/>
        </w:rPr>
        <w:t xml:space="preserve">s the first one decided.  </w:t>
      </w:r>
      <w:r>
        <w:rPr>
          <w:sz w:val="25"/>
          <w:szCs w:val="25"/>
        </w:rPr>
        <w:t xml:space="preserve">Duke’s complaint is not about how its case was handled (it got exactly what it agreed to), but that AEP Ohio achieved a better result.  </w:t>
      </w:r>
      <w:r w:rsidRPr="009D3899">
        <w:rPr>
          <w:sz w:val="25"/>
          <w:szCs w:val="25"/>
        </w:rPr>
        <w:t xml:space="preserve">Duke </w:t>
      </w:r>
      <w:r>
        <w:rPr>
          <w:sz w:val="25"/>
          <w:szCs w:val="25"/>
        </w:rPr>
        <w:t xml:space="preserve">has no standing to </w:t>
      </w:r>
      <w:r w:rsidRPr="009D3899">
        <w:rPr>
          <w:sz w:val="25"/>
          <w:szCs w:val="25"/>
        </w:rPr>
        <w:t>complain about a subsequent litigated case having a different outcome</w:t>
      </w:r>
      <w:r>
        <w:rPr>
          <w:sz w:val="25"/>
          <w:szCs w:val="25"/>
        </w:rPr>
        <w:t xml:space="preserve"> from its settled case</w:t>
      </w:r>
      <w:r w:rsidRPr="009D3899">
        <w:rPr>
          <w:sz w:val="25"/>
          <w:szCs w:val="25"/>
        </w:rPr>
        <w:t>.</w:t>
      </w:r>
      <w:r w:rsidRPr="009D3899">
        <w:rPr>
          <w:rStyle w:val="FootnoteReference"/>
          <w:sz w:val="25"/>
          <w:szCs w:val="25"/>
        </w:rPr>
        <w:footnoteReference w:id="3"/>
      </w:r>
      <w:r w:rsidRPr="009D3899">
        <w:rPr>
          <w:sz w:val="25"/>
          <w:szCs w:val="25"/>
        </w:rPr>
        <w:t xml:space="preserve">  </w:t>
      </w:r>
    </w:p>
    <w:p w:rsidR="00DC1612" w:rsidRPr="00D5214C" w:rsidRDefault="000750DD" w:rsidP="00C64FBC">
      <w:pPr>
        <w:pStyle w:val="Heading1"/>
        <w:widowControl/>
      </w:pPr>
      <w:bookmarkStart w:id="4" w:name="_Toc362611553"/>
      <w:r w:rsidRPr="00D5214C">
        <w:t>IV.</w:t>
      </w:r>
      <w:r w:rsidRPr="00D5214C">
        <w:tab/>
        <w:t>DUKE IS NOT ENTITLED TO RECOVER ITS ACTUAL COSTS WHEN IT AGREED OTHERWISE.</w:t>
      </w:r>
      <w:bookmarkEnd w:id="4"/>
      <w:r w:rsidRPr="00D5214C">
        <w:t xml:space="preserve"> </w:t>
      </w:r>
    </w:p>
    <w:p w:rsidR="000750DD" w:rsidRPr="009D3899" w:rsidRDefault="000750DD"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The ESP Stipulation, as approved by the Commission, sets forth the terms and conditions applicable to Duke’s provision of competitive retail electric service under Chapter 4928, Revised Code.  With regard to capacity pricing, the Stipulation address</w:t>
      </w:r>
      <w:r>
        <w:rPr>
          <w:sz w:val="25"/>
          <w:szCs w:val="25"/>
        </w:rPr>
        <w:t>ed</w:t>
      </w:r>
      <w:r w:rsidRPr="009D3899">
        <w:rPr>
          <w:sz w:val="25"/>
          <w:szCs w:val="25"/>
        </w:rPr>
        <w:t xml:space="preserve"> how much PJM would charge wholesale supply auction winners and CRES providers for capacity.  It also addressed how much wholesale auction winners would charge Duke pursuant to supplier contracts, </w:t>
      </w:r>
      <w:r w:rsidRPr="009D3899">
        <w:rPr>
          <w:i/>
          <w:sz w:val="25"/>
          <w:szCs w:val="25"/>
        </w:rPr>
        <w:t xml:space="preserve">and </w:t>
      </w:r>
      <w:r w:rsidRPr="009D3899">
        <w:rPr>
          <w:sz w:val="25"/>
          <w:szCs w:val="25"/>
        </w:rPr>
        <w:t>how much Duke would charge its retail SSO customers through Riders RC and SCR.  Having established the retail charges for capacity to its retail customers and the wholesale charges for capacity to the wholesale auction suppliers</w:t>
      </w:r>
      <w:r>
        <w:rPr>
          <w:sz w:val="25"/>
          <w:szCs w:val="25"/>
        </w:rPr>
        <w:t xml:space="preserve"> (which happen to be the same)</w:t>
      </w:r>
      <w:r w:rsidRPr="009D3899">
        <w:rPr>
          <w:sz w:val="25"/>
          <w:szCs w:val="25"/>
        </w:rPr>
        <w:t xml:space="preserve">, there is no </w:t>
      </w:r>
      <w:r>
        <w:rPr>
          <w:sz w:val="25"/>
          <w:szCs w:val="25"/>
        </w:rPr>
        <w:t xml:space="preserve">room left to also </w:t>
      </w:r>
      <w:r w:rsidRPr="009D3899">
        <w:rPr>
          <w:sz w:val="25"/>
          <w:szCs w:val="25"/>
        </w:rPr>
        <w:t xml:space="preserve">charge retail customers for wholesale capacity service.  </w:t>
      </w:r>
      <w:r>
        <w:rPr>
          <w:sz w:val="25"/>
          <w:szCs w:val="25"/>
        </w:rPr>
        <w:t xml:space="preserve">Wholesale charges are necessarily subsumed within retail prices.  </w:t>
      </w:r>
      <w:r w:rsidRPr="009D3899">
        <w:rPr>
          <w:sz w:val="25"/>
          <w:szCs w:val="25"/>
        </w:rPr>
        <w:t>It would strain credulity to suggest that Duke intended to reserve the right to impose such a</w:t>
      </w:r>
      <w:r>
        <w:rPr>
          <w:sz w:val="25"/>
          <w:szCs w:val="25"/>
        </w:rPr>
        <w:t xml:space="preserve">n additional </w:t>
      </w:r>
      <w:r w:rsidRPr="009D3899">
        <w:rPr>
          <w:sz w:val="25"/>
          <w:szCs w:val="25"/>
        </w:rPr>
        <w:t xml:space="preserve">charge later, </w:t>
      </w:r>
      <w:r w:rsidRPr="009D3899">
        <w:rPr>
          <w:sz w:val="25"/>
          <w:szCs w:val="25"/>
        </w:rPr>
        <w:lastRenderedPageBreak/>
        <w:t xml:space="preserve">when it knowingly and intentionally </w:t>
      </w:r>
      <w:r>
        <w:rPr>
          <w:sz w:val="25"/>
          <w:szCs w:val="25"/>
        </w:rPr>
        <w:t xml:space="preserve">abandoned </w:t>
      </w:r>
      <w:r w:rsidRPr="009D3899">
        <w:rPr>
          <w:sz w:val="25"/>
          <w:szCs w:val="25"/>
        </w:rPr>
        <w:t xml:space="preserve">its original SSO plan to charge all retail customers (shopping and non-shopping) a cost-based capacity charge </w:t>
      </w:r>
      <w:r>
        <w:rPr>
          <w:sz w:val="25"/>
          <w:szCs w:val="25"/>
        </w:rPr>
        <w:t xml:space="preserve">in favor of </w:t>
      </w:r>
      <w:r w:rsidRPr="009D3899">
        <w:rPr>
          <w:sz w:val="25"/>
          <w:szCs w:val="25"/>
        </w:rPr>
        <w:t xml:space="preserve">a market-based capacity charge to be paid by </w:t>
      </w:r>
      <w:r>
        <w:rPr>
          <w:sz w:val="25"/>
          <w:szCs w:val="25"/>
        </w:rPr>
        <w:t xml:space="preserve">all </w:t>
      </w:r>
      <w:r w:rsidRPr="009D3899">
        <w:rPr>
          <w:sz w:val="25"/>
          <w:szCs w:val="25"/>
        </w:rPr>
        <w:t xml:space="preserve">wholesale suppliers.  </w:t>
      </w:r>
    </w:p>
    <w:p w:rsidR="00134A8A" w:rsidRPr="009D3899" w:rsidRDefault="00134A8A"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Duke understood the risk</w:t>
      </w:r>
      <w:r>
        <w:rPr>
          <w:sz w:val="25"/>
          <w:szCs w:val="25"/>
        </w:rPr>
        <w:t>s</w:t>
      </w:r>
      <w:r w:rsidRPr="009D3899">
        <w:rPr>
          <w:sz w:val="25"/>
          <w:szCs w:val="25"/>
        </w:rPr>
        <w:t xml:space="preserve"> that FRR entities face when </w:t>
      </w:r>
      <w:r w:rsidR="000750DD">
        <w:rPr>
          <w:sz w:val="25"/>
          <w:szCs w:val="25"/>
        </w:rPr>
        <w:t>it chose to change RTO</w:t>
      </w:r>
      <w:r>
        <w:rPr>
          <w:sz w:val="25"/>
          <w:szCs w:val="25"/>
        </w:rPr>
        <w:t>s and move from MISO to PJM</w:t>
      </w:r>
      <w:r w:rsidRPr="009D3899">
        <w:rPr>
          <w:sz w:val="25"/>
          <w:szCs w:val="25"/>
        </w:rPr>
        <w:t xml:space="preserve">.  </w:t>
      </w:r>
      <w:r>
        <w:rPr>
          <w:sz w:val="25"/>
          <w:szCs w:val="25"/>
        </w:rPr>
        <w:t>The decision was thoroughly analyzed by Duke, including the financial ramifications.  It</w:t>
      </w:r>
      <w:r w:rsidRPr="009D3899">
        <w:rPr>
          <w:sz w:val="25"/>
          <w:szCs w:val="25"/>
        </w:rPr>
        <w:t xml:space="preserve"> knew what its costs </w:t>
      </w:r>
      <w:r>
        <w:rPr>
          <w:sz w:val="25"/>
          <w:szCs w:val="25"/>
        </w:rPr>
        <w:t xml:space="preserve">were </w:t>
      </w:r>
      <w:r w:rsidRPr="009D3899">
        <w:rPr>
          <w:sz w:val="25"/>
          <w:szCs w:val="25"/>
        </w:rPr>
        <w:t xml:space="preserve">and the </w:t>
      </w:r>
      <w:r>
        <w:rPr>
          <w:sz w:val="25"/>
          <w:szCs w:val="25"/>
        </w:rPr>
        <w:t xml:space="preserve">market </w:t>
      </w:r>
      <w:r w:rsidRPr="009D3899">
        <w:rPr>
          <w:sz w:val="25"/>
          <w:szCs w:val="25"/>
        </w:rPr>
        <w:t xml:space="preserve">rates </w:t>
      </w:r>
      <w:r>
        <w:rPr>
          <w:sz w:val="25"/>
          <w:szCs w:val="25"/>
        </w:rPr>
        <w:t xml:space="preserve">that </w:t>
      </w:r>
      <w:r w:rsidRPr="009D3899">
        <w:rPr>
          <w:sz w:val="25"/>
          <w:szCs w:val="25"/>
        </w:rPr>
        <w:t xml:space="preserve">it would be allowed to charge for capacity.  The returns that Duke would earn on its capacity resources were known to it and studied by it before it agreed to the Stipulation.  </w:t>
      </w:r>
      <w:r>
        <w:rPr>
          <w:sz w:val="25"/>
          <w:szCs w:val="25"/>
        </w:rPr>
        <w:t xml:space="preserve">Nothing has changed financially.  </w:t>
      </w:r>
      <w:r w:rsidRPr="009D3899">
        <w:rPr>
          <w:sz w:val="25"/>
          <w:szCs w:val="25"/>
        </w:rPr>
        <w:t xml:space="preserve">The only thing that </w:t>
      </w:r>
      <w:r>
        <w:rPr>
          <w:sz w:val="25"/>
          <w:szCs w:val="25"/>
        </w:rPr>
        <w:t xml:space="preserve">has </w:t>
      </w:r>
      <w:r w:rsidRPr="009D3899">
        <w:rPr>
          <w:sz w:val="25"/>
          <w:szCs w:val="25"/>
        </w:rPr>
        <w:t xml:space="preserve">changed since </w:t>
      </w:r>
      <w:r>
        <w:rPr>
          <w:sz w:val="25"/>
          <w:szCs w:val="25"/>
        </w:rPr>
        <w:t xml:space="preserve">Duke signed the ESP Stipulation </w:t>
      </w:r>
      <w:r w:rsidR="000750DD">
        <w:rPr>
          <w:sz w:val="25"/>
          <w:szCs w:val="25"/>
        </w:rPr>
        <w:t>is the</w:t>
      </w:r>
      <w:r w:rsidRPr="009D3899">
        <w:rPr>
          <w:sz w:val="25"/>
          <w:szCs w:val="25"/>
        </w:rPr>
        <w:t xml:space="preserve"> AEP </w:t>
      </w:r>
      <w:r>
        <w:rPr>
          <w:sz w:val="25"/>
          <w:szCs w:val="25"/>
        </w:rPr>
        <w:t xml:space="preserve">Ohio </w:t>
      </w:r>
      <w:r w:rsidR="000750DD">
        <w:rPr>
          <w:sz w:val="25"/>
          <w:szCs w:val="25"/>
        </w:rPr>
        <w:t>decision</w:t>
      </w:r>
      <w:r w:rsidRPr="009D3899">
        <w:rPr>
          <w:sz w:val="25"/>
          <w:szCs w:val="25"/>
        </w:rPr>
        <w:t xml:space="preserve">.  </w:t>
      </w:r>
    </w:p>
    <w:p w:rsidR="00DC1612" w:rsidRPr="009D3899" w:rsidRDefault="00DC1612"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 xml:space="preserve">Duke is </w:t>
      </w:r>
      <w:r w:rsidR="005260C5" w:rsidRPr="009D3899">
        <w:rPr>
          <w:sz w:val="25"/>
          <w:szCs w:val="25"/>
        </w:rPr>
        <w:t xml:space="preserve">not </w:t>
      </w:r>
      <w:r w:rsidRPr="009D3899">
        <w:rPr>
          <w:sz w:val="25"/>
          <w:szCs w:val="25"/>
        </w:rPr>
        <w:t>entitled to a</w:t>
      </w:r>
      <w:r w:rsidR="005260C5" w:rsidRPr="009D3899">
        <w:rPr>
          <w:sz w:val="25"/>
          <w:szCs w:val="25"/>
        </w:rPr>
        <w:t>ny</w:t>
      </w:r>
      <w:r w:rsidRPr="009D3899">
        <w:rPr>
          <w:sz w:val="25"/>
          <w:szCs w:val="25"/>
        </w:rPr>
        <w:t xml:space="preserve"> rate </w:t>
      </w:r>
      <w:r w:rsidR="005260C5" w:rsidRPr="009D3899">
        <w:rPr>
          <w:sz w:val="25"/>
          <w:szCs w:val="25"/>
        </w:rPr>
        <w:t>other than what it agreed to accept</w:t>
      </w:r>
      <w:r w:rsidR="00505D4A">
        <w:rPr>
          <w:sz w:val="25"/>
          <w:szCs w:val="25"/>
        </w:rPr>
        <w:t xml:space="preserve"> in the ESP Stipulation</w:t>
      </w:r>
      <w:r w:rsidR="005260C5" w:rsidRPr="009D3899">
        <w:rPr>
          <w:sz w:val="25"/>
          <w:szCs w:val="25"/>
        </w:rPr>
        <w:t xml:space="preserve">.  </w:t>
      </w:r>
      <w:r w:rsidR="00BB7701">
        <w:rPr>
          <w:sz w:val="25"/>
          <w:szCs w:val="25"/>
        </w:rPr>
        <w:t xml:space="preserve">Duke’s attempt to make this into a constitutional “taking” case is unfounded.  </w:t>
      </w:r>
      <w:r w:rsidR="005260C5" w:rsidRPr="009D3899">
        <w:rPr>
          <w:sz w:val="25"/>
          <w:szCs w:val="25"/>
        </w:rPr>
        <w:t xml:space="preserve">Constitutional ratemaking principals have no bearing on Duke’s situation because no </w:t>
      </w:r>
      <w:r w:rsidR="00B777BE">
        <w:rPr>
          <w:sz w:val="25"/>
          <w:szCs w:val="25"/>
        </w:rPr>
        <w:t xml:space="preserve">capacity </w:t>
      </w:r>
      <w:r w:rsidR="005260C5" w:rsidRPr="009D3899">
        <w:rPr>
          <w:sz w:val="25"/>
          <w:szCs w:val="25"/>
        </w:rPr>
        <w:t>rates have been imposed on Duke</w:t>
      </w:r>
      <w:r w:rsidR="00B777BE">
        <w:rPr>
          <w:sz w:val="25"/>
          <w:szCs w:val="25"/>
        </w:rPr>
        <w:t xml:space="preserve"> against its will</w:t>
      </w:r>
      <w:r w:rsidR="005260C5" w:rsidRPr="009D3899">
        <w:rPr>
          <w:sz w:val="25"/>
          <w:szCs w:val="25"/>
        </w:rPr>
        <w:t xml:space="preserve">.  </w:t>
      </w:r>
      <w:r w:rsidR="00BB7701">
        <w:rPr>
          <w:sz w:val="25"/>
          <w:szCs w:val="25"/>
        </w:rPr>
        <w:t xml:space="preserve">Generation service is fully competitive in Ohio and not subject to ratemaking principals.  </w:t>
      </w:r>
      <w:r w:rsidR="005260C5" w:rsidRPr="009D3899">
        <w:rPr>
          <w:sz w:val="25"/>
          <w:szCs w:val="25"/>
        </w:rPr>
        <w:t xml:space="preserve">Duke agreed to a comprehensive </w:t>
      </w:r>
      <w:r w:rsidR="00FB7888">
        <w:rPr>
          <w:sz w:val="25"/>
          <w:szCs w:val="25"/>
        </w:rPr>
        <w:t xml:space="preserve">ESP </w:t>
      </w:r>
      <w:r w:rsidR="005260C5" w:rsidRPr="009D3899">
        <w:rPr>
          <w:sz w:val="25"/>
          <w:szCs w:val="25"/>
        </w:rPr>
        <w:t xml:space="preserve">plan, only one part of which was capacity rates.  No one forced Duke to accept the market-based capacity prices – it voluntarily did so.  </w:t>
      </w:r>
      <w:r w:rsidR="00FB7888">
        <w:rPr>
          <w:sz w:val="25"/>
          <w:szCs w:val="25"/>
        </w:rPr>
        <w:t>In fact, Duke had a statutory option to withdraw its ESP application and file for a new SSO if it did not like the terms of the plan as ordered by the Commission.</w:t>
      </w:r>
      <w:r w:rsidR="00FB7888">
        <w:rPr>
          <w:rStyle w:val="FootnoteReference"/>
          <w:sz w:val="25"/>
          <w:szCs w:val="25"/>
        </w:rPr>
        <w:footnoteReference w:id="4"/>
      </w:r>
      <w:r w:rsidR="00FB7888">
        <w:rPr>
          <w:sz w:val="25"/>
          <w:szCs w:val="25"/>
        </w:rPr>
        <w:t xml:space="preserve">  </w:t>
      </w:r>
      <w:r w:rsidR="00BF7962">
        <w:rPr>
          <w:sz w:val="25"/>
          <w:szCs w:val="25"/>
        </w:rPr>
        <w:t>Alternatively, Duke could have filed for rehearing of the Order approving the ESP Stipulation.</w:t>
      </w:r>
      <w:r w:rsidR="00BF7962">
        <w:rPr>
          <w:rStyle w:val="FootnoteReference"/>
          <w:sz w:val="25"/>
          <w:szCs w:val="25"/>
        </w:rPr>
        <w:footnoteReference w:id="5"/>
      </w:r>
      <w:r w:rsidR="00BF7962">
        <w:rPr>
          <w:sz w:val="25"/>
          <w:szCs w:val="25"/>
        </w:rPr>
        <w:t xml:space="preserve">  </w:t>
      </w:r>
      <w:r w:rsidR="008763CA">
        <w:rPr>
          <w:sz w:val="25"/>
          <w:szCs w:val="25"/>
        </w:rPr>
        <w:t>But t</w:t>
      </w:r>
      <w:r w:rsidR="00BF7962">
        <w:rPr>
          <w:sz w:val="25"/>
          <w:szCs w:val="25"/>
        </w:rPr>
        <w:t xml:space="preserve">here are strict time limits within which </w:t>
      </w:r>
      <w:r w:rsidR="00BF7962">
        <w:rPr>
          <w:sz w:val="25"/>
          <w:szCs w:val="25"/>
        </w:rPr>
        <w:lastRenderedPageBreak/>
        <w:t xml:space="preserve">Duke </w:t>
      </w:r>
      <w:r w:rsidR="008763CA">
        <w:rPr>
          <w:sz w:val="25"/>
          <w:szCs w:val="25"/>
        </w:rPr>
        <w:t xml:space="preserve">could </w:t>
      </w:r>
      <w:r w:rsidR="00BF7962">
        <w:rPr>
          <w:sz w:val="25"/>
          <w:szCs w:val="25"/>
        </w:rPr>
        <w:t>do so.</w:t>
      </w:r>
      <w:r w:rsidR="00BF7962">
        <w:rPr>
          <w:rStyle w:val="FootnoteReference"/>
          <w:sz w:val="25"/>
          <w:szCs w:val="25"/>
        </w:rPr>
        <w:footnoteReference w:id="6"/>
      </w:r>
      <w:r w:rsidR="00BF7962">
        <w:rPr>
          <w:sz w:val="25"/>
          <w:szCs w:val="25"/>
        </w:rPr>
        <w:t xml:space="preserve">  Duke could not wait over a year and a half</w:t>
      </w:r>
      <w:r w:rsidR="008763CA">
        <w:rPr>
          <w:sz w:val="25"/>
          <w:szCs w:val="25"/>
        </w:rPr>
        <w:t xml:space="preserve"> to challenge the ESP</w:t>
      </w:r>
      <w:r w:rsidR="00BF7962">
        <w:rPr>
          <w:sz w:val="25"/>
          <w:szCs w:val="25"/>
        </w:rPr>
        <w:t xml:space="preserve">, as it did here.  </w:t>
      </w:r>
    </w:p>
    <w:p w:rsidR="00C41F90" w:rsidRDefault="00B777BE" w:rsidP="00C64FBC">
      <w:pPr>
        <w:widowControl/>
        <w:kinsoku w:val="0"/>
        <w:overflowPunct w:val="0"/>
        <w:autoSpaceDE/>
        <w:autoSpaceDN/>
        <w:adjustRightInd/>
        <w:spacing w:line="480" w:lineRule="auto"/>
        <w:ind w:firstLine="720"/>
        <w:textAlignment w:val="baseline"/>
        <w:rPr>
          <w:sz w:val="25"/>
          <w:szCs w:val="25"/>
        </w:rPr>
      </w:pPr>
      <w:r>
        <w:rPr>
          <w:sz w:val="25"/>
          <w:szCs w:val="25"/>
        </w:rPr>
        <w:t>T</w:t>
      </w:r>
      <w:r w:rsidR="00DC1612" w:rsidRPr="009D3899">
        <w:rPr>
          <w:sz w:val="25"/>
          <w:szCs w:val="25"/>
        </w:rPr>
        <w:t xml:space="preserve">akings </w:t>
      </w:r>
      <w:r>
        <w:rPr>
          <w:sz w:val="25"/>
          <w:szCs w:val="25"/>
        </w:rPr>
        <w:t xml:space="preserve">analysis </w:t>
      </w:r>
      <w:r w:rsidR="00C41F90" w:rsidRPr="009D3899">
        <w:rPr>
          <w:sz w:val="25"/>
          <w:szCs w:val="25"/>
        </w:rPr>
        <w:t xml:space="preserve">has no applicability </w:t>
      </w:r>
      <w:r>
        <w:rPr>
          <w:sz w:val="25"/>
          <w:szCs w:val="25"/>
        </w:rPr>
        <w:t xml:space="preserve">to Duke </w:t>
      </w:r>
      <w:r w:rsidR="00C41F90" w:rsidRPr="009D3899">
        <w:rPr>
          <w:sz w:val="25"/>
          <w:szCs w:val="25"/>
        </w:rPr>
        <w:t xml:space="preserve">because no one has “taken” </w:t>
      </w:r>
      <w:r>
        <w:rPr>
          <w:sz w:val="25"/>
          <w:szCs w:val="25"/>
        </w:rPr>
        <w:t>it</w:t>
      </w:r>
      <w:r w:rsidR="00C41F90" w:rsidRPr="009D3899">
        <w:rPr>
          <w:sz w:val="25"/>
          <w:szCs w:val="25"/>
        </w:rPr>
        <w:t xml:space="preserve">s property.  </w:t>
      </w:r>
      <w:r w:rsidR="0007445D">
        <w:rPr>
          <w:sz w:val="25"/>
          <w:szCs w:val="25"/>
        </w:rPr>
        <w:t xml:space="preserve">Duke finds itself in its current situation strictly through voluntary measures.  </w:t>
      </w:r>
      <w:r w:rsidR="00C41F90" w:rsidRPr="009D3899">
        <w:rPr>
          <w:sz w:val="25"/>
          <w:szCs w:val="25"/>
        </w:rPr>
        <w:t xml:space="preserve">Duke made an eyes-wide-open decision to realign to PJM, knowing how the capacity market works in that RTO.  Duke </w:t>
      </w:r>
      <w:r w:rsidR="008763CA">
        <w:rPr>
          <w:sz w:val="25"/>
          <w:szCs w:val="25"/>
        </w:rPr>
        <w:t xml:space="preserve">originally proposed </w:t>
      </w:r>
      <w:r w:rsidR="00C41F90" w:rsidRPr="009D3899">
        <w:rPr>
          <w:sz w:val="25"/>
          <w:szCs w:val="25"/>
        </w:rPr>
        <w:t>an embedded cost recovery that it knowing</w:t>
      </w:r>
      <w:r w:rsidR="0007445D">
        <w:rPr>
          <w:sz w:val="25"/>
          <w:szCs w:val="25"/>
        </w:rPr>
        <w:t xml:space="preserve">ly abandoned in favor of market-based capacity </w:t>
      </w:r>
      <w:r w:rsidR="00C41F90" w:rsidRPr="009D3899">
        <w:rPr>
          <w:sz w:val="25"/>
          <w:szCs w:val="25"/>
        </w:rPr>
        <w:t xml:space="preserve">rates plus the ESSC.  </w:t>
      </w:r>
      <w:r w:rsidR="0007445D">
        <w:rPr>
          <w:sz w:val="25"/>
          <w:szCs w:val="25"/>
        </w:rPr>
        <w:t>Duke incorporated the terms on which it would be compensated for capacity in a voluntary stipulation that it signed without duress.  Duke had an opportunity to reject the ESP plan as confirmed by the Commission in December 2011, but chose to accept it instead.  Duke had an opportunity to seek rehearing and appeal any adverse decision on rehearing, but decided to forego that opportunity as well.  No one forced Duke to take any of these steps.  Hence, c</w:t>
      </w:r>
      <w:r w:rsidR="00C41F90" w:rsidRPr="009D3899">
        <w:rPr>
          <w:sz w:val="25"/>
          <w:szCs w:val="25"/>
        </w:rPr>
        <w:t xml:space="preserve">onstitutional ratemaking principals have no </w:t>
      </w:r>
      <w:r>
        <w:rPr>
          <w:sz w:val="25"/>
          <w:szCs w:val="25"/>
        </w:rPr>
        <w:t>application</w:t>
      </w:r>
      <w:r w:rsidR="00C41F90" w:rsidRPr="009D3899">
        <w:rPr>
          <w:sz w:val="25"/>
          <w:szCs w:val="25"/>
        </w:rPr>
        <w:t xml:space="preserve">.  </w:t>
      </w:r>
      <w:r>
        <w:rPr>
          <w:sz w:val="25"/>
          <w:szCs w:val="25"/>
        </w:rPr>
        <w:t>The Commission did not require</w:t>
      </w:r>
      <w:r w:rsidR="00C41F90" w:rsidRPr="009D3899">
        <w:rPr>
          <w:sz w:val="25"/>
          <w:szCs w:val="25"/>
        </w:rPr>
        <w:t xml:space="preserve"> Duke to provide capacity service to </w:t>
      </w:r>
      <w:r>
        <w:rPr>
          <w:sz w:val="25"/>
          <w:szCs w:val="25"/>
        </w:rPr>
        <w:t xml:space="preserve">its </w:t>
      </w:r>
      <w:r w:rsidR="00C41F90" w:rsidRPr="009D3899">
        <w:rPr>
          <w:sz w:val="25"/>
          <w:szCs w:val="25"/>
        </w:rPr>
        <w:t>competitor</w:t>
      </w:r>
      <w:r>
        <w:rPr>
          <w:sz w:val="25"/>
          <w:szCs w:val="25"/>
        </w:rPr>
        <w:t>s</w:t>
      </w:r>
      <w:r w:rsidR="00C41F90" w:rsidRPr="009D3899">
        <w:rPr>
          <w:sz w:val="25"/>
          <w:szCs w:val="25"/>
        </w:rPr>
        <w:t xml:space="preserve">.  </w:t>
      </w:r>
      <w:r>
        <w:rPr>
          <w:sz w:val="25"/>
          <w:szCs w:val="25"/>
        </w:rPr>
        <w:t xml:space="preserve">The Commission did not impose capacity rates on Duke.  </w:t>
      </w:r>
      <w:r w:rsidR="00C41F90" w:rsidRPr="009D3899">
        <w:rPr>
          <w:sz w:val="25"/>
          <w:szCs w:val="25"/>
        </w:rPr>
        <w:t xml:space="preserve">There was no “taking” and, hence, no duty to provide compensation.  There was </w:t>
      </w:r>
      <w:r w:rsidR="000750DD">
        <w:rPr>
          <w:sz w:val="25"/>
          <w:szCs w:val="25"/>
        </w:rPr>
        <w:t xml:space="preserve">only </w:t>
      </w:r>
      <w:r w:rsidR="00C41F90" w:rsidRPr="009D3899">
        <w:rPr>
          <w:sz w:val="25"/>
          <w:szCs w:val="25"/>
        </w:rPr>
        <w:t xml:space="preserve">a voluntary arrangement where Duke offered up its capacity and agreed to </w:t>
      </w:r>
      <w:r w:rsidR="000750DD">
        <w:rPr>
          <w:sz w:val="25"/>
          <w:szCs w:val="25"/>
        </w:rPr>
        <w:t xml:space="preserve">accept </w:t>
      </w:r>
      <w:r w:rsidR="00C41F90" w:rsidRPr="009D3899">
        <w:rPr>
          <w:sz w:val="25"/>
          <w:szCs w:val="25"/>
        </w:rPr>
        <w:t xml:space="preserve">the </w:t>
      </w:r>
      <w:r w:rsidR="000750DD">
        <w:rPr>
          <w:sz w:val="25"/>
          <w:szCs w:val="25"/>
        </w:rPr>
        <w:t xml:space="preserve">PJM </w:t>
      </w:r>
      <w:r w:rsidR="00C41F90" w:rsidRPr="009D3899">
        <w:rPr>
          <w:sz w:val="25"/>
          <w:szCs w:val="25"/>
        </w:rPr>
        <w:t>market price.</w:t>
      </w:r>
      <w:r w:rsidR="002E0FA0">
        <w:rPr>
          <w:sz w:val="25"/>
          <w:szCs w:val="25"/>
        </w:rPr>
        <w:t xml:space="preserve">  </w:t>
      </w:r>
    </w:p>
    <w:p w:rsidR="002E0FA0" w:rsidRPr="002E0FA0" w:rsidRDefault="002E0FA0" w:rsidP="00C64FBC">
      <w:pPr>
        <w:widowControl/>
        <w:kinsoku w:val="0"/>
        <w:overflowPunct w:val="0"/>
        <w:autoSpaceDE/>
        <w:autoSpaceDN/>
        <w:adjustRightInd/>
        <w:spacing w:line="480" w:lineRule="auto"/>
        <w:ind w:firstLine="720"/>
        <w:textAlignment w:val="baseline"/>
        <w:rPr>
          <w:sz w:val="25"/>
          <w:szCs w:val="25"/>
        </w:rPr>
      </w:pPr>
      <w:r>
        <w:rPr>
          <w:sz w:val="25"/>
          <w:szCs w:val="25"/>
        </w:rPr>
        <w:t>Even if Duke had been forced to accept market prices against its will</w:t>
      </w:r>
      <w:r w:rsidR="00BB7701">
        <w:rPr>
          <w:sz w:val="25"/>
          <w:szCs w:val="25"/>
        </w:rPr>
        <w:t xml:space="preserve"> (which it was not)</w:t>
      </w:r>
      <w:r>
        <w:rPr>
          <w:sz w:val="25"/>
          <w:szCs w:val="25"/>
        </w:rPr>
        <w:t xml:space="preserve">, that would not constitute a </w:t>
      </w:r>
      <w:r w:rsidR="00BB7701">
        <w:rPr>
          <w:sz w:val="25"/>
          <w:szCs w:val="25"/>
        </w:rPr>
        <w:t>“</w:t>
      </w:r>
      <w:r>
        <w:rPr>
          <w:sz w:val="25"/>
          <w:szCs w:val="25"/>
        </w:rPr>
        <w:t>taking.</w:t>
      </w:r>
      <w:r w:rsidR="00BB7701">
        <w:rPr>
          <w:sz w:val="25"/>
          <w:szCs w:val="25"/>
        </w:rPr>
        <w:t>”</w:t>
      </w:r>
      <w:r>
        <w:rPr>
          <w:sz w:val="25"/>
          <w:szCs w:val="25"/>
        </w:rPr>
        <w:t xml:space="preserve">  As explained by several other parties in their initial briefs, the Ohio General Assembly dictated that generation service would be competitive many years ago.  The legislation gave all electric distribution companies the opportunity to recover </w:t>
      </w:r>
      <w:r w:rsidR="00034F08">
        <w:rPr>
          <w:sz w:val="25"/>
          <w:szCs w:val="25"/>
        </w:rPr>
        <w:t>“transition costs</w:t>
      </w:r>
      <w:r>
        <w:rPr>
          <w:sz w:val="25"/>
          <w:szCs w:val="25"/>
        </w:rPr>
        <w:t>,</w:t>
      </w:r>
      <w:r w:rsidR="00034F08">
        <w:rPr>
          <w:sz w:val="25"/>
          <w:szCs w:val="25"/>
        </w:rPr>
        <w:t>”</w:t>
      </w:r>
      <w:r>
        <w:rPr>
          <w:sz w:val="25"/>
          <w:szCs w:val="25"/>
        </w:rPr>
        <w:t xml:space="preserve"> </w:t>
      </w:r>
      <w:r>
        <w:rPr>
          <w:i/>
          <w:sz w:val="25"/>
          <w:szCs w:val="25"/>
        </w:rPr>
        <w:t>i.e.</w:t>
      </w:r>
      <w:r>
        <w:rPr>
          <w:sz w:val="25"/>
          <w:szCs w:val="25"/>
        </w:rPr>
        <w:t xml:space="preserve">, the difference between their </w:t>
      </w:r>
      <w:r w:rsidR="00B15D97">
        <w:rPr>
          <w:sz w:val="25"/>
          <w:szCs w:val="25"/>
        </w:rPr>
        <w:t>prudently incurred</w:t>
      </w:r>
      <w:r>
        <w:rPr>
          <w:sz w:val="25"/>
          <w:szCs w:val="25"/>
        </w:rPr>
        <w:t xml:space="preserve"> </w:t>
      </w:r>
      <w:r>
        <w:rPr>
          <w:sz w:val="25"/>
          <w:szCs w:val="25"/>
        </w:rPr>
        <w:lastRenderedPageBreak/>
        <w:t xml:space="preserve">costs </w:t>
      </w:r>
      <w:r w:rsidR="00B15D97">
        <w:rPr>
          <w:sz w:val="25"/>
          <w:szCs w:val="25"/>
        </w:rPr>
        <w:t xml:space="preserve">to provide generation service </w:t>
      </w:r>
      <w:r>
        <w:rPr>
          <w:sz w:val="25"/>
          <w:szCs w:val="25"/>
        </w:rPr>
        <w:t xml:space="preserve">and </w:t>
      </w:r>
      <w:r w:rsidR="00B15D97">
        <w:rPr>
          <w:sz w:val="25"/>
          <w:szCs w:val="25"/>
        </w:rPr>
        <w:t xml:space="preserve">those costs that would be recoverable in a competitive </w:t>
      </w:r>
      <w:r>
        <w:rPr>
          <w:sz w:val="25"/>
          <w:szCs w:val="25"/>
        </w:rPr>
        <w:t>market.</w:t>
      </w:r>
      <w:r w:rsidR="009A2973">
        <w:rPr>
          <w:rStyle w:val="FootnoteReference"/>
          <w:sz w:val="25"/>
          <w:szCs w:val="25"/>
        </w:rPr>
        <w:footnoteReference w:id="7"/>
      </w:r>
      <w:r>
        <w:rPr>
          <w:sz w:val="25"/>
          <w:szCs w:val="25"/>
        </w:rPr>
        <w:t xml:space="preserve">  Duke’s predecessor, The Cincinnati Gas &amp; Electric Co., relinquished its claim to </w:t>
      </w:r>
      <w:r w:rsidR="00BB7701">
        <w:rPr>
          <w:sz w:val="25"/>
          <w:szCs w:val="25"/>
        </w:rPr>
        <w:t xml:space="preserve">transition </w:t>
      </w:r>
      <w:r>
        <w:rPr>
          <w:sz w:val="25"/>
          <w:szCs w:val="25"/>
        </w:rPr>
        <w:t xml:space="preserve">costs </w:t>
      </w:r>
      <w:r w:rsidR="00BB7701">
        <w:rPr>
          <w:sz w:val="25"/>
          <w:szCs w:val="25"/>
        </w:rPr>
        <w:t xml:space="preserve">and the market development period </w:t>
      </w:r>
      <w:r w:rsidR="000750DD">
        <w:rPr>
          <w:sz w:val="25"/>
          <w:szCs w:val="25"/>
        </w:rPr>
        <w:t xml:space="preserve">during which transition charges could be charged </w:t>
      </w:r>
      <w:r w:rsidR="00BB7701">
        <w:rPr>
          <w:sz w:val="25"/>
          <w:szCs w:val="25"/>
        </w:rPr>
        <w:t>ended years ago</w:t>
      </w:r>
      <w:r w:rsidR="009A2973">
        <w:rPr>
          <w:sz w:val="25"/>
          <w:szCs w:val="25"/>
        </w:rPr>
        <w:t xml:space="preserve">.  If there was ever a “taking” with respect to </w:t>
      </w:r>
      <w:r w:rsidR="00034F08">
        <w:rPr>
          <w:sz w:val="25"/>
          <w:szCs w:val="25"/>
        </w:rPr>
        <w:t>convert</w:t>
      </w:r>
      <w:r w:rsidR="009A2973">
        <w:rPr>
          <w:sz w:val="25"/>
          <w:szCs w:val="25"/>
        </w:rPr>
        <w:t xml:space="preserve">ing generation service </w:t>
      </w:r>
      <w:r w:rsidR="00034F08">
        <w:rPr>
          <w:sz w:val="25"/>
          <w:szCs w:val="25"/>
        </w:rPr>
        <w:t xml:space="preserve">from a regulated service to </w:t>
      </w:r>
      <w:r w:rsidR="009A2973">
        <w:rPr>
          <w:sz w:val="25"/>
          <w:szCs w:val="25"/>
        </w:rPr>
        <w:t xml:space="preserve">a non-regulated service subject to market forces, Duke’s predecessor had a full and fair opportunity to be compensated for that.  Duke cannot go back </w:t>
      </w:r>
      <w:r w:rsidR="00BB7701">
        <w:rPr>
          <w:sz w:val="25"/>
          <w:szCs w:val="25"/>
        </w:rPr>
        <w:t xml:space="preserve">in time </w:t>
      </w:r>
      <w:r w:rsidR="009A2973">
        <w:rPr>
          <w:sz w:val="25"/>
          <w:szCs w:val="25"/>
        </w:rPr>
        <w:t xml:space="preserve">now.  </w:t>
      </w:r>
    </w:p>
    <w:p w:rsidR="00DC1612" w:rsidRPr="009D3899" w:rsidRDefault="00DC1612"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 xml:space="preserve">Duke </w:t>
      </w:r>
      <w:r w:rsidR="00C41F90" w:rsidRPr="009D3899">
        <w:rPr>
          <w:sz w:val="25"/>
          <w:szCs w:val="25"/>
        </w:rPr>
        <w:t xml:space="preserve">voluntarily became </w:t>
      </w:r>
      <w:r w:rsidRPr="009D3899">
        <w:rPr>
          <w:sz w:val="25"/>
          <w:szCs w:val="25"/>
        </w:rPr>
        <w:t>an FRR entity.</w:t>
      </w:r>
      <w:r w:rsidR="00C41F90" w:rsidRPr="009D3899">
        <w:rPr>
          <w:sz w:val="25"/>
          <w:szCs w:val="25"/>
        </w:rPr>
        <w:t xml:space="preserve">  There </w:t>
      </w:r>
      <w:r w:rsidR="000750DD">
        <w:rPr>
          <w:sz w:val="25"/>
          <w:szCs w:val="25"/>
        </w:rPr>
        <w:t>i</w:t>
      </w:r>
      <w:r w:rsidR="00C41F90" w:rsidRPr="009D3899">
        <w:rPr>
          <w:sz w:val="25"/>
          <w:szCs w:val="25"/>
        </w:rPr>
        <w:t xml:space="preserve">s no governmental requirement for </w:t>
      </w:r>
      <w:r w:rsidRPr="009D3899">
        <w:rPr>
          <w:sz w:val="25"/>
          <w:szCs w:val="25"/>
        </w:rPr>
        <w:t xml:space="preserve">Duke to provide </w:t>
      </w:r>
      <w:r w:rsidR="00B777BE">
        <w:rPr>
          <w:sz w:val="25"/>
          <w:szCs w:val="25"/>
        </w:rPr>
        <w:t xml:space="preserve">the </w:t>
      </w:r>
      <w:r w:rsidRPr="009D3899">
        <w:rPr>
          <w:sz w:val="25"/>
          <w:szCs w:val="25"/>
        </w:rPr>
        <w:t>capacity to support the entire load in its footprint.</w:t>
      </w:r>
      <w:r w:rsidR="00C41F90" w:rsidRPr="009D3899">
        <w:rPr>
          <w:sz w:val="25"/>
          <w:szCs w:val="25"/>
        </w:rPr>
        <w:t xml:space="preserve">  The requirement c</w:t>
      </w:r>
      <w:r w:rsidR="000750DD">
        <w:rPr>
          <w:sz w:val="25"/>
          <w:szCs w:val="25"/>
        </w:rPr>
        <w:t>o</w:t>
      </w:r>
      <w:r w:rsidR="00C41F90" w:rsidRPr="009D3899">
        <w:rPr>
          <w:sz w:val="25"/>
          <w:szCs w:val="25"/>
        </w:rPr>
        <w:t>me</w:t>
      </w:r>
      <w:r w:rsidR="000750DD">
        <w:rPr>
          <w:sz w:val="25"/>
          <w:szCs w:val="25"/>
        </w:rPr>
        <w:t>s</w:t>
      </w:r>
      <w:r w:rsidR="00C41F90" w:rsidRPr="009D3899">
        <w:rPr>
          <w:sz w:val="25"/>
          <w:szCs w:val="25"/>
        </w:rPr>
        <w:t xml:space="preserve"> from </w:t>
      </w:r>
      <w:r w:rsidR="00B777BE">
        <w:rPr>
          <w:sz w:val="25"/>
          <w:szCs w:val="25"/>
        </w:rPr>
        <w:t xml:space="preserve">the </w:t>
      </w:r>
      <w:r w:rsidR="00C41F90" w:rsidRPr="009D3899">
        <w:rPr>
          <w:sz w:val="25"/>
          <w:szCs w:val="25"/>
        </w:rPr>
        <w:t>private contractual arrangements that Duke assumed</w:t>
      </w:r>
      <w:r w:rsidR="00BB7701">
        <w:rPr>
          <w:sz w:val="25"/>
          <w:szCs w:val="25"/>
        </w:rPr>
        <w:t xml:space="preserve"> </w:t>
      </w:r>
      <w:r w:rsidR="000750DD">
        <w:rPr>
          <w:sz w:val="25"/>
          <w:szCs w:val="25"/>
        </w:rPr>
        <w:t xml:space="preserve">by joining </w:t>
      </w:r>
      <w:r w:rsidR="00BB7701">
        <w:rPr>
          <w:sz w:val="25"/>
          <w:szCs w:val="25"/>
        </w:rPr>
        <w:t>PJM</w:t>
      </w:r>
      <w:r w:rsidR="00C41F90" w:rsidRPr="009D3899">
        <w:rPr>
          <w:sz w:val="25"/>
          <w:szCs w:val="25"/>
        </w:rPr>
        <w:t xml:space="preserve">.  A state compensation mechanism only comes into play </w:t>
      </w:r>
      <w:r w:rsidR="00B777BE">
        <w:rPr>
          <w:i/>
          <w:sz w:val="25"/>
          <w:szCs w:val="25"/>
        </w:rPr>
        <w:t>if</w:t>
      </w:r>
      <w:r w:rsidR="00C41F90" w:rsidRPr="009D3899">
        <w:rPr>
          <w:sz w:val="25"/>
          <w:szCs w:val="25"/>
        </w:rPr>
        <w:t xml:space="preserve"> the state requires shopping customers or CRES providers to buy</w:t>
      </w:r>
      <w:r w:rsidR="00B777BE">
        <w:rPr>
          <w:sz w:val="25"/>
          <w:szCs w:val="25"/>
        </w:rPr>
        <w:t xml:space="preserve"> capacity service from Duke and </w:t>
      </w:r>
      <w:r w:rsidR="00C41F90" w:rsidRPr="009D3899">
        <w:rPr>
          <w:sz w:val="25"/>
          <w:szCs w:val="25"/>
        </w:rPr>
        <w:t>establish</w:t>
      </w:r>
      <w:r w:rsidR="00B777BE">
        <w:rPr>
          <w:sz w:val="25"/>
          <w:szCs w:val="25"/>
        </w:rPr>
        <w:t>es</w:t>
      </w:r>
      <w:r w:rsidR="00C41F90" w:rsidRPr="009D3899">
        <w:rPr>
          <w:sz w:val="25"/>
          <w:szCs w:val="25"/>
        </w:rPr>
        <w:t xml:space="preserve"> a compensation mechanism</w:t>
      </w:r>
      <w:r w:rsidR="00B777BE">
        <w:rPr>
          <w:sz w:val="25"/>
          <w:szCs w:val="25"/>
        </w:rPr>
        <w:t xml:space="preserve"> for that capacity</w:t>
      </w:r>
      <w:r w:rsidR="00C41F90" w:rsidRPr="009D3899">
        <w:rPr>
          <w:sz w:val="25"/>
          <w:szCs w:val="25"/>
        </w:rPr>
        <w:t xml:space="preserve">.  Otherwise, </w:t>
      </w:r>
      <w:r w:rsidR="00B777BE">
        <w:rPr>
          <w:sz w:val="25"/>
          <w:szCs w:val="25"/>
        </w:rPr>
        <w:t xml:space="preserve">the PJM tariff </w:t>
      </w:r>
      <w:r w:rsidR="00C41F90" w:rsidRPr="009D3899">
        <w:rPr>
          <w:sz w:val="25"/>
          <w:szCs w:val="25"/>
        </w:rPr>
        <w:t xml:space="preserve">requires Duke </w:t>
      </w:r>
      <w:r w:rsidR="00B777BE">
        <w:rPr>
          <w:sz w:val="25"/>
          <w:szCs w:val="25"/>
        </w:rPr>
        <w:t xml:space="preserve">to </w:t>
      </w:r>
      <w:r w:rsidR="00C41F90" w:rsidRPr="009D3899">
        <w:rPr>
          <w:sz w:val="25"/>
          <w:szCs w:val="25"/>
        </w:rPr>
        <w:t xml:space="preserve">accept market based prices.  </w:t>
      </w:r>
      <w:r w:rsidR="00DD10A8" w:rsidRPr="009D3899">
        <w:rPr>
          <w:sz w:val="25"/>
          <w:szCs w:val="25"/>
        </w:rPr>
        <w:t xml:space="preserve">Duke wrongly assumes that the government </w:t>
      </w:r>
      <w:r w:rsidR="00B777BE">
        <w:rPr>
          <w:sz w:val="25"/>
          <w:szCs w:val="25"/>
        </w:rPr>
        <w:t>has required</w:t>
      </w:r>
      <w:r w:rsidR="00DD10A8" w:rsidRPr="009D3899">
        <w:rPr>
          <w:sz w:val="25"/>
          <w:szCs w:val="25"/>
        </w:rPr>
        <w:t xml:space="preserve"> it to supply capacity and that the government is dictating </w:t>
      </w:r>
      <w:r w:rsidR="00B777BE">
        <w:rPr>
          <w:sz w:val="25"/>
          <w:szCs w:val="25"/>
        </w:rPr>
        <w:t>t</w:t>
      </w:r>
      <w:r w:rsidR="00DD10A8" w:rsidRPr="009D3899">
        <w:rPr>
          <w:sz w:val="25"/>
          <w:szCs w:val="25"/>
        </w:rPr>
        <w:t>h</w:t>
      </w:r>
      <w:r w:rsidR="00B777BE">
        <w:rPr>
          <w:sz w:val="25"/>
          <w:szCs w:val="25"/>
        </w:rPr>
        <w:t>e</w:t>
      </w:r>
      <w:r w:rsidR="00DD10A8" w:rsidRPr="009D3899">
        <w:rPr>
          <w:sz w:val="25"/>
          <w:szCs w:val="25"/>
        </w:rPr>
        <w:t xml:space="preserve"> prices it may charge.  Duke is wrong on both counts.  Ohio did not force Duke to join PJM.  </w:t>
      </w:r>
      <w:r w:rsidR="00B777BE" w:rsidRPr="009D3899">
        <w:rPr>
          <w:sz w:val="25"/>
          <w:szCs w:val="25"/>
        </w:rPr>
        <w:t xml:space="preserve">Ohio did not require Duke to supply capacity to competitors.  </w:t>
      </w:r>
      <w:r w:rsidR="00DD10A8" w:rsidRPr="009D3899">
        <w:rPr>
          <w:sz w:val="25"/>
          <w:szCs w:val="25"/>
        </w:rPr>
        <w:t xml:space="preserve">Ohio did not set the PJM market prices.  There is no constitutional taking or due process issue here.  </w:t>
      </w:r>
    </w:p>
    <w:p w:rsidR="00DC1612" w:rsidRPr="000750DD" w:rsidRDefault="000750DD" w:rsidP="00C64FBC">
      <w:pPr>
        <w:pStyle w:val="Heading1"/>
        <w:widowControl/>
      </w:pPr>
      <w:bookmarkStart w:id="5" w:name="_Toc362611554"/>
      <w:r w:rsidRPr="000750DD">
        <w:lastRenderedPageBreak/>
        <w:t>V.</w:t>
      </w:r>
      <w:r w:rsidRPr="000750DD">
        <w:tab/>
        <w:t>THE ESP LAWFULLY ADDRESSED CAPACITY PRICING AND DUKE IS IMPROPERLY ATTEMPTING TO UNDERMINE THE ESP STIPULATION.</w:t>
      </w:r>
      <w:bookmarkEnd w:id="5"/>
      <w:r w:rsidRPr="000750DD">
        <w:t xml:space="preserve"> </w:t>
      </w:r>
    </w:p>
    <w:p w:rsidR="000E3DA2" w:rsidRDefault="000E3DA2"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It is obvious from the clear terms of the ESP Stipulation, the unambiguous and uncontested testimony of Duke and Staff witnesses at the hearing to confirm the ESP Stipulation, and numerous other facts and circumstances, as explained in every </w:t>
      </w:r>
      <w:proofErr w:type="spellStart"/>
      <w:r w:rsidR="000750DD">
        <w:rPr>
          <w:sz w:val="25"/>
          <w:szCs w:val="25"/>
        </w:rPr>
        <w:t>Intervenor</w:t>
      </w:r>
      <w:r>
        <w:rPr>
          <w:sz w:val="25"/>
          <w:szCs w:val="25"/>
        </w:rPr>
        <w:t>’s</w:t>
      </w:r>
      <w:proofErr w:type="spellEnd"/>
      <w:r>
        <w:rPr>
          <w:sz w:val="25"/>
          <w:szCs w:val="25"/>
        </w:rPr>
        <w:t xml:space="preserve"> initial</w:t>
      </w:r>
      <w:r w:rsidR="008763CA">
        <w:rPr>
          <w:sz w:val="25"/>
          <w:szCs w:val="25"/>
        </w:rPr>
        <w:t xml:space="preserve"> brief, that</w:t>
      </w:r>
      <w:r>
        <w:rPr>
          <w:sz w:val="25"/>
          <w:szCs w:val="25"/>
        </w:rPr>
        <w:t xml:space="preserve"> all pertinent issues surrounding capacity charges were resolved in the ESP Case.  Duke</w:t>
      </w:r>
      <w:r w:rsidR="00BB7701">
        <w:rPr>
          <w:sz w:val="25"/>
          <w:szCs w:val="25"/>
        </w:rPr>
        <w:t>’s initial brief</w:t>
      </w:r>
      <w:r>
        <w:rPr>
          <w:sz w:val="25"/>
          <w:szCs w:val="25"/>
        </w:rPr>
        <w:t xml:space="preserve"> did not even bother to address any of that, perhaps because it understands it would be futile to do so.  Instead</w:t>
      </w:r>
      <w:r w:rsidR="000750DD">
        <w:rPr>
          <w:sz w:val="25"/>
          <w:szCs w:val="25"/>
        </w:rPr>
        <w:t xml:space="preserve"> of claiming that the ESP Stipulation does not govern capacity pricing</w:t>
      </w:r>
      <w:r>
        <w:rPr>
          <w:sz w:val="25"/>
          <w:szCs w:val="25"/>
        </w:rPr>
        <w:t xml:space="preserve">, Duke </w:t>
      </w:r>
      <w:r w:rsidR="008763CA">
        <w:rPr>
          <w:sz w:val="25"/>
          <w:szCs w:val="25"/>
        </w:rPr>
        <w:t xml:space="preserve">now </w:t>
      </w:r>
      <w:r>
        <w:rPr>
          <w:sz w:val="25"/>
          <w:szCs w:val="25"/>
        </w:rPr>
        <w:t>trie</w:t>
      </w:r>
      <w:r w:rsidR="008763CA">
        <w:rPr>
          <w:sz w:val="25"/>
          <w:szCs w:val="25"/>
        </w:rPr>
        <w:t>s</w:t>
      </w:r>
      <w:r>
        <w:rPr>
          <w:sz w:val="25"/>
          <w:szCs w:val="25"/>
        </w:rPr>
        <w:t xml:space="preserve"> </w:t>
      </w:r>
      <w:r w:rsidR="000750DD">
        <w:rPr>
          <w:sz w:val="25"/>
          <w:szCs w:val="25"/>
        </w:rPr>
        <w:t xml:space="preserve">the </w:t>
      </w:r>
      <w:r>
        <w:rPr>
          <w:sz w:val="25"/>
          <w:szCs w:val="25"/>
        </w:rPr>
        <w:t xml:space="preserve">tactic of claiming that the capacity provisions of the ESP Stipulation were unlawful.  </w:t>
      </w:r>
      <w:r w:rsidR="00BB7701">
        <w:rPr>
          <w:sz w:val="25"/>
          <w:szCs w:val="25"/>
        </w:rPr>
        <w:t>That claim is n</w:t>
      </w:r>
      <w:r>
        <w:rPr>
          <w:sz w:val="25"/>
          <w:szCs w:val="25"/>
        </w:rPr>
        <w:t>onsense</w:t>
      </w:r>
      <w:r w:rsidR="00BB7701">
        <w:rPr>
          <w:sz w:val="25"/>
          <w:szCs w:val="25"/>
        </w:rPr>
        <w:t xml:space="preserve"> and relies on a simplistic and artificial approach to a distinction between wholesale and retail service</w:t>
      </w:r>
      <w:r>
        <w:rPr>
          <w:sz w:val="25"/>
          <w:szCs w:val="25"/>
        </w:rPr>
        <w:t xml:space="preserve">.  </w:t>
      </w:r>
      <w:r w:rsidR="00E56A0C">
        <w:rPr>
          <w:sz w:val="25"/>
          <w:szCs w:val="25"/>
        </w:rPr>
        <w:t xml:space="preserve">This </w:t>
      </w:r>
      <w:r w:rsidR="00BB7701">
        <w:rPr>
          <w:sz w:val="25"/>
          <w:szCs w:val="25"/>
        </w:rPr>
        <w:t xml:space="preserve">argument </w:t>
      </w:r>
      <w:r w:rsidR="00E56A0C">
        <w:rPr>
          <w:sz w:val="25"/>
          <w:szCs w:val="25"/>
        </w:rPr>
        <w:t>itself violates the terms of the ESP Stipulation.  Duke agreed in the Stipulation that “the settlement package does not violate any important regulatory principle or practice.”</w:t>
      </w:r>
      <w:r w:rsidR="00E56A0C">
        <w:rPr>
          <w:rStyle w:val="FootnoteReference"/>
          <w:sz w:val="25"/>
          <w:szCs w:val="25"/>
        </w:rPr>
        <w:footnoteReference w:id="8"/>
      </w:r>
      <w:r w:rsidR="00E56A0C">
        <w:rPr>
          <w:sz w:val="25"/>
          <w:szCs w:val="25"/>
        </w:rPr>
        <w:t xml:space="preserve">  </w:t>
      </w:r>
      <w:r w:rsidR="00B8570B">
        <w:rPr>
          <w:sz w:val="25"/>
          <w:szCs w:val="25"/>
        </w:rPr>
        <w:t xml:space="preserve">Now </w:t>
      </w:r>
      <w:r w:rsidR="00BB7701">
        <w:rPr>
          <w:sz w:val="25"/>
          <w:szCs w:val="25"/>
        </w:rPr>
        <w:t xml:space="preserve">Duke </w:t>
      </w:r>
      <w:r w:rsidR="00B8570B">
        <w:rPr>
          <w:sz w:val="25"/>
          <w:szCs w:val="25"/>
        </w:rPr>
        <w:t>claims that it does.  Duke also promised “to support the Stipulation and to do nothing, directly or indirectly, to undermine the Stipulation or the Commission’s approval of it.”</w:t>
      </w:r>
      <w:r w:rsidR="00B8570B">
        <w:rPr>
          <w:rStyle w:val="FootnoteReference"/>
          <w:sz w:val="25"/>
          <w:szCs w:val="25"/>
        </w:rPr>
        <w:footnoteReference w:id="9"/>
      </w:r>
      <w:r w:rsidR="00B8570B">
        <w:rPr>
          <w:sz w:val="25"/>
          <w:szCs w:val="25"/>
        </w:rPr>
        <w:t xml:space="preserve">  Now Duke is disregarding that agreement</w:t>
      </w:r>
      <w:r w:rsidR="00BB7701">
        <w:rPr>
          <w:sz w:val="25"/>
          <w:szCs w:val="25"/>
        </w:rPr>
        <w:t xml:space="preserve"> and attempting to jettison significant terms of the ESP Stipulation</w:t>
      </w:r>
      <w:r w:rsidR="00B8570B">
        <w:rPr>
          <w:sz w:val="25"/>
          <w:szCs w:val="25"/>
        </w:rPr>
        <w:t xml:space="preserve">.  </w:t>
      </w:r>
    </w:p>
    <w:p w:rsidR="008763CA" w:rsidRDefault="006C50E7"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 xml:space="preserve">Duke </w:t>
      </w:r>
      <w:r w:rsidR="008763CA">
        <w:rPr>
          <w:sz w:val="25"/>
          <w:szCs w:val="25"/>
        </w:rPr>
        <w:t xml:space="preserve">argues </w:t>
      </w:r>
      <w:r w:rsidRPr="009D3899">
        <w:rPr>
          <w:sz w:val="25"/>
          <w:szCs w:val="25"/>
        </w:rPr>
        <w:t xml:space="preserve">that </w:t>
      </w:r>
      <w:r w:rsidR="00DC1612" w:rsidRPr="009D3899">
        <w:rPr>
          <w:sz w:val="25"/>
          <w:szCs w:val="25"/>
        </w:rPr>
        <w:t xml:space="preserve">only </w:t>
      </w:r>
      <w:r w:rsidR="0094281B" w:rsidRPr="009D3899">
        <w:rPr>
          <w:sz w:val="25"/>
          <w:szCs w:val="25"/>
        </w:rPr>
        <w:t xml:space="preserve">the </w:t>
      </w:r>
      <w:r w:rsidR="00DC1612" w:rsidRPr="009D3899">
        <w:rPr>
          <w:sz w:val="25"/>
          <w:szCs w:val="25"/>
        </w:rPr>
        <w:t xml:space="preserve">statutorily prescribed components </w:t>
      </w:r>
      <w:r w:rsidRPr="009D3899">
        <w:rPr>
          <w:sz w:val="25"/>
          <w:szCs w:val="25"/>
        </w:rPr>
        <w:t>identified in R.C. 4928.143</w:t>
      </w:r>
      <w:r w:rsidR="008763CA">
        <w:rPr>
          <w:sz w:val="25"/>
          <w:szCs w:val="25"/>
        </w:rPr>
        <w:t xml:space="preserve"> </w:t>
      </w:r>
      <w:r w:rsidR="00DC1612" w:rsidRPr="009D3899">
        <w:rPr>
          <w:sz w:val="25"/>
          <w:szCs w:val="25"/>
        </w:rPr>
        <w:t>may be included in a</w:t>
      </w:r>
      <w:r w:rsidRPr="009D3899">
        <w:rPr>
          <w:sz w:val="25"/>
          <w:szCs w:val="25"/>
        </w:rPr>
        <w:t>n SSO plan.</w:t>
      </w:r>
      <w:r w:rsidR="0018461E" w:rsidRPr="009D3899">
        <w:rPr>
          <w:rStyle w:val="FootnoteReference"/>
          <w:sz w:val="25"/>
          <w:szCs w:val="25"/>
        </w:rPr>
        <w:footnoteReference w:id="10"/>
      </w:r>
      <w:r w:rsidR="0094281B" w:rsidRPr="009D3899">
        <w:rPr>
          <w:sz w:val="25"/>
          <w:szCs w:val="25"/>
          <w:vertAlign w:val="superscript"/>
        </w:rPr>
        <w:t xml:space="preserve"> </w:t>
      </w:r>
      <w:r w:rsidR="0018461E" w:rsidRPr="009D3899">
        <w:rPr>
          <w:sz w:val="25"/>
          <w:szCs w:val="25"/>
          <w:vertAlign w:val="superscript"/>
        </w:rPr>
        <w:t xml:space="preserve"> </w:t>
      </w:r>
      <w:r w:rsidR="008763CA">
        <w:rPr>
          <w:sz w:val="25"/>
          <w:szCs w:val="25"/>
        </w:rPr>
        <w:t>Then it contends that capacity is not a subject that is permitted.  D</w:t>
      </w:r>
      <w:r w:rsidR="0094281B" w:rsidRPr="009D3899">
        <w:rPr>
          <w:sz w:val="25"/>
          <w:szCs w:val="25"/>
        </w:rPr>
        <w:t xml:space="preserve">uke’s argument </w:t>
      </w:r>
      <w:r w:rsidR="008763CA">
        <w:rPr>
          <w:sz w:val="25"/>
          <w:szCs w:val="25"/>
        </w:rPr>
        <w:t xml:space="preserve">is wrong </w:t>
      </w:r>
      <w:r w:rsidR="00BB7701">
        <w:rPr>
          <w:sz w:val="25"/>
          <w:szCs w:val="25"/>
        </w:rPr>
        <w:t xml:space="preserve">for </w:t>
      </w:r>
      <w:r w:rsidR="008763CA">
        <w:rPr>
          <w:sz w:val="25"/>
          <w:szCs w:val="25"/>
        </w:rPr>
        <w:t xml:space="preserve">two </w:t>
      </w:r>
      <w:r w:rsidR="00BB7701">
        <w:rPr>
          <w:sz w:val="25"/>
          <w:szCs w:val="25"/>
        </w:rPr>
        <w:t>reasons</w:t>
      </w:r>
      <w:r w:rsidR="008763CA">
        <w:rPr>
          <w:sz w:val="25"/>
          <w:szCs w:val="25"/>
        </w:rPr>
        <w:t xml:space="preserve">:  it is now too late to contest the </w:t>
      </w:r>
      <w:r w:rsidR="008763CA">
        <w:rPr>
          <w:sz w:val="25"/>
          <w:szCs w:val="25"/>
        </w:rPr>
        <w:lastRenderedPageBreak/>
        <w:t xml:space="preserve">contents of the ESP; and Duke is wrong on the merits of what the SSO statutes allow to be included in an ESP.  </w:t>
      </w:r>
    </w:p>
    <w:p w:rsidR="00DC1612" w:rsidRPr="009D3899" w:rsidRDefault="0094281B"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 xml:space="preserve">In </w:t>
      </w:r>
      <w:r w:rsidRPr="009D3899">
        <w:rPr>
          <w:i/>
          <w:sz w:val="25"/>
          <w:szCs w:val="25"/>
        </w:rPr>
        <w:t>Columbus Southern Power</w:t>
      </w:r>
      <w:r w:rsidRPr="009D3899">
        <w:rPr>
          <w:sz w:val="25"/>
          <w:szCs w:val="25"/>
        </w:rPr>
        <w:t xml:space="preserve">, there was no </w:t>
      </w:r>
      <w:r w:rsidR="008763CA">
        <w:rPr>
          <w:sz w:val="25"/>
          <w:szCs w:val="25"/>
        </w:rPr>
        <w:t xml:space="preserve">settlement </w:t>
      </w:r>
      <w:r w:rsidRPr="009D3899">
        <w:rPr>
          <w:sz w:val="25"/>
          <w:szCs w:val="25"/>
        </w:rPr>
        <w:t xml:space="preserve">and the Commission </w:t>
      </w:r>
      <w:r w:rsidR="008763CA">
        <w:rPr>
          <w:sz w:val="25"/>
          <w:szCs w:val="25"/>
        </w:rPr>
        <w:t>decide</w:t>
      </w:r>
      <w:r w:rsidR="00873F06">
        <w:rPr>
          <w:sz w:val="25"/>
          <w:szCs w:val="25"/>
        </w:rPr>
        <w:t>d</w:t>
      </w:r>
      <w:r w:rsidR="008763CA">
        <w:rPr>
          <w:sz w:val="25"/>
          <w:szCs w:val="25"/>
        </w:rPr>
        <w:t xml:space="preserve"> the terms of the </w:t>
      </w:r>
      <w:r w:rsidRPr="009D3899">
        <w:rPr>
          <w:sz w:val="25"/>
          <w:szCs w:val="25"/>
        </w:rPr>
        <w:t>ESP</w:t>
      </w:r>
      <w:r w:rsidR="00873F06">
        <w:rPr>
          <w:sz w:val="25"/>
          <w:szCs w:val="25"/>
        </w:rPr>
        <w:t xml:space="preserve"> over s</w:t>
      </w:r>
      <w:r w:rsidR="00674BF5">
        <w:rPr>
          <w:sz w:val="25"/>
          <w:szCs w:val="25"/>
        </w:rPr>
        <w:t>ome</w:t>
      </w:r>
      <w:r w:rsidRPr="009D3899">
        <w:rPr>
          <w:sz w:val="25"/>
          <w:szCs w:val="25"/>
        </w:rPr>
        <w:t xml:space="preserve"> parties</w:t>
      </w:r>
      <w:r w:rsidR="00873F06">
        <w:rPr>
          <w:sz w:val="25"/>
          <w:szCs w:val="25"/>
        </w:rPr>
        <w:t xml:space="preserve">’ objection.  That led to an appeal in which the Ohio Supreme Court found certain errors in the ESP plan.  </w:t>
      </w:r>
      <w:r w:rsidR="008000A5">
        <w:rPr>
          <w:sz w:val="25"/>
          <w:szCs w:val="25"/>
        </w:rPr>
        <w:t xml:space="preserve">In this case, no one objected to any provision in the ESP, no one sought rehearing and no one appealed.  </w:t>
      </w:r>
      <w:r w:rsidR="00873F06">
        <w:rPr>
          <w:sz w:val="25"/>
          <w:szCs w:val="25"/>
        </w:rPr>
        <w:t xml:space="preserve">There is no basis to challenge anything about the ESP plan now.  </w:t>
      </w:r>
      <w:r w:rsidR="00BB7701">
        <w:rPr>
          <w:sz w:val="25"/>
          <w:szCs w:val="25"/>
        </w:rPr>
        <w:t xml:space="preserve">At the time, </w:t>
      </w:r>
      <w:r w:rsidR="008000A5">
        <w:rPr>
          <w:sz w:val="25"/>
          <w:szCs w:val="25"/>
        </w:rPr>
        <w:t xml:space="preserve">Duke </w:t>
      </w:r>
      <w:r w:rsidR="000750DD">
        <w:rPr>
          <w:sz w:val="25"/>
          <w:szCs w:val="25"/>
        </w:rPr>
        <w:t xml:space="preserve">obviously </w:t>
      </w:r>
      <w:r w:rsidR="00BB7701">
        <w:rPr>
          <w:sz w:val="25"/>
          <w:szCs w:val="25"/>
        </w:rPr>
        <w:t xml:space="preserve">did not think </w:t>
      </w:r>
      <w:r w:rsidR="00873F06">
        <w:rPr>
          <w:sz w:val="25"/>
          <w:szCs w:val="25"/>
        </w:rPr>
        <w:t>an</w:t>
      </w:r>
      <w:r w:rsidR="008000A5">
        <w:rPr>
          <w:sz w:val="25"/>
          <w:szCs w:val="25"/>
        </w:rPr>
        <w:t xml:space="preserve">ything in the ESP plan was </w:t>
      </w:r>
      <w:r w:rsidR="00873F06">
        <w:rPr>
          <w:sz w:val="25"/>
          <w:szCs w:val="25"/>
        </w:rPr>
        <w:t>improper</w:t>
      </w:r>
      <w:r w:rsidR="008000A5">
        <w:rPr>
          <w:sz w:val="25"/>
          <w:szCs w:val="25"/>
        </w:rPr>
        <w:t xml:space="preserve">.  It </w:t>
      </w:r>
      <w:r w:rsidR="00873F06">
        <w:rPr>
          <w:sz w:val="25"/>
          <w:szCs w:val="25"/>
        </w:rPr>
        <w:t xml:space="preserve">agreed to and </w:t>
      </w:r>
      <w:r w:rsidR="008000A5">
        <w:rPr>
          <w:sz w:val="25"/>
          <w:szCs w:val="25"/>
        </w:rPr>
        <w:t>accepted the plan</w:t>
      </w:r>
      <w:r w:rsidR="00873F06">
        <w:rPr>
          <w:sz w:val="25"/>
          <w:szCs w:val="25"/>
        </w:rPr>
        <w:t xml:space="preserve"> and supported it with testimony that the ESP Stipulation did not violate any regulatory principles.  </w:t>
      </w:r>
      <w:r w:rsidR="008000A5">
        <w:rPr>
          <w:sz w:val="25"/>
          <w:szCs w:val="25"/>
        </w:rPr>
        <w:t xml:space="preserve">Any attempt by Duke to disavow portions of the ESP plan as unlawful now is certainly untimely and barred by </w:t>
      </w:r>
      <w:r w:rsidR="008000A5">
        <w:rPr>
          <w:i/>
          <w:sz w:val="25"/>
          <w:szCs w:val="25"/>
        </w:rPr>
        <w:t>res judicata</w:t>
      </w:r>
      <w:r w:rsidR="008000A5" w:rsidRPr="008000A5">
        <w:rPr>
          <w:sz w:val="25"/>
          <w:szCs w:val="25"/>
        </w:rPr>
        <w:t xml:space="preserve">, </w:t>
      </w:r>
      <w:r w:rsidR="008000A5">
        <w:rPr>
          <w:sz w:val="25"/>
          <w:szCs w:val="25"/>
        </w:rPr>
        <w:t>waiver and</w:t>
      </w:r>
      <w:r w:rsidR="00BB7701">
        <w:rPr>
          <w:sz w:val="25"/>
          <w:szCs w:val="25"/>
        </w:rPr>
        <w:t>/or</w:t>
      </w:r>
      <w:r w:rsidR="008000A5">
        <w:rPr>
          <w:sz w:val="25"/>
          <w:szCs w:val="25"/>
        </w:rPr>
        <w:t xml:space="preserve"> estoppel.  </w:t>
      </w:r>
      <w:r w:rsidRPr="009D3899">
        <w:rPr>
          <w:sz w:val="25"/>
          <w:szCs w:val="25"/>
        </w:rPr>
        <w:t xml:space="preserve">Duke </w:t>
      </w:r>
      <w:r w:rsidR="00873F06">
        <w:rPr>
          <w:sz w:val="25"/>
          <w:szCs w:val="25"/>
        </w:rPr>
        <w:t xml:space="preserve">cannot </w:t>
      </w:r>
      <w:r w:rsidRPr="009D3899">
        <w:rPr>
          <w:sz w:val="25"/>
          <w:szCs w:val="25"/>
        </w:rPr>
        <w:t xml:space="preserve">claim </w:t>
      </w:r>
      <w:r w:rsidRPr="009D3899">
        <w:rPr>
          <w:i/>
          <w:sz w:val="25"/>
          <w:szCs w:val="25"/>
        </w:rPr>
        <w:t>not</w:t>
      </w:r>
      <w:r w:rsidRPr="009D3899">
        <w:rPr>
          <w:sz w:val="25"/>
          <w:szCs w:val="25"/>
        </w:rPr>
        <w:t xml:space="preserve"> to be trying to alter </w:t>
      </w:r>
      <w:r w:rsidR="000750DD">
        <w:rPr>
          <w:sz w:val="25"/>
          <w:szCs w:val="25"/>
        </w:rPr>
        <w:t xml:space="preserve">or undermine </w:t>
      </w:r>
      <w:r w:rsidRPr="009D3899">
        <w:rPr>
          <w:sz w:val="25"/>
          <w:szCs w:val="25"/>
        </w:rPr>
        <w:t xml:space="preserve">the ESP Stipulation </w:t>
      </w:r>
      <w:r w:rsidR="00BB7701">
        <w:rPr>
          <w:sz w:val="25"/>
          <w:szCs w:val="25"/>
        </w:rPr>
        <w:t>whe</w:t>
      </w:r>
      <w:r w:rsidR="000750DD">
        <w:rPr>
          <w:sz w:val="25"/>
          <w:szCs w:val="25"/>
        </w:rPr>
        <w:t>n</w:t>
      </w:r>
      <w:r w:rsidR="00BB7701">
        <w:rPr>
          <w:sz w:val="25"/>
          <w:szCs w:val="25"/>
        </w:rPr>
        <w:t xml:space="preserve"> it is </w:t>
      </w:r>
      <w:r w:rsidR="00873F06">
        <w:rPr>
          <w:sz w:val="25"/>
          <w:szCs w:val="25"/>
        </w:rPr>
        <w:t>a</w:t>
      </w:r>
      <w:r w:rsidR="000750DD">
        <w:rPr>
          <w:sz w:val="25"/>
          <w:szCs w:val="25"/>
        </w:rPr>
        <w:t>rgu</w:t>
      </w:r>
      <w:r w:rsidR="00BB7701">
        <w:rPr>
          <w:sz w:val="25"/>
          <w:szCs w:val="25"/>
        </w:rPr>
        <w:t>ing</w:t>
      </w:r>
      <w:r w:rsidR="00F70EB3">
        <w:rPr>
          <w:sz w:val="25"/>
          <w:szCs w:val="25"/>
        </w:rPr>
        <w:t xml:space="preserve"> </w:t>
      </w:r>
      <w:r w:rsidR="000750DD">
        <w:rPr>
          <w:sz w:val="25"/>
          <w:szCs w:val="25"/>
        </w:rPr>
        <w:t xml:space="preserve">that </w:t>
      </w:r>
      <w:r w:rsidR="00873F06">
        <w:rPr>
          <w:sz w:val="25"/>
          <w:szCs w:val="25"/>
        </w:rPr>
        <w:t xml:space="preserve">portions of </w:t>
      </w:r>
      <w:r w:rsidR="000750DD">
        <w:rPr>
          <w:sz w:val="25"/>
          <w:szCs w:val="25"/>
        </w:rPr>
        <w:t xml:space="preserve">it </w:t>
      </w:r>
      <w:r w:rsidR="00F70EB3">
        <w:rPr>
          <w:sz w:val="25"/>
          <w:szCs w:val="25"/>
        </w:rPr>
        <w:t>a</w:t>
      </w:r>
      <w:r w:rsidR="000750DD">
        <w:rPr>
          <w:sz w:val="25"/>
          <w:szCs w:val="25"/>
        </w:rPr>
        <w:t>re</w:t>
      </w:r>
      <w:r w:rsidRPr="009D3899">
        <w:rPr>
          <w:sz w:val="25"/>
          <w:szCs w:val="25"/>
        </w:rPr>
        <w:t xml:space="preserve"> not legally authorized.  Duke </w:t>
      </w:r>
      <w:r w:rsidR="000750DD">
        <w:rPr>
          <w:sz w:val="25"/>
          <w:szCs w:val="25"/>
        </w:rPr>
        <w:t>is not standing</w:t>
      </w:r>
      <w:r w:rsidRPr="009D3899">
        <w:rPr>
          <w:sz w:val="25"/>
          <w:szCs w:val="25"/>
        </w:rPr>
        <w:t xml:space="preserve"> </w:t>
      </w:r>
      <w:r w:rsidR="00F70EB3">
        <w:rPr>
          <w:sz w:val="25"/>
          <w:szCs w:val="25"/>
        </w:rPr>
        <w:t xml:space="preserve">fully </w:t>
      </w:r>
      <w:r w:rsidRPr="009D3899">
        <w:rPr>
          <w:sz w:val="25"/>
          <w:szCs w:val="25"/>
        </w:rPr>
        <w:t xml:space="preserve">behind the ESP Stipulation </w:t>
      </w:r>
      <w:r w:rsidR="00873F06">
        <w:rPr>
          <w:sz w:val="25"/>
          <w:szCs w:val="25"/>
        </w:rPr>
        <w:t>as it said it would</w:t>
      </w:r>
      <w:r w:rsidR="000750DD">
        <w:rPr>
          <w:sz w:val="25"/>
          <w:szCs w:val="25"/>
        </w:rPr>
        <w:t xml:space="preserve"> do</w:t>
      </w:r>
      <w:r w:rsidRPr="009D3899">
        <w:rPr>
          <w:sz w:val="25"/>
          <w:szCs w:val="25"/>
        </w:rPr>
        <w:t xml:space="preserve">.  And, if Duke can contend </w:t>
      </w:r>
      <w:r w:rsidR="00F70EB3" w:rsidRPr="009D3899">
        <w:rPr>
          <w:sz w:val="25"/>
          <w:szCs w:val="25"/>
        </w:rPr>
        <w:t xml:space="preserve">now </w:t>
      </w:r>
      <w:r w:rsidRPr="009D3899">
        <w:rPr>
          <w:sz w:val="25"/>
          <w:szCs w:val="25"/>
        </w:rPr>
        <w:t xml:space="preserve">that capacity issues were not properly included in the ESP Stipulation, what other feature of the ESP Stipulation might Duke try to disavow in the future?  Having failed to </w:t>
      </w:r>
      <w:r w:rsidR="000750DD">
        <w:rPr>
          <w:sz w:val="25"/>
          <w:szCs w:val="25"/>
        </w:rPr>
        <w:t xml:space="preserve">withdraw </w:t>
      </w:r>
      <w:r w:rsidR="00F70EB3">
        <w:rPr>
          <w:sz w:val="25"/>
          <w:szCs w:val="25"/>
        </w:rPr>
        <w:t xml:space="preserve">the ESP or </w:t>
      </w:r>
      <w:r w:rsidRPr="009D3899">
        <w:rPr>
          <w:sz w:val="25"/>
          <w:szCs w:val="25"/>
        </w:rPr>
        <w:t xml:space="preserve">seek rehearing and appeal the Commission’s Order approving the ESP Stipulation, Duke cannot now be heard to complain about the </w:t>
      </w:r>
      <w:r w:rsidR="000750DD">
        <w:rPr>
          <w:sz w:val="25"/>
          <w:szCs w:val="25"/>
        </w:rPr>
        <w:t xml:space="preserve">content </w:t>
      </w:r>
      <w:r w:rsidRPr="009D3899">
        <w:rPr>
          <w:sz w:val="25"/>
          <w:szCs w:val="25"/>
        </w:rPr>
        <w:t xml:space="preserve">of any portion of it.  </w:t>
      </w:r>
    </w:p>
    <w:p w:rsidR="005F2CE0" w:rsidRDefault="00873F06"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Second, </w:t>
      </w:r>
      <w:r w:rsidR="00BB7701">
        <w:rPr>
          <w:sz w:val="25"/>
          <w:szCs w:val="25"/>
        </w:rPr>
        <w:t xml:space="preserve">and more importantly, </w:t>
      </w:r>
      <w:r>
        <w:rPr>
          <w:sz w:val="25"/>
          <w:szCs w:val="25"/>
        </w:rPr>
        <w:t xml:space="preserve">Duke is </w:t>
      </w:r>
      <w:r w:rsidR="00BB7701">
        <w:rPr>
          <w:sz w:val="25"/>
          <w:szCs w:val="25"/>
        </w:rPr>
        <w:t xml:space="preserve">absolutely </w:t>
      </w:r>
      <w:r>
        <w:rPr>
          <w:sz w:val="25"/>
          <w:szCs w:val="25"/>
        </w:rPr>
        <w:t xml:space="preserve">wrong about what may be included in an ESP.  </w:t>
      </w:r>
      <w:r w:rsidR="006057B3" w:rsidRPr="009D3899">
        <w:rPr>
          <w:sz w:val="25"/>
          <w:szCs w:val="25"/>
        </w:rPr>
        <w:t>Duke contends that capacity is a wholesale service and</w:t>
      </w:r>
      <w:r w:rsidR="00BB7701">
        <w:rPr>
          <w:sz w:val="25"/>
          <w:szCs w:val="25"/>
        </w:rPr>
        <w:t>, therefore,</w:t>
      </w:r>
      <w:r w:rsidR="006057B3" w:rsidRPr="009D3899">
        <w:rPr>
          <w:sz w:val="25"/>
          <w:szCs w:val="25"/>
        </w:rPr>
        <w:t xml:space="preserve"> cannot be addressed in an ESP, which it claims </w:t>
      </w:r>
      <w:r>
        <w:rPr>
          <w:sz w:val="25"/>
          <w:szCs w:val="25"/>
        </w:rPr>
        <w:t xml:space="preserve">is </w:t>
      </w:r>
      <w:r w:rsidR="006057B3" w:rsidRPr="009D3899">
        <w:rPr>
          <w:sz w:val="25"/>
          <w:szCs w:val="25"/>
        </w:rPr>
        <w:t xml:space="preserve">limited to retail service.  </w:t>
      </w:r>
      <w:r w:rsidR="0065301B">
        <w:rPr>
          <w:sz w:val="25"/>
          <w:szCs w:val="25"/>
        </w:rPr>
        <w:t>A</w:t>
      </w:r>
      <w:r w:rsidR="00F70EB3">
        <w:rPr>
          <w:sz w:val="25"/>
          <w:szCs w:val="25"/>
        </w:rPr>
        <w:t xml:space="preserve">n ESP is </w:t>
      </w:r>
      <w:r w:rsidR="0065301B">
        <w:rPr>
          <w:sz w:val="25"/>
          <w:szCs w:val="25"/>
        </w:rPr>
        <w:t xml:space="preserve">one of two approved methods </w:t>
      </w:r>
      <w:r w:rsidR="00F70EB3">
        <w:rPr>
          <w:sz w:val="25"/>
          <w:szCs w:val="25"/>
        </w:rPr>
        <w:t xml:space="preserve">to provide </w:t>
      </w:r>
      <w:r w:rsidR="0065301B">
        <w:rPr>
          <w:sz w:val="25"/>
          <w:szCs w:val="25"/>
        </w:rPr>
        <w:t>a</w:t>
      </w:r>
      <w:r w:rsidR="000750DD">
        <w:rPr>
          <w:sz w:val="25"/>
          <w:szCs w:val="25"/>
        </w:rPr>
        <w:t xml:space="preserve">n </w:t>
      </w:r>
      <w:r w:rsidR="00F70EB3">
        <w:rPr>
          <w:sz w:val="25"/>
          <w:szCs w:val="25"/>
        </w:rPr>
        <w:t>SSO</w:t>
      </w:r>
      <w:r w:rsidR="000750DD">
        <w:rPr>
          <w:sz w:val="25"/>
          <w:szCs w:val="25"/>
        </w:rPr>
        <w:t xml:space="preserve">, </w:t>
      </w:r>
      <w:r w:rsidR="00F70EB3">
        <w:rPr>
          <w:sz w:val="25"/>
          <w:szCs w:val="25"/>
        </w:rPr>
        <w:t xml:space="preserve">the terms </w:t>
      </w:r>
      <w:r w:rsidR="0065301B">
        <w:rPr>
          <w:sz w:val="25"/>
          <w:szCs w:val="25"/>
        </w:rPr>
        <w:t xml:space="preserve">and conditions </w:t>
      </w:r>
      <w:r w:rsidR="00F70EB3">
        <w:rPr>
          <w:sz w:val="25"/>
          <w:szCs w:val="25"/>
        </w:rPr>
        <w:t xml:space="preserve">on which </w:t>
      </w:r>
      <w:r w:rsidR="0065301B">
        <w:rPr>
          <w:sz w:val="25"/>
          <w:szCs w:val="25"/>
        </w:rPr>
        <w:t xml:space="preserve">an electric distribution utility </w:t>
      </w:r>
      <w:r w:rsidR="00F70EB3">
        <w:rPr>
          <w:sz w:val="25"/>
          <w:szCs w:val="25"/>
        </w:rPr>
        <w:t xml:space="preserve">will offer </w:t>
      </w:r>
      <w:r w:rsidR="0065301B">
        <w:rPr>
          <w:sz w:val="25"/>
          <w:szCs w:val="25"/>
        </w:rPr>
        <w:t xml:space="preserve">retail </w:t>
      </w:r>
      <w:r w:rsidR="00F70EB3">
        <w:rPr>
          <w:sz w:val="25"/>
          <w:szCs w:val="25"/>
        </w:rPr>
        <w:t xml:space="preserve">electric service </w:t>
      </w:r>
      <w:r w:rsidR="000750DD">
        <w:rPr>
          <w:sz w:val="25"/>
          <w:szCs w:val="25"/>
        </w:rPr>
        <w:t xml:space="preserve">to </w:t>
      </w:r>
      <w:r w:rsidR="0065301B">
        <w:rPr>
          <w:sz w:val="25"/>
          <w:szCs w:val="25"/>
        </w:rPr>
        <w:t>non-</w:t>
      </w:r>
      <w:r w:rsidR="00F70EB3">
        <w:rPr>
          <w:sz w:val="25"/>
          <w:szCs w:val="25"/>
        </w:rPr>
        <w:t>switch</w:t>
      </w:r>
      <w:r w:rsidR="0065301B">
        <w:rPr>
          <w:sz w:val="25"/>
          <w:szCs w:val="25"/>
        </w:rPr>
        <w:t>ing customers</w:t>
      </w:r>
      <w:r w:rsidR="00F70EB3">
        <w:rPr>
          <w:sz w:val="25"/>
          <w:szCs w:val="25"/>
        </w:rPr>
        <w:t xml:space="preserve">.  </w:t>
      </w:r>
      <w:r w:rsidR="00BB7701">
        <w:rPr>
          <w:sz w:val="25"/>
          <w:szCs w:val="25"/>
        </w:rPr>
        <w:t xml:space="preserve">Nothing in </w:t>
      </w:r>
      <w:r w:rsidR="00BB7701">
        <w:rPr>
          <w:sz w:val="25"/>
          <w:szCs w:val="25"/>
        </w:rPr>
        <w:lastRenderedPageBreak/>
        <w:t xml:space="preserve">the Ohio Revised Code prohibits an ESP from addressing wholesale services as they relate to the SSO.  </w:t>
      </w:r>
    </w:p>
    <w:p w:rsidR="005B3250" w:rsidRDefault="005B3250" w:rsidP="00C64FBC">
      <w:pPr>
        <w:widowControl/>
        <w:kinsoku w:val="0"/>
        <w:overflowPunct w:val="0"/>
        <w:autoSpaceDE/>
        <w:autoSpaceDN/>
        <w:adjustRightInd/>
        <w:spacing w:line="480" w:lineRule="auto"/>
        <w:ind w:firstLine="720"/>
        <w:textAlignment w:val="baseline"/>
        <w:rPr>
          <w:sz w:val="25"/>
          <w:szCs w:val="25"/>
        </w:rPr>
      </w:pPr>
      <w:r>
        <w:rPr>
          <w:sz w:val="25"/>
          <w:szCs w:val="25"/>
        </w:rPr>
        <w:t>Ohio law requires an ESP to “include provisions relating to the supply and pricing of electric generation service.”</w:t>
      </w:r>
      <w:r>
        <w:rPr>
          <w:rStyle w:val="FootnoteReference"/>
          <w:sz w:val="25"/>
          <w:szCs w:val="25"/>
        </w:rPr>
        <w:footnoteReference w:id="11"/>
      </w:r>
      <w:r>
        <w:rPr>
          <w:sz w:val="25"/>
          <w:szCs w:val="25"/>
        </w:rPr>
        <w:t xml:space="preserve">  </w:t>
      </w:r>
      <w:r w:rsidR="00B627AB">
        <w:rPr>
          <w:sz w:val="25"/>
          <w:szCs w:val="25"/>
        </w:rPr>
        <w:t xml:space="preserve">The statute does not distinguish between wholesale and retail </w:t>
      </w:r>
      <w:r w:rsidR="00BB7701">
        <w:rPr>
          <w:sz w:val="25"/>
          <w:szCs w:val="25"/>
        </w:rPr>
        <w:t xml:space="preserve">components of </w:t>
      </w:r>
      <w:r w:rsidR="00B627AB">
        <w:rPr>
          <w:sz w:val="25"/>
          <w:szCs w:val="25"/>
        </w:rPr>
        <w:t xml:space="preserve">generation service in this regard.  The statute </w:t>
      </w:r>
      <w:r w:rsidR="00873F06">
        <w:rPr>
          <w:sz w:val="25"/>
          <w:szCs w:val="25"/>
        </w:rPr>
        <w:t xml:space="preserve">specifically </w:t>
      </w:r>
      <w:r w:rsidR="00B627AB">
        <w:rPr>
          <w:sz w:val="25"/>
          <w:szCs w:val="25"/>
        </w:rPr>
        <w:t>authorizes an ESP to include “the cost of purchased power under the offer, including the cost of energy and capacity.”</w:t>
      </w:r>
      <w:r w:rsidR="00B627AB">
        <w:rPr>
          <w:rStyle w:val="FootnoteReference"/>
          <w:sz w:val="25"/>
          <w:szCs w:val="25"/>
        </w:rPr>
        <w:footnoteReference w:id="12"/>
      </w:r>
      <w:r w:rsidR="00B627AB">
        <w:rPr>
          <w:sz w:val="25"/>
          <w:szCs w:val="25"/>
        </w:rPr>
        <w:t xml:space="preserve">  Duke’s SSO is based </w:t>
      </w:r>
      <w:r w:rsidR="00873F06">
        <w:rPr>
          <w:sz w:val="25"/>
          <w:szCs w:val="25"/>
        </w:rPr>
        <w:t xml:space="preserve">entirely </w:t>
      </w:r>
      <w:r w:rsidR="00B627AB">
        <w:rPr>
          <w:sz w:val="25"/>
          <w:szCs w:val="25"/>
        </w:rPr>
        <w:t xml:space="preserve">upon purchased power, obtained through an auction process, </w:t>
      </w:r>
      <w:r w:rsidR="00873F06">
        <w:rPr>
          <w:sz w:val="25"/>
          <w:szCs w:val="25"/>
        </w:rPr>
        <w:t xml:space="preserve">so </w:t>
      </w:r>
      <w:r w:rsidR="00B627AB">
        <w:rPr>
          <w:sz w:val="25"/>
          <w:szCs w:val="25"/>
        </w:rPr>
        <w:t xml:space="preserve">it was appropriate </w:t>
      </w:r>
      <w:r w:rsidR="00873F06">
        <w:rPr>
          <w:sz w:val="25"/>
          <w:szCs w:val="25"/>
        </w:rPr>
        <w:t xml:space="preserve">and necessary </w:t>
      </w:r>
      <w:r w:rsidR="00B627AB">
        <w:rPr>
          <w:sz w:val="25"/>
          <w:szCs w:val="25"/>
        </w:rPr>
        <w:t xml:space="preserve">for the ESP to state the terms on which Duke would acquire </w:t>
      </w:r>
      <w:r w:rsidR="00873F06">
        <w:rPr>
          <w:sz w:val="25"/>
          <w:szCs w:val="25"/>
        </w:rPr>
        <w:t xml:space="preserve">and resell </w:t>
      </w:r>
      <w:r w:rsidR="00B627AB">
        <w:rPr>
          <w:sz w:val="25"/>
          <w:szCs w:val="25"/>
        </w:rPr>
        <w:t xml:space="preserve">such power, including capacity.  Purchased power, including capacity, </w:t>
      </w:r>
      <w:r w:rsidR="00873F06">
        <w:rPr>
          <w:sz w:val="25"/>
          <w:szCs w:val="25"/>
        </w:rPr>
        <w:t xml:space="preserve">is </w:t>
      </w:r>
      <w:r w:rsidR="00B627AB">
        <w:rPr>
          <w:sz w:val="25"/>
          <w:szCs w:val="25"/>
        </w:rPr>
        <w:t>a wholesale transaction</w:t>
      </w:r>
      <w:r w:rsidR="00985EB8">
        <w:rPr>
          <w:sz w:val="25"/>
          <w:szCs w:val="25"/>
        </w:rPr>
        <w:t xml:space="preserve"> </w:t>
      </w:r>
      <w:r w:rsidR="00B627AB">
        <w:rPr>
          <w:sz w:val="25"/>
          <w:szCs w:val="25"/>
        </w:rPr>
        <w:t xml:space="preserve">between Duke and the </w:t>
      </w:r>
      <w:r w:rsidR="00873F06">
        <w:rPr>
          <w:sz w:val="25"/>
          <w:szCs w:val="25"/>
        </w:rPr>
        <w:t>auction winners</w:t>
      </w:r>
      <w:r w:rsidR="00B627AB">
        <w:rPr>
          <w:sz w:val="25"/>
          <w:szCs w:val="25"/>
        </w:rPr>
        <w:t xml:space="preserve">, not </w:t>
      </w:r>
      <w:r w:rsidR="00873F06">
        <w:rPr>
          <w:sz w:val="25"/>
          <w:szCs w:val="25"/>
        </w:rPr>
        <w:t xml:space="preserve">between </w:t>
      </w:r>
      <w:r w:rsidR="00D239B1">
        <w:rPr>
          <w:sz w:val="25"/>
          <w:szCs w:val="25"/>
        </w:rPr>
        <w:t xml:space="preserve">Duke </w:t>
      </w:r>
      <w:r w:rsidR="00B627AB">
        <w:rPr>
          <w:sz w:val="25"/>
          <w:szCs w:val="25"/>
        </w:rPr>
        <w:t>and consumer</w:t>
      </w:r>
      <w:r w:rsidR="00873F06">
        <w:rPr>
          <w:sz w:val="25"/>
          <w:szCs w:val="25"/>
        </w:rPr>
        <w:t xml:space="preserve">s, so the ESP statute makes it necessary to address the </w:t>
      </w:r>
      <w:r w:rsidR="000750DD">
        <w:rPr>
          <w:sz w:val="25"/>
          <w:szCs w:val="25"/>
        </w:rPr>
        <w:t xml:space="preserve">wholesale </w:t>
      </w:r>
      <w:r w:rsidR="00873F06">
        <w:rPr>
          <w:sz w:val="25"/>
          <w:szCs w:val="25"/>
        </w:rPr>
        <w:t xml:space="preserve">terms on which Duke would </w:t>
      </w:r>
      <w:r w:rsidR="000750DD">
        <w:rPr>
          <w:sz w:val="25"/>
          <w:szCs w:val="25"/>
        </w:rPr>
        <w:t xml:space="preserve">obtain </w:t>
      </w:r>
      <w:r w:rsidR="00873F06">
        <w:rPr>
          <w:sz w:val="25"/>
          <w:szCs w:val="25"/>
        </w:rPr>
        <w:t xml:space="preserve">capacity for use </w:t>
      </w:r>
      <w:r w:rsidR="000750DD">
        <w:rPr>
          <w:sz w:val="25"/>
          <w:szCs w:val="25"/>
        </w:rPr>
        <w:t xml:space="preserve">in </w:t>
      </w:r>
      <w:r w:rsidR="00873F06">
        <w:rPr>
          <w:sz w:val="25"/>
          <w:szCs w:val="25"/>
        </w:rPr>
        <w:t>the SSO</w:t>
      </w:r>
      <w:r w:rsidR="00B627AB">
        <w:rPr>
          <w:sz w:val="25"/>
          <w:szCs w:val="25"/>
        </w:rPr>
        <w:t xml:space="preserve">.  </w:t>
      </w:r>
    </w:p>
    <w:p w:rsidR="00873F06" w:rsidRDefault="00873F06"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An SSO is </w:t>
      </w:r>
      <w:r w:rsidR="00BB7701">
        <w:rPr>
          <w:sz w:val="25"/>
          <w:szCs w:val="25"/>
        </w:rPr>
        <w:t xml:space="preserve">also </w:t>
      </w:r>
      <w:r>
        <w:rPr>
          <w:sz w:val="25"/>
          <w:szCs w:val="25"/>
        </w:rPr>
        <w:t>required to “provide consumers, on a comparable and nondiscriminatory basis within its certified territory, a standard service offer of all competitive retail electric services necessary to maintain essential electric service to consumers, including a firm supply of electric generation service.”</w:t>
      </w:r>
      <w:r>
        <w:rPr>
          <w:rStyle w:val="FootnoteReference"/>
          <w:sz w:val="25"/>
          <w:szCs w:val="25"/>
        </w:rPr>
        <w:footnoteReference w:id="13"/>
      </w:r>
      <w:r>
        <w:rPr>
          <w:sz w:val="25"/>
          <w:szCs w:val="25"/>
        </w:rPr>
        <w:t xml:space="preserve">  One cannot provide a firm supply of electric generation service without generation capacity.  </w:t>
      </w:r>
    </w:p>
    <w:p w:rsidR="005F2CE0" w:rsidRDefault="00873F06"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Under </w:t>
      </w:r>
      <w:r w:rsidR="0065301B">
        <w:rPr>
          <w:sz w:val="25"/>
          <w:szCs w:val="25"/>
        </w:rPr>
        <w:t>Duke</w:t>
      </w:r>
      <w:r>
        <w:rPr>
          <w:sz w:val="25"/>
          <w:szCs w:val="25"/>
        </w:rPr>
        <w:t>’s</w:t>
      </w:r>
      <w:r w:rsidR="0065301B">
        <w:rPr>
          <w:sz w:val="25"/>
          <w:szCs w:val="25"/>
        </w:rPr>
        <w:t xml:space="preserve"> </w:t>
      </w:r>
      <w:r w:rsidR="00C64FBC">
        <w:rPr>
          <w:sz w:val="25"/>
          <w:szCs w:val="25"/>
        </w:rPr>
        <w:t>ESP</w:t>
      </w:r>
      <w:r>
        <w:rPr>
          <w:sz w:val="25"/>
          <w:szCs w:val="25"/>
        </w:rPr>
        <w:t>,</w:t>
      </w:r>
      <w:r w:rsidR="0065301B">
        <w:rPr>
          <w:sz w:val="25"/>
          <w:szCs w:val="25"/>
        </w:rPr>
        <w:t xml:space="preserve"> all of its customers </w:t>
      </w:r>
      <w:r w:rsidR="00BB7701">
        <w:rPr>
          <w:sz w:val="25"/>
          <w:szCs w:val="25"/>
        </w:rPr>
        <w:t>ar</w:t>
      </w:r>
      <w:r w:rsidR="0065301B">
        <w:rPr>
          <w:sz w:val="25"/>
          <w:szCs w:val="25"/>
        </w:rPr>
        <w:t xml:space="preserve">e supplied by the winners of periodic auctions.  </w:t>
      </w:r>
      <w:r w:rsidR="005F2CE0">
        <w:rPr>
          <w:sz w:val="25"/>
          <w:szCs w:val="25"/>
        </w:rPr>
        <w:t xml:space="preserve">The winners of those auctions </w:t>
      </w:r>
      <w:r w:rsidR="00BB7701">
        <w:rPr>
          <w:sz w:val="25"/>
          <w:szCs w:val="25"/>
        </w:rPr>
        <w:t xml:space="preserve">must </w:t>
      </w:r>
      <w:r w:rsidR="005F2CE0">
        <w:rPr>
          <w:sz w:val="25"/>
          <w:szCs w:val="25"/>
        </w:rPr>
        <w:t xml:space="preserve">enter into supply contracts with Duke </w:t>
      </w:r>
      <w:r>
        <w:rPr>
          <w:sz w:val="25"/>
          <w:szCs w:val="25"/>
        </w:rPr>
        <w:t xml:space="preserve">covering </w:t>
      </w:r>
      <w:r w:rsidR="005F2CE0">
        <w:rPr>
          <w:sz w:val="25"/>
          <w:szCs w:val="25"/>
        </w:rPr>
        <w:t xml:space="preserve">both capacity and energy.  </w:t>
      </w:r>
      <w:r w:rsidR="006057B3" w:rsidRPr="009D3899">
        <w:rPr>
          <w:sz w:val="25"/>
          <w:szCs w:val="25"/>
        </w:rPr>
        <w:t>Duke</w:t>
      </w:r>
      <w:r w:rsidR="005F2CE0">
        <w:rPr>
          <w:sz w:val="25"/>
          <w:szCs w:val="25"/>
        </w:rPr>
        <w:t xml:space="preserve"> chose to bill its </w:t>
      </w:r>
      <w:r w:rsidR="000750DD">
        <w:rPr>
          <w:sz w:val="25"/>
          <w:szCs w:val="25"/>
        </w:rPr>
        <w:t>SSO</w:t>
      </w:r>
      <w:r>
        <w:rPr>
          <w:sz w:val="25"/>
          <w:szCs w:val="25"/>
        </w:rPr>
        <w:t xml:space="preserve"> </w:t>
      </w:r>
      <w:r w:rsidR="006057B3" w:rsidRPr="009D3899">
        <w:rPr>
          <w:sz w:val="25"/>
          <w:szCs w:val="25"/>
        </w:rPr>
        <w:t xml:space="preserve">customers </w:t>
      </w:r>
      <w:r w:rsidR="000750DD">
        <w:rPr>
          <w:sz w:val="25"/>
          <w:szCs w:val="25"/>
        </w:rPr>
        <w:t xml:space="preserve">using </w:t>
      </w:r>
      <w:r w:rsidR="0065301B">
        <w:rPr>
          <w:sz w:val="25"/>
          <w:szCs w:val="25"/>
        </w:rPr>
        <w:t xml:space="preserve">two rate elements – </w:t>
      </w:r>
      <w:r w:rsidR="006057B3" w:rsidRPr="009D3899">
        <w:rPr>
          <w:sz w:val="25"/>
          <w:szCs w:val="25"/>
        </w:rPr>
        <w:lastRenderedPageBreak/>
        <w:t xml:space="preserve">Rider RC for capacity </w:t>
      </w:r>
      <w:r w:rsidR="00F70EB3">
        <w:rPr>
          <w:sz w:val="25"/>
          <w:szCs w:val="25"/>
        </w:rPr>
        <w:t>and Rider RE for energy</w:t>
      </w:r>
      <w:r w:rsidR="006057B3" w:rsidRPr="009D3899">
        <w:rPr>
          <w:sz w:val="25"/>
          <w:szCs w:val="25"/>
        </w:rPr>
        <w:t>.</w:t>
      </w:r>
      <w:r w:rsidR="004F431C">
        <w:rPr>
          <w:rStyle w:val="FootnoteReference"/>
          <w:sz w:val="25"/>
          <w:szCs w:val="25"/>
        </w:rPr>
        <w:footnoteReference w:id="14"/>
      </w:r>
      <w:r w:rsidR="006057B3" w:rsidRPr="009D3899">
        <w:rPr>
          <w:sz w:val="25"/>
          <w:szCs w:val="25"/>
        </w:rPr>
        <w:t xml:space="preserve">  </w:t>
      </w:r>
      <w:r w:rsidR="0065301B">
        <w:rPr>
          <w:sz w:val="25"/>
          <w:szCs w:val="25"/>
        </w:rPr>
        <w:t xml:space="preserve">It was </w:t>
      </w:r>
      <w:r w:rsidR="00F70EB3">
        <w:rPr>
          <w:sz w:val="25"/>
          <w:szCs w:val="25"/>
        </w:rPr>
        <w:t>Duke</w:t>
      </w:r>
      <w:r w:rsidR="0065301B">
        <w:rPr>
          <w:sz w:val="25"/>
          <w:szCs w:val="25"/>
        </w:rPr>
        <w:t>’s idea</w:t>
      </w:r>
      <w:r w:rsidR="00F70EB3">
        <w:rPr>
          <w:sz w:val="25"/>
          <w:szCs w:val="25"/>
        </w:rPr>
        <w:t xml:space="preserve"> to bifurcate its retail electric service into </w:t>
      </w:r>
      <w:r w:rsidR="005F2CE0">
        <w:rPr>
          <w:sz w:val="25"/>
          <w:szCs w:val="25"/>
        </w:rPr>
        <w:t xml:space="preserve">these </w:t>
      </w:r>
      <w:r w:rsidR="00F70EB3">
        <w:rPr>
          <w:sz w:val="25"/>
          <w:szCs w:val="25"/>
        </w:rPr>
        <w:t xml:space="preserve">two price components, one for capacity and one for energy.  </w:t>
      </w:r>
      <w:r w:rsidR="0065301B">
        <w:rPr>
          <w:sz w:val="25"/>
          <w:szCs w:val="25"/>
        </w:rPr>
        <w:t>Having done so, i</w:t>
      </w:r>
      <w:r w:rsidR="006057B3" w:rsidRPr="009D3899">
        <w:rPr>
          <w:sz w:val="25"/>
          <w:szCs w:val="25"/>
        </w:rPr>
        <w:t xml:space="preserve">n order to </w:t>
      </w:r>
      <w:r w:rsidR="00F078C2">
        <w:rPr>
          <w:sz w:val="25"/>
          <w:szCs w:val="25"/>
        </w:rPr>
        <w:t>explain</w:t>
      </w:r>
      <w:r w:rsidR="006057B3" w:rsidRPr="009D3899">
        <w:rPr>
          <w:sz w:val="25"/>
          <w:szCs w:val="25"/>
        </w:rPr>
        <w:t xml:space="preserve"> how </w:t>
      </w:r>
      <w:r w:rsidR="00F078C2">
        <w:rPr>
          <w:sz w:val="25"/>
          <w:szCs w:val="25"/>
        </w:rPr>
        <w:t xml:space="preserve">the </w:t>
      </w:r>
      <w:r w:rsidR="004F431C">
        <w:rPr>
          <w:sz w:val="25"/>
          <w:szCs w:val="25"/>
        </w:rPr>
        <w:t xml:space="preserve">rates for </w:t>
      </w:r>
      <w:r w:rsidR="00F078C2">
        <w:rPr>
          <w:sz w:val="25"/>
          <w:szCs w:val="25"/>
        </w:rPr>
        <w:t xml:space="preserve">the </w:t>
      </w:r>
      <w:r w:rsidR="006057B3" w:rsidRPr="009D3899">
        <w:rPr>
          <w:sz w:val="25"/>
          <w:szCs w:val="25"/>
        </w:rPr>
        <w:t xml:space="preserve">Rider RC </w:t>
      </w:r>
      <w:r w:rsidR="00F078C2">
        <w:rPr>
          <w:sz w:val="25"/>
          <w:szCs w:val="25"/>
        </w:rPr>
        <w:t xml:space="preserve">component of its SSO </w:t>
      </w:r>
      <w:r w:rsidR="00F078C2" w:rsidRPr="009D3899">
        <w:rPr>
          <w:sz w:val="25"/>
          <w:szCs w:val="25"/>
        </w:rPr>
        <w:t xml:space="preserve">retail </w:t>
      </w:r>
      <w:r w:rsidR="00F078C2">
        <w:rPr>
          <w:sz w:val="25"/>
          <w:szCs w:val="25"/>
        </w:rPr>
        <w:t xml:space="preserve">electric service </w:t>
      </w:r>
      <w:r w:rsidR="006057B3" w:rsidRPr="009D3899">
        <w:rPr>
          <w:sz w:val="25"/>
          <w:szCs w:val="25"/>
        </w:rPr>
        <w:t xml:space="preserve">would be calculated, it was necessary to discuss </w:t>
      </w:r>
      <w:r w:rsidR="009E6E8D" w:rsidRPr="009D3899">
        <w:rPr>
          <w:sz w:val="25"/>
          <w:szCs w:val="25"/>
        </w:rPr>
        <w:t xml:space="preserve">how Duke would </w:t>
      </w:r>
      <w:r w:rsidR="00F078C2">
        <w:rPr>
          <w:sz w:val="25"/>
          <w:szCs w:val="25"/>
        </w:rPr>
        <w:t>provide</w:t>
      </w:r>
      <w:r w:rsidR="0065301B">
        <w:rPr>
          <w:sz w:val="25"/>
          <w:szCs w:val="25"/>
        </w:rPr>
        <w:t>/obtain</w:t>
      </w:r>
      <w:r w:rsidR="00F078C2">
        <w:rPr>
          <w:sz w:val="25"/>
          <w:szCs w:val="25"/>
        </w:rPr>
        <w:t xml:space="preserve"> and </w:t>
      </w:r>
      <w:r w:rsidR="0065301B">
        <w:rPr>
          <w:sz w:val="25"/>
          <w:szCs w:val="25"/>
        </w:rPr>
        <w:t xml:space="preserve">pay/be </w:t>
      </w:r>
      <w:r w:rsidR="009E6E8D" w:rsidRPr="009D3899">
        <w:rPr>
          <w:sz w:val="25"/>
          <w:szCs w:val="25"/>
        </w:rPr>
        <w:t>compensated for capacity.</w:t>
      </w:r>
      <w:r w:rsidR="00C64FBC">
        <w:rPr>
          <w:rStyle w:val="FootnoteReference"/>
          <w:sz w:val="25"/>
          <w:szCs w:val="25"/>
        </w:rPr>
        <w:footnoteReference w:id="15"/>
      </w:r>
      <w:r w:rsidR="009E6E8D" w:rsidRPr="009D3899">
        <w:rPr>
          <w:sz w:val="25"/>
          <w:szCs w:val="25"/>
        </w:rPr>
        <w:t xml:space="preserve">  </w:t>
      </w:r>
      <w:r w:rsidR="002E0FA0" w:rsidRPr="009D3899">
        <w:rPr>
          <w:sz w:val="25"/>
          <w:szCs w:val="25"/>
        </w:rPr>
        <w:t xml:space="preserve">Rider RC is not just a collection </w:t>
      </w:r>
      <w:proofErr w:type="gramStart"/>
      <w:r w:rsidR="002E0FA0" w:rsidRPr="009D3899">
        <w:rPr>
          <w:sz w:val="25"/>
          <w:szCs w:val="25"/>
        </w:rPr>
        <w:t>mechanism,</w:t>
      </w:r>
      <w:proofErr w:type="gramEnd"/>
      <w:r w:rsidR="002E0FA0" w:rsidRPr="009D3899">
        <w:rPr>
          <w:sz w:val="25"/>
          <w:szCs w:val="25"/>
        </w:rPr>
        <w:t xml:space="preserve"> </w:t>
      </w:r>
      <w:r>
        <w:rPr>
          <w:sz w:val="25"/>
          <w:szCs w:val="25"/>
        </w:rPr>
        <w:t xml:space="preserve">it </w:t>
      </w:r>
      <w:r w:rsidR="002E0FA0" w:rsidRPr="009D3899">
        <w:rPr>
          <w:sz w:val="25"/>
          <w:szCs w:val="25"/>
        </w:rPr>
        <w:t xml:space="preserve">is </w:t>
      </w:r>
      <w:r w:rsidR="004F431C">
        <w:rPr>
          <w:sz w:val="25"/>
          <w:szCs w:val="25"/>
        </w:rPr>
        <w:t xml:space="preserve">also </w:t>
      </w:r>
      <w:r w:rsidR="002E0FA0" w:rsidRPr="009D3899">
        <w:rPr>
          <w:sz w:val="25"/>
          <w:szCs w:val="25"/>
        </w:rPr>
        <w:t xml:space="preserve">the price that Duke agreed to charge its retail customers for capacity.  </w:t>
      </w:r>
      <w:r w:rsidR="009E6E8D" w:rsidRPr="009D3899">
        <w:rPr>
          <w:sz w:val="25"/>
          <w:szCs w:val="25"/>
        </w:rPr>
        <w:t xml:space="preserve">Duke agreed that </w:t>
      </w:r>
      <w:r>
        <w:rPr>
          <w:sz w:val="25"/>
          <w:szCs w:val="25"/>
        </w:rPr>
        <w:t xml:space="preserve">the revenue generated by </w:t>
      </w:r>
      <w:r w:rsidR="009E6E8D" w:rsidRPr="009D3899">
        <w:rPr>
          <w:sz w:val="25"/>
          <w:szCs w:val="25"/>
        </w:rPr>
        <w:t xml:space="preserve">Rider RC </w:t>
      </w:r>
      <w:r w:rsidR="0065301B">
        <w:rPr>
          <w:sz w:val="25"/>
          <w:szCs w:val="25"/>
        </w:rPr>
        <w:t>(</w:t>
      </w:r>
      <w:r w:rsidR="009E6E8D" w:rsidRPr="009D3899">
        <w:rPr>
          <w:sz w:val="25"/>
          <w:szCs w:val="25"/>
        </w:rPr>
        <w:t xml:space="preserve">together with </w:t>
      </w:r>
      <w:r w:rsidR="00F078C2">
        <w:rPr>
          <w:sz w:val="25"/>
          <w:szCs w:val="25"/>
        </w:rPr>
        <w:t xml:space="preserve">any necessary adjustments made through </w:t>
      </w:r>
      <w:r w:rsidR="009E6E8D" w:rsidRPr="009D3899">
        <w:rPr>
          <w:sz w:val="25"/>
          <w:szCs w:val="25"/>
        </w:rPr>
        <w:t>Rider SCR</w:t>
      </w:r>
      <w:r w:rsidR="0065301B">
        <w:rPr>
          <w:sz w:val="25"/>
          <w:szCs w:val="25"/>
        </w:rPr>
        <w:t>)</w:t>
      </w:r>
      <w:r w:rsidR="009E6E8D" w:rsidRPr="009D3899">
        <w:rPr>
          <w:sz w:val="25"/>
          <w:szCs w:val="25"/>
        </w:rPr>
        <w:t xml:space="preserve"> would reflect </w:t>
      </w:r>
      <w:r w:rsidR="009E6E8D" w:rsidRPr="009D3899">
        <w:rPr>
          <w:i/>
          <w:sz w:val="25"/>
          <w:szCs w:val="25"/>
        </w:rPr>
        <w:t>exactly</w:t>
      </w:r>
      <w:r w:rsidR="009E6E8D" w:rsidRPr="009D3899">
        <w:rPr>
          <w:sz w:val="25"/>
          <w:szCs w:val="25"/>
        </w:rPr>
        <w:t xml:space="preserve"> what PJM charged the SSO auction winners </w:t>
      </w:r>
      <w:r>
        <w:rPr>
          <w:sz w:val="25"/>
          <w:szCs w:val="25"/>
        </w:rPr>
        <w:t xml:space="preserve">for capacity </w:t>
      </w:r>
      <w:r w:rsidR="009E6E8D" w:rsidRPr="009D3899">
        <w:rPr>
          <w:sz w:val="25"/>
          <w:szCs w:val="25"/>
        </w:rPr>
        <w:t xml:space="preserve">on Duke’s behalf.  </w:t>
      </w:r>
      <w:r w:rsidR="00F078C2">
        <w:rPr>
          <w:sz w:val="25"/>
          <w:szCs w:val="25"/>
        </w:rPr>
        <w:t xml:space="preserve">Thus, it was necessary </w:t>
      </w:r>
      <w:r>
        <w:rPr>
          <w:sz w:val="25"/>
          <w:szCs w:val="25"/>
        </w:rPr>
        <w:t xml:space="preserve">in </w:t>
      </w:r>
      <w:r w:rsidR="00F078C2">
        <w:rPr>
          <w:sz w:val="25"/>
          <w:szCs w:val="25"/>
        </w:rPr>
        <w:t>the ESP to address how Duke would supply capacity to the auction winners</w:t>
      </w:r>
      <w:r w:rsidR="0065301B">
        <w:rPr>
          <w:sz w:val="25"/>
          <w:szCs w:val="25"/>
        </w:rPr>
        <w:t xml:space="preserve"> through PJM</w:t>
      </w:r>
      <w:r w:rsidR="00F078C2">
        <w:rPr>
          <w:sz w:val="25"/>
          <w:szCs w:val="25"/>
        </w:rPr>
        <w:t xml:space="preserve">, </w:t>
      </w:r>
      <w:r w:rsidR="00BB7701">
        <w:rPr>
          <w:sz w:val="25"/>
          <w:szCs w:val="25"/>
        </w:rPr>
        <w:t xml:space="preserve">how PJM would charge the suppliers, </w:t>
      </w:r>
      <w:proofErr w:type="gramStart"/>
      <w:r w:rsidR="0065301B">
        <w:rPr>
          <w:sz w:val="25"/>
          <w:szCs w:val="25"/>
        </w:rPr>
        <w:t>what</w:t>
      </w:r>
      <w:proofErr w:type="gramEnd"/>
      <w:r w:rsidR="0065301B">
        <w:rPr>
          <w:sz w:val="25"/>
          <w:szCs w:val="25"/>
        </w:rPr>
        <w:t xml:space="preserve"> </w:t>
      </w:r>
      <w:r w:rsidR="00F078C2">
        <w:rPr>
          <w:sz w:val="25"/>
          <w:szCs w:val="25"/>
        </w:rPr>
        <w:t xml:space="preserve">the auction winners would charge Duke for capacity pursuant to its supply contracts, and how Duke would convert those capacity charges into retail rates.  Rider RC could not be explained or justified without each step of the transaction being explained.  This was not only authorized under the ESP statute, it was necessary.  </w:t>
      </w:r>
    </w:p>
    <w:p w:rsidR="00A8363E" w:rsidRPr="009D3899" w:rsidRDefault="005F2CE0"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It was also appropriate for the ESP Stipulation to address </w:t>
      </w:r>
      <w:r w:rsidR="00873F06">
        <w:rPr>
          <w:sz w:val="25"/>
          <w:szCs w:val="25"/>
        </w:rPr>
        <w:t xml:space="preserve">capacity sales to </w:t>
      </w:r>
      <w:r>
        <w:rPr>
          <w:sz w:val="25"/>
          <w:szCs w:val="25"/>
        </w:rPr>
        <w:t xml:space="preserve">CRES suppliers.  </w:t>
      </w:r>
      <w:r w:rsidR="00A8363E">
        <w:rPr>
          <w:sz w:val="25"/>
          <w:szCs w:val="25"/>
        </w:rPr>
        <w:t xml:space="preserve">Ohio law requires that </w:t>
      </w:r>
      <w:r w:rsidR="00873F06">
        <w:rPr>
          <w:sz w:val="25"/>
          <w:szCs w:val="25"/>
        </w:rPr>
        <w:t xml:space="preserve">an </w:t>
      </w:r>
      <w:r w:rsidR="00A8363E">
        <w:rPr>
          <w:sz w:val="25"/>
          <w:szCs w:val="25"/>
        </w:rPr>
        <w:t>SSO b</w:t>
      </w:r>
      <w:r>
        <w:rPr>
          <w:sz w:val="25"/>
          <w:szCs w:val="25"/>
        </w:rPr>
        <w:t>e</w:t>
      </w:r>
      <w:r w:rsidR="00A8363E">
        <w:rPr>
          <w:sz w:val="25"/>
          <w:szCs w:val="25"/>
        </w:rPr>
        <w:t xml:space="preserve"> provided on a “comparabl</w:t>
      </w:r>
      <w:r w:rsidR="000750DD">
        <w:rPr>
          <w:sz w:val="25"/>
          <w:szCs w:val="25"/>
        </w:rPr>
        <w:t>e and nondiscriminatory basis.”</w:t>
      </w:r>
      <w:r w:rsidR="00BB7701">
        <w:rPr>
          <w:rStyle w:val="FootnoteReference"/>
          <w:sz w:val="25"/>
          <w:szCs w:val="25"/>
        </w:rPr>
        <w:footnoteReference w:id="16"/>
      </w:r>
      <w:r w:rsidR="00A8363E">
        <w:rPr>
          <w:sz w:val="25"/>
          <w:szCs w:val="25"/>
        </w:rPr>
        <w:t xml:space="preserve"> </w:t>
      </w:r>
      <w:r w:rsidR="00873F06">
        <w:rPr>
          <w:sz w:val="25"/>
          <w:szCs w:val="25"/>
        </w:rPr>
        <w:t>If all customers or their suppliers are required to purchase capacity service from Duke, f</w:t>
      </w:r>
      <w:r w:rsidR="00A8363E">
        <w:rPr>
          <w:sz w:val="25"/>
          <w:szCs w:val="25"/>
        </w:rPr>
        <w:t xml:space="preserve">or the SSO to be on a comparable and nondiscriminatory basis, </w:t>
      </w:r>
      <w:r>
        <w:rPr>
          <w:sz w:val="25"/>
          <w:szCs w:val="25"/>
        </w:rPr>
        <w:lastRenderedPageBreak/>
        <w:t xml:space="preserve">the terms on which SSO customers buy capacity </w:t>
      </w:r>
      <w:r w:rsidR="00A8363E">
        <w:rPr>
          <w:sz w:val="25"/>
          <w:szCs w:val="25"/>
        </w:rPr>
        <w:t xml:space="preserve">would have to be the same </w:t>
      </w:r>
      <w:r w:rsidR="00DA2CE3">
        <w:rPr>
          <w:sz w:val="25"/>
          <w:szCs w:val="25"/>
        </w:rPr>
        <w:t xml:space="preserve">as </w:t>
      </w:r>
      <w:r w:rsidR="00873F06">
        <w:rPr>
          <w:sz w:val="25"/>
          <w:szCs w:val="25"/>
        </w:rPr>
        <w:t xml:space="preserve">those </w:t>
      </w:r>
      <w:r>
        <w:rPr>
          <w:sz w:val="25"/>
          <w:szCs w:val="25"/>
        </w:rPr>
        <w:t>for non-</w:t>
      </w:r>
      <w:r w:rsidR="00DA2CE3">
        <w:rPr>
          <w:sz w:val="25"/>
          <w:szCs w:val="25"/>
        </w:rPr>
        <w:t>SSO customers.  Since Duke</w:t>
      </w:r>
      <w:r w:rsidR="00873F06">
        <w:rPr>
          <w:sz w:val="25"/>
          <w:szCs w:val="25"/>
        </w:rPr>
        <w:t>’s plans</w:t>
      </w:r>
      <w:r w:rsidR="00DA2CE3">
        <w:rPr>
          <w:sz w:val="25"/>
          <w:szCs w:val="25"/>
        </w:rPr>
        <w:t xml:space="preserve"> require all customers to use its capacity (a result </w:t>
      </w:r>
      <w:r>
        <w:rPr>
          <w:sz w:val="25"/>
          <w:szCs w:val="25"/>
        </w:rPr>
        <w:t xml:space="preserve">naturally </w:t>
      </w:r>
      <w:r w:rsidR="00DA2CE3">
        <w:rPr>
          <w:sz w:val="25"/>
          <w:szCs w:val="25"/>
        </w:rPr>
        <w:t>flowing from Duke’s membership in PJM</w:t>
      </w:r>
      <w:r>
        <w:rPr>
          <w:sz w:val="25"/>
          <w:szCs w:val="25"/>
        </w:rPr>
        <w:t xml:space="preserve"> where Duke </w:t>
      </w:r>
      <w:r w:rsidR="00873F06">
        <w:rPr>
          <w:sz w:val="25"/>
          <w:szCs w:val="25"/>
        </w:rPr>
        <w:t>i</w:t>
      </w:r>
      <w:r>
        <w:rPr>
          <w:sz w:val="25"/>
          <w:szCs w:val="25"/>
        </w:rPr>
        <w:t xml:space="preserve">s required to supply all capacity for </w:t>
      </w:r>
      <w:r w:rsidR="00873F06">
        <w:rPr>
          <w:sz w:val="25"/>
          <w:szCs w:val="25"/>
        </w:rPr>
        <w:t xml:space="preserve">all </w:t>
      </w:r>
      <w:r>
        <w:rPr>
          <w:sz w:val="25"/>
          <w:szCs w:val="25"/>
        </w:rPr>
        <w:t>customers in its footprint</w:t>
      </w:r>
      <w:r w:rsidR="00DA2CE3">
        <w:rPr>
          <w:sz w:val="25"/>
          <w:szCs w:val="25"/>
        </w:rPr>
        <w:t>), SSO customers</w:t>
      </w:r>
      <w:r w:rsidR="00873F06">
        <w:rPr>
          <w:sz w:val="25"/>
          <w:szCs w:val="25"/>
        </w:rPr>
        <w:t xml:space="preserve"> and</w:t>
      </w:r>
      <w:r w:rsidR="00B92D17">
        <w:rPr>
          <w:sz w:val="25"/>
          <w:szCs w:val="25"/>
        </w:rPr>
        <w:t>/</w:t>
      </w:r>
      <w:r w:rsidR="00873F06">
        <w:rPr>
          <w:sz w:val="25"/>
          <w:szCs w:val="25"/>
        </w:rPr>
        <w:t xml:space="preserve">or </w:t>
      </w:r>
      <w:r w:rsidR="00B92D17">
        <w:rPr>
          <w:sz w:val="25"/>
          <w:szCs w:val="25"/>
        </w:rPr>
        <w:t>suppliers</w:t>
      </w:r>
      <w:r w:rsidR="00DA2CE3">
        <w:rPr>
          <w:sz w:val="25"/>
          <w:szCs w:val="25"/>
        </w:rPr>
        <w:t xml:space="preserve"> could not be charged different amounts for the </w:t>
      </w:r>
      <w:r w:rsidR="00B92D17">
        <w:rPr>
          <w:sz w:val="25"/>
          <w:szCs w:val="25"/>
        </w:rPr>
        <w:t xml:space="preserve">exact </w:t>
      </w:r>
      <w:r w:rsidR="00DA2CE3">
        <w:rPr>
          <w:sz w:val="25"/>
          <w:szCs w:val="25"/>
        </w:rPr>
        <w:t xml:space="preserve">same capacity </w:t>
      </w:r>
      <w:r w:rsidR="00B92D17">
        <w:rPr>
          <w:sz w:val="25"/>
          <w:szCs w:val="25"/>
        </w:rPr>
        <w:t xml:space="preserve">service </w:t>
      </w:r>
      <w:r w:rsidR="00DA2CE3">
        <w:rPr>
          <w:sz w:val="25"/>
          <w:szCs w:val="25"/>
        </w:rPr>
        <w:t xml:space="preserve">that Duke </w:t>
      </w:r>
      <w:r w:rsidR="00873F06">
        <w:rPr>
          <w:sz w:val="25"/>
          <w:szCs w:val="25"/>
        </w:rPr>
        <w:t>supplies</w:t>
      </w:r>
      <w:r w:rsidR="00DA2CE3">
        <w:rPr>
          <w:sz w:val="25"/>
          <w:szCs w:val="25"/>
        </w:rPr>
        <w:t xml:space="preserve"> to shopping customers through </w:t>
      </w:r>
      <w:r w:rsidR="00B92D17">
        <w:rPr>
          <w:sz w:val="25"/>
          <w:szCs w:val="25"/>
        </w:rPr>
        <w:t xml:space="preserve">their </w:t>
      </w:r>
      <w:r w:rsidR="00DA2CE3">
        <w:rPr>
          <w:sz w:val="25"/>
          <w:szCs w:val="25"/>
        </w:rPr>
        <w:t xml:space="preserve">CRES providers.  </w:t>
      </w:r>
      <w:r w:rsidR="00B92D17">
        <w:rPr>
          <w:sz w:val="25"/>
          <w:szCs w:val="25"/>
        </w:rPr>
        <w:t xml:space="preserve">Thus, it was </w:t>
      </w:r>
      <w:r w:rsidR="00873F06">
        <w:rPr>
          <w:sz w:val="25"/>
          <w:szCs w:val="25"/>
        </w:rPr>
        <w:t xml:space="preserve">necessary </w:t>
      </w:r>
      <w:r w:rsidR="00BB7701">
        <w:rPr>
          <w:sz w:val="25"/>
          <w:szCs w:val="25"/>
        </w:rPr>
        <w:t xml:space="preserve">and appropriate </w:t>
      </w:r>
      <w:r w:rsidR="00B92D17">
        <w:rPr>
          <w:sz w:val="25"/>
          <w:szCs w:val="25"/>
        </w:rPr>
        <w:t>for the ESP Stipulation to address how CRES providers would pay for capacity to assure that SSO customers were treated on a “comparable and nondiscriminatory” basis</w:t>
      </w:r>
      <w:r w:rsidR="00873F06">
        <w:rPr>
          <w:sz w:val="25"/>
          <w:szCs w:val="25"/>
        </w:rPr>
        <w:t xml:space="preserve"> to others</w:t>
      </w:r>
      <w:r w:rsidR="00B92D17">
        <w:rPr>
          <w:sz w:val="25"/>
          <w:szCs w:val="25"/>
        </w:rPr>
        <w:t xml:space="preserve">.  </w:t>
      </w:r>
    </w:p>
    <w:p w:rsidR="00BB7701" w:rsidRPr="009D3899" w:rsidRDefault="00873F06" w:rsidP="00C64FBC">
      <w:pPr>
        <w:widowControl/>
        <w:kinsoku w:val="0"/>
        <w:overflowPunct w:val="0"/>
        <w:autoSpaceDE/>
        <w:autoSpaceDN/>
        <w:adjustRightInd/>
        <w:spacing w:line="480" w:lineRule="auto"/>
        <w:ind w:firstLine="720"/>
        <w:textAlignment w:val="baseline"/>
        <w:rPr>
          <w:sz w:val="25"/>
          <w:szCs w:val="25"/>
        </w:rPr>
      </w:pPr>
      <w:r>
        <w:rPr>
          <w:sz w:val="25"/>
          <w:szCs w:val="25"/>
        </w:rPr>
        <w:t xml:space="preserve">Even </w:t>
      </w:r>
      <w:r w:rsidR="005C4466">
        <w:rPr>
          <w:sz w:val="25"/>
          <w:szCs w:val="25"/>
        </w:rPr>
        <w:t xml:space="preserve">if Duke </w:t>
      </w:r>
      <w:r w:rsidR="000750DD">
        <w:rPr>
          <w:sz w:val="25"/>
          <w:szCs w:val="25"/>
        </w:rPr>
        <w:t>wa</w:t>
      </w:r>
      <w:r w:rsidR="005C4466">
        <w:rPr>
          <w:sz w:val="25"/>
          <w:szCs w:val="25"/>
        </w:rPr>
        <w:t xml:space="preserve">s correct that capacity charges cannot be </w:t>
      </w:r>
      <w:r w:rsidR="000750DD">
        <w:rPr>
          <w:sz w:val="25"/>
          <w:szCs w:val="25"/>
        </w:rPr>
        <w:t xml:space="preserve">included </w:t>
      </w:r>
      <w:r w:rsidR="005C4466">
        <w:rPr>
          <w:sz w:val="25"/>
          <w:szCs w:val="25"/>
        </w:rPr>
        <w:t xml:space="preserve">in an </w:t>
      </w:r>
      <w:proofErr w:type="gramStart"/>
      <w:r w:rsidR="005C4466">
        <w:rPr>
          <w:sz w:val="25"/>
          <w:szCs w:val="25"/>
        </w:rPr>
        <w:t xml:space="preserve">ESP, </w:t>
      </w:r>
      <w:r w:rsidR="00BB7701">
        <w:rPr>
          <w:sz w:val="25"/>
          <w:szCs w:val="25"/>
        </w:rPr>
        <w:t>that</w:t>
      </w:r>
      <w:proofErr w:type="gramEnd"/>
      <w:r w:rsidR="00BB7701">
        <w:rPr>
          <w:sz w:val="25"/>
          <w:szCs w:val="25"/>
        </w:rPr>
        <w:t xml:space="preserve"> </w:t>
      </w:r>
      <w:r w:rsidR="000750DD">
        <w:rPr>
          <w:sz w:val="25"/>
          <w:szCs w:val="25"/>
        </w:rPr>
        <w:t>would still provide</w:t>
      </w:r>
      <w:r w:rsidR="00BB7701">
        <w:rPr>
          <w:sz w:val="25"/>
          <w:szCs w:val="25"/>
        </w:rPr>
        <w:t xml:space="preserve"> </w:t>
      </w:r>
      <w:r w:rsidR="005C4466">
        <w:rPr>
          <w:sz w:val="25"/>
          <w:szCs w:val="25"/>
        </w:rPr>
        <w:t xml:space="preserve">no </w:t>
      </w:r>
      <w:r w:rsidR="00BB7701">
        <w:rPr>
          <w:sz w:val="25"/>
          <w:szCs w:val="25"/>
        </w:rPr>
        <w:t xml:space="preserve">basis for the relief Duke seeks.  </w:t>
      </w:r>
      <w:r w:rsidR="000750DD">
        <w:rPr>
          <w:sz w:val="25"/>
          <w:szCs w:val="25"/>
        </w:rPr>
        <w:t>I</w:t>
      </w:r>
      <w:r w:rsidR="005C4466">
        <w:rPr>
          <w:sz w:val="25"/>
          <w:szCs w:val="25"/>
        </w:rPr>
        <w:t xml:space="preserve">f the capacity issues were removed from the ESP Stipulation, the capacity prices would </w:t>
      </w:r>
      <w:r w:rsidR="00BB7701">
        <w:rPr>
          <w:sz w:val="25"/>
          <w:szCs w:val="25"/>
        </w:rPr>
        <w:t xml:space="preserve">still </w:t>
      </w:r>
      <w:r w:rsidR="005C4466">
        <w:rPr>
          <w:sz w:val="25"/>
          <w:szCs w:val="25"/>
        </w:rPr>
        <w:t xml:space="preserve">be exactly the same under </w:t>
      </w:r>
      <w:r>
        <w:rPr>
          <w:sz w:val="25"/>
          <w:szCs w:val="25"/>
        </w:rPr>
        <w:t xml:space="preserve">the </w:t>
      </w:r>
      <w:r w:rsidR="00BB7701">
        <w:rPr>
          <w:sz w:val="25"/>
          <w:szCs w:val="25"/>
        </w:rPr>
        <w:t xml:space="preserve">default </w:t>
      </w:r>
      <w:r>
        <w:rPr>
          <w:sz w:val="25"/>
          <w:szCs w:val="25"/>
        </w:rPr>
        <w:t xml:space="preserve">PJM rules.  </w:t>
      </w:r>
      <w:r w:rsidR="000750DD">
        <w:rPr>
          <w:sz w:val="25"/>
          <w:szCs w:val="25"/>
        </w:rPr>
        <w:t>That</w:t>
      </w:r>
      <w:r w:rsidR="005C4466">
        <w:rPr>
          <w:sz w:val="25"/>
          <w:szCs w:val="25"/>
        </w:rPr>
        <w:t xml:space="preserve"> would also </w:t>
      </w:r>
      <w:r w:rsidR="00BB7701">
        <w:rPr>
          <w:sz w:val="25"/>
          <w:szCs w:val="25"/>
        </w:rPr>
        <w:t xml:space="preserve">remove any question whether </w:t>
      </w:r>
      <w:r w:rsidR="005C4466">
        <w:rPr>
          <w:sz w:val="25"/>
          <w:szCs w:val="25"/>
        </w:rPr>
        <w:t xml:space="preserve">the Commission </w:t>
      </w:r>
      <w:r>
        <w:rPr>
          <w:sz w:val="25"/>
          <w:szCs w:val="25"/>
        </w:rPr>
        <w:t xml:space="preserve">has </w:t>
      </w:r>
      <w:r w:rsidR="005C4466">
        <w:rPr>
          <w:sz w:val="25"/>
          <w:szCs w:val="25"/>
        </w:rPr>
        <w:t>require</w:t>
      </w:r>
      <w:r>
        <w:rPr>
          <w:sz w:val="25"/>
          <w:szCs w:val="25"/>
        </w:rPr>
        <w:t>d</w:t>
      </w:r>
      <w:r w:rsidR="005C4466">
        <w:rPr>
          <w:sz w:val="25"/>
          <w:szCs w:val="25"/>
        </w:rPr>
        <w:t xml:space="preserve"> anyone to purchase capacity from Duke</w:t>
      </w:r>
      <w:r w:rsidR="000750DD">
        <w:rPr>
          <w:sz w:val="25"/>
          <w:szCs w:val="25"/>
        </w:rPr>
        <w:t xml:space="preserve"> and </w:t>
      </w:r>
      <w:r w:rsidR="005C4466">
        <w:rPr>
          <w:sz w:val="25"/>
          <w:szCs w:val="25"/>
        </w:rPr>
        <w:t xml:space="preserve">the prerequisite </w:t>
      </w:r>
      <w:r w:rsidR="00BB7701">
        <w:rPr>
          <w:sz w:val="25"/>
          <w:szCs w:val="25"/>
        </w:rPr>
        <w:t xml:space="preserve">within the RAA for even considering </w:t>
      </w:r>
      <w:r w:rsidR="000750DD">
        <w:rPr>
          <w:sz w:val="25"/>
          <w:szCs w:val="25"/>
        </w:rPr>
        <w:t xml:space="preserve">application of </w:t>
      </w:r>
      <w:r w:rsidR="005C4466">
        <w:rPr>
          <w:sz w:val="25"/>
          <w:szCs w:val="25"/>
        </w:rPr>
        <w:t>a state compensation mechanism</w:t>
      </w:r>
      <w:r w:rsidR="00BB7701">
        <w:rPr>
          <w:sz w:val="25"/>
          <w:szCs w:val="25"/>
        </w:rPr>
        <w:t xml:space="preserve"> would be absent.  In that case,</w:t>
      </w:r>
      <w:r w:rsidR="00BB7701" w:rsidRPr="009D3899">
        <w:rPr>
          <w:sz w:val="25"/>
          <w:szCs w:val="25"/>
        </w:rPr>
        <w:t xml:space="preserve"> </w:t>
      </w:r>
      <w:r w:rsidR="00C64FBC" w:rsidRPr="009D3899">
        <w:rPr>
          <w:sz w:val="25"/>
          <w:szCs w:val="25"/>
        </w:rPr>
        <w:t xml:space="preserve">the default </w:t>
      </w:r>
      <w:r w:rsidR="00C64FBC">
        <w:rPr>
          <w:sz w:val="25"/>
          <w:szCs w:val="25"/>
        </w:rPr>
        <w:t xml:space="preserve">compensation </w:t>
      </w:r>
      <w:r w:rsidR="00C64FBC" w:rsidRPr="009D3899">
        <w:rPr>
          <w:sz w:val="25"/>
          <w:szCs w:val="25"/>
        </w:rPr>
        <w:t xml:space="preserve">provisions of the </w:t>
      </w:r>
      <w:r w:rsidR="00BB7701" w:rsidRPr="009D3899">
        <w:rPr>
          <w:sz w:val="25"/>
          <w:szCs w:val="25"/>
        </w:rPr>
        <w:t>RAA would control</w:t>
      </w:r>
      <w:r w:rsidR="000750DD">
        <w:rPr>
          <w:sz w:val="25"/>
          <w:szCs w:val="25"/>
        </w:rPr>
        <w:t xml:space="preserve"> and </w:t>
      </w:r>
      <w:r w:rsidR="00BB7701" w:rsidRPr="009D3899">
        <w:rPr>
          <w:sz w:val="25"/>
          <w:szCs w:val="25"/>
        </w:rPr>
        <w:t xml:space="preserve">wholesale suppliers would purchase capacity from Duke at the FZCP, exactly what the ESP Stipulation said.  </w:t>
      </w:r>
    </w:p>
    <w:p w:rsidR="00DC1612" w:rsidRPr="009D3899" w:rsidRDefault="000750DD" w:rsidP="00C64FBC">
      <w:pPr>
        <w:pStyle w:val="Heading1"/>
        <w:widowControl/>
      </w:pPr>
      <w:bookmarkStart w:id="6" w:name="_Toc362611555"/>
      <w:r>
        <w:t>VI</w:t>
      </w:r>
      <w:r w:rsidRPr="009D3899">
        <w:t>.</w:t>
      </w:r>
      <w:r w:rsidRPr="009D3899">
        <w:tab/>
      </w:r>
      <w:r>
        <w:t>THERE IS ONLY ONE POSSIBLE I</w:t>
      </w:r>
      <w:r w:rsidRPr="009D3899">
        <w:t>NTERPRETATION OF THE STIPULATION</w:t>
      </w:r>
      <w:r w:rsidR="00DC1612" w:rsidRPr="009D3899">
        <w:t>.</w:t>
      </w:r>
      <w:bookmarkEnd w:id="6"/>
      <w:r w:rsidR="00DC1612" w:rsidRPr="009D3899">
        <w:t xml:space="preserve"> </w:t>
      </w:r>
    </w:p>
    <w:p w:rsidR="00DC1612" w:rsidRPr="009D3899" w:rsidRDefault="00287623"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 xml:space="preserve">Duke claims that the Commission is not bound by the Stipulation, </w:t>
      </w:r>
      <w:r w:rsidR="00873F06">
        <w:rPr>
          <w:sz w:val="25"/>
          <w:szCs w:val="25"/>
        </w:rPr>
        <w:t xml:space="preserve">but </w:t>
      </w:r>
      <w:r w:rsidRPr="009D3899">
        <w:rPr>
          <w:sz w:val="25"/>
          <w:szCs w:val="25"/>
        </w:rPr>
        <w:t xml:space="preserve">only speaks through </w:t>
      </w:r>
      <w:r w:rsidR="00DC1612" w:rsidRPr="009D3899">
        <w:rPr>
          <w:sz w:val="25"/>
          <w:szCs w:val="25"/>
        </w:rPr>
        <w:t>its orders.</w:t>
      </w:r>
      <w:r w:rsidR="0018461E" w:rsidRPr="009D3899">
        <w:rPr>
          <w:sz w:val="25"/>
          <w:szCs w:val="25"/>
        </w:rPr>
        <w:t xml:space="preserve">  </w:t>
      </w:r>
      <w:r w:rsidR="00994DE2" w:rsidRPr="009D3899">
        <w:rPr>
          <w:sz w:val="25"/>
          <w:szCs w:val="25"/>
        </w:rPr>
        <w:t xml:space="preserve">But in this case, the Commission </w:t>
      </w:r>
      <w:r w:rsidR="00C64FBC">
        <w:rPr>
          <w:sz w:val="25"/>
          <w:szCs w:val="25"/>
        </w:rPr>
        <w:t xml:space="preserve">already spoke </w:t>
      </w:r>
      <w:r w:rsidR="004306C6">
        <w:rPr>
          <w:sz w:val="25"/>
          <w:szCs w:val="25"/>
        </w:rPr>
        <w:t xml:space="preserve">through </w:t>
      </w:r>
      <w:r w:rsidR="00C64FBC">
        <w:rPr>
          <w:sz w:val="25"/>
          <w:szCs w:val="25"/>
        </w:rPr>
        <w:t>the</w:t>
      </w:r>
      <w:r w:rsidR="004306C6">
        <w:rPr>
          <w:sz w:val="25"/>
          <w:szCs w:val="25"/>
        </w:rPr>
        <w:t xml:space="preserve"> </w:t>
      </w:r>
      <w:r w:rsidR="00C64FBC">
        <w:rPr>
          <w:sz w:val="25"/>
          <w:szCs w:val="25"/>
        </w:rPr>
        <w:t xml:space="preserve">ESP </w:t>
      </w:r>
      <w:r w:rsidR="004306C6">
        <w:rPr>
          <w:sz w:val="25"/>
          <w:szCs w:val="25"/>
        </w:rPr>
        <w:t>Order</w:t>
      </w:r>
      <w:r w:rsidR="00F465C8">
        <w:rPr>
          <w:sz w:val="25"/>
          <w:szCs w:val="25"/>
        </w:rPr>
        <w:t xml:space="preserve"> </w:t>
      </w:r>
      <w:r w:rsidR="00C64FBC">
        <w:rPr>
          <w:sz w:val="25"/>
          <w:szCs w:val="25"/>
        </w:rPr>
        <w:t>approving</w:t>
      </w:r>
      <w:r w:rsidR="00994DE2" w:rsidRPr="009D3899">
        <w:rPr>
          <w:sz w:val="25"/>
          <w:szCs w:val="25"/>
        </w:rPr>
        <w:t xml:space="preserve"> the </w:t>
      </w:r>
      <w:r w:rsidR="00C64FBC">
        <w:rPr>
          <w:sz w:val="25"/>
          <w:szCs w:val="25"/>
        </w:rPr>
        <w:t xml:space="preserve">ESP </w:t>
      </w:r>
      <w:r w:rsidR="00994DE2" w:rsidRPr="009D3899">
        <w:rPr>
          <w:sz w:val="25"/>
          <w:szCs w:val="25"/>
        </w:rPr>
        <w:t xml:space="preserve">Stipulation </w:t>
      </w:r>
      <w:r w:rsidR="002E0FA0">
        <w:rPr>
          <w:sz w:val="25"/>
          <w:szCs w:val="25"/>
        </w:rPr>
        <w:t>without material modification</w:t>
      </w:r>
      <w:r w:rsidR="00F465C8">
        <w:rPr>
          <w:sz w:val="25"/>
          <w:szCs w:val="25"/>
        </w:rPr>
        <w:t xml:space="preserve">.  </w:t>
      </w:r>
      <w:r w:rsidR="002E0FA0">
        <w:rPr>
          <w:sz w:val="25"/>
          <w:szCs w:val="25"/>
        </w:rPr>
        <w:t xml:space="preserve"> </w:t>
      </w:r>
      <w:r w:rsidR="00F465C8">
        <w:rPr>
          <w:sz w:val="25"/>
          <w:szCs w:val="25"/>
        </w:rPr>
        <w:t>T</w:t>
      </w:r>
      <w:r w:rsidR="00994DE2" w:rsidRPr="009D3899">
        <w:rPr>
          <w:sz w:val="25"/>
          <w:szCs w:val="25"/>
        </w:rPr>
        <w:t xml:space="preserve">he </w:t>
      </w:r>
      <w:r w:rsidR="00C64FBC">
        <w:rPr>
          <w:sz w:val="25"/>
          <w:szCs w:val="25"/>
        </w:rPr>
        <w:t xml:space="preserve">ESP </w:t>
      </w:r>
      <w:r w:rsidR="00994DE2" w:rsidRPr="009D3899">
        <w:rPr>
          <w:sz w:val="25"/>
          <w:szCs w:val="25"/>
        </w:rPr>
        <w:t xml:space="preserve">Stipulation and the </w:t>
      </w:r>
      <w:r w:rsidR="00C64FBC">
        <w:rPr>
          <w:sz w:val="25"/>
          <w:szCs w:val="25"/>
        </w:rPr>
        <w:t xml:space="preserve">ESP </w:t>
      </w:r>
      <w:r w:rsidR="00994DE2" w:rsidRPr="009D3899">
        <w:rPr>
          <w:sz w:val="25"/>
          <w:szCs w:val="25"/>
        </w:rPr>
        <w:t xml:space="preserve">Order are </w:t>
      </w:r>
      <w:r w:rsidR="00F465C8">
        <w:rPr>
          <w:sz w:val="25"/>
          <w:szCs w:val="25"/>
        </w:rPr>
        <w:t xml:space="preserve">effectively </w:t>
      </w:r>
      <w:r w:rsidR="00994DE2" w:rsidRPr="009D3899">
        <w:rPr>
          <w:sz w:val="25"/>
          <w:szCs w:val="25"/>
        </w:rPr>
        <w:t>one and the same for purposes</w:t>
      </w:r>
      <w:r w:rsidR="00F465C8">
        <w:rPr>
          <w:sz w:val="25"/>
          <w:szCs w:val="25"/>
        </w:rPr>
        <w:t xml:space="preserve"> of this case</w:t>
      </w:r>
      <w:r w:rsidR="00994DE2" w:rsidRPr="009D3899">
        <w:rPr>
          <w:sz w:val="25"/>
          <w:szCs w:val="25"/>
        </w:rPr>
        <w:t>.  Duke says that t</w:t>
      </w:r>
      <w:r w:rsidR="00DC1612" w:rsidRPr="009D3899">
        <w:rPr>
          <w:sz w:val="25"/>
          <w:szCs w:val="25"/>
        </w:rPr>
        <w:t xml:space="preserve">he controlling meaning is what the Commission understood it was approving. </w:t>
      </w:r>
      <w:r w:rsidR="00994DE2" w:rsidRPr="009D3899">
        <w:rPr>
          <w:sz w:val="25"/>
          <w:szCs w:val="25"/>
        </w:rPr>
        <w:t xml:space="preserve"> </w:t>
      </w:r>
      <w:r w:rsidR="00F465C8">
        <w:rPr>
          <w:sz w:val="25"/>
          <w:szCs w:val="25"/>
        </w:rPr>
        <w:t>W</w:t>
      </w:r>
      <w:r w:rsidR="00994DE2" w:rsidRPr="009D3899">
        <w:rPr>
          <w:sz w:val="25"/>
          <w:szCs w:val="25"/>
        </w:rPr>
        <w:t xml:space="preserve">hat the </w:t>
      </w:r>
      <w:r w:rsidR="00994DE2" w:rsidRPr="009D3899">
        <w:rPr>
          <w:sz w:val="25"/>
          <w:szCs w:val="25"/>
        </w:rPr>
        <w:lastRenderedPageBreak/>
        <w:t xml:space="preserve">Commission </w:t>
      </w:r>
      <w:r w:rsidR="002E0FA0">
        <w:rPr>
          <w:sz w:val="25"/>
          <w:szCs w:val="25"/>
        </w:rPr>
        <w:t xml:space="preserve">thought </w:t>
      </w:r>
      <w:r w:rsidR="00994DE2" w:rsidRPr="009D3899">
        <w:rPr>
          <w:sz w:val="25"/>
          <w:szCs w:val="25"/>
        </w:rPr>
        <w:t xml:space="preserve">it was approving </w:t>
      </w:r>
      <w:r w:rsidR="00F465C8">
        <w:rPr>
          <w:sz w:val="25"/>
          <w:szCs w:val="25"/>
        </w:rPr>
        <w:t xml:space="preserve">had </w:t>
      </w:r>
      <w:r w:rsidR="002E0FA0">
        <w:rPr>
          <w:sz w:val="25"/>
          <w:szCs w:val="25"/>
        </w:rPr>
        <w:t xml:space="preserve">to </w:t>
      </w:r>
      <w:r w:rsidR="00994DE2" w:rsidRPr="009D3899">
        <w:rPr>
          <w:sz w:val="25"/>
          <w:szCs w:val="25"/>
        </w:rPr>
        <w:t xml:space="preserve">be </w:t>
      </w:r>
      <w:r w:rsidR="002E0FA0">
        <w:rPr>
          <w:sz w:val="25"/>
          <w:szCs w:val="25"/>
        </w:rPr>
        <w:t xml:space="preserve">based on </w:t>
      </w:r>
      <w:r w:rsidR="00994DE2" w:rsidRPr="009D3899">
        <w:rPr>
          <w:sz w:val="25"/>
          <w:szCs w:val="25"/>
        </w:rPr>
        <w:t xml:space="preserve">the </w:t>
      </w:r>
      <w:r w:rsidR="00F465C8">
        <w:rPr>
          <w:sz w:val="25"/>
          <w:szCs w:val="25"/>
        </w:rPr>
        <w:t xml:space="preserve">language of the </w:t>
      </w:r>
      <w:r w:rsidR="002E0FA0">
        <w:rPr>
          <w:sz w:val="25"/>
          <w:szCs w:val="25"/>
        </w:rPr>
        <w:t xml:space="preserve">Stipulation </w:t>
      </w:r>
      <w:r w:rsidR="00F465C8">
        <w:rPr>
          <w:sz w:val="25"/>
          <w:szCs w:val="25"/>
        </w:rPr>
        <w:t xml:space="preserve">itself </w:t>
      </w:r>
      <w:r w:rsidR="002E0FA0">
        <w:rPr>
          <w:sz w:val="25"/>
          <w:szCs w:val="25"/>
        </w:rPr>
        <w:t xml:space="preserve">and the </w:t>
      </w:r>
      <w:r w:rsidR="00F465C8">
        <w:rPr>
          <w:sz w:val="25"/>
          <w:szCs w:val="25"/>
        </w:rPr>
        <w:t xml:space="preserve">undisputed testimony </w:t>
      </w:r>
      <w:r w:rsidR="00994DE2" w:rsidRPr="009D3899">
        <w:rPr>
          <w:sz w:val="25"/>
          <w:szCs w:val="25"/>
        </w:rPr>
        <w:t xml:space="preserve">presented </w:t>
      </w:r>
      <w:r w:rsidR="002E0FA0">
        <w:rPr>
          <w:sz w:val="25"/>
          <w:szCs w:val="25"/>
        </w:rPr>
        <w:t xml:space="preserve">in support of it </w:t>
      </w:r>
      <w:r w:rsidR="00994DE2" w:rsidRPr="009D3899">
        <w:rPr>
          <w:i/>
          <w:sz w:val="25"/>
          <w:szCs w:val="25"/>
        </w:rPr>
        <w:t xml:space="preserve">before </w:t>
      </w:r>
      <w:r w:rsidR="00994DE2" w:rsidRPr="009D3899">
        <w:rPr>
          <w:sz w:val="25"/>
          <w:szCs w:val="25"/>
        </w:rPr>
        <w:t xml:space="preserve">it approved the ESP Stipulation.  </w:t>
      </w:r>
      <w:r w:rsidR="002E0FA0">
        <w:rPr>
          <w:sz w:val="25"/>
          <w:szCs w:val="25"/>
        </w:rPr>
        <w:t xml:space="preserve">In their initial briefs, </w:t>
      </w:r>
      <w:r w:rsidR="00994DE2" w:rsidRPr="009D3899">
        <w:rPr>
          <w:sz w:val="25"/>
          <w:szCs w:val="25"/>
        </w:rPr>
        <w:t xml:space="preserve">GCHC/CBI </w:t>
      </w:r>
      <w:r w:rsidR="002E0FA0">
        <w:rPr>
          <w:sz w:val="25"/>
          <w:szCs w:val="25"/>
        </w:rPr>
        <w:t xml:space="preserve">and other parties have </w:t>
      </w:r>
      <w:r w:rsidR="00994DE2" w:rsidRPr="009D3899">
        <w:rPr>
          <w:sz w:val="25"/>
          <w:szCs w:val="25"/>
        </w:rPr>
        <w:t xml:space="preserve">presented </w:t>
      </w:r>
      <w:r w:rsidR="00F465C8">
        <w:rPr>
          <w:sz w:val="25"/>
          <w:szCs w:val="25"/>
        </w:rPr>
        <w:t xml:space="preserve">in detail </w:t>
      </w:r>
      <w:r w:rsidR="00994DE2" w:rsidRPr="009D3899">
        <w:rPr>
          <w:sz w:val="25"/>
          <w:szCs w:val="25"/>
        </w:rPr>
        <w:t>the unmistakably clear testimony of Duke’s witnesses</w:t>
      </w:r>
      <w:r w:rsidR="00F465C8">
        <w:rPr>
          <w:sz w:val="25"/>
          <w:szCs w:val="25"/>
        </w:rPr>
        <w:t>,</w:t>
      </w:r>
      <w:r w:rsidR="00994DE2" w:rsidRPr="009D3899">
        <w:rPr>
          <w:sz w:val="25"/>
          <w:szCs w:val="25"/>
        </w:rPr>
        <w:t xml:space="preserve"> Wathen and Jansen</w:t>
      </w:r>
      <w:r w:rsidR="00F465C8">
        <w:rPr>
          <w:sz w:val="25"/>
          <w:szCs w:val="25"/>
        </w:rPr>
        <w:t>,</w:t>
      </w:r>
      <w:r w:rsidR="00994DE2" w:rsidRPr="009D3899">
        <w:rPr>
          <w:sz w:val="25"/>
          <w:szCs w:val="25"/>
        </w:rPr>
        <w:t xml:space="preserve"> and Staff Witness </w:t>
      </w:r>
      <w:proofErr w:type="spellStart"/>
      <w:r w:rsidR="00994DE2" w:rsidRPr="009D3899">
        <w:rPr>
          <w:sz w:val="25"/>
          <w:szCs w:val="25"/>
        </w:rPr>
        <w:t>Turkenton</w:t>
      </w:r>
      <w:proofErr w:type="spellEnd"/>
      <w:r w:rsidR="00994DE2" w:rsidRPr="009D3899">
        <w:rPr>
          <w:sz w:val="25"/>
          <w:szCs w:val="25"/>
        </w:rPr>
        <w:t xml:space="preserve"> </w:t>
      </w:r>
      <w:r w:rsidR="002E0FA0">
        <w:rPr>
          <w:sz w:val="25"/>
          <w:szCs w:val="25"/>
        </w:rPr>
        <w:t xml:space="preserve">which explain </w:t>
      </w:r>
      <w:r w:rsidR="00F465C8">
        <w:rPr>
          <w:sz w:val="25"/>
          <w:szCs w:val="25"/>
        </w:rPr>
        <w:t xml:space="preserve">how </w:t>
      </w:r>
      <w:r w:rsidR="00C64FBC">
        <w:rPr>
          <w:sz w:val="25"/>
          <w:szCs w:val="25"/>
        </w:rPr>
        <w:t xml:space="preserve">Duke would be compensated for </w:t>
      </w:r>
      <w:r w:rsidR="00994DE2" w:rsidRPr="009D3899">
        <w:rPr>
          <w:sz w:val="25"/>
          <w:szCs w:val="25"/>
        </w:rPr>
        <w:t xml:space="preserve">capacity.  </w:t>
      </w:r>
      <w:r w:rsidR="00BB7701">
        <w:rPr>
          <w:sz w:val="25"/>
          <w:szCs w:val="25"/>
        </w:rPr>
        <w:t xml:space="preserve">Notably absent from Duke’s brief is any explanation of how its testimony in support of the ESP Stipulation can be reconciled with its current position.  That is because it cannot.  </w:t>
      </w:r>
    </w:p>
    <w:p w:rsidR="00DC1612" w:rsidRPr="009D3899" w:rsidRDefault="002E0FA0" w:rsidP="00C64FBC">
      <w:pPr>
        <w:pStyle w:val="Heading1"/>
        <w:widowControl/>
      </w:pPr>
      <w:bookmarkStart w:id="7" w:name="_Toc362611556"/>
      <w:r>
        <w:t>V</w:t>
      </w:r>
      <w:r w:rsidR="000750DD">
        <w:t>II</w:t>
      </w:r>
      <w:r w:rsidR="000A548E" w:rsidRPr="009D3899">
        <w:t>.</w:t>
      </w:r>
      <w:r w:rsidR="000A548E" w:rsidRPr="009D3899">
        <w:tab/>
      </w:r>
      <w:r w:rsidR="00DC1612" w:rsidRPr="009D3899">
        <w:t>CONCLUSION</w:t>
      </w:r>
      <w:bookmarkEnd w:id="7"/>
      <w:r w:rsidR="00DC1612" w:rsidRPr="009D3899">
        <w:t xml:space="preserve"> </w:t>
      </w:r>
    </w:p>
    <w:p w:rsidR="00DC1612" w:rsidRPr="009D3899" w:rsidRDefault="000A548E" w:rsidP="00C64FBC">
      <w:pPr>
        <w:widowControl/>
        <w:kinsoku w:val="0"/>
        <w:overflowPunct w:val="0"/>
        <w:autoSpaceDE/>
        <w:autoSpaceDN/>
        <w:adjustRightInd/>
        <w:spacing w:line="480" w:lineRule="auto"/>
        <w:ind w:firstLine="720"/>
        <w:textAlignment w:val="baseline"/>
        <w:rPr>
          <w:sz w:val="25"/>
          <w:szCs w:val="25"/>
        </w:rPr>
      </w:pPr>
      <w:r w:rsidRPr="009D3899">
        <w:rPr>
          <w:sz w:val="25"/>
          <w:szCs w:val="25"/>
        </w:rPr>
        <w:t xml:space="preserve">The Commission </w:t>
      </w:r>
      <w:r w:rsidR="00C64FBC">
        <w:rPr>
          <w:sz w:val="25"/>
          <w:szCs w:val="25"/>
        </w:rPr>
        <w:t>can</w:t>
      </w:r>
      <w:r w:rsidRPr="009D3899">
        <w:rPr>
          <w:sz w:val="25"/>
          <w:szCs w:val="25"/>
        </w:rPr>
        <w:t xml:space="preserve">not </w:t>
      </w:r>
      <w:r w:rsidR="002E0FA0">
        <w:rPr>
          <w:sz w:val="25"/>
          <w:szCs w:val="25"/>
        </w:rPr>
        <w:t xml:space="preserve">allow </w:t>
      </w:r>
      <w:r w:rsidR="00DC1612" w:rsidRPr="009D3899">
        <w:rPr>
          <w:sz w:val="25"/>
          <w:szCs w:val="25"/>
        </w:rPr>
        <w:t xml:space="preserve">Duke </w:t>
      </w:r>
      <w:r w:rsidR="002E0FA0">
        <w:rPr>
          <w:sz w:val="25"/>
          <w:szCs w:val="25"/>
        </w:rPr>
        <w:t xml:space="preserve">to recover </w:t>
      </w:r>
      <w:r w:rsidR="00C64FBC">
        <w:rPr>
          <w:sz w:val="25"/>
          <w:szCs w:val="25"/>
        </w:rPr>
        <w:t xml:space="preserve">its </w:t>
      </w:r>
      <w:r w:rsidR="002E0FA0">
        <w:rPr>
          <w:sz w:val="25"/>
          <w:szCs w:val="25"/>
        </w:rPr>
        <w:t xml:space="preserve">legacy </w:t>
      </w:r>
      <w:r w:rsidR="00DC1612" w:rsidRPr="009D3899">
        <w:rPr>
          <w:sz w:val="25"/>
          <w:szCs w:val="25"/>
        </w:rPr>
        <w:t>cost</w:t>
      </w:r>
      <w:r w:rsidR="002E0FA0">
        <w:rPr>
          <w:sz w:val="25"/>
          <w:szCs w:val="25"/>
        </w:rPr>
        <w:t>s</w:t>
      </w:r>
      <w:r w:rsidR="00DC1612" w:rsidRPr="009D3899">
        <w:rPr>
          <w:sz w:val="25"/>
          <w:szCs w:val="25"/>
        </w:rPr>
        <w:t xml:space="preserve"> for its FRR capacity service obligation, </w:t>
      </w:r>
      <w:r w:rsidRPr="009D3899">
        <w:rPr>
          <w:sz w:val="25"/>
          <w:szCs w:val="25"/>
        </w:rPr>
        <w:t>or authorize</w:t>
      </w:r>
      <w:r w:rsidR="00DC1612" w:rsidRPr="009D3899">
        <w:rPr>
          <w:sz w:val="25"/>
          <w:szCs w:val="25"/>
        </w:rPr>
        <w:t xml:space="preserve"> </w:t>
      </w:r>
      <w:r w:rsidRPr="009D3899">
        <w:rPr>
          <w:sz w:val="25"/>
          <w:szCs w:val="25"/>
        </w:rPr>
        <w:t xml:space="preserve">it </w:t>
      </w:r>
      <w:r w:rsidR="00DC1612" w:rsidRPr="009D3899">
        <w:rPr>
          <w:sz w:val="25"/>
          <w:szCs w:val="25"/>
        </w:rPr>
        <w:t xml:space="preserve">to defer the difference between such </w:t>
      </w:r>
      <w:r w:rsidR="002E0FA0">
        <w:rPr>
          <w:sz w:val="25"/>
          <w:szCs w:val="25"/>
        </w:rPr>
        <w:t xml:space="preserve">costs </w:t>
      </w:r>
      <w:r w:rsidR="00DC1612" w:rsidRPr="009D3899">
        <w:rPr>
          <w:sz w:val="25"/>
          <w:szCs w:val="25"/>
        </w:rPr>
        <w:t xml:space="preserve">and the amount being received pursuant to PJM's auction-based rate. </w:t>
      </w:r>
      <w:r w:rsidRPr="009D3899">
        <w:rPr>
          <w:sz w:val="25"/>
          <w:szCs w:val="25"/>
        </w:rPr>
        <w:t xml:space="preserve"> </w:t>
      </w:r>
      <w:r w:rsidR="00C64FBC">
        <w:rPr>
          <w:sz w:val="25"/>
          <w:szCs w:val="25"/>
        </w:rPr>
        <w:t>Duke may only be compensated for capacity as provided in the ESP Stipulation.  T</w:t>
      </w:r>
      <w:r w:rsidR="00DC1612" w:rsidRPr="009D3899">
        <w:rPr>
          <w:sz w:val="25"/>
          <w:szCs w:val="25"/>
        </w:rPr>
        <w:t xml:space="preserve">he Commission </w:t>
      </w:r>
      <w:r w:rsidR="00C64FBC">
        <w:rPr>
          <w:sz w:val="25"/>
          <w:szCs w:val="25"/>
        </w:rPr>
        <w:t xml:space="preserve">must </w:t>
      </w:r>
      <w:r w:rsidRPr="009D3899">
        <w:rPr>
          <w:sz w:val="25"/>
          <w:szCs w:val="25"/>
        </w:rPr>
        <w:t xml:space="preserve">deny the </w:t>
      </w:r>
      <w:r w:rsidR="00DC1612" w:rsidRPr="009D3899">
        <w:rPr>
          <w:sz w:val="25"/>
          <w:szCs w:val="25"/>
        </w:rPr>
        <w:t>Application.</w:t>
      </w:r>
      <w:r w:rsidRPr="009D3899">
        <w:rPr>
          <w:sz w:val="25"/>
          <w:szCs w:val="25"/>
        </w:rPr>
        <w:t xml:space="preserve">  </w:t>
      </w:r>
    </w:p>
    <w:p w:rsidR="00DC1612" w:rsidRPr="009D3899" w:rsidRDefault="00DC1612" w:rsidP="00C64FBC">
      <w:pPr>
        <w:widowControl/>
        <w:kinsoku w:val="0"/>
        <w:overflowPunct w:val="0"/>
        <w:autoSpaceDE/>
        <w:autoSpaceDN/>
        <w:adjustRightInd/>
        <w:spacing w:line="480" w:lineRule="auto"/>
        <w:ind w:left="5040"/>
        <w:textAlignment w:val="baseline"/>
        <w:rPr>
          <w:sz w:val="25"/>
          <w:szCs w:val="25"/>
        </w:rPr>
      </w:pPr>
      <w:r w:rsidRPr="009D3899">
        <w:rPr>
          <w:sz w:val="25"/>
          <w:szCs w:val="25"/>
        </w:rPr>
        <w:t>Respectfully submitted,</w:t>
      </w:r>
    </w:p>
    <w:p w:rsidR="000A548E" w:rsidRPr="00C64FBC" w:rsidRDefault="00C64FBC" w:rsidP="00C64FBC">
      <w:pPr>
        <w:widowControl/>
        <w:kinsoku w:val="0"/>
        <w:overflowPunct w:val="0"/>
        <w:autoSpaceDE/>
        <w:autoSpaceDN/>
        <w:adjustRightInd/>
        <w:spacing w:before="506" w:line="277" w:lineRule="exact"/>
        <w:ind w:left="5040"/>
        <w:textAlignment w:val="baseline"/>
        <w:rPr>
          <w:sz w:val="25"/>
          <w:szCs w:val="25"/>
          <w:u w:val="single"/>
        </w:rPr>
      </w:pPr>
      <w:r>
        <w:rPr>
          <w:sz w:val="25"/>
          <w:szCs w:val="25"/>
          <w:u w:val="single"/>
        </w:rPr>
        <w:t>/s/ Douglas E. Hart</w:t>
      </w:r>
      <w:r>
        <w:rPr>
          <w:sz w:val="25"/>
          <w:szCs w:val="25"/>
          <w:u w:val="single"/>
        </w:rPr>
        <w:tab/>
      </w:r>
      <w:r>
        <w:rPr>
          <w:sz w:val="25"/>
          <w:szCs w:val="25"/>
          <w:u w:val="single"/>
        </w:rPr>
        <w:tab/>
      </w:r>
    </w:p>
    <w:p w:rsidR="000A548E" w:rsidRPr="009D3899" w:rsidRDefault="000A548E" w:rsidP="00C64FBC">
      <w:pPr>
        <w:widowControl/>
        <w:kinsoku w:val="0"/>
        <w:overflowPunct w:val="0"/>
        <w:autoSpaceDE/>
        <w:autoSpaceDN/>
        <w:adjustRightInd/>
        <w:ind w:left="5040"/>
        <w:textAlignment w:val="baseline"/>
        <w:rPr>
          <w:sz w:val="25"/>
          <w:szCs w:val="25"/>
        </w:rPr>
      </w:pPr>
      <w:r w:rsidRPr="009D3899">
        <w:rPr>
          <w:sz w:val="25"/>
          <w:szCs w:val="25"/>
        </w:rPr>
        <w:t>Douglas E. Hart</w:t>
      </w:r>
    </w:p>
    <w:p w:rsidR="000A548E" w:rsidRPr="009D3899" w:rsidRDefault="000A548E" w:rsidP="00C64FBC">
      <w:pPr>
        <w:widowControl/>
        <w:kinsoku w:val="0"/>
        <w:overflowPunct w:val="0"/>
        <w:autoSpaceDE/>
        <w:autoSpaceDN/>
        <w:adjustRightInd/>
        <w:ind w:left="5040"/>
        <w:textAlignment w:val="baseline"/>
        <w:rPr>
          <w:sz w:val="25"/>
          <w:szCs w:val="25"/>
        </w:rPr>
      </w:pPr>
      <w:r w:rsidRPr="009D3899">
        <w:rPr>
          <w:sz w:val="25"/>
          <w:szCs w:val="25"/>
        </w:rPr>
        <w:t>441 Vine Street</w:t>
      </w:r>
    </w:p>
    <w:p w:rsidR="000A548E" w:rsidRPr="009D3899" w:rsidRDefault="000A548E" w:rsidP="00C64FBC">
      <w:pPr>
        <w:widowControl/>
        <w:kinsoku w:val="0"/>
        <w:overflowPunct w:val="0"/>
        <w:autoSpaceDE/>
        <w:autoSpaceDN/>
        <w:adjustRightInd/>
        <w:ind w:left="5040"/>
        <w:textAlignment w:val="baseline"/>
        <w:rPr>
          <w:sz w:val="25"/>
          <w:szCs w:val="25"/>
        </w:rPr>
      </w:pPr>
      <w:r w:rsidRPr="009D3899">
        <w:rPr>
          <w:sz w:val="25"/>
          <w:szCs w:val="25"/>
        </w:rPr>
        <w:t>Suite 4192</w:t>
      </w:r>
    </w:p>
    <w:p w:rsidR="000A548E" w:rsidRPr="009D3899" w:rsidRDefault="000A548E" w:rsidP="00C64FBC">
      <w:pPr>
        <w:widowControl/>
        <w:kinsoku w:val="0"/>
        <w:overflowPunct w:val="0"/>
        <w:autoSpaceDE/>
        <w:autoSpaceDN/>
        <w:adjustRightInd/>
        <w:ind w:left="5040"/>
        <w:textAlignment w:val="baseline"/>
        <w:rPr>
          <w:sz w:val="25"/>
          <w:szCs w:val="25"/>
        </w:rPr>
      </w:pPr>
      <w:r w:rsidRPr="009D3899">
        <w:rPr>
          <w:sz w:val="25"/>
          <w:szCs w:val="25"/>
        </w:rPr>
        <w:t>Cincinnati, Ohio  45202</w:t>
      </w:r>
    </w:p>
    <w:p w:rsidR="000A548E" w:rsidRPr="009D3899" w:rsidRDefault="000A548E" w:rsidP="00C64FBC">
      <w:pPr>
        <w:widowControl/>
        <w:kinsoku w:val="0"/>
        <w:overflowPunct w:val="0"/>
        <w:autoSpaceDE/>
        <w:autoSpaceDN/>
        <w:adjustRightInd/>
        <w:ind w:left="5040"/>
        <w:textAlignment w:val="baseline"/>
        <w:rPr>
          <w:sz w:val="25"/>
          <w:szCs w:val="25"/>
        </w:rPr>
      </w:pPr>
      <w:r w:rsidRPr="009D3899">
        <w:rPr>
          <w:sz w:val="25"/>
          <w:szCs w:val="25"/>
        </w:rPr>
        <w:t>(513) 621-6709</w:t>
      </w:r>
    </w:p>
    <w:p w:rsidR="000A548E" w:rsidRPr="009D3899" w:rsidRDefault="000A548E" w:rsidP="00C64FBC">
      <w:pPr>
        <w:widowControl/>
        <w:kinsoku w:val="0"/>
        <w:overflowPunct w:val="0"/>
        <w:autoSpaceDE/>
        <w:autoSpaceDN/>
        <w:adjustRightInd/>
        <w:ind w:left="5040"/>
        <w:textAlignment w:val="baseline"/>
        <w:rPr>
          <w:sz w:val="25"/>
          <w:szCs w:val="25"/>
        </w:rPr>
      </w:pPr>
      <w:r w:rsidRPr="009D3899">
        <w:rPr>
          <w:sz w:val="25"/>
          <w:szCs w:val="25"/>
        </w:rPr>
        <w:t>(513) 621-6981 fax</w:t>
      </w:r>
    </w:p>
    <w:p w:rsidR="00EC7E87" w:rsidRPr="009D3899" w:rsidRDefault="00FA7CFC" w:rsidP="00C64FBC">
      <w:pPr>
        <w:widowControl/>
        <w:kinsoku w:val="0"/>
        <w:overflowPunct w:val="0"/>
        <w:autoSpaceDE/>
        <w:autoSpaceDN/>
        <w:adjustRightInd/>
        <w:ind w:left="5040"/>
        <w:textAlignment w:val="baseline"/>
        <w:rPr>
          <w:sz w:val="25"/>
          <w:szCs w:val="25"/>
        </w:rPr>
      </w:pPr>
      <w:hyperlink r:id="rId12" w:history="1">
        <w:r w:rsidR="000A548E" w:rsidRPr="009D3899">
          <w:rPr>
            <w:rStyle w:val="Hyperlink"/>
            <w:sz w:val="25"/>
            <w:szCs w:val="25"/>
          </w:rPr>
          <w:t>dhart@douglasehart.com</w:t>
        </w:r>
      </w:hyperlink>
      <w:r w:rsidR="000A548E" w:rsidRPr="009D3899">
        <w:rPr>
          <w:sz w:val="25"/>
          <w:szCs w:val="25"/>
        </w:rPr>
        <w:tab/>
      </w:r>
    </w:p>
    <w:p w:rsidR="00EC7E87" w:rsidRPr="009D3899" w:rsidRDefault="00EC7E87" w:rsidP="00C64FBC">
      <w:pPr>
        <w:widowControl/>
        <w:autoSpaceDE/>
        <w:autoSpaceDN/>
        <w:adjustRightInd/>
        <w:spacing w:after="200" w:line="276" w:lineRule="auto"/>
        <w:rPr>
          <w:sz w:val="25"/>
          <w:szCs w:val="25"/>
        </w:rPr>
      </w:pPr>
      <w:r w:rsidRPr="009D3899">
        <w:rPr>
          <w:sz w:val="25"/>
          <w:szCs w:val="25"/>
        </w:rPr>
        <w:br w:type="page"/>
      </w:r>
    </w:p>
    <w:p w:rsidR="00EC7E87" w:rsidRPr="009D3899" w:rsidRDefault="00EC7E87" w:rsidP="00C64FBC">
      <w:pPr>
        <w:widowControl/>
        <w:kinsoku w:val="0"/>
        <w:overflowPunct w:val="0"/>
        <w:autoSpaceDE/>
        <w:autoSpaceDN/>
        <w:adjustRightInd/>
        <w:spacing w:before="13" w:after="129" w:line="287" w:lineRule="exact"/>
        <w:jc w:val="center"/>
        <w:textAlignment w:val="baseline"/>
        <w:rPr>
          <w:b/>
          <w:sz w:val="25"/>
          <w:szCs w:val="25"/>
          <w:u w:val="single"/>
        </w:rPr>
        <w:sectPr w:rsidR="00EC7E87" w:rsidRPr="009D3899" w:rsidSect="00D5214C">
          <w:pgSz w:w="12240" w:h="15840"/>
          <w:pgMar w:top="1440" w:right="1440" w:bottom="1440" w:left="1440" w:header="720" w:footer="912" w:gutter="0"/>
          <w:pgNumType w:start="1"/>
          <w:cols w:space="140"/>
          <w:noEndnote/>
          <w:docGrid w:linePitch="272"/>
        </w:sectPr>
      </w:pPr>
    </w:p>
    <w:p w:rsidR="00DC1612" w:rsidRPr="009D3899" w:rsidRDefault="00DC1612" w:rsidP="00C64FBC">
      <w:pPr>
        <w:widowControl/>
        <w:kinsoku w:val="0"/>
        <w:overflowPunct w:val="0"/>
        <w:autoSpaceDE/>
        <w:autoSpaceDN/>
        <w:adjustRightInd/>
        <w:spacing w:before="13" w:after="129" w:line="287" w:lineRule="exact"/>
        <w:jc w:val="center"/>
        <w:textAlignment w:val="baseline"/>
        <w:rPr>
          <w:b/>
          <w:sz w:val="25"/>
          <w:szCs w:val="25"/>
          <w:u w:val="single"/>
        </w:rPr>
      </w:pPr>
      <w:r w:rsidRPr="009D3899">
        <w:rPr>
          <w:b/>
          <w:sz w:val="25"/>
          <w:szCs w:val="25"/>
          <w:u w:val="single"/>
        </w:rPr>
        <w:lastRenderedPageBreak/>
        <w:t>CERTIFICATE OF SERVICE</w:t>
      </w:r>
    </w:p>
    <w:p w:rsidR="00DC1612" w:rsidRPr="009D3899" w:rsidRDefault="00DC1612" w:rsidP="00C64FBC">
      <w:pPr>
        <w:widowControl/>
        <w:kinsoku w:val="0"/>
        <w:overflowPunct w:val="0"/>
        <w:autoSpaceDE/>
        <w:autoSpaceDN/>
        <w:adjustRightInd/>
        <w:spacing w:line="480" w:lineRule="auto"/>
        <w:ind w:firstLine="720"/>
        <w:jc w:val="both"/>
        <w:textAlignment w:val="baseline"/>
        <w:rPr>
          <w:sz w:val="25"/>
          <w:szCs w:val="25"/>
        </w:rPr>
      </w:pPr>
      <w:r w:rsidRPr="009D3899">
        <w:rPr>
          <w:sz w:val="25"/>
          <w:szCs w:val="25"/>
        </w:rPr>
        <w:t>I hereby certify that a true and accurate copy of the foregoing was delivered by electronic mail, on this 2</w:t>
      </w:r>
      <w:r w:rsidR="000A548E" w:rsidRPr="009D3899">
        <w:rPr>
          <w:sz w:val="25"/>
          <w:szCs w:val="25"/>
        </w:rPr>
        <w:t>6</w:t>
      </w:r>
      <w:r w:rsidRPr="009D3899">
        <w:rPr>
          <w:sz w:val="25"/>
          <w:szCs w:val="25"/>
        </w:rPr>
        <w:t>th day of Ju</w:t>
      </w:r>
      <w:r w:rsidR="000A548E" w:rsidRPr="009D3899">
        <w:rPr>
          <w:sz w:val="25"/>
          <w:szCs w:val="25"/>
        </w:rPr>
        <w:t>ly</w:t>
      </w:r>
      <w:r w:rsidRPr="009D3899">
        <w:rPr>
          <w:sz w:val="25"/>
          <w:szCs w:val="25"/>
        </w:rPr>
        <w:t>, 2013, to the parties listed below.</w:t>
      </w:r>
      <w:r w:rsidR="00EB7CF2" w:rsidRPr="009D3899">
        <w:rPr>
          <w:sz w:val="25"/>
          <w:szCs w:val="25"/>
        </w:rPr>
        <w:t xml:space="preserve">  </w:t>
      </w:r>
    </w:p>
    <w:p w:rsidR="002825BC" w:rsidRDefault="002825BC" w:rsidP="002825BC">
      <w:pPr>
        <w:pStyle w:val="Signature"/>
        <w:keepLines w:val="0"/>
        <w:tabs>
          <w:tab w:val="clear" w:pos="5328"/>
          <w:tab w:val="clear" w:pos="9360"/>
        </w:tabs>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/s/ Douglas E. Hart</w:t>
      </w:r>
      <w:r>
        <w:rPr>
          <w:rFonts w:ascii="Times New Roman" w:hAnsi="Times New Roman"/>
          <w:u w:val="single"/>
        </w:rPr>
        <w:tab/>
      </w:r>
      <w:r>
        <w:rPr>
          <w:rFonts w:ascii="Times New Roman" w:hAnsi="Times New Roman"/>
          <w:u w:val="single"/>
        </w:rPr>
        <w:tab/>
      </w:r>
    </w:p>
    <w:p w:rsidR="002825BC" w:rsidRDefault="002825BC" w:rsidP="002825BC">
      <w:pPr>
        <w:pStyle w:val="Signature"/>
        <w:keepLines w:val="0"/>
        <w:tabs>
          <w:tab w:val="clear" w:pos="5328"/>
          <w:tab w:val="clear" w:pos="9360"/>
        </w:tabs>
        <w:ind w:left="0"/>
        <w:rPr>
          <w:rFonts w:ascii="Times New Roman" w:hAnsi="Times New Roman"/>
        </w:rPr>
      </w:pPr>
    </w:p>
    <w:p w:rsidR="002825BC" w:rsidRDefault="002825BC" w:rsidP="002825BC">
      <w:pPr>
        <w:pStyle w:val="Signature"/>
        <w:keepLines w:val="0"/>
        <w:tabs>
          <w:tab w:val="clear" w:pos="5328"/>
          <w:tab w:val="clear" w:pos="9360"/>
        </w:tabs>
        <w:ind w:left="0"/>
        <w:rPr>
          <w:rFonts w:ascii="Times New Roman" w:hAnsi="Times New Roman"/>
        </w:rPr>
      </w:pPr>
    </w:p>
    <w:p w:rsidR="002825BC" w:rsidRDefault="002825BC" w:rsidP="002825BC">
      <w:pPr>
        <w:pStyle w:val="Signature"/>
        <w:keepLines w:val="0"/>
        <w:tabs>
          <w:tab w:val="clear" w:pos="5328"/>
          <w:tab w:val="clear" w:pos="9360"/>
        </w:tabs>
        <w:ind w:left="0"/>
        <w:rPr>
          <w:rFonts w:ascii="Times New Roman" w:hAnsi="Times New Roman"/>
        </w:rPr>
        <w:sectPr w:rsidR="002825BC" w:rsidSect="002825BC">
          <w:type w:val="continuous"/>
          <w:pgSz w:w="12240" w:h="15840"/>
          <w:pgMar w:top="1440" w:right="1440" w:bottom="1440" w:left="1440" w:header="720" w:footer="720" w:gutter="0"/>
          <w:pgNumType w:fmt="numberInDash"/>
          <w:cols w:space="720"/>
          <w:titlePg/>
          <w:docGrid w:linePitch="360"/>
        </w:sectPr>
      </w:pP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lastRenderedPageBreak/>
        <w:t>Amy B. Spiller</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Rocco O. D’Ascenzo</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Jeanne Kingery</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Elizabeth H. Watts</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Duke Energy Ohio</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139 East Fourth Street, 1303-Main</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P.O. Box 961</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Cincinnati, OH  45201-0960</w:t>
      </w:r>
    </w:p>
    <w:p w:rsidR="002825BC" w:rsidRPr="002825BC" w:rsidRDefault="002825BC" w:rsidP="002825BC">
      <w:pPr>
        <w:pStyle w:val="Signature"/>
        <w:keepLines w:val="0"/>
        <w:tabs>
          <w:tab w:val="clear" w:pos="5328"/>
          <w:tab w:val="clear" w:pos="9360"/>
        </w:tabs>
        <w:ind w:left="0"/>
        <w:rPr>
          <w:rFonts w:ascii="Times New Roman" w:hAnsi="Times New Roman"/>
        </w:rPr>
      </w:pPr>
      <w:hyperlink r:id="rId13" w:history="1">
        <w:r w:rsidRPr="002825BC">
          <w:rPr>
            <w:rStyle w:val="Hyperlink"/>
            <w:rFonts w:ascii="Times New Roman" w:hAnsi="Times New Roman"/>
          </w:rPr>
          <w:t>Amy.spiller@duke-energy.com</w:t>
        </w:r>
      </w:hyperlink>
    </w:p>
    <w:p w:rsidR="002825BC" w:rsidRPr="002825BC" w:rsidRDefault="002825BC" w:rsidP="002825BC">
      <w:pPr>
        <w:pStyle w:val="Signature"/>
        <w:keepLines w:val="0"/>
        <w:tabs>
          <w:tab w:val="clear" w:pos="5328"/>
          <w:tab w:val="clear" w:pos="9360"/>
        </w:tabs>
        <w:ind w:left="0"/>
        <w:rPr>
          <w:rFonts w:ascii="Times New Roman" w:hAnsi="Times New Roman"/>
        </w:rPr>
      </w:pPr>
      <w:hyperlink r:id="rId14" w:history="1">
        <w:r w:rsidRPr="002825BC">
          <w:rPr>
            <w:rStyle w:val="Hyperlink"/>
            <w:rFonts w:ascii="Times New Roman" w:hAnsi="Times New Roman"/>
          </w:rPr>
          <w:t>Rocco.dascenzo@duke-energy.com</w:t>
        </w:r>
      </w:hyperlink>
    </w:p>
    <w:p w:rsidR="002825BC" w:rsidRPr="002825BC" w:rsidRDefault="002825BC" w:rsidP="002825BC">
      <w:pPr>
        <w:pStyle w:val="Signature"/>
        <w:keepLines w:val="0"/>
        <w:tabs>
          <w:tab w:val="clear" w:pos="5328"/>
          <w:tab w:val="clear" w:pos="9360"/>
        </w:tabs>
        <w:ind w:left="0"/>
        <w:rPr>
          <w:rFonts w:ascii="Times New Roman" w:hAnsi="Times New Roman"/>
        </w:rPr>
      </w:pPr>
      <w:hyperlink r:id="rId15" w:history="1">
        <w:r w:rsidRPr="002825BC">
          <w:rPr>
            <w:rStyle w:val="Hyperlink"/>
            <w:rFonts w:ascii="Times New Roman" w:hAnsi="Times New Roman"/>
          </w:rPr>
          <w:t>Jeanne.kingery@duke-energy.com</w:t>
        </w:r>
      </w:hyperlink>
    </w:p>
    <w:p w:rsidR="002825BC" w:rsidRPr="002825BC" w:rsidRDefault="002825BC" w:rsidP="002825BC">
      <w:pPr>
        <w:pStyle w:val="Signature"/>
        <w:keepLines w:val="0"/>
        <w:tabs>
          <w:tab w:val="clear" w:pos="5328"/>
          <w:tab w:val="clear" w:pos="9360"/>
        </w:tabs>
        <w:ind w:left="0"/>
        <w:rPr>
          <w:rFonts w:ascii="Times New Roman" w:hAnsi="Times New Roman"/>
        </w:rPr>
      </w:pPr>
      <w:hyperlink r:id="rId16" w:history="1">
        <w:r w:rsidRPr="002825BC">
          <w:rPr>
            <w:rStyle w:val="Hyperlink"/>
            <w:rFonts w:ascii="Times New Roman" w:hAnsi="Times New Roman"/>
          </w:rPr>
          <w:t>Elizabeth.watts@duke-energy.com</w:t>
        </w:r>
      </w:hyperlink>
    </w:p>
    <w:p w:rsidR="002825BC" w:rsidRPr="002825BC" w:rsidRDefault="002825BC" w:rsidP="002825BC">
      <w:pPr>
        <w:pStyle w:val="Signature"/>
        <w:keepLines w:val="0"/>
        <w:tabs>
          <w:tab w:val="clear" w:pos="5328"/>
          <w:tab w:val="clear" w:pos="9360"/>
        </w:tabs>
        <w:ind w:left="0"/>
        <w:rPr>
          <w:rFonts w:ascii="Times New Roman" w:hAnsi="Times New Roman"/>
        </w:rPr>
      </w:pPr>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 xml:space="preserve">Samuel C. </w:t>
      </w:r>
      <w:proofErr w:type="spellStart"/>
      <w:r w:rsidRPr="002825BC">
        <w:rPr>
          <w:rFonts w:ascii="Times New Roman" w:hAnsi="Times New Roman"/>
        </w:rPr>
        <w:t>Randazzo</w:t>
      </w:r>
      <w:proofErr w:type="spellEnd"/>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 xml:space="preserve">Frank P. </w:t>
      </w:r>
      <w:proofErr w:type="spellStart"/>
      <w:r w:rsidRPr="002825BC">
        <w:rPr>
          <w:rFonts w:ascii="Times New Roman" w:hAnsi="Times New Roman"/>
        </w:rPr>
        <w:t>Darr</w:t>
      </w:r>
      <w:proofErr w:type="spellEnd"/>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 xml:space="preserve">Joseph E. </w:t>
      </w:r>
      <w:proofErr w:type="spellStart"/>
      <w:r w:rsidRPr="002825BC">
        <w:rPr>
          <w:rFonts w:ascii="Times New Roman" w:hAnsi="Times New Roman"/>
        </w:rPr>
        <w:t>Oliker</w:t>
      </w:r>
      <w:proofErr w:type="spellEnd"/>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Matthew R. Pritchard</w:t>
      </w:r>
    </w:p>
    <w:p w:rsidR="002825BC" w:rsidRPr="002825BC" w:rsidRDefault="002825BC" w:rsidP="002825BC">
      <w:pPr>
        <w:pStyle w:val="Signature"/>
        <w:keepLines w:val="0"/>
        <w:ind w:left="0"/>
        <w:rPr>
          <w:rFonts w:ascii="Times New Roman" w:hAnsi="Times New Roman"/>
        </w:rPr>
      </w:pPr>
      <w:proofErr w:type="spellStart"/>
      <w:r w:rsidRPr="002825BC">
        <w:rPr>
          <w:rFonts w:ascii="Times New Roman" w:hAnsi="Times New Roman"/>
        </w:rPr>
        <w:t>McNees</w:t>
      </w:r>
      <w:proofErr w:type="spellEnd"/>
      <w:r w:rsidRPr="002825BC">
        <w:rPr>
          <w:rFonts w:ascii="Times New Roman" w:hAnsi="Times New Roman"/>
        </w:rPr>
        <w:t xml:space="preserve"> Wallace &amp; </w:t>
      </w:r>
      <w:proofErr w:type="spellStart"/>
      <w:r w:rsidRPr="002825BC">
        <w:rPr>
          <w:rFonts w:ascii="Times New Roman" w:hAnsi="Times New Roman"/>
        </w:rPr>
        <w:t>Nurick</w:t>
      </w:r>
      <w:proofErr w:type="spellEnd"/>
      <w:r w:rsidRPr="002825BC">
        <w:rPr>
          <w:rFonts w:ascii="Times New Roman" w:hAnsi="Times New Roman"/>
        </w:rPr>
        <w:t xml:space="preserve"> LLC</w:t>
      </w:r>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21 East State Street, 17</w:t>
      </w:r>
      <w:r w:rsidRPr="002825BC">
        <w:rPr>
          <w:rFonts w:ascii="Times New Roman" w:hAnsi="Times New Roman"/>
          <w:vertAlign w:val="superscript"/>
        </w:rPr>
        <w:t>th</w:t>
      </w:r>
      <w:r w:rsidRPr="002825BC">
        <w:rPr>
          <w:rFonts w:ascii="Times New Roman" w:hAnsi="Times New Roman"/>
        </w:rPr>
        <w:t xml:space="preserve"> Floor</w:t>
      </w:r>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Columbus, OH  43215-4228</w:t>
      </w:r>
    </w:p>
    <w:p w:rsidR="002825BC" w:rsidRPr="002825BC" w:rsidRDefault="002825BC" w:rsidP="002825BC">
      <w:pPr>
        <w:pStyle w:val="Signature"/>
        <w:keepLines w:val="0"/>
        <w:ind w:left="0"/>
        <w:rPr>
          <w:rFonts w:ascii="Times New Roman" w:hAnsi="Times New Roman"/>
        </w:rPr>
      </w:pPr>
      <w:hyperlink r:id="rId17" w:history="1">
        <w:r w:rsidRPr="002825BC">
          <w:rPr>
            <w:rStyle w:val="Hyperlink"/>
            <w:rFonts w:ascii="Times New Roman" w:hAnsi="Times New Roman"/>
          </w:rPr>
          <w:t>sam@mwncmh.com</w:t>
        </w:r>
      </w:hyperlink>
    </w:p>
    <w:p w:rsidR="002825BC" w:rsidRPr="002825BC" w:rsidRDefault="002825BC" w:rsidP="002825BC">
      <w:pPr>
        <w:pStyle w:val="Signature"/>
        <w:keepLines w:val="0"/>
        <w:ind w:left="0"/>
        <w:rPr>
          <w:rFonts w:ascii="Times New Roman" w:hAnsi="Times New Roman"/>
        </w:rPr>
      </w:pPr>
      <w:hyperlink r:id="rId18" w:history="1">
        <w:r w:rsidRPr="002825BC">
          <w:rPr>
            <w:rStyle w:val="Hyperlink"/>
            <w:rFonts w:ascii="Times New Roman" w:hAnsi="Times New Roman"/>
          </w:rPr>
          <w:t>fdarr@mwncmh.com</w:t>
        </w:r>
      </w:hyperlink>
    </w:p>
    <w:p w:rsidR="002825BC" w:rsidRPr="002825BC" w:rsidRDefault="002825BC" w:rsidP="002825BC">
      <w:pPr>
        <w:pStyle w:val="Signature"/>
        <w:keepLines w:val="0"/>
        <w:ind w:left="0"/>
        <w:rPr>
          <w:rFonts w:ascii="Times New Roman" w:hAnsi="Times New Roman"/>
        </w:rPr>
      </w:pPr>
      <w:hyperlink r:id="rId19" w:history="1">
        <w:r w:rsidRPr="002825BC">
          <w:rPr>
            <w:rStyle w:val="Hyperlink"/>
            <w:rFonts w:ascii="Times New Roman" w:hAnsi="Times New Roman"/>
          </w:rPr>
          <w:t>joliker@mwncmh.com</w:t>
        </w:r>
      </w:hyperlink>
    </w:p>
    <w:p w:rsidR="002825BC" w:rsidRPr="002825BC" w:rsidRDefault="002825BC" w:rsidP="002825BC">
      <w:pPr>
        <w:pStyle w:val="Signature"/>
        <w:keepLines w:val="0"/>
        <w:ind w:left="0"/>
        <w:rPr>
          <w:rFonts w:ascii="Times New Roman" w:hAnsi="Times New Roman"/>
        </w:rPr>
      </w:pPr>
      <w:hyperlink r:id="rId20" w:history="1">
        <w:r w:rsidRPr="002825BC">
          <w:rPr>
            <w:rStyle w:val="Hyperlink"/>
            <w:rFonts w:ascii="Times New Roman" w:hAnsi="Times New Roman"/>
          </w:rPr>
          <w:t>mpritchard@mwncmh.com</w:t>
        </w:r>
      </w:hyperlink>
    </w:p>
    <w:p w:rsidR="002825BC" w:rsidRPr="002825BC" w:rsidRDefault="002825BC" w:rsidP="002825BC">
      <w:pPr>
        <w:pStyle w:val="Signature"/>
        <w:keepLines w:val="0"/>
        <w:ind w:left="0"/>
        <w:rPr>
          <w:rFonts w:ascii="Times New Roman" w:hAnsi="Times New Roman"/>
        </w:rPr>
      </w:pPr>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Maureen R. Grady</w:t>
      </w:r>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Kyle L. Kern</w:t>
      </w:r>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Office of the Ohio Consumers’ Counsel</w:t>
      </w:r>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10 West Broad Street, Suite 1800</w:t>
      </w:r>
    </w:p>
    <w:p w:rsidR="002825BC" w:rsidRPr="002825BC" w:rsidRDefault="002825BC" w:rsidP="002825BC">
      <w:pPr>
        <w:pStyle w:val="Signature"/>
        <w:keepLines w:val="0"/>
        <w:ind w:left="0"/>
        <w:rPr>
          <w:rFonts w:ascii="Times New Roman" w:hAnsi="Times New Roman"/>
        </w:rPr>
      </w:pPr>
      <w:r w:rsidRPr="002825BC">
        <w:rPr>
          <w:rFonts w:ascii="Times New Roman" w:hAnsi="Times New Roman"/>
        </w:rPr>
        <w:t>Columbus, OH  43215-3485</w:t>
      </w:r>
    </w:p>
    <w:p w:rsidR="002825BC" w:rsidRPr="002825BC" w:rsidRDefault="002825BC" w:rsidP="002825BC">
      <w:pPr>
        <w:pStyle w:val="Signature"/>
        <w:keepLines w:val="0"/>
        <w:ind w:left="0"/>
        <w:rPr>
          <w:rFonts w:ascii="Times New Roman" w:hAnsi="Times New Roman"/>
        </w:rPr>
      </w:pPr>
      <w:hyperlink r:id="rId21" w:history="1">
        <w:r w:rsidRPr="002825BC">
          <w:rPr>
            <w:rStyle w:val="Hyperlink"/>
            <w:rFonts w:ascii="Times New Roman" w:hAnsi="Times New Roman"/>
          </w:rPr>
          <w:t>grady@occ.state.oh.us</w:t>
        </w:r>
      </w:hyperlink>
    </w:p>
    <w:p w:rsidR="002825BC" w:rsidRPr="002825BC" w:rsidRDefault="002825BC" w:rsidP="002825BC">
      <w:pPr>
        <w:pStyle w:val="Signature"/>
        <w:keepLines w:val="0"/>
        <w:ind w:left="0"/>
        <w:rPr>
          <w:rFonts w:ascii="Times New Roman" w:hAnsi="Times New Roman"/>
        </w:rPr>
      </w:pPr>
      <w:hyperlink r:id="rId22" w:history="1">
        <w:r w:rsidRPr="002825BC">
          <w:rPr>
            <w:rStyle w:val="Hyperlink"/>
            <w:rFonts w:ascii="Times New Roman" w:hAnsi="Times New Roman"/>
          </w:rPr>
          <w:t>kern@occ.state.oh.us</w:t>
        </w:r>
      </w:hyperlink>
    </w:p>
    <w:p w:rsidR="002825BC" w:rsidRPr="002825BC" w:rsidRDefault="002825BC" w:rsidP="002825BC">
      <w:pPr>
        <w:pStyle w:val="Signature"/>
        <w:keepLines w:val="0"/>
        <w:ind w:left="0"/>
        <w:rPr>
          <w:rFonts w:ascii="Times New Roman" w:hAnsi="Times New Roman"/>
        </w:rPr>
      </w:pPr>
    </w:p>
    <w:p w:rsidR="002825BC" w:rsidRPr="002825BC" w:rsidRDefault="002825BC" w:rsidP="002825BC">
      <w:pPr>
        <w:pStyle w:val="Signature"/>
        <w:keepLines w:val="0"/>
        <w:tabs>
          <w:tab w:val="clear" w:pos="5328"/>
          <w:tab w:val="clear" w:pos="9360"/>
        </w:tabs>
        <w:ind w:left="0"/>
        <w:rPr>
          <w:rFonts w:ascii="Times New Roman" w:hAnsi="Times New Roman"/>
        </w:rPr>
      </w:pPr>
    </w:p>
    <w:p w:rsidR="002825BC" w:rsidRPr="002825BC" w:rsidRDefault="002825BC" w:rsidP="002825BC">
      <w:pPr>
        <w:pStyle w:val="Signature"/>
        <w:keepLines w:val="0"/>
        <w:tabs>
          <w:tab w:val="clear" w:pos="5328"/>
          <w:tab w:val="clear" w:pos="9360"/>
        </w:tabs>
        <w:ind w:left="0"/>
        <w:rPr>
          <w:rFonts w:ascii="Times New Roman" w:hAnsi="Times New Roman"/>
        </w:rPr>
      </w:pPr>
    </w:p>
    <w:p w:rsidR="002825BC" w:rsidRPr="002825BC" w:rsidRDefault="002825BC" w:rsidP="002825BC">
      <w:pPr>
        <w:pStyle w:val="Signature"/>
        <w:keepLines w:val="0"/>
        <w:tabs>
          <w:tab w:val="clear" w:pos="5328"/>
          <w:tab w:val="clear" w:pos="9360"/>
        </w:tabs>
        <w:ind w:left="0"/>
        <w:rPr>
          <w:rFonts w:ascii="Times New Roman" w:hAnsi="Times New Roman"/>
        </w:rPr>
      </w:pPr>
    </w:p>
    <w:p w:rsidR="002825BC" w:rsidRPr="002825BC" w:rsidRDefault="002825BC" w:rsidP="002825BC">
      <w:pPr>
        <w:pStyle w:val="Signature"/>
        <w:keepLines w:val="0"/>
        <w:tabs>
          <w:tab w:val="clear" w:pos="5328"/>
          <w:tab w:val="clear" w:pos="9360"/>
        </w:tabs>
        <w:ind w:left="0"/>
        <w:rPr>
          <w:rFonts w:ascii="Times New Roman" w:hAnsi="Times New Roman"/>
        </w:rPr>
      </w:pPr>
    </w:p>
    <w:p w:rsidR="002825BC" w:rsidRPr="002825BC" w:rsidRDefault="002825BC" w:rsidP="002825BC">
      <w:pPr>
        <w:pStyle w:val="Signature"/>
        <w:keepLines w:val="0"/>
        <w:tabs>
          <w:tab w:val="clear" w:pos="5328"/>
          <w:tab w:val="clear" w:pos="9360"/>
        </w:tabs>
        <w:ind w:left="0"/>
        <w:rPr>
          <w:rFonts w:ascii="Times New Roman" w:hAnsi="Times New Roman"/>
        </w:rPr>
      </w:pP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lastRenderedPageBreak/>
        <w:t>David F. Boehm</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Michael L. Kurtz</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 xml:space="preserve">Jody M. </w:t>
      </w:r>
      <w:proofErr w:type="spellStart"/>
      <w:r w:rsidRPr="002825BC">
        <w:rPr>
          <w:rFonts w:ascii="Times New Roman" w:hAnsi="Times New Roman"/>
        </w:rPr>
        <w:t>Kyler</w:t>
      </w:r>
      <w:proofErr w:type="spellEnd"/>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Boehm, Kurtz &amp; Lowry</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36 East Seventh Street, Suite 1510</w:t>
      </w:r>
    </w:p>
    <w:p w:rsidR="002825BC" w:rsidRPr="002825BC" w:rsidRDefault="002825BC" w:rsidP="002825BC">
      <w:pPr>
        <w:pStyle w:val="Signature"/>
        <w:keepLines w:val="0"/>
        <w:tabs>
          <w:tab w:val="clear" w:pos="5328"/>
          <w:tab w:val="clear" w:pos="9360"/>
        </w:tabs>
        <w:ind w:left="0"/>
        <w:rPr>
          <w:rFonts w:ascii="Times New Roman" w:hAnsi="Times New Roman"/>
        </w:rPr>
      </w:pPr>
      <w:r w:rsidRPr="002825BC">
        <w:rPr>
          <w:rFonts w:ascii="Times New Roman" w:hAnsi="Times New Roman"/>
        </w:rPr>
        <w:t>Cincinnati, OH  45202</w:t>
      </w:r>
    </w:p>
    <w:p w:rsidR="002825BC" w:rsidRPr="002825BC" w:rsidRDefault="002825BC" w:rsidP="002825BC">
      <w:pPr>
        <w:pStyle w:val="Signature"/>
        <w:keepLines w:val="0"/>
        <w:tabs>
          <w:tab w:val="clear" w:pos="5328"/>
          <w:tab w:val="clear" w:pos="9360"/>
        </w:tabs>
        <w:ind w:left="0"/>
        <w:rPr>
          <w:rFonts w:ascii="Times New Roman" w:hAnsi="Times New Roman"/>
        </w:rPr>
      </w:pPr>
      <w:hyperlink r:id="rId23" w:history="1">
        <w:r w:rsidRPr="002825BC">
          <w:rPr>
            <w:rStyle w:val="Hyperlink"/>
            <w:rFonts w:ascii="Times New Roman" w:hAnsi="Times New Roman"/>
          </w:rPr>
          <w:t>dboehm@bkllawfirm.com</w:t>
        </w:r>
      </w:hyperlink>
    </w:p>
    <w:p w:rsidR="002825BC" w:rsidRPr="002825BC" w:rsidRDefault="002825BC" w:rsidP="002825BC">
      <w:pPr>
        <w:pStyle w:val="Signature"/>
        <w:keepLines w:val="0"/>
        <w:tabs>
          <w:tab w:val="clear" w:pos="5328"/>
          <w:tab w:val="clear" w:pos="9360"/>
        </w:tabs>
        <w:ind w:left="0"/>
        <w:rPr>
          <w:rFonts w:ascii="Times New Roman" w:hAnsi="Times New Roman"/>
        </w:rPr>
      </w:pPr>
      <w:hyperlink r:id="rId24" w:history="1">
        <w:r w:rsidRPr="002825BC">
          <w:rPr>
            <w:rStyle w:val="Hyperlink"/>
            <w:rFonts w:ascii="Times New Roman" w:hAnsi="Times New Roman"/>
          </w:rPr>
          <w:t>mkurtz@bkllawfirm.com</w:t>
        </w:r>
      </w:hyperlink>
    </w:p>
    <w:p w:rsidR="002825BC" w:rsidRPr="002825BC" w:rsidRDefault="002825BC" w:rsidP="002825BC">
      <w:pPr>
        <w:pStyle w:val="Signature"/>
        <w:keepLines w:val="0"/>
        <w:tabs>
          <w:tab w:val="clear" w:pos="5328"/>
          <w:tab w:val="clear" w:pos="9360"/>
        </w:tabs>
        <w:ind w:left="0"/>
        <w:rPr>
          <w:rFonts w:ascii="Times New Roman" w:hAnsi="Times New Roman"/>
        </w:rPr>
      </w:pPr>
      <w:hyperlink r:id="rId25" w:history="1">
        <w:r w:rsidRPr="002825BC">
          <w:rPr>
            <w:rStyle w:val="Hyperlink"/>
            <w:rFonts w:ascii="Times New Roman" w:hAnsi="Times New Roman"/>
          </w:rPr>
          <w:t>jkyler@bkllawfirm.com</w:t>
        </w:r>
      </w:hyperlink>
    </w:p>
    <w:p w:rsidR="002825BC" w:rsidRPr="002825BC" w:rsidRDefault="002825BC" w:rsidP="002825BC">
      <w:pPr>
        <w:pStyle w:val="Signature"/>
        <w:keepLines w:val="0"/>
        <w:ind w:left="0"/>
        <w:rPr>
          <w:rFonts w:ascii="Times New Roman" w:hAnsi="Times New Roman"/>
        </w:rPr>
      </w:pPr>
    </w:p>
    <w:p w:rsidR="002825BC" w:rsidRPr="002825BC" w:rsidRDefault="002825BC" w:rsidP="002825BC">
      <w:pPr>
        <w:rPr>
          <w:sz w:val="24"/>
        </w:rPr>
      </w:pPr>
      <w:r w:rsidRPr="002825BC">
        <w:rPr>
          <w:sz w:val="24"/>
        </w:rPr>
        <w:t>Colleen L. Mooney</w:t>
      </w:r>
    </w:p>
    <w:p w:rsidR="002825BC" w:rsidRPr="002825BC" w:rsidRDefault="002825BC" w:rsidP="002825BC">
      <w:pPr>
        <w:rPr>
          <w:sz w:val="24"/>
        </w:rPr>
      </w:pPr>
      <w:r w:rsidRPr="002825BC">
        <w:rPr>
          <w:sz w:val="24"/>
        </w:rPr>
        <w:t>Ohio Partners for Affordable Energy</w:t>
      </w:r>
    </w:p>
    <w:p w:rsidR="002825BC" w:rsidRPr="002825BC" w:rsidRDefault="002825BC" w:rsidP="002825BC">
      <w:pPr>
        <w:rPr>
          <w:sz w:val="24"/>
        </w:rPr>
      </w:pPr>
      <w:r w:rsidRPr="002825BC">
        <w:rPr>
          <w:sz w:val="24"/>
        </w:rPr>
        <w:t>231 West Lima Street</w:t>
      </w:r>
    </w:p>
    <w:p w:rsidR="002825BC" w:rsidRPr="002825BC" w:rsidRDefault="002825BC" w:rsidP="002825BC">
      <w:pPr>
        <w:rPr>
          <w:sz w:val="24"/>
        </w:rPr>
      </w:pPr>
      <w:r w:rsidRPr="002825BC">
        <w:rPr>
          <w:sz w:val="24"/>
        </w:rPr>
        <w:t>Findlay, Ohio 45839-1793</w:t>
      </w:r>
    </w:p>
    <w:p w:rsidR="002825BC" w:rsidRPr="002825BC" w:rsidRDefault="002825BC" w:rsidP="002825BC">
      <w:pPr>
        <w:rPr>
          <w:sz w:val="24"/>
        </w:rPr>
      </w:pPr>
      <w:hyperlink r:id="rId26" w:history="1">
        <w:r w:rsidRPr="002825BC">
          <w:rPr>
            <w:rStyle w:val="Hyperlink"/>
            <w:sz w:val="24"/>
          </w:rPr>
          <w:t>Cmooney2@columbus.rr.com</w:t>
        </w:r>
      </w:hyperlink>
    </w:p>
    <w:p w:rsidR="002825BC" w:rsidRPr="002825BC" w:rsidRDefault="002825BC" w:rsidP="002825BC">
      <w:pPr>
        <w:rPr>
          <w:sz w:val="24"/>
        </w:rPr>
      </w:pPr>
    </w:p>
    <w:p w:rsidR="002825BC" w:rsidRPr="002825BC" w:rsidRDefault="002825BC" w:rsidP="002825BC">
      <w:pPr>
        <w:rPr>
          <w:sz w:val="24"/>
        </w:rPr>
      </w:pPr>
      <w:r w:rsidRPr="002825BC">
        <w:rPr>
          <w:sz w:val="24"/>
        </w:rPr>
        <w:t>Kimberly W. Bojko</w:t>
      </w:r>
    </w:p>
    <w:p w:rsidR="002825BC" w:rsidRPr="002825BC" w:rsidRDefault="002825BC" w:rsidP="002825BC">
      <w:pPr>
        <w:rPr>
          <w:sz w:val="24"/>
        </w:rPr>
      </w:pPr>
      <w:r w:rsidRPr="002825BC">
        <w:rPr>
          <w:sz w:val="24"/>
        </w:rPr>
        <w:t>Mallory M. Mohler</w:t>
      </w:r>
    </w:p>
    <w:p w:rsidR="002825BC" w:rsidRPr="002825BC" w:rsidRDefault="002825BC" w:rsidP="002825BC">
      <w:pPr>
        <w:rPr>
          <w:sz w:val="24"/>
        </w:rPr>
      </w:pPr>
      <w:r w:rsidRPr="002825BC">
        <w:rPr>
          <w:sz w:val="24"/>
        </w:rPr>
        <w:t xml:space="preserve">Carpenter </w:t>
      </w:r>
      <w:proofErr w:type="spellStart"/>
      <w:r w:rsidRPr="002825BC">
        <w:rPr>
          <w:sz w:val="24"/>
        </w:rPr>
        <w:t>Lipps</w:t>
      </w:r>
      <w:proofErr w:type="spellEnd"/>
      <w:r w:rsidRPr="002825BC">
        <w:rPr>
          <w:sz w:val="24"/>
        </w:rPr>
        <w:t xml:space="preserve"> &amp; Leland LLP</w:t>
      </w:r>
    </w:p>
    <w:p w:rsidR="002825BC" w:rsidRPr="002825BC" w:rsidRDefault="002825BC" w:rsidP="002825BC">
      <w:pPr>
        <w:rPr>
          <w:sz w:val="24"/>
        </w:rPr>
      </w:pPr>
      <w:r w:rsidRPr="002825BC">
        <w:rPr>
          <w:sz w:val="24"/>
        </w:rPr>
        <w:t xml:space="preserve">280 Plaza </w:t>
      </w:r>
      <w:proofErr w:type="gramStart"/>
      <w:r w:rsidRPr="002825BC">
        <w:rPr>
          <w:sz w:val="24"/>
        </w:rPr>
        <w:t>Suite</w:t>
      </w:r>
      <w:proofErr w:type="gramEnd"/>
      <w:r w:rsidRPr="002825BC">
        <w:rPr>
          <w:sz w:val="24"/>
        </w:rPr>
        <w:t xml:space="preserve"> 1300</w:t>
      </w:r>
    </w:p>
    <w:p w:rsidR="002825BC" w:rsidRPr="002825BC" w:rsidRDefault="002825BC" w:rsidP="002825BC">
      <w:pPr>
        <w:rPr>
          <w:sz w:val="24"/>
        </w:rPr>
      </w:pPr>
      <w:r w:rsidRPr="002825BC">
        <w:rPr>
          <w:sz w:val="24"/>
        </w:rPr>
        <w:t>280 North High Street</w:t>
      </w:r>
    </w:p>
    <w:p w:rsidR="002825BC" w:rsidRPr="002825BC" w:rsidRDefault="002825BC" w:rsidP="002825BC">
      <w:pPr>
        <w:rPr>
          <w:sz w:val="24"/>
        </w:rPr>
      </w:pPr>
      <w:r w:rsidRPr="002825BC">
        <w:rPr>
          <w:sz w:val="24"/>
        </w:rPr>
        <w:t>Columbus, OH  43215</w:t>
      </w:r>
    </w:p>
    <w:p w:rsidR="002825BC" w:rsidRPr="002825BC" w:rsidRDefault="002825BC" w:rsidP="002825BC">
      <w:pPr>
        <w:rPr>
          <w:sz w:val="24"/>
        </w:rPr>
      </w:pPr>
      <w:hyperlink r:id="rId27" w:history="1">
        <w:r w:rsidRPr="002825BC">
          <w:rPr>
            <w:rStyle w:val="Hyperlink"/>
            <w:sz w:val="24"/>
          </w:rPr>
          <w:t>Bojko@carpenterlipps.com</w:t>
        </w:r>
      </w:hyperlink>
    </w:p>
    <w:p w:rsidR="002825BC" w:rsidRPr="002825BC" w:rsidRDefault="002825BC" w:rsidP="002825BC">
      <w:pPr>
        <w:rPr>
          <w:sz w:val="24"/>
        </w:rPr>
      </w:pPr>
      <w:hyperlink r:id="rId28" w:history="1">
        <w:r w:rsidRPr="002825BC">
          <w:rPr>
            <w:rStyle w:val="Hyperlink"/>
            <w:sz w:val="24"/>
          </w:rPr>
          <w:t>Mohler@carpenterlipps.com</w:t>
        </w:r>
      </w:hyperlink>
    </w:p>
    <w:p w:rsidR="002825BC" w:rsidRPr="002825BC" w:rsidRDefault="002825BC" w:rsidP="002825BC">
      <w:pPr>
        <w:rPr>
          <w:sz w:val="24"/>
        </w:rPr>
      </w:pPr>
    </w:p>
    <w:p w:rsidR="002825BC" w:rsidRPr="002825BC" w:rsidRDefault="002825BC" w:rsidP="002825BC">
      <w:pPr>
        <w:rPr>
          <w:sz w:val="24"/>
        </w:rPr>
      </w:pPr>
      <w:r w:rsidRPr="002825BC">
        <w:rPr>
          <w:sz w:val="24"/>
        </w:rPr>
        <w:t xml:space="preserve">J. Thomas </w:t>
      </w:r>
      <w:proofErr w:type="spellStart"/>
      <w:r w:rsidRPr="002825BC">
        <w:rPr>
          <w:sz w:val="24"/>
        </w:rPr>
        <w:t>Siwo</w:t>
      </w:r>
      <w:proofErr w:type="spellEnd"/>
    </w:p>
    <w:p w:rsidR="002825BC" w:rsidRPr="002825BC" w:rsidRDefault="002825BC" w:rsidP="002825BC">
      <w:pPr>
        <w:rPr>
          <w:sz w:val="24"/>
        </w:rPr>
      </w:pPr>
      <w:r w:rsidRPr="002825BC">
        <w:rPr>
          <w:sz w:val="24"/>
        </w:rPr>
        <w:t>Matthew Warnock</w:t>
      </w:r>
    </w:p>
    <w:p w:rsidR="002825BC" w:rsidRPr="002825BC" w:rsidRDefault="002825BC" w:rsidP="002825BC">
      <w:pPr>
        <w:rPr>
          <w:sz w:val="24"/>
        </w:rPr>
      </w:pPr>
      <w:r w:rsidRPr="002825BC">
        <w:rPr>
          <w:sz w:val="24"/>
        </w:rPr>
        <w:t xml:space="preserve">Bricker &amp; </w:t>
      </w:r>
      <w:proofErr w:type="spellStart"/>
      <w:r w:rsidRPr="002825BC">
        <w:rPr>
          <w:sz w:val="24"/>
        </w:rPr>
        <w:t>Eckler</w:t>
      </w:r>
      <w:proofErr w:type="spellEnd"/>
      <w:r w:rsidRPr="002825BC">
        <w:rPr>
          <w:sz w:val="24"/>
        </w:rPr>
        <w:t xml:space="preserve"> LLP</w:t>
      </w:r>
    </w:p>
    <w:p w:rsidR="002825BC" w:rsidRPr="002825BC" w:rsidRDefault="002825BC" w:rsidP="002825BC">
      <w:pPr>
        <w:rPr>
          <w:sz w:val="24"/>
        </w:rPr>
      </w:pPr>
      <w:r w:rsidRPr="002825BC">
        <w:rPr>
          <w:sz w:val="24"/>
        </w:rPr>
        <w:t>100 South Third Street</w:t>
      </w:r>
    </w:p>
    <w:p w:rsidR="002825BC" w:rsidRPr="002825BC" w:rsidRDefault="002825BC" w:rsidP="002825BC">
      <w:pPr>
        <w:rPr>
          <w:sz w:val="24"/>
        </w:rPr>
      </w:pPr>
      <w:r w:rsidRPr="002825BC">
        <w:rPr>
          <w:sz w:val="24"/>
        </w:rPr>
        <w:t>Columbus, OH  43215</w:t>
      </w:r>
    </w:p>
    <w:p w:rsidR="002825BC" w:rsidRPr="002825BC" w:rsidRDefault="002825BC" w:rsidP="002825BC">
      <w:pPr>
        <w:rPr>
          <w:sz w:val="24"/>
        </w:rPr>
      </w:pPr>
      <w:hyperlink r:id="rId29" w:history="1">
        <w:r w:rsidRPr="002825BC">
          <w:rPr>
            <w:rStyle w:val="Hyperlink"/>
            <w:sz w:val="24"/>
          </w:rPr>
          <w:t>tsiwo@bricker.com</w:t>
        </w:r>
      </w:hyperlink>
    </w:p>
    <w:p w:rsidR="002825BC" w:rsidRPr="002825BC" w:rsidRDefault="002825BC" w:rsidP="002825BC">
      <w:pPr>
        <w:rPr>
          <w:sz w:val="24"/>
        </w:rPr>
      </w:pPr>
      <w:hyperlink r:id="rId30" w:history="1">
        <w:r w:rsidRPr="002825BC">
          <w:rPr>
            <w:rStyle w:val="Hyperlink"/>
            <w:sz w:val="24"/>
          </w:rPr>
          <w:t>mwarnock@bricker.com</w:t>
        </w:r>
      </w:hyperlink>
    </w:p>
    <w:p w:rsidR="002825BC" w:rsidRPr="002825BC" w:rsidRDefault="002825BC" w:rsidP="002825BC">
      <w:pPr>
        <w:rPr>
          <w:sz w:val="24"/>
        </w:rPr>
      </w:pPr>
    </w:p>
    <w:p w:rsidR="002825BC" w:rsidRPr="002825BC" w:rsidRDefault="002825BC" w:rsidP="002825BC">
      <w:pPr>
        <w:rPr>
          <w:sz w:val="24"/>
        </w:rPr>
      </w:pPr>
      <w:r w:rsidRPr="002825BC">
        <w:rPr>
          <w:sz w:val="24"/>
        </w:rPr>
        <w:t>Rick D. Chamberlain</w:t>
      </w:r>
    </w:p>
    <w:p w:rsidR="002825BC" w:rsidRPr="002825BC" w:rsidRDefault="002825BC" w:rsidP="002825BC">
      <w:pPr>
        <w:rPr>
          <w:sz w:val="24"/>
        </w:rPr>
      </w:pPr>
      <w:r w:rsidRPr="002825BC">
        <w:rPr>
          <w:sz w:val="24"/>
        </w:rPr>
        <w:t>Behrens, Wheeler &amp; Chamberlain</w:t>
      </w:r>
    </w:p>
    <w:p w:rsidR="002825BC" w:rsidRPr="002825BC" w:rsidRDefault="002825BC" w:rsidP="002825BC">
      <w:pPr>
        <w:rPr>
          <w:sz w:val="24"/>
        </w:rPr>
      </w:pPr>
      <w:r w:rsidRPr="002825BC">
        <w:rPr>
          <w:sz w:val="24"/>
        </w:rPr>
        <w:t>6 N.E. 63</w:t>
      </w:r>
      <w:r w:rsidRPr="002825BC">
        <w:rPr>
          <w:sz w:val="24"/>
          <w:vertAlign w:val="superscript"/>
        </w:rPr>
        <w:t>rd</w:t>
      </w:r>
      <w:r w:rsidRPr="002825BC">
        <w:rPr>
          <w:sz w:val="24"/>
        </w:rPr>
        <w:t xml:space="preserve"> Street, Suite 400</w:t>
      </w:r>
    </w:p>
    <w:p w:rsidR="002825BC" w:rsidRPr="002825BC" w:rsidRDefault="002825BC" w:rsidP="002825BC">
      <w:pPr>
        <w:rPr>
          <w:sz w:val="24"/>
        </w:rPr>
      </w:pPr>
      <w:r w:rsidRPr="002825BC">
        <w:rPr>
          <w:sz w:val="24"/>
        </w:rPr>
        <w:t>Oklahoma City, OK   73105</w:t>
      </w:r>
    </w:p>
    <w:p w:rsidR="002825BC" w:rsidRPr="002825BC" w:rsidRDefault="002825BC" w:rsidP="002825BC">
      <w:pPr>
        <w:rPr>
          <w:sz w:val="24"/>
        </w:rPr>
      </w:pPr>
      <w:hyperlink r:id="rId31" w:history="1">
        <w:r w:rsidRPr="002825BC">
          <w:rPr>
            <w:rStyle w:val="Hyperlink"/>
            <w:sz w:val="24"/>
          </w:rPr>
          <w:t>Rdc_law@swbell.net</w:t>
        </w:r>
      </w:hyperlink>
    </w:p>
    <w:p w:rsidR="002825BC" w:rsidRPr="002825BC" w:rsidRDefault="002825BC" w:rsidP="002825BC">
      <w:pPr>
        <w:rPr>
          <w:sz w:val="24"/>
        </w:rPr>
      </w:pPr>
      <w:r w:rsidRPr="002825BC">
        <w:rPr>
          <w:sz w:val="24"/>
        </w:rPr>
        <w:lastRenderedPageBreak/>
        <w:t xml:space="preserve">Joseph G. </w:t>
      </w:r>
      <w:proofErr w:type="spellStart"/>
      <w:r w:rsidRPr="002825BC">
        <w:rPr>
          <w:sz w:val="24"/>
        </w:rPr>
        <w:t>Strines</w:t>
      </w:r>
      <w:proofErr w:type="spellEnd"/>
    </w:p>
    <w:p w:rsidR="002825BC" w:rsidRPr="002825BC" w:rsidRDefault="002825BC" w:rsidP="002825BC">
      <w:pPr>
        <w:rPr>
          <w:sz w:val="24"/>
        </w:rPr>
      </w:pPr>
      <w:r w:rsidRPr="002825BC">
        <w:rPr>
          <w:sz w:val="24"/>
        </w:rPr>
        <w:t>DPL Energy Resources Inc.</w:t>
      </w:r>
    </w:p>
    <w:p w:rsidR="002825BC" w:rsidRPr="002825BC" w:rsidRDefault="002825BC" w:rsidP="002825BC">
      <w:pPr>
        <w:rPr>
          <w:sz w:val="24"/>
        </w:rPr>
      </w:pPr>
      <w:r w:rsidRPr="002825BC">
        <w:rPr>
          <w:sz w:val="24"/>
        </w:rPr>
        <w:t>1065 Woodman Drive</w:t>
      </w:r>
    </w:p>
    <w:p w:rsidR="002825BC" w:rsidRPr="002825BC" w:rsidRDefault="002825BC" w:rsidP="002825BC">
      <w:pPr>
        <w:rPr>
          <w:sz w:val="24"/>
        </w:rPr>
      </w:pPr>
      <w:r w:rsidRPr="002825BC">
        <w:rPr>
          <w:sz w:val="24"/>
        </w:rPr>
        <w:t>Dayton, OH  45432</w:t>
      </w:r>
    </w:p>
    <w:p w:rsidR="002825BC" w:rsidRPr="002825BC" w:rsidRDefault="002825BC" w:rsidP="002825BC">
      <w:pPr>
        <w:rPr>
          <w:sz w:val="24"/>
        </w:rPr>
      </w:pPr>
      <w:hyperlink r:id="rId32" w:history="1">
        <w:r w:rsidRPr="002825BC">
          <w:rPr>
            <w:rStyle w:val="Hyperlink"/>
            <w:sz w:val="24"/>
          </w:rPr>
          <w:t>Joseph.strines@dplinc.com</w:t>
        </w:r>
      </w:hyperlink>
    </w:p>
    <w:p w:rsidR="002825BC" w:rsidRPr="002825BC" w:rsidRDefault="002825BC" w:rsidP="002825BC">
      <w:pPr>
        <w:rPr>
          <w:sz w:val="24"/>
        </w:rPr>
      </w:pPr>
    </w:p>
    <w:p w:rsidR="002825BC" w:rsidRPr="002825BC" w:rsidRDefault="002825BC" w:rsidP="002825BC">
      <w:pPr>
        <w:rPr>
          <w:sz w:val="24"/>
        </w:rPr>
      </w:pPr>
      <w:r w:rsidRPr="002825BC">
        <w:rPr>
          <w:sz w:val="24"/>
        </w:rPr>
        <w:t>Mark Hayden</w:t>
      </w:r>
    </w:p>
    <w:p w:rsidR="002825BC" w:rsidRPr="002825BC" w:rsidRDefault="002825BC" w:rsidP="002825BC">
      <w:pPr>
        <w:rPr>
          <w:sz w:val="24"/>
        </w:rPr>
      </w:pPr>
      <w:r w:rsidRPr="002825BC">
        <w:rPr>
          <w:sz w:val="24"/>
        </w:rPr>
        <w:t>FirstEnergy</w:t>
      </w:r>
    </w:p>
    <w:p w:rsidR="002825BC" w:rsidRPr="002825BC" w:rsidRDefault="002825BC" w:rsidP="002825BC">
      <w:pPr>
        <w:rPr>
          <w:sz w:val="24"/>
        </w:rPr>
      </w:pPr>
      <w:r w:rsidRPr="002825BC">
        <w:rPr>
          <w:sz w:val="24"/>
        </w:rPr>
        <w:t>76 South Main Street</w:t>
      </w:r>
    </w:p>
    <w:p w:rsidR="002825BC" w:rsidRPr="002825BC" w:rsidRDefault="002825BC" w:rsidP="002825BC">
      <w:pPr>
        <w:rPr>
          <w:sz w:val="24"/>
        </w:rPr>
      </w:pPr>
      <w:r w:rsidRPr="002825BC">
        <w:rPr>
          <w:sz w:val="24"/>
        </w:rPr>
        <w:t>Akron, OH  44308</w:t>
      </w:r>
    </w:p>
    <w:p w:rsidR="002825BC" w:rsidRPr="002825BC" w:rsidRDefault="002825BC" w:rsidP="002825BC">
      <w:pPr>
        <w:rPr>
          <w:sz w:val="24"/>
        </w:rPr>
      </w:pPr>
      <w:hyperlink r:id="rId33" w:history="1">
        <w:r w:rsidRPr="002825BC">
          <w:rPr>
            <w:rStyle w:val="Hyperlink"/>
            <w:sz w:val="24"/>
          </w:rPr>
          <w:t>haydenm@firstenergycorp.com</w:t>
        </w:r>
      </w:hyperlink>
    </w:p>
    <w:p w:rsidR="002825BC" w:rsidRPr="002825BC" w:rsidRDefault="002825BC" w:rsidP="002825BC">
      <w:pPr>
        <w:rPr>
          <w:sz w:val="24"/>
        </w:rPr>
      </w:pPr>
    </w:p>
    <w:p w:rsidR="002825BC" w:rsidRPr="002825BC" w:rsidRDefault="002825BC" w:rsidP="002825BC">
      <w:pPr>
        <w:rPr>
          <w:sz w:val="24"/>
        </w:rPr>
      </w:pPr>
      <w:r w:rsidRPr="002825BC">
        <w:rPr>
          <w:sz w:val="24"/>
        </w:rPr>
        <w:t xml:space="preserve">Steven T. </w:t>
      </w:r>
      <w:proofErr w:type="spellStart"/>
      <w:r w:rsidRPr="002825BC">
        <w:rPr>
          <w:sz w:val="24"/>
        </w:rPr>
        <w:t>Nourse</w:t>
      </w:r>
      <w:proofErr w:type="spellEnd"/>
    </w:p>
    <w:p w:rsidR="002825BC" w:rsidRPr="002825BC" w:rsidRDefault="002825BC" w:rsidP="002825BC">
      <w:pPr>
        <w:rPr>
          <w:sz w:val="24"/>
        </w:rPr>
      </w:pPr>
      <w:r w:rsidRPr="002825BC">
        <w:rPr>
          <w:sz w:val="24"/>
        </w:rPr>
        <w:t xml:space="preserve">Matthew J. </w:t>
      </w:r>
      <w:proofErr w:type="spellStart"/>
      <w:r w:rsidRPr="002825BC">
        <w:rPr>
          <w:sz w:val="24"/>
        </w:rPr>
        <w:t>Sattewwhite</w:t>
      </w:r>
      <w:proofErr w:type="spellEnd"/>
    </w:p>
    <w:p w:rsidR="002825BC" w:rsidRPr="002825BC" w:rsidRDefault="002825BC" w:rsidP="002825BC">
      <w:pPr>
        <w:rPr>
          <w:sz w:val="24"/>
        </w:rPr>
      </w:pPr>
      <w:r w:rsidRPr="002825BC">
        <w:rPr>
          <w:sz w:val="24"/>
        </w:rPr>
        <w:t>American Electric Power</w:t>
      </w:r>
    </w:p>
    <w:p w:rsidR="002825BC" w:rsidRPr="002825BC" w:rsidRDefault="002825BC" w:rsidP="002825BC">
      <w:pPr>
        <w:rPr>
          <w:sz w:val="24"/>
        </w:rPr>
      </w:pPr>
      <w:r w:rsidRPr="002825BC">
        <w:rPr>
          <w:sz w:val="24"/>
        </w:rPr>
        <w:t>1 Riverside Plaza</w:t>
      </w:r>
    </w:p>
    <w:p w:rsidR="002825BC" w:rsidRPr="002825BC" w:rsidRDefault="002825BC" w:rsidP="002825BC">
      <w:pPr>
        <w:rPr>
          <w:sz w:val="24"/>
        </w:rPr>
      </w:pPr>
      <w:r w:rsidRPr="002825BC">
        <w:rPr>
          <w:sz w:val="24"/>
        </w:rPr>
        <w:t>Columbus, OH  43215</w:t>
      </w:r>
    </w:p>
    <w:p w:rsidR="002825BC" w:rsidRPr="002825BC" w:rsidRDefault="002825BC" w:rsidP="002825BC">
      <w:pPr>
        <w:rPr>
          <w:sz w:val="24"/>
        </w:rPr>
      </w:pPr>
      <w:hyperlink r:id="rId34" w:history="1">
        <w:r w:rsidRPr="002825BC">
          <w:rPr>
            <w:rStyle w:val="Hyperlink"/>
            <w:sz w:val="24"/>
          </w:rPr>
          <w:t>stnourse@aep.com</w:t>
        </w:r>
      </w:hyperlink>
    </w:p>
    <w:p w:rsidR="002825BC" w:rsidRPr="002825BC" w:rsidRDefault="002825BC" w:rsidP="002825BC">
      <w:pPr>
        <w:rPr>
          <w:sz w:val="24"/>
        </w:rPr>
      </w:pPr>
      <w:hyperlink r:id="rId35" w:history="1">
        <w:r w:rsidRPr="002825BC">
          <w:rPr>
            <w:rStyle w:val="Hyperlink"/>
            <w:sz w:val="24"/>
          </w:rPr>
          <w:t>mjsatterwhite@aep.com</w:t>
        </w:r>
      </w:hyperlink>
    </w:p>
    <w:p w:rsidR="002825BC" w:rsidRPr="002825BC" w:rsidRDefault="002825BC" w:rsidP="002825BC">
      <w:pPr>
        <w:rPr>
          <w:sz w:val="24"/>
        </w:rPr>
      </w:pPr>
    </w:p>
    <w:p w:rsidR="002825BC" w:rsidRPr="002825BC" w:rsidRDefault="002825BC" w:rsidP="002825BC">
      <w:pPr>
        <w:rPr>
          <w:sz w:val="24"/>
        </w:rPr>
      </w:pPr>
      <w:r w:rsidRPr="002825BC">
        <w:rPr>
          <w:sz w:val="24"/>
        </w:rPr>
        <w:t xml:space="preserve">Howard </w:t>
      </w:r>
      <w:proofErr w:type="spellStart"/>
      <w:r w:rsidRPr="002825BC">
        <w:rPr>
          <w:sz w:val="24"/>
        </w:rPr>
        <w:t>Petricoff</w:t>
      </w:r>
      <w:proofErr w:type="spellEnd"/>
    </w:p>
    <w:p w:rsidR="002825BC" w:rsidRPr="002825BC" w:rsidRDefault="002825BC" w:rsidP="002825BC">
      <w:pPr>
        <w:rPr>
          <w:sz w:val="24"/>
        </w:rPr>
      </w:pPr>
      <w:r w:rsidRPr="002825BC">
        <w:rPr>
          <w:sz w:val="24"/>
        </w:rPr>
        <w:t>Steven M. Howard</w:t>
      </w:r>
    </w:p>
    <w:p w:rsidR="002825BC" w:rsidRPr="002825BC" w:rsidRDefault="002825BC" w:rsidP="002825BC">
      <w:pPr>
        <w:rPr>
          <w:sz w:val="24"/>
        </w:rPr>
      </w:pPr>
      <w:proofErr w:type="spellStart"/>
      <w:r w:rsidRPr="002825BC">
        <w:rPr>
          <w:sz w:val="24"/>
        </w:rPr>
        <w:t>Lija</w:t>
      </w:r>
      <w:proofErr w:type="spellEnd"/>
      <w:r w:rsidRPr="002825BC">
        <w:rPr>
          <w:sz w:val="24"/>
        </w:rPr>
        <w:t xml:space="preserve"> </w:t>
      </w:r>
      <w:proofErr w:type="spellStart"/>
      <w:r w:rsidRPr="002825BC">
        <w:rPr>
          <w:sz w:val="24"/>
        </w:rPr>
        <w:t>Kaleps</w:t>
      </w:r>
      <w:proofErr w:type="spellEnd"/>
      <w:r w:rsidRPr="002825BC">
        <w:rPr>
          <w:sz w:val="24"/>
        </w:rPr>
        <w:t>-Clark</w:t>
      </w:r>
    </w:p>
    <w:p w:rsidR="002825BC" w:rsidRPr="002825BC" w:rsidRDefault="002825BC" w:rsidP="002825BC">
      <w:pPr>
        <w:rPr>
          <w:sz w:val="24"/>
        </w:rPr>
      </w:pPr>
      <w:r w:rsidRPr="002825BC">
        <w:rPr>
          <w:sz w:val="24"/>
        </w:rPr>
        <w:t xml:space="preserve">Gretchen L. </w:t>
      </w:r>
      <w:proofErr w:type="spellStart"/>
      <w:r w:rsidRPr="002825BC">
        <w:rPr>
          <w:sz w:val="24"/>
        </w:rPr>
        <w:t>Petrucci</w:t>
      </w:r>
      <w:proofErr w:type="spellEnd"/>
    </w:p>
    <w:p w:rsidR="002825BC" w:rsidRPr="002825BC" w:rsidRDefault="002825BC" w:rsidP="002825BC">
      <w:pPr>
        <w:rPr>
          <w:sz w:val="24"/>
        </w:rPr>
      </w:pPr>
      <w:proofErr w:type="spellStart"/>
      <w:r w:rsidRPr="002825BC">
        <w:rPr>
          <w:sz w:val="24"/>
        </w:rPr>
        <w:t>Vorys</w:t>
      </w:r>
      <w:proofErr w:type="spellEnd"/>
      <w:r w:rsidRPr="002825BC">
        <w:rPr>
          <w:sz w:val="24"/>
        </w:rPr>
        <w:t xml:space="preserve"> </w:t>
      </w:r>
      <w:proofErr w:type="spellStart"/>
      <w:r w:rsidRPr="002825BC">
        <w:rPr>
          <w:sz w:val="24"/>
        </w:rPr>
        <w:t>Sater</w:t>
      </w:r>
      <w:proofErr w:type="spellEnd"/>
      <w:r w:rsidRPr="002825BC">
        <w:rPr>
          <w:sz w:val="24"/>
        </w:rPr>
        <w:t xml:space="preserve"> Seymour &amp; Pease</w:t>
      </w:r>
    </w:p>
    <w:p w:rsidR="002825BC" w:rsidRPr="002825BC" w:rsidRDefault="002825BC" w:rsidP="002825BC">
      <w:pPr>
        <w:rPr>
          <w:sz w:val="24"/>
        </w:rPr>
      </w:pPr>
      <w:r w:rsidRPr="002825BC">
        <w:rPr>
          <w:sz w:val="24"/>
        </w:rPr>
        <w:t>52 East Gay Street</w:t>
      </w:r>
    </w:p>
    <w:p w:rsidR="002825BC" w:rsidRPr="002825BC" w:rsidRDefault="002825BC" w:rsidP="002825BC">
      <w:pPr>
        <w:rPr>
          <w:sz w:val="24"/>
        </w:rPr>
      </w:pPr>
      <w:r w:rsidRPr="002825BC">
        <w:rPr>
          <w:sz w:val="24"/>
        </w:rPr>
        <w:t>Columbus, OH  43215</w:t>
      </w:r>
    </w:p>
    <w:p w:rsidR="002825BC" w:rsidRPr="002825BC" w:rsidRDefault="002825BC" w:rsidP="002825BC">
      <w:pPr>
        <w:rPr>
          <w:sz w:val="24"/>
        </w:rPr>
      </w:pPr>
      <w:hyperlink r:id="rId36" w:history="1">
        <w:r w:rsidRPr="002825BC">
          <w:rPr>
            <w:rStyle w:val="Hyperlink"/>
            <w:sz w:val="24"/>
          </w:rPr>
          <w:t>mhpetricoff@vorys.com</w:t>
        </w:r>
      </w:hyperlink>
    </w:p>
    <w:p w:rsidR="002825BC" w:rsidRPr="002825BC" w:rsidRDefault="002825BC" w:rsidP="002825BC">
      <w:pPr>
        <w:rPr>
          <w:sz w:val="24"/>
        </w:rPr>
      </w:pPr>
      <w:hyperlink r:id="rId37" w:history="1">
        <w:r w:rsidRPr="002825BC">
          <w:rPr>
            <w:rStyle w:val="Hyperlink"/>
            <w:sz w:val="24"/>
          </w:rPr>
          <w:t>smhoward@vorys.com</w:t>
        </w:r>
      </w:hyperlink>
    </w:p>
    <w:p w:rsidR="002825BC" w:rsidRPr="002825BC" w:rsidRDefault="002825BC" w:rsidP="002825BC">
      <w:pPr>
        <w:rPr>
          <w:sz w:val="24"/>
        </w:rPr>
      </w:pPr>
      <w:hyperlink r:id="rId38" w:history="1">
        <w:r w:rsidRPr="002825BC">
          <w:rPr>
            <w:rStyle w:val="Hyperlink"/>
            <w:sz w:val="24"/>
          </w:rPr>
          <w:t>lkalepsclark@vorys.com</w:t>
        </w:r>
      </w:hyperlink>
    </w:p>
    <w:p w:rsidR="002825BC" w:rsidRPr="002825BC" w:rsidRDefault="002825BC" w:rsidP="002825BC">
      <w:pPr>
        <w:rPr>
          <w:sz w:val="24"/>
        </w:rPr>
      </w:pPr>
      <w:hyperlink r:id="rId39" w:history="1">
        <w:r w:rsidRPr="002825BC">
          <w:rPr>
            <w:rStyle w:val="Hyperlink"/>
            <w:sz w:val="24"/>
          </w:rPr>
          <w:t>glpetrucci@vorys.com</w:t>
        </w:r>
      </w:hyperlink>
    </w:p>
    <w:p w:rsidR="002825BC" w:rsidRPr="002825BC" w:rsidRDefault="002825BC" w:rsidP="002825BC">
      <w:pPr>
        <w:rPr>
          <w:sz w:val="24"/>
        </w:rPr>
      </w:pPr>
    </w:p>
    <w:p w:rsidR="002825BC" w:rsidRPr="002825BC" w:rsidRDefault="002825BC" w:rsidP="002825BC">
      <w:pPr>
        <w:rPr>
          <w:sz w:val="24"/>
        </w:rPr>
      </w:pPr>
      <w:r w:rsidRPr="002825BC">
        <w:rPr>
          <w:sz w:val="24"/>
        </w:rPr>
        <w:t>Thomas J. O’Brien</w:t>
      </w:r>
    </w:p>
    <w:p w:rsidR="002825BC" w:rsidRPr="002825BC" w:rsidRDefault="002825BC" w:rsidP="002825BC">
      <w:pPr>
        <w:rPr>
          <w:sz w:val="24"/>
        </w:rPr>
      </w:pPr>
      <w:r w:rsidRPr="002825BC">
        <w:rPr>
          <w:sz w:val="24"/>
        </w:rPr>
        <w:t xml:space="preserve">Bricker &amp; </w:t>
      </w:r>
      <w:proofErr w:type="spellStart"/>
      <w:r w:rsidRPr="002825BC">
        <w:rPr>
          <w:sz w:val="24"/>
        </w:rPr>
        <w:t>Eckler</w:t>
      </w:r>
      <w:proofErr w:type="spellEnd"/>
      <w:r w:rsidRPr="002825BC">
        <w:rPr>
          <w:sz w:val="24"/>
        </w:rPr>
        <w:t xml:space="preserve"> LLP</w:t>
      </w:r>
    </w:p>
    <w:p w:rsidR="002825BC" w:rsidRPr="002825BC" w:rsidRDefault="002825BC" w:rsidP="002825BC">
      <w:pPr>
        <w:rPr>
          <w:sz w:val="24"/>
        </w:rPr>
      </w:pPr>
      <w:r w:rsidRPr="002825BC">
        <w:rPr>
          <w:sz w:val="24"/>
        </w:rPr>
        <w:t>100 South Third Street</w:t>
      </w:r>
    </w:p>
    <w:p w:rsidR="002825BC" w:rsidRDefault="002825BC" w:rsidP="002825BC">
      <w:pPr>
        <w:rPr>
          <w:sz w:val="24"/>
        </w:rPr>
      </w:pPr>
      <w:r w:rsidRPr="002825BC">
        <w:rPr>
          <w:sz w:val="24"/>
        </w:rPr>
        <w:t>Columbus, OH  43215</w:t>
      </w:r>
    </w:p>
    <w:p w:rsidR="002825BC" w:rsidRDefault="002825BC" w:rsidP="002825BC">
      <w:pPr>
        <w:rPr>
          <w:sz w:val="24"/>
        </w:rPr>
      </w:pPr>
      <w:hyperlink r:id="rId40" w:history="1">
        <w:r w:rsidRPr="0000161C">
          <w:rPr>
            <w:rStyle w:val="Hyperlink"/>
            <w:sz w:val="24"/>
          </w:rPr>
          <w:t>tobrien@bricker.com</w:t>
        </w:r>
      </w:hyperlink>
    </w:p>
    <w:p w:rsidR="002825BC" w:rsidRPr="002825BC" w:rsidRDefault="002825BC" w:rsidP="002825BC">
      <w:pPr>
        <w:rPr>
          <w:sz w:val="24"/>
        </w:rPr>
      </w:pPr>
    </w:p>
    <w:p w:rsidR="002825BC" w:rsidRPr="002825BC" w:rsidRDefault="002825BC" w:rsidP="002825BC">
      <w:pPr>
        <w:rPr>
          <w:sz w:val="24"/>
        </w:rPr>
      </w:pPr>
      <w:r w:rsidRPr="002825BC">
        <w:rPr>
          <w:sz w:val="24"/>
        </w:rPr>
        <w:t xml:space="preserve">Kevin </w:t>
      </w:r>
      <w:proofErr w:type="spellStart"/>
      <w:r w:rsidRPr="002825BC">
        <w:rPr>
          <w:sz w:val="24"/>
        </w:rPr>
        <w:t>Osterkamp</w:t>
      </w:r>
      <w:proofErr w:type="spellEnd"/>
    </w:p>
    <w:p w:rsidR="002825BC" w:rsidRPr="002825BC" w:rsidRDefault="002825BC" w:rsidP="002825BC">
      <w:pPr>
        <w:rPr>
          <w:sz w:val="24"/>
        </w:rPr>
      </w:pPr>
      <w:proofErr w:type="spellStart"/>
      <w:r w:rsidRPr="002825BC">
        <w:rPr>
          <w:sz w:val="24"/>
        </w:rPr>
        <w:t>Roetzel</w:t>
      </w:r>
      <w:proofErr w:type="spellEnd"/>
      <w:r w:rsidRPr="002825BC">
        <w:rPr>
          <w:sz w:val="24"/>
        </w:rPr>
        <w:t xml:space="preserve"> &amp; </w:t>
      </w:r>
      <w:proofErr w:type="spellStart"/>
      <w:r w:rsidRPr="002825BC">
        <w:rPr>
          <w:sz w:val="24"/>
        </w:rPr>
        <w:t>Andress</w:t>
      </w:r>
      <w:proofErr w:type="spellEnd"/>
      <w:r w:rsidRPr="002825BC">
        <w:rPr>
          <w:sz w:val="24"/>
        </w:rPr>
        <w:t xml:space="preserve"> LPA</w:t>
      </w:r>
    </w:p>
    <w:p w:rsidR="002825BC" w:rsidRPr="002825BC" w:rsidRDefault="002825BC" w:rsidP="002825BC">
      <w:pPr>
        <w:rPr>
          <w:sz w:val="24"/>
        </w:rPr>
      </w:pPr>
      <w:r w:rsidRPr="002825BC">
        <w:rPr>
          <w:sz w:val="24"/>
        </w:rPr>
        <w:t>155 East Broad Street</w:t>
      </w:r>
    </w:p>
    <w:p w:rsidR="002825BC" w:rsidRPr="002825BC" w:rsidRDefault="002825BC" w:rsidP="002825BC">
      <w:pPr>
        <w:rPr>
          <w:sz w:val="24"/>
        </w:rPr>
      </w:pPr>
      <w:r w:rsidRPr="002825BC">
        <w:rPr>
          <w:sz w:val="24"/>
        </w:rPr>
        <w:t>Columbus, OH  43215</w:t>
      </w:r>
    </w:p>
    <w:p w:rsidR="002825BC" w:rsidRPr="002825BC" w:rsidRDefault="002825BC" w:rsidP="002825BC">
      <w:pPr>
        <w:rPr>
          <w:sz w:val="24"/>
        </w:rPr>
      </w:pPr>
      <w:hyperlink r:id="rId41" w:history="1">
        <w:r w:rsidRPr="002825BC">
          <w:rPr>
            <w:rStyle w:val="Hyperlink"/>
            <w:sz w:val="24"/>
          </w:rPr>
          <w:t>Kosterkamp@ralaw.com</w:t>
        </w:r>
      </w:hyperlink>
    </w:p>
    <w:p w:rsidR="002825BC" w:rsidRPr="002825BC" w:rsidRDefault="002825BC" w:rsidP="002825BC">
      <w:pPr>
        <w:rPr>
          <w:sz w:val="24"/>
        </w:rPr>
      </w:pPr>
    </w:p>
    <w:p w:rsidR="002825BC" w:rsidRPr="002825BC" w:rsidRDefault="002825BC" w:rsidP="002825BC">
      <w:pPr>
        <w:rPr>
          <w:sz w:val="24"/>
        </w:rPr>
      </w:pPr>
    </w:p>
    <w:p w:rsidR="002825BC" w:rsidRPr="002825BC" w:rsidRDefault="002825BC" w:rsidP="002825BC">
      <w:pPr>
        <w:rPr>
          <w:sz w:val="24"/>
        </w:rPr>
      </w:pPr>
    </w:p>
    <w:p w:rsidR="002825BC" w:rsidRPr="002825BC" w:rsidRDefault="002825BC" w:rsidP="002825BC">
      <w:pPr>
        <w:rPr>
          <w:sz w:val="24"/>
        </w:rPr>
      </w:pPr>
      <w:r w:rsidRPr="002825BC">
        <w:rPr>
          <w:sz w:val="24"/>
        </w:rPr>
        <w:lastRenderedPageBreak/>
        <w:t xml:space="preserve">Jay E. </w:t>
      </w:r>
      <w:proofErr w:type="spellStart"/>
      <w:r w:rsidRPr="002825BC">
        <w:rPr>
          <w:sz w:val="24"/>
        </w:rPr>
        <w:t>Jadwin</w:t>
      </w:r>
      <w:proofErr w:type="spellEnd"/>
    </w:p>
    <w:p w:rsidR="002825BC" w:rsidRPr="002825BC" w:rsidRDefault="002825BC" w:rsidP="002825BC">
      <w:pPr>
        <w:rPr>
          <w:sz w:val="24"/>
        </w:rPr>
      </w:pPr>
      <w:proofErr w:type="spellStart"/>
      <w:r w:rsidRPr="002825BC">
        <w:rPr>
          <w:sz w:val="24"/>
        </w:rPr>
        <w:t>Yazen</w:t>
      </w:r>
      <w:proofErr w:type="spellEnd"/>
      <w:r w:rsidRPr="002825BC">
        <w:rPr>
          <w:sz w:val="24"/>
        </w:rPr>
        <w:t xml:space="preserve"> </w:t>
      </w:r>
      <w:proofErr w:type="spellStart"/>
      <w:r w:rsidRPr="002825BC">
        <w:rPr>
          <w:sz w:val="24"/>
        </w:rPr>
        <w:t>Alami</w:t>
      </w:r>
      <w:proofErr w:type="spellEnd"/>
    </w:p>
    <w:p w:rsidR="002825BC" w:rsidRPr="002825BC" w:rsidRDefault="002825BC" w:rsidP="002825BC">
      <w:pPr>
        <w:rPr>
          <w:sz w:val="24"/>
        </w:rPr>
      </w:pPr>
      <w:r w:rsidRPr="002825BC">
        <w:rPr>
          <w:sz w:val="24"/>
        </w:rPr>
        <w:t>AEPSC</w:t>
      </w:r>
    </w:p>
    <w:p w:rsidR="002825BC" w:rsidRPr="002825BC" w:rsidRDefault="002825BC" w:rsidP="002825BC">
      <w:pPr>
        <w:rPr>
          <w:sz w:val="24"/>
        </w:rPr>
      </w:pPr>
      <w:r w:rsidRPr="002825BC">
        <w:rPr>
          <w:sz w:val="24"/>
        </w:rPr>
        <w:t>155 W. Nationwide Blvd.</w:t>
      </w:r>
    </w:p>
    <w:p w:rsidR="002825BC" w:rsidRPr="002825BC" w:rsidRDefault="002825BC" w:rsidP="002825BC">
      <w:pPr>
        <w:rPr>
          <w:sz w:val="24"/>
        </w:rPr>
      </w:pPr>
      <w:r w:rsidRPr="002825BC">
        <w:rPr>
          <w:sz w:val="24"/>
        </w:rPr>
        <w:t>Columbus, OH  43215</w:t>
      </w:r>
    </w:p>
    <w:p w:rsidR="002825BC" w:rsidRPr="002825BC" w:rsidRDefault="002825BC" w:rsidP="002825BC">
      <w:pPr>
        <w:rPr>
          <w:sz w:val="24"/>
        </w:rPr>
      </w:pPr>
      <w:hyperlink r:id="rId42" w:history="1">
        <w:r w:rsidRPr="002825BC">
          <w:rPr>
            <w:rStyle w:val="Hyperlink"/>
            <w:sz w:val="24"/>
          </w:rPr>
          <w:t>jejadwin@aep.com</w:t>
        </w:r>
      </w:hyperlink>
    </w:p>
    <w:p w:rsidR="002825BC" w:rsidRPr="002825BC" w:rsidRDefault="002825BC" w:rsidP="002825BC">
      <w:pPr>
        <w:rPr>
          <w:sz w:val="24"/>
        </w:rPr>
      </w:pPr>
      <w:hyperlink r:id="rId43" w:history="1">
        <w:r w:rsidRPr="002825BC">
          <w:rPr>
            <w:rStyle w:val="Hyperlink"/>
            <w:sz w:val="24"/>
          </w:rPr>
          <w:t>yalami@aep.com</w:t>
        </w:r>
      </w:hyperlink>
    </w:p>
    <w:p w:rsidR="002825BC" w:rsidRPr="002825BC" w:rsidRDefault="002825BC" w:rsidP="002825BC">
      <w:pPr>
        <w:rPr>
          <w:sz w:val="24"/>
        </w:rPr>
      </w:pPr>
    </w:p>
    <w:p w:rsidR="002825BC" w:rsidRPr="002825BC" w:rsidRDefault="002825BC" w:rsidP="002825BC">
      <w:pPr>
        <w:rPr>
          <w:sz w:val="24"/>
        </w:rPr>
      </w:pPr>
      <w:r w:rsidRPr="002825BC">
        <w:rPr>
          <w:sz w:val="24"/>
        </w:rPr>
        <w:t>James F. Lang</w:t>
      </w:r>
    </w:p>
    <w:p w:rsidR="002825BC" w:rsidRPr="002825BC" w:rsidRDefault="002825BC" w:rsidP="002825BC">
      <w:pPr>
        <w:rPr>
          <w:sz w:val="24"/>
        </w:rPr>
      </w:pPr>
      <w:r w:rsidRPr="002825BC">
        <w:rPr>
          <w:sz w:val="24"/>
        </w:rPr>
        <w:t>Laura McBride</w:t>
      </w:r>
    </w:p>
    <w:p w:rsidR="002825BC" w:rsidRPr="002825BC" w:rsidRDefault="002825BC" w:rsidP="002825BC">
      <w:pPr>
        <w:rPr>
          <w:sz w:val="24"/>
        </w:rPr>
      </w:pPr>
      <w:r w:rsidRPr="002825BC">
        <w:rPr>
          <w:sz w:val="24"/>
        </w:rPr>
        <w:t>N. Trevor Alexander</w:t>
      </w:r>
    </w:p>
    <w:p w:rsidR="002825BC" w:rsidRPr="002825BC" w:rsidRDefault="002825BC" w:rsidP="002825BC">
      <w:pPr>
        <w:rPr>
          <w:sz w:val="24"/>
        </w:rPr>
      </w:pPr>
      <w:proofErr w:type="spellStart"/>
      <w:r w:rsidRPr="002825BC">
        <w:rPr>
          <w:sz w:val="24"/>
        </w:rPr>
        <w:t>Calfee</w:t>
      </w:r>
      <w:proofErr w:type="spellEnd"/>
      <w:r w:rsidRPr="002825BC">
        <w:rPr>
          <w:sz w:val="24"/>
        </w:rPr>
        <w:t>, Halter, Griswold</w:t>
      </w:r>
    </w:p>
    <w:p w:rsidR="002825BC" w:rsidRPr="002825BC" w:rsidRDefault="002825BC" w:rsidP="002825BC">
      <w:pPr>
        <w:rPr>
          <w:sz w:val="24"/>
        </w:rPr>
      </w:pPr>
      <w:r w:rsidRPr="002825BC">
        <w:rPr>
          <w:sz w:val="24"/>
        </w:rPr>
        <w:t>1405 East Sixth Street</w:t>
      </w:r>
    </w:p>
    <w:p w:rsidR="002825BC" w:rsidRPr="002825BC" w:rsidRDefault="002825BC" w:rsidP="002825BC">
      <w:pPr>
        <w:rPr>
          <w:sz w:val="24"/>
        </w:rPr>
      </w:pPr>
      <w:r w:rsidRPr="002825BC">
        <w:rPr>
          <w:sz w:val="24"/>
        </w:rPr>
        <w:t>Cleveland, OH  44114</w:t>
      </w:r>
    </w:p>
    <w:p w:rsidR="002825BC" w:rsidRPr="002825BC" w:rsidRDefault="002825BC" w:rsidP="002825BC">
      <w:pPr>
        <w:rPr>
          <w:sz w:val="24"/>
        </w:rPr>
      </w:pPr>
      <w:hyperlink r:id="rId44" w:history="1">
        <w:r w:rsidRPr="002825BC">
          <w:rPr>
            <w:rStyle w:val="Hyperlink"/>
            <w:sz w:val="24"/>
          </w:rPr>
          <w:t>jlang@calfee.com</w:t>
        </w:r>
      </w:hyperlink>
    </w:p>
    <w:p w:rsidR="002825BC" w:rsidRPr="002825BC" w:rsidRDefault="002825BC" w:rsidP="002825BC">
      <w:pPr>
        <w:rPr>
          <w:sz w:val="24"/>
        </w:rPr>
      </w:pPr>
      <w:hyperlink r:id="rId45" w:history="1">
        <w:r w:rsidRPr="002825BC">
          <w:rPr>
            <w:rStyle w:val="Hyperlink"/>
            <w:sz w:val="24"/>
          </w:rPr>
          <w:t>lmcbride@calfee.com</w:t>
        </w:r>
      </w:hyperlink>
    </w:p>
    <w:p w:rsidR="002825BC" w:rsidRPr="002825BC" w:rsidRDefault="002825BC" w:rsidP="002825BC">
      <w:pPr>
        <w:rPr>
          <w:sz w:val="24"/>
        </w:rPr>
      </w:pPr>
      <w:hyperlink r:id="rId46" w:history="1">
        <w:r w:rsidRPr="002825BC">
          <w:rPr>
            <w:rStyle w:val="Hyperlink"/>
            <w:sz w:val="24"/>
          </w:rPr>
          <w:t>talexander@calfee.com</w:t>
        </w:r>
      </w:hyperlink>
    </w:p>
    <w:p w:rsidR="002825BC" w:rsidRPr="002825BC" w:rsidRDefault="002825BC" w:rsidP="002825BC">
      <w:pPr>
        <w:rPr>
          <w:sz w:val="24"/>
        </w:rPr>
      </w:pPr>
    </w:p>
    <w:p w:rsidR="002825BC" w:rsidRPr="002825BC" w:rsidRDefault="002825BC" w:rsidP="002825BC">
      <w:pPr>
        <w:rPr>
          <w:sz w:val="24"/>
        </w:rPr>
      </w:pPr>
      <w:r w:rsidRPr="002825BC">
        <w:rPr>
          <w:sz w:val="24"/>
        </w:rPr>
        <w:t xml:space="preserve">David A. </w:t>
      </w:r>
      <w:proofErr w:type="spellStart"/>
      <w:r w:rsidRPr="002825BC">
        <w:rPr>
          <w:sz w:val="24"/>
        </w:rPr>
        <w:t>Kutik</w:t>
      </w:r>
      <w:proofErr w:type="spellEnd"/>
    </w:p>
    <w:p w:rsidR="002825BC" w:rsidRPr="002825BC" w:rsidRDefault="002825BC" w:rsidP="002825BC">
      <w:pPr>
        <w:rPr>
          <w:sz w:val="24"/>
        </w:rPr>
      </w:pPr>
      <w:r w:rsidRPr="002825BC">
        <w:rPr>
          <w:sz w:val="24"/>
        </w:rPr>
        <w:t>Lydia M. Floyd</w:t>
      </w:r>
    </w:p>
    <w:p w:rsidR="002825BC" w:rsidRPr="002825BC" w:rsidRDefault="002825BC" w:rsidP="002825BC">
      <w:pPr>
        <w:rPr>
          <w:sz w:val="24"/>
        </w:rPr>
      </w:pPr>
      <w:r w:rsidRPr="002825BC">
        <w:rPr>
          <w:sz w:val="24"/>
        </w:rPr>
        <w:t>Jones Day</w:t>
      </w:r>
    </w:p>
    <w:p w:rsidR="002825BC" w:rsidRPr="002825BC" w:rsidRDefault="002825BC" w:rsidP="002825BC">
      <w:pPr>
        <w:rPr>
          <w:sz w:val="24"/>
        </w:rPr>
      </w:pPr>
      <w:r w:rsidRPr="002825BC">
        <w:rPr>
          <w:sz w:val="24"/>
        </w:rPr>
        <w:t>901 Lakeside Avenue</w:t>
      </w:r>
    </w:p>
    <w:p w:rsidR="002825BC" w:rsidRPr="002825BC" w:rsidRDefault="002825BC" w:rsidP="002825BC">
      <w:pPr>
        <w:rPr>
          <w:sz w:val="24"/>
        </w:rPr>
      </w:pPr>
      <w:r w:rsidRPr="002825BC">
        <w:rPr>
          <w:sz w:val="24"/>
        </w:rPr>
        <w:t>Cleveland, OH  44114</w:t>
      </w:r>
    </w:p>
    <w:p w:rsidR="002825BC" w:rsidRPr="002825BC" w:rsidRDefault="002825BC" w:rsidP="002825BC">
      <w:pPr>
        <w:rPr>
          <w:sz w:val="24"/>
        </w:rPr>
      </w:pPr>
      <w:hyperlink r:id="rId47" w:history="1">
        <w:r w:rsidRPr="002825BC">
          <w:rPr>
            <w:rStyle w:val="Hyperlink"/>
            <w:sz w:val="24"/>
          </w:rPr>
          <w:t>dakutik@jonesday.com</w:t>
        </w:r>
      </w:hyperlink>
    </w:p>
    <w:p w:rsidR="002825BC" w:rsidRPr="002825BC" w:rsidRDefault="002825BC" w:rsidP="002825BC">
      <w:pPr>
        <w:rPr>
          <w:sz w:val="24"/>
        </w:rPr>
      </w:pPr>
      <w:hyperlink r:id="rId48" w:history="1">
        <w:r w:rsidRPr="002825BC">
          <w:rPr>
            <w:rStyle w:val="Hyperlink"/>
            <w:sz w:val="24"/>
          </w:rPr>
          <w:t>lfloyd@jonesday.com</w:t>
        </w:r>
      </w:hyperlink>
    </w:p>
    <w:p w:rsidR="002825BC" w:rsidRPr="002825BC" w:rsidRDefault="002825BC" w:rsidP="002825BC">
      <w:pPr>
        <w:rPr>
          <w:sz w:val="24"/>
        </w:rPr>
      </w:pPr>
    </w:p>
    <w:p w:rsidR="002825BC" w:rsidRPr="002825BC" w:rsidRDefault="002825BC" w:rsidP="002825BC">
      <w:pPr>
        <w:rPr>
          <w:sz w:val="24"/>
        </w:rPr>
      </w:pPr>
      <w:r w:rsidRPr="002825BC">
        <w:rPr>
          <w:sz w:val="24"/>
        </w:rPr>
        <w:t xml:space="preserve">Judi L. </w:t>
      </w:r>
      <w:proofErr w:type="spellStart"/>
      <w:r w:rsidRPr="002825BC">
        <w:rPr>
          <w:sz w:val="24"/>
        </w:rPr>
        <w:t>Sobecki</w:t>
      </w:r>
      <w:proofErr w:type="spellEnd"/>
    </w:p>
    <w:p w:rsidR="002825BC" w:rsidRPr="002825BC" w:rsidRDefault="002825BC" w:rsidP="002825BC">
      <w:pPr>
        <w:rPr>
          <w:sz w:val="24"/>
        </w:rPr>
      </w:pPr>
      <w:r w:rsidRPr="002825BC">
        <w:rPr>
          <w:sz w:val="24"/>
        </w:rPr>
        <w:t>Randall V. Griffin</w:t>
      </w:r>
    </w:p>
    <w:p w:rsidR="002825BC" w:rsidRPr="002825BC" w:rsidRDefault="002825BC" w:rsidP="002825BC">
      <w:pPr>
        <w:rPr>
          <w:sz w:val="24"/>
        </w:rPr>
      </w:pPr>
      <w:r w:rsidRPr="002825BC">
        <w:rPr>
          <w:sz w:val="24"/>
        </w:rPr>
        <w:t>Dayton Power and Light Company</w:t>
      </w:r>
    </w:p>
    <w:p w:rsidR="002825BC" w:rsidRPr="002825BC" w:rsidRDefault="002825BC" w:rsidP="002825BC">
      <w:pPr>
        <w:rPr>
          <w:sz w:val="24"/>
        </w:rPr>
      </w:pPr>
      <w:r w:rsidRPr="002825BC">
        <w:rPr>
          <w:sz w:val="24"/>
        </w:rPr>
        <w:t>1065 Woodman Drive</w:t>
      </w:r>
    </w:p>
    <w:p w:rsidR="002825BC" w:rsidRPr="002825BC" w:rsidRDefault="002825BC" w:rsidP="002825BC">
      <w:pPr>
        <w:rPr>
          <w:sz w:val="24"/>
        </w:rPr>
      </w:pPr>
      <w:r w:rsidRPr="002825BC">
        <w:rPr>
          <w:sz w:val="24"/>
        </w:rPr>
        <w:t>Dayton, OH  45432</w:t>
      </w:r>
    </w:p>
    <w:p w:rsidR="002825BC" w:rsidRPr="002825BC" w:rsidRDefault="002825BC" w:rsidP="002825BC">
      <w:pPr>
        <w:rPr>
          <w:sz w:val="24"/>
        </w:rPr>
      </w:pPr>
      <w:hyperlink r:id="rId49" w:history="1">
        <w:r w:rsidRPr="002825BC">
          <w:rPr>
            <w:rStyle w:val="Hyperlink"/>
            <w:sz w:val="24"/>
          </w:rPr>
          <w:t>Judi.sobecki@dplinc.com</w:t>
        </w:r>
      </w:hyperlink>
    </w:p>
    <w:p w:rsidR="002825BC" w:rsidRPr="002825BC" w:rsidRDefault="002825BC" w:rsidP="002825BC">
      <w:pPr>
        <w:rPr>
          <w:sz w:val="24"/>
        </w:rPr>
      </w:pPr>
      <w:hyperlink r:id="rId50" w:history="1">
        <w:r w:rsidRPr="002825BC">
          <w:rPr>
            <w:rStyle w:val="Hyperlink"/>
            <w:sz w:val="24"/>
          </w:rPr>
          <w:t>Randall.griffin@dplinc.com</w:t>
        </w:r>
      </w:hyperlink>
    </w:p>
    <w:p w:rsidR="002825BC" w:rsidRPr="002825BC" w:rsidRDefault="002825BC" w:rsidP="002825BC">
      <w:pPr>
        <w:rPr>
          <w:sz w:val="24"/>
        </w:rPr>
      </w:pPr>
    </w:p>
    <w:p w:rsidR="002825BC" w:rsidRPr="002825BC" w:rsidRDefault="002825BC" w:rsidP="002825BC">
      <w:pPr>
        <w:rPr>
          <w:sz w:val="24"/>
        </w:rPr>
      </w:pPr>
      <w:r w:rsidRPr="002825BC">
        <w:rPr>
          <w:sz w:val="24"/>
        </w:rPr>
        <w:t>John Jones</w:t>
      </w:r>
    </w:p>
    <w:p w:rsidR="002825BC" w:rsidRPr="002825BC" w:rsidRDefault="002825BC" w:rsidP="002825BC">
      <w:pPr>
        <w:rPr>
          <w:sz w:val="24"/>
        </w:rPr>
      </w:pPr>
      <w:r w:rsidRPr="002825BC">
        <w:rPr>
          <w:sz w:val="24"/>
        </w:rPr>
        <w:t>Steven Beeler</w:t>
      </w:r>
    </w:p>
    <w:p w:rsidR="002825BC" w:rsidRPr="002825BC" w:rsidRDefault="002825BC" w:rsidP="002825BC">
      <w:pPr>
        <w:rPr>
          <w:sz w:val="24"/>
        </w:rPr>
      </w:pPr>
      <w:r w:rsidRPr="002825BC">
        <w:rPr>
          <w:sz w:val="24"/>
        </w:rPr>
        <w:t>Assistant Attorneys General</w:t>
      </w:r>
    </w:p>
    <w:p w:rsidR="002825BC" w:rsidRPr="002825BC" w:rsidRDefault="002825BC" w:rsidP="002825BC">
      <w:pPr>
        <w:rPr>
          <w:sz w:val="24"/>
        </w:rPr>
      </w:pPr>
      <w:r w:rsidRPr="002825BC">
        <w:rPr>
          <w:sz w:val="24"/>
        </w:rPr>
        <w:t>Public Utilities Section</w:t>
      </w:r>
    </w:p>
    <w:p w:rsidR="002825BC" w:rsidRPr="002825BC" w:rsidRDefault="002825BC" w:rsidP="002825BC">
      <w:pPr>
        <w:rPr>
          <w:sz w:val="24"/>
        </w:rPr>
      </w:pPr>
      <w:r w:rsidRPr="002825BC">
        <w:rPr>
          <w:sz w:val="24"/>
        </w:rPr>
        <w:t>180 East Broad Street</w:t>
      </w:r>
    </w:p>
    <w:p w:rsidR="002825BC" w:rsidRPr="002825BC" w:rsidRDefault="002825BC" w:rsidP="002825BC">
      <w:pPr>
        <w:rPr>
          <w:sz w:val="24"/>
        </w:rPr>
      </w:pPr>
      <w:r w:rsidRPr="002825BC">
        <w:rPr>
          <w:sz w:val="24"/>
        </w:rPr>
        <w:t>Columbus, OH  43215</w:t>
      </w:r>
    </w:p>
    <w:p w:rsidR="002825BC" w:rsidRPr="002825BC" w:rsidRDefault="002825BC" w:rsidP="002825BC">
      <w:pPr>
        <w:rPr>
          <w:sz w:val="24"/>
        </w:rPr>
      </w:pPr>
      <w:hyperlink r:id="rId51" w:history="1">
        <w:r w:rsidRPr="002825BC">
          <w:rPr>
            <w:rStyle w:val="Hyperlink"/>
            <w:sz w:val="24"/>
          </w:rPr>
          <w:t>John.jones@puc.state.oh.us</w:t>
        </w:r>
      </w:hyperlink>
    </w:p>
    <w:p w:rsidR="002825BC" w:rsidRPr="002825BC" w:rsidRDefault="002825BC" w:rsidP="002825BC">
      <w:pPr>
        <w:rPr>
          <w:sz w:val="24"/>
        </w:rPr>
      </w:pPr>
      <w:hyperlink r:id="rId52" w:history="1">
        <w:r w:rsidRPr="002825BC">
          <w:rPr>
            <w:rStyle w:val="Hyperlink"/>
            <w:sz w:val="24"/>
          </w:rPr>
          <w:t>Steven.beeler@puc.state.oh.us</w:t>
        </w:r>
      </w:hyperlink>
    </w:p>
    <w:p w:rsidR="002825BC" w:rsidRPr="002825BC" w:rsidRDefault="002825BC" w:rsidP="002825BC">
      <w:pPr>
        <w:rPr>
          <w:sz w:val="24"/>
        </w:rPr>
      </w:pPr>
    </w:p>
    <w:p w:rsidR="002825BC" w:rsidRPr="002825BC" w:rsidRDefault="002825BC" w:rsidP="002825BC">
      <w:pPr>
        <w:rPr>
          <w:sz w:val="24"/>
        </w:rPr>
      </w:pPr>
    </w:p>
    <w:p w:rsidR="002825BC" w:rsidRPr="002825BC" w:rsidRDefault="002825BC" w:rsidP="002825BC">
      <w:pPr>
        <w:rPr>
          <w:sz w:val="24"/>
        </w:rPr>
      </w:pPr>
    </w:p>
    <w:p w:rsidR="002825BC" w:rsidRPr="002825BC" w:rsidRDefault="002825BC" w:rsidP="002825BC">
      <w:pPr>
        <w:rPr>
          <w:sz w:val="24"/>
        </w:rPr>
      </w:pPr>
    </w:p>
    <w:p w:rsidR="002825BC" w:rsidRPr="002825BC" w:rsidRDefault="002825BC" w:rsidP="002825BC">
      <w:pPr>
        <w:rPr>
          <w:sz w:val="24"/>
        </w:rPr>
      </w:pPr>
      <w:r w:rsidRPr="002825BC">
        <w:rPr>
          <w:sz w:val="24"/>
        </w:rPr>
        <w:lastRenderedPageBreak/>
        <w:t>Barth E. Royer</w:t>
      </w:r>
    </w:p>
    <w:p w:rsidR="002825BC" w:rsidRPr="002825BC" w:rsidRDefault="002825BC" w:rsidP="002825BC">
      <w:pPr>
        <w:rPr>
          <w:sz w:val="24"/>
        </w:rPr>
      </w:pPr>
      <w:r w:rsidRPr="002825BC">
        <w:rPr>
          <w:sz w:val="24"/>
        </w:rPr>
        <w:t>Bell &amp; Royer Co., LPA</w:t>
      </w:r>
    </w:p>
    <w:p w:rsidR="002825BC" w:rsidRPr="002825BC" w:rsidRDefault="002825BC" w:rsidP="002825BC">
      <w:pPr>
        <w:rPr>
          <w:sz w:val="24"/>
        </w:rPr>
      </w:pPr>
      <w:r w:rsidRPr="002825BC">
        <w:rPr>
          <w:sz w:val="24"/>
        </w:rPr>
        <w:t>33 South Grant Avenue</w:t>
      </w:r>
    </w:p>
    <w:p w:rsidR="002825BC" w:rsidRPr="002825BC" w:rsidRDefault="002825BC" w:rsidP="002825BC">
      <w:pPr>
        <w:rPr>
          <w:sz w:val="24"/>
        </w:rPr>
      </w:pPr>
      <w:r w:rsidRPr="002825BC">
        <w:rPr>
          <w:sz w:val="24"/>
        </w:rPr>
        <w:t>Columbus, OH  43215</w:t>
      </w:r>
    </w:p>
    <w:p w:rsidR="002825BC" w:rsidRPr="002825BC" w:rsidRDefault="002825BC" w:rsidP="002825BC">
      <w:pPr>
        <w:rPr>
          <w:sz w:val="24"/>
        </w:rPr>
      </w:pPr>
      <w:hyperlink r:id="rId53" w:history="1">
        <w:r w:rsidRPr="002825BC">
          <w:rPr>
            <w:rStyle w:val="Hyperlink"/>
            <w:sz w:val="24"/>
          </w:rPr>
          <w:t>barthroyer@aol.com</w:t>
        </w:r>
      </w:hyperlink>
    </w:p>
    <w:p w:rsidR="002825BC" w:rsidRPr="002825BC" w:rsidRDefault="002825BC" w:rsidP="002825BC">
      <w:pPr>
        <w:rPr>
          <w:sz w:val="24"/>
        </w:rPr>
      </w:pPr>
    </w:p>
    <w:p w:rsidR="002825BC" w:rsidRPr="002825BC" w:rsidRDefault="002825BC" w:rsidP="002825BC">
      <w:pPr>
        <w:rPr>
          <w:sz w:val="24"/>
        </w:rPr>
      </w:pPr>
      <w:r w:rsidRPr="002825BC">
        <w:rPr>
          <w:sz w:val="24"/>
        </w:rPr>
        <w:t>David Stahl</w:t>
      </w:r>
    </w:p>
    <w:p w:rsidR="002825BC" w:rsidRPr="002825BC" w:rsidRDefault="002825BC" w:rsidP="002825BC">
      <w:pPr>
        <w:rPr>
          <w:sz w:val="24"/>
        </w:rPr>
      </w:pPr>
      <w:proofErr w:type="spellStart"/>
      <w:r w:rsidRPr="002825BC">
        <w:rPr>
          <w:sz w:val="24"/>
        </w:rPr>
        <w:t>Eimer</w:t>
      </w:r>
      <w:proofErr w:type="spellEnd"/>
      <w:r w:rsidRPr="002825BC">
        <w:rPr>
          <w:sz w:val="24"/>
        </w:rPr>
        <w:t xml:space="preserve"> Stahl LLP</w:t>
      </w:r>
    </w:p>
    <w:p w:rsidR="002825BC" w:rsidRPr="002825BC" w:rsidRDefault="002825BC" w:rsidP="002825BC">
      <w:pPr>
        <w:rPr>
          <w:sz w:val="24"/>
        </w:rPr>
      </w:pPr>
      <w:r w:rsidRPr="002825BC">
        <w:rPr>
          <w:sz w:val="24"/>
        </w:rPr>
        <w:t>224 S. Michigan Ave, Suite 1100</w:t>
      </w:r>
    </w:p>
    <w:p w:rsidR="002825BC" w:rsidRPr="002825BC" w:rsidRDefault="002825BC" w:rsidP="002825BC">
      <w:pPr>
        <w:rPr>
          <w:sz w:val="24"/>
        </w:rPr>
      </w:pPr>
      <w:r w:rsidRPr="002825BC">
        <w:rPr>
          <w:sz w:val="24"/>
        </w:rPr>
        <w:t>Chicago, IL  60604</w:t>
      </w:r>
    </w:p>
    <w:p w:rsidR="002825BC" w:rsidRPr="002825BC" w:rsidRDefault="002825BC" w:rsidP="002825BC">
      <w:pPr>
        <w:rPr>
          <w:sz w:val="24"/>
        </w:rPr>
      </w:pPr>
      <w:hyperlink r:id="rId54" w:history="1">
        <w:r w:rsidRPr="002825BC">
          <w:rPr>
            <w:rStyle w:val="Hyperlink"/>
            <w:sz w:val="24"/>
          </w:rPr>
          <w:t>dstahl@eimerstahl.com</w:t>
        </w:r>
      </w:hyperlink>
    </w:p>
    <w:p w:rsidR="002825BC" w:rsidRPr="002825BC" w:rsidRDefault="002825BC" w:rsidP="002825BC">
      <w:pPr>
        <w:rPr>
          <w:sz w:val="24"/>
        </w:rPr>
      </w:pPr>
    </w:p>
    <w:p w:rsidR="002825BC" w:rsidRPr="002825BC" w:rsidRDefault="002825BC" w:rsidP="002825BC">
      <w:pPr>
        <w:rPr>
          <w:sz w:val="24"/>
        </w:rPr>
      </w:pPr>
      <w:r w:rsidRPr="002825BC">
        <w:rPr>
          <w:sz w:val="24"/>
        </w:rPr>
        <w:t>David I. Fein</w:t>
      </w:r>
    </w:p>
    <w:p w:rsidR="002825BC" w:rsidRPr="002825BC" w:rsidRDefault="002825BC" w:rsidP="002825BC">
      <w:pPr>
        <w:rPr>
          <w:sz w:val="24"/>
        </w:rPr>
      </w:pPr>
      <w:r w:rsidRPr="002825BC">
        <w:rPr>
          <w:sz w:val="24"/>
        </w:rPr>
        <w:t>Constellation Energy Group, Inc.</w:t>
      </w:r>
    </w:p>
    <w:p w:rsidR="002825BC" w:rsidRPr="002825BC" w:rsidRDefault="002825BC" w:rsidP="002825BC">
      <w:pPr>
        <w:rPr>
          <w:sz w:val="24"/>
        </w:rPr>
      </w:pPr>
      <w:r w:rsidRPr="002825BC">
        <w:rPr>
          <w:sz w:val="24"/>
        </w:rPr>
        <w:t>550 W. Washington Blvd., Suite 300</w:t>
      </w:r>
    </w:p>
    <w:p w:rsidR="002825BC" w:rsidRPr="002825BC" w:rsidRDefault="002825BC" w:rsidP="002825BC">
      <w:pPr>
        <w:rPr>
          <w:sz w:val="24"/>
        </w:rPr>
      </w:pPr>
      <w:r w:rsidRPr="002825BC">
        <w:rPr>
          <w:sz w:val="24"/>
        </w:rPr>
        <w:t>Chicago, IL  60661</w:t>
      </w:r>
    </w:p>
    <w:p w:rsidR="002825BC" w:rsidRPr="002825BC" w:rsidRDefault="002825BC" w:rsidP="002825BC">
      <w:pPr>
        <w:rPr>
          <w:sz w:val="24"/>
        </w:rPr>
      </w:pPr>
      <w:hyperlink r:id="rId55" w:history="1">
        <w:r w:rsidRPr="002825BC">
          <w:rPr>
            <w:rStyle w:val="Hyperlink"/>
            <w:sz w:val="24"/>
          </w:rPr>
          <w:t>David.fein@constellation.com</w:t>
        </w:r>
      </w:hyperlink>
    </w:p>
    <w:p w:rsidR="002825BC" w:rsidRPr="002825BC" w:rsidRDefault="002825BC" w:rsidP="002825BC">
      <w:pPr>
        <w:rPr>
          <w:sz w:val="24"/>
        </w:rPr>
      </w:pPr>
    </w:p>
    <w:p w:rsidR="002825BC" w:rsidRPr="002825BC" w:rsidRDefault="002825BC" w:rsidP="002825BC">
      <w:pPr>
        <w:rPr>
          <w:sz w:val="24"/>
        </w:rPr>
      </w:pPr>
      <w:r w:rsidRPr="002825BC">
        <w:rPr>
          <w:sz w:val="24"/>
        </w:rPr>
        <w:t>Stephen Bennett</w:t>
      </w:r>
    </w:p>
    <w:p w:rsidR="002825BC" w:rsidRPr="002825BC" w:rsidRDefault="002825BC" w:rsidP="002825BC">
      <w:pPr>
        <w:rPr>
          <w:sz w:val="24"/>
        </w:rPr>
      </w:pPr>
      <w:r w:rsidRPr="002825BC">
        <w:rPr>
          <w:sz w:val="24"/>
        </w:rPr>
        <w:t>Exelon Corporation</w:t>
      </w:r>
    </w:p>
    <w:p w:rsidR="002825BC" w:rsidRPr="002825BC" w:rsidRDefault="002825BC" w:rsidP="002825BC">
      <w:pPr>
        <w:rPr>
          <w:sz w:val="24"/>
        </w:rPr>
      </w:pPr>
      <w:r w:rsidRPr="002825BC">
        <w:rPr>
          <w:sz w:val="24"/>
        </w:rPr>
        <w:t>300 Exelon Way</w:t>
      </w:r>
    </w:p>
    <w:p w:rsidR="002825BC" w:rsidRPr="002825BC" w:rsidRDefault="002825BC" w:rsidP="002825BC">
      <w:pPr>
        <w:rPr>
          <w:sz w:val="24"/>
        </w:rPr>
      </w:pPr>
      <w:r w:rsidRPr="002825BC">
        <w:rPr>
          <w:sz w:val="24"/>
        </w:rPr>
        <w:t>Kennett Square, PA  19348</w:t>
      </w:r>
    </w:p>
    <w:p w:rsidR="002825BC" w:rsidRPr="002825BC" w:rsidRDefault="002825BC" w:rsidP="002825BC">
      <w:pPr>
        <w:rPr>
          <w:sz w:val="24"/>
        </w:rPr>
      </w:pPr>
      <w:hyperlink r:id="rId56" w:history="1">
        <w:r w:rsidRPr="002825BC">
          <w:rPr>
            <w:rStyle w:val="Hyperlink"/>
            <w:sz w:val="24"/>
          </w:rPr>
          <w:t>Stephen.bennett@exeloncorp.com</w:t>
        </w:r>
      </w:hyperlink>
    </w:p>
    <w:p w:rsidR="002825BC" w:rsidRPr="002825BC" w:rsidRDefault="002825BC" w:rsidP="002825BC">
      <w:pPr>
        <w:rPr>
          <w:sz w:val="24"/>
        </w:rPr>
      </w:pPr>
    </w:p>
    <w:p w:rsidR="002825BC" w:rsidRPr="002825BC" w:rsidRDefault="002825BC" w:rsidP="002825BC">
      <w:pPr>
        <w:rPr>
          <w:sz w:val="24"/>
        </w:rPr>
      </w:pPr>
      <w:r w:rsidRPr="002825BC">
        <w:rPr>
          <w:sz w:val="24"/>
        </w:rPr>
        <w:t xml:space="preserve">Cynthia </w:t>
      </w:r>
      <w:proofErr w:type="spellStart"/>
      <w:r w:rsidRPr="002825BC">
        <w:rPr>
          <w:sz w:val="24"/>
        </w:rPr>
        <w:t>Fonner</w:t>
      </w:r>
      <w:proofErr w:type="spellEnd"/>
      <w:r w:rsidRPr="002825BC">
        <w:rPr>
          <w:sz w:val="24"/>
        </w:rPr>
        <w:t xml:space="preserve"> Brady</w:t>
      </w:r>
    </w:p>
    <w:p w:rsidR="002825BC" w:rsidRPr="002825BC" w:rsidRDefault="002825BC" w:rsidP="002825BC">
      <w:pPr>
        <w:rPr>
          <w:sz w:val="24"/>
        </w:rPr>
      </w:pPr>
      <w:r w:rsidRPr="002825BC">
        <w:rPr>
          <w:sz w:val="24"/>
        </w:rPr>
        <w:t>Constellation Energy Resources, LLC</w:t>
      </w:r>
    </w:p>
    <w:p w:rsidR="002825BC" w:rsidRPr="002825BC" w:rsidRDefault="002825BC" w:rsidP="002825BC">
      <w:pPr>
        <w:rPr>
          <w:sz w:val="24"/>
        </w:rPr>
      </w:pPr>
      <w:r w:rsidRPr="002825BC">
        <w:rPr>
          <w:sz w:val="24"/>
        </w:rPr>
        <w:t>550 W. Washington Blvd., Suite 300</w:t>
      </w:r>
    </w:p>
    <w:p w:rsidR="002825BC" w:rsidRPr="002825BC" w:rsidRDefault="002825BC" w:rsidP="002825BC">
      <w:pPr>
        <w:rPr>
          <w:sz w:val="24"/>
        </w:rPr>
      </w:pPr>
      <w:r w:rsidRPr="002825BC">
        <w:rPr>
          <w:sz w:val="24"/>
        </w:rPr>
        <w:t>Chicago, IL  60661</w:t>
      </w:r>
    </w:p>
    <w:p w:rsidR="002825BC" w:rsidRPr="002825BC" w:rsidRDefault="002825BC" w:rsidP="002825BC">
      <w:pPr>
        <w:rPr>
          <w:sz w:val="24"/>
        </w:rPr>
      </w:pPr>
      <w:hyperlink r:id="rId57" w:history="1">
        <w:r w:rsidRPr="002825BC">
          <w:rPr>
            <w:rStyle w:val="Hyperlink"/>
            <w:sz w:val="24"/>
          </w:rPr>
          <w:t>Cynthia.brady@constellation.com</w:t>
        </w:r>
      </w:hyperlink>
    </w:p>
    <w:p w:rsidR="002825BC" w:rsidRPr="002825BC" w:rsidRDefault="002825BC" w:rsidP="002825BC">
      <w:pPr>
        <w:rPr>
          <w:sz w:val="24"/>
        </w:rPr>
      </w:pPr>
    </w:p>
    <w:p w:rsidR="002825BC" w:rsidRPr="002825BC" w:rsidRDefault="002825BC" w:rsidP="002825BC">
      <w:pPr>
        <w:rPr>
          <w:sz w:val="24"/>
        </w:rPr>
      </w:pPr>
      <w:r w:rsidRPr="002825BC">
        <w:rPr>
          <w:sz w:val="24"/>
        </w:rPr>
        <w:t>Gary A. Jeffries</w:t>
      </w:r>
    </w:p>
    <w:p w:rsidR="002825BC" w:rsidRPr="002825BC" w:rsidRDefault="002825BC" w:rsidP="002825BC">
      <w:pPr>
        <w:rPr>
          <w:sz w:val="24"/>
        </w:rPr>
      </w:pPr>
      <w:r w:rsidRPr="002825BC">
        <w:rPr>
          <w:sz w:val="24"/>
        </w:rPr>
        <w:t>Dominion Resources Services, Inc.</w:t>
      </w:r>
    </w:p>
    <w:p w:rsidR="002825BC" w:rsidRPr="002825BC" w:rsidRDefault="002825BC" w:rsidP="002825BC">
      <w:pPr>
        <w:rPr>
          <w:sz w:val="24"/>
        </w:rPr>
      </w:pPr>
      <w:r w:rsidRPr="002825BC">
        <w:rPr>
          <w:sz w:val="24"/>
        </w:rPr>
        <w:t>501 Martindale Street, Suite 400</w:t>
      </w:r>
    </w:p>
    <w:p w:rsidR="002825BC" w:rsidRPr="002825BC" w:rsidRDefault="002825BC" w:rsidP="002825BC">
      <w:pPr>
        <w:rPr>
          <w:sz w:val="24"/>
        </w:rPr>
      </w:pPr>
      <w:r w:rsidRPr="002825BC">
        <w:rPr>
          <w:sz w:val="24"/>
        </w:rPr>
        <w:t>Pittsburgh, PA  15212</w:t>
      </w:r>
    </w:p>
    <w:p w:rsidR="002825BC" w:rsidRPr="002825BC" w:rsidRDefault="002825BC" w:rsidP="002825BC">
      <w:pPr>
        <w:rPr>
          <w:sz w:val="24"/>
        </w:rPr>
      </w:pPr>
      <w:hyperlink r:id="rId58" w:history="1">
        <w:r w:rsidRPr="002825BC">
          <w:rPr>
            <w:rStyle w:val="Hyperlink"/>
            <w:sz w:val="24"/>
          </w:rPr>
          <w:t>Gary.A.Jeffries@dom.com</w:t>
        </w:r>
      </w:hyperlink>
    </w:p>
    <w:p w:rsidR="002825BC" w:rsidRPr="002825BC" w:rsidRDefault="002825BC" w:rsidP="002825BC">
      <w:pPr>
        <w:rPr>
          <w:sz w:val="24"/>
        </w:rPr>
      </w:pPr>
    </w:p>
    <w:p w:rsidR="002825BC" w:rsidRPr="002825BC" w:rsidRDefault="002825BC" w:rsidP="002825BC">
      <w:pPr>
        <w:rPr>
          <w:sz w:val="24"/>
        </w:rPr>
      </w:pPr>
      <w:r w:rsidRPr="002825BC">
        <w:rPr>
          <w:sz w:val="24"/>
        </w:rPr>
        <w:t>Jeffrey S. Sharkey</w:t>
      </w:r>
    </w:p>
    <w:p w:rsidR="002825BC" w:rsidRPr="002825BC" w:rsidRDefault="002825BC" w:rsidP="002825BC">
      <w:pPr>
        <w:rPr>
          <w:sz w:val="24"/>
        </w:rPr>
      </w:pPr>
      <w:r w:rsidRPr="002825BC">
        <w:rPr>
          <w:sz w:val="24"/>
        </w:rPr>
        <w:t>James W. Pauley</w:t>
      </w:r>
    </w:p>
    <w:p w:rsidR="002825BC" w:rsidRPr="002825BC" w:rsidRDefault="002825BC" w:rsidP="002825BC">
      <w:pPr>
        <w:rPr>
          <w:sz w:val="24"/>
        </w:rPr>
      </w:pPr>
      <w:proofErr w:type="spellStart"/>
      <w:proofErr w:type="gramStart"/>
      <w:r w:rsidRPr="002825BC">
        <w:rPr>
          <w:sz w:val="24"/>
        </w:rPr>
        <w:t>Faruki</w:t>
      </w:r>
      <w:proofErr w:type="spellEnd"/>
      <w:r w:rsidRPr="002825BC">
        <w:rPr>
          <w:sz w:val="24"/>
        </w:rPr>
        <w:t xml:space="preserve"> Ireland &amp; Cox P.L.L.</w:t>
      </w:r>
      <w:proofErr w:type="gramEnd"/>
    </w:p>
    <w:p w:rsidR="002825BC" w:rsidRPr="002825BC" w:rsidRDefault="002825BC" w:rsidP="002825BC">
      <w:pPr>
        <w:rPr>
          <w:sz w:val="24"/>
        </w:rPr>
      </w:pPr>
      <w:r w:rsidRPr="002825BC">
        <w:rPr>
          <w:sz w:val="24"/>
        </w:rPr>
        <w:t xml:space="preserve">500 Courthouse </w:t>
      </w:r>
      <w:proofErr w:type="gramStart"/>
      <w:r w:rsidRPr="002825BC">
        <w:rPr>
          <w:sz w:val="24"/>
        </w:rPr>
        <w:t>Plaza</w:t>
      </w:r>
      <w:proofErr w:type="gramEnd"/>
      <w:r w:rsidRPr="002825BC">
        <w:rPr>
          <w:sz w:val="24"/>
        </w:rPr>
        <w:t>, S.W.</w:t>
      </w:r>
    </w:p>
    <w:p w:rsidR="002825BC" w:rsidRPr="002825BC" w:rsidRDefault="002825BC" w:rsidP="002825BC">
      <w:pPr>
        <w:rPr>
          <w:sz w:val="24"/>
        </w:rPr>
      </w:pPr>
      <w:r w:rsidRPr="002825BC">
        <w:rPr>
          <w:sz w:val="24"/>
        </w:rPr>
        <w:t>10 North Ludlow Street</w:t>
      </w:r>
    </w:p>
    <w:p w:rsidR="002825BC" w:rsidRPr="002825BC" w:rsidRDefault="002825BC" w:rsidP="002825BC">
      <w:pPr>
        <w:rPr>
          <w:sz w:val="24"/>
        </w:rPr>
      </w:pPr>
      <w:r w:rsidRPr="002825BC">
        <w:rPr>
          <w:sz w:val="24"/>
        </w:rPr>
        <w:t>Dayton, OH  45402</w:t>
      </w:r>
    </w:p>
    <w:p w:rsidR="002825BC" w:rsidRPr="002825BC" w:rsidRDefault="002825BC" w:rsidP="002825BC">
      <w:pPr>
        <w:rPr>
          <w:sz w:val="24"/>
        </w:rPr>
      </w:pPr>
      <w:hyperlink r:id="rId59" w:history="1">
        <w:r w:rsidRPr="002825BC">
          <w:rPr>
            <w:rStyle w:val="Hyperlink"/>
            <w:sz w:val="24"/>
          </w:rPr>
          <w:t>jsharkey@ficlaw.com</w:t>
        </w:r>
      </w:hyperlink>
    </w:p>
    <w:p w:rsidR="002825BC" w:rsidRPr="002825BC" w:rsidRDefault="002825BC" w:rsidP="002825BC">
      <w:pPr>
        <w:rPr>
          <w:sz w:val="24"/>
        </w:rPr>
      </w:pPr>
    </w:p>
    <w:p w:rsidR="002825BC" w:rsidRPr="002825BC" w:rsidRDefault="002825BC" w:rsidP="002825BC">
      <w:pPr>
        <w:rPr>
          <w:sz w:val="24"/>
        </w:rPr>
      </w:pPr>
    </w:p>
    <w:p w:rsidR="002825BC" w:rsidRPr="002825BC" w:rsidRDefault="002825BC" w:rsidP="002825BC">
      <w:pPr>
        <w:rPr>
          <w:sz w:val="24"/>
        </w:rPr>
      </w:pPr>
    </w:p>
    <w:p w:rsidR="002825BC" w:rsidRPr="002825BC" w:rsidRDefault="002825BC" w:rsidP="002825BC">
      <w:pPr>
        <w:rPr>
          <w:sz w:val="24"/>
        </w:rPr>
      </w:pPr>
      <w:r w:rsidRPr="002825BC">
        <w:rPr>
          <w:sz w:val="24"/>
        </w:rPr>
        <w:lastRenderedPageBreak/>
        <w:t>Andrew J. Sonderman</w:t>
      </w:r>
    </w:p>
    <w:p w:rsidR="002825BC" w:rsidRPr="002825BC" w:rsidRDefault="002825BC" w:rsidP="002825BC">
      <w:pPr>
        <w:rPr>
          <w:sz w:val="24"/>
        </w:rPr>
      </w:pPr>
      <w:r w:rsidRPr="002825BC">
        <w:rPr>
          <w:sz w:val="24"/>
        </w:rPr>
        <w:t>Margeaux Kimbrough</w:t>
      </w:r>
    </w:p>
    <w:p w:rsidR="002825BC" w:rsidRPr="002825BC" w:rsidRDefault="002825BC" w:rsidP="002825BC">
      <w:pPr>
        <w:rPr>
          <w:sz w:val="24"/>
        </w:rPr>
      </w:pPr>
      <w:proofErr w:type="spellStart"/>
      <w:r w:rsidRPr="002825BC">
        <w:rPr>
          <w:sz w:val="24"/>
        </w:rPr>
        <w:t>Kegler</w:t>
      </w:r>
      <w:proofErr w:type="spellEnd"/>
      <w:r w:rsidRPr="002825BC">
        <w:rPr>
          <w:sz w:val="24"/>
        </w:rPr>
        <w:t>, Brown, Hill &amp; Ritter Co. LPA</w:t>
      </w:r>
    </w:p>
    <w:p w:rsidR="002825BC" w:rsidRPr="002825BC" w:rsidRDefault="002825BC" w:rsidP="002825BC">
      <w:pPr>
        <w:rPr>
          <w:sz w:val="24"/>
        </w:rPr>
      </w:pPr>
      <w:r w:rsidRPr="002825BC">
        <w:rPr>
          <w:sz w:val="24"/>
        </w:rPr>
        <w:t>Capitol Square, Suite 1800</w:t>
      </w:r>
    </w:p>
    <w:p w:rsidR="002825BC" w:rsidRPr="002825BC" w:rsidRDefault="002825BC" w:rsidP="002825BC">
      <w:pPr>
        <w:rPr>
          <w:sz w:val="24"/>
        </w:rPr>
      </w:pPr>
      <w:r w:rsidRPr="002825BC">
        <w:rPr>
          <w:sz w:val="24"/>
        </w:rPr>
        <w:t>65 East State Street</w:t>
      </w:r>
    </w:p>
    <w:p w:rsidR="002825BC" w:rsidRPr="002825BC" w:rsidRDefault="002825BC" w:rsidP="002825BC">
      <w:pPr>
        <w:rPr>
          <w:sz w:val="24"/>
        </w:rPr>
      </w:pPr>
      <w:r w:rsidRPr="002825BC">
        <w:rPr>
          <w:sz w:val="24"/>
        </w:rPr>
        <w:t>Columbus, OH  43215</w:t>
      </w:r>
    </w:p>
    <w:p w:rsidR="002825BC" w:rsidRPr="002825BC" w:rsidRDefault="002825BC" w:rsidP="002825BC">
      <w:pPr>
        <w:rPr>
          <w:sz w:val="24"/>
        </w:rPr>
      </w:pPr>
      <w:hyperlink r:id="rId60" w:history="1">
        <w:r w:rsidRPr="002825BC">
          <w:rPr>
            <w:rStyle w:val="Hyperlink"/>
            <w:sz w:val="24"/>
          </w:rPr>
          <w:t>asonderman@keglerbrown.com</w:t>
        </w:r>
      </w:hyperlink>
    </w:p>
    <w:p w:rsidR="002825BC" w:rsidRPr="002825BC" w:rsidRDefault="002825BC" w:rsidP="002825BC">
      <w:pPr>
        <w:rPr>
          <w:sz w:val="24"/>
        </w:rPr>
      </w:pPr>
      <w:hyperlink r:id="rId61" w:history="1">
        <w:r w:rsidRPr="002825BC">
          <w:rPr>
            <w:rStyle w:val="Hyperlink"/>
            <w:sz w:val="24"/>
          </w:rPr>
          <w:t>mkimbrough@keglerbrown.com</w:t>
        </w:r>
      </w:hyperlink>
    </w:p>
    <w:p w:rsidR="002825BC" w:rsidRPr="002825BC" w:rsidRDefault="002825BC" w:rsidP="002825BC">
      <w:pPr>
        <w:rPr>
          <w:sz w:val="24"/>
        </w:rPr>
      </w:pPr>
    </w:p>
    <w:p w:rsidR="002825BC" w:rsidRPr="002825BC" w:rsidRDefault="002825BC" w:rsidP="002825BC">
      <w:pPr>
        <w:rPr>
          <w:sz w:val="24"/>
        </w:rPr>
      </w:pPr>
    </w:p>
    <w:p w:rsidR="00BA3D53" w:rsidRPr="002825BC" w:rsidRDefault="00BA3D53" w:rsidP="002825BC">
      <w:pPr>
        <w:widowControl/>
        <w:kinsoku w:val="0"/>
        <w:overflowPunct w:val="0"/>
        <w:autoSpaceDE/>
        <w:autoSpaceDN/>
        <w:adjustRightInd/>
        <w:ind w:firstLine="720"/>
        <w:jc w:val="both"/>
        <w:textAlignment w:val="baseline"/>
        <w:rPr>
          <w:color w:val="0000FF"/>
          <w:sz w:val="24"/>
          <w:szCs w:val="23"/>
          <w:u w:val="single"/>
        </w:rPr>
      </w:pPr>
    </w:p>
    <w:sectPr w:rsidR="00BA3D53" w:rsidRPr="002825BC" w:rsidSect="002825BC">
      <w:type w:val="continuous"/>
      <w:pgSz w:w="12240" w:h="15840"/>
      <w:pgMar w:top="1440" w:right="1440" w:bottom="1440" w:left="1440" w:header="720" w:footer="912" w:gutter="0"/>
      <w:cols w:num="2" w:space="1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FC" w:rsidRDefault="00FA7CFC">
      <w:r>
        <w:separator/>
      </w:r>
    </w:p>
  </w:endnote>
  <w:endnote w:type="continuationSeparator" w:id="0">
    <w:p w:rsidR="00FA7CFC" w:rsidRDefault="00FA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8" w:rsidRDefault="00936CB8">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8" w:rsidRDefault="00936CB8">
    <w:pPr>
      <w:keepNext/>
      <w:keepLines/>
      <w:tabs>
        <w:tab w:val="left" w:pos="4618"/>
      </w:tabs>
      <w:kinsoku w:val="0"/>
      <w:overflowPunct w:val="0"/>
      <w:autoSpaceDE/>
      <w:autoSpaceDN/>
      <w:adjustRightInd/>
      <w:ind w:left="4536"/>
      <w:textAlignment w:val="baseline"/>
      <w:rPr>
        <w:spacing w:val="28"/>
        <w:sz w:val="23"/>
        <w:szCs w:val="23"/>
      </w:rPr>
    </w:pPr>
    <w:r>
      <w:rPr>
        <w:spacing w:val="28"/>
        <w:sz w:val="23"/>
        <w:szCs w:val="23"/>
      </w:rPr>
      <w:fldChar w:fldCharType="begin"/>
    </w:r>
    <w:r>
      <w:rPr>
        <w:spacing w:val="28"/>
        <w:sz w:val="23"/>
        <w:szCs w:val="23"/>
      </w:rPr>
      <w:instrText xml:space="preserve"> PAGE </w:instrText>
    </w:r>
    <w:r>
      <w:rPr>
        <w:spacing w:val="28"/>
        <w:sz w:val="23"/>
        <w:szCs w:val="23"/>
      </w:rPr>
      <w:fldChar w:fldCharType="separate"/>
    </w:r>
    <w:r w:rsidR="002F3F3D">
      <w:rPr>
        <w:noProof/>
        <w:spacing w:val="28"/>
        <w:sz w:val="23"/>
        <w:szCs w:val="23"/>
      </w:rPr>
      <w:t>1</w:t>
    </w:r>
    <w:r>
      <w:rPr>
        <w:spacing w:val="28"/>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FC" w:rsidRDefault="00FA7CFC">
      <w:r>
        <w:separator/>
      </w:r>
    </w:p>
  </w:footnote>
  <w:footnote w:type="continuationSeparator" w:id="0">
    <w:p w:rsidR="00FA7CFC" w:rsidRDefault="00FA7CFC">
      <w:r>
        <w:continuationSeparator/>
      </w:r>
    </w:p>
  </w:footnote>
  <w:footnote w:id="1">
    <w:p w:rsidR="00936CB8" w:rsidRPr="00FE0536" w:rsidRDefault="00936CB8">
      <w:pPr>
        <w:pStyle w:val="FootnoteText"/>
        <w:rPr>
          <w:sz w:val="24"/>
        </w:rPr>
      </w:pPr>
      <w:r w:rsidRPr="00FE0536">
        <w:rPr>
          <w:rStyle w:val="FootnoteReference"/>
          <w:sz w:val="24"/>
        </w:rPr>
        <w:footnoteRef/>
      </w:r>
      <w:r w:rsidRPr="00FE0536">
        <w:rPr>
          <w:sz w:val="24"/>
        </w:rPr>
        <w:t xml:space="preserve"> </w:t>
      </w:r>
      <w:r w:rsidRPr="00FE0536">
        <w:rPr>
          <w:sz w:val="24"/>
          <w:szCs w:val="21"/>
        </w:rPr>
        <w:t>RAA, Schedule 8.1, Section D.8 (emphasis added).</w:t>
      </w:r>
    </w:p>
  </w:footnote>
  <w:footnote w:id="2">
    <w:p w:rsidR="00936CB8" w:rsidRPr="00FE0536" w:rsidRDefault="00936CB8">
      <w:pPr>
        <w:pStyle w:val="FootnoteText"/>
        <w:rPr>
          <w:sz w:val="24"/>
        </w:rPr>
      </w:pPr>
      <w:r w:rsidRPr="00FE0536">
        <w:rPr>
          <w:rStyle w:val="FootnoteReference"/>
          <w:sz w:val="24"/>
        </w:rPr>
        <w:footnoteRef/>
      </w:r>
      <w:r w:rsidRPr="00FE0536">
        <w:rPr>
          <w:sz w:val="24"/>
        </w:rPr>
        <w:t xml:space="preserve"> There certainly appears to be significant doubt whether the AEP Ohio decision is proper under Ohio law.  GCHC and CBI were not parties to that proceeding and defer to the arguments of other parties in that case.  Certainly, if the AEP Ohio decision was wrong, it would be improper to apply its principles to Duke.  Nevertheless, even if AEP Ohio was properly decided, it still provides no basis for Duke to avoid its clear agreement to charge market rates for capacity.  </w:t>
      </w:r>
    </w:p>
  </w:footnote>
  <w:footnote w:id="3">
    <w:p w:rsidR="00936CB8" w:rsidRPr="00FE0536" w:rsidRDefault="00936CB8" w:rsidP="00BB7701">
      <w:pPr>
        <w:pStyle w:val="FootnoteText"/>
        <w:rPr>
          <w:sz w:val="24"/>
        </w:rPr>
      </w:pPr>
      <w:r w:rsidRPr="00FE0536">
        <w:rPr>
          <w:rStyle w:val="FootnoteReference"/>
          <w:sz w:val="24"/>
        </w:rPr>
        <w:footnoteRef/>
      </w:r>
      <w:r w:rsidRPr="00FE0536">
        <w:rPr>
          <w:sz w:val="24"/>
        </w:rPr>
        <w:t xml:space="preserve"> Duke objected to AEP Ohio seeking rehearing of Duke’s </w:t>
      </w:r>
      <w:r w:rsidR="00670BF7" w:rsidRPr="00FE0536">
        <w:rPr>
          <w:sz w:val="24"/>
        </w:rPr>
        <w:t>ESP O</w:t>
      </w:r>
      <w:r w:rsidRPr="00FE0536">
        <w:rPr>
          <w:sz w:val="24"/>
        </w:rPr>
        <w:t xml:space="preserve">rder because it might potentially prejudice AEP Ohio in a case that had not yet been decided.  Despite taking that position then, now that the Commission has decided the AEP Ohio case, Duke is complaining that the AEP Ohio case was decided more favorably to AEP Ohio than the terms of Duke’s settlement.  The outcome of the AEP Ohio case had no effect on the agreed outcome of Duke’s case.  If Duke’s concern is really about regulatory consistency, perhaps it should be challenging the AEP Ohio decision rather than its own.  </w:t>
      </w:r>
    </w:p>
  </w:footnote>
  <w:footnote w:id="4">
    <w:p w:rsidR="00936CB8" w:rsidRPr="00FE0536" w:rsidRDefault="00936CB8">
      <w:pPr>
        <w:pStyle w:val="FootnoteText"/>
        <w:rPr>
          <w:sz w:val="24"/>
        </w:rPr>
      </w:pPr>
      <w:r w:rsidRPr="00FE0536">
        <w:rPr>
          <w:rStyle w:val="FootnoteReference"/>
          <w:sz w:val="24"/>
        </w:rPr>
        <w:footnoteRef/>
      </w:r>
      <w:r w:rsidRPr="00FE0536">
        <w:rPr>
          <w:sz w:val="24"/>
        </w:rPr>
        <w:t xml:space="preserve"> R.C. § 4928.143(C</w:t>
      </w:r>
      <w:proofErr w:type="gramStart"/>
      <w:r w:rsidRPr="00FE0536">
        <w:rPr>
          <w:sz w:val="24"/>
        </w:rPr>
        <w:t>)(</w:t>
      </w:r>
      <w:proofErr w:type="gramEnd"/>
      <w:r w:rsidRPr="00FE0536">
        <w:rPr>
          <w:sz w:val="24"/>
        </w:rPr>
        <w:t xml:space="preserve">2)(a).  </w:t>
      </w:r>
    </w:p>
  </w:footnote>
  <w:footnote w:id="5">
    <w:p w:rsidR="00936CB8" w:rsidRPr="00FE0536" w:rsidRDefault="00936CB8">
      <w:pPr>
        <w:pStyle w:val="FootnoteText"/>
        <w:rPr>
          <w:sz w:val="24"/>
        </w:rPr>
      </w:pPr>
      <w:r w:rsidRPr="00FE0536">
        <w:rPr>
          <w:rStyle w:val="FootnoteReference"/>
          <w:sz w:val="24"/>
        </w:rPr>
        <w:footnoteRef/>
      </w:r>
      <w:r w:rsidRPr="00FE0536">
        <w:rPr>
          <w:sz w:val="24"/>
        </w:rPr>
        <w:t xml:space="preserve"> </w:t>
      </w:r>
      <w:proofErr w:type="gramStart"/>
      <w:r w:rsidRPr="00FE0536">
        <w:rPr>
          <w:sz w:val="24"/>
        </w:rPr>
        <w:t>R.C. § 4905.10.</w:t>
      </w:r>
      <w:proofErr w:type="gramEnd"/>
      <w:r w:rsidRPr="00FE0536">
        <w:rPr>
          <w:sz w:val="24"/>
        </w:rPr>
        <w:t xml:space="preserve">  </w:t>
      </w:r>
    </w:p>
  </w:footnote>
  <w:footnote w:id="6">
    <w:p w:rsidR="00936CB8" w:rsidRPr="00FE0536" w:rsidRDefault="00936CB8">
      <w:pPr>
        <w:pStyle w:val="FootnoteText"/>
        <w:rPr>
          <w:sz w:val="24"/>
        </w:rPr>
      </w:pPr>
      <w:r w:rsidRPr="00FE0536">
        <w:rPr>
          <w:rStyle w:val="FootnoteReference"/>
          <w:sz w:val="24"/>
        </w:rPr>
        <w:footnoteRef/>
      </w:r>
      <w:r w:rsidRPr="00FE0536">
        <w:rPr>
          <w:sz w:val="24"/>
        </w:rPr>
        <w:t xml:space="preserve"> An application for rehearing must be filed within 30 days of the order complained of.  No appeal can be brought without first seeking rehearing and a notice of appeal must be filed within 60 days of the denial of an application for rehearing.  </w:t>
      </w:r>
      <w:proofErr w:type="gramStart"/>
      <w:r w:rsidRPr="00FE0536">
        <w:rPr>
          <w:sz w:val="24"/>
        </w:rPr>
        <w:t>R.C. § 4903.11.</w:t>
      </w:r>
      <w:proofErr w:type="gramEnd"/>
      <w:r w:rsidRPr="00FE0536">
        <w:rPr>
          <w:sz w:val="24"/>
        </w:rPr>
        <w:t xml:space="preserve">  </w:t>
      </w:r>
    </w:p>
  </w:footnote>
  <w:footnote w:id="7">
    <w:p w:rsidR="00936CB8" w:rsidRPr="00FE0536" w:rsidRDefault="00936CB8">
      <w:pPr>
        <w:pStyle w:val="FootnoteText"/>
        <w:rPr>
          <w:sz w:val="24"/>
        </w:rPr>
      </w:pPr>
      <w:r w:rsidRPr="00FE0536">
        <w:rPr>
          <w:rStyle w:val="FootnoteReference"/>
          <w:sz w:val="24"/>
        </w:rPr>
        <w:footnoteRef/>
      </w:r>
      <w:r w:rsidRPr="00FE0536">
        <w:rPr>
          <w:sz w:val="24"/>
        </w:rPr>
        <w:t xml:space="preserve"> </w:t>
      </w:r>
      <w:proofErr w:type="gramStart"/>
      <w:r w:rsidRPr="00FE0536">
        <w:rPr>
          <w:sz w:val="24"/>
        </w:rPr>
        <w:t>R.C. § 4928.39.</w:t>
      </w:r>
      <w:proofErr w:type="gramEnd"/>
      <w:r w:rsidRPr="00FE0536">
        <w:rPr>
          <w:sz w:val="24"/>
        </w:rPr>
        <w:t xml:space="preserve">  The right to recover transition revenues terminated at the end of the market development period, after which the utility is “fully on its own in the competitive market.”  </w:t>
      </w:r>
      <w:proofErr w:type="gramStart"/>
      <w:r w:rsidRPr="00FE0536">
        <w:rPr>
          <w:sz w:val="24"/>
        </w:rPr>
        <w:t>R.C. § 4928.38.</w:t>
      </w:r>
      <w:proofErr w:type="gramEnd"/>
      <w:r w:rsidRPr="00FE0536">
        <w:rPr>
          <w:sz w:val="24"/>
        </w:rPr>
        <w:t xml:space="preserve">  </w:t>
      </w:r>
    </w:p>
  </w:footnote>
  <w:footnote w:id="8">
    <w:p w:rsidR="00936CB8" w:rsidRPr="00FE0536" w:rsidRDefault="00936CB8">
      <w:pPr>
        <w:pStyle w:val="FootnoteText"/>
        <w:rPr>
          <w:sz w:val="24"/>
        </w:rPr>
      </w:pPr>
      <w:r w:rsidRPr="00FE0536">
        <w:rPr>
          <w:rStyle w:val="FootnoteReference"/>
          <w:sz w:val="24"/>
        </w:rPr>
        <w:footnoteRef/>
      </w:r>
      <w:r w:rsidRPr="00FE0536">
        <w:rPr>
          <w:sz w:val="24"/>
        </w:rPr>
        <w:t xml:space="preserve"> ESP Stipulation, p. 3.  </w:t>
      </w:r>
    </w:p>
  </w:footnote>
  <w:footnote w:id="9">
    <w:p w:rsidR="00936CB8" w:rsidRPr="00FE0536" w:rsidRDefault="00936CB8">
      <w:pPr>
        <w:pStyle w:val="FootnoteText"/>
        <w:rPr>
          <w:sz w:val="24"/>
        </w:rPr>
      </w:pPr>
      <w:r w:rsidRPr="00FE0536">
        <w:rPr>
          <w:rStyle w:val="FootnoteReference"/>
          <w:sz w:val="24"/>
        </w:rPr>
        <w:footnoteRef/>
      </w:r>
      <w:r w:rsidRPr="00FE0536">
        <w:rPr>
          <w:sz w:val="24"/>
        </w:rPr>
        <w:t xml:space="preserve"> </w:t>
      </w:r>
      <w:proofErr w:type="gramStart"/>
      <w:r w:rsidRPr="00FE0536">
        <w:rPr>
          <w:sz w:val="24"/>
        </w:rPr>
        <w:t>ESP Stipulation, p. 41, ¶ AA.</w:t>
      </w:r>
      <w:proofErr w:type="gramEnd"/>
      <w:r w:rsidRPr="00FE0536">
        <w:rPr>
          <w:sz w:val="24"/>
        </w:rPr>
        <w:t xml:space="preserve">  </w:t>
      </w:r>
    </w:p>
  </w:footnote>
  <w:footnote w:id="10">
    <w:p w:rsidR="00936CB8" w:rsidRPr="00FE0536" w:rsidRDefault="00936CB8">
      <w:pPr>
        <w:pStyle w:val="FootnoteText"/>
        <w:rPr>
          <w:sz w:val="24"/>
        </w:rPr>
      </w:pPr>
      <w:r w:rsidRPr="00FE0536">
        <w:rPr>
          <w:rStyle w:val="FootnoteReference"/>
          <w:sz w:val="24"/>
        </w:rPr>
        <w:footnoteRef/>
      </w:r>
      <w:r w:rsidRPr="00FE0536">
        <w:rPr>
          <w:sz w:val="24"/>
        </w:rPr>
        <w:t xml:space="preserve"> </w:t>
      </w:r>
      <w:proofErr w:type="gramStart"/>
      <w:r w:rsidRPr="00FE0536">
        <w:rPr>
          <w:i/>
          <w:iCs/>
          <w:spacing w:val="-3"/>
          <w:sz w:val="24"/>
          <w:szCs w:val="21"/>
        </w:rPr>
        <w:t xml:space="preserve">In re Application of Columbus Southern Power, </w:t>
      </w:r>
      <w:r w:rsidRPr="00FE0536">
        <w:rPr>
          <w:spacing w:val="-3"/>
          <w:sz w:val="24"/>
          <w:szCs w:val="21"/>
        </w:rPr>
        <w:t>128 Ohio St. 3d 512, 2011-Ohio-1788.</w:t>
      </w:r>
      <w:proofErr w:type="gramEnd"/>
    </w:p>
  </w:footnote>
  <w:footnote w:id="11">
    <w:p w:rsidR="00936CB8" w:rsidRPr="00FE0536" w:rsidRDefault="00936CB8">
      <w:pPr>
        <w:pStyle w:val="FootnoteText"/>
        <w:rPr>
          <w:sz w:val="24"/>
        </w:rPr>
      </w:pPr>
      <w:r w:rsidRPr="00FE0536">
        <w:rPr>
          <w:rStyle w:val="FootnoteReference"/>
          <w:sz w:val="24"/>
        </w:rPr>
        <w:footnoteRef/>
      </w:r>
      <w:r w:rsidRPr="00FE0536">
        <w:rPr>
          <w:sz w:val="24"/>
        </w:rPr>
        <w:t xml:space="preserve"> R.C. § 4928.143(B</w:t>
      </w:r>
      <w:proofErr w:type="gramStart"/>
      <w:r w:rsidRPr="00FE0536">
        <w:rPr>
          <w:sz w:val="24"/>
        </w:rPr>
        <w:t>)(</w:t>
      </w:r>
      <w:proofErr w:type="gramEnd"/>
      <w:r w:rsidRPr="00FE0536">
        <w:rPr>
          <w:sz w:val="24"/>
        </w:rPr>
        <w:t xml:space="preserve">1).  </w:t>
      </w:r>
    </w:p>
  </w:footnote>
  <w:footnote w:id="12">
    <w:p w:rsidR="00936CB8" w:rsidRPr="00FE0536" w:rsidRDefault="00936CB8">
      <w:pPr>
        <w:pStyle w:val="FootnoteText"/>
        <w:rPr>
          <w:sz w:val="24"/>
        </w:rPr>
      </w:pPr>
      <w:r w:rsidRPr="00FE0536">
        <w:rPr>
          <w:rStyle w:val="FootnoteReference"/>
          <w:sz w:val="24"/>
        </w:rPr>
        <w:footnoteRef/>
      </w:r>
      <w:r w:rsidRPr="00FE0536">
        <w:rPr>
          <w:sz w:val="24"/>
        </w:rPr>
        <w:t xml:space="preserve"> R.C. § 4928.143(B</w:t>
      </w:r>
      <w:proofErr w:type="gramStart"/>
      <w:r w:rsidRPr="00FE0536">
        <w:rPr>
          <w:sz w:val="24"/>
        </w:rPr>
        <w:t>)(</w:t>
      </w:r>
      <w:proofErr w:type="gramEnd"/>
      <w:r w:rsidRPr="00FE0536">
        <w:rPr>
          <w:sz w:val="24"/>
        </w:rPr>
        <w:t xml:space="preserve">2)(a).  </w:t>
      </w:r>
    </w:p>
  </w:footnote>
  <w:footnote w:id="13">
    <w:p w:rsidR="00936CB8" w:rsidRPr="00FE0536" w:rsidRDefault="00936CB8" w:rsidP="00873F06">
      <w:pPr>
        <w:pStyle w:val="FootnoteText"/>
        <w:rPr>
          <w:sz w:val="24"/>
        </w:rPr>
      </w:pPr>
      <w:r w:rsidRPr="00FE0536">
        <w:rPr>
          <w:rStyle w:val="FootnoteReference"/>
          <w:sz w:val="24"/>
        </w:rPr>
        <w:footnoteRef/>
      </w:r>
      <w:r w:rsidRPr="00FE0536">
        <w:rPr>
          <w:sz w:val="24"/>
        </w:rPr>
        <w:t xml:space="preserve"> </w:t>
      </w:r>
      <w:proofErr w:type="gramStart"/>
      <w:r w:rsidRPr="00FE0536">
        <w:rPr>
          <w:sz w:val="24"/>
        </w:rPr>
        <w:t>R.C. § 4928.141(A).</w:t>
      </w:r>
      <w:proofErr w:type="gramEnd"/>
      <w:r w:rsidRPr="00FE0536">
        <w:rPr>
          <w:sz w:val="24"/>
        </w:rPr>
        <w:t xml:space="preserve">  </w:t>
      </w:r>
    </w:p>
  </w:footnote>
  <w:footnote w:id="14">
    <w:p w:rsidR="00936CB8" w:rsidRPr="00FE0536" w:rsidRDefault="00936CB8">
      <w:pPr>
        <w:pStyle w:val="FootnoteText"/>
        <w:rPr>
          <w:sz w:val="24"/>
        </w:rPr>
      </w:pPr>
      <w:r w:rsidRPr="00FE0536">
        <w:rPr>
          <w:rStyle w:val="FootnoteReference"/>
          <w:sz w:val="24"/>
        </w:rPr>
        <w:footnoteRef/>
      </w:r>
      <w:r w:rsidRPr="00FE0536">
        <w:rPr>
          <w:sz w:val="24"/>
        </w:rPr>
        <w:t xml:space="preserve"> In addition, Rider SCR is designed to reconcile any over or under recovery of actual supplier costs through Riders RC and RE due to variations in load or customer classes arising from the conversion of wholesale costs into retail rates.  </w:t>
      </w:r>
    </w:p>
  </w:footnote>
  <w:footnote w:id="15">
    <w:p w:rsidR="00C64FBC" w:rsidRPr="00FE0536" w:rsidRDefault="00C64FBC">
      <w:pPr>
        <w:pStyle w:val="FootnoteText"/>
        <w:rPr>
          <w:sz w:val="24"/>
        </w:rPr>
      </w:pPr>
      <w:r w:rsidRPr="00FE0536">
        <w:rPr>
          <w:rStyle w:val="FootnoteReference"/>
          <w:sz w:val="24"/>
        </w:rPr>
        <w:footnoteRef/>
      </w:r>
      <w:r w:rsidRPr="00FE0536">
        <w:rPr>
          <w:sz w:val="24"/>
        </w:rPr>
        <w:t xml:space="preserve"> Because of the circuitous nature of Duke’s SSO offering, it is both the buyer and seller of capacity.  It first sells capacity to PJM and/or auction winners, then buys that capacity from the auction winners through supply contracts, then sells the capacity again to SSO customers.  The price of capacity in each transaction is exactly the same.  </w:t>
      </w:r>
    </w:p>
  </w:footnote>
  <w:footnote w:id="16">
    <w:p w:rsidR="00936CB8" w:rsidRPr="00FE0536" w:rsidRDefault="00936CB8">
      <w:pPr>
        <w:pStyle w:val="FootnoteText"/>
        <w:rPr>
          <w:sz w:val="24"/>
        </w:rPr>
      </w:pPr>
      <w:r w:rsidRPr="00FE0536">
        <w:rPr>
          <w:rStyle w:val="FootnoteReference"/>
          <w:sz w:val="24"/>
        </w:rPr>
        <w:footnoteRef/>
      </w:r>
      <w:r w:rsidRPr="00FE0536">
        <w:rPr>
          <w:sz w:val="24"/>
        </w:rPr>
        <w:t xml:space="preserve"> </w:t>
      </w:r>
      <w:proofErr w:type="gramStart"/>
      <w:r w:rsidRPr="00FE0536">
        <w:rPr>
          <w:sz w:val="24"/>
        </w:rPr>
        <w:t>R.C. § 4928.14</w:t>
      </w:r>
      <w:r w:rsidR="000750DD" w:rsidRPr="00FE0536">
        <w:rPr>
          <w:sz w:val="24"/>
        </w:rPr>
        <w:t>1</w:t>
      </w:r>
      <w:r w:rsidRPr="00FE0536">
        <w:rPr>
          <w:sz w:val="24"/>
        </w:rPr>
        <w:t>.</w:t>
      </w:r>
      <w:proofErr w:type="gramEnd"/>
      <w:r w:rsidRPr="00FE0536">
        <w:rPr>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292C"/>
    <w:multiLevelType w:val="singleLevel"/>
    <w:tmpl w:val="7BBB3E6F"/>
    <w:lvl w:ilvl="0">
      <w:start w:val="1"/>
      <w:numFmt w:val="lowerLetter"/>
      <w:lvlText w:val="%1."/>
      <w:lvlJc w:val="left"/>
      <w:pPr>
        <w:tabs>
          <w:tab w:val="num" w:pos="2952"/>
        </w:tabs>
        <w:ind w:left="2232"/>
      </w:pPr>
      <w:rPr>
        <w:b/>
        <w:bCs/>
        <w:snapToGrid/>
        <w:spacing w:val="22"/>
        <w:sz w:val="20"/>
        <w:szCs w:val="20"/>
      </w:rPr>
    </w:lvl>
  </w:abstractNum>
  <w:abstractNum w:abstractNumId="1">
    <w:nsid w:val="005B368B"/>
    <w:multiLevelType w:val="singleLevel"/>
    <w:tmpl w:val="74848779"/>
    <w:lvl w:ilvl="0">
      <w:start w:val="1"/>
      <w:numFmt w:val="lowerLetter"/>
      <w:lvlText w:val="%1."/>
      <w:lvlJc w:val="left"/>
      <w:pPr>
        <w:tabs>
          <w:tab w:val="num" w:pos="2952"/>
        </w:tabs>
        <w:ind w:left="2232"/>
      </w:pPr>
      <w:rPr>
        <w:b/>
        <w:bCs/>
        <w:snapToGrid/>
        <w:spacing w:val="5"/>
        <w:sz w:val="20"/>
        <w:szCs w:val="20"/>
      </w:rPr>
    </w:lvl>
  </w:abstractNum>
  <w:abstractNum w:abstractNumId="2">
    <w:nsid w:val="0085C8BC"/>
    <w:multiLevelType w:val="singleLevel"/>
    <w:tmpl w:val="0FDEF53E"/>
    <w:lvl w:ilvl="0">
      <w:start w:val="1"/>
      <w:numFmt w:val="lowerLetter"/>
      <w:lvlText w:val="%1."/>
      <w:lvlJc w:val="left"/>
      <w:pPr>
        <w:tabs>
          <w:tab w:val="num" w:pos="2952"/>
        </w:tabs>
        <w:ind w:left="2232"/>
      </w:pPr>
      <w:rPr>
        <w:b/>
        <w:bCs/>
        <w:snapToGrid/>
        <w:spacing w:val="10"/>
        <w:sz w:val="20"/>
        <w:szCs w:val="20"/>
      </w:rPr>
    </w:lvl>
  </w:abstractNum>
  <w:abstractNum w:abstractNumId="3">
    <w:nsid w:val="0096092F"/>
    <w:multiLevelType w:val="singleLevel"/>
    <w:tmpl w:val="4F71BA31"/>
    <w:lvl w:ilvl="0">
      <w:start w:val="1"/>
      <w:numFmt w:val="decimal"/>
      <w:lvlText w:val="%1."/>
      <w:lvlJc w:val="left"/>
      <w:pPr>
        <w:tabs>
          <w:tab w:val="num" w:pos="936"/>
        </w:tabs>
        <w:ind w:left="216"/>
      </w:pPr>
      <w:rPr>
        <w:b/>
        <w:bCs/>
        <w:snapToGrid/>
        <w:spacing w:val="1"/>
        <w:sz w:val="20"/>
        <w:szCs w:val="20"/>
      </w:rPr>
    </w:lvl>
  </w:abstractNum>
  <w:abstractNum w:abstractNumId="4">
    <w:nsid w:val="009880D6"/>
    <w:multiLevelType w:val="singleLevel"/>
    <w:tmpl w:val="02279762"/>
    <w:lvl w:ilvl="0">
      <w:numFmt w:val="bullet"/>
      <w:lvlText w:val="·"/>
      <w:lvlJc w:val="left"/>
      <w:pPr>
        <w:tabs>
          <w:tab w:val="num" w:pos="1440"/>
        </w:tabs>
        <w:ind w:left="1440" w:hanging="720"/>
      </w:pPr>
      <w:rPr>
        <w:rFonts w:ascii="Symbol" w:hAnsi="Symbol" w:cs="Symbol"/>
        <w:snapToGrid/>
        <w:sz w:val="25"/>
        <w:szCs w:val="25"/>
      </w:rPr>
    </w:lvl>
  </w:abstractNum>
  <w:abstractNum w:abstractNumId="5">
    <w:nsid w:val="00FFBDFA"/>
    <w:multiLevelType w:val="singleLevel"/>
    <w:tmpl w:val="64BCD3BA"/>
    <w:lvl w:ilvl="0">
      <w:start w:val="1"/>
      <w:numFmt w:val="decimal"/>
      <w:lvlText w:val="%1."/>
      <w:lvlJc w:val="left"/>
      <w:pPr>
        <w:tabs>
          <w:tab w:val="num" w:pos="2232"/>
        </w:tabs>
        <w:ind w:left="2232" w:hanging="792"/>
      </w:pPr>
      <w:rPr>
        <w:b/>
        <w:bCs/>
        <w:snapToGrid/>
        <w:sz w:val="20"/>
        <w:szCs w:val="20"/>
      </w:rPr>
    </w:lvl>
  </w:abstractNum>
  <w:abstractNum w:abstractNumId="6">
    <w:nsid w:val="04BBBB10"/>
    <w:multiLevelType w:val="singleLevel"/>
    <w:tmpl w:val="6C515A29"/>
    <w:lvl w:ilvl="0">
      <w:start w:val="1"/>
      <w:numFmt w:val="decimal"/>
      <w:lvlText w:val="%1."/>
      <w:lvlJc w:val="left"/>
      <w:pPr>
        <w:tabs>
          <w:tab w:val="num" w:pos="936"/>
        </w:tabs>
        <w:ind w:left="216"/>
      </w:pPr>
      <w:rPr>
        <w:b/>
        <w:bCs/>
        <w:snapToGrid/>
        <w:spacing w:val="1"/>
        <w:sz w:val="20"/>
        <w:szCs w:val="20"/>
      </w:rPr>
    </w:lvl>
  </w:abstractNum>
  <w:abstractNum w:abstractNumId="7">
    <w:nsid w:val="07B56665"/>
    <w:multiLevelType w:val="singleLevel"/>
    <w:tmpl w:val="533DBCBE"/>
    <w:lvl w:ilvl="0">
      <w:start w:val="1"/>
      <w:numFmt w:val="decimal"/>
      <w:lvlText w:val="%1."/>
      <w:lvlJc w:val="left"/>
      <w:pPr>
        <w:tabs>
          <w:tab w:val="num" w:pos="2232"/>
        </w:tabs>
        <w:ind w:left="2232" w:hanging="792"/>
      </w:pPr>
      <w:rPr>
        <w:b/>
        <w:bCs/>
        <w:snapToGrid/>
        <w:spacing w:val="-1"/>
        <w:sz w:val="20"/>
        <w:szCs w:val="20"/>
      </w:rPr>
    </w:lvl>
  </w:abstractNum>
  <w:abstractNum w:abstractNumId="8">
    <w:nsid w:val="412F5AC2"/>
    <w:multiLevelType w:val="hybridMultilevel"/>
    <w:tmpl w:val="2DA20298"/>
    <w:lvl w:ilvl="0" w:tplc="184EE97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C41D9F"/>
    <w:multiLevelType w:val="hybridMultilevel"/>
    <w:tmpl w:val="18BA15EC"/>
    <w:lvl w:ilvl="0" w:tplc="95DEF658">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2"/>
  </w:num>
  <w:num w:numId="8">
    <w:abstractNumId w:val="4"/>
  </w:num>
  <w:num w:numId="9">
    <w:abstractNumId w:val="4"/>
    <w:lvlOverride w:ilvl="0">
      <w:lvl w:ilvl="0">
        <w:numFmt w:val="bullet"/>
        <w:lvlText w:val="·"/>
        <w:lvlJc w:val="left"/>
        <w:pPr>
          <w:tabs>
            <w:tab w:val="num" w:pos="1440"/>
          </w:tabs>
          <w:ind w:left="1440" w:hanging="720"/>
        </w:pPr>
        <w:rPr>
          <w:rFonts w:ascii="Symbol" w:hAnsi="Symbol" w:cs="Symbol"/>
          <w:snapToGrid/>
          <w:spacing w:val="-4"/>
          <w:sz w:val="25"/>
          <w:szCs w:val="25"/>
        </w:rPr>
      </w:lvl>
    </w:lvlOverride>
  </w:num>
  <w:num w:numId="10">
    <w:abstractNumId w:val="4"/>
    <w:lvlOverride w:ilvl="0">
      <w:lvl w:ilvl="0">
        <w:numFmt w:val="bullet"/>
        <w:lvlText w:val="·"/>
        <w:lvlJc w:val="left"/>
        <w:pPr>
          <w:tabs>
            <w:tab w:val="num" w:pos="1440"/>
          </w:tabs>
          <w:ind w:left="1440" w:hanging="720"/>
        </w:pPr>
        <w:rPr>
          <w:rFonts w:ascii="Symbol" w:hAnsi="Symbol" w:cs="Symbol"/>
          <w:snapToGrid/>
          <w:sz w:val="25"/>
          <w:szCs w:val="25"/>
        </w:rPr>
      </w:lvl>
    </w:lvlOverride>
  </w:num>
  <w:num w:numId="11">
    <w:abstractNumId w:val="4"/>
    <w:lvlOverride w:ilvl="0">
      <w:lvl w:ilvl="0">
        <w:numFmt w:val="bullet"/>
        <w:lvlText w:val="·"/>
        <w:lvlJc w:val="left"/>
        <w:pPr>
          <w:tabs>
            <w:tab w:val="num" w:pos="1440"/>
          </w:tabs>
          <w:ind w:left="1440" w:hanging="360"/>
        </w:pPr>
        <w:rPr>
          <w:rFonts w:ascii="Symbol" w:hAnsi="Symbol" w:cs="Symbol"/>
          <w:snapToGrid/>
          <w:sz w:val="25"/>
          <w:szCs w:val="25"/>
        </w:rPr>
      </w:lvl>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A9"/>
    <w:rsid w:val="000005A9"/>
    <w:rsid w:val="00034F08"/>
    <w:rsid w:val="0007102D"/>
    <w:rsid w:val="0007445D"/>
    <w:rsid w:val="000750DD"/>
    <w:rsid w:val="0009690B"/>
    <w:rsid w:val="000A548E"/>
    <w:rsid w:val="000E3DA2"/>
    <w:rsid w:val="00134A8A"/>
    <w:rsid w:val="001734B1"/>
    <w:rsid w:val="0018461E"/>
    <w:rsid w:val="001B086A"/>
    <w:rsid w:val="001D18BA"/>
    <w:rsid w:val="001D4B7A"/>
    <w:rsid w:val="00227252"/>
    <w:rsid w:val="002825BC"/>
    <w:rsid w:val="00287623"/>
    <w:rsid w:val="002B59EE"/>
    <w:rsid w:val="002D5C53"/>
    <w:rsid w:val="002E0FA0"/>
    <w:rsid w:val="002E79A0"/>
    <w:rsid w:val="002F3F3D"/>
    <w:rsid w:val="003013ED"/>
    <w:rsid w:val="003A03C1"/>
    <w:rsid w:val="003C0827"/>
    <w:rsid w:val="00411B06"/>
    <w:rsid w:val="004306C6"/>
    <w:rsid w:val="00486510"/>
    <w:rsid w:val="004E7291"/>
    <w:rsid w:val="004F431C"/>
    <w:rsid w:val="00505D4A"/>
    <w:rsid w:val="005260C5"/>
    <w:rsid w:val="0058450A"/>
    <w:rsid w:val="005A46B2"/>
    <w:rsid w:val="005B3250"/>
    <w:rsid w:val="005C4466"/>
    <w:rsid w:val="005D0BEC"/>
    <w:rsid w:val="005F001F"/>
    <w:rsid w:val="005F2CE0"/>
    <w:rsid w:val="006057B3"/>
    <w:rsid w:val="0065301B"/>
    <w:rsid w:val="00670BF7"/>
    <w:rsid w:val="00674BF5"/>
    <w:rsid w:val="00681706"/>
    <w:rsid w:val="006A4901"/>
    <w:rsid w:val="006C50E7"/>
    <w:rsid w:val="0075742E"/>
    <w:rsid w:val="00781419"/>
    <w:rsid w:val="008000A5"/>
    <w:rsid w:val="00814D0E"/>
    <w:rsid w:val="00873F06"/>
    <w:rsid w:val="008763CA"/>
    <w:rsid w:val="008B0534"/>
    <w:rsid w:val="008E64D8"/>
    <w:rsid w:val="009039AC"/>
    <w:rsid w:val="00936CB8"/>
    <w:rsid w:val="0094281B"/>
    <w:rsid w:val="00985EB8"/>
    <w:rsid w:val="00993F52"/>
    <w:rsid w:val="00994DE2"/>
    <w:rsid w:val="009A2973"/>
    <w:rsid w:val="009B72BF"/>
    <w:rsid w:val="009D3899"/>
    <w:rsid w:val="009E6E8D"/>
    <w:rsid w:val="00A262E3"/>
    <w:rsid w:val="00A8363E"/>
    <w:rsid w:val="00A83DC3"/>
    <w:rsid w:val="00AF309C"/>
    <w:rsid w:val="00B15D97"/>
    <w:rsid w:val="00B32090"/>
    <w:rsid w:val="00B511EE"/>
    <w:rsid w:val="00B627AB"/>
    <w:rsid w:val="00B777BE"/>
    <w:rsid w:val="00B8570B"/>
    <w:rsid w:val="00B92D17"/>
    <w:rsid w:val="00BA3D53"/>
    <w:rsid w:val="00BB7701"/>
    <w:rsid w:val="00BF7962"/>
    <w:rsid w:val="00C41F90"/>
    <w:rsid w:val="00C64FBC"/>
    <w:rsid w:val="00CF7355"/>
    <w:rsid w:val="00D239B1"/>
    <w:rsid w:val="00D33509"/>
    <w:rsid w:val="00D5214C"/>
    <w:rsid w:val="00DA2CE3"/>
    <w:rsid w:val="00DC1612"/>
    <w:rsid w:val="00DD10A8"/>
    <w:rsid w:val="00E56A0C"/>
    <w:rsid w:val="00E7424F"/>
    <w:rsid w:val="00EA7B97"/>
    <w:rsid w:val="00EB6C34"/>
    <w:rsid w:val="00EB7CF2"/>
    <w:rsid w:val="00EC7E87"/>
    <w:rsid w:val="00F078C2"/>
    <w:rsid w:val="00F172C5"/>
    <w:rsid w:val="00F465C8"/>
    <w:rsid w:val="00F70EB3"/>
    <w:rsid w:val="00FA7CFC"/>
    <w:rsid w:val="00FB7888"/>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D5214C"/>
    <w:pPr>
      <w:keepNext/>
      <w:keepLines/>
      <w:spacing w:after="240"/>
      <w:ind w:left="720" w:hanging="72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12"/>
    <w:rPr>
      <w:color w:val="0000FF" w:themeColor="hyperlink"/>
      <w:u w:val="single"/>
    </w:rPr>
  </w:style>
  <w:style w:type="paragraph" w:styleId="FootnoteText">
    <w:name w:val="footnote text"/>
    <w:basedOn w:val="Normal"/>
    <w:link w:val="FootnoteTextChar"/>
    <w:uiPriority w:val="99"/>
    <w:semiHidden/>
    <w:unhideWhenUsed/>
    <w:rsid w:val="0007102D"/>
  </w:style>
  <w:style w:type="character" w:customStyle="1" w:styleId="FootnoteTextChar">
    <w:name w:val="Footnote Text Char"/>
    <w:basedOn w:val="DefaultParagraphFont"/>
    <w:link w:val="FootnoteText"/>
    <w:uiPriority w:val="99"/>
    <w:semiHidden/>
    <w:rsid w:val="0007102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7102D"/>
    <w:rPr>
      <w:vertAlign w:val="superscript"/>
    </w:rPr>
  </w:style>
  <w:style w:type="paragraph" w:styleId="BalloonText">
    <w:name w:val="Balloon Text"/>
    <w:basedOn w:val="Normal"/>
    <w:link w:val="BalloonTextChar"/>
    <w:uiPriority w:val="99"/>
    <w:semiHidden/>
    <w:unhideWhenUsed/>
    <w:rsid w:val="000A548E"/>
    <w:rPr>
      <w:rFonts w:ascii="Tahoma" w:hAnsi="Tahoma" w:cs="Tahoma"/>
      <w:sz w:val="16"/>
      <w:szCs w:val="16"/>
    </w:rPr>
  </w:style>
  <w:style w:type="character" w:customStyle="1" w:styleId="BalloonTextChar">
    <w:name w:val="Balloon Text Char"/>
    <w:basedOn w:val="DefaultParagraphFont"/>
    <w:link w:val="BalloonText"/>
    <w:uiPriority w:val="99"/>
    <w:semiHidden/>
    <w:rsid w:val="000A548E"/>
    <w:rPr>
      <w:rFonts w:ascii="Tahoma" w:hAnsi="Tahoma" w:cs="Tahoma"/>
      <w:sz w:val="16"/>
      <w:szCs w:val="16"/>
    </w:rPr>
  </w:style>
  <w:style w:type="paragraph" w:styleId="ListParagraph">
    <w:name w:val="List Paragraph"/>
    <w:basedOn w:val="Normal"/>
    <w:uiPriority w:val="34"/>
    <w:qFormat/>
    <w:rsid w:val="00EC7E87"/>
    <w:pPr>
      <w:ind w:left="720"/>
      <w:contextualSpacing/>
    </w:pPr>
  </w:style>
  <w:style w:type="character" w:customStyle="1" w:styleId="Heading1Char">
    <w:name w:val="Heading 1 Char"/>
    <w:basedOn w:val="DefaultParagraphFont"/>
    <w:link w:val="Heading1"/>
    <w:uiPriority w:val="9"/>
    <w:rsid w:val="00D5214C"/>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B15D97"/>
    <w:pPr>
      <w:widowControl/>
      <w:autoSpaceDE/>
      <w:autoSpaceDN/>
      <w:adjustRightInd/>
      <w:spacing w:line="276" w:lineRule="auto"/>
      <w:outlineLvl w:val="9"/>
    </w:pPr>
    <w:rPr>
      <w:lang w:eastAsia="ja-JP"/>
    </w:rPr>
  </w:style>
  <w:style w:type="paragraph" w:styleId="Header">
    <w:name w:val="header"/>
    <w:basedOn w:val="Normal"/>
    <w:link w:val="HeaderChar"/>
    <w:uiPriority w:val="99"/>
    <w:unhideWhenUsed/>
    <w:rsid w:val="00936CB8"/>
    <w:pPr>
      <w:tabs>
        <w:tab w:val="center" w:pos="4680"/>
        <w:tab w:val="right" w:pos="9360"/>
      </w:tabs>
    </w:pPr>
  </w:style>
  <w:style w:type="character" w:customStyle="1" w:styleId="HeaderChar">
    <w:name w:val="Header Char"/>
    <w:basedOn w:val="DefaultParagraphFont"/>
    <w:link w:val="Header"/>
    <w:uiPriority w:val="99"/>
    <w:rsid w:val="00936CB8"/>
    <w:rPr>
      <w:rFonts w:ascii="Times New Roman" w:hAnsi="Times New Roman" w:cs="Times New Roman"/>
      <w:sz w:val="20"/>
      <w:szCs w:val="20"/>
    </w:rPr>
  </w:style>
  <w:style w:type="paragraph" w:styleId="Footer">
    <w:name w:val="footer"/>
    <w:basedOn w:val="Normal"/>
    <w:link w:val="FooterChar"/>
    <w:uiPriority w:val="99"/>
    <w:unhideWhenUsed/>
    <w:rsid w:val="00936CB8"/>
    <w:pPr>
      <w:tabs>
        <w:tab w:val="center" w:pos="4680"/>
        <w:tab w:val="right" w:pos="9360"/>
      </w:tabs>
    </w:pPr>
  </w:style>
  <w:style w:type="character" w:customStyle="1" w:styleId="FooterChar">
    <w:name w:val="Footer Char"/>
    <w:basedOn w:val="DefaultParagraphFont"/>
    <w:link w:val="Footer"/>
    <w:uiPriority w:val="99"/>
    <w:rsid w:val="00936CB8"/>
    <w:rPr>
      <w:rFonts w:ascii="Times New Roman" w:hAnsi="Times New Roman" w:cs="Times New Roman"/>
      <w:sz w:val="20"/>
      <w:szCs w:val="20"/>
    </w:rPr>
  </w:style>
  <w:style w:type="paragraph" w:styleId="TOC1">
    <w:name w:val="toc 1"/>
    <w:basedOn w:val="Normal"/>
    <w:next w:val="Normal"/>
    <w:autoRedefine/>
    <w:uiPriority w:val="39"/>
    <w:unhideWhenUsed/>
    <w:rsid w:val="0009690B"/>
    <w:pPr>
      <w:tabs>
        <w:tab w:val="left" w:pos="440"/>
        <w:tab w:val="right" w:leader="dot" w:pos="9350"/>
      </w:tabs>
      <w:spacing w:after="240"/>
      <w:ind w:left="432" w:hanging="432"/>
    </w:pPr>
  </w:style>
  <w:style w:type="paragraph" w:customStyle="1" w:styleId="Signature">
    <w:name w:val="*Signature"/>
    <w:aliases w:val="sig"/>
    <w:basedOn w:val="Normal"/>
    <w:rsid w:val="002825BC"/>
    <w:pPr>
      <w:keepLines/>
      <w:widowControl/>
      <w:tabs>
        <w:tab w:val="left" w:pos="5328"/>
        <w:tab w:val="right" w:pos="9360"/>
      </w:tabs>
      <w:autoSpaceDE/>
      <w:autoSpaceDN/>
      <w:adjustRightInd/>
      <w:ind w:left="504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D5214C"/>
    <w:pPr>
      <w:keepNext/>
      <w:keepLines/>
      <w:spacing w:after="240"/>
      <w:ind w:left="720" w:hanging="72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12"/>
    <w:rPr>
      <w:color w:val="0000FF" w:themeColor="hyperlink"/>
      <w:u w:val="single"/>
    </w:rPr>
  </w:style>
  <w:style w:type="paragraph" w:styleId="FootnoteText">
    <w:name w:val="footnote text"/>
    <w:basedOn w:val="Normal"/>
    <w:link w:val="FootnoteTextChar"/>
    <w:uiPriority w:val="99"/>
    <w:semiHidden/>
    <w:unhideWhenUsed/>
    <w:rsid w:val="0007102D"/>
  </w:style>
  <w:style w:type="character" w:customStyle="1" w:styleId="FootnoteTextChar">
    <w:name w:val="Footnote Text Char"/>
    <w:basedOn w:val="DefaultParagraphFont"/>
    <w:link w:val="FootnoteText"/>
    <w:uiPriority w:val="99"/>
    <w:semiHidden/>
    <w:rsid w:val="0007102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7102D"/>
    <w:rPr>
      <w:vertAlign w:val="superscript"/>
    </w:rPr>
  </w:style>
  <w:style w:type="paragraph" w:styleId="BalloonText">
    <w:name w:val="Balloon Text"/>
    <w:basedOn w:val="Normal"/>
    <w:link w:val="BalloonTextChar"/>
    <w:uiPriority w:val="99"/>
    <w:semiHidden/>
    <w:unhideWhenUsed/>
    <w:rsid w:val="000A548E"/>
    <w:rPr>
      <w:rFonts w:ascii="Tahoma" w:hAnsi="Tahoma" w:cs="Tahoma"/>
      <w:sz w:val="16"/>
      <w:szCs w:val="16"/>
    </w:rPr>
  </w:style>
  <w:style w:type="character" w:customStyle="1" w:styleId="BalloonTextChar">
    <w:name w:val="Balloon Text Char"/>
    <w:basedOn w:val="DefaultParagraphFont"/>
    <w:link w:val="BalloonText"/>
    <w:uiPriority w:val="99"/>
    <w:semiHidden/>
    <w:rsid w:val="000A548E"/>
    <w:rPr>
      <w:rFonts w:ascii="Tahoma" w:hAnsi="Tahoma" w:cs="Tahoma"/>
      <w:sz w:val="16"/>
      <w:szCs w:val="16"/>
    </w:rPr>
  </w:style>
  <w:style w:type="paragraph" w:styleId="ListParagraph">
    <w:name w:val="List Paragraph"/>
    <w:basedOn w:val="Normal"/>
    <w:uiPriority w:val="34"/>
    <w:qFormat/>
    <w:rsid w:val="00EC7E87"/>
    <w:pPr>
      <w:ind w:left="720"/>
      <w:contextualSpacing/>
    </w:pPr>
  </w:style>
  <w:style w:type="character" w:customStyle="1" w:styleId="Heading1Char">
    <w:name w:val="Heading 1 Char"/>
    <w:basedOn w:val="DefaultParagraphFont"/>
    <w:link w:val="Heading1"/>
    <w:uiPriority w:val="9"/>
    <w:rsid w:val="00D5214C"/>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B15D97"/>
    <w:pPr>
      <w:widowControl/>
      <w:autoSpaceDE/>
      <w:autoSpaceDN/>
      <w:adjustRightInd/>
      <w:spacing w:line="276" w:lineRule="auto"/>
      <w:outlineLvl w:val="9"/>
    </w:pPr>
    <w:rPr>
      <w:lang w:eastAsia="ja-JP"/>
    </w:rPr>
  </w:style>
  <w:style w:type="paragraph" w:styleId="Header">
    <w:name w:val="header"/>
    <w:basedOn w:val="Normal"/>
    <w:link w:val="HeaderChar"/>
    <w:uiPriority w:val="99"/>
    <w:unhideWhenUsed/>
    <w:rsid w:val="00936CB8"/>
    <w:pPr>
      <w:tabs>
        <w:tab w:val="center" w:pos="4680"/>
        <w:tab w:val="right" w:pos="9360"/>
      </w:tabs>
    </w:pPr>
  </w:style>
  <w:style w:type="character" w:customStyle="1" w:styleId="HeaderChar">
    <w:name w:val="Header Char"/>
    <w:basedOn w:val="DefaultParagraphFont"/>
    <w:link w:val="Header"/>
    <w:uiPriority w:val="99"/>
    <w:rsid w:val="00936CB8"/>
    <w:rPr>
      <w:rFonts w:ascii="Times New Roman" w:hAnsi="Times New Roman" w:cs="Times New Roman"/>
      <w:sz w:val="20"/>
      <w:szCs w:val="20"/>
    </w:rPr>
  </w:style>
  <w:style w:type="paragraph" w:styleId="Footer">
    <w:name w:val="footer"/>
    <w:basedOn w:val="Normal"/>
    <w:link w:val="FooterChar"/>
    <w:uiPriority w:val="99"/>
    <w:unhideWhenUsed/>
    <w:rsid w:val="00936CB8"/>
    <w:pPr>
      <w:tabs>
        <w:tab w:val="center" w:pos="4680"/>
        <w:tab w:val="right" w:pos="9360"/>
      </w:tabs>
    </w:pPr>
  </w:style>
  <w:style w:type="character" w:customStyle="1" w:styleId="FooterChar">
    <w:name w:val="Footer Char"/>
    <w:basedOn w:val="DefaultParagraphFont"/>
    <w:link w:val="Footer"/>
    <w:uiPriority w:val="99"/>
    <w:rsid w:val="00936CB8"/>
    <w:rPr>
      <w:rFonts w:ascii="Times New Roman" w:hAnsi="Times New Roman" w:cs="Times New Roman"/>
      <w:sz w:val="20"/>
      <w:szCs w:val="20"/>
    </w:rPr>
  </w:style>
  <w:style w:type="paragraph" w:styleId="TOC1">
    <w:name w:val="toc 1"/>
    <w:basedOn w:val="Normal"/>
    <w:next w:val="Normal"/>
    <w:autoRedefine/>
    <w:uiPriority w:val="39"/>
    <w:unhideWhenUsed/>
    <w:rsid w:val="0009690B"/>
    <w:pPr>
      <w:tabs>
        <w:tab w:val="left" w:pos="440"/>
        <w:tab w:val="right" w:leader="dot" w:pos="9350"/>
      </w:tabs>
      <w:spacing w:after="240"/>
      <w:ind w:left="432" w:hanging="432"/>
    </w:pPr>
  </w:style>
  <w:style w:type="paragraph" w:customStyle="1" w:styleId="Signature">
    <w:name w:val="*Signature"/>
    <w:aliases w:val="sig"/>
    <w:basedOn w:val="Normal"/>
    <w:rsid w:val="002825BC"/>
    <w:pPr>
      <w:keepLines/>
      <w:widowControl/>
      <w:tabs>
        <w:tab w:val="left" w:pos="5328"/>
        <w:tab w:val="right" w:pos="9360"/>
      </w:tabs>
      <w:autoSpaceDE/>
      <w:autoSpaceDN/>
      <w:adjustRightInd/>
      <w:ind w:left="504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y.spiller@duke-energy.com" TargetMode="External"/><Relationship Id="rId18" Type="http://schemas.openxmlformats.org/officeDocument/2006/relationships/hyperlink" Target="mailto:fdarr@mwncmh.com" TargetMode="External"/><Relationship Id="rId26" Type="http://schemas.openxmlformats.org/officeDocument/2006/relationships/hyperlink" Target="mailto:Cmooney2@columbus.rr.com" TargetMode="External"/><Relationship Id="rId39" Type="http://schemas.openxmlformats.org/officeDocument/2006/relationships/hyperlink" Target="mailto:glpetrucci@vorys.com" TargetMode="External"/><Relationship Id="rId21" Type="http://schemas.openxmlformats.org/officeDocument/2006/relationships/hyperlink" Target="mailto:grady@occ.state.oh.us" TargetMode="External"/><Relationship Id="rId34" Type="http://schemas.openxmlformats.org/officeDocument/2006/relationships/hyperlink" Target="mailto:stnourse@aep.com" TargetMode="External"/><Relationship Id="rId42" Type="http://schemas.openxmlformats.org/officeDocument/2006/relationships/hyperlink" Target="mailto:jejadwin@aep.com" TargetMode="External"/><Relationship Id="rId47" Type="http://schemas.openxmlformats.org/officeDocument/2006/relationships/hyperlink" Target="mailto:dakutik@jonesday.com" TargetMode="External"/><Relationship Id="rId50" Type="http://schemas.openxmlformats.org/officeDocument/2006/relationships/hyperlink" Target="mailto:Randall.griffin@dplinc.com" TargetMode="External"/><Relationship Id="rId55" Type="http://schemas.openxmlformats.org/officeDocument/2006/relationships/hyperlink" Target="mailto:David.fein@constellation.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Elizabeth.watts@duke-energy.com" TargetMode="External"/><Relationship Id="rId20" Type="http://schemas.openxmlformats.org/officeDocument/2006/relationships/hyperlink" Target="mailto:mpritchard@mwncmh.com" TargetMode="External"/><Relationship Id="rId29" Type="http://schemas.openxmlformats.org/officeDocument/2006/relationships/hyperlink" Target="mailto:tsiwo@bricker.com" TargetMode="External"/><Relationship Id="rId41" Type="http://schemas.openxmlformats.org/officeDocument/2006/relationships/hyperlink" Target="mailto:Kosterkamp@ralaw.com" TargetMode="External"/><Relationship Id="rId54" Type="http://schemas.openxmlformats.org/officeDocument/2006/relationships/hyperlink" Target="mailto:dstahl@eimerstahl.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mkurtz@bkllawfirm.com" TargetMode="External"/><Relationship Id="rId32" Type="http://schemas.openxmlformats.org/officeDocument/2006/relationships/hyperlink" Target="mailto:Joseph.strines@dplinc.com" TargetMode="External"/><Relationship Id="rId37" Type="http://schemas.openxmlformats.org/officeDocument/2006/relationships/hyperlink" Target="mailto:smhoward@vorys.com" TargetMode="External"/><Relationship Id="rId40" Type="http://schemas.openxmlformats.org/officeDocument/2006/relationships/hyperlink" Target="mailto:tobrien@bricker.com" TargetMode="External"/><Relationship Id="rId45" Type="http://schemas.openxmlformats.org/officeDocument/2006/relationships/hyperlink" Target="mailto:lmcbride@calfee.com" TargetMode="External"/><Relationship Id="rId53" Type="http://schemas.openxmlformats.org/officeDocument/2006/relationships/hyperlink" Target="mailto:barthroyer@aol.com" TargetMode="External"/><Relationship Id="rId58" Type="http://schemas.openxmlformats.org/officeDocument/2006/relationships/hyperlink" Target="mailto:Gary.A.Jeffries@dom.com" TargetMode="External"/><Relationship Id="rId5" Type="http://schemas.openxmlformats.org/officeDocument/2006/relationships/settings" Target="settings.xml"/><Relationship Id="rId15" Type="http://schemas.openxmlformats.org/officeDocument/2006/relationships/hyperlink" Target="mailto:Jeanne.kingery@duke-energy.com" TargetMode="External"/><Relationship Id="rId23" Type="http://schemas.openxmlformats.org/officeDocument/2006/relationships/hyperlink" Target="mailto:dboehm@bkllawfirm.com" TargetMode="External"/><Relationship Id="rId28" Type="http://schemas.openxmlformats.org/officeDocument/2006/relationships/hyperlink" Target="mailto:Mohler@carpenterlipps.com" TargetMode="External"/><Relationship Id="rId36" Type="http://schemas.openxmlformats.org/officeDocument/2006/relationships/hyperlink" Target="mailto:mhpetricoff@vorys.com" TargetMode="External"/><Relationship Id="rId49" Type="http://schemas.openxmlformats.org/officeDocument/2006/relationships/hyperlink" Target="mailto:Judi.sobecki@dplinc.com" TargetMode="External"/><Relationship Id="rId57" Type="http://schemas.openxmlformats.org/officeDocument/2006/relationships/hyperlink" Target="mailto:Cynthia.brady@constellation.com" TargetMode="External"/><Relationship Id="rId61" Type="http://schemas.openxmlformats.org/officeDocument/2006/relationships/hyperlink" Target="mailto:mkimbrough@keglerbrown.com" TargetMode="External"/><Relationship Id="rId10" Type="http://schemas.openxmlformats.org/officeDocument/2006/relationships/footer" Target="footer1.xml"/><Relationship Id="rId19" Type="http://schemas.openxmlformats.org/officeDocument/2006/relationships/hyperlink" Target="mailto:joliker@mwncmh.com" TargetMode="External"/><Relationship Id="rId31" Type="http://schemas.openxmlformats.org/officeDocument/2006/relationships/hyperlink" Target="mailto:Rdc_law@swbell.net" TargetMode="External"/><Relationship Id="rId44" Type="http://schemas.openxmlformats.org/officeDocument/2006/relationships/hyperlink" Target="mailto:jlang@calfee.com" TargetMode="External"/><Relationship Id="rId52" Type="http://schemas.openxmlformats.org/officeDocument/2006/relationships/hyperlink" Target="mailto:Steven.beeler@puc.state.oh.us" TargetMode="External"/><Relationship Id="rId60" Type="http://schemas.openxmlformats.org/officeDocument/2006/relationships/hyperlink" Target="mailto:asonderman@keglerbrown.com" TargetMode="External"/><Relationship Id="rId4" Type="http://schemas.microsoft.com/office/2007/relationships/stylesWithEffects" Target="stylesWithEffects.xml"/><Relationship Id="rId9" Type="http://schemas.openxmlformats.org/officeDocument/2006/relationships/hyperlink" Target="mailto:dhart@douglasehart.com" TargetMode="External"/><Relationship Id="rId14" Type="http://schemas.openxmlformats.org/officeDocument/2006/relationships/hyperlink" Target="mailto:Rocco.dascenzo@duke-energy.com" TargetMode="External"/><Relationship Id="rId22" Type="http://schemas.openxmlformats.org/officeDocument/2006/relationships/hyperlink" Target="mailto:kern@occ.state.oh.us" TargetMode="External"/><Relationship Id="rId27" Type="http://schemas.openxmlformats.org/officeDocument/2006/relationships/hyperlink" Target="mailto:Bojko@carpenterlipps.com" TargetMode="External"/><Relationship Id="rId30" Type="http://schemas.openxmlformats.org/officeDocument/2006/relationships/hyperlink" Target="mailto:mwarnock@bricker.com" TargetMode="External"/><Relationship Id="rId35" Type="http://schemas.openxmlformats.org/officeDocument/2006/relationships/hyperlink" Target="mailto:mjsatterwhite@aep.com" TargetMode="External"/><Relationship Id="rId43" Type="http://schemas.openxmlformats.org/officeDocument/2006/relationships/hyperlink" Target="mailto:yalami@aep.com" TargetMode="External"/><Relationship Id="rId48" Type="http://schemas.openxmlformats.org/officeDocument/2006/relationships/hyperlink" Target="mailto:lfloyd@jonesday.com" TargetMode="External"/><Relationship Id="rId56" Type="http://schemas.openxmlformats.org/officeDocument/2006/relationships/hyperlink" Target="mailto:Stephen.bennett@exeloncorp.com" TargetMode="External"/><Relationship Id="rId8" Type="http://schemas.openxmlformats.org/officeDocument/2006/relationships/endnotes" Target="endnotes.xml"/><Relationship Id="rId51" Type="http://schemas.openxmlformats.org/officeDocument/2006/relationships/hyperlink" Target="mailto:John.jones@puc.state.oh.us" TargetMode="External"/><Relationship Id="rId3" Type="http://schemas.openxmlformats.org/officeDocument/2006/relationships/styles" Target="styles.xml"/><Relationship Id="rId12" Type="http://schemas.openxmlformats.org/officeDocument/2006/relationships/hyperlink" Target="mailto:dhart@douglasehart.com" TargetMode="External"/><Relationship Id="rId17" Type="http://schemas.openxmlformats.org/officeDocument/2006/relationships/hyperlink" Target="mailto:sam@mwncmh.com" TargetMode="External"/><Relationship Id="rId25" Type="http://schemas.openxmlformats.org/officeDocument/2006/relationships/hyperlink" Target="mailto:jkyler@bkllawfirm.com" TargetMode="External"/><Relationship Id="rId33" Type="http://schemas.openxmlformats.org/officeDocument/2006/relationships/hyperlink" Target="mailto:haydenm@firstenergycorp.com" TargetMode="External"/><Relationship Id="rId38" Type="http://schemas.openxmlformats.org/officeDocument/2006/relationships/hyperlink" Target="mailto:lkalepsclark@vorys.com" TargetMode="External"/><Relationship Id="rId46" Type="http://schemas.openxmlformats.org/officeDocument/2006/relationships/hyperlink" Target="mailto:talexander@calfee.com" TargetMode="External"/><Relationship Id="rId59" Type="http://schemas.openxmlformats.org/officeDocument/2006/relationships/hyperlink" Target="mailto:jsharkey@fic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A719-5D35-48A1-AECB-ABCAEC02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E. Hart</dc:creator>
  <cp:lastModifiedBy>Douglas E. Hart</cp:lastModifiedBy>
  <cp:revision>2</cp:revision>
  <cp:lastPrinted>2013-07-26T19:33:00Z</cp:lastPrinted>
  <dcterms:created xsi:type="dcterms:W3CDTF">2013-07-26T19:34:00Z</dcterms:created>
  <dcterms:modified xsi:type="dcterms:W3CDTF">2013-07-26T19:34:00Z</dcterms:modified>
</cp:coreProperties>
</file>