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70427" w:rsidRPr="00862EB8" w:rsidP="00862EB8" w14:paraId="7269952A" w14:textId="77777777">
      <w:pPr>
        <w:jc w:val="center"/>
        <w:rPr>
          <w:b/>
          <w:bCs/>
          <w:sz w:val="24"/>
          <w:szCs w:val="24"/>
        </w:rPr>
      </w:pPr>
      <w:bookmarkStart w:id="0" w:name="_Toc115345121"/>
      <w:r w:rsidRPr="00862EB8">
        <w:rPr>
          <w:b/>
          <w:bCs/>
          <w:sz w:val="24"/>
          <w:szCs w:val="24"/>
        </w:rPr>
        <w:t>BEFORE</w:t>
      </w:r>
      <w:bookmarkEnd w:id="0"/>
    </w:p>
    <w:p w:rsidR="00170427" w:rsidP="00170427" w14:paraId="578C62A5" w14:textId="77777777">
      <w:pPr>
        <w:jc w:val="center"/>
        <w:rPr>
          <w:b/>
          <w:sz w:val="24"/>
        </w:rPr>
      </w:pPr>
      <w:r>
        <w:rPr>
          <w:b/>
          <w:sz w:val="24"/>
        </w:rPr>
        <w:t>THE PUBLIC UTILITIES COMMISSION OF OHIO</w:t>
      </w:r>
    </w:p>
    <w:p w:rsidR="00170427" w:rsidP="00170427" w14:paraId="3FB12D7B" w14:textId="77777777">
      <w:pPr>
        <w:ind w:left="1799" w:right="1798"/>
        <w:jc w:val="center"/>
        <w:rPr>
          <w:b/>
          <w:sz w:val="24"/>
        </w:rPr>
      </w:pPr>
    </w:p>
    <w:tbl>
      <w:tblPr>
        <w:tblW w:w="8820" w:type="dxa"/>
        <w:tblInd w:w="108" w:type="dxa"/>
        <w:tblLook w:val="01E0"/>
      </w:tblPr>
      <w:tblGrid>
        <w:gridCol w:w="4320"/>
        <w:gridCol w:w="360"/>
        <w:gridCol w:w="4140"/>
      </w:tblGrid>
      <w:tr w14:paraId="40F93D6F" w14:textId="77777777" w:rsidTr="000A1B3B">
        <w:tblPrEx>
          <w:tblW w:w="8820" w:type="dxa"/>
          <w:tblInd w:w="108" w:type="dxa"/>
          <w:tblLook w:val="01E0"/>
        </w:tblPrEx>
        <w:trPr>
          <w:trHeight w:val="792"/>
        </w:trPr>
        <w:tc>
          <w:tcPr>
            <w:tcW w:w="4320" w:type="dxa"/>
            <w:shd w:val="clear" w:color="auto" w:fill="auto"/>
          </w:tcPr>
          <w:p w:rsidR="00170427" w:rsidRPr="00E87BC6" w:rsidP="000A1B3B" w14:paraId="0B2AA3D9" w14:textId="77777777">
            <w:pPr>
              <w:adjustRightInd w:val="0"/>
              <w:rPr>
                <w:sz w:val="24"/>
                <w:szCs w:val="24"/>
              </w:rPr>
            </w:pPr>
            <w:r w:rsidRPr="000B4B77">
              <w:rPr>
                <w:sz w:val="24"/>
                <w:szCs w:val="24"/>
              </w:rPr>
              <w:t xml:space="preserve">In the Matter of the Application of </w:t>
            </w:r>
            <w:r>
              <w:rPr>
                <w:sz w:val="24"/>
                <w:szCs w:val="24"/>
              </w:rPr>
              <w:t>t</w:t>
            </w:r>
            <w:r w:rsidRPr="000B4B77">
              <w:rPr>
                <w:sz w:val="24"/>
                <w:szCs w:val="24"/>
              </w:rPr>
              <w:t>he East</w:t>
            </w:r>
            <w:r>
              <w:rPr>
                <w:sz w:val="24"/>
                <w:szCs w:val="24"/>
              </w:rPr>
              <w:t xml:space="preserve"> </w:t>
            </w:r>
            <w:r w:rsidRPr="000B4B77">
              <w:rPr>
                <w:sz w:val="24"/>
                <w:szCs w:val="24"/>
              </w:rPr>
              <w:t>Ohio Gas Company d/b/a Dominion Energ</w:t>
            </w:r>
            <w:r>
              <w:rPr>
                <w:sz w:val="24"/>
                <w:szCs w:val="24"/>
              </w:rPr>
              <w:t xml:space="preserve">y </w:t>
            </w:r>
            <w:r w:rsidRPr="000B4B77">
              <w:rPr>
                <w:sz w:val="24"/>
                <w:szCs w:val="24"/>
              </w:rPr>
              <w:t>Ohio for Approval of an Alternative Form of</w:t>
            </w:r>
            <w:r>
              <w:rPr>
                <w:sz w:val="24"/>
                <w:szCs w:val="24"/>
              </w:rPr>
              <w:t xml:space="preserve"> </w:t>
            </w:r>
            <w:r w:rsidRPr="000B4B77">
              <w:rPr>
                <w:sz w:val="24"/>
                <w:szCs w:val="24"/>
              </w:rPr>
              <w:t>Regulation.</w:t>
            </w:r>
          </w:p>
        </w:tc>
        <w:tc>
          <w:tcPr>
            <w:tcW w:w="360" w:type="dxa"/>
            <w:shd w:val="clear" w:color="auto" w:fill="auto"/>
          </w:tcPr>
          <w:p w:rsidR="00170427" w:rsidRPr="00E87BC6" w:rsidP="000A1B3B" w14:paraId="7DDC7F57" w14:textId="77777777">
            <w:pPr>
              <w:pStyle w:val="HTMLPreformatted"/>
              <w:rPr>
                <w:rFonts w:ascii="Times New Roman" w:hAnsi="Times New Roman" w:cs="Times New Roman"/>
                <w:sz w:val="24"/>
                <w:szCs w:val="24"/>
              </w:rPr>
            </w:pPr>
            <w:r w:rsidRPr="00E87BC6">
              <w:rPr>
                <w:rFonts w:ascii="Times New Roman" w:hAnsi="Times New Roman" w:cs="Times New Roman"/>
                <w:sz w:val="24"/>
                <w:szCs w:val="24"/>
              </w:rPr>
              <w:t>)</w:t>
            </w:r>
          </w:p>
          <w:p w:rsidR="00170427" w:rsidRPr="00E87BC6" w:rsidP="000A1B3B" w14:paraId="0F0E1FB3" w14:textId="77777777">
            <w:pPr>
              <w:pStyle w:val="HTMLPreformatted"/>
              <w:rPr>
                <w:rFonts w:ascii="Times New Roman" w:hAnsi="Times New Roman" w:cs="Times New Roman"/>
                <w:sz w:val="24"/>
                <w:szCs w:val="24"/>
              </w:rPr>
            </w:pPr>
            <w:r w:rsidRPr="00E87BC6">
              <w:rPr>
                <w:rFonts w:ascii="Times New Roman" w:hAnsi="Times New Roman" w:cs="Times New Roman"/>
                <w:sz w:val="24"/>
                <w:szCs w:val="24"/>
              </w:rPr>
              <w:t>)</w:t>
            </w:r>
          </w:p>
          <w:p w:rsidR="00170427" w:rsidP="000A1B3B" w14:paraId="2BE2C981" w14:textId="77777777">
            <w:pPr>
              <w:pStyle w:val="HTMLPreformatted"/>
              <w:rPr>
                <w:rFonts w:ascii="Times New Roman" w:hAnsi="Times New Roman" w:cs="Times New Roman"/>
                <w:sz w:val="24"/>
                <w:szCs w:val="24"/>
              </w:rPr>
            </w:pPr>
            <w:r w:rsidRPr="00E87BC6">
              <w:rPr>
                <w:rFonts w:ascii="Times New Roman" w:hAnsi="Times New Roman" w:cs="Times New Roman"/>
                <w:sz w:val="24"/>
                <w:szCs w:val="24"/>
              </w:rPr>
              <w:t>)</w:t>
            </w:r>
          </w:p>
          <w:p w:rsidR="00170427" w:rsidP="000A1B3B" w14:paraId="36592B89"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170427" w:rsidRPr="00E87BC6" w:rsidP="000A1B3B" w14:paraId="15E80029" w14:textId="77777777">
            <w:pPr>
              <w:pStyle w:val="HTMLPreformatted"/>
              <w:rPr>
                <w:rFonts w:ascii="Times New Roman" w:hAnsi="Times New Roman" w:cs="Times New Roman"/>
                <w:sz w:val="24"/>
                <w:szCs w:val="24"/>
              </w:rPr>
            </w:pPr>
          </w:p>
        </w:tc>
        <w:tc>
          <w:tcPr>
            <w:tcW w:w="4140" w:type="dxa"/>
            <w:shd w:val="clear" w:color="auto" w:fill="auto"/>
          </w:tcPr>
          <w:p w:rsidR="00170427" w:rsidRPr="00E87BC6" w:rsidP="000A1B3B" w14:paraId="005AF320" w14:textId="77777777">
            <w:pPr>
              <w:pStyle w:val="HTMLPreformatted"/>
              <w:rPr>
                <w:rFonts w:ascii="Times New Roman" w:hAnsi="Times New Roman" w:cs="Times New Roman"/>
                <w:sz w:val="24"/>
                <w:szCs w:val="24"/>
              </w:rPr>
            </w:pPr>
          </w:p>
          <w:p w:rsidR="00170427" w:rsidRPr="00E87BC6" w:rsidP="000A1B3B" w14:paraId="3C2DB804" w14:textId="77777777">
            <w:pPr>
              <w:pStyle w:val="HTMLPreformatted"/>
              <w:rPr>
                <w:rFonts w:ascii="Times New Roman" w:hAnsi="Times New Roman" w:cs="Times New Roman"/>
                <w:sz w:val="24"/>
                <w:szCs w:val="24"/>
              </w:rPr>
            </w:pPr>
            <w:r w:rsidRPr="00E87BC6">
              <w:rPr>
                <w:rFonts w:ascii="Times New Roman" w:hAnsi="Times New Roman" w:cs="Times New Roman"/>
                <w:sz w:val="24"/>
                <w:szCs w:val="24"/>
              </w:rPr>
              <w:t>Case No. 21-1109-GA-ALT</w:t>
            </w:r>
          </w:p>
        </w:tc>
      </w:tr>
    </w:tbl>
    <w:p w:rsidR="00170427" w:rsidP="00170427" w14:paraId="34B6943B" w14:textId="77777777">
      <w:pPr>
        <w:pStyle w:val="BodyText"/>
        <w:spacing w:before="3"/>
      </w:pPr>
    </w:p>
    <w:p w:rsidR="00170427" w:rsidP="00170427" w14:paraId="5B616B28" w14:textId="77777777">
      <w:pPr>
        <w:pStyle w:val="BodyText"/>
        <w:pBdr>
          <w:bottom w:val="single" w:sz="12" w:space="1" w:color="auto"/>
        </w:pBdr>
        <w:spacing w:line="29" w:lineRule="exact"/>
        <w:ind w:left="116"/>
        <w:rPr>
          <w:sz w:val="2"/>
        </w:rPr>
      </w:pPr>
    </w:p>
    <w:p w:rsidR="00170427" w:rsidP="00170427" w14:paraId="4358C190" w14:textId="77777777">
      <w:pPr>
        <w:pStyle w:val="BodyText"/>
        <w:rPr>
          <w:sz w:val="20"/>
        </w:rPr>
      </w:pPr>
    </w:p>
    <w:p w:rsidR="00170427" w:rsidP="00170427" w14:paraId="3F067798" w14:textId="77777777">
      <w:pPr>
        <w:ind w:right="-40"/>
        <w:jc w:val="center"/>
        <w:rPr>
          <w:b/>
          <w:sz w:val="24"/>
        </w:rPr>
      </w:pPr>
      <w:r>
        <w:rPr>
          <w:b/>
          <w:sz w:val="24"/>
        </w:rPr>
        <w:t>INITIAL POST-HEARING BRIEF</w:t>
      </w:r>
    </w:p>
    <w:p w:rsidR="00170427" w:rsidP="00170427" w14:paraId="7626EA97" w14:textId="77777777">
      <w:pPr>
        <w:ind w:left="4035" w:right="4034"/>
        <w:jc w:val="center"/>
        <w:rPr>
          <w:b/>
          <w:sz w:val="24"/>
        </w:rPr>
      </w:pPr>
      <w:r>
        <w:rPr>
          <w:b/>
          <w:sz w:val="24"/>
        </w:rPr>
        <w:t>BY</w:t>
      </w:r>
    </w:p>
    <w:p w:rsidR="00170427" w:rsidP="00170427" w14:paraId="4E02A408" w14:textId="77777777">
      <w:pPr>
        <w:jc w:val="center"/>
        <w:rPr>
          <w:b/>
          <w:sz w:val="24"/>
        </w:rPr>
      </w:pPr>
      <w:r>
        <w:rPr>
          <w:b/>
          <w:sz w:val="24"/>
        </w:rPr>
        <w:t>OFFICE OF THE OHIO CONSUMERS’ COUNSEL</w:t>
      </w:r>
    </w:p>
    <w:p w:rsidR="00170427" w:rsidP="00170427" w14:paraId="565BA670" w14:textId="77777777">
      <w:pPr>
        <w:jc w:val="center"/>
        <w:rPr>
          <w:b/>
          <w:sz w:val="24"/>
        </w:rPr>
      </w:pPr>
    </w:p>
    <w:p w:rsidR="00170427" w:rsidP="00170427" w14:paraId="150D073C" w14:textId="77777777">
      <w:pPr>
        <w:pStyle w:val="BodyText"/>
        <w:pBdr>
          <w:bottom w:val="single" w:sz="12" w:space="1" w:color="auto"/>
        </w:pBdr>
        <w:spacing w:line="29" w:lineRule="exact"/>
        <w:ind w:left="116"/>
        <w:rPr>
          <w:sz w:val="2"/>
        </w:rPr>
      </w:pPr>
    </w:p>
    <w:p w:rsidR="00170427" w:rsidP="00170427" w14:paraId="2FDB3588" w14:textId="77777777">
      <w:pPr>
        <w:pStyle w:val="BodyText"/>
        <w:rPr>
          <w:sz w:val="20"/>
        </w:rPr>
      </w:pPr>
    </w:p>
    <w:p w:rsidR="004C74DE" w14:paraId="463BD9A6" w14:textId="77777777">
      <w:pPr>
        <w:pStyle w:val="BodyText"/>
        <w:rPr>
          <w:b/>
          <w:sz w:val="20"/>
        </w:rPr>
      </w:pPr>
    </w:p>
    <w:p w:rsidR="004C74DE" w14:paraId="6B45B69A" w14:textId="77777777">
      <w:pPr>
        <w:pStyle w:val="BodyText"/>
        <w:rPr>
          <w:b/>
          <w:sz w:val="20"/>
        </w:rPr>
      </w:pPr>
    </w:p>
    <w:p w:rsidR="004C74DE" w14:paraId="6C7B21F6" w14:textId="77777777">
      <w:pPr>
        <w:pStyle w:val="BodyText"/>
        <w:spacing w:before="1"/>
        <w:rPr>
          <w:b/>
          <w:sz w:val="20"/>
        </w:rPr>
      </w:pPr>
    </w:p>
    <w:p w:rsidR="004431C6" w:rsidRPr="00E87BC6" w:rsidP="004431C6" w14:paraId="3DB85E36" w14:textId="77777777">
      <w:pPr>
        <w:ind w:left="2880" w:firstLine="720"/>
        <w:rPr>
          <w:sz w:val="24"/>
          <w:szCs w:val="24"/>
        </w:rPr>
      </w:pPr>
      <w:r w:rsidRPr="00E87BC6">
        <w:rPr>
          <w:sz w:val="24"/>
          <w:szCs w:val="24"/>
        </w:rPr>
        <w:t>Bruce Weston (0016973)</w:t>
      </w:r>
    </w:p>
    <w:p w:rsidR="004431C6" w:rsidRPr="00E87BC6" w:rsidP="004431C6" w14:paraId="65030C37" w14:textId="77777777">
      <w:pPr>
        <w:ind w:left="2880" w:firstLine="720"/>
        <w:rPr>
          <w:sz w:val="24"/>
          <w:szCs w:val="24"/>
        </w:rPr>
      </w:pPr>
      <w:r w:rsidRPr="00E87BC6">
        <w:rPr>
          <w:sz w:val="24"/>
          <w:szCs w:val="24"/>
        </w:rPr>
        <w:t>Ohio Consumers’ Counsel</w:t>
      </w:r>
    </w:p>
    <w:p w:rsidR="004431C6" w:rsidRPr="00E87BC6" w:rsidP="004431C6" w14:paraId="40F88893" w14:textId="77777777">
      <w:pPr>
        <w:pStyle w:val="ListParagraph"/>
        <w:ind w:left="3600"/>
        <w:rPr>
          <w:sz w:val="24"/>
          <w:szCs w:val="24"/>
        </w:rPr>
      </w:pPr>
      <w:r w:rsidRPr="00E87BC6">
        <w:rPr>
          <w:sz w:val="24"/>
          <w:szCs w:val="24"/>
        </w:rPr>
        <w:tab/>
      </w:r>
    </w:p>
    <w:p w:rsidR="004431C6" w:rsidRPr="00E87BC6" w:rsidP="00924128" w14:paraId="199C4D24" w14:textId="661EEEF8">
      <w:pPr>
        <w:pStyle w:val="ListParagraph"/>
        <w:ind w:left="4320"/>
        <w:rPr>
          <w:sz w:val="24"/>
          <w:szCs w:val="24"/>
          <w:u w:val="single"/>
        </w:rPr>
      </w:pPr>
    </w:p>
    <w:p w:rsidR="004431C6" w:rsidRPr="00E87BC6" w:rsidP="00924128" w14:paraId="1C481A79" w14:textId="77777777">
      <w:pPr>
        <w:pStyle w:val="ListParagraph"/>
        <w:adjustRightInd w:val="0"/>
        <w:ind w:left="4320"/>
        <w:rPr>
          <w:sz w:val="24"/>
          <w:szCs w:val="24"/>
        </w:rPr>
      </w:pPr>
      <w:r w:rsidRPr="00E87BC6">
        <w:rPr>
          <w:sz w:val="24"/>
          <w:szCs w:val="24"/>
        </w:rPr>
        <w:t xml:space="preserve">John Finnigan (0018689) </w:t>
      </w:r>
    </w:p>
    <w:p w:rsidR="004431C6" w:rsidRPr="00E87BC6" w:rsidP="00924128" w14:paraId="152C56DF" w14:textId="77777777">
      <w:pPr>
        <w:pStyle w:val="ListParagraph"/>
        <w:adjustRightInd w:val="0"/>
        <w:ind w:left="4320"/>
        <w:rPr>
          <w:sz w:val="24"/>
          <w:szCs w:val="24"/>
        </w:rPr>
      </w:pPr>
      <w:r w:rsidRPr="00E87BC6">
        <w:rPr>
          <w:sz w:val="24"/>
          <w:szCs w:val="24"/>
        </w:rPr>
        <w:t xml:space="preserve">Counsel of Record </w:t>
      </w:r>
    </w:p>
    <w:p w:rsidR="004431C6" w:rsidRPr="00E87BC6" w:rsidP="00924128" w14:paraId="610D645A" w14:textId="77777777">
      <w:pPr>
        <w:pStyle w:val="ListParagraph"/>
        <w:adjustRightInd w:val="0"/>
        <w:ind w:left="4320"/>
        <w:rPr>
          <w:sz w:val="24"/>
          <w:szCs w:val="24"/>
        </w:rPr>
      </w:pPr>
      <w:r w:rsidRPr="00E87BC6">
        <w:rPr>
          <w:sz w:val="24"/>
          <w:szCs w:val="24"/>
        </w:rPr>
        <w:t xml:space="preserve">Amy Botschner O’Brien (0074423) </w:t>
      </w:r>
    </w:p>
    <w:p w:rsidR="004431C6" w:rsidRPr="00E87BC6" w:rsidP="00924128" w14:paraId="59CFCB80" w14:textId="77777777">
      <w:pPr>
        <w:pStyle w:val="ListParagraph"/>
        <w:adjustRightInd w:val="0"/>
        <w:ind w:left="4320"/>
        <w:rPr>
          <w:sz w:val="24"/>
          <w:szCs w:val="24"/>
        </w:rPr>
      </w:pPr>
      <w:r w:rsidRPr="00E87BC6">
        <w:rPr>
          <w:sz w:val="24"/>
          <w:szCs w:val="24"/>
        </w:rPr>
        <w:t xml:space="preserve">Ambrosia E. Wilson (0096598) </w:t>
      </w:r>
    </w:p>
    <w:p w:rsidR="004431C6" w:rsidRPr="00E87BC6" w:rsidP="00924128" w14:paraId="13BEE28B" w14:textId="77777777">
      <w:pPr>
        <w:pStyle w:val="ListParagraph"/>
        <w:adjustRightInd w:val="0"/>
        <w:ind w:left="4320"/>
        <w:rPr>
          <w:sz w:val="24"/>
          <w:szCs w:val="24"/>
        </w:rPr>
      </w:pPr>
      <w:r w:rsidRPr="00E87BC6">
        <w:rPr>
          <w:sz w:val="24"/>
          <w:szCs w:val="24"/>
        </w:rPr>
        <w:t xml:space="preserve">Assistant Consumers' Counsel </w:t>
      </w:r>
    </w:p>
    <w:p w:rsidR="004431C6" w:rsidRPr="00E87BC6" w:rsidP="00924128" w14:paraId="1D059756" w14:textId="77777777">
      <w:pPr>
        <w:pStyle w:val="ListParagraph"/>
        <w:adjustRightInd w:val="0"/>
        <w:ind w:left="4320"/>
        <w:rPr>
          <w:b/>
          <w:bCs/>
          <w:sz w:val="24"/>
          <w:szCs w:val="24"/>
        </w:rPr>
      </w:pPr>
    </w:p>
    <w:p w:rsidR="004431C6" w:rsidRPr="00E87BC6" w:rsidP="00924128" w14:paraId="7A8B717D" w14:textId="77777777">
      <w:pPr>
        <w:pStyle w:val="ListParagraph"/>
        <w:adjustRightInd w:val="0"/>
        <w:ind w:left="4320"/>
        <w:rPr>
          <w:b/>
          <w:bCs/>
          <w:sz w:val="24"/>
          <w:szCs w:val="24"/>
        </w:rPr>
      </w:pPr>
      <w:r w:rsidRPr="00E87BC6">
        <w:rPr>
          <w:b/>
          <w:bCs/>
          <w:sz w:val="24"/>
          <w:szCs w:val="24"/>
        </w:rPr>
        <w:t xml:space="preserve">Office of the Ohio Consumers' Counsel </w:t>
      </w:r>
    </w:p>
    <w:p w:rsidR="004431C6" w:rsidRPr="00E87BC6" w:rsidP="00924128" w14:paraId="528DD1E7" w14:textId="77777777">
      <w:pPr>
        <w:pStyle w:val="ListParagraph"/>
        <w:adjustRightInd w:val="0"/>
        <w:ind w:left="4320"/>
        <w:rPr>
          <w:sz w:val="24"/>
          <w:szCs w:val="24"/>
        </w:rPr>
      </w:pPr>
      <w:r w:rsidRPr="00E87BC6">
        <w:rPr>
          <w:sz w:val="24"/>
          <w:szCs w:val="24"/>
        </w:rPr>
        <w:t xml:space="preserve">65 East State Street, Suite 700 </w:t>
      </w:r>
    </w:p>
    <w:p w:rsidR="004431C6" w:rsidRPr="00E87BC6" w:rsidP="00924128" w14:paraId="25BA70BF" w14:textId="77777777">
      <w:pPr>
        <w:pStyle w:val="ListParagraph"/>
        <w:adjustRightInd w:val="0"/>
        <w:ind w:left="4320"/>
        <w:rPr>
          <w:sz w:val="24"/>
          <w:szCs w:val="24"/>
        </w:rPr>
      </w:pPr>
      <w:r w:rsidRPr="00E87BC6">
        <w:rPr>
          <w:sz w:val="24"/>
          <w:szCs w:val="24"/>
        </w:rPr>
        <w:t xml:space="preserve">Columbus, Ohio 43215 </w:t>
      </w:r>
    </w:p>
    <w:p w:rsidR="004431C6" w:rsidRPr="00E87BC6" w:rsidP="00924128" w14:paraId="7C842374" w14:textId="77777777">
      <w:pPr>
        <w:pStyle w:val="ListParagraph"/>
        <w:adjustRightInd w:val="0"/>
        <w:ind w:left="4320"/>
        <w:rPr>
          <w:sz w:val="24"/>
          <w:szCs w:val="24"/>
        </w:rPr>
      </w:pPr>
      <w:r w:rsidRPr="00E87BC6">
        <w:rPr>
          <w:sz w:val="24"/>
          <w:szCs w:val="24"/>
        </w:rPr>
        <w:t xml:space="preserve">Telephone [Finnigan]: (614) 466-9585 </w:t>
      </w:r>
    </w:p>
    <w:p w:rsidR="004431C6" w:rsidP="004431C6" w14:paraId="01906590" w14:textId="77777777">
      <w:pPr>
        <w:pStyle w:val="ListParagraph"/>
        <w:adjustRightInd w:val="0"/>
        <w:ind w:left="4320"/>
        <w:rPr>
          <w:sz w:val="24"/>
          <w:szCs w:val="24"/>
        </w:rPr>
      </w:pPr>
      <w:r w:rsidRPr="00E87BC6">
        <w:rPr>
          <w:sz w:val="24"/>
          <w:szCs w:val="24"/>
        </w:rPr>
        <w:t xml:space="preserve">Telephone [Botschner O’Brien]: (614) 466-9575 </w:t>
      </w:r>
    </w:p>
    <w:p w:rsidR="004431C6" w:rsidRPr="00E87BC6" w:rsidP="00924128" w14:paraId="745111B3" w14:textId="4E828E0D">
      <w:pPr>
        <w:pStyle w:val="ListParagraph"/>
        <w:adjustRightInd w:val="0"/>
        <w:ind w:left="3600" w:firstLine="0"/>
        <w:rPr>
          <w:sz w:val="24"/>
          <w:szCs w:val="24"/>
        </w:rPr>
      </w:pPr>
      <w:r w:rsidRPr="00E87BC6">
        <w:rPr>
          <w:sz w:val="24"/>
          <w:szCs w:val="24"/>
        </w:rPr>
        <w:t xml:space="preserve">Telephone [Wilson]: (614) 466-1292 </w:t>
      </w:r>
      <w:hyperlink r:id="rId6" w:history="1">
        <w:r w:rsidRPr="00E87BC6">
          <w:rPr>
            <w:rStyle w:val="Hyperlink"/>
            <w:rFonts w:eastAsia="Courier New"/>
            <w:sz w:val="24"/>
            <w:szCs w:val="24"/>
          </w:rPr>
          <w:t>john.finnigan@occ.ohio.gov</w:t>
        </w:r>
      </w:hyperlink>
      <w:r w:rsidRPr="00E87BC6">
        <w:rPr>
          <w:sz w:val="24"/>
          <w:szCs w:val="24"/>
        </w:rPr>
        <w:t xml:space="preserve"> </w:t>
      </w:r>
      <w:hyperlink r:id="rId7" w:history="1">
        <w:r w:rsidRPr="00E87BC6">
          <w:rPr>
            <w:rStyle w:val="Hyperlink"/>
            <w:rFonts w:eastAsia="Courier New"/>
            <w:sz w:val="24"/>
            <w:szCs w:val="24"/>
          </w:rPr>
          <w:t>amy.botschner.obrien@occ.ohio.gov</w:t>
        </w:r>
      </w:hyperlink>
      <w:r w:rsidRPr="00E87BC6">
        <w:rPr>
          <w:sz w:val="24"/>
          <w:szCs w:val="24"/>
        </w:rPr>
        <w:t xml:space="preserve"> </w:t>
      </w:r>
      <w:hyperlink r:id="rId8" w:history="1">
        <w:r w:rsidRPr="00E87BC6">
          <w:rPr>
            <w:rStyle w:val="Hyperlink"/>
            <w:rFonts w:eastAsia="Courier New"/>
            <w:sz w:val="24"/>
            <w:szCs w:val="24"/>
          </w:rPr>
          <w:t>ambrosia.wilson@occ.ohio.gov</w:t>
        </w:r>
      </w:hyperlink>
      <w:r w:rsidRPr="00E87BC6">
        <w:rPr>
          <w:sz w:val="24"/>
          <w:szCs w:val="24"/>
        </w:rPr>
        <w:t xml:space="preserve"> </w:t>
      </w:r>
    </w:p>
    <w:p w:rsidR="004C74DE" w:rsidP="00924128" w14:paraId="2DA0CA47" w14:textId="6F5C8D84">
      <w:pPr>
        <w:pStyle w:val="BodyText"/>
        <w:ind w:left="159"/>
      </w:pPr>
      <w:r>
        <w:t xml:space="preserve">October </w:t>
      </w:r>
      <w:r w:rsidR="004431C6">
        <w:t>7,</w:t>
      </w:r>
      <w:r w:rsidR="004431C6">
        <w:rPr>
          <w:spacing w:val="-1"/>
        </w:rPr>
        <w:t xml:space="preserve"> </w:t>
      </w:r>
      <w:r>
        <w:t>2022</w:t>
      </w:r>
      <w:r w:rsidR="004431C6">
        <w:tab/>
      </w:r>
      <w:r w:rsidR="004431C6">
        <w:tab/>
      </w:r>
      <w:r w:rsidR="004431C6">
        <w:tab/>
      </w:r>
      <w:r>
        <w:t>(willing to accept service by</w:t>
      </w:r>
      <w:r>
        <w:rPr>
          <w:spacing w:val="-14"/>
        </w:rPr>
        <w:t xml:space="preserve"> </w:t>
      </w:r>
      <w:r>
        <w:t>e-mail)</w:t>
      </w:r>
    </w:p>
    <w:p w:rsidR="004C74DE" w14:paraId="0C7CCDF4" w14:textId="77777777">
      <w:pPr>
        <w:sectPr w:rsidSect="00924128">
          <w:type w:val="continuous"/>
          <w:pgSz w:w="12240" w:h="15840"/>
          <w:pgMar w:top="1440" w:right="1800" w:bottom="1440" w:left="1800" w:header="720" w:footer="720" w:gutter="0"/>
          <w:cols w:space="720"/>
          <w:docGrid w:linePitch="299"/>
        </w:sectPr>
      </w:pPr>
    </w:p>
    <w:p w:rsidR="00170427" w:rsidRPr="00862EB8" w:rsidP="00862EB8" w14:paraId="760E9C01" w14:textId="77777777">
      <w:pPr>
        <w:jc w:val="center"/>
        <w:rPr>
          <w:b/>
          <w:bCs/>
          <w:w w:val="90"/>
          <w:sz w:val="24"/>
          <w:szCs w:val="24"/>
          <w:u w:val="single"/>
        </w:rPr>
      </w:pPr>
      <w:bookmarkStart w:id="1" w:name="_Toc115345122"/>
      <w:r w:rsidRPr="00862EB8">
        <w:rPr>
          <w:b/>
          <w:bCs/>
          <w:w w:val="90"/>
          <w:sz w:val="24"/>
          <w:szCs w:val="24"/>
          <w:u w:val="single"/>
        </w:rPr>
        <w:t>TABLE OF CONTENTS</w:t>
      </w:r>
      <w:bookmarkEnd w:id="1"/>
    </w:p>
    <w:p w:rsidR="00170427" w:rsidP="007B16EE" w14:paraId="3FC1D76E" w14:textId="77777777">
      <w:pPr>
        <w:pStyle w:val="Heading1"/>
        <w:spacing w:before="39" w:after="0"/>
        <w:ind w:right="1440" w:firstLine="720"/>
        <w:jc w:val="center"/>
        <w:rPr>
          <w:color w:val="1C1621"/>
          <w:w w:val="90"/>
          <w:sz w:val="26"/>
          <w:u w:val="thick" w:color="000000"/>
        </w:rPr>
      </w:pPr>
    </w:p>
    <w:p w:rsidR="00444CA2" w:rsidP="00862EB8" w14:paraId="2ED83236" w14:textId="39E37AD8">
      <w:pPr>
        <w:jc w:val="right"/>
        <w:rPr>
          <w:b/>
          <w:bCs/>
          <w:w w:val="90"/>
          <w:sz w:val="24"/>
          <w:szCs w:val="24"/>
        </w:rPr>
      </w:pPr>
      <w:bookmarkStart w:id="2" w:name="_Toc115345123"/>
      <w:r w:rsidRPr="00862EB8">
        <w:rPr>
          <w:b/>
          <w:bCs/>
          <w:w w:val="90"/>
          <w:sz w:val="24"/>
          <w:szCs w:val="24"/>
        </w:rPr>
        <w:t>PAGE</w:t>
      </w:r>
      <w:bookmarkEnd w:id="2"/>
    </w:p>
    <w:p w:rsidR="00862EB8" w:rsidRPr="00862EB8" w:rsidP="00862EB8" w14:paraId="66EC9253" w14:textId="77777777">
      <w:pPr>
        <w:jc w:val="right"/>
        <w:rPr>
          <w:b/>
          <w:bCs/>
          <w:w w:val="90"/>
          <w:sz w:val="24"/>
          <w:szCs w:val="24"/>
        </w:rPr>
      </w:pPr>
    </w:p>
    <w:p w:rsidR="00F73B17" w14:paraId="419AE820" w14:textId="08668DBD">
      <w:pPr>
        <w:pStyle w:val="TOC1"/>
        <w:rPr>
          <w:rFonts w:asciiTheme="minorHAnsi" w:eastAsiaTheme="minorEastAsia" w:hAnsiTheme="minorHAnsi" w:cstheme="minorBidi"/>
          <w:noProof/>
          <w:sz w:val="22"/>
        </w:rPr>
      </w:pPr>
      <w:r>
        <w:rPr>
          <w:w w:val="90"/>
        </w:rPr>
        <w:fldChar w:fldCharType="begin"/>
      </w:r>
      <w:r>
        <w:rPr>
          <w:w w:val="90"/>
        </w:rPr>
        <w:instrText xml:space="preserve"> TOC \o "1-3" \h \z \u </w:instrText>
      </w:r>
      <w:r>
        <w:rPr>
          <w:w w:val="90"/>
        </w:rPr>
        <w:fldChar w:fldCharType="separate"/>
      </w:r>
      <w:hyperlink w:anchor="_Toc116053217" w:history="1">
        <w:r w:rsidRPr="0077113A">
          <w:rPr>
            <w:rStyle w:val="Hyperlink"/>
            <w:noProof/>
          </w:rPr>
          <w:t>I.</w:t>
        </w:r>
        <w:r>
          <w:rPr>
            <w:rFonts w:asciiTheme="minorHAnsi" w:eastAsiaTheme="minorEastAsia" w:hAnsiTheme="minorHAnsi" w:cstheme="minorBidi"/>
            <w:noProof/>
            <w:sz w:val="22"/>
          </w:rPr>
          <w:tab/>
        </w:r>
        <w:r w:rsidRPr="0077113A">
          <w:rPr>
            <w:rStyle w:val="Hyperlink"/>
            <w:noProof/>
          </w:rPr>
          <w:t>INTRODUCTION</w:t>
        </w:r>
        <w:r>
          <w:rPr>
            <w:noProof/>
            <w:webHidden/>
          </w:rPr>
          <w:tab/>
        </w:r>
        <w:r>
          <w:rPr>
            <w:noProof/>
            <w:webHidden/>
          </w:rPr>
          <w:fldChar w:fldCharType="begin"/>
        </w:r>
        <w:r>
          <w:rPr>
            <w:noProof/>
            <w:webHidden/>
          </w:rPr>
          <w:instrText xml:space="preserve"> PAGEREF _Toc116053217 \h </w:instrText>
        </w:r>
        <w:r>
          <w:rPr>
            <w:noProof/>
            <w:webHidden/>
          </w:rPr>
          <w:fldChar w:fldCharType="separate"/>
        </w:r>
        <w:r>
          <w:rPr>
            <w:noProof/>
            <w:webHidden/>
          </w:rPr>
          <w:t>1</w:t>
        </w:r>
        <w:r>
          <w:rPr>
            <w:noProof/>
            <w:webHidden/>
          </w:rPr>
          <w:fldChar w:fldCharType="end"/>
        </w:r>
      </w:hyperlink>
    </w:p>
    <w:p w:rsidR="00F73B17" w14:paraId="6EC7E598" w14:textId="34444941">
      <w:pPr>
        <w:pStyle w:val="TOC1"/>
        <w:rPr>
          <w:rFonts w:asciiTheme="minorHAnsi" w:eastAsiaTheme="minorEastAsia" w:hAnsiTheme="minorHAnsi" w:cstheme="minorBidi"/>
          <w:noProof/>
          <w:sz w:val="22"/>
        </w:rPr>
      </w:pPr>
      <w:hyperlink w:anchor="_Toc116053218" w:history="1">
        <w:r w:rsidRPr="0077113A" w:rsidR="00EC31AB">
          <w:rPr>
            <w:rStyle w:val="Hyperlink"/>
            <w:noProof/>
          </w:rPr>
          <w:t>II.</w:t>
        </w:r>
        <w:r w:rsidR="00EC31AB">
          <w:rPr>
            <w:rFonts w:asciiTheme="minorHAnsi" w:eastAsiaTheme="minorEastAsia" w:hAnsiTheme="minorHAnsi" w:cstheme="minorBidi"/>
            <w:noProof/>
            <w:sz w:val="22"/>
          </w:rPr>
          <w:tab/>
        </w:r>
        <w:r w:rsidRPr="0077113A" w:rsidR="00EC31AB">
          <w:rPr>
            <w:rStyle w:val="Hyperlink"/>
            <w:noProof/>
          </w:rPr>
          <w:t>BACKGROUND</w:t>
        </w:r>
        <w:r w:rsidR="00EC31AB">
          <w:rPr>
            <w:noProof/>
            <w:webHidden/>
          </w:rPr>
          <w:tab/>
        </w:r>
        <w:r w:rsidR="00EC31AB">
          <w:rPr>
            <w:noProof/>
            <w:webHidden/>
          </w:rPr>
          <w:fldChar w:fldCharType="begin"/>
        </w:r>
        <w:r w:rsidR="00EC31AB">
          <w:rPr>
            <w:noProof/>
            <w:webHidden/>
          </w:rPr>
          <w:instrText xml:space="preserve"> PAGEREF _Toc116053218 \h </w:instrText>
        </w:r>
        <w:r w:rsidR="00EC31AB">
          <w:rPr>
            <w:noProof/>
            <w:webHidden/>
          </w:rPr>
          <w:fldChar w:fldCharType="separate"/>
        </w:r>
        <w:r w:rsidR="00EC31AB">
          <w:rPr>
            <w:noProof/>
            <w:webHidden/>
          </w:rPr>
          <w:t>3</w:t>
        </w:r>
        <w:r w:rsidR="00EC31AB">
          <w:rPr>
            <w:noProof/>
            <w:webHidden/>
          </w:rPr>
          <w:fldChar w:fldCharType="end"/>
        </w:r>
      </w:hyperlink>
    </w:p>
    <w:p w:rsidR="00F73B17" w14:paraId="05BFED7C" w14:textId="5660F39A">
      <w:pPr>
        <w:pStyle w:val="TOC2"/>
        <w:tabs>
          <w:tab w:val="left" w:pos="1440"/>
        </w:tabs>
        <w:rPr>
          <w:rFonts w:asciiTheme="minorHAnsi" w:eastAsiaTheme="minorEastAsia" w:hAnsiTheme="minorHAnsi" w:cstheme="minorBidi"/>
          <w:noProof/>
          <w:sz w:val="22"/>
        </w:rPr>
      </w:pPr>
      <w:hyperlink w:anchor="_Toc116053219" w:history="1">
        <w:r w:rsidRPr="0077113A" w:rsidR="00EC31AB">
          <w:rPr>
            <w:rStyle w:val="Hyperlink"/>
            <w:noProof/>
          </w:rPr>
          <w:t>A.</w:t>
        </w:r>
        <w:r w:rsidR="00EC31AB">
          <w:rPr>
            <w:rFonts w:asciiTheme="minorHAnsi" w:eastAsiaTheme="minorEastAsia" w:hAnsiTheme="minorHAnsi" w:cstheme="minorBidi"/>
            <w:noProof/>
            <w:sz w:val="22"/>
          </w:rPr>
          <w:tab/>
        </w:r>
        <w:r w:rsidRPr="0077113A" w:rsidR="00EC31AB">
          <w:rPr>
            <w:rStyle w:val="Hyperlink"/>
            <w:noProof/>
          </w:rPr>
          <w:t>Summary of Dominion’s Proposal.</w:t>
        </w:r>
        <w:r w:rsidR="00EC31AB">
          <w:rPr>
            <w:noProof/>
            <w:webHidden/>
          </w:rPr>
          <w:tab/>
        </w:r>
        <w:r w:rsidR="00EC31AB">
          <w:rPr>
            <w:noProof/>
            <w:webHidden/>
          </w:rPr>
          <w:fldChar w:fldCharType="begin"/>
        </w:r>
        <w:r w:rsidR="00EC31AB">
          <w:rPr>
            <w:noProof/>
            <w:webHidden/>
          </w:rPr>
          <w:instrText xml:space="preserve"> PAGEREF _Toc116053219 \h </w:instrText>
        </w:r>
        <w:r w:rsidR="00EC31AB">
          <w:rPr>
            <w:noProof/>
            <w:webHidden/>
          </w:rPr>
          <w:fldChar w:fldCharType="separate"/>
        </w:r>
        <w:r w:rsidR="00EC31AB">
          <w:rPr>
            <w:noProof/>
            <w:webHidden/>
          </w:rPr>
          <w:t>3</w:t>
        </w:r>
        <w:r w:rsidR="00EC31AB">
          <w:rPr>
            <w:noProof/>
            <w:webHidden/>
          </w:rPr>
          <w:fldChar w:fldCharType="end"/>
        </w:r>
      </w:hyperlink>
    </w:p>
    <w:p w:rsidR="00F73B17" w14:paraId="2F066BDD" w14:textId="5B481179">
      <w:pPr>
        <w:pStyle w:val="TOC2"/>
        <w:tabs>
          <w:tab w:val="left" w:pos="1440"/>
        </w:tabs>
        <w:rPr>
          <w:rFonts w:asciiTheme="minorHAnsi" w:eastAsiaTheme="minorEastAsia" w:hAnsiTheme="minorHAnsi" w:cstheme="minorBidi"/>
          <w:noProof/>
          <w:sz w:val="22"/>
        </w:rPr>
      </w:pPr>
      <w:hyperlink w:anchor="_Toc116053220" w:history="1">
        <w:r w:rsidRPr="0077113A" w:rsidR="00EC31AB">
          <w:rPr>
            <w:rStyle w:val="Hyperlink"/>
            <w:noProof/>
          </w:rPr>
          <w:t>B.</w:t>
        </w:r>
        <w:r w:rsidR="00EC31AB">
          <w:rPr>
            <w:rFonts w:asciiTheme="minorHAnsi" w:eastAsiaTheme="minorEastAsia" w:hAnsiTheme="minorHAnsi" w:cstheme="minorBidi"/>
            <w:noProof/>
            <w:sz w:val="22"/>
          </w:rPr>
          <w:tab/>
        </w:r>
        <w:r w:rsidRPr="0077113A" w:rsidR="00EC31AB">
          <w:rPr>
            <w:rStyle w:val="Hyperlink"/>
            <w:noProof/>
          </w:rPr>
          <w:t>Summary of Staff Report</w:t>
        </w:r>
        <w:r w:rsidR="00EC31AB">
          <w:rPr>
            <w:noProof/>
            <w:webHidden/>
          </w:rPr>
          <w:tab/>
        </w:r>
        <w:r w:rsidR="00EC31AB">
          <w:rPr>
            <w:noProof/>
            <w:webHidden/>
          </w:rPr>
          <w:fldChar w:fldCharType="begin"/>
        </w:r>
        <w:r w:rsidR="00EC31AB">
          <w:rPr>
            <w:noProof/>
            <w:webHidden/>
          </w:rPr>
          <w:instrText xml:space="preserve"> PAGEREF _Toc116053220 \h </w:instrText>
        </w:r>
        <w:r w:rsidR="00EC31AB">
          <w:rPr>
            <w:noProof/>
            <w:webHidden/>
          </w:rPr>
          <w:fldChar w:fldCharType="separate"/>
        </w:r>
        <w:r w:rsidR="00EC31AB">
          <w:rPr>
            <w:noProof/>
            <w:webHidden/>
          </w:rPr>
          <w:t>4</w:t>
        </w:r>
        <w:r w:rsidR="00EC31AB">
          <w:rPr>
            <w:noProof/>
            <w:webHidden/>
          </w:rPr>
          <w:fldChar w:fldCharType="end"/>
        </w:r>
      </w:hyperlink>
    </w:p>
    <w:p w:rsidR="00F73B17" w14:paraId="2464D182" w14:textId="5DDAE136">
      <w:pPr>
        <w:pStyle w:val="TOC2"/>
        <w:tabs>
          <w:tab w:val="left" w:pos="1440"/>
        </w:tabs>
        <w:rPr>
          <w:rFonts w:asciiTheme="minorHAnsi" w:eastAsiaTheme="minorEastAsia" w:hAnsiTheme="minorHAnsi" w:cstheme="minorBidi"/>
          <w:noProof/>
          <w:sz w:val="22"/>
        </w:rPr>
      </w:pPr>
      <w:hyperlink w:anchor="_Toc116053221" w:history="1">
        <w:r w:rsidRPr="0077113A" w:rsidR="00EC31AB">
          <w:rPr>
            <w:rStyle w:val="Hyperlink"/>
            <w:noProof/>
          </w:rPr>
          <w:t>C.</w:t>
        </w:r>
        <w:r w:rsidR="00EC31AB">
          <w:rPr>
            <w:rFonts w:asciiTheme="minorHAnsi" w:eastAsiaTheme="minorEastAsia" w:hAnsiTheme="minorHAnsi" w:cstheme="minorBidi"/>
            <w:noProof/>
            <w:sz w:val="22"/>
          </w:rPr>
          <w:tab/>
        </w:r>
        <w:r w:rsidRPr="0077113A" w:rsidR="00EC31AB">
          <w:rPr>
            <w:rStyle w:val="Hyperlink"/>
            <w:noProof/>
          </w:rPr>
          <w:t>Summary of OCC Pre-Filed Witness Testimony</w:t>
        </w:r>
        <w:r w:rsidR="00EC31AB">
          <w:rPr>
            <w:noProof/>
            <w:webHidden/>
          </w:rPr>
          <w:tab/>
        </w:r>
        <w:r w:rsidR="00EC31AB">
          <w:rPr>
            <w:noProof/>
            <w:webHidden/>
          </w:rPr>
          <w:fldChar w:fldCharType="begin"/>
        </w:r>
        <w:r w:rsidR="00EC31AB">
          <w:rPr>
            <w:noProof/>
            <w:webHidden/>
          </w:rPr>
          <w:instrText xml:space="preserve"> PAGEREF _Toc116053221 \h </w:instrText>
        </w:r>
        <w:r w:rsidR="00EC31AB">
          <w:rPr>
            <w:noProof/>
            <w:webHidden/>
          </w:rPr>
          <w:fldChar w:fldCharType="separate"/>
        </w:r>
        <w:r w:rsidR="00EC31AB">
          <w:rPr>
            <w:noProof/>
            <w:webHidden/>
          </w:rPr>
          <w:t>4</w:t>
        </w:r>
        <w:r w:rsidR="00EC31AB">
          <w:rPr>
            <w:noProof/>
            <w:webHidden/>
          </w:rPr>
          <w:fldChar w:fldCharType="end"/>
        </w:r>
      </w:hyperlink>
    </w:p>
    <w:p w:rsidR="00F73B17" w14:paraId="4AC621FF" w14:textId="62EBDBC0">
      <w:pPr>
        <w:pStyle w:val="TOC2"/>
        <w:tabs>
          <w:tab w:val="left" w:pos="1440"/>
        </w:tabs>
        <w:rPr>
          <w:rFonts w:asciiTheme="minorHAnsi" w:eastAsiaTheme="minorEastAsia" w:hAnsiTheme="minorHAnsi" w:cstheme="minorBidi"/>
          <w:noProof/>
          <w:sz w:val="22"/>
        </w:rPr>
      </w:pPr>
      <w:hyperlink w:anchor="_Toc116053222" w:history="1">
        <w:r w:rsidRPr="0077113A" w:rsidR="00EC31AB">
          <w:rPr>
            <w:rStyle w:val="Hyperlink"/>
            <w:noProof/>
          </w:rPr>
          <w:t>D.</w:t>
        </w:r>
        <w:r w:rsidR="00EC31AB">
          <w:rPr>
            <w:rFonts w:asciiTheme="minorHAnsi" w:eastAsiaTheme="minorEastAsia" w:hAnsiTheme="minorHAnsi" w:cstheme="minorBidi"/>
            <w:noProof/>
            <w:sz w:val="22"/>
          </w:rPr>
          <w:tab/>
        </w:r>
        <w:r w:rsidRPr="0077113A" w:rsidR="00EC31AB">
          <w:rPr>
            <w:rStyle w:val="Hyperlink"/>
            <w:noProof/>
          </w:rPr>
          <w:t>Summary of Dominion Hearing Testimony</w:t>
        </w:r>
        <w:r w:rsidR="00EC31AB">
          <w:rPr>
            <w:noProof/>
            <w:webHidden/>
          </w:rPr>
          <w:tab/>
        </w:r>
        <w:r w:rsidR="00EC31AB">
          <w:rPr>
            <w:noProof/>
            <w:webHidden/>
          </w:rPr>
          <w:fldChar w:fldCharType="begin"/>
        </w:r>
        <w:r w:rsidR="00EC31AB">
          <w:rPr>
            <w:noProof/>
            <w:webHidden/>
          </w:rPr>
          <w:instrText xml:space="preserve"> PAGEREF _Toc116053222 \h </w:instrText>
        </w:r>
        <w:r w:rsidR="00EC31AB">
          <w:rPr>
            <w:noProof/>
            <w:webHidden/>
          </w:rPr>
          <w:fldChar w:fldCharType="separate"/>
        </w:r>
        <w:r w:rsidR="00EC31AB">
          <w:rPr>
            <w:noProof/>
            <w:webHidden/>
          </w:rPr>
          <w:t>5</w:t>
        </w:r>
        <w:r w:rsidR="00EC31AB">
          <w:rPr>
            <w:noProof/>
            <w:webHidden/>
          </w:rPr>
          <w:fldChar w:fldCharType="end"/>
        </w:r>
      </w:hyperlink>
    </w:p>
    <w:p w:rsidR="00F73B17" w14:paraId="2E130F33" w14:textId="2F1B32E3">
      <w:pPr>
        <w:pStyle w:val="TOC1"/>
        <w:rPr>
          <w:rFonts w:asciiTheme="minorHAnsi" w:eastAsiaTheme="minorEastAsia" w:hAnsiTheme="minorHAnsi" w:cstheme="minorBidi"/>
          <w:noProof/>
          <w:sz w:val="22"/>
        </w:rPr>
      </w:pPr>
      <w:hyperlink w:anchor="_Toc116053223" w:history="1">
        <w:r w:rsidRPr="0077113A" w:rsidR="00EC31AB">
          <w:rPr>
            <w:rStyle w:val="Hyperlink"/>
            <w:noProof/>
          </w:rPr>
          <w:t>III.</w:t>
        </w:r>
        <w:r w:rsidR="00EC31AB">
          <w:rPr>
            <w:rFonts w:asciiTheme="minorHAnsi" w:eastAsiaTheme="minorEastAsia" w:hAnsiTheme="minorHAnsi" w:cstheme="minorBidi"/>
            <w:noProof/>
            <w:sz w:val="22"/>
          </w:rPr>
          <w:tab/>
        </w:r>
        <w:r w:rsidRPr="0077113A" w:rsidR="00EC31AB">
          <w:rPr>
            <w:rStyle w:val="Hyperlink"/>
            <w:noProof/>
          </w:rPr>
          <w:t>RECOMMENDATIONS</w:t>
        </w:r>
        <w:r w:rsidR="00EC31AB">
          <w:rPr>
            <w:noProof/>
            <w:webHidden/>
          </w:rPr>
          <w:tab/>
        </w:r>
        <w:r w:rsidR="00EC31AB">
          <w:rPr>
            <w:noProof/>
            <w:webHidden/>
          </w:rPr>
          <w:fldChar w:fldCharType="begin"/>
        </w:r>
        <w:r w:rsidR="00EC31AB">
          <w:rPr>
            <w:noProof/>
            <w:webHidden/>
          </w:rPr>
          <w:instrText xml:space="preserve"> PAGEREF _Toc116053223 \h </w:instrText>
        </w:r>
        <w:r w:rsidR="00EC31AB">
          <w:rPr>
            <w:noProof/>
            <w:webHidden/>
          </w:rPr>
          <w:fldChar w:fldCharType="separate"/>
        </w:r>
        <w:r w:rsidR="00EC31AB">
          <w:rPr>
            <w:noProof/>
            <w:webHidden/>
          </w:rPr>
          <w:t>7</w:t>
        </w:r>
        <w:r w:rsidR="00EC31AB">
          <w:rPr>
            <w:noProof/>
            <w:webHidden/>
          </w:rPr>
          <w:fldChar w:fldCharType="end"/>
        </w:r>
      </w:hyperlink>
    </w:p>
    <w:p w:rsidR="00F73B17" w14:paraId="2C3AF005" w14:textId="70673DD0">
      <w:pPr>
        <w:pStyle w:val="TOC2"/>
        <w:tabs>
          <w:tab w:val="left" w:pos="1440"/>
        </w:tabs>
        <w:rPr>
          <w:rFonts w:asciiTheme="minorHAnsi" w:eastAsiaTheme="minorEastAsia" w:hAnsiTheme="minorHAnsi" w:cstheme="minorBidi"/>
          <w:noProof/>
          <w:sz w:val="22"/>
        </w:rPr>
      </w:pPr>
      <w:hyperlink w:anchor="_Toc116053224" w:history="1">
        <w:r w:rsidRPr="0077113A" w:rsidR="00EC31AB">
          <w:rPr>
            <w:rStyle w:val="Hyperlink"/>
            <w:noProof/>
          </w:rPr>
          <w:t>A.</w:t>
        </w:r>
        <w:r w:rsidR="00EC31AB">
          <w:rPr>
            <w:rFonts w:asciiTheme="minorHAnsi" w:eastAsiaTheme="minorEastAsia" w:hAnsiTheme="minorHAnsi" w:cstheme="minorBidi"/>
            <w:noProof/>
            <w:sz w:val="22"/>
          </w:rPr>
          <w:tab/>
        </w:r>
        <w:r w:rsidRPr="0077113A" w:rsidR="00EC31AB">
          <w:rPr>
            <w:rStyle w:val="Hyperlink"/>
            <w:noProof/>
          </w:rPr>
          <w:t>The PUCO should require Dominion to provide a more transparent accounting of leveraged funds for Dominion’s low-income program.</w:t>
        </w:r>
        <w:r w:rsidR="00EC31AB">
          <w:rPr>
            <w:noProof/>
            <w:webHidden/>
          </w:rPr>
          <w:tab/>
        </w:r>
        <w:r w:rsidR="00EC31AB">
          <w:rPr>
            <w:noProof/>
            <w:webHidden/>
          </w:rPr>
          <w:fldChar w:fldCharType="begin"/>
        </w:r>
        <w:r w:rsidR="00EC31AB">
          <w:rPr>
            <w:noProof/>
            <w:webHidden/>
          </w:rPr>
          <w:instrText xml:space="preserve"> PAGEREF _Toc116053224 \h </w:instrText>
        </w:r>
        <w:r w:rsidR="00EC31AB">
          <w:rPr>
            <w:noProof/>
            <w:webHidden/>
          </w:rPr>
          <w:fldChar w:fldCharType="separate"/>
        </w:r>
        <w:r w:rsidR="00EC31AB">
          <w:rPr>
            <w:noProof/>
            <w:webHidden/>
          </w:rPr>
          <w:t>7</w:t>
        </w:r>
        <w:r w:rsidR="00EC31AB">
          <w:rPr>
            <w:noProof/>
            <w:webHidden/>
          </w:rPr>
          <w:fldChar w:fldCharType="end"/>
        </w:r>
      </w:hyperlink>
    </w:p>
    <w:p w:rsidR="00F73B17" w14:paraId="6C16B725" w14:textId="7424F409">
      <w:pPr>
        <w:pStyle w:val="TOC2"/>
        <w:tabs>
          <w:tab w:val="left" w:pos="1440"/>
        </w:tabs>
        <w:rPr>
          <w:rFonts w:asciiTheme="minorHAnsi" w:eastAsiaTheme="minorEastAsia" w:hAnsiTheme="minorHAnsi" w:cstheme="minorBidi"/>
          <w:noProof/>
          <w:sz w:val="22"/>
        </w:rPr>
      </w:pPr>
      <w:hyperlink w:anchor="_Toc116053225" w:history="1">
        <w:r w:rsidRPr="0077113A" w:rsidR="00EC31AB">
          <w:rPr>
            <w:rStyle w:val="Hyperlink"/>
            <w:noProof/>
          </w:rPr>
          <w:t>B.</w:t>
        </w:r>
        <w:r w:rsidR="00EC31AB">
          <w:rPr>
            <w:rFonts w:asciiTheme="minorHAnsi" w:eastAsiaTheme="minorEastAsia" w:hAnsiTheme="minorHAnsi" w:cstheme="minorBidi"/>
            <w:noProof/>
            <w:sz w:val="22"/>
          </w:rPr>
          <w:tab/>
        </w:r>
        <w:r w:rsidRPr="0077113A" w:rsidR="00EC31AB">
          <w:rPr>
            <w:rStyle w:val="Hyperlink"/>
            <w:noProof/>
          </w:rPr>
          <w:t>The PUCO should not approve Dominion’s application for continuation and expansion of DSM/EE programs for non-low-income consumers. The PUCO should require Dominion, upon the completion of the existing non-low-income DSM EE programs, to file a final report and rider reconciliation.</w:t>
        </w:r>
        <w:r w:rsidR="00EC31AB">
          <w:rPr>
            <w:noProof/>
            <w:webHidden/>
          </w:rPr>
          <w:tab/>
        </w:r>
        <w:r w:rsidR="00EC31AB">
          <w:rPr>
            <w:noProof/>
            <w:webHidden/>
          </w:rPr>
          <w:fldChar w:fldCharType="begin"/>
        </w:r>
        <w:r w:rsidR="00EC31AB">
          <w:rPr>
            <w:noProof/>
            <w:webHidden/>
          </w:rPr>
          <w:instrText xml:space="preserve"> PAGEREF _Toc116053225 \h </w:instrText>
        </w:r>
        <w:r w:rsidR="00EC31AB">
          <w:rPr>
            <w:noProof/>
            <w:webHidden/>
          </w:rPr>
          <w:fldChar w:fldCharType="separate"/>
        </w:r>
        <w:r w:rsidR="00EC31AB">
          <w:rPr>
            <w:noProof/>
            <w:webHidden/>
          </w:rPr>
          <w:t>8</w:t>
        </w:r>
        <w:r w:rsidR="00EC31AB">
          <w:rPr>
            <w:noProof/>
            <w:webHidden/>
          </w:rPr>
          <w:fldChar w:fldCharType="end"/>
        </w:r>
      </w:hyperlink>
    </w:p>
    <w:p w:rsidR="00F73B17" w14:paraId="3E7D03A6" w14:textId="183BDD48">
      <w:pPr>
        <w:pStyle w:val="TOC3"/>
        <w:rPr>
          <w:rFonts w:asciiTheme="minorHAnsi" w:eastAsiaTheme="minorEastAsia" w:hAnsiTheme="minorHAnsi" w:cstheme="minorBidi"/>
          <w:noProof/>
          <w:sz w:val="22"/>
        </w:rPr>
      </w:pPr>
      <w:hyperlink w:anchor="_Toc116053226" w:history="1">
        <w:r w:rsidRPr="0077113A" w:rsidR="00EC31AB">
          <w:rPr>
            <w:rStyle w:val="Hyperlink"/>
            <w:bCs/>
            <w:noProof/>
            <w:w w:val="99"/>
          </w:rPr>
          <w:t>1.</w:t>
        </w:r>
        <w:r w:rsidR="00EC31AB">
          <w:rPr>
            <w:rFonts w:asciiTheme="minorHAnsi" w:eastAsiaTheme="minorEastAsia" w:hAnsiTheme="minorHAnsi" w:cstheme="minorBidi"/>
            <w:noProof/>
            <w:sz w:val="22"/>
          </w:rPr>
          <w:tab/>
        </w:r>
        <w:r w:rsidRPr="0077113A" w:rsidR="00EC31AB">
          <w:rPr>
            <w:rStyle w:val="Hyperlink"/>
            <w:noProof/>
          </w:rPr>
          <w:t>Natural gas DSM/EE programs provide fewer benefits than electricity DSM/EE programs because the natural gas DSM/EE programs do not provide systemwide benefits.</w:t>
        </w:r>
        <w:r w:rsidR="00EC31AB">
          <w:rPr>
            <w:noProof/>
            <w:webHidden/>
          </w:rPr>
          <w:tab/>
        </w:r>
        <w:r w:rsidR="00EC31AB">
          <w:rPr>
            <w:noProof/>
            <w:webHidden/>
          </w:rPr>
          <w:fldChar w:fldCharType="begin"/>
        </w:r>
        <w:r w:rsidR="00EC31AB">
          <w:rPr>
            <w:noProof/>
            <w:webHidden/>
          </w:rPr>
          <w:instrText xml:space="preserve"> PAGEREF _Toc116053226 \h </w:instrText>
        </w:r>
        <w:r w:rsidR="00EC31AB">
          <w:rPr>
            <w:noProof/>
            <w:webHidden/>
          </w:rPr>
          <w:fldChar w:fldCharType="separate"/>
        </w:r>
        <w:r w:rsidR="00EC31AB">
          <w:rPr>
            <w:noProof/>
            <w:webHidden/>
          </w:rPr>
          <w:t>11</w:t>
        </w:r>
        <w:r w:rsidR="00EC31AB">
          <w:rPr>
            <w:noProof/>
            <w:webHidden/>
          </w:rPr>
          <w:fldChar w:fldCharType="end"/>
        </w:r>
      </w:hyperlink>
    </w:p>
    <w:p w:rsidR="00F73B17" w14:paraId="5D01BEDC" w14:textId="362052F0">
      <w:pPr>
        <w:pStyle w:val="TOC3"/>
        <w:rPr>
          <w:rFonts w:asciiTheme="minorHAnsi" w:eastAsiaTheme="minorEastAsia" w:hAnsiTheme="minorHAnsi" w:cstheme="minorBidi"/>
          <w:noProof/>
          <w:sz w:val="22"/>
        </w:rPr>
      </w:pPr>
      <w:hyperlink w:anchor="_Toc116053227" w:history="1">
        <w:r w:rsidRPr="0077113A" w:rsidR="00EC31AB">
          <w:rPr>
            <w:rStyle w:val="Hyperlink"/>
            <w:bCs/>
            <w:noProof/>
            <w:w w:val="99"/>
          </w:rPr>
          <w:t>2.</w:t>
        </w:r>
        <w:r w:rsidR="00EC31AB">
          <w:rPr>
            <w:rFonts w:asciiTheme="minorHAnsi" w:eastAsiaTheme="minorEastAsia" w:hAnsiTheme="minorHAnsi" w:cstheme="minorBidi"/>
            <w:noProof/>
            <w:sz w:val="22"/>
          </w:rPr>
          <w:tab/>
        </w:r>
        <w:r w:rsidRPr="0077113A" w:rsidR="00EC31AB">
          <w:rPr>
            <w:rStyle w:val="Hyperlink"/>
            <w:noProof/>
          </w:rPr>
          <w:t>Dominion’s non-low-income DSM/EE programs do not provide significant benefits because so few consumers enroll in the programs.</w:t>
        </w:r>
        <w:r w:rsidR="00EC31AB">
          <w:rPr>
            <w:noProof/>
            <w:webHidden/>
          </w:rPr>
          <w:tab/>
        </w:r>
        <w:r w:rsidR="00EC31AB">
          <w:rPr>
            <w:noProof/>
            <w:webHidden/>
          </w:rPr>
          <w:fldChar w:fldCharType="begin"/>
        </w:r>
        <w:r w:rsidR="00EC31AB">
          <w:rPr>
            <w:noProof/>
            <w:webHidden/>
          </w:rPr>
          <w:instrText xml:space="preserve"> PAGEREF _Toc116053227 \h </w:instrText>
        </w:r>
        <w:r w:rsidR="00EC31AB">
          <w:rPr>
            <w:noProof/>
            <w:webHidden/>
          </w:rPr>
          <w:fldChar w:fldCharType="separate"/>
        </w:r>
        <w:r w:rsidR="00EC31AB">
          <w:rPr>
            <w:noProof/>
            <w:webHidden/>
          </w:rPr>
          <w:t>12</w:t>
        </w:r>
        <w:r w:rsidR="00EC31AB">
          <w:rPr>
            <w:noProof/>
            <w:webHidden/>
          </w:rPr>
          <w:fldChar w:fldCharType="end"/>
        </w:r>
      </w:hyperlink>
    </w:p>
    <w:p w:rsidR="00F73B17" w14:paraId="2703E9AC" w14:textId="1875E185">
      <w:pPr>
        <w:pStyle w:val="TOC3"/>
        <w:rPr>
          <w:rFonts w:asciiTheme="minorHAnsi" w:eastAsiaTheme="minorEastAsia" w:hAnsiTheme="minorHAnsi" w:cstheme="minorBidi"/>
          <w:noProof/>
          <w:sz w:val="22"/>
        </w:rPr>
      </w:pPr>
      <w:hyperlink w:anchor="_Toc116053228" w:history="1">
        <w:r w:rsidRPr="0077113A" w:rsidR="00EC31AB">
          <w:rPr>
            <w:rStyle w:val="Hyperlink"/>
            <w:bCs/>
            <w:noProof/>
            <w:w w:val="99"/>
          </w:rPr>
          <w:t>3.</w:t>
        </w:r>
        <w:r w:rsidR="00EC31AB">
          <w:rPr>
            <w:rFonts w:asciiTheme="minorHAnsi" w:eastAsiaTheme="minorEastAsia" w:hAnsiTheme="minorHAnsi" w:cstheme="minorBidi"/>
            <w:noProof/>
            <w:sz w:val="22"/>
          </w:rPr>
          <w:tab/>
        </w:r>
        <w:r w:rsidRPr="0077113A" w:rsidR="00EC31AB">
          <w:rPr>
            <w:rStyle w:val="Hyperlink"/>
            <w:noProof/>
          </w:rPr>
          <w:t>Dominion’s proposal to continue and expand its non-low-income DSM/EE programs is unjust and unreasonable.</w:t>
        </w:r>
        <w:r w:rsidR="00EC31AB">
          <w:rPr>
            <w:noProof/>
            <w:webHidden/>
          </w:rPr>
          <w:tab/>
        </w:r>
        <w:r w:rsidR="00EC31AB">
          <w:rPr>
            <w:noProof/>
            <w:webHidden/>
          </w:rPr>
          <w:fldChar w:fldCharType="begin"/>
        </w:r>
        <w:r w:rsidR="00EC31AB">
          <w:rPr>
            <w:noProof/>
            <w:webHidden/>
          </w:rPr>
          <w:instrText xml:space="preserve"> PAGEREF _Toc116053228 \h </w:instrText>
        </w:r>
        <w:r w:rsidR="00EC31AB">
          <w:rPr>
            <w:noProof/>
            <w:webHidden/>
          </w:rPr>
          <w:fldChar w:fldCharType="separate"/>
        </w:r>
        <w:r w:rsidR="00EC31AB">
          <w:rPr>
            <w:noProof/>
            <w:webHidden/>
          </w:rPr>
          <w:t>14</w:t>
        </w:r>
        <w:r w:rsidR="00EC31AB">
          <w:rPr>
            <w:noProof/>
            <w:webHidden/>
          </w:rPr>
          <w:fldChar w:fldCharType="end"/>
        </w:r>
      </w:hyperlink>
    </w:p>
    <w:p w:rsidR="00F73B17" w14:paraId="5C28269A" w14:textId="0167AC75">
      <w:pPr>
        <w:pStyle w:val="TOC2"/>
        <w:tabs>
          <w:tab w:val="left" w:pos="1440"/>
        </w:tabs>
        <w:rPr>
          <w:rFonts w:asciiTheme="minorHAnsi" w:eastAsiaTheme="minorEastAsia" w:hAnsiTheme="minorHAnsi" w:cstheme="minorBidi"/>
          <w:noProof/>
          <w:sz w:val="22"/>
        </w:rPr>
      </w:pPr>
      <w:hyperlink w:anchor="_Toc116053229" w:history="1">
        <w:r w:rsidRPr="0077113A" w:rsidR="00EC31AB">
          <w:rPr>
            <w:rStyle w:val="Hyperlink"/>
            <w:noProof/>
          </w:rPr>
          <w:t>C.</w:t>
        </w:r>
        <w:r w:rsidR="00EC31AB">
          <w:rPr>
            <w:rFonts w:asciiTheme="minorHAnsi" w:eastAsiaTheme="minorEastAsia" w:hAnsiTheme="minorHAnsi" w:cstheme="minorBidi"/>
            <w:noProof/>
            <w:sz w:val="22"/>
          </w:rPr>
          <w:tab/>
        </w:r>
        <w:r w:rsidRPr="0077113A" w:rsidR="00EC31AB">
          <w:rPr>
            <w:rStyle w:val="Hyperlink"/>
            <w:noProof/>
          </w:rPr>
          <w:t>The PUCO should hold a workshop for gas and electric utilities on the Pay as You Save (PAYS</w:t>
        </w:r>
        <w:r w:rsidRPr="0077113A" w:rsidR="00EC31AB">
          <w:rPr>
            <w:rStyle w:val="Hyperlink"/>
            <w:noProof/>
            <w:vertAlign w:val="superscript"/>
          </w:rPr>
          <w:t>®</w:t>
        </w:r>
        <w:r w:rsidRPr="0077113A" w:rsidR="00EC31AB">
          <w:rPr>
            <w:rStyle w:val="Hyperlink"/>
            <w:noProof/>
          </w:rPr>
          <w:t>) program.</w:t>
        </w:r>
        <w:r w:rsidR="00EC31AB">
          <w:rPr>
            <w:noProof/>
            <w:webHidden/>
          </w:rPr>
          <w:tab/>
        </w:r>
        <w:r w:rsidR="00EC31AB">
          <w:rPr>
            <w:noProof/>
            <w:webHidden/>
          </w:rPr>
          <w:fldChar w:fldCharType="begin"/>
        </w:r>
        <w:r w:rsidR="00EC31AB">
          <w:rPr>
            <w:noProof/>
            <w:webHidden/>
          </w:rPr>
          <w:instrText xml:space="preserve"> PAGEREF _Toc116053229 \h </w:instrText>
        </w:r>
        <w:r w:rsidR="00EC31AB">
          <w:rPr>
            <w:noProof/>
            <w:webHidden/>
          </w:rPr>
          <w:fldChar w:fldCharType="separate"/>
        </w:r>
        <w:r w:rsidR="00EC31AB">
          <w:rPr>
            <w:noProof/>
            <w:webHidden/>
          </w:rPr>
          <w:t>16</w:t>
        </w:r>
        <w:r w:rsidR="00EC31AB">
          <w:rPr>
            <w:noProof/>
            <w:webHidden/>
          </w:rPr>
          <w:fldChar w:fldCharType="end"/>
        </w:r>
      </w:hyperlink>
    </w:p>
    <w:p w:rsidR="00F73B17" w14:paraId="0B5DC7DA" w14:textId="7B4EBDA7">
      <w:pPr>
        <w:pStyle w:val="TOC1"/>
        <w:rPr>
          <w:rFonts w:asciiTheme="minorHAnsi" w:eastAsiaTheme="minorEastAsia" w:hAnsiTheme="minorHAnsi" w:cstheme="minorBidi"/>
          <w:noProof/>
          <w:sz w:val="22"/>
        </w:rPr>
      </w:pPr>
      <w:hyperlink w:anchor="_Toc116053230" w:history="1">
        <w:r w:rsidRPr="0077113A" w:rsidR="00EC31AB">
          <w:rPr>
            <w:rStyle w:val="Hyperlink"/>
            <w:noProof/>
          </w:rPr>
          <w:t>IV.</w:t>
        </w:r>
        <w:r w:rsidR="00EC31AB">
          <w:rPr>
            <w:rFonts w:asciiTheme="minorHAnsi" w:eastAsiaTheme="minorEastAsia" w:hAnsiTheme="minorHAnsi" w:cstheme="minorBidi"/>
            <w:noProof/>
            <w:sz w:val="22"/>
          </w:rPr>
          <w:tab/>
        </w:r>
        <w:r w:rsidRPr="0077113A" w:rsidR="00EC31AB">
          <w:rPr>
            <w:rStyle w:val="Hyperlink"/>
            <w:noProof/>
          </w:rPr>
          <w:t>CONCLUSION</w:t>
        </w:r>
        <w:r w:rsidR="00EC31AB">
          <w:rPr>
            <w:noProof/>
            <w:webHidden/>
          </w:rPr>
          <w:tab/>
        </w:r>
        <w:r w:rsidR="00EC31AB">
          <w:rPr>
            <w:noProof/>
            <w:webHidden/>
          </w:rPr>
          <w:fldChar w:fldCharType="begin"/>
        </w:r>
        <w:r w:rsidR="00EC31AB">
          <w:rPr>
            <w:noProof/>
            <w:webHidden/>
          </w:rPr>
          <w:instrText xml:space="preserve"> PAGEREF _Toc116053230 \h </w:instrText>
        </w:r>
        <w:r w:rsidR="00EC31AB">
          <w:rPr>
            <w:noProof/>
            <w:webHidden/>
          </w:rPr>
          <w:fldChar w:fldCharType="separate"/>
        </w:r>
        <w:r w:rsidR="00EC31AB">
          <w:rPr>
            <w:noProof/>
            <w:webHidden/>
          </w:rPr>
          <w:t>18</w:t>
        </w:r>
        <w:r w:rsidR="00EC31AB">
          <w:rPr>
            <w:noProof/>
            <w:webHidden/>
          </w:rPr>
          <w:fldChar w:fldCharType="end"/>
        </w:r>
      </w:hyperlink>
    </w:p>
    <w:p w:rsidR="00E03D46" w:rsidRPr="00924128" w:rsidP="00924128" w14:paraId="702100C0" w14:textId="27C8AADF">
      <w:pPr>
        <w:pStyle w:val="Heading1"/>
        <w:spacing w:before="39" w:after="0"/>
        <w:ind w:right="90" w:firstLine="720"/>
        <w:jc w:val="right"/>
        <w:rPr>
          <w:color w:val="1C1621"/>
          <w:w w:val="90"/>
          <w:sz w:val="26"/>
        </w:rPr>
        <w:sectPr w:rsidSect="00924128">
          <w:footerReference w:type="default" r:id="rId9"/>
          <w:pgSz w:w="12240" w:h="15840"/>
          <w:pgMar w:top="1440" w:right="1800" w:bottom="1440" w:left="1800" w:header="0" w:footer="757" w:gutter="0"/>
          <w:pgNumType w:fmt="lowerRoman" w:start="1"/>
          <w:cols w:space="720"/>
          <w:docGrid w:linePitch="299"/>
        </w:sectPr>
      </w:pPr>
      <w:r>
        <w:rPr>
          <w:rFonts w:ascii="Times New Roman" w:hAnsi="Times New Roman"/>
          <w:w w:val="90"/>
          <w:szCs w:val="22"/>
        </w:rPr>
        <w:fldChar w:fldCharType="end"/>
      </w:r>
    </w:p>
    <w:p w:rsidR="00800115" w:rsidP="00862EB8" w14:paraId="46ED2859" w14:textId="77777777">
      <w:pPr>
        <w:jc w:val="center"/>
      </w:pPr>
      <w:bookmarkStart w:id="3" w:name="_Toc115345124"/>
      <w:r w:rsidRPr="00862EB8">
        <w:rPr>
          <w:b/>
          <w:bCs/>
          <w:sz w:val="24"/>
          <w:szCs w:val="24"/>
        </w:rPr>
        <w:t>BEFORE</w:t>
      </w:r>
      <w:bookmarkEnd w:id="3"/>
    </w:p>
    <w:p w:rsidR="00800115" w:rsidP="00924128" w14:paraId="1331B5B4" w14:textId="77777777">
      <w:pPr>
        <w:jc w:val="center"/>
        <w:rPr>
          <w:b/>
          <w:sz w:val="24"/>
        </w:rPr>
      </w:pPr>
      <w:r>
        <w:rPr>
          <w:b/>
          <w:sz w:val="24"/>
        </w:rPr>
        <w:t>THE PUBLIC UTILITIES COMMISSION OF OHIO</w:t>
      </w:r>
    </w:p>
    <w:p w:rsidR="00800115" w:rsidP="00800115" w14:paraId="751465EC" w14:textId="77777777">
      <w:pPr>
        <w:ind w:left="1799" w:right="1798"/>
        <w:jc w:val="center"/>
        <w:rPr>
          <w:b/>
          <w:sz w:val="24"/>
        </w:rPr>
      </w:pPr>
    </w:p>
    <w:tbl>
      <w:tblPr>
        <w:tblW w:w="8820" w:type="dxa"/>
        <w:tblInd w:w="108" w:type="dxa"/>
        <w:tblLook w:val="01E0"/>
      </w:tblPr>
      <w:tblGrid>
        <w:gridCol w:w="4320"/>
        <w:gridCol w:w="360"/>
        <w:gridCol w:w="4140"/>
      </w:tblGrid>
      <w:tr w14:paraId="3F27A57E" w14:textId="77777777" w:rsidTr="00924128">
        <w:tblPrEx>
          <w:tblW w:w="8820" w:type="dxa"/>
          <w:tblInd w:w="108" w:type="dxa"/>
          <w:tblLook w:val="01E0"/>
        </w:tblPrEx>
        <w:trPr>
          <w:trHeight w:val="792"/>
        </w:trPr>
        <w:tc>
          <w:tcPr>
            <w:tcW w:w="4320" w:type="dxa"/>
            <w:shd w:val="clear" w:color="auto" w:fill="auto"/>
          </w:tcPr>
          <w:p w:rsidR="00800115" w:rsidRPr="00E87BC6" w:rsidP="000A1B3B" w14:paraId="2A96FD08" w14:textId="77777777">
            <w:pPr>
              <w:adjustRightInd w:val="0"/>
              <w:rPr>
                <w:sz w:val="24"/>
                <w:szCs w:val="24"/>
              </w:rPr>
            </w:pPr>
            <w:r w:rsidRPr="000B4B77">
              <w:rPr>
                <w:sz w:val="24"/>
                <w:szCs w:val="24"/>
              </w:rPr>
              <w:t xml:space="preserve">In the Matter of the Application of </w:t>
            </w:r>
            <w:r>
              <w:rPr>
                <w:sz w:val="24"/>
                <w:szCs w:val="24"/>
              </w:rPr>
              <w:t>t</w:t>
            </w:r>
            <w:r w:rsidRPr="000B4B77">
              <w:rPr>
                <w:sz w:val="24"/>
                <w:szCs w:val="24"/>
              </w:rPr>
              <w:t>he East</w:t>
            </w:r>
            <w:r>
              <w:rPr>
                <w:sz w:val="24"/>
                <w:szCs w:val="24"/>
              </w:rPr>
              <w:t xml:space="preserve"> </w:t>
            </w:r>
            <w:r w:rsidRPr="000B4B77">
              <w:rPr>
                <w:sz w:val="24"/>
                <w:szCs w:val="24"/>
              </w:rPr>
              <w:t>Ohio Gas Company d/b/a Dominion Energ</w:t>
            </w:r>
            <w:r>
              <w:rPr>
                <w:sz w:val="24"/>
                <w:szCs w:val="24"/>
              </w:rPr>
              <w:t xml:space="preserve">y </w:t>
            </w:r>
            <w:r w:rsidRPr="000B4B77">
              <w:rPr>
                <w:sz w:val="24"/>
                <w:szCs w:val="24"/>
              </w:rPr>
              <w:t>Ohio for Approval of an Alternative Form of</w:t>
            </w:r>
            <w:r>
              <w:rPr>
                <w:sz w:val="24"/>
                <w:szCs w:val="24"/>
              </w:rPr>
              <w:t xml:space="preserve"> </w:t>
            </w:r>
            <w:r w:rsidRPr="000B4B77">
              <w:rPr>
                <w:sz w:val="24"/>
                <w:szCs w:val="24"/>
              </w:rPr>
              <w:t>Regulation.</w:t>
            </w:r>
          </w:p>
        </w:tc>
        <w:tc>
          <w:tcPr>
            <w:tcW w:w="360" w:type="dxa"/>
            <w:shd w:val="clear" w:color="auto" w:fill="auto"/>
          </w:tcPr>
          <w:p w:rsidR="00800115" w:rsidRPr="00E87BC6" w:rsidP="000A1B3B" w14:paraId="7D75DDC4" w14:textId="77777777">
            <w:pPr>
              <w:pStyle w:val="HTMLPreformatted"/>
              <w:rPr>
                <w:rFonts w:ascii="Times New Roman" w:hAnsi="Times New Roman" w:cs="Times New Roman"/>
                <w:sz w:val="24"/>
                <w:szCs w:val="24"/>
              </w:rPr>
            </w:pPr>
            <w:r w:rsidRPr="00E87BC6">
              <w:rPr>
                <w:rFonts w:ascii="Times New Roman" w:hAnsi="Times New Roman" w:cs="Times New Roman"/>
                <w:sz w:val="24"/>
                <w:szCs w:val="24"/>
              </w:rPr>
              <w:t>)</w:t>
            </w:r>
          </w:p>
          <w:p w:rsidR="00800115" w:rsidRPr="00E87BC6" w:rsidP="000A1B3B" w14:paraId="2DC99B72" w14:textId="77777777">
            <w:pPr>
              <w:pStyle w:val="HTMLPreformatted"/>
              <w:rPr>
                <w:rFonts w:ascii="Times New Roman" w:hAnsi="Times New Roman" w:cs="Times New Roman"/>
                <w:sz w:val="24"/>
                <w:szCs w:val="24"/>
              </w:rPr>
            </w:pPr>
            <w:r w:rsidRPr="00E87BC6">
              <w:rPr>
                <w:rFonts w:ascii="Times New Roman" w:hAnsi="Times New Roman" w:cs="Times New Roman"/>
                <w:sz w:val="24"/>
                <w:szCs w:val="24"/>
              </w:rPr>
              <w:t>)</w:t>
            </w:r>
          </w:p>
          <w:p w:rsidR="00800115" w:rsidP="000A1B3B" w14:paraId="2A5D25FA" w14:textId="77777777">
            <w:pPr>
              <w:pStyle w:val="HTMLPreformatted"/>
              <w:rPr>
                <w:rFonts w:ascii="Times New Roman" w:hAnsi="Times New Roman" w:cs="Times New Roman"/>
                <w:sz w:val="24"/>
                <w:szCs w:val="24"/>
              </w:rPr>
            </w:pPr>
            <w:r w:rsidRPr="00E87BC6">
              <w:rPr>
                <w:rFonts w:ascii="Times New Roman" w:hAnsi="Times New Roman" w:cs="Times New Roman"/>
                <w:sz w:val="24"/>
                <w:szCs w:val="24"/>
              </w:rPr>
              <w:t>)</w:t>
            </w:r>
          </w:p>
          <w:p w:rsidR="00800115" w:rsidP="000A1B3B" w14:paraId="5286BF30"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800115" w:rsidRPr="00E87BC6" w:rsidP="000A1B3B" w14:paraId="16616656" w14:textId="77777777">
            <w:pPr>
              <w:pStyle w:val="HTMLPreformatted"/>
              <w:rPr>
                <w:rFonts w:ascii="Times New Roman" w:hAnsi="Times New Roman" w:cs="Times New Roman"/>
                <w:sz w:val="24"/>
                <w:szCs w:val="24"/>
              </w:rPr>
            </w:pPr>
          </w:p>
        </w:tc>
        <w:tc>
          <w:tcPr>
            <w:tcW w:w="4140" w:type="dxa"/>
            <w:shd w:val="clear" w:color="auto" w:fill="auto"/>
          </w:tcPr>
          <w:p w:rsidR="00800115" w:rsidRPr="00E87BC6" w:rsidP="000A1B3B" w14:paraId="319FB92D" w14:textId="77777777">
            <w:pPr>
              <w:pStyle w:val="HTMLPreformatted"/>
              <w:rPr>
                <w:rFonts w:ascii="Times New Roman" w:hAnsi="Times New Roman" w:cs="Times New Roman"/>
                <w:sz w:val="24"/>
                <w:szCs w:val="24"/>
              </w:rPr>
            </w:pPr>
          </w:p>
          <w:p w:rsidR="00800115" w:rsidRPr="00E87BC6" w:rsidP="000A1B3B" w14:paraId="578FB535" w14:textId="77777777">
            <w:pPr>
              <w:pStyle w:val="HTMLPreformatted"/>
              <w:rPr>
                <w:rFonts w:ascii="Times New Roman" w:hAnsi="Times New Roman" w:cs="Times New Roman"/>
                <w:sz w:val="24"/>
                <w:szCs w:val="24"/>
              </w:rPr>
            </w:pPr>
            <w:r w:rsidRPr="00E87BC6">
              <w:rPr>
                <w:rFonts w:ascii="Times New Roman" w:hAnsi="Times New Roman" w:cs="Times New Roman"/>
                <w:sz w:val="24"/>
                <w:szCs w:val="24"/>
              </w:rPr>
              <w:t>Case No. 21-1109-GA-ALT</w:t>
            </w:r>
          </w:p>
        </w:tc>
      </w:tr>
    </w:tbl>
    <w:p w:rsidR="00800115" w:rsidP="00800115" w14:paraId="23757CA8" w14:textId="77777777">
      <w:pPr>
        <w:pStyle w:val="BodyText"/>
        <w:spacing w:before="3"/>
      </w:pPr>
    </w:p>
    <w:p w:rsidR="00800115" w:rsidP="00800115" w14:paraId="6D3BECCE" w14:textId="1F3AB0E3">
      <w:pPr>
        <w:pStyle w:val="BodyText"/>
        <w:pBdr>
          <w:bottom w:val="single" w:sz="12" w:space="1" w:color="auto"/>
        </w:pBdr>
        <w:spacing w:line="29" w:lineRule="exact"/>
        <w:ind w:left="116"/>
        <w:rPr>
          <w:sz w:val="2"/>
        </w:rPr>
      </w:pPr>
    </w:p>
    <w:p w:rsidR="00170427" w:rsidP="00800115" w14:paraId="4FACCFAC" w14:textId="77777777">
      <w:pPr>
        <w:pStyle w:val="BodyText"/>
        <w:rPr>
          <w:sz w:val="20"/>
        </w:rPr>
      </w:pPr>
    </w:p>
    <w:p w:rsidR="00800115" w:rsidP="00800115" w14:paraId="0F94E0A9" w14:textId="579DF235">
      <w:pPr>
        <w:ind w:right="-40"/>
        <w:jc w:val="center"/>
        <w:rPr>
          <w:b/>
          <w:sz w:val="24"/>
        </w:rPr>
      </w:pPr>
      <w:r>
        <w:rPr>
          <w:b/>
          <w:sz w:val="24"/>
        </w:rPr>
        <w:t>INITIAL POST-HEARING BRIEF</w:t>
      </w:r>
    </w:p>
    <w:p w:rsidR="00800115" w:rsidP="00800115" w14:paraId="5D7B6AB1" w14:textId="77777777">
      <w:pPr>
        <w:ind w:left="4035" w:right="4034"/>
        <w:jc w:val="center"/>
        <w:rPr>
          <w:b/>
          <w:sz w:val="24"/>
        </w:rPr>
      </w:pPr>
      <w:r>
        <w:rPr>
          <w:b/>
          <w:sz w:val="24"/>
        </w:rPr>
        <w:t>BY</w:t>
      </w:r>
    </w:p>
    <w:p w:rsidR="007B16EE" w:rsidP="00170427" w14:paraId="32DCD242" w14:textId="4A03EC27">
      <w:pPr>
        <w:jc w:val="center"/>
        <w:rPr>
          <w:b/>
          <w:sz w:val="24"/>
        </w:rPr>
      </w:pPr>
      <w:r>
        <w:rPr>
          <w:b/>
          <w:sz w:val="24"/>
        </w:rPr>
        <w:t>OFFICE OF THE OHIO CONSUMERS’ COUNSEL</w:t>
      </w:r>
    </w:p>
    <w:p w:rsidR="00170427" w:rsidP="00924128" w14:paraId="138769F7" w14:textId="77777777">
      <w:pPr>
        <w:jc w:val="center"/>
        <w:rPr>
          <w:b/>
          <w:sz w:val="24"/>
        </w:rPr>
      </w:pPr>
    </w:p>
    <w:p w:rsidR="007B16EE" w:rsidP="007B16EE" w14:paraId="3C87F1EF" w14:textId="464959B3">
      <w:pPr>
        <w:pStyle w:val="BodyText"/>
        <w:pBdr>
          <w:bottom w:val="single" w:sz="12" w:space="1" w:color="auto"/>
        </w:pBdr>
        <w:spacing w:line="29" w:lineRule="exact"/>
        <w:ind w:left="116"/>
        <w:rPr>
          <w:sz w:val="2"/>
        </w:rPr>
      </w:pPr>
    </w:p>
    <w:p w:rsidR="00A116FE" w:rsidP="00880CE3" w14:paraId="610FA2B8" w14:textId="77777777">
      <w:pPr>
        <w:pStyle w:val="Heading1"/>
        <w:spacing w:after="0"/>
      </w:pPr>
    </w:p>
    <w:p w:rsidR="00FB3FBE" w:rsidP="0005638F" w14:paraId="4D9485DF" w14:textId="4C43D358">
      <w:pPr>
        <w:pStyle w:val="Heading1"/>
      </w:pPr>
      <w:bookmarkStart w:id="4" w:name="_Toc116053217"/>
      <w:r>
        <w:t>I.</w:t>
      </w:r>
      <w:r w:rsidR="00800115">
        <w:tab/>
        <w:t>INTRODUCTION</w:t>
      </w:r>
      <w:bookmarkEnd w:id="4"/>
    </w:p>
    <w:p w:rsidR="007E564F" w:rsidRPr="004478BB" w:rsidP="007E564F" w14:paraId="5841618B" w14:textId="47F140A8">
      <w:pPr>
        <w:spacing w:line="480" w:lineRule="auto"/>
        <w:ind w:right="40" w:firstLine="720"/>
        <w:rPr>
          <w:sz w:val="24"/>
          <w:szCs w:val="24"/>
        </w:rPr>
      </w:pPr>
      <w:r w:rsidRPr="00D107D3">
        <w:rPr>
          <w:sz w:val="24"/>
          <w:szCs w:val="24"/>
        </w:rPr>
        <w:t xml:space="preserve">Dominion spends $4 million annually for its DSM/EE programs to non-low-income residential consumers and </w:t>
      </w:r>
      <w:r w:rsidRPr="00D107D3" w:rsidR="009556B4">
        <w:rPr>
          <w:sz w:val="24"/>
          <w:szCs w:val="24"/>
        </w:rPr>
        <w:t xml:space="preserve">charges </w:t>
      </w:r>
      <w:r w:rsidRPr="00D107D3">
        <w:rPr>
          <w:sz w:val="24"/>
          <w:szCs w:val="24"/>
        </w:rPr>
        <w:t>them through its DSM Rider.</w:t>
      </w:r>
      <w:r w:rsidRPr="00D107D3" w:rsidR="00800115">
        <w:rPr>
          <w:sz w:val="24"/>
          <w:szCs w:val="24"/>
        </w:rPr>
        <w:t xml:space="preserve"> </w:t>
      </w:r>
      <w:r w:rsidRPr="00D107D3">
        <w:rPr>
          <w:sz w:val="24"/>
          <w:szCs w:val="24"/>
        </w:rPr>
        <w:t xml:space="preserve">Dominion </w:t>
      </w:r>
      <w:r w:rsidRPr="00D107D3" w:rsidR="002F0D5B">
        <w:rPr>
          <w:sz w:val="24"/>
          <w:szCs w:val="24"/>
        </w:rPr>
        <w:t xml:space="preserve">proposes to offer new </w:t>
      </w:r>
      <w:r w:rsidRPr="00D107D3" w:rsidR="009F5926">
        <w:rPr>
          <w:sz w:val="24"/>
          <w:szCs w:val="24"/>
        </w:rPr>
        <w:t>DSM</w:t>
      </w:r>
      <w:r w:rsidRPr="00D107D3" w:rsidR="00940825">
        <w:rPr>
          <w:sz w:val="24"/>
          <w:szCs w:val="24"/>
        </w:rPr>
        <w:t>/EE</w:t>
      </w:r>
      <w:r w:rsidRPr="00D107D3" w:rsidR="009F5926">
        <w:rPr>
          <w:sz w:val="24"/>
          <w:szCs w:val="24"/>
        </w:rPr>
        <w:t xml:space="preserve"> </w:t>
      </w:r>
      <w:r w:rsidRPr="00D107D3" w:rsidR="002F0D5B">
        <w:rPr>
          <w:sz w:val="24"/>
          <w:szCs w:val="24"/>
        </w:rPr>
        <w:t>programs to residential consumers</w:t>
      </w:r>
      <w:r w:rsidRPr="00D107D3" w:rsidR="003C4DC1">
        <w:rPr>
          <w:sz w:val="24"/>
          <w:szCs w:val="24"/>
        </w:rPr>
        <w:t xml:space="preserve"> and increase </w:t>
      </w:r>
      <w:r w:rsidRPr="00D107D3">
        <w:rPr>
          <w:sz w:val="24"/>
          <w:szCs w:val="24"/>
        </w:rPr>
        <w:t xml:space="preserve">total DSM/EE </w:t>
      </w:r>
      <w:r w:rsidRPr="00D107D3" w:rsidR="003C4DC1">
        <w:rPr>
          <w:sz w:val="24"/>
          <w:szCs w:val="24"/>
        </w:rPr>
        <w:t xml:space="preserve">program spending </w:t>
      </w:r>
      <w:r w:rsidRPr="00D107D3" w:rsidR="002F0D5B">
        <w:rPr>
          <w:sz w:val="24"/>
          <w:szCs w:val="24"/>
        </w:rPr>
        <w:t xml:space="preserve">from </w:t>
      </w:r>
      <w:r w:rsidRPr="00D107D3" w:rsidR="00940825">
        <w:rPr>
          <w:sz w:val="24"/>
          <w:szCs w:val="24"/>
        </w:rPr>
        <w:t xml:space="preserve">its current budget of </w:t>
      </w:r>
      <w:r w:rsidRPr="00D107D3" w:rsidR="002F0D5B">
        <w:rPr>
          <w:sz w:val="24"/>
          <w:szCs w:val="24"/>
        </w:rPr>
        <w:t>$</w:t>
      </w:r>
      <w:r w:rsidRPr="00D107D3" w:rsidR="00940825">
        <w:rPr>
          <w:sz w:val="24"/>
          <w:szCs w:val="24"/>
        </w:rPr>
        <w:t>9.5 million</w:t>
      </w:r>
      <w:r w:rsidRPr="00D107D3" w:rsidR="002F0D5B">
        <w:rPr>
          <w:sz w:val="24"/>
          <w:szCs w:val="24"/>
        </w:rPr>
        <w:t xml:space="preserve"> annually </w:t>
      </w:r>
      <w:r w:rsidRPr="00D107D3">
        <w:rPr>
          <w:sz w:val="24"/>
          <w:szCs w:val="24"/>
        </w:rPr>
        <w:t xml:space="preserve">to 14.6 million in 2023 with additional increases </w:t>
      </w:r>
      <w:r w:rsidRPr="00D107D3" w:rsidR="00940825">
        <w:rPr>
          <w:sz w:val="24"/>
          <w:szCs w:val="24"/>
        </w:rPr>
        <w:t>up</w:t>
      </w:r>
      <w:r w:rsidRPr="00D107D3" w:rsidR="002F0D5B">
        <w:rPr>
          <w:sz w:val="24"/>
          <w:szCs w:val="24"/>
        </w:rPr>
        <w:t xml:space="preserve"> to </w:t>
      </w:r>
      <w:r w:rsidRPr="00D107D3" w:rsidR="002D3D21">
        <w:rPr>
          <w:sz w:val="24"/>
          <w:szCs w:val="24"/>
        </w:rPr>
        <w:t>$</w:t>
      </w:r>
      <w:r w:rsidRPr="00D107D3" w:rsidR="00940825">
        <w:rPr>
          <w:sz w:val="24"/>
          <w:szCs w:val="24"/>
        </w:rPr>
        <w:t>20.4 million annually</w:t>
      </w:r>
      <w:r w:rsidRPr="00D107D3" w:rsidR="002D3D21">
        <w:rPr>
          <w:sz w:val="24"/>
          <w:szCs w:val="24"/>
        </w:rPr>
        <w:t xml:space="preserve"> in Year Five</w:t>
      </w:r>
      <w:r w:rsidRPr="00D107D3">
        <w:rPr>
          <w:sz w:val="24"/>
          <w:szCs w:val="24"/>
        </w:rPr>
        <w:t xml:space="preserve"> (2027)</w:t>
      </w:r>
      <w:r>
        <w:rPr>
          <w:rStyle w:val="FootnoteReference"/>
          <w:sz w:val="24"/>
          <w:szCs w:val="24"/>
        </w:rPr>
        <w:footnoteReference w:id="2"/>
      </w:r>
      <w:r w:rsidRPr="00D107D3" w:rsidR="002D3D21">
        <w:rPr>
          <w:sz w:val="24"/>
          <w:szCs w:val="24"/>
        </w:rPr>
        <w:t xml:space="preserve"> – a</w:t>
      </w:r>
      <w:r w:rsidRPr="00D107D3" w:rsidR="00E928FF">
        <w:rPr>
          <w:sz w:val="24"/>
          <w:szCs w:val="24"/>
        </w:rPr>
        <w:t xml:space="preserve"> 114</w:t>
      </w:r>
      <w:r w:rsidRPr="00D107D3" w:rsidR="002D3D21">
        <w:rPr>
          <w:sz w:val="24"/>
          <w:szCs w:val="24"/>
        </w:rPr>
        <w:t>% increase.</w:t>
      </w:r>
      <w:r w:rsidRPr="00D107D3" w:rsidR="00800115">
        <w:rPr>
          <w:sz w:val="24"/>
          <w:szCs w:val="24"/>
        </w:rPr>
        <w:t xml:space="preserve"> </w:t>
      </w:r>
      <w:r w:rsidRPr="00D107D3" w:rsidR="00E928FF">
        <w:rPr>
          <w:sz w:val="24"/>
          <w:szCs w:val="24"/>
        </w:rPr>
        <w:t xml:space="preserve">The average annual increase in program </w:t>
      </w:r>
      <w:r w:rsidRPr="00D107D3" w:rsidR="00BB6DC4">
        <w:rPr>
          <w:sz w:val="24"/>
          <w:szCs w:val="24"/>
        </w:rPr>
        <w:t>would be</w:t>
      </w:r>
      <w:r w:rsidRPr="00D107D3" w:rsidR="00E928FF">
        <w:rPr>
          <w:sz w:val="24"/>
          <w:szCs w:val="24"/>
        </w:rPr>
        <w:t xml:space="preserve"> 22%.</w:t>
      </w:r>
      <w:r w:rsidRPr="00D107D3">
        <w:rPr>
          <w:sz w:val="24"/>
          <w:szCs w:val="24"/>
        </w:rPr>
        <w:t xml:space="preserve"> </w:t>
      </w:r>
      <w:r w:rsidRPr="004478BB">
        <w:rPr>
          <w:sz w:val="24"/>
          <w:szCs w:val="24"/>
        </w:rPr>
        <w:t xml:space="preserve">Over the five-year period of the plan, Dominion would collect $92 million DSM rider </w:t>
      </w:r>
      <w:r w:rsidRPr="00880CE3">
        <w:rPr>
          <w:sz w:val="24"/>
          <w:szCs w:val="24"/>
        </w:rPr>
        <w:t>costs.</w:t>
      </w:r>
      <w:r>
        <w:rPr>
          <w:rStyle w:val="FootnoteReference"/>
          <w:sz w:val="24"/>
          <w:szCs w:val="24"/>
        </w:rPr>
        <w:footnoteReference w:id="3"/>
      </w:r>
      <w:r w:rsidRPr="004478BB">
        <w:rPr>
          <w:sz w:val="24"/>
          <w:szCs w:val="24"/>
        </w:rPr>
        <w:t xml:space="preserve"> </w:t>
      </w:r>
    </w:p>
    <w:p w:rsidR="00880CE3" w:rsidP="0005638F" w14:paraId="14602B69" w14:textId="3A80A700">
      <w:pPr>
        <w:spacing w:line="480" w:lineRule="auto"/>
        <w:ind w:right="40" w:firstLine="720"/>
        <w:rPr>
          <w:sz w:val="24"/>
          <w:szCs w:val="24"/>
        </w:rPr>
      </w:pPr>
      <w:r w:rsidRPr="00D107D3">
        <w:rPr>
          <w:sz w:val="24"/>
          <w:szCs w:val="24"/>
        </w:rPr>
        <w:t xml:space="preserve">In addition to these </w:t>
      </w:r>
      <w:r w:rsidRPr="00D107D3" w:rsidR="00C76A50">
        <w:rPr>
          <w:sz w:val="24"/>
          <w:szCs w:val="24"/>
        </w:rPr>
        <w:t xml:space="preserve">annual </w:t>
      </w:r>
      <w:r w:rsidRPr="00D107D3">
        <w:rPr>
          <w:sz w:val="24"/>
          <w:szCs w:val="24"/>
        </w:rPr>
        <w:t xml:space="preserve">budget increases, </w:t>
      </w:r>
      <w:r w:rsidRPr="00D107D3" w:rsidR="002D3D21">
        <w:rPr>
          <w:sz w:val="24"/>
          <w:szCs w:val="24"/>
        </w:rPr>
        <w:t xml:space="preserve">Dominion also requests an automatic 3% annual increase in program spending each year after Year Five, without </w:t>
      </w:r>
      <w:r w:rsidRPr="00D107D3">
        <w:rPr>
          <w:sz w:val="24"/>
          <w:szCs w:val="24"/>
        </w:rPr>
        <w:t xml:space="preserve">any </w:t>
      </w:r>
      <w:r w:rsidRPr="00D107D3" w:rsidR="002D3D21">
        <w:rPr>
          <w:sz w:val="24"/>
          <w:szCs w:val="24"/>
        </w:rPr>
        <w:t>PUCO pre-approval</w:t>
      </w:r>
      <w:r w:rsidRPr="00D107D3" w:rsidR="003C4DC1">
        <w:rPr>
          <w:sz w:val="24"/>
          <w:szCs w:val="24"/>
        </w:rPr>
        <w:t xml:space="preserve"> of the </w:t>
      </w:r>
      <w:r w:rsidRPr="00D107D3" w:rsidR="009F5926">
        <w:rPr>
          <w:sz w:val="24"/>
          <w:szCs w:val="24"/>
        </w:rPr>
        <w:t xml:space="preserve">need for </w:t>
      </w:r>
      <w:r w:rsidRPr="00D107D3" w:rsidR="003C4DC1">
        <w:rPr>
          <w:sz w:val="24"/>
          <w:szCs w:val="24"/>
        </w:rPr>
        <w:t>increased spending</w:t>
      </w:r>
      <w:r w:rsidRPr="00D107D3" w:rsidR="002D3D21">
        <w:rPr>
          <w:sz w:val="24"/>
          <w:szCs w:val="24"/>
        </w:rPr>
        <w:t>.</w:t>
      </w:r>
      <w:r w:rsidRPr="00D107D3" w:rsidR="00AD097F">
        <w:rPr>
          <w:sz w:val="24"/>
          <w:szCs w:val="24"/>
        </w:rPr>
        <w:t xml:space="preserve"> </w:t>
      </w:r>
      <w:r w:rsidRPr="00D107D3" w:rsidR="009F5926">
        <w:rPr>
          <w:sz w:val="24"/>
          <w:szCs w:val="24"/>
        </w:rPr>
        <w:t xml:space="preserve">This proposal </w:t>
      </w:r>
      <w:r w:rsidRPr="00D107D3" w:rsidR="004343E7">
        <w:rPr>
          <w:sz w:val="24"/>
          <w:szCs w:val="24"/>
        </w:rPr>
        <w:t>is unjust and unreasonable</w:t>
      </w:r>
      <w:r w:rsidR="00A73E3F">
        <w:rPr>
          <w:sz w:val="24"/>
          <w:szCs w:val="24"/>
        </w:rPr>
        <w:t>,</w:t>
      </w:r>
      <w:r w:rsidRPr="00D107D3" w:rsidR="009F5926">
        <w:rPr>
          <w:sz w:val="24"/>
          <w:szCs w:val="24"/>
        </w:rPr>
        <w:t xml:space="preserve"> and the PUCO should reject it.</w:t>
      </w:r>
      <w:r w:rsidRPr="00D107D3" w:rsidR="000557F1">
        <w:rPr>
          <w:sz w:val="24"/>
          <w:szCs w:val="24"/>
        </w:rPr>
        <w:t xml:space="preserve"> </w:t>
      </w:r>
    </w:p>
    <w:p w:rsidR="00880CE3" w14:paraId="57B7D35F" w14:textId="77777777">
      <w:pPr>
        <w:rPr>
          <w:sz w:val="24"/>
          <w:szCs w:val="24"/>
        </w:rPr>
      </w:pPr>
      <w:r>
        <w:rPr>
          <w:sz w:val="24"/>
          <w:szCs w:val="24"/>
        </w:rPr>
        <w:br w:type="page"/>
      </w:r>
    </w:p>
    <w:p w:rsidR="000557F1" w:rsidRPr="004325A2" w:rsidP="0005638F" w14:paraId="16B79037" w14:textId="1D1C11DE">
      <w:pPr>
        <w:spacing w:line="480" w:lineRule="auto"/>
        <w:ind w:right="40" w:firstLine="720"/>
      </w:pPr>
      <w:r w:rsidRPr="0004102D">
        <w:rPr>
          <w:sz w:val="24"/>
          <w:szCs w:val="24"/>
        </w:rPr>
        <w:t xml:space="preserve">The PUCO </w:t>
      </w:r>
      <w:r>
        <w:rPr>
          <w:sz w:val="24"/>
          <w:szCs w:val="24"/>
        </w:rPr>
        <w:t xml:space="preserve">has </w:t>
      </w:r>
      <w:r w:rsidRPr="0004102D">
        <w:rPr>
          <w:sz w:val="24"/>
          <w:szCs w:val="24"/>
        </w:rPr>
        <w:t>ordered the electric utilities to wind down their DSM/EE programs</w:t>
      </w:r>
      <w:r>
        <w:rPr>
          <w:sz w:val="24"/>
          <w:szCs w:val="24"/>
        </w:rPr>
        <w:t xml:space="preserve"> and relied on R.C. 4928.02(N) in doing so.</w:t>
      </w:r>
      <w:r>
        <w:rPr>
          <w:rStyle w:val="FootnoteReference"/>
          <w:sz w:val="24"/>
          <w:szCs w:val="24"/>
        </w:rPr>
        <w:footnoteReference w:id="4"/>
      </w:r>
      <w:r>
        <w:rPr>
          <w:sz w:val="24"/>
          <w:szCs w:val="24"/>
        </w:rPr>
        <w:t xml:space="preserve"> </w:t>
      </w:r>
      <w:r w:rsidRPr="00920E86">
        <w:rPr>
          <w:sz w:val="24"/>
          <w:szCs w:val="24"/>
        </w:rPr>
        <w:t>This statute set</w:t>
      </w:r>
      <w:r>
        <w:rPr>
          <w:sz w:val="24"/>
          <w:szCs w:val="24"/>
        </w:rPr>
        <w:t>s</w:t>
      </w:r>
      <w:r w:rsidRPr="00920E86">
        <w:rPr>
          <w:sz w:val="24"/>
          <w:szCs w:val="24"/>
        </w:rPr>
        <w:t xml:space="preserve"> forth the state policy that electric utilities’ rates should facilitate the state’s competitiveness in the global economy.</w:t>
      </w:r>
      <w:r>
        <w:rPr>
          <w:sz w:val="24"/>
          <w:szCs w:val="24"/>
        </w:rPr>
        <w:t xml:space="preserve"> Although not explicitly stated, it is quite obvious the intent is for all utilities’ rates to facilitate the state’s competitiveness, not just electric utilities. </w:t>
      </w:r>
      <w:r w:rsidRPr="00920E86">
        <w:rPr>
          <w:sz w:val="24"/>
          <w:szCs w:val="24"/>
        </w:rPr>
        <w:t xml:space="preserve"> The Legislature has established a similar state policy for gas utilities</w:t>
      </w:r>
      <w:r>
        <w:rPr>
          <w:sz w:val="24"/>
          <w:szCs w:val="24"/>
        </w:rPr>
        <w:t xml:space="preserve"> under</w:t>
      </w:r>
      <w:r w:rsidRPr="00920E86">
        <w:rPr>
          <w:sz w:val="24"/>
          <w:szCs w:val="24"/>
        </w:rPr>
        <w:t xml:space="preserve"> R.C. 4929.02(A)(8). As the PUCO relied on R.C. 4928.02(N) in ordering electric utilities to wind down their DSM/EE programs, the PUCO should similarly rely on R.C. 4929.02(A)(8) to reject Dominion’s proposal to continue and expand its non-low-income residential DSM/EE programs</w:t>
      </w:r>
      <w:r>
        <w:rPr>
          <w:sz w:val="24"/>
          <w:szCs w:val="24"/>
        </w:rPr>
        <w:t xml:space="preserve">. </w:t>
      </w:r>
      <w:r w:rsidRPr="00D107D3" w:rsidR="00816210">
        <w:rPr>
          <w:sz w:val="24"/>
          <w:szCs w:val="24"/>
        </w:rPr>
        <w:t>The PUCO should consider other options for non-low-income programs that do not require program subsidies, such as the Pay as you Save (PAYS®) program</w:t>
      </w:r>
      <w:r w:rsidR="00816210">
        <w:t>.</w:t>
      </w:r>
      <w:r w:rsidR="00625F66">
        <w:t xml:space="preserve"> Moreover,</w:t>
      </w:r>
      <w:r w:rsidR="00544D18">
        <w:t xml:space="preserve"> for their low-income program,</w:t>
      </w:r>
      <w:r w:rsidR="00625F66">
        <w:t xml:space="preserve"> Dominion should be required to provide upon request of OCC or</w:t>
      </w:r>
      <w:r w:rsidR="00893E09">
        <w:t xml:space="preserve"> the</w:t>
      </w:r>
      <w:r w:rsidR="00625F66">
        <w:t xml:space="preserve"> PUCO Staff, information regarding program expenses, audit findings and addresses where program funding is used.</w:t>
      </w:r>
    </w:p>
    <w:p w:rsidR="00880CE3" w:rsidP="00D107D3" w14:paraId="7B98FFA4" w14:textId="77777777">
      <w:pPr>
        <w:pStyle w:val="BodyText"/>
        <w:spacing w:before="12" w:line="480" w:lineRule="auto"/>
        <w:ind w:firstLine="720"/>
      </w:pPr>
      <w:r w:rsidRPr="004325A2">
        <w:t>DSM is at a crossroad</w:t>
      </w:r>
      <w:r w:rsidR="00FB3FBE">
        <w:t>s</w:t>
      </w:r>
      <w:r w:rsidRPr="004325A2">
        <w:t xml:space="preserve"> in Ohio.</w:t>
      </w:r>
      <w:r w:rsidR="00800115">
        <w:t xml:space="preserve"> </w:t>
      </w:r>
      <w:r w:rsidRPr="004325A2" w:rsidR="00B73112">
        <w:t>House Bill 6 repealed mandatory energy efficiency standards in 2019.</w:t>
      </w:r>
      <w:r w:rsidR="00800115">
        <w:t xml:space="preserve"> </w:t>
      </w:r>
      <w:r w:rsidRPr="004325A2" w:rsidR="00B73112">
        <w:t xml:space="preserve">As a result, electric utilities </w:t>
      </w:r>
      <w:r w:rsidR="004325A2">
        <w:t>were ordered to end</w:t>
      </w:r>
      <w:r w:rsidRPr="004325A2" w:rsidR="00B73112">
        <w:t xml:space="preserve"> their </w:t>
      </w:r>
      <w:r w:rsidR="00B92ADF">
        <w:t>energy efficiency</w:t>
      </w:r>
      <w:r w:rsidRPr="004325A2" w:rsidR="00B73112">
        <w:t xml:space="preserve"> programs in 2020</w:t>
      </w:r>
      <w:r w:rsidR="004325A2">
        <w:t xml:space="preserve"> because these programs were inconsistent with state policy to foster</w:t>
      </w:r>
      <w:r w:rsidR="00D107D3">
        <w:t xml:space="preserve"> </w:t>
      </w:r>
      <w:r w:rsidR="004325A2">
        <w:t>efficient rates to allow Ohio businesses to compete in the global economy.</w:t>
      </w:r>
      <w:r>
        <w:rPr>
          <w:rStyle w:val="FootnoteReference"/>
        </w:rPr>
        <w:footnoteReference w:id="5"/>
      </w:r>
      <w:r w:rsidR="00C76A50">
        <w:t xml:space="preserve"> Gas utilities rely on R.C. 4929.02(A)(8) that requires promotion of effective </w:t>
      </w:r>
    </w:p>
    <w:p w:rsidR="00880CE3" w14:paraId="4B3D3175" w14:textId="77777777">
      <w:pPr>
        <w:rPr>
          <w:sz w:val="24"/>
          <w:szCs w:val="24"/>
        </w:rPr>
      </w:pPr>
      <w:r>
        <w:br w:type="page"/>
      </w:r>
    </w:p>
    <w:p w:rsidR="009F5926" w:rsidP="00880CE3" w14:paraId="6A65EF88" w14:textId="37943189">
      <w:pPr>
        <w:pStyle w:val="BodyText"/>
        <w:spacing w:before="12" w:line="480" w:lineRule="auto"/>
      </w:pPr>
      <w:r>
        <w:t>competition.</w:t>
      </w:r>
      <w:r>
        <w:rPr>
          <w:rStyle w:val="FootnoteReference"/>
        </w:rPr>
        <w:footnoteReference w:id="6"/>
      </w:r>
      <w:r w:rsidR="00C0474F">
        <w:t xml:space="preserve"> </w:t>
      </w:r>
      <w:r>
        <w:t>A</w:t>
      </w:r>
      <w:r w:rsidR="00C0474F">
        <w:t>nd the PUCO should rely on this state policy to reject Dominion’s proposal to continue and expand its non-low-income residential DSM/EE programs.</w:t>
      </w:r>
    </w:p>
    <w:p w:rsidR="007B16EE" w:rsidP="00924128" w14:paraId="0B33D31F" w14:textId="77777777">
      <w:pPr>
        <w:pStyle w:val="BodyText"/>
        <w:spacing w:before="12"/>
        <w:ind w:firstLine="720"/>
      </w:pPr>
    </w:p>
    <w:p w:rsidR="001567E9" w:rsidRPr="007B16EE" w:rsidP="00924128" w14:paraId="4EF01B6F" w14:textId="2C4B3F89">
      <w:pPr>
        <w:pStyle w:val="Heading1"/>
      </w:pPr>
      <w:bookmarkStart w:id="5" w:name="_Toc116053218"/>
      <w:r>
        <w:t>II.</w:t>
      </w:r>
      <w:r>
        <w:tab/>
      </w:r>
      <w:r w:rsidRPr="007B16EE" w:rsidR="007574A5">
        <w:t>BACKGROUND</w:t>
      </w:r>
      <w:bookmarkEnd w:id="5"/>
    </w:p>
    <w:p w:rsidR="004C74DE" w:rsidRPr="00052191" w:rsidP="00924128" w14:paraId="4C816D1D" w14:textId="1757E5E9">
      <w:pPr>
        <w:pStyle w:val="Heading2"/>
        <w:numPr>
          <w:ilvl w:val="0"/>
          <w:numId w:val="7"/>
        </w:numPr>
        <w:ind w:left="1440" w:hanging="720"/>
        <w:rPr>
          <w:sz w:val="25"/>
        </w:rPr>
      </w:pPr>
      <w:bookmarkStart w:id="6" w:name="_Toc116053219"/>
      <w:r>
        <w:t>Summary of Dominion’s Proposal</w:t>
      </w:r>
      <w:r w:rsidR="007B16EE">
        <w:rPr>
          <w:b w:val="0"/>
        </w:rPr>
        <w:t>.</w:t>
      </w:r>
      <w:bookmarkEnd w:id="6"/>
    </w:p>
    <w:p w:rsidR="000557F1" w:rsidP="00552071" w14:paraId="21CEEC89" w14:textId="00A5A12F">
      <w:pPr>
        <w:spacing w:line="480" w:lineRule="auto"/>
        <w:ind w:right="40"/>
        <w:rPr>
          <w:sz w:val="25"/>
        </w:rPr>
      </w:pPr>
      <w:r>
        <w:rPr>
          <w:sz w:val="25"/>
        </w:rPr>
        <w:tab/>
      </w:r>
      <w:r w:rsidR="00052191">
        <w:rPr>
          <w:sz w:val="25"/>
        </w:rPr>
        <w:t xml:space="preserve">Dominion currently spends up to $9.5 million annually for </w:t>
      </w:r>
      <w:r>
        <w:rPr>
          <w:sz w:val="25"/>
        </w:rPr>
        <w:t>DSM/EE programs.</w:t>
      </w:r>
      <w:r w:rsidR="00800115">
        <w:rPr>
          <w:sz w:val="25"/>
        </w:rPr>
        <w:t xml:space="preserve"> </w:t>
      </w:r>
      <w:r>
        <w:rPr>
          <w:sz w:val="25"/>
        </w:rPr>
        <w:t xml:space="preserve">This budget consists of </w:t>
      </w:r>
      <w:r w:rsidR="00E928FF">
        <w:rPr>
          <w:sz w:val="25"/>
        </w:rPr>
        <w:t xml:space="preserve">$5.5 million for low-income DSM/EE programs, which Dominion collects </w:t>
      </w:r>
      <w:r w:rsidR="00552071">
        <w:rPr>
          <w:sz w:val="25"/>
        </w:rPr>
        <w:t xml:space="preserve">from consumers </w:t>
      </w:r>
      <w:r w:rsidR="00E928FF">
        <w:rPr>
          <w:sz w:val="25"/>
        </w:rPr>
        <w:t xml:space="preserve">in base rates plus an additional $4 million, which Dominion collects </w:t>
      </w:r>
      <w:r w:rsidR="00552071">
        <w:rPr>
          <w:sz w:val="25"/>
        </w:rPr>
        <w:t xml:space="preserve">from consumers </w:t>
      </w:r>
      <w:r w:rsidR="00E928FF">
        <w:rPr>
          <w:sz w:val="25"/>
        </w:rPr>
        <w:t xml:space="preserve">through its DSM/EE </w:t>
      </w:r>
      <w:r w:rsidR="00710F4D">
        <w:rPr>
          <w:sz w:val="25"/>
        </w:rPr>
        <w:t>Rider.</w:t>
      </w:r>
      <w:r>
        <w:rPr>
          <w:rStyle w:val="FootnoteReference"/>
          <w:sz w:val="25"/>
        </w:rPr>
        <w:footnoteReference w:id="7"/>
      </w:r>
      <w:r w:rsidR="00800115">
        <w:rPr>
          <w:sz w:val="25"/>
        </w:rPr>
        <w:t xml:space="preserve"> </w:t>
      </w:r>
      <w:r w:rsidR="00710F4D">
        <w:rPr>
          <w:sz w:val="25"/>
        </w:rPr>
        <w:t xml:space="preserve">Dominion proposes to increase DSM/EE spending to $14.6 million in </w:t>
      </w:r>
      <w:r w:rsidR="00635922">
        <w:rPr>
          <w:sz w:val="25"/>
        </w:rPr>
        <w:t>Year One (</w:t>
      </w:r>
      <w:r w:rsidR="00710F4D">
        <w:rPr>
          <w:sz w:val="25"/>
        </w:rPr>
        <w:t>2023</w:t>
      </w:r>
      <w:r w:rsidR="00635922">
        <w:rPr>
          <w:sz w:val="25"/>
        </w:rPr>
        <w:t>)</w:t>
      </w:r>
      <w:r w:rsidR="00710F4D">
        <w:rPr>
          <w:sz w:val="25"/>
        </w:rPr>
        <w:t xml:space="preserve"> with additional increases up to $20.4 million </w:t>
      </w:r>
      <w:r w:rsidR="00635922">
        <w:rPr>
          <w:sz w:val="25"/>
        </w:rPr>
        <w:t>annually by Year Five (2027) of the programs.</w:t>
      </w:r>
      <w:r>
        <w:rPr>
          <w:rStyle w:val="FootnoteReference"/>
          <w:sz w:val="25"/>
        </w:rPr>
        <w:footnoteReference w:id="8"/>
      </w:r>
      <w:r w:rsidR="00800115">
        <w:rPr>
          <w:sz w:val="25"/>
        </w:rPr>
        <w:t xml:space="preserve"> </w:t>
      </w:r>
      <w:r w:rsidR="002F04F7">
        <w:rPr>
          <w:sz w:val="25"/>
        </w:rPr>
        <w:t>Over the five-year period of the plan, Dominion</w:t>
      </w:r>
      <w:r w:rsidR="00AA3EBF">
        <w:rPr>
          <w:sz w:val="25"/>
        </w:rPr>
        <w:t xml:space="preserve"> would collect $92 </w:t>
      </w:r>
      <w:r w:rsidRPr="00AA3EBF" w:rsidR="00AA3EBF">
        <w:rPr>
          <w:sz w:val="25"/>
        </w:rPr>
        <w:t>million</w:t>
      </w:r>
      <w:r w:rsidR="00D46564">
        <w:rPr>
          <w:sz w:val="25"/>
        </w:rPr>
        <w:t xml:space="preserve"> </w:t>
      </w:r>
      <w:r w:rsidRPr="00AA3EBF" w:rsidR="00AA3EBF">
        <w:rPr>
          <w:sz w:val="25"/>
        </w:rPr>
        <w:t>DSM rider</w:t>
      </w:r>
      <w:r w:rsidR="00AA3EBF">
        <w:rPr>
          <w:sz w:val="25"/>
        </w:rPr>
        <w:t xml:space="preserve"> costs.</w:t>
      </w:r>
      <w:r>
        <w:rPr>
          <w:rStyle w:val="FootnoteReference"/>
          <w:sz w:val="25"/>
        </w:rPr>
        <w:footnoteReference w:id="9"/>
      </w:r>
    </w:p>
    <w:p w:rsidR="003B6E00" w:rsidRPr="00052191" w:rsidP="00924128" w14:paraId="717CEBCB" w14:textId="77EF4846">
      <w:pPr>
        <w:spacing w:line="480" w:lineRule="auto"/>
        <w:ind w:right="220" w:firstLine="720"/>
        <w:rPr>
          <w:sz w:val="25"/>
        </w:rPr>
      </w:pPr>
      <w:r w:rsidRPr="004541BA">
        <w:rPr>
          <w:sz w:val="25"/>
        </w:rPr>
        <w:t xml:space="preserve">In addition to </w:t>
      </w:r>
      <w:r w:rsidR="00480DD8">
        <w:rPr>
          <w:sz w:val="25"/>
        </w:rPr>
        <w:t xml:space="preserve">an </w:t>
      </w:r>
      <w:r w:rsidR="0005638F">
        <w:rPr>
          <w:sz w:val="25"/>
        </w:rPr>
        <w:t xml:space="preserve">estimated </w:t>
      </w:r>
      <w:r w:rsidRPr="004541BA" w:rsidR="0005638F">
        <w:rPr>
          <w:sz w:val="25"/>
        </w:rPr>
        <w:t>$</w:t>
      </w:r>
      <w:r w:rsidR="00292303">
        <w:rPr>
          <w:sz w:val="25"/>
        </w:rPr>
        <w:t>45</w:t>
      </w:r>
      <w:r w:rsidR="0005638F">
        <w:rPr>
          <w:sz w:val="25"/>
        </w:rPr>
        <w:t xml:space="preserve"> </w:t>
      </w:r>
      <w:r w:rsidRPr="004541BA" w:rsidR="002F7453">
        <w:rPr>
          <w:sz w:val="25"/>
        </w:rPr>
        <w:t>million increase</w:t>
      </w:r>
      <w:r w:rsidR="00E73869">
        <w:rPr>
          <w:sz w:val="25"/>
        </w:rPr>
        <w:t xml:space="preserve"> ($45 million is the difference between the $92 million Dominion proposes to spend and the $47.5 million they spend currently),</w:t>
      </w:r>
      <w:r>
        <w:rPr>
          <w:rStyle w:val="FootnoteReference"/>
          <w:sz w:val="25"/>
        </w:rPr>
        <w:footnoteReference w:id="10"/>
      </w:r>
      <w:r w:rsidR="00E73869">
        <w:rPr>
          <w:sz w:val="25"/>
        </w:rPr>
        <w:t xml:space="preserve"> </w:t>
      </w:r>
      <w:r w:rsidRPr="004541BA" w:rsidR="002F7453">
        <w:rPr>
          <w:sz w:val="25"/>
        </w:rPr>
        <w:t>Dominion proposes that the DSM rider would increase by an additional 3% annually.</w:t>
      </w:r>
      <w:r>
        <w:rPr>
          <w:rStyle w:val="FootnoteReference"/>
          <w:sz w:val="25"/>
        </w:rPr>
        <w:footnoteReference w:id="11"/>
      </w:r>
      <w:r w:rsidRPr="004541BA" w:rsidR="002F7453">
        <w:rPr>
          <w:sz w:val="25"/>
        </w:rPr>
        <w:t xml:space="preserve"> The annual 3% increases would be automatic</w:t>
      </w:r>
      <w:r w:rsidR="000C3F0E">
        <w:rPr>
          <w:sz w:val="25"/>
        </w:rPr>
        <w:t xml:space="preserve"> with no pre-approval needed</w:t>
      </w:r>
      <w:r w:rsidRPr="004541BA" w:rsidR="002F7453">
        <w:rPr>
          <w:sz w:val="25"/>
        </w:rPr>
        <w:t>.</w:t>
      </w:r>
      <w:r>
        <w:rPr>
          <w:rStyle w:val="FootnoteReference"/>
          <w:sz w:val="25"/>
        </w:rPr>
        <w:footnoteReference w:id="12"/>
      </w:r>
      <w:r w:rsidR="00800115">
        <w:rPr>
          <w:sz w:val="25"/>
        </w:rPr>
        <w:t xml:space="preserve"> </w:t>
      </w:r>
      <w:r w:rsidRPr="004541BA" w:rsidR="002F7453">
        <w:rPr>
          <w:sz w:val="25"/>
        </w:rPr>
        <w:t>The automatic annual 3% increases would continue until the next PUCO order modifying Dominion’s DSM/EE rider.</w:t>
      </w:r>
      <w:r>
        <w:rPr>
          <w:rStyle w:val="FootnoteReference"/>
          <w:sz w:val="25"/>
        </w:rPr>
        <w:footnoteReference w:id="13"/>
      </w:r>
    </w:p>
    <w:p w:rsidR="004541BA" w:rsidRPr="000557F1" w:rsidP="00924128" w14:paraId="009707E9" w14:textId="5F9F8B2B">
      <w:pPr>
        <w:pStyle w:val="Heading2"/>
        <w:numPr>
          <w:ilvl w:val="0"/>
          <w:numId w:val="7"/>
        </w:numPr>
        <w:ind w:left="1440" w:hanging="720"/>
        <w:rPr>
          <w:sz w:val="25"/>
        </w:rPr>
      </w:pPr>
      <w:bookmarkStart w:id="7" w:name="_Toc116053220"/>
      <w:r w:rsidRPr="000557F1">
        <w:t>Summary of Staff Report</w:t>
      </w:r>
      <w:bookmarkEnd w:id="7"/>
    </w:p>
    <w:p w:rsidR="004541BA" w:rsidRPr="004541BA" w:rsidP="00924128" w14:paraId="55F8481A" w14:textId="0852C0F7">
      <w:pPr>
        <w:spacing w:line="480" w:lineRule="auto"/>
        <w:rPr>
          <w:sz w:val="25"/>
        </w:rPr>
      </w:pPr>
      <w:r>
        <w:rPr>
          <w:bCs/>
          <w:sz w:val="24"/>
        </w:rPr>
        <w:tab/>
      </w:r>
      <w:r w:rsidR="00791FEB">
        <w:rPr>
          <w:bCs/>
          <w:sz w:val="24"/>
        </w:rPr>
        <w:t xml:space="preserve">The Staff Report concluded that Dominion’s proposal was not </w:t>
      </w:r>
      <w:r w:rsidR="00732718">
        <w:rPr>
          <w:bCs/>
          <w:sz w:val="24"/>
        </w:rPr>
        <w:t>reasonable</w:t>
      </w:r>
      <w:r w:rsidR="00791FEB">
        <w:rPr>
          <w:bCs/>
          <w:sz w:val="24"/>
        </w:rPr>
        <w:t xml:space="preserve"> because, when the Staff Report was prepared, the PUCO was holding workshops to evaluate the future role of energy efficiency in Ohio.</w:t>
      </w:r>
      <w:r>
        <w:rPr>
          <w:rStyle w:val="FootnoteReference"/>
          <w:bCs/>
          <w:sz w:val="24"/>
        </w:rPr>
        <w:footnoteReference w:id="14"/>
      </w:r>
    </w:p>
    <w:p w:rsidR="001567E9" w:rsidRPr="000D1F40" w:rsidP="00924128" w14:paraId="124D3CFA" w14:textId="3EEE022D">
      <w:pPr>
        <w:pStyle w:val="Heading2"/>
        <w:numPr>
          <w:ilvl w:val="0"/>
          <w:numId w:val="7"/>
        </w:numPr>
        <w:ind w:left="1440" w:hanging="720"/>
        <w:rPr>
          <w:sz w:val="25"/>
        </w:rPr>
      </w:pPr>
      <w:bookmarkStart w:id="8" w:name="_Toc116053221"/>
      <w:r w:rsidRPr="000D1F40">
        <w:t xml:space="preserve">Summary of </w:t>
      </w:r>
      <w:r w:rsidR="00292303">
        <w:t xml:space="preserve">OCC </w:t>
      </w:r>
      <w:r w:rsidRPr="000D1F40">
        <w:t>Pre-Filed Witness Testimony</w:t>
      </w:r>
      <w:bookmarkEnd w:id="8"/>
    </w:p>
    <w:p w:rsidR="00880CE3" w:rsidP="00AD097F" w14:paraId="605A8DE0" w14:textId="69894316">
      <w:pPr>
        <w:tabs>
          <w:tab w:val="left" w:pos="720"/>
        </w:tabs>
        <w:spacing w:before="6" w:line="480" w:lineRule="auto"/>
        <w:rPr>
          <w:sz w:val="24"/>
          <w:szCs w:val="24"/>
        </w:rPr>
      </w:pPr>
      <w:r>
        <w:rPr>
          <w:sz w:val="24"/>
          <w:szCs w:val="24"/>
        </w:rPr>
        <w:tab/>
        <w:t xml:space="preserve">OCC’s expert witness Colleen Shutrump testified that </w:t>
      </w:r>
      <w:r w:rsidRPr="00526201">
        <w:rPr>
          <w:sz w:val="24"/>
          <w:szCs w:val="24"/>
        </w:rPr>
        <w:t xml:space="preserve">Dominion’s proposal is unjust and unreasonable because </w:t>
      </w:r>
      <w:r w:rsidR="00132A50">
        <w:rPr>
          <w:sz w:val="24"/>
          <w:szCs w:val="24"/>
        </w:rPr>
        <w:t>the DSM/EE charges represent a subsidy paid by all of Dominion’s customers including those that don’t participate in programs and don’t receive energy efficiency benefits.</w:t>
      </w:r>
      <w:r>
        <w:rPr>
          <w:rStyle w:val="FootnoteReference"/>
          <w:sz w:val="24"/>
          <w:szCs w:val="24"/>
        </w:rPr>
        <w:footnoteReference w:id="15"/>
      </w:r>
      <w:r w:rsidR="00132A50">
        <w:rPr>
          <w:sz w:val="24"/>
          <w:szCs w:val="24"/>
        </w:rPr>
        <w:t xml:space="preserve"> Moreover, </w:t>
      </w:r>
      <w:r w:rsidRPr="00526201">
        <w:rPr>
          <w:sz w:val="24"/>
          <w:szCs w:val="24"/>
        </w:rPr>
        <w:t>consumers can access energy efficiency in the competitive market at competitive prices.</w:t>
      </w:r>
      <w:r>
        <w:rPr>
          <w:rStyle w:val="FootnoteReference"/>
          <w:sz w:val="24"/>
          <w:szCs w:val="24"/>
        </w:rPr>
        <w:footnoteReference w:id="16"/>
      </w:r>
      <w:r w:rsidRPr="00526201">
        <w:rPr>
          <w:sz w:val="24"/>
          <w:szCs w:val="24"/>
        </w:rPr>
        <w:t xml:space="preserve"> A competitive market is not defined by the energy savings </w:t>
      </w:r>
      <w:r>
        <w:rPr>
          <w:sz w:val="24"/>
          <w:szCs w:val="24"/>
        </w:rPr>
        <w:t>realized</w:t>
      </w:r>
      <w:r w:rsidR="00BC4E26">
        <w:rPr>
          <w:sz w:val="24"/>
          <w:szCs w:val="24"/>
        </w:rPr>
        <w:t xml:space="preserve"> by consumer-paid subsidies to monopoly utilities</w:t>
      </w:r>
      <w:r>
        <w:rPr>
          <w:sz w:val="24"/>
          <w:szCs w:val="24"/>
        </w:rPr>
        <w:t>.</w:t>
      </w:r>
      <w:r>
        <w:rPr>
          <w:rStyle w:val="FootnoteReference"/>
          <w:sz w:val="24"/>
          <w:szCs w:val="24"/>
        </w:rPr>
        <w:footnoteReference w:id="17"/>
      </w:r>
      <w:r w:rsidRPr="00526201">
        <w:rPr>
          <w:sz w:val="24"/>
          <w:szCs w:val="24"/>
        </w:rPr>
        <w:t xml:space="preserve"> </w:t>
      </w:r>
      <w:r>
        <w:rPr>
          <w:sz w:val="24"/>
          <w:szCs w:val="24"/>
        </w:rPr>
        <w:t xml:space="preserve">Instead, it is defined </w:t>
      </w:r>
      <w:r w:rsidRPr="00526201">
        <w:rPr>
          <w:sz w:val="24"/>
          <w:szCs w:val="24"/>
        </w:rPr>
        <w:t>by virtue of many producers of products, many retailers selling those products</w:t>
      </w:r>
      <w:r>
        <w:rPr>
          <w:sz w:val="24"/>
          <w:szCs w:val="24"/>
        </w:rPr>
        <w:t>,</w:t>
      </w:r>
      <w:r w:rsidRPr="00526201">
        <w:rPr>
          <w:sz w:val="24"/>
          <w:szCs w:val="24"/>
        </w:rPr>
        <w:t xml:space="preserve"> and consumers who demand those products.</w:t>
      </w:r>
      <w:r>
        <w:rPr>
          <w:rStyle w:val="FootnoteReference"/>
          <w:sz w:val="24"/>
          <w:szCs w:val="24"/>
        </w:rPr>
        <w:footnoteReference w:id="18"/>
      </w:r>
      <w:r w:rsidRPr="00526201">
        <w:rPr>
          <w:sz w:val="24"/>
          <w:szCs w:val="24"/>
        </w:rPr>
        <w:t xml:space="preserve"> OCC witness Shutrump explained in her testimony</w:t>
      </w:r>
      <w:r>
        <w:rPr>
          <w:sz w:val="24"/>
          <w:szCs w:val="24"/>
        </w:rPr>
        <w:t xml:space="preserve"> that</w:t>
      </w:r>
      <w:r w:rsidRPr="00526201">
        <w:rPr>
          <w:sz w:val="24"/>
          <w:szCs w:val="24"/>
        </w:rPr>
        <w:t xml:space="preserve"> “The competitive market for energy efficiency products and services has provided consumers with 300 million ENERGY STAR certified products in 2020</w:t>
      </w:r>
      <w:r w:rsidR="00A73E3F">
        <w:rPr>
          <w:sz w:val="24"/>
          <w:szCs w:val="24"/>
        </w:rPr>
        <w:t>.”</w:t>
      </w:r>
      <w:r>
        <w:rPr>
          <w:rStyle w:val="FootnoteReference"/>
          <w:sz w:val="24"/>
          <w:szCs w:val="24"/>
        </w:rPr>
        <w:footnoteReference w:id="19"/>
      </w:r>
      <w:r w:rsidRPr="00526201">
        <w:rPr>
          <w:sz w:val="24"/>
          <w:szCs w:val="24"/>
        </w:rPr>
        <w:t xml:space="preserve">  </w:t>
      </w:r>
    </w:p>
    <w:p w:rsidR="00880CE3" w14:paraId="68681814" w14:textId="77777777">
      <w:pPr>
        <w:rPr>
          <w:sz w:val="24"/>
          <w:szCs w:val="24"/>
        </w:rPr>
      </w:pPr>
      <w:r>
        <w:rPr>
          <w:sz w:val="24"/>
          <w:szCs w:val="24"/>
        </w:rPr>
        <w:br w:type="page"/>
      </w:r>
    </w:p>
    <w:p w:rsidR="00355C69" w:rsidRPr="00526201" w:rsidP="00AD097F" w14:paraId="0E290BEB" w14:textId="2A177663">
      <w:pPr>
        <w:tabs>
          <w:tab w:val="left" w:pos="720"/>
        </w:tabs>
        <w:spacing w:before="6" w:line="480" w:lineRule="auto"/>
        <w:rPr>
          <w:sz w:val="24"/>
          <w:szCs w:val="24"/>
        </w:rPr>
      </w:pPr>
      <w:r>
        <w:rPr>
          <w:sz w:val="24"/>
          <w:szCs w:val="24"/>
        </w:rPr>
        <w:tab/>
      </w:r>
      <w:r w:rsidRPr="00526201">
        <w:rPr>
          <w:sz w:val="24"/>
          <w:szCs w:val="24"/>
        </w:rPr>
        <w:t xml:space="preserve">Ms. Shutrump supported her testimony </w:t>
      </w:r>
      <w:r w:rsidR="007E564F">
        <w:rPr>
          <w:sz w:val="24"/>
          <w:szCs w:val="24"/>
        </w:rPr>
        <w:t>on cross-examination</w:t>
      </w:r>
      <w:r w:rsidRPr="00526201">
        <w:rPr>
          <w:sz w:val="24"/>
          <w:szCs w:val="24"/>
        </w:rPr>
        <w:t>, by providing evidence that a sufficient competitive market exists in Dominion’s service territory.</w:t>
      </w:r>
      <w:r>
        <w:rPr>
          <w:rStyle w:val="FootnoteReference"/>
          <w:sz w:val="24"/>
          <w:szCs w:val="24"/>
        </w:rPr>
        <w:footnoteReference w:id="20"/>
      </w:r>
      <w:r w:rsidRPr="00526201">
        <w:rPr>
          <w:sz w:val="24"/>
          <w:szCs w:val="24"/>
        </w:rPr>
        <w:t xml:space="preserve"> When a consumer registers for an account on the ENERGY STAR website, they can search for a high efficiency gas water heater</w:t>
      </w:r>
      <w:r>
        <w:rPr>
          <w:sz w:val="24"/>
          <w:szCs w:val="24"/>
        </w:rPr>
        <w:t>s</w:t>
      </w:r>
      <w:r w:rsidRPr="00526201">
        <w:rPr>
          <w:sz w:val="24"/>
          <w:szCs w:val="24"/>
        </w:rPr>
        <w:t xml:space="preserve"> by zip-code</w:t>
      </w:r>
      <w:r>
        <w:rPr>
          <w:sz w:val="24"/>
          <w:szCs w:val="24"/>
        </w:rPr>
        <w:t>.</w:t>
      </w:r>
      <w:r>
        <w:rPr>
          <w:rStyle w:val="FootnoteReference"/>
          <w:sz w:val="24"/>
          <w:szCs w:val="24"/>
        </w:rPr>
        <w:footnoteReference w:id="21"/>
      </w:r>
      <w:r w:rsidRPr="00526201">
        <w:rPr>
          <w:sz w:val="24"/>
          <w:szCs w:val="24"/>
        </w:rPr>
        <w:t xml:space="preserve"> </w:t>
      </w:r>
      <w:r>
        <w:rPr>
          <w:sz w:val="24"/>
          <w:szCs w:val="24"/>
        </w:rPr>
        <w:t>T</w:t>
      </w:r>
      <w:r w:rsidRPr="00526201">
        <w:rPr>
          <w:sz w:val="24"/>
          <w:szCs w:val="24"/>
        </w:rPr>
        <w:t>he search will result in the number of products available in that zip-code, the number of retailers selling that product in that zip-code, and the number of installers in that zip-code.</w:t>
      </w:r>
      <w:r>
        <w:rPr>
          <w:rStyle w:val="FootnoteReference"/>
          <w:sz w:val="24"/>
          <w:szCs w:val="24"/>
        </w:rPr>
        <w:footnoteReference w:id="22"/>
      </w:r>
      <w:r w:rsidRPr="00526201">
        <w:rPr>
          <w:sz w:val="24"/>
          <w:szCs w:val="24"/>
        </w:rPr>
        <w:t xml:space="preserve"> </w:t>
      </w:r>
    </w:p>
    <w:p w:rsidR="00355C69" w:rsidP="00D107D3" w14:paraId="57BADC35" w14:textId="078AF49F">
      <w:pPr>
        <w:pStyle w:val="BodyText"/>
        <w:spacing w:before="12" w:line="480" w:lineRule="auto"/>
        <w:ind w:firstLine="720"/>
      </w:pPr>
      <w:r>
        <w:t xml:space="preserve">And for low-income consumers, </w:t>
      </w:r>
      <w:r w:rsidR="007A4CDA">
        <w:t xml:space="preserve">costs for </w:t>
      </w:r>
      <w:r w:rsidRPr="00526201">
        <w:t xml:space="preserve">Dominion’s Housewarming program </w:t>
      </w:r>
      <w:r w:rsidR="00957105">
        <w:t>are</w:t>
      </w:r>
      <w:r w:rsidR="007A4CDA">
        <w:t xml:space="preserve"> increasing. </w:t>
      </w:r>
      <w:r w:rsidR="007237CB">
        <w:t>Dominion’s Housewarming proposal includes $5.5 million in base rates and Dominion collects any additional funding through the DSM rider. But program costs are increasing to as high as $10,097 per home from July-November of 2021.</w:t>
      </w:r>
      <w:r w:rsidRPr="00526201">
        <w:t xml:space="preserve"> </w:t>
      </w:r>
      <w:r w:rsidR="007237CB">
        <w:t>Moreover, a</w:t>
      </w:r>
      <w:r w:rsidRPr="00526201">
        <w:t xml:space="preserve">s OCC witness Shutrump explained in her testimony, Dominion does not </w:t>
      </w:r>
      <w:r w:rsidR="00B825AF">
        <w:t xml:space="preserve">(but should have) </w:t>
      </w:r>
      <w:r w:rsidRPr="00526201">
        <w:t>provide a description and analysis of how Housewarming funds will be used in conjunction with programs that coordinate with and contribute funds to low-income weatherization services.</w:t>
      </w:r>
      <w:r>
        <w:rPr>
          <w:rStyle w:val="FootnoteReference"/>
        </w:rPr>
        <w:footnoteReference w:id="23"/>
      </w:r>
      <w:r w:rsidR="007237CB">
        <w:t xml:space="preserve"> Consumers’ share of low-income program funding relative to other funding sources should be more transparent. Dominion’s </w:t>
      </w:r>
      <w:r w:rsidRPr="00526201" w:rsidR="007237CB">
        <w:t>proposal should be modified to include a transparent accounting of program costs and leveraged funds.</w:t>
      </w:r>
    </w:p>
    <w:p w:rsidR="004541BA" w:rsidRPr="000D1F40" w:rsidP="00924128" w14:paraId="2C43FC1F" w14:textId="544E069E">
      <w:pPr>
        <w:pStyle w:val="Heading2"/>
        <w:rPr>
          <w:sz w:val="25"/>
        </w:rPr>
      </w:pPr>
      <w:bookmarkStart w:id="9" w:name="_Toc116053222"/>
      <w:r>
        <w:t>D.</w:t>
      </w:r>
      <w:r>
        <w:tab/>
      </w:r>
      <w:r w:rsidRPr="000D1F40">
        <w:t xml:space="preserve">Summary of </w:t>
      </w:r>
      <w:r w:rsidR="00CA0895">
        <w:t xml:space="preserve">Dominion </w:t>
      </w:r>
      <w:r w:rsidRPr="000D1F40">
        <w:t>Hearing Testimony</w:t>
      </w:r>
      <w:bookmarkEnd w:id="9"/>
    </w:p>
    <w:p w:rsidR="00131F52" w:rsidP="00924128" w14:paraId="4D247C8F" w14:textId="4F61A55E">
      <w:pPr>
        <w:spacing w:before="6" w:line="480" w:lineRule="auto"/>
        <w:ind w:firstLine="720"/>
        <w:rPr>
          <w:sz w:val="25"/>
        </w:rPr>
      </w:pPr>
      <w:r>
        <w:rPr>
          <w:sz w:val="25"/>
        </w:rPr>
        <w:t>On cross-examination, Dominion’s witness</w:t>
      </w:r>
      <w:r>
        <w:rPr>
          <w:rStyle w:val="FootnoteReference"/>
          <w:sz w:val="25"/>
        </w:rPr>
        <w:footnoteReference w:id="24"/>
      </w:r>
      <w:r>
        <w:rPr>
          <w:sz w:val="25"/>
        </w:rPr>
        <w:t xml:space="preserve"> acknowledged several reasons for the automatic 3% annual increase in total budgeted DSM/EE spending after year five.</w:t>
      </w:r>
      <w:r>
        <w:rPr>
          <w:rStyle w:val="FootnoteReference"/>
          <w:sz w:val="25"/>
        </w:rPr>
        <w:footnoteReference w:id="25"/>
      </w:r>
      <w:r w:rsidR="00800115">
        <w:rPr>
          <w:sz w:val="25"/>
        </w:rPr>
        <w:t xml:space="preserve"> </w:t>
      </w:r>
      <w:r>
        <w:rPr>
          <w:sz w:val="25"/>
        </w:rPr>
        <w:t>The</w:t>
      </w:r>
      <w:r w:rsidR="008158A5">
        <w:rPr>
          <w:sz w:val="25"/>
        </w:rPr>
        <w:t xml:space="preserve"> rationale included allowing Dominion to account for inflation, changes in market conditions and/o</w:t>
      </w:r>
      <w:r w:rsidR="00F30219">
        <w:rPr>
          <w:sz w:val="25"/>
        </w:rPr>
        <w:t>r technology, as well as unforeseen circumstances.</w:t>
      </w:r>
      <w:r>
        <w:rPr>
          <w:rStyle w:val="FootnoteReference"/>
          <w:sz w:val="25"/>
        </w:rPr>
        <w:footnoteReference w:id="26"/>
      </w:r>
      <w:r w:rsidR="00F30219">
        <w:rPr>
          <w:sz w:val="25"/>
        </w:rPr>
        <w:t xml:space="preserve"> </w:t>
      </w:r>
      <w:r w:rsidR="00F916E5">
        <w:rPr>
          <w:sz w:val="25"/>
        </w:rPr>
        <w:t>However, the witness also admitted that “changes could occur within five years” which would potentially lead to decrease</w:t>
      </w:r>
      <w:r w:rsidR="00BC4E26">
        <w:rPr>
          <w:sz w:val="25"/>
        </w:rPr>
        <w:t>s</w:t>
      </w:r>
      <w:r w:rsidR="00F916E5">
        <w:rPr>
          <w:sz w:val="25"/>
        </w:rPr>
        <w:t xml:space="preserve"> in program costs.</w:t>
      </w:r>
      <w:r>
        <w:rPr>
          <w:rStyle w:val="FootnoteReference"/>
          <w:sz w:val="25"/>
        </w:rPr>
        <w:footnoteReference w:id="27"/>
      </w:r>
      <w:r w:rsidR="00F916E5">
        <w:rPr>
          <w:sz w:val="25"/>
        </w:rPr>
        <w:t xml:space="preserve"> </w:t>
      </w:r>
      <w:r w:rsidR="00682418">
        <w:rPr>
          <w:sz w:val="25"/>
        </w:rPr>
        <w:t>The rate of inflation could be lower than it is currently, and technology changes could lead to lower costs.</w:t>
      </w:r>
    </w:p>
    <w:p w:rsidR="00F05D37" w:rsidP="00924128" w14:paraId="2E3B91A3" w14:textId="6E1CA9AE">
      <w:pPr>
        <w:spacing w:before="6" w:line="480" w:lineRule="auto"/>
        <w:ind w:firstLine="720"/>
        <w:rPr>
          <w:sz w:val="25"/>
        </w:rPr>
      </w:pPr>
      <w:r>
        <w:rPr>
          <w:sz w:val="25"/>
        </w:rPr>
        <w:t xml:space="preserve">Dominion’s </w:t>
      </w:r>
      <w:r w:rsidR="00682418">
        <w:rPr>
          <w:sz w:val="25"/>
        </w:rPr>
        <w:t xml:space="preserve">witness testified that </w:t>
      </w:r>
      <w:r>
        <w:rPr>
          <w:sz w:val="25"/>
        </w:rPr>
        <w:t xml:space="preserve">the utility </w:t>
      </w:r>
      <w:r w:rsidR="00682418">
        <w:rPr>
          <w:sz w:val="25"/>
        </w:rPr>
        <w:t>is "not requesting a change in the process with the PUCO,”</w:t>
      </w:r>
      <w:r>
        <w:rPr>
          <w:sz w:val="25"/>
        </w:rPr>
        <w:t xml:space="preserve"> and that “we are intending to put this additional spend in that annual rider filing.”</w:t>
      </w:r>
      <w:r>
        <w:rPr>
          <w:rStyle w:val="FootnoteReference"/>
          <w:sz w:val="25"/>
        </w:rPr>
        <w:footnoteReference w:id="28"/>
      </w:r>
      <w:r>
        <w:rPr>
          <w:sz w:val="25"/>
        </w:rPr>
        <w:t xml:space="preserve"> However, the witness claimed no knowledge of the PUCO’s practice to not allow an automatic increase without PUCO annual preapproval of the new spending.</w:t>
      </w:r>
      <w:r>
        <w:rPr>
          <w:rStyle w:val="FootnoteReference"/>
          <w:sz w:val="25"/>
        </w:rPr>
        <w:footnoteReference w:id="29"/>
      </w:r>
      <w:r>
        <w:rPr>
          <w:sz w:val="25"/>
        </w:rPr>
        <w:t xml:space="preserve"> </w:t>
      </w:r>
      <w:r w:rsidR="00A9023C">
        <w:rPr>
          <w:sz w:val="25"/>
        </w:rPr>
        <w:t xml:space="preserve">On cross-examination, Dominion’s witness acknowledged that the </w:t>
      </w:r>
      <w:r w:rsidR="00BC4E26">
        <w:rPr>
          <w:sz w:val="25"/>
        </w:rPr>
        <w:t xml:space="preserve">3% </w:t>
      </w:r>
      <w:r w:rsidR="00A9023C">
        <w:rPr>
          <w:sz w:val="25"/>
        </w:rPr>
        <w:t>automatic annual increase would not be subject to preapproval.</w:t>
      </w:r>
      <w:r>
        <w:rPr>
          <w:rStyle w:val="FootnoteReference"/>
          <w:sz w:val="25"/>
        </w:rPr>
        <w:footnoteReference w:id="30"/>
      </w:r>
      <w:r w:rsidR="00800115">
        <w:rPr>
          <w:sz w:val="25"/>
        </w:rPr>
        <w:t xml:space="preserve"> </w:t>
      </w:r>
      <w:r w:rsidR="007E07F8">
        <w:rPr>
          <w:sz w:val="25"/>
        </w:rPr>
        <w:t>T</w:t>
      </w:r>
      <w:r w:rsidR="004B0700">
        <w:rPr>
          <w:sz w:val="25"/>
        </w:rPr>
        <w:t>he witness disagreed with the idea that Dominion should obtain pre-approval from the PUCO for every spending increase.</w:t>
      </w:r>
      <w:r>
        <w:rPr>
          <w:rStyle w:val="FootnoteReference"/>
          <w:sz w:val="25"/>
        </w:rPr>
        <w:footnoteReference w:id="31"/>
      </w:r>
      <w:r w:rsidR="004B0700">
        <w:rPr>
          <w:sz w:val="25"/>
        </w:rPr>
        <w:t xml:space="preserve"> Instead, the witness </w:t>
      </w:r>
    </w:p>
    <w:p w:rsidR="00F05D37" w14:paraId="751B1895" w14:textId="77777777">
      <w:pPr>
        <w:rPr>
          <w:sz w:val="25"/>
        </w:rPr>
      </w:pPr>
      <w:r>
        <w:rPr>
          <w:sz w:val="25"/>
        </w:rPr>
        <w:br w:type="page"/>
      </w:r>
    </w:p>
    <w:p w:rsidR="004B0700" w:rsidP="00F05D37" w14:paraId="73B77FF8" w14:textId="3E4EEE5C">
      <w:pPr>
        <w:spacing w:before="6" w:line="480" w:lineRule="auto"/>
        <w:rPr>
          <w:sz w:val="25"/>
        </w:rPr>
      </w:pPr>
      <w:r>
        <w:rPr>
          <w:sz w:val="25"/>
        </w:rPr>
        <w:t>characterized the automatic 3% annual increase as a “cap,” not requiring PUCO approval.</w:t>
      </w:r>
      <w:r>
        <w:rPr>
          <w:rStyle w:val="FootnoteReference"/>
          <w:sz w:val="25"/>
        </w:rPr>
        <w:footnoteReference w:id="32"/>
      </w:r>
      <w:r>
        <w:rPr>
          <w:sz w:val="25"/>
        </w:rPr>
        <w:t xml:space="preserve"> </w:t>
      </w:r>
    </w:p>
    <w:p w:rsidR="006653C0" w:rsidP="000D1F40" w14:paraId="133EABE0" w14:textId="5CA66BE6">
      <w:pPr>
        <w:spacing w:before="6" w:line="480" w:lineRule="auto"/>
        <w:rPr>
          <w:sz w:val="25"/>
        </w:rPr>
      </w:pPr>
      <w:r>
        <w:rPr>
          <w:sz w:val="25"/>
        </w:rPr>
        <w:tab/>
      </w:r>
      <w:r w:rsidR="00D23E08">
        <w:rPr>
          <w:sz w:val="25"/>
        </w:rPr>
        <w:t>This is contrary to PUCO</w:t>
      </w:r>
      <w:r w:rsidR="00313640">
        <w:rPr>
          <w:sz w:val="25"/>
        </w:rPr>
        <w:t xml:space="preserve"> and proper ratemaking</w:t>
      </w:r>
      <w:r w:rsidR="00D23E08">
        <w:rPr>
          <w:sz w:val="25"/>
        </w:rPr>
        <w:t xml:space="preserve"> practice</w:t>
      </w:r>
      <w:r w:rsidR="0017144B">
        <w:rPr>
          <w:sz w:val="25"/>
        </w:rPr>
        <w:t xml:space="preserve">. As OCC witness Shutrump points out, approving an automatic </w:t>
      </w:r>
      <w:r w:rsidR="001F076D">
        <w:rPr>
          <w:sz w:val="25"/>
        </w:rPr>
        <w:t xml:space="preserve">3% </w:t>
      </w:r>
      <w:r w:rsidR="0017144B">
        <w:rPr>
          <w:sz w:val="25"/>
        </w:rPr>
        <w:t>annual increase would relieve Dominion of its burden of proof to demonstrate that such increases are just and reasonable in any given year.</w:t>
      </w:r>
      <w:r>
        <w:rPr>
          <w:rStyle w:val="FootnoteReference"/>
          <w:sz w:val="25"/>
        </w:rPr>
        <w:footnoteReference w:id="33"/>
      </w:r>
      <w:r w:rsidR="0017144B">
        <w:rPr>
          <w:sz w:val="25"/>
        </w:rPr>
        <w:t xml:space="preserve"> And this automatic increase would not be consistent with the PUCO’s directives that Dominion open a new docket each year and file an application to adjust its DSM rider rate and include supporting schedules, calculations, and proposed tariffs for PUCO review and approval.</w:t>
      </w:r>
      <w:r>
        <w:rPr>
          <w:rStyle w:val="FootnoteReference"/>
          <w:sz w:val="25"/>
        </w:rPr>
        <w:footnoteReference w:id="34"/>
      </w:r>
      <w:r w:rsidR="0017144B">
        <w:rPr>
          <w:sz w:val="25"/>
        </w:rPr>
        <w:t xml:space="preserve"> </w:t>
      </w:r>
      <w:r w:rsidR="005B69A6">
        <w:rPr>
          <w:sz w:val="25"/>
        </w:rPr>
        <w:t>In testimon</w:t>
      </w:r>
      <w:r w:rsidR="004B0700">
        <w:rPr>
          <w:sz w:val="25"/>
        </w:rPr>
        <w:t xml:space="preserve">y and on cross-examination, </w:t>
      </w:r>
      <w:r w:rsidR="005B69A6">
        <w:rPr>
          <w:sz w:val="25"/>
        </w:rPr>
        <w:t>Dominion’s witness stated that the annual automatic 3</w:t>
      </w:r>
      <w:r w:rsidR="004B0700">
        <w:rPr>
          <w:sz w:val="25"/>
        </w:rPr>
        <w:t>% in</w:t>
      </w:r>
      <w:r w:rsidR="005B69A6">
        <w:rPr>
          <w:sz w:val="25"/>
        </w:rPr>
        <w:t xml:space="preserve">crease in total budgeted DSM/EE spending after year five is </w:t>
      </w:r>
      <w:r w:rsidR="004B0700">
        <w:rPr>
          <w:sz w:val="25"/>
        </w:rPr>
        <w:t xml:space="preserve">just and </w:t>
      </w:r>
      <w:r w:rsidR="005B69A6">
        <w:rPr>
          <w:sz w:val="25"/>
        </w:rPr>
        <w:t>reasonable</w:t>
      </w:r>
      <w:r w:rsidR="004B0700">
        <w:rPr>
          <w:sz w:val="25"/>
        </w:rPr>
        <w:t>.</w:t>
      </w:r>
      <w:r>
        <w:rPr>
          <w:rStyle w:val="FootnoteReference"/>
          <w:sz w:val="25"/>
        </w:rPr>
        <w:footnoteReference w:id="35"/>
      </w:r>
      <w:r w:rsidR="00800115">
        <w:rPr>
          <w:sz w:val="25"/>
        </w:rPr>
        <w:t xml:space="preserve"> </w:t>
      </w:r>
      <w:r w:rsidR="004B0700">
        <w:rPr>
          <w:sz w:val="25"/>
        </w:rPr>
        <w:t xml:space="preserve">The witness was unaware that an </w:t>
      </w:r>
      <w:r w:rsidR="007E07F8">
        <w:rPr>
          <w:sz w:val="25"/>
        </w:rPr>
        <w:t>automatic</w:t>
      </w:r>
      <w:r w:rsidR="004B0700">
        <w:rPr>
          <w:sz w:val="25"/>
        </w:rPr>
        <w:t xml:space="preserve"> 3% increase in program </w:t>
      </w:r>
      <w:r w:rsidR="007E07F8">
        <w:rPr>
          <w:sz w:val="25"/>
        </w:rPr>
        <w:t xml:space="preserve">funding was contrary to </w:t>
      </w:r>
      <w:r w:rsidR="009D4EA3">
        <w:rPr>
          <w:sz w:val="25"/>
        </w:rPr>
        <w:t>PUCO practice</w:t>
      </w:r>
      <w:r w:rsidR="007E07F8">
        <w:rPr>
          <w:sz w:val="25"/>
        </w:rPr>
        <w:t>.</w:t>
      </w:r>
      <w:r>
        <w:rPr>
          <w:rStyle w:val="FootnoteReference"/>
          <w:sz w:val="25"/>
        </w:rPr>
        <w:footnoteReference w:id="36"/>
      </w:r>
    </w:p>
    <w:p w:rsidR="004C74DE" w14:paraId="1B0B6C49" w14:textId="200EB77B">
      <w:pPr>
        <w:pStyle w:val="BodyText"/>
        <w:spacing w:before="10"/>
        <w:rPr>
          <w:sz w:val="23"/>
        </w:rPr>
      </w:pPr>
    </w:p>
    <w:p w:rsidR="004C74DE" w:rsidRPr="006653C0" w:rsidP="00924128" w14:paraId="2045FB59" w14:textId="0F8D0143">
      <w:pPr>
        <w:pStyle w:val="Heading1"/>
      </w:pPr>
      <w:bookmarkStart w:id="10" w:name="_Toc116053223"/>
      <w:r>
        <w:t>III.</w:t>
      </w:r>
      <w:r>
        <w:tab/>
      </w:r>
      <w:r w:rsidRPr="006653C0" w:rsidR="007574A5">
        <w:t>RECOMMENDATIONS</w:t>
      </w:r>
      <w:bookmarkEnd w:id="10"/>
    </w:p>
    <w:p w:rsidR="00355C69" w:rsidRPr="006D14A6" w:rsidP="00AD097F" w14:paraId="44FC8323" w14:textId="027371FB">
      <w:pPr>
        <w:pStyle w:val="BodyText"/>
        <w:numPr>
          <w:ilvl w:val="0"/>
          <w:numId w:val="9"/>
        </w:numPr>
        <w:ind w:left="1440" w:right="158" w:hanging="720"/>
        <w:rPr>
          <w:rStyle w:val="Heading2Char"/>
          <w:rFonts w:ascii="Times New Roman" w:eastAsia="Times New Roman" w:hAnsi="Times New Roman" w:cs="Times New Roman"/>
          <w:b w:val="0"/>
          <w:szCs w:val="24"/>
        </w:rPr>
      </w:pPr>
      <w:bookmarkStart w:id="11" w:name="_Toc116053224"/>
      <w:r w:rsidRPr="006E2672">
        <w:rPr>
          <w:rStyle w:val="Heading2Char"/>
        </w:rPr>
        <w:t>The PUCO should require Dominion to provide a more transparent accounting of leveraged funds</w:t>
      </w:r>
      <w:r w:rsidR="00CA0895">
        <w:rPr>
          <w:rStyle w:val="Heading2Char"/>
        </w:rPr>
        <w:t xml:space="preserve"> for </w:t>
      </w:r>
      <w:r w:rsidR="00816210">
        <w:rPr>
          <w:rStyle w:val="Heading2Char"/>
        </w:rPr>
        <w:t>Dominion’s low-income program</w:t>
      </w:r>
      <w:r w:rsidRPr="006E2672">
        <w:rPr>
          <w:rStyle w:val="Heading2Char"/>
        </w:rPr>
        <w:t>.</w:t>
      </w:r>
      <w:bookmarkEnd w:id="11"/>
    </w:p>
    <w:p w:rsidR="006D14A6" w:rsidRPr="00C0474F" w:rsidP="006D14A6" w14:paraId="7FF7D09D" w14:textId="77777777">
      <w:pPr>
        <w:pStyle w:val="BodyText"/>
        <w:ind w:left="-90" w:right="158"/>
      </w:pPr>
    </w:p>
    <w:p w:rsidR="00893E09" w:rsidRPr="004325A2" w:rsidP="00893E09" w14:paraId="07EBC00F" w14:textId="78D72BD5">
      <w:pPr>
        <w:spacing w:line="480" w:lineRule="auto"/>
        <w:ind w:right="40" w:firstLine="720"/>
      </w:pPr>
      <w:r w:rsidRPr="00713031">
        <w:rPr>
          <w:sz w:val="24"/>
          <w:szCs w:val="24"/>
        </w:rPr>
        <w:t>Dominion pr</w:t>
      </w:r>
      <w:r w:rsidRPr="00713031" w:rsidR="005E3023">
        <w:rPr>
          <w:sz w:val="24"/>
          <w:szCs w:val="24"/>
        </w:rPr>
        <w:t xml:space="preserve">oposes to continue their low-income program. </w:t>
      </w:r>
      <w:r w:rsidRPr="00713031" w:rsidR="000004BB">
        <w:rPr>
          <w:sz w:val="24"/>
          <w:szCs w:val="24"/>
        </w:rPr>
        <w:t xml:space="preserve">Dominion’s Housewarming program proposal includes $5.5 million in base rates. Dominion collects any additional funding through the DSM rider. </w:t>
      </w:r>
      <w:r w:rsidRPr="00713031" w:rsidR="005E3023">
        <w:rPr>
          <w:sz w:val="24"/>
          <w:szCs w:val="24"/>
        </w:rPr>
        <w:t>But program costs are increasing</w:t>
      </w:r>
      <w:r w:rsidRPr="00713031" w:rsidR="00E320E0">
        <w:rPr>
          <w:sz w:val="24"/>
          <w:szCs w:val="24"/>
        </w:rPr>
        <w:t>. For example, from July 2021</w:t>
      </w:r>
      <w:r w:rsidRPr="00713031" w:rsidR="000527EF">
        <w:rPr>
          <w:sz w:val="24"/>
          <w:szCs w:val="24"/>
        </w:rPr>
        <w:t>-November 2021, the average cost per home was as high as $10,097 for the month of August.</w:t>
      </w:r>
      <w:r>
        <w:rPr>
          <w:rStyle w:val="FootnoteReference"/>
          <w:sz w:val="24"/>
          <w:szCs w:val="24"/>
        </w:rPr>
        <w:footnoteReference w:id="37"/>
      </w:r>
      <w:r w:rsidRPr="00713031" w:rsidR="000527EF">
        <w:rPr>
          <w:sz w:val="24"/>
          <w:szCs w:val="24"/>
        </w:rPr>
        <w:t xml:space="preserve"> </w:t>
      </w:r>
      <w:r w:rsidRPr="00713031" w:rsidR="000004BB">
        <w:rPr>
          <w:sz w:val="24"/>
          <w:szCs w:val="24"/>
        </w:rPr>
        <w:t xml:space="preserve"> Additionally, Dominion doe</w:t>
      </w:r>
      <w:r w:rsidRPr="00713031" w:rsidR="00C45C51">
        <w:rPr>
          <w:sz w:val="24"/>
          <w:szCs w:val="24"/>
        </w:rPr>
        <w:t xml:space="preserve">s not provide a description and analysis of how Housewarming funds will be used in conjunction with </w:t>
      </w:r>
      <w:r w:rsidRPr="00713031" w:rsidR="00D20136">
        <w:rPr>
          <w:sz w:val="24"/>
          <w:szCs w:val="24"/>
        </w:rPr>
        <w:t xml:space="preserve">the state’s </w:t>
      </w:r>
      <w:r w:rsidRPr="00713031" w:rsidR="00B825AF">
        <w:rPr>
          <w:sz w:val="24"/>
          <w:szCs w:val="24"/>
        </w:rPr>
        <w:t xml:space="preserve">leveraged </w:t>
      </w:r>
      <w:r w:rsidRPr="00713031" w:rsidR="00C45C51">
        <w:rPr>
          <w:sz w:val="24"/>
          <w:szCs w:val="24"/>
        </w:rPr>
        <w:t>programs that coordinate with and contribute funds to low-income weatherization services.</w:t>
      </w:r>
      <w:r>
        <w:rPr>
          <w:rStyle w:val="FootnoteReference"/>
          <w:sz w:val="24"/>
          <w:szCs w:val="24"/>
        </w:rPr>
        <w:footnoteReference w:id="38"/>
      </w:r>
      <w:r w:rsidRPr="00713031" w:rsidR="00484D44">
        <w:rPr>
          <w:sz w:val="24"/>
          <w:szCs w:val="24"/>
        </w:rPr>
        <w:t xml:space="preserve"> The PUCO should direct Dominion to be more transparent in how utility consumer funding is accounted for relative to the eight leveraged programs.</w:t>
      </w:r>
      <w:r>
        <w:rPr>
          <w:rStyle w:val="FootnoteReference"/>
          <w:sz w:val="24"/>
          <w:szCs w:val="24"/>
        </w:rPr>
        <w:footnoteReference w:id="39"/>
      </w:r>
      <w:r w:rsidRPr="00713031" w:rsidR="00C45C51">
        <w:rPr>
          <w:sz w:val="24"/>
          <w:szCs w:val="24"/>
        </w:rPr>
        <w:t xml:space="preserve"> </w:t>
      </w:r>
      <w:r w:rsidRPr="00713031" w:rsidR="00544D18">
        <w:rPr>
          <w:sz w:val="24"/>
          <w:szCs w:val="24"/>
        </w:rPr>
        <w:t>And</w:t>
      </w:r>
      <w:r w:rsidRPr="00713031">
        <w:rPr>
          <w:sz w:val="24"/>
          <w:szCs w:val="24"/>
        </w:rPr>
        <w:t xml:space="preserve"> the PUCO should require Dominion to provide upon request of OCC or the PUCO Staff, information regarding program expenses, audit findings and addresses where program funding is used.</w:t>
      </w:r>
    </w:p>
    <w:p w:rsidR="0077551C" w:rsidP="00880CE3" w14:paraId="523985DF" w14:textId="5885EFAD">
      <w:pPr>
        <w:pStyle w:val="BodyText"/>
        <w:numPr>
          <w:ilvl w:val="0"/>
          <w:numId w:val="9"/>
        </w:numPr>
        <w:spacing w:before="12"/>
        <w:ind w:left="1440" w:hanging="720"/>
      </w:pPr>
      <w:bookmarkStart w:id="12" w:name="_Toc116053225"/>
      <w:r w:rsidRPr="00880CE3">
        <w:rPr>
          <w:rStyle w:val="Heading2Char"/>
        </w:rPr>
        <w:t>The PUCO should not approve Dominion’s application for continuation and expansion of DSM/EE programs for non-low-income consumers.</w:t>
      </w:r>
      <w:r w:rsidRPr="00880CE3" w:rsidR="00800115">
        <w:rPr>
          <w:rStyle w:val="Heading2Char"/>
        </w:rPr>
        <w:t xml:space="preserve"> </w:t>
      </w:r>
      <w:r w:rsidRPr="00880CE3" w:rsidR="005B4C6E">
        <w:rPr>
          <w:rStyle w:val="Heading2Char"/>
        </w:rPr>
        <w:t xml:space="preserve">The PUCO should require Dominion, upon the completion of the existing non-low-income DSM EE programs, to file a </w:t>
      </w:r>
      <w:r w:rsidRPr="00880CE3" w:rsidR="00692177">
        <w:rPr>
          <w:rStyle w:val="Heading2Char"/>
        </w:rPr>
        <w:t>final report and rider reconciliation.</w:t>
      </w:r>
      <w:bookmarkEnd w:id="12"/>
      <w:r w:rsidR="005B4C6E">
        <w:t xml:space="preserve"> </w:t>
      </w:r>
    </w:p>
    <w:p w:rsidR="00880CE3" w:rsidP="00880CE3" w14:paraId="38C429D7" w14:textId="77777777">
      <w:pPr>
        <w:pStyle w:val="BodyText"/>
        <w:spacing w:before="12"/>
        <w:ind w:left="720"/>
      </w:pPr>
    </w:p>
    <w:p w:rsidR="0041173A" w:rsidRPr="004478BB" w:rsidP="0004102D" w14:paraId="5983FB3B" w14:textId="77777777">
      <w:pPr>
        <w:spacing w:line="480" w:lineRule="auto"/>
        <w:rPr>
          <w:sz w:val="24"/>
          <w:szCs w:val="24"/>
        </w:rPr>
      </w:pPr>
      <w:r>
        <w:tab/>
      </w:r>
      <w:r w:rsidRPr="004478BB" w:rsidR="00355C69">
        <w:rPr>
          <w:sz w:val="24"/>
          <w:szCs w:val="24"/>
        </w:rPr>
        <w:t xml:space="preserve">R.C. </w:t>
      </w:r>
      <w:r w:rsidRPr="004478BB" w:rsidR="000A0FFF">
        <w:rPr>
          <w:sz w:val="24"/>
          <w:szCs w:val="24"/>
        </w:rPr>
        <w:t xml:space="preserve">4905.70 requires the PUCO to “initiate programs that will promote and encourage conservation of energy and a reduction in the growth rate of energy </w:t>
      </w:r>
      <w:r w:rsidRPr="004478BB">
        <w:rPr>
          <w:sz w:val="24"/>
          <w:szCs w:val="24"/>
        </w:rPr>
        <w:t>consumption.”</w:t>
      </w:r>
      <w:r>
        <w:rPr>
          <w:sz w:val="24"/>
          <w:szCs w:val="24"/>
          <w:vertAlign w:val="superscript"/>
        </w:rPr>
        <w:footnoteReference w:id="40"/>
      </w:r>
      <w:r w:rsidRPr="004478BB" w:rsidR="00800115">
        <w:rPr>
          <w:sz w:val="24"/>
          <w:szCs w:val="24"/>
        </w:rPr>
        <w:t xml:space="preserve"> </w:t>
      </w:r>
      <w:r w:rsidRPr="004478BB" w:rsidR="00141E60">
        <w:rPr>
          <w:sz w:val="24"/>
          <w:szCs w:val="24"/>
        </w:rPr>
        <w:t>This statute applies to gas and electric utilities and the PUCO has relied on this statute in approving gas utilities’ DSM/EE programs.</w:t>
      </w:r>
      <w:r>
        <w:rPr>
          <w:rStyle w:val="FootnoteReference"/>
          <w:sz w:val="24"/>
          <w:szCs w:val="24"/>
        </w:rPr>
        <w:footnoteReference w:id="41"/>
      </w:r>
      <w:r w:rsidRPr="004478BB" w:rsidR="00AD097F">
        <w:rPr>
          <w:sz w:val="24"/>
          <w:szCs w:val="24"/>
        </w:rPr>
        <w:t xml:space="preserve"> </w:t>
      </w:r>
      <w:r w:rsidRPr="004478BB" w:rsidR="00141E60">
        <w:rPr>
          <w:sz w:val="24"/>
          <w:szCs w:val="24"/>
        </w:rPr>
        <w:t>The PUCO can rely on this statute to approve the continuation of Dominion’s existing low-income DSM/EE programs, which costs are embedded in Dominion’s base rates.</w:t>
      </w:r>
      <w:r w:rsidRPr="004478BB" w:rsidR="0086744E">
        <w:rPr>
          <w:sz w:val="24"/>
          <w:szCs w:val="24"/>
        </w:rPr>
        <w:t xml:space="preserve"> </w:t>
      </w:r>
    </w:p>
    <w:p w:rsidR="0044671B" w:rsidRPr="0004102D" w:rsidP="00D107D3" w14:paraId="55B1353D" w14:textId="3A834893">
      <w:pPr>
        <w:spacing w:line="480" w:lineRule="auto"/>
        <w:ind w:firstLine="720"/>
        <w:rPr>
          <w:b/>
          <w:bCs/>
          <w:sz w:val="24"/>
          <w:szCs w:val="24"/>
        </w:rPr>
      </w:pPr>
      <w:r w:rsidRPr="004478BB">
        <w:rPr>
          <w:sz w:val="24"/>
          <w:szCs w:val="24"/>
        </w:rPr>
        <w:t>Ohio law established statutory mandates for electric utilities</w:t>
      </w:r>
      <w:r>
        <w:rPr>
          <w:rStyle w:val="FootnoteReference"/>
          <w:sz w:val="24"/>
          <w:szCs w:val="24"/>
        </w:rPr>
        <w:footnoteReference w:id="42"/>
      </w:r>
      <w:r w:rsidRPr="004478BB">
        <w:rPr>
          <w:sz w:val="24"/>
          <w:szCs w:val="24"/>
        </w:rPr>
        <w:t xml:space="preserve"> but the Legislature</w:t>
      </w:r>
      <w:r w:rsidRPr="0004102D">
        <w:rPr>
          <w:sz w:val="24"/>
          <w:szCs w:val="24"/>
        </w:rPr>
        <w:t xml:space="preserve"> repealed this law in 2019 as part of House Bill 6.</w:t>
      </w:r>
      <w:r>
        <w:rPr>
          <w:rStyle w:val="FootnoteReference"/>
          <w:sz w:val="24"/>
          <w:szCs w:val="24"/>
        </w:rPr>
        <w:footnoteReference w:id="43"/>
      </w:r>
      <w:r w:rsidRPr="0004102D" w:rsidR="00800115">
        <w:rPr>
          <w:sz w:val="24"/>
          <w:szCs w:val="24"/>
        </w:rPr>
        <w:t xml:space="preserve"> </w:t>
      </w:r>
      <w:r w:rsidRPr="0004102D" w:rsidR="007E5451">
        <w:rPr>
          <w:sz w:val="24"/>
          <w:szCs w:val="24"/>
        </w:rPr>
        <w:t xml:space="preserve">The Legislature simply repealed the energy efficiency </w:t>
      </w:r>
      <w:r w:rsidRPr="0004102D" w:rsidR="007E5451">
        <w:rPr>
          <w:i/>
          <w:iCs/>
          <w:sz w:val="24"/>
          <w:szCs w:val="24"/>
        </w:rPr>
        <w:t>mandates</w:t>
      </w:r>
      <w:r w:rsidRPr="0004102D" w:rsidR="007E5451">
        <w:rPr>
          <w:sz w:val="24"/>
          <w:szCs w:val="24"/>
        </w:rPr>
        <w:t xml:space="preserve">, so the PUCO could have allowed electric utilities to continue offering their DSM/EE </w:t>
      </w:r>
      <w:r w:rsidRPr="0004102D" w:rsidR="007E5451">
        <w:rPr>
          <w:i/>
          <w:iCs/>
          <w:sz w:val="24"/>
          <w:szCs w:val="24"/>
        </w:rPr>
        <w:t>programs</w:t>
      </w:r>
      <w:r w:rsidRPr="0004102D" w:rsidR="007E5451">
        <w:rPr>
          <w:sz w:val="24"/>
          <w:szCs w:val="24"/>
        </w:rPr>
        <w:t xml:space="preserve"> under the PUCO’s authority granted by R.C. 4905.70.</w:t>
      </w:r>
      <w:r w:rsidRPr="0004102D" w:rsidR="00800115">
        <w:rPr>
          <w:sz w:val="24"/>
          <w:szCs w:val="24"/>
        </w:rPr>
        <w:t xml:space="preserve"> </w:t>
      </w:r>
      <w:r w:rsidRPr="0004102D" w:rsidR="007E5451">
        <w:rPr>
          <w:sz w:val="24"/>
          <w:szCs w:val="24"/>
        </w:rPr>
        <w:t>The PUCO did not take this approach.</w:t>
      </w:r>
      <w:r w:rsidRPr="0004102D" w:rsidR="00800115">
        <w:rPr>
          <w:sz w:val="24"/>
          <w:szCs w:val="24"/>
        </w:rPr>
        <w:t xml:space="preserve"> </w:t>
      </w:r>
      <w:r w:rsidRPr="0004102D" w:rsidR="007E5451">
        <w:rPr>
          <w:sz w:val="24"/>
          <w:szCs w:val="24"/>
        </w:rPr>
        <w:t xml:space="preserve">Instead, the PUCO recognized that by repealing R.C. 4928.66, the Legislature was </w:t>
      </w:r>
      <w:r w:rsidRPr="0004102D" w:rsidR="000366F2">
        <w:rPr>
          <w:sz w:val="24"/>
          <w:szCs w:val="24"/>
        </w:rPr>
        <w:t xml:space="preserve">stating its intent that </w:t>
      </w:r>
      <w:r w:rsidR="00E37F03">
        <w:rPr>
          <w:sz w:val="24"/>
          <w:szCs w:val="24"/>
        </w:rPr>
        <w:t xml:space="preserve">electric </w:t>
      </w:r>
      <w:r w:rsidRPr="0004102D" w:rsidR="000366F2">
        <w:rPr>
          <w:sz w:val="24"/>
          <w:szCs w:val="24"/>
        </w:rPr>
        <w:t>DSM/EE programs in Ohio should be scaled down.</w:t>
      </w:r>
      <w:r w:rsidRPr="0004102D" w:rsidR="00800115">
        <w:rPr>
          <w:sz w:val="24"/>
          <w:szCs w:val="24"/>
        </w:rPr>
        <w:t xml:space="preserve"> </w:t>
      </w:r>
      <w:r w:rsidRPr="0004102D" w:rsidR="000366F2">
        <w:rPr>
          <w:sz w:val="24"/>
          <w:szCs w:val="24"/>
        </w:rPr>
        <w:t>The PUCO therefore ordered the electric utilities to wind down their DSM/EE programs.</w:t>
      </w:r>
      <w:r>
        <w:rPr>
          <w:rStyle w:val="FootnoteReference"/>
          <w:sz w:val="24"/>
          <w:szCs w:val="24"/>
        </w:rPr>
        <w:footnoteReference w:id="44"/>
      </w:r>
    </w:p>
    <w:p w:rsidR="001672B2" w:rsidRPr="0004102D" w:rsidP="0004102D" w14:paraId="2D19E922" w14:textId="06ABFF90">
      <w:pPr>
        <w:spacing w:line="480" w:lineRule="auto"/>
        <w:rPr>
          <w:b/>
          <w:bCs/>
          <w:sz w:val="24"/>
          <w:szCs w:val="24"/>
        </w:rPr>
      </w:pPr>
      <w:r>
        <w:tab/>
      </w:r>
      <w:r w:rsidRPr="0004102D">
        <w:rPr>
          <w:sz w:val="24"/>
          <w:szCs w:val="24"/>
        </w:rPr>
        <w:t>In ordering the electric utilities to wind down their DSM/EE programs, the PUCO stated:</w:t>
      </w:r>
    </w:p>
    <w:p w:rsidR="002E50ED" w:rsidP="00625F66" w14:paraId="2FF568AC" w14:textId="77777777">
      <w:pPr>
        <w:ind w:left="1440" w:right="1440"/>
        <w:rPr>
          <w:sz w:val="24"/>
          <w:szCs w:val="24"/>
        </w:rPr>
      </w:pPr>
      <w:r>
        <w:tab/>
        <w:t>“</w:t>
      </w:r>
      <w:r w:rsidRPr="00920E86">
        <w:rPr>
          <w:sz w:val="24"/>
          <w:szCs w:val="24"/>
        </w:rPr>
        <w:t xml:space="preserve">As the Supreme Court of Ohio has stated numerous times, the Commission ‘is a creature of the General Assembly and may exercise no jurisdiction beyond that conferred by statute.’ </w:t>
      </w:r>
      <w:r w:rsidRPr="00920E86">
        <w:rPr>
          <w:i/>
          <w:iCs/>
          <w:sz w:val="24"/>
          <w:szCs w:val="24"/>
        </w:rPr>
        <w:t>Penn Central Transportation Co. v. Pub. Util. Comm</w:t>
      </w:r>
      <w:r w:rsidRPr="00920E86">
        <w:rPr>
          <w:sz w:val="24"/>
          <w:szCs w:val="24"/>
        </w:rPr>
        <w:t xml:space="preserve">., 35 Ohio St.2d 97, 298 N.E.2d 97 (1973). In construing a statute, our paramount concern is legislative intent. In determining legislative intent, the Commission first looks to the plain language in the statute and the purpose to be accomplished. If the meaning of the statute is unambiguous and definite, it must be applied as written, and no further interpretation is necessary. </w:t>
      </w:r>
      <w:r w:rsidRPr="00920E86">
        <w:rPr>
          <w:i/>
          <w:iCs/>
          <w:sz w:val="24"/>
          <w:szCs w:val="24"/>
        </w:rPr>
        <w:t>WorldCom, Inc. v. City of Toledo</w:t>
      </w:r>
      <w:r w:rsidRPr="00920E86">
        <w:rPr>
          <w:sz w:val="24"/>
          <w:szCs w:val="24"/>
        </w:rPr>
        <w:t xml:space="preserve">, Case Nos. 02-3207-AU-PWC, 02-3210-EL-PWC, Opinion and Order (May 14, 2003), </w:t>
      </w:r>
      <w:r w:rsidRPr="00920E86">
        <w:rPr>
          <w:i/>
          <w:iCs/>
          <w:sz w:val="24"/>
          <w:szCs w:val="24"/>
        </w:rPr>
        <w:t>citing State ex rel. Savarese v. Buckeye</w:t>
      </w:r>
      <w:r w:rsidRPr="00920E86">
        <w:rPr>
          <w:sz w:val="24"/>
          <w:szCs w:val="24"/>
        </w:rPr>
        <w:t xml:space="preserve"> </w:t>
      </w:r>
      <w:r w:rsidRPr="00920E86">
        <w:rPr>
          <w:i/>
          <w:iCs/>
          <w:sz w:val="24"/>
          <w:szCs w:val="24"/>
        </w:rPr>
        <w:t>Local School Dist. Bd. of Ed</w:t>
      </w:r>
      <w:r w:rsidRPr="00920E86">
        <w:rPr>
          <w:sz w:val="24"/>
          <w:szCs w:val="24"/>
        </w:rPr>
        <w:t>., 74 Ohio St. 543, 660 N.E.2d 463 (1996).</w:t>
      </w:r>
      <w:r>
        <w:rPr>
          <w:sz w:val="24"/>
          <w:szCs w:val="24"/>
        </w:rPr>
        <w:t>”</w:t>
      </w:r>
    </w:p>
    <w:p w:rsidR="006A4FCD" w14:paraId="354B8D80" w14:textId="42CAEA31">
      <w:r>
        <w:br w:type="page"/>
      </w:r>
    </w:p>
    <w:p w:rsidR="001672B2" w:rsidRPr="002A4E71" w:rsidP="00625F66" w14:paraId="19F9BF13" w14:textId="28EA9612">
      <w:pPr>
        <w:ind w:left="1440" w:right="1440"/>
      </w:pPr>
      <w:r>
        <w:tab/>
      </w:r>
      <w:r w:rsidR="002E50ED">
        <w:t>“</w:t>
      </w:r>
      <w:r w:rsidRPr="00920E86">
        <w:rPr>
          <w:sz w:val="24"/>
          <w:szCs w:val="24"/>
        </w:rPr>
        <w:t>Upon review, it is clear that the General Assembly envisioned significant adjustments to Ohio’s energy efficiency requirements when it passed H.B. 6 into law, and it is our duty, as the administrative agency overseeing the implementation of energy efficiency standards, to comport with, and effectuate, the General Assembly’s desired intent. After careful consideration of the language of the statute and the responsive comments submitted by interested stakeholders, we note that there is very little, if any, ambiguity in regard to the ultimate objectives of the General Assembly’s passage of this legislation. The amendments in H.B. 6 to both the renewable portfolio standards (RPS) and the energy efficiency provisions demonstrate the intent of the General Assembly to reduce the costs of these provisions to customers in order to facilitate the state's effectiveness in the global economy. R.C. 4928.02(N).</w:t>
      </w:r>
      <w:r>
        <w:rPr>
          <w:rStyle w:val="FootnoteReference"/>
          <w:sz w:val="24"/>
          <w:szCs w:val="24"/>
        </w:rPr>
        <w:footnoteReference w:id="45"/>
      </w:r>
    </w:p>
    <w:p w:rsidR="00920E86" w:rsidP="00625F66" w14:paraId="65B914DF" w14:textId="77777777">
      <w:pPr>
        <w:pStyle w:val="Heading1"/>
        <w:spacing w:after="0"/>
        <w:ind w:left="0" w:right="1440"/>
        <w:rPr>
          <w:b w:val="0"/>
          <w:bCs w:val="0"/>
        </w:rPr>
      </w:pPr>
    </w:p>
    <w:p w:rsidR="006A4FCD" w:rsidP="00920E86" w14:paraId="777B9920" w14:textId="6ED2413B">
      <w:pPr>
        <w:spacing w:line="480" w:lineRule="auto"/>
        <w:rPr>
          <w:sz w:val="24"/>
          <w:szCs w:val="24"/>
        </w:rPr>
      </w:pPr>
      <w:r>
        <w:tab/>
      </w:r>
      <w:r w:rsidRPr="00920E86">
        <w:rPr>
          <w:sz w:val="24"/>
          <w:szCs w:val="24"/>
        </w:rPr>
        <w:t xml:space="preserve">Importantly, the PUCO relied on R.C. 4928.02(N) in ordering the electric utilities to wind down </w:t>
      </w:r>
      <w:r w:rsidRPr="00920E86" w:rsidR="006D7A46">
        <w:rPr>
          <w:sz w:val="24"/>
          <w:szCs w:val="24"/>
        </w:rPr>
        <w:t>their DSM/EE programs.</w:t>
      </w:r>
      <w:r w:rsidRPr="00920E86" w:rsidR="00800115">
        <w:rPr>
          <w:sz w:val="24"/>
          <w:szCs w:val="24"/>
        </w:rPr>
        <w:t xml:space="preserve"> </w:t>
      </w:r>
      <w:r w:rsidRPr="00920E86" w:rsidR="006D7A46">
        <w:rPr>
          <w:sz w:val="24"/>
          <w:szCs w:val="24"/>
        </w:rPr>
        <w:t xml:space="preserve">This statute </w:t>
      </w:r>
      <w:r w:rsidRPr="00920E86" w:rsidR="00111F98">
        <w:rPr>
          <w:sz w:val="24"/>
          <w:szCs w:val="24"/>
        </w:rPr>
        <w:t>set forth the</w:t>
      </w:r>
      <w:r w:rsidRPr="00920E86" w:rsidR="006D7A46">
        <w:rPr>
          <w:sz w:val="24"/>
          <w:szCs w:val="24"/>
        </w:rPr>
        <w:t xml:space="preserve"> state policy that electric utilities’ rates should facilitate the state’s competitiveness in the global economy</w:t>
      </w:r>
      <w:r w:rsidR="00B5622F">
        <w:rPr>
          <w:sz w:val="24"/>
          <w:szCs w:val="24"/>
        </w:rPr>
        <w:t xml:space="preserve">. </w:t>
      </w:r>
      <w:r w:rsidR="009F3AC6">
        <w:rPr>
          <w:sz w:val="24"/>
          <w:szCs w:val="24"/>
        </w:rPr>
        <w:t xml:space="preserve">Although not explicitly stated, it is quite obvious the intent is for all utilities’ rates to facilitate the state’s competitiveness, not just electric utilities. </w:t>
      </w:r>
      <w:r w:rsidRPr="00920E86" w:rsidR="00800115">
        <w:rPr>
          <w:sz w:val="24"/>
          <w:szCs w:val="24"/>
        </w:rPr>
        <w:t xml:space="preserve"> </w:t>
      </w:r>
      <w:r w:rsidRPr="00920E86" w:rsidR="006D7A46">
        <w:rPr>
          <w:sz w:val="24"/>
          <w:szCs w:val="24"/>
        </w:rPr>
        <w:t>The Legislature has established a similar state policy for gas utilities</w:t>
      </w:r>
      <w:r w:rsidR="00874F82">
        <w:rPr>
          <w:sz w:val="24"/>
          <w:szCs w:val="24"/>
        </w:rPr>
        <w:t xml:space="preserve"> under</w:t>
      </w:r>
      <w:r w:rsidRPr="00920E86" w:rsidR="00800115">
        <w:rPr>
          <w:sz w:val="24"/>
          <w:szCs w:val="24"/>
        </w:rPr>
        <w:t xml:space="preserve"> </w:t>
      </w:r>
      <w:r w:rsidRPr="00920E86" w:rsidR="006D7A46">
        <w:rPr>
          <w:sz w:val="24"/>
          <w:szCs w:val="24"/>
        </w:rPr>
        <w:t>R.C. 4929.02(A)(8).</w:t>
      </w:r>
      <w:r w:rsidRPr="00920E86" w:rsidR="00800115">
        <w:rPr>
          <w:sz w:val="24"/>
          <w:szCs w:val="24"/>
        </w:rPr>
        <w:t xml:space="preserve"> </w:t>
      </w:r>
      <w:r w:rsidRPr="00920E86" w:rsidR="00111F98">
        <w:rPr>
          <w:sz w:val="24"/>
          <w:szCs w:val="24"/>
        </w:rPr>
        <w:t>As the PUCO relied on R.C. 4928.02(N) in ordering electric utilities to wind down their DSM/EE programs, the PUCO should similarly rely on R.C. 4929.02(A)(8) to reject Dominion’s proposal to continue and expand its non-low-income residential DSM/EE programs.</w:t>
      </w:r>
    </w:p>
    <w:p w:rsidR="006A4FCD" w14:paraId="131D5851" w14:textId="77777777">
      <w:pPr>
        <w:rPr>
          <w:sz w:val="24"/>
          <w:szCs w:val="24"/>
        </w:rPr>
      </w:pPr>
      <w:r>
        <w:rPr>
          <w:sz w:val="24"/>
          <w:szCs w:val="24"/>
        </w:rPr>
        <w:br w:type="page"/>
      </w:r>
    </w:p>
    <w:p w:rsidR="00DF35B0" w:rsidP="002C3848" w14:paraId="5CBBCF36" w14:textId="287B6694">
      <w:pPr>
        <w:pStyle w:val="Heading3"/>
        <w:numPr>
          <w:ilvl w:val="2"/>
          <w:numId w:val="2"/>
        </w:numPr>
        <w:ind w:left="2160"/>
      </w:pPr>
      <w:bookmarkStart w:id="13" w:name="_Toc116053226"/>
      <w:r w:rsidRPr="002C3848">
        <w:rPr>
          <w:rStyle w:val="Heading3Char"/>
        </w:rPr>
        <w:t>Natural gas DSM/EE programs provide fewer benefits</w:t>
      </w:r>
      <w:r>
        <w:t xml:space="preserve"> than electricity DSM/EE programs because the natural gas DSM/EE programs do not provide systemwide benefits.</w:t>
      </w:r>
      <w:bookmarkEnd w:id="13"/>
    </w:p>
    <w:p w:rsidR="0007294A" w:rsidP="00E37F03" w14:paraId="1D7725D3" w14:textId="35568093">
      <w:pPr>
        <w:spacing w:before="10" w:line="491" w:lineRule="auto"/>
        <w:ind w:firstLine="713"/>
        <w:rPr>
          <w:sz w:val="24"/>
          <w:szCs w:val="24"/>
        </w:rPr>
      </w:pPr>
      <w:r w:rsidRPr="00924128">
        <w:rPr>
          <w:sz w:val="24"/>
          <w:szCs w:val="24"/>
        </w:rPr>
        <w:t>As the PUCO Staff has recognized, natural gas energy efficiency programs lack benefits for the general body of consumers.</w:t>
      </w:r>
      <w:r>
        <w:rPr>
          <w:rStyle w:val="FootnoteReference"/>
          <w:sz w:val="24"/>
          <w:szCs w:val="24"/>
        </w:rPr>
        <w:footnoteReference w:id="46"/>
      </w:r>
      <w:r w:rsidR="00800115">
        <w:rPr>
          <w:sz w:val="24"/>
          <w:szCs w:val="24"/>
        </w:rPr>
        <w:t xml:space="preserve"> </w:t>
      </w:r>
      <w:r w:rsidR="003E3A92">
        <w:rPr>
          <w:sz w:val="24"/>
          <w:szCs w:val="24"/>
        </w:rPr>
        <w:t xml:space="preserve">In 2006, </w:t>
      </w:r>
      <w:r w:rsidR="008F71B5">
        <w:rPr>
          <w:sz w:val="24"/>
          <w:szCs w:val="24"/>
        </w:rPr>
        <w:t>Staff witness Puican testified that charging customers for the cost of implementing natural gas DSM programs is not justified.</w:t>
      </w:r>
      <w:r>
        <w:rPr>
          <w:rStyle w:val="FootnoteReference"/>
          <w:sz w:val="24"/>
          <w:szCs w:val="24"/>
        </w:rPr>
        <w:footnoteReference w:id="47"/>
      </w:r>
      <w:r w:rsidR="00800115">
        <w:rPr>
          <w:sz w:val="24"/>
          <w:szCs w:val="24"/>
        </w:rPr>
        <w:t xml:space="preserve"> </w:t>
      </w:r>
      <w:r w:rsidR="000356E5">
        <w:rPr>
          <w:sz w:val="24"/>
          <w:szCs w:val="24"/>
        </w:rPr>
        <w:t xml:space="preserve">He explained that </w:t>
      </w:r>
      <w:r>
        <w:rPr>
          <w:sz w:val="24"/>
          <w:szCs w:val="24"/>
        </w:rPr>
        <w:t>“</w:t>
      </w:r>
      <w:r w:rsidR="000356E5">
        <w:rPr>
          <w:sz w:val="24"/>
          <w:szCs w:val="24"/>
        </w:rPr>
        <w:t>this is not to say that such programs can't</w:t>
      </w:r>
      <w:r w:rsidR="008F71B5">
        <w:rPr>
          <w:sz w:val="24"/>
          <w:szCs w:val="24"/>
        </w:rPr>
        <w:t xml:space="preserve"> benefit individual customers, but </w:t>
      </w:r>
      <w:r w:rsidR="000356E5">
        <w:rPr>
          <w:sz w:val="24"/>
          <w:szCs w:val="24"/>
        </w:rPr>
        <w:t>rather as a general proposition, n</w:t>
      </w:r>
      <w:r w:rsidRPr="00924128">
        <w:rPr>
          <w:sz w:val="24"/>
          <w:szCs w:val="24"/>
        </w:rPr>
        <w:t xml:space="preserve">atural gas energy efficiency </w:t>
      </w:r>
      <w:r w:rsidR="000356E5">
        <w:rPr>
          <w:sz w:val="24"/>
          <w:szCs w:val="24"/>
        </w:rPr>
        <w:t>do not provide the type of s</w:t>
      </w:r>
      <w:r w:rsidRPr="00924128">
        <w:rPr>
          <w:sz w:val="24"/>
          <w:szCs w:val="24"/>
        </w:rPr>
        <w:t xml:space="preserve">ystem-wide benefits </w:t>
      </w:r>
      <w:r w:rsidR="000356E5">
        <w:rPr>
          <w:sz w:val="24"/>
          <w:szCs w:val="24"/>
        </w:rPr>
        <w:t>that justify a rider attached to all customer bills.”</w:t>
      </w:r>
      <w:r>
        <w:rPr>
          <w:rStyle w:val="FootnoteReference"/>
          <w:sz w:val="24"/>
          <w:szCs w:val="24"/>
        </w:rPr>
        <w:footnoteReference w:id="48"/>
      </w:r>
      <w:r w:rsidR="00800115">
        <w:rPr>
          <w:sz w:val="24"/>
          <w:szCs w:val="24"/>
        </w:rPr>
        <w:t xml:space="preserve"> </w:t>
      </w:r>
      <w:r w:rsidR="000356E5">
        <w:rPr>
          <w:sz w:val="24"/>
          <w:szCs w:val="24"/>
        </w:rPr>
        <w:t xml:space="preserve">The Staff witness explained that natural gas energy efficiency does not provide benefits </w:t>
      </w:r>
      <w:r w:rsidRPr="00924128">
        <w:rPr>
          <w:sz w:val="24"/>
          <w:szCs w:val="24"/>
        </w:rPr>
        <w:t xml:space="preserve">such as the potential to spare consumers from having to pay for construction of </w:t>
      </w:r>
      <w:r w:rsidRPr="00924128" w:rsidR="00D43A3F">
        <w:rPr>
          <w:sz w:val="24"/>
          <w:szCs w:val="24"/>
        </w:rPr>
        <w:t>more power plants, as can be possible with electric energy efficiency.</w:t>
      </w:r>
      <w:r>
        <w:rPr>
          <w:rStyle w:val="FootnoteReference"/>
          <w:sz w:val="24"/>
          <w:szCs w:val="24"/>
        </w:rPr>
        <w:footnoteReference w:id="49"/>
      </w:r>
      <w:r w:rsidR="00800115">
        <w:rPr>
          <w:sz w:val="24"/>
          <w:szCs w:val="24"/>
        </w:rPr>
        <w:t xml:space="preserve"> </w:t>
      </w:r>
    </w:p>
    <w:p w:rsidR="006A4FCD" w:rsidP="00E37F03" w14:paraId="77B8FD0D" w14:textId="77777777">
      <w:pPr>
        <w:spacing w:before="10" w:line="491" w:lineRule="auto"/>
        <w:ind w:firstLine="713"/>
        <w:rPr>
          <w:sz w:val="24"/>
          <w:szCs w:val="24"/>
        </w:rPr>
      </w:pPr>
      <w:r w:rsidRPr="00924128">
        <w:rPr>
          <w:sz w:val="24"/>
          <w:szCs w:val="24"/>
        </w:rPr>
        <w:t>Now</w:t>
      </w:r>
      <w:r w:rsidRPr="00924128" w:rsidR="00AA4D2B">
        <w:rPr>
          <w:sz w:val="24"/>
          <w:szCs w:val="24"/>
        </w:rPr>
        <w:t>--</w:t>
      </w:r>
      <w:r w:rsidRPr="00924128">
        <w:rPr>
          <w:sz w:val="24"/>
          <w:szCs w:val="24"/>
        </w:rPr>
        <w:t xml:space="preserve"> even more than was the case in 2006, when </w:t>
      </w:r>
      <w:r w:rsidR="008F71B5">
        <w:rPr>
          <w:sz w:val="24"/>
          <w:szCs w:val="24"/>
        </w:rPr>
        <w:t>Staff witness</w:t>
      </w:r>
      <w:r w:rsidRPr="00924128">
        <w:rPr>
          <w:sz w:val="24"/>
          <w:szCs w:val="24"/>
        </w:rPr>
        <w:t xml:space="preserve"> Puican provided his testimony</w:t>
      </w:r>
      <w:r w:rsidRPr="00924128" w:rsidR="00AA4D2B">
        <w:rPr>
          <w:sz w:val="24"/>
          <w:szCs w:val="24"/>
        </w:rPr>
        <w:t xml:space="preserve">—the PUCO should adopt its former Staffer’s position. It would </w:t>
      </w:r>
      <w:r w:rsidRPr="00924128">
        <w:rPr>
          <w:sz w:val="24"/>
          <w:szCs w:val="24"/>
        </w:rPr>
        <w:t xml:space="preserve">be very appropriate for the PUCO to question whether it is good public policy and </w:t>
      </w:r>
      <w:r w:rsidRPr="00924128" w:rsidR="00AA4D2B">
        <w:rPr>
          <w:sz w:val="24"/>
          <w:szCs w:val="24"/>
        </w:rPr>
        <w:t>equitable (fair) to Dominion’s consumers to compel them to pay for (subsidize) Dominion’s energy efficiency programs.</w:t>
      </w:r>
      <w:r w:rsidR="003E3A92">
        <w:rPr>
          <w:sz w:val="24"/>
          <w:szCs w:val="24"/>
        </w:rPr>
        <w:t xml:space="preserve"> In fact, it</w:t>
      </w:r>
      <w:r w:rsidRPr="00924128" w:rsidR="00AA4D2B">
        <w:rPr>
          <w:sz w:val="24"/>
          <w:szCs w:val="24"/>
        </w:rPr>
        <w:t xml:space="preserve"> is not good public policy and is not equitable to consumers. Many of the consumers who subsidize Dominion’s energy efficiency programs do not personally benefit from their payments because they are not participants </w:t>
      </w:r>
    </w:p>
    <w:p w:rsidR="006A4FCD" w14:paraId="7CFC6B91" w14:textId="77777777">
      <w:pPr>
        <w:rPr>
          <w:sz w:val="24"/>
          <w:szCs w:val="24"/>
        </w:rPr>
      </w:pPr>
      <w:r>
        <w:rPr>
          <w:sz w:val="24"/>
          <w:szCs w:val="24"/>
        </w:rPr>
        <w:br w:type="page"/>
      </w:r>
    </w:p>
    <w:p w:rsidR="0041173A" w:rsidP="006A4FCD" w14:paraId="32FDEA37" w14:textId="0ED0D808">
      <w:pPr>
        <w:spacing w:before="10" w:line="491" w:lineRule="auto"/>
        <w:rPr>
          <w:sz w:val="24"/>
          <w:szCs w:val="24"/>
        </w:rPr>
      </w:pPr>
      <w:r w:rsidRPr="00924128">
        <w:rPr>
          <w:sz w:val="24"/>
          <w:szCs w:val="24"/>
        </w:rPr>
        <w:t xml:space="preserve">in Dominion’s programs. </w:t>
      </w:r>
      <w:r w:rsidR="009F3AC6">
        <w:rPr>
          <w:sz w:val="24"/>
          <w:szCs w:val="24"/>
        </w:rPr>
        <w:t>And natural gas EE programs do not offer the system</w:t>
      </w:r>
      <w:r w:rsidR="001F076D">
        <w:rPr>
          <w:sz w:val="24"/>
          <w:szCs w:val="24"/>
        </w:rPr>
        <w:t>-</w:t>
      </w:r>
      <w:r w:rsidR="009F3AC6">
        <w:rPr>
          <w:sz w:val="24"/>
          <w:szCs w:val="24"/>
        </w:rPr>
        <w:t xml:space="preserve">wide benefits electric plans can provide. </w:t>
      </w:r>
    </w:p>
    <w:p w:rsidR="0027443D" w:rsidRPr="00924128" w:rsidP="00E37F03" w14:paraId="46FF425E" w14:textId="5F008BBE">
      <w:pPr>
        <w:spacing w:before="10" w:line="491" w:lineRule="auto"/>
        <w:ind w:firstLine="713"/>
        <w:rPr>
          <w:sz w:val="24"/>
          <w:szCs w:val="24"/>
        </w:rPr>
      </w:pPr>
      <w:r w:rsidRPr="00924128">
        <w:rPr>
          <w:sz w:val="24"/>
          <w:szCs w:val="24"/>
        </w:rPr>
        <w:t>As established on cross-examination, only a small percentage of Dominion’s residential consumers participate in the utility’s energy efficiency programs.</w:t>
      </w:r>
      <w:r>
        <w:rPr>
          <w:rStyle w:val="FootnoteReference"/>
          <w:sz w:val="24"/>
          <w:szCs w:val="24"/>
        </w:rPr>
        <w:footnoteReference w:id="50"/>
      </w:r>
      <w:r w:rsidRPr="00924128">
        <w:rPr>
          <w:sz w:val="24"/>
          <w:szCs w:val="24"/>
        </w:rPr>
        <w:t xml:space="preserve"> </w:t>
      </w:r>
      <w:r w:rsidRPr="00924128" w:rsidR="00AA4D2B">
        <w:rPr>
          <w:sz w:val="24"/>
          <w:szCs w:val="24"/>
        </w:rPr>
        <w:t xml:space="preserve">Dominion’s consumers can </w:t>
      </w:r>
      <w:r w:rsidRPr="00924128">
        <w:rPr>
          <w:sz w:val="24"/>
          <w:szCs w:val="24"/>
        </w:rPr>
        <w:t>and do</w:t>
      </w:r>
      <w:r>
        <w:rPr>
          <w:rStyle w:val="FootnoteReference"/>
          <w:sz w:val="24"/>
          <w:szCs w:val="24"/>
        </w:rPr>
        <w:footnoteReference w:id="51"/>
      </w:r>
      <w:r w:rsidRPr="00924128">
        <w:rPr>
          <w:sz w:val="24"/>
          <w:szCs w:val="24"/>
        </w:rPr>
        <w:t xml:space="preserve"> </w:t>
      </w:r>
      <w:r w:rsidRPr="00924128" w:rsidR="00AA4D2B">
        <w:rPr>
          <w:sz w:val="24"/>
          <w:szCs w:val="24"/>
        </w:rPr>
        <w:t>make rational decisions about purchasing</w:t>
      </w:r>
      <w:r w:rsidRPr="00924128">
        <w:rPr>
          <w:sz w:val="24"/>
          <w:szCs w:val="24"/>
        </w:rPr>
        <w:t xml:space="preserve"> energy efficiency measure</w:t>
      </w:r>
      <w:r w:rsidR="00FA2C15">
        <w:rPr>
          <w:sz w:val="24"/>
          <w:szCs w:val="24"/>
        </w:rPr>
        <w:t>s</w:t>
      </w:r>
      <w:r w:rsidRPr="00924128">
        <w:rPr>
          <w:sz w:val="24"/>
          <w:szCs w:val="24"/>
        </w:rPr>
        <w:t xml:space="preserve"> on their own in the competitive market, without Dominion’s involvement. It thus should be questioned and reassessed why </w:t>
      </w:r>
      <w:r w:rsidR="009D4EA3">
        <w:rPr>
          <w:sz w:val="24"/>
          <w:szCs w:val="24"/>
        </w:rPr>
        <w:t xml:space="preserve">all </w:t>
      </w:r>
      <w:r w:rsidRPr="00924128">
        <w:rPr>
          <w:sz w:val="24"/>
          <w:szCs w:val="24"/>
        </w:rPr>
        <w:t>Dominion consumers are being made to subsidize its energy efficiency programs</w:t>
      </w:r>
      <w:r w:rsidR="009D4EA3">
        <w:rPr>
          <w:sz w:val="24"/>
          <w:szCs w:val="24"/>
        </w:rPr>
        <w:t xml:space="preserve"> benefitting the few who participate</w:t>
      </w:r>
      <w:r w:rsidR="003E3A92">
        <w:rPr>
          <w:sz w:val="24"/>
          <w:szCs w:val="24"/>
        </w:rPr>
        <w:t>, as Staff witness Puican testified sixteen years ago.</w:t>
      </w:r>
      <w:r w:rsidRPr="00924128" w:rsidR="00D43A3F">
        <w:rPr>
          <w:sz w:val="24"/>
          <w:szCs w:val="24"/>
        </w:rPr>
        <w:t xml:space="preserve"> </w:t>
      </w:r>
    </w:p>
    <w:p w:rsidR="00DF35B0" w:rsidP="002C3848" w14:paraId="21F5B5E0" w14:textId="6083B6D5">
      <w:pPr>
        <w:pStyle w:val="Heading3"/>
        <w:numPr>
          <w:ilvl w:val="2"/>
          <w:numId w:val="2"/>
        </w:numPr>
        <w:ind w:left="2160"/>
      </w:pPr>
      <w:bookmarkStart w:id="14" w:name="_Toc116053227"/>
      <w:r w:rsidRPr="002C3848">
        <w:rPr>
          <w:rStyle w:val="Heading3Char"/>
        </w:rPr>
        <w:t>Dominion’s non-low-income DSM/EE programs do not</w:t>
      </w:r>
      <w:r>
        <w:t xml:space="preserve"> provide significant benefits because so few consumers enroll in the programs.</w:t>
      </w:r>
      <w:bookmarkEnd w:id="14"/>
    </w:p>
    <w:p w:rsidR="00874F82" w:rsidRPr="004872D1" w:rsidP="00AD097F" w14:paraId="216CF551" w14:textId="0938554C">
      <w:pPr>
        <w:spacing w:line="480" w:lineRule="auto"/>
        <w:ind w:firstLine="720"/>
        <w:rPr>
          <w:b/>
          <w:bCs/>
          <w:sz w:val="24"/>
          <w:szCs w:val="24"/>
        </w:rPr>
      </w:pPr>
      <w:r w:rsidRPr="00AD097F">
        <w:rPr>
          <w:sz w:val="24"/>
          <w:szCs w:val="24"/>
        </w:rPr>
        <w:t>The small number of consumers participating in Dominion’s programs does not justify continuing charges for non-participating consumers to subsidize the program.</w:t>
      </w:r>
      <w:r>
        <w:rPr>
          <w:rStyle w:val="FootnoteReference"/>
          <w:sz w:val="24"/>
          <w:szCs w:val="24"/>
        </w:rPr>
        <w:footnoteReference w:id="52"/>
      </w:r>
      <w:r w:rsidRPr="00AD097F">
        <w:rPr>
          <w:sz w:val="24"/>
          <w:szCs w:val="24"/>
        </w:rPr>
        <w:t xml:space="preserve"> Most residential consumers are not participating in Dominion’s Home Energy Assessment program, yet they must pay a charge on their bill to subsidize the relatively few consumers that do participate.</w:t>
      </w:r>
      <w:r>
        <w:rPr>
          <w:rStyle w:val="FootnoteReference"/>
          <w:sz w:val="24"/>
          <w:szCs w:val="24"/>
        </w:rPr>
        <w:footnoteReference w:id="53"/>
      </w:r>
      <w:r w:rsidRPr="00AD097F">
        <w:rPr>
          <w:sz w:val="24"/>
          <w:szCs w:val="24"/>
        </w:rPr>
        <w:t xml:space="preserve"> From 2010-2019 (the last year before COVID-19 suspended energy efficiency programs), 98% of </w:t>
      </w:r>
      <w:r w:rsidR="00AD097F">
        <w:rPr>
          <w:sz w:val="24"/>
          <w:szCs w:val="24"/>
        </w:rPr>
        <w:t>D</w:t>
      </w:r>
      <w:r w:rsidRPr="00AD097F">
        <w:rPr>
          <w:sz w:val="24"/>
          <w:szCs w:val="24"/>
        </w:rPr>
        <w:t xml:space="preserve">ominion’s residential consumers did </w:t>
      </w:r>
      <w:r w:rsidRPr="004872D1">
        <w:rPr>
          <w:sz w:val="24"/>
          <w:szCs w:val="24"/>
        </w:rPr>
        <w:t>not participate in the Home Energy Assessment program.</w:t>
      </w:r>
      <w:r>
        <w:rPr>
          <w:rStyle w:val="FootnoteReference"/>
          <w:sz w:val="24"/>
          <w:szCs w:val="24"/>
        </w:rPr>
        <w:footnoteReference w:id="54"/>
      </w:r>
      <w:r w:rsidRPr="004872D1">
        <w:rPr>
          <w:sz w:val="24"/>
          <w:szCs w:val="24"/>
        </w:rPr>
        <w:t xml:space="preserve"> In other words, only 2% of Dominion’s consumers enrolled in the Home Energy Audit over a ten-year period.</w:t>
      </w:r>
      <w:r>
        <w:rPr>
          <w:rStyle w:val="FootnoteReference"/>
          <w:sz w:val="24"/>
          <w:szCs w:val="24"/>
        </w:rPr>
        <w:footnoteReference w:id="55"/>
      </w:r>
    </w:p>
    <w:p w:rsidR="00874F82" w:rsidRPr="00061746" w:rsidP="00061746" w14:paraId="6C0BF845" w14:textId="7BAEBAD8">
      <w:pPr>
        <w:jc w:val="center"/>
        <w:rPr>
          <w:b/>
          <w:bCs/>
        </w:rPr>
      </w:pPr>
      <w:r w:rsidRPr="00061746">
        <w:rPr>
          <w:b/>
          <w:bCs/>
        </w:rPr>
        <w:t xml:space="preserve"> The Number of consumers participating in the Home Energy Assessment Program since 2010.</w:t>
      </w:r>
      <w:r>
        <w:rPr>
          <w:rStyle w:val="FootnoteReference"/>
          <w:b/>
          <w:bCs/>
        </w:rPr>
        <w:footnoteReference w:id="56"/>
      </w:r>
    </w:p>
    <w:p w:rsidR="00874F82" w:rsidP="00EC31AB" w14:paraId="224052B9" w14:textId="5DCEC057">
      <w:pPr>
        <w:ind w:left="-1620"/>
        <w:rPr>
          <w:noProof/>
        </w:rPr>
      </w:pPr>
      <w:bookmarkStart w:id="15" w:name="_Hlk11605436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3pt;height:42.35pt">
            <v:imagedata r:id="rId10" o:title=""/>
          </v:shape>
        </w:pict>
      </w:r>
      <w:bookmarkEnd w:id="15"/>
    </w:p>
    <w:p w:rsidR="00713031" w:rsidRPr="00713031" w14:paraId="79961171" w14:textId="7AB79082">
      <w:pPr>
        <w:rPr>
          <w:b/>
          <w:bCs/>
        </w:rPr>
      </w:pPr>
    </w:p>
    <w:p w:rsidR="00874F82" w:rsidRPr="00955A28" w:rsidP="00192B2E" w14:paraId="1F553460" w14:textId="087B6701">
      <w:pPr>
        <w:spacing w:line="480" w:lineRule="auto"/>
        <w:ind w:firstLine="720"/>
        <w:rPr>
          <w:b/>
          <w:bCs/>
          <w:sz w:val="24"/>
          <w:szCs w:val="24"/>
        </w:rPr>
      </w:pPr>
      <w:r w:rsidRPr="00192B2E">
        <w:rPr>
          <w:rFonts w:eastAsiaTheme="majorEastAsia"/>
          <w:sz w:val="24"/>
          <w:szCs w:val="24"/>
        </w:rPr>
        <w:t xml:space="preserve">In the </w:t>
      </w:r>
      <w:r w:rsidR="001F076D">
        <w:rPr>
          <w:rFonts w:eastAsiaTheme="majorEastAsia"/>
          <w:sz w:val="24"/>
          <w:szCs w:val="24"/>
        </w:rPr>
        <w:t xml:space="preserve">competitive </w:t>
      </w:r>
      <w:r w:rsidRPr="00192B2E">
        <w:rPr>
          <w:rFonts w:eastAsiaTheme="majorEastAsia"/>
          <w:sz w:val="24"/>
          <w:szCs w:val="24"/>
        </w:rPr>
        <w:t>market for energy efficiency products and services, consumers do not pay a charge for</w:t>
      </w:r>
      <w:r w:rsidR="001F076D">
        <w:rPr>
          <w:rFonts w:eastAsiaTheme="majorEastAsia"/>
          <w:sz w:val="24"/>
          <w:szCs w:val="24"/>
        </w:rPr>
        <w:t xml:space="preserve"> a utility to incur</w:t>
      </w:r>
      <w:r w:rsidRPr="00192B2E">
        <w:rPr>
          <w:rFonts w:eastAsiaTheme="majorEastAsia"/>
          <w:sz w:val="24"/>
          <w:szCs w:val="24"/>
        </w:rPr>
        <w:t xml:space="preserve"> program administration and marketing costs.</w:t>
      </w:r>
      <w:r w:rsidRPr="00192B2E">
        <w:rPr>
          <w:rStyle w:val="Heading3Char"/>
        </w:rPr>
        <w:t xml:space="preserve"> </w:t>
      </w:r>
      <w:r w:rsidR="00192B2E">
        <w:rPr>
          <w:sz w:val="24"/>
          <w:szCs w:val="24"/>
        </w:rPr>
        <w:t xml:space="preserve"> </w:t>
      </w:r>
      <w:r w:rsidR="00012239">
        <w:rPr>
          <w:sz w:val="24"/>
          <w:szCs w:val="24"/>
        </w:rPr>
        <w:t xml:space="preserve">Consumers can just go to their local home improvement store or on-line retailer and purchase these products. </w:t>
      </w:r>
      <w:r w:rsidRPr="00955A28">
        <w:rPr>
          <w:sz w:val="24"/>
          <w:szCs w:val="24"/>
        </w:rPr>
        <w:t>Dominion and OCC stipulated at the evidentiary hearing the cost of the Home Energy Audit Program.</w:t>
      </w:r>
      <w:r>
        <w:rPr>
          <w:rStyle w:val="FootnoteReference"/>
          <w:sz w:val="24"/>
          <w:szCs w:val="24"/>
        </w:rPr>
        <w:footnoteReference w:id="57"/>
      </w:r>
      <w:r w:rsidRPr="00955A28" w:rsidR="00AD097F">
        <w:rPr>
          <w:b/>
          <w:bCs/>
          <w:sz w:val="24"/>
          <w:szCs w:val="24"/>
        </w:rPr>
        <w:t xml:space="preserve"> </w:t>
      </w:r>
      <w:r w:rsidRPr="00955A28">
        <w:rPr>
          <w:sz w:val="24"/>
          <w:szCs w:val="24"/>
        </w:rPr>
        <w:t>The Stipulation reads as follows:</w:t>
      </w:r>
      <w:r w:rsidRPr="00955A28" w:rsidR="00AD097F">
        <w:rPr>
          <w:b/>
          <w:bCs/>
          <w:sz w:val="24"/>
          <w:szCs w:val="24"/>
        </w:rPr>
        <w:t xml:space="preserve"> </w:t>
      </w:r>
    </w:p>
    <w:p w:rsidR="00874F82" w:rsidP="00625F66" w14:paraId="22C6FA94" w14:textId="40F35B10">
      <w:pPr>
        <w:ind w:left="1440" w:right="1440"/>
      </w:pPr>
      <w:r w:rsidRPr="00526201">
        <w:t>As</w:t>
      </w:r>
      <w:r>
        <w:t xml:space="preserve"> </w:t>
      </w:r>
      <w:r w:rsidRPr="00526201">
        <w:t>set forth DEO Exhibit 2.1, the estimated cost of</w:t>
      </w:r>
      <w:r>
        <w:t xml:space="preserve"> </w:t>
      </w:r>
      <w:r w:rsidRPr="00526201">
        <w:t>conducting a home audit as part of the Home Performance with ENERGY STAR program is $259 per audit, which includes the estimated cost of direct installation of high-efficiency showerheads, faucet aerators, and water heater pipe warp. The Home Performance with ENERGY STAR program requires a $25 customer co-pay to receive the audit, so the utility program cost is $234 per audit. OCC and Dominion agree there are additional, non-incentives costs such</w:t>
      </w:r>
      <w:r>
        <w:t xml:space="preserve"> </w:t>
      </w:r>
      <w:r w:rsidRPr="00526201">
        <w:t>as program administration, management, and marketing</w:t>
      </w:r>
      <w:r>
        <w:t xml:space="preserve"> </w:t>
      </w:r>
      <w:r w:rsidRPr="00526201">
        <w:t>that are not reflected in this number.</w:t>
      </w:r>
      <w:r>
        <w:t xml:space="preserve"> </w:t>
      </w:r>
    </w:p>
    <w:p w:rsidR="00E27F9C" w:rsidP="00955A28" w14:paraId="4887496F" w14:textId="77777777">
      <w:pPr>
        <w:ind w:left="1440" w:right="720"/>
      </w:pPr>
    </w:p>
    <w:p w:rsidR="005314F1" w:rsidRPr="00B5622F" w:rsidP="00061746" w14:paraId="4687BFFB" w14:textId="08109DBE">
      <w:pPr>
        <w:spacing w:line="480" w:lineRule="auto"/>
        <w:rPr>
          <w:sz w:val="24"/>
          <w:szCs w:val="24"/>
        </w:rPr>
      </w:pPr>
      <w:r>
        <w:tab/>
      </w:r>
      <w:r w:rsidRPr="00B5622F">
        <w:rPr>
          <w:sz w:val="24"/>
          <w:szCs w:val="24"/>
        </w:rPr>
        <w:t>Dominion admitted that the costs of this project does not include the “additional, non-incentives costs such as program administration, management, and marketing that are not reflected in the $234 cost per audit.</w:t>
      </w:r>
      <w:r w:rsidR="001F076D">
        <w:rPr>
          <w:sz w:val="24"/>
          <w:szCs w:val="24"/>
        </w:rPr>
        <w:t>”</w:t>
      </w:r>
      <w:r w:rsidRPr="00B5622F">
        <w:rPr>
          <w:sz w:val="24"/>
          <w:szCs w:val="24"/>
        </w:rPr>
        <w:t xml:space="preserve"> Without these additional costs</w:t>
      </w:r>
      <w:r w:rsidRPr="00B5622F" w:rsidR="007E2989">
        <w:rPr>
          <w:sz w:val="24"/>
          <w:szCs w:val="24"/>
        </w:rPr>
        <w:t xml:space="preserve"> included, D</w:t>
      </w:r>
      <w:r w:rsidRPr="00B5622F">
        <w:rPr>
          <w:sz w:val="24"/>
          <w:szCs w:val="24"/>
        </w:rPr>
        <w:t xml:space="preserve">ominion’s pricing for the program is not </w:t>
      </w:r>
      <w:r w:rsidR="0003585C">
        <w:rPr>
          <w:sz w:val="24"/>
          <w:szCs w:val="24"/>
        </w:rPr>
        <w:t xml:space="preserve">wholly accurate or </w:t>
      </w:r>
      <w:r w:rsidRPr="00B5622F" w:rsidR="00B5622F">
        <w:rPr>
          <w:sz w:val="24"/>
          <w:szCs w:val="24"/>
        </w:rPr>
        <w:t xml:space="preserve">transparent </w:t>
      </w:r>
      <w:r w:rsidRPr="00B5622F">
        <w:rPr>
          <w:sz w:val="24"/>
          <w:szCs w:val="24"/>
        </w:rPr>
        <w:t>because it did not assign any of the claimed marketing, administration, or management costs that are allegedly required for this program.</w:t>
      </w:r>
      <w:r w:rsidR="00625F66">
        <w:rPr>
          <w:sz w:val="24"/>
          <w:szCs w:val="24"/>
        </w:rPr>
        <w:t xml:space="preserve"> </w:t>
      </w:r>
    </w:p>
    <w:p w:rsidR="00713031" w:rsidP="00061746" w14:paraId="60DCCD35" w14:textId="05DDA5A1">
      <w:pPr>
        <w:spacing w:line="480" w:lineRule="auto"/>
        <w:rPr>
          <w:sz w:val="24"/>
          <w:szCs w:val="24"/>
        </w:rPr>
      </w:pPr>
      <w:r w:rsidRPr="00526201">
        <w:tab/>
      </w:r>
      <w:r w:rsidRPr="00955A28">
        <w:rPr>
          <w:sz w:val="24"/>
          <w:szCs w:val="24"/>
        </w:rPr>
        <w:t>OCC’s expert Ms. Shutrump testified at the hearing about the Department of Energy’s fact sheet.</w:t>
      </w:r>
      <w:r>
        <w:rPr>
          <w:rStyle w:val="FootnoteReference"/>
          <w:sz w:val="24"/>
          <w:szCs w:val="24"/>
        </w:rPr>
        <w:footnoteReference w:id="58"/>
      </w:r>
      <w:r w:rsidRPr="00955A28">
        <w:rPr>
          <w:sz w:val="24"/>
          <w:szCs w:val="24"/>
        </w:rPr>
        <w:t xml:space="preserve"> The Report found that 300 million ENERGY STAR products were purchased</w:t>
      </w:r>
      <w:r w:rsidRPr="00955A28" w:rsidR="00AD097F">
        <w:rPr>
          <w:sz w:val="24"/>
          <w:szCs w:val="24"/>
        </w:rPr>
        <w:t xml:space="preserve"> </w:t>
      </w:r>
      <w:r w:rsidRPr="00955A28">
        <w:rPr>
          <w:sz w:val="24"/>
          <w:szCs w:val="24"/>
        </w:rPr>
        <w:t>in the U.S. in 2020.</w:t>
      </w:r>
      <w:r>
        <w:rPr>
          <w:rStyle w:val="FootnoteReference"/>
          <w:sz w:val="24"/>
          <w:szCs w:val="24"/>
        </w:rPr>
        <w:footnoteReference w:id="59"/>
      </w:r>
      <w:r w:rsidRPr="00955A28">
        <w:rPr>
          <w:sz w:val="24"/>
          <w:szCs w:val="24"/>
        </w:rPr>
        <w:t xml:space="preserve"> This is evidence</w:t>
      </w:r>
      <w:r w:rsidR="00CA0895">
        <w:rPr>
          <w:sz w:val="24"/>
          <w:szCs w:val="24"/>
        </w:rPr>
        <w:t xml:space="preserve"> that consumers have access to energy efficiency in the</w:t>
      </w:r>
      <w:r w:rsidR="00012239">
        <w:rPr>
          <w:sz w:val="24"/>
          <w:szCs w:val="24"/>
        </w:rPr>
        <w:t xml:space="preserve"> open market and do not need to rely on a utility. </w:t>
      </w:r>
    </w:p>
    <w:p w:rsidR="00874F82" w:rsidRPr="00955A28" w:rsidP="00061746" w14:paraId="2667D775" w14:textId="14BA0A1C">
      <w:pPr>
        <w:spacing w:line="480" w:lineRule="auto"/>
      </w:pPr>
      <w:r>
        <w:tab/>
      </w:r>
      <w:r w:rsidRPr="00955A28">
        <w:rPr>
          <w:sz w:val="24"/>
          <w:szCs w:val="24"/>
        </w:rPr>
        <w:t xml:space="preserve">The State of Ohio’s Energy Policy under R.C. 4929.02 requires the promotion of competition in the competitive energy market. Moreover, the competitive providers have clear pricing. A consumer can see the exact cost of an energy efficiency product before purchasing it. This is not true for a utility run program. Consumers will have no way of confirming or discovering the true price of </w:t>
      </w:r>
      <w:r w:rsidRPr="00955A28" w:rsidR="00732718">
        <w:rPr>
          <w:b/>
          <w:bCs/>
          <w:sz w:val="24"/>
          <w:szCs w:val="24"/>
        </w:rPr>
        <w:t>Dominion’s</w:t>
      </w:r>
      <w:r w:rsidRPr="00955A28">
        <w:rPr>
          <w:sz w:val="24"/>
          <w:szCs w:val="24"/>
        </w:rPr>
        <w:t xml:space="preserve"> proposed DSM/EE program without transparency</w:t>
      </w:r>
      <w:r w:rsidR="001F076D">
        <w:rPr>
          <w:sz w:val="24"/>
          <w:szCs w:val="24"/>
        </w:rPr>
        <w:t>.</w:t>
      </w:r>
    </w:p>
    <w:p w:rsidR="00AA5FCF" w:rsidP="002C3848" w14:paraId="359DFEEC" w14:textId="52D7865F">
      <w:pPr>
        <w:pStyle w:val="Heading3"/>
        <w:numPr>
          <w:ilvl w:val="2"/>
          <w:numId w:val="2"/>
        </w:numPr>
        <w:ind w:left="2160"/>
      </w:pPr>
      <w:bookmarkStart w:id="16" w:name="_Toc116053228"/>
      <w:r w:rsidRPr="002C3848">
        <w:rPr>
          <w:rStyle w:val="Heading3Char"/>
        </w:rPr>
        <w:t>Dominion’s proposal to continue and expand its non-low-</w:t>
      </w:r>
      <w:r>
        <w:t xml:space="preserve">income DSM/EE programs </w:t>
      </w:r>
      <w:r w:rsidR="009D6D7C">
        <w:t xml:space="preserve">is </w:t>
      </w:r>
      <w:r>
        <w:t>unjust and unreasonable.</w:t>
      </w:r>
      <w:bookmarkEnd w:id="16"/>
    </w:p>
    <w:p w:rsidR="00E27F9C" w:rsidP="00924128" w14:paraId="2EA9FECE" w14:textId="26835BFD">
      <w:pPr>
        <w:pStyle w:val="BodyText"/>
        <w:spacing w:before="12" w:line="480" w:lineRule="auto"/>
        <w:ind w:firstLine="720"/>
      </w:pPr>
      <w:r w:rsidRPr="00B5622F">
        <w:t>As noted earlier, DSM is at a crossroad</w:t>
      </w:r>
      <w:r w:rsidRPr="00B5622F" w:rsidR="00652D0C">
        <w:t>s</w:t>
      </w:r>
      <w:r w:rsidRPr="00B5622F">
        <w:t xml:space="preserve"> in Ohio. House Bill 6 repealed mandatory energy efficiency standards in 2019. As a result, electric utilities were ordered to end their</w:t>
      </w:r>
      <w:r w:rsidRPr="00B5622F" w:rsidR="004F0FDC">
        <w:t xml:space="preserve"> electric</w:t>
      </w:r>
      <w:r w:rsidRPr="00B5622F">
        <w:t xml:space="preserve"> DSM programs in 2020 because these programs were inconsistent with state policy to foster efficient rates to allow Ohio businesses to compete in the global economy.</w:t>
      </w:r>
      <w:r>
        <w:rPr>
          <w:rStyle w:val="FootnoteReference"/>
        </w:rPr>
        <w:footnoteReference w:id="60"/>
      </w:r>
      <w:r w:rsidRPr="00B5622F" w:rsidR="00800115">
        <w:t xml:space="preserve"> </w:t>
      </w:r>
      <w:r w:rsidRPr="00B5622F">
        <w:t>A similar state policy exists for gas utilities.</w:t>
      </w:r>
      <w:r>
        <w:rPr>
          <w:rStyle w:val="FootnoteReference"/>
        </w:rPr>
        <w:footnoteReference w:id="61"/>
      </w:r>
      <w:r w:rsidRPr="00B5622F" w:rsidR="003E3A92">
        <w:t xml:space="preserve"> T</w:t>
      </w:r>
      <w:r w:rsidRPr="00B5622F">
        <w:t>he PUCO should rely on this state policy to reject Dominion’s proposal to continue and expand its non-low-</w:t>
      </w:r>
      <w:r>
        <w:t>income residential DSM/EE programs.</w:t>
      </w:r>
    </w:p>
    <w:p w:rsidR="00713031" w:rsidP="00924128" w14:paraId="0BC8A63C" w14:textId="77777777">
      <w:pPr>
        <w:pStyle w:val="BodyText"/>
        <w:spacing w:before="12" w:line="480" w:lineRule="auto"/>
        <w:ind w:firstLine="720"/>
      </w:pPr>
      <w:r>
        <w:t>Under R.C. 492</w:t>
      </w:r>
      <w:r w:rsidR="009372C9">
        <w:t>9(A)(8)</w:t>
      </w:r>
      <w:r>
        <w:t xml:space="preserve">, the state policy as to natural gas services and goods is to </w:t>
      </w:r>
      <w:r w:rsidR="009372C9">
        <w:t>“</w:t>
      </w:r>
      <w:r>
        <w:t>promote effective competition in the provision of natural gas services and goods by avoiding subsidies flowing to or from regulated natural gas services and goods.</w:t>
      </w:r>
      <w:r w:rsidR="009372C9">
        <w:t>”</w:t>
      </w:r>
      <w:r>
        <w:t xml:space="preserve"> The state policy </w:t>
      </w:r>
      <w:r w:rsidR="003E3A92">
        <w:t xml:space="preserve">goal of </w:t>
      </w:r>
      <w:r>
        <w:t xml:space="preserve">competition is </w:t>
      </w:r>
      <w:r w:rsidR="00755FD7">
        <w:t xml:space="preserve">thwarted by utility demand side management and energy efficiency programs because these programs </w:t>
      </w:r>
      <w:r w:rsidR="003D3A04">
        <w:t>represent</w:t>
      </w:r>
      <w:r w:rsidR="00755FD7">
        <w:t xml:space="preserve"> an unfair advantage over competitive providers, including those providers in the marketplace. </w:t>
      </w:r>
      <w:r w:rsidR="003D3A04">
        <w:t>On cross-</w:t>
      </w:r>
    </w:p>
    <w:p w:rsidR="00755FD7" w:rsidP="00713031" w14:paraId="5457623E" w14:textId="2B9E06C4">
      <w:pPr>
        <w:pStyle w:val="BodyText"/>
        <w:spacing w:before="12" w:line="480" w:lineRule="auto"/>
      </w:pPr>
      <w:r>
        <w:t xml:space="preserve">examination, Dominion’s witness acknowledged that the marketplace is providing energy efficiency products and services. </w:t>
      </w:r>
      <w:r>
        <w:rPr>
          <w:rStyle w:val="FootnoteReference"/>
        </w:rPr>
        <w:footnoteReference w:id="62"/>
      </w:r>
      <w:r>
        <w:t xml:space="preserve"> </w:t>
      </w:r>
    </w:p>
    <w:p w:rsidR="00303EBE" w:rsidP="00924128" w14:paraId="6ECB67C6" w14:textId="56D7EDC5">
      <w:pPr>
        <w:pStyle w:val="BodyText"/>
        <w:spacing w:before="12" w:line="480" w:lineRule="auto"/>
        <w:ind w:firstLine="720"/>
      </w:pPr>
      <w:r>
        <w:t xml:space="preserve">In addition to unfair competition, </w:t>
      </w:r>
      <w:r w:rsidR="009D6D7C">
        <w:t xml:space="preserve">under </w:t>
      </w:r>
      <w:r w:rsidR="001F6C90">
        <w:t>R.C. 492</w:t>
      </w:r>
      <w:r w:rsidR="009372C9">
        <w:t>9</w:t>
      </w:r>
      <w:r w:rsidR="001F6C90">
        <w:t>.02(A)</w:t>
      </w:r>
      <w:r w:rsidR="009372C9">
        <w:t>(8)</w:t>
      </w:r>
      <w:r w:rsidR="001F6C90">
        <w:t xml:space="preserve"> Dominion’s provision of DSM/EE programs create </w:t>
      </w:r>
      <w:r w:rsidR="009D6D7C">
        <w:t xml:space="preserve">unjust and unreasonable </w:t>
      </w:r>
      <w:r w:rsidR="001F6C90">
        <w:t>subsidies. D</w:t>
      </w:r>
      <w:r w:rsidRPr="00573D96" w:rsidR="00755FD7">
        <w:t xml:space="preserve">ominion’s </w:t>
      </w:r>
      <w:r w:rsidR="001F6C90">
        <w:t xml:space="preserve">non-participating </w:t>
      </w:r>
      <w:r w:rsidRPr="00573D96" w:rsidR="00755FD7">
        <w:t xml:space="preserve">consumers </w:t>
      </w:r>
      <w:r w:rsidR="001F6C90">
        <w:t xml:space="preserve">pay </w:t>
      </w:r>
      <w:r w:rsidRPr="00573D96" w:rsidR="00755FD7">
        <w:t>for (subsidize)</w:t>
      </w:r>
      <w:r w:rsidR="001F6C90">
        <w:t xml:space="preserve"> the utility’s</w:t>
      </w:r>
      <w:r w:rsidRPr="00573D96" w:rsidR="00755FD7">
        <w:t xml:space="preserve"> energy efficiency programs. </w:t>
      </w:r>
      <w:r w:rsidR="001F6C90">
        <w:t xml:space="preserve">This </w:t>
      </w:r>
      <w:r w:rsidRPr="00573D96" w:rsidR="00755FD7">
        <w:t>is not good public policy and is not equitable to consumers. Many of the consumers who subsidize Dominion’s energy efficiency programs do not personally benefit from their payments because they are not participants in Dominion’s programs. As established on cross-examination, only a small percentage of Dominion’s residential consumers participate in the utility’s energy efficiency programs.</w:t>
      </w:r>
      <w:r>
        <w:rPr>
          <w:rStyle w:val="FootnoteReference"/>
        </w:rPr>
        <w:footnoteReference w:id="63"/>
      </w:r>
      <w:r w:rsidR="00755FD7">
        <w:t xml:space="preserve"> </w:t>
      </w:r>
      <w:r w:rsidR="001F076D">
        <w:t>Moreover, the efficiency programs do not provide any system-wide benefits.</w:t>
      </w:r>
    </w:p>
    <w:p w:rsidR="00237751" w:rsidP="00924128" w14:paraId="573A292F" w14:textId="7ECF0BA2">
      <w:pPr>
        <w:pStyle w:val="BodyText"/>
        <w:spacing w:before="12" w:line="480" w:lineRule="auto"/>
        <w:ind w:firstLine="720"/>
      </w:pPr>
      <w:r>
        <w:t xml:space="preserve">Additionally, consumer </w:t>
      </w:r>
      <w:r w:rsidR="00B7471E">
        <w:t xml:space="preserve">-funded subsidies for energy efficiency are no longer needed (if they ever were) because </w:t>
      </w:r>
      <w:r>
        <w:t xml:space="preserve">consumers </w:t>
      </w:r>
      <w:r w:rsidR="00B7471E">
        <w:t>can choose how efficient they want to be by purchasing or not purchasing efficient products in the competitive market.</w:t>
      </w:r>
      <w:r w:rsidR="000A45B2">
        <w:t xml:space="preserve"> Eliminating subsidies </w:t>
      </w:r>
      <w:r w:rsidR="00661AD1">
        <w:t xml:space="preserve">promotes the regulatory policy of assigning costs to cost causers. It advances efficient rate structures </w:t>
      </w:r>
      <w:r>
        <w:t xml:space="preserve">and PUCO policy and practice </w:t>
      </w:r>
      <w:r w:rsidR="00661AD1">
        <w:t>where the persons causing the costs are assigned to pay the costs.</w:t>
      </w:r>
    </w:p>
    <w:p w:rsidR="008D0805" w:rsidRPr="004325A2" w:rsidP="00924128" w14:paraId="256C4EE1" w14:textId="7496465B">
      <w:pPr>
        <w:pStyle w:val="BodyText"/>
        <w:spacing w:before="12" w:line="480" w:lineRule="auto"/>
        <w:ind w:firstLine="720"/>
      </w:pPr>
      <w:r>
        <w:t>Finally, i</w:t>
      </w:r>
      <w:r w:rsidRPr="004325A2">
        <w:t>n addition to dramatic budget increases, Dominion also requests an automatic 3% annual increase in program spending each year</w:t>
      </w:r>
      <w:r>
        <w:t>—indefinitely--</w:t>
      </w:r>
      <w:r w:rsidRPr="004325A2">
        <w:t xml:space="preserve">after Year Five, without any PUCO pre-approval. </w:t>
      </w:r>
      <w:r w:rsidR="00A8520D">
        <w:t xml:space="preserve">Dominion would like this </w:t>
      </w:r>
      <w:r w:rsidR="00A36B78">
        <w:t xml:space="preserve">3% </w:t>
      </w:r>
      <w:r w:rsidR="00A8520D">
        <w:t>yearly adder until such time as the utility files a subsequent application “to further increase DSM/EE funding</w:t>
      </w:r>
      <w:r w:rsidR="00D7145B">
        <w:t>.</w:t>
      </w:r>
      <w:r w:rsidR="00A8520D">
        <w:t>”</w:t>
      </w:r>
      <w:r>
        <w:rPr>
          <w:rStyle w:val="FootnoteReference"/>
        </w:rPr>
        <w:footnoteReference w:id="64"/>
      </w:r>
      <w:r w:rsidR="00A8520D">
        <w:t xml:space="preserve"> </w:t>
      </w:r>
      <w:r w:rsidR="00D7145B">
        <w:t>T</w:t>
      </w:r>
      <w:r w:rsidRPr="004325A2">
        <w:t>his proposal is unjust and unreasonable and</w:t>
      </w:r>
      <w:r>
        <w:t xml:space="preserve"> contrary to PUCO practice.</w:t>
      </w:r>
      <w:r>
        <w:rPr>
          <w:rStyle w:val="FootnoteReference"/>
        </w:rPr>
        <w:footnoteReference w:id="65"/>
      </w:r>
      <w:r>
        <w:t xml:space="preserve"> The</w:t>
      </w:r>
      <w:r w:rsidRPr="004325A2">
        <w:t xml:space="preserve"> PUCO should reject it.</w:t>
      </w:r>
    </w:p>
    <w:p w:rsidR="006D6E61" w:rsidRPr="00924128" w:rsidP="00E53732" w14:paraId="0DDC429A" w14:textId="0561B67F">
      <w:pPr>
        <w:pStyle w:val="Heading2"/>
        <w:ind w:left="2160"/>
      </w:pPr>
      <w:bookmarkStart w:id="17" w:name="_Toc116053229"/>
      <w:r>
        <w:rPr>
          <w:rStyle w:val="Heading2Char"/>
        </w:rPr>
        <w:t>C.</w:t>
      </w:r>
      <w:r>
        <w:rPr>
          <w:rStyle w:val="Heading2Char"/>
        </w:rPr>
        <w:tab/>
      </w:r>
      <w:r w:rsidRPr="001C09EA" w:rsidR="00153759">
        <w:rPr>
          <w:rStyle w:val="Heading2Char"/>
        </w:rPr>
        <w:t>The PUCO should hold a workshop for</w:t>
      </w:r>
      <w:r w:rsidRPr="001C09EA" w:rsidR="00800115">
        <w:rPr>
          <w:rStyle w:val="Heading2Char"/>
        </w:rPr>
        <w:t xml:space="preserve"> </w:t>
      </w:r>
      <w:r w:rsidRPr="001C09EA" w:rsidR="00153759">
        <w:rPr>
          <w:rStyle w:val="Heading2Char"/>
        </w:rPr>
        <w:t>gas</w:t>
      </w:r>
      <w:r w:rsidR="00153759">
        <w:t xml:space="preserve"> and electric utilities on </w:t>
      </w:r>
      <w:r w:rsidR="005C5FED">
        <w:t>the Pay as You Save (</w:t>
      </w:r>
      <w:r w:rsidR="00153759">
        <w:t>PAYS</w:t>
      </w:r>
      <w:r w:rsidRPr="00526201" w:rsidR="005C5FED">
        <w:rPr>
          <w:vertAlign w:val="superscript"/>
        </w:rPr>
        <w:t>®</w:t>
      </w:r>
      <w:r w:rsidR="005C5FED">
        <w:t>)</w:t>
      </w:r>
      <w:r w:rsidR="00153759">
        <w:t xml:space="preserve"> program.</w:t>
      </w:r>
      <w:bookmarkEnd w:id="17"/>
    </w:p>
    <w:p w:rsidR="00303EBE" w:rsidP="00061746" w14:paraId="7B75142E" w14:textId="77777777">
      <w:pPr>
        <w:spacing w:line="480" w:lineRule="auto"/>
        <w:rPr>
          <w:sz w:val="24"/>
          <w:szCs w:val="24"/>
        </w:rPr>
      </w:pPr>
      <w:bookmarkStart w:id="18" w:name="_Toc115345745"/>
      <w:r>
        <w:tab/>
      </w:r>
      <w:bookmarkEnd w:id="18"/>
      <w:r w:rsidRPr="00955A28" w:rsidR="005C5FED">
        <w:rPr>
          <w:sz w:val="24"/>
          <w:szCs w:val="24"/>
        </w:rPr>
        <w:t>OCC expert witness Ms. Shutrump explained in her testimony about the benefits of the PAYS</w:t>
      </w:r>
      <w:r w:rsidRPr="00955A28" w:rsidR="005C5FED">
        <w:rPr>
          <w:sz w:val="24"/>
          <w:szCs w:val="24"/>
          <w:vertAlign w:val="superscript"/>
        </w:rPr>
        <w:t xml:space="preserve">® </w:t>
      </w:r>
      <w:r w:rsidRPr="00955A28" w:rsidR="005C5FED">
        <w:rPr>
          <w:sz w:val="24"/>
          <w:szCs w:val="24"/>
        </w:rPr>
        <w:t>program.</w:t>
      </w:r>
      <w:r>
        <w:rPr>
          <w:rStyle w:val="FootnoteReference"/>
          <w:sz w:val="24"/>
          <w:szCs w:val="24"/>
        </w:rPr>
        <w:footnoteReference w:id="66"/>
      </w:r>
      <w:r w:rsidRPr="00955A28" w:rsidR="005C5FED">
        <w:rPr>
          <w:sz w:val="24"/>
          <w:szCs w:val="24"/>
        </w:rPr>
        <w:t xml:space="preserve"> OCC recommends that the PUCO Staff to hold a workshop for gas and electric and interested stakeholders regarding the PAYS</w:t>
      </w:r>
      <w:r w:rsidRPr="00955A28" w:rsidR="005C5FED">
        <w:rPr>
          <w:sz w:val="24"/>
          <w:szCs w:val="24"/>
          <w:vertAlign w:val="superscript"/>
        </w:rPr>
        <w:t xml:space="preserve">® </w:t>
      </w:r>
      <w:r w:rsidRPr="00955A28" w:rsidR="005C5FED">
        <w:rPr>
          <w:sz w:val="24"/>
          <w:szCs w:val="24"/>
        </w:rPr>
        <w:t>program. The PAYS</w:t>
      </w:r>
      <w:r w:rsidRPr="00955A28" w:rsidR="005C5FED">
        <w:rPr>
          <w:sz w:val="24"/>
          <w:szCs w:val="24"/>
          <w:vertAlign w:val="superscript"/>
        </w:rPr>
        <w:t>®</w:t>
      </w:r>
      <w:r w:rsidRPr="00955A28" w:rsidR="005C5FED">
        <w:rPr>
          <w:sz w:val="24"/>
          <w:szCs w:val="24"/>
        </w:rPr>
        <w:t xml:space="preserve"> program is an on-bill tariff program that allows customers to pay over-time (through a tariffed charge) for energy efficiency improvements.</w:t>
      </w:r>
      <w:r>
        <w:rPr>
          <w:rStyle w:val="FootnoteReference"/>
          <w:sz w:val="24"/>
          <w:szCs w:val="24"/>
        </w:rPr>
        <w:footnoteReference w:id="67"/>
      </w:r>
      <w:r w:rsidRPr="00955A28" w:rsidR="005C5FED">
        <w:rPr>
          <w:sz w:val="24"/>
          <w:szCs w:val="24"/>
        </w:rPr>
        <w:t xml:space="preserve"> The PAYS</w:t>
      </w:r>
      <w:r w:rsidRPr="00955A28" w:rsidR="005C5FED">
        <w:rPr>
          <w:sz w:val="24"/>
          <w:szCs w:val="24"/>
          <w:vertAlign w:val="superscript"/>
        </w:rPr>
        <w:t>®</w:t>
      </w:r>
      <w:r w:rsidRPr="00955A28" w:rsidR="005C5FED">
        <w:rPr>
          <w:sz w:val="24"/>
          <w:szCs w:val="24"/>
        </w:rPr>
        <w:t xml:space="preserve"> program differs from typical energy efficiency programs like the ones that have been offered in Ohio under the prior mandates.</w:t>
      </w:r>
      <w:r>
        <w:rPr>
          <w:rStyle w:val="FootnoteReference"/>
          <w:sz w:val="24"/>
          <w:szCs w:val="24"/>
        </w:rPr>
        <w:footnoteReference w:id="68"/>
      </w:r>
      <w:r w:rsidRPr="00955A28" w:rsidR="005C5FED">
        <w:rPr>
          <w:sz w:val="24"/>
          <w:szCs w:val="24"/>
        </w:rPr>
        <w:t xml:space="preserve"> For example, under the PAYS</w:t>
      </w:r>
      <w:r w:rsidRPr="00955A28" w:rsidR="005C5FED">
        <w:rPr>
          <w:sz w:val="24"/>
          <w:szCs w:val="24"/>
          <w:vertAlign w:val="superscript"/>
        </w:rPr>
        <w:t>®</w:t>
      </w:r>
      <w:r w:rsidRPr="00955A28" w:rsidR="005C5FED">
        <w:rPr>
          <w:sz w:val="24"/>
          <w:szCs w:val="24"/>
        </w:rPr>
        <w:t xml:space="preserve"> program, participants can reduce their usage and save money, but they also pay their own way without subsidies from other consumers.</w:t>
      </w:r>
      <w:r>
        <w:rPr>
          <w:rStyle w:val="FootnoteReference"/>
          <w:sz w:val="24"/>
          <w:szCs w:val="24"/>
        </w:rPr>
        <w:footnoteReference w:id="69"/>
      </w:r>
      <w:r w:rsidRPr="00955A28" w:rsidR="005C5FED">
        <w:rPr>
          <w:sz w:val="24"/>
          <w:szCs w:val="24"/>
        </w:rPr>
        <w:t xml:space="preserve"> The PAYS</w:t>
      </w:r>
      <w:r w:rsidRPr="00955A28" w:rsidR="005C5FED">
        <w:rPr>
          <w:sz w:val="24"/>
          <w:szCs w:val="24"/>
          <w:vertAlign w:val="superscript"/>
        </w:rPr>
        <w:t>®</w:t>
      </w:r>
      <w:r w:rsidRPr="00955A28" w:rsidR="005C5FED">
        <w:rPr>
          <w:sz w:val="24"/>
          <w:szCs w:val="24"/>
        </w:rPr>
        <w:t xml:space="preserve"> program does not involve making non-participating consumers subsidize these programs.</w:t>
      </w:r>
      <w:r>
        <w:rPr>
          <w:rStyle w:val="FootnoteReference"/>
          <w:sz w:val="24"/>
          <w:szCs w:val="24"/>
        </w:rPr>
        <w:footnoteReference w:id="70"/>
      </w:r>
      <w:r w:rsidRPr="00955A28" w:rsidR="005C5FED">
        <w:rPr>
          <w:sz w:val="24"/>
          <w:szCs w:val="24"/>
        </w:rPr>
        <w:t xml:space="preserve"> </w:t>
      </w:r>
    </w:p>
    <w:p w:rsidR="005C5FED" w:rsidRPr="00955A28" w:rsidP="00D107D3" w14:paraId="0662E425" w14:textId="7F4454C5">
      <w:pPr>
        <w:spacing w:line="480" w:lineRule="auto"/>
        <w:ind w:firstLine="720"/>
      </w:pPr>
      <w:r>
        <w:rPr>
          <w:sz w:val="24"/>
          <w:szCs w:val="24"/>
        </w:rPr>
        <w:t xml:space="preserve">This is a much better way to provide energy efficient products and services to consumers. </w:t>
      </w:r>
      <w:r w:rsidRPr="00955A28">
        <w:rPr>
          <w:sz w:val="24"/>
          <w:szCs w:val="24"/>
        </w:rPr>
        <w:t>Energy efficiency programs that help consumers reduce their energy usage and save money on their bill, without relying on consumer subsidies, should be considered for implementation to assist consumers with energy efficiency.</w:t>
      </w:r>
      <w:r>
        <w:rPr>
          <w:rStyle w:val="FootnoteReference"/>
          <w:sz w:val="24"/>
          <w:szCs w:val="24"/>
        </w:rPr>
        <w:footnoteReference w:id="71"/>
      </w:r>
      <w:r w:rsidRPr="00955A28">
        <w:rPr>
          <w:sz w:val="24"/>
          <w:szCs w:val="24"/>
        </w:rPr>
        <w:t xml:space="preserve"> The PAYS® program has been used successfully in several states.</w:t>
      </w:r>
      <w:r>
        <w:rPr>
          <w:rStyle w:val="FootnoteReference"/>
          <w:sz w:val="24"/>
          <w:szCs w:val="24"/>
        </w:rPr>
        <w:footnoteReference w:id="72"/>
      </w:r>
      <w:r w:rsidRPr="00955A28">
        <w:rPr>
          <w:sz w:val="24"/>
          <w:szCs w:val="24"/>
        </w:rPr>
        <w:t xml:space="preserve"> </w:t>
      </w:r>
    </w:p>
    <w:p w:rsidR="00303EBE" w:rsidP="00061746" w14:paraId="004DDDFF" w14:textId="77777777">
      <w:pPr>
        <w:spacing w:line="480" w:lineRule="auto"/>
        <w:rPr>
          <w:sz w:val="24"/>
          <w:szCs w:val="24"/>
        </w:rPr>
      </w:pPr>
      <w:r>
        <w:tab/>
      </w:r>
      <w:r w:rsidRPr="00955A28">
        <w:rPr>
          <w:sz w:val="24"/>
          <w:szCs w:val="24"/>
        </w:rPr>
        <w:t>Moreover, consumers who do not want to or cannot participate in programs do not subsidize the PAYS® program costs for those participating.</w:t>
      </w:r>
      <w:r>
        <w:rPr>
          <w:rStyle w:val="FootnoteReference"/>
          <w:sz w:val="24"/>
          <w:szCs w:val="24"/>
        </w:rPr>
        <w:footnoteReference w:id="73"/>
      </w:r>
      <w:r w:rsidRPr="00955A28">
        <w:rPr>
          <w:sz w:val="24"/>
          <w:szCs w:val="24"/>
        </w:rPr>
        <w:t xml:space="preserve"> And in a PAYS® program the general body of consumers is not paying utilities for profits or corporate welfare.</w:t>
      </w:r>
      <w:r>
        <w:rPr>
          <w:rStyle w:val="FootnoteReference"/>
          <w:sz w:val="24"/>
          <w:szCs w:val="24"/>
        </w:rPr>
        <w:footnoteReference w:id="74"/>
      </w:r>
      <w:r w:rsidRPr="00955A28">
        <w:rPr>
          <w:sz w:val="24"/>
          <w:szCs w:val="24"/>
        </w:rPr>
        <w:t xml:space="preserve"> This is an important benefit for non-participating customers. </w:t>
      </w:r>
    </w:p>
    <w:p w:rsidR="005C5FED" w:rsidRPr="00955A28" w:rsidP="00D107D3" w14:paraId="1AD72128" w14:textId="515D3883">
      <w:pPr>
        <w:spacing w:line="480" w:lineRule="auto"/>
        <w:ind w:firstLine="720"/>
      </w:pPr>
      <w:r w:rsidRPr="00955A28">
        <w:rPr>
          <w:sz w:val="24"/>
          <w:szCs w:val="24"/>
        </w:rPr>
        <w:t>The PAYS® program might also make it easier for lower income consumers to benefit from energy efficiency. One challenge for lower income consumers is that energy efficient products and services can require significant upfront costs.</w:t>
      </w:r>
      <w:r>
        <w:rPr>
          <w:rStyle w:val="FootnoteReference"/>
          <w:sz w:val="24"/>
          <w:szCs w:val="24"/>
        </w:rPr>
        <w:footnoteReference w:id="75"/>
      </w:r>
      <w:r w:rsidRPr="00955A28">
        <w:rPr>
          <w:sz w:val="24"/>
          <w:szCs w:val="24"/>
        </w:rPr>
        <w:t xml:space="preserve"> So even if these programs might save consumers’ money in the long run, these consumers simply cannot bear the upfront cost.</w:t>
      </w:r>
      <w:r>
        <w:rPr>
          <w:rStyle w:val="FootnoteReference"/>
          <w:sz w:val="24"/>
          <w:szCs w:val="24"/>
        </w:rPr>
        <w:footnoteReference w:id="76"/>
      </w:r>
      <w:r w:rsidRPr="00955A28">
        <w:rPr>
          <w:sz w:val="24"/>
          <w:szCs w:val="24"/>
        </w:rPr>
        <w:t xml:space="preserve"> A PAYS® program could be designed to minimize or avoid upfront costs altogether.</w:t>
      </w:r>
      <w:r>
        <w:rPr>
          <w:rStyle w:val="FootnoteReference"/>
          <w:sz w:val="24"/>
          <w:szCs w:val="24"/>
        </w:rPr>
        <w:footnoteReference w:id="77"/>
      </w:r>
      <w:r w:rsidRPr="00955A28">
        <w:rPr>
          <w:sz w:val="24"/>
          <w:szCs w:val="24"/>
        </w:rPr>
        <w:t xml:space="preserve"> This provides for a more equitable adoption of energy efficiency improvements by low-income and moderate-income consumers.</w:t>
      </w:r>
      <w:r>
        <w:rPr>
          <w:rStyle w:val="FootnoteReference"/>
          <w:sz w:val="24"/>
          <w:szCs w:val="24"/>
        </w:rPr>
        <w:footnoteReference w:id="78"/>
      </w:r>
    </w:p>
    <w:p w:rsidR="00713031" w:rsidP="00061746" w14:paraId="4A1FBA79" w14:textId="009B01C0">
      <w:pPr>
        <w:spacing w:line="480" w:lineRule="auto"/>
        <w:rPr>
          <w:sz w:val="24"/>
          <w:szCs w:val="24"/>
        </w:rPr>
      </w:pPr>
      <w:r>
        <w:tab/>
      </w:r>
      <w:r w:rsidRPr="00955A28" w:rsidR="005C5FED">
        <w:rPr>
          <w:sz w:val="24"/>
          <w:szCs w:val="24"/>
        </w:rPr>
        <w:t>Therefore, OCC recommends that the PUCO staff</w:t>
      </w:r>
      <w:r w:rsidRPr="00955A28" w:rsidR="00AD097F">
        <w:rPr>
          <w:b/>
          <w:bCs/>
          <w:sz w:val="24"/>
          <w:szCs w:val="24"/>
        </w:rPr>
        <w:t xml:space="preserve"> </w:t>
      </w:r>
      <w:r w:rsidRPr="00955A28" w:rsidR="005C5FED">
        <w:rPr>
          <w:sz w:val="24"/>
          <w:szCs w:val="24"/>
        </w:rPr>
        <w:t xml:space="preserve">hold a workshop to consider a PAYS® program for gas and electric utilities in Ohio. </w:t>
      </w:r>
    </w:p>
    <w:p w:rsidR="00713031" w14:paraId="559ED374" w14:textId="77777777">
      <w:pPr>
        <w:rPr>
          <w:sz w:val="24"/>
          <w:szCs w:val="24"/>
        </w:rPr>
      </w:pPr>
      <w:r>
        <w:rPr>
          <w:sz w:val="24"/>
          <w:szCs w:val="24"/>
        </w:rPr>
        <w:br w:type="page"/>
      </w:r>
    </w:p>
    <w:p w:rsidR="004C74DE" w:rsidRPr="00894155" w:rsidP="00924128" w14:paraId="02832A70" w14:textId="2122EC5F">
      <w:pPr>
        <w:pStyle w:val="Heading1"/>
      </w:pPr>
      <w:bookmarkStart w:id="19" w:name="_Toc116053230"/>
      <w:r>
        <w:t>IV.</w:t>
      </w:r>
      <w:r>
        <w:tab/>
      </w:r>
      <w:r w:rsidRPr="00894155" w:rsidR="007574A5">
        <w:t>CONCLUSION</w:t>
      </w:r>
      <w:bookmarkEnd w:id="19"/>
    </w:p>
    <w:p w:rsidR="006D6E61" w:rsidP="00894155" w14:paraId="0B78E9FA" w14:textId="4A52AA68">
      <w:pPr>
        <w:pStyle w:val="BodyText"/>
        <w:spacing w:before="12" w:line="480" w:lineRule="auto"/>
        <w:ind w:firstLine="720"/>
      </w:pPr>
      <w:r w:rsidRPr="00924128">
        <w:t>Dominion’s application</w:t>
      </w:r>
      <w:r w:rsidRPr="00924128" w:rsidR="00211287">
        <w:t xml:space="preserve"> </w:t>
      </w:r>
      <w:r w:rsidRPr="00924128">
        <w:t xml:space="preserve">should be rejected. </w:t>
      </w:r>
      <w:r w:rsidRPr="00924128" w:rsidR="009D4EA3">
        <w:t xml:space="preserve">Natural Gas </w:t>
      </w:r>
      <w:r w:rsidRPr="00924128" w:rsidR="00211287">
        <w:t>DSM/EE</w:t>
      </w:r>
      <w:r w:rsidRPr="00924128" w:rsidR="00A9023C">
        <w:t xml:space="preserve"> programs </w:t>
      </w:r>
      <w:r w:rsidRPr="00924128" w:rsidR="009D4EA3">
        <w:t xml:space="preserve">violate important state policy goals promoting competition and reducing subsidies. </w:t>
      </w:r>
      <w:r w:rsidRPr="00924128" w:rsidR="00966D6A">
        <w:t xml:space="preserve">The products and services that Dominion seek to promote are available in the marketplace. </w:t>
      </w:r>
      <w:r w:rsidR="00966D6A">
        <w:t xml:space="preserve">In addition, </w:t>
      </w:r>
      <w:r w:rsidRPr="004325A2" w:rsidR="00966D6A">
        <w:t xml:space="preserve">Dominion </w:t>
      </w:r>
      <w:r w:rsidR="00966D6A">
        <w:t xml:space="preserve">improperly </w:t>
      </w:r>
      <w:r w:rsidRPr="004325A2" w:rsidR="00966D6A">
        <w:t>requests an automatic 3% annual increase in program spending each year after Year Five, without any PUCO pre-approval of the need for increased spending. This proposal is unjust and unreasonable</w:t>
      </w:r>
      <w:r w:rsidR="00966D6A">
        <w:t>,</w:t>
      </w:r>
      <w:r w:rsidRPr="004325A2" w:rsidR="00966D6A">
        <w:t xml:space="preserve"> and the PUCO should reject it.</w:t>
      </w:r>
    </w:p>
    <w:p w:rsidR="00DB7F5A" w:rsidRPr="00924128" w14:paraId="491F2D5D" w14:textId="5647A19F">
      <w:pPr>
        <w:pStyle w:val="BodyText"/>
      </w:pPr>
      <w:r w:rsidRPr="00924128">
        <w:tab/>
      </w:r>
      <w:r w:rsidRPr="00924128">
        <w:tab/>
      </w:r>
      <w:r w:rsidRPr="00924128">
        <w:tab/>
      </w:r>
      <w:r w:rsidRPr="00924128">
        <w:tab/>
      </w:r>
      <w:r w:rsidRPr="00924128">
        <w:tab/>
        <w:t>Respectfully submitted,</w:t>
      </w:r>
    </w:p>
    <w:p w:rsidR="00894155" w14:paraId="7E627F55" w14:textId="1D50E068">
      <w:pPr>
        <w:pStyle w:val="BodyText"/>
        <w:rPr>
          <w:highlight w:val="yellow"/>
        </w:rPr>
      </w:pPr>
    </w:p>
    <w:p w:rsidR="00894155" w14:paraId="42BDC0EF" w14:textId="77777777">
      <w:pPr>
        <w:pStyle w:val="BodyText"/>
        <w:rPr>
          <w:highlight w:val="yellow"/>
        </w:rPr>
      </w:pPr>
    </w:p>
    <w:p w:rsidR="00894155" w:rsidRPr="00E87BC6" w:rsidP="00924128" w14:paraId="2A84AC5C" w14:textId="77777777">
      <w:pPr>
        <w:ind w:left="3600"/>
        <w:rPr>
          <w:sz w:val="24"/>
          <w:szCs w:val="24"/>
        </w:rPr>
      </w:pPr>
      <w:r w:rsidRPr="00E87BC6">
        <w:rPr>
          <w:sz w:val="24"/>
          <w:szCs w:val="24"/>
        </w:rPr>
        <w:t>Bruce Weston (0016973)</w:t>
      </w:r>
    </w:p>
    <w:p w:rsidR="00894155" w:rsidRPr="00E87BC6" w:rsidP="00924128" w14:paraId="3ED50749" w14:textId="77777777">
      <w:pPr>
        <w:ind w:left="3600"/>
        <w:rPr>
          <w:sz w:val="24"/>
          <w:szCs w:val="24"/>
        </w:rPr>
      </w:pPr>
      <w:r w:rsidRPr="00E87BC6">
        <w:rPr>
          <w:sz w:val="24"/>
          <w:szCs w:val="24"/>
        </w:rPr>
        <w:t>Ohio Consumers’ Counsel</w:t>
      </w:r>
    </w:p>
    <w:p w:rsidR="00894155" w:rsidRPr="00E87BC6" w:rsidP="00924128" w14:paraId="0D854866" w14:textId="77777777">
      <w:pPr>
        <w:pStyle w:val="ListParagraph"/>
        <w:ind w:left="3600" w:firstLine="0"/>
        <w:rPr>
          <w:sz w:val="24"/>
          <w:szCs w:val="24"/>
        </w:rPr>
      </w:pPr>
      <w:r w:rsidRPr="00E87BC6">
        <w:rPr>
          <w:sz w:val="24"/>
          <w:szCs w:val="24"/>
        </w:rPr>
        <w:tab/>
      </w:r>
    </w:p>
    <w:p w:rsidR="00894155" w:rsidRPr="00924128" w:rsidP="00924128" w14:paraId="4D373277" w14:textId="3224D668">
      <w:pPr>
        <w:pStyle w:val="ListParagraph"/>
        <w:ind w:left="3600" w:firstLine="0"/>
        <w:rPr>
          <w:i/>
          <w:iCs/>
          <w:sz w:val="24"/>
          <w:szCs w:val="24"/>
          <w:u w:val="single"/>
        </w:rPr>
      </w:pPr>
      <w:r>
        <w:rPr>
          <w:i/>
          <w:iCs/>
          <w:sz w:val="24"/>
          <w:szCs w:val="24"/>
          <w:u w:val="single"/>
        </w:rPr>
        <w:t>/s/ John Finnigan</w:t>
      </w:r>
      <w:r>
        <w:rPr>
          <w:i/>
          <w:iCs/>
          <w:sz w:val="24"/>
          <w:szCs w:val="24"/>
          <w:u w:val="single"/>
        </w:rPr>
        <w:tab/>
      </w:r>
    </w:p>
    <w:p w:rsidR="00894155" w:rsidRPr="00E87BC6" w:rsidP="00924128" w14:paraId="5997EF06" w14:textId="77777777">
      <w:pPr>
        <w:pStyle w:val="ListParagraph"/>
        <w:adjustRightInd w:val="0"/>
        <w:ind w:left="3600" w:firstLine="0"/>
        <w:rPr>
          <w:sz w:val="24"/>
          <w:szCs w:val="24"/>
        </w:rPr>
      </w:pPr>
      <w:r w:rsidRPr="00E87BC6">
        <w:rPr>
          <w:sz w:val="24"/>
          <w:szCs w:val="24"/>
        </w:rPr>
        <w:t xml:space="preserve">John Finnigan (0018689) </w:t>
      </w:r>
    </w:p>
    <w:p w:rsidR="00894155" w:rsidRPr="00E87BC6" w:rsidP="00924128" w14:paraId="34B99352" w14:textId="77777777">
      <w:pPr>
        <w:pStyle w:val="ListParagraph"/>
        <w:adjustRightInd w:val="0"/>
        <w:ind w:left="3600" w:firstLine="0"/>
        <w:rPr>
          <w:sz w:val="24"/>
          <w:szCs w:val="24"/>
        </w:rPr>
      </w:pPr>
      <w:r w:rsidRPr="00E87BC6">
        <w:rPr>
          <w:sz w:val="24"/>
          <w:szCs w:val="24"/>
        </w:rPr>
        <w:t xml:space="preserve">Counsel of Record </w:t>
      </w:r>
    </w:p>
    <w:p w:rsidR="00894155" w:rsidRPr="00E87BC6" w:rsidP="00924128" w14:paraId="4E5577F8" w14:textId="77777777">
      <w:pPr>
        <w:pStyle w:val="ListParagraph"/>
        <w:adjustRightInd w:val="0"/>
        <w:ind w:left="3600" w:firstLine="0"/>
        <w:rPr>
          <w:sz w:val="24"/>
          <w:szCs w:val="24"/>
        </w:rPr>
      </w:pPr>
      <w:r w:rsidRPr="00E87BC6">
        <w:rPr>
          <w:sz w:val="24"/>
          <w:szCs w:val="24"/>
        </w:rPr>
        <w:t xml:space="preserve">Amy Botschner O’Brien (0074423) </w:t>
      </w:r>
    </w:p>
    <w:p w:rsidR="00894155" w:rsidRPr="00E87BC6" w:rsidP="00924128" w14:paraId="3FE8545D" w14:textId="77777777">
      <w:pPr>
        <w:pStyle w:val="ListParagraph"/>
        <w:adjustRightInd w:val="0"/>
        <w:ind w:left="3600" w:firstLine="0"/>
        <w:rPr>
          <w:sz w:val="24"/>
          <w:szCs w:val="24"/>
        </w:rPr>
      </w:pPr>
      <w:r w:rsidRPr="00E87BC6">
        <w:rPr>
          <w:sz w:val="24"/>
          <w:szCs w:val="24"/>
        </w:rPr>
        <w:t xml:space="preserve">Ambrosia E. Wilson (0096598) </w:t>
      </w:r>
    </w:p>
    <w:p w:rsidR="00894155" w:rsidRPr="00E87BC6" w:rsidP="00924128" w14:paraId="4EF94382" w14:textId="77777777">
      <w:pPr>
        <w:pStyle w:val="ListParagraph"/>
        <w:adjustRightInd w:val="0"/>
        <w:ind w:left="3600" w:firstLine="0"/>
        <w:rPr>
          <w:sz w:val="24"/>
          <w:szCs w:val="24"/>
        </w:rPr>
      </w:pPr>
      <w:r w:rsidRPr="00E87BC6">
        <w:rPr>
          <w:sz w:val="24"/>
          <w:szCs w:val="24"/>
        </w:rPr>
        <w:t xml:space="preserve">Assistant Consumers' Counsel </w:t>
      </w:r>
    </w:p>
    <w:p w:rsidR="00894155" w:rsidRPr="00E87BC6" w:rsidP="00924128" w14:paraId="4B9FB641" w14:textId="77777777">
      <w:pPr>
        <w:pStyle w:val="ListParagraph"/>
        <w:adjustRightInd w:val="0"/>
        <w:ind w:left="3600" w:firstLine="0"/>
        <w:rPr>
          <w:b/>
          <w:bCs/>
          <w:sz w:val="24"/>
          <w:szCs w:val="24"/>
        </w:rPr>
      </w:pPr>
    </w:p>
    <w:p w:rsidR="00894155" w:rsidRPr="00E87BC6" w:rsidP="00924128" w14:paraId="491FC842" w14:textId="77777777">
      <w:pPr>
        <w:pStyle w:val="ListParagraph"/>
        <w:adjustRightInd w:val="0"/>
        <w:ind w:left="3600" w:firstLine="0"/>
        <w:rPr>
          <w:b/>
          <w:bCs/>
          <w:sz w:val="24"/>
          <w:szCs w:val="24"/>
        </w:rPr>
      </w:pPr>
      <w:r w:rsidRPr="00E87BC6">
        <w:rPr>
          <w:b/>
          <w:bCs/>
          <w:sz w:val="24"/>
          <w:szCs w:val="24"/>
        </w:rPr>
        <w:t xml:space="preserve">Office of the Ohio Consumers' Counsel </w:t>
      </w:r>
    </w:p>
    <w:p w:rsidR="00894155" w:rsidRPr="00E87BC6" w:rsidP="00924128" w14:paraId="6352745A" w14:textId="77777777">
      <w:pPr>
        <w:pStyle w:val="ListParagraph"/>
        <w:adjustRightInd w:val="0"/>
        <w:ind w:left="3600" w:firstLine="0"/>
        <w:rPr>
          <w:sz w:val="24"/>
          <w:szCs w:val="24"/>
        </w:rPr>
      </w:pPr>
      <w:r w:rsidRPr="00E87BC6">
        <w:rPr>
          <w:sz w:val="24"/>
          <w:szCs w:val="24"/>
        </w:rPr>
        <w:t xml:space="preserve">65 East State Street, Suite 700 </w:t>
      </w:r>
    </w:p>
    <w:p w:rsidR="00894155" w:rsidRPr="00E87BC6" w:rsidP="00924128" w14:paraId="6D467B82" w14:textId="77777777">
      <w:pPr>
        <w:pStyle w:val="ListParagraph"/>
        <w:adjustRightInd w:val="0"/>
        <w:ind w:left="3600" w:firstLine="0"/>
        <w:rPr>
          <w:sz w:val="24"/>
          <w:szCs w:val="24"/>
        </w:rPr>
      </w:pPr>
      <w:r w:rsidRPr="00E87BC6">
        <w:rPr>
          <w:sz w:val="24"/>
          <w:szCs w:val="24"/>
        </w:rPr>
        <w:t xml:space="preserve">Columbus, Ohio 43215 </w:t>
      </w:r>
    </w:p>
    <w:p w:rsidR="00894155" w:rsidRPr="00E87BC6" w:rsidP="00924128" w14:paraId="43FD09C3" w14:textId="77777777">
      <w:pPr>
        <w:pStyle w:val="ListParagraph"/>
        <w:adjustRightInd w:val="0"/>
        <w:ind w:left="3600" w:firstLine="0"/>
        <w:rPr>
          <w:sz w:val="24"/>
          <w:szCs w:val="24"/>
        </w:rPr>
      </w:pPr>
      <w:r w:rsidRPr="00E87BC6">
        <w:rPr>
          <w:sz w:val="24"/>
          <w:szCs w:val="24"/>
        </w:rPr>
        <w:t xml:space="preserve">Telephone [Finnigan]: (614) 466-9585 </w:t>
      </w:r>
    </w:p>
    <w:p w:rsidR="00894155" w:rsidP="00924128" w14:paraId="5D6C4818" w14:textId="77777777">
      <w:pPr>
        <w:pStyle w:val="ListParagraph"/>
        <w:adjustRightInd w:val="0"/>
        <w:ind w:left="3600" w:firstLine="0"/>
        <w:rPr>
          <w:sz w:val="24"/>
          <w:szCs w:val="24"/>
        </w:rPr>
      </w:pPr>
      <w:r w:rsidRPr="00E87BC6">
        <w:rPr>
          <w:sz w:val="24"/>
          <w:szCs w:val="24"/>
        </w:rPr>
        <w:t xml:space="preserve">Telephone [Botschner O’Brien]: (614) 466-9575 </w:t>
      </w:r>
    </w:p>
    <w:p w:rsidR="000F3214" w:rsidP="00894155" w14:paraId="0E1CF8E0" w14:textId="77777777">
      <w:pPr>
        <w:pStyle w:val="BodyText"/>
        <w:ind w:left="3600"/>
      </w:pPr>
      <w:r w:rsidRPr="00E87BC6">
        <w:t xml:space="preserve">Telephone [Wilson]: (614) 466-1292 </w:t>
      </w:r>
      <w:hyperlink r:id="rId6" w:history="1">
        <w:r w:rsidRPr="00E87BC6">
          <w:rPr>
            <w:rStyle w:val="Hyperlink"/>
            <w:rFonts w:eastAsia="Courier New"/>
          </w:rPr>
          <w:t>john.finnigan@occ.ohio.gov</w:t>
        </w:r>
      </w:hyperlink>
      <w:r w:rsidRPr="00E87BC6">
        <w:t xml:space="preserve"> </w:t>
      </w:r>
      <w:hyperlink r:id="rId7" w:history="1">
        <w:r w:rsidRPr="00E87BC6">
          <w:rPr>
            <w:rStyle w:val="Hyperlink"/>
            <w:rFonts w:eastAsia="Courier New"/>
          </w:rPr>
          <w:t>amy.botschner.obrien@occ.ohio.gov</w:t>
        </w:r>
      </w:hyperlink>
      <w:r w:rsidRPr="00E87BC6">
        <w:t xml:space="preserve"> </w:t>
      </w:r>
      <w:hyperlink r:id="rId8" w:history="1">
        <w:r w:rsidRPr="00E87BC6">
          <w:rPr>
            <w:rStyle w:val="Hyperlink"/>
            <w:rFonts w:eastAsia="Courier New"/>
          </w:rPr>
          <w:t>ambrosia.wilson@occ.ohio.gov</w:t>
        </w:r>
      </w:hyperlink>
      <w:r>
        <w:t xml:space="preserve"> </w:t>
      </w:r>
    </w:p>
    <w:p w:rsidR="006D6E61" w:rsidP="00894155" w14:paraId="539F3231" w14:textId="75562096">
      <w:pPr>
        <w:pStyle w:val="BodyText"/>
        <w:ind w:left="3600"/>
      </w:pPr>
      <w:r>
        <w:t>(willing to accept service by e-mail)</w:t>
      </w:r>
    </w:p>
    <w:p w:rsidR="006D6E61" w14:paraId="042D07F7" w14:textId="77777777">
      <w:pPr>
        <w:rPr>
          <w:sz w:val="24"/>
          <w:szCs w:val="24"/>
        </w:rPr>
      </w:pPr>
      <w:r>
        <w:br w:type="page"/>
      </w:r>
    </w:p>
    <w:p w:rsidR="004C74DE" w:rsidP="00E03D46" w14:paraId="725E0992" w14:textId="3894A17F">
      <w:pPr>
        <w:jc w:val="center"/>
        <w:rPr>
          <w:b/>
          <w:bCs/>
          <w:u w:val="single"/>
        </w:rPr>
      </w:pPr>
      <w:bookmarkStart w:id="20" w:name="_Toc115345147"/>
      <w:r w:rsidRPr="00E03D46">
        <w:rPr>
          <w:b/>
          <w:bCs/>
          <w:u w:val="single"/>
        </w:rPr>
        <w:t>CERTIFICATE OF SERVICE</w:t>
      </w:r>
      <w:bookmarkEnd w:id="20"/>
    </w:p>
    <w:p w:rsidR="00955A28" w:rsidRPr="00E03D46" w:rsidP="00E03D46" w14:paraId="390447AC" w14:textId="77777777">
      <w:pPr>
        <w:jc w:val="center"/>
        <w:rPr>
          <w:b/>
          <w:bCs/>
          <w:u w:val="single"/>
        </w:rPr>
      </w:pPr>
    </w:p>
    <w:p w:rsidR="004C74DE" w14:paraId="10FB88CB" w14:textId="651FFED3">
      <w:pPr>
        <w:pStyle w:val="BodyText"/>
        <w:spacing w:before="61" w:line="417" w:lineRule="auto"/>
        <w:ind w:left="119" w:right="96" w:firstLine="720"/>
      </w:pPr>
      <w:r>
        <w:t xml:space="preserve">I hereby certify that a copy of this </w:t>
      </w:r>
      <w:r w:rsidR="00F577DE">
        <w:t>Initial</w:t>
      </w:r>
      <w:r>
        <w:t xml:space="preserve"> </w:t>
      </w:r>
      <w:r w:rsidR="00F577DE">
        <w:t xml:space="preserve">Post-Hearing </w:t>
      </w:r>
      <w:r>
        <w:t xml:space="preserve">Brief was served on the persons stated below </w:t>
      </w:r>
      <w:r>
        <w:rPr>
          <w:i/>
        </w:rPr>
        <w:t xml:space="preserve">via </w:t>
      </w:r>
      <w:r>
        <w:t xml:space="preserve">electronic transmission, this </w:t>
      </w:r>
      <w:r w:rsidR="00F577DE">
        <w:t>7</w:t>
      </w:r>
      <w:r>
        <w:t xml:space="preserve">th day of </w:t>
      </w:r>
      <w:r w:rsidR="00F577DE">
        <w:t xml:space="preserve">October </w:t>
      </w:r>
      <w:r>
        <w:t>202</w:t>
      </w:r>
      <w:r w:rsidR="00F577DE">
        <w:t>2</w:t>
      </w:r>
      <w:r>
        <w:t>.</w:t>
      </w:r>
    </w:p>
    <w:p w:rsidR="004C74DE" w14:paraId="1CBB9B3B" w14:textId="77777777">
      <w:pPr>
        <w:pStyle w:val="BodyText"/>
        <w:spacing w:before="7"/>
      </w:pPr>
    </w:p>
    <w:p w:rsidR="004C74DE" w14:paraId="643EE4D9" w14:textId="05482A1C">
      <w:pPr>
        <w:tabs>
          <w:tab w:val="left" w:pos="8039"/>
        </w:tabs>
        <w:ind w:left="4439"/>
        <w:rPr>
          <w:i/>
          <w:sz w:val="24"/>
        </w:rPr>
      </w:pPr>
      <w:r w:rsidRPr="00924128">
        <w:rPr>
          <w:i/>
          <w:iCs/>
          <w:sz w:val="24"/>
          <w:u w:val="single"/>
        </w:rPr>
        <w:t>/s</w:t>
      </w:r>
      <w:r>
        <w:rPr>
          <w:sz w:val="24"/>
          <w:u w:val="single"/>
        </w:rPr>
        <w:t xml:space="preserve">/ </w:t>
      </w:r>
      <w:r w:rsidR="004E6FF4">
        <w:rPr>
          <w:i/>
          <w:sz w:val="24"/>
          <w:u w:val="single"/>
        </w:rPr>
        <w:t>Amy Botschner</w:t>
      </w:r>
      <w:r>
        <w:rPr>
          <w:i/>
          <w:sz w:val="24"/>
          <w:u w:val="single"/>
        </w:rPr>
        <w:t xml:space="preserve"> O’Brien</w:t>
      </w:r>
      <w:r>
        <w:rPr>
          <w:i/>
          <w:sz w:val="24"/>
          <w:u w:val="single"/>
        </w:rPr>
        <w:tab/>
      </w:r>
    </w:p>
    <w:p w:rsidR="00F577DE" w14:paraId="07318231" w14:textId="07BB0D35">
      <w:pPr>
        <w:pStyle w:val="BodyText"/>
        <w:ind w:left="4439"/>
      </w:pPr>
      <w:r>
        <w:t>Amy Botschner O’Brien</w:t>
      </w:r>
    </w:p>
    <w:p w:rsidR="004C74DE" w14:paraId="780E0DD9" w14:textId="7447F290">
      <w:pPr>
        <w:pStyle w:val="BodyText"/>
        <w:ind w:left="4439"/>
      </w:pPr>
      <w:r>
        <w:t>Assistant Consumers’ Counsel</w:t>
      </w:r>
    </w:p>
    <w:p w:rsidR="004C74DE" w14:paraId="4E3642C1" w14:textId="77777777">
      <w:pPr>
        <w:pStyle w:val="BodyText"/>
        <w:spacing w:before="11"/>
        <w:rPr>
          <w:sz w:val="23"/>
        </w:rPr>
      </w:pPr>
    </w:p>
    <w:p w:rsidR="004C74DE" w:rsidP="00924128" w14:paraId="12ABC8F2" w14:textId="77777777">
      <w:pPr>
        <w:pStyle w:val="BodyText"/>
      </w:pPr>
      <w:r>
        <w:t>The PUCO’s e-filing system will electronically serve notice of the filing of this document on the following parties:</w:t>
      </w:r>
    </w:p>
    <w:p w:rsidR="004C74DE" w14:paraId="6348B5CB" w14:textId="77777777">
      <w:pPr>
        <w:pStyle w:val="BodyText"/>
        <w:spacing w:before="11"/>
        <w:rPr>
          <w:sz w:val="23"/>
        </w:rPr>
      </w:pPr>
    </w:p>
    <w:p w:rsidR="004C74DE" w:rsidP="00E03D46" w14:paraId="77730A54" w14:textId="41D41779">
      <w:pPr>
        <w:jc w:val="center"/>
        <w:rPr>
          <w:b/>
          <w:bCs/>
          <w:u w:val="single"/>
        </w:rPr>
      </w:pPr>
      <w:bookmarkStart w:id="21" w:name="_Toc115345148"/>
      <w:r w:rsidRPr="00E03D46">
        <w:rPr>
          <w:b/>
          <w:bCs/>
          <w:u w:val="single"/>
        </w:rPr>
        <w:t>SERVICE LIST</w:t>
      </w:r>
      <w:bookmarkEnd w:id="21"/>
    </w:p>
    <w:p w:rsidR="00E03D46" w:rsidRPr="00E03D46" w:rsidP="00E03D46" w14:paraId="00954172" w14:textId="77777777">
      <w:pPr>
        <w:jc w:val="center"/>
        <w:rPr>
          <w:b/>
          <w:bCs/>
          <w:u w:val="single"/>
        </w:rPr>
      </w:pPr>
    </w:p>
    <w:tbl>
      <w:tblPr>
        <w:tblW w:w="0" w:type="auto"/>
        <w:tblInd w:w="198" w:type="dxa"/>
        <w:tblLook w:val="01E0"/>
      </w:tblPr>
      <w:tblGrid>
        <w:gridCol w:w="4047"/>
        <w:gridCol w:w="4395"/>
      </w:tblGrid>
      <w:tr w14:paraId="204C8C02" w14:textId="77777777" w:rsidTr="00924128">
        <w:tblPrEx>
          <w:tblW w:w="0" w:type="auto"/>
          <w:tblInd w:w="198" w:type="dxa"/>
          <w:tblLook w:val="01E0"/>
        </w:tblPrEx>
        <w:tc>
          <w:tcPr>
            <w:tcW w:w="4230" w:type="dxa"/>
            <w:shd w:val="clear" w:color="auto" w:fill="auto"/>
          </w:tcPr>
          <w:p w:rsidR="00F577DE" w:rsidRPr="00E87BC6" w:rsidP="000A1B3B" w14:paraId="55C891B4" w14:textId="77777777">
            <w:pPr>
              <w:adjustRightInd w:val="0"/>
              <w:rPr>
                <w:bCs/>
                <w:sz w:val="24"/>
                <w:szCs w:val="24"/>
              </w:rPr>
            </w:pPr>
            <w:hyperlink r:id="rId11" w:history="1">
              <w:r w:rsidRPr="00EE4679" w:rsidR="00A01A6F">
                <w:rPr>
                  <w:rStyle w:val="Hyperlink"/>
                  <w:rFonts w:eastAsia="Courier New"/>
                  <w:sz w:val="24"/>
                  <w:szCs w:val="24"/>
                </w:rPr>
                <w:t>r</w:t>
              </w:r>
              <w:r w:rsidRPr="00EE4679" w:rsidR="00A01A6F">
                <w:rPr>
                  <w:rStyle w:val="Hyperlink"/>
                  <w:rFonts w:eastAsia="Courier New"/>
                  <w:bCs/>
                  <w:sz w:val="24"/>
                  <w:szCs w:val="24"/>
                </w:rPr>
                <w:t>obert.eubanks@ohioAGO.gov</w:t>
              </w:r>
            </w:hyperlink>
          </w:p>
          <w:p w:rsidR="00F577DE" w:rsidP="000A1B3B" w14:paraId="0A8A936A" w14:textId="77777777">
            <w:pPr>
              <w:adjustRightInd w:val="0"/>
              <w:rPr>
                <w:sz w:val="24"/>
                <w:szCs w:val="24"/>
              </w:rPr>
            </w:pPr>
            <w:hyperlink r:id="rId12" w:history="1">
              <w:r w:rsidRPr="00EE4679" w:rsidR="00A01A6F">
                <w:rPr>
                  <w:rStyle w:val="Hyperlink"/>
                  <w:rFonts w:eastAsia="Courier New"/>
                  <w:sz w:val="24"/>
                  <w:szCs w:val="24"/>
                </w:rPr>
                <w:t>s</w:t>
              </w:r>
              <w:r w:rsidRPr="00EE4679" w:rsidR="00A01A6F">
                <w:rPr>
                  <w:rStyle w:val="Hyperlink"/>
                  <w:rFonts w:eastAsia="Courier New"/>
                  <w:bCs/>
                  <w:sz w:val="24"/>
                  <w:szCs w:val="24"/>
                </w:rPr>
                <w:t>arah.feldkamp@ohioAGO.gov</w:t>
              </w:r>
            </w:hyperlink>
          </w:p>
          <w:p w:rsidR="00F577DE" w:rsidP="000A1B3B" w14:paraId="01460801" w14:textId="77777777">
            <w:pPr>
              <w:adjustRightInd w:val="0"/>
            </w:pPr>
          </w:p>
          <w:p w:rsidR="00F577DE" w:rsidP="000A1B3B" w14:paraId="76ADAE34" w14:textId="77777777">
            <w:pPr>
              <w:adjustRightInd w:val="0"/>
            </w:pPr>
          </w:p>
          <w:p w:rsidR="00F577DE" w:rsidRPr="00E87BC6" w:rsidP="000A1B3B" w14:paraId="000108AB" w14:textId="77777777">
            <w:pPr>
              <w:rPr>
                <w:sz w:val="24"/>
                <w:szCs w:val="24"/>
              </w:rPr>
            </w:pPr>
            <w:r w:rsidRPr="00E87BC6">
              <w:rPr>
                <w:sz w:val="24"/>
                <w:szCs w:val="24"/>
              </w:rPr>
              <w:t>Attorney Examiner:</w:t>
            </w:r>
          </w:p>
          <w:p w:rsidR="00F577DE" w:rsidRPr="00E87BC6" w:rsidP="000A1B3B" w14:paraId="42B625DE" w14:textId="77777777">
            <w:pPr>
              <w:adjustRightInd w:val="0"/>
              <w:rPr>
                <w:bCs/>
                <w:sz w:val="24"/>
                <w:szCs w:val="24"/>
              </w:rPr>
            </w:pPr>
            <w:hyperlink r:id="rId13" w:history="1">
              <w:r w:rsidRPr="00EE4679" w:rsidR="00A01A6F">
                <w:rPr>
                  <w:rStyle w:val="Hyperlink"/>
                  <w:rFonts w:eastAsia="Courier New"/>
                  <w:sz w:val="24"/>
                  <w:szCs w:val="24"/>
                </w:rPr>
                <w:t>greta.see@puco.ohio.gov</w:t>
              </w:r>
            </w:hyperlink>
          </w:p>
          <w:p w:rsidR="00F577DE" w:rsidRPr="00E87BC6" w:rsidP="000A1B3B" w14:paraId="60D793C2" w14:textId="77777777">
            <w:pPr>
              <w:adjustRightInd w:val="0"/>
              <w:rPr>
                <w:bCs/>
                <w:sz w:val="24"/>
                <w:szCs w:val="24"/>
              </w:rPr>
            </w:pPr>
          </w:p>
        </w:tc>
        <w:tc>
          <w:tcPr>
            <w:tcW w:w="4428" w:type="dxa"/>
            <w:shd w:val="clear" w:color="auto" w:fill="auto"/>
          </w:tcPr>
          <w:p w:rsidR="00F577DE" w:rsidP="000A1B3B" w14:paraId="494C6692" w14:textId="77777777">
            <w:pPr>
              <w:pStyle w:val="BodyText"/>
              <w:rPr>
                <w:rStyle w:val="Hyperlink"/>
                <w:rFonts w:eastAsia="Courier New"/>
                <w:bCs/>
              </w:rPr>
            </w:pPr>
            <w:hyperlink r:id="rId14" w:history="1">
              <w:r w:rsidRPr="00E87BC6" w:rsidR="00A01A6F">
                <w:rPr>
                  <w:rStyle w:val="Hyperlink"/>
                  <w:rFonts w:eastAsia="Courier New"/>
                  <w:bCs/>
                </w:rPr>
                <w:t>kennedy@whitt-sturtevant.com</w:t>
              </w:r>
            </w:hyperlink>
          </w:p>
          <w:p w:rsidR="00F577DE" w:rsidP="000A1B3B" w14:paraId="1307DADD" w14:textId="77777777">
            <w:pPr>
              <w:pStyle w:val="BodyText"/>
              <w:rPr>
                <w:bCs/>
              </w:rPr>
            </w:pPr>
            <w:hyperlink r:id="rId15" w:history="1">
              <w:r w:rsidRPr="00EE4679" w:rsidR="00A01A6F">
                <w:rPr>
                  <w:rStyle w:val="Hyperlink"/>
                  <w:rFonts w:eastAsia="Courier New"/>
                  <w:bCs/>
                </w:rPr>
                <w:t>fykes@whitt-sturtevant.com</w:t>
              </w:r>
            </w:hyperlink>
          </w:p>
          <w:p w:rsidR="00F577DE" w:rsidP="000A1B3B" w14:paraId="2F641260" w14:textId="77777777">
            <w:pPr>
              <w:pStyle w:val="BodyText"/>
              <w:rPr>
                <w:bCs/>
              </w:rPr>
            </w:pPr>
            <w:hyperlink r:id="rId16" w:history="1">
              <w:r w:rsidRPr="00EE4679" w:rsidR="00A01A6F">
                <w:rPr>
                  <w:rStyle w:val="Hyperlink"/>
                  <w:rFonts w:eastAsia="Courier New"/>
                  <w:bCs/>
                </w:rPr>
                <w:t>andrew.j.campbell@dominionenergy.com</w:t>
              </w:r>
            </w:hyperlink>
          </w:p>
          <w:p w:rsidR="00F577DE" w:rsidRPr="00E87BC6" w:rsidP="000A1B3B" w14:paraId="2D21A84B" w14:textId="77777777">
            <w:pPr>
              <w:pStyle w:val="BodyText"/>
              <w:rPr>
                <w:bCs/>
              </w:rPr>
            </w:pPr>
            <w:hyperlink r:id="rId17" w:history="1">
              <w:r w:rsidRPr="00E87BC6" w:rsidR="00A01A6F">
                <w:rPr>
                  <w:rStyle w:val="Hyperlink"/>
                  <w:rFonts w:eastAsia="Courier New"/>
                  <w:bCs/>
                </w:rPr>
                <w:t>jweber@elpc.org</w:t>
              </w:r>
            </w:hyperlink>
          </w:p>
          <w:p w:rsidR="00F577DE" w:rsidRPr="00E87BC6" w:rsidP="000A1B3B" w14:paraId="7F4220A8" w14:textId="77777777">
            <w:pPr>
              <w:pStyle w:val="BodyText"/>
              <w:rPr>
                <w:bCs/>
              </w:rPr>
            </w:pPr>
            <w:hyperlink r:id="rId18" w:history="1">
              <w:r w:rsidRPr="00E87BC6" w:rsidR="00A01A6F">
                <w:rPr>
                  <w:rStyle w:val="Hyperlink"/>
                  <w:rFonts w:eastAsia="Courier New"/>
                  <w:bCs/>
                </w:rPr>
                <w:t>rdove@keglerbrown.com</w:t>
              </w:r>
            </w:hyperlink>
          </w:p>
          <w:p w:rsidR="00F577DE" w:rsidRPr="00E87BC6" w:rsidP="000A1B3B" w14:paraId="26EBBDF3" w14:textId="77777777">
            <w:pPr>
              <w:pStyle w:val="BodyText"/>
              <w:rPr>
                <w:bCs/>
              </w:rPr>
            </w:pPr>
            <w:hyperlink r:id="rId19" w:history="1">
              <w:r w:rsidRPr="00E87BC6" w:rsidR="00A01A6F">
                <w:rPr>
                  <w:rStyle w:val="Hyperlink"/>
                  <w:rFonts w:eastAsia="Courier New"/>
                  <w:bCs/>
                </w:rPr>
                <w:t>michael.nugent@igs.com</w:t>
              </w:r>
            </w:hyperlink>
          </w:p>
          <w:p w:rsidR="00F577DE" w:rsidP="000A1B3B" w14:paraId="3CE2E2ED" w14:textId="77777777">
            <w:pPr>
              <w:pStyle w:val="BodyText"/>
              <w:rPr>
                <w:rStyle w:val="Hyperlink"/>
                <w:rFonts w:eastAsia="Courier New"/>
                <w:bCs/>
              </w:rPr>
            </w:pPr>
            <w:hyperlink r:id="rId20" w:history="1">
              <w:r w:rsidRPr="00E87BC6" w:rsidR="00A01A6F">
                <w:rPr>
                  <w:rStyle w:val="Hyperlink"/>
                  <w:rFonts w:eastAsia="Courier New"/>
                  <w:bCs/>
                </w:rPr>
                <w:t>evan.betterton@igs.com</w:t>
              </w:r>
            </w:hyperlink>
          </w:p>
          <w:p w:rsidR="00F577DE" w:rsidP="000A1B3B" w14:paraId="67287B28" w14:textId="77777777">
            <w:pPr>
              <w:pStyle w:val="BodyText"/>
              <w:rPr>
                <w:bCs/>
              </w:rPr>
            </w:pPr>
            <w:hyperlink r:id="rId21" w:history="1">
              <w:r w:rsidRPr="00EE4679" w:rsidR="00A01A6F">
                <w:rPr>
                  <w:rStyle w:val="Hyperlink"/>
                  <w:rFonts w:eastAsia="Courier New"/>
                  <w:bCs/>
                </w:rPr>
                <w:t>stacie.cathcart@igs.com</w:t>
              </w:r>
            </w:hyperlink>
          </w:p>
          <w:p w:rsidR="00F577DE" w:rsidRPr="00E87BC6" w:rsidP="000A1B3B" w14:paraId="17099E4D" w14:textId="77777777">
            <w:pPr>
              <w:pStyle w:val="BodyText"/>
              <w:rPr>
                <w:bCs/>
              </w:rPr>
            </w:pPr>
          </w:p>
          <w:p w:rsidR="00F577DE" w:rsidRPr="00E87BC6" w:rsidP="000A1B3B" w14:paraId="670AB19C" w14:textId="77777777">
            <w:pPr>
              <w:pStyle w:val="BodyText"/>
              <w:rPr>
                <w:bCs/>
              </w:rPr>
            </w:pPr>
          </w:p>
        </w:tc>
      </w:tr>
    </w:tbl>
    <w:p w:rsidR="00F577DE" w14:paraId="79D4DAF1" w14:textId="65DCD522">
      <w:pPr>
        <w:pStyle w:val="Heading1"/>
        <w:ind w:left="3270" w:right="3249"/>
        <w:jc w:val="center"/>
        <w:rPr>
          <w:u w:val="thick"/>
        </w:rPr>
      </w:pPr>
    </w:p>
    <w:p w:rsidR="00F577DE" w14:paraId="63E9755B" w14:textId="77777777">
      <w:pPr>
        <w:pStyle w:val="Heading1"/>
        <w:ind w:left="3270" w:right="3249"/>
        <w:jc w:val="center"/>
      </w:pPr>
    </w:p>
    <w:p w:rsidR="004C74DE" w14:paraId="136033B3" w14:textId="77777777">
      <w:pPr>
        <w:pStyle w:val="BodyText"/>
        <w:rPr>
          <w:b/>
          <w:sz w:val="20"/>
        </w:rPr>
      </w:pPr>
    </w:p>
    <w:p w:rsidR="004C74DE" w14:paraId="6CAC252E" w14:textId="77777777">
      <w:pPr>
        <w:pStyle w:val="BodyText"/>
        <w:spacing w:before="8"/>
        <w:rPr>
          <w:b/>
          <w:sz w:val="22"/>
        </w:rPr>
      </w:pPr>
    </w:p>
    <w:p w:rsidR="004C74DE" w14:paraId="231B36AC" w14:textId="77777777">
      <w:pPr>
        <w:sectPr w:rsidSect="009556B4">
          <w:footerReference w:type="default" r:id="rId22"/>
          <w:pgSz w:w="12240" w:h="15840"/>
          <w:pgMar w:top="1440" w:right="1800" w:bottom="1440" w:left="1800" w:header="0" w:footer="757" w:gutter="0"/>
          <w:pgNumType w:start="1"/>
          <w:cols w:space="720"/>
          <w:docGrid w:linePitch="299"/>
        </w:sectPr>
      </w:pPr>
    </w:p>
    <w:p w:rsidR="004C74DE" w:rsidP="00924128" w14:paraId="26106846" w14:textId="7324558B">
      <w:pPr>
        <w:pStyle w:val="BodyText"/>
        <w:spacing w:before="60"/>
        <w:ind w:left="119"/>
      </w:pPr>
    </w:p>
    <w:sectPr w:rsidSect="00924128">
      <w:type w:val="continuous"/>
      <w:pgSz w:w="12240" w:h="15840"/>
      <w:pgMar w:top="1440" w:right="1800" w:bottom="1440" w:left="1800" w:header="720" w:footer="720" w:gutter="0"/>
      <w:cols w:num="2" w:space="720" w:equalWidth="0">
        <w:col w:w="3833" w:space="362"/>
        <w:col w:w="4445"/>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1526640"/>
      <w:docPartObj>
        <w:docPartGallery w:val="Page Numbers (Bottom of Page)"/>
        <w:docPartUnique/>
      </w:docPartObj>
    </w:sdtPr>
    <w:sdtEndPr>
      <w:rPr>
        <w:noProof/>
        <w:sz w:val="24"/>
        <w:szCs w:val="24"/>
      </w:rPr>
    </w:sdtEndPr>
    <w:sdtContent>
      <w:p w:rsidR="00170427" w:rsidRPr="00924128" w14:paraId="1A1EF646" w14:textId="08758605">
        <w:pPr>
          <w:pStyle w:val="Footer"/>
          <w:jc w:val="center"/>
          <w:rPr>
            <w:sz w:val="24"/>
            <w:szCs w:val="24"/>
          </w:rPr>
        </w:pPr>
        <w:r w:rsidRPr="00924128">
          <w:rPr>
            <w:sz w:val="24"/>
            <w:szCs w:val="24"/>
          </w:rPr>
          <w:fldChar w:fldCharType="begin"/>
        </w:r>
        <w:r w:rsidRPr="00924128">
          <w:rPr>
            <w:sz w:val="24"/>
            <w:szCs w:val="24"/>
          </w:rPr>
          <w:instrText xml:space="preserve"> PAGE   \* MERGEFORMAT </w:instrText>
        </w:r>
        <w:r w:rsidRPr="00924128">
          <w:rPr>
            <w:sz w:val="24"/>
            <w:szCs w:val="24"/>
          </w:rPr>
          <w:fldChar w:fldCharType="separate"/>
        </w:r>
        <w:r w:rsidRPr="00924128">
          <w:rPr>
            <w:noProof/>
            <w:sz w:val="24"/>
            <w:szCs w:val="24"/>
          </w:rPr>
          <w:t>i</w:t>
        </w:r>
        <w:r w:rsidRPr="00924128">
          <w:rPr>
            <w:noProof/>
            <w:sz w:val="24"/>
            <w:szCs w:val="24"/>
          </w:rPr>
          <w:fldChar w:fldCharType="end"/>
        </w:r>
      </w:p>
    </w:sdtContent>
  </w:sdt>
  <w:p w:rsidR="00F81B12" w:rsidRPr="00924128" w:rsidP="00924128" w14:paraId="7CEDC13D" w14:textId="266C9E8B">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6245120"/>
      <w:docPartObj>
        <w:docPartGallery w:val="Page Numbers (Bottom of Page)"/>
        <w:docPartUnique/>
      </w:docPartObj>
    </w:sdtPr>
    <w:sdtEndPr>
      <w:rPr>
        <w:noProof/>
        <w:sz w:val="24"/>
        <w:szCs w:val="24"/>
      </w:rPr>
    </w:sdtEndPr>
    <w:sdtContent>
      <w:p w:rsidR="009556B4" w:rsidRPr="009556B4" w14:paraId="70B80172" w14:textId="05CE9061">
        <w:pPr>
          <w:pStyle w:val="Footer"/>
          <w:jc w:val="center"/>
          <w:rPr>
            <w:sz w:val="24"/>
            <w:szCs w:val="24"/>
          </w:rPr>
        </w:pPr>
        <w:r w:rsidRPr="009556B4">
          <w:rPr>
            <w:sz w:val="24"/>
            <w:szCs w:val="24"/>
          </w:rPr>
          <w:fldChar w:fldCharType="begin"/>
        </w:r>
        <w:r w:rsidRPr="009556B4">
          <w:rPr>
            <w:sz w:val="24"/>
            <w:szCs w:val="24"/>
          </w:rPr>
          <w:instrText xml:space="preserve"> PAGE   \* MERGEFORMAT </w:instrText>
        </w:r>
        <w:r w:rsidRPr="009556B4">
          <w:rPr>
            <w:sz w:val="24"/>
            <w:szCs w:val="24"/>
          </w:rPr>
          <w:fldChar w:fldCharType="separate"/>
        </w:r>
        <w:r w:rsidRPr="009556B4">
          <w:rPr>
            <w:noProof/>
            <w:sz w:val="24"/>
            <w:szCs w:val="24"/>
          </w:rPr>
          <w:t>19</w:t>
        </w:r>
        <w:r w:rsidRPr="009556B4">
          <w:rPr>
            <w:noProof/>
            <w:sz w:val="24"/>
            <w:szCs w:val="24"/>
          </w:rPr>
          <w:fldChar w:fldCharType="end"/>
        </w:r>
      </w:p>
    </w:sdtContent>
  </w:sdt>
  <w:p w:rsidR="004C74DE" w14:paraId="134ECDD9" w14:textId="7487DB9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F0FE8" w14:paraId="622ACFF6" w14:textId="77777777">
      <w:r>
        <w:separator/>
      </w:r>
    </w:p>
  </w:footnote>
  <w:footnote w:type="continuationSeparator" w:id="1">
    <w:p w:rsidR="009F0FE8" w14:paraId="00137E85" w14:textId="77777777">
      <w:r>
        <w:continuationSeparator/>
      </w:r>
    </w:p>
  </w:footnote>
  <w:footnote w:id="2">
    <w:p w:rsidR="007E564F" w:rsidRPr="00223648" w:rsidP="00223648" w14:paraId="71CA639D" w14:textId="097F11CF">
      <w:pPr>
        <w:pStyle w:val="FootnoteText"/>
        <w:spacing w:after="120"/>
      </w:pPr>
      <w:r w:rsidRPr="00223648">
        <w:rPr>
          <w:rStyle w:val="FootnoteReference"/>
        </w:rPr>
        <w:footnoteRef/>
      </w:r>
      <w:r w:rsidRPr="00223648">
        <w:t xml:space="preserve"> Staff Report at 2 (March 29, 2022).</w:t>
      </w:r>
    </w:p>
  </w:footnote>
  <w:footnote w:id="3">
    <w:p w:rsidR="007E564F" w:rsidRPr="00223648" w:rsidP="00223648" w14:paraId="60FB9979" w14:textId="2C938327">
      <w:pPr>
        <w:pStyle w:val="FootnoteText"/>
        <w:spacing w:after="120"/>
      </w:pPr>
      <w:r w:rsidRPr="00223648">
        <w:rPr>
          <w:rStyle w:val="FootnoteReference"/>
        </w:rPr>
        <w:footnoteRef/>
      </w:r>
      <w:r w:rsidRPr="00223648">
        <w:t xml:space="preserve"> </w:t>
      </w:r>
      <w:r w:rsidRPr="00223648" w:rsidR="00AF003D">
        <w:t xml:space="preserve">OCC Exhibit 1, </w:t>
      </w:r>
      <w:r w:rsidRPr="00223648">
        <w:t>Direct Testimony of Colleen Shutrump (August 19, 2022)</w:t>
      </w:r>
      <w:r w:rsidRPr="00223648" w:rsidR="00AF003D">
        <w:t xml:space="preserve"> at 5-6</w:t>
      </w:r>
      <w:r w:rsidRPr="00223648">
        <w:t>.</w:t>
      </w:r>
    </w:p>
  </w:footnote>
  <w:footnote w:id="4">
    <w:p w:rsidR="005C42FA" w:rsidRPr="00223648" w:rsidP="00223648" w14:paraId="4D7ABEEE" w14:textId="77777777">
      <w:pPr>
        <w:pStyle w:val="FootnoteText"/>
        <w:spacing w:after="120"/>
      </w:pPr>
      <w:r w:rsidRPr="00223648">
        <w:rPr>
          <w:rStyle w:val="FootnoteReference"/>
        </w:rPr>
        <w:footnoteRef/>
      </w:r>
      <w:r w:rsidRPr="00223648">
        <w:t xml:space="preserve"> </w:t>
      </w:r>
      <w:r w:rsidRPr="00223648">
        <w:rPr>
          <w:i/>
          <w:iCs/>
        </w:rPr>
        <w:t xml:space="preserve">In re Electric Distribution Utility DSM/EE Programs, </w:t>
      </w:r>
      <w:r w:rsidRPr="00223648">
        <w:t>Case Nos. 16-574-EL-POR, 16-574-EL-POR, 16-574-EL-POR and 16-574-EL-POR (Finding and Order) (February 26, 2020).</w:t>
      </w:r>
    </w:p>
  </w:footnote>
  <w:footnote w:id="5">
    <w:p w:rsidR="004325A2" w:rsidRPr="00223648" w:rsidP="00223648" w14:paraId="3DFEA878" w14:textId="36233B45">
      <w:pPr>
        <w:pStyle w:val="FootnoteText"/>
        <w:spacing w:after="120"/>
      </w:pPr>
      <w:r w:rsidRPr="00223648">
        <w:rPr>
          <w:rStyle w:val="FootnoteReference"/>
        </w:rPr>
        <w:footnoteRef/>
      </w:r>
      <w:r w:rsidRPr="00223648">
        <w:t xml:space="preserve"> </w:t>
      </w:r>
      <w:r w:rsidR="00A73E3F">
        <w:rPr>
          <w:i/>
          <w:iCs/>
        </w:rPr>
        <w:t>Id.</w:t>
      </w:r>
    </w:p>
  </w:footnote>
  <w:footnote w:id="6">
    <w:p w:rsidR="00C0474F" w:rsidRPr="00223648" w:rsidP="00223648" w14:paraId="63D37D2D" w14:textId="6F72D3F0">
      <w:pPr>
        <w:pStyle w:val="FootnoteText"/>
        <w:spacing w:after="120"/>
      </w:pPr>
      <w:r w:rsidRPr="00223648">
        <w:rPr>
          <w:rStyle w:val="FootnoteReference"/>
        </w:rPr>
        <w:footnoteRef/>
      </w:r>
      <w:r w:rsidRPr="00223648">
        <w:t xml:space="preserve"> R.C. 4929.02(A)(8).</w:t>
      </w:r>
    </w:p>
  </w:footnote>
  <w:footnote w:id="7">
    <w:p w:rsidR="00710F4D" w:rsidRPr="00223648" w:rsidP="00223648" w14:paraId="7BCE86C2" w14:textId="5CB2567D">
      <w:pPr>
        <w:pStyle w:val="FootnoteText"/>
        <w:spacing w:after="120"/>
      </w:pPr>
      <w:r w:rsidRPr="00223648">
        <w:rPr>
          <w:rStyle w:val="FootnoteReference"/>
        </w:rPr>
        <w:footnoteRef/>
      </w:r>
      <w:r w:rsidRPr="00223648">
        <w:t xml:space="preserve"> Staff </w:t>
      </w:r>
      <w:r w:rsidRPr="00223648" w:rsidR="00132A50">
        <w:t xml:space="preserve">Exhibit 2 (Staff </w:t>
      </w:r>
      <w:r w:rsidRPr="00223648">
        <w:t>Report</w:t>
      </w:r>
      <w:r w:rsidRPr="00223648" w:rsidR="00132A50">
        <w:t>)</w:t>
      </w:r>
      <w:r w:rsidRPr="00223648">
        <w:t xml:space="preserve"> at 2 (Mar</w:t>
      </w:r>
      <w:r w:rsidRPr="00223648" w:rsidR="000F64E0">
        <w:t>ch</w:t>
      </w:r>
      <w:r w:rsidRPr="00223648">
        <w:t xml:space="preserve"> 29, 2022).</w:t>
      </w:r>
    </w:p>
  </w:footnote>
  <w:footnote w:id="8">
    <w:p w:rsidR="00710F4D" w:rsidRPr="00223648" w:rsidP="00223648" w14:paraId="1377915A" w14:textId="3569C9AB">
      <w:pPr>
        <w:pStyle w:val="FootnoteText"/>
        <w:spacing w:after="120"/>
        <w:rPr>
          <w:i/>
          <w:iCs/>
        </w:rPr>
      </w:pPr>
      <w:r w:rsidRPr="00223648">
        <w:rPr>
          <w:rStyle w:val="FootnoteReference"/>
        </w:rPr>
        <w:footnoteRef/>
      </w:r>
      <w:r w:rsidRPr="00223648">
        <w:t xml:space="preserve"> </w:t>
      </w:r>
      <w:r w:rsidRPr="00223648">
        <w:rPr>
          <w:i/>
          <w:iCs/>
        </w:rPr>
        <w:t>Id.</w:t>
      </w:r>
      <w:r w:rsidRPr="00223648" w:rsidR="00132A50">
        <w:rPr>
          <w:i/>
          <w:iCs/>
        </w:rPr>
        <w:t xml:space="preserve">; See, </w:t>
      </w:r>
      <w:r w:rsidRPr="00223648" w:rsidR="00132A50">
        <w:t>DEO Exhibit 1.0, Direct Testimony of Ella R. Hochstetler (November 30, 2021).</w:t>
      </w:r>
      <w:r w:rsidRPr="00223648" w:rsidR="00132A50">
        <w:rPr>
          <w:i/>
          <w:iCs/>
        </w:rPr>
        <w:t xml:space="preserve"> </w:t>
      </w:r>
    </w:p>
  </w:footnote>
  <w:footnote w:id="9">
    <w:p w:rsidR="00AA3EBF" w:rsidRPr="00223648" w:rsidP="00223648" w14:paraId="2352653D" w14:textId="7092703C">
      <w:pPr>
        <w:pStyle w:val="FootnoteText"/>
        <w:spacing w:after="120"/>
      </w:pPr>
      <w:r w:rsidRPr="00223648">
        <w:rPr>
          <w:rStyle w:val="FootnoteReference"/>
        </w:rPr>
        <w:footnoteRef/>
      </w:r>
      <w:r w:rsidRPr="00223648">
        <w:t xml:space="preserve"> </w:t>
      </w:r>
      <w:r w:rsidRPr="00223648" w:rsidR="00635922">
        <w:t xml:space="preserve">OCC Exhibit 1 (Shutrump </w:t>
      </w:r>
      <w:r w:rsidRPr="00223648">
        <w:t>Direct</w:t>
      </w:r>
      <w:r w:rsidRPr="00223648" w:rsidR="00635922">
        <w:t>)</w:t>
      </w:r>
      <w:r w:rsidRPr="00223648">
        <w:t xml:space="preserve"> at 5-6.</w:t>
      </w:r>
    </w:p>
  </w:footnote>
  <w:footnote w:id="10">
    <w:p w:rsidR="00480DD8" w:rsidRPr="00223648" w:rsidP="00223648" w14:paraId="0781BF15" w14:textId="2FF636DE">
      <w:pPr>
        <w:pStyle w:val="FootnoteText"/>
        <w:spacing w:after="120"/>
      </w:pPr>
      <w:r w:rsidRPr="00223648">
        <w:rPr>
          <w:rStyle w:val="FootnoteReference"/>
        </w:rPr>
        <w:footnoteRef/>
      </w:r>
      <w:r w:rsidRPr="00223648">
        <w:t xml:space="preserve"> $92 million minus $47 million is $45 million over five years. Existing programs are funded at $9.5 million annually consisting of $5.5 million in base rates for the low-income weatherization Housewarming program and $4 million annually collected through the DSM rider for their non-low-income program ($9.5 mill * 5 years is $47.5 mill) for existing programs compared to $92,033,190 for the new program.</w:t>
      </w:r>
    </w:p>
  </w:footnote>
  <w:footnote w:id="11">
    <w:p w:rsidR="008A16AD" w:rsidRPr="00223648" w:rsidP="00223648" w14:paraId="6E6E626B" w14:textId="0D02AAA6">
      <w:pPr>
        <w:pStyle w:val="FootnoteText"/>
        <w:spacing w:after="120"/>
      </w:pPr>
      <w:r w:rsidRPr="00223648">
        <w:rPr>
          <w:rStyle w:val="FootnoteReference"/>
        </w:rPr>
        <w:footnoteRef/>
      </w:r>
      <w:r w:rsidRPr="00223648">
        <w:t xml:space="preserve"> Application at 2 (Nov</w:t>
      </w:r>
      <w:r w:rsidRPr="00223648" w:rsidR="000F64E0">
        <w:t xml:space="preserve">ember </w:t>
      </w:r>
      <w:r w:rsidRPr="00223648">
        <w:t>30, 2021).</w:t>
      </w:r>
    </w:p>
  </w:footnote>
  <w:footnote w:id="12">
    <w:p w:rsidR="009A5EC7" w:rsidRPr="00223648" w:rsidP="00223648" w14:paraId="7C11DAD7" w14:textId="5EB0AB7A">
      <w:pPr>
        <w:pStyle w:val="FootnoteText"/>
        <w:spacing w:after="120"/>
        <w:rPr>
          <w:i/>
          <w:iCs/>
        </w:rPr>
      </w:pPr>
      <w:r w:rsidRPr="00223648">
        <w:rPr>
          <w:rStyle w:val="FootnoteReference"/>
        </w:rPr>
        <w:footnoteRef/>
      </w:r>
      <w:r w:rsidRPr="00223648">
        <w:t xml:space="preserve"> </w:t>
      </w:r>
      <w:r w:rsidRPr="00223648">
        <w:rPr>
          <w:i/>
          <w:iCs/>
        </w:rPr>
        <w:t>Id.</w:t>
      </w:r>
    </w:p>
  </w:footnote>
  <w:footnote w:id="13">
    <w:p w:rsidR="009A5EC7" w:rsidRPr="00223648" w:rsidP="00223648" w14:paraId="1D04714F" w14:textId="4D1CAB0A">
      <w:pPr>
        <w:pStyle w:val="FootnoteText"/>
        <w:spacing w:after="120"/>
        <w:rPr>
          <w:i/>
          <w:iCs/>
        </w:rPr>
      </w:pPr>
      <w:r w:rsidRPr="00223648">
        <w:rPr>
          <w:rStyle w:val="FootnoteReference"/>
        </w:rPr>
        <w:footnoteRef/>
      </w:r>
      <w:r w:rsidRPr="00223648">
        <w:t xml:space="preserve"> </w:t>
      </w:r>
      <w:r w:rsidRPr="00223648">
        <w:rPr>
          <w:i/>
          <w:iCs/>
        </w:rPr>
        <w:t>Id.</w:t>
      </w:r>
    </w:p>
  </w:footnote>
  <w:footnote w:id="14">
    <w:p w:rsidR="00791FEB" w:rsidRPr="00223648" w:rsidP="00223648" w14:paraId="17991A9A" w14:textId="3A594C1E">
      <w:pPr>
        <w:pStyle w:val="FootnoteText"/>
        <w:spacing w:after="120"/>
      </w:pPr>
      <w:r w:rsidRPr="00223648">
        <w:rPr>
          <w:rStyle w:val="FootnoteReference"/>
        </w:rPr>
        <w:footnoteRef/>
      </w:r>
      <w:r w:rsidRPr="00223648">
        <w:t xml:space="preserve"> Staff Report at 3-4 (Mar</w:t>
      </w:r>
      <w:r w:rsidRPr="00223648" w:rsidR="000F64E0">
        <w:t>ch</w:t>
      </w:r>
      <w:r w:rsidRPr="00223648">
        <w:t xml:space="preserve"> 29, 2022).</w:t>
      </w:r>
    </w:p>
  </w:footnote>
  <w:footnote w:id="15">
    <w:p w:rsidR="00132A50" w:rsidRPr="00223648" w:rsidP="00223648" w14:paraId="44E2E011" w14:textId="5DE76721">
      <w:pPr>
        <w:pStyle w:val="FootnoteText"/>
        <w:spacing w:after="120"/>
      </w:pPr>
      <w:r w:rsidRPr="00223648">
        <w:rPr>
          <w:rStyle w:val="FootnoteReference"/>
        </w:rPr>
        <w:footnoteRef/>
      </w:r>
      <w:r w:rsidRPr="00223648">
        <w:t xml:space="preserve"> OCC Exhibit 1 (Shutrump Direct) at 5. </w:t>
      </w:r>
    </w:p>
  </w:footnote>
  <w:footnote w:id="16">
    <w:p w:rsidR="00355C69" w:rsidRPr="00223648" w:rsidP="00223648" w14:paraId="3D4A6AB4" w14:textId="3E51386D">
      <w:pPr>
        <w:pStyle w:val="FootnoteText"/>
        <w:spacing w:after="120"/>
      </w:pPr>
      <w:r w:rsidRPr="00223648">
        <w:rPr>
          <w:rStyle w:val="FootnoteReference"/>
        </w:rPr>
        <w:footnoteRef/>
      </w:r>
      <w:r w:rsidRPr="00223648">
        <w:t xml:space="preserve"> OCC Ex. 1 (Shutrump Direct) at 3; Tr. at</w:t>
      </w:r>
      <w:r w:rsidRPr="00223648" w:rsidR="00AD097F">
        <w:t xml:space="preserve"> </w:t>
      </w:r>
      <w:r w:rsidRPr="00223648">
        <w:t>70-76.</w:t>
      </w:r>
    </w:p>
  </w:footnote>
  <w:footnote w:id="17">
    <w:p w:rsidR="00355C69" w:rsidRPr="00223648" w:rsidP="00223648" w14:paraId="6AEC3DED" w14:textId="62353A74">
      <w:pPr>
        <w:pStyle w:val="FootnoteText"/>
        <w:spacing w:after="120"/>
      </w:pPr>
      <w:r w:rsidRPr="00223648">
        <w:rPr>
          <w:rStyle w:val="FootnoteReference"/>
        </w:rPr>
        <w:footnoteRef/>
      </w:r>
      <w:r w:rsidRPr="00223648">
        <w:t xml:space="preserve"> Tr. at 68.</w:t>
      </w:r>
    </w:p>
  </w:footnote>
  <w:footnote w:id="18">
    <w:p w:rsidR="00355C69" w:rsidRPr="004E6FF4" w:rsidP="00223648" w14:paraId="04109254" w14:textId="4F11E099">
      <w:pPr>
        <w:pStyle w:val="FootnoteText"/>
        <w:spacing w:after="120"/>
        <w:rPr>
          <w:i/>
          <w:iCs/>
        </w:rPr>
      </w:pPr>
      <w:r w:rsidRPr="00223648">
        <w:rPr>
          <w:rStyle w:val="FootnoteReference"/>
        </w:rPr>
        <w:footnoteRef/>
      </w:r>
      <w:r w:rsidRPr="00223648">
        <w:t xml:space="preserve"> </w:t>
      </w:r>
      <w:r w:rsidRPr="004E6FF4" w:rsidR="004E6FF4">
        <w:rPr>
          <w:i/>
          <w:iCs/>
        </w:rPr>
        <w:t>Id</w:t>
      </w:r>
      <w:r w:rsidRPr="004E6FF4">
        <w:rPr>
          <w:i/>
          <w:iCs/>
        </w:rPr>
        <w:t>.</w:t>
      </w:r>
    </w:p>
  </w:footnote>
  <w:footnote w:id="19">
    <w:p w:rsidR="00355C69" w:rsidRPr="00223648" w:rsidP="00223648" w14:paraId="0ACA6348" w14:textId="77777777">
      <w:pPr>
        <w:pStyle w:val="FootnoteText"/>
        <w:spacing w:after="120"/>
      </w:pPr>
      <w:r w:rsidRPr="00223648">
        <w:rPr>
          <w:rStyle w:val="FootnoteReference"/>
        </w:rPr>
        <w:footnoteRef/>
      </w:r>
      <w:r w:rsidRPr="00223648">
        <w:t xml:space="preserve"> Tr. at 69-70.</w:t>
      </w:r>
    </w:p>
  </w:footnote>
  <w:footnote w:id="20">
    <w:p w:rsidR="00355C69" w:rsidRPr="00223648" w:rsidP="00223648" w14:paraId="114F6E91" w14:textId="7F1BB601">
      <w:pPr>
        <w:pStyle w:val="FootnoteText"/>
        <w:spacing w:after="120"/>
      </w:pPr>
      <w:r w:rsidRPr="00223648">
        <w:rPr>
          <w:rStyle w:val="FootnoteReference"/>
        </w:rPr>
        <w:footnoteRef/>
      </w:r>
      <w:r w:rsidRPr="00223648">
        <w:t xml:space="preserve"> Tr. at</w:t>
      </w:r>
      <w:r w:rsidRPr="00223648" w:rsidR="00AD097F">
        <w:t xml:space="preserve"> </w:t>
      </w:r>
      <w:r w:rsidRPr="00223648">
        <w:t>71-72.</w:t>
      </w:r>
    </w:p>
  </w:footnote>
  <w:footnote w:id="21">
    <w:p w:rsidR="00355C69" w:rsidRPr="00223648" w:rsidP="00223648" w14:paraId="2F516700" w14:textId="77777777">
      <w:pPr>
        <w:pStyle w:val="FootnoteText"/>
        <w:spacing w:after="120"/>
        <w:rPr>
          <w:i/>
          <w:iCs/>
        </w:rPr>
      </w:pPr>
      <w:r w:rsidRPr="00223648">
        <w:rPr>
          <w:rStyle w:val="FootnoteReference"/>
        </w:rPr>
        <w:footnoteRef/>
      </w:r>
      <w:r w:rsidRPr="00223648">
        <w:t xml:space="preserve"> </w:t>
      </w:r>
      <w:r w:rsidRPr="00223648">
        <w:rPr>
          <w:i/>
          <w:iCs/>
        </w:rPr>
        <w:t>Id.</w:t>
      </w:r>
    </w:p>
  </w:footnote>
  <w:footnote w:id="22">
    <w:p w:rsidR="00355C69" w:rsidRPr="00223648" w:rsidP="00223648" w14:paraId="60E938EC" w14:textId="77777777">
      <w:pPr>
        <w:pStyle w:val="FootnoteText"/>
        <w:spacing w:after="120"/>
      </w:pPr>
      <w:r w:rsidRPr="00223648">
        <w:rPr>
          <w:rStyle w:val="FootnoteReference"/>
        </w:rPr>
        <w:footnoteRef/>
      </w:r>
      <w:r w:rsidRPr="00223648">
        <w:t xml:space="preserve"> </w:t>
      </w:r>
      <w:r w:rsidRPr="00223648">
        <w:rPr>
          <w:i/>
          <w:iCs/>
        </w:rPr>
        <w:t>Id.</w:t>
      </w:r>
    </w:p>
  </w:footnote>
  <w:footnote w:id="23">
    <w:p w:rsidR="00355C69" w:rsidRPr="00223648" w:rsidP="00223648" w14:paraId="6E39B256" w14:textId="0359E7B7">
      <w:pPr>
        <w:pStyle w:val="FootnoteText"/>
        <w:spacing w:after="120"/>
      </w:pPr>
      <w:r w:rsidRPr="00223648">
        <w:rPr>
          <w:rStyle w:val="FootnoteReference"/>
        </w:rPr>
        <w:footnoteRef/>
      </w:r>
      <w:r w:rsidRPr="00223648">
        <w:t xml:space="preserve"> OCC Ex</w:t>
      </w:r>
      <w:r w:rsidRPr="00223648" w:rsidR="00D5549C">
        <w:t xml:space="preserve">hibit </w:t>
      </w:r>
      <w:r w:rsidRPr="00223648">
        <w:t xml:space="preserve">1 (Shutrump Direct) at </w:t>
      </w:r>
      <w:r w:rsidRPr="00223648" w:rsidR="00732718">
        <w:t>9.</w:t>
      </w:r>
    </w:p>
  </w:footnote>
  <w:footnote w:id="24">
    <w:p w:rsidR="007237CB" w:rsidRPr="00223648" w:rsidP="00223648" w14:paraId="66A0E92C" w14:textId="34971708">
      <w:pPr>
        <w:pStyle w:val="FootnoteText"/>
        <w:spacing w:after="120"/>
      </w:pPr>
      <w:r w:rsidRPr="00223648">
        <w:rPr>
          <w:rStyle w:val="FootnoteReference"/>
        </w:rPr>
        <w:footnoteRef/>
      </w:r>
      <w:r w:rsidRPr="00223648">
        <w:t xml:space="preserve"> </w:t>
      </w:r>
      <w:r w:rsidRPr="00B7545E">
        <w:rPr>
          <w:i/>
          <w:iCs/>
        </w:rPr>
        <w:t>See, also,</w:t>
      </w:r>
      <w:r w:rsidRPr="00223648">
        <w:t xml:space="preserve"> DEO Exhibit 4.0, Supplemental Direct Testimony of Ella R. Hochstetler (August 19, 2022). </w:t>
      </w:r>
    </w:p>
  </w:footnote>
  <w:footnote w:id="25">
    <w:p w:rsidR="00131F52" w:rsidRPr="00223648" w:rsidP="00223648" w14:paraId="4C43DA17" w14:textId="791228F9">
      <w:pPr>
        <w:pStyle w:val="FootnoteText"/>
        <w:spacing w:after="120"/>
      </w:pPr>
      <w:r w:rsidRPr="00223648">
        <w:rPr>
          <w:rStyle w:val="FootnoteReference"/>
        </w:rPr>
        <w:footnoteRef/>
      </w:r>
      <w:r w:rsidRPr="00223648">
        <w:t xml:space="preserve"> Tr. at 17-18. </w:t>
      </w:r>
    </w:p>
  </w:footnote>
  <w:footnote w:id="26">
    <w:p w:rsidR="00F916E5" w:rsidRPr="00223648" w:rsidP="00223648" w14:paraId="498C2535" w14:textId="1F94165F">
      <w:pPr>
        <w:pStyle w:val="FootnoteText"/>
        <w:spacing w:after="120"/>
      </w:pPr>
      <w:r w:rsidRPr="00223648">
        <w:rPr>
          <w:rStyle w:val="FootnoteReference"/>
        </w:rPr>
        <w:footnoteRef/>
      </w:r>
      <w:r w:rsidRPr="00223648">
        <w:t xml:space="preserve"> </w:t>
      </w:r>
      <w:r w:rsidRPr="00223648">
        <w:rPr>
          <w:i/>
          <w:iCs/>
        </w:rPr>
        <w:t>Id</w:t>
      </w:r>
      <w:r w:rsidRPr="00223648">
        <w:t>.</w:t>
      </w:r>
    </w:p>
  </w:footnote>
  <w:footnote w:id="27">
    <w:p w:rsidR="00F916E5" w:rsidRPr="00223648" w:rsidP="00223648" w14:paraId="05F45812" w14:textId="6578F2FC">
      <w:pPr>
        <w:pStyle w:val="FootnoteText"/>
        <w:spacing w:after="120"/>
      </w:pPr>
      <w:r w:rsidRPr="00223648">
        <w:rPr>
          <w:rStyle w:val="FootnoteReference"/>
        </w:rPr>
        <w:footnoteRef/>
      </w:r>
      <w:r w:rsidRPr="00223648">
        <w:t xml:space="preserve"> Tr. </w:t>
      </w:r>
      <w:r w:rsidRPr="00223648" w:rsidR="00DD0132">
        <w:t>at 18-19.</w:t>
      </w:r>
    </w:p>
  </w:footnote>
  <w:footnote w:id="28">
    <w:p w:rsidR="00682418" w:rsidRPr="00223648" w:rsidP="00223648" w14:paraId="0704885E" w14:textId="353F6185">
      <w:pPr>
        <w:pStyle w:val="FootnoteText"/>
        <w:spacing w:after="120"/>
      </w:pPr>
      <w:r w:rsidRPr="00223648">
        <w:rPr>
          <w:rStyle w:val="FootnoteReference"/>
        </w:rPr>
        <w:footnoteRef/>
      </w:r>
      <w:r w:rsidRPr="00223648">
        <w:t xml:space="preserve"> Tr. at 22. </w:t>
      </w:r>
    </w:p>
  </w:footnote>
  <w:footnote w:id="29">
    <w:p w:rsidR="008028EB" w:rsidRPr="00223648" w:rsidP="00223648" w14:paraId="3D73F546" w14:textId="3F68B257">
      <w:pPr>
        <w:pStyle w:val="FootnoteText"/>
        <w:spacing w:after="120"/>
      </w:pPr>
      <w:r w:rsidRPr="00223648">
        <w:rPr>
          <w:rStyle w:val="FootnoteReference"/>
        </w:rPr>
        <w:footnoteRef/>
      </w:r>
      <w:r w:rsidRPr="00223648">
        <w:t xml:space="preserve"> </w:t>
      </w:r>
      <w:r w:rsidRPr="00223648">
        <w:rPr>
          <w:i/>
          <w:iCs/>
        </w:rPr>
        <w:t>Id.</w:t>
      </w:r>
      <w:r w:rsidRPr="00223648" w:rsidR="00A9023C">
        <w:rPr>
          <w:i/>
          <w:iCs/>
        </w:rPr>
        <w:t>;</w:t>
      </w:r>
      <w:r w:rsidRPr="00223648" w:rsidR="00A9023C">
        <w:t xml:space="preserve"> Tr. at 21.</w:t>
      </w:r>
      <w:r w:rsidRPr="00223648">
        <w:t xml:space="preserve"> </w:t>
      </w:r>
    </w:p>
  </w:footnote>
  <w:footnote w:id="30">
    <w:p w:rsidR="00A9023C" w:rsidRPr="00223648" w:rsidP="00223648" w14:paraId="3A963C7C" w14:textId="47B8501B">
      <w:pPr>
        <w:pStyle w:val="FootnoteText"/>
        <w:spacing w:after="120"/>
      </w:pPr>
      <w:r w:rsidRPr="00223648">
        <w:rPr>
          <w:rStyle w:val="FootnoteReference"/>
        </w:rPr>
        <w:footnoteRef/>
      </w:r>
      <w:r w:rsidRPr="00223648">
        <w:t xml:space="preserve"> </w:t>
      </w:r>
      <w:r w:rsidRPr="00223648" w:rsidR="00D23E08">
        <w:rPr>
          <w:i/>
          <w:iCs/>
        </w:rPr>
        <w:t>See</w:t>
      </w:r>
      <w:r w:rsidRPr="00223648" w:rsidR="00D23E08">
        <w:t xml:space="preserve">, </w:t>
      </w:r>
      <w:r w:rsidRPr="00223648">
        <w:t>Tr. at 21. (Question: “But there would not be an annual PUCO preapproval oversight of these 3 percent automatic annual increase</w:t>
      </w:r>
      <w:r w:rsidRPr="00223648" w:rsidR="00D23E08">
        <w:t>s.” Answer: "It is—it is not a preapproval process.”)</w:t>
      </w:r>
      <w:r w:rsidRPr="00223648" w:rsidR="000F64E0">
        <w:t>.</w:t>
      </w:r>
      <w:r w:rsidRPr="00223648">
        <w:t xml:space="preserve"> </w:t>
      </w:r>
    </w:p>
  </w:footnote>
  <w:footnote w:id="31">
    <w:p w:rsidR="004B0700" w:rsidRPr="00223648" w:rsidP="00223648" w14:paraId="0354CF15" w14:textId="3CE890B4">
      <w:pPr>
        <w:pStyle w:val="FootnoteText"/>
        <w:spacing w:after="120"/>
      </w:pPr>
      <w:r w:rsidRPr="00223648">
        <w:rPr>
          <w:rStyle w:val="FootnoteReference"/>
        </w:rPr>
        <w:footnoteRef/>
      </w:r>
      <w:r w:rsidRPr="00223648">
        <w:t xml:space="preserve"> Tr. </w:t>
      </w:r>
      <w:r w:rsidRPr="00223648" w:rsidR="00D5549C">
        <w:t>a</w:t>
      </w:r>
      <w:r w:rsidRPr="00223648">
        <w:t>t 60-61.</w:t>
      </w:r>
    </w:p>
  </w:footnote>
  <w:footnote w:id="32">
    <w:p w:rsidR="004B0700" w:rsidRPr="00223648" w:rsidP="00223648" w14:paraId="679907D5" w14:textId="77777777">
      <w:pPr>
        <w:pStyle w:val="FootnoteText"/>
        <w:spacing w:after="120"/>
      </w:pPr>
      <w:r w:rsidRPr="00223648">
        <w:rPr>
          <w:rStyle w:val="FootnoteReference"/>
        </w:rPr>
        <w:footnoteRef/>
      </w:r>
      <w:r w:rsidRPr="00223648">
        <w:t xml:space="preserve"> </w:t>
      </w:r>
      <w:r w:rsidRPr="00223648">
        <w:rPr>
          <w:i/>
          <w:iCs/>
        </w:rPr>
        <w:t>Id</w:t>
      </w:r>
      <w:r w:rsidRPr="00223648">
        <w:t>.</w:t>
      </w:r>
    </w:p>
  </w:footnote>
  <w:footnote w:id="33">
    <w:p w:rsidR="0017144B" w:rsidRPr="00223648" w:rsidP="00223648" w14:paraId="6FBBA6AD" w14:textId="020CAE7C">
      <w:pPr>
        <w:pStyle w:val="FootnoteText"/>
        <w:spacing w:after="120"/>
      </w:pPr>
      <w:r w:rsidRPr="00223648">
        <w:rPr>
          <w:rStyle w:val="FootnoteReference"/>
        </w:rPr>
        <w:footnoteRef/>
      </w:r>
      <w:r w:rsidRPr="00223648">
        <w:t xml:space="preserve"> OCC Exhibit 1 (Shutrump Direct) at 6.</w:t>
      </w:r>
    </w:p>
  </w:footnote>
  <w:footnote w:id="34">
    <w:p w:rsidR="00895D3D" w:rsidRPr="00223648" w:rsidP="00223648" w14:paraId="4EECDFC2" w14:textId="6027B8E3">
      <w:pPr>
        <w:pStyle w:val="FootnoteText"/>
        <w:spacing w:after="120"/>
      </w:pPr>
      <w:r w:rsidRPr="00223648">
        <w:rPr>
          <w:rStyle w:val="FootnoteReference"/>
        </w:rPr>
        <w:footnoteRef/>
      </w:r>
      <w:r w:rsidRPr="00223648">
        <w:t xml:space="preserve"> </w:t>
      </w:r>
      <w:r w:rsidRPr="00223648">
        <w:rPr>
          <w:i/>
          <w:iCs/>
        </w:rPr>
        <w:t>Id</w:t>
      </w:r>
      <w:r w:rsidRPr="00223648">
        <w:t xml:space="preserve">. at 6-7; </w:t>
      </w:r>
      <w:r w:rsidRPr="00B7545E">
        <w:rPr>
          <w:i/>
          <w:iCs/>
        </w:rPr>
        <w:t>See also</w:t>
      </w:r>
      <w:r w:rsidRPr="00223648">
        <w:t xml:space="preserve">, </w:t>
      </w:r>
      <w:r w:rsidRPr="00223648">
        <w:rPr>
          <w:i/>
          <w:iCs/>
        </w:rPr>
        <w:t>In the Matter of the Audit of the Demand Side Management Rider of The East Ohio Gas Company d/b/a Dominion Energy Ohio</w:t>
      </w:r>
      <w:r w:rsidRPr="00223648">
        <w:t>, Case No. 17-1372-GA-RDR, Finding and Order at 5 (August 2, 2017).</w:t>
      </w:r>
    </w:p>
  </w:footnote>
  <w:footnote w:id="35">
    <w:p w:rsidR="004B0700" w:rsidRPr="00223648" w:rsidP="00223648" w14:paraId="2699CDB2" w14:textId="41041A3D">
      <w:pPr>
        <w:pStyle w:val="FootnoteText"/>
        <w:spacing w:after="120"/>
      </w:pPr>
      <w:r w:rsidRPr="00223648">
        <w:rPr>
          <w:rStyle w:val="FootnoteReference"/>
        </w:rPr>
        <w:footnoteRef/>
      </w:r>
      <w:r w:rsidRPr="00223648">
        <w:t xml:space="preserve"> Tr. </w:t>
      </w:r>
      <w:r w:rsidRPr="00223648" w:rsidR="0017144B">
        <w:t>a</w:t>
      </w:r>
      <w:r w:rsidRPr="00223648">
        <w:t>t 28-29</w:t>
      </w:r>
      <w:r w:rsidRPr="00223648" w:rsidR="00895D3D">
        <w:t>; DEO Exhibit 4.0 at 13</w:t>
      </w:r>
      <w:r w:rsidRPr="00223648">
        <w:t>.</w:t>
      </w:r>
    </w:p>
  </w:footnote>
  <w:footnote w:id="36">
    <w:p w:rsidR="007E07F8" w:rsidRPr="00223648" w:rsidP="00223648" w14:paraId="4C0FC468" w14:textId="556F6FA0">
      <w:pPr>
        <w:pStyle w:val="FootnoteText"/>
        <w:spacing w:after="120"/>
      </w:pPr>
      <w:r w:rsidRPr="00223648">
        <w:rPr>
          <w:rStyle w:val="FootnoteReference"/>
        </w:rPr>
        <w:footnoteRef/>
      </w:r>
      <w:r w:rsidRPr="00223648">
        <w:t xml:space="preserve"> Tr. </w:t>
      </w:r>
      <w:r w:rsidRPr="00223648" w:rsidR="0017144B">
        <w:t>a</w:t>
      </w:r>
      <w:r w:rsidRPr="00223648">
        <w:t>t 29.</w:t>
      </w:r>
    </w:p>
  </w:footnote>
  <w:footnote w:id="37">
    <w:p w:rsidR="009372C9" w:rsidRPr="00223648" w:rsidP="00223648" w14:paraId="6E692A99" w14:textId="7767D80A">
      <w:pPr>
        <w:pStyle w:val="FootnoteText"/>
        <w:spacing w:after="120"/>
      </w:pPr>
      <w:r w:rsidRPr="00223648">
        <w:rPr>
          <w:rStyle w:val="FootnoteReference"/>
        </w:rPr>
        <w:footnoteRef/>
      </w:r>
      <w:r w:rsidR="00B7545E">
        <w:t xml:space="preserve"> </w:t>
      </w:r>
      <w:r w:rsidRPr="00223648" w:rsidR="00AF003D">
        <w:t>OCC Exhibit 1 (S</w:t>
      </w:r>
      <w:r w:rsidRPr="00223648">
        <w:t>hutrump</w:t>
      </w:r>
      <w:r w:rsidRPr="00223648" w:rsidR="00AF003D">
        <w:t xml:space="preserve"> </w:t>
      </w:r>
      <w:r w:rsidR="00A73E3F">
        <w:t>D</w:t>
      </w:r>
      <w:r w:rsidRPr="00223648" w:rsidR="00AF003D">
        <w:t>irect)</w:t>
      </w:r>
      <w:r w:rsidRPr="00223648">
        <w:t xml:space="preserve"> at 10.</w:t>
      </w:r>
    </w:p>
  </w:footnote>
  <w:footnote w:id="38">
    <w:p w:rsidR="00C45C51" w:rsidRPr="00223648" w:rsidP="00223648" w14:paraId="23B842D3" w14:textId="43C32567">
      <w:pPr>
        <w:pStyle w:val="FootnoteText"/>
        <w:spacing w:after="120"/>
      </w:pPr>
      <w:r w:rsidRPr="00223648">
        <w:rPr>
          <w:rStyle w:val="FootnoteReference"/>
        </w:rPr>
        <w:footnoteRef/>
      </w:r>
      <w:r w:rsidRPr="00223648">
        <w:t xml:space="preserve"> OCC Ex</w:t>
      </w:r>
      <w:r w:rsidRPr="00223648" w:rsidR="00D5549C">
        <w:t>hibit</w:t>
      </w:r>
      <w:r w:rsidRPr="00223648">
        <w:t xml:space="preserve"> 1 (Shutrump Direct) at 9.</w:t>
      </w:r>
      <w:r w:rsidRPr="00223648" w:rsidR="00B825AF">
        <w:t xml:space="preserve"> Leveraged programs are Home Weatherization Assistance Program, Electrical Partnership Program, Cleveland Public Power Program, First Energy’s Community Connections Program, Water Conservation/Water Repair Program, Plumbing and Sewer Repair, and the Northeast Ohio Regional Sewer District.</w:t>
      </w:r>
    </w:p>
  </w:footnote>
  <w:footnote w:id="39">
    <w:p w:rsidR="00374C6C" w:rsidRPr="00223648" w:rsidP="00223648" w14:paraId="3C4D2DE3" w14:textId="06F6AC64">
      <w:pPr>
        <w:pStyle w:val="FootnoteText"/>
        <w:spacing w:after="120"/>
      </w:pPr>
      <w:r w:rsidRPr="00223648">
        <w:rPr>
          <w:rStyle w:val="FootnoteReference"/>
        </w:rPr>
        <w:footnoteRef/>
      </w:r>
      <w:r w:rsidRPr="00223648">
        <w:t xml:space="preserve"> </w:t>
      </w:r>
      <w:r w:rsidRPr="00223648" w:rsidR="00B825AF">
        <w:rPr>
          <w:i/>
          <w:iCs/>
        </w:rPr>
        <w:t>Id</w:t>
      </w:r>
      <w:r w:rsidRPr="00223648" w:rsidR="00B825AF">
        <w:t>.</w:t>
      </w:r>
    </w:p>
  </w:footnote>
  <w:footnote w:id="40">
    <w:p w:rsidR="003F4056" w:rsidRPr="00223648" w:rsidP="00223648" w14:paraId="7C69975D" w14:textId="003EB7B6">
      <w:pPr>
        <w:pStyle w:val="FootnoteText"/>
        <w:spacing w:after="120"/>
      </w:pPr>
      <w:r w:rsidRPr="00223648">
        <w:rPr>
          <w:rStyle w:val="FootnoteReference"/>
        </w:rPr>
        <w:footnoteRef/>
      </w:r>
      <w:r w:rsidRPr="00223648">
        <w:t xml:space="preserve"> R.C. 4905.70.</w:t>
      </w:r>
    </w:p>
  </w:footnote>
  <w:footnote w:id="41">
    <w:p w:rsidR="00141E60" w:rsidRPr="00223648" w:rsidP="00223648" w14:paraId="1F21648A" w14:textId="1D6DD2FD">
      <w:pPr>
        <w:pStyle w:val="FootnoteText"/>
        <w:spacing w:after="120"/>
      </w:pPr>
      <w:r w:rsidRPr="00223648">
        <w:rPr>
          <w:rStyle w:val="FootnoteReference"/>
        </w:rPr>
        <w:footnoteRef/>
      </w:r>
      <w:r w:rsidRPr="00223648">
        <w:t xml:space="preserve"> </w:t>
      </w:r>
      <w:r w:rsidRPr="00223648">
        <w:rPr>
          <w:i/>
          <w:iCs/>
        </w:rPr>
        <w:t xml:space="preserve">In re Vectren Energy Delivery of Ohio DSM Case, </w:t>
      </w:r>
      <w:r w:rsidRPr="00223648">
        <w:t xml:space="preserve">Case No. 19-2084-GA-UNC, Opinion and Order </w:t>
      </w:r>
      <w:r w:rsidRPr="00223648" w:rsidR="00732718">
        <w:t>at ¶</w:t>
      </w:r>
      <w:r w:rsidRPr="00223648">
        <w:t xml:space="preserve"> 74 (Feb</w:t>
      </w:r>
      <w:r w:rsidRPr="00223648" w:rsidR="00B62B49">
        <w:t>ruary</w:t>
      </w:r>
      <w:r w:rsidRPr="00223648">
        <w:t xml:space="preserve"> 24, 2021); </w:t>
      </w:r>
      <w:r w:rsidRPr="00223648">
        <w:rPr>
          <w:i/>
          <w:iCs/>
        </w:rPr>
        <w:t xml:space="preserve">In re Columbia of Ohio DSM Case, </w:t>
      </w:r>
      <w:r w:rsidRPr="00223648">
        <w:t>Case No. 16-1309-GA-UNC, Opinion and Order at ¶ 3 (Dec</w:t>
      </w:r>
      <w:r w:rsidRPr="00223648" w:rsidR="00B62B49">
        <w:t>ember</w:t>
      </w:r>
      <w:r w:rsidRPr="00223648">
        <w:t xml:space="preserve"> 21, 2016).</w:t>
      </w:r>
    </w:p>
  </w:footnote>
  <w:footnote w:id="42">
    <w:p w:rsidR="0044671B" w:rsidRPr="00223648" w:rsidP="00223648" w14:paraId="7424F9C7" w14:textId="62B9E384">
      <w:pPr>
        <w:pStyle w:val="FootnoteText"/>
        <w:spacing w:after="120"/>
      </w:pPr>
      <w:r w:rsidRPr="00223648">
        <w:rPr>
          <w:rStyle w:val="FootnoteReference"/>
        </w:rPr>
        <w:footnoteRef/>
      </w:r>
      <w:r w:rsidRPr="00223648">
        <w:t xml:space="preserve"> R.C. 4928.66</w:t>
      </w:r>
      <w:r w:rsidRPr="00223648" w:rsidR="00ED4CE3">
        <w:t>, enacted as part of S.B. 221 (127</w:t>
      </w:r>
      <w:r w:rsidRPr="00223648" w:rsidR="00ED4CE3">
        <w:rPr>
          <w:vertAlign w:val="superscript"/>
        </w:rPr>
        <w:t>th</w:t>
      </w:r>
      <w:r w:rsidRPr="00223648" w:rsidR="00ED4CE3">
        <w:t xml:space="preserve"> G.A.) (2008).</w:t>
      </w:r>
    </w:p>
  </w:footnote>
  <w:footnote w:id="43">
    <w:p w:rsidR="0044671B" w:rsidRPr="00223648" w:rsidP="00223648" w14:paraId="065385F1" w14:textId="7AE830E8">
      <w:pPr>
        <w:pStyle w:val="FootnoteText"/>
        <w:spacing w:after="120"/>
      </w:pPr>
      <w:r w:rsidRPr="00223648">
        <w:rPr>
          <w:rStyle w:val="FootnoteReference"/>
        </w:rPr>
        <w:footnoteRef/>
      </w:r>
      <w:r w:rsidRPr="00223648">
        <w:t xml:space="preserve"> House Bill 6 (133</w:t>
      </w:r>
      <w:r w:rsidRPr="00223648">
        <w:rPr>
          <w:vertAlign w:val="superscript"/>
        </w:rPr>
        <w:t>rd</w:t>
      </w:r>
      <w:r w:rsidRPr="00223648">
        <w:t xml:space="preserve"> G.A.)</w:t>
      </w:r>
      <w:r w:rsidRPr="00223648" w:rsidR="00ED4CE3">
        <w:t xml:space="preserve"> (effective Oct</w:t>
      </w:r>
      <w:r w:rsidRPr="00223648" w:rsidR="00EB5873">
        <w:t>ober</w:t>
      </w:r>
      <w:r w:rsidRPr="00223648" w:rsidR="00ED4CE3">
        <w:t xml:space="preserve"> 22, 2019).</w:t>
      </w:r>
    </w:p>
  </w:footnote>
  <w:footnote w:id="44">
    <w:p w:rsidR="000366F2" w:rsidRPr="00223648" w:rsidP="00223648" w14:paraId="26FE3A64" w14:textId="38A9383B">
      <w:pPr>
        <w:pStyle w:val="FootnoteText"/>
        <w:spacing w:after="120"/>
      </w:pPr>
      <w:r w:rsidRPr="00223648">
        <w:rPr>
          <w:rStyle w:val="FootnoteReference"/>
        </w:rPr>
        <w:footnoteRef/>
      </w:r>
      <w:r w:rsidRPr="00223648">
        <w:t xml:space="preserve"> </w:t>
      </w:r>
      <w:r w:rsidRPr="00223648">
        <w:rPr>
          <w:i/>
          <w:iCs/>
        </w:rPr>
        <w:t xml:space="preserve">In re Electric Distribution Utility DSM/EE Programs, </w:t>
      </w:r>
      <w:r w:rsidRPr="00223648">
        <w:t>Case Nos. 16-574-EL-POR, 16-574-EL-POR, 16-574-EL-POR and 16-574-EL-POR (Finding and Order) (Feb</w:t>
      </w:r>
      <w:r w:rsidRPr="00223648" w:rsidR="00EB5873">
        <w:t>ruary</w:t>
      </w:r>
      <w:r w:rsidRPr="00223648">
        <w:t xml:space="preserve"> 26, 2020).</w:t>
      </w:r>
    </w:p>
  </w:footnote>
  <w:footnote w:id="45">
    <w:p w:rsidR="003E437C" w:rsidRPr="00223648" w:rsidP="00223648" w14:paraId="1B76DD48" w14:textId="4F6C1105">
      <w:pPr>
        <w:pStyle w:val="FootnoteText"/>
        <w:spacing w:after="120"/>
      </w:pPr>
      <w:r w:rsidRPr="00223648">
        <w:rPr>
          <w:rStyle w:val="FootnoteReference"/>
        </w:rPr>
        <w:footnoteRef/>
      </w:r>
      <w:r w:rsidRPr="00223648">
        <w:t xml:space="preserve"> </w:t>
      </w:r>
      <w:r w:rsidRPr="00223648">
        <w:rPr>
          <w:i/>
          <w:iCs/>
        </w:rPr>
        <w:t xml:space="preserve">Id. </w:t>
      </w:r>
      <w:r w:rsidRPr="00223648">
        <w:t>at ¶¶ 41-42.</w:t>
      </w:r>
    </w:p>
  </w:footnote>
  <w:footnote w:id="46">
    <w:p w:rsidR="0027443D" w:rsidRPr="00223648" w:rsidP="00223648" w14:paraId="04C8F9E5" w14:textId="2FE6FF03">
      <w:pPr>
        <w:pStyle w:val="FootnoteText"/>
        <w:spacing w:after="120"/>
      </w:pPr>
      <w:r w:rsidRPr="00223648">
        <w:rPr>
          <w:rStyle w:val="FootnoteReference"/>
        </w:rPr>
        <w:footnoteRef/>
      </w:r>
      <w:r w:rsidRPr="00223648">
        <w:t xml:space="preserve"> </w:t>
      </w:r>
      <w:r w:rsidRPr="00223648">
        <w:rPr>
          <w:i/>
          <w:iCs/>
        </w:rPr>
        <w:t>See</w:t>
      </w:r>
      <w:r w:rsidRPr="00223648">
        <w:t>, Case No. 05-1444-GA-UNC, Testimony of Ste</w:t>
      </w:r>
      <w:r w:rsidRPr="00223648" w:rsidR="008F71B5">
        <w:t>phen E.</w:t>
      </w:r>
      <w:r w:rsidRPr="00223648">
        <w:t xml:space="preserve"> Puican </w:t>
      </w:r>
      <w:r w:rsidRPr="00223648" w:rsidR="008F71B5">
        <w:t xml:space="preserve">on Behalf </w:t>
      </w:r>
      <w:r w:rsidRPr="00223648">
        <w:t xml:space="preserve">of the Staff of the Public </w:t>
      </w:r>
      <w:r w:rsidRPr="00223648" w:rsidR="0007294A">
        <w:t>Utilities Commission</w:t>
      </w:r>
      <w:r w:rsidRPr="00223648">
        <w:t xml:space="preserve"> of Ohio (</w:t>
      </w:r>
      <w:r w:rsidRPr="00223648" w:rsidR="00D43A3F">
        <w:t>March 20, 2006)</w:t>
      </w:r>
      <w:r w:rsidRPr="00223648" w:rsidR="008F71B5">
        <w:t xml:space="preserve"> at 5</w:t>
      </w:r>
      <w:r w:rsidRPr="00223648" w:rsidR="00D43A3F">
        <w:t>.</w:t>
      </w:r>
    </w:p>
  </w:footnote>
  <w:footnote w:id="47">
    <w:p w:rsidR="008F71B5" w:rsidRPr="00223648" w:rsidP="00223648" w14:paraId="73BA059B" w14:textId="7330E01F">
      <w:pPr>
        <w:pStyle w:val="FootnoteText"/>
        <w:spacing w:after="120"/>
      </w:pPr>
      <w:r w:rsidRPr="00223648">
        <w:rPr>
          <w:rStyle w:val="FootnoteReference"/>
        </w:rPr>
        <w:footnoteRef/>
      </w:r>
      <w:r w:rsidRPr="00223648">
        <w:t xml:space="preserve"> </w:t>
      </w:r>
      <w:r w:rsidRPr="00223648" w:rsidR="0007294A">
        <w:rPr>
          <w:i/>
          <w:iCs/>
        </w:rPr>
        <w:t>I</w:t>
      </w:r>
      <w:r w:rsidRPr="00223648">
        <w:rPr>
          <w:i/>
          <w:iCs/>
        </w:rPr>
        <w:t>d</w:t>
      </w:r>
      <w:r w:rsidRPr="00223648">
        <w:t xml:space="preserve">. </w:t>
      </w:r>
    </w:p>
  </w:footnote>
  <w:footnote w:id="48">
    <w:p w:rsidR="000356E5" w:rsidRPr="00223648" w:rsidP="00223648" w14:paraId="534511BC" w14:textId="4397B2E6">
      <w:pPr>
        <w:pStyle w:val="FootnoteText"/>
        <w:spacing w:after="120"/>
      </w:pPr>
      <w:r w:rsidRPr="00223648">
        <w:rPr>
          <w:rStyle w:val="FootnoteReference"/>
        </w:rPr>
        <w:footnoteRef/>
      </w:r>
      <w:r w:rsidRPr="00223648">
        <w:t xml:space="preserve"> </w:t>
      </w:r>
      <w:r w:rsidRPr="00223648">
        <w:rPr>
          <w:i/>
          <w:iCs/>
        </w:rPr>
        <w:t>Id</w:t>
      </w:r>
      <w:r w:rsidRPr="00223648">
        <w:t xml:space="preserve">. </w:t>
      </w:r>
    </w:p>
  </w:footnote>
  <w:footnote w:id="49">
    <w:p w:rsidR="00D43A3F" w:rsidRPr="00223648" w:rsidP="00223648" w14:paraId="46C35B7F" w14:textId="3924CE33">
      <w:pPr>
        <w:pStyle w:val="FootnoteText"/>
        <w:spacing w:after="120"/>
      </w:pPr>
      <w:r w:rsidRPr="00223648">
        <w:rPr>
          <w:rStyle w:val="FootnoteReference"/>
        </w:rPr>
        <w:footnoteRef/>
      </w:r>
      <w:r w:rsidRPr="00223648">
        <w:t xml:space="preserve"> </w:t>
      </w:r>
      <w:r w:rsidRPr="00223648">
        <w:rPr>
          <w:i/>
          <w:iCs/>
        </w:rPr>
        <w:t>Id</w:t>
      </w:r>
      <w:r w:rsidRPr="00223648">
        <w:t>.</w:t>
      </w:r>
    </w:p>
  </w:footnote>
  <w:footnote w:id="50">
    <w:p w:rsidR="008A14F1" w:rsidRPr="00223648" w:rsidP="00223648" w14:paraId="55EC2A07" w14:textId="7B4E63D3">
      <w:pPr>
        <w:pStyle w:val="FootnoteText"/>
        <w:spacing w:after="120"/>
      </w:pPr>
      <w:r w:rsidRPr="00223648">
        <w:rPr>
          <w:rStyle w:val="FootnoteReference"/>
        </w:rPr>
        <w:footnoteRef/>
      </w:r>
      <w:r w:rsidRPr="00223648">
        <w:t xml:space="preserve"> Tr. at 30-34.</w:t>
      </w:r>
    </w:p>
  </w:footnote>
  <w:footnote w:id="51">
    <w:p w:rsidR="00FA2C15" w:rsidRPr="00223648" w:rsidP="00223648" w14:paraId="0F505FB3" w14:textId="455B6F1B">
      <w:pPr>
        <w:pStyle w:val="FootnoteText"/>
        <w:spacing w:after="120"/>
      </w:pPr>
      <w:r w:rsidRPr="00223648">
        <w:rPr>
          <w:rStyle w:val="FootnoteReference"/>
        </w:rPr>
        <w:footnoteRef/>
      </w:r>
      <w:r w:rsidRPr="00223648">
        <w:t xml:space="preserve"> Tr. at 44. </w:t>
      </w:r>
    </w:p>
  </w:footnote>
  <w:footnote w:id="52">
    <w:p w:rsidR="00874F82" w:rsidRPr="00223648" w:rsidP="00223648" w14:paraId="0B470274" w14:textId="72204631">
      <w:pPr>
        <w:pStyle w:val="FootnoteText"/>
        <w:spacing w:after="120"/>
      </w:pPr>
      <w:r w:rsidRPr="00223648">
        <w:rPr>
          <w:rStyle w:val="FootnoteReference"/>
        </w:rPr>
        <w:footnoteRef/>
      </w:r>
      <w:r w:rsidRPr="00223648">
        <w:t xml:space="preserve"> </w:t>
      </w:r>
      <w:r w:rsidRPr="00223648">
        <w:rPr>
          <w:i/>
          <w:iCs/>
        </w:rPr>
        <w:t>See</w:t>
      </w:r>
      <w:r w:rsidRPr="00223648">
        <w:t xml:space="preserve"> OCC Exhibit 1</w:t>
      </w:r>
      <w:r w:rsidRPr="00223648" w:rsidR="00AF003D">
        <w:t xml:space="preserve"> (Shutrump Direct) at</w:t>
      </w:r>
      <w:r w:rsidRPr="00223648">
        <w:t xml:space="preserve"> 7-8.</w:t>
      </w:r>
    </w:p>
  </w:footnote>
  <w:footnote w:id="53">
    <w:p w:rsidR="00874F82" w:rsidRPr="00223648" w:rsidP="00223648" w14:paraId="3E35C67A" w14:textId="77777777">
      <w:pPr>
        <w:pStyle w:val="FootnoteText"/>
        <w:spacing w:after="120"/>
        <w:rPr>
          <w:i/>
          <w:iCs/>
        </w:rPr>
      </w:pPr>
      <w:r w:rsidRPr="00223648">
        <w:rPr>
          <w:rStyle w:val="FootnoteReference"/>
        </w:rPr>
        <w:footnoteRef/>
      </w:r>
      <w:r w:rsidRPr="00223648">
        <w:t xml:space="preserve"> </w:t>
      </w:r>
      <w:r w:rsidRPr="00223648">
        <w:rPr>
          <w:i/>
          <w:iCs/>
        </w:rPr>
        <w:t>Id.</w:t>
      </w:r>
    </w:p>
  </w:footnote>
  <w:footnote w:id="54">
    <w:p w:rsidR="00874F82" w:rsidRPr="00223648" w:rsidP="00223648" w14:paraId="300C01D9" w14:textId="77777777">
      <w:pPr>
        <w:pStyle w:val="FootnoteText"/>
        <w:spacing w:after="120"/>
      </w:pPr>
      <w:r w:rsidRPr="00223648">
        <w:rPr>
          <w:rStyle w:val="FootnoteReference"/>
        </w:rPr>
        <w:footnoteRef/>
      </w:r>
      <w:r w:rsidRPr="00223648">
        <w:t xml:space="preserve"> </w:t>
      </w:r>
      <w:r w:rsidRPr="00223648">
        <w:rPr>
          <w:i/>
          <w:iCs/>
        </w:rPr>
        <w:t>Id.</w:t>
      </w:r>
    </w:p>
  </w:footnote>
  <w:footnote w:id="55">
    <w:p w:rsidR="00652D0C" w:rsidRPr="00223648" w:rsidP="00223648" w14:paraId="512CF34A" w14:textId="48DF200E">
      <w:pPr>
        <w:pStyle w:val="FootnoteText"/>
        <w:spacing w:after="120"/>
      </w:pPr>
      <w:r w:rsidRPr="00223648">
        <w:rPr>
          <w:rStyle w:val="FootnoteReference"/>
        </w:rPr>
        <w:footnoteRef/>
      </w:r>
      <w:r w:rsidRPr="00223648">
        <w:t xml:space="preserve"> </w:t>
      </w:r>
      <w:r w:rsidRPr="00223648">
        <w:rPr>
          <w:i/>
          <w:iCs/>
        </w:rPr>
        <w:t>See., e.g.,</w:t>
      </w:r>
      <w:r w:rsidRPr="00223648">
        <w:t xml:space="preserve"> Tr. at 30-31. </w:t>
      </w:r>
    </w:p>
  </w:footnote>
  <w:footnote w:id="56">
    <w:p w:rsidR="00B5622F" w:rsidRPr="00223648" w:rsidP="00223648" w14:paraId="7942EBA6" w14:textId="624D048F">
      <w:pPr>
        <w:pStyle w:val="FootnoteText"/>
        <w:spacing w:after="120"/>
      </w:pPr>
      <w:r w:rsidRPr="00223648">
        <w:rPr>
          <w:rStyle w:val="FootnoteReference"/>
        </w:rPr>
        <w:footnoteRef/>
      </w:r>
      <w:r w:rsidRPr="00223648">
        <w:t xml:space="preserve"> OCC Exhibit 1 (Shutrump Direct) at 8.</w:t>
      </w:r>
    </w:p>
  </w:footnote>
  <w:footnote w:id="57">
    <w:p w:rsidR="00874F82" w:rsidRPr="00223648" w:rsidP="00223648" w14:paraId="63A51483" w14:textId="77777777">
      <w:pPr>
        <w:pStyle w:val="FootnoteText"/>
        <w:spacing w:after="120"/>
      </w:pPr>
      <w:r w:rsidRPr="00223648">
        <w:rPr>
          <w:rStyle w:val="FootnoteReference"/>
        </w:rPr>
        <w:footnoteRef/>
      </w:r>
      <w:r w:rsidRPr="00223648">
        <w:t xml:space="preserve"> Tr. at 10-11.</w:t>
      </w:r>
    </w:p>
  </w:footnote>
  <w:footnote w:id="58">
    <w:p w:rsidR="00652D0C" w:rsidRPr="00223648" w:rsidP="00223648" w14:paraId="37316F28" w14:textId="79A7FCCB">
      <w:pPr>
        <w:pStyle w:val="FootnoteText"/>
        <w:spacing w:after="120"/>
      </w:pPr>
      <w:r w:rsidRPr="00223648">
        <w:rPr>
          <w:rStyle w:val="FootnoteReference"/>
        </w:rPr>
        <w:footnoteRef/>
      </w:r>
      <w:r w:rsidRPr="00223648">
        <w:t xml:space="preserve"> Tr. at 67-70.</w:t>
      </w:r>
    </w:p>
  </w:footnote>
  <w:footnote w:id="59">
    <w:p w:rsidR="00652D0C" w:rsidRPr="00223648" w:rsidP="00223648" w14:paraId="0D569920" w14:textId="577FE30A">
      <w:pPr>
        <w:pStyle w:val="FootnoteText"/>
        <w:spacing w:after="120"/>
      </w:pPr>
      <w:r w:rsidRPr="00223648">
        <w:rPr>
          <w:rStyle w:val="FootnoteReference"/>
        </w:rPr>
        <w:footnoteRef/>
      </w:r>
      <w:r w:rsidRPr="00223648">
        <w:t xml:space="preserve"> Tr. at 67-68.</w:t>
      </w:r>
    </w:p>
  </w:footnote>
  <w:footnote w:id="60">
    <w:p w:rsidR="00237751" w:rsidRPr="00223648" w:rsidP="00223648" w14:paraId="4AA0EBA5" w14:textId="4EDF0454">
      <w:pPr>
        <w:pStyle w:val="FootnoteText"/>
        <w:spacing w:after="120"/>
      </w:pPr>
      <w:r w:rsidRPr="00223648">
        <w:rPr>
          <w:rStyle w:val="FootnoteReference"/>
        </w:rPr>
        <w:footnoteRef/>
      </w:r>
      <w:r w:rsidRPr="00223648">
        <w:t xml:space="preserve"> </w:t>
      </w:r>
      <w:r w:rsidRPr="00223648" w:rsidR="00EB5873">
        <w:rPr>
          <w:i/>
          <w:iCs/>
        </w:rPr>
        <w:t>In</w:t>
      </w:r>
      <w:r w:rsidRPr="00223648" w:rsidR="00EB5873">
        <w:t xml:space="preserve"> </w:t>
      </w:r>
      <w:r w:rsidRPr="00223648">
        <w:rPr>
          <w:i/>
          <w:iCs/>
        </w:rPr>
        <w:t xml:space="preserve">re Electric Distribution Utility DSM/EE Programs, </w:t>
      </w:r>
      <w:r w:rsidRPr="00223648">
        <w:t>Case Nos. 16-574-EL-POR, 16-574-EL-POR, 16-574-EL-POR and 16-574-EL-POR (Finding and Order) (Feb</w:t>
      </w:r>
      <w:r w:rsidRPr="00223648" w:rsidR="00EB5873">
        <w:t>ruary</w:t>
      </w:r>
      <w:r w:rsidRPr="00223648">
        <w:t xml:space="preserve"> 26, 2020).</w:t>
      </w:r>
    </w:p>
  </w:footnote>
  <w:footnote w:id="61">
    <w:p w:rsidR="00B25D45" w:rsidRPr="00223648" w:rsidP="00223648" w14:paraId="186CD201" w14:textId="2C8192D9">
      <w:pPr>
        <w:pStyle w:val="FootnoteText"/>
        <w:spacing w:after="120"/>
      </w:pPr>
      <w:r w:rsidRPr="00223648">
        <w:rPr>
          <w:rStyle w:val="FootnoteReference"/>
        </w:rPr>
        <w:footnoteRef/>
      </w:r>
      <w:r w:rsidRPr="00223648">
        <w:t xml:space="preserve"> </w:t>
      </w:r>
      <w:r w:rsidRPr="00223648">
        <w:rPr>
          <w:i/>
          <w:iCs/>
        </w:rPr>
        <w:t>See</w:t>
      </w:r>
      <w:r w:rsidRPr="00223648">
        <w:t>, R.C. 492</w:t>
      </w:r>
      <w:r w:rsidRPr="00223648" w:rsidR="009372C9">
        <w:t>9(A)(8)</w:t>
      </w:r>
      <w:r w:rsidRPr="00223648">
        <w:t>.</w:t>
      </w:r>
    </w:p>
  </w:footnote>
  <w:footnote w:id="62">
    <w:p w:rsidR="00755FD7" w:rsidRPr="00223648" w:rsidP="00223648" w14:paraId="262E3EC2" w14:textId="5CB5DCA3">
      <w:pPr>
        <w:pStyle w:val="FootnoteText"/>
        <w:spacing w:after="120"/>
      </w:pPr>
      <w:r w:rsidRPr="00223648">
        <w:rPr>
          <w:rStyle w:val="FootnoteReference"/>
        </w:rPr>
        <w:footnoteRef/>
      </w:r>
      <w:r w:rsidRPr="00223648">
        <w:t xml:space="preserve"> Tr. at 43-44. </w:t>
      </w:r>
    </w:p>
  </w:footnote>
  <w:footnote w:id="63">
    <w:p w:rsidR="00755FD7" w:rsidRPr="00223648" w:rsidP="00223648" w14:paraId="6DF2ACD5" w14:textId="77777777">
      <w:pPr>
        <w:pStyle w:val="FootnoteText"/>
        <w:spacing w:after="120"/>
      </w:pPr>
      <w:r w:rsidRPr="00223648">
        <w:rPr>
          <w:rStyle w:val="FootnoteReference"/>
        </w:rPr>
        <w:footnoteRef/>
      </w:r>
      <w:r w:rsidRPr="00223648">
        <w:t xml:space="preserve"> Tr. at 30-34.</w:t>
      </w:r>
    </w:p>
  </w:footnote>
  <w:footnote w:id="64">
    <w:p w:rsidR="00D7145B" w:rsidRPr="00223648" w:rsidP="00223648" w14:paraId="1D2A9120" w14:textId="16388DE9">
      <w:pPr>
        <w:pStyle w:val="FootnoteText"/>
        <w:spacing w:after="120"/>
      </w:pPr>
      <w:r w:rsidRPr="00223648">
        <w:rPr>
          <w:rStyle w:val="FootnoteReference"/>
        </w:rPr>
        <w:footnoteRef/>
      </w:r>
      <w:r w:rsidRPr="00223648">
        <w:t xml:space="preserve"> </w:t>
      </w:r>
      <w:r w:rsidRPr="00223648" w:rsidR="00D5549C">
        <w:t>DEO Exhibit 1.0</w:t>
      </w:r>
      <w:r w:rsidRPr="00223648">
        <w:t xml:space="preserve"> at 5; Tr. at 16.</w:t>
      </w:r>
    </w:p>
  </w:footnote>
  <w:footnote w:id="65">
    <w:p w:rsidR="00B5622F" w:rsidRPr="00223648" w:rsidP="00223648" w14:paraId="19DE50E9" w14:textId="307EBB9B">
      <w:pPr>
        <w:pStyle w:val="FootnoteText"/>
        <w:spacing w:after="120"/>
      </w:pPr>
      <w:r w:rsidRPr="00223648">
        <w:rPr>
          <w:rStyle w:val="FootnoteReference"/>
        </w:rPr>
        <w:footnoteRef/>
      </w:r>
      <w:r w:rsidRPr="00223648">
        <w:t xml:space="preserve"> </w:t>
      </w:r>
      <w:r w:rsidRPr="00223648">
        <w:rPr>
          <w:i/>
          <w:iCs/>
        </w:rPr>
        <w:t>See</w:t>
      </w:r>
      <w:r w:rsidRPr="00223648">
        <w:t xml:space="preserve">, </w:t>
      </w:r>
      <w:r w:rsidRPr="00223648">
        <w:rPr>
          <w:i/>
          <w:iCs/>
        </w:rPr>
        <w:t>In the Matter of the Audit of the Demand Side Management Rider of The East Ohio Gas Company d/b/a Dominion Energy Ohio</w:t>
      </w:r>
      <w:r w:rsidRPr="00223648">
        <w:t>, Case No. 17-1372-GA-RDR, Finding and Order at 5 (August 2, 2017).</w:t>
      </w:r>
    </w:p>
  </w:footnote>
  <w:footnote w:id="66">
    <w:p w:rsidR="005C5FED" w:rsidRPr="00223648" w:rsidP="00223648" w14:paraId="58C725A9" w14:textId="45B10C34">
      <w:pPr>
        <w:pStyle w:val="FootnoteText"/>
        <w:spacing w:after="120"/>
      </w:pPr>
      <w:r w:rsidRPr="00223648">
        <w:rPr>
          <w:rStyle w:val="FootnoteReference"/>
        </w:rPr>
        <w:footnoteRef/>
      </w:r>
      <w:r w:rsidRPr="00223648">
        <w:t xml:space="preserve"> </w:t>
      </w:r>
      <w:r w:rsidRPr="00223648">
        <w:rPr>
          <w:i/>
          <w:iCs/>
        </w:rPr>
        <w:t>See</w:t>
      </w:r>
      <w:r w:rsidRPr="00223648">
        <w:t xml:space="preserve"> OCC Exhibit 1</w:t>
      </w:r>
      <w:r w:rsidRPr="00223648" w:rsidR="00AF003D">
        <w:t xml:space="preserve">(Shutrump Direct) at </w:t>
      </w:r>
      <w:r w:rsidRPr="00223648">
        <w:t>11.</w:t>
      </w:r>
    </w:p>
  </w:footnote>
  <w:footnote w:id="67">
    <w:p w:rsidR="005C5FED" w:rsidRPr="00223648" w:rsidP="00223648" w14:paraId="6AFCB4DC" w14:textId="77777777">
      <w:pPr>
        <w:pStyle w:val="FootnoteText"/>
        <w:spacing w:after="120"/>
      </w:pPr>
      <w:r w:rsidRPr="00223648">
        <w:rPr>
          <w:rStyle w:val="FootnoteReference"/>
        </w:rPr>
        <w:footnoteRef/>
      </w:r>
      <w:r w:rsidRPr="00223648">
        <w:t xml:space="preserve"> </w:t>
      </w:r>
      <w:r w:rsidRPr="00223648">
        <w:rPr>
          <w:i/>
          <w:iCs/>
        </w:rPr>
        <w:t>Id.</w:t>
      </w:r>
    </w:p>
  </w:footnote>
  <w:footnote w:id="68">
    <w:p w:rsidR="005C5FED" w:rsidRPr="00223648" w:rsidP="00223648" w14:paraId="7BB34E69" w14:textId="77777777">
      <w:pPr>
        <w:pStyle w:val="FootnoteText"/>
        <w:spacing w:after="120"/>
        <w:rPr>
          <w:i/>
          <w:iCs/>
        </w:rPr>
      </w:pPr>
      <w:r w:rsidRPr="00223648">
        <w:rPr>
          <w:rStyle w:val="FootnoteReference"/>
        </w:rPr>
        <w:footnoteRef/>
      </w:r>
      <w:r w:rsidRPr="00223648">
        <w:t xml:space="preserve"> </w:t>
      </w:r>
      <w:r w:rsidRPr="00223648">
        <w:rPr>
          <w:i/>
          <w:iCs/>
        </w:rPr>
        <w:t xml:space="preserve">Id. </w:t>
      </w:r>
    </w:p>
  </w:footnote>
  <w:footnote w:id="69">
    <w:p w:rsidR="005C5FED" w:rsidRPr="00223648" w:rsidP="00223648" w14:paraId="28D400F7" w14:textId="77777777">
      <w:pPr>
        <w:pStyle w:val="FootnoteText"/>
        <w:spacing w:after="120"/>
      </w:pPr>
      <w:r w:rsidRPr="00223648">
        <w:rPr>
          <w:rStyle w:val="FootnoteReference"/>
        </w:rPr>
        <w:footnoteRef/>
      </w:r>
      <w:r w:rsidRPr="00223648">
        <w:t xml:space="preserve"> </w:t>
      </w:r>
      <w:r w:rsidRPr="00223648">
        <w:rPr>
          <w:i/>
          <w:iCs/>
        </w:rPr>
        <w:t>Id.</w:t>
      </w:r>
    </w:p>
  </w:footnote>
  <w:footnote w:id="70">
    <w:p w:rsidR="005C5FED" w:rsidRPr="00223648" w:rsidP="00223648" w14:paraId="6835D015" w14:textId="77777777">
      <w:pPr>
        <w:pStyle w:val="FootnoteText"/>
        <w:spacing w:after="120"/>
      </w:pPr>
      <w:r w:rsidRPr="00223648">
        <w:rPr>
          <w:rStyle w:val="FootnoteReference"/>
        </w:rPr>
        <w:footnoteRef/>
      </w:r>
      <w:r w:rsidRPr="00223648">
        <w:t xml:space="preserve"> </w:t>
      </w:r>
      <w:r w:rsidRPr="00223648">
        <w:rPr>
          <w:i/>
          <w:iCs/>
        </w:rPr>
        <w:t>Id.</w:t>
      </w:r>
    </w:p>
  </w:footnote>
  <w:footnote w:id="71">
    <w:p w:rsidR="005C5FED" w:rsidRPr="00223648" w:rsidP="00223648" w14:paraId="737C92FD" w14:textId="77777777">
      <w:pPr>
        <w:pStyle w:val="FootnoteText"/>
        <w:spacing w:after="120"/>
      </w:pPr>
      <w:r w:rsidRPr="00223648">
        <w:rPr>
          <w:rStyle w:val="FootnoteReference"/>
        </w:rPr>
        <w:footnoteRef/>
      </w:r>
      <w:r w:rsidRPr="00223648">
        <w:t xml:space="preserve"> </w:t>
      </w:r>
      <w:r w:rsidRPr="00223648">
        <w:rPr>
          <w:i/>
          <w:iCs/>
        </w:rPr>
        <w:t>Id.</w:t>
      </w:r>
    </w:p>
  </w:footnote>
  <w:footnote w:id="72">
    <w:p w:rsidR="005C5FED" w:rsidRPr="00223648" w:rsidP="00223648" w14:paraId="0D1FDA31" w14:textId="77777777">
      <w:pPr>
        <w:pStyle w:val="FootnoteText"/>
        <w:spacing w:after="120"/>
      </w:pPr>
      <w:r w:rsidRPr="00223648">
        <w:rPr>
          <w:rStyle w:val="FootnoteReference"/>
        </w:rPr>
        <w:footnoteRef/>
      </w:r>
      <w:r w:rsidRPr="00223648">
        <w:t xml:space="preserve"> </w:t>
      </w:r>
      <w:r w:rsidRPr="00223648">
        <w:rPr>
          <w:i/>
          <w:iCs/>
        </w:rPr>
        <w:t>Id.</w:t>
      </w:r>
    </w:p>
  </w:footnote>
  <w:footnote w:id="73">
    <w:p w:rsidR="005C5FED" w:rsidRPr="00223648" w:rsidP="00223648" w14:paraId="1A023B08" w14:textId="77777777">
      <w:pPr>
        <w:pStyle w:val="FootnoteText"/>
        <w:spacing w:after="120"/>
      </w:pPr>
      <w:r w:rsidRPr="00223648">
        <w:rPr>
          <w:rStyle w:val="FootnoteReference"/>
        </w:rPr>
        <w:footnoteRef/>
      </w:r>
      <w:r w:rsidRPr="00223648">
        <w:t xml:space="preserve"> </w:t>
      </w:r>
      <w:r w:rsidRPr="00223648">
        <w:rPr>
          <w:i/>
          <w:iCs/>
        </w:rPr>
        <w:t>Id.</w:t>
      </w:r>
    </w:p>
  </w:footnote>
  <w:footnote w:id="74">
    <w:p w:rsidR="005C5FED" w:rsidRPr="00223648" w:rsidP="00223648" w14:paraId="629F6258" w14:textId="77777777">
      <w:pPr>
        <w:pStyle w:val="FootnoteText"/>
        <w:spacing w:after="120"/>
      </w:pPr>
      <w:r w:rsidRPr="00223648">
        <w:rPr>
          <w:rStyle w:val="FootnoteReference"/>
        </w:rPr>
        <w:footnoteRef/>
      </w:r>
      <w:r w:rsidRPr="00223648">
        <w:t xml:space="preserve"> </w:t>
      </w:r>
      <w:r w:rsidRPr="00223648">
        <w:rPr>
          <w:i/>
          <w:iCs/>
        </w:rPr>
        <w:t>Id.</w:t>
      </w:r>
    </w:p>
  </w:footnote>
  <w:footnote w:id="75">
    <w:p w:rsidR="005C5FED" w:rsidRPr="00223648" w:rsidP="00223648" w14:paraId="178CABE7" w14:textId="77777777">
      <w:pPr>
        <w:pStyle w:val="FootnoteText"/>
        <w:spacing w:after="120"/>
      </w:pPr>
      <w:r w:rsidRPr="00223648">
        <w:rPr>
          <w:rStyle w:val="FootnoteReference"/>
        </w:rPr>
        <w:footnoteRef/>
      </w:r>
      <w:r w:rsidRPr="00223648">
        <w:t xml:space="preserve"> </w:t>
      </w:r>
      <w:r w:rsidRPr="00223648">
        <w:rPr>
          <w:i/>
          <w:iCs/>
        </w:rPr>
        <w:t>Id.</w:t>
      </w:r>
    </w:p>
  </w:footnote>
  <w:footnote w:id="76">
    <w:p w:rsidR="005C5FED" w:rsidRPr="00223648" w:rsidP="00223648" w14:paraId="0AAB7FE8" w14:textId="77777777">
      <w:pPr>
        <w:pStyle w:val="FootnoteText"/>
        <w:spacing w:after="120"/>
      </w:pPr>
      <w:r w:rsidRPr="00223648">
        <w:rPr>
          <w:rStyle w:val="FootnoteReference"/>
        </w:rPr>
        <w:footnoteRef/>
      </w:r>
      <w:r w:rsidRPr="00223648">
        <w:t xml:space="preserve"> </w:t>
      </w:r>
      <w:r w:rsidRPr="00223648">
        <w:rPr>
          <w:i/>
          <w:iCs/>
        </w:rPr>
        <w:t>Id.</w:t>
      </w:r>
    </w:p>
  </w:footnote>
  <w:footnote w:id="77">
    <w:p w:rsidR="005C5FED" w:rsidRPr="00223648" w:rsidP="00223648" w14:paraId="7056A997" w14:textId="77777777">
      <w:pPr>
        <w:pStyle w:val="FootnoteText"/>
        <w:spacing w:after="120"/>
      </w:pPr>
      <w:r w:rsidRPr="00223648">
        <w:rPr>
          <w:rStyle w:val="FootnoteReference"/>
        </w:rPr>
        <w:footnoteRef/>
      </w:r>
      <w:r w:rsidRPr="00223648">
        <w:t xml:space="preserve"> </w:t>
      </w:r>
      <w:r w:rsidRPr="00223648">
        <w:rPr>
          <w:i/>
          <w:iCs/>
        </w:rPr>
        <w:t>Id.</w:t>
      </w:r>
    </w:p>
  </w:footnote>
  <w:footnote w:id="78">
    <w:p w:rsidR="005C5FED" w:rsidRPr="00223648" w:rsidP="00223648" w14:paraId="47B4FC8B" w14:textId="77777777">
      <w:pPr>
        <w:pStyle w:val="FootnoteText"/>
        <w:spacing w:after="120"/>
      </w:pPr>
      <w:r w:rsidRPr="00223648">
        <w:rPr>
          <w:rStyle w:val="FootnoteReference"/>
        </w:rPr>
        <w:footnoteRef/>
      </w:r>
      <w:r w:rsidRPr="00223648">
        <w:t xml:space="preserve"> </w:t>
      </w:r>
      <w:r w:rsidRPr="00223648">
        <w:rPr>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610264"/>
    <w:multiLevelType w:val="hybridMultilevel"/>
    <w:tmpl w:val="E4D67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EC68DE"/>
    <w:multiLevelType w:val="hybridMultilevel"/>
    <w:tmpl w:val="713CAA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B541A7"/>
    <w:multiLevelType w:val="hybridMultilevel"/>
    <w:tmpl w:val="BE207A3E"/>
    <w:lvl w:ilvl="0">
      <w:start w:val="1"/>
      <w:numFmt w:val="upperRoman"/>
      <w:lvlText w:val="%1."/>
      <w:lvlJc w:val="left"/>
      <w:pPr>
        <w:ind w:left="834" w:hanging="720"/>
      </w:pPr>
      <w:rPr>
        <w:rFonts w:hint="default"/>
        <w:w w:val="92"/>
      </w:rPr>
    </w:lvl>
    <w:lvl w:ilvl="1">
      <w:start w:val="1"/>
      <w:numFmt w:val="upperLetter"/>
      <w:lvlText w:val="%2."/>
      <w:lvlJc w:val="left"/>
      <w:pPr>
        <w:ind w:left="1553" w:hanging="703"/>
      </w:pPr>
      <w:rPr>
        <w:rFonts w:hint="default"/>
        <w:w w:val="103"/>
      </w:rPr>
    </w:lvl>
    <w:lvl w:ilvl="2">
      <w:start w:val="1"/>
      <w:numFmt w:val="decimal"/>
      <w:lvlText w:val="%3."/>
      <w:lvlJc w:val="left"/>
      <w:pPr>
        <w:ind w:left="2271" w:hanging="708"/>
      </w:pPr>
      <w:rPr>
        <w:rFonts w:hint="default"/>
        <w:w w:val="105"/>
      </w:rPr>
    </w:lvl>
    <w:lvl w:ilvl="3">
      <w:start w:val="0"/>
      <w:numFmt w:val="bullet"/>
      <w:lvlText w:val="•"/>
      <w:lvlJc w:val="left"/>
      <w:pPr>
        <w:ind w:left="3192" w:hanging="708"/>
      </w:pPr>
      <w:rPr>
        <w:rFonts w:hint="default"/>
      </w:rPr>
    </w:lvl>
    <w:lvl w:ilvl="4">
      <w:start w:val="0"/>
      <w:numFmt w:val="bullet"/>
      <w:lvlText w:val="•"/>
      <w:lvlJc w:val="left"/>
      <w:pPr>
        <w:ind w:left="4105" w:hanging="708"/>
      </w:pPr>
      <w:rPr>
        <w:rFonts w:hint="default"/>
      </w:rPr>
    </w:lvl>
    <w:lvl w:ilvl="5">
      <w:start w:val="0"/>
      <w:numFmt w:val="bullet"/>
      <w:lvlText w:val="•"/>
      <w:lvlJc w:val="left"/>
      <w:pPr>
        <w:ind w:left="5017" w:hanging="708"/>
      </w:pPr>
      <w:rPr>
        <w:rFonts w:hint="default"/>
      </w:rPr>
    </w:lvl>
    <w:lvl w:ilvl="6">
      <w:start w:val="0"/>
      <w:numFmt w:val="bullet"/>
      <w:lvlText w:val="•"/>
      <w:lvlJc w:val="left"/>
      <w:pPr>
        <w:ind w:left="5930" w:hanging="708"/>
      </w:pPr>
      <w:rPr>
        <w:rFonts w:hint="default"/>
      </w:rPr>
    </w:lvl>
    <w:lvl w:ilvl="7">
      <w:start w:val="0"/>
      <w:numFmt w:val="bullet"/>
      <w:lvlText w:val="•"/>
      <w:lvlJc w:val="left"/>
      <w:pPr>
        <w:ind w:left="6842" w:hanging="708"/>
      </w:pPr>
      <w:rPr>
        <w:rFonts w:hint="default"/>
      </w:rPr>
    </w:lvl>
    <w:lvl w:ilvl="8">
      <w:start w:val="0"/>
      <w:numFmt w:val="bullet"/>
      <w:lvlText w:val="•"/>
      <w:lvlJc w:val="left"/>
      <w:pPr>
        <w:ind w:left="7755" w:hanging="708"/>
      </w:pPr>
      <w:rPr>
        <w:rFonts w:hint="default"/>
      </w:rPr>
    </w:lvl>
  </w:abstractNum>
  <w:abstractNum w:abstractNumId="3">
    <w:nsid w:val="1C260A9C"/>
    <w:multiLevelType w:val="hybridMultilevel"/>
    <w:tmpl w:val="3B9E64F2"/>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684913"/>
    <w:multiLevelType w:val="hybridMultilevel"/>
    <w:tmpl w:val="58C02A2A"/>
    <w:lvl w:ilvl="0">
      <w:start w:val="1"/>
      <w:numFmt w:val="decimal"/>
      <w:lvlText w:val="%1)"/>
      <w:lvlJc w:val="left"/>
      <w:pPr>
        <w:ind w:left="1560" w:hanging="720"/>
      </w:pPr>
      <w:rPr>
        <w:rFonts w:ascii="Times New Roman" w:eastAsia="Times New Roman" w:hAnsi="Times New Roman" w:cs="Times New Roman" w:hint="default"/>
        <w:w w:val="99"/>
        <w:sz w:val="24"/>
        <w:szCs w:val="24"/>
      </w:rPr>
    </w:lvl>
    <w:lvl w:ilvl="1">
      <w:start w:val="1"/>
      <w:numFmt w:val="lowerLetter"/>
      <w:lvlText w:val="%2."/>
      <w:lvlJc w:val="left"/>
      <w:pPr>
        <w:ind w:left="2280" w:hanging="720"/>
      </w:pPr>
      <w:rPr>
        <w:rFonts w:ascii="Times New Roman" w:eastAsia="Times New Roman" w:hAnsi="Times New Roman" w:cs="Times New Roman" w:hint="default"/>
        <w:spacing w:val="-1"/>
        <w:w w:val="99"/>
        <w:sz w:val="24"/>
        <w:szCs w:val="24"/>
      </w:rPr>
    </w:lvl>
    <w:lvl w:ilvl="2">
      <w:start w:val="0"/>
      <w:numFmt w:val="bullet"/>
      <w:lvlText w:val="•"/>
      <w:lvlJc w:val="left"/>
      <w:pPr>
        <w:ind w:left="3086" w:hanging="720"/>
      </w:pPr>
      <w:rPr>
        <w:rFonts w:hint="default"/>
      </w:rPr>
    </w:lvl>
    <w:lvl w:ilvl="3">
      <w:start w:val="0"/>
      <w:numFmt w:val="bullet"/>
      <w:lvlText w:val="•"/>
      <w:lvlJc w:val="left"/>
      <w:pPr>
        <w:ind w:left="3893" w:hanging="720"/>
      </w:pPr>
      <w:rPr>
        <w:rFonts w:hint="default"/>
      </w:rPr>
    </w:lvl>
    <w:lvl w:ilvl="4">
      <w:start w:val="0"/>
      <w:numFmt w:val="bullet"/>
      <w:lvlText w:val="•"/>
      <w:lvlJc w:val="left"/>
      <w:pPr>
        <w:ind w:left="4700" w:hanging="720"/>
      </w:pPr>
      <w:rPr>
        <w:rFonts w:hint="default"/>
      </w:rPr>
    </w:lvl>
    <w:lvl w:ilvl="5">
      <w:start w:val="0"/>
      <w:numFmt w:val="bullet"/>
      <w:lvlText w:val="•"/>
      <w:lvlJc w:val="left"/>
      <w:pPr>
        <w:ind w:left="5506" w:hanging="720"/>
      </w:pPr>
      <w:rPr>
        <w:rFonts w:hint="default"/>
      </w:rPr>
    </w:lvl>
    <w:lvl w:ilvl="6">
      <w:start w:val="0"/>
      <w:numFmt w:val="bullet"/>
      <w:lvlText w:val="•"/>
      <w:lvlJc w:val="left"/>
      <w:pPr>
        <w:ind w:left="6313" w:hanging="720"/>
      </w:pPr>
      <w:rPr>
        <w:rFonts w:hint="default"/>
      </w:rPr>
    </w:lvl>
    <w:lvl w:ilvl="7">
      <w:start w:val="0"/>
      <w:numFmt w:val="bullet"/>
      <w:lvlText w:val="•"/>
      <w:lvlJc w:val="left"/>
      <w:pPr>
        <w:ind w:left="7120" w:hanging="720"/>
      </w:pPr>
      <w:rPr>
        <w:rFonts w:hint="default"/>
      </w:rPr>
    </w:lvl>
    <w:lvl w:ilvl="8">
      <w:start w:val="0"/>
      <w:numFmt w:val="bullet"/>
      <w:lvlText w:val="•"/>
      <w:lvlJc w:val="left"/>
      <w:pPr>
        <w:ind w:left="7926" w:hanging="720"/>
      </w:pPr>
      <w:rPr>
        <w:rFonts w:hint="default"/>
      </w:rPr>
    </w:lvl>
  </w:abstractNum>
  <w:abstractNum w:abstractNumId="5">
    <w:nsid w:val="502B5520"/>
    <w:multiLevelType w:val="hybridMultilevel"/>
    <w:tmpl w:val="D1A650C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68A340C"/>
    <w:multiLevelType w:val="hybridMultilevel"/>
    <w:tmpl w:val="EFD8D530"/>
    <w:lvl w:ilvl="0">
      <w:start w:val="1"/>
      <w:numFmt w:val="upperRoman"/>
      <w:lvlText w:val="%1."/>
      <w:lvlJc w:val="left"/>
      <w:pPr>
        <w:ind w:left="880" w:hanging="720"/>
      </w:pPr>
      <w:rPr>
        <w:rFonts w:ascii="Times New Roman" w:eastAsia="Times New Roman" w:hAnsi="Times New Roman" w:cs="Times New Roman" w:hint="default"/>
        <w:b/>
        <w:bCs/>
        <w:w w:val="99"/>
        <w:sz w:val="24"/>
        <w:szCs w:val="24"/>
      </w:rPr>
    </w:lvl>
    <w:lvl w:ilvl="1">
      <w:start w:val="1"/>
      <w:numFmt w:val="upperLetter"/>
      <w:lvlText w:val="%2."/>
      <w:lvlJc w:val="left"/>
      <w:pPr>
        <w:ind w:left="1560" w:hanging="720"/>
      </w:pPr>
      <w:rPr>
        <w:rFonts w:ascii="Times New Roman" w:eastAsia="Times New Roman" w:hAnsi="Times New Roman" w:cs="Times New Roman" w:hint="default"/>
        <w:b/>
        <w:bCs/>
        <w:spacing w:val="-1"/>
        <w:w w:val="99"/>
        <w:sz w:val="24"/>
        <w:szCs w:val="24"/>
      </w:rPr>
    </w:lvl>
    <w:lvl w:ilvl="2">
      <w:start w:val="1"/>
      <w:numFmt w:val="decimal"/>
      <w:lvlText w:val="%3."/>
      <w:lvlJc w:val="left"/>
      <w:pPr>
        <w:ind w:left="2280" w:hanging="720"/>
      </w:pPr>
      <w:rPr>
        <w:rFonts w:hint="default"/>
        <w:b/>
        <w:bCs/>
        <w:w w:val="99"/>
      </w:rPr>
    </w:lvl>
    <w:lvl w:ilvl="3">
      <w:start w:val="0"/>
      <w:numFmt w:val="bullet"/>
      <w:lvlText w:val="•"/>
      <w:lvlJc w:val="left"/>
      <w:pPr>
        <w:ind w:left="3182" w:hanging="720"/>
      </w:pPr>
      <w:rPr>
        <w:rFonts w:hint="default"/>
      </w:rPr>
    </w:lvl>
    <w:lvl w:ilvl="4">
      <w:start w:val="0"/>
      <w:numFmt w:val="bullet"/>
      <w:lvlText w:val="•"/>
      <w:lvlJc w:val="left"/>
      <w:pPr>
        <w:ind w:left="4085" w:hanging="720"/>
      </w:pPr>
      <w:rPr>
        <w:rFonts w:hint="default"/>
      </w:rPr>
    </w:lvl>
    <w:lvl w:ilvl="5">
      <w:start w:val="0"/>
      <w:numFmt w:val="bullet"/>
      <w:lvlText w:val="•"/>
      <w:lvlJc w:val="left"/>
      <w:pPr>
        <w:ind w:left="4987" w:hanging="720"/>
      </w:pPr>
      <w:rPr>
        <w:rFonts w:hint="default"/>
      </w:rPr>
    </w:lvl>
    <w:lvl w:ilvl="6">
      <w:start w:val="0"/>
      <w:numFmt w:val="bullet"/>
      <w:lvlText w:val="•"/>
      <w:lvlJc w:val="left"/>
      <w:pPr>
        <w:ind w:left="5890" w:hanging="720"/>
      </w:pPr>
      <w:rPr>
        <w:rFonts w:hint="default"/>
      </w:rPr>
    </w:lvl>
    <w:lvl w:ilvl="7">
      <w:start w:val="0"/>
      <w:numFmt w:val="bullet"/>
      <w:lvlText w:val="•"/>
      <w:lvlJc w:val="left"/>
      <w:pPr>
        <w:ind w:left="6792" w:hanging="720"/>
      </w:pPr>
      <w:rPr>
        <w:rFonts w:hint="default"/>
      </w:rPr>
    </w:lvl>
    <w:lvl w:ilvl="8">
      <w:start w:val="0"/>
      <w:numFmt w:val="bullet"/>
      <w:lvlText w:val="•"/>
      <w:lvlJc w:val="left"/>
      <w:pPr>
        <w:ind w:left="7695" w:hanging="720"/>
      </w:pPr>
      <w:rPr>
        <w:rFonts w:hint="default"/>
      </w:rPr>
    </w:lvl>
  </w:abstractNum>
  <w:abstractNum w:abstractNumId="7">
    <w:nsid w:val="5FED5F7E"/>
    <w:multiLevelType w:val="hybridMultilevel"/>
    <w:tmpl w:val="6A4207F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E8832B4"/>
    <w:multiLevelType w:val="hybridMultilevel"/>
    <w:tmpl w:val="095C63AA"/>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1"/>
  </w:num>
  <w:num w:numId="6">
    <w:abstractNumId w:val="8"/>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DE"/>
    <w:rsid w:val="000004BB"/>
    <w:rsid w:val="00000B05"/>
    <w:rsid w:val="00003405"/>
    <w:rsid w:val="00012239"/>
    <w:rsid w:val="00012E83"/>
    <w:rsid w:val="000155BD"/>
    <w:rsid w:val="000356E5"/>
    <w:rsid w:val="0003585C"/>
    <w:rsid w:val="000366F2"/>
    <w:rsid w:val="0004102D"/>
    <w:rsid w:val="00043D64"/>
    <w:rsid w:val="00052191"/>
    <w:rsid w:val="000527EF"/>
    <w:rsid w:val="000557F1"/>
    <w:rsid w:val="0005638F"/>
    <w:rsid w:val="00057175"/>
    <w:rsid w:val="00061746"/>
    <w:rsid w:val="0007294A"/>
    <w:rsid w:val="0007664B"/>
    <w:rsid w:val="000768BC"/>
    <w:rsid w:val="00093D21"/>
    <w:rsid w:val="000A0FFF"/>
    <w:rsid w:val="000A1B3B"/>
    <w:rsid w:val="000A360E"/>
    <w:rsid w:val="000A45B2"/>
    <w:rsid w:val="000B4B77"/>
    <w:rsid w:val="000C3F0E"/>
    <w:rsid w:val="000C6D83"/>
    <w:rsid w:val="000D1437"/>
    <w:rsid w:val="000D1F40"/>
    <w:rsid w:val="000E3C32"/>
    <w:rsid w:val="000F3214"/>
    <w:rsid w:val="000F57B1"/>
    <w:rsid w:val="000F64E0"/>
    <w:rsid w:val="00111F98"/>
    <w:rsid w:val="00131F52"/>
    <w:rsid w:val="00132A50"/>
    <w:rsid w:val="00141E60"/>
    <w:rsid w:val="00153759"/>
    <w:rsid w:val="001567E9"/>
    <w:rsid w:val="0016006A"/>
    <w:rsid w:val="001672B2"/>
    <w:rsid w:val="00170427"/>
    <w:rsid w:val="0017144B"/>
    <w:rsid w:val="001910C3"/>
    <w:rsid w:val="00192681"/>
    <w:rsid w:val="00192B2E"/>
    <w:rsid w:val="001971E1"/>
    <w:rsid w:val="001B3F6C"/>
    <w:rsid w:val="001C09EA"/>
    <w:rsid w:val="001D75F4"/>
    <w:rsid w:val="001F076D"/>
    <w:rsid w:val="001F6C90"/>
    <w:rsid w:val="00211287"/>
    <w:rsid w:val="00222E9C"/>
    <w:rsid w:val="00223648"/>
    <w:rsid w:val="00234512"/>
    <w:rsid w:val="00237751"/>
    <w:rsid w:val="002472DD"/>
    <w:rsid w:val="0027443D"/>
    <w:rsid w:val="00274AB7"/>
    <w:rsid w:val="002820AE"/>
    <w:rsid w:val="00292303"/>
    <w:rsid w:val="002A4E71"/>
    <w:rsid w:val="002C3848"/>
    <w:rsid w:val="002D0C9D"/>
    <w:rsid w:val="002D3D21"/>
    <w:rsid w:val="002D5526"/>
    <w:rsid w:val="002E50ED"/>
    <w:rsid w:val="002F04F7"/>
    <w:rsid w:val="002F0D5B"/>
    <w:rsid w:val="002F1413"/>
    <w:rsid w:val="002F6C7A"/>
    <w:rsid w:val="002F7453"/>
    <w:rsid w:val="00303EBE"/>
    <w:rsid w:val="00306F52"/>
    <w:rsid w:val="00313640"/>
    <w:rsid w:val="0031644D"/>
    <w:rsid w:val="003342CE"/>
    <w:rsid w:val="0033727A"/>
    <w:rsid w:val="003421A1"/>
    <w:rsid w:val="0035310B"/>
    <w:rsid w:val="00355C69"/>
    <w:rsid w:val="003727F5"/>
    <w:rsid w:val="00374C6C"/>
    <w:rsid w:val="00390CDA"/>
    <w:rsid w:val="00395922"/>
    <w:rsid w:val="00396D74"/>
    <w:rsid w:val="003A4904"/>
    <w:rsid w:val="003B6E00"/>
    <w:rsid w:val="003C4DC1"/>
    <w:rsid w:val="003D3A04"/>
    <w:rsid w:val="003E3A92"/>
    <w:rsid w:val="003E437C"/>
    <w:rsid w:val="003F4056"/>
    <w:rsid w:val="00410378"/>
    <w:rsid w:val="0041173A"/>
    <w:rsid w:val="00426E74"/>
    <w:rsid w:val="00427C4B"/>
    <w:rsid w:val="00431252"/>
    <w:rsid w:val="004325A2"/>
    <w:rsid w:val="004343E7"/>
    <w:rsid w:val="004431C6"/>
    <w:rsid w:val="00444CA2"/>
    <w:rsid w:val="0044671B"/>
    <w:rsid w:val="004478BB"/>
    <w:rsid w:val="004541BA"/>
    <w:rsid w:val="004548AE"/>
    <w:rsid w:val="00480DD8"/>
    <w:rsid w:val="00484D44"/>
    <w:rsid w:val="004872D1"/>
    <w:rsid w:val="00491F38"/>
    <w:rsid w:val="004A495A"/>
    <w:rsid w:val="004B0700"/>
    <w:rsid w:val="004C74DE"/>
    <w:rsid w:val="004D7987"/>
    <w:rsid w:val="004E3F51"/>
    <w:rsid w:val="004E6FF4"/>
    <w:rsid w:val="004F0FDC"/>
    <w:rsid w:val="00526201"/>
    <w:rsid w:val="005314F1"/>
    <w:rsid w:val="0053454F"/>
    <w:rsid w:val="00544D18"/>
    <w:rsid w:val="00552071"/>
    <w:rsid w:val="00573D96"/>
    <w:rsid w:val="00575FA6"/>
    <w:rsid w:val="00592A03"/>
    <w:rsid w:val="005A088F"/>
    <w:rsid w:val="005B30A7"/>
    <w:rsid w:val="005B4C6E"/>
    <w:rsid w:val="005B69A6"/>
    <w:rsid w:val="005C42FA"/>
    <w:rsid w:val="005C5FED"/>
    <w:rsid w:val="005E2E1F"/>
    <w:rsid w:val="005E3023"/>
    <w:rsid w:val="005F3808"/>
    <w:rsid w:val="005F3F3B"/>
    <w:rsid w:val="00610162"/>
    <w:rsid w:val="006114EF"/>
    <w:rsid w:val="00612D75"/>
    <w:rsid w:val="006164E5"/>
    <w:rsid w:val="006166D8"/>
    <w:rsid w:val="00625F66"/>
    <w:rsid w:val="00635922"/>
    <w:rsid w:val="006431F5"/>
    <w:rsid w:val="00652D0C"/>
    <w:rsid w:val="00661AD1"/>
    <w:rsid w:val="006653C0"/>
    <w:rsid w:val="00670053"/>
    <w:rsid w:val="00682418"/>
    <w:rsid w:val="00687B15"/>
    <w:rsid w:val="006905ED"/>
    <w:rsid w:val="00692177"/>
    <w:rsid w:val="00695822"/>
    <w:rsid w:val="006A4FCD"/>
    <w:rsid w:val="006B4524"/>
    <w:rsid w:val="006C0E94"/>
    <w:rsid w:val="006D1061"/>
    <w:rsid w:val="006D14A6"/>
    <w:rsid w:val="006D6BA0"/>
    <w:rsid w:val="006D6E61"/>
    <w:rsid w:val="006D7A46"/>
    <w:rsid w:val="006E249C"/>
    <w:rsid w:val="006E2672"/>
    <w:rsid w:val="006F2932"/>
    <w:rsid w:val="006F6E27"/>
    <w:rsid w:val="00710F4D"/>
    <w:rsid w:val="00713031"/>
    <w:rsid w:val="00722305"/>
    <w:rsid w:val="007237CB"/>
    <w:rsid w:val="00732718"/>
    <w:rsid w:val="007405E0"/>
    <w:rsid w:val="00755FD7"/>
    <w:rsid w:val="007574A5"/>
    <w:rsid w:val="0077113A"/>
    <w:rsid w:val="0077551C"/>
    <w:rsid w:val="00780B4D"/>
    <w:rsid w:val="00784119"/>
    <w:rsid w:val="007846AC"/>
    <w:rsid w:val="00791FEB"/>
    <w:rsid w:val="007933FC"/>
    <w:rsid w:val="007A3A3A"/>
    <w:rsid w:val="007A4CDA"/>
    <w:rsid w:val="007B16EE"/>
    <w:rsid w:val="007E07F8"/>
    <w:rsid w:val="007E149A"/>
    <w:rsid w:val="007E2989"/>
    <w:rsid w:val="007E40C5"/>
    <w:rsid w:val="007E5451"/>
    <w:rsid w:val="007E564F"/>
    <w:rsid w:val="00800115"/>
    <w:rsid w:val="008028EB"/>
    <w:rsid w:val="008158A5"/>
    <w:rsid w:val="00816210"/>
    <w:rsid w:val="00841176"/>
    <w:rsid w:val="00853140"/>
    <w:rsid w:val="00862EB8"/>
    <w:rsid w:val="00863278"/>
    <w:rsid w:val="0086744E"/>
    <w:rsid w:val="00874F82"/>
    <w:rsid w:val="008769D6"/>
    <w:rsid w:val="00880CE3"/>
    <w:rsid w:val="00884F63"/>
    <w:rsid w:val="00893E09"/>
    <w:rsid w:val="00894155"/>
    <w:rsid w:val="00895497"/>
    <w:rsid w:val="00895D3D"/>
    <w:rsid w:val="008A14F1"/>
    <w:rsid w:val="008A16AD"/>
    <w:rsid w:val="008A6092"/>
    <w:rsid w:val="008B0B28"/>
    <w:rsid w:val="008D0805"/>
    <w:rsid w:val="008D525A"/>
    <w:rsid w:val="008D7208"/>
    <w:rsid w:val="008F4A80"/>
    <w:rsid w:val="008F71B5"/>
    <w:rsid w:val="00914078"/>
    <w:rsid w:val="00920E86"/>
    <w:rsid w:val="009230CD"/>
    <w:rsid w:val="0092341D"/>
    <w:rsid w:val="00924128"/>
    <w:rsid w:val="00925B2B"/>
    <w:rsid w:val="00925B8C"/>
    <w:rsid w:val="009372C9"/>
    <w:rsid w:val="00940825"/>
    <w:rsid w:val="00942419"/>
    <w:rsid w:val="009556B4"/>
    <w:rsid w:val="00955A28"/>
    <w:rsid w:val="00957105"/>
    <w:rsid w:val="00966D6A"/>
    <w:rsid w:val="00981825"/>
    <w:rsid w:val="00993601"/>
    <w:rsid w:val="009A3E74"/>
    <w:rsid w:val="009A5EC7"/>
    <w:rsid w:val="009A7B5E"/>
    <w:rsid w:val="009B0B36"/>
    <w:rsid w:val="009B7158"/>
    <w:rsid w:val="009D4EA3"/>
    <w:rsid w:val="009D6D7C"/>
    <w:rsid w:val="009F0FE8"/>
    <w:rsid w:val="009F3AC6"/>
    <w:rsid w:val="009F5642"/>
    <w:rsid w:val="009F5926"/>
    <w:rsid w:val="00A01A6F"/>
    <w:rsid w:val="00A116FE"/>
    <w:rsid w:val="00A20F1B"/>
    <w:rsid w:val="00A21364"/>
    <w:rsid w:val="00A32E62"/>
    <w:rsid w:val="00A33824"/>
    <w:rsid w:val="00A36B78"/>
    <w:rsid w:val="00A36DD1"/>
    <w:rsid w:val="00A50683"/>
    <w:rsid w:val="00A668FA"/>
    <w:rsid w:val="00A73E3F"/>
    <w:rsid w:val="00A8520D"/>
    <w:rsid w:val="00A9023C"/>
    <w:rsid w:val="00AA3EBF"/>
    <w:rsid w:val="00AA4D2B"/>
    <w:rsid w:val="00AA5FCF"/>
    <w:rsid w:val="00AC4999"/>
    <w:rsid w:val="00AD097F"/>
    <w:rsid w:val="00AE6280"/>
    <w:rsid w:val="00AF003D"/>
    <w:rsid w:val="00AF4DB6"/>
    <w:rsid w:val="00B0192F"/>
    <w:rsid w:val="00B077DA"/>
    <w:rsid w:val="00B144F7"/>
    <w:rsid w:val="00B23F87"/>
    <w:rsid w:val="00B25D45"/>
    <w:rsid w:val="00B33F00"/>
    <w:rsid w:val="00B415F5"/>
    <w:rsid w:val="00B53E3F"/>
    <w:rsid w:val="00B5622F"/>
    <w:rsid w:val="00B6206A"/>
    <w:rsid w:val="00B62B49"/>
    <w:rsid w:val="00B73112"/>
    <w:rsid w:val="00B7471E"/>
    <w:rsid w:val="00B7545E"/>
    <w:rsid w:val="00B80A13"/>
    <w:rsid w:val="00B818FF"/>
    <w:rsid w:val="00B825AF"/>
    <w:rsid w:val="00B92ADF"/>
    <w:rsid w:val="00BB6DC4"/>
    <w:rsid w:val="00BC2BEF"/>
    <w:rsid w:val="00BC4E26"/>
    <w:rsid w:val="00BC6A91"/>
    <w:rsid w:val="00BE246E"/>
    <w:rsid w:val="00C04619"/>
    <w:rsid w:val="00C0474F"/>
    <w:rsid w:val="00C05C92"/>
    <w:rsid w:val="00C10E5C"/>
    <w:rsid w:val="00C122AD"/>
    <w:rsid w:val="00C13C32"/>
    <w:rsid w:val="00C168C8"/>
    <w:rsid w:val="00C332F5"/>
    <w:rsid w:val="00C45C51"/>
    <w:rsid w:val="00C514E5"/>
    <w:rsid w:val="00C54DAF"/>
    <w:rsid w:val="00C63577"/>
    <w:rsid w:val="00C65E3C"/>
    <w:rsid w:val="00C76A50"/>
    <w:rsid w:val="00C823B2"/>
    <w:rsid w:val="00C970CB"/>
    <w:rsid w:val="00CA0895"/>
    <w:rsid w:val="00CA29DB"/>
    <w:rsid w:val="00CA47F8"/>
    <w:rsid w:val="00CA6E48"/>
    <w:rsid w:val="00CB65F6"/>
    <w:rsid w:val="00CC3C1A"/>
    <w:rsid w:val="00CD1A76"/>
    <w:rsid w:val="00CD3F7F"/>
    <w:rsid w:val="00D107D3"/>
    <w:rsid w:val="00D20136"/>
    <w:rsid w:val="00D23E08"/>
    <w:rsid w:val="00D26F4D"/>
    <w:rsid w:val="00D43A3F"/>
    <w:rsid w:val="00D46564"/>
    <w:rsid w:val="00D5549C"/>
    <w:rsid w:val="00D7145B"/>
    <w:rsid w:val="00D74ABF"/>
    <w:rsid w:val="00D74F2E"/>
    <w:rsid w:val="00DB28B5"/>
    <w:rsid w:val="00DB7F5A"/>
    <w:rsid w:val="00DC7793"/>
    <w:rsid w:val="00DD0132"/>
    <w:rsid w:val="00DD4796"/>
    <w:rsid w:val="00DE6F28"/>
    <w:rsid w:val="00DF240E"/>
    <w:rsid w:val="00DF35B0"/>
    <w:rsid w:val="00E03D46"/>
    <w:rsid w:val="00E1128F"/>
    <w:rsid w:val="00E113F2"/>
    <w:rsid w:val="00E11C4A"/>
    <w:rsid w:val="00E2722F"/>
    <w:rsid w:val="00E27F9C"/>
    <w:rsid w:val="00E320E0"/>
    <w:rsid w:val="00E37F03"/>
    <w:rsid w:val="00E53732"/>
    <w:rsid w:val="00E73869"/>
    <w:rsid w:val="00E824D1"/>
    <w:rsid w:val="00E87BC6"/>
    <w:rsid w:val="00E928FF"/>
    <w:rsid w:val="00E93D9C"/>
    <w:rsid w:val="00E97E8E"/>
    <w:rsid w:val="00EA2F76"/>
    <w:rsid w:val="00EA40B9"/>
    <w:rsid w:val="00EA5C43"/>
    <w:rsid w:val="00EB01F7"/>
    <w:rsid w:val="00EB5873"/>
    <w:rsid w:val="00EB7127"/>
    <w:rsid w:val="00EC31AB"/>
    <w:rsid w:val="00ED4CE3"/>
    <w:rsid w:val="00EE4679"/>
    <w:rsid w:val="00F05D37"/>
    <w:rsid w:val="00F17C2E"/>
    <w:rsid w:val="00F30219"/>
    <w:rsid w:val="00F313DD"/>
    <w:rsid w:val="00F577DE"/>
    <w:rsid w:val="00F73B17"/>
    <w:rsid w:val="00F81B12"/>
    <w:rsid w:val="00F916E5"/>
    <w:rsid w:val="00FA2C15"/>
    <w:rsid w:val="00FB349C"/>
    <w:rsid w:val="00FB3FBE"/>
    <w:rsid w:val="00FF38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55"/>
    <w:rPr>
      <w:rFonts w:ascii="Times New Roman" w:eastAsia="Times New Roman" w:hAnsi="Times New Roman" w:cs="Times New Roman"/>
    </w:rPr>
  </w:style>
  <w:style w:type="paragraph" w:styleId="Heading1">
    <w:name w:val="heading 1"/>
    <w:basedOn w:val="Normal"/>
    <w:link w:val="Heading1Char"/>
    <w:uiPriority w:val="9"/>
    <w:qFormat/>
    <w:rsid w:val="00800115"/>
    <w:pPr>
      <w:spacing w:after="240"/>
      <w:ind w:left="720" w:hanging="720"/>
      <w:outlineLvl w:val="0"/>
    </w:pPr>
    <w:rPr>
      <w:rFonts w:ascii="Times New Roman Bold" w:hAnsi="Times New Roman Bold"/>
      <w:b/>
      <w:bCs/>
      <w:sz w:val="24"/>
      <w:szCs w:val="24"/>
    </w:rPr>
  </w:style>
  <w:style w:type="paragraph" w:styleId="Heading2">
    <w:name w:val="heading 2"/>
    <w:basedOn w:val="Normal"/>
    <w:next w:val="Normal"/>
    <w:link w:val="Heading2Char"/>
    <w:uiPriority w:val="9"/>
    <w:unhideWhenUsed/>
    <w:qFormat/>
    <w:rsid w:val="000D1F40"/>
    <w:pPr>
      <w:keepNext/>
      <w:keepLines/>
      <w:spacing w:after="240"/>
      <w:ind w:left="1440" w:hanging="720"/>
      <w:outlineLvl w:val="1"/>
    </w:pPr>
    <w:rPr>
      <w:rFonts w:ascii="Times New Roman Bold" w:hAnsi="Times New Roman Bold" w:eastAsiaTheme="majorEastAsia" w:cstheme="majorBidi"/>
      <w:b/>
      <w:sz w:val="24"/>
      <w:szCs w:val="26"/>
    </w:rPr>
  </w:style>
  <w:style w:type="paragraph" w:styleId="Heading3">
    <w:name w:val="heading 3"/>
    <w:basedOn w:val="Normal"/>
    <w:next w:val="Normal"/>
    <w:link w:val="Heading3Char"/>
    <w:uiPriority w:val="9"/>
    <w:unhideWhenUsed/>
    <w:qFormat/>
    <w:rsid w:val="00942419"/>
    <w:pPr>
      <w:keepNext/>
      <w:keepLines/>
      <w:spacing w:after="240"/>
      <w:ind w:left="2160" w:hanging="72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560" w:hanging="720"/>
    </w:pPr>
  </w:style>
  <w:style w:type="paragraph" w:customStyle="1" w:styleId="TableParagraph">
    <w:name w:val="Table Paragraph"/>
    <w:basedOn w:val="Normal"/>
    <w:uiPriority w:val="1"/>
    <w:qFormat/>
    <w:pPr>
      <w:spacing w:line="248" w:lineRule="exact"/>
      <w:ind w:left="88"/>
    </w:pPr>
  </w:style>
  <w:style w:type="paragraph" w:styleId="FootnoteText">
    <w:name w:val="footnote text"/>
    <w:basedOn w:val="Normal"/>
    <w:link w:val="FootnoteTextChar"/>
    <w:uiPriority w:val="99"/>
    <w:semiHidden/>
    <w:unhideWhenUsed/>
    <w:rsid w:val="00D74F2E"/>
    <w:rPr>
      <w:sz w:val="20"/>
      <w:szCs w:val="20"/>
    </w:rPr>
  </w:style>
  <w:style w:type="character" w:customStyle="1" w:styleId="FootnoteTextChar">
    <w:name w:val="Footnote Text Char"/>
    <w:basedOn w:val="DefaultParagraphFont"/>
    <w:link w:val="FootnoteText"/>
    <w:uiPriority w:val="99"/>
    <w:semiHidden/>
    <w:rsid w:val="00D74F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4F2E"/>
    <w:rPr>
      <w:vertAlign w:val="superscript"/>
    </w:rPr>
  </w:style>
  <w:style w:type="character" w:styleId="Hyperlink">
    <w:name w:val="Hyperlink"/>
    <w:basedOn w:val="DefaultParagraphFont"/>
    <w:uiPriority w:val="99"/>
    <w:unhideWhenUsed/>
    <w:rsid w:val="00D74F2E"/>
    <w:rPr>
      <w:color w:val="0000FF" w:themeColor="hyperlink"/>
      <w:u w:val="single"/>
    </w:rPr>
  </w:style>
  <w:style w:type="character" w:customStyle="1" w:styleId="UnresolvedMention1">
    <w:name w:val="Unresolved Mention1"/>
    <w:basedOn w:val="DefaultParagraphFont"/>
    <w:uiPriority w:val="99"/>
    <w:semiHidden/>
    <w:unhideWhenUsed/>
    <w:rsid w:val="00D74F2E"/>
    <w:rPr>
      <w:color w:val="605E5C"/>
      <w:shd w:val="clear" w:color="auto" w:fill="E1DFDD"/>
    </w:rPr>
  </w:style>
  <w:style w:type="paragraph" w:styleId="Header">
    <w:name w:val="header"/>
    <w:basedOn w:val="Normal"/>
    <w:link w:val="HeaderChar"/>
    <w:uiPriority w:val="99"/>
    <w:unhideWhenUsed/>
    <w:rsid w:val="00A20F1B"/>
    <w:pPr>
      <w:tabs>
        <w:tab w:val="center" w:pos="4680"/>
        <w:tab w:val="right" w:pos="9360"/>
      </w:tabs>
    </w:pPr>
  </w:style>
  <w:style w:type="character" w:customStyle="1" w:styleId="HeaderChar">
    <w:name w:val="Header Char"/>
    <w:basedOn w:val="DefaultParagraphFont"/>
    <w:link w:val="Header"/>
    <w:uiPriority w:val="99"/>
    <w:rsid w:val="00A20F1B"/>
    <w:rPr>
      <w:rFonts w:ascii="Times New Roman" w:eastAsia="Times New Roman" w:hAnsi="Times New Roman" w:cs="Times New Roman"/>
    </w:rPr>
  </w:style>
  <w:style w:type="paragraph" w:styleId="Footer">
    <w:name w:val="footer"/>
    <w:basedOn w:val="Normal"/>
    <w:link w:val="FooterChar"/>
    <w:uiPriority w:val="99"/>
    <w:unhideWhenUsed/>
    <w:rsid w:val="00A20F1B"/>
    <w:pPr>
      <w:tabs>
        <w:tab w:val="center" w:pos="4680"/>
        <w:tab w:val="right" w:pos="9360"/>
      </w:tabs>
    </w:pPr>
  </w:style>
  <w:style w:type="character" w:customStyle="1" w:styleId="FooterChar">
    <w:name w:val="Footer Char"/>
    <w:basedOn w:val="DefaultParagraphFont"/>
    <w:link w:val="Footer"/>
    <w:uiPriority w:val="99"/>
    <w:rsid w:val="00A20F1B"/>
    <w:rPr>
      <w:rFonts w:ascii="Times New Roman" w:eastAsia="Times New Roman" w:hAnsi="Times New Roman" w:cs="Times New Roman"/>
    </w:rPr>
  </w:style>
  <w:style w:type="paragraph" w:styleId="Revision">
    <w:name w:val="Revision"/>
    <w:hidden/>
    <w:uiPriority w:val="99"/>
    <w:semiHidden/>
    <w:rsid w:val="00222E9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B7158"/>
    <w:rPr>
      <w:sz w:val="16"/>
      <w:szCs w:val="16"/>
    </w:rPr>
  </w:style>
  <w:style w:type="paragraph" w:styleId="CommentText">
    <w:name w:val="annotation text"/>
    <w:basedOn w:val="Normal"/>
    <w:link w:val="CommentTextChar"/>
    <w:uiPriority w:val="99"/>
    <w:unhideWhenUsed/>
    <w:rsid w:val="009B7158"/>
    <w:rPr>
      <w:sz w:val="20"/>
      <w:szCs w:val="20"/>
    </w:rPr>
  </w:style>
  <w:style w:type="character" w:customStyle="1" w:styleId="CommentTextChar">
    <w:name w:val="Comment Text Char"/>
    <w:basedOn w:val="DefaultParagraphFont"/>
    <w:link w:val="CommentText"/>
    <w:uiPriority w:val="99"/>
    <w:rsid w:val="009B71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158"/>
    <w:rPr>
      <w:b/>
      <w:bCs/>
    </w:rPr>
  </w:style>
  <w:style w:type="character" w:customStyle="1" w:styleId="CommentSubjectChar">
    <w:name w:val="Comment Subject Char"/>
    <w:basedOn w:val="CommentTextChar"/>
    <w:link w:val="CommentSubject"/>
    <w:uiPriority w:val="99"/>
    <w:semiHidden/>
    <w:rsid w:val="009B7158"/>
    <w:rPr>
      <w:rFonts w:ascii="Times New Roman" w:eastAsia="Times New Roman" w:hAnsi="Times New Roman" w:cs="Times New Roman"/>
      <w:b/>
      <w:bCs/>
      <w:sz w:val="20"/>
      <w:szCs w:val="20"/>
    </w:rPr>
  </w:style>
  <w:style w:type="paragraph" w:styleId="HTMLPreformatted">
    <w:name w:val="HTML Preformatted"/>
    <w:basedOn w:val="Normal"/>
    <w:link w:val="HTMLPreformattedChar"/>
    <w:rsid w:val="002D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2D5526"/>
    <w:rPr>
      <w:rFonts w:ascii="Courier New" w:eastAsia="Courier New" w:hAnsi="Courier New" w:cs="Courier New"/>
      <w:sz w:val="20"/>
      <w:szCs w:val="20"/>
    </w:rPr>
  </w:style>
  <w:style w:type="character" w:customStyle="1" w:styleId="Heading1Char">
    <w:name w:val="Heading 1 Char"/>
    <w:basedOn w:val="DefaultParagraphFont"/>
    <w:link w:val="Heading1"/>
    <w:uiPriority w:val="9"/>
    <w:rsid w:val="00800115"/>
    <w:rPr>
      <w:rFonts w:ascii="Times New Roman Bold" w:eastAsia="Times New Roman" w:hAnsi="Times New Roman Bold" w:cs="Times New Roman"/>
      <w:b/>
      <w:bCs/>
      <w:sz w:val="24"/>
      <w:szCs w:val="24"/>
    </w:rPr>
  </w:style>
  <w:style w:type="character" w:customStyle="1" w:styleId="BodyTextChar">
    <w:name w:val="Body Text Char"/>
    <w:basedOn w:val="DefaultParagraphFont"/>
    <w:link w:val="BodyText"/>
    <w:uiPriority w:val="1"/>
    <w:rsid w:val="0080011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D1F40"/>
    <w:rPr>
      <w:rFonts w:ascii="Times New Roman Bold" w:hAnsi="Times New Roman Bold" w:eastAsiaTheme="majorEastAsia" w:cstheme="majorBidi"/>
      <w:b/>
      <w:sz w:val="24"/>
      <w:szCs w:val="26"/>
    </w:rPr>
  </w:style>
  <w:style w:type="character" w:customStyle="1" w:styleId="Heading3Char">
    <w:name w:val="Heading 3 Char"/>
    <w:basedOn w:val="DefaultParagraphFont"/>
    <w:link w:val="Heading3"/>
    <w:uiPriority w:val="9"/>
    <w:rsid w:val="00942419"/>
    <w:rPr>
      <w:rFonts w:ascii="Times New Roman Bold" w:hAnsi="Times New Roman Bold" w:eastAsiaTheme="majorEastAsia" w:cstheme="majorBidi"/>
      <w:b/>
      <w:sz w:val="24"/>
      <w:szCs w:val="24"/>
    </w:rPr>
  </w:style>
  <w:style w:type="paragraph" w:styleId="TOC1">
    <w:name w:val="toc 1"/>
    <w:basedOn w:val="Normal"/>
    <w:next w:val="Normal"/>
    <w:autoRedefine/>
    <w:uiPriority w:val="39"/>
    <w:unhideWhenUsed/>
    <w:rsid w:val="00862EB8"/>
    <w:pPr>
      <w:tabs>
        <w:tab w:val="decimal" w:leader="dot" w:pos="8640"/>
      </w:tabs>
      <w:spacing w:after="240"/>
      <w:ind w:left="720" w:hanging="720"/>
    </w:pPr>
    <w:rPr>
      <w:sz w:val="24"/>
    </w:rPr>
  </w:style>
  <w:style w:type="paragraph" w:styleId="TOC2">
    <w:name w:val="toc 2"/>
    <w:basedOn w:val="Normal"/>
    <w:next w:val="Normal"/>
    <w:autoRedefine/>
    <w:uiPriority w:val="39"/>
    <w:unhideWhenUsed/>
    <w:rsid w:val="00862EB8"/>
    <w:pPr>
      <w:tabs>
        <w:tab w:val="decimal" w:leader="dot" w:pos="8640"/>
      </w:tabs>
      <w:spacing w:after="240"/>
      <w:ind w:left="1440" w:hanging="720"/>
    </w:pPr>
    <w:rPr>
      <w:sz w:val="24"/>
    </w:rPr>
  </w:style>
  <w:style w:type="paragraph" w:styleId="TOC3">
    <w:name w:val="toc 3"/>
    <w:basedOn w:val="Normal"/>
    <w:next w:val="Normal"/>
    <w:autoRedefine/>
    <w:uiPriority w:val="39"/>
    <w:unhideWhenUsed/>
    <w:rsid w:val="00AD097F"/>
    <w:pPr>
      <w:tabs>
        <w:tab w:val="left" w:pos="2160"/>
        <w:tab w:val="decimal" w:leader="dot" w:pos="8640"/>
      </w:tabs>
      <w:spacing w:after="240"/>
      <w:ind w:left="216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hyperlink" Target="mailto:robert.eubanks@ohioAGO.gov" TargetMode="External" /><Relationship Id="rId12" Type="http://schemas.openxmlformats.org/officeDocument/2006/relationships/hyperlink" Target="mailto:sarah.feldkamp@ohioAGO.gov" TargetMode="External" /><Relationship Id="rId13" Type="http://schemas.openxmlformats.org/officeDocument/2006/relationships/hyperlink" Target="mailto:greta.see@puco.ohio.gov" TargetMode="External" /><Relationship Id="rId14" Type="http://schemas.openxmlformats.org/officeDocument/2006/relationships/hyperlink" Target="mailto:kennedy@whitt-sturtevant.com" TargetMode="External" /><Relationship Id="rId15" Type="http://schemas.openxmlformats.org/officeDocument/2006/relationships/hyperlink" Target="mailto:fykes@whitt-sturtevant.com" TargetMode="External" /><Relationship Id="rId16" Type="http://schemas.openxmlformats.org/officeDocument/2006/relationships/hyperlink" Target="mailto:andrew.j.campbell@dominionenergy.com" TargetMode="External" /><Relationship Id="rId17" Type="http://schemas.openxmlformats.org/officeDocument/2006/relationships/hyperlink" Target="mailto:jweber@elpc.org" TargetMode="External" /><Relationship Id="rId18" Type="http://schemas.openxmlformats.org/officeDocument/2006/relationships/hyperlink" Target="mailto:rdove@keglerbrown.com" TargetMode="External" /><Relationship Id="rId19" Type="http://schemas.openxmlformats.org/officeDocument/2006/relationships/hyperlink" Target="mailto:michael.nugent@igs.com" TargetMode="External" /><Relationship Id="rId2" Type="http://schemas.openxmlformats.org/officeDocument/2006/relationships/settings" Target="settings.xml" /><Relationship Id="rId20" Type="http://schemas.openxmlformats.org/officeDocument/2006/relationships/hyperlink" Target="mailto:evan.betterton@igs.com" TargetMode="External" /><Relationship Id="rId21" Type="http://schemas.openxmlformats.org/officeDocument/2006/relationships/hyperlink" Target="mailto:stacie.cathcart@igs.com" TargetMode="Externa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john.finnigan@occ.ohio.gov" TargetMode="External" /><Relationship Id="rId7" Type="http://schemas.openxmlformats.org/officeDocument/2006/relationships/hyperlink" Target="mailto:amy.botschner.obrien@occ.ohio.gov" TargetMode="External" /><Relationship Id="rId8" Type="http://schemas.openxmlformats.org/officeDocument/2006/relationships/hyperlink" Target="mailto:ambrosia.wilson@occ.ohio.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6AE4A-8874-40B3-8819-63D43469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2022-10-07T21:00:13Z</dcterms:created>
  <dcterms:modified xsi:type="dcterms:W3CDTF">2022-10-07T21:00:13Z</dcterms:modified>
</cp:coreProperties>
</file>